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Default Extension="png" ContentType="image/png"/>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rPr>
      </w:pPr>
      <w:r>
        <w:rPr>
          <w:rFonts w:ascii="Times New Roman"/>
        </w:rPr>
        <w:drawing>
          <wp:inline distT="0" distB="0" distL="0" distR="0">
            <wp:extent cx="7650956" cy="9901237"/>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7650956" cy="9901237"/>
                    </a:xfrm>
                    <a:prstGeom prst="rect">
                      <a:avLst/>
                    </a:prstGeom>
                  </pic:spPr>
                </pic:pic>
              </a:graphicData>
            </a:graphic>
          </wp:inline>
        </w:drawing>
      </w:r>
      <w:r>
        <w:rPr>
          <w:rFonts w:ascii="Times New Roman"/>
        </w:rPr>
      </w:r>
    </w:p>
    <w:p>
      <w:pPr>
        <w:spacing w:after="0"/>
        <w:rPr>
          <w:rFonts w:ascii="Times New Roman"/>
        </w:rPr>
        <w:sectPr>
          <w:type w:val="continuous"/>
          <w:pgSz w:w="12240" w:h="15840"/>
          <w:pgMar w:top="0" w:bottom="0" w:left="0" w:right="0"/>
        </w:sectPr>
      </w:pPr>
    </w:p>
    <w:p>
      <w:pPr>
        <w:pStyle w:val="BodyText"/>
        <w:rPr>
          <w:rFonts w:ascii="Times New Roman"/>
        </w:rPr>
      </w:pPr>
      <w:r>
        <w:rPr>
          <w:rFonts w:ascii="Times New Roman"/>
        </w:rPr>
        <w:drawing>
          <wp:inline distT="0" distB="0" distL="0" distR="0">
            <wp:extent cx="7650956" cy="9901237"/>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7650956" cy="9901237"/>
                    </a:xfrm>
                    <a:prstGeom prst="rect">
                      <a:avLst/>
                    </a:prstGeom>
                  </pic:spPr>
                </pic:pic>
              </a:graphicData>
            </a:graphic>
          </wp:inline>
        </w:drawing>
      </w:r>
      <w:r>
        <w:rPr>
          <w:rFonts w:ascii="Times New Roman"/>
        </w:rPr>
      </w:r>
    </w:p>
    <w:p>
      <w:pPr>
        <w:spacing w:after="0"/>
        <w:rPr>
          <w:rFonts w:ascii="Times New Roman"/>
        </w:rPr>
        <w:sectPr>
          <w:pgSz w:w="12240" w:h="15840"/>
          <w:pgMar w:top="0" w:bottom="0" w:left="0" w:right="0"/>
        </w:sectPr>
      </w:pPr>
    </w:p>
    <w:p>
      <w:pPr>
        <w:pStyle w:val="BodyText"/>
        <w:rPr>
          <w:rFonts w:ascii="Times New Roman"/>
        </w:rPr>
      </w:pPr>
      <w:r>
        <w:rPr>
          <w:rFonts w:ascii="Times New Roman"/>
        </w:rPr>
        <w:drawing>
          <wp:inline distT="0" distB="0" distL="0" distR="0">
            <wp:extent cx="7650956" cy="9901237"/>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7650956" cy="9901237"/>
                    </a:xfrm>
                    <a:prstGeom prst="rect">
                      <a:avLst/>
                    </a:prstGeom>
                  </pic:spPr>
                </pic:pic>
              </a:graphicData>
            </a:graphic>
          </wp:inline>
        </w:drawing>
      </w:r>
      <w:r>
        <w:rPr>
          <w:rFonts w:ascii="Times New Roman"/>
        </w:rPr>
      </w:r>
    </w:p>
    <w:p>
      <w:pPr>
        <w:spacing w:after="0"/>
        <w:rPr>
          <w:rFonts w:ascii="Times New Roman"/>
        </w:rPr>
        <w:sectPr>
          <w:pgSz w:w="12240" w:h="15840"/>
          <w:pgMar w:top="0" w:bottom="0" w:left="0" w:right="0"/>
        </w:sectPr>
      </w:pPr>
    </w:p>
    <w:p>
      <w:pPr>
        <w:pStyle w:val="Heading1"/>
        <w:spacing w:line="240" w:lineRule="auto" w:before="130"/>
        <w:ind w:right="118"/>
        <w:rPr>
          <w:i/>
        </w:rPr>
      </w:pPr>
      <w:r>
        <w:rPr>
          <w:i/>
          <w:color w:val="231F20"/>
          <w:w w:val="65"/>
        </w:rPr>
        <w:t>Introducción</w:t>
      </w:r>
    </w:p>
    <w:p>
      <w:pPr>
        <w:pStyle w:val="Heading2"/>
        <w:rPr>
          <w:i/>
        </w:rPr>
      </w:pPr>
      <w:bookmarkStart w:name="_TOC_250013" w:id="1"/>
      <w:bookmarkEnd w:id="1"/>
      <w:r>
        <w:rPr>
          <w:i/>
          <w:color w:val="231F20"/>
          <w:w w:val="65"/>
        </w:rPr>
        <w:t>Rosa Patricia Román Reyes</w:t>
      </w: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spacing w:before="4"/>
        <w:rPr>
          <w:rFonts w:ascii="Trebuchet MS"/>
          <w:i/>
          <w:sz w:val="33"/>
        </w:rPr>
      </w:pPr>
    </w:p>
    <w:p>
      <w:pPr>
        <w:pStyle w:val="BodyText"/>
        <w:spacing w:line="288" w:lineRule="auto" w:before="1"/>
        <w:ind w:left="100" w:right="114"/>
        <w:jc w:val="both"/>
      </w:pPr>
      <w:r>
        <w:rPr>
          <w:color w:val="231F20"/>
          <w:w w:val="110"/>
        </w:rPr>
        <w:t>Resulta</w:t>
      </w:r>
      <w:r>
        <w:rPr>
          <w:color w:val="231F20"/>
          <w:spacing w:val="-5"/>
          <w:w w:val="110"/>
        </w:rPr>
        <w:t> </w:t>
      </w:r>
      <w:r>
        <w:rPr>
          <w:color w:val="231F20"/>
          <w:w w:val="110"/>
        </w:rPr>
        <w:t>al</w:t>
      </w:r>
      <w:r>
        <w:rPr>
          <w:color w:val="231F20"/>
          <w:spacing w:val="-5"/>
          <w:w w:val="110"/>
        </w:rPr>
        <w:t> </w:t>
      </w:r>
      <w:r>
        <w:rPr>
          <w:color w:val="231F20"/>
          <w:w w:val="110"/>
        </w:rPr>
        <w:t>menos</w:t>
      </w:r>
      <w:r>
        <w:rPr>
          <w:color w:val="231F20"/>
          <w:spacing w:val="-5"/>
          <w:w w:val="110"/>
        </w:rPr>
        <w:t> </w:t>
      </w:r>
      <w:r>
        <w:rPr>
          <w:color w:val="231F20"/>
          <w:w w:val="110"/>
        </w:rPr>
        <w:t>sugerente</w:t>
      </w:r>
      <w:r>
        <w:rPr>
          <w:color w:val="231F20"/>
          <w:spacing w:val="-5"/>
          <w:w w:val="110"/>
        </w:rPr>
        <w:t> </w:t>
      </w:r>
      <w:r>
        <w:rPr>
          <w:color w:val="231F20"/>
          <w:w w:val="110"/>
        </w:rPr>
        <w:t>encontrar</w:t>
      </w:r>
      <w:r>
        <w:rPr>
          <w:color w:val="231F20"/>
          <w:spacing w:val="-5"/>
          <w:w w:val="110"/>
        </w:rPr>
        <w:t> </w:t>
      </w:r>
      <w:r>
        <w:rPr>
          <w:color w:val="231F20"/>
          <w:w w:val="110"/>
        </w:rPr>
        <w:t>que</w:t>
      </w:r>
      <w:r>
        <w:rPr>
          <w:color w:val="231F20"/>
          <w:spacing w:val="-5"/>
          <w:w w:val="110"/>
        </w:rPr>
        <w:t> </w:t>
      </w:r>
      <w:r>
        <w:rPr>
          <w:color w:val="231F20"/>
          <w:w w:val="110"/>
        </w:rPr>
        <w:t>dos</w:t>
      </w:r>
      <w:r>
        <w:rPr>
          <w:color w:val="231F20"/>
          <w:spacing w:val="-5"/>
          <w:w w:val="110"/>
        </w:rPr>
        <w:t> </w:t>
      </w:r>
      <w:r>
        <w:rPr>
          <w:color w:val="231F20"/>
          <w:w w:val="110"/>
        </w:rPr>
        <w:t>dimensiones</w:t>
      </w:r>
      <w:r>
        <w:rPr>
          <w:color w:val="231F20"/>
          <w:spacing w:val="-5"/>
          <w:w w:val="110"/>
        </w:rPr>
        <w:t> </w:t>
      </w:r>
      <w:r>
        <w:rPr>
          <w:color w:val="231F20"/>
          <w:w w:val="110"/>
        </w:rPr>
        <w:t>analíticas</w:t>
      </w:r>
      <w:r>
        <w:rPr>
          <w:color w:val="231F20"/>
          <w:spacing w:val="-5"/>
          <w:w w:val="110"/>
        </w:rPr>
        <w:t> </w:t>
      </w:r>
      <w:r>
        <w:rPr>
          <w:color w:val="231F20"/>
          <w:w w:val="110"/>
        </w:rPr>
        <w:t>rele- vantes para el análisis de la coyuntura social, económica y política de las sociedades en que vivimos, como la dinámica de las familias y los hogares y las políticas y programas públicos, pocas veces son puestas a dialogar desde</w:t>
      </w:r>
      <w:r>
        <w:rPr>
          <w:color w:val="231F20"/>
          <w:spacing w:val="-13"/>
          <w:w w:val="110"/>
        </w:rPr>
        <w:t> </w:t>
      </w:r>
      <w:r>
        <w:rPr>
          <w:color w:val="231F20"/>
          <w:w w:val="110"/>
        </w:rPr>
        <w:t>perspectivas</w:t>
      </w:r>
      <w:r>
        <w:rPr>
          <w:color w:val="231F20"/>
          <w:spacing w:val="-13"/>
          <w:w w:val="110"/>
        </w:rPr>
        <w:t> </w:t>
      </w:r>
      <w:r>
        <w:rPr>
          <w:color w:val="231F20"/>
          <w:w w:val="110"/>
        </w:rPr>
        <w:t>que</w:t>
      </w:r>
      <w:r>
        <w:rPr>
          <w:color w:val="231F20"/>
          <w:spacing w:val="-13"/>
          <w:w w:val="110"/>
        </w:rPr>
        <w:t> </w:t>
      </w:r>
      <w:r>
        <w:rPr>
          <w:color w:val="231F20"/>
          <w:w w:val="110"/>
        </w:rPr>
        <w:t>busquen</w:t>
      </w:r>
      <w:r>
        <w:rPr>
          <w:color w:val="231F20"/>
          <w:spacing w:val="-13"/>
          <w:w w:val="110"/>
        </w:rPr>
        <w:t> </w:t>
      </w:r>
      <w:r>
        <w:rPr>
          <w:color w:val="231F20"/>
          <w:w w:val="110"/>
        </w:rPr>
        <w:t>vincularlas</w:t>
      </w:r>
      <w:r>
        <w:rPr>
          <w:color w:val="231F20"/>
          <w:spacing w:val="-13"/>
          <w:w w:val="110"/>
        </w:rPr>
        <w:t> </w:t>
      </w:r>
      <w:r>
        <w:rPr>
          <w:color w:val="231F20"/>
          <w:w w:val="110"/>
        </w:rPr>
        <w:t>y</w:t>
      </w:r>
      <w:r>
        <w:rPr>
          <w:color w:val="231F20"/>
          <w:spacing w:val="-13"/>
          <w:w w:val="110"/>
        </w:rPr>
        <w:t> </w:t>
      </w:r>
      <w:r>
        <w:rPr>
          <w:color w:val="231F20"/>
          <w:w w:val="110"/>
        </w:rPr>
        <w:t>discutirlas</w:t>
      </w:r>
      <w:r>
        <w:rPr>
          <w:color w:val="231F20"/>
          <w:spacing w:val="-13"/>
          <w:w w:val="110"/>
        </w:rPr>
        <w:t> </w:t>
      </w:r>
      <w:r>
        <w:rPr>
          <w:color w:val="231F20"/>
          <w:w w:val="110"/>
        </w:rPr>
        <w:t>teórica,</w:t>
      </w:r>
      <w:r>
        <w:rPr>
          <w:color w:val="231F20"/>
          <w:spacing w:val="-13"/>
          <w:w w:val="110"/>
        </w:rPr>
        <w:t> </w:t>
      </w:r>
      <w:r>
        <w:rPr>
          <w:color w:val="231F20"/>
          <w:w w:val="110"/>
        </w:rPr>
        <w:t>epistemo- lógica y metodológicamente. La trascendencia de un esfuerzo de estas ca- racterísticas radica fundamentalmente en la necesidad de revisar</w:t>
      </w:r>
      <w:r>
        <w:rPr>
          <w:color w:val="231F20"/>
          <w:spacing w:val="-18"/>
          <w:w w:val="110"/>
        </w:rPr>
        <w:t> </w:t>
      </w:r>
      <w:r>
        <w:rPr>
          <w:color w:val="231F20"/>
          <w:w w:val="110"/>
        </w:rPr>
        <w:t>continua y</w:t>
      </w:r>
      <w:r>
        <w:rPr>
          <w:color w:val="231F20"/>
          <w:spacing w:val="-7"/>
          <w:w w:val="110"/>
        </w:rPr>
        <w:t> </w:t>
      </w:r>
      <w:r>
        <w:rPr>
          <w:color w:val="231F20"/>
          <w:w w:val="110"/>
        </w:rPr>
        <w:t>sistemáticamente</w:t>
      </w:r>
      <w:r>
        <w:rPr>
          <w:color w:val="231F20"/>
          <w:spacing w:val="-7"/>
          <w:w w:val="110"/>
        </w:rPr>
        <w:t> </w:t>
      </w:r>
      <w:r>
        <w:rPr>
          <w:color w:val="231F20"/>
          <w:w w:val="110"/>
        </w:rPr>
        <w:t>las</w:t>
      </w:r>
      <w:r>
        <w:rPr>
          <w:color w:val="231F20"/>
          <w:spacing w:val="-7"/>
          <w:w w:val="110"/>
        </w:rPr>
        <w:t> </w:t>
      </w:r>
      <w:r>
        <w:rPr>
          <w:color w:val="231F20"/>
          <w:w w:val="110"/>
        </w:rPr>
        <w:t>categorías</w:t>
      </w:r>
      <w:r>
        <w:rPr>
          <w:color w:val="231F20"/>
          <w:spacing w:val="-7"/>
          <w:w w:val="110"/>
        </w:rPr>
        <w:t> </w:t>
      </w:r>
      <w:r>
        <w:rPr>
          <w:color w:val="231F20"/>
          <w:w w:val="110"/>
        </w:rPr>
        <w:t>de</w:t>
      </w:r>
      <w:r>
        <w:rPr>
          <w:color w:val="231F20"/>
          <w:spacing w:val="-7"/>
          <w:w w:val="110"/>
        </w:rPr>
        <w:t> </w:t>
      </w:r>
      <w:r>
        <w:rPr>
          <w:color w:val="231F20"/>
          <w:w w:val="110"/>
        </w:rPr>
        <w:t>análisis</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realidad</w:t>
      </w:r>
      <w:r>
        <w:rPr>
          <w:color w:val="231F20"/>
          <w:spacing w:val="-7"/>
          <w:w w:val="110"/>
        </w:rPr>
        <w:t> </w:t>
      </w:r>
      <w:r>
        <w:rPr>
          <w:color w:val="231F20"/>
          <w:w w:val="110"/>
        </w:rPr>
        <w:t>que</w:t>
      </w:r>
      <w:r>
        <w:rPr>
          <w:color w:val="231F20"/>
          <w:spacing w:val="-7"/>
          <w:w w:val="110"/>
        </w:rPr>
        <w:t> </w:t>
      </w:r>
      <w:r>
        <w:rPr>
          <w:color w:val="231F20"/>
          <w:w w:val="110"/>
        </w:rPr>
        <w:t>estudiamos </w:t>
      </w:r>
      <w:r>
        <w:rPr>
          <w:color w:val="231F20"/>
          <w:spacing w:val="2"/>
          <w:w w:val="110"/>
        </w:rPr>
        <w:t>para asegurarnos </w:t>
      </w:r>
      <w:r>
        <w:rPr>
          <w:color w:val="231F20"/>
          <w:w w:val="110"/>
        </w:rPr>
        <w:t>una </w:t>
      </w:r>
      <w:r>
        <w:rPr>
          <w:color w:val="231F20"/>
          <w:spacing w:val="2"/>
          <w:w w:val="110"/>
        </w:rPr>
        <w:t>captación, medición </w:t>
      </w:r>
      <w:r>
        <w:rPr>
          <w:color w:val="231F20"/>
          <w:w w:val="110"/>
        </w:rPr>
        <w:t>y </w:t>
      </w:r>
      <w:r>
        <w:rPr>
          <w:color w:val="231F20"/>
          <w:spacing w:val="2"/>
          <w:w w:val="110"/>
        </w:rPr>
        <w:t>teorización idónea </w:t>
      </w:r>
      <w:r>
        <w:rPr>
          <w:color w:val="231F20"/>
          <w:w w:val="110"/>
        </w:rPr>
        <w:t>de esa realidad, que se armonice además con las transformaciones que ella sufre. Esa es una de las principales virtudes de los trabajos que componen este libro; el afán por analizar diversos aspectos de la vida familiar en México poniendo</w:t>
      </w:r>
      <w:r>
        <w:rPr>
          <w:color w:val="231F20"/>
          <w:spacing w:val="-12"/>
          <w:w w:val="110"/>
        </w:rPr>
        <w:t> </w:t>
      </w:r>
      <w:r>
        <w:rPr>
          <w:color w:val="231F20"/>
          <w:w w:val="110"/>
        </w:rPr>
        <w:t>a</w:t>
      </w:r>
      <w:r>
        <w:rPr>
          <w:color w:val="231F20"/>
          <w:spacing w:val="-12"/>
          <w:w w:val="110"/>
        </w:rPr>
        <w:t> </w:t>
      </w:r>
      <w:r>
        <w:rPr>
          <w:color w:val="231F20"/>
          <w:w w:val="110"/>
        </w:rPr>
        <w:t>discutir</w:t>
      </w:r>
      <w:r>
        <w:rPr>
          <w:color w:val="231F20"/>
          <w:spacing w:val="-12"/>
          <w:w w:val="110"/>
        </w:rPr>
        <w:t> </w:t>
      </w:r>
      <w:r>
        <w:rPr>
          <w:color w:val="231F20"/>
          <w:w w:val="110"/>
        </w:rPr>
        <w:t>en</w:t>
      </w:r>
      <w:r>
        <w:rPr>
          <w:color w:val="231F20"/>
          <w:spacing w:val="-12"/>
          <w:w w:val="110"/>
        </w:rPr>
        <w:t> </w:t>
      </w:r>
      <w:r>
        <w:rPr>
          <w:color w:val="231F20"/>
          <w:w w:val="110"/>
        </w:rPr>
        <w:t>ese</w:t>
      </w:r>
      <w:r>
        <w:rPr>
          <w:color w:val="231F20"/>
          <w:spacing w:val="-12"/>
          <w:w w:val="110"/>
        </w:rPr>
        <w:t> </w:t>
      </w:r>
      <w:r>
        <w:rPr>
          <w:color w:val="231F20"/>
          <w:w w:val="110"/>
        </w:rPr>
        <w:t>análisis,</w:t>
      </w:r>
      <w:r>
        <w:rPr>
          <w:color w:val="231F20"/>
          <w:spacing w:val="-12"/>
          <w:w w:val="110"/>
        </w:rPr>
        <w:t> </w:t>
      </w:r>
      <w:r>
        <w:rPr>
          <w:color w:val="231F20"/>
          <w:w w:val="110"/>
        </w:rPr>
        <w:t>la</w:t>
      </w:r>
      <w:r>
        <w:rPr>
          <w:color w:val="231F20"/>
          <w:spacing w:val="-12"/>
          <w:w w:val="110"/>
        </w:rPr>
        <w:t> </w:t>
      </w:r>
      <w:r>
        <w:rPr>
          <w:color w:val="231F20"/>
          <w:w w:val="110"/>
        </w:rPr>
        <w:t>forma</w:t>
      </w:r>
      <w:r>
        <w:rPr>
          <w:color w:val="231F20"/>
          <w:spacing w:val="-12"/>
          <w:w w:val="110"/>
        </w:rPr>
        <w:t> </w:t>
      </w:r>
      <w:r>
        <w:rPr>
          <w:color w:val="231F20"/>
          <w:w w:val="110"/>
        </w:rPr>
        <w:t>en</w:t>
      </w:r>
      <w:r>
        <w:rPr>
          <w:color w:val="231F20"/>
          <w:spacing w:val="-12"/>
          <w:w w:val="110"/>
        </w:rPr>
        <w:t> </w:t>
      </w:r>
      <w:r>
        <w:rPr>
          <w:color w:val="231F20"/>
          <w:w w:val="110"/>
        </w:rPr>
        <w:t>que</w:t>
      </w:r>
      <w:r>
        <w:rPr>
          <w:color w:val="231F20"/>
          <w:spacing w:val="-12"/>
          <w:w w:val="110"/>
        </w:rPr>
        <w:t> </w:t>
      </w:r>
      <w:r>
        <w:rPr>
          <w:color w:val="231F20"/>
          <w:w w:val="110"/>
        </w:rPr>
        <w:t>familia</w:t>
      </w:r>
      <w:r>
        <w:rPr>
          <w:color w:val="231F20"/>
          <w:spacing w:val="-12"/>
          <w:w w:val="110"/>
        </w:rPr>
        <w:t> </w:t>
      </w:r>
      <w:r>
        <w:rPr>
          <w:color w:val="231F20"/>
          <w:w w:val="110"/>
        </w:rPr>
        <w:t>y</w:t>
      </w:r>
      <w:r>
        <w:rPr>
          <w:color w:val="231F20"/>
          <w:spacing w:val="-12"/>
          <w:w w:val="110"/>
        </w:rPr>
        <w:t> </w:t>
      </w:r>
      <w:r>
        <w:rPr>
          <w:color w:val="231F20"/>
          <w:w w:val="110"/>
        </w:rPr>
        <w:t>política</w:t>
      </w:r>
      <w:r>
        <w:rPr>
          <w:color w:val="231F20"/>
          <w:spacing w:val="-12"/>
          <w:w w:val="110"/>
        </w:rPr>
        <w:t> </w:t>
      </w:r>
      <w:r>
        <w:rPr>
          <w:color w:val="231F20"/>
          <w:w w:val="110"/>
        </w:rPr>
        <w:t>pública se</w:t>
      </w:r>
      <w:r>
        <w:rPr>
          <w:color w:val="231F20"/>
          <w:spacing w:val="16"/>
          <w:w w:val="110"/>
        </w:rPr>
        <w:t> </w:t>
      </w:r>
      <w:r>
        <w:rPr>
          <w:color w:val="231F20"/>
          <w:w w:val="110"/>
        </w:rPr>
        <w:t>relacionan.</w:t>
      </w:r>
    </w:p>
    <w:p>
      <w:pPr>
        <w:pStyle w:val="BodyText"/>
        <w:spacing w:line="288" w:lineRule="auto"/>
        <w:ind w:left="100" w:right="118" w:firstLine="360"/>
        <w:jc w:val="both"/>
      </w:pPr>
      <w:r>
        <w:rPr>
          <w:color w:val="231F20"/>
          <w:w w:val="110"/>
        </w:rPr>
        <w:t>Pero, ¿cómo se entiende esa relación entre familia y política pública? En términos de estricta medición y desde una aproximación</w:t>
      </w:r>
      <w:r>
        <w:rPr>
          <w:color w:val="231F20"/>
          <w:spacing w:val="-16"/>
          <w:w w:val="110"/>
        </w:rPr>
        <w:t> </w:t>
      </w:r>
      <w:r>
        <w:rPr>
          <w:color w:val="231F20"/>
          <w:w w:val="110"/>
        </w:rPr>
        <w:t>metodológica, es una relación a la que nos podemos aproximar considerando la cantidad y las características de las políticas públicas para las familias que existen en nuestro país, es </w:t>
      </w:r>
      <w:r>
        <w:rPr>
          <w:color w:val="231F20"/>
          <w:spacing w:val="-3"/>
          <w:w w:val="110"/>
        </w:rPr>
        <w:t>decir, </w:t>
      </w:r>
      <w:r>
        <w:rPr>
          <w:color w:val="231F20"/>
          <w:w w:val="110"/>
        </w:rPr>
        <w:t>que puede pensarse como un indicador sobre la capacidad del Estado para dar respuesta a las condiciones de vida de las familias. En términos teóricos más rigurosos, ese vínculo implica descom- poner los elementos constitutivos de cada parte de la relación: el valor atribuido a la familia en nuestra sociedad, el significado de pertenecer a una unidad familiar, las distintivas y heterogéneas características de com- </w:t>
      </w:r>
      <w:r>
        <w:rPr>
          <w:color w:val="231F20"/>
          <w:spacing w:val="2"/>
          <w:w w:val="110"/>
        </w:rPr>
        <w:t>posición,</w:t>
      </w:r>
      <w:r>
        <w:rPr>
          <w:color w:val="231F20"/>
          <w:spacing w:val="32"/>
          <w:w w:val="110"/>
        </w:rPr>
        <w:t> </w:t>
      </w:r>
      <w:r>
        <w:rPr>
          <w:color w:val="231F20"/>
          <w:spacing w:val="2"/>
          <w:w w:val="110"/>
        </w:rPr>
        <w:t>estructura</w:t>
      </w:r>
      <w:r>
        <w:rPr>
          <w:color w:val="231F20"/>
          <w:spacing w:val="32"/>
          <w:w w:val="110"/>
        </w:rPr>
        <w:t> </w:t>
      </w:r>
      <w:r>
        <w:rPr>
          <w:color w:val="231F20"/>
          <w:w w:val="110"/>
        </w:rPr>
        <w:t>y</w:t>
      </w:r>
      <w:r>
        <w:rPr>
          <w:color w:val="231F20"/>
          <w:spacing w:val="32"/>
          <w:w w:val="110"/>
        </w:rPr>
        <w:t> </w:t>
      </w:r>
      <w:r>
        <w:rPr>
          <w:color w:val="231F20"/>
          <w:spacing w:val="2"/>
          <w:w w:val="110"/>
        </w:rPr>
        <w:t>funcionamiento</w:t>
      </w:r>
      <w:r>
        <w:rPr>
          <w:color w:val="231F20"/>
          <w:spacing w:val="32"/>
          <w:w w:val="110"/>
        </w:rPr>
        <w:t> </w:t>
      </w:r>
      <w:r>
        <w:rPr>
          <w:color w:val="231F20"/>
          <w:w w:val="110"/>
        </w:rPr>
        <w:t>que</w:t>
      </w:r>
      <w:r>
        <w:rPr>
          <w:color w:val="231F20"/>
          <w:spacing w:val="32"/>
          <w:w w:val="110"/>
        </w:rPr>
        <w:t> </w:t>
      </w:r>
      <w:r>
        <w:rPr>
          <w:color w:val="231F20"/>
          <w:spacing w:val="2"/>
          <w:w w:val="110"/>
        </w:rPr>
        <w:t>adquieren</w:t>
      </w:r>
      <w:r>
        <w:rPr>
          <w:color w:val="231F20"/>
          <w:spacing w:val="32"/>
          <w:w w:val="110"/>
        </w:rPr>
        <w:t> </w:t>
      </w:r>
      <w:r>
        <w:rPr>
          <w:color w:val="231F20"/>
          <w:w w:val="110"/>
        </w:rPr>
        <w:t>las</w:t>
      </w:r>
      <w:r>
        <w:rPr>
          <w:color w:val="231F20"/>
          <w:spacing w:val="32"/>
          <w:w w:val="110"/>
        </w:rPr>
        <w:t> </w:t>
      </w:r>
      <w:r>
        <w:rPr>
          <w:color w:val="231F20"/>
          <w:spacing w:val="2"/>
          <w:w w:val="110"/>
        </w:rPr>
        <w:t>familias</w:t>
      </w:r>
      <w:r>
        <w:rPr>
          <w:color w:val="231F20"/>
          <w:spacing w:val="32"/>
          <w:w w:val="110"/>
        </w:rPr>
        <w:t> </w:t>
      </w:r>
      <w:r>
        <w:rPr>
          <w:color w:val="231F20"/>
          <w:w w:val="110"/>
        </w:rPr>
        <w:t>y</w:t>
      </w:r>
      <w:r>
        <w:rPr>
          <w:color w:val="231F20"/>
          <w:spacing w:val="32"/>
          <w:w w:val="110"/>
        </w:rPr>
        <w:t> </w:t>
      </w:r>
      <w:r>
        <w:rPr>
          <w:color w:val="231F20"/>
          <w:w w:val="110"/>
        </w:rPr>
        <w:t>los</w:t>
      </w:r>
    </w:p>
    <w:p>
      <w:pPr>
        <w:pStyle w:val="BodyText"/>
        <w:spacing w:before="3"/>
        <w:rPr>
          <w:sz w:val="22"/>
        </w:rPr>
      </w:pPr>
    </w:p>
    <w:p>
      <w:pPr>
        <w:spacing w:before="75"/>
        <w:ind w:left="0" w:right="19" w:firstLine="0"/>
        <w:jc w:val="center"/>
        <w:rPr>
          <w:rFonts w:ascii="Calibri"/>
          <w:i/>
          <w:sz w:val="16"/>
        </w:rPr>
      </w:pPr>
      <w:r>
        <w:rPr>
          <w:rFonts w:ascii="Calibri"/>
          <w:i/>
          <w:color w:val="231F20"/>
          <w:w w:val="83"/>
          <w:sz w:val="16"/>
        </w:rPr>
        <w:t>5</w:t>
      </w:r>
    </w:p>
    <w:p>
      <w:pPr>
        <w:spacing w:after="0"/>
        <w:jc w:val="center"/>
        <w:rPr>
          <w:rFonts w:ascii="Calibri"/>
          <w:sz w:val="16"/>
        </w:rPr>
        <w:sectPr>
          <w:pgSz w:w="9520" w:h="12920"/>
          <w:pgMar w:top="1220" w:bottom="280" w:left="1020" w:right="1320"/>
        </w:sectPr>
      </w:pPr>
    </w:p>
    <w:p>
      <w:pPr>
        <w:pStyle w:val="BodyText"/>
        <w:spacing w:line="288" w:lineRule="auto" w:before="42"/>
        <w:ind w:left="124" w:right="112"/>
        <w:jc w:val="both"/>
      </w:pPr>
      <w:r>
        <w:rPr>
          <w:color w:val="231F20"/>
          <w:w w:val="110"/>
        </w:rPr>
        <w:t>hogares, los cambios y transformaciones que sufren esas estructuras, el origen y las coyunturas políticas e históricas en que surgen las políticas públicas destinadas a las familias, la capacidad de respuesta y adaptación que tienen.</w:t>
      </w:r>
    </w:p>
    <w:p>
      <w:pPr>
        <w:pStyle w:val="BodyText"/>
        <w:spacing w:line="288" w:lineRule="auto"/>
        <w:ind w:left="124" w:right="113" w:firstLine="360"/>
        <w:jc w:val="both"/>
      </w:pPr>
      <w:r>
        <w:rPr>
          <w:color w:val="231F20"/>
          <w:w w:val="110"/>
        </w:rPr>
        <w:t>Este análisis es el que articuló el trabajo de investigación que se plas- ma en el libro que ahora leemos, partiendo del interés general de avanzar en el estudio de las formas de organización y funcionamiento de las fami- lias en la entidad mexiquense, con el interés de discutir las diversas moda- lidades en que estas unidades se han constituido a través del tiempo des- tacando tres dimensiones sociales básicas en el desarrollo de la familia: la educación, la salud y el trabajo.</w:t>
      </w:r>
    </w:p>
    <w:p>
      <w:pPr>
        <w:pStyle w:val="BodyText"/>
        <w:spacing w:line="288" w:lineRule="auto"/>
        <w:ind w:left="124" w:right="113" w:firstLine="360"/>
        <w:jc w:val="both"/>
      </w:pPr>
      <w:r>
        <w:rPr>
          <w:color w:val="231F20"/>
          <w:spacing w:val="2"/>
          <w:w w:val="110"/>
        </w:rPr>
        <w:t>Así, </w:t>
      </w:r>
      <w:r>
        <w:rPr>
          <w:color w:val="231F20"/>
          <w:w w:val="110"/>
        </w:rPr>
        <w:t>el </w:t>
      </w:r>
      <w:r>
        <w:rPr>
          <w:color w:val="231F20"/>
          <w:spacing w:val="2"/>
          <w:w w:val="110"/>
        </w:rPr>
        <w:t>libro </w:t>
      </w:r>
      <w:r>
        <w:rPr>
          <w:color w:val="231F20"/>
          <w:w w:val="110"/>
        </w:rPr>
        <w:t>organiza la </w:t>
      </w:r>
      <w:r>
        <w:rPr>
          <w:color w:val="231F20"/>
          <w:spacing w:val="2"/>
          <w:w w:val="110"/>
        </w:rPr>
        <w:t>discusión </w:t>
      </w:r>
      <w:r>
        <w:rPr>
          <w:color w:val="231F20"/>
          <w:w w:val="110"/>
        </w:rPr>
        <w:t>en </w:t>
      </w:r>
      <w:r>
        <w:rPr>
          <w:color w:val="231F20"/>
          <w:spacing w:val="2"/>
          <w:w w:val="110"/>
        </w:rPr>
        <w:t>ocho atrayentes capítulos </w:t>
      </w:r>
      <w:r>
        <w:rPr>
          <w:color w:val="231F20"/>
          <w:w w:val="110"/>
        </w:rPr>
        <w:t>que realizan</w:t>
      </w:r>
      <w:r>
        <w:rPr>
          <w:color w:val="231F20"/>
          <w:spacing w:val="-5"/>
          <w:w w:val="110"/>
        </w:rPr>
        <w:t> </w:t>
      </w:r>
      <w:r>
        <w:rPr>
          <w:color w:val="231F20"/>
          <w:w w:val="110"/>
        </w:rPr>
        <w:t>un</w:t>
      </w:r>
      <w:r>
        <w:rPr>
          <w:color w:val="231F20"/>
          <w:spacing w:val="-5"/>
          <w:w w:val="110"/>
        </w:rPr>
        <w:t> </w:t>
      </w:r>
      <w:r>
        <w:rPr>
          <w:color w:val="231F20"/>
          <w:w w:val="110"/>
        </w:rPr>
        <w:t>recorrido</w:t>
      </w:r>
      <w:r>
        <w:rPr>
          <w:color w:val="231F20"/>
          <w:spacing w:val="-5"/>
          <w:w w:val="110"/>
        </w:rPr>
        <w:t> </w:t>
      </w:r>
      <w:r>
        <w:rPr>
          <w:color w:val="231F20"/>
          <w:w w:val="110"/>
        </w:rPr>
        <w:t>por</w:t>
      </w:r>
      <w:r>
        <w:rPr>
          <w:color w:val="231F20"/>
          <w:spacing w:val="-5"/>
          <w:w w:val="110"/>
        </w:rPr>
        <w:t> </w:t>
      </w:r>
      <w:r>
        <w:rPr>
          <w:color w:val="231F20"/>
          <w:w w:val="110"/>
        </w:rPr>
        <w:t>la</w:t>
      </w:r>
      <w:r>
        <w:rPr>
          <w:color w:val="231F20"/>
          <w:spacing w:val="-5"/>
          <w:w w:val="110"/>
        </w:rPr>
        <w:t> </w:t>
      </w:r>
      <w:r>
        <w:rPr>
          <w:color w:val="231F20"/>
          <w:w w:val="110"/>
        </w:rPr>
        <w:t>situación</w:t>
      </w:r>
      <w:r>
        <w:rPr>
          <w:color w:val="231F20"/>
          <w:spacing w:val="-5"/>
          <w:w w:val="110"/>
        </w:rPr>
        <w:t> </w:t>
      </w:r>
      <w:r>
        <w:rPr>
          <w:color w:val="231F20"/>
          <w:w w:val="110"/>
        </w:rPr>
        <w:t>actual</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vida</w:t>
      </w:r>
      <w:r>
        <w:rPr>
          <w:color w:val="231F20"/>
          <w:spacing w:val="-5"/>
          <w:w w:val="110"/>
        </w:rPr>
        <w:t> </w:t>
      </w:r>
      <w:r>
        <w:rPr>
          <w:color w:val="231F20"/>
          <w:w w:val="110"/>
        </w:rPr>
        <w:t>familiar</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Estado de México desde distintas perspectivas, que van desde la discusión teóri- co-metodológica de la forma en que ha cambiado el concepto de familia, la incidencia que han tenido y dejado de tener las políticas públicas en el ámbito</w:t>
      </w:r>
      <w:r>
        <w:rPr>
          <w:color w:val="231F20"/>
          <w:spacing w:val="-10"/>
          <w:w w:val="110"/>
        </w:rPr>
        <w:t> </w:t>
      </w:r>
      <w:r>
        <w:rPr>
          <w:color w:val="231F20"/>
          <w:w w:val="110"/>
        </w:rPr>
        <w:t>familiar,</w:t>
      </w:r>
      <w:r>
        <w:rPr>
          <w:color w:val="231F20"/>
          <w:spacing w:val="-10"/>
          <w:w w:val="110"/>
        </w:rPr>
        <w:t> </w:t>
      </w:r>
      <w:r>
        <w:rPr>
          <w:color w:val="231F20"/>
          <w:w w:val="110"/>
        </w:rPr>
        <w:t>la</w:t>
      </w:r>
      <w:r>
        <w:rPr>
          <w:color w:val="231F20"/>
          <w:spacing w:val="-10"/>
          <w:w w:val="110"/>
        </w:rPr>
        <w:t> </w:t>
      </w:r>
      <w:r>
        <w:rPr>
          <w:color w:val="231F20"/>
          <w:w w:val="110"/>
        </w:rPr>
        <w:t>vinculación</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dinámica</w:t>
      </w:r>
      <w:r>
        <w:rPr>
          <w:color w:val="231F20"/>
          <w:spacing w:val="-10"/>
          <w:w w:val="110"/>
        </w:rPr>
        <w:t> </w:t>
      </w:r>
      <w:r>
        <w:rPr>
          <w:color w:val="231F20"/>
          <w:w w:val="110"/>
        </w:rPr>
        <w:t>familiar</w:t>
      </w:r>
      <w:r>
        <w:rPr>
          <w:color w:val="231F20"/>
          <w:spacing w:val="-10"/>
          <w:w w:val="110"/>
        </w:rPr>
        <w:t> </w:t>
      </w:r>
      <w:r>
        <w:rPr>
          <w:color w:val="231F20"/>
          <w:w w:val="110"/>
        </w:rPr>
        <w:t>con</w:t>
      </w:r>
      <w:r>
        <w:rPr>
          <w:color w:val="231F20"/>
          <w:spacing w:val="-10"/>
          <w:w w:val="110"/>
        </w:rPr>
        <w:t> </w:t>
      </w:r>
      <w:r>
        <w:rPr>
          <w:color w:val="231F20"/>
          <w:w w:val="110"/>
        </w:rPr>
        <w:t>la</w:t>
      </w:r>
      <w:r>
        <w:rPr>
          <w:color w:val="231F20"/>
          <w:spacing w:val="-10"/>
          <w:w w:val="110"/>
        </w:rPr>
        <w:t> </w:t>
      </w:r>
      <w:r>
        <w:rPr>
          <w:color w:val="231F20"/>
          <w:w w:val="110"/>
        </w:rPr>
        <w:t>dinámica</w:t>
      </w:r>
      <w:r>
        <w:rPr>
          <w:color w:val="231F20"/>
          <w:spacing w:val="-10"/>
          <w:w w:val="110"/>
        </w:rPr>
        <w:t> </w:t>
      </w:r>
      <w:r>
        <w:rPr>
          <w:color w:val="231F20"/>
          <w:w w:val="110"/>
        </w:rPr>
        <w:t>labo- ral, las transformaciones que ha sufrido la formación familiar y las carac- terísticas que tiene en nuestros días, la forma en que la unión conyugal incide en las posibilidades de acceder a la educación y al empleo en los jóvenes, las obligadas reconfiguraciones a que se ve sometida la unidad familiar ante la migración, pasando por el análisis de la familia campesina y la autosuficiencia alimentaria y la realidad del envejecimiento y la</w:t>
      </w:r>
      <w:r>
        <w:rPr>
          <w:color w:val="231F20"/>
          <w:spacing w:val="-9"/>
          <w:w w:val="110"/>
        </w:rPr>
        <w:t> </w:t>
      </w:r>
      <w:r>
        <w:rPr>
          <w:color w:val="231F20"/>
          <w:w w:val="110"/>
        </w:rPr>
        <w:t>vulne- rabilidad y desigualdad que se asocian con este </w:t>
      </w:r>
      <w:r>
        <w:rPr>
          <w:color w:val="231F20"/>
          <w:spacing w:val="26"/>
          <w:w w:val="110"/>
        </w:rPr>
        <w:t> </w:t>
      </w:r>
      <w:r>
        <w:rPr>
          <w:color w:val="231F20"/>
          <w:w w:val="110"/>
        </w:rPr>
        <w:t>fenómeno.</w:t>
      </w:r>
    </w:p>
    <w:p>
      <w:pPr>
        <w:pStyle w:val="BodyText"/>
        <w:spacing w:line="288" w:lineRule="auto"/>
        <w:ind w:left="124" w:right="112" w:firstLine="360"/>
        <w:jc w:val="both"/>
      </w:pPr>
      <w:r>
        <w:rPr>
          <w:color w:val="231F20"/>
          <w:w w:val="110"/>
        </w:rPr>
        <w:t>En cada uno de estos trabajos, los autores convergen en un mismo señalamiento: la necesidad e importancia de recuperar la relevancia de discutir el vínculo entre familia y política pública y hacerlo desde miradas teóricas penetrantes.</w:t>
      </w:r>
    </w:p>
    <w:p>
      <w:pPr>
        <w:pStyle w:val="BodyText"/>
        <w:spacing w:line="288" w:lineRule="auto"/>
        <w:ind w:left="124" w:right="111" w:firstLine="360"/>
        <w:jc w:val="both"/>
      </w:pPr>
      <w:r>
        <w:rPr>
          <w:color w:val="231F20"/>
          <w:w w:val="110"/>
        </w:rPr>
        <w:t>Es innegable reconocer que desde hace ya varias décadas y por diver- sas razones, desde las importantes y rápidas transformaciones que han tenido hasta el papel destacado que detentan como institución social, las </w:t>
      </w:r>
      <w:r>
        <w:rPr>
          <w:color w:val="231F20"/>
          <w:spacing w:val="-4"/>
          <w:w w:val="110"/>
        </w:rPr>
        <w:t>familias </w:t>
      </w:r>
      <w:r>
        <w:rPr>
          <w:color w:val="231F20"/>
          <w:spacing w:val="-3"/>
          <w:w w:val="110"/>
        </w:rPr>
        <w:t>han </w:t>
      </w:r>
      <w:r>
        <w:rPr>
          <w:color w:val="231F20"/>
          <w:spacing w:val="-4"/>
          <w:w w:val="110"/>
        </w:rPr>
        <w:t>ocupado </w:t>
      </w:r>
      <w:r>
        <w:rPr>
          <w:color w:val="231F20"/>
          <w:w w:val="110"/>
        </w:rPr>
        <w:t>un </w:t>
      </w:r>
      <w:r>
        <w:rPr>
          <w:color w:val="231F20"/>
          <w:spacing w:val="-4"/>
          <w:w w:val="110"/>
        </w:rPr>
        <w:t>punto neurálgico </w:t>
      </w:r>
      <w:r>
        <w:rPr>
          <w:color w:val="231F20"/>
          <w:w w:val="110"/>
        </w:rPr>
        <w:t>en la </w:t>
      </w:r>
      <w:r>
        <w:rPr>
          <w:color w:val="231F20"/>
          <w:spacing w:val="-4"/>
          <w:w w:val="110"/>
        </w:rPr>
        <w:t>discusión </w:t>
      </w:r>
      <w:r>
        <w:rPr>
          <w:color w:val="231F20"/>
          <w:w w:val="110"/>
        </w:rPr>
        <w:t>de </w:t>
      </w:r>
      <w:r>
        <w:rPr>
          <w:color w:val="231F20"/>
          <w:spacing w:val="-3"/>
          <w:w w:val="110"/>
        </w:rPr>
        <w:t>las </w:t>
      </w:r>
      <w:r>
        <w:rPr>
          <w:color w:val="231F20"/>
          <w:spacing w:val="-4"/>
          <w:w w:val="110"/>
        </w:rPr>
        <w:t>ciencias </w:t>
      </w:r>
      <w:r>
        <w:rPr>
          <w:color w:val="231F20"/>
          <w:w w:val="110"/>
        </w:rPr>
        <w:t>so- ciales. Sin embargo, y a pesar del creciente análisis crítico sobre la unidad familiar, aún persisten espacios poco conocidos sobre esta entidad, como la incidencia de cada sociedad en la configuración, conceptualización y aceptación de los cambios familiares o el estudio de los factores que    con-</w:t>
      </w:r>
    </w:p>
    <w:p>
      <w:pPr>
        <w:spacing w:after="0" w:line="288" w:lineRule="auto"/>
        <w:jc w:val="both"/>
        <w:sectPr>
          <w:footerReference w:type="even" r:id="rId8"/>
          <w:footerReference w:type="default" r:id="rId9"/>
          <w:pgSz w:w="9520" w:h="12920"/>
          <w:pgMar w:footer="1344" w:header="0" w:top="880" w:bottom="1540" w:left="1320" w:right="1000"/>
          <w:pgNumType w:start="6"/>
        </w:sectPr>
      </w:pPr>
    </w:p>
    <w:p>
      <w:pPr>
        <w:pStyle w:val="BodyText"/>
        <w:spacing w:line="288" w:lineRule="auto" w:before="42"/>
        <w:ind w:left="100" w:right="118"/>
        <w:jc w:val="both"/>
      </w:pPr>
      <w:r>
        <w:rPr>
          <w:color w:val="231F20"/>
          <w:w w:val="110"/>
        </w:rPr>
        <w:t>tribuyen al entendimiento y explicación de dichos cambios, o la discusión teórica de la vinculación de la familia como categoría de análisis con otras </w:t>
      </w:r>
      <w:r>
        <w:rPr>
          <w:color w:val="231F20"/>
          <w:spacing w:val="-4"/>
          <w:w w:val="110"/>
        </w:rPr>
        <w:t>categorías analíticas, </w:t>
      </w:r>
      <w:r>
        <w:rPr>
          <w:color w:val="231F20"/>
          <w:w w:val="110"/>
        </w:rPr>
        <w:t>e </w:t>
      </w:r>
      <w:r>
        <w:rPr>
          <w:color w:val="231F20"/>
          <w:spacing w:val="-4"/>
          <w:w w:val="110"/>
        </w:rPr>
        <w:t>incluso </w:t>
      </w:r>
      <w:r>
        <w:rPr>
          <w:color w:val="231F20"/>
          <w:w w:val="110"/>
        </w:rPr>
        <w:t>la </w:t>
      </w:r>
      <w:r>
        <w:rPr>
          <w:color w:val="231F20"/>
          <w:spacing w:val="-4"/>
          <w:w w:val="110"/>
        </w:rPr>
        <w:t>discusión sobre </w:t>
      </w:r>
      <w:r>
        <w:rPr>
          <w:color w:val="231F20"/>
          <w:w w:val="110"/>
        </w:rPr>
        <w:t>el </w:t>
      </w:r>
      <w:r>
        <w:rPr>
          <w:color w:val="231F20"/>
          <w:spacing w:val="-4"/>
          <w:w w:val="110"/>
        </w:rPr>
        <w:t>papel </w:t>
      </w:r>
      <w:r>
        <w:rPr>
          <w:color w:val="231F20"/>
          <w:w w:val="110"/>
        </w:rPr>
        <w:t>de </w:t>
      </w:r>
      <w:r>
        <w:rPr>
          <w:color w:val="231F20"/>
          <w:spacing w:val="-3"/>
          <w:w w:val="110"/>
        </w:rPr>
        <w:t>las </w:t>
      </w:r>
      <w:r>
        <w:rPr>
          <w:color w:val="231F20"/>
          <w:spacing w:val="-4"/>
          <w:w w:val="110"/>
        </w:rPr>
        <w:t>políticas </w:t>
      </w:r>
      <w:r>
        <w:rPr>
          <w:color w:val="231F20"/>
          <w:spacing w:val="-3"/>
          <w:w w:val="110"/>
        </w:rPr>
        <w:t>pú- </w:t>
      </w:r>
      <w:r>
        <w:rPr>
          <w:color w:val="231F20"/>
          <w:w w:val="110"/>
        </w:rPr>
        <w:t>blicas en el desarrollo de la vida familiar.</w:t>
      </w:r>
    </w:p>
    <w:p>
      <w:pPr>
        <w:pStyle w:val="BodyText"/>
        <w:spacing w:line="288" w:lineRule="auto"/>
        <w:ind w:left="100" w:right="118" w:firstLine="360"/>
        <w:jc w:val="both"/>
      </w:pPr>
      <w:r>
        <w:rPr>
          <w:color w:val="231F20"/>
          <w:w w:val="105"/>
        </w:rPr>
        <w:t>¿Qué tanto puede aportar el análisis del vínculo trabajo y política pública, a ampliar el entendimiento de la realidad de las familias en el México  actual?,</w:t>
      </w:r>
    </w:p>
    <w:p>
      <w:pPr>
        <w:pStyle w:val="BodyText"/>
        <w:spacing w:line="288" w:lineRule="auto"/>
        <w:ind w:left="100" w:right="118"/>
        <w:jc w:val="both"/>
      </w:pPr>
      <w:r>
        <w:rPr>
          <w:color w:val="231F20"/>
          <w:w w:val="110"/>
        </w:rPr>
        <w:t>¿qué contribución se realiza mediante el estudio de la posición y relación de ambos términos, al avance teórico y metodológico en el campo de las ciencias sociales?</w:t>
      </w:r>
    </w:p>
    <w:p>
      <w:pPr>
        <w:pStyle w:val="BodyText"/>
        <w:spacing w:line="288" w:lineRule="auto"/>
        <w:ind w:left="100" w:right="117" w:firstLine="360"/>
        <w:jc w:val="both"/>
      </w:pPr>
      <w:r>
        <w:rPr>
          <w:color w:val="231F20"/>
          <w:w w:val="110"/>
        </w:rPr>
        <w:t>Estas preguntas intentan ser respondidas por los 12 autores a través de</w:t>
      </w:r>
      <w:r>
        <w:rPr>
          <w:color w:val="231F20"/>
          <w:spacing w:val="-10"/>
          <w:w w:val="110"/>
        </w:rPr>
        <w:t> </w:t>
      </w:r>
      <w:r>
        <w:rPr>
          <w:color w:val="231F20"/>
          <w:w w:val="110"/>
        </w:rPr>
        <w:t>los</w:t>
      </w:r>
      <w:r>
        <w:rPr>
          <w:color w:val="231F20"/>
          <w:spacing w:val="-10"/>
          <w:w w:val="110"/>
        </w:rPr>
        <w:t> </w:t>
      </w:r>
      <w:r>
        <w:rPr>
          <w:color w:val="231F20"/>
          <w:w w:val="110"/>
        </w:rPr>
        <w:t>ocho</w:t>
      </w:r>
      <w:r>
        <w:rPr>
          <w:color w:val="231F20"/>
          <w:spacing w:val="-10"/>
          <w:w w:val="110"/>
        </w:rPr>
        <w:t> </w:t>
      </w:r>
      <w:r>
        <w:rPr>
          <w:color w:val="231F20"/>
          <w:w w:val="110"/>
        </w:rPr>
        <w:t>capítulos</w:t>
      </w:r>
      <w:r>
        <w:rPr>
          <w:color w:val="231F20"/>
          <w:spacing w:val="-10"/>
          <w:w w:val="110"/>
        </w:rPr>
        <w:t> </w:t>
      </w:r>
      <w:r>
        <w:rPr>
          <w:color w:val="231F20"/>
          <w:w w:val="110"/>
        </w:rPr>
        <w:t>que</w:t>
      </w:r>
      <w:r>
        <w:rPr>
          <w:color w:val="231F20"/>
          <w:spacing w:val="-10"/>
          <w:w w:val="110"/>
        </w:rPr>
        <w:t> </w:t>
      </w:r>
      <w:r>
        <w:rPr>
          <w:color w:val="231F20"/>
          <w:w w:val="110"/>
        </w:rPr>
        <w:t>integran</w:t>
      </w:r>
      <w:r>
        <w:rPr>
          <w:color w:val="231F20"/>
          <w:spacing w:val="-10"/>
          <w:w w:val="110"/>
        </w:rPr>
        <w:t> </w:t>
      </w:r>
      <w:r>
        <w:rPr>
          <w:color w:val="231F20"/>
          <w:w w:val="110"/>
        </w:rPr>
        <w:t>este</w:t>
      </w:r>
      <w:r>
        <w:rPr>
          <w:color w:val="231F20"/>
          <w:spacing w:val="-10"/>
          <w:w w:val="110"/>
        </w:rPr>
        <w:t> </w:t>
      </w:r>
      <w:r>
        <w:rPr>
          <w:color w:val="231F20"/>
          <w:w w:val="110"/>
        </w:rPr>
        <w:t>libro,</w:t>
      </w:r>
      <w:r>
        <w:rPr>
          <w:color w:val="231F20"/>
          <w:spacing w:val="-10"/>
          <w:w w:val="110"/>
        </w:rPr>
        <w:t> </w:t>
      </w:r>
      <w:r>
        <w:rPr>
          <w:color w:val="231F20"/>
          <w:w w:val="110"/>
        </w:rPr>
        <w:t>desde</w:t>
      </w:r>
      <w:r>
        <w:rPr>
          <w:color w:val="231F20"/>
          <w:spacing w:val="-10"/>
          <w:w w:val="110"/>
        </w:rPr>
        <w:t> </w:t>
      </w:r>
      <w:r>
        <w:rPr>
          <w:color w:val="231F20"/>
          <w:w w:val="110"/>
        </w:rPr>
        <w:t>distintas</w:t>
      </w:r>
      <w:r>
        <w:rPr>
          <w:color w:val="231F20"/>
          <w:spacing w:val="-10"/>
          <w:w w:val="110"/>
        </w:rPr>
        <w:t> </w:t>
      </w:r>
      <w:r>
        <w:rPr>
          <w:color w:val="231F20"/>
          <w:w w:val="110"/>
        </w:rPr>
        <w:t>corrientes</w:t>
      </w:r>
      <w:r>
        <w:rPr>
          <w:color w:val="231F20"/>
          <w:spacing w:val="-10"/>
          <w:w w:val="110"/>
        </w:rPr>
        <w:t> </w:t>
      </w:r>
      <w:r>
        <w:rPr>
          <w:color w:val="231F20"/>
          <w:w w:val="110"/>
        </w:rPr>
        <w:t>teó- ricas y con una muy sugestiva y variada propuesta</w:t>
      </w:r>
      <w:r>
        <w:rPr>
          <w:color w:val="231F20"/>
          <w:spacing w:val="45"/>
          <w:w w:val="110"/>
        </w:rPr>
        <w:t> </w:t>
      </w:r>
      <w:r>
        <w:rPr>
          <w:color w:val="231F20"/>
          <w:w w:val="110"/>
        </w:rPr>
        <w:t>teórico-metodológica.</w:t>
      </w:r>
    </w:p>
    <w:p>
      <w:pPr>
        <w:pStyle w:val="BodyText"/>
        <w:spacing w:line="288" w:lineRule="auto"/>
        <w:ind w:left="100" w:right="116" w:firstLine="360"/>
        <w:jc w:val="both"/>
      </w:pPr>
      <w:r>
        <w:rPr>
          <w:color w:val="231F20"/>
          <w:spacing w:val="3"/>
          <w:w w:val="110"/>
        </w:rPr>
        <w:t>La </w:t>
      </w:r>
      <w:r>
        <w:rPr>
          <w:color w:val="231F20"/>
          <w:w w:val="110"/>
        </w:rPr>
        <w:t>forma en que se vinculan la familia y las políticas públicas en la discusión teórica y en la realidad social, es el objetivo del primer capítulo del libro “Familias y políticas públicas, vínculos teóricos y desencuentros prácticos”, de Rosa Patricia Román Reyes y Eduardo Andrés Sandoval </w:t>
      </w:r>
      <w:r>
        <w:rPr>
          <w:color w:val="231F20"/>
          <w:spacing w:val="-4"/>
          <w:w w:val="110"/>
        </w:rPr>
        <w:t>Fo- </w:t>
      </w:r>
      <w:r>
        <w:rPr>
          <w:color w:val="231F20"/>
          <w:w w:val="110"/>
        </w:rPr>
        <w:t>rero. Este primer capítulo discute desde cuál es el “deber ser de la política social familiar” en relación con las políticas públicas para las familias que se han implementado en México en los últimos años, afirmando que “las políticas públicas son un sustento clave en la reforma del Estado”, a pesar de</w:t>
      </w:r>
      <w:r>
        <w:rPr>
          <w:color w:val="231F20"/>
          <w:spacing w:val="-9"/>
          <w:w w:val="110"/>
        </w:rPr>
        <w:t> </w:t>
      </w:r>
      <w:r>
        <w:rPr>
          <w:color w:val="231F20"/>
          <w:w w:val="110"/>
        </w:rPr>
        <w:t>lo</w:t>
      </w:r>
      <w:r>
        <w:rPr>
          <w:color w:val="231F20"/>
          <w:spacing w:val="-9"/>
          <w:w w:val="110"/>
        </w:rPr>
        <w:t> </w:t>
      </w:r>
      <w:r>
        <w:rPr>
          <w:color w:val="231F20"/>
          <w:w w:val="110"/>
        </w:rPr>
        <w:t>cual</w:t>
      </w:r>
      <w:r>
        <w:rPr>
          <w:color w:val="231F20"/>
          <w:spacing w:val="-9"/>
          <w:w w:val="110"/>
        </w:rPr>
        <w:t> </w:t>
      </w:r>
      <w:r>
        <w:rPr>
          <w:color w:val="231F20"/>
          <w:w w:val="110"/>
        </w:rPr>
        <w:t>reconocen</w:t>
      </w:r>
      <w:r>
        <w:rPr>
          <w:color w:val="231F20"/>
          <w:spacing w:val="-9"/>
          <w:w w:val="110"/>
        </w:rPr>
        <w:t> </w:t>
      </w:r>
      <w:r>
        <w:rPr>
          <w:color w:val="231F20"/>
          <w:w w:val="110"/>
        </w:rPr>
        <w:t>la</w:t>
      </w:r>
      <w:r>
        <w:rPr>
          <w:color w:val="231F20"/>
          <w:spacing w:val="-9"/>
          <w:w w:val="110"/>
        </w:rPr>
        <w:t> </w:t>
      </w:r>
      <w:r>
        <w:rPr>
          <w:color w:val="231F20"/>
          <w:spacing w:val="-3"/>
          <w:w w:val="110"/>
        </w:rPr>
        <w:t>inexistencia</w:t>
      </w:r>
      <w:r>
        <w:rPr>
          <w:color w:val="231F20"/>
          <w:spacing w:val="-9"/>
          <w:w w:val="110"/>
        </w:rPr>
        <w:t> </w:t>
      </w:r>
      <w:r>
        <w:rPr>
          <w:color w:val="231F20"/>
          <w:w w:val="110"/>
        </w:rPr>
        <w:t>de</w:t>
      </w:r>
      <w:r>
        <w:rPr>
          <w:color w:val="231F20"/>
          <w:spacing w:val="-9"/>
          <w:w w:val="110"/>
        </w:rPr>
        <w:t> </w:t>
      </w:r>
      <w:r>
        <w:rPr>
          <w:color w:val="231F20"/>
          <w:w w:val="110"/>
        </w:rPr>
        <w:t>políticas</w:t>
      </w:r>
      <w:r>
        <w:rPr>
          <w:color w:val="231F20"/>
          <w:spacing w:val="-9"/>
          <w:w w:val="110"/>
        </w:rPr>
        <w:t> </w:t>
      </w:r>
      <w:r>
        <w:rPr>
          <w:color w:val="231F20"/>
          <w:w w:val="110"/>
        </w:rPr>
        <w:t>para</w:t>
      </w:r>
      <w:r>
        <w:rPr>
          <w:color w:val="231F20"/>
          <w:spacing w:val="-9"/>
          <w:w w:val="110"/>
        </w:rPr>
        <w:t> </w:t>
      </w:r>
      <w:r>
        <w:rPr>
          <w:color w:val="231F20"/>
          <w:w w:val="110"/>
        </w:rPr>
        <w:t>las</w:t>
      </w:r>
      <w:r>
        <w:rPr>
          <w:color w:val="231F20"/>
          <w:spacing w:val="-9"/>
          <w:w w:val="110"/>
        </w:rPr>
        <w:t> </w:t>
      </w:r>
      <w:r>
        <w:rPr>
          <w:color w:val="231F20"/>
          <w:w w:val="110"/>
        </w:rPr>
        <w:t>familias.</w:t>
      </w:r>
      <w:r>
        <w:rPr>
          <w:color w:val="231F20"/>
          <w:spacing w:val="-9"/>
          <w:w w:val="110"/>
        </w:rPr>
        <w:t> </w:t>
      </w:r>
      <w:r>
        <w:rPr>
          <w:color w:val="231F20"/>
          <w:w w:val="110"/>
        </w:rPr>
        <w:t>Así,</w:t>
      </w:r>
      <w:r>
        <w:rPr>
          <w:color w:val="231F20"/>
          <w:spacing w:val="-9"/>
          <w:w w:val="110"/>
        </w:rPr>
        <w:t> </w:t>
      </w:r>
      <w:r>
        <w:rPr>
          <w:color w:val="231F20"/>
          <w:w w:val="110"/>
        </w:rPr>
        <w:t>una</w:t>
      </w:r>
      <w:r>
        <w:rPr>
          <w:color w:val="231F20"/>
          <w:spacing w:val="-9"/>
          <w:w w:val="110"/>
        </w:rPr>
        <w:t> </w:t>
      </w:r>
      <w:r>
        <w:rPr>
          <w:color w:val="231F20"/>
          <w:w w:val="110"/>
        </w:rPr>
        <w:t>de sus principales conclusiones indica que “Si bien es cierto que las transfor- maciones de las familias son temas siempre presentes en los discursos políticos (en los que de manera reiterada se hace hincapié en la preocupa- ción por la ‘desintegración’ de la familia), poco y nada de ese interés se ha visto reflejado en las agendas de las políticas públicas de los distintos go- biernos que ha tenido</w:t>
      </w:r>
      <w:r>
        <w:rPr>
          <w:color w:val="231F20"/>
          <w:spacing w:val="41"/>
          <w:w w:val="110"/>
        </w:rPr>
        <w:t> </w:t>
      </w:r>
      <w:r>
        <w:rPr>
          <w:color w:val="231F20"/>
          <w:w w:val="110"/>
        </w:rPr>
        <w:t>México”.</w:t>
      </w:r>
    </w:p>
    <w:p>
      <w:pPr>
        <w:pStyle w:val="BodyText"/>
        <w:spacing w:line="288" w:lineRule="auto"/>
        <w:ind w:left="100" w:right="118" w:firstLine="360"/>
        <w:jc w:val="both"/>
      </w:pPr>
      <w:r>
        <w:rPr>
          <w:color w:val="231F20"/>
          <w:spacing w:val="4"/>
          <w:w w:val="110"/>
        </w:rPr>
        <w:t>“La</w:t>
      </w:r>
      <w:r>
        <w:rPr>
          <w:color w:val="231F20"/>
          <w:spacing w:val="-19"/>
          <w:w w:val="110"/>
        </w:rPr>
        <w:t> </w:t>
      </w:r>
      <w:r>
        <w:rPr>
          <w:color w:val="231F20"/>
          <w:w w:val="110"/>
        </w:rPr>
        <w:t>familia</w:t>
      </w:r>
      <w:r>
        <w:rPr>
          <w:color w:val="231F20"/>
          <w:spacing w:val="-19"/>
          <w:w w:val="110"/>
        </w:rPr>
        <w:t> </w:t>
      </w:r>
      <w:r>
        <w:rPr>
          <w:color w:val="231F20"/>
          <w:w w:val="110"/>
        </w:rPr>
        <w:t>en</w:t>
      </w:r>
      <w:r>
        <w:rPr>
          <w:color w:val="231F20"/>
          <w:spacing w:val="-19"/>
          <w:w w:val="110"/>
        </w:rPr>
        <w:t> </w:t>
      </w:r>
      <w:r>
        <w:rPr>
          <w:color w:val="231F20"/>
          <w:w w:val="110"/>
        </w:rPr>
        <w:t>vinculación</w:t>
      </w:r>
      <w:r>
        <w:rPr>
          <w:color w:val="231F20"/>
          <w:spacing w:val="-19"/>
          <w:w w:val="110"/>
        </w:rPr>
        <w:t> </w:t>
      </w:r>
      <w:r>
        <w:rPr>
          <w:color w:val="231F20"/>
          <w:w w:val="110"/>
        </w:rPr>
        <w:t>con</w:t>
      </w:r>
      <w:r>
        <w:rPr>
          <w:color w:val="231F20"/>
          <w:spacing w:val="-19"/>
          <w:w w:val="110"/>
        </w:rPr>
        <w:t> </w:t>
      </w:r>
      <w:r>
        <w:rPr>
          <w:color w:val="231F20"/>
          <w:w w:val="110"/>
        </w:rPr>
        <w:t>el</w:t>
      </w:r>
      <w:r>
        <w:rPr>
          <w:color w:val="231F20"/>
          <w:spacing w:val="-19"/>
          <w:w w:val="110"/>
        </w:rPr>
        <w:t> </w:t>
      </w:r>
      <w:r>
        <w:rPr>
          <w:color w:val="231F20"/>
          <w:w w:val="110"/>
        </w:rPr>
        <w:t>mercado</w:t>
      </w:r>
      <w:r>
        <w:rPr>
          <w:color w:val="231F20"/>
          <w:spacing w:val="-19"/>
          <w:w w:val="110"/>
        </w:rPr>
        <w:t> </w:t>
      </w:r>
      <w:r>
        <w:rPr>
          <w:color w:val="231F20"/>
          <w:w w:val="110"/>
        </w:rPr>
        <w:t>laboral”</w:t>
      </w:r>
      <w:r>
        <w:rPr>
          <w:color w:val="231F20"/>
          <w:spacing w:val="-19"/>
          <w:w w:val="110"/>
        </w:rPr>
        <w:t> </w:t>
      </w:r>
      <w:r>
        <w:rPr>
          <w:color w:val="231F20"/>
          <w:w w:val="110"/>
        </w:rPr>
        <w:t>constituye</w:t>
      </w:r>
      <w:r>
        <w:rPr>
          <w:color w:val="231F20"/>
          <w:spacing w:val="-19"/>
          <w:w w:val="110"/>
        </w:rPr>
        <w:t> </w:t>
      </w:r>
      <w:r>
        <w:rPr>
          <w:color w:val="231F20"/>
          <w:w w:val="110"/>
        </w:rPr>
        <w:t>el</w:t>
      </w:r>
      <w:r>
        <w:rPr>
          <w:color w:val="231F20"/>
          <w:spacing w:val="-19"/>
          <w:w w:val="110"/>
        </w:rPr>
        <w:t> </w:t>
      </w:r>
      <w:r>
        <w:rPr>
          <w:color w:val="231F20"/>
          <w:w w:val="110"/>
        </w:rPr>
        <w:t>segundo capítulo de esta obra, autoría de Rosa Patricia Román Reyes y Juan Gabino González Becerril, y en él los autores analizan la relación entre estas dos dimensiones, mediante la discusión de los datos obtenidos en una serie de entrevistas en profundidad realizadas a grupos familiares que realizan</w:t>
      </w:r>
      <w:r>
        <w:rPr>
          <w:color w:val="231F20"/>
          <w:spacing w:val="-10"/>
          <w:w w:val="110"/>
        </w:rPr>
        <w:t> </w:t>
      </w:r>
      <w:r>
        <w:rPr>
          <w:color w:val="231F20"/>
          <w:w w:val="110"/>
        </w:rPr>
        <w:t>sus actividades</w:t>
      </w:r>
      <w:r>
        <w:rPr>
          <w:color w:val="231F20"/>
          <w:spacing w:val="-10"/>
          <w:w w:val="110"/>
        </w:rPr>
        <w:t> </w:t>
      </w:r>
      <w:r>
        <w:rPr>
          <w:color w:val="231F20"/>
          <w:w w:val="110"/>
        </w:rPr>
        <w:t>laborales</w:t>
      </w:r>
      <w:r>
        <w:rPr>
          <w:color w:val="231F20"/>
          <w:spacing w:val="-10"/>
          <w:w w:val="110"/>
        </w:rPr>
        <w:t> </w:t>
      </w:r>
      <w:r>
        <w:rPr>
          <w:color w:val="231F20"/>
          <w:w w:val="110"/>
        </w:rPr>
        <w:t>conjugando</w:t>
      </w:r>
      <w:r>
        <w:rPr>
          <w:color w:val="231F20"/>
          <w:spacing w:val="-10"/>
          <w:w w:val="110"/>
        </w:rPr>
        <w:t> </w:t>
      </w:r>
      <w:r>
        <w:rPr>
          <w:color w:val="231F20"/>
          <w:w w:val="110"/>
        </w:rPr>
        <w:t>familia</w:t>
      </w:r>
      <w:r>
        <w:rPr>
          <w:color w:val="231F20"/>
          <w:spacing w:val="-10"/>
          <w:w w:val="110"/>
        </w:rPr>
        <w:t> </w:t>
      </w:r>
      <w:r>
        <w:rPr>
          <w:color w:val="231F20"/>
          <w:w w:val="110"/>
        </w:rPr>
        <w:t>y</w:t>
      </w:r>
      <w:r>
        <w:rPr>
          <w:color w:val="231F20"/>
          <w:spacing w:val="-10"/>
          <w:w w:val="110"/>
        </w:rPr>
        <w:t> </w:t>
      </w:r>
      <w:r>
        <w:rPr>
          <w:color w:val="231F20"/>
          <w:w w:val="110"/>
        </w:rPr>
        <w:t>trabajo.</w:t>
      </w:r>
      <w:r>
        <w:rPr>
          <w:color w:val="231F20"/>
          <w:spacing w:val="-10"/>
          <w:w w:val="110"/>
        </w:rPr>
        <w:t> </w:t>
      </w:r>
      <w:r>
        <w:rPr>
          <w:color w:val="231F20"/>
          <w:spacing w:val="-3"/>
          <w:w w:val="110"/>
        </w:rPr>
        <w:t>Revisar</w:t>
      </w:r>
      <w:r>
        <w:rPr>
          <w:color w:val="231F20"/>
          <w:spacing w:val="-10"/>
          <w:w w:val="110"/>
        </w:rPr>
        <w:t> </w:t>
      </w:r>
      <w:r>
        <w:rPr>
          <w:color w:val="231F20"/>
          <w:w w:val="110"/>
        </w:rPr>
        <w:t>esa</w:t>
      </w:r>
      <w:r>
        <w:rPr>
          <w:color w:val="231F20"/>
          <w:spacing w:val="-10"/>
          <w:w w:val="110"/>
        </w:rPr>
        <w:t> </w:t>
      </w:r>
      <w:r>
        <w:rPr>
          <w:color w:val="231F20"/>
          <w:w w:val="110"/>
        </w:rPr>
        <w:t>información</w:t>
      </w:r>
      <w:r>
        <w:rPr>
          <w:color w:val="231F20"/>
          <w:w w:val="111"/>
        </w:rPr>
        <w:t> </w:t>
      </w:r>
      <w:r>
        <w:rPr>
          <w:color w:val="231F20"/>
          <w:w w:val="110"/>
        </w:rPr>
        <w:t>a la luz de las distintas perspectivas teóricas que circundan el tema, les permite concluir que “la familia y el trabajo constituyen dos ejes organiza- dores</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vida</w:t>
      </w:r>
      <w:r>
        <w:rPr>
          <w:color w:val="231F20"/>
          <w:spacing w:val="17"/>
          <w:w w:val="110"/>
        </w:rPr>
        <w:t> </w:t>
      </w:r>
      <w:r>
        <w:rPr>
          <w:color w:val="231F20"/>
          <w:w w:val="110"/>
        </w:rPr>
        <w:t>cotidiana”</w:t>
      </w:r>
      <w:r>
        <w:rPr>
          <w:color w:val="231F20"/>
          <w:spacing w:val="17"/>
          <w:w w:val="110"/>
        </w:rPr>
        <w:t> </w:t>
      </w:r>
      <w:r>
        <w:rPr>
          <w:color w:val="231F20"/>
          <w:w w:val="110"/>
        </w:rPr>
        <w:t>que</w:t>
      </w:r>
      <w:r>
        <w:rPr>
          <w:color w:val="231F20"/>
          <w:spacing w:val="17"/>
          <w:w w:val="110"/>
        </w:rPr>
        <w:t> </w:t>
      </w:r>
      <w:r>
        <w:rPr>
          <w:color w:val="231F20"/>
          <w:w w:val="110"/>
        </w:rPr>
        <w:t>no</w:t>
      </w:r>
      <w:r>
        <w:rPr>
          <w:color w:val="231F20"/>
          <w:spacing w:val="17"/>
          <w:w w:val="110"/>
        </w:rPr>
        <w:t> </w:t>
      </w:r>
      <w:r>
        <w:rPr>
          <w:color w:val="231F20"/>
          <w:w w:val="110"/>
        </w:rPr>
        <w:t>están</w:t>
      </w:r>
      <w:r>
        <w:rPr>
          <w:color w:val="231F20"/>
          <w:spacing w:val="17"/>
          <w:w w:val="110"/>
        </w:rPr>
        <w:t> </w:t>
      </w:r>
      <w:r>
        <w:rPr>
          <w:color w:val="231F20"/>
          <w:w w:val="110"/>
        </w:rPr>
        <w:t>exentos</w:t>
      </w:r>
      <w:r>
        <w:rPr>
          <w:color w:val="231F20"/>
          <w:spacing w:val="17"/>
          <w:w w:val="110"/>
        </w:rPr>
        <w:t> </w:t>
      </w:r>
      <w:r>
        <w:rPr>
          <w:color w:val="231F20"/>
          <w:w w:val="110"/>
        </w:rPr>
        <w:t>de</w:t>
      </w:r>
      <w:r>
        <w:rPr>
          <w:color w:val="231F20"/>
          <w:spacing w:val="17"/>
          <w:w w:val="110"/>
        </w:rPr>
        <w:t> </w:t>
      </w:r>
      <w:r>
        <w:rPr>
          <w:color w:val="231F20"/>
          <w:w w:val="110"/>
        </w:rPr>
        <w:t>conflictos,</w:t>
      </w:r>
      <w:r>
        <w:rPr>
          <w:color w:val="231F20"/>
          <w:spacing w:val="17"/>
          <w:w w:val="110"/>
        </w:rPr>
        <w:t> </w:t>
      </w:r>
      <w:r>
        <w:rPr>
          <w:color w:val="231F20"/>
          <w:w w:val="110"/>
        </w:rPr>
        <w:t>tensiones,</w:t>
      </w:r>
    </w:p>
    <w:p>
      <w:pPr>
        <w:spacing w:after="0" w:line="288" w:lineRule="auto"/>
        <w:jc w:val="both"/>
        <w:sectPr>
          <w:pgSz w:w="9520" w:h="12920"/>
          <w:pgMar w:header="0" w:footer="1344" w:top="880" w:bottom="1540" w:left="1020" w:right="1320"/>
        </w:sectPr>
      </w:pPr>
    </w:p>
    <w:p>
      <w:pPr>
        <w:pStyle w:val="BodyText"/>
        <w:spacing w:line="280" w:lineRule="auto" w:before="42"/>
        <w:ind w:left="124" w:right="110"/>
        <w:jc w:val="both"/>
      </w:pPr>
      <w:r>
        <w:rPr>
          <w:color w:val="231F20"/>
          <w:w w:val="110"/>
        </w:rPr>
        <w:t>manejo</w:t>
      </w:r>
      <w:r>
        <w:rPr>
          <w:color w:val="231F20"/>
          <w:spacing w:val="-7"/>
          <w:w w:val="110"/>
        </w:rPr>
        <w:t> </w:t>
      </w:r>
      <w:r>
        <w:rPr>
          <w:color w:val="231F20"/>
          <w:w w:val="110"/>
        </w:rPr>
        <w:t>de</w:t>
      </w:r>
      <w:r>
        <w:rPr>
          <w:color w:val="231F20"/>
          <w:spacing w:val="-7"/>
          <w:w w:val="110"/>
        </w:rPr>
        <w:t> </w:t>
      </w:r>
      <w:r>
        <w:rPr>
          <w:color w:val="231F20"/>
          <w:w w:val="110"/>
        </w:rPr>
        <w:t>poder</w:t>
      </w:r>
      <w:r>
        <w:rPr>
          <w:color w:val="231F20"/>
          <w:spacing w:val="-7"/>
          <w:w w:val="110"/>
        </w:rPr>
        <w:t> </w:t>
      </w:r>
      <w:r>
        <w:rPr>
          <w:color w:val="231F20"/>
          <w:w w:val="110"/>
        </w:rPr>
        <w:t>inequitativo,</w:t>
      </w:r>
      <w:r>
        <w:rPr>
          <w:color w:val="231F20"/>
          <w:spacing w:val="-7"/>
          <w:w w:val="110"/>
        </w:rPr>
        <w:t> </w:t>
      </w:r>
      <w:r>
        <w:rPr>
          <w:color w:val="231F20"/>
          <w:w w:val="110"/>
        </w:rPr>
        <w:t>intereses</w:t>
      </w:r>
      <w:r>
        <w:rPr>
          <w:color w:val="231F20"/>
          <w:spacing w:val="-7"/>
          <w:w w:val="110"/>
        </w:rPr>
        <w:t> </w:t>
      </w:r>
      <w:r>
        <w:rPr>
          <w:color w:val="231F20"/>
          <w:w w:val="110"/>
        </w:rPr>
        <w:t>divergentes</w:t>
      </w:r>
      <w:r>
        <w:rPr>
          <w:color w:val="231F20"/>
          <w:spacing w:val="-7"/>
          <w:w w:val="110"/>
        </w:rPr>
        <w:t> </w:t>
      </w:r>
      <w:r>
        <w:rPr>
          <w:color w:val="231F20"/>
          <w:w w:val="110"/>
        </w:rPr>
        <w:t>y</w:t>
      </w:r>
      <w:r>
        <w:rPr>
          <w:color w:val="231F20"/>
          <w:spacing w:val="-7"/>
          <w:w w:val="110"/>
        </w:rPr>
        <w:t> </w:t>
      </w:r>
      <w:r>
        <w:rPr>
          <w:color w:val="231F20"/>
          <w:w w:val="110"/>
        </w:rPr>
        <w:t>una</w:t>
      </w:r>
      <w:r>
        <w:rPr>
          <w:color w:val="231F20"/>
          <w:spacing w:val="-7"/>
          <w:w w:val="110"/>
        </w:rPr>
        <w:t> </w:t>
      </w:r>
      <w:r>
        <w:rPr>
          <w:color w:val="231F20"/>
          <w:w w:val="110"/>
        </w:rPr>
        <w:t>multiplicidad</w:t>
      </w:r>
      <w:r>
        <w:rPr>
          <w:color w:val="231F20"/>
          <w:spacing w:val="-7"/>
          <w:w w:val="110"/>
        </w:rPr>
        <w:t> </w:t>
      </w:r>
      <w:r>
        <w:rPr>
          <w:color w:val="231F20"/>
          <w:w w:val="110"/>
        </w:rPr>
        <w:t>de </w:t>
      </w:r>
      <w:r>
        <w:rPr>
          <w:color w:val="231F20"/>
          <w:spacing w:val="3"/>
          <w:w w:val="110"/>
        </w:rPr>
        <w:t>simbolismos </w:t>
      </w:r>
      <w:r>
        <w:rPr>
          <w:color w:val="231F20"/>
          <w:w w:val="110"/>
        </w:rPr>
        <w:t>y </w:t>
      </w:r>
      <w:r>
        <w:rPr>
          <w:color w:val="231F20"/>
          <w:spacing w:val="3"/>
          <w:w w:val="110"/>
        </w:rPr>
        <w:t>significaciones necesarios </w:t>
      </w:r>
      <w:r>
        <w:rPr>
          <w:color w:val="231F20"/>
          <w:w w:val="110"/>
        </w:rPr>
        <w:t>de </w:t>
      </w:r>
      <w:r>
        <w:rPr>
          <w:color w:val="231F20"/>
          <w:spacing w:val="3"/>
          <w:w w:val="110"/>
        </w:rPr>
        <w:t>abordar </w:t>
      </w:r>
      <w:r>
        <w:rPr>
          <w:color w:val="231F20"/>
          <w:w w:val="110"/>
        </w:rPr>
        <w:t>en el </w:t>
      </w:r>
      <w:r>
        <w:rPr>
          <w:color w:val="231F20"/>
          <w:spacing w:val="3"/>
          <w:w w:val="110"/>
        </w:rPr>
        <w:t>análisis </w:t>
      </w:r>
      <w:r>
        <w:rPr>
          <w:color w:val="231F20"/>
          <w:spacing w:val="2"/>
          <w:w w:val="110"/>
        </w:rPr>
        <w:t>del </w:t>
      </w:r>
      <w:r>
        <w:rPr>
          <w:color w:val="231F20"/>
          <w:w w:val="110"/>
        </w:rPr>
        <w:t>mundo del</w:t>
      </w:r>
      <w:r>
        <w:rPr>
          <w:color w:val="231F20"/>
          <w:spacing w:val="1"/>
          <w:w w:val="110"/>
        </w:rPr>
        <w:t> </w:t>
      </w:r>
      <w:r>
        <w:rPr>
          <w:color w:val="231F20"/>
          <w:w w:val="110"/>
        </w:rPr>
        <w:t>trabajo.</w:t>
      </w:r>
    </w:p>
    <w:p>
      <w:pPr>
        <w:pStyle w:val="BodyText"/>
        <w:spacing w:line="280" w:lineRule="auto"/>
        <w:ind w:left="124" w:right="112" w:firstLine="360"/>
        <w:jc w:val="both"/>
      </w:pPr>
      <w:r>
        <w:rPr>
          <w:color w:val="231F20"/>
          <w:w w:val="110"/>
        </w:rPr>
        <w:t>En el tercer capítulo, “Cambios en la formación familiar a inicios del siglo </w:t>
      </w:r>
      <w:r>
        <w:rPr>
          <w:rFonts w:ascii="Times New Roman" w:hAnsi="Times New Roman"/>
          <w:color w:val="231F20"/>
          <w:w w:val="110"/>
          <w:sz w:val="16"/>
        </w:rPr>
        <w:t>XXI </w:t>
      </w:r>
      <w:r>
        <w:rPr>
          <w:color w:val="231F20"/>
          <w:w w:val="110"/>
        </w:rPr>
        <w:t>en México”, María Viridiana Sosa Márquez, Alfonso Mejía Modes- to y Juan Antonio Soberón Mora, discuten los cambios más destacados  que han tenido lugar en la intensidad y el calendario de la nupcialidad en las últimas décadas, analizando para ello la forma en que ha evolucionado y se han transformado los patrones de conyugalidad, la condición de</w:t>
      </w:r>
      <w:r>
        <w:rPr>
          <w:color w:val="231F20"/>
          <w:spacing w:val="-34"/>
          <w:w w:val="110"/>
        </w:rPr>
        <w:t> </w:t>
      </w:r>
      <w:r>
        <w:rPr>
          <w:color w:val="231F20"/>
          <w:w w:val="110"/>
        </w:rPr>
        <w:t>unión de acuerdo con las distintas entidades del país (observando sus importan- tes diferencias y evidenciando la heterogeneidad de este evento) y explici- tando cuáles han sido los cambios tanto en la condición de la unión como en la formación de hogares. Sus resultados les permiten afirmar </w:t>
      </w:r>
      <w:r>
        <w:rPr>
          <w:color w:val="231F20"/>
          <w:spacing w:val="41"/>
          <w:w w:val="110"/>
        </w:rPr>
        <w:t> </w:t>
      </w:r>
      <w:r>
        <w:rPr>
          <w:color w:val="231F20"/>
          <w:w w:val="110"/>
        </w:rPr>
        <w:t>que</w:t>
      </w:r>
    </w:p>
    <w:p>
      <w:pPr>
        <w:pStyle w:val="BodyText"/>
        <w:spacing w:before="10"/>
        <w:rPr>
          <w:sz w:val="15"/>
        </w:rPr>
      </w:pPr>
    </w:p>
    <w:p>
      <w:pPr>
        <w:spacing w:line="276" w:lineRule="auto" w:before="1"/>
        <w:ind w:left="484" w:right="114" w:firstLine="0"/>
        <w:jc w:val="both"/>
        <w:rPr>
          <w:sz w:val="18"/>
        </w:rPr>
      </w:pPr>
      <w:r>
        <w:rPr>
          <w:color w:val="231F20"/>
          <w:w w:val="110"/>
          <w:sz w:val="18"/>
        </w:rPr>
        <w:t>Los incrementos en la unión libre, el divorcio y las separaciones, así como los descensos en los matrimonios y en la viudez encontrados muestran la urgen- cia del análisis de la situación conyugal de las personas como elemento que no ha</w:t>
      </w:r>
      <w:r>
        <w:rPr>
          <w:color w:val="231F20"/>
          <w:spacing w:val="-3"/>
          <w:w w:val="110"/>
          <w:sz w:val="18"/>
        </w:rPr>
        <w:t> </w:t>
      </w:r>
      <w:r>
        <w:rPr>
          <w:color w:val="231F20"/>
          <w:w w:val="110"/>
          <w:sz w:val="18"/>
        </w:rPr>
        <w:t>perdido</w:t>
      </w:r>
      <w:r>
        <w:rPr>
          <w:color w:val="231F20"/>
          <w:spacing w:val="-3"/>
          <w:w w:val="110"/>
          <w:sz w:val="18"/>
        </w:rPr>
        <w:t> </w:t>
      </w:r>
      <w:r>
        <w:rPr>
          <w:color w:val="231F20"/>
          <w:w w:val="110"/>
          <w:sz w:val="18"/>
        </w:rPr>
        <w:t>vigencia</w:t>
      </w:r>
      <w:r>
        <w:rPr>
          <w:color w:val="231F20"/>
          <w:spacing w:val="-3"/>
          <w:w w:val="110"/>
          <w:sz w:val="18"/>
        </w:rPr>
        <w:t> </w:t>
      </w:r>
      <w:r>
        <w:rPr>
          <w:color w:val="231F20"/>
          <w:w w:val="110"/>
          <w:sz w:val="18"/>
        </w:rPr>
        <w:t>para</w:t>
      </w:r>
      <w:r>
        <w:rPr>
          <w:color w:val="231F20"/>
          <w:spacing w:val="-3"/>
          <w:w w:val="110"/>
          <w:sz w:val="18"/>
        </w:rPr>
        <w:t> </w:t>
      </w:r>
      <w:r>
        <w:rPr>
          <w:color w:val="231F20"/>
          <w:w w:val="110"/>
          <w:sz w:val="18"/>
        </w:rPr>
        <w:t>dar</w:t>
      </w:r>
      <w:r>
        <w:rPr>
          <w:color w:val="231F20"/>
          <w:spacing w:val="-3"/>
          <w:w w:val="110"/>
          <w:sz w:val="18"/>
        </w:rPr>
        <w:t> </w:t>
      </w:r>
      <w:r>
        <w:rPr>
          <w:color w:val="231F20"/>
          <w:w w:val="110"/>
          <w:sz w:val="18"/>
        </w:rPr>
        <w:t>cuenta</w:t>
      </w:r>
      <w:r>
        <w:rPr>
          <w:color w:val="231F20"/>
          <w:spacing w:val="-3"/>
          <w:w w:val="110"/>
          <w:sz w:val="18"/>
        </w:rPr>
        <w:t> </w:t>
      </w:r>
      <w:r>
        <w:rPr>
          <w:color w:val="231F20"/>
          <w:w w:val="110"/>
          <w:sz w:val="18"/>
        </w:rPr>
        <w:t>del</w:t>
      </w:r>
      <w:r>
        <w:rPr>
          <w:color w:val="231F20"/>
          <w:spacing w:val="-3"/>
          <w:w w:val="110"/>
          <w:sz w:val="18"/>
        </w:rPr>
        <w:t> </w:t>
      </w:r>
      <w:r>
        <w:rPr>
          <w:color w:val="231F20"/>
          <w:w w:val="110"/>
          <w:sz w:val="18"/>
        </w:rPr>
        <w:t>volumen</w:t>
      </w:r>
      <w:r>
        <w:rPr>
          <w:color w:val="231F20"/>
          <w:spacing w:val="-3"/>
          <w:w w:val="110"/>
          <w:sz w:val="18"/>
        </w:rPr>
        <w:t> </w:t>
      </w:r>
      <w:r>
        <w:rPr>
          <w:color w:val="231F20"/>
          <w:w w:val="110"/>
          <w:sz w:val="18"/>
        </w:rPr>
        <w:t>y</w:t>
      </w:r>
      <w:r>
        <w:rPr>
          <w:color w:val="231F20"/>
          <w:spacing w:val="-3"/>
          <w:w w:val="110"/>
          <w:sz w:val="18"/>
        </w:rPr>
        <w:t> </w:t>
      </w:r>
      <w:r>
        <w:rPr>
          <w:color w:val="231F20"/>
          <w:w w:val="110"/>
          <w:sz w:val="18"/>
        </w:rPr>
        <w:t>de</w:t>
      </w:r>
      <w:r>
        <w:rPr>
          <w:color w:val="231F20"/>
          <w:spacing w:val="-3"/>
          <w:w w:val="110"/>
          <w:sz w:val="18"/>
        </w:rPr>
        <w:t> </w:t>
      </w:r>
      <w:r>
        <w:rPr>
          <w:color w:val="231F20"/>
          <w:w w:val="110"/>
          <w:sz w:val="18"/>
        </w:rPr>
        <w:t>las</w:t>
      </w:r>
      <w:r>
        <w:rPr>
          <w:color w:val="231F20"/>
          <w:spacing w:val="-3"/>
          <w:w w:val="110"/>
          <w:sz w:val="18"/>
        </w:rPr>
        <w:t> </w:t>
      </w:r>
      <w:r>
        <w:rPr>
          <w:color w:val="231F20"/>
          <w:w w:val="110"/>
          <w:sz w:val="18"/>
        </w:rPr>
        <w:t>estructuras</w:t>
      </w:r>
      <w:r>
        <w:rPr>
          <w:color w:val="231F20"/>
          <w:spacing w:val="-3"/>
          <w:w w:val="110"/>
          <w:sz w:val="18"/>
        </w:rPr>
        <w:t> </w:t>
      </w:r>
      <w:r>
        <w:rPr>
          <w:color w:val="231F20"/>
          <w:w w:val="110"/>
          <w:sz w:val="18"/>
        </w:rPr>
        <w:t>poblacio- nales actuales y del cambio social experimentado en las últimas </w:t>
      </w:r>
      <w:r>
        <w:rPr>
          <w:color w:val="231F20"/>
          <w:spacing w:val="40"/>
          <w:w w:val="110"/>
          <w:sz w:val="18"/>
        </w:rPr>
        <w:t> </w:t>
      </w:r>
      <w:r>
        <w:rPr>
          <w:color w:val="231F20"/>
          <w:w w:val="110"/>
          <w:sz w:val="18"/>
        </w:rPr>
        <w:t>décadas.</w:t>
      </w:r>
    </w:p>
    <w:p>
      <w:pPr>
        <w:pStyle w:val="BodyText"/>
        <w:spacing w:before="6"/>
        <w:rPr>
          <w:sz w:val="21"/>
        </w:rPr>
      </w:pPr>
    </w:p>
    <w:p>
      <w:pPr>
        <w:pStyle w:val="BodyText"/>
        <w:spacing w:line="280" w:lineRule="auto"/>
        <w:ind w:left="124" w:right="112" w:firstLine="360"/>
        <w:jc w:val="both"/>
      </w:pPr>
      <w:r>
        <w:rPr>
          <w:color w:val="231F20"/>
          <w:w w:val="110"/>
        </w:rPr>
        <w:t>Por su parte, Andrea Bautista León presenta llamado, en el cuarto ca- pítulo “Implicaciones de la unión conyugal en la educación y empleo de</w:t>
      </w:r>
      <w:r>
        <w:rPr>
          <w:color w:val="231F20"/>
          <w:spacing w:val="-14"/>
          <w:w w:val="110"/>
        </w:rPr>
        <w:t> </w:t>
      </w:r>
      <w:r>
        <w:rPr>
          <w:color w:val="231F20"/>
          <w:w w:val="110"/>
        </w:rPr>
        <w:t>los jóvenes del Estado de México, 2010”, un análisis de la forma en que la población joven del estado de México atraviesa hacia la vida adulta, obser- vando con especial interés el impacto que tienen en ese tránsito las unio- nes conyugales sobre la educación y el trabajo. Mediante el análisis cuan- titativo de las bases de datos del Censo de Población y Vivienda del año 2010,</w:t>
      </w:r>
      <w:r>
        <w:rPr>
          <w:color w:val="231F20"/>
          <w:spacing w:val="-7"/>
          <w:w w:val="110"/>
        </w:rPr>
        <w:t> </w:t>
      </w:r>
      <w:r>
        <w:rPr>
          <w:color w:val="231F20"/>
          <w:w w:val="110"/>
        </w:rPr>
        <w:t>la</w:t>
      </w:r>
      <w:r>
        <w:rPr>
          <w:color w:val="231F20"/>
          <w:spacing w:val="-7"/>
          <w:w w:val="110"/>
        </w:rPr>
        <w:t> </w:t>
      </w:r>
      <w:r>
        <w:rPr>
          <w:color w:val="231F20"/>
          <w:w w:val="110"/>
        </w:rPr>
        <w:t>autora</w:t>
      </w:r>
      <w:r>
        <w:rPr>
          <w:color w:val="231F20"/>
          <w:spacing w:val="-7"/>
          <w:w w:val="110"/>
        </w:rPr>
        <w:t> </w:t>
      </w:r>
      <w:r>
        <w:rPr>
          <w:color w:val="231F20"/>
          <w:w w:val="110"/>
        </w:rPr>
        <w:t>encuentra</w:t>
      </w:r>
      <w:r>
        <w:rPr>
          <w:color w:val="231F20"/>
          <w:spacing w:val="-7"/>
          <w:w w:val="110"/>
        </w:rPr>
        <w:t> </w:t>
      </w:r>
      <w:r>
        <w:rPr>
          <w:color w:val="231F20"/>
          <w:w w:val="110"/>
        </w:rPr>
        <w:t>que</w:t>
      </w:r>
      <w:r>
        <w:rPr>
          <w:color w:val="231F20"/>
          <w:spacing w:val="-7"/>
          <w:w w:val="110"/>
        </w:rPr>
        <w:t> </w:t>
      </w:r>
      <w:r>
        <w:rPr>
          <w:color w:val="231F20"/>
          <w:w w:val="110"/>
        </w:rPr>
        <w:t>el</w:t>
      </w:r>
      <w:r>
        <w:rPr>
          <w:color w:val="231F20"/>
          <w:spacing w:val="-7"/>
          <w:w w:val="110"/>
        </w:rPr>
        <w:t> </w:t>
      </w:r>
      <w:r>
        <w:rPr>
          <w:color w:val="231F20"/>
          <w:w w:val="110"/>
        </w:rPr>
        <w:t>tránsito</w:t>
      </w:r>
      <w:r>
        <w:rPr>
          <w:color w:val="231F20"/>
          <w:spacing w:val="-7"/>
          <w:w w:val="110"/>
        </w:rPr>
        <w:t> </w:t>
      </w:r>
      <w:r>
        <w:rPr>
          <w:color w:val="231F20"/>
          <w:w w:val="110"/>
        </w:rPr>
        <w:t>hacia</w:t>
      </w:r>
      <w:r>
        <w:rPr>
          <w:color w:val="231F20"/>
          <w:spacing w:val="-7"/>
          <w:w w:val="110"/>
        </w:rPr>
        <w:t> </w:t>
      </w:r>
      <w:r>
        <w:rPr>
          <w:color w:val="231F20"/>
          <w:w w:val="110"/>
        </w:rPr>
        <w:t>la</w:t>
      </w:r>
      <w:r>
        <w:rPr>
          <w:color w:val="231F20"/>
          <w:spacing w:val="-7"/>
          <w:w w:val="110"/>
        </w:rPr>
        <w:t> </w:t>
      </w:r>
      <w:r>
        <w:rPr>
          <w:color w:val="231F20"/>
          <w:w w:val="110"/>
        </w:rPr>
        <w:t>vida</w:t>
      </w:r>
      <w:r>
        <w:rPr>
          <w:color w:val="231F20"/>
          <w:spacing w:val="-7"/>
          <w:w w:val="110"/>
        </w:rPr>
        <w:t> </w:t>
      </w:r>
      <w:r>
        <w:rPr>
          <w:color w:val="231F20"/>
          <w:w w:val="110"/>
        </w:rPr>
        <w:t>adulta</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jóvenes mexiquenses “revelan carencias institucionales importantes” en</w:t>
      </w:r>
      <w:r>
        <w:rPr>
          <w:color w:val="231F20"/>
          <w:spacing w:val="-22"/>
          <w:w w:val="110"/>
        </w:rPr>
        <w:t> </w:t>
      </w:r>
      <w:r>
        <w:rPr>
          <w:color w:val="231F20"/>
          <w:w w:val="110"/>
        </w:rPr>
        <w:t>dimensio- nes centrales como el acceso a la salud, la educación y el mercado laboral. Estas situaciones la llevan a considerar que “el escenario actual de des- igualdad, paradojas e incertidumbre en México, es un periodo que supone retos importantes para el diseño de políticas públicas que se articulen en pro de la juventud y establezcan condiciones que la acompañen y resuel- van la acumulación de desventajas en su tránsito a la </w:t>
      </w:r>
      <w:r>
        <w:rPr>
          <w:color w:val="231F20"/>
          <w:spacing w:val="33"/>
          <w:w w:val="110"/>
        </w:rPr>
        <w:t> </w:t>
      </w:r>
      <w:r>
        <w:rPr>
          <w:color w:val="231F20"/>
          <w:w w:val="110"/>
        </w:rPr>
        <w:t>adultez”.</w:t>
      </w:r>
    </w:p>
    <w:p>
      <w:pPr>
        <w:pStyle w:val="BodyText"/>
        <w:spacing w:line="288" w:lineRule="auto"/>
        <w:ind w:left="124" w:right="112" w:firstLine="360"/>
        <w:jc w:val="both"/>
      </w:pPr>
      <w:r>
        <w:rPr>
          <w:color w:val="231F20"/>
          <w:w w:val="110"/>
        </w:rPr>
        <w:t>En</w:t>
      </w:r>
      <w:r>
        <w:rPr>
          <w:color w:val="231F20"/>
          <w:spacing w:val="-7"/>
          <w:w w:val="110"/>
        </w:rPr>
        <w:t> </w:t>
      </w:r>
      <w:r>
        <w:rPr>
          <w:color w:val="231F20"/>
          <w:w w:val="110"/>
        </w:rPr>
        <w:t>el</w:t>
      </w:r>
      <w:r>
        <w:rPr>
          <w:color w:val="231F20"/>
          <w:spacing w:val="-7"/>
          <w:w w:val="110"/>
        </w:rPr>
        <w:t> </w:t>
      </w:r>
      <w:r>
        <w:rPr>
          <w:color w:val="231F20"/>
          <w:spacing w:val="-4"/>
          <w:w w:val="110"/>
        </w:rPr>
        <w:t>quinto</w:t>
      </w:r>
      <w:r>
        <w:rPr>
          <w:color w:val="231F20"/>
          <w:spacing w:val="-7"/>
          <w:w w:val="110"/>
        </w:rPr>
        <w:t> </w:t>
      </w:r>
      <w:r>
        <w:rPr>
          <w:color w:val="231F20"/>
          <w:spacing w:val="-4"/>
          <w:w w:val="110"/>
        </w:rPr>
        <w:t>capítulo,</w:t>
      </w:r>
      <w:r>
        <w:rPr>
          <w:color w:val="231F20"/>
          <w:spacing w:val="-7"/>
          <w:w w:val="110"/>
        </w:rPr>
        <w:t> </w:t>
      </w:r>
      <w:r>
        <w:rPr>
          <w:color w:val="231F20"/>
          <w:spacing w:val="-4"/>
          <w:w w:val="110"/>
        </w:rPr>
        <w:t>“Hogares,</w:t>
      </w:r>
      <w:r>
        <w:rPr>
          <w:color w:val="231F20"/>
          <w:spacing w:val="-7"/>
          <w:w w:val="110"/>
        </w:rPr>
        <w:t> </w:t>
      </w:r>
      <w:r>
        <w:rPr>
          <w:color w:val="231F20"/>
          <w:spacing w:val="-4"/>
          <w:w w:val="110"/>
        </w:rPr>
        <w:t>configuraciones</w:t>
      </w:r>
      <w:r>
        <w:rPr>
          <w:color w:val="231F20"/>
          <w:spacing w:val="-7"/>
          <w:w w:val="110"/>
        </w:rPr>
        <w:t> </w:t>
      </w:r>
      <w:r>
        <w:rPr>
          <w:color w:val="231F20"/>
          <w:spacing w:val="-4"/>
          <w:w w:val="110"/>
        </w:rPr>
        <w:t>familiares</w:t>
      </w:r>
      <w:r>
        <w:rPr>
          <w:color w:val="231F20"/>
          <w:spacing w:val="-7"/>
          <w:w w:val="110"/>
        </w:rPr>
        <w:t> </w:t>
      </w:r>
      <w:r>
        <w:rPr>
          <w:color w:val="231F20"/>
          <w:w w:val="110"/>
        </w:rPr>
        <w:t>y</w:t>
      </w:r>
      <w:r>
        <w:rPr>
          <w:color w:val="231F20"/>
          <w:spacing w:val="-7"/>
          <w:w w:val="110"/>
        </w:rPr>
        <w:t> </w:t>
      </w:r>
      <w:r>
        <w:rPr>
          <w:color w:val="231F20"/>
          <w:w w:val="110"/>
        </w:rPr>
        <w:t>de</w:t>
      </w:r>
      <w:r>
        <w:rPr>
          <w:color w:val="231F20"/>
          <w:spacing w:val="-7"/>
          <w:w w:val="110"/>
        </w:rPr>
        <w:t> </w:t>
      </w:r>
      <w:r>
        <w:rPr>
          <w:color w:val="231F20"/>
          <w:spacing w:val="-4"/>
          <w:w w:val="110"/>
        </w:rPr>
        <w:t>género</w:t>
      </w:r>
      <w:r>
        <w:rPr>
          <w:color w:val="231F20"/>
          <w:spacing w:val="-7"/>
          <w:w w:val="110"/>
        </w:rPr>
        <w:t> </w:t>
      </w:r>
      <w:r>
        <w:rPr>
          <w:color w:val="231F20"/>
          <w:w w:val="110"/>
        </w:rPr>
        <w:t>en un contexto de alta migración internacional en el sur mexiquense”, Norma Baca</w:t>
      </w:r>
      <w:r>
        <w:rPr>
          <w:color w:val="231F20"/>
          <w:spacing w:val="-11"/>
          <w:w w:val="110"/>
        </w:rPr>
        <w:t> </w:t>
      </w:r>
      <w:r>
        <w:rPr>
          <w:color w:val="231F20"/>
          <w:spacing w:val="-4"/>
          <w:w w:val="110"/>
        </w:rPr>
        <w:t>Tavira</w:t>
      </w:r>
      <w:r>
        <w:rPr>
          <w:color w:val="231F20"/>
          <w:spacing w:val="-11"/>
          <w:w w:val="110"/>
        </w:rPr>
        <w:t> </w:t>
      </w:r>
      <w:r>
        <w:rPr>
          <w:color w:val="231F20"/>
          <w:w w:val="110"/>
        </w:rPr>
        <w:t>y</w:t>
      </w:r>
      <w:r>
        <w:rPr>
          <w:color w:val="231F20"/>
          <w:spacing w:val="-11"/>
          <w:w w:val="110"/>
        </w:rPr>
        <w:t> </w:t>
      </w:r>
      <w:r>
        <w:rPr>
          <w:color w:val="231F20"/>
          <w:spacing w:val="-3"/>
          <w:w w:val="110"/>
        </w:rPr>
        <w:t>Renato</w:t>
      </w:r>
      <w:r>
        <w:rPr>
          <w:color w:val="231F20"/>
          <w:spacing w:val="-11"/>
          <w:w w:val="110"/>
        </w:rPr>
        <w:t> </w:t>
      </w:r>
      <w:r>
        <w:rPr>
          <w:color w:val="231F20"/>
          <w:w w:val="110"/>
        </w:rPr>
        <w:t>Salas</w:t>
      </w:r>
      <w:r>
        <w:rPr>
          <w:color w:val="231F20"/>
          <w:spacing w:val="-11"/>
          <w:w w:val="110"/>
        </w:rPr>
        <w:t> </w:t>
      </w:r>
      <w:r>
        <w:rPr>
          <w:color w:val="231F20"/>
          <w:w w:val="110"/>
        </w:rPr>
        <w:t>Alfaro,</w:t>
      </w:r>
      <w:r>
        <w:rPr>
          <w:color w:val="231F20"/>
          <w:spacing w:val="-11"/>
          <w:w w:val="110"/>
        </w:rPr>
        <w:t> </w:t>
      </w:r>
      <w:r>
        <w:rPr>
          <w:color w:val="231F20"/>
          <w:w w:val="110"/>
        </w:rPr>
        <w:t>desarrollan</w:t>
      </w:r>
      <w:r>
        <w:rPr>
          <w:color w:val="231F20"/>
          <w:spacing w:val="-11"/>
          <w:w w:val="110"/>
        </w:rPr>
        <w:t> </w:t>
      </w:r>
      <w:r>
        <w:rPr>
          <w:color w:val="231F20"/>
          <w:w w:val="110"/>
        </w:rPr>
        <w:t>un</w:t>
      </w:r>
      <w:r>
        <w:rPr>
          <w:color w:val="231F20"/>
          <w:spacing w:val="-11"/>
          <w:w w:val="110"/>
        </w:rPr>
        <w:t> </w:t>
      </w:r>
      <w:r>
        <w:rPr>
          <w:color w:val="231F20"/>
          <w:w w:val="110"/>
        </w:rPr>
        <w:t>análisis</w:t>
      </w:r>
      <w:r>
        <w:rPr>
          <w:color w:val="231F20"/>
          <w:spacing w:val="-11"/>
          <w:w w:val="110"/>
        </w:rPr>
        <w:t> </w:t>
      </w:r>
      <w:r>
        <w:rPr>
          <w:color w:val="231F20"/>
          <w:w w:val="110"/>
        </w:rPr>
        <w:t>acerca</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forma</w:t>
      </w:r>
    </w:p>
    <w:p>
      <w:pPr>
        <w:spacing w:after="0" w:line="288" w:lineRule="auto"/>
        <w:jc w:val="both"/>
        <w:sectPr>
          <w:pgSz w:w="9520" w:h="12920"/>
          <w:pgMar w:header="0" w:footer="1344" w:top="880" w:bottom="1540" w:left="1320" w:right="1000"/>
        </w:sectPr>
      </w:pPr>
    </w:p>
    <w:p>
      <w:pPr>
        <w:pStyle w:val="BodyText"/>
        <w:spacing w:line="283" w:lineRule="auto" w:before="42"/>
        <w:ind w:left="100" w:right="115"/>
        <w:jc w:val="both"/>
      </w:pPr>
      <w:r>
        <w:rPr>
          <w:color w:val="231F20"/>
          <w:w w:val="110"/>
        </w:rPr>
        <w:t>en que las familias se ven afectadas en sus formas de organización y fun- </w:t>
      </w:r>
      <w:r>
        <w:rPr>
          <w:color w:val="231F20"/>
          <w:spacing w:val="3"/>
          <w:w w:val="110"/>
        </w:rPr>
        <w:t>cionamiento, </w:t>
      </w:r>
      <w:r>
        <w:rPr>
          <w:color w:val="231F20"/>
          <w:spacing w:val="2"/>
          <w:w w:val="110"/>
        </w:rPr>
        <w:t>por las </w:t>
      </w:r>
      <w:r>
        <w:rPr>
          <w:color w:val="231F20"/>
          <w:spacing w:val="3"/>
          <w:w w:val="110"/>
        </w:rPr>
        <w:t>decisiones </w:t>
      </w:r>
      <w:r>
        <w:rPr>
          <w:color w:val="231F20"/>
          <w:w w:val="110"/>
        </w:rPr>
        <w:t>de </w:t>
      </w:r>
      <w:r>
        <w:rPr>
          <w:color w:val="231F20"/>
          <w:spacing w:val="3"/>
          <w:w w:val="110"/>
        </w:rPr>
        <w:t>migrar </w:t>
      </w:r>
      <w:r>
        <w:rPr>
          <w:color w:val="231F20"/>
          <w:spacing w:val="2"/>
          <w:w w:val="110"/>
        </w:rPr>
        <w:t>que </w:t>
      </w:r>
      <w:r>
        <w:rPr>
          <w:color w:val="231F20"/>
          <w:spacing w:val="3"/>
          <w:w w:val="110"/>
        </w:rPr>
        <w:t>toman </w:t>
      </w:r>
      <w:r>
        <w:rPr>
          <w:color w:val="231F20"/>
          <w:spacing w:val="2"/>
          <w:w w:val="110"/>
        </w:rPr>
        <w:t>sus </w:t>
      </w:r>
      <w:r>
        <w:rPr>
          <w:color w:val="231F20"/>
          <w:spacing w:val="3"/>
          <w:w w:val="110"/>
        </w:rPr>
        <w:t>integrantes. </w:t>
      </w:r>
      <w:r>
        <w:rPr>
          <w:color w:val="231F20"/>
          <w:w w:val="110"/>
        </w:rPr>
        <w:t>Llevan a cabo este análisis reflexionando sobre la forma en que la familia  y la migración, como dos dimensiones teóricas y dos procesos sociales, se vinculan y relacionan, y la forma en que ese vínculo se refleja en su espa- cio geográfico de investigación. A partir de testimonios de migrantes del sur de la entidad mexiquense, identifican las reconfiguraciones de las fa- milias, los cambios en la región estudiada y en el mismo proceso de la migración. Entre sus principales hallazgos se destacan </w:t>
      </w:r>
      <w:r>
        <w:rPr>
          <w:color w:val="231F20"/>
          <w:spacing w:val="38"/>
          <w:w w:val="110"/>
        </w:rPr>
        <w:t> </w:t>
      </w:r>
      <w:r>
        <w:rPr>
          <w:color w:val="231F20"/>
          <w:w w:val="110"/>
        </w:rPr>
        <w:t>que</w:t>
      </w:r>
    </w:p>
    <w:p>
      <w:pPr>
        <w:pStyle w:val="BodyText"/>
        <w:spacing w:before="10"/>
        <w:rPr>
          <w:sz w:val="15"/>
        </w:rPr>
      </w:pPr>
    </w:p>
    <w:p>
      <w:pPr>
        <w:spacing w:line="278" w:lineRule="auto" w:before="0"/>
        <w:ind w:left="460" w:right="115" w:firstLine="0"/>
        <w:jc w:val="both"/>
        <w:rPr>
          <w:sz w:val="18"/>
        </w:rPr>
      </w:pPr>
      <w:r>
        <w:rPr>
          <w:color w:val="231F20"/>
          <w:w w:val="110"/>
          <w:sz w:val="18"/>
        </w:rPr>
        <w:t>los hogares además de contar con remesas, tienen nuevas formas e incentivos para</w:t>
      </w:r>
      <w:r>
        <w:rPr>
          <w:color w:val="231F20"/>
          <w:spacing w:val="-6"/>
          <w:w w:val="110"/>
          <w:sz w:val="18"/>
        </w:rPr>
        <w:t> </w:t>
      </w:r>
      <w:r>
        <w:rPr>
          <w:color w:val="231F20"/>
          <w:w w:val="110"/>
          <w:sz w:val="18"/>
        </w:rPr>
        <w:t>decidir</w:t>
      </w:r>
      <w:r>
        <w:rPr>
          <w:color w:val="231F20"/>
          <w:spacing w:val="-6"/>
          <w:w w:val="110"/>
          <w:sz w:val="18"/>
        </w:rPr>
        <w:t> </w:t>
      </w:r>
      <w:r>
        <w:rPr>
          <w:color w:val="231F20"/>
          <w:w w:val="110"/>
          <w:sz w:val="18"/>
        </w:rPr>
        <w:t>los</w:t>
      </w:r>
      <w:r>
        <w:rPr>
          <w:color w:val="231F20"/>
          <w:spacing w:val="-6"/>
          <w:w w:val="110"/>
          <w:sz w:val="18"/>
        </w:rPr>
        <w:t> </w:t>
      </w:r>
      <w:r>
        <w:rPr>
          <w:color w:val="231F20"/>
          <w:w w:val="110"/>
          <w:sz w:val="18"/>
        </w:rPr>
        <w:t>gastos</w:t>
      </w:r>
      <w:r>
        <w:rPr>
          <w:color w:val="231F20"/>
          <w:spacing w:val="-6"/>
          <w:w w:val="110"/>
          <w:sz w:val="18"/>
        </w:rPr>
        <w:t> </w:t>
      </w:r>
      <w:r>
        <w:rPr>
          <w:color w:val="231F20"/>
          <w:w w:val="110"/>
          <w:sz w:val="18"/>
        </w:rPr>
        <w:t>[…]</w:t>
      </w:r>
      <w:r>
        <w:rPr>
          <w:color w:val="231F20"/>
          <w:spacing w:val="-6"/>
          <w:w w:val="110"/>
          <w:sz w:val="18"/>
        </w:rPr>
        <w:t> </w:t>
      </w:r>
      <w:r>
        <w:rPr>
          <w:color w:val="231F20"/>
          <w:w w:val="110"/>
          <w:sz w:val="18"/>
        </w:rPr>
        <w:t>Los</w:t>
      </w:r>
      <w:r>
        <w:rPr>
          <w:color w:val="231F20"/>
          <w:spacing w:val="-6"/>
          <w:w w:val="110"/>
          <w:sz w:val="18"/>
        </w:rPr>
        <w:t> </w:t>
      </w:r>
      <w:r>
        <w:rPr>
          <w:color w:val="231F20"/>
          <w:w w:val="110"/>
          <w:sz w:val="18"/>
        </w:rPr>
        <w:t>migrantes</w:t>
      </w:r>
      <w:r>
        <w:rPr>
          <w:color w:val="231F20"/>
          <w:spacing w:val="-6"/>
          <w:w w:val="110"/>
          <w:sz w:val="18"/>
        </w:rPr>
        <w:t> </w:t>
      </w:r>
      <w:r>
        <w:rPr>
          <w:color w:val="231F20"/>
          <w:w w:val="110"/>
          <w:sz w:val="18"/>
        </w:rPr>
        <w:t>nuevos</w:t>
      </w:r>
      <w:r>
        <w:rPr>
          <w:color w:val="231F20"/>
          <w:spacing w:val="-6"/>
          <w:w w:val="110"/>
          <w:sz w:val="18"/>
        </w:rPr>
        <w:t> </w:t>
      </w:r>
      <w:r>
        <w:rPr>
          <w:color w:val="231F20"/>
          <w:w w:val="110"/>
          <w:sz w:val="18"/>
        </w:rPr>
        <w:t>y</w:t>
      </w:r>
      <w:r>
        <w:rPr>
          <w:color w:val="231F20"/>
          <w:spacing w:val="-6"/>
          <w:w w:val="110"/>
          <w:sz w:val="18"/>
        </w:rPr>
        <w:t> </w:t>
      </w:r>
      <w:r>
        <w:rPr>
          <w:color w:val="231F20"/>
          <w:w w:val="110"/>
          <w:sz w:val="18"/>
        </w:rPr>
        <w:t>recurrentes</w:t>
      </w:r>
      <w:r>
        <w:rPr>
          <w:color w:val="231F20"/>
          <w:spacing w:val="-6"/>
          <w:w w:val="110"/>
          <w:sz w:val="18"/>
        </w:rPr>
        <w:t> </w:t>
      </w:r>
      <w:r>
        <w:rPr>
          <w:color w:val="231F20"/>
          <w:w w:val="110"/>
          <w:sz w:val="18"/>
        </w:rPr>
        <w:t>siguen</w:t>
      </w:r>
      <w:r>
        <w:rPr>
          <w:color w:val="231F20"/>
          <w:spacing w:val="-6"/>
          <w:w w:val="110"/>
          <w:sz w:val="18"/>
        </w:rPr>
        <w:t> </w:t>
      </w:r>
      <w:r>
        <w:rPr>
          <w:color w:val="231F20"/>
          <w:w w:val="110"/>
          <w:sz w:val="18"/>
        </w:rPr>
        <w:t>saliendo mayoritariamente por necesidad económica y buscando oportunidades de</w:t>
      </w:r>
      <w:r>
        <w:rPr>
          <w:color w:val="231F20"/>
          <w:spacing w:val="-26"/>
          <w:w w:val="110"/>
          <w:sz w:val="18"/>
        </w:rPr>
        <w:t> </w:t>
      </w:r>
      <w:r>
        <w:rPr>
          <w:color w:val="231F20"/>
          <w:w w:val="110"/>
          <w:sz w:val="18"/>
        </w:rPr>
        <w:t>me- jorar sus formas de vida, las mujeres preponderantemente mayores de edad que viven en pareja, siguen apegadas a las formas tradicionales de verse como actoras del espacio reproductivo del</w:t>
      </w:r>
      <w:r>
        <w:rPr>
          <w:color w:val="231F20"/>
          <w:spacing w:val="19"/>
          <w:w w:val="110"/>
          <w:sz w:val="18"/>
        </w:rPr>
        <w:t> </w:t>
      </w:r>
      <w:r>
        <w:rPr>
          <w:color w:val="231F20"/>
          <w:spacing w:val="-3"/>
          <w:w w:val="110"/>
          <w:sz w:val="18"/>
        </w:rPr>
        <w:t>hogar.</w:t>
      </w:r>
    </w:p>
    <w:p>
      <w:pPr>
        <w:pStyle w:val="BodyText"/>
        <w:spacing w:before="6"/>
        <w:rPr>
          <w:sz w:val="21"/>
        </w:rPr>
      </w:pPr>
    </w:p>
    <w:p>
      <w:pPr>
        <w:pStyle w:val="BodyText"/>
        <w:spacing w:line="283" w:lineRule="auto"/>
        <w:ind w:left="100" w:right="117" w:firstLine="360"/>
        <w:jc w:val="both"/>
      </w:pPr>
      <w:r>
        <w:rPr>
          <w:color w:val="231F20"/>
          <w:spacing w:val="3"/>
          <w:w w:val="110"/>
        </w:rPr>
        <w:t>La </w:t>
      </w:r>
      <w:r>
        <w:rPr>
          <w:color w:val="231F20"/>
          <w:spacing w:val="2"/>
          <w:w w:val="110"/>
        </w:rPr>
        <w:t>familia campesina </w:t>
      </w:r>
      <w:r>
        <w:rPr>
          <w:color w:val="231F20"/>
          <w:w w:val="110"/>
        </w:rPr>
        <w:t>y la </w:t>
      </w:r>
      <w:r>
        <w:rPr>
          <w:color w:val="231F20"/>
          <w:spacing w:val="2"/>
          <w:w w:val="110"/>
        </w:rPr>
        <w:t>autosuficiencia alimentaria </w:t>
      </w:r>
      <w:r>
        <w:rPr>
          <w:color w:val="231F20"/>
          <w:w w:val="110"/>
        </w:rPr>
        <w:t>en el </w:t>
      </w:r>
      <w:r>
        <w:rPr>
          <w:color w:val="231F20"/>
          <w:spacing w:val="2"/>
          <w:w w:val="110"/>
        </w:rPr>
        <w:t>valle </w:t>
      </w:r>
      <w:r>
        <w:rPr>
          <w:color w:val="231F20"/>
          <w:w w:val="110"/>
        </w:rPr>
        <w:t>de Ixtlahuaca, Estado de México, de Laura Reyes Montes, se integra como el sexto capítulo del libro. En él la autora analiza desde una perspectiva an- tropológica, la forma en que las familias campesinas en una zona del Esta- do de México, se adecuan a las transformaciones ambientales, industriales y agrícolas de los últimos tiempos, mediante cambios en la organización sociocultural</w:t>
      </w:r>
      <w:r>
        <w:rPr>
          <w:color w:val="231F20"/>
          <w:spacing w:val="-18"/>
          <w:w w:val="110"/>
        </w:rPr>
        <w:t> </w:t>
      </w:r>
      <w:r>
        <w:rPr>
          <w:color w:val="231F20"/>
          <w:w w:val="110"/>
        </w:rPr>
        <w:t>y</w:t>
      </w:r>
      <w:r>
        <w:rPr>
          <w:color w:val="231F20"/>
          <w:spacing w:val="-18"/>
          <w:w w:val="110"/>
        </w:rPr>
        <w:t> </w:t>
      </w:r>
      <w:r>
        <w:rPr>
          <w:color w:val="231F20"/>
          <w:w w:val="110"/>
        </w:rPr>
        <w:t>en</w:t>
      </w:r>
      <w:r>
        <w:rPr>
          <w:color w:val="231F20"/>
          <w:spacing w:val="-18"/>
          <w:w w:val="110"/>
        </w:rPr>
        <w:t> </w:t>
      </w:r>
      <w:r>
        <w:rPr>
          <w:color w:val="231F20"/>
          <w:w w:val="110"/>
        </w:rPr>
        <w:t>la</w:t>
      </w:r>
      <w:r>
        <w:rPr>
          <w:color w:val="231F20"/>
          <w:spacing w:val="-18"/>
          <w:w w:val="110"/>
        </w:rPr>
        <w:t> </w:t>
      </w:r>
      <w:r>
        <w:rPr>
          <w:color w:val="231F20"/>
          <w:w w:val="110"/>
        </w:rPr>
        <w:t>autosuficiencia</w:t>
      </w:r>
      <w:r>
        <w:rPr>
          <w:color w:val="231F20"/>
          <w:spacing w:val="-18"/>
          <w:w w:val="110"/>
        </w:rPr>
        <w:t> </w:t>
      </w:r>
      <w:r>
        <w:rPr>
          <w:color w:val="231F20"/>
          <w:w w:val="110"/>
        </w:rPr>
        <w:t>alimentaria.</w:t>
      </w:r>
      <w:r>
        <w:rPr>
          <w:color w:val="231F20"/>
          <w:spacing w:val="-18"/>
          <w:w w:val="110"/>
        </w:rPr>
        <w:t> </w:t>
      </w:r>
      <w:r>
        <w:rPr>
          <w:color w:val="231F20"/>
          <w:w w:val="110"/>
        </w:rPr>
        <w:t>Entre</w:t>
      </w:r>
      <w:r>
        <w:rPr>
          <w:color w:val="231F20"/>
          <w:spacing w:val="-18"/>
          <w:w w:val="110"/>
        </w:rPr>
        <w:t> </w:t>
      </w:r>
      <w:r>
        <w:rPr>
          <w:color w:val="231F20"/>
          <w:w w:val="110"/>
        </w:rPr>
        <w:t>las</w:t>
      </w:r>
      <w:r>
        <w:rPr>
          <w:color w:val="231F20"/>
          <w:spacing w:val="-18"/>
          <w:w w:val="110"/>
        </w:rPr>
        <w:t> </w:t>
      </w:r>
      <w:r>
        <w:rPr>
          <w:color w:val="231F20"/>
          <w:w w:val="110"/>
        </w:rPr>
        <w:t>transformaciones más destacadas, se encuentran la diversificación de las actividades econó- micas de la familia y la necesidad de realizar ajustes ocupacionales por sexo y edad. Claro que, la autora no deja de destacar la mirada antropoló- gica sobre el tema bajo estudio; así, enfatiza </w:t>
      </w:r>
      <w:r>
        <w:rPr>
          <w:color w:val="231F20"/>
          <w:spacing w:val="14"/>
          <w:w w:val="110"/>
        </w:rPr>
        <w:t> </w:t>
      </w:r>
      <w:r>
        <w:rPr>
          <w:color w:val="231F20"/>
          <w:w w:val="110"/>
        </w:rPr>
        <w:t>que</w:t>
      </w:r>
    </w:p>
    <w:p>
      <w:pPr>
        <w:pStyle w:val="BodyText"/>
        <w:spacing w:before="10"/>
        <w:rPr>
          <w:sz w:val="15"/>
        </w:rPr>
      </w:pPr>
    </w:p>
    <w:p>
      <w:pPr>
        <w:spacing w:line="278" w:lineRule="auto" w:before="0"/>
        <w:ind w:left="460" w:right="115" w:firstLine="0"/>
        <w:jc w:val="both"/>
        <w:rPr>
          <w:sz w:val="18"/>
        </w:rPr>
      </w:pPr>
      <w:r>
        <w:rPr>
          <w:color w:val="231F20"/>
          <w:w w:val="110"/>
          <w:sz w:val="18"/>
        </w:rPr>
        <w:t>No podemos entender a las familias campesinas en México exclusivamente en términos económicos, la explicación se encuentra además en reconocer la habilidad que éstos tienen para generar ajustes en su organización social, aceptar la importante relación que existe entre el conocimiento tradicional de los sistemas agrícolas.</w:t>
      </w:r>
    </w:p>
    <w:p>
      <w:pPr>
        <w:pStyle w:val="BodyText"/>
        <w:spacing w:before="5"/>
        <w:rPr>
          <w:sz w:val="21"/>
        </w:rPr>
      </w:pPr>
    </w:p>
    <w:p>
      <w:pPr>
        <w:pStyle w:val="BodyText"/>
        <w:spacing w:line="285" w:lineRule="auto" w:before="1"/>
        <w:ind w:left="100" w:right="114" w:firstLine="360"/>
        <w:jc w:val="both"/>
      </w:pPr>
      <w:r>
        <w:rPr>
          <w:color w:val="231F20"/>
          <w:w w:val="110"/>
        </w:rPr>
        <w:t>Jaciel Bernardino Montoya Arce, Hugo Montes de Oca </w:t>
      </w:r>
      <w:r>
        <w:rPr>
          <w:color w:val="231F20"/>
          <w:spacing w:val="-5"/>
          <w:w w:val="110"/>
        </w:rPr>
        <w:t>Vargas </w:t>
      </w:r>
      <w:r>
        <w:rPr>
          <w:color w:val="231F20"/>
          <w:w w:val="110"/>
        </w:rPr>
        <w:t>y Sergio Cuauhtémoc Gaxiola Robles Linares, en su trabajo “Vulnerabilidad social de</w:t>
      </w:r>
      <w:r>
        <w:rPr>
          <w:color w:val="231F20"/>
          <w:spacing w:val="-7"/>
          <w:w w:val="110"/>
        </w:rPr>
        <w:t> </w:t>
      </w:r>
      <w:r>
        <w:rPr>
          <w:color w:val="231F20"/>
          <w:w w:val="110"/>
        </w:rPr>
        <w:t>la</w:t>
      </w:r>
      <w:r>
        <w:rPr>
          <w:color w:val="231F20"/>
          <w:spacing w:val="-7"/>
          <w:w w:val="110"/>
        </w:rPr>
        <w:t> </w:t>
      </w:r>
      <w:r>
        <w:rPr>
          <w:color w:val="231F20"/>
          <w:w w:val="110"/>
        </w:rPr>
        <w:t>población</w:t>
      </w:r>
      <w:r>
        <w:rPr>
          <w:color w:val="231F20"/>
          <w:spacing w:val="-7"/>
          <w:w w:val="110"/>
        </w:rPr>
        <w:t> </w:t>
      </w:r>
      <w:r>
        <w:rPr>
          <w:color w:val="231F20"/>
          <w:w w:val="110"/>
        </w:rPr>
        <w:t>envejecida</w:t>
      </w:r>
      <w:r>
        <w:rPr>
          <w:color w:val="231F20"/>
          <w:spacing w:val="-7"/>
          <w:w w:val="110"/>
        </w:rPr>
        <w:t> </w:t>
      </w:r>
      <w:r>
        <w:rPr>
          <w:color w:val="231F20"/>
          <w:w w:val="110"/>
        </w:rPr>
        <w:t>del</w:t>
      </w:r>
      <w:r>
        <w:rPr>
          <w:color w:val="231F20"/>
          <w:spacing w:val="-7"/>
          <w:w w:val="110"/>
        </w:rPr>
        <w:t> </w:t>
      </w:r>
      <w:r>
        <w:rPr>
          <w:color w:val="231F20"/>
          <w:w w:val="110"/>
        </w:rPr>
        <w:t>Estado</w:t>
      </w:r>
      <w:r>
        <w:rPr>
          <w:color w:val="231F20"/>
          <w:spacing w:val="-7"/>
          <w:w w:val="110"/>
        </w:rPr>
        <w:t> </w:t>
      </w:r>
      <w:r>
        <w:rPr>
          <w:color w:val="231F20"/>
          <w:w w:val="110"/>
        </w:rPr>
        <w:t>de</w:t>
      </w:r>
      <w:r>
        <w:rPr>
          <w:color w:val="231F20"/>
          <w:spacing w:val="-7"/>
          <w:w w:val="110"/>
        </w:rPr>
        <w:t> </w:t>
      </w:r>
      <w:r>
        <w:rPr>
          <w:color w:val="231F20"/>
          <w:w w:val="110"/>
        </w:rPr>
        <w:t>México”,</w:t>
      </w:r>
      <w:r>
        <w:rPr>
          <w:color w:val="231F20"/>
          <w:spacing w:val="-7"/>
          <w:w w:val="110"/>
        </w:rPr>
        <w:t> </w:t>
      </w:r>
      <w:r>
        <w:rPr>
          <w:color w:val="231F20"/>
          <w:w w:val="110"/>
        </w:rPr>
        <w:t>discuten,</w:t>
      </w:r>
      <w:r>
        <w:rPr>
          <w:color w:val="231F20"/>
          <w:spacing w:val="-7"/>
          <w:w w:val="110"/>
        </w:rPr>
        <w:t> </w:t>
      </w:r>
      <w:r>
        <w:rPr>
          <w:color w:val="231F20"/>
          <w:w w:val="110"/>
        </w:rPr>
        <w:t>llegando</w:t>
      </w:r>
      <w:r>
        <w:rPr>
          <w:color w:val="231F20"/>
          <w:spacing w:val="-7"/>
          <w:w w:val="110"/>
        </w:rPr>
        <w:t> </w:t>
      </w:r>
      <w:r>
        <w:rPr>
          <w:color w:val="231F20"/>
          <w:w w:val="110"/>
        </w:rPr>
        <w:t>al</w:t>
      </w:r>
      <w:r>
        <w:rPr>
          <w:color w:val="231F20"/>
          <w:spacing w:val="-7"/>
          <w:w w:val="110"/>
        </w:rPr>
        <w:t> </w:t>
      </w:r>
      <w:r>
        <w:rPr>
          <w:color w:val="231F20"/>
          <w:w w:val="110"/>
        </w:rPr>
        <w:t>sép- timo capítulo, la vulnerabilidad como un fenómeno fuertemente </w:t>
      </w:r>
      <w:r>
        <w:rPr>
          <w:color w:val="231F20"/>
          <w:spacing w:val="46"/>
          <w:w w:val="110"/>
        </w:rPr>
        <w:t> </w:t>
      </w:r>
      <w:r>
        <w:rPr>
          <w:color w:val="231F20"/>
          <w:w w:val="110"/>
        </w:rPr>
        <w:t>asociado</w:t>
      </w:r>
    </w:p>
    <w:p>
      <w:pPr>
        <w:spacing w:after="0" w:line="285" w:lineRule="auto"/>
        <w:jc w:val="both"/>
        <w:sectPr>
          <w:pgSz w:w="9520" w:h="12920"/>
          <w:pgMar w:header="0" w:footer="1344" w:top="880" w:bottom="1540" w:left="1020" w:right="1320"/>
        </w:sectPr>
      </w:pPr>
    </w:p>
    <w:p>
      <w:pPr>
        <w:pStyle w:val="BodyText"/>
        <w:spacing w:line="280" w:lineRule="auto" w:before="42"/>
        <w:ind w:left="124" w:right="109"/>
        <w:jc w:val="both"/>
      </w:pPr>
      <w:r>
        <w:rPr>
          <w:color w:val="231F20"/>
          <w:w w:val="110"/>
        </w:rPr>
        <w:t>con la población adulta mayor, a partir de tres varios ejes analíticos: la salud, la seguridad económica y el entorno familiar, entre otros. A lo largo del capítulo los autores argumentan hasta dónde la relación entre enveje- cimiento</w:t>
      </w:r>
      <w:r>
        <w:rPr>
          <w:color w:val="231F20"/>
          <w:spacing w:val="-4"/>
          <w:w w:val="110"/>
        </w:rPr>
        <w:t> </w:t>
      </w:r>
      <w:r>
        <w:rPr>
          <w:color w:val="231F20"/>
          <w:w w:val="110"/>
        </w:rPr>
        <w:t>y</w:t>
      </w:r>
      <w:r>
        <w:rPr>
          <w:color w:val="231F20"/>
          <w:spacing w:val="-4"/>
          <w:w w:val="110"/>
        </w:rPr>
        <w:t> </w:t>
      </w:r>
      <w:r>
        <w:rPr>
          <w:color w:val="231F20"/>
          <w:w w:val="110"/>
        </w:rPr>
        <w:t>vulnerabilidad</w:t>
      </w:r>
      <w:r>
        <w:rPr>
          <w:color w:val="231F20"/>
          <w:spacing w:val="-4"/>
          <w:w w:val="110"/>
        </w:rPr>
        <w:t> </w:t>
      </w:r>
      <w:r>
        <w:rPr>
          <w:color w:val="231F20"/>
          <w:w w:val="110"/>
        </w:rPr>
        <w:t>es</w:t>
      </w:r>
      <w:r>
        <w:rPr>
          <w:color w:val="231F20"/>
          <w:spacing w:val="-4"/>
          <w:w w:val="110"/>
        </w:rPr>
        <w:t> </w:t>
      </w:r>
      <w:r>
        <w:rPr>
          <w:color w:val="231F20"/>
          <w:w w:val="110"/>
        </w:rPr>
        <w:t>una</w:t>
      </w:r>
      <w:r>
        <w:rPr>
          <w:color w:val="231F20"/>
          <w:spacing w:val="-4"/>
          <w:w w:val="110"/>
        </w:rPr>
        <w:t> </w:t>
      </w:r>
      <w:r>
        <w:rPr>
          <w:color w:val="231F20"/>
          <w:w w:val="110"/>
        </w:rPr>
        <w:t>relación</w:t>
      </w:r>
      <w:r>
        <w:rPr>
          <w:color w:val="231F20"/>
          <w:spacing w:val="-4"/>
          <w:w w:val="110"/>
        </w:rPr>
        <w:t> </w:t>
      </w:r>
      <w:r>
        <w:rPr>
          <w:color w:val="231F20"/>
          <w:w w:val="110"/>
        </w:rPr>
        <w:t>causal</w:t>
      </w:r>
      <w:r>
        <w:rPr>
          <w:color w:val="231F20"/>
          <w:spacing w:val="-4"/>
          <w:w w:val="110"/>
        </w:rPr>
        <w:t> </w:t>
      </w:r>
      <w:r>
        <w:rPr>
          <w:color w:val="231F20"/>
          <w:w w:val="110"/>
        </w:rPr>
        <w:t>y</w:t>
      </w:r>
      <w:r>
        <w:rPr>
          <w:color w:val="231F20"/>
          <w:spacing w:val="-4"/>
          <w:w w:val="110"/>
        </w:rPr>
        <w:t> </w:t>
      </w:r>
      <w:r>
        <w:rPr>
          <w:color w:val="231F20"/>
          <w:w w:val="110"/>
        </w:rPr>
        <w:t>directa</w:t>
      </w:r>
      <w:r>
        <w:rPr>
          <w:color w:val="231F20"/>
          <w:spacing w:val="-4"/>
          <w:w w:val="110"/>
        </w:rPr>
        <w:t> </w:t>
      </w:r>
      <w:r>
        <w:rPr>
          <w:color w:val="231F20"/>
          <w:w w:val="110"/>
        </w:rPr>
        <w:t>y</w:t>
      </w:r>
      <w:r>
        <w:rPr>
          <w:color w:val="231F20"/>
          <w:spacing w:val="-4"/>
          <w:w w:val="110"/>
        </w:rPr>
        <w:t> </w:t>
      </w:r>
      <w:r>
        <w:rPr>
          <w:color w:val="231F20"/>
          <w:w w:val="110"/>
        </w:rPr>
        <w:t>por</w:t>
      </w:r>
      <w:r>
        <w:rPr>
          <w:color w:val="231F20"/>
          <w:spacing w:val="-4"/>
          <w:w w:val="110"/>
        </w:rPr>
        <w:t> </w:t>
      </w:r>
      <w:r>
        <w:rPr>
          <w:color w:val="231F20"/>
          <w:w w:val="110"/>
        </w:rPr>
        <w:t>ende</w:t>
      </w:r>
      <w:r>
        <w:rPr>
          <w:color w:val="231F20"/>
          <w:spacing w:val="-4"/>
          <w:w w:val="110"/>
        </w:rPr>
        <w:t> </w:t>
      </w:r>
      <w:r>
        <w:rPr>
          <w:color w:val="231F20"/>
          <w:w w:val="110"/>
        </w:rPr>
        <w:t>inevi- table, o si ese relacionamiento obedece al contexto en que ambas dimen- siones se posicionan. Mediante el análisis de datos del Censo de Población y</w:t>
      </w:r>
      <w:r>
        <w:rPr>
          <w:color w:val="231F20"/>
          <w:spacing w:val="-5"/>
          <w:w w:val="110"/>
        </w:rPr>
        <w:t> </w:t>
      </w:r>
      <w:r>
        <w:rPr>
          <w:color w:val="231F20"/>
          <w:spacing w:val="-3"/>
          <w:w w:val="110"/>
        </w:rPr>
        <w:t>Vivienda</w:t>
      </w:r>
      <w:r>
        <w:rPr>
          <w:color w:val="231F20"/>
          <w:spacing w:val="-5"/>
          <w:w w:val="110"/>
        </w:rPr>
        <w:t> </w:t>
      </w:r>
      <w:r>
        <w:rPr>
          <w:color w:val="231F20"/>
          <w:w w:val="110"/>
        </w:rPr>
        <w:t>del</w:t>
      </w:r>
      <w:r>
        <w:rPr>
          <w:color w:val="231F20"/>
          <w:spacing w:val="-5"/>
          <w:w w:val="110"/>
        </w:rPr>
        <w:t> </w:t>
      </w:r>
      <w:r>
        <w:rPr>
          <w:color w:val="231F20"/>
          <w:w w:val="110"/>
        </w:rPr>
        <w:t>año</w:t>
      </w:r>
      <w:r>
        <w:rPr>
          <w:color w:val="231F20"/>
          <w:spacing w:val="-5"/>
          <w:w w:val="110"/>
        </w:rPr>
        <w:t> </w:t>
      </w:r>
      <w:r>
        <w:rPr>
          <w:color w:val="231F20"/>
          <w:w w:val="110"/>
        </w:rPr>
        <w:t>2010,</w:t>
      </w:r>
      <w:r>
        <w:rPr>
          <w:color w:val="231F20"/>
          <w:spacing w:val="-5"/>
          <w:w w:val="110"/>
        </w:rPr>
        <w:t> </w:t>
      </w:r>
      <w:r>
        <w:rPr>
          <w:color w:val="231F20"/>
          <w:w w:val="110"/>
        </w:rPr>
        <w:t>reconocen</w:t>
      </w:r>
      <w:r>
        <w:rPr>
          <w:color w:val="231F20"/>
          <w:spacing w:val="-5"/>
          <w:w w:val="110"/>
        </w:rPr>
        <w:t> </w:t>
      </w:r>
      <w:r>
        <w:rPr>
          <w:color w:val="231F20"/>
          <w:w w:val="110"/>
        </w:rPr>
        <w:t>que</w:t>
      </w:r>
      <w:r>
        <w:rPr>
          <w:color w:val="231F20"/>
          <w:spacing w:val="-5"/>
          <w:w w:val="110"/>
        </w:rPr>
        <w:t> </w:t>
      </w:r>
      <w:r>
        <w:rPr>
          <w:color w:val="231F20"/>
          <w:spacing w:val="2"/>
          <w:w w:val="110"/>
        </w:rPr>
        <w:t>“Las</w:t>
      </w:r>
      <w:r>
        <w:rPr>
          <w:color w:val="231F20"/>
          <w:spacing w:val="-5"/>
          <w:w w:val="110"/>
        </w:rPr>
        <w:t> </w:t>
      </w:r>
      <w:r>
        <w:rPr>
          <w:color w:val="231F20"/>
          <w:w w:val="110"/>
        </w:rPr>
        <w:t>características</w:t>
      </w:r>
      <w:r>
        <w:rPr>
          <w:color w:val="231F20"/>
          <w:spacing w:val="-5"/>
          <w:w w:val="110"/>
        </w:rPr>
        <w:t> </w:t>
      </w:r>
      <w:r>
        <w:rPr>
          <w:color w:val="231F20"/>
          <w:w w:val="110"/>
        </w:rPr>
        <w:t>económicas</w:t>
      </w:r>
      <w:r>
        <w:rPr>
          <w:color w:val="231F20"/>
          <w:spacing w:val="-5"/>
          <w:w w:val="110"/>
        </w:rPr>
        <w:t> </w:t>
      </w:r>
      <w:r>
        <w:rPr>
          <w:color w:val="231F20"/>
          <w:w w:val="110"/>
        </w:rPr>
        <w:t>en la vejez aparecen como uno de los factores más importantes vinculados con la </w:t>
      </w:r>
      <w:r>
        <w:rPr>
          <w:color w:val="231F20"/>
          <w:spacing w:val="2"/>
          <w:w w:val="110"/>
        </w:rPr>
        <w:t>vulnerabilidad </w:t>
      </w:r>
      <w:r>
        <w:rPr>
          <w:color w:val="231F20"/>
          <w:w w:val="110"/>
        </w:rPr>
        <w:t>de la </w:t>
      </w:r>
      <w:r>
        <w:rPr>
          <w:color w:val="231F20"/>
          <w:spacing w:val="2"/>
          <w:w w:val="110"/>
        </w:rPr>
        <w:t>población adulta </w:t>
      </w:r>
      <w:r>
        <w:rPr>
          <w:color w:val="231F20"/>
          <w:spacing w:val="3"/>
          <w:w w:val="110"/>
        </w:rPr>
        <w:t>mayor”, </w:t>
      </w:r>
      <w:r>
        <w:rPr>
          <w:color w:val="231F20"/>
          <w:w w:val="110"/>
        </w:rPr>
        <w:t>lo que </w:t>
      </w:r>
      <w:r>
        <w:rPr>
          <w:color w:val="231F20"/>
          <w:spacing w:val="2"/>
          <w:w w:val="110"/>
        </w:rPr>
        <w:t>consideran </w:t>
      </w:r>
      <w:r>
        <w:rPr>
          <w:color w:val="231F20"/>
          <w:w w:val="110"/>
        </w:rPr>
        <w:t>obliga a “reconocer el valor de los derechos humanos de este grupo de población, en apoyo al mejoramiento de su calidad de vida, y proteger su derecho a vivir con dignidad su vejez, como una etapa final de su  </w:t>
      </w:r>
      <w:r>
        <w:rPr>
          <w:color w:val="231F20"/>
          <w:spacing w:val="13"/>
          <w:w w:val="110"/>
        </w:rPr>
        <w:t> </w:t>
      </w:r>
      <w:r>
        <w:rPr>
          <w:color w:val="231F20"/>
          <w:w w:val="110"/>
        </w:rPr>
        <w:t>vida”.</w:t>
      </w:r>
    </w:p>
    <w:p>
      <w:pPr>
        <w:pStyle w:val="BodyText"/>
        <w:spacing w:line="280" w:lineRule="auto"/>
        <w:ind w:left="124" w:right="111" w:firstLine="360"/>
        <w:jc w:val="both"/>
      </w:pPr>
      <w:r>
        <w:rPr>
          <w:color w:val="231F20"/>
          <w:w w:val="110"/>
        </w:rPr>
        <w:t>Finalmente, el octavo capítulo, </w:t>
      </w:r>
      <w:r>
        <w:rPr>
          <w:color w:val="231F20"/>
          <w:spacing w:val="2"/>
          <w:w w:val="110"/>
        </w:rPr>
        <w:t>“Desigualdad </w:t>
      </w:r>
      <w:r>
        <w:rPr>
          <w:color w:val="231F20"/>
          <w:w w:val="110"/>
        </w:rPr>
        <w:t>socioeconómica de los </w:t>
      </w:r>
      <w:r>
        <w:rPr>
          <w:color w:val="231F20"/>
          <w:spacing w:val="-4"/>
          <w:w w:val="110"/>
        </w:rPr>
        <w:t>adultos mayores </w:t>
      </w:r>
      <w:r>
        <w:rPr>
          <w:color w:val="231F20"/>
          <w:w w:val="110"/>
        </w:rPr>
        <w:t>en </w:t>
      </w:r>
      <w:r>
        <w:rPr>
          <w:color w:val="231F20"/>
          <w:spacing w:val="-3"/>
          <w:w w:val="110"/>
        </w:rPr>
        <w:t>las </w:t>
      </w:r>
      <w:r>
        <w:rPr>
          <w:color w:val="231F20"/>
          <w:spacing w:val="-4"/>
          <w:w w:val="110"/>
        </w:rPr>
        <w:t>cinco zonas metropolitanas </w:t>
      </w:r>
      <w:r>
        <w:rPr>
          <w:color w:val="231F20"/>
          <w:spacing w:val="-3"/>
          <w:w w:val="110"/>
        </w:rPr>
        <w:t>más </w:t>
      </w:r>
      <w:r>
        <w:rPr>
          <w:color w:val="231F20"/>
          <w:spacing w:val="-4"/>
          <w:w w:val="110"/>
        </w:rPr>
        <w:t>grandes </w:t>
      </w:r>
      <w:r>
        <w:rPr>
          <w:color w:val="231F20"/>
          <w:w w:val="110"/>
        </w:rPr>
        <w:t>de </w:t>
      </w:r>
      <w:r>
        <w:rPr>
          <w:color w:val="231F20"/>
          <w:spacing w:val="-4"/>
          <w:w w:val="110"/>
        </w:rPr>
        <w:t>México”, </w:t>
      </w:r>
      <w:r>
        <w:rPr>
          <w:color w:val="231F20"/>
          <w:w w:val="110"/>
        </w:rPr>
        <w:t>de Pablo Jasso Salas y Zoraida Ronzón Hernández, realiza un análisis del envejecimiento</w:t>
      </w:r>
      <w:r>
        <w:rPr>
          <w:color w:val="231F20"/>
          <w:spacing w:val="-10"/>
          <w:w w:val="110"/>
        </w:rPr>
        <w:t> </w:t>
      </w:r>
      <w:r>
        <w:rPr>
          <w:color w:val="231F20"/>
          <w:w w:val="110"/>
        </w:rPr>
        <w:t>desde</w:t>
      </w:r>
      <w:r>
        <w:rPr>
          <w:color w:val="231F20"/>
          <w:spacing w:val="-10"/>
          <w:w w:val="110"/>
        </w:rPr>
        <w:t> </w:t>
      </w:r>
      <w:r>
        <w:rPr>
          <w:color w:val="231F20"/>
          <w:w w:val="110"/>
        </w:rPr>
        <w:t>una</w:t>
      </w:r>
      <w:r>
        <w:rPr>
          <w:color w:val="231F20"/>
          <w:spacing w:val="-10"/>
          <w:w w:val="110"/>
        </w:rPr>
        <w:t> </w:t>
      </w:r>
      <w:r>
        <w:rPr>
          <w:color w:val="231F20"/>
          <w:w w:val="110"/>
        </w:rPr>
        <w:t>óptica</w:t>
      </w:r>
      <w:r>
        <w:rPr>
          <w:color w:val="231F20"/>
          <w:spacing w:val="-10"/>
          <w:w w:val="110"/>
        </w:rPr>
        <w:t> </w:t>
      </w:r>
      <w:r>
        <w:rPr>
          <w:color w:val="231F20"/>
          <w:w w:val="110"/>
        </w:rPr>
        <w:t>geopolítica,</w:t>
      </w:r>
      <w:r>
        <w:rPr>
          <w:color w:val="231F20"/>
          <w:spacing w:val="-10"/>
          <w:w w:val="110"/>
        </w:rPr>
        <w:t> </w:t>
      </w:r>
      <w:r>
        <w:rPr>
          <w:color w:val="231F20"/>
          <w:w w:val="110"/>
        </w:rPr>
        <w:t>distinguiendo</w:t>
      </w:r>
      <w:r>
        <w:rPr>
          <w:color w:val="231F20"/>
          <w:spacing w:val="-10"/>
          <w:w w:val="110"/>
        </w:rPr>
        <w:t> </w:t>
      </w:r>
      <w:r>
        <w:rPr>
          <w:color w:val="231F20"/>
          <w:w w:val="110"/>
        </w:rPr>
        <w:t>regiones</w:t>
      </w:r>
      <w:r>
        <w:rPr>
          <w:color w:val="231F20"/>
          <w:spacing w:val="-10"/>
          <w:w w:val="110"/>
        </w:rPr>
        <w:t> </w:t>
      </w:r>
      <w:r>
        <w:rPr>
          <w:color w:val="231F20"/>
          <w:w w:val="110"/>
        </w:rPr>
        <w:t>y</w:t>
      </w:r>
      <w:r>
        <w:rPr>
          <w:color w:val="231F20"/>
          <w:spacing w:val="-10"/>
          <w:w w:val="110"/>
        </w:rPr>
        <w:t> </w:t>
      </w:r>
      <w:r>
        <w:rPr>
          <w:color w:val="231F20"/>
          <w:w w:val="110"/>
        </w:rPr>
        <w:t>dife- renciando el envejecimiento en etapas etarias para contar con elementos que</w:t>
      </w:r>
      <w:r>
        <w:rPr>
          <w:color w:val="231F20"/>
          <w:spacing w:val="-16"/>
          <w:w w:val="110"/>
        </w:rPr>
        <w:t> </w:t>
      </w:r>
      <w:r>
        <w:rPr>
          <w:color w:val="231F20"/>
          <w:w w:val="110"/>
        </w:rPr>
        <w:t>les</w:t>
      </w:r>
      <w:r>
        <w:rPr>
          <w:color w:val="231F20"/>
          <w:spacing w:val="-16"/>
          <w:w w:val="110"/>
        </w:rPr>
        <w:t> </w:t>
      </w:r>
      <w:r>
        <w:rPr>
          <w:color w:val="231F20"/>
          <w:w w:val="110"/>
        </w:rPr>
        <w:t>posibiliten</w:t>
      </w:r>
      <w:r>
        <w:rPr>
          <w:color w:val="231F20"/>
          <w:spacing w:val="-16"/>
          <w:w w:val="110"/>
        </w:rPr>
        <w:t> </w:t>
      </w:r>
      <w:r>
        <w:rPr>
          <w:color w:val="231F20"/>
          <w:w w:val="110"/>
        </w:rPr>
        <w:t>analizar</w:t>
      </w:r>
      <w:r>
        <w:rPr>
          <w:color w:val="231F20"/>
          <w:spacing w:val="-16"/>
          <w:w w:val="110"/>
        </w:rPr>
        <w:t> </w:t>
      </w:r>
      <w:r>
        <w:rPr>
          <w:color w:val="231F20"/>
          <w:w w:val="110"/>
        </w:rPr>
        <w:t>la</w:t>
      </w:r>
      <w:r>
        <w:rPr>
          <w:color w:val="231F20"/>
          <w:spacing w:val="-16"/>
          <w:w w:val="110"/>
        </w:rPr>
        <w:t> </w:t>
      </w:r>
      <w:r>
        <w:rPr>
          <w:color w:val="231F20"/>
          <w:w w:val="110"/>
        </w:rPr>
        <w:t>relación</w:t>
      </w:r>
      <w:r>
        <w:rPr>
          <w:color w:val="231F20"/>
          <w:spacing w:val="-16"/>
          <w:w w:val="110"/>
        </w:rPr>
        <w:t> </w:t>
      </w:r>
      <w:r>
        <w:rPr>
          <w:color w:val="231F20"/>
          <w:w w:val="110"/>
        </w:rPr>
        <w:t>entre</w:t>
      </w:r>
      <w:r>
        <w:rPr>
          <w:color w:val="231F20"/>
          <w:spacing w:val="-16"/>
          <w:w w:val="110"/>
        </w:rPr>
        <w:t> </w:t>
      </w:r>
      <w:r>
        <w:rPr>
          <w:color w:val="231F20"/>
          <w:w w:val="110"/>
        </w:rPr>
        <w:t>el</w:t>
      </w:r>
      <w:r>
        <w:rPr>
          <w:color w:val="231F20"/>
          <w:spacing w:val="-16"/>
          <w:w w:val="110"/>
        </w:rPr>
        <w:t> </w:t>
      </w:r>
      <w:r>
        <w:rPr>
          <w:color w:val="231F20"/>
          <w:w w:val="110"/>
        </w:rPr>
        <w:t>rápido</w:t>
      </w:r>
      <w:r>
        <w:rPr>
          <w:color w:val="231F20"/>
          <w:spacing w:val="-16"/>
          <w:w w:val="110"/>
        </w:rPr>
        <w:t> </w:t>
      </w:r>
      <w:r>
        <w:rPr>
          <w:color w:val="231F20"/>
          <w:w w:val="110"/>
        </w:rPr>
        <w:t>envejecimiento</w:t>
      </w:r>
      <w:r>
        <w:rPr>
          <w:color w:val="231F20"/>
          <w:spacing w:val="-16"/>
          <w:w w:val="110"/>
        </w:rPr>
        <w:t> </w:t>
      </w:r>
      <w:r>
        <w:rPr>
          <w:color w:val="231F20"/>
          <w:w w:val="110"/>
        </w:rPr>
        <w:t>pobla- cional</w:t>
      </w:r>
      <w:r>
        <w:rPr>
          <w:color w:val="231F20"/>
          <w:spacing w:val="-20"/>
          <w:w w:val="110"/>
        </w:rPr>
        <w:t> </w:t>
      </w:r>
      <w:r>
        <w:rPr>
          <w:color w:val="231F20"/>
          <w:w w:val="110"/>
        </w:rPr>
        <w:t>y</w:t>
      </w:r>
      <w:r>
        <w:rPr>
          <w:color w:val="231F20"/>
          <w:spacing w:val="-20"/>
          <w:w w:val="110"/>
        </w:rPr>
        <w:t> </w:t>
      </w:r>
      <w:r>
        <w:rPr>
          <w:color w:val="231F20"/>
          <w:w w:val="110"/>
        </w:rPr>
        <w:t>del</w:t>
      </w:r>
      <w:r>
        <w:rPr>
          <w:color w:val="231F20"/>
          <w:spacing w:val="-20"/>
          <w:w w:val="110"/>
        </w:rPr>
        <w:t> </w:t>
      </w:r>
      <w:r>
        <w:rPr>
          <w:color w:val="231F20"/>
          <w:w w:val="110"/>
        </w:rPr>
        <w:t>desarrollo</w:t>
      </w:r>
      <w:r>
        <w:rPr>
          <w:color w:val="231F20"/>
          <w:spacing w:val="-20"/>
          <w:w w:val="110"/>
        </w:rPr>
        <w:t> </w:t>
      </w:r>
      <w:r>
        <w:rPr>
          <w:color w:val="231F20"/>
          <w:w w:val="110"/>
        </w:rPr>
        <w:t>socioeconómico</w:t>
      </w:r>
      <w:r>
        <w:rPr>
          <w:color w:val="231F20"/>
          <w:spacing w:val="-20"/>
          <w:w w:val="110"/>
        </w:rPr>
        <w:t> </w:t>
      </w:r>
      <w:r>
        <w:rPr>
          <w:color w:val="231F20"/>
          <w:w w:val="110"/>
        </w:rPr>
        <w:t>del</w:t>
      </w:r>
      <w:r>
        <w:rPr>
          <w:color w:val="231F20"/>
          <w:spacing w:val="-20"/>
          <w:w w:val="110"/>
        </w:rPr>
        <w:t> </w:t>
      </w:r>
      <w:r>
        <w:rPr>
          <w:color w:val="231F20"/>
          <w:w w:val="110"/>
        </w:rPr>
        <w:t>país.</w:t>
      </w:r>
      <w:r>
        <w:rPr>
          <w:color w:val="231F20"/>
          <w:spacing w:val="-20"/>
          <w:w w:val="110"/>
        </w:rPr>
        <w:t> </w:t>
      </w:r>
      <w:r>
        <w:rPr>
          <w:color w:val="231F20"/>
          <w:w w:val="110"/>
        </w:rPr>
        <w:t>Los</w:t>
      </w:r>
      <w:r>
        <w:rPr>
          <w:color w:val="231F20"/>
          <w:spacing w:val="-20"/>
          <w:w w:val="110"/>
        </w:rPr>
        <w:t> </w:t>
      </w:r>
      <w:r>
        <w:rPr>
          <w:color w:val="231F20"/>
          <w:w w:val="110"/>
        </w:rPr>
        <w:t>resultados</w:t>
      </w:r>
      <w:r>
        <w:rPr>
          <w:color w:val="231F20"/>
          <w:spacing w:val="-20"/>
          <w:w w:val="110"/>
        </w:rPr>
        <w:t> </w:t>
      </w:r>
      <w:r>
        <w:rPr>
          <w:color w:val="231F20"/>
          <w:w w:val="110"/>
        </w:rPr>
        <w:t>obtenidos</w:t>
      </w:r>
      <w:r>
        <w:rPr>
          <w:color w:val="231F20"/>
          <w:spacing w:val="-19"/>
          <w:w w:val="110"/>
        </w:rPr>
        <w:t> </w:t>
      </w:r>
      <w:r>
        <w:rPr>
          <w:color w:val="231F20"/>
          <w:w w:val="110"/>
        </w:rPr>
        <w:t>les permiten señalar, en primer lugar, la dificultad que tiene la medición de fenómenos</w:t>
      </w:r>
      <w:r>
        <w:rPr>
          <w:color w:val="231F20"/>
          <w:spacing w:val="-12"/>
          <w:w w:val="110"/>
        </w:rPr>
        <w:t> </w:t>
      </w:r>
      <w:r>
        <w:rPr>
          <w:color w:val="231F20"/>
          <w:w w:val="110"/>
        </w:rPr>
        <w:t>complejos,</w:t>
      </w:r>
      <w:r>
        <w:rPr>
          <w:color w:val="231F20"/>
          <w:spacing w:val="-12"/>
          <w:w w:val="110"/>
        </w:rPr>
        <w:t> </w:t>
      </w:r>
      <w:r>
        <w:rPr>
          <w:color w:val="231F20"/>
          <w:w w:val="110"/>
        </w:rPr>
        <w:t>multidimensionales</w:t>
      </w:r>
      <w:r>
        <w:rPr>
          <w:color w:val="231F20"/>
          <w:spacing w:val="-12"/>
          <w:w w:val="110"/>
        </w:rPr>
        <w:t> </w:t>
      </w:r>
      <w:r>
        <w:rPr>
          <w:color w:val="231F20"/>
          <w:w w:val="110"/>
        </w:rPr>
        <w:t>y</w:t>
      </w:r>
      <w:r>
        <w:rPr>
          <w:color w:val="231F20"/>
          <w:spacing w:val="-12"/>
          <w:w w:val="110"/>
        </w:rPr>
        <w:t> </w:t>
      </w:r>
      <w:r>
        <w:rPr>
          <w:color w:val="231F20"/>
          <w:w w:val="110"/>
        </w:rPr>
        <w:t>multifactoriales</w:t>
      </w:r>
      <w:r>
        <w:rPr>
          <w:color w:val="231F20"/>
          <w:spacing w:val="-12"/>
          <w:w w:val="110"/>
        </w:rPr>
        <w:t> </w:t>
      </w:r>
      <w:r>
        <w:rPr>
          <w:color w:val="231F20"/>
          <w:w w:val="110"/>
        </w:rPr>
        <w:t>como</w:t>
      </w:r>
      <w:r>
        <w:rPr>
          <w:color w:val="231F20"/>
          <w:spacing w:val="-12"/>
          <w:w w:val="110"/>
        </w:rPr>
        <w:t> </w:t>
      </w:r>
      <w:r>
        <w:rPr>
          <w:color w:val="231F20"/>
          <w:w w:val="110"/>
        </w:rPr>
        <w:t>el</w:t>
      </w:r>
      <w:r>
        <w:rPr>
          <w:color w:val="231F20"/>
          <w:spacing w:val="-12"/>
          <w:w w:val="110"/>
        </w:rPr>
        <w:t> </w:t>
      </w:r>
      <w:r>
        <w:rPr>
          <w:color w:val="231F20"/>
          <w:w w:val="110"/>
        </w:rPr>
        <w:t>enve- </w:t>
      </w:r>
      <w:r>
        <w:rPr>
          <w:color w:val="231F20"/>
          <w:spacing w:val="2"/>
          <w:w w:val="110"/>
        </w:rPr>
        <w:t>jecimiento. </w:t>
      </w:r>
      <w:r>
        <w:rPr>
          <w:color w:val="231F20"/>
          <w:w w:val="110"/>
        </w:rPr>
        <w:t>En </w:t>
      </w:r>
      <w:r>
        <w:rPr>
          <w:color w:val="231F20"/>
          <w:spacing w:val="2"/>
          <w:w w:val="110"/>
        </w:rPr>
        <w:t>segunda instancia, </w:t>
      </w:r>
      <w:r>
        <w:rPr>
          <w:color w:val="231F20"/>
          <w:w w:val="110"/>
        </w:rPr>
        <w:t>los </w:t>
      </w:r>
      <w:r>
        <w:rPr>
          <w:color w:val="231F20"/>
          <w:spacing w:val="2"/>
          <w:w w:val="110"/>
        </w:rPr>
        <w:t>autores indican </w:t>
      </w:r>
      <w:r>
        <w:rPr>
          <w:color w:val="231F20"/>
          <w:w w:val="110"/>
        </w:rPr>
        <w:t>que </w:t>
      </w:r>
      <w:r>
        <w:rPr>
          <w:color w:val="231F20"/>
          <w:spacing w:val="2"/>
          <w:w w:val="110"/>
        </w:rPr>
        <w:t>“los grandes </w:t>
      </w:r>
      <w:r>
        <w:rPr>
          <w:color w:val="231F20"/>
          <w:w w:val="110"/>
        </w:rPr>
        <w:t>centros urbanos no son en su totalidad beneficiados de los logros del de- sarrollo económico alcanzado en nuestro país, aun cuando en estos espa- cios se localizan un gran número de adultos mayores”. En este sentido, enfatizan en el hecho de que “los resultados nos indican que las zonas metropolitanas no han mostrado, durante el periodo de análisis, una evo- lución favorable en cuanto a la reducción del déficit social en los satisfac- tores</w:t>
      </w:r>
      <w:r>
        <w:rPr>
          <w:color w:val="231F20"/>
          <w:spacing w:val="11"/>
          <w:w w:val="110"/>
        </w:rPr>
        <w:t> </w:t>
      </w:r>
      <w:r>
        <w:rPr>
          <w:color w:val="231F20"/>
          <w:w w:val="110"/>
        </w:rPr>
        <w:t>esenciales”.</w:t>
      </w:r>
    </w:p>
    <w:p>
      <w:pPr>
        <w:pStyle w:val="BodyText"/>
        <w:spacing w:line="280" w:lineRule="auto"/>
        <w:ind w:left="124" w:right="112" w:firstLine="360"/>
        <w:jc w:val="both"/>
      </w:pPr>
      <w:r>
        <w:rPr>
          <w:color w:val="231F20"/>
          <w:spacing w:val="-4"/>
          <w:w w:val="110"/>
        </w:rPr>
        <w:t>Todos </w:t>
      </w:r>
      <w:r>
        <w:rPr>
          <w:color w:val="231F20"/>
          <w:w w:val="110"/>
        </w:rPr>
        <w:t>los trabajos dejan claramente asentada la utilidad de mantener el diálogo constante entre los cuerpos teóricos que dan base al análisis de los fenómenos sociales y sistemas de información estadística, cuestionan- do los supuestos, actualización y sesgos en ambos casos. </w:t>
      </w:r>
      <w:r>
        <w:rPr>
          <w:color w:val="231F20"/>
          <w:spacing w:val="-5"/>
          <w:w w:val="110"/>
        </w:rPr>
        <w:t>Tal </w:t>
      </w:r>
      <w:r>
        <w:rPr>
          <w:color w:val="231F20"/>
          <w:w w:val="110"/>
        </w:rPr>
        <w:t>vez la prácti- ca recurrente de este diálogo sea un aspecto importante que permita</w:t>
      </w:r>
      <w:r>
        <w:rPr>
          <w:color w:val="231F20"/>
          <w:spacing w:val="-17"/>
          <w:w w:val="110"/>
        </w:rPr>
        <w:t> </w:t>
      </w:r>
      <w:r>
        <w:rPr>
          <w:color w:val="231F20"/>
          <w:w w:val="110"/>
        </w:rPr>
        <w:t>man- </w:t>
      </w:r>
      <w:r>
        <w:rPr>
          <w:color w:val="231F20"/>
          <w:spacing w:val="4"/>
          <w:w w:val="110"/>
        </w:rPr>
        <w:t>tener sobre </w:t>
      </w:r>
      <w:r>
        <w:rPr>
          <w:color w:val="231F20"/>
          <w:spacing w:val="2"/>
          <w:w w:val="110"/>
        </w:rPr>
        <w:t>el </w:t>
      </w:r>
      <w:r>
        <w:rPr>
          <w:color w:val="231F20"/>
          <w:spacing w:val="4"/>
          <w:w w:val="110"/>
        </w:rPr>
        <w:t>tapete </w:t>
      </w:r>
      <w:r>
        <w:rPr>
          <w:color w:val="231F20"/>
          <w:spacing w:val="2"/>
          <w:w w:val="110"/>
        </w:rPr>
        <w:t>la </w:t>
      </w:r>
      <w:r>
        <w:rPr>
          <w:color w:val="231F20"/>
          <w:spacing w:val="4"/>
          <w:w w:val="110"/>
        </w:rPr>
        <w:t>discusión sobre </w:t>
      </w:r>
      <w:r>
        <w:rPr>
          <w:color w:val="231F20"/>
          <w:spacing w:val="2"/>
          <w:w w:val="110"/>
        </w:rPr>
        <w:t>la </w:t>
      </w:r>
      <w:r>
        <w:rPr>
          <w:color w:val="231F20"/>
          <w:spacing w:val="4"/>
          <w:w w:val="110"/>
        </w:rPr>
        <w:t>naturaleza </w:t>
      </w:r>
      <w:r>
        <w:rPr>
          <w:color w:val="231F20"/>
          <w:w w:val="110"/>
        </w:rPr>
        <w:t>y </w:t>
      </w:r>
      <w:r>
        <w:rPr>
          <w:color w:val="231F20"/>
          <w:spacing w:val="2"/>
          <w:w w:val="110"/>
        </w:rPr>
        <w:t>el </w:t>
      </w:r>
      <w:r>
        <w:rPr>
          <w:color w:val="231F20"/>
          <w:spacing w:val="4"/>
          <w:w w:val="110"/>
        </w:rPr>
        <w:t>alcance </w:t>
      </w:r>
      <w:r>
        <w:rPr>
          <w:color w:val="231F20"/>
          <w:spacing w:val="3"/>
          <w:w w:val="110"/>
        </w:rPr>
        <w:t>del </w:t>
      </w:r>
      <w:r>
        <w:rPr>
          <w:color w:val="231F20"/>
          <w:w w:val="110"/>
        </w:rPr>
        <w:t>esfuerzo que tiene que ser realizado en el campo de estudio sobre el tra- bajo y la</w:t>
      </w:r>
      <w:r>
        <w:rPr>
          <w:color w:val="231F20"/>
          <w:spacing w:val="14"/>
          <w:w w:val="110"/>
        </w:rPr>
        <w:t> </w:t>
      </w:r>
      <w:r>
        <w:rPr>
          <w:color w:val="231F20"/>
          <w:w w:val="110"/>
        </w:rPr>
        <w:t>población.</w:t>
      </w:r>
    </w:p>
    <w:p>
      <w:pPr>
        <w:spacing w:after="0" w:line="280" w:lineRule="auto"/>
        <w:jc w:val="both"/>
        <w:sectPr>
          <w:footerReference w:type="default" r:id="rId10"/>
          <w:pgSz w:w="9520" w:h="12920"/>
          <w:pgMar w:footer="0" w:header="0" w:top="880" w:bottom="280" w:left="1320" w:right="1000"/>
        </w:sectPr>
      </w:pPr>
    </w:p>
    <w:p>
      <w:pPr>
        <w:pStyle w:val="Heading1"/>
        <w:spacing w:line="409" w:lineRule="exact" w:before="130"/>
        <w:ind w:left="2253" w:right="0"/>
        <w:jc w:val="left"/>
        <w:rPr>
          <w:i/>
        </w:rPr>
      </w:pPr>
      <w:r>
        <w:rPr>
          <w:i/>
          <w:color w:val="231F20"/>
          <w:w w:val="65"/>
        </w:rPr>
        <w:t>Familias y políticas públicas; vínculos teóricos</w:t>
      </w:r>
    </w:p>
    <w:p>
      <w:pPr>
        <w:spacing w:line="409" w:lineRule="exact" w:before="0"/>
        <w:ind w:left="4315" w:right="0" w:firstLine="0"/>
        <w:jc w:val="left"/>
        <w:rPr>
          <w:rFonts w:ascii="Trebuchet MS" w:hAnsi="Trebuchet MS"/>
          <w:i/>
          <w:sz w:val="36"/>
        </w:rPr>
      </w:pPr>
      <w:r>
        <w:rPr>
          <w:rFonts w:ascii="Trebuchet MS" w:hAnsi="Trebuchet MS"/>
          <w:i/>
          <w:color w:val="231F20"/>
          <w:w w:val="65"/>
          <w:sz w:val="36"/>
        </w:rPr>
        <w:t>y desencuentros prácticos</w:t>
      </w:r>
    </w:p>
    <w:p>
      <w:pPr>
        <w:pStyle w:val="Heading2"/>
        <w:spacing w:line="259" w:lineRule="auto"/>
        <w:ind w:left="4717" w:right="104" w:firstLine="473"/>
        <w:jc w:val="left"/>
      </w:pPr>
      <w:bookmarkStart w:name="_TOC_250012" w:id="2"/>
      <w:r>
        <w:rPr>
          <w:i/>
          <w:color w:val="231F20"/>
          <w:w w:val="65"/>
        </w:rPr>
        <w:t>Rosa Patricia Román Reyes </w:t>
      </w:r>
      <w:r>
        <w:rPr>
          <w:color w:val="231F20"/>
          <w:w w:val="70"/>
        </w:rPr>
        <w:t>Eduardo</w:t>
      </w:r>
      <w:r>
        <w:rPr>
          <w:color w:val="231F20"/>
          <w:spacing w:val="-32"/>
          <w:w w:val="70"/>
        </w:rPr>
        <w:t> </w:t>
      </w:r>
      <w:r>
        <w:rPr>
          <w:color w:val="231F20"/>
          <w:w w:val="70"/>
        </w:rPr>
        <w:t>Andrés</w:t>
      </w:r>
      <w:r>
        <w:rPr>
          <w:color w:val="231F20"/>
          <w:spacing w:val="-32"/>
          <w:w w:val="70"/>
        </w:rPr>
        <w:t> </w:t>
      </w:r>
      <w:r>
        <w:rPr>
          <w:color w:val="231F20"/>
          <w:w w:val="70"/>
        </w:rPr>
        <w:t>Sandoval</w:t>
      </w:r>
      <w:r>
        <w:rPr>
          <w:color w:val="231F20"/>
          <w:spacing w:val="-32"/>
          <w:w w:val="70"/>
        </w:rPr>
        <w:t> </w:t>
      </w:r>
      <w:bookmarkEnd w:id="2"/>
      <w:r>
        <w:rPr>
          <w:color w:val="231F20"/>
          <w:w w:val="70"/>
        </w:rPr>
        <w:t>Forero</w:t>
      </w:r>
    </w:p>
    <w:p>
      <w:pPr>
        <w:pStyle w:val="BodyText"/>
        <w:rPr>
          <w:rFonts w:ascii="Trebuchet MS"/>
          <w:i/>
        </w:rPr>
      </w:pPr>
    </w:p>
    <w:p>
      <w:pPr>
        <w:pStyle w:val="BodyText"/>
        <w:rPr>
          <w:rFonts w:ascii="Trebuchet MS"/>
          <w:i/>
        </w:rPr>
      </w:pPr>
    </w:p>
    <w:p>
      <w:pPr>
        <w:pStyle w:val="BodyText"/>
        <w:rPr>
          <w:rFonts w:ascii="Trebuchet MS"/>
          <w:i/>
        </w:rPr>
      </w:pPr>
    </w:p>
    <w:p>
      <w:pPr>
        <w:pStyle w:val="BodyText"/>
        <w:spacing w:before="1"/>
        <w:rPr>
          <w:rFonts w:ascii="Trebuchet MS"/>
          <w:i/>
          <w:sz w:val="25"/>
        </w:rPr>
      </w:pPr>
    </w:p>
    <w:p>
      <w:pPr>
        <w:spacing w:before="67"/>
        <w:ind w:left="120" w:right="0" w:firstLine="0"/>
        <w:jc w:val="both"/>
        <w:rPr>
          <w:rFonts w:ascii="Times New Roman" w:hAnsi="Times New Roman"/>
          <w:i/>
          <w:sz w:val="19"/>
        </w:rPr>
      </w:pPr>
      <w:r>
        <w:rPr>
          <w:rFonts w:ascii="Times New Roman" w:hAnsi="Times New Roman"/>
          <w:i/>
          <w:color w:val="231F20"/>
          <w:sz w:val="24"/>
        </w:rPr>
        <w:t>I</w:t>
      </w:r>
      <w:r>
        <w:rPr>
          <w:rFonts w:ascii="Times New Roman" w:hAnsi="Times New Roman"/>
          <w:i/>
          <w:color w:val="231F20"/>
          <w:sz w:val="19"/>
        </w:rPr>
        <w:t>NTRODUCCIÓN</w:t>
      </w:r>
    </w:p>
    <w:p>
      <w:pPr>
        <w:pStyle w:val="BodyText"/>
        <w:spacing w:before="9"/>
        <w:rPr>
          <w:rFonts w:ascii="Times New Roman"/>
          <w:i/>
          <w:sz w:val="27"/>
        </w:rPr>
      </w:pPr>
    </w:p>
    <w:p>
      <w:pPr>
        <w:pStyle w:val="BodyText"/>
        <w:spacing w:line="288" w:lineRule="auto"/>
        <w:ind w:left="119" w:right="113"/>
        <w:jc w:val="both"/>
      </w:pPr>
      <w:r>
        <w:rPr>
          <w:color w:val="231F20"/>
          <w:w w:val="110"/>
        </w:rPr>
        <w:t>En el contexto de los grandes cambios y transformaciones sociales regis- trados en los ámbitos internacional y nacional durante la segunda década del siglo </w:t>
      </w:r>
      <w:r>
        <w:rPr>
          <w:rFonts w:ascii="Times New Roman" w:hAnsi="Times New Roman"/>
          <w:color w:val="231F20"/>
          <w:w w:val="110"/>
          <w:sz w:val="16"/>
        </w:rPr>
        <w:t>XX</w:t>
      </w:r>
      <w:r>
        <w:rPr>
          <w:color w:val="231F20"/>
          <w:w w:val="110"/>
        </w:rPr>
        <w:t>, y lo que va del </w:t>
      </w:r>
      <w:r>
        <w:rPr>
          <w:rFonts w:ascii="Times New Roman" w:hAnsi="Times New Roman"/>
          <w:color w:val="231F20"/>
          <w:w w:val="110"/>
          <w:sz w:val="16"/>
        </w:rPr>
        <w:t>XXI</w:t>
      </w:r>
      <w:r>
        <w:rPr>
          <w:color w:val="231F20"/>
          <w:w w:val="110"/>
        </w:rPr>
        <w:t>, la estructura, las funciones, la dinámica de funcionamiento y las formas de organización de la familia, se han modifi- cado</w:t>
      </w:r>
      <w:r>
        <w:rPr>
          <w:color w:val="231F20"/>
          <w:spacing w:val="-6"/>
          <w:w w:val="110"/>
        </w:rPr>
        <w:t> </w:t>
      </w:r>
      <w:r>
        <w:rPr>
          <w:color w:val="231F20"/>
          <w:w w:val="110"/>
        </w:rPr>
        <w:t>de</w:t>
      </w:r>
      <w:r>
        <w:rPr>
          <w:color w:val="231F20"/>
          <w:spacing w:val="-6"/>
          <w:w w:val="110"/>
        </w:rPr>
        <w:t> </w:t>
      </w:r>
      <w:r>
        <w:rPr>
          <w:color w:val="231F20"/>
          <w:w w:val="110"/>
        </w:rPr>
        <w:t>manera</w:t>
      </w:r>
      <w:r>
        <w:rPr>
          <w:color w:val="231F20"/>
          <w:spacing w:val="-6"/>
          <w:w w:val="110"/>
        </w:rPr>
        <w:t> </w:t>
      </w:r>
      <w:r>
        <w:rPr>
          <w:color w:val="231F20"/>
          <w:w w:val="110"/>
        </w:rPr>
        <w:t>importante.</w:t>
      </w:r>
      <w:r>
        <w:rPr>
          <w:color w:val="231F20"/>
          <w:spacing w:val="-6"/>
          <w:w w:val="110"/>
        </w:rPr>
        <w:t> </w:t>
      </w:r>
      <w:r>
        <w:rPr>
          <w:color w:val="231F20"/>
          <w:w w:val="110"/>
        </w:rPr>
        <w:t>Uno</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cambios</w:t>
      </w:r>
      <w:r>
        <w:rPr>
          <w:color w:val="231F20"/>
          <w:spacing w:val="-6"/>
          <w:w w:val="110"/>
        </w:rPr>
        <w:t> </w:t>
      </w:r>
      <w:r>
        <w:rPr>
          <w:color w:val="231F20"/>
          <w:w w:val="110"/>
        </w:rPr>
        <w:t>significativos</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moder- nización ha sido la transición de la comunidad tradicional, predominante- mente agraria, a la sociedad capitalista industrial y de servicios, teniendo </w:t>
      </w:r>
      <w:r>
        <w:rPr>
          <w:color w:val="231F20"/>
          <w:spacing w:val="2"/>
          <w:w w:val="110"/>
        </w:rPr>
        <w:t>como base </w:t>
      </w:r>
      <w:r>
        <w:rPr>
          <w:color w:val="231F20"/>
          <w:w w:val="110"/>
        </w:rPr>
        <w:t>los </w:t>
      </w:r>
      <w:r>
        <w:rPr>
          <w:color w:val="231F20"/>
          <w:spacing w:val="2"/>
          <w:w w:val="110"/>
        </w:rPr>
        <w:t>procesos </w:t>
      </w:r>
      <w:r>
        <w:rPr>
          <w:color w:val="231F20"/>
          <w:w w:val="110"/>
        </w:rPr>
        <w:t>de </w:t>
      </w:r>
      <w:r>
        <w:rPr>
          <w:color w:val="231F20"/>
          <w:spacing w:val="2"/>
          <w:w w:val="110"/>
        </w:rPr>
        <w:t>industrialización </w:t>
      </w:r>
      <w:r>
        <w:rPr>
          <w:color w:val="231F20"/>
          <w:w w:val="110"/>
        </w:rPr>
        <w:t>y </w:t>
      </w:r>
      <w:r>
        <w:rPr>
          <w:color w:val="231F20"/>
          <w:spacing w:val="2"/>
          <w:w w:val="110"/>
        </w:rPr>
        <w:t>urbanización, </w:t>
      </w:r>
      <w:r>
        <w:rPr>
          <w:color w:val="231F20"/>
          <w:w w:val="110"/>
        </w:rPr>
        <w:t>que </w:t>
      </w:r>
      <w:r>
        <w:rPr>
          <w:color w:val="231F20"/>
          <w:spacing w:val="2"/>
          <w:w w:val="110"/>
        </w:rPr>
        <w:t>entre </w:t>
      </w:r>
      <w:r>
        <w:rPr>
          <w:color w:val="231F20"/>
          <w:w w:val="110"/>
        </w:rPr>
        <w:t>otros, produjeron cambios trascendentales en el mundo del trabajo, seve- ras crisis de crecimiento, empleo e ingresos, y una acentuada incertidum- bre social. Estas situaciones condujeron a transformaciones relevantes en la familia, en su cultura, modo de organización, trabajo, economía, relacio- nes sociales, composición demográfica, y relaciones en su interior. En ni- veles contextuales amplios, las variables demográficas asociadas con la vida familiar se modificaron con gran celeridad: disminuyó la fecundidad (y por tanto el tamaño promedio de las unidades familiares), las tasas de mortalidad</w:t>
      </w:r>
      <w:r>
        <w:rPr>
          <w:color w:val="231F20"/>
          <w:spacing w:val="-12"/>
          <w:w w:val="110"/>
        </w:rPr>
        <w:t> </w:t>
      </w:r>
      <w:r>
        <w:rPr>
          <w:color w:val="231F20"/>
          <w:w w:val="110"/>
        </w:rPr>
        <w:t>descendieron,</w:t>
      </w:r>
      <w:r>
        <w:rPr>
          <w:color w:val="231F20"/>
          <w:spacing w:val="-12"/>
          <w:w w:val="110"/>
        </w:rPr>
        <w:t> </w:t>
      </w:r>
      <w:r>
        <w:rPr>
          <w:color w:val="231F20"/>
          <w:w w:val="110"/>
        </w:rPr>
        <w:t>la</w:t>
      </w:r>
      <w:r>
        <w:rPr>
          <w:color w:val="231F20"/>
          <w:spacing w:val="-12"/>
          <w:w w:val="110"/>
        </w:rPr>
        <w:t> </w:t>
      </w:r>
      <w:r>
        <w:rPr>
          <w:color w:val="231F20"/>
          <w:w w:val="110"/>
        </w:rPr>
        <w:t>esperanza</w:t>
      </w:r>
      <w:r>
        <w:rPr>
          <w:color w:val="231F20"/>
          <w:spacing w:val="-12"/>
          <w:w w:val="110"/>
        </w:rPr>
        <w:t> </w:t>
      </w:r>
      <w:r>
        <w:rPr>
          <w:color w:val="231F20"/>
          <w:w w:val="110"/>
        </w:rPr>
        <w:t>de</w:t>
      </w:r>
      <w:r>
        <w:rPr>
          <w:color w:val="231F20"/>
          <w:spacing w:val="-12"/>
          <w:w w:val="110"/>
        </w:rPr>
        <w:t> </w:t>
      </w:r>
      <w:r>
        <w:rPr>
          <w:color w:val="231F20"/>
          <w:w w:val="110"/>
        </w:rPr>
        <w:t>vida</w:t>
      </w:r>
      <w:r>
        <w:rPr>
          <w:color w:val="231F20"/>
          <w:spacing w:val="-12"/>
          <w:w w:val="110"/>
        </w:rPr>
        <w:t> </w:t>
      </w:r>
      <w:r>
        <w:rPr>
          <w:color w:val="231F20"/>
          <w:w w:val="110"/>
        </w:rPr>
        <w:t>se</w:t>
      </w:r>
      <w:r>
        <w:rPr>
          <w:color w:val="231F20"/>
          <w:spacing w:val="-12"/>
          <w:w w:val="110"/>
        </w:rPr>
        <w:t> </w:t>
      </w:r>
      <w:r>
        <w:rPr>
          <w:color w:val="231F20"/>
          <w:w w:val="110"/>
        </w:rPr>
        <w:t>amplió,</w:t>
      </w:r>
      <w:r>
        <w:rPr>
          <w:color w:val="231F20"/>
          <w:spacing w:val="-12"/>
          <w:w w:val="110"/>
        </w:rPr>
        <w:t> </w:t>
      </w:r>
      <w:r>
        <w:rPr>
          <w:color w:val="231F20"/>
          <w:w w:val="110"/>
        </w:rPr>
        <w:t>el</w:t>
      </w:r>
      <w:r>
        <w:rPr>
          <w:color w:val="231F20"/>
          <w:spacing w:val="-12"/>
          <w:w w:val="110"/>
        </w:rPr>
        <w:t> </w:t>
      </w:r>
      <w:r>
        <w:rPr>
          <w:color w:val="231F20"/>
          <w:w w:val="110"/>
        </w:rPr>
        <w:t>envejecimiento poblacional se extendió (lo que impactó en la cada vez mayor convivencia intergeneracional en los hogares), y también se incrementó la migración; en determinados casos, de algunos miembros, </w:t>
      </w:r>
      <w:r>
        <w:rPr>
          <w:color w:val="231F20"/>
          <w:spacing w:val="-9"/>
          <w:w w:val="110"/>
        </w:rPr>
        <w:t>y, </w:t>
      </w:r>
      <w:r>
        <w:rPr>
          <w:color w:val="231F20"/>
          <w:w w:val="110"/>
        </w:rPr>
        <w:t>en otros, de familias com- pletas (provocando entre otros fenómenos, el surgimiento de las llamadas familias</w:t>
      </w:r>
      <w:r>
        <w:rPr>
          <w:color w:val="231F20"/>
          <w:spacing w:val="-10"/>
          <w:w w:val="110"/>
        </w:rPr>
        <w:t> </w:t>
      </w:r>
      <w:r>
        <w:rPr>
          <w:color w:val="231F20"/>
          <w:w w:val="110"/>
        </w:rPr>
        <w:t>transnacionales).</w:t>
      </w:r>
      <w:r>
        <w:rPr>
          <w:color w:val="231F20"/>
          <w:spacing w:val="-10"/>
          <w:w w:val="110"/>
        </w:rPr>
        <w:t> </w:t>
      </w:r>
      <w:r>
        <w:rPr>
          <w:color w:val="231F20"/>
          <w:w w:val="110"/>
        </w:rPr>
        <w:t>El</w:t>
      </w:r>
      <w:r>
        <w:rPr>
          <w:color w:val="231F20"/>
          <w:spacing w:val="-10"/>
          <w:w w:val="110"/>
        </w:rPr>
        <w:t> </w:t>
      </w:r>
      <w:r>
        <w:rPr>
          <w:color w:val="231F20"/>
          <w:w w:val="110"/>
        </w:rPr>
        <w:t>reconocimiento</w:t>
      </w:r>
      <w:r>
        <w:rPr>
          <w:color w:val="231F20"/>
          <w:spacing w:val="-10"/>
          <w:w w:val="110"/>
        </w:rPr>
        <w:t> </w:t>
      </w:r>
      <w:r>
        <w:rPr>
          <w:color w:val="231F20"/>
          <w:w w:val="110"/>
        </w:rPr>
        <w:t>y</w:t>
      </w:r>
      <w:r>
        <w:rPr>
          <w:color w:val="231F20"/>
          <w:spacing w:val="-10"/>
          <w:w w:val="110"/>
        </w:rPr>
        <w:t> </w:t>
      </w:r>
      <w:r>
        <w:rPr>
          <w:color w:val="231F20"/>
          <w:w w:val="110"/>
        </w:rPr>
        <w:t>la</w:t>
      </w:r>
      <w:r>
        <w:rPr>
          <w:color w:val="231F20"/>
          <w:spacing w:val="-10"/>
          <w:w w:val="110"/>
        </w:rPr>
        <w:t> </w:t>
      </w:r>
      <w:r>
        <w:rPr>
          <w:color w:val="231F20"/>
          <w:w w:val="110"/>
        </w:rPr>
        <w:t>atención</w:t>
      </w:r>
      <w:r>
        <w:rPr>
          <w:color w:val="231F20"/>
          <w:spacing w:val="-10"/>
          <w:w w:val="110"/>
        </w:rPr>
        <w:t> </w:t>
      </w:r>
      <w:r>
        <w:rPr>
          <w:color w:val="231F20"/>
          <w:w w:val="110"/>
        </w:rPr>
        <w:t>de</w:t>
      </w:r>
      <w:r>
        <w:rPr>
          <w:color w:val="231F20"/>
          <w:spacing w:val="-10"/>
          <w:w w:val="110"/>
        </w:rPr>
        <w:t> </w:t>
      </w:r>
      <w:r>
        <w:rPr>
          <w:color w:val="231F20"/>
          <w:w w:val="110"/>
        </w:rPr>
        <w:t>estos</w:t>
      </w:r>
      <w:r>
        <w:rPr>
          <w:color w:val="231F20"/>
          <w:spacing w:val="-10"/>
          <w:w w:val="110"/>
        </w:rPr>
        <w:t> </w:t>
      </w:r>
      <w:r>
        <w:rPr>
          <w:color w:val="231F20"/>
          <w:w w:val="110"/>
        </w:rPr>
        <w:t>fenóme- nos emergentes que han generado transformaciones en las personas y  </w:t>
      </w:r>
      <w:r>
        <w:rPr>
          <w:color w:val="231F20"/>
          <w:spacing w:val="10"/>
          <w:w w:val="110"/>
        </w:rPr>
        <w:t> </w:t>
      </w:r>
      <w:r>
        <w:rPr>
          <w:color w:val="231F20"/>
          <w:w w:val="110"/>
        </w:rPr>
        <w:t>en</w:t>
      </w:r>
    </w:p>
    <w:p>
      <w:pPr>
        <w:pStyle w:val="BodyText"/>
        <w:spacing w:before="10"/>
        <w:rPr>
          <w:sz w:val="19"/>
        </w:rPr>
      </w:pPr>
    </w:p>
    <w:p>
      <w:pPr>
        <w:spacing w:before="75"/>
        <w:ind w:left="457" w:right="457" w:firstLine="0"/>
        <w:jc w:val="center"/>
        <w:rPr>
          <w:rFonts w:ascii="Calibri"/>
          <w:i/>
          <w:sz w:val="16"/>
        </w:rPr>
      </w:pPr>
      <w:r>
        <w:rPr>
          <w:rFonts w:ascii="Calibri"/>
          <w:i/>
          <w:color w:val="231F20"/>
          <w:w w:val="95"/>
          <w:sz w:val="16"/>
        </w:rPr>
        <w:t>11</w:t>
      </w:r>
    </w:p>
    <w:p>
      <w:pPr>
        <w:spacing w:after="0"/>
        <w:jc w:val="center"/>
        <w:rPr>
          <w:rFonts w:ascii="Calibri"/>
          <w:sz w:val="16"/>
        </w:rPr>
        <w:sectPr>
          <w:footerReference w:type="even" r:id="rId11"/>
          <w:pgSz w:w="9520" w:h="12920"/>
          <w:pgMar w:footer="0" w:header="0" w:top="1220" w:bottom="280" w:left="1000" w:right="1320"/>
        </w:sectPr>
      </w:pPr>
    </w:p>
    <w:p>
      <w:pPr>
        <w:pStyle w:val="BodyText"/>
        <w:spacing w:line="280" w:lineRule="auto" w:before="42"/>
        <w:ind w:left="124"/>
      </w:pPr>
      <w:r>
        <w:rPr>
          <w:color w:val="231F20"/>
          <w:w w:val="110"/>
        </w:rPr>
        <w:t>las familias permiten una mejor comprensión de la composición y el fun- cionamiento actuales de las familias y los hogares  mexicanos.</w:t>
      </w:r>
    </w:p>
    <w:p>
      <w:pPr>
        <w:pStyle w:val="BodyText"/>
        <w:spacing w:line="280" w:lineRule="auto"/>
        <w:ind w:left="124" w:right="112" w:firstLine="360"/>
        <w:jc w:val="both"/>
      </w:pPr>
      <w:r>
        <w:rPr>
          <w:color w:val="231F20"/>
          <w:w w:val="110"/>
        </w:rPr>
        <w:t>México, al igual que la gran mayoría de los países latinoamericanos y del Caribe, llega al siglo </w:t>
      </w:r>
      <w:r>
        <w:rPr>
          <w:rFonts w:ascii="Times New Roman" w:hAnsi="Times New Roman"/>
          <w:color w:val="231F20"/>
          <w:w w:val="110"/>
          <w:sz w:val="16"/>
        </w:rPr>
        <w:t>XXI </w:t>
      </w:r>
      <w:r>
        <w:rPr>
          <w:color w:val="231F20"/>
          <w:w w:val="110"/>
        </w:rPr>
        <w:t>con una multiplicidad de tipos de familias pro- ducto de sus condiciones históricas, sociales, económicas y culturales. La complejidad de las familias en México ha sido una prueba no sólo de la di- </w:t>
      </w:r>
      <w:r>
        <w:rPr>
          <w:color w:val="231F20"/>
          <w:spacing w:val="-4"/>
          <w:w w:val="110"/>
        </w:rPr>
        <w:t>versidad étnica </w:t>
      </w:r>
      <w:r>
        <w:rPr>
          <w:color w:val="231F20"/>
          <w:w w:val="110"/>
        </w:rPr>
        <w:t>y </w:t>
      </w:r>
      <w:r>
        <w:rPr>
          <w:color w:val="231F20"/>
          <w:spacing w:val="-4"/>
          <w:w w:val="110"/>
        </w:rPr>
        <w:t>social existente, </w:t>
      </w:r>
      <w:r>
        <w:rPr>
          <w:color w:val="231F20"/>
          <w:spacing w:val="-3"/>
          <w:w w:val="110"/>
        </w:rPr>
        <w:t>sino </w:t>
      </w:r>
      <w:r>
        <w:rPr>
          <w:color w:val="231F20"/>
          <w:spacing w:val="-4"/>
          <w:w w:val="110"/>
        </w:rPr>
        <w:t>también </w:t>
      </w:r>
      <w:r>
        <w:rPr>
          <w:color w:val="231F20"/>
          <w:w w:val="110"/>
        </w:rPr>
        <w:t>de </w:t>
      </w:r>
      <w:r>
        <w:rPr>
          <w:color w:val="231F20"/>
          <w:spacing w:val="-3"/>
          <w:w w:val="110"/>
        </w:rPr>
        <w:t>los </w:t>
      </w:r>
      <w:r>
        <w:rPr>
          <w:color w:val="231F20"/>
          <w:spacing w:val="-4"/>
          <w:w w:val="110"/>
        </w:rPr>
        <w:t>cambios demográficos, </w:t>
      </w:r>
      <w:r>
        <w:rPr>
          <w:color w:val="231F20"/>
          <w:w w:val="110"/>
        </w:rPr>
        <w:t>las transformaciones de los procesos productivos, la organización social   y los constantes movimientos migratorios de carácter nacional e interna- cional. Sin duda, las recurrentes crisis económicas han impactado en las familias de distintas maneras, vulnerando sus condiciones económicas, su estabilidad, sus estructuras, sus dinámicas, su presente y su futuro, lo que no hace sino reafirmar el hecho de que, lejos de una supuesta existencia natural, las familias son producto de la evolución histórica y cultural de</w:t>
      </w:r>
      <w:r>
        <w:rPr>
          <w:color w:val="231F20"/>
          <w:spacing w:val="-29"/>
          <w:w w:val="110"/>
        </w:rPr>
        <w:t> </w:t>
      </w:r>
      <w:r>
        <w:rPr>
          <w:color w:val="231F20"/>
          <w:w w:val="110"/>
        </w:rPr>
        <w:t>las sociedades en que</w:t>
      </w:r>
      <w:r>
        <w:rPr>
          <w:color w:val="231F20"/>
          <w:spacing w:val="46"/>
          <w:w w:val="110"/>
        </w:rPr>
        <w:t> </w:t>
      </w:r>
      <w:r>
        <w:rPr>
          <w:color w:val="231F20"/>
          <w:w w:val="110"/>
        </w:rPr>
        <w:t>existen.</w:t>
      </w:r>
    </w:p>
    <w:p>
      <w:pPr>
        <w:pStyle w:val="BodyText"/>
        <w:spacing w:line="280" w:lineRule="auto"/>
        <w:ind w:left="124" w:right="112" w:firstLine="360"/>
        <w:jc w:val="both"/>
      </w:pPr>
      <w:r>
        <w:rPr>
          <w:color w:val="231F20"/>
          <w:w w:val="110"/>
        </w:rPr>
        <w:t>Según datos del Instituto Nacional de Estadística, Geografía e Informá- tica,</w:t>
      </w:r>
      <w:r>
        <w:rPr>
          <w:color w:val="231F20"/>
          <w:w w:val="110"/>
          <w:position w:val="6"/>
          <w:sz w:val="11"/>
        </w:rPr>
        <w:t>1 </w:t>
      </w:r>
      <w:r>
        <w:rPr>
          <w:color w:val="231F20"/>
          <w:w w:val="110"/>
        </w:rPr>
        <w:t>México registró en el 2005 una población total de 103.3 millones, de los</w:t>
      </w:r>
      <w:r>
        <w:rPr>
          <w:color w:val="231F20"/>
          <w:spacing w:val="-8"/>
          <w:w w:val="110"/>
        </w:rPr>
        <w:t> </w:t>
      </w:r>
      <w:r>
        <w:rPr>
          <w:color w:val="231F20"/>
          <w:w w:val="110"/>
        </w:rPr>
        <w:t>cuales</w:t>
      </w:r>
      <w:r>
        <w:rPr>
          <w:color w:val="231F20"/>
          <w:spacing w:val="-8"/>
          <w:w w:val="110"/>
        </w:rPr>
        <w:t> </w:t>
      </w:r>
      <w:r>
        <w:rPr>
          <w:color w:val="231F20"/>
          <w:w w:val="110"/>
        </w:rPr>
        <w:t>97.9</w:t>
      </w:r>
      <w:r>
        <w:rPr>
          <w:color w:val="231F20"/>
          <w:spacing w:val="-8"/>
          <w:w w:val="110"/>
        </w:rPr>
        <w:t> </w:t>
      </w:r>
      <w:r>
        <w:rPr>
          <w:color w:val="231F20"/>
          <w:w w:val="110"/>
        </w:rPr>
        <w:t>millones</w:t>
      </w:r>
      <w:r>
        <w:rPr>
          <w:color w:val="231F20"/>
          <w:spacing w:val="-8"/>
          <w:w w:val="110"/>
        </w:rPr>
        <w:t> </w:t>
      </w:r>
      <w:r>
        <w:rPr>
          <w:color w:val="231F20"/>
          <w:w w:val="110"/>
        </w:rPr>
        <w:t>de</w:t>
      </w:r>
      <w:r>
        <w:rPr>
          <w:color w:val="231F20"/>
          <w:spacing w:val="-8"/>
          <w:w w:val="110"/>
        </w:rPr>
        <w:t> </w:t>
      </w:r>
      <w:r>
        <w:rPr>
          <w:color w:val="231F20"/>
          <w:w w:val="110"/>
        </w:rPr>
        <w:t>personas</w:t>
      </w:r>
      <w:r>
        <w:rPr>
          <w:color w:val="231F20"/>
          <w:spacing w:val="-8"/>
          <w:w w:val="110"/>
        </w:rPr>
        <w:t> </w:t>
      </w:r>
      <w:r>
        <w:rPr>
          <w:color w:val="231F20"/>
          <w:w w:val="110"/>
        </w:rPr>
        <w:t>residen</w:t>
      </w:r>
      <w:r>
        <w:rPr>
          <w:color w:val="231F20"/>
          <w:spacing w:val="-8"/>
          <w:w w:val="110"/>
        </w:rPr>
        <w:t> </w:t>
      </w:r>
      <w:r>
        <w:rPr>
          <w:color w:val="231F20"/>
          <w:w w:val="110"/>
        </w:rPr>
        <w:t>en</w:t>
      </w:r>
      <w:r>
        <w:rPr>
          <w:color w:val="231F20"/>
          <w:spacing w:val="-8"/>
          <w:w w:val="110"/>
        </w:rPr>
        <w:t> </w:t>
      </w:r>
      <w:r>
        <w:rPr>
          <w:color w:val="231F20"/>
          <w:w w:val="110"/>
        </w:rPr>
        <w:t>hogares.</w:t>
      </w:r>
      <w:r>
        <w:rPr>
          <w:color w:val="231F20"/>
          <w:spacing w:val="-8"/>
          <w:w w:val="110"/>
        </w:rPr>
        <w:t> </w:t>
      </w:r>
      <w:r>
        <w:rPr>
          <w:color w:val="231F20"/>
          <w:w w:val="110"/>
        </w:rPr>
        <w:t>Del</w:t>
      </w:r>
      <w:r>
        <w:rPr>
          <w:color w:val="231F20"/>
          <w:spacing w:val="-8"/>
          <w:w w:val="110"/>
        </w:rPr>
        <w:t> </w:t>
      </w:r>
      <w:r>
        <w:rPr>
          <w:color w:val="231F20"/>
          <w:w w:val="110"/>
        </w:rPr>
        <w:t>total</w:t>
      </w:r>
      <w:r>
        <w:rPr>
          <w:color w:val="231F20"/>
          <w:spacing w:val="-8"/>
          <w:w w:val="110"/>
        </w:rPr>
        <w:t> </w:t>
      </w:r>
      <w:r>
        <w:rPr>
          <w:color w:val="231F20"/>
          <w:w w:val="110"/>
        </w:rPr>
        <w:t>de</w:t>
      </w:r>
      <w:r>
        <w:rPr>
          <w:color w:val="231F20"/>
          <w:spacing w:val="-8"/>
          <w:w w:val="110"/>
        </w:rPr>
        <w:t> </w:t>
      </w:r>
      <w:r>
        <w:rPr>
          <w:color w:val="231F20"/>
          <w:w w:val="110"/>
        </w:rPr>
        <w:t>pobla- ción,</w:t>
      </w:r>
      <w:r>
        <w:rPr>
          <w:color w:val="231F20"/>
          <w:spacing w:val="-4"/>
          <w:w w:val="110"/>
        </w:rPr>
        <w:t> </w:t>
      </w:r>
      <w:r>
        <w:rPr>
          <w:color w:val="231F20"/>
          <w:w w:val="110"/>
        </w:rPr>
        <w:t>más</w:t>
      </w:r>
      <w:r>
        <w:rPr>
          <w:color w:val="231F20"/>
          <w:spacing w:val="-4"/>
          <w:w w:val="110"/>
        </w:rPr>
        <w:t> </w:t>
      </w:r>
      <w:r>
        <w:rPr>
          <w:color w:val="231F20"/>
          <w:w w:val="110"/>
        </w:rPr>
        <w:t>de</w:t>
      </w:r>
      <w:r>
        <w:rPr>
          <w:color w:val="231F20"/>
          <w:spacing w:val="-4"/>
          <w:w w:val="110"/>
        </w:rPr>
        <w:t> </w:t>
      </w:r>
      <w:r>
        <w:rPr>
          <w:color w:val="231F20"/>
          <w:w w:val="110"/>
        </w:rPr>
        <w:t>50</w:t>
      </w:r>
      <w:r>
        <w:rPr>
          <w:color w:val="231F20"/>
          <w:spacing w:val="-4"/>
          <w:w w:val="110"/>
        </w:rPr>
        <w:t> </w:t>
      </w:r>
      <w:r>
        <w:rPr>
          <w:color w:val="231F20"/>
          <w:w w:val="110"/>
        </w:rPr>
        <w:t>millones</w:t>
      </w:r>
      <w:r>
        <w:rPr>
          <w:color w:val="231F20"/>
          <w:spacing w:val="-4"/>
          <w:w w:val="110"/>
        </w:rPr>
        <w:t> </w:t>
      </w:r>
      <w:r>
        <w:rPr>
          <w:color w:val="231F20"/>
          <w:w w:val="110"/>
        </w:rPr>
        <w:t>de</w:t>
      </w:r>
      <w:r>
        <w:rPr>
          <w:color w:val="231F20"/>
          <w:spacing w:val="-4"/>
          <w:w w:val="110"/>
        </w:rPr>
        <w:t> </w:t>
      </w:r>
      <w:r>
        <w:rPr>
          <w:color w:val="231F20"/>
          <w:w w:val="110"/>
        </w:rPr>
        <w:t>personas</w:t>
      </w:r>
      <w:r>
        <w:rPr>
          <w:color w:val="231F20"/>
          <w:spacing w:val="-4"/>
          <w:w w:val="110"/>
        </w:rPr>
        <w:t> </w:t>
      </w:r>
      <w:r>
        <w:rPr>
          <w:color w:val="231F20"/>
          <w:w w:val="110"/>
        </w:rPr>
        <w:t>se</w:t>
      </w:r>
      <w:r>
        <w:rPr>
          <w:color w:val="231F20"/>
          <w:spacing w:val="-4"/>
          <w:w w:val="110"/>
        </w:rPr>
        <w:t> </w:t>
      </w:r>
      <w:r>
        <w:rPr>
          <w:color w:val="231F20"/>
          <w:w w:val="110"/>
        </w:rPr>
        <w:t>encuentran</w:t>
      </w:r>
      <w:r>
        <w:rPr>
          <w:color w:val="231F20"/>
          <w:spacing w:val="-4"/>
          <w:w w:val="110"/>
        </w:rPr>
        <w:t> </w:t>
      </w:r>
      <w:r>
        <w:rPr>
          <w:color w:val="231F20"/>
          <w:w w:val="110"/>
        </w:rPr>
        <w:t>sumidas</w:t>
      </w:r>
      <w:r>
        <w:rPr>
          <w:color w:val="231F20"/>
          <w:spacing w:val="-4"/>
          <w:w w:val="110"/>
        </w:rPr>
        <w:t> </w:t>
      </w:r>
      <w:r>
        <w:rPr>
          <w:color w:val="231F20"/>
          <w:w w:val="110"/>
        </w:rPr>
        <w:t>en</w:t>
      </w:r>
      <w:r>
        <w:rPr>
          <w:color w:val="231F20"/>
          <w:spacing w:val="-4"/>
          <w:w w:val="110"/>
        </w:rPr>
        <w:t> </w:t>
      </w:r>
      <w:r>
        <w:rPr>
          <w:color w:val="231F20"/>
          <w:w w:val="110"/>
        </w:rPr>
        <w:t>la</w:t>
      </w:r>
      <w:r>
        <w:rPr>
          <w:color w:val="231F20"/>
          <w:spacing w:val="-4"/>
          <w:w w:val="110"/>
        </w:rPr>
        <w:t> </w:t>
      </w:r>
      <w:r>
        <w:rPr>
          <w:color w:val="231F20"/>
          <w:w w:val="110"/>
        </w:rPr>
        <w:t>pobreza o la pobreza extrema. En el país hay más de 24.8 millones de familias, de las</w:t>
      </w:r>
      <w:r>
        <w:rPr>
          <w:color w:val="231F20"/>
          <w:spacing w:val="-8"/>
          <w:w w:val="110"/>
        </w:rPr>
        <w:t> </w:t>
      </w:r>
      <w:r>
        <w:rPr>
          <w:color w:val="231F20"/>
          <w:w w:val="110"/>
        </w:rPr>
        <w:t>cuales</w:t>
      </w:r>
      <w:r>
        <w:rPr>
          <w:color w:val="231F20"/>
          <w:spacing w:val="-8"/>
          <w:w w:val="110"/>
        </w:rPr>
        <w:t> </w:t>
      </w:r>
      <w:r>
        <w:rPr>
          <w:color w:val="231F20"/>
          <w:w w:val="110"/>
        </w:rPr>
        <w:t>76.9</w:t>
      </w:r>
      <w:r>
        <w:rPr>
          <w:color w:val="231F20"/>
          <w:spacing w:val="-8"/>
          <w:w w:val="110"/>
        </w:rPr>
        <w:t> </w:t>
      </w:r>
      <w:r>
        <w:rPr>
          <w:color w:val="231F20"/>
          <w:w w:val="110"/>
        </w:rPr>
        <w:t>por</w:t>
      </w:r>
      <w:r>
        <w:rPr>
          <w:color w:val="231F20"/>
          <w:spacing w:val="-8"/>
          <w:w w:val="110"/>
        </w:rPr>
        <w:t> </w:t>
      </w:r>
      <w:r>
        <w:rPr>
          <w:color w:val="231F20"/>
          <w:w w:val="110"/>
        </w:rPr>
        <w:t>ciento</w:t>
      </w:r>
      <w:r>
        <w:rPr>
          <w:color w:val="231F20"/>
          <w:spacing w:val="-8"/>
          <w:w w:val="110"/>
        </w:rPr>
        <w:t> </w:t>
      </w:r>
      <w:r>
        <w:rPr>
          <w:color w:val="231F20"/>
          <w:w w:val="110"/>
        </w:rPr>
        <w:t>tiene</w:t>
      </w:r>
      <w:r>
        <w:rPr>
          <w:color w:val="231F20"/>
          <w:spacing w:val="-8"/>
          <w:w w:val="110"/>
        </w:rPr>
        <w:t> </w:t>
      </w:r>
      <w:r>
        <w:rPr>
          <w:color w:val="231F20"/>
          <w:w w:val="110"/>
        </w:rPr>
        <w:t>jefatura</w:t>
      </w:r>
      <w:r>
        <w:rPr>
          <w:color w:val="231F20"/>
          <w:spacing w:val="-8"/>
          <w:w w:val="110"/>
        </w:rPr>
        <w:t> </w:t>
      </w:r>
      <w:r>
        <w:rPr>
          <w:color w:val="231F20"/>
          <w:w w:val="110"/>
        </w:rPr>
        <w:t>masculina</w:t>
      </w:r>
      <w:r>
        <w:rPr>
          <w:color w:val="231F20"/>
          <w:spacing w:val="-8"/>
          <w:w w:val="110"/>
        </w:rPr>
        <w:t> </w:t>
      </w:r>
      <w:r>
        <w:rPr>
          <w:color w:val="231F20"/>
          <w:w w:val="110"/>
        </w:rPr>
        <w:t>y</w:t>
      </w:r>
      <w:r>
        <w:rPr>
          <w:color w:val="231F20"/>
          <w:spacing w:val="-8"/>
          <w:w w:val="110"/>
        </w:rPr>
        <w:t> </w:t>
      </w:r>
      <w:r>
        <w:rPr>
          <w:color w:val="231F20"/>
          <w:w w:val="110"/>
        </w:rPr>
        <w:t>23.1</w:t>
      </w:r>
      <w:r>
        <w:rPr>
          <w:color w:val="231F20"/>
          <w:spacing w:val="-8"/>
          <w:w w:val="110"/>
        </w:rPr>
        <w:t> </w:t>
      </w:r>
      <w:r>
        <w:rPr>
          <w:color w:val="231F20"/>
          <w:w w:val="110"/>
        </w:rPr>
        <w:t>jefatura</w:t>
      </w:r>
      <w:r>
        <w:rPr>
          <w:color w:val="231F20"/>
          <w:spacing w:val="-8"/>
          <w:w w:val="110"/>
        </w:rPr>
        <w:t> </w:t>
      </w:r>
      <w:r>
        <w:rPr>
          <w:color w:val="231F20"/>
          <w:w w:val="110"/>
        </w:rPr>
        <w:t>femenina. Se registran 38 millones de niños cuyas edades fluctúan entre 7 y 17 años, y una población de más de 8.2 millones de adultos mayores. El Estado de México</w:t>
      </w:r>
      <w:r>
        <w:rPr>
          <w:color w:val="231F20"/>
          <w:spacing w:val="-8"/>
          <w:w w:val="110"/>
        </w:rPr>
        <w:t> </w:t>
      </w:r>
      <w:r>
        <w:rPr>
          <w:color w:val="231F20"/>
          <w:w w:val="110"/>
        </w:rPr>
        <w:t>y</w:t>
      </w:r>
      <w:r>
        <w:rPr>
          <w:color w:val="231F20"/>
          <w:spacing w:val="-8"/>
          <w:w w:val="110"/>
        </w:rPr>
        <w:t> </w:t>
      </w:r>
      <w:r>
        <w:rPr>
          <w:color w:val="231F20"/>
          <w:w w:val="110"/>
        </w:rPr>
        <w:t>el</w:t>
      </w:r>
      <w:r>
        <w:rPr>
          <w:color w:val="231F20"/>
          <w:spacing w:val="-8"/>
          <w:w w:val="110"/>
        </w:rPr>
        <w:t> </w:t>
      </w:r>
      <w:r>
        <w:rPr>
          <w:color w:val="231F20"/>
          <w:w w:val="110"/>
        </w:rPr>
        <w:t>Distrito</w:t>
      </w:r>
      <w:r>
        <w:rPr>
          <w:color w:val="231F20"/>
          <w:spacing w:val="-8"/>
          <w:w w:val="110"/>
        </w:rPr>
        <w:t> </w:t>
      </w:r>
      <w:r>
        <w:rPr>
          <w:color w:val="231F20"/>
          <w:spacing w:val="-4"/>
          <w:w w:val="110"/>
        </w:rPr>
        <w:t>Federal,</w:t>
      </w:r>
      <w:r>
        <w:rPr>
          <w:color w:val="231F20"/>
          <w:spacing w:val="-8"/>
          <w:w w:val="110"/>
        </w:rPr>
        <w:t> </w:t>
      </w:r>
      <w:r>
        <w:rPr>
          <w:color w:val="231F20"/>
          <w:w w:val="110"/>
        </w:rPr>
        <w:t>localizados</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centro</w:t>
      </w:r>
      <w:r>
        <w:rPr>
          <w:color w:val="231F20"/>
          <w:spacing w:val="-8"/>
          <w:w w:val="110"/>
        </w:rPr>
        <w:t> </w:t>
      </w:r>
      <w:r>
        <w:rPr>
          <w:color w:val="231F20"/>
          <w:w w:val="110"/>
        </w:rPr>
        <w:t>del</w:t>
      </w:r>
      <w:r>
        <w:rPr>
          <w:color w:val="231F20"/>
          <w:spacing w:val="-8"/>
          <w:w w:val="110"/>
        </w:rPr>
        <w:t> </w:t>
      </w:r>
      <w:r>
        <w:rPr>
          <w:color w:val="231F20"/>
          <w:w w:val="110"/>
        </w:rPr>
        <w:t>país,</w:t>
      </w:r>
      <w:r>
        <w:rPr>
          <w:color w:val="231F20"/>
          <w:spacing w:val="-8"/>
          <w:w w:val="110"/>
        </w:rPr>
        <w:t> </w:t>
      </w:r>
      <w:r>
        <w:rPr>
          <w:color w:val="231F20"/>
          <w:w w:val="110"/>
        </w:rPr>
        <w:t>son</w:t>
      </w:r>
      <w:r>
        <w:rPr>
          <w:color w:val="231F20"/>
          <w:spacing w:val="-8"/>
          <w:w w:val="110"/>
        </w:rPr>
        <w:t> </w:t>
      </w:r>
      <w:r>
        <w:rPr>
          <w:color w:val="231F20"/>
          <w:w w:val="110"/>
        </w:rPr>
        <w:t>las</w:t>
      </w:r>
      <w:r>
        <w:rPr>
          <w:color w:val="231F20"/>
          <w:spacing w:val="-8"/>
          <w:w w:val="110"/>
        </w:rPr>
        <w:t> </w:t>
      </w:r>
      <w:r>
        <w:rPr>
          <w:color w:val="231F20"/>
          <w:w w:val="110"/>
        </w:rPr>
        <w:t>entida- </w:t>
      </w:r>
      <w:r>
        <w:rPr>
          <w:color w:val="231F20"/>
          <w:spacing w:val="-3"/>
          <w:w w:val="110"/>
        </w:rPr>
        <w:t>des que </w:t>
      </w:r>
      <w:r>
        <w:rPr>
          <w:color w:val="231F20"/>
          <w:spacing w:val="-4"/>
          <w:w w:val="110"/>
        </w:rPr>
        <w:t>concentran </w:t>
      </w:r>
      <w:r>
        <w:rPr>
          <w:color w:val="231F20"/>
          <w:w w:val="110"/>
        </w:rPr>
        <w:t>el </w:t>
      </w:r>
      <w:r>
        <w:rPr>
          <w:color w:val="231F20"/>
          <w:spacing w:val="-4"/>
          <w:w w:val="110"/>
        </w:rPr>
        <w:t>mayor volumen </w:t>
      </w:r>
      <w:r>
        <w:rPr>
          <w:color w:val="231F20"/>
          <w:w w:val="110"/>
        </w:rPr>
        <w:t>de </w:t>
      </w:r>
      <w:r>
        <w:rPr>
          <w:color w:val="231F20"/>
          <w:spacing w:val="-4"/>
          <w:w w:val="110"/>
        </w:rPr>
        <w:t>población </w:t>
      </w:r>
      <w:r>
        <w:rPr>
          <w:color w:val="231F20"/>
          <w:w w:val="110"/>
        </w:rPr>
        <w:t>en el </w:t>
      </w:r>
      <w:r>
        <w:rPr>
          <w:color w:val="231F20"/>
          <w:spacing w:val="-3"/>
          <w:w w:val="110"/>
        </w:rPr>
        <w:t>país </w:t>
      </w:r>
      <w:r>
        <w:rPr>
          <w:color w:val="231F20"/>
          <w:w w:val="110"/>
        </w:rPr>
        <w:t>y es </w:t>
      </w:r>
      <w:r>
        <w:rPr>
          <w:color w:val="231F20"/>
          <w:spacing w:val="-3"/>
          <w:w w:val="110"/>
        </w:rPr>
        <w:t>ahí </w:t>
      </w:r>
      <w:r>
        <w:rPr>
          <w:color w:val="231F20"/>
          <w:spacing w:val="-4"/>
          <w:w w:val="110"/>
        </w:rPr>
        <w:t>donde </w:t>
      </w:r>
      <w:r>
        <w:rPr>
          <w:color w:val="231F20"/>
          <w:w w:val="110"/>
        </w:rPr>
        <w:t>también se aglutina una importante proporción de familias en</w:t>
      </w:r>
      <w:r>
        <w:rPr>
          <w:color w:val="231F20"/>
          <w:spacing w:val="-13"/>
          <w:w w:val="110"/>
        </w:rPr>
        <w:t> </w:t>
      </w:r>
      <w:r>
        <w:rPr>
          <w:color w:val="231F20"/>
          <w:w w:val="110"/>
        </w:rPr>
        <w:t>condiciones de</w:t>
      </w:r>
      <w:r>
        <w:rPr>
          <w:color w:val="231F20"/>
          <w:spacing w:val="-18"/>
          <w:w w:val="110"/>
        </w:rPr>
        <w:t> </w:t>
      </w:r>
      <w:r>
        <w:rPr>
          <w:color w:val="231F20"/>
          <w:w w:val="110"/>
        </w:rPr>
        <w:t>vulnerabilidad.</w:t>
      </w:r>
    </w:p>
    <w:p>
      <w:pPr>
        <w:pStyle w:val="BodyText"/>
        <w:spacing w:line="283" w:lineRule="auto"/>
        <w:ind w:left="124" w:right="109" w:firstLine="360"/>
        <w:jc w:val="right"/>
      </w:pPr>
      <w:r>
        <w:rPr>
          <w:color w:val="231F20"/>
          <w:w w:val="110"/>
        </w:rPr>
        <w:t>Es innegable el impacto de las transformaciones observadas en las</w:t>
      </w:r>
      <w:r>
        <w:rPr>
          <w:color w:val="231F20"/>
          <w:w w:val="118"/>
        </w:rPr>
        <w:t> </w:t>
      </w:r>
      <w:r>
        <w:rPr>
          <w:color w:val="231F20"/>
          <w:w w:val="110"/>
        </w:rPr>
        <w:t>familias y el grado de diversidad entre ellas durante los últimos años. Así,</w:t>
      </w:r>
      <w:r>
        <w:rPr>
          <w:color w:val="231F20"/>
          <w:w w:val="115"/>
        </w:rPr>
        <w:t> </w:t>
      </w:r>
      <w:r>
        <w:rPr>
          <w:color w:val="231F20"/>
          <w:w w:val="110"/>
        </w:rPr>
        <w:t>mujeres e hijos asumen nuevos roles; la mujer se incorpora de forma cre-</w:t>
      </w:r>
      <w:r>
        <w:rPr>
          <w:color w:val="231F20"/>
          <w:w w:val="93"/>
        </w:rPr>
        <w:t> </w:t>
      </w:r>
      <w:r>
        <w:rPr>
          <w:color w:val="231F20"/>
          <w:w w:val="110"/>
        </w:rPr>
        <w:t>ciente al mercado de trabajo desdibujando cada vez más el rol de jefe</w:t>
      </w:r>
      <w:r>
        <w:rPr>
          <w:color w:val="231F20"/>
          <w:w w:val="109"/>
        </w:rPr>
        <w:t> </w:t>
      </w:r>
      <w:r>
        <w:rPr>
          <w:color w:val="231F20"/>
          <w:w w:val="110"/>
        </w:rPr>
        <w:t>proveedor único y fortaleciendo el modelo de doble proveedor, niños y jó-</w:t>
      </w:r>
      <w:r>
        <w:rPr>
          <w:color w:val="231F20"/>
          <w:w w:val="93"/>
        </w:rPr>
        <w:t> </w:t>
      </w:r>
      <w:r>
        <w:rPr>
          <w:color w:val="231F20"/>
          <w:w w:val="110"/>
        </w:rPr>
        <w:t>venes abandonan los estudios y migran a Estados Unidos, la corresidencia</w:t>
      </w:r>
      <w:r>
        <w:rPr>
          <w:color w:val="231F20"/>
          <w:w w:val="109"/>
        </w:rPr>
        <w:t> </w:t>
      </w:r>
      <w:r>
        <w:rPr>
          <w:color w:val="231F20"/>
          <w:w w:val="110"/>
        </w:rPr>
        <w:t>con los adultos mayores tiene una presencia cada vez más destacada, las</w:t>
      </w:r>
      <w:r>
        <w:rPr>
          <w:color w:val="231F20"/>
          <w:w w:val="118"/>
        </w:rPr>
        <w:t> </w:t>
      </w:r>
      <w:r>
        <w:rPr>
          <w:color w:val="231F20"/>
          <w:w w:val="110"/>
        </w:rPr>
        <w:t>uniones libres comienzan a ser cada vez más frecuentemente una alterna-</w:t>
      </w:r>
    </w:p>
    <w:p>
      <w:pPr>
        <w:spacing w:line="256" w:lineRule="auto" w:before="156"/>
        <w:ind w:left="124" w:right="113" w:firstLine="360"/>
        <w:jc w:val="both"/>
        <w:rPr>
          <w:sz w:val="16"/>
        </w:rPr>
      </w:pPr>
      <w:r>
        <w:rPr>
          <w:color w:val="231F20"/>
          <w:w w:val="105"/>
          <w:position w:val="5"/>
          <w:sz w:val="9"/>
        </w:rPr>
        <w:t>1</w:t>
      </w:r>
      <w:r>
        <w:rPr>
          <w:color w:val="231F20"/>
          <w:spacing w:val="-6"/>
          <w:w w:val="105"/>
          <w:position w:val="5"/>
          <w:sz w:val="9"/>
        </w:rPr>
        <w:t> </w:t>
      </w:r>
      <w:r>
        <w:rPr>
          <w:color w:val="231F20"/>
          <w:w w:val="105"/>
          <w:sz w:val="16"/>
        </w:rPr>
        <w:t>Instituto</w:t>
      </w:r>
      <w:r>
        <w:rPr>
          <w:color w:val="231F20"/>
          <w:spacing w:val="-5"/>
          <w:w w:val="105"/>
          <w:sz w:val="16"/>
        </w:rPr>
        <w:t> </w:t>
      </w:r>
      <w:r>
        <w:rPr>
          <w:color w:val="231F20"/>
          <w:w w:val="105"/>
          <w:sz w:val="16"/>
        </w:rPr>
        <w:t>Nacional</w:t>
      </w:r>
      <w:r>
        <w:rPr>
          <w:color w:val="231F20"/>
          <w:spacing w:val="-5"/>
          <w:w w:val="105"/>
          <w:sz w:val="16"/>
        </w:rPr>
        <w:t> </w:t>
      </w:r>
      <w:r>
        <w:rPr>
          <w:color w:val="231F20"/>
          <w:w w:val="105"/>
          <w:sz w:val="16"/>
        </w:rPr>
        <w:t>de</w:t>
      </w:r>
      <w:r>
        <w:rPr>
          <w:color w:val="231F20"/>
          <w:spacing w:val="-5"/>
          <w:w w:val="105"/>
          <w:sz w:val="16"/>
        </w:rPr>
        <w:t> </w:t>
      </w:r>
      <w:r>
        <w:rPr>
          <w:color w:val="231F20"/>
          <w:w w:val="105"/>
          <w:sz w:val="16"/>
        </w:rPr>
        <w:t>Estadística,</w:t>
      </w:r>
      <w:r>
        <w:rPr>
          <w:color w:val="231F20"/>
          <w:spacing w:val="-5"/>
          <w:w w:val="105"/>
          <w:sz w:val="16"/>
        </w:rPr>
        <w:t> </w:t>
      </w:r>
      <w:r>
        <w:rPr>
          <w:color w:val="231F20"/>
          <w:w w:val="105"/>
          <w:sz w:val="16"/>
        </w:rPr>
        <w:t>Geografía</w:t>
      </w:r>
      <w:r>
        <w:rPr>
          <w:color w:val="231F20"/>
          <w:spacing w:val="-5"/>
          <w:w w:val="105"/>
          <w:sz w:val="16"/>
        </w:rPr>
        <w:t> </w:t>
      </w:r>
      <w:r>
        <w:rPr>
          <w:color w:val="231F20"/>
          <w:w w:val="105"/>
          <w:sz w:val="16"/>
        </w:rPr>
        <w:t>e</w:t>
      </w:r>
      <w:r>
        <w:rPr>
          <w:color w:val="231F20"/>
          <w:spacing w:val="-5"/>
          <w:w w:val="105"/>
          <w:sz w:val="16"/>
        </w:rPr>
        <w:t> </w:t>
      </w:r>
      <w:r>
        <w:rPr>
          <w:color w:val="231F20"/>
          <w:w w:val="105"/>
          <w:sz w:val="16"/>
        </w:rPr>
        <w:t>Informática</w:t>
      </w:r>
      <w:r>
        <w:rPr>
          <w:color w:val="231F20"/>
          <w:spacing w:val="-5"/>
          <w:w w:val="105"/>
          <w:sz w:val="16"/>
        </w:rPr>
        <w:t> </w:t>
      </w:r>
      <w:r>
        <w:rPr>
          <w:color w:val="231F20"/>
          <w:w w:val="105"/>
          <w:sz w:val="16"/>
        </w:rPr>
        <w:t>(</w:t>
      </w:r>
      <w:r>
        <w:rPr>
          <w:rFonts w:ascii="Times New Roman" w:hAnsi="Times New Roman"/>
          <w:color w:val="231F20"/>
          <w:w w:val="105"/>
          <w:sz w:val="13"/>
        </w:rPr>
        <w:t>INEGI</w:t>
      </w:r>
      <w:r>
        <w:rPr>
          <w:color w:val="231F20"/>
          <w:w w:val="105"/>
          <w:sz w:val="16"/>
        </w:rPr>
        <w:t>)</w:t>
      </w:r>
      <w:r>
        <w:rPr>
          <w:color w:val="231F20"/>
          <w:spacing w:val="-5"/>
          <w:w w:val="105"/>
          <w:sz w:val="16"/>
        </w:rPr>
        <w:t> </w:t>
      </w:r>
      <w:r>
        <w:rPr>
          <w:color w:val="231F20"/>
          <w:w w:val="105"/>
          <w:sz w:val="16"/>
        </w:rPr>
        <w:t>(2006)</w:t>
      </w:r>
      <w:r>
        <w:rPr>
          <w:color w:val="231F20"/>
          <w:spacing w:val="-5"/>
          <w:w w:val="105"/>
          <w:sz w:val="16"/>
        </w:rPr>
        <w:t> </w:t>
      </w:r>
      <w:r>
        <w:rPr>
          <w:i/>
          <w:color w:val="231F20"/>
          <w:w w:val="105"/>
          <w:sz w:val="16"/>
        </w:rPr>
        <w:t>Conteo</w:t>
      </w:r>
      <w:r>
        <w:rPr>
          <w:i/>
          <w:color w:val="231F20"/>
          <w:spacing w:val="-9"/>
          <w:w w:val="105"/>
          <w:sz w:val="16"/>
        </w:rPr>
        <w:t> </w:t>
      </w:r>
      <w:r>
        <w:rPr>
          <w:i/>
          <w:color w:val="231F20"/>
          <w:w w:val="105"/>
          <w:sz w:val="16"/>
        </w:rPr>
        <w:t>de</w:t>
      </w:r>
      <w:r>
        <w:rPr>
          <w:i/>
          <w:color w:val="231F20"/>
          <w:spacing w:val="-9"/>
          <w:w w:val="105"/>
          <w:sz w:val="16"/>
        </w:rPr>
        <w:t> </w:t>
      </w:r>
      <w:r>
        <w:rPr>
          <w:i/>
          <w:color w:val="231F20"/>
          <w:spacing w:val="-4"/>
          <w:w w:val="105"/>
          <w:sz w:val="16"/>
        </w:rPr>
        <w:t>Población </w:t>
      </w:r>
      <w:r>
        <w:rPr>
          <w:i/>
          <w:color w:val="231F20"/>
          <w:w w:val="105"/>
          <w:sz w:val="16"/>
        </w:rPr>
        <w:t>y Vivienda 2005</w:t>
      </w:r>
      <w:r>
        <w:rPr>
          <w:color w:val="231F20"/>
          <w:w w:val="105"/>
          <w:sz w:val="16"/>
        </w:rPr>
        <w:t>, México, </w:t>
      </w:r>
      <w:r>
        <w:rPr>
          <w:rFonts w:ascii="Times New Roman" w:hAnsi="Times New Roman"/>
          <w:color w:val="231F20"/>
          <w:w w:val="105"/>
          <w:sz w:val="13"/>
        </w:rPr>
        <w:t>INEGI</w:t>
      </w:r>
      <w:r>
        <w:rPr>
          <w:color w:val="231F20"/>
          <w:w w:val="105"/>
          <w:sz w:val="16"/>
        </w:rPr>
        <w:t>, 380  </w:t>
      </w:r>
      <w:r>
        <w:rPr>
          <w:color w:val="231F20"/>
          <w:spacing w:val="22"/>
          <w:w w:val="105"/>
          <w:sz w:val="16"/>
        </w:rPr>
        <w:t> </w:t>
      </w:r>
      <w:r>
        <w:rPr>
          <w:color w:val="231F20"/>
          <w:w w:val="105"/>
          <w:sz w:val="16"/>
        </w:rPr>
        <w:t>pp.</w:t>
      </w:r>
    </w:p>
    <w:p>
      <w:pPr>
        <w:spacing w:after="0" w:line="256" w:lineRule="auto"/>
        <w:jc w:val="both"/>
        <w:rPr>
          <w:sz w:val="16"/>
        </w:rPr>
        <w:sectPr>
          <w:footerReference w:type="even" r:id="rId12"/>
          <w:footerReference w:type="default" r:id="rId13"/>
          <w:pgSz w:w="9520" w:h="12920"/>
          <w:pgMar w:footer="1344" w:header="0" w:top="880" w:bottom="1540" w:left="1320" w:right="1000"/>
          <w:pgNumType w:start="12"/>
        </w:sectPr>
      </w:pPr>
    </w:p>
    <w:p>
      <w:pPr>
        <w:pStyle w:val="BodyText"/>
        <w:spacing w:line="285" w:lineRule="auto" w:before="42"/>
        <w:ind w:left="120" w:right="117"/>
        <w:jc w:val="both"/>
      </w:pPr>
      <w:r>
        <w:rPr>
          <w:color w:val="231F20"/>
          <w:w w:val="110"/>
        </w:rPr>
        <w:t>tiva frente al matrimonio legalizado, mientras que la migración también prescribe reglas a la dinámica familiar, exigiendo que muchas familias de- sarrollen estrategias de sobrevivencia mediadas por sus vínculos familia- res y redes de parentesco que en muchos casos se extienden y trascienden fronteras</w:t>
      </w:r>
      <w:r>
        <w:rPr>
          <w:color w:val="231F20"/>
          <w:spacing w:val="-17"/>
          <w:w w:val="110"/>
        </w:rPr>
        <w:t> </w:t>
      </w:r>
      <w:r>
        <w:rPr>
          <w:color w:val="231F20"/>
          <w:w w:val="110"/>
        </w:rPr>
        <w:t>para</w:t>
      </w:r>
      <w:r>
        <w:rPr>
          <w:color w:val="231F20"/>
          <w:spacing w:val="-17"/>
          <w:w w:val="110"/>
        </w:rPr>
        <w:t> </w:t>
      </w:r>
      <w:r>
        <w:rPr>
          <w:color w:val="231F20"/>
          <w:w w:val="110"/>
        </w:rPr>
        <w:t>constituir</w:t>
      </w:r>
      <w:r>
        <w:rPr>
          <w:color w:val="231F20"/>
          <w:spacing w:val="-17"/>
          <w:w w:val="110"/>
        </w:rPr>
        <w:t> </w:t>
      </w:r>
      <w:r>
        <w:rPr>
          <w:color w:val="231F20"/>
          <w:w w:val="110"/>
        </w:rPr>
        <w:t>las</w:t>
      </w:r>
      <w:r>
        <w:rPr>
          <w:color w:val="231F20"/>
          <w:spacing w:val="-17"/>
          <w:w w:val="110"/>
        </w:rPr>
        <w:t> </w:t>
      </w:r>
      <w:r>
        <w:rPr>
          <w:color w:val="231F20"/>
          <w:w w:val="110"/>
        </w:rPr>
        <w:t>ya</w:t>
      </w:r>
      <w:r>
        <w:rPr>
          <w:color w:val="231F20"/>
          <w:spacing w:val="-17"/>
          <w:w w:val="110"/>
        </w:rPr>
        <w:t> </w:t>
      </w:r>
      <w:r>
        <w:rPr>
          <w:color w:val="231F20"/>
          <w:w w:val="110"/>
        </w:rPr>
        <w:t>mencionadas</w:t>
      </w:r>
      <w:r>
        <w:rPr>
          <w:color w:val="231F20"/>
          <w:spacing w:val="-17"/>
          <w:w w:val="110"/>
        </w:rPr>
        <w:t> </w:t>
      </w:r>
      <w:r>
        <w:rPr>
          <w:color w:val="231F20"/>
          <w:w w:val="110"/>
        </w:rPr>
        <w:t>familias</w:t>
      </w:r>
      <w:r>
        <w:rPr>
          <w:color w:val="231F20"/>
          <w:spacing w:val="-17"/>
          <w:w w:val="110"/>
        </w:rPr>
        <w:t> </w:t>
      </w:r>
      <w:r>
        <w:rPr>
          <w:color w:val="231F20"/>
          <w:w w:val="110"/>
        </w:rPr>
        <w:t>transnacionales.</w:t>
      </w:r>
      <w:r>
        <w:rPr>
          <w:color w:val="231F20"/>
          <w:spacing w:val="-17"/>
          <w:w w:val="110"/>
        </w:rPr>
        <w:t> </w:t>
      </w:r>
      <w:r>
        <w:rPr>
          <w:color w:val="231F20"/>
          <w:w w:val="110"/>
        </w:rPr>
        <w:t>Estas situaciones han modificado y continúan modificando patrones de sosteni- miento económico y de pautas culturales que inciden en la estructura y en la dinámica de las</w:t>
      </w:r>
      <w:r>
        <w:rPr>
          <w:color w:val="231F20"/>
          <w:spacing w:val="28"/>
          <w:w w:val="110"/>
        </w:rPr>
        <w:t> </w:t>
      </w:r>
      <w:r>
        <w:rPr>
          <w:color w:val="231F20"/>
          <w:w w:val="110"/>
        </w:rPr>
        <w:t>familias.</w:t>
      </w:r>
    </w:p>
    <w:p>
      <w:pPr>
        <w:pStyle w:val="BodyText"/>
        <w:spacing w:line="285" w:lineRule="auto"/>
        <w:ind w:left="120" w:right="118" w:firstLine="360"/>
        <w:jc w:val="both"/>
      </w:pPr>
      <w:r>
        <w:rPr>
          <w:color w:val="231F20"/>
          <w:w w:val="110"/>
        </w:rPr>
        <w:t>En este México contemporáneo la familia tradicional nuclear confor- mada</w:t>
      </w:r>
      <w:r>
        <w:rPr>
          <w:color w:val="231F20"/>
          <w:spacing w:val="-10"/>
          <w:w w:val="110"/>
        </w:rPr>
        <w:t> </w:t>
      </w:r>
      <w:r>
        <w:rPr>
          <w:color w:val="231F20"/>
          <w:w w:val="110"/>
        </w:rPr>
        <w:t>por</w:t>
      </w:r>
      <w:r>
        <w:rPr>
          <w:color w:val="231F20"/>
          <w:spacing w:val="-10"/>
          <w:w w:val="110"/>
        </w:rPr>
        <w:t> </w:t>
      </w:r>
      <w:r>
        <w:rPr>
          <w:color w:val="231F20"/>
          <w:w w:val="110"/>
        </w:rPr>
        <w:t>padre,</w:t>
      </w:r>
      <w:r>
        <w:rPr>
          <w:color w:val="231F20"/>
          <w:spacing w:val="-10"/>
          <w:w w:val="110"/>
        </w:rPr>
        <w:t> </w:t>
      </w:r>
      <w:r>
        <w:rPr>
          <w:color w:val="231F20"/>
          <w:w w:val="110"/>
        </w:rPr>
        <w:t>madre</w:t>
      </w:r>
      <w:r>
        <w:rPr>
          <w:color w:val="231F20"/>
          <w:spacing w:val="-10"/>
          <w:w w:val="110"/>
        </w:rPr>
        <w:t> </w:t>
      </w:r>
      <w:r>
        <w:rPr>
          <w:color w:val="231F20"/>
          <w:w w:val="110"/>
        </w:rPr>
        <w:t>e</w:t>
      </w:r>
      <w:r>
        <w:rPr>
          <w:color w:val="231F20"/>
          <w:spacing w:val="-10"/>
          <w:w w:val="110"/>
        </w:rPr>
        <w:t> </w:t>
      </w:r>
      <w:r>
        <w:rPr>
          <w:color w:val="231F20"/>
          <w:w w:val="110"/>
        </w:rPr>
        <w:t>hijos</w:t>
      </w:r>
      <w:r>
        <w:rPr>
          <w:color w:val="231F20"/>
          <w:spacing w:val="-10"/>
          <w:w w:val="110"/>
        </w:rPr>
        <w:t> </w:t>
      </w:r>
      <w:r>
        <w:rPr>
          <w:color w:val="231F20"/>
          <w:w w:val="110"/>
        </w:rPr>
        <w:t>disminuye</w:t>
      </w:r>
      <w:r>
        <w:rPr>
          <w:color w:val="231F20"/>
          <w:spacing w:val="-10"/>
          <w:w w:val="110"/>
        </w:rPr>
        <w:t> </w:t>
      </w:r>
      <w:r>
        <w:rPr>
          <w:color w:val="231F20"/>
          <w:w w:val="110"/>
        </w:rPr>
        <w:t>su</w:t>
      </w:r>
      <w:r>
        <w:rPr>
          <w:color w:val="231F20"/>
          <w:spacing w:val="-10"/>
          <w:w w:val="110"/>
        </w:rPr>
        <w:t> </w:t>
      </w:r>
      <w:r>
        <w:rPr>
          <w:color w:val="231F20"/>
          <w:w w:val="110"/>
        </w:rPr>
        <w:t>importancia</w:t>
      </w:r>
      <w:r>
        <w:rPr>
          <w:color w:val="231F20"/>
          <w:spacing w:val="-10"/>
          <w:w w:val="110"/>
        </w:rPr>
        <w:t> </w:t>
      </w:r>
      <w:r>
        <w:rPr>
          <w:color w:val="231F20"/>
          <w:w w:val="110"/>
        </w:rPr>
        <w:t>relativa</w:t>
      </w:r>
      <w:r>
        <w:rPr>
          <w:color w:val="231F20"/>
          <w:spacing w:val="-10"/>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con- </w:t>
      </w:r>
      <w:r>
        <w:rPr>
          <w:color w:val="231F20"/>
          <w:spacing w:val="-4"/>
          <w:w w:val="110"/>
        </w:rPr>
        <w:t>junto</w:t>
      </w:r>
      <w:r>
        <w:rPr>
          <w:color w:val="231F20"/>
          <w:spacing w:val="-8"/>
          <w:w w:val="110"/>
        </w:rPr>
        <w:t> </w:t>
      </w:r>
      <w:r>
        <w:rPr>
          <w:color w:val="231F20"/>
          <w:w w:val="110"/>
        </w:rPr>
        <w:t>de</w:t>
      </w:r>
      <w:r>
        <w:rPr>
          <w:color w:val="231F20"/>
          <w:spacing w:val="-8"/>
          <w:w w:val="110"/>
        </w:rPr>
        <w:t> </w:t>
      </w:r>
      <w:r>
        <w:rPr>
          <w:color w:val="231F20"/>
          <w:spacing w:val="-4"/>
          <w:w w:val="110"/>
        </w:rPr>
        <w:t>todos</w:t>
      </w:r>
      <w:r>
        <w:rPr>
          <w:color w:val="231F20"/>
          <w:spacing w:val="-8"/>
          <w:w w:val="110"/>
        </w:rPr>
        <w:t> </w:t>
      </w:r>
      <w:r>
        <w:rPr>
          <w:color w:val="231F20"/>
          <w:spacing w:val="-3"/>
          <w:w w:val="110"/>
        </w:rPr>
        <w:t>los</w:t>
      </w:r>
      <w:r>
        <w:rPr>
          <w:color w:val="231F20"/>
          <w:spacing w:val="-8"/>
          <w:w w:val="110"/>
        </w:rPr>
        <w:t> </w:t>
      </w:r>
      <w:r>
        <w:rPr>
          <w:color w:val="231F20"/>
          <w:spacing w:val="-4"/>
          <w:w w:val="110"/>
        </w:rPr>
        <w:t>arreglos</w:t>
      </w:r>
      <w:r>
        <w:rPr>
          <w:color w:val="231F20"/>
          <w:spacing w:val="-8"/>
          <w:w w:val="110"/>
        </w:rPr>
        <w:t> </w:t>
      </w:r>
      <w:r>
        <w:rPr>
          <w:color w:val="231F20"/>
          <w:spacing w:val="-4"/>
          <w:w w:val="110"/>
        </w:rPr>
        <w:t>familiares</w:t>
      </w:r>
      <w:r>
        <w:rPr>
          <w:color w:val="231F20"/>
          <w:spacing w:val="-8"/>
          <w:w w:val="110"/>
        </w:rPr>
        <w:t> </w:t>
      </w:r>
      <w:r>
        <w:rPr>
          <w:color w:val="231F20"/>
          <w:w w:val="110"/>
        </w:rPr>
        <w:t>a</w:t>
      </w:r>
      <w:r>
        <w:rPr>
          <w:color w:val="231F20"/>
          <w:spacing w:val="-8"/>
          <w:w w:val="110"/>
        </w:rPr>
        <w:t> </w:t>
      </w:r>
      <w:r>
        <w:rPr>
          <w:color w:val="231F20"/>
          <w:spacing w:val="-3"/>
          <w:w w:val="110"/>
        </w:rPr>
        <w:t>tal</w:t>
      </w:r>
      <w:r>
        <w:rPr>
          <w:color w:val="231F20"/>
          <w:spacing w:val="-8"/>
          <w:w w:val="110"/>
        </w:rPr>
        <w:t> </w:t>
      </w:r>
      <w:r>
        <w:rPr>
          <w:color w:val="231F20"/>
          <w:spacing w:val="-4"/>
          <w:w w:val="110"/>
        </w:rPr>
        <w:t>grado</w:t>
      </w:r>
      <w:r>
        <w:rPr>
          <w:color w:val="231F20"/>
          <w:spacing w:val="-8"/>
          <w:w w:val="110"/>
        </w:rPr>
        <w:t> </w:t>
      </w:r>
      <w:r>
        <w:rPr>
          <w:color w:val="231F20"/>
          <w:spacing w:val="-3"/>
          <w:w w:val="110"/>
        </w:rPr>
        <w:t>que</w:t>
      </w:r>
      <w:r>
        <w:rPr>
          <w:color w:val="231F20"/>
          <w:spacing w:val="-8"/>
          <w:w w:val="110"/>
        </w:rPr>
        <w:t> </w:t>
      </w:r>
      <w:r>
        <w:rPr>
          <w:color w:val="231F20"/>
          <w:spacing w:val="-4"/>
          <w:w w:val="110"/>
        </w:rPr>
        <w:t>representa</w:t>
      </w:r>
      <w:r>
        <w:rPr>
          <w:color w:val="231F20"/>
          <w:spacing w:val="-8"/>
          <w:w w:val="110"/>
        </w:rPr>
        <w:t> </w:t>
      </w:r>
      <w:r>
        <w:rPr>
          <w:color w:val="231F20"/>
          <w:w w:val="110"/>
        </w:rPr>
        <w:t>60</w:t>
      </w:r>
      <w:r>
        <w:rPr>
          <w:color w:val="231F20"/>
          <w:spacing w:val="-8"/>
          <w:w w:val="110"/>
        </w:rPr>
        <w:t> </w:t>
      </w:r>
      <w:r>
        <w:rPr>
          <w:color w:val="231F20"/>
          <w:spacing w:val="-3"/>
          <w:w w:val="110"/>
        </w:rPr>
        <w:t>por</w:t>
      </w:r>
      <w:r>
        <w:rPr>
          <w:color w:val="231F20"/>
          <w:spacing w:val="-8"/>
          <w:w w:val="110"/>
        </w:rPr>
        <w:t> </w:t>
      </w:r>
      <w:r>
        <w:rPr>
          <w:color w:val="231F20"/>
          <w:spacing w:val="-4"/>
          <w:w w:val="110"/>
        </w:rPr>
        <w:t>ciento </w:t>
      </w:r>
      <w:r>
        <w:rPr>
          <w:color w:val="231F20"/>
          <w:w w:val="110"/>
        </w:rPr>
        <w:t>de </w:t>
      </w:r>
      <w:r>
        <w:rPr>
          <w:color w:val="231F20"/>
          <w:spacing w:val="-3"/>
          <w:w w:val="110"/>
        </w:rPr>
        <w:t>las </w:t>
      </w:r>
      <w:r>
        <w:rPr>
          <w:color w:val="231F20"/>
          <w:spacing w:val="-4"/>
          <w:w w:val="110"/>
        </w:rPr>
        <w:t>familias </w:t>
      </w:r>
      <w:r>
        <w:rPr>
          <w:color w:val="231F20"/>
          <w:w w:val="110"/>
        </w:rPr>
        <w:t>en el </w:t>
      </w:r>
      <w:r>
        <w:rPr>
          <w:color w:val="231F20"/>
          <w:spacing w:val="-4"/>
          <w:w w:val="110"/>
        </w:rPr>
        <w:t>país, </w:t>
      </w:r>
      <w:r>
        <w:rPr>
          <w:color w:val="231F20"/>
          <w:w w:val="110"/>
        </w:rPr>
        <w:t>lo </w:t>
      </w:r>
      <w:r>
        <w:rPr>
          <w:color w:val="231F20"/>
          <w:spacing w:val="-3"/>
          <w:w w:val="110"/>
        </w:rPr>
        <w:t>que nos </w:t>
      </w:r>
      <w:r>
        <w:rPr>
          <w:color w:val="231F20"/>
          <w:spacing w:val="-4"/>
          <w:w w:val="110"/>
        </w:rPr>
        <w:t>indica </w:t>
      </w:r>
      <w:r>
        <w:rPr>
          <w:color w:val="231F20"/>
          <w:spacing w:val="-3"/>
          <w:w w:val="110"/>
        </w:rPr>
        <w:t>que </w:t>
      </w:r>
      <w:r>
        <w:rPr>
          <w:color w:val="231F20"/>
          <w:spacing w:val="-4"/>
          <w:w w:val="110"/>
        </w:rPr>
        <w:t>estamos atravesando </w:t>
      </w:r>
      <w:r>
        <w:rPr>
          <w:color w:val="231F20"/>
          <w:w w:val="110"/>
        </w:rPr>
        <w:t>un </w:t>
      </w:r>
      <w:r>
        <w:rPr>
          <w:color w:val="231F20"/>
          <w:spacing w:val="-3"/>
          <w:w w:val="110"/>
        </w:rPr>
        <w:t>pro- </w:t>
      </w:r>
      <w:r>
        <w:rPr>
          <w:color w:val="231F20"/>
          <w:w w:val="110"/>
        </w:rPr>
        <w:t>ceso de transformación social de convivencias familiares sin precedentes en la </w:t>
      </w:r>
      <w:r>
        <w:rPr>
          <w:color w:val="231F20"/>
          <w:spacing w:val="-4"/>
          <w:w w:val="110"/>
        </w:rPr>
        <w:t>historia </w:t>
      </w:r>
      <w:r>
        <w:rPr>
          <w:color w:val="231F20"/>
          <w:spacing w:val="-3"/>
          <w:w w:val="110"/>
        </w:rPr>
        <w:t>del </w:t>
      </w:r>
      <w:r>
        <w:rPr>
          <w:color w:val="231F20"/>
          <w:spacing w:val="-4"/>
          <w:w w:val="110"/>
        </w:rPr>
        <w:t>país; </w:t>
      </w:r>
      <w:r>
        <w:rPr>
          <w:color w:val="231F20"/>
          <w:spacing w:val="-3"/>
          <w:w w:val="110"/>
        </w:rPr>
        <w:t>que </w:t>
      </w:r>
      <w:r>
        <w:rPr>
          <w:color w:val="231F20"/>
          <w:w w:val="110"/>
        </w:rPr>
        <w:t>es </w:t>
      </w:r>
      <w:r>
        <w:rPr>
          <w:color w:val="231F20"/>
          <w:spacing w:val="-4"/>
          <w:w w:val="110"/>
        </w:rPr>
        <w:t>también </w:t>
      </w:r>
      <w:r>
        <w:rPr>
          <w:color w:val="231F20"/>
          <w:w w:val="110"/>
        </w:rPr>
        <w:t>la </w:t>
      </w:r>
      <w:r>
        <w:rPr>
          <w:color w:val="231F20"/>
          <w:spacing w:val="-4"/>
          <w:w w:val="110"/>
        </w:rPr>
        <w:t>historia </w:t>
      </w:r>
      <w:r>
        <w:rPr>
          <w:color w:val="231F20"/>
          <w:w w:val="110"/>
        </w:rPr>
        <w:t>de </w:t>
      </w:r>
      <w:r>
        <w:rPr>
          <w:color w:val="231F20"/>
          <w:spacing w:val="-4"/>
          <w:w w:val="110"/>
        </w:rPr>
        <w:t>América </w:t>
      </w:r>
      <w:r>
        <w:rPr>
          <w:color w:val="231F20"/>
          <w:spacing w:val="-3"/>
          <w:w w:val="110"/>
        </w:rPr>
        <w:t>Latina, </w:t>
      </w:r>
      <w:r>
        <w:rPr>
          <w:color w:val="231F20"/>
          <w:w w:val="110"/>
        </w:rPr>
        <w:t>en </w:t>
      </w:r>
      <w:r>
        <w:rPr>
          <w:color w:val="231F20"/>
          <w:spacing w:val="-4"/>
          <w:w w:val="110"/>
        </w:rPr>
        <w:t>cuyos </w:t>
      </w:r>
      <w:r>
        <w:rPr>
          <w:color w:val="231F20"/>
          <w:w w:val="110"/>
        </w:rPr>
        <w:t>países la familia nuclear biparental se redujo de 46.3 por ciento en 1990 </w:t>
      </w:r>
      <w:r>
        <w:rPr>
          <w:color w:val="231F20"/>
          <w:spacing w:val="4"/>
          <w:w w:val="110"/>
        </w:rPr>
        <w:t> </w:t>
      </w:r>
      <w:r>
        <w:rPr>
          <w:color w:val="231F20"/>
          <w:w w:val="110"/>
        </w:rPr>
        <w:t>a</w:t>
      </w:r>
    </w:p>
    <w:p>
      <w:pPr>
        <w:pStyle w:val="BodyText"/>
        <w:spacing w:line="285" w:lineRule="auto"/>
        <w:ind w:left="120" w:right="115"/>
        <w:jc w:val="both"/>
      </w:pPr>
      <w:r>
        <w:rPr>
          <w:color w:val="231F20"/>
          <w:w w:val="110"/>
        </w:rPr>
        <w:t>41.1 por ciento en el año 2005. El modelo latinoamericano coexiste con</w:t>
      </w:r>
      <w:r>
        <w:rPr>
          <w:color w:val="231F20"/>
          <w:spacing w:val="-14"/>
          <w:w w:val="110"/>
        </w:rPr>
        <w:t> </w:t>
      </w:r>
      <w:r>
        <w:rPr>
          <w:color w:val="231F20"/>
          <w:w w:val="110"/>
        </w:rPr>
        <w:t>las familias</w:t>
      </w:r>
      <w:r>
        <w:rPr>
          <w:color w:val="231F20"/>
          <w:spacing w:val="-17"/>
          <w:w w:val="110"/>
        </w:rPr>
        <w:t> </w:t>
      </w:r>
      <w:r>
        <w:rPr>
          <w:color w:val="231F20"/>
          <w:spacing w:val="-3"/>
          <w:w w:val="110"/>
        </w:rPr>
        <w:t>extendidas</w:t>
      </w:r>
      <w:r>
        <w:rPr>
          <w:color w:val="231F20"/>
          <w:spacing w:val="-17"/>
          <w:w w:val="110"/>
        </w:rPr>
        <w:t> </w:t>
      </w:r>
      <w:r>
        <w:rPr>
          <w:color w:val="231F20"/>
          <w:w w:val="110"/>
        </w:rPr>
        <w:t>de</w:t>
      </w:r>
      <w:r>
        <w:rPr>
          <w:color w:val="231F20"/>
          <w:spacing w:val="-17"/>
          <w:w w:val="110"/>
        </w:rPr>
        <w:t> </w:t>
      </w:r>
      <w:r>
        <w:rPr>
          <w:color w:val="231F20"/>
          <w:w w:val="110"/>
        </w:rPr>
        <w:t>tres</w:t>
      </w:r>
      <w:r>
        <w:rPr>
          <w:color w:val="231F20"/>
          <w:spacing w:val="-17"/>
          <w:w w:val="110"/>
        </w:rPr>
        <w:t> </w:t>
      </w:r>
      <w:r>
        <w:rPr>
          <w:color w:val="231F20"/>
          <w:w w:val="110"/>
        </w:rPr>
        <w:t>generaciones</w:t>
      </w:r>
      <w:r>
        <w:rPr>
          <w:color w:val="231F20"/>
          <w:spacing w:val="-17"/>
          <w:w w:val="110"/>
        </w:rPr>
        <w:t> </w:t>
      </w:r>
      <w:r>
        <w:rPr>
          <w:color w:val="231F20"/>
          <w:w w:val="110"/>
        </w:rPr>
        <w:t>que</w:t>
      </w:r>
      <w:r>
        <w:rPr>
          <w:color w:val="231F20"/>
          <w:spacing w:val="-17"/>
          <w:w w:val="110"/>
        </w:rPr>
        <w:t> </w:t>
      </w:r>
      <w:r>
        <w:rPr>
          <w:color w:val="231F20"/>
          <w:w w:val="110"/>
        </w:rPr>
        <w:t>en</w:t>
      </w:r>
      <w:r>
        <w:rPr>
          <w:color w:val="231F20"/>
          <w:spacing w:val="-17"/>
          <w:w w:val="110"/>
        </w:rPr>
        <w:t> </w:t>
      </w:r>
      <w:r>
        <w:rPr>
          <w:color w:val="231F20"/>
          <w:w w:val="110"/>
        </w:rPr>
        <w:t>2005</w:t>
      </w:r>
      <w:r>
        <w:rPr>
          <w:color w:val="231F20"/>
          <w:spacing w:val="-17"/>
          <w:w w:val="110"/>
        </w:rPr>
        <w:t> </w:t>
      </w:r>
      <w:r>
        <w:rPr>
          <w:color w:val="231F20"/>
          <w:w w:val="110"/>
        </w:rPr>
        <w:t>representaba</w:t>
      </w:r>
      <w:r>
        <w:rPr>
          <w:color w:val="231F20"/>
          <w:spacing w:val="-17"/>
          <w:w w:val="110"/>
        </w:rPr>
        <w:t> </w:t>
      </w:r>
      <w:r>
        <w:rPr>
          <w:color w:val="231F20"/>
          <w:w w:val="110"/>
        </w:rPr>
        <w:t>21.7</w:t>
      </w:r>
      <w:r>
        <w:rPr>
          <w:color w:val="231F20"/>
          <w:spacing w:val="-17"/>
          <w:w w:val="110"/>
        </w:rPr>
        <w:t> </w:t>
      </w:r>
      <w:r>
        <w:rPr>
          <w:color w:val="231F20"/>
          <w:w w:val="110"/>
        </w:rPr>
        <w:t>por ciento,</w:t>
      </w:r>
      <w:r>
        <w:rPr>
          <w:color w:val="231F20"/>
          <w:spacing w:val="-11"/>
          <w:w w:val="110"/>
        </w:rPr>
        <w:t> </w:t>
      </w:r>
      <w:r>
        <w:rPr>
          <w:color w:val="231F20"/>
          <w:w w:val="110"/>
        </w:rPr>
        <w:t>las</w:t>
      </w:r>
      <w:r>
        <w:rPr>
          <w:color w:val="231F20"/>
          <w:spacing w:val="-11"/>
          <w:w w:val="110"/>
        </w:rPr>
        <w:t> </w:t>
      </w:r>
      <w:r>
        <w:rPr>
          <w:color w:val="231F20"/>
          <w:w w:val="110"/>
        </w:rPr>
        <w:t>familias</w:t>
      </w:r>
      <w:r>
        <w:rPr>
          <w:color w:val="231F20"/>
          <w:spacing w:val="-11"/>
          <w:w w:val="110"/>
        </w:rPr>
        <w:t> </w:t>
      </w:r>
      <w:r>
        <w:rPr>
          <w:color w:val="231F20"/>
          <w:w w:val="110"/>
        </w:rPr>
        <w:t>nucleares</w:t>
      </w:r>
      <w:r>
        <w:rPr>
          <w:color w:val="231F20"/>
          <w:spacing w:val="-11"/>
          <w:w w:val="110"/>
        </w:rPr>
        <w:t> </w:t>
      </w:r>
      <w:r>
        <w:rPr>
          <w:color w:val="231F20"/>
          <w:w w:val="110"/>
        </w:rPr>
        <w:t>monoparentales</w:t>
      </w:r>
      <w:r>
        <w:rPr>
          <w:color w:val="231F20"/>
          <w:spacing w:val="-11"/>
          <w:w w:val="110"/>
        </w:rPr>
        <w:t> </w:t>
      </w:r>
      <w:r>
        <w:rPr>
          <w:color w:val="231F20"/>
          <w:w w:val="110"/>
        </w:rPr>
        <w:t>(12.2</w:t>
      </w:r>
      <w:r>
        <w:rPr>
          <w:color w:val="231F20"/>
          <w:spacing w:val="-11"/>
          <w:w w:val="110"/>
        </w:rPr>
        <w:t> </w:t>
      </w:r>
      <w:r>
        <w:rPr>
          <w:color w:val="231F20"/>
          <w:w w:val="110"/>
        </w:rPr>
        <w:t>por</w:t>
      </w:r>
      <w:r>
        <w:rPr>
          <w:color w:val="231F20"/>
          <w:spacing w:val="-11"/>
          <w:w w:val="110"/>
        </w:rPr>
        <w:t> </w:t>
      </w:r>
      <w:r>
        <w:rPr>
          <w:color w:val="231F20"/>
          <w:w w:val="110"/>
        </w:rPr>
        <w:t>ciento),</w:t>
      </w:r>
      <w:r>
        <w:rPr>
          <w:color w:val="231F20"/>
          <w:spacing w:val="-11"/>
          <w:w w:val="110"/>
        </w:rPr>
        <w:t> </w:t>
      </w:r>
      <w:r>
        <w:rPr>
          <w:color w:val="231F20"/>
          <w:w w:val="110"/>
        </w:rPr>
        <w:t>los</w:t>
      </w:r>
      <w:r>
        <w:rPr>
          <w:color w:val="231F20"/>
          <w:spacing w:val="-11"/>
          <w:w w:val="110"/>
        </w:rPr>
        <w:t> </w:t>
      </w:r>
      <w:r>
        <w:rPr>
          <w:color w:val="231F20"/>
          <w:w w:val="110"/>
        </w:rPr>
        <w:t>hogares unipersonales (9.7 por ciento), las familias nucleares sin hijos, las familias compuestas y los hogares sin núcleo conyugal (Arriagada, 2007). Esta di- versidad en la composición familiar se expresa en tipos monoparentales con sólo padre o madre jefes; extensos; matriarcales, patriarcales,</w:t>
      </w:r>
      <w:r>
        <w:rPr>
          <w:color w:val="231F20"/>
          <w:spacing w:val="-25"/>
          <w:w w:val="110"/>
        </w:rPr>
        <w:t> </w:t>
      </w:r>
      <w:r>
        <w:rPr>
          <w:color w:val="231F20"/>
          <w:w w:val="110"/>
        </w:rPr>
        <w:t>viriloca- </w:t>
      </w:r>
      <w:r>
        <w:rPr>
          <w:color w:val="231F20"/>
          <w:spacing w:val="-3"/>
          <w:w w:val="110"/>
        </w:rPr>
        <w:t>les, </w:t>
      </w:r>
      <w:r>
        <w:rPr>
          <w:color w:val="231F20"/>
          <w:spacing w:val="-4"/>
          <w:w w:val="110"/>
        </w:rPr>
        <w:t>poligámicos, parejas </w:t>
      </w:r>
      <w:r>
        <w:rPr>
          <w:color w:val="231F20"/>
          <w:w w:val="110"/>
        </w:rPr>
        <w:t>de </w:t>
      </w:r>
      <w:r>
        <w:rPr>
          <w:color w:val="231F20"/>
          <w:spacing w:val="-4"/>
          <w:w w:val="110"/>
        </w:rPr>
        <w:t>homosexuales; </w:t>
      </w:r>
      <w:r>
        <w:rPr>
          <w:color w:val="231F20"/>
          <w:w w:val="110"/>
        </w:rPr>
        <w:t>e </w:t>
      </w:r>
      <w:r>
        <w:rPr>
          <w:color w:val="231F20"/>
          <w:spacing w:val="-4"/>
          <w:w w:val="110"/>
        </w:rPr>
        <w:t>incluso </w:t>
      </w:r>
      <w:r>
        <w:rPr>
          <w:color w:val="231F20"/>
          <w:w w:val="110"/>
        </w:rPr>
        <w:t>de </w:t>
      </w:r>
      <w:r>
        <w:rPr>
          <w:color w:val="231F20"/>
          <w:spacing w:val="-4"/>
          <w:w w:val="110"/>
        </w:rPr>
        <w:t>familias compuestas </w:t>
      </w:r>
      <w:r>
        <w:rPr>
          <w:color w:val="231F20"/>
          <w:w w:val="110"/>
        </w:rPr>
        <w:t>por niños, niñas y jóvenes que viven en las calles pero que tienen fuertes lazos de solidaridad, protección y cohesión </w:t>
      </w:r>
      <w:r>
        <w:rPr>
          <w:color w:val="231F20"/>
          <w:spacing w:val="2"/>
          <w:w w:val="110"/>
        </w:rPr>
        <w:t> </w:t>
      </w:r>
      <w:r>
        <w:rPr>
          <w:color w:val="231F20"/>
          <w:w w:val="110"/>
        </w:rPr>
        <w:t>social.</w:t>
      </w:r>
    </w:p>
    <w:p>
      <w:pPr>
        <w:pStyle w:val="BodyText"/>
        <w:spacing w:line="285" w:lineRule="auto"/>
        <w:ind w:left="74" w:right="116" w:firstLine="360"/>
        <w:jc w:val="right"/>
      </w:pPr>
      <w:r>
        <w:rPr>
          <w:color w:val="231F20"/>
          <w:w w:val="110"/>
        </w:rPr>
        <w:t>En este contexto de cambios y movimientos en la dinámica familiar, no</w:t>
      </w:r>
      <w:r>
        <w:rPr>
          <w:color w:val="231F20"/>
          <w:w w:val="110"/>
        </w:rPr>
        <w:t> </w:t>
      </w:r>
      <w:r>
        <w:rPr>
          <w:color w:val="231F20"/>
          <w:w w:val="110"/>
        </w:rPr>
        <w:t>sólo ha sido muy escasa la incidencia de políticas públicas específicamente</w:t>
      </w:r>
      <w:r>
        <w:rPr>
          <w:color w:val="231F20"/>
          <w:w w:val="108"/>
        </w:rPr>
        <w:t> </w:t>
      </w:r>
      <w:r>
        <w:rPr>
          <w:color w:val="231F20"/>
          <w:w w:val="110"/>
        </w:rPr>
        <w:t>orientadas a la familia, sino que buena parte de la nueva realidad familiar</w:t>
      </w:r>
      <w:r>
        <w:rPr>
          <w:color w:val="231F20"/>
          <w:w w:val="106"/>
        </w:rPr>
        <w:t> </w:t>
      </w:r>
      <w:r>
        <w:rPr>
          <w:color w:val="231F20"/>
          <w:w w:val="110"/>
        </w:rPr>
        <w:t>no logra ser considerada ni mucho menos integrada en los programas de</w:t>
      </w:r>
      <w:r>
        <w:rPr>
          <w:color w:val="231F20"/>
          <w:w w:val="108"/>
        </w:rPr>
        <w:t> </w:t>
      </w:r>
      <w:r>
        <w:rPr>
          <w:color w:val="231F20"/>
          <w:w w:val="110"/>
        </w:rPr>
        <w:t>gobierno. Posiblemente una de las pocas políticas orientadas a la dinámica</w:t>
      </w:r>
      <w:r>
        <w:rPr>
          <w:color w:val="231F20"/>
          <w:w w:val="108"/>
        </w:rPr>
        <w:t> </w:t>
      </w:r>
      <w:r>
        <w:rPr>
          <w:color w:val="231F20"/>
          <w:w w:val="110"/>
        </w:rPr>
        <w:t>de funcionamiento familiar es la propia ley de población, ya que en su</w:t>
      </w:r>
      <w:r>
        <w:rPr>
          <w:color w:val="231F20"/>
          <w:w w:val="113"/>
        </w:rPr>
        <w:t> </w:t>
      </w:r>
      <w:r>
        <w:rPr>
          <w:color w:val="231F20"/>
          <w:w w:val="110"/>
        </w:rPr>
        <w:t>postulado de control y reducción de la fecundidad mediante la planifica-</w:t>
      </w:r>
      <w:r>
        <w:rPr>
          <w:color w:val="231F20"/>
          <w:w w:val="93"/>
        </w:rPr>
        <w:t> </w:t>
      </w:r>
      <w:r>
        <w:rPr>
          <w:color w:val="231F20"/>
          <w:w w:val="110"/>
        </w:rPr>
        <w:t>ción familiar</w:t>
      </w:r>
      <w:r>
        <w:rPr>
          <w:color w:val="231F20"/>
          <w:w w:val="110"/>
          <w:position w:val="6"/>
          <w:sz w:val="11"/>
        </w:rPr>
        <w:t>2 </w:t>
      </w:r>
      <w:r>
        <w:rPr>
          <w:color w:val="231F20"/>
          <w:w w:val="110"/>
        </w:rPr>
        <w:t>logró, en ciertos sectores sociales, la disminución   paulatina</w:t>
      </w:r>
    </w:p>
    <w:p>
      <w:pPr>
        <w:pStyle w:val="BodyText"/>
        <w:spacing w:before="10"/>
        <w:rPr>
          <w:sz w:val="15"/>
        </w:rPr>
      </w:pPr>
    </w:p>
    <w:p>
      <w:pPr>
        <w:spacing w:line="256" w:lineRule="auto" w:before="0"/>
        <w:ind w:left="119" w:right="118" w:firstLine="360"/>
        <w:jc w:val="both"/>
        <w:rPr>
          <w:sz w:val="16"/>
        </w:rPr>
      </w:pPr>
      <w:r>
        <w:rPr>
          <w:color w:val="231F20"/>
          <w:w w:val="110"/>
          <w:position w:val="5"/>
          <w:sz w:val="9"/>
        </w:rPr>
        <w:t>2 </w:t>
      </w:r>
      <w:r>
        <w:rPr>
          <w:color w:val="231F20"/>
          <w:w w:val="110"/>
          <w:sz w:val="16"/>
        </w:rPr>
        <w:t>El artículo 13 del </w:t>
      </w:r>
      <w:r>
        <w:rPr>
          <w:color w:val="231F20"/>
          <w:spacing w:val="-3"/>
          <w:w w:val="110"/>
          <w:sz w:val="16"/>
        </w:rPr>
        <w:t>Reglamento </w:t>
      </w:r>
      <w:r>
        <w:rPr>
          <w:color w:val="231F20"/>
          <w:w w:val="110"/>
          <w:sz w:val="16"/>
        </w:rPr>
        <w:t>de la Ley General de </w:t>
      </w:r>
      <w:r>
        <w:rPr>
          <w:color w:val="231F20"/>
          <w:spacing w:val="-3"/>
          <w:w w:val="110"/>
          <w:sz w:val="16"/>
        </w:rPr>
        <w:t>Población </w:t>
      </w:r>
      <w:r>
        <w:rPr>
          <w:color w:val="231F20"/>
          <w:w w:val="110"/>
          <w:sz w:val="16"/>
        </w:rPr>
        <w:t>dice </w:t>
      </w:r>
      <w:r>
        <w:rPr>
          <w:color w:val="231F20"/>
          <w:spacing w:val="-3"/>
          <w:w w:val="110"/>
          <w:sz w:val="16"/>
        </w:rPr>
        <w:t>textualmente: </w:t>
      </w:r>
      <w:r>
        <w:rPr>
          <w:color w:val="231F20"/>
          <w:spacing w:val="3"/>
          <w:w w:val="110"/>
          <w:sz w:val="16"/>
        </w:rPr>
        <w:t>“La </w:t>
      </w:r>
      <w:r>
        <w:rPr>
          <w:color w:val="231F20"/>
          <w:w w:val="110"/>
          <w:sz w:val="16"/>
        </w:rPr>
        <w:t>pla- neación</w:t>
      </w:r>
      <w:r>
        <w:rPr>
          <w:color w:val="231F20"/>
          <w:spacing w:val="-4"/>
          <w:w w:val="110"/>
          <w:sz w:val="16"/>
        </w:rPr>
        <w:t> </w:t>
      </w:r>
      <w:r>
        <w:rPr>
          <w:color w:val="231F20"/>
          <w:w w:val="110"/>
          <w:sz w:val="16"/>
        </w:rPr>
        <w:t>familiar</w:t>
      </w:r>
      <w:r>
        <w:rPr>
          <w:color w:val="231F20"/>
          <w:spacing w:val="-4"/>
          <w:w w:val="110"/>
          <w:sz w:val="16"/>
        </w:rPr>
        <w:t> </w:t>
      </w:r>
      <w:r>
        <w:rPr>
          <w:color w:val="231F20"/>
          <w:w w:val="110"/>
          <w:sz w:val="16"/>
        </w:rPr>
        <w:t>es</w:t>
      </w:r>
      <w:r>
        <w:rPr>
          <w:color w:val="231F20"/>
          <w:spacing w:val="-4"/>
          <w:w w:val="110"/>
          <w:sz w:val="16"/>
        </w:rPr>
        <w:t> </w:t>
      </w:r>
      <w:r>
        <w:rPr>
          <w:color w:val="231F20"/>
          <w:w w:val="110"/>
          <w:sz w:val="16"/>
        </w:rPr>
        <w:t>el</w:t>
      </w:r>
      <w:r>
        <w:rPr>
          <w:color w:val="231F20"/>
          <w:spacing w:val="-4"/>
          <w:w w:val="110"/>
          <w:sz w:val="16"/>
        </w:rPr>
        <w:t> </w:t>
      </w:r>
      <w:r>
        <w:rPr>
          <w:color w:val="231F20"/>
          <w:w w:val="110"/>
          <w:sz w:val="16"/>
        </w:rPr>
        <w:t>ejercicio</w:t>
      </w:r>
      <w:r>
        <w:rPr>
          <w:color w:val="231F20"/>
          <w:spacing w:val="-4"/>
          <w:w w:val="110"/>
          <w:sz w:val="16"/>
        </w:rPr>
        <w:t> </w:t>
      </w:r>
      <w:r>
        <w:rPr>
          <w:color w:val="231F20"/>
          <w:w w:val="110"/>
          <w:sz w:val="16"/>
        </w:rPr>
        <w:t>del</w:t>
      </w:r>
      <w:r>
        <w:rPr>
          <w:color w:val="231F20"/>
          <w:spacing w:val="-4"/>
          <w:w w:val="110"/>
          <w:sz w:val="16"/>
        </w:rPr>
        <w:t> </w:t>
      </w:r>
      <w:r>
        <w:rPr>
          <w:color w:val="231F20"/>
          <w:w w:val="110"/>
          <w:sz w:val="16"/>
        </w:rPr>
        <w:t>derecho</w:t>
      </w:r>
      <w:r>
        <w:rPr>
          <w:color w:val="231F20"/>
          <w:spacing w:val="-4"/>
          <w:w w:val="110"/>
          <w:sz w:val="16"/>
        </w:rPr>
        <w:t> </w:t>
      </w:r>
      <w:r>
        <w:rPr>
          <w:color w:val="231F20"/>
          <w:w w:val="110"/>
          <w:sz w:val="16"/>
        </w:rPr>
        <w:t>de</w:t>
      </w:r>
      <w:r>
        <w:rPr>
          <w:color w:val="231F20"/>
          <w:spacing w:val="-4"/>
          <w:w w:val="110"/>
          <w:sz w:val="16"/>
        </w:rPr>
        <w:t> </w:t>
      </w:r>
      <w:r>
        <w:rPr>
          <w:color w:val="231F20"/>
          <w:w w:val="110"/>
          <w:sz w:val="16"/>
        </w:rPr>
        <w:t>toda</w:t>
      </w:r>
      <w:r>
        <w:rPr>
          <w:color w:val="231F20"/>
          <w:spacing w:val="-4"/>
          <w:w w:val="110"/>
          <w:sz w:val="16"/>
        </w:rPr>
        <w:t> </w:t>
      </w:r>
      <w:r>
        <w:rPr>
          <w:color w:val="231F20"/>
          <w:w w:val="110"/>
          <w:sz w:val="16"/>
        </w:rPr>
        <w:t>persona</w:t>
      </w:r>
      <w:r>
        <w:rPr>
          <w:color w:val="231F20"/>
          <w:spacing w:val="-4"/>
          <w:w w:val="110"/>
          <w:sz w:val="16"/>
        </w:rPr>
        <w:t> </w:t>
      </w:r>
      <w:r>
        <w:rPr>
          <w:color w:val="231F20"/>
          <w:w w:val="110"/>
          <w:sz w:val="16"/>
        </w:rPr>
        <w:t>a</w:t>
      </w:r>
      <w:r>
        <w:rPr>
          <w:color w:val="231F20"/>
          <w:spacing w:val="-4"/>
          <w:w w:val="110"/>
          <w:sz w:val="16"/>
        </w:rPr>
        <w:t> </w:t>
      </w:r>
      <w:r>
        <w:rPr>
          <w:color w:val="231F20"/>
          <w:w w:val="110"/>
          <w:sz w:val="16"/>
        </w:rPr>
        <w:t>decidir</w:t>
      </w:r>
      <w:r>
        <w:rPr>
          <w:color w:val="231F20"/>
          <w:spacing w:val="-4"/>
          <w:w w:val="110"/>
          <w:sz w:val="16"/>
        </w:rPr>
        <w:t> </w:t>
      </w:r>
      <w:r>
        <w:rPr>
          <w:color w:val="231F20"/>
          <w:w w:val="110"/>
          <w:sz w:val="16"/>
        </w:rPr>
        <w:t>de</w:t>
      </w:r>
      <w:r>
        <w:rPr>
          <w:color w:val="231F20"/>
          <w:spacing w:val="-4"/>
          <w:w w:val="110"/>
          <w:sz w:val="16"/>
        </w:rPr>
        <w:t> </w:t>
      </w:r>
      <w:r>
        <w:rPr>
          <w:color w:val="231F20"/>
          <w:w w:val="110"/>
          <w:sz w:val="16"/>
        </w:rPr>
        <w:t>manera</w:t>
      </w:r>
      <w:r>
        <w:rPr>
          <w:color w:val="231F20"/>
          <w:spacing w:val="-4"/>
          <w:w w:val="110"/>
          <w:sz w:val="16"/>
        </w:rPr>
        <w:t> </w:t>
      </w:r>
      <w:r>
        <w:rPr>
          <w:color w:val="231F20"/>
          <w:w w:val="110"/>
          <w:sz w:val="16"/>
        </w:rPr>
        <w:t>libre,</w:t>
      </w:r>
      <w:r>
        <w:rPr>
          <w:color w:val="231F20"/>
          <w:spacing w:val="-4"/>
          <w:w w:val="110"/>
          <w:sz w:val="16"/>
        </w:rPr>
        <w:t> </w:t>
      </w:r>
      <w:r>
        <w:rPr>
          <w:color w:val="231F20"/>
          <w:w w:val="110"/>
          <w:sz w:val="16"/>
        </w:rPr>
        <w:t>respon- sable e informada sobre el número y el espaciamiento de sus hijos y a obtener la información especializada y los servicios</w:t>
      </w:r>
      <w:r>
        <w:rPr>
          <w:color w:val="231F20"/>
          <w:spacing w:val="29"/>
          <w:w w:val="110"/>
          <w:sz w:val="16"/>
        </w:rPr>
        <w:t> </w:t>
      </w:r>
      <w:r>
        <w:rPr>
          <w:color w:val="231F20"/>
          <w:w w:val="110"/>
          <w:sz w:val="16"/>
        </w:rPr>
        <w:t>idóneos”.</w:t>
      </w:r>
    </w:p>
    <w:p>
      <w:pPr>
        <w:spacing w:after="0" w:line="256" w:lineRule="auto"/>
        <w:jc w:val="both"/>
        <w:rPr>
          <w:sz w:val="16"/>
        </w:rPr>
        <w:sectPr>
          <w:pgSz w:w="9520" w:h="12920"/>
          <w:pgMar w:header="0" w:footer="1344" w:top="880" w:bottom="1540" w:left="1000" w:right="1320"/>
        </w:sectPr>
      </w:pPr>
    </w:p>
    <w:p>
      <w:pPr>
        <w:pStyle w:val="BodyText"/>
        <w:spacing w:line="295" w:lineRule="auto" w:before="42"/>
        <w:ind w:left="124" w:right="113"/>
        <w:jc w:val="both"/>
      </w:pPr>
      <w:r>
        <w:rPr>
          <w:color w:val="231F20"/>
          <w:w w:val="110"/>
        </w:rPr>
        <w:t>del tamaño de los hogares.</w:t>
      </w:r>
      <w:r>
        <w:rPr>
          <w:color w:val="231F20"/>
          <w:w w:val="110"/>
          <w:position w:val="6"/>
          <w:sz w:val="11"/>
        </w:rPr>
        <w:t>3 </w:t>
      </w:r>
      <w:r>
        <w:rPr>
          <w:color w:val="231F20"/>
          <w:w w:val="110"/>
        </w:rPr>
        <w:t>Sin embargo, hay que reconocer que la fecun- didad es el único elemento de interés en la familia presente en esta  ley.</w:t>
      </w:r>
    </w:p>
    <w:p>
      <w:pPr>
        <w:pStyle w:val="BodyText"/>
      </w:pPr>
    </w:p>
    <w:p>
      <w:pPr>
        <w:pStyle w:val="BodyText"/>
        <w:spacing w:before="9"/>
        <w:rPr>
          <w:sz w:val="24"/>
        </w:rPr>
      </w:pPr>
    </w:p>
    <w:p>
      <w:pPr>
        <w:spacing w:before="0"/>
        <w:ind w:left="124" w:right="0" w:firstLine="0"/>
        <w:jc w:val="both"/>
        <w:rPr>
          <w:rFonts w:ascii="Times New Roman" w:hAnsi="Times New Roman"/>
          <w:i/>
          <w:sz w:val="19"/>
        </w:rPr>
      </w:pPr>
      <w:r>
        <w:rPr>
          <w:rFonts w:ascii="Times New Roman" w:hAnsi="Times New Roman"/>
          <w:i/>
          <w:color w:val="231F20"/>
          <w:w w:val="95"/>
          <w:sz w:val="24"/>
        </w:rPr>
        <w:t>E</w:t>
      </w:r>
      <w:r>
        <w:rPr>
          <w:rFonts w:ascii="Times New Roman" w:hAnsi="Times New Roman"/>
          <w:i/>
          <w:color w:val="231F20"/>
          <w:w w:val="95"/>
          <w:sz w:val="19"/>
        </w:rPr>
        <w:t>L DEBER SER DE LA POLÍTICA SOCIAL FAMILIAR</w:t>
      </w:r>
    </w:p>
    <w:p>
      <w:pPr>
        <w:pStyle w:val="BodyText"/>
        <w:spacing w:before="4"/>
        <w:rPr>
          <w:rFonts w:ascii="Times New Roman"/>
          <w:i/>
          <w:sz w:val="28"/>
        </w:rPr>
      </w:pPr>
    </w:p>
    <w:p>
      <w:pPr>
        <w:pStyle w:val="BodyText"/>
        <w:spacing w:line="295" w:lineRule="auto"/>
        <w:ind w:left="124" w:right="111"/>
        <w:jc w:val="both"/>
      </w:pPr>
      <w:r>
        <w:rPr>
          <w:color w:val="231F20"/>
          <w:w w:val="110"/>
        </w:rPr>
        <w:t>En teoría, la política pública que el Estado diseña tiene como propósito definir lineamientos que tengan incidencia en el bienestar de las familias, en algunos o en todos sus aspectos, lo cual se concreta a través de proyec- tos, planes y programas de acción que las autoridades públicas elaboran y aplican. En otro entender,</w:t>
      </w:r>
    </w:p>
    <w:p>
      <w:pPr>
        <w:pStyle w:val="BodyText"/>
        <w:spacing w:before="10"/>
        <w:rPr>
          <w:sz w:val="15"/>
        </w:rPr>
      </w:pPr>
    </w:p>
    <w:p>
      <w:pPr>
        <w:spacing w:line="290" w:lineRule="auto" w:before="0"/>
        <w:ind w:left="484" w:right="113" w:firstLine="0"/>
        <w:jc w:val="both"/>
        <w:rPr>
          <w:sz w:val="10"/>
        </w:rPr>
      </w:pPr>
      <w:r>
        <w:rPr>
          <w:color w:val="231F20"/>
          <w:w w:val="110"/>
          <w:sz w:val="18"/>
        </w:rPr>
        <w:t>Las políticas públicas deben contribuir a recuperar la dimensión humana del desarrollo,</w:t>
      </w:r>
      <w:r>
        <w:rPr>
          <w:color w:val="231F20"/>
          <w:spacing w:val="-19"/>
          <w:w w:val="110"/>
          <w:sz w:val="18"/>
        </w:rPr>
        <w:t> </w:t>
      </w:r>
      <w:r>
        <w:rPr>
          <w:color w:val="231F20"/>
          <w:w w:val="110"/>
          <w:sz w:val="18"/>
        </w:rPr>
        <w:t>conjugar</w:t>
      </w:r>
      <w:r>
        <w:rPr>
          <w:color w:val="231F20"/>
          <w:spacing w:val="-19"/>
          <w:w w:val="110"/>
          <w:sz w:val="18"/>
        </w:rPr>
        <w:t> </w:t>
      </w:r>
      <w:r>
        <w:rPr>
          <w:color w:val="231F20"/>
          <w:w w:val="110"/>
          <w:sz w:val="18"/>
        </w:rPr>
        <w:t>el</w:t>
      </w:r>
      <w:r>
        <w:rPr>
          <w:color w:val="231F20"/>
          <w:spacing w:val="-19"/>
          <w:w w:val="110"/>
          <w:sz w:val="18"/>
        </w:rPr>
        <w:t> </w:t>
      </w:r>
      <w:r>
        <w:rPr>
          <w:color w:val="231F20"/>
          <w:w w:val="110"/>
          <w:sz w:val="18"/>
        </w:rPr>
        <w:t>desarrollo</w:t>
      </w:r>
      <w:r>
        <w:rPr>
          <w:color w:val="231F20"/>
          <w:spacing w:val="-19"/>
          <w:w w:val="110"/>
          <w:sz w:val="18"/>
        </w:rPr>
        <w:t> </w:t>
      </w:r>
      <w:r>
        <w:rPr>
          <w:color w:val="231F20"/>
          <w:w w:val="110"/>
          <w:sz w:val="18"/>
        </w:rPr>
        <w:t>sustentable</w:t>
      </w:r>
      <w:r>
        <w:rPr>
          <w:color w:val="231F20"/>
          <w:spacing w:val="-19"/>
          <w:w w:val="110"/>
          <w:sz w:val="18"/>
        </w:rPr>
        <w:t> </w:t>
      </w:r>
      <w:r>
        <w:rPr>
          <w:color w:val="231F20"/>
          <w:w w:val="110"/>
          <w:sz w:val="18"/>
        </w:rPr>
        <w:t>con</w:t>
      </w:r>
      <w:r>
        <w:rPr>
          <w:color w:val="231F20"/>
          <w:spacing w:val="-19"/>
          <w:w w:val="110"/>
          <w:sz w:val="18"/>
        </w:rPr>
        <w:t> </w:t>
      </w:r>
      <w:r>
        <w:rPr>
          <w:color w:val="231F20"/>
          <w:w w:val="110"/>
          <w:sz w:val="18"/>
        </w:rPr>
        <w:t>el</w:t>
      </w:r>
      <w:r>
        <w:rPr>
          <w:color w:val="231F20"/>
          <w:spacing w:val="-19"/>
          <w:w w:val="110"/>
          <w:sz w:val="18"/>
        </w:rPr>
        <w:t> </w:t>
      </w:r>
      <w:r>
        <w:rPr>
          <w:color w:val="231F20"/>
          <w:w w:val="110"/>
          <w:sz w:val="18"/>
        </w:rPr>
        <w:t>desarrollo</w:t>
      </w:r>
      <w:r>
        <w:rPr>
          <w:color w:val="231F20"/>
          <w:spacing w:val="-19"/>
          <w:w w:val="110"/>
          <w:sz w:val="18"/>
        </w:rPr>
        <w:t> </w:t>
      </w:r>
      <w:r>
        <w:rPr>
          <w:color w:val="231F20"/>
          <w:w w:val="110"/>
          <w:sz w:val="18"/>
        </w:rPr>
        <w:t>social,</w:t>
      </w:r>
      <w:r>
        <w:rPr>
          <w:color w:val="231F20"/>
          <w:spacing w:val="-19"/>
          <w:w w:val="110"/>
          <w:sz w:val="18"/>
        </w:rPr>
        <w:t> </w:t>
      </w:r>
      <w:r>
        <w:rPr>
          <w:color w:val="231F20"/>
          <w:w w:val="110"/>
          <w:sz w:val="18"/>
        </w:rPr>
        <w:t>orientarse a la atención y solución de problemas específicos, ubicar con realismo costos, beneficiarios y factibilidad, contribuir al desarrollo de la vida familiar y comu- nitaria,</w:t>
      </w:r>
      <w:r>
        <w:rPr>
          <w:color w:val="231F20"/>
          <w:spacing w:val="-9"/>
          <w:w w:val="110"/>
          <w:sz w:val="18"/>
        </w:rPr>
        <w:t> </w:t>
      </w:r>
      <w:r>
        <w:rPr>
          <w:color w:val="231F20"/>
          <w:w w:val="110"/>
          <w:sz w:val="18"/>
        </w:rPr>
        <w:t>dar</w:t>
      </w:r>
      <w:r>
        <w:rPr>
          <w:color w:val="231F20"/>
          <w:spacing w:val="-9"/>
          <w:w w:val="110"/>
          <w:sz w:val="18"/>
        </w:rPr>
        <w:t> </w:t>
      </w:r>
      <w:r>
        <w:rPr>
          <w:color w:val="231F20"/>
          <w:w w:val="110"/>
          <w:sz w:val="18"/>
        </w:rPr>
        <w:t>paso</w:t>
      </w:r>
      <w:r>
        <w:rPr>
          <w:color w:val="231F20"/>
          <w:spacing w:val="-9"/>
          <w:w w:val="110"/>
          <w:sz w:val="18"/>
        </w:rPr>
        <w:t> </w:t>
      </w:r>
      <w:r>
        <w:rPr>
          <w:color w:val="231F20"/>
          <w:w w:val="110"/>
          <w:sz w:val="18"/>
        </w:rPr>
        <w:t>a</w:t>
      </w:r>
      <w:r>
        <w:rPr>
          <w:color w:val="231F20"/>
          <w:spacing w:val="-9"/>
          <w:w w:val="110"/>
          <w:sz w:val="18"/>
        </w:rPr>
        <w:t> </w:t>
      </w:r>
      <w:r>
        <w:rPr>
          <w:color w:val="231F20"/>
          <w:w w:val="110"/>
          <w:sz w:val="18"/>
        </w:rPr>
        <w:t>la</w:t>
      </w:r>
      <w:r>
        <w:rPr>
          <w:color w:val="231F20"/>
          <w:spacing w:val="-9"/>
          <w:w w:val="110"/>
          <w:sz w:val="18"/>
        </w:rPr>
        <w:t> </w:t>
      </w:r>
      <w:r>
        <w:rPr>
          <w:color w:val="231F20"/>
          <w:w w:val="110"/>
          <w:sz w:val="18"/>
        </w:rPr>
        <w:t>categoría</w:t>
      </w:r>
      <w:r>
        <w:rPr>
          <w:color w:val="231F20"/>
          <w:spacing w:val="-9"/>
          <w:w w:val="110"/>
          <w:sz w:val="18"/>
        </w:rPr>
        <w:t> </w:t>
      </w:r>
      <w:r>
        <w:rPr>
          <w:color w:val="231F20"/>
          <w:w w:val="110"/>
          <w:sz w:val="18"/>
        </w:rPr>
        <w:t>ciudadanía</w:t>
      </w:r>
      <w:r>
        <w:rPr>
          <w:color w:val="231F20"/>
          <w:spacing w:val="-9"/>
          <w:w w:val="110"/>
          <w:sz w:val="18"/>
        </w:rPr>
        <w:t> </w:t>
      </w:r>
      <w:r>
        <w:rPr>
          <w:color w:val="231F20"/>
          <w:w w:val="110"/>
          <w:sz w:val="18"/>
        </w:rPr>
        <w:t>social</w:t>
      </w:r>
      <w:r>
        <w:rPr>
          <w:color w:val="231F20"/>
          <w:spacing w:val="-9"/>
          <w:w w:val="110"/>
          <w:sz w:val="18"/>
        </w:rPr>
        <w:t> </w:t>
      </w:r>
      <w:r>
        <w:rPr>
          <w:color w:val="231F20"/>
          <w:w w:val="110"/>
          <w:sz w:val="18"/>
        </w:rPr>
        <w:t>a</w:t>
      </w:r>
      <w:r>
        <w:rPr>
          <w:color w:val="231F20"/>
          <w:spacing w:val="-9"/>
          <w:w w:val="110"/>
          <w:sz w:val="18"/>
        </w:rPr>
        <w:t> </w:t>
      </w:r>
      <w:r>
        <w:rPr>
          <w:color w:val="231F20"/>
          <w:w w:val="110"/>
          <w:sz w:val="18"/>
        </w:rPr>
        <w:t>partir</w:t>
      </w:r>
      <w:r>
        <w:rPr>
          <w:color w:val="231F20"/>
          <w:spacing w:val="-9"/>
          <w:w w:val="110"/>
          <w:sz w:val="18"/>
        </w:rPr>
        <w:t> </w:t>
      </w:r>
      <w:r>
        <w:rPr>
          <w:color w:val="231F20"/>
          <w:w w:val="110"/>
          <w:sz w:val="18"/>
        </w:rPr>
        <w:t>de</w:t>
      </w:r>
      <w:r>
        <w:rPr>
          <w:color w:val="231F20"/>
          <w:spacing w:val="-9"/>
          <w:w w:val="110"/>
          <w:sz w:val="18"/>
        </w:rPr>
        <w:t> </w:t>
      </w:r>
      <w:r>
        <w:rPr>
          <w:color w:val="231F20"/>
          <w:w w:val="110"/>
          <w:sz w:val="18"/>
        </w:rPr>
        <w:t>criterios</w:t>
      </w:r>
      <w:r>
        <w:rPr>
          <w:color w:val="231F20"/>
          <w:spacing w:val="-9"/>
          <w:w w:val="110"/>
          <w:sz w:val="18"/>
        </w:rPr>
        <w:t> </w:t>
      </w:r>
      <w:r>
        <w:rPr>
          <w:color w:val="231F20"/>
          <w:w w:val="110"/>
          <w:sz w:val="18"/>
        </w:rPr>
        <w:t>de</w:t>
      </w:r>
      <w:r>
        <w:rPr>
          <w:color w:val="231F20"/>
          <w:spacing w:val="-9"/>
          <w:w w:val="110"/>
          <w:sz w:val="18"/>
        </w:rPr>
        <w:t> </w:t>
      </w:r>
      <w:r>
        <w:rPr>
          <w:color w:val="231F20"/>
          <w:w w:val="110"/>
          <w:sz w:val="18"/>
        </w:rPr>
        <w:t>equidad (Uvalle,</w:t>
      </w:r>
      <w:r>
        <w:rPr>
          <w:color w:val="231F20"/>
          <w:spacing w:val="-24"/>
          <w:w w:val="110"/>
          <w:sz w:val="18"/>
        </w:rPr>
        <w:t> </w:t>
      </w:r>
      <w:r>
        <w:rPr>
          <w:color w:val="231F20"/>
          <w:w w:val="110"/>
          <w:sz w:val="18"/>
        </w:rPr>
        <w:t>1997:</w:t>
      </w:r>
      <w:r>
        <w:rPr>
          <w:color w:val="231F20"/>
          <w:spacing w:val="-24"/>
          <w:w w:val="110"/>
          <w:sz w:val="18"/>
        </w:rPr>
        <w:t> </w:t>
      </w:r>
      <w:r>
        <w:rPr>
          <w:color w:val="231F20"/>
          <w:w w:val="110"/>
          <w:sz w:val="18"/>
        </w:rPr>
        <w:t>109).</w:t>
      </w:r>
      <w:r>
        <w:rPr>
          <w:color w:val="231F20"/>
          <w:w w:val="110"/>
          <w:position w:val="5"/>
          <w:sz w:val="10"/>
        </w:rPr>
        <w:t>4</w:t>
      </w:r>
    </w:p>
    <w:p>
      <w:pPr>
        <w:pStyle w:val="BodyText"/>
        <w:spacing w:before="7"/>
        <w:rPr>
          <w:sz w:val="21"/>
        </w:rPr>
      </w:pPr>
    </w:p>
    <w:p>
      <w:pPr>
        <w:pStyle w:val="BodyText"/>
        <w:spacing w:line="295" w:lineRule="auto"/>
        <w:ind w:left="124" w:right="109" w:firstLine="360"/>
        <w:jc w:val="right"/>
      </w:pPr>
      <w:r>
        <w:rPr>
          <w:color w:val="231F20"/>
          <w:w w:val="110"/>
        </w:rPr>
        <w:t>En este sentido, se considera necesario replantear las</w:t>
      </w:r>
      <w:r>
        <w:rPr>
          <w:color w:val="231F20"/>
          <w:spacing w:val="37"/>
          <w:w w:val="110"/>
        </w:rPr>
        <w:t> </w:t>
      </w:r>
      <w:r>
        <w:rPr>
          <w:color w:val="231F20"/>
          <w:w w:val="110"/>
        </w:rPr>
        <w:t>políticas</w:t>
      </w:r>
      <w:r>
        <w:rPr>
          <w:color w:val="231F20"/>
          <w:spacing w:val="16"/>
          <w:w w:val="110"/>
        </w:rPr>
        <w:t> </w:t>
      </w:r>
      <w:r>
        <w:rPr>
          <w:color w:val="231F20"/>
          <w:w w:val="110"/>
        </w:rPr>
        <w:t>públi-</w:t>
      </w:r>
      <w:r>
        <w:rPr>
          <w:color w:val="231F20"/>
          <w:w w:val="93"/>
        </w:rPr>
        <w:t> </w:t>
      </w:r>
      <w:r>
        <w:rPr>
          <w:color w:val="231F20"/>
          <w:w w:val="110"/>
        </w:rPr>
        <w:t>cas, cuyo objetivo debe ser la concreción de la responsabilidad</w:t>
      </w:r>
      <w:r>
        <w:rPr>
          <w:color w:val="231F20"/>
          <w:spacing w:val="28"/>
          <w:w w:val="110"/>
        </w:rPr>
        <w:t> </w:t>
      </w:r>
      <w:r>
        <w:rPr>
          <w:color w:val="231F20"/>
          <w:w w:val="110"/>
        </w:rPr>
        <w:t>del</w:t>
      </w:r>
      <w:r>
        <w:rPr>
          <w:color w:val="231F20"/>
          <w:spacing w:val="7"/>
          <w:w w:val="110"/>
        </w:rPr>
        <w:t> </w:t>
      </w:r>
      <w:r>
        <w:rPr>
          <w:color w:val="231F20"/>
          <w:w w:val="110"/>
        </w:rPr>
        <w:t>Estado</w:t>
      </w:r>
      <w:r>
        <w:rPr>
          <w:color w:val="231F20"/>
          <w:w w:val="109"/>
        </w:rPr>
        <w:t> </w:t>
      </w:r>
      <w:r>
        <w:rPr>
          <w:color w:val="231F20"/>
          <w:w w:val="110"/>
        </w:rPr>
        <w:t>de proteger a las familias, así como garantizar la integración</w:t>
      </w:r>
      <w:r>
        <w:rPr>
          <w:color w:val="231F20"/>
          <w:spacing w:val="43"/>
          <w:w w:val="110"/>
        </w:rPr>
        <w:t> </w:t>
      </w:r>
      <w:r>
        <w:rPr>
          <w:color w:val="231F20"/>
          <w:w w:val="110"/>
        </w:rPr>
        <w:t>al</w:t>
      </w:r>
      <w:r>
        <w:rPr>
          <w:color w:val="231F20"/>
          <w:spacing w:val="9"/>
          <w:w w:val="110"/>
        </w:rPr>
        <w:t> </w:t>
      </w:r>
      <w:r>
        <w:rPr>
          <w:color w:val="231F20"/>
          <w:w w:val="110"/>
        </w:rPr>
        <w:t>desarrollo</w:t>
      </w:r>
      <w:r>
        <w:rPr>
          <w:color w:val="231F20"/>
          <w:w w:val="107"/>
        </w:rPr>
        <w:t> </w:t>
      </w:r>
      <w:r>
        <w:rPr>
          <w:color w:val="231F20"/>
          <w:w w:val="110"/>
        </w:rPr>
        <w:t>humano</w:t>
      </w:r>
      <w:r>
        <w:rPr>
          <w:color w:val="231F20"/>
          <w:spacing w:val="-12"/>
          <w:w w:val="110"/>
        </w:rPr>
        <w:t> </w:t>
      </w:r>
      <w:r>
        <w:rPr>
          <w:color w:val="231F20"/>
          <w:w w:val="110"/>
        </w:rPr>
        <w:t>de</w:t>
      </w:r>
      <w:r>
        <w:rPr>
          <w:color w:val="231F20"/>
          <w:spacing w:val="-12"/>
          <w:w w:val="110"/>
        </w:rPr>
        <w:t> </w:t>
      </w:r>
      <w:r>
        <w:rPr>
          <w:color w:val="231F20"/>
          <w:w w:val="110"/>
        </w:rPr>
        <w:t>todos</w:t>
      </w:r>
      <w:r>
        <w:rPr>
          <w:color w:val="231F20"/>
          <w:spacing w:val="-12"/>
          <w:w w:val="110"/>
        </w:rPr>
        <w:t> </w:t>
      </w:r>
      <w:r>
        <w:rPr>
          <w:color w:val="231F20"/>
          <w:w w:val="110"/>
        </w:rPr>
        <w:t>sus</w:t>
      </w:r>
      <w:r>
        <w:rPr>
          <w:color w:val="231F20"/>
          <w:spacing w:val="-12"/>
          <w:w w:val="110"/>
        </w:rPr>
        <w:t> </w:t>
      </w:r>
      <w:r>
        <w:rPr>
          <w:color w:val="231F20"/>
          <w:w w:val="110"/>
        </w:rPr>
        <w:t>miembros</w:t>
      </w:r>
      <w:r>
        <w:rPr>
          <w:color w:val="231F20"/>
          <w:spacing w:val="-12"/>
          <w:w w:val="110"/>
        </w:rPr>
        <w:t> </w:t>
      </w:r>
      <w:r>
        <w:rPr>
          <w:color w:val="231F20"/>
          <w:w w:val="110"/>
        </w:rPr>
        <w:t>en</w:t>
      </w:r>
      <w:r>
        <w:rPr>
          <w:color w:val="231F20"/>
          <w:spacing w:val="-12"/>
          <w:w w:val="110"/>
        </w:rPr>
        <w:t> </w:t>
      </w:r>
      <w:r>
        <w:rPr>
          <w:color w:val="231F20"/>
          <w:w w:val="110"/>
        </w:rPr>
        <w:t>los</w:t>
      </w:r>
      <w:r>
        <w:rPr>
          <w:color w:val="231F20"/>
          <w:spacing w:val="-12"/>
          <w:w w:val="110"/>
        </w:rPr>
        <w:t> </w:t>
      </w:r>
      <w:r>
        <w:rPr>
          <w:color w:val="231F20"/>
          <w:w w:val="110"/>
        </w:rPr>
        <w:t>distintos</w:t>
      </w:r>
      <w:r>
        <w:rPr>
          <w:color w:val="231F20"/>
          <w:spacing w:val="-12"/>
          <w:w w:val="110"/>
        </w:rPr>
        <w:t> </w:t>
      </w:r>
      <w:r>
        <w:rPr>
          <w:color w:val="231F20"/>
          <w:w w:val="110"/>
        </w:rPr>
        <w:t>ámbitos</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vida</w:t>
      </w:r>
      <w:r>
        <w:rPr>
          <w:color w:val="231F20"/>
          <w:spacing w:val="-12"/>
          <w:w w:val="110"/>
        </w:rPr>
        <w:t> </w:t>
      </w:r>
      <w:r>
        <w:rPr>
          <w:color w:val="231F20"/>
          <w:w w:val="110"/>
        </w:rPr>
        <w:t>nacional.</w:t>
      </w:r>
      <w:r>
        <w:rPr>
          <w:color w:val="231F20"/>
          <w:w w:val="128"/>
        </w:rPr>
        <w:t> </w:t>
      </w:r>
      <w:r>
        <w:rPr>
          <w:color w:val="231F20"/>
          <w:w w:val="110"/>
        </w:rPr>
        <w:t>Es a partir de esta concepción que las familias se</w:t>
      </w:r>
      <w:r>
        <w:rPr>
          <w:color w:val="231F20"/>
          <w:spacing w:val="9"/>
          <w:w w:val="110"/>
        </w:rPr>
        <w:t> </w:t>
      </w:r>
      <w:r>
        <w:rPr>
          <w:color w:val="231F20"/>
          <w:w w:val="110"/>
        </w:rPr>
        <w:t>consideran</w:t>
      </w:r>
      <w:r>
        <w:rPr>
          <w:color w:val="231F20"/>
          <w:spacing w:val="5"/>
          <w:w w:val="110"/>
        </w:rPr>
        <w:t> </w:t>
      </w:r>
      <w:r>
        <w:rPr>
          <w:color w:val="231F20"/>
          <w:w w:val="110"/>
        </w:rPr>
        <w:t>instancia</w:t>
      </w:r>
      <w:r>
        <w:rPr>
          <w:color w:val="231F20"/>
          <w:w w:val="108"/>
        </w:rPr>
        <w:t> </w:t>
      </w:r>
      <w:r>
        <w:rPr>
          <w:color w:val="231F20"/>
          <w:w w:val="110"/>
        </w:rPr>
        <w:t>fundamental del desarrollo, ya que constituyen el medio dentro del</w:t>
      </w:r>
      <w:r>
        <w:rPr>
          <w:color w:val="231F20"/>
          <w:spacing w:val="-17"/>
          <w:w w:val="110"/>
        </w:rPr>
        <w:t> </w:t>
      </w:r>
      <w:r>
        <w:rPr>
          <w:color w:val="231F20"/>
          <w:w w:val="110"/>
        </w:rPr>
        <w:t>cual</w:t>
      </w:r>
      <w:r>
        <w:rPr>
          <w:color w:val="231F20"/>
          <w:spacing w:val="-2"/>
          <w:w w:val="110"/>
        </w:rPr>
        <w:t> </w:t>
      </w:r>
      <w:r>
        <w:rPr>
          <w:color w:val="231F20"/>
          <w:w w:val="110"/>
        </w:rPr>
        <w:t>se</w:t>
      </w:r>
      <w:r>
        <w:rPr>
          <w:color w:val="231F20"/>
          <w:w w:val="113"/>
        </w:rPr>
        <w:t> </w:t>
      </w:r>
      <w:r>
        <w:rPr>
          <w:color w:val="231F20"/>
          <w:w w:val="110"/>
        </w:rPr>
        <w:t>materializan y efectivizan las condiciones de vida de la población,</w:t>
      </w:r>
      <w:r>
        <w:rPr>
          <w:color w:val="231F20"/>
          <w:spacing w:val="26"/>
          <w:w w:val="110"/>
        </w:rPr>
        <w:t> </w:t>
      </w:r>
      <w:r>
        <w:rPr>
          <w:color w:val="231F20"/>
          <w:w w:val="110"/>
        </w:rPr>
        <w:t>pues</w:t>
      </w:r>
      <w:r>
        <w:rPr>
          <w:color w:val="231F20"/>
          <w:spacing w:val="7"/>
          <w:w w:val="110"/>
        </w:rPr>
        <w:t> </w:t>
      </w:r>
      <w:r>
        <w:rPr>
          <w:color w:val="231F20"/>
          <w:w w:val="110"/>
        </w:rPr>
        <w:t>es</w:t>
      </w:r>
      <w:r>
        <w:rPr>
          <w:color w:val="231F20"/>
          <w:w w:val="113"/>
        </w:rPr>
        <w:t> </w:t>
      </w:r>
      <w:r>
        <w:rPr>
          <w:color w:val="231F20"/>
          <w:w w:val="110"/>
        </w:rPr>
        <w:t>el</w:t>
      </w:r>
      <w:r>
        <w:rPr>
          <w:color w:val="231F20"/>
          <w:spacing w:val="24"/>
          <w:w w:val="110"/>
        </w:rPr>
        <w:t> </w:t>
      </w:r>
      <w:r>
        <w:rPr>
          <w:color w:val="231F20"/>
          <w:w w:val="110"/>
        </w:rPr>
        <w:t>espacio</w:t>
      </w:r>
      <w:r>
        <w:rPr>
          <w:color w:val="231F20"/>
          <w:spacing w:val="24"/>
          <w:w w:val="110"/>
        </w:rPr>
        <w:t> </w:t>
      </w:r>
      <w:r>
        <w:rPr>
          <w:color w:val="231F20"/>
          <w:w w:val="110"/>
        </w:rPr>
        <w:t>natural</w:t>
      </w:r>
      <w:r>
        <w:rPr>
          <w:color w:val="231F20"/>
          <w:spacing w:val="24"/>
          <w:w w:val="110"/>
        </w:rPr>
        <w:t> </w:t>
      </w:r>
      <w:r>
        <w:rPr>
          <w:color w:val="231F20"/>
          <w:w w:val="110"/>
        </w:rPr>
        <w:t>donde</w:t>
      </w:r>
      <w:r>
        <w:rPr>
          <w:color w:val="231F20"/>
          <w:spacing w:val="24"/>
          <w:w w:val="110"/>
        </w:rPr>
        <w:t> </w:t>
      </w:r>
      <w:r>
        <w:rPr>
          <w:color w:val="231F20"/>
          <w:w w:val="110"/>
        </w:rPr>
        <w:t>tiene</w:t>
      </w:r>
      <w:r>
        <w:rPr>
          <w:color w:val="231F20"/>
          <w:spacing w:val="24"/>
          <w:w w:val="110"/>
        </w:rPr>
        <w:t> </w:t>
      </w:r>
      <w:r>
        <w:rPr>
          <w:color w:val="231F20"/>
          <w:w w:val="110"/>
        </w:rPr>
        <w:t>lugar</w:t>
      </w:r>
      <w:r>
        <w:rPr>
          <w:color w:val="231F20"/>
          <w:spacing w:val="24"/>
          <w:w w:val="110"/>
        </w:rPr>
        <w:t> </w:t>
      </w:r>
      <w:r>
        <w:rPr>
          <w:color w:val="231F20"/>
          <w:w w:val="110"/>
        </w:rPr>
        <w:t>la</w:t>
      </w:r>
      <w:r>
        <w:rPr>
          <w:color w:val="231F20"/>
          <w:spacing w:val="24"/>
          <w:w w:val="110"/>
        </w:rPr>
        <w:t> </w:t>
      </w:r>
      <w:r>
        <w:rPr>
          <w:color w:val="231F20"/>
          <w:w w:val="110"/>
        </w:rPr>
        <w:t>reproducción</w:t>
      </w:r>
      <w:r>
        <w:rPr>
          <w:color w:val="231F20"/>
          <w:spacing w:val="24"/>
          <w:w w:val="110"/>
        </w:rPr>
        <w:t> </w:t>
      </w:r>
      <w:r>
        <w:rPr>
          <w:color w:val="231F20"/>
          <w:w w:val="110"/>
        </w:rPr>
        <w:t>no</w:t>
      </w:r>
      <w:r>
        <w:rPr>
          <w:color w:val="231F20"/>
          <w:spacing w:val="24"/>
          <w:w w:val="110"/>
        </w:rPr>
        <w:t> </w:t>
      </w:r>
      <w:r>
        <w:rPr>
          <w:color w:val="231F20"/>
          <w:w w:val="110"/>
        </w:rPr>
        <w:t>sólo</w:t>
      </w:r>
      <w:r>
        <w:rPr>
          <w:color w:val="231F20"/>
          <w:spacing w:val="24"/>
          <w:w w:val="110"/>
        </w:rPr>
        <w:t> </w:t>
      </w:r>
      <w:r>
        <w:rPr>
          <w:color w:val="231F20"/>
          <w:w w:val="110"/>
        </w:rPr>
        <w:t>biológica</w:t>
      </w:r>
      <w:r>
        <w:rPr>
          <w:color w:val="231F20"/>
          <w:spacing w:val="24"/>
          <w:w w:val="110"/>
        </w:rPr>
        <w:t> </w:t>
      </w:r>
      <w:r>
        <w:rPr>
          <w:color w:val="231F20"/>
          <w:w w:val="110"/>
        </w:rPr>
        <w:t>y</w:t>
      </w:r>
    </w:p>
    <w:p>
      <w:pPr>
        <w:pStyle w:val="BodyText"/>
        <w:spacing w:line="234" w:lineRule="exact"/>
        <w:ind w:left="124"/>
        <w:jc w:val="both"/>
      </w:pPr>
      <w:r>
        <w:rPr>
          <w:color w:val="231F20"/>
          <w:w w:val="110"/>
        </w:rPr>
        <w:t>social, sino también la cultural.</w:t>
      </w:r>
    </w:p>
    <w:p>
      <w:pPr>
        <w:pStyle w:val="BodyText"/>
      </w:pPr>
    </w:p>
    <w:p>
      <w:pPr>
        <w:pStyle w:val="BodyText"/>
        <w:spacing w:before="2"/>
        <w:rPr>
          <w:sz w:val="23"/>
        </w:rPr>
      </w:pPr>
    </w:p>
    <w:p>
      <w:pPr>
        <w:spacing w:line="256" w:lineRule="auto" w:before="0"/>
        <w:ind w:left="124" w:right="113" w:firstLine="360"/>
        <w:jc w:val="both"/>
        <w:rPr>
          <w:sz w:val="16"/>
        </w:rPr>
      </w:pPr>
      <w:r>
        <w:rPr>
          <w:color w:val="231F20"/>
          <w:w w:val="110"/>
          <w:position w:val="5"/>
          <w:sz w:val="9"/>
        </w:rPr>
        <w:t>3 </w:t>
      </w:r>
      <w:r>
        <w:rPr>
          <w:color w:val="231F20"/>
          <w:spacing w:val="-3"/>
          <w:w w:val="110"/>
          <w:sz w:val="16"/>
        </w:rPr>
        <w:t>Welti </w:t>
      </w:r>
      <w:r>
        <w:rPr>
          <w:color w:val="231F20"/>
          <w:w w:val="110"/>
          <w:sz w:val="16"/>
        </w:rPr>
        <w:t>(2004: 11) plantea que el modelo que subyace en el control de la fecundidad pre- sente en la ley de población, expresa dos relaciones económicas fundamentales: una fecun- didad elevada aumenta la inversión en los sectores no productivos (escuelas, hospitales, seguridad social, etcétera), en detrimento de los sectores productivos (agricultura, industria, etcétera),</w:t>
      </w:r>
      <w:r>
        <w:rPr>
          <w:color w:val="231F20"/>
          <w:spacing w:val="-2"/>
          <w:w w:val="110"/>
          <w:sz w:val="16"/>
        </w:rPr>
        <w:t> </w:t>
      </w:r>
      <w:r>
        <w:rPr>
          <w:color w:val="231F20"/>
          <w:w w:val="110"/>
          <w:sz w:val="16"/>
        </w:rPr>
        <w:t>por</w:t>
      </w:r>
      <w:r>
        <w:rPr>
          <w:color w:val="231F20"/>
          <w:spacing w:val="-2"/>
          <w:w w:val="110"/>
          <w:sz w:val="16"/>
        </w:rPr>
        <w:t> </w:t>
      </w:r>
      <w:r>
        <w:rPr>
          <w:color w:val="231F20"/>
          <w:w w:val="110"/>
          <w:sz w:val="16"/>
        </w:rPr>
        <w:t>lo</w:t>
      </w:r>
      <w:r>
        <w:rPr>
          <w:color w:val="231F20"/>
          <w:spacing w:val="-2"/>
          <w:w w:val="110"/>
          <w:sz w:val="16"/>
        </w:rPr>
        <w:t> </w:t>
      </w:r>
      <w:r>
        <w:rPr>
          <w:color w:val="231F20"/>
          <w:w w:val="110"/>
          <w:sz w:val="16"/>
        </w:rPr>
        <w:t>que</w:t>
      </w:r>
      <w:r>
        <w:rPr>
          <w:color w:val="231F20"/>
          <w:spacing w:val="-2"/>
          <w:w w:val="110"/>
          <w:sz w:val="16"/>
        </w:rPr>
        <w:t> </w:t>
      </w:r>
      <w:r>
        <w:rPr>
          <w:color w:val="231F20"/>
          <w:w w:val="110"/>
          <w:sz w:val="16"/>
        </w:rPr>
        <w:t>si</w:t>
      </w:r>
      <w:r>
        <w:rPr>
          <w:color w:val="231F20"/>
          <w:spacing w:val="-2"/>
          <w:w w:val="110"/>
          <w:sz w:val="16"/>
        </w:rPr>
        <w:t> </w:t>
      </w:r>
      <w:r>
        <w:rPr>
          <w:color w:val="231F20"/>
          <w:w w:val="110"/>
          <w:sz w:val="16"/>
        </w:rPr>
        <w:t>la</w:t>
      </w:r>
      <w:r>
        <w:rPr>
          <w:color w:val="231F20"/>
          <w:spacing w:val="-2"/>
          <w:w w:val="110"/>
          <w:sz w:val="16"/>
        </w:rPr>
        <w:t> </w:t>
      </w:r>
      <w:r>
        <w:rPr>
          <w:color w:val="231F20"/>
          <w:w w:val="110"/>
          <w:sz w:val="16"/>
        </w:rPr>
        <w:t>fecundidad</w:t>
      </w:r>
      <w:r>
        <w:rPr>
          <w:color w:val="231F20"/>
          <w:spacing w:val="-2"/>
          <w:w w:val="110"/>
          <w:sz w:val="16"/>
        </w:rPr>
        <w:t> </w:t>
      </w:r>
      <w:r>
        <w:rPr>
          <w:color w:val="231F20"/>
          <w:w w:val="110"/>
          <w:sz w:val="16"/>
        </w:rPr>
        <w:t>disminuye</w:t>
      </w:r>
      <w:r>
        <w:rPr>
          <w:color w:val="231F20"/>
          <w:spacing w:val="-2"/>
          <w:w w:val="110"/>
          <w:sz w:val="16"/>
        </w:rPr>
        <w:t> </w:t>
      </w:r>
      <w:r>
        <w:rPr>
          <w:color w:val="231F20"/>
          <w:w w:val="110"/>
          <w:sz w:val="16"/>
        </w:rPr>
        <w:t>permite</w:t>
      </w:r>
      <w:r>
        <w:rPr>
          <w:color w:val="231F20"/>
          <w:spacing w:val="-2"/>
          <w:w w:val="110"/>
          <w:sz w:val="16"/>
        </w:rPr>
        <w:t> </w:t>
      </w:r>
      <w:r>
        <w:rPr>
          <w:color w:val="231F20"/>
          <w:w w:val="110"/>
          <w:sz w:val="16"/>
        </w:rPr>
        <w:t>un</w:t>
      </w:r>
      <w:r>
        <w:rPr>
          <w:color w:val="231F20"/>
          <w:spacing w:val="-2"/>
          <w:w w:val="110"/>
          <w:sz w:val="16"/>
        </w:rPr>
        <w:t> </w:t>
      </w:r>
      <w:r>
        <w:rPr>
          <w:color w:val="231F20"/>
          <w:w w:val="110"/>
          <w:sz w:val="16"/>
        </w:rPr>
        <w:t>mayor</w:t>
      </w:r>
      <w:r>
        <w:rPr>
          <w:color w:val="231F20"/>
          <w:spacing w:val="-2"/>
          <w:w w:val="110"/>
          <w:sz w:val="16"/>
        </w:rPr>
        <w:t> </w:t>
      </w:r>
      <w:r>
        <w:rPr>
          <w:color w:val="231F20"/>
          <w:w w:val="110"/>
          <w:sz w:val="16"/>
        </w:rPr>
        <w:t>ahorro</w:t>
      </w:r>
      <w:r>
        <w:rPr>
          <w:color w:val="231F20"/>
          <w:spacing w:val="-2"/>
          <w:w w:val="110"/>
          <w:sz w:val="16"/>
        </w:rPr>
        <w:t> </w:t>
      </w:r>
      <w:r>
        <w:rPr>
          <w:color w:val="231F20"/>
          <w:w w:val="110"/>
          <w:sz w:val="16"/>
        </w:rPr>
        <w:t>para</w:t>
      </w:r>
      <w:r>
        <w:rPr>
          <w:color w:val="231F20"/>
          <w:spacing w:val="-2"/>
          <w:w w:val="110"/>
          <w:sz w:val="16"/>
        </w:rPr>
        <w:t> </w:t>
      </w:r>
      <w:r>
        <w:rPr>
          <w:color w:val="231F20"/>
          <w:w w:val="110"/>
          <w:sz w:val="16"/>
        </w:rPr>
        <w:t>invertir</w:t>
      </w:r>
      <w:r>
        <w:rPr>
          <w:color w:val="231F20"/>
          <w:spacing w:val="-2"/>
          <w:w w:val="110"/>
          <w:sz w:val="16"/>
        </w:rPr>
        <w:t> </w:t>
      </w:r>
      <w:r>
        <w:rPr>
          <w:color w:val="231F20"/>
          <w:w w:val="110"/>
          <w:sz w:val="16"/>
        </w:rPr>
        <w:t>en</w:t>
      </w:r>
      <w:r>
        <w:rPr>
          <w:color w:val="231F20"/>
          <w:spacing w:val="-2"/>
          <w:w w:val="110"/>
          <w:sz w:val="16"/>
        </w:rPr>
        <w:t> </w:t>
      </w:r>
      <w:r>
        <w:rPr>
          <w:color w:val="231F20"/>
          <w:w w:val="110"/>
          <w:sz w:val="16"/>
        </w:rPr>
        <w:t>los sectores</w:t>
      </w:r>
      <w:r>
        <w:rPr>
          <w:color w:val="231F20"/>
          <w:spacing w:val="-11"/>
          <w:w w:val="110"/>
          <w:sz w:val="16"/>
        </w:rPr>
        <w:t> </w:t>
      </w:r>
      <w:r>
        <w:rPr>
          <w:color w:val="231F20"/>
          <w:w w:val="110"/>
          <w:sz w:val="16"/>
        </w:rPr>
        <w:t>productivos,</w:t>
      </w:r>
      <w:r>
        <w:rPr>
          <w:color w:val="231F20"/>
          <w:spacing w:val="-11"/>
          <w:w w:val="110"/>
          <w:sz w:val="16"/>
        </w:rPr>
        <w:t> </w:t>
      </w:r>
      <w:r>
        <w:rPr>
          <w:color w:val="231F20"/>
          <w:w w:val="110"/>
          <w:sz w:val="16"/>
        </w:rPr>
        <w:t>lo</w:t>
      </w:r>
      <w:r>
        <w:rPr>
          <w:color w:val="231F20"/>
          <w:spacing w:val="-11"/>
          <w:w w:val="110"/>
          <w:sz w:val="16"/>
        </w:rPr>
        <w:t> </w:t>
      </w:r>
      <w:r>
        <w:rPr>
          <w:color w:val="231F20"/>
          <w:w w:val="110"/>
          <w:sz w:val="16"/>
        </w:rPr>
        <w:t>que</w:t>
      </w:r>
      <w:r>
        <w:rPr>
          <w:color w:val="231F20"/>
          <w:spacing w:val="-11"/>
          <w:w w:val="110"/>
          <w:sz w:val="16"/>
        </w:rPr>
        <w:t> </w:t>
      </w:r>
      <w:r>
        <w:rPr>
          <w:color w:val="231F20"/>
          <w:w w:val="110"/>
          <w:sz w:val="16"/>
        </w:rPr>
        <w:t>permitiría</w:t>
      </w:r>
      <w:r>
        <w:rPr>
          <w:color w:val="231F20"/>
          <w:spacing w:val="-11"/>
          <w:w w:val="110"/>
          <w:sz w:val="16"/>
        </w:rPr>
        <w:t> </w:t>
      </w:r>
      <w:r>
        <w:rPr>
          <w:color w:val="231F20"/>
          <w:w w:val="110"/>
          <w:sz w:val="16"/>
        </w:rPr>
        <w:t>su</w:t>
      </w:r>
      <w:r>
        <w:rPr>
          <w:color w:val="231F20"/>
          <w:spacing w:val="-11"/>
          <w:w w:val="110"/>
          <w:sz w:val="16"/>
        </w:rPr>
        <w:t> </w:t>
      </w:r>
      <w:r>
        <w:rPr>
          <w:color w:val="231F20"/>
          <w:w w:val="110"/>
          <w:sz w:val="16"/>
        </w:rPr>
        <w:t>modernización</w:t>
      </w:r>
      <w:r>
        <w:rPr>
          <w:color w:val="231F20"/>
          <w:spacing w:val="-11"/>
          <w:w w:val="110"/>
          <w:sz w:val="16"/>
        </w:rPr>
        <w:t> </w:t>
      </w:r>
      <w:r>
        <w:rPr>
          <w:color w:val="231F20"/>
          <w:w w:val="110"/>
          <w:sz w:val="16"/>
        </w:rPr>
        <w:t>a</w:t>
      </w:r>
      <w:r>
        <w:rPr>
          <w:color w:val="231F20"/>
          <w:spacing w:val="-11"/>
          <w:w w:val="110"/>
          <w:sz w:val="16"/>
        </w:rPr>
        <w:t> </w:t>
      </w:r>
      <w:r>
        <w:rPr>
          <w:color w:val="231F20"/>
          <w:w w:val="110"/>
          <w:sz w:val="16"/>
        </w:rPr>
        <w:t>través</w:t>
      </w:r>
      <w:r>
        <w:rPr>
          <w:color w:val="231F20"/>
          <w:spacing w:val="-11"/>
          <w:w w:val="110"/>
          <w:sz w:val="16"/>
        </w:rPr>
        <w:t> </w:t>
      </w:r>
      <w:r>
        <w:rPr>
          <w:color w:val="231F20"/>
          <w:w w:val="110"/>
          <w:sz w:val="16"/>
        </w:rPr>
        <w:t>de</w:t>
      </w:r>
      <w:r>
        <w:rPr>
          <w:color w:val="231F20"/>
          <w:spacing w:val="-11"/>
          <w:w w:val="110"/>
          <w:sz w:val="16"/>
        </w:rPr>
        <w:t> </w:t>
      </w:r>
      <w:r>
        <w:rPr>
          <w:color w:val="231F20"/>
          <w:w w:val="110"/>
          <w:sz w:val="16"/>
        </w:rPr>
        <w:t>una</w:t>
      </w:r>
      <w:r>
        <w:rPr>
          <w:color w:val="231F20"/>
          <w:spacing w:val="-11"/>
          <w:w w:val="110"/>
          <w:sz w:val="16"/>
        </w:rPr>
        <w:t> </w:t>
      </w:r>
      <w:r>
        <w:rPr>
          <w:color w:val="231F20"/>
          <w:w w:val="110"/>
          <w:sz w:val="16"/>
        </w:rPr>
        <w:t>mayor</w:t>
      </w:r>
      <w:r>
        <w:rPr>
          <w:color w:val="231F20"/>
          <w:spacing w:val="-11"/>
          <w:w w:val="110"/>
          <w:sz w:val="16"/>
        </w:rPr>
        <w:t> </w:t>
      </w:r>
      <w:r>
        <w:rPr>
          <w:color w:val="231F20"/>
          <w:w w:val="110"/>
          <w:sz w:val="16"/>
        </w:rPr>
        <w:t>productividad y al disminuir el tamaño de las familias y aumentar su capacidad de ahorro, se lograría un aumento en la inversión, como un factor determinante para el crecimiento del </w:t>
      </w:r>
      <w:r>
        <w:rPr>
          <w:color w:val="231F20"/>
          <w:spacing w:val="16"/>
          <w:w w:val="110"/>
          <w:sz w:val="16"/>
        </w:rPr>
        <w:t> </w:t>
      </w:r>
      <w:r>
        <w:rPr>
          <w:color w:val="231F20"/>
          <w:w w:val="110"/>
          <w:sz w:val="16"/>
        </w:rPr>
        <w:t>ingreso.</w:t>
      </w:r>
    </w:p>
    <w:p>
      <w:pPr>
        <w:spacing w:line="256" w:lineRule="auto" w:before="0"/>
        <w:ind w:left="124" w:right="113" w:firstLine="360"/>
        <w:jc w:val="both"/>
        <w:rPr>
          <w:sz w:val="16"/>
        </w:rPr>
      </w:pPr>
      <w:r>
        <w:rPr>
          <w:color w:val="231F20"/>
          <w:w w:val="105"/>
          <w:position w:val="5"/>
          <w:sz w:val="9"/>
        </w:rPr>
        <w:t>4</w:t>
      </w:r>
      <w:r>
        <w:rPr>
          <w:color w:val="231F20"/>
          <w:spacing w:val="-3"/>
          <w:w w:val="105"/>
          <w:position w:val="5"/>
          <w:sz w:val="9"/>
        </w:rPr>
        <w:t> </w:t>
      </w:r>
      <w:r>
        <w:rPr>
          <w:color w:val="231F20"/>
          <w:w w:val="105"/>
          <w:sz w:val="16"/>
        </w:rPr>
        <w:t>Ricardo</w:t>
      </w:r>
      <w:r>
        <w:rPr>
          <w:color w:val="231F20"/>
          <w:spacing w:val="-4"/>
          <w:w w:val="105"/>
          <w:sz w:val="16"/>
        </w:rPr>
        <w:t> </w:t>
      </w:r>
      <w:r>
        <w:rPr>
          <w:color w:val="231F20"/>
          <w:w w:val="105"/>
          <w:sz w:val="16"/>
        </w:rPr>
        <w:t>Uvalle</w:t>
      </w:r>
      <w:r>
        <w:rPr>
          <w:color w:val="231F20"/>
          <w:spacing w:val="-4"/>
          <w:w w:val="105"/>
          <w:sz w:val="16"/>
        </w:rPr>
        <w:t> </w:t>
      </w:r>
      <w:r>
        <w:rPr>
          <w:color w:val="231F20"/>
          <w:w w:val="105"/>
          <w:sz w:val="16"/>
        </w:rPr>
        <w:t>Berrones,</w:t>
      </w:r>
      <w:r>
        <w:rPr>
          <w:color w:val="231F20"/>
          <w:spacing w:val="-4"/>
          <w:w w:val="105"/>
          <w:sz w:val="16"/>
        </w:rPr>
        <w:t> </w:t>
      </w:r>
      <w:r>
        <w:rPr>
          <w:color w:val="231F20"/>
          <w:w w:val="105"/>
          <w:sz w:val="16"/>
        </w:rPr>
        <w:t>(1997),</w:t>
      </w:r>
      <w:r>
        <w:rPr>
          <w:color w:val="231F20"/>
          <w:spacing w:val="-4"/>
          <w:w w:val="105"/>
          <w:sz w:val="16"/>
        </w:rPr>
        <w:t> </w:t>
      </w:r>
      <w:r>
        <w:rPr>
          <w:i/>
          <w:color w:val="231F20"/>
          <w:w w:val="105"/>
          <w:sz w:val="16"/>
        </w:rPr>
        <w:t>Las</w:t>
      </w:r>
      <w:r>
        <w:rPr>
          <w:i/>
          <w:color w:val="231F20"/>
          <w:spacing w:val="-8"/>
          <w:w w:val="105"/>
          <w:sz w:val="16"/>
        </w:rPr>
        <w:t> </w:t>
      </w:r>
      <w:r>
        <w:rPr>
          <w:i/>
          <w:color w:val="231F20"/>
          <w:w w:val="105"/>
          <w:sz w:val="16"/>
        </w:rPr>
        <w:t>transformaciones</w:t>
      </w:r>
      <w:r>
        <w:rPr>
          <w:i/>
          <w:color w:val="231F20"/>
          <w:spacing w:val="-8"/>
          <w:w w:val="105"/>
          <w:sz w:val="16"/>
        </w:rPr>
        <w:t> </w:t>
      </w:r>
      <w:r>
        <w:rPr>
          <w:i/>
          <w:color w:val="231F20"/>
          <w:w w:val="105"/>
          <w:sz w:val="16"/>
        </w:rPr>
        <w:t>del</w:t>
      </w:r>
      <w:r>
        <w:rPr>
          <w:i/>
          <w:color w:val="231F20"/>
          <w:spacing w:val="-8"/>
          <w:w w:val="105"/>
          <w:sz w:val="16"/>
        </w:rPr>
        <w:t> </w:t>
      </w:r>
      <w:r>
        <w:rPr>
          <w:i/>
          <w:color w:val="231F20"/>
          <w:w w:val="105"/>
          <w:sz w:val="16"/>
        </w:rPr>
        <w:t>Estado</w:t>
      </w:r>
      <w:r>
        <w:rPr>
          <w:i/>
          <w:color w:val="231F20"/>
          <w:spacing w:val="-8"/>
          <w:w w:val="105"/>
          <w:sz w:val="16"/>
        </w:rPr>
        <w:t> </w:t>
      </w:r>
      <w:r>
        <w:rPr>
          <w:i/>
          <w:color w:val="231F20"/>
          <w:w w:val="105"/>
          <w:sz w:val="16"/>
        </w:rPr>
        <w:t>y</w:t>
      </w:r>
      <w:r>
        <w:rPr>
          <w:i/>
          <w:color w:val="231F20"/>
          <w:spacing w:val="-8"/>
          <w:w w:val="105"/>
          <w:sz w:val="16"/>
        </w:rPr>
        <w:t> </w:t>
      </w:r>
      <w:r>
        <w:rPr>
          <w:i/>
          <w:color w:val="231F20"/>
          <w:w w:val="105"/>
          <w:sz w:val="16"/>
        </w:rPr>
        <w:t>la</w:t>
      </w:r>
      <w:r>
        <w:rPr>
          <w:i/>
          <w:color w:val="231F20"/>
          <w:spacing w:val="-8"/>
          <w:w w:val="105"/>
          <w:sz w:val="16"/>
        </w:rPr>
        <w:t> </w:t>
      </w:r>
      <w:r>
        <w:rPr>
          <w:i/>
          <w:color w:val="231F20"/>
          <w:spacing w:val="-3"/>
          <w:w w:val="105"/>
          <w:sz w:val="16"/>
        </w:rPr>
        <w:t>Administración</w:t>
      </w:r>
      <w:r>
        <w:rPr>
          <w:i/>
          <w:color w:val="231F20"/>
          <w:spacing w:val="-8"/>
          <w:w w:val="105"/>
          <w:sz w:val="16"/>
        </w:rPr>
        <w:t> </w:t>
      </w:r>
      <w:r>
        <w:rPr>
          <w:i/>
          <w:color w:val="231F20"/>
          <w:w w:val="105"/>
          <w:sz w:val="16"/>
        </w:rPr>
        <w:t>Pública </w:t>
      </w:r>
      <w:r>
        <w:rPr>
          <w:i/>
          <w:color w:val="231F20"/>
          <w:w w:val="105"/>
          <w:sz w:val="16"/>
        </w:rPr>
        <w:t>en la sociedad contemporánea</w:t>
      </w:r>
      <w:r>
        <w:rPr>
          <w:color w:val="231F20"/>
          <w:w w:val="105"/>
          <w:sz w:val="16"/>
        </w:rPr>
        <w:t>, Toluca, </w:t>
      </w:r>
      <w:r>
        <w:rPr>
          <w:rFonts w:ascii="Times New Roman" w:hAnsi="Times New Roman"/>
          <w:color w:val="231F20"/>
          <w:w w:val="105"/>
          <w:sz w:val="13"/>
        </w:rPr>
        <w:t>IAPEM</w:t>
      </w:r>
      <w:r>
        <w:rPr>
          <w:color w:val="231F20"/>
          <w:w w:val="105"/>
          <w:sz w:val="16"/>
        </w:rPr>
        <w:t>, </w:t>
      </w:r>
      <w:r>
        <w:rPr>
          <w:rFonts w:ascii="Times New Roman" w:hAnsi="Times New Roman"/>
          <w:color w:val="231F20"/>
          <w:w w:val="105"/>
          <w:sz w:val="13"/>
        </w:rPr>
        <w:t>UAEM</w:t>
      </w:r>
      <w:r>
        <w:rPr>
          <w:color w:val="231F20"/>
          <w:w w:val="105"/>
          <w:sz w:val="16"/>
        </w:rPr>
        <w:t>, 321  </w:t>
      </w:r>
      <w:r>
        <w:rPr>
          <w:color w:val="231F20"/>
          <w:spacing w:val="23"/>
          <w:w w:val="105"/>
          <w:sz w:val="16"/>
        </w:rPr>
        <w:t> </w:t>
      </w:r>
      <w:r>
        <w:rPr>
          <w:color w:val="231F20"/>
          <w:w w:val="105"/>
          <w:sz w:val="16"/>
        </w:rPr>
        <w:t>pp.</w:t>
      </w:r>
    </w:p>
    <w:p>
      <w:pPr>
        <w:spacing w:after="0" w:line="256" w:lineRule="auto"/>
        <w:jc w:val="both"/>
        <w:rPr>
          <w:sz w:val="16"/>
        </w:rPr>
        <w:sectPr>
          <w:pgSz w:w="9520" w:h="12920"/>
          <w:pgMar w:header="0" w:footer="1344" w:top="880" w:bottom="1540" w:left="1320" w:right="1000"/>
        </w:sectPr>
      </w:pPr>
    </w:p>
    <w:p>
      <w:pPr>
        <w:pStyle w:val="BodyText"/>
        <w:spacing w:line="288" w:lineRule="auto" w:before="42"/>
        <w:ind w:left="120" w:right="117" w:firstLine="360"/>
        <w:jc w:val="both"/>
      </w:pPr>
      <w:r>
        <w:rPr>
          <w:color w:val="231F20"/>
          <w:w w:val="110"/>
        </w:rPr>
        <w:t>Con lo expresado aludimos al concepto de “protección a la familia”, no en</w:t>
      </w:r>
      <w:r>
        <w:rPr>
          <w:color w:val="231F20"/>
          <w:spacing w:val="-5"/>
          <w:w w:val="110"/>
        </w:rPr>
        <w:t> </w:t>
      </w:r>
      <w:r>
        <w:rPr>
          <w:color w:val="231F20"/>
          <w:w w:val="110"/>
        </w:rPr>
        <w:t>sentido</w:t>
      </w:r>
      <w:r>
        <w:rPr>
          <w:color w:val="231F20"/>
          <w:spacing w:val="-5"/>
          <w:w w:val="110"/>
        </w:rPr>
        <w:t> </w:t>
      </w:r>
      <w:r>
        <w:rPr>
          <w:color w:val="231F20"/>
          <w:w w:val="110"/>
        </w:rPr>
        <w:t>paternalista,</w:t>
      </w:r>
      <w:r>
        <w:rPr>
          <w:color w:val="231F20"/>
          <w:spacing w:val="-5"/>
          <w:w w:val="110"/>
        </w:rPr>
        <w:t> </w:t>
      </w:r>
      <w:r>
        <w:rPr>
          <w:color w:val="231F20"/>
          <w:w w:val="110"/>
        </w:rPr>
        <w:t>ni</w:t>
      </w:r>
      <w:r>
        <w:rPr>
          <w:color w:val="231F20"/>
          <w:spacing w:val="-5"/>
          <w:w w:val="110"/>
        </w:rPr>
        <w:t> </w:t>
      </w:r>
      <w:r>
        <w:rPr>
          <w:color w:val="231F20"/>
          <w:w w:val="110"/>
        </w:rPr>
        <w:t>asistencialista,</w:t>
      </w:r>
      <w:r>
        <w:rPr>
          <w:color w:val="231F20"/>
          <w:spacing w:val="-5"/>
          <w:w w:val="110"/>
        </w:rPr>
        <w:t> </w:t>
      </w:r>
      <w:r>
        <w:rPr>
          <w:color w:val="231F20"/>
          <w:w w:val="110"/>
        </w:rPr>
        <w:t>sino</w:t>
      </w:r>
      <w:r>
        <w:rPr>
          <w:color w:val="231F20"/>
          <w:spacing w:val="-5"/>
          <w:w w:val="110"/>
        </w:rPr>
        <w:t> </w:t>
      </w:r>
      <w:r>
        <w:rPr>
          <w:color w:val="231F20"/>
          <w:w w:val="110"/>
        </w:rPr>
        <w:t>como</w:t>
      </w:r>
      <w:r>
        <w:rPr>
          <w:color w:val="231F20"/>
          <w:spacing w:val="-5"/>
          <w:w w:val="110"/>
        </w:rPr>
        <w:t> </w:t>
      </w:r>
      <w:r>
        <w:rPr>
          <w:color w:val="231F20"/>
          <w:w w:val="110"/>
        </w:rPr>
        <w:t>lo</w:t>
      </w:r>
      <w:r>
        <w:rPr>
          <w:color w:val="231F20"/>
          <w:spacing w:val="-5"/>
          <w:w w:val="110"/>
        </w:rPr>
        <w:t> </w:t>
      </w:r>
      <w:r>
        <w:rPr>
          <w:color w:val="231F20"/>
          <w:w w:val="110"/>
        </w:rPr>
        <w:t>define</w:t>
      </w:r>
      <w:r>
        <w:rPr>
          <w:color w:val="231F20"/>
          <w:spacing w:val="-5"/>
          <w:w w:val="110"/>
        </w:rPr>
        <w:t> </w:t>
      </w:r>
      <w:r>
        <w:rPr>
          <w:color w:val="231F20"/>
          <w:w w:val="110"/>
        </w:rPr>
        <w:t>Ángela</w:t>
      </w:r>
      <w:r>
        <w:rPr>
          <w:color w:val="231F20"/>
          <w:spacing w:val="-5"/>
          <w:w w:val="110"/>
        </w:rPr>
        <w:t> </w:t>
      </w:r>
      <w:r>
        <w:rPr>
          <w:color w:val="231F20"/>
          <w:w w:val="110"/>
        </w:rPr>
        <w:t>María Quintero:</w:t>
      </w:r>
    </w:p>
    <w:p>
      <w:pPr>
        <w:pStyle w:val="BodyText"/>
        <w:rPr>
          <w:sz w:val="16"/>
        </w:rPr>
      </w:pPr>
    </w:p>
    <w:p>
      <w:pPr>
        <w:spacing w:line="283" w:lineRule="auto" w:before="0"/>
        <w:ind w:left="480" w:right="114" w:firstLine="0"/>
        <w:jc w:val="both"/>
        <w:rPr>
          <w:sz w:val="10"/>
        </w:rPr>
      </w:pPr>
      <w:r>
        <w:rPr>
          <w:color w:val="231F20"/>
          <w:w w:val="110"/>
          <w:sz w:val="18"/>
        </w:rPr>
        <w:t>Responsabilidad</w:t>
      </w:r>
      <w:r>
        <w:rPr>
          <w:color w:val="231F20"/>
          <w:spacing w:val="-7"/>
          <w:w w:val="110"/>
          <w:sz w:val="18"/>
        </w:rPr>
        <w:t> </w:t>
      </w:r>
      <w:r>
        <w:rPr>
          <w:color w:val="231F20"/>
          <w:w w:val="110"/>
          <w:sz w:val="18"/>
        </w:rPr>
        <w:t>estatal</w:t>
      </w:r>
      <w:r>
        <w:rPr>
          <w:color w:val="231F20"/>
          <w:spacing w:val="-6"/>
          <w:w w:val="110"/>
          <w:sz w:val="18"/>
        </w:rPr>
        <w:t> </w:t>
      </w:r>
      <w:r>
        <w:rPr>
          <w:color w:val="231F20"/>
          <w:w w:val="110"/>
          <w:sz w:val="18"/>
        </w:rPr>
        <w:t>y</w:t>
      </w:r>
      <w:r>
        <w:rPr>
          <w:color w:val="231F20"/>
          <w:spacing w:val="-6"/>
          <w:w w:val="110"/>
          <w:sz w:val="18"/>
        </w:rPr>
        <w:t> </w:t>
      </w:r>
      <w:r>
        <w:rPr>
          <w:color w:val="231F20"/>
          <w:w w:val="110"/>
          <w:sz w:val="18"/>
        </w:rPr>
        <w:t>constitucional,</w:t>
      </w:r>
      <w:r>
        <w:rPr>
          <w:color w:val="231F20"/>
          <w:spacing w:val="-7"/>
          <w:w w:val="110"/>
          <w:sz w:val="18"/>
        </w:rPr>
        <w:t> </w:t>
      </w:r>
      <w:r>
        <w:rPr>
          <w:color w:val="231F20"/>
          <w:w w:val="110"/>
          <w:sz w:val="18"/>
        </w:rPr>
        <w:t>de</w:t>
      </w:r>
      <w:r>
        <w:rPr>
          <w:color w:val="231F20"/>
          <w:spacing w:val="-6"/>
          <w:w w:val="110"/>
          <w:sz w:val="18"/>
        </w:rPr>
        <w:t> </w:t>
      </w:r>
      <w:r>
        <w:rPr>
          <w:color w:val="231F20"/>
          <w:w w:val="110"/>
          <w:sz w:val="18"/>
        </w:rPr>
        <w:t>carácter</w:t>
      </w:r>
      <w:r>
        <w:rPr>
          <w:color w:val="231F20"/>
          <w:spacing w:val="-6"/>
          <w:w w:val="110"/>
          <w:sz w:val="18"/>
        </w:rPr>
        <w:t> </w:t>
      </w:r>
      <w:r>
        <w:rPr>
          <w:color w:val="231F20"/>
          <w:w w:val="110"/>
          <w:sz w:val="18"/>
        </w:rPr>
        <w:t>preventivo</w:t>
      </w:r>
      <w:r>
        <w:rPr>
          <w:color w:val="231F20"/>
          <w:spacing w:val="-6"/>
          <w:w w:val="110"/>
          <w:sz w:val="18"/>
        </w:rPr>
        <w:t> </w:t>
      </w:r>
      <w:r>
        <w:rPr>
          <w:color w:val="231F20"/>
          <w:w w:val="110"/>
          <w:sz w:val="18"/>
        </w:rPr>
        <w:t>y</w:t>
      </w:r>
      <w:r>
        <w:rPr>
          <w:color w:val="231F20"/>
          <w:spacing w:val="-6"/>
          <w:w w:val="110"/>
          <w:sz w:val="18"/>
        </w:rPr>
        <w:t> </w:t>
      </w:r>
      <w:r>
        <w:rPr>
          <w:color w:val="231F20"/>
          <w:w w:val="110"/>
          <w:sz w:val="18"/>
        </w:rPr>
        <w:t>permanente, respecto de cada uno de los miembros y la familia de manera integral, con el fin de asegurar el cumplimiento de todos los derechos y las garantías consa- grados en las leyes, las oportunidades que faciliten el desarrollo armónico de la personalidad de niñas y niños, el ejercicio de las acciones indispensables para exigirles al Estado, a la sociedad y a la familia, sus derechos y elevar el nivel de calidad de vida de la niñez (Quintero, 2007:</w:t>
      </w:r>
      <w:r>
        <w:rPr>
          <w:color w:val="231F20"/>
          <w:spacing w:val="-9"/>
          <w:w w:val="110"/>
          <w:sz w:val="18"/>
        </w:rPr>
        <w:t> </w:t>
      </w:r>
      <w:r>
        <w:rPr>
          <w:color w:val="231F20"/>
          <w:w w:val="110"/>
          <w:sz w:val="18"/>
        </w:rPr>
        <w:t>103).</w:t>
      </w:r>
      <w:r>
        <w:rPr>
          <w:color w:val="231F20"/>
          <w:w w:val="110"/>
          <w:position w:val="5"/>
          <w:sz w:val="10"/>
        </w:rPr>
        <w:t>5</w:t>
      </w:r>
    </w:p>
    <w:p>
      <w:pPr>
        <w:pStyle w:val="BodyText"/>
        <w:spacing w:before="7"/>
        <w:rPr>
          <w:sz w:val="21"/>
        </w:rPr>
      </w:pPr>
    </w:p>
    <w:p>
      <w:pPr>
        <w:pStyle w:val="BodyText"/>
        <w:spacing w:line="288" w:lineRule="auto"/>
        <w:ind w:left="120" w:right="116" w:firstLine="360"/>
        <w:jc w:val="both"/>
      </w:pPr>
      <w:r>
        <w:rPr>
          <w:color w:val="231F20"/>
          <w:w w:val="110"/>
        </w:rPr>
        <w:t>Una alternativa para el desarrollo familiar es, sin lugar a dudas, la par- ticipación directa de las familias en la planeación y en la ejecución de ese desarrollo;</w:t>
      </w:r>
      <w:r>
        <w:rPr>
          <w:color w:val="231F20"/>
          <w:spacing w:val="-10"/>
          <w:w w:val="110"/>
        </w:rPr>
        <w:t> </w:t>
      </w:r>
      <w:r>
        <w:rPr>
          <w:color w:val="231F20"/>
          <w:w w:val="110"/>
        </w:rPr>
        <w:t>de</w:t>
      </w:r>
      <w:r>
        <w:rPr>
          <w:color w:val="231F20"/>
          <w:spacing w:val="-10"/>
          <w:w w:val="110"/>
        </w:rPr>
        <w:t> </w:t>
      </w:r>
      <w:r>
        <w:rPr>
          <w:color w:val="231F20"/>
          <w:w w:val="110"/>
        </w:rPr>
        <w:t>lo</w:t>
      </w:r>
      <w:r>
        <w:rPr>
          <w:color w:val="231F20"/>
          <w:spacing w:val="-10"/>
          <w:w w:val="110"/>
        </w:rPr>
        <w:t> </w:t>
      </w:r>
      <w:r>
        <w:rPr>
          <w:color w:val="231F20"/>
          <w:w w:val="110"/>
        </w:rPr>
        <w:t>contrario,</w:t>
      </w:r>
      <w:r>
        <w:rPr>
          <w:color w:val="231F20"/>
          <w:spacing w:val="-10"/>
          <w:w w:val="110"/>
        </w:rPr>
        <w:t> </w:t>
      </w:r>
      <w:r>
        <w:rPr>
          <w:color w:val="231F20"/>
          <w:w w:val="110"/>
        </w:rPr>
        <w:t>la</w:t>
      </w:r>
      <w:r>
        <w:rPr>
          <w:color w:val="231F20"/>
          <w:spacing w:val="-10"/>
          <w:w w:val="110"/>
        </w:rPr>
        <w:t> </w:t>
      </w:r>
      <w:r>
        <w:rPr>
          <w:color w:val="231F20"/>
          <w:w w:val="110"/>
        </w:rPr>
        <w:t>legitimidad</w:t>
      </w:r>
      <w:r>
        <w:rPr>
          <w:color w:val="231F20"/>
          <w:spacing w:val="-10"/>
          <w:w w:val="110"/>
        </w:rPr>
        <w:t> </w:t>
      </w:r>
      <w:r>
        <w:rPr>
          <w:color w:val="231F20"/>
          <w:w w:val="110"/>
        </w:rPr>
        <w:t>política,</w:t>
      </w:r>
      <w:r>
        <w:rPr>
          <w:color w:val="231F20"/>
          <w:spacing w:val="-10"/>
          <w:w w:val="110"/>
        </w:rPr>
        <w:t> </w:t>
      </w:r>
      <w:r>
        <w:rPr>
          <w:color w:val="231F20"/>
          <w:w w:val="110"/>
        </w:rPr>
        <w:t>como</w:t>
      </w:r>
      <w:r>
        <w:rPr>
          <w:color w:val="231F20"/>
          <w:spacing w:val="-10"/>
          <w:w w:val="110"/>
        </w:rPr>
        <w:t> </w:t>
      </w:r>
      <w:r>
        <w:rPr>
          <w:color w:val="231F20"/>
          <w:w w:val="110"/>
        </w:rPr>
        <w:t>forma</w:t>
      </w:r>
      <w:r>
        <w:rPr>
          <w:color w:val="231F20"/>
          <w:spacing w:val="-10"/>
          <w:w w:val="110"/>
        </w:rPr>
        <w:t> </w:t>
      </w:r>
      <w:r>
        <w:rPr>
          <w:color w:val="231F20"/>
          <w:w w:val="110"/>
        </w:rPr>
        <w:t>de</w:t>
      </w:r>
      <w:r>
        <w:rPr>
          <w:color w:val="231F20"/>
          <w:spacing w:val="-10"/>
          <w:w w:val="110"/>
        </w:rPr>
        <w:t> </w:t>
      </w:r>
      <w:r>
        <w:rPr>
          <w:color w:val="231F20"/>
          <w:w w:val="110"/>
        </w:rPr>
        <w:t>conviven- cia social, presentará serios vaivenes para la democracia, pues una</w:t>
      </w:r>
      <w:r>
        <w:rPr>
          <w:color w:val="231F20"/>
          <w:spacing w:val="-19"/>
          <w:w w:val="110"/>
        </w:rPr>
        <w:t> </w:t>
      </w:r>
      <w:r>
        <w:rPr>
          <w:color w:val="231F20"/>
          <w:w w:val="110"/>
        </w:rPr>
        <w:t>política familiar, sin la participación de quienes serán sujetos de la misma, no deja de ser una falacia de gran envergadura burocrática, que mantiene a las familias en calidad de objetos y no de sujetos sociales que tienen derechos elementales, como la participación en los asuntos públicos que de manera directa les</w:t>
      </w:r>
      <w:r>
        <w:rPr>
          <w:color w:val="231F20"/>
          <w:spacing w:val="6"/>
          <w:w w:val="110"/>
        </w:rPr>
        <w:t> </w:t>
      </w:r>
      <w:r>
        <w:rPr>
          <w:color w:val="231F20"/>
          <w:w w:val="110"/>
        </w:rPr>
        <w:t>afectan.</w:t>
      </w:r>
    </w:p>
    <w:p>
      <w:pPr>
        <w:pStyle w:val="BodyText"/>
        <w:spacing w:line="288" w:lineRule="auto"/>
        <w:ind w:left="120" w:right="114" w:firstLine="360"/>
        <w:jc w:val="both"/>
      </w:pPr>
      <w:r>
        <w:rPr>
          <w:color w:val="231F20"/>
          <w:w w:val="110"/>
        </w:rPr>
        <w:t>Para responder a ello, es necesario considerar a las familias a partir de una doble concepción: primero, como agente fundamental del desarrollo humano, pues es la encargada de la reproducción biológica y social; y se- gundo, como la unidad primordial hacia donde deben dirigirse los benefi- cios</w:t>
      </w:r>
      <w:r>
        <w:rPr>
          <w:color w:val="231F20"/>
          <w:spacing w:val="-8"/>
          <w:w w:val="110"/>
        </w:rPr>
        <w:t> </w:t>
      </w:r>
      <w:r>
        <w:rPr>
          <w:color w:val="231F20"/>
          <w:w w:val="110"/>
        </w:rPr>
        <w:t>de</w:t>
      </w:r>
      <w:r>
        <w:rPr>
          <w:color w:val="231F20"/>
          <w:spacing w:val="-8"/>
          <w:w w:val="110"/>
        </w:rPr>
        <w:t> </w:t>
      </w:r>
      <w:r>
        <w:rPr>
          <w:color w:val="231F20"/>
          <w:w w:val="110"/>
        </w:rPr>
        <w:t>ese</w:t>
      </w:r>
      <w:r>
        <w:rPr>
          <w:color w:val="231F20"/>
          <w:spacing w:val="-8"/>
          <w:w w:val="110"/>
        </w:rPr>
        <w:t> </w:t>
      </w:r>
      <w:r>
        <w:rPr>
          <w:color w:val="231F20"/>
          <w:w w:val="110"/>
        </w:rPr>
        <w:t>desarrollo.</w:t>
      </w:r>
      <w:r>
        <w:rPr>
          <w:color w:val="231F20"/>
          <w:spacing w:val="-8"/>
          <w:w w:val="110"/>
        </w:rPr>
        <w:t> </w:t>
      </w:r>
      <w:r>
        <w:rPr>
          <w:color w:val="231F20"/>
          <w:w w:val="110"/>
        </w:rPr>
        <w:t>A</w:t>
      </w:r>
      <w:r>
        <w:rPr>
          <w:color w:val="231F20"/>
          <w:spacing w:val="-8"/>
          <w:w w:val="110"/>
        </w:rPr>
        <w:t> </w:t>
      </w:r>
      <w:r>
        <w:rPr>
          <w:color w:val="231F20"/>
          <w:w w:val="110"/>
        </w:rPr>
        <w:t>esto</w:t>
      </w:r>
      <w:r>
        <w:rPr>
          <w:color w:val="231F20"/>
          <w:spacing w:val="-8"/>
          <w:w w:val="110"/>
        </w:rPr>
        <w:t> </w:t>
      </w:r>
      <w:r>
        <w:rPr>
          <w:color w:val="231F20"/>
          <w:w w:val="110"/>
        </w:rPr>
        <w:t>debe</w:t>
      </w:r>
      <w:r>
        <w:rPr>
          <w:color w:val="231F20"/>
          <w:spacing w:val="-8"/>
          <w:w w:val="110"/>
        </w:rPr>
        <w:t> </w:t>
      </w:r>
      <w:r>
        <w:rPr>
          <w:color w:val="231F20"/>
          <w:w w:val="110"/>
        </w:rPr>
        <w:t>agregarse</w:t>
      </w:r>
      <w:r>
        <w:rPr>
          <w:color w:val="231F20"/>
          <w:spacing w:val="-8"/>
          <w:w w:val="110"/>
        </w:rPr>
        <w:t> </w:t>
      </w:r>
      <w:r>
        <w:rPr>
          <w:color w:val="231F20"/>
          <w:w w:val="110"/>
        </w:rPr>
        <w:t>que</w:t>
      </w:r>
      <w:r>
        <w:rPr>
          <w:color w:val="231F20"/>
          <w:spacing w:val="-8"/>
          <w:w w:val="110"/>
        </w:rPr>
        <w:t> </w:t>
      </w:r>
      <w:r>
        <w:rPr>
          <w:color w:val="231F20"/>
          <w:w w:val="110"/>
        </w:rPr>
        <w:t>la</w:t>
      </w:r>
      <w:r>
        <w:rPr>
          <w:color w:val="231F20"/>
          <w:spacing w:val="-8"/>
          <w:w w:val="110"/>
        </w:rPr>
        <w:t> </w:t>
      </w:r>
      <w:r>
        <w:rPr>
          <w:color w:val="231F20"/>
          <w:w w:val="110"/>
        </w:rPr>
        <w:t>familia</w:t>
      </w:r>
      <w:r>
        <w:rPr>
          <w:color w:val="231F20"/>
          <w:spacing w:val="-8"/>
          <w:w w:val="110"/>
        </w:rPr>
        <w:t> </w:t>
      </w:r>
      <w:r>
        <w:rPr>
          <w:color w:val="231F20"/>
          <w:w w:val="110"/>
        </w:rPr>
        <w:t>ha</w:t>
      </w:r>
      <w:r>
        <w:rPr>
          <w:color w:val="231F20"/>
          <w:spacing w:val="-8"/>
          <w:w w:val="110"/>
        </w:rPr>
        <w:t> </w:t>
      </w:r>
      <w:r>
        <w:rPr>
          <w:color w:val="231F20"/>
          <w:w w:val="110"/>
        </w:rPr>
        <w:t>dejado</w:t>
      </w:r>
      <w:r>
        <w:rPr>
          <w:color w:val="231F20"/>
          <w:spacing w:val="-8"/>
          <w:w w:val="110"/>
        </w:rPr>
        <w:t> </w:t>
      </w:r>
      <w:r>
        <w:rPr>
          <w:color w:val="231F20"/>
          <w:w w:val="110"/>
        </w:rPr>
        <w:t>de</w:t>
      </w:r>
      <w:r>
        <w:rPr>
          <w:color w:val="231F20"/>
          <w:spacing w:val="-8"/>
          <w:w w:val="110"/>
        </w:rPr>
        <w:t> </w:t>
      </w:r>
      <w:r>
        <w:rPr>
          <w:color w:val="231F20"/>
          <w:w w:val="110"/>
        </w:rPr>
        <w:t>ser un ámbito exclusivamente privado para convertirse en un espacio público de desarrollo de los derechos de sus integrantes, lo que implica que las </w:t>
      </w:r>
      <w:r>
        <w:rPr>
          <w:color w:val="231F20"/>
          <w:spacing w:val="2"/>
          <w:w w:val="110"/>
        </w:rPr>
        <w:t>relaciones familiares necesariamente suponen </w:t>
      </w:r>
      <w:r>
        <w:rPr>
          <w:color w:val="231F20"/>
          <w:w w:val="110"/>
        </w:rPr>
        <w:t>el </w:t>
      </w:r>
      <w:r>
        <w:rPr>
          <w:color w:val="231F20"/>
          <w:spacing w:val="2"/>
          <w:w w:val="110"/>
        </w:rPr>
        <w:t>reconocimiento </w:t>
      </w:r>
      <w:r>
        <w:rPr>
          <w:color w:val="231F20"/>
          <w:w w:val="110"/>
        </w:rPr>
        <w:t>de la dignidad de cada una de las </w:t>
      </w:r>
      <w:r>
        <w:rPr>
          <w:color w:val="231F20"/>
          <w:spacing w:val="19"/>
          <w:w w:val="110"/>
        </w:rPr>
        <w:t> </w:t>
      </w:r>
      <w:r>
        <w:rPr>
          <w:color w:val="231F20"/>
          <w:w w:val="110"/>
        </w:rPr>
        <w:t>personas.</w:t>
      </w:r>
    </w:p>
    <w:p>
      <w:pPr>
        <w:pStyle w:val="BodyText"/>
        <w:spacing w:line="288" w:lineRule="auto"/>
        <w:ind w:left="120" w:right="117" w:firstLine="360"/>
        <w:jc w:val="both"/>
      </w:pPr>
      <w:r>
        <w:rPr>
          <w:color w:val="231F20"/>
          <w:w w:val="110"/>
        </w:rPr>
        <w:t>En </w:t>
      </w:r>
      <w:r>
        <w:rPr>
          <w:color w:val="231F20"/>
          <w:spacing w:val="-3"/>
          <w:w w:val="110"/>
        </w:rPr>
        <w:t>este </w:t>
      </w:r>
      <w:r>
        <w:rPr>
          <w:color w:val="231F20"/>
          <w:spacing w:val="-4"/>
          <w:w w:val="110"/>
        </w:rPr>
        <w:t>sentido, </w:t>
      </w:r>
      <w:r>
        <w:rPr>
          <w:color w:val="231F20"/>
          <w:spacing w:val="-3"/>
          <w:w w:val="110"/>
        </w:rPr>
        <w:t>las </w:t>
      </w:r>
      <w:r>
        <w:rPr>
          <w:color w:val="231F20"/>
          <w:spacing w:val="-4"/>
          <w:w w:val="110"/>
        </w:rPr>
        <w:t>políticas públicas </w:t>
      </w:r>
      <w:r>
        <w:rPr>
          <w:color w:val="231F20"/>
          <w:spacing w:val="-3"/>
          <w:w w:val="110"/>
        </w:rPr>
        <w:t>son </w:t>
      </w:r>
      <w:r>
        <w:rPr>
          <w:color w:val="231F20"/>
          <w:w w:val="110"/>
        </w:rPr>
        <w:t>un </w:t>
      </w:r>
      <w:r>
        <w:rPr>
          <w:color w:val="231F20"/>
          <w:spacing w:val="-4"/>
          <w:w w:val="110"/>
        </w:rPr>
        <w:t>sustento clave </w:t>
      </w:r>
      <w:r>
        <w:rPr>
          <w:color w:val="231F20"/>
          <w:w w:val="110"/>
        </w:rPr>
        <w:t>en la </w:t>
      </w:r>
      <w:r>
        <w:rPr>
          <w:color w:val="231F20"/>
          <w:spacing w:val="-4"/>
          <w:w w:val="110"/>
        </w:rPr>
        <w:t>reforma </w:t>
      </w:r>
      <w:r>
        <w:rPr>
          <w:color w:val="231F20"/>
          <w:w w:val="110"/>
        </w:rPr>
        <w:t>del Estado. Su cobertura no se restringe únicamente al plano</w:t>
      </w:r>
      <w:r>
        <w:rPr>
          <w:color w:val="231F20"/>
          <w:spacing w:val="-30"/>
          <w:w w:val="110"/>
        </w:rPr>
        <w:t> </w:t>
      </w:r>
      <w:r>
        <w:rPr>
          <w:color w:val="231F20"/>
          <w:w w:val="110"/>
        </w:rPr>
        <w:t>gubernamen- tal, administrativo y político, sino que también abarca lo público. La</w:t>
      </w:r>
      <w:r>
        <w:rPr>
          <w:color w:val="231F20"/>
          <w:spacing w:val="-19"/>
          <w:w w:val="110"/>
        </w:rPr>
        <w:t> </w:t>
      </w:r>
      <w:r>
        <w:rPr>
          <w:color w:val="231F20"/>
          <w:w w:val="110"/>
        </w:rPr>
        <w:t>acción en la esfera de la dotación de servicios ha sido uno de los enfoques funda- mentales en el esfuerzo ¿público? de los últimos 30 años; sin embargo,  </w:t>
      </w:r>
      <w:r>
        <w:rPr>
          <w:color w:val="231F20"/>
          <w:spacing w:val="15"/>
          <w:w w:val="110"/>
        </w:rPr>
        <w:t> </w:t>
      </w:r>
      <w:r>
        <w:rPr>
          <w:color w:val="231F20"/>
          <w:w w:val="110"/>
        </w:rPr>
        <w:t>es</w:t>
      </w:r>
    </w:p>
    <w:p>
      <w:pPr>
        <w:pStyle w:val="BodyText"/>
        <w:spacing w:before="9"/>
      </w:pPr>
    </w:p>
    <w:p>
      <w:pPr>
        <w:spacing w:line="256" w:lineRule="auto" w:before="0"/>
        <w:ind w:left="119" w:right="119" w:firstLine="360"/>
        <w:jc w:val="both"/>
        <w:rPr>
          <w:sz w:val="16"/>
        </w:rPr>
      </w:pPr>
      <w:r>
        <w:rPr>
          <w:color w:val="231F20"/>
          <w:w w:val="105"/>
          <w:position w:val="5"/>
          <w:sz w:val="9"/>
        </w:rPr>
        <w:t>5 </w:t>
      </w:r>
      <w:r>
        <w:rPr>
          <w:color w:val="231F20"/>
          <w:w w:val="105"/>
          <w:sz w:val="16"/>
        </w:rPr>
        <w:t>Ángela María Quintero Velásquez, (2007), </w:t>
      </w:r>
      <w:r>
        <w:rPr>
          <w:i/>
          <w:color w:val="231F20"/>
          <w:w w:val="105"/>
          <w:sz w:val="16"/>
        </w:rPr>
        <w:t>Diccionario especializado en familia y género</w:t>
      </w:r>
      <w:r>
        <w:rPr>
          <w:color w:val="231F20"/>
          <w:w w:val="105"/>
          <w:sz w:val="16"/>
        </w:rPr>
        <w:t>, Buenos  Aires,  Universidad  de  Antioquía  y  Lumen  Humanitas,  175 pp.</w:t>
      </w:r>
    </w:p>
    <w:p>
      <w:pPr>
        <w:spacing w:after="0" w:line="256" w:lineRule="auto"/>
        <w:jc w:val="both"/>
        <w:rPr>
          <w:sz w:val="16"/>
        </w:rPr>
        <w:sectPr>
          <w:pgSz w:w="9520" w:h="12920"/>
          <w:pgMar w:header="0" w:footer="1344" w:top="880" w:bottom="1540" w:left="1000" w:right="1320"/>
        </w:sectPr>
      </w:pPr>
    </w:p>
    <w:p>
      <w:pPr>
        <w:pStyle w:val="BodyText"/>
        <w:spacing w:line="288" w:lineRule="auto" w:before="42"/>
        <w:ind w:left="124" w:right="112"/>
        <w:jc w:val="both"/>
      </w:pPr>
      <w:r>
        <w:rPr>
          <w:color w:val="231F20"/>
          <w:w w:val="110"/>
        </w:rPr>
        <w:t>preciso agregar concepciones que aborden creativamente esa situación de fragilidad social; dando respuesta a las manifestaciones más preocupantes como la violencia intrafamiliar, la drogadicción, el abandono de los niños, el embarazo precoz, la migración infantil y otros fenómenos relacionados con la pobreza y su  entorno.</w:t>
      </w:r>
    </w:p>
    <w:p>
      <w:pPr>
        <w:pStyle w:val="BodyText"/>
        <w:spacing w:line="288" w:lineRule="auto"/>
        <w:ind w:left="124" w:right="110" w:firstLine="360"/>
        <w:jc w:val="both"/>
      </w:pPr>
      <w:r>
        <w:rPr>
          <w:color w:val="231F20"/>
          <w:w w:val="110"/>
        </w:rPr>
        <w:t>En el sexenio del presidente </w:t>
      </w:r>
      <w:r>
        <w:rPr>
          <w:color w:val="231F20"/>
          <w:spacing w:val="-3"/>
          <w:w w:val="110"/>
        </w:rPr>
        <w:t>Felipe </w:t>
      </w:r>
      <w:r>
        <w:rPr>
          <w:color w:val="231F20"/>
          <w:w w:val="110"/>
        </w:rPr>
        <w:t>Calderón (2007-2012), existió una ausencia de política pública explícita sobre las familias; se ha abandonado el</w:t>
      </w:r>
      <w:r>
        <w:rPr>
          <w:color w:val="231F20"/>
          <w:spacing w:val="-15"/>
          <w:w w:val="110"/>
        </w:rPr>
        <w:t> </w:t>
      </w:r>
      <w:r>
        <w:rPr>
          <w:color w:val="231F20"/>
          <w:w w:val="110"/>
        </w:rPr>
        <w:t>discurso</w:t>
      </w:r>
      <w:r>
        <w:rPr>
          <w:color w:val="231F20"/>
          <w:spacing w:val="-15"/>
          <w:w w:val="110"/>
        </w:rPr>
        <w:t> </w:t>
      </w:r>
      <w:r>
        <w:rPr>
          <w:color w:val="231F20"/>
          <w:w w:val="110"/>
        </w:rPr>
        <w:t>oficial</w:t>
      </w:r>
      <w:r>
        <w:rPr>
          <w:color w:val="231F20"/>
          <w:spacing w:val="-15"/>
          <w:w w:val="110"/>
        </w:rPr>
        <w:t> </w:t>
      </w:r>
      <w:r>
        <w:rPr>
          <w:color w:val="231F20"/>
          <w:w w:val="110"/>
        </w:rPr>
        <w:t>del</w:t>
      </w:r>
      <w:r>
        <w:rPr>
          <w:color w:val="231F20"/>
          <w:spacing w:val="-15"/>
          <w:w w:val="110"/>
        </w:rPr>
        <w:t> </w:t>
      </w:r>
      <w:r>
        <w:rPr>
          <w:color w:val="231F20"/>
          <w:w w:val="110"/>
        </w:rPr>
        <w:t>Estado</w:t>
      </w:r>
      <w:r>
        <w:rPr>
          <w:color w:val="231F20"/>
          <w:spacing w:val="-15"/>
          <w:w w:val="110"/>
        </w:rPr>
        <w:t> </w:t>
      </w:r>
      <w:r>
        <w:rPr>
          <w:color w:val="231F20"/>
          <w:w w:val="110"/>
        </w:rPr>
        <w:t>laico</w:t>
      </w:r>
      <w:r>
        <w:rPr>
          <w:color w:val="231F20"/>
          <w:spacing w:val="-15"/>
          <w:w w:val="110"/>
        </w:rPr>
        <w:t> </w:t>
      </w:r>
      <w:r>
        <w:rPr>
          <w:color w:val="231F20"/>
          <w:w w:val="110"/>
        </w:rPr>
        <w:t>y</w:t>
      </w:r>
      <w:r>
        <w:rPr>
          <w:color w:val="231F20"/>
          <w:spacing w:val="-15"/>
          <w:w w:val="110"/>
        </w:rPr>
        <w:t> </w:t>
      </w:r>
      <w:r>
        <w:rPr>
          <w:color w:val="231F20"/>
          <w:w w:val="110"/>
        </w:rPr>
        <w:t>el</w:t>
      </w:r>
      <w:r>
        <w:rPr>
          <w:color w:val="231F20"/>
          <w:spacing w:val="-15"/>
          <w:w w:val="110"/>
        </w:rPr>
        <w:t> </w:t>
      </w:r>
      <w:r>
        <w:rPr>
          <w:color w:val="231F20"/>
          <w:w w:val="110"/>
        </w:rPr>
        <w:t>Presidente</w:t>
      </w:r>
      <w:r>
        <w:rPr>
          <w:color w:val="231F20"/>
          <w:spacing w:val="-15"/>
          <w:w w:val="110"/>
        </w:rPr>
        <w:t> </w:t>
      </w:r>
      <w:r>
        <w:rPr>
          <w:color w:val="231F20"/>
          <w:w w:val="110"/>
        </w:rPr>
        <w:t>y</w:t>
      </w:r>
      <w:r>
        <w:rPr>
          <w:color w:val="231F20"/>
          <w:spacing w:val="-15"/>
          <w:w w:val="110"/>
        </w:rPr>
        <w:t> </w:t>
      </w:r>
      <w:r>
        <w:rPr>
          <w:color w:val="231F20"/>
          <w:w w:val="110"/>
        </w:rPr>
        <w:t>sus</w:t>
      </w:r>
      <w:r>
        <w:rPr>
          <w:color w:val="231F20"/>
          <w:spacing w:val="-15"/>
          <w:w w:val="110"/>
        </w:rPr>
        <w:t> </w:t>
      </w:r>
      <w:r>
        <w:rPr>
          <w:color w:val="231F20"/>
          <w:w w:val="110"/>
        </w:rPr>
        <w:t>secretarios</w:t>
      </w:r>
      <w:r>
        <w:rPr>
          <w:color w:val="231F20"/>
          <w:spacing w:val="-15"/>
          <w:w w:val="110"/>
        </w:rPr>
        <w:t> </w:t>
      </w:r>
      <w:r>
        <w:rPr>
          <w:color w:val="231F20"/>
          <w:w w:val="110"/>
        </w:rPr>
        <w:t>han</w:t>
      </w:r>
      <w:r>
        <w:rPr>
          <w:color w:val="231F20"/>
          <w:spacing w:val="-15"/>
          <w:w w:val="110"/>
        </w:rPr>
        <w:t> </w:t>
      </w:r>
      <w:r>
        <w:rPr>
          <w:color w:val="231F20"/>
          <w:w w:val="110"/>
        </w:rPr>
        <w:t>insis- tido en la familia tradicional, clerical, de padre, madre e hijos. El Plan Na- cional de Desarrollo considera a la persona, no a las familias, sus derechos y</w:t>
      </w:r>
      <w:r>
        <w:rPr>
          <w:color w:val="231F20"/>
          <w:spacing w:val="-6"/>
          <w:w w:val="110"/>
        </w:rPr>
        <w:t> </w:t>
      </w:r>
      <w:r>
        <w:rPr>
          <w:color w:val="231F20"/>
          <w:w w:val="110"/>
        </w:rPr>
        <w:t>la</w:t>
      </w:r>
      <w:r>
        <w:rPr>
          <w:color w:val="231F20"/>
          <w:spacing w:val="-6"/>
          <w:w w:val="110"/>
        </w:rPr>
        <w:t> </w:t>
      </w:r>
      <w:r>
        <w:rPr>
          <w:color w:val="231F20"/>
          <w:w w:val="110"/>
        </w:rPr>
        <w:t>ampliación</w:t>
      </w:r>
      <w:r>
        <w:rPr>
          <w:color w:val="231F20"/>
          <w:spacing w:val="-6"/>
          <w:w w:val="110"/>
        </w:rPr>
        <w:t> </w:t>
      </w:r>
      <w:r>
        <w:rPr>
          <w:color w:val="231F20"/>
          <w:w w:val="110"/>
        </w:rPr>
        <w:t>de</w:t>
      </w:r>
      <w:r>
        <w:rPr>
          <w:color w:val="231F20"/>
          <w:spacing w:val="-6"/>
          <w:w w:val="110"/>
        </w:rPr>
        <w:t> </w:t>
      </w:r>
      <w:r>
        <w:rPr>
          <w:color w:val="231F20"/>
          <w:w w:val="110"/>
        </w:rPr>
        <w:t>sus</w:t>
      </w:r>
      <w:r>
        <w:rPr>
          <w:color w:val="231F20"/>
          <w:spacing w:val="-6"/>
          <w:w w:val="110"/>
        </w:rPr>
        <w:t> </w:t>
      </w:r>
      <w:r>
        <w:rPr>
          <w:color w:val="231F20"/>
          <w:w w:val="110"/>
        </w:rPr>
        <w:t>capacidades</w:t>
      </w:r>
      <w:r>
        <w:rPr>
          <w:color w:val="231F20"/>
          <w:spacing w:val="-6"/>
          <w:w w:val="110"/>
        </w:rPr>
        <w:t> </w:t>
      </w:r>
      <w:r>
        <w:rPr>
          <w:color w:val="231F20"/>
          <w:w w:val="110"/>
        </w:rPr>
        <w:t>como</w:t>
      </w:r>
      <w:r>
        <w:rPr>
          <w:color w:val="231F20"/>
          <w:spacing w:val="-6"/>
          <w:w w:val="110"/>
        </w:rPr>
        <w:t> </w:t>
      </w:r>
      <w:r>
        <w:rPr>
          <w:color w:val="231F20"/>
          <w:w w:val="110"/>
        </w:rPr>
        <w:t>la</w:t>
      </w:r>
      <w:r>
        <w:rPr>
          <w:color w:val="231F20"/>
          <w:spacing w:val="-6"/>
          <w:w w:val="110"/>
        </w:rPr>
        <w:t> </w:t>
      </w:r>
      <w:r>
        <w:rPr>
          <w:color w:val="231F20"/>
          <w:w w:val="110"/>
        </w:rPr>
        <w:t>columna</w:t>
      </w:r>
      <w:r>
        <w:rPr>
          <w:color w:val="231F20"/>
          <w:spacing w:val="-6"/>
          <w:w w:val="110"/>
        </w:rPr>
        <w:t> </w:t>
      </w:r>
      <w:r>
        <w:rPr>
          <w:color w:val="231F20"/>
          <w:w w:val="110"/>
        </w:rPr>
        <w:t>vertebral</w:t>
      </w:r>
      <w:r>
        <w:rPr>
          <w:color w:val="231F20"/>
          <w:spacing w:val="-6"/>
          <w:w w:val="110"/>
        </w:rPr>
        <w:t> </w:t>
      </w:r>
      <w:r>
        <w:rPr>
          <w:color w:val="231F20"/>
          <w:w w:val="110"/>
        </w:rPr>
        <w:t>para</w:t>
      </w:r>
      <w:r>
        <w:rPr>
          <w:color w:val="231F20"/>
          <w:spacing w:val="-6"/>
          <w:w w:val="110"/>
        </w:rPr>
        <w:t> </w:t>
      </w:r>
      <w:r>
        <w:rPr>
          <w:color w:val="231F20"/>
          <w:w w:val="110"/>
        </w:rPr>
        <w:t>la</w:t>
      </w:r>
      <w:r>
        <w:rPr>
          <w:color w:val="231F20"/>
          <w:spacing w:val="-6"/>
          <w:w w:val="110"/>
        </w:rPr>
        <w:t> </w:t>
      </w:r>
      <w:r>
        <w:rPr>
          <w:color w:val="231F20"/>
          <w:w w:val="110"/>
        </w:rPr>
        <w:t>toma de decisiones y la definición de las políticas públicas. </w:t>
      </w:r>
      <w:r>
        <w:rPr>
          <w:color w:val="231F20"/>
          <w:spacing w:val="-5"/>
          <w:w w:val="110"/>
        </w:rPr>
        <w:t>Tal </w:t>
      </w:r>
      <w:r>
        <w:rPr>
          <w:color w:val="231F20"/>
          <w:w w:val="110"/>
        </w:rPr>
        <w:t>como lo criticó la Comisión Económica para América Latina y el Caribe (</w:t>
      </w:r>
      <w:r>
        <w:rPr>
          <w:rFonts w:ascii="Times New Roman" w:hAnsi="Times New Roman"/>
          <w:color w:val="231F20"/>
          <w:w w:val="110"/>
          <w:sz w:val="16"/>
        </w:rPr>
        <w:t>CEPAL</w:t>
      </w:r>
      <w:r>
        <w:rPr>
          <w:rFonts w:ascii="Times New Roman" w:hAnsi="Times New Roman"/>
          <w:color w:val="231F20"/>
          <w:w w:val="110"/>
        </w:rPr>
        <w:t>)</w:t>
      </w:r>
      <w:r>
        <w:rPr>
          <w:color w:val="231F20"/>
          <w:w w:val="110"/>
        </w:rPr>
        <w:t>,</w:t>
      </w:r>
      <w:r>
        <w:rPr>
          <w:color w:val="231F20"/>
          <w:w w:val="110"/>
          <w:position w:val="6"/>
          <w:sz w:val="11"/>
        </w:rPr>
        <w:t>6 </w:t>
      </w:r>
      <w:r>
        <w:rPr>
          <w:color w:val="231F20"/>
          <w:w w:val="110"/>
        </w:rPr>
        <w:t>no hay po- líticas explícitas hacia las familias, sino más bien intervenciones dispersas y no coordinadas mediante programas y proyectos en materia de salud, educación, combate contra la pobreza y prevención y erradicación de la violencia.</w:t>
      </w:r>
    </w:p>
    <w:p>
      <w:pPr>
        <w:pStyle w:val="BodyText"/>
        <w:spacing w:line="288" w:lineRule="auto"/>
        <w:ind w:left="124" w:right="113" w:firstLine="360"/>
        <w:jc w:val="both"/>
      </w:pPr>
      <w:r>
        <w:rPr>
          <w:color w:val="231F20"/>
          <w:w w:val="110"/>
        </w:rPr>
        <w:t>Se</w:t>
      </w:r>
      <w:r>
        <w:rPr>
          <w:color w:val="231F20"/>
          <w:spacing w:val="-14"/>
          <w:w w:val="110"/>
        </w:rPr>
        <w:t> </w:t>
      </w:r>
      <w:r>
        <w:rPr>
          <w:color w:val="231F20"/>
          <w:spacing w:val="-4"/>
          <w:w w:val="110"/>
        </w:rPr>
        <w:t>desconoce</w:t>
      </w:r>
      <w:r>
        <w:rPr>
          <w:color w:val="231F20"/>
          <w:spacing w:val="-14"/>
          <w:w w:val="110"/>
        </w:rPr>
        <w:t> </w:t>
      </w:r>
      <w:r>
        <w:rPr>
          <w:color w:val="231F20"/>
          <w:spacing w:val="-3"/>
          <w:w w:val="110"/>
        </w:rPr>
        <w:t>por</w:t>
      </w:r>
      <w:r>
        <w:rPr>
          <w:color w:val="231F20"/>
          <w:spacing w:val="-14"/>
          <w:w w:val="110"/>
        </w:rPr>
        <w:t> </w:t>
      </w:r>
      <w:r>
        <w:rPr>
          <w:color w:val="231F20"/>
          <w:spacing w:val="-4"/>
          <w:w w:val="110"/>
        </w:rPr>
        <w:t>completo</w:t>
      </w:r>
      <w:r>
        <w:rPr>
          <w:color w:val="231F20"/>
          <w:spacing w:val="-14"/>
          <w:w w:val="110"/>
        </w:rPr>
        <w:t> </w:t>
      </w:r>
      <w:r>
        <w:rPr>
          <w:color w:val="231F20"/>
          <w:w w:val="110"/>
        </w:rPr>
        <w:t>la</w:t>
      </w:r>
      <w:r>
        <w:rPr>
          <w:color w:val="231F20"/>
          <w:spacing w:val="-14"/>
          <w:w w:val="110"/>
        </w:rPr>
        <w:t> </w:t>
      </w:r>
      <w:r>
        <w:rPr>
          <w:color w:val="231F20"/>
          <w:spacing w:val="-4"/>
          <w:w w:val="110"/>
        </w:rPr>
        <w:t>realidad</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spacing w:val="-4"/>
          <w:w w:val="110"/>
        </w:rPr>
        <w:t>diversidad</w:t>
      </w:r>
      <w:r>
        <w:rPr>
          <w:color w:val="231F20"/>
          <w:spacing w:val="-14"/>
          <w:w w:val="110"/>
        </w:rPr>
        <w:t> </w:t>
      </w:r>
      <w:r>
        <w:rPr>
          <w:color w:val="231F20"/>
          <w:spacing w:val="-4"/>
          <w:w w:val="110"/>
        </w:rPr>
        <w:t>familiar</w:t>
      </w:r>
      <w:r>
        <w:rPr>
          <w:color w:val="231F20"/>
          <w:spacing w:val="-14"/>
          <w:w w:val="110"/>
        </w:rPr>
        <w:t> </w:t>
      </w:r>
      <w:r>
        <w:rPr>
          <w:color w:val="231F20"/>
          <w:w w:val="110"/>
        </w:rPr>
        <w:t>en</w:t>
      </w:r>
      <w:r>
        <w:rPr>
          <w:color w:val="231F20"/>
          <w:spacing w:val="-14"/>
          <w:w w:val="110"/>
        </w:rPr>
        <w:t> </w:t>
      </w:r>
      <w:r>
        <w:rPr>
          <w:color w:val="231F20"/>
          <w:spacing w:val="-5"/>
          <w:w w:val="110"/>
        </w:rPr>
        <w:t>México, </w:t>
      </w:r>
      <w:r>
        <w:rPr>
          <w:color w:val="231F20"/>
          <w:w w:val="110"/>
        </w:rPr>
        <w:t>aunque en el Conteo de Población y Vivienda 2005, el </w:t>
      </w:r>
      <w:r>
        <w:rPr>
          <w:rFonts w:ascii="Times New Roman" w:hAnsi="Times New Roman"/>
          <w:color w:val="231F20"/>
          <w:w w:val="110"/>
          <w:sz w:val="16"/>
        </w:rPr>
        <w:t>INEGI </w:t>
      </w:r>
      <w:r>
        <w:rPr>
          <w:color w:val="231F20"/>
          <w:w w:val="110"/>
        </w:rPr>
        <w:t>dio cuenta de que</w:t>
      </w:r>
      <w:r>
        <w:rPr>
          <w:color w:val="231F20"/>
          <w:spacing w:val="-8"/>
          <w:w w:val="110"/>
        </w:rPr>
        <w:t> </w:t>
      </w:r>
      <w:r>
        <w:rPr>
          <w:color w:val="231F20"/>
          <w:w w:val="110"/>
        </w:rPr>
        <w:t>10</w:t>
      </w:r>
      <w:r>
        <w:rPr>
          <w:color w:val="231F20"/>
          <w:spacing w:val="-8"/>
          <w:w w:val="110"/>
        </w:rPr>
        <w:t> </w:t>
      </w:r>
      <w:r>
        <w:rPr>
          <w:color w:val="231F20"/>
          <w:w w:val="110"/>
        </w:rPr>
        <w:t>por</w:t>
      </w:r>
      <w:r>
        <w:rPr>
          <w:color w:val="231F20"/>
          <w:spacing w:val="-8"/>
          <w:w w:val="110"/>
        </w:rPr>
        <w:t> </w:t>
      </w:r>
      <w:r>
        <w:rPr>
          <w:color w:val="231F20"/>
          <w:w w:val="110"/>
        </w:rPr>
        <w:t>ciento</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familias</w:t>
      </w:r>
      <w:r>
        <w:rPr>
          <w:color w:val="231F20"/>
          <w:spacing w:val="-8"/>
          <w:w w:val="110"/>
        </w:rPr>
        <w:t> </w:t>
      </w:r>
      <w:r>
        <w:rPr>
          <w:color w:val="231F20"/>
          <w:w w:val="110"/>
        </w:rPr>
        <w:t>del</w:t>
      </w:r>
      <w:r>
        <w:rPr>
          <w:color w:val="231F20"/>
          <w:spacing w:val="-8"/>
          <w:w w:val="110"/>
        </w:rPr>
        <w:t> </w:t>
      </w:r>
      <w:r>
        <w:rPr>
          <w:color w:val="231F20"/>
          <w:w w:val="110"/>
        </w:rPr>
        <w:t>país</w:t>
      </w:r>
      <w:r>
        <w:rPr>
          <w:color w:val="231F20"/>
          <w:spacing w:val="-8"/>
          <w:w w:val="110"/>
        </w:rPr>
        <w:t> </w:t>
      </w:r>
      <w:r>
        <w:rPr>
          <w:color w:val="231F20"/>
          <w:w w:val="110"/>
        </w:rPr>
        <w:t>eran</w:t>
      </w:r>
      <w:r>
        <w:rPr>
          <w:color w:val="231F20"/>
          <w:spacing w:val="-8"/>
          <w:w w:val="110"/>
        </w:rPr>
        <w:t> </w:t>
      </w:r>
      <w:r>
        <w:rPr>
          <w:color w:val="231F20"/>
          <w:w w:val="110"/>
        </w:rPr>
        <w:t>“familias</w:t>
      </w:r>
      <w:r>
        <w:rPr>
          <w:color w:val="231F20"/>
          <w:spacing w:val="-8"/>
          <w:w w:val="110"/>
        </w:rPr>
        <w:t> </w:t>
      </w:r>
      <w:r>
        <w:rPr>
          <w:color w:val="231F20"/>
          <w:w w:val="110"/>
        </w:rPr>
        <w:t>alternativas”</w:t>
      </w:r>
      <w:r>
        <w:rPr>
          <w:color w:val="231F20"/>
          <w:spacing w:val="-8"/>
          <w:w w:val="110"/>
        </w:rPr>
        <w:t> </w:t>
      </w:r>
      <w:r>
        <w:rPr>
          <w:color w:val="231F20"/>
          <w:w w:val="110"/>
        </w:rPr>
        <w:t>(todos aquellos arreglos familiares distintos a familias nucleares, extensas, em- pleadas y monoparentales) y 25 por ciento eran madres con hijos</w:t>
      </w:r>
      <w:r>
        <w:rPr>
          <w:color w:val="231F20"/>
          <w:spacing w:val="-23"/>
          <w:w w:val="110"/>
        </w:rPr>
        <w:t> </w:t>
      </w:r>
      <w:r>
        <w:rPr>
          <w:color w:val="231F20"/>
          <w:w w:val="110"/>
        </w:rPr>
        <w:t>viviendo solas.</w:t>
      </w:r>
    </w:p>
    <w:p>
      <w:pPr>
        <w:pStyle w:val="BodyText"/>
        <w:spacing w:line="288" w:lineRule="auto"/>
        <w:ind w:left="124" w:right="111" w:firstLine="360"/>
        <w:jc w:val="both"/>
      </w:pPr>
      <w:r>
        <w:rPr>
          <w:color w:val="231F20"/>
          <w:w w:val="110"/>
        </w:rPr>
        <w:t>La realidad de las familias es más compleja en su composición, estruc- tura y dinámicas de lo que los discursos oficiales y los registros estadísti- cos</w:t>
      </w:r>
      <w:r>
        <w:rPr>
          <w:color w:val="231F20"/>
          <w:spacing w:val="-6"/>
          <w:w w:val="110"/>
        </w:rPr>
        <w:t> </w:t>
      </w:r>
      <w:r>
        <w:rPr>
          <w:color w:val="231F20"/>
          <w:w w:val="110"/>
        </w:rPr>
        <w:t>del</w:t>
      </w:r>
      <w:r>
        <w:rPr>
          <w:color w:val="231F20"/>
          <w:spacing w:val="-6"/>
          <w:w w:val="110"/>
        </w:rPr>
        <w:t> </w:t>
      </w:r>
      <w:r>
        <w:rPr>
          <w:rFonts w:ascii="Times New Roman" w:hAnsi="Times New Roman"/>
          <w:color w:val="231F20"/>
          <w:w w:val="110"/>
          <w:sz w:val="16"/>
        </w:rPr>
        <w:t>INEGI</w:t>
      </w:r>
      <w:r>
        <w:rPr>
          <w:rFonts w:ascii="Times New Roman" w:hAnsi="Times New Roman"/>
          <w:color w:val="231F20"/>
          <w:spacing w:val="-1"/>
          <w:w w:val="110"/>
          <w:sz w:val="16"/>
        </w:rPr>
        <w:t> </w:t>
      </w:r>
      <w:r>
        <w:rPr>
          <w:color w:val="231F20"/>
          <w:w w:val="110"/>
        </w:rPr>
        <w:t>reflejan.</w:t>
      </w:r>
      <w:r>
        <w:rPr>
          <w:color w:val="231F20"/>
          <w:spacing w:val="-6"/>
          <w:w w:val="110"/>
        </w:rPr>
        <w:t> </w:t>
      </w:r>
      <w:r>
        <w:rPr>
          <w:color w:val="231F20"/>
          <w:w w:val="110"/>
        </w:rPr>
        <w:t>Por</w:t>
      </w:r>
      <w:r>
        <w:rPr>
          <w:color w:val="231F20"/>
          <w:spacing w:val="-6"/>
          <w:w w:val="110"/>
        </w:rPr>
        <w:t> </w:t>
      </w:r>
      <w:r>
        <w:rPr>
          <w:color w:val="231F20"/>
          <w:w w:val="110"/>
        </w:rPr>
        <w:t>ejemplo,</w:t>
      </w:r>
      <w:r>
        <w:rPr>
          <w:color w:val="231F20"/>
          <w:spacing w:val="-6"/>
          <w:w w:val="110"/>
        </w:rPr>
        <w:t> </w:t>
      </w:r>
      <w:r>
        <w:rPr>
          <w:color w:val="231F20"/>
          <w:w w:val="110"/>
        </w:rPr>
        <w:t>no</w:t>
      </w:r>
      <w:r>
        <w:rPr>
          <w:color w:val="231F20"/>
          <w:spacing w:val="-6"/>
          <w:w w:val="110"/>
        </w:rPr>
        <w:t> </w:t>
      </w:r>
      <w:r>
        <w:rPr>
          <w:color w:val="231F20"/>
          <w:w w:val="110"/>
        </w:rPr>
        <w:t>se</w:t>
      </w:r>
      <w:r>
        <w:rPr>
          <w:color w:val="231F20"/>
          <w:spacing w:val="-6"/>
          <w:w w:val="110"/>
        </w:rPr>
        <w:t> </w:t>
      </w:r>
      <w:r>
        <w:rPr>
          <w:color w:val="231F20"/>
          <w:w w:val="110"/>
        </w:rPr>
        <w:t>tiene</w:t>
      </w:r>
      <w:r>
        <w:rPr>
          <w:color w:val="231F20"/>
          <w:spacing w:val="-6"/>
          <w:w w:val="110"/>
        </w:rPr>
        <w:t> </w:t>
      </w:r>
      <w:r>
        <w:rPr>
          <w:color w:val="231F20"/>
          <w:w w:val="110"/>
        </w:rPr>
        <w:t>conocimiento</w:t>
      </w:r>
      <w:r>
        <w:rPr>
          <w:color w:val="231F20"/>
          <w:spacing w:val="-6"/>
          <w:w w:val="110"/>
        </w:rPr>
        <w:t> </w:t>
      </w:r>
      <w:r>
        <w:rPr>
          <w:color w:val="231F20"/>
          <w:w w:val="110"/>
        </w:rPr>
        <w:t>cuantitativo</w:t>
      </w:r>
      <w:r>
        <w:rPr>
          <w:color w:val="231F20"/>
          <w:spacing w:val="-6"/>
          <w:w w:val="110"/>
        </w:rPr>
        <w:t> </w:t>
      </w:r>
      <w:r>
        <w:rPr>
          <w:color w:val="231F20"/>
          <w:w w:val="110"/>
        </w:rPr>
        <w:t>ni de las dinámicas de los hogares y las familias formadas por lesbianas u homosexuales con o sin hijos, debido a que en los censos poblacionales no hay</w:t>
      </w:r>
      <w:r>
        <w:rPr>
          <w:color w:val="231F20"/>
          <w:spacing w:val="-7"/>
          <w:w w:val="110"/>
        </w:rPr>
        <w:t> </w:t>
      </w:r>
      <w:r>
        <w:rPr>
          <w:color w:val="231F20"/>
          <w:w w:val="110"/>
        </w:rPr>
        <w:t>preguntas</w:t>
      </w:r>
      <w:r>
        <w:rPr>
          <w:color w:val="231F20"/>
          <w:spacing w:val="-7"/>
          <w:w w:val="110"/>
        </w:rPr>
        <w:t> </w:t>
      </w:r>
      <w:r>
        <w:rPr>
          <w:color w:val="231F20"/>
          <w:w w:val="110"/>
        </w:rPr>
        <w:t>relacionadas</w:t>
      </w:r>
      <w:r>
        <w:rPr>
          <w:color w:val="231F20"/>
          <w:spacing w:val="-7"/>
          <w:w w:val="110"/>
        </w:rPr>
        <w:t> </w:t>
      </w:r>
      <w:r>
        <w:rPr>
          <w:color w:val="231F20"/>
          <w:w w:val="110"/>
        </w:rPr>
        <w:t>con</w:t>
      </w:r>
      <w:r>
        <w:rPr>
          <w:color w:val="231F20"/>
          <w:spacing w:val="-7"/>
          <w:w w:val="110"/>
        </w:rPr>
        <w:t> </w:t>
      </w:r>
      <w:r>
        <w:rPr>
          <w:color w:val="231F20"/>
          <w:w w:val="110"/>
        </w:rPr>
        <w:t>la</w:t>
      </w:r>
      <w:r>
        <w:rPr>
          <w:color w:val="231F20"/>
          <w:spacing w:val="-7"/>
          <w:w w:val="110"/>
        </w:rPr>
        <w:t> </w:t>
      </w:r>
      <w:r>
        <w:rPr>
          <w:color w:val="231F20"/>
          <w:w w:val="110"/>
        </w:rPr>
        <w:t>diversidad</w:t>
      </w:r>
      <w:r>
        <w:rPr>
          <w:color w:val="231F20"/>
          <w:spacing w:val="-7"/>
          <w:w w:val="110"/>
        </w:rPr>
        <w:t> </w:t>
      </w:r>
      <w:r>
        <w:rPr>
          <w:color w:val="231F20"/>
          <w:w w:val="110"/>
        </w:rPr>
        <w:t>sexual.</w:t>
      </w:r>
      <w:r>
        <w:rPr>
          <w:color w:val="231F20"/>
          <w:spacing w:val="-7"/>
          <w:w w:val="110"/>
        </w:rPr>
        <w:t> </w:t>
      </w:r>
      <w:r>
        <w:rPr>
          <w:color w:val="231F20"/>
          <w:w w:val="110"/>
        </w:rPr>
        <w:t>Tampoco</w:t>
      </w:r>
      <w:r>
        <w:rPr>
          <w:color w:val="231F20"/>
          <w:spacing w:val="-7"/>
          <w:w w:val="110"/>
        </w:rPr>
        <w:t> </w:t>
      </w:r>
      <w:r>
        <w:rPr>
          <w:color w:val="231F20"/>
          <w:w w:val="110"/>
        </w:rPr>
        <w:t>hay</w:t>
      </w:r>
      <w:r>
        <w:rPr>
          <w:color w:val="231F20"/>
          <w:spacing w:val="-7"/>
          <w:w w:val="110"/>
        </w:rPr>
        <w:t> </w:t>
      </w:r>
      <w:r>
        <w:rPr>
          <w:color w:val="231F20"/>
          <w:w w:val="110"/>
        </w:rPr>
        <w:t>estadís- ticas y menos conocimiento cualitativo de los amantes cibernéticos, de los </w:t>
      </w:r>
      <w:r>
        <w:rPr>
          <w:color w:val="231F20"/>
          <w:spacing w:val="2"/>
          <w:w w:val="110"/>
        </w:rPr>
        <w:t>enamorados virtuales pero reales </w:t>
      </w:r>
      <w:r>
        <w:rPr>
          <w:color w:val="231F20"/>
          <w:w w:val="110"/>
        </w:rPr>
        <w:t>y de las </w:t>
      </w:r>
      <w:r>
        <w:rPr>
          <w:color w:val="231F20"/>
          <w:spacing w:val="2"/>
          <w:w w:val="110"/>
        </w:rPr>
        <w:t>múltiples nuevas formas </w:t>
      </w:r>
      <w:r>
        <w:rPr>
          <w:color w:val="231F20"/>
          <w:w w:val="110"/>
        </w:rPr>
        <w:t>de emparejamiento conyugal que han comenzado a hacerse presentes en las últimas</w:t>
      </w:r>
      <w:r>
        <w:rPr>
          <w:color w:val="231F20"/>
          <w:spacing w:val="12"/>
          <w:w w:val="110"/>
        </w:rPr>
        <w:t> </w:t>
      </w:r>
      <w:r>
        <w:rPr>
          <w:color w:val="231F20"/>
          <w:w w:val="110"/>
        </w:rPr>
        <w:t>décadas.</w:t>
      </w:r>
    </w:p>
    <w:p>
      <w:pPr>
        <w:pStyle w:val="BodyText"/>
        <w:spacing w:before="1"/>
        <w:rPr>
          <w:sz w:val="22"/>
        </w:rPr>
      </w:pPr>
    </w:p>
    <w:p>
      <w:pPr>
        <w:spacing w:line="256" w:lineRule="auto" w:before="1"/>
        <w:ind w:left="124" w:right="113" w:firstLine="360"/>
        <w:jc w:val="both"/>
        <w:rPr>
          <w:sz w:val="16"/>
        </w:rPr>
      </w:pPr>
      <w:r>
        <w:rPr>
          <w:color w:val="231F20"/>
          <w:w w:val="105"/>
          <w:position w:val="5"/>
          <w:sz w:val="9"/>
        </w:rPr>
        <w:t>6 </w:t>
      </w:r>
      <w:r>
        <w:rPr>
          <w:color w:val="231F20"/>
          <w:w w:val="105"/>
          <w:sz w:val="16"/>
        </w:rPr>
        <w:t>Comisión Económica para América Latina y el Caribe (</w:t>
      </w:r>
      <w:r>
        <w:rPr>
          <w:rFonts w:ascii="Times New Roman" w:hAnsi="Times New Roman"/>
          <w:color w:val="231F20"/>
          <w:w w:val="105"/>
          <w:sz w:val="13"/>
        </w:rPr>
        <w:t>CEPAL</w:t>
      </w:r>
      <w:r>
        <w:rPr>
          <w:color w:val="231F20"/>
          <w:w w:val="105"/>
          <w:sz w:val="16"/>
        </w:rPr>
        <w:t>) (2004), </w:t>
      </w:r>
      <w:r>
        <w:rPr>
          <w:i/>
          <w:color w:val="231F20"/>
          <w:w w:val="105"/>
          <w:sz w:val="16"/>
        </w:rPr>
        <w:t>Cambio de las Fami- </w:t>
      </w:r>
      <w:r>
        <w:rPr>
          <w:i/>
          <w:color w:val="231F20"/>
          <w:w w:val="105"/>
          <w:sz w:val="16"/>
        </w:rPr>
        <w:t>lias en el marco de las transformaciones Globales: Necesidad de Políticas Públicas Eficaces</w:t>
      </w:r>
      <w:r>
        <w:rPr>
          <w:color w:val="231F20"/>
          <w:w w:val="105"/>
          <w:sz w:val="16"/>
        </w:rPr>
        <w:t>, Santiago,  </w:t>
      </w:r>
      <w:r>
        <w:rPr>
          <w:rFonts w:ascii="Times New Roman" w:hAnsi="Times New Roman"/>
          <w:color w:val="231F20"/>
          <w:w w:val="105"/>
          <w:sz w:val="13"/>
        </w:rPr>
        <w:t>UNFPA</w:t>
      </w:r>
      <w:r>
        <w:rPr>
          <w:color w:val="231F20"/>
          <w:w w:val="105"/>
          <w:sz w:val="16"/>
        </w:rPr>
        <w:t>,  7 pp.</w:t>
      </w:r>
    </w:p>
    <w:p>
      <w:pPr>
        <w:spacing w:after="0" w:line="256" w:lineRule="auto"/>
        <w:jc w:val="both"/>
        <w:rPr>
          <w:sz w:val="16"/>
        </w:rPr>
        <w:sectPr>
          <w:pgSz w:w="9520" w:h="12920"/>
          <w:pgMar w:header="0" w:footer="1344" w:top="880" w:bottom="1540" w:left="1320" w:right="1000"/>
        </w:sectPr>
      </w:pPr>
    </w:p>
    <w:p>
      <w:pPr>
        <w:pStyle w:val="BodyText"/>
        <w:spacing w:line="288" w:lineRule="auto" w:before="42"/>
        <w:ind w:left="120" w:right="114" w:firstLine="360"/>
        <w:jc w:val="both"/>
      </w:pPr>
      <w:r>
        <w:rPr>
          <w:color w:val="231F20"/>
          <w:w w:val="110"/>
        </w:rPr>
        <w:t>Otra realidad con tendencia a convertirse en un drama nacional, es la </w:t>
      </w:r>
      <w:r>
        <w:rPr>
          <w:color w:val="231F20"/>
          <w:spacing w:val="2"/>
          <w:w w:val="110"/>
        </w:rPr>
        <w:t>que </w:t>
      </w:r>
      <w:r>
        <w:rPr>
          <w:color w:val="231F20"/>
          <w:spacing w:val="3"/>
          <w:w w:val="110"/>
        </w:rPr>
        <w:t>tiene </w:t>
      </w:r>
      <w:r>
        <w:rPr>
          <w:color w:val="231F20"/>
          <w:spacing w:val="2"/>
          <w:w w:val="110"/>
        </w:rPr>
        <w:t>que ver con los </w:t>
      </w:r>
      <w:r>
        <w:rPr>
          <w:color w:val="231F20"/>
          <w:spacing w:val="3"/>
          <w:w w:val="110"/>
        </w:rPr>
        <w:t>hogares unipersonales </w:t>
      </w:r>
      <w:r>
        <w:rPr>
          <w:color w:val="231F20"/>
          <w:w w:val="110"/>
        </w:rPr>
        <w:t>de </w:t>
      </w:r>
      <w:r>
        <w:rPr>
          <w:color w:val="231F20"/>
          <w:spacing w:val="3"/>
          <w:w w:val="110"/>
        </w:rPr>
        <w:t>adultos mayores, </w:t>
      </w:r>
      <w:r>
        <w:rPr>
          <w:color w:val="231F20"/>
          <w:w w:val="110"/>
        </w:rPr>
        <w:t>evento directamente relacionado con el aumento de la esperanza de vida</w:t>
      </w:r>
      <w:r>
        <w:rPr>
          <w:color w:val="231F20"/>
          <w:spacing w:val="-21"/>
          <w:w w:val="110"/>
        </w:rPr>
        <w:t> </w:t>
      </w:r>
      <w:r>
        <w:rPr>
          <w:color w:val="231F20"/>
          <w:w w:val="110"/>
        </w:rPr>
        <w:t>y la disminución de la mortalidad en las dos últimas décadas en México. Según el </w:t>
      </w:r>
      <w:r>
        <w:rPr>
          <w:rFonts w:ascii="Times New Roman" w:hAnsi="Times New Roman"/>
          <w:color w:val="231F20"/>
          <w:w w:val="110"/>
          <w:sz w:val="16"/>
        </w:rPr>
        <w:t>INEGI </w:t>
      </w:r>
      <w:r>
        <w:rPr>
          <w:color w:val="231F20"/>
          <w:w w:val="110"/>
        </w:rPr>
        <w:t>(2005), 12.7 de los hogares tienen como jefe a un adulto mayor de 60 años y más, razón por la cual es importante conocer acerca de las características de esta población, y de manera especial los hogares integrados por una sola</w:t>
      </w:r>
      <w:r>
        <w:rPr>
          <w:color w:val="231F20"/>
          <w:spacing w:val="35"/>
          <w:w w:val="110"/>
        </w:rPr>
        <w:t> </w:t>
      </w:r>
      <w:r>
        <w:rPr>
          <w:color w:val="231F20"/>
          <w:w w:val="110"/>
        </w:rPr>
        <w:t>persona.</w:t>
      </w:r>
    </w:p>
    <w:p>
      <w:pPr>
        <w:pStyle w:val="BodyText"/>
        <w:spacing w:line="288" w:lineRule="auto"/>
        <w:ind w:left="120" w:right="115" w:firstLine="360"/>
        <w:jc w:val="both"/>
      </w:pPr>
      <w:r>
        <w:rPr>
          <w:color w:val="231F20"/>
          <w:w w:val="110"/>
        </w:rPr>
        <w:t>En las dos últimas décadas se ha observado la tendencia irreversible hacia</w:t>
      </w:r>
      <w:r>
        <w:rPr>
          <w:color w:val="231F20"/>
          <w:spacing w:val="-9"/>
          <w:w w:val="110"/>
        </w:rPr>
        <w:t> </w:t>
      </w:r>
      <w:r>
        <w:rPr>
          <w:color w:val="231F20"/>
          <w:w w:val="110"/>
        </w:rPr>
        <w:t>nuevas</w:t>
      </w:r>
      <w:r>
        <w:rPr>
          <w:color w:val="231F20"/>
          <w:spacing w:val="-9"/>
          <w:w w:val="110"/>
        </w:rPr>
        <w:t> </w:t>
      </w:r>
      <w:r>
        <w:rPr>
          <w:color w:val="231F20"/>
          <w:w w:val="110"/>
        </w:rPr>
        <w:t>formas</w:t>
      </w:r>
      <w:r>
        <w:rPr>
          <w:color w:val="231F20"/>
          <w:spacing w:val="-9"/>
          <w:w w:val="110"/>
        </w:rPr>
        <w:t> </w:t>
      </w:r>
      <w:r>
        <w:rPr>
          <w:color w:val="231F20"/>
          <w:w w:val="110"/>
        </w:rPr>
        <w:t>de</w:t>
      </w:r>
      <w:r>
        <w:rPr>
          <w:color w:val="231F20"/>
          <w:spacing w:val="-9"/>
          <w:w w:val="110"/>
        </w:rPr>
        <w:t> </w:t>
      </w:r>
      <w:r>
        <w:rPr>
          <w:color w:val="231F20"/>
          <w:w w:val="110"/>
        </w:rPr>
        <w:t>convivencia</w:t>
      </w:r>
      <w:r>
        <w:rPr>
          <w:color w:val="231F20"/>
          <w:spacing w:val="-9"/>
          <w:w w:val="110"/>
        </w:rPr>
        <w:t> </w:t>
      </w:r>
      <w:r>
        <w:rPr>
          <w:color w:val="231F20"/>
          <w:w w:val="110"/>
        </w:rPr>
        <w:t>diferentes</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w w:val="110"/>
        </w:rPr>
        <w:t>familia</w:t>
      </w:r>
      <w:r>
        <w:rPr>
          <w:color w:val="231F20"/>
          <w:spacing w:val="-9"/>
          <w:w w:val="110"/>
        </w:rPr>
        <w:t> </w:t>
      </w:r>
      <w:r>
        <w:rPr>
          <w:color w:val="231F20"/>
          <w:w w:val="110"/>
        </w:rPr>
        <w:t>nuclear</w:t>
      </w:r>
      <w:r>
        <w:rPr>
          <w:color w:val="231F20"/>
          <w:spacing w:val="-9"/>
          <w:w w:val="110"/>
        </w:rPr>
        <w:t> </w:t>
      </w:r>
      <w:r>
        <w:rPr>
          <w:color w:val="231F20"/>
          <w:w w:val="110"/>
        </w:rPr>
        <w:t>tradicio- nal, lo que sin duda redefine las relaciones entre los géneros e influye en cuestiones como el número de hijos, inserción en el mercado de trabajo, compromisos</w:t>
      </w:r>
      <w:r>
        <w:rPr>
          <w:color w:val="231F20"/>
          <w:spacing w:val="-16"/>
          <w:w w:val="110"/>
        </w:rPr>
        <w:t> </w:t>
      </w:r>
      <w:r>
        <w:rPr>
          <w:color w:val="231F20"/>
          <w:w w:val="110"/>
        </w:rPr>
        <w:t>y</w:t>
      </w:r>
      <w:r>
        <w:rPr>
          <w:color w:val="231F20"/>
          <w:spacing w:val="-16"/>
          <w:w w:val="110"/>
        </w:rPr>
        <w:t> </w:t>
      </w:r>
      <w:r>
        <w:rPr>
          <w:color w:val="231F20"/>
          <w:w w:val="110"/>
        </w:rPr>
        <w:t>cultura</w:t>
      </w:r>
      <w:r>
        <w:rPr>
          <w:color w:val="231F20"/>
          <w:spacing w:val="-16"/>
          <w:w w:val="110"/>
        </w:rPr>
        <w:t> </w:t>
      </w:r>
      <w:r>
        <w:rPr>
          <w:color w:val="231F20"/>
          <w:spacing w:val="-3"/>
          <w:w w:val="110"/>
        </w:rPr>
        <w:t>sexual.</w:t>
      </w:r>
      <w:r>
        <w:rPr>
          <w:color w:val="231F20"/>
          <w:spacing w:val="-16"/>
          <w:w w:val="110"/>
        </w:rPr>
        <w:t> </w:t>
      </w:r>
      <w:r>
        <w:rPr>
          <w:color w:val="231F20"/>
          <w:spacing w:val="-6"/>
          <w:w w:val="110"/>
        </w:rPr>
        <w:t>Todo</w:t>
      </w:r>
      <w:r>
        <w:rPr>
          <w:color w:val="231F20"/>
          <w:spacing w:val="-16"/>
          <w:w w:val="110"/>
        </w:rPr>
        <w:t> </w:t>
      </w:r>
      <w:r>
        <w:rPr>
          <w:color w:val="231F20"/>
          <w:w w:val="110"/>
        </w:rPr>
        <w:t>ello</w:t>
      </w:r>
      <w:r>
        <w:rPr>
          <w:color w:val="231F20"/>
          <w:spacing w:val="-16"/>
          <w:w w:val="110"/>
        </w:rPr>
        <w:t> </w:t>
      </w:r>
      <w:r>
        <w:rPr>
          <w:color w:val="231F20"/>
          <w:w w:val="110"/>
        </w:rPr>
        <w:t>a</w:t>
      </w:r>
      <w:r>
        <w:rPr>
          <w:color w:val="231F20"/>
          <w:spacing w:val="-16"/>
          <w:w w:val="110"/>
        </w:rPr>
        <w:t> </w:t>
      </w:r>
      <w:r>
        <w:rPr>
          <w:color w:val="231F20"/>
          <w:w w:val="110"/>
        </w:rPr>
        <w:t>contracorriente</w:t>
      </w:r>
      <w:r>
        <w:rPr>
          <w:color w:val="231F20"/>
          <w:spacing w:val="-16"/>
          <w:w w:val="110"/>
        </w:rPr>
        <w:t> </w:t>
      </w:r>
      <w:r>
        <w:rPr>
          <w:color w:val="231F20"/>
          <w:w w:val="110"/>
        </w:rPr>
        <w:t>del</w:t>
      </w:r>
      <w:r>
        <w:rPr>
          <w:color w:val="231F20"/>
          <w:spacing w:val="-16"/>
          <w:w w:val="110"/>
        </w:rPr>
        <w:t> </w:t>
      </w:r>
      <w:r>
        <w:rPr>
          <w:color w:val="231F20"/>
          <w:w w:val="110"/>
        </w:rPr>
        <w:t>poder</w:t>
      </w:r>
      <w:r>
        <w:rPr>
          <w:color w:val="231F20"/>
          <w:spacing w:val="-16"/>
          <w:w w:val="110"/>
        </w:rPr>
        <w:t> </w:t>
      </w:r>
      <w:r>
        <w:rPr>
          <w:color w:val="231F20"/>
          <w:w w:val="110"/>
        </w:rPr>
        <w:t>político y de la sociedad conservadora que no tolera y censura las nuevas formas de convivencia, llegando hasta la segregación social y en algunos casos a  la violación de derechos como el trabajo o la educación. A la fecha (abril</w:t>
      </w:r>
      <w:r>
        <w:rPr>
          <w:color w:val="231F20"/>
          <w:spacing w:val="-31"/>
          <w:w w:val="110"/>
        </w:rPr>
        <w:t> </w:t>
      </w:r>
      <w:r>
        <w:rPr>
          <w:color w:val="231F20"/>
          <w:w w:val="110"/>
        </w:rPr>
        <w:t>de 2009), sólo en el Distrito </w:t>
      </w:r>
      <w:r>
        <w:rPr>
          <w:color w:val="231F20"/>
          <w:spacing w:val="-3"/>
          <w:w w:val="110"/>
        </w:rPr>
        <w:t>Federal </w:t>
      </w:r>
      <w:r>
        <w:rPr>
          <w:color w:val="231F20"/>
          <w:w w:val="110"/>
        </w:rPr>
        <w:t>(DF), Ciudad de México, después de seis años</w:t>
      </w:r>
      <w:r>
        <w:rPr>
          <w:color w:val="231F20"/>
          <w:spacing w:val="-13"/>
          <w:w w:val="110"/>
        </w:rPr>
        <w:t> </w:t>
      </w:r>
      <w:r>
        <w:rPr>
          <w:color w:val="231F20"/>
          <w:w w:val="110"/>
        </w:rPr>
        <w:t>de</w:t>
      </w:r>
      <w:r>
        <w:rPr>
          <w:color w:val="231F20"/>
          <w:spacing w:val="-13"/>
          <w:w w:val="110"/>
        </w:rPr>
        <w:t> </w:t>
      </w:r>
      <w:r>
        <w:rPr>
          <w:color w:val="231F20"/>
          <w:w w:val="110"/>
        </w:rPr>
        <w:t>discusión,</w:t>
      </w:r>
      <w:r>
        <w:rPr>
          <w:color w:val="231F20"/>
          <w:spacing w:val="-13"/>
          <w:w w:val="110"/>
        </w:rPr>
        <w:t> </w:t>
      </w:r>
      <w:r>
        <w:rPr>
          <w:color w:val="231F20"/>
          <w:w w:val="110"/>
        </w:rPr>
        <w:t>aprobó</w:t>
      </w:r>
      <w:r>
        <w:rPr>
          <w:color w:val="231F20"/>
          <w:spacing w:val="-13"/>
          <w:w w:val="110"/>
        </w:rPr>
        <w:t> </w:t>
      </w:r>
      <w:r>
        <w:rPr>
          <w:color w:val="231F20"/>
          <w:w w:val="110"/>
        </w:rPr>
        <w:t>en</w:t>
      </w:r>
      <w:r>
        <w:rPr>
          <w:color w:val="231F20"/>
          <w:spacing w:val="-13"/>
          <w:w w:val="110"/>
        </w:rPr>
        <w:t> </w:t>
      </w:r>
      <w:r>
        <w:rPr>
          <w:color w:val="231F20"/>
          <w:w w:val="110"/>
        </w:rPr>
        <w:t>noviembre</w:t>
      </w:r>
      <w:r>
        <w:rPr>
          <w:color w:val="231F20"/>
          <w:spacing w:val="-13"/>
          <w:w w:val="110"/>
        </w:rPr>
        <w:t> </w:t>
      </w:r>
      <w:r>
        <w:rPr>
          <w:color w:val="231F20"/>
          <w:w w:val="110"/>
        </w:rPr>
        <w:t>de</w:t>
      </w:r>
      <w:r>
        <w:rPr>
          <w:color w:val="231F20"/>
          <w:spacing w:val="-13"/>
          <w:w w:val="110"/>
        </w:rPr>
        <w:t> </w:t>
      </w:r>
      <w:r>
        <w:rPr>
          <w:color w:val="231F20"/>
          <w:w w:val="110"/>
        </w:rPr>
        <w:t>2006</w:t>
      </w:r>
      <w:r>
        <w:rPr>
          <w:color w:val="231F20"/>
          <w:spacing w:val="-13"/>
          <w:w w:val="110"/>
        </w:rPr>
        <w:t> </w:t>
      </w:r>
      <w:r>
        <w:rPr>
          <w:color w:val="231F20"/>
          <w:w w:val="110"/>
        </w:rPr>
        <w:t>el</w:t>
      </w:r>
      <w:r>
        <w:rPr>
          <w:color w:val="231F20"/>
          <w:spacing w:val="-13"/>
          <w:w w:val="110"/>
        </w:rPr>
        <w:t> </w:t>
      </w:r>
      <w:r>
        <w:rPr>
          <w:color w:val="231F20"/>
          <w:w w:val="110"/>
        </w:rPr>
        <w:t>reconocimiento</w:t>
      </w:r>
      <w:r>
        <w:rPr>
          <w:color w:val="231F20"/>
          <w:spacing w:val="-13"/>
          <w:w w:val="110"/>
        </w:rPr>
        <w:t> </w:t>
      </w:r>
      <w:r>
        <w:rPr>
          <w:color w:val="231F20"/>
          <w:w w:val="110"/>
        </w:rPr>
        <w:t>legal</w:t>
      </w:r>
      <w:r>
        <w:rPr>
          <w:color w:val="231F20"/>
          <w:spacing w:val="-13"/>
          <w:w w:val="110"/>
        </w:rPr>
        <w:t> </w:t>
      </w:r>
      <w:r>
        <w:rPr>
          <w:color w:val="231F20"/>
          <w:w w:val="110"/>
        </w:rPr>
        <w:t>de las sociedades de convivencia, definidas como sociedades voluntarias que se constituyen entre dos personas del mismo o de diferente </w:t>
      </w:r>
      <w:r>
        <w:rPr>
          <w:color w:val="231F20"/>
          <w:spacing w:val="-3"/>
          <w:w w:val="110"/>
        </w:rPr>
        <w:t>sexo.</w:t>
      </w:r>
      <w:r>
        <w:rPr>
          <w:color w:val="231F20"/>
          <w:spacing w:val="-3"/>
          <w:w w:val="110"/>
          <w:position w:val="6"/>
          <w:sz w:val="11"/>
        </w:rPr>
        <w:t>7 </w:t>
      </w:r>
      <w:r>
        <w:rPr>
          <w:color w:val="231F20"/>
          <w:w w:val="110"/>
        </w:rPr>
        <w:t>El</w:t>
      </w:r>
      <w:r>
        <w:rPr>
          <w:color w:val="231F20"/>
          <w:spacing w:val="-33"/>
          <w:w w:val="110"/>
        </w:rPr>
        <w:t> </w:t>
      </w:r>
      <w:r>
        <w:rPr>
          <w:color w:val="231F20"/>
          <w:w w:val="110"/>
        </w:rPr>
        <w:t>objeto de esta asociación, de acuerdo con el artículo 2º del contenido de la Ley es “Establecer</w:t>
      </w:r>
      <w:r>
        <w:rPr>
          <w:color w:val="231F20"/>
          <w:spacing w:val="-7"/>
          <w:w w:val="110"/>
        </w:rPr>
        <w:t> </w:t>
      </w:r>
      <w:r>
        <w:rPr>
          <w:color w:val="231F20"/>
          <w:w w:val="110"/>
        </w:rPr>
        <w:t>un</w:t>
      </w:r>
      <w:r>
        <w:rPr>
          <w:color w:val="231F20"/>
          <w:spacing w:val="-7"/>
          <w:w w:val="110"/>
        </w:rPr>
        <w:t> </w:t>
      </w:r>
      <w:r>
        <w:rPr>
          <w:color w:val="231F20"/>
          <w:w w:val="110"/>
        </w:rPr>
        <w:t>hogar</w:t>
      </w:r>
      <w:r>
        <w:rPr>
          <w:color w:val="231F20"/>
          <w:spacing w:val="-8"/>
          <w:w w:val="110"/>
        </w:rPr>
        <w:t> </w:t>
      </w:r>
      <w:r>
        <w:rPr>
          <w:color w:val="231F20"/>
          <w:w w:val="110"/>
        </w:rPr>
        <w:t>común,</w:t>
      </w:r>
      <w:r>
        <w:rPr>
          <w:color w:val="231F20"/>
          <w:spacing w:val="-7"/>
          <w:w w:val="110"/>
        </w:rPr>
        <w:t> </w:t>
      </w:r>
      <w:r>
        <w:rPr>
          <w:color w:val="231F20"/>
          <w:w w:val="110"/>
        </w:rPr>
        <w:t>con</w:t>
      </w:r>
      <w:r>
        <w:rPr>
          <w:color w:val="231F20"/>
          <w:spacing w:val="-7"/>
          <w:w w:val="110"/>
        </w:rPr>
        <w:t> </w:t>
      </w:r>
      <w:r>
        <w:rPr>
          <w:color w:val="231F20"/>
          <w:w w:val="110"/>
        </w:rPr>
        <w:t>voluntad</w:t>
      </w:r>
      <w:r>
        <w:rPr>
          <w:color w:val="231F20"/>
          <w:spacing w:val="-7"/>
          <w:w w:val="110"/>
        </w:rPr>
        <w:t> </w:t>
      </w:r>
      <w:r>
        <w:rPr>
          <w:color w:val="231F20"/>
          <w:w w:val="110"/>
        </w:rPr>
        <w:t>de</w:t>
      </w:r>
      <w:r>
        <w:rPr>
          <w:color w:val="231F20"/>
          <w:spacing w:val="-8"/>
          <w:w w:val="110"/>
        </w:rPr>
        <w:t> </w:t>
      </w:r>
      <w:r>
        <w:rPr>
          <w:color w:val="231F20"/>
          <w:w w:val="110"/>
        </w:rPr>
        <w:t>permanencia</w:t>
      </w:r>
      <w:r>
        <w:rPr>
          <w:color w:val="231F20"/>
          <w:spacing w:val="-8"/>
          <w:w w:val="110"/>
        </w:rPr>
        <w:t> </w:t>
      </w:r>
      <w:r>
        <w:rPr>
          <w:color w:val="231F20"/>
          <w:w w:val="110"/>
        </w:rPr>
        <w:t>y</w:t>
      </w:r>
      <w:r>
        <w:rPr>
          <w:color w:val="231F20"/>
          <w:spacing w:val="-8"/>
          <w:w w:val="110"/>
        </w:rPr>
        <w:t> </w:t>
      </w:r>
      <w:r>
        <w:rPr>
          <w:color w:val="231F20"/>
          <w:w w:val="110"/>
        </w:rPr>
        <w:t>ayuda</w:t>
      </w:r>
      <w:r>
        <w:rPr>
          <w:color w:val="231F20"/>
          <w:spacing w:val="-8"/>
          <w:w w:val="110"/>
        </w:rPr>
        <w:t> </w:t>
      </w:r>
      <w:r>
        <w:rPr>
          <w:color w:val="231F20"/>
          <w:w w:val="110"/>
        </w:rPr>
        <w:t>mutua” donde los interesados pactan las reglas de convivencia y sus relaciones </w:t>
      </w:r>
      <w:r>
        <w:rPr>
          <w:color w:val="231F20"/>
          <w:spacing w:val="3"/>
          <w:w w:val="110"/>
        </w:rPr>
        <w:t>patrimoniales, constituyéndose </w:t>
      </w:r>
      <w:r>
        <w:rPr>
          <w:color w:val="231F20"/>
          <w:w w:val="110"/>
        </w:rPr>
        <w:t>en </w:t>
      </w:r>
      <w:r>
        <w:rPr>
          <w:color w:val="231F20"/>
          <w:spacing w:val="2"/>
          <w:w w:val="110"/>
        </w:rPr>
        <w:t>una </w:t>
      </w:r>
      <w:r>
        <w:rPr>
          <w:color w:val="231F20"/>
          <w:spacing w:val="3"/>
          <w:w w:val="110"/>
        </w:rPr>
        <w:t>relación legalmente reconocida </w:t>
      </w:r>
      <w:r>
        <w:rPr>
          <w:color w:val="231F20"/>
          <w:w w:val="110"/>
        </w:rPr>
        <w:t>semejante a la que se presenta entre </w:t>
      </w:r>
      <w:r>
        <w:rPr>
          <w:color w:val="231F20"/>
          <w:spacing w:val="27"/>
          <w:w w:val="110"/>
        </w:rPr>
        <w:t> </w:t>
      </w:r>
      <w:r>
        <w:rPr>
          <w:color w:val="231F20"/>
          <w:w w:val="110"/>
        </w:rPr>
        <w:t>concubinos.</w:t>
      </w:r>
    </w:p>
    <w:p>
      <w:pPr>
        <w:pStyle w:val="BodyText"/>
        <w:spacing w:line="288" w:lineRule="auto"/>
        <w:ind w:left="119" w:right="117" w:firstLine="360"/>
        <w:jc w:val="both"/>
      </w:pPr>
      <w:r>
        <w:rPr>
          <w:color w:val="231F20"/>
          <w:w w:val="110"/>
        </w:rPr>
        <w:t>De esta manera, en el DF hay tres formas legales de convivencia afec- tiva de las parejas: el matrimonio, el concubinato y la sociedad de convi- vencia.</w:t>
      </w:r>
      <w:r>
        <w:rPr>
          <w:color w:val="231F20"/>
          <w:spacing w:val="-9"/>
          <w:w w:val="110"/>
        </w:rPr>
        <w:t> </w:t>
      </w:r>
      <w:r>
        <w:rPr>
          <w:color w:val="231F20"/>
          <w:w w:val="110"/>
        </w:rPr>
        <w:t>De</w:t>
      </w:r>
      <w:r>
        <w:rPr>
          <w:color w:val="231F20"/>
          <w:spacing w:val="-9"/>
          <w:w w:val="110"/>
        </w:rPr>
        <w:t> </w:t>
      </w:r>
      <w:r>
        <w:rPr>
          <w:color w:val="231F20"/>
          <w:w w:val="110"/>
        </w:rPr>
        <w:t>acuerdo</w:t>
      </w:r>
      <w:r>
        <w:rPr>
          <w:color w:val="231F20"/>
          <w:spacing w:val="-9"/>
          <w:w w:val="110"/>
        </w:rPr>
        <w:t> </w:t>
      </w:r>
      <w:r>
        <w:rPr>
          <w:color w:val="231F20"/>
          <w:w w:val="110"/>
        </w:rPr>
        <w:t>con</w:t>
      </w:r>
      <w:r>
        <w:rPr>
          <w:color w:val="231F20"/>
          <w:spacing w:val="-9"/>
          <w:w w:val="110"/>
        </w:rPr>
        <w:t> </w:t>
      </w:r>
      <w:r>
        <w:rPr>
          <w:color w:val="231F20"/>
          <w:w w:val="110"/>
        </w:rPr>
        <w:t>información</w:t>
      </w:r>
      <w:r>
        <w:rPr>
          <w:color w:val="231F20"/>
          <w:spacing w:val="-9"/>
          <w:w w:val="110"/>
        </w:rPr>
        <w:t> </w:t>
      </w:r>
      <w:r>
        <w:rPr>
          <w:color w:val="231F20"/>
          <w:w w:val="110"/>
        </w:rPr>
        <w:t>obtenida</w:t>
      </w:r>
      <w:r>
        <w:rPr>
          <w:color w:val="231F20"/>
          <w:spacing w:val="-9"/>
          <w:w w:val="110"/>
        </w:rPr>
        <w:t> </w:t>
      </w:r>
      <w:r>
        <w:rPr>
          <w:color w:val="231F20"/>
          <w:w w:val="110"/>
        </w:rPr>
        <w:t>por</w:t>
      </w:r>
      <w:r>
        <w:rPr>
          <w:color w:val="231F20"/>
          <w:spacing w:val="-13"/>
          <w:w w:val="110"/>
        </w:rPr>
        <w:t> </w:t>
      </w:r>
      <w:r>
        <w:rPr>
          <w:i/>
          <w:color w:val="231F20"/>
          <w:w w:val="110"/>
        </w:rPr>
        <w:t>El</w:t>
      </w:r>
      <w:r>
        <w:rPr>
          <w:i/>
          <w:color w:val="231F20"/>
          <w:spacing w:val="-13"/>
          <w:w w:val="110"/>
        </w:rPr>
        <w:t> </w:t>
      </w:r>
      <w:r>
        <w:rPr>
          <w:i/>
          <w:color w:val="231F20"/>
          <w:w w:val="110"/>
        </w:rPr>
        <w:t>Universal</w:t>
      </w:r>
      <w:r>
        <w:rPr>
          <w:i/>
          <w:color w:val="231F20"/>
          <w:spacing w:val="-13"/>
          <w:w w:val="110"/>
        </w:rPr>
        <w:t> </w:t>
      </w:r>
      <w:r>
        <w:rPr>
          <w:color w:val="231F20"/>
          <w:w w:val="110"/>
        </w:rPr>
        <w:t>(2009),</w:t>
      </w:r>
      <w:r>
        <w:rPr>
          <w:color w:val="231F20"/>
          <w:spacing w:val="-9"/>
          <w:w w:val="110"/>
        </w:rPr>
        <w:t> </w:t>
      </w:r>
      <w:r>
        <w:rPr>
          <w:color w:val="231F20"/>
          <w:w w:val="110"/>
        </w:rPr>
        <w:t>hasta noviembre de 2008 se habían unido en sociedad de convivencia, 511</w:t>
      </w:r>
      <w:r>
        <w:rPr>
          <w:color w:val="231F20"/>
          <w:spacing w:val="-13"/>
          <w:w w:val="110"/>
        </w:rPr>
        <w:t> </w:t>
      </w:r>
      <w:r>
        <w:rPr>
          <w:color w:val="231F20"/>
          <w:w w:val="110"/>
        </w:rPr>
        <w:t>pare- jas y separado 10 de ellas. Por su parte, la consejería jurídica del DF para el año 2008 registra que 97 por ciento ha sido del mismo sexo y el resto heterosexuales; 43.5 por ciento ha sido </w:t>
      </w:r>
      <w:r>
        <w:rPr>
          <w:color w:val="231F20"/>
          <w:spacing w:val="-3"/>
          <w:w w:val="110"/>
        </w:rPr>
        <w:t>mujer, </w:t>
      </w:r>
      <w:r>
        <w:rPr>
          <w:color w:val="231F20"/>
          <w:w w:val="110"/>
        </w:rPr>
        <w:t>56.5 por ciento hombre y todos comparten un factor: su juventud, pues no rebasan los 33 años. Sólo 3 por ciento son adultos</w:t>
      </w:r>
      <w:r>
        <w:rPr>
          <w:color w:val="231F20"/>
          <w:spacing w:val="37"/>
          <w:w w:val="110"/>
        </w:rPr>
        <w:t> </w:t>
      </w:r>
      <w:r>
        <w:rPr>
          <w:color w:val="231F20"/>
          <w:w w:val="110"/>
        </w:rPr>
        <w:t>mayores.</w:t>
      </w:r>
    </w:p>
    <w:p>
      <w:pPr>
        <w:pStyle w:val="BodyText"/>
      </w:pPr>
    </w:p>
    <w:p>
      <w:pPr>
        <w:spacing w:before="143"/>
        <w:ind w:left="480" w:right="0" w:firstLine="0"/>
        <w:jc w:val="left"/>
        <w:rPr>
          <w:sz w:val="16"/>
        </w:rPr>
      </w:pPr>
      <w:r>
        <w:rPr>
          <w:color w:val="231F20"/>
          <w:w w:val="105"/>
          <w:position w:val="5"/>
          <w:sz w:val="9"/>
        </w:rPr>
        <w:t>7 </w:t>
      </w:r>
      <w:r>
        <w:rPr>
          <w:i/>
          <w:color w:val="231F20"/>
          <w:w w:val="105"/>
          <w:sz w:val="16"/>
        </w:rPr>
        <w:t>Gaceta Oficial del Distrito Federal</w:t>
      </w:r>
      <w:r>
        <w:rPr>
          <w:color w:val="231F20"/>
          <w:w w:val="105"/>
          <w:sz w:val="16"/>
        </w:rPr>
        <w:t>, (2006), México, Editorial del D.F., 43 pp.</w:t>
      </w:r>
    </w:p>
    <w:p>
      <w:pPr>
        <w:spacing w:after="0"/>
        <w:jc w:val="left"/>
        <w:rPr>
          <w:sz w:val="16"/>
        </w:rPr>
        <w:sectPr>
          <w:pgSz w:w="9520" w:h="12920"/>
          <w:pgMar w:header="0" w:footer="1344" w:top="880" w:bottom="1540" w:left="1000" w:right="1320"/>
        </w:sectPr>
      </w:pPr>
    </w:p>
    <w:p>
      <w:pPr>
        <w:spacing w:before="39"/>
        <w:ind w:left="124" w:right="0" w:firstLine="0"/>
        <w:jc w:val="both"/>
        <w:rPr>
          <w:rFonts w:ascii="Times New Roman" w:hAnsi="Times New Roman"/>
          <w:i/>
          <w:sz w:val="24"/>
        </w:rPr>
      </w:pPr>
      <w:r>
        <w:rPr>
          <w:rFonts w:ascii="Times New Roman" w:hAnsi="Times New Roman"/>
          <w:i/>
          <w:color w:val="231F20"/>
          <w:w w:val="90"/>
          <w:sz w:val="24"/>
        </w:rPr>
        <w:t>P</w:t>
      </w:r>
      <w:r>
        <w:rPr>
          <w:rFonts w:ascii="Times New Roman" w:hAnsi="Times New Roman"/>
          <w:i/>
          <w:color w:val="231F20"/>
          <w:w w:val="90"/>
          <w:sz w:val="19"/>
        </w:rPr>
        <w:t>OLÍTICAS  PÚBLICAS</w:t>
      </w:r>
      <w:r>
        <w:rPr>
          <w:rFonts w:ascii="Times New Roman" w:hAnsi="Times New Roman"/>
          <w:i/>
          <w:color w:val="231F20"/>
          <w:w w:val="90"/>
          <w:sz w:val="24"/>
        </w:rPr>
        <w:t>, ¿</w:t>
      </w:r>
      <w:r>
        <w:rPr>
          <w:rFonts w:ascii="Times New Roman" w:hAnsi="Times New Roman"/>
          <w:i/>
          <w:color w:val="231F20"/>
          <w:w w:val="90"/>
          <w:sz w:val="19"/>
        </w:rPr>
        <w:t>PARA  LAS FAMILIAS</w:t>
      </w:r>
      <w:r>
        <w:rPr>
          <w:rFonts w:ascii="Times New Roman" w:hAnsi="Times New Roman"/>
          <w:i/>
          <w:color w:val="231F20"/>
          <w:w w:val="90"/>
          <w:sz w:val="24"/>
        </w:rPr>
        <w:t>?</w:t>
      </w:r>
    </w:p>
    <w:p>
      <w:pPr>
        <w:pStyle w:val="BodyText"/>
        <w:spacing w:before="9"/>
        <w:rPr>
          <w:rFonts w:ascii="Times New Roman"/>
          <w:i/>
          <w:sz w:val="27"/>
        </w:rPr>
      </w:pPr>
    </w:p>
    <w:p>
      <w:pPr>
        <w:pStyle w:val="BodyText"/>
        <w:spacing w:line="288" w:lineRule="auto"/>
        <w:ind w:left="124" w:right="112"/>
        <w:jc w:val="both"/>
      </w:pPr>
      <w:r>
        <w:rPr>
          <w:color w:val="231F20"/>
          <w:w w:val="105"/>
        </w:rPr>
        <w:t>Generalmente los discursos de los políticos en campaña, de los partidos po- líticos, de los gobernantes en turno y de los medios de información/desin- formación, otorgan a la institución de la familia mención especial relativa a  un papel central dentro del </w:t>
      </w:r>
      <w:r>
        <w:rPr>
          <w:color w:val="231F20"/>
          <w:spacing w:val="-3"/>
          <w:w w:val="105"/>
        </w:rPr>
        <w:t>contexto </w:t>
      </w:r>
      <w:r>
        <w:rPr>
          <w:color w:val="231F20"/>
          <w:w w:val="105"/>
        </w:rPr>
        <w:t>de las políticas públicas. Sin </w:t>
      </w:r>
      <w:r>
        <w:rPr>
          <w:color w:val="231F20"/>
          <w:spacing w:val="-3"/>
          <w:w w:val="105"/>
        </w:rPr>
        <w:t>excepción, </w:t>
      </w:r>
      <w:r>
        <w:rPr>
          <w:color w:val="231F20"/>
          <w:w w:val="105"/>
        </w:rPr>
        <w:t>aluden a la familia en singular, a la que conciben como familia tradicional, </w:t>
      </w:r>
      <w:r>
        <w:rPr>
          <w:color w:val="231F20"/>
          <w:spacing w:val="-4"/>
          <w:w w:val="105"/>
        </w:rPr>
        <w:t>ejemplar </w:t>
      </w:r>
      <w:r>
        <w:rPr>
          <w:color w:val="231F20"/>
          <w:w w:val="105"/>
        </w:rPr>
        <w:t>y </w:t>
      </w:r>
      <w:r>
        <w:rPr>
          <w:color w:val="231F20"/>
          <w:spacing w:val="-4"/>
          <w:w w:val="105"/>
        </w:rPr>
        <w:t>modelo </w:t>
      </w:r>
      <w:r>
        <w:rPr>
          <w:color w:val="231F20"/>
          <w:w w:val="105"/>
        </w:rPr>
        <w:t>de </w:t>
      </w:r>
      <w:r>
        <w:rPr>
          <w:color w:val="231F20"/>
          <w:spacing w:val="-4"/>
          <w:w w:val="105"/>
        </w:rPr>
        <w:t>institución, </w:t>
      </w:r>
      <w:r>
        <w:rPr>
          <w:color w:val="231F20"/>
          <w:spacing w:val="-5"/>
          <w:w w:val="105"/>
        </w:rPr>
        <w:t>otorgándole  </w:t>
      </w:r>
      <w:r>
        <w:rPr>
          <w:color w:val="231F20"/>
          <w:w w:val="105"/>
        </w:rPr>
        <w:t>el </w:t>
      </w:r>
      <w:r>
        <w:rPr>
          <w:color w:val="231F20"/>
          <w:spacing w:val="-4"/>
          <w:w w:val="105"/>
        </w:rPr>
        <w:t>papel  </w:t>
      </w:r>
      <w:r>
        <w:rPr>
          <w:color w:val="231F20"/>
          <w:w w:val="105"/>
        </w:rPr>
        <w:t>de </w:t>
      </w:r>
      <w:r>
        <w:rPr>
          <w:color w:val="231F20"/>
          <w:spacing w:val="-4"/>
          <w:w w:val="105"/>
        </w:rPr>
        <w:t>“célula  básica”  </w:t>
      </w:r>
      <w:r>
        <w:rPr>
          <w:color w:val="231F20"/>
          <w:spacing w:val="-3"/>
          <w:w w:val="105"/>
        </w:rPr>
        <w:t>para </w:t>
      </w:r>
      <w:r>
        <w:rPr>
          <w:color w:val="231F20"/>
          <w:w w:val="105"/>
        </w:rPr>
        <w:t>el funcionamiento de la sociedad. A pesar de los discursos, las institucio-     nes del Estado carecen por completo de  políticas  públicas  amplias  dirigi- das</w:t>
      </w:r>
      <w:r>
        <w:rPr>
          <w:color w:val="231F20"/>
          <w:spacing w:val="31"/>
          <w:w w:val="105"/>
        </w:rPr>
        <w:t> </w:t>
      </w:r>
      <w:r>
        <w:rPr>
          <w:color w:val="231F20"/>
          <w:w w:val="105"/>
        </w:rPr>
        <w:t>a</w:t>
      </w:r>
      <w:r>
        <w:rPr>
          <w:color w:val="231F20"/>
          <w:spacing w:val="31"/>
          <w:w w:val="105"/>
        </w:rPr>
        <w:t> </w:t>
      </w:r>
      <w:r>
        <w:rPr>
          <w:color w:val="231F20"/>
          <w:w w:val="105"/>
        </w:rPr>
        <w:t>las</w:t>
      </w:r>
      <w:r>
        <w:rPr>
          <w:color w:val="231F20"/>
          <w:spacing w:val="31"/>
          <w:w w:val="105"/>
        </w:rPr>
        <w:t> </w:t>
      </w:r>
      <w:r>
        <w:rPr>
          <w:color w:val="231F20"/>
          <w:w w:val="105"/>
        </w:rPr>
        <w:t>familias,</w:t>
      </w:r>
      <w:r>
        <w:rPr>
          <w:color w:val="231F20"/>
          <w:spacing w:val="31"/>
          <w:w w:val="105"/>
        </w:rPr>
        <w:t> </w:t>
      </w:r>
      <w:r>
        <w:rPr>
          <w:color w:val="231F20"/>
          <w:w w:val="105"/>
        </w:rPr>
        <w:t>lo</w:t>
      </w:r>
      <w:r>
        <w:rPr>
          <w:color w:val="231F20"/>
          <w:spacing w:val="31"/>
          <w:w w:val="105"/>
        </w:rPr>
        <w:t> </w:t>
      </w:r>
      <w:r>
        <w:rPr>
          <w:color w:val="231F20"/>
          <w:w w:val="105"/>
        </w:rPr>
        <w:t>cual</w:t>
      </w:r>
      <w:r>
        <w:rPr>
          <w:color w:val="231F20"/>
          <w:spacing w:val="31"/>
          <w:w w:val="105"/>
        </w:rPr>
        <w:t> </w:t>
      </w:r>
      <w:r>
        <w:rPr>
          <w:color w:val="231F20"/>
          <w:w w:val="105"/>
        </w:rPr>
        <w:t>se</w:t>
      </w:r>
      <w:r>
        <w:rPr>
          <w:color w:val="231F20"/>
          <w:spacing w:val="31"/>
          <w:w w:val="105"/>
        </w:rPr>
        <w:t> </w:t>
      </w:r>
      <w:r>
        <w:rPr>
          <w:color w:val="231F20"/>
          <w:w w:val="105"/>
        </w:rPr>
        <w:t>refleja</w:t>
      </w:r>
      <w:r>
        <w:rPr>
          <w:color w:val="231F20"/>
          <w:spacing w:val="31"/>
          <w:w w:val="105"/>
        </w:rPr>
        <w:t> </w:t>
      </w:r>
      <w:r>
        <w:rPr>
          <w:color w:val="231F20"/>
          <w:w w:val="105"/>
        </w:rPr>
        <w:t>en</w:t>
      </w:r>
      <w:r>
        <w:rPr>
          <w:color w:val="231F20"/>
          <w:spacing w:val="31"/>
          <w:w w:val="105"/>
        </w:rPr>
        <w:t> </w:t>
      </w:r>
      <w:r>
        <w:rPr>
          <w:color w:val="231F20"/>
          <w:w w:val="105"/>
        </w:rPr>
        <w:t>la</w:t>
      </w:r>
      <w:r>
        <w:rPr>
          <w:color w:val="231F20"/>
          <w:spacing w:val="31"/>
          <w:w w:val="105"/>
        </w:rPr>
        <w:t> </w:t>
      </w:r>
      <w:r>
        <w:rPr>
          <w:color w:val="231F20"/>
          <w:w w:val="105"/>
        </w:rPr>
        <w:t>existencia</w:t>
      </w:r>
      <w:r>
        <w:rPr>
          <w:color w:val="231F20"/>
          <w:spacing w:val="31"/>
          <w:w w:val="105"/>
        </w:rPr>
        <w:t> </w:t>
      </w:r>
      <w:r>
        <w:rPr>
          <w:color w:val="231F20"/>
          <w:w w:val="105"/>
        </w:rPr>
        <w:t>de</w:t>
      </w:r>
      <w:r>
        <w:rPr>
          <w:color w:val="231F20"/>
          <w:spacing w:val="31"/>
          <w:w w:val="105"/>
        </w:rPr>
        <w:t> </w:t>
      </w:r>
      <w:r>
        <w:rPr>
          <w:color w:val="231F20"/>
          <w:w w:val="105"/>
        </w:rPr>
        <w:t>una</w:t>
      </w:r>
      <w:r>
        <w:rPr>
          <w:color w:val="231F20"/>
          <w:spacing w:val="31"/>
          <w:w w:val="105"/>
        </w:rPr>
        <w:t> </w:t>
      </w:r>
      <w:r>
        <w:rPr>
          <w:color w:val="231F20"/>
          <w:w w:val="105"/>
        </w:rPr>
        <w:t>sola</w:t>
      </w:r>
      <w:r>
        <w:rPr>
          <w:color w:val="231F20"/>
          <w:spacing w:val="31"/>
          <w:w w:val="105"/>
        </w:rPr>
        <w:t> </w:t>
      </w:r>
      <w:r>
        <w:rPr>
          <w:color w:val="231F20"/>
          <w:w w:val="105"/>
        </w:rPr>
        <w:t>institución</w:t>
      </w:r>
    </w:p>
    <w:p>
      <w:pPr>
        <w:pStyle w:val="BodyText"/>
        <w:spacing w:line="288" w:lineRule="auto"/>
        <w:ind w:left="124" w:right="109"/>
        <w:jc w:val="both"/>
      </w:pPr>
      <w:r>
        <w:rPr>
          <w:color w:val="231F20"/>
          <w:w w:val="110"/>
        </w:rPr>
        <w:t>—Desarrollo</w:t>
      </w:r>
      <w:r>
        <w:rPr>
          <w:color w:val="231F20"/>
          <w:spacing w:val="-10"/>
          <w:w w:val="110"/>
        </w:rPr>
        <w:t> </w:t>
      </w:r>
      <w:r>
        <w:rPr>
          <w:color w:val="231F20"/>
          <w:w w:val="110"/>
        </w:rPr>
        <w:t>Integral</w:t>
      </w:r>
      <w:r>
        <w:rPr>
          <w:color w:val="231F20"/>
          <w:spacing w:val="-10"/>
          <w:w w:val="110"/>
        </w:rPr>
        <w:t> </w:t>
      </w:r>
      <w:r>
        <w:rPr>
          <w:color w:val="231F20"/>
          <w:w w:val="110"/>
        </w:rPr>
        <w:t>para</w:t>
      </w:r>
      <w:r>
        <w:rPr>
          <w:color w:val="231F20"/>
          <w:spacing w:val="-10"/>
          <w:w w:val="110"/>
        </w:rPr>
        <w:t> </w:t>
      </w:r>
      <w:r>
        <w:rPr>
          <w:color w:val="231F20"/>
          <w:w w:val="110"/>
        </w:rPr>
        <w:t>la</w:t>
      </w:r>
      <w:r>
        <w:rPr>
          <w:color w:val="231F20"/>
          <w:spacing w:val="-10"/>
          <w:w w:val="110"/>
        </w:rPr>
        <w:t> </w:t>
      </w:r>
      <w:r>
        <w:rPr>
          <w:color w:val="231F20"/>
          <w:spacing w:val="-3"/>
          <w:w w:val="110"/>
        </w:rPr>
        <w:t>Familia</w:t>
      </w:r>
      <w:r>
        <w:rPr>
          <w:color w:val="231F20"/>
          <w:spacing w:val="-10"/>
          <w:w w:val="110"/>
        </w:rPr>
        <w:t> </w:t>
      </w:r>
      <w:r>
        <w:rPr>
          <w:color w:val="231F20"/>
          <w:w w:val="110"/>
        </w:rPr>
        <w:t>(</w:t>
      </w:r>
      <w:r>
        <w:rPr>
          <w:rFonts w:ascii="Times New Roman" w:hAnsi="Times New Roman"/>
          <w:color w:val="231F20"/>
          <w:w w:val="110"/>
          <w:sz w:val="16"/>
        </w:rPr>
        <w:t>DIF</w:t>
      </w:r>
      <w:r>
        <w:rPr>
          <w:color w:val="231F20"/>
          <w:w w:val="110"/>
        </w:rPr>
        <w:t>)—</w:t>
      </w:r>
      <w:r>
        <w:rPr>
          <w:color w:val="231F20"/>
          <w:spacing w:val="-10"/>
          <w:w w:val="110"/>
        </w:rPr>
        <w:t> </w:t>
      </w:r>
      <w:r>
        <w:rPr>
          <w:color w:val="231F20"/>
          <w:w w:val="110"/>
        </w:rPr>
        <w:t>que</w:t>
      </w:r>
      <w:r>
        <w:rPr>
          <w:color w:val="231F20"/>
          <w:spacing w:val="-10"/>
          <w:w w:val="110"/>
        </w:rPr>
        <w:t> </w:t>
      </w:r>
      <w:r>
        <w:rPr>
          <w:color w:val="231F20"/>
          <w:w w:val="110"/>
        </w:rPr>
        <w:t>tiene</w:t>
      </w:r>
      <w:r>
        <w:rPr>
          <w:color w:val="231F20"/>
          <w:spacing w:val="-10"/>
          <w:w w:val="110"/>
        </w:rPr>
        <w:t> </w:t>
      </w:r>
      <w:r>
        <w:rPr>
          <w:color w:val="231F20"/>
          <w:w w:val="110"/>
        </w:rPr>
        <w:t>programas</w:t>
      </w:r>
      <w:r>
        <w:rPr>
          <w:color w:val="231F20"/>
          <w:spacing w:val="-10"/>
          <w:w w:val="110"/>
        </w:rPr>
        <w:t> </w:t>
      </w:r>
      <w:r>
        <w:rPr>
          <w:color w:val="231F20"/>
          <w:w w:val="110"/>
        </w:rPr>
        <w:t>y</w:t>
      </w:r>
      <w:r>
        <w:rPr>
          <w:color w:val="231F20"/>
          <w:spacing w:val="-10"/>
          <w:w w:val="110"/>
        </w:rPr>
        <w:t> </w:t>
      </w:r>
      <w:r>
        <w:rPr>
          <w:color w:val="231F20"/>
          <w:w w:val="110"/>
        </w:rPr>
        <w:t>proyec- tos dirigidos a determinadas configuraciones familiares, pero que carece de una política pública para las</w:t>
      </w:r>
      <w:r>
        <w:rPr>
          <w:color w:val="231F20"/>
          <w:spacing w:val="25"/>
          <w:w w:val="110"/>
        </w:rPr>
        <w:t> </w:t>
      </w:r>
      <w:r>
        <w:rPr>
          <w:color w:val="231F20"/>
          <w:w w:val="110"/>
        </w:rPr>
        <w:t>familias.</w:t>
      </w:r>
    </w:p>
    <w:p>
      <w:pPr>
        <w:pStyle w:val="BodyText"/>
        <w:spacing w:line="288" w:lineRule="auto"/>
        <w:ind w:left="45" w:right="110" w:firstLine="360"/>
        <w:jc w:val="right"/>
      </w:pPr>
      <w:r>
        <w:rPr>
          <w:color w:val="231F20"/>
          <w:w w:val="110"/>
        </w:rPr>
        <w:t>Las políticas dirigidas a las familias distan mucho de los programas</w:t>
      </w:r>
      <w:r>
        <w:rPr>
          <w:color w:val="231F20"/>
          <w:w w:val="118"/>
        </w:rPr>
        <w:t> </w:t>
      </w:r>
      <w:r>
        <w:rPr>
          <w:color w:val="231F20"/>
          <w:w w:val="110"/>
        </w:rPr>
        <w:t>asistenciales, paternalistas, clientelares y de control social que gobiernos,</w:t>
      </w:r>
      <w:r>
        <w:rPr>
          <w:color w:val="231F20"/>
          <w:w w:val="110"/>
        </w:rPr>
        <w:t> </w:t>
      </w:r>
      <w:r>
        <w:rPr>
          <w:color w:val="231F20"/>
          <w:w w:val="110"/>
        </w:rPr>
        <w:t>políticos, partidos y caciques suelen hacer con las familias demandantes de</w:t>
      </w:r>
      <w:r>
        <w:rPr>
          <w:color w:val="231F20"/>
          <w:w w:val="109"/>
        </w:rPr>
        <w:t> </w:t>
      </w:r>
      <w:r>
        <w:rPr>
          <w:color w:val="231F20"/>
          <w:w w:val="110"/>
        </w:rPr>
        <w:t>requerimientos para suplir necesidades básicas. Una verdadera política</w:t>
      </w:r>
      <w:r>
        <w:rPr>
          <w:color w:val="231F20"/>
          <w:w w:val="108"/>
        </w:rPr>
        <w:t> </w:t>
      </w:r>
      <w:r>
        <w:rPr>
          <w:color w:val="231F20"/>
          <w:w w:val="110"/>
        </w:rPr>
        <w:t>destinada a las familias debe tener como objetivos principales el desarrollo</w:t>
      </w:r>
      <w:r>
        <w:rPr>
          <w:color w:val="231F20"/>
          <w:w w:val="107"/>
        </w:rPr>
        <w:t> </w:t>
      </w:r>
      <w:r>
        <w:rPr>
          <w:color w:val="231F20"/>
          <w:w w:val="110"/>
        </w:rPr>
        <w:t>y el </w:t>
      </w:r>
      <w:r>
        <w:rPr>
          <w:color w:val="231F20"/>
          <w:spacing w:val="-4"/>
          <w:w w:val="110"/>
        </w:rPr>
        <w:t>fortalecimiento </w:t>
      </w:r>
      <w:r>
        <w:rPr>
          <w:color w:val="231F20"/>
          <w:w w:val="110"/>
        </w:rPr>
        <w:t>de </w:t>
      </w:r>
      <w:r>
        <w:rPr>
          <w:color w:val="231F20"/>
          <w:spacing w:val="-3"/>
          <w:w w:val="110"/>
        </w:rPr>
        <w:t>sus </w:t>
      </w:r>
      <w:r>
        <w:rPr>
          <w:color w:val="231F20"/>
          <w:spacing w:val="-4"/>
          <w:w w:val="110"/>
        </w:rPr>
        <w:t>miembros, </w:t>
      </w:r>
      <w:r>
        <w:rPr>
          <w:color w:val="231F20"/>
          <w:spacing w:val="-3"/>
          <w:w w:val="110"/>
        </w:rPr>
        <w:t>así como </w:t>
      </w:r>
      <w:r>
        <w:rPr>
          <w:color w:val="231F20"/>
          <w:spacing w:val="-4"/>
          <w:w w:val="110"/>
        </w:rPr>
        <w:t>también </w:t>
      </w:r>
      <w:r>
        <w:rPr>
          <w:color w:val="231F20"/>
          <w:w w:val="110"/>
        </w:rPr>
        <w:t>el </w:t>
      </w:r>
      <w:r>
        <w:rPr>
          <w:color w:val="231F20"/>
          <w:spacing w:val="-4"/>
          <w:w w:val="110"/>
        </w:rPr>
        <w:t>mantener </w:t>
      </w:r>
      <w:r>
        <w:rPr>
          <w:color w:val="231F20"/>
          <w:w w:val="110"/>
        </w:rPr>
        <w:t>o </w:t>
      </w:r>
      <w:r>
        <w:rPr>
          <w:color w:val="231F20"/>
          <w:spacing w:val="-4"/>
          <w:w w:val="110"/>
        </w:rPr>
        <w:t>modi-</w:t>
      </w:r>
      <w:r>
        <w:rPr>
          <w:color w:val="231F20"/>
          <w:w w:val="93"/>
        </w:rPr>
        <w:t> </w:t>
      </w:r>
      <w:r>
        <w:rPr>
          <w:color w:val="231F20"/>
          <w:w w:val="110"/>
        </w:rPr>
        <w:t>ficar las relaciones de sus integrantes en los niveles de pareja, padres-hijos,</w:t>
      </w:r>
      <w:r>
        <w:rPr>
          <w:color w:val="231F20"/>
          <w:w w:val="128"/>
        </w:rPr>
        <w:t> </w:t>
      </w:r>
      <w:r>
        <w:rPr>
          <w:color w:val="231F20"/>
          <w:w w:val="110"/>
        </w:rPr>
        <w:t>entre hermanos(as), familia y red de parentesco, familia y sociedad global.</w:t>
      </w:r>
      <w:r>
        <w:rPr>
          <w:color w:val="231F20"/>
          <w:w w:val="108"/>
        </w:rPr>
        <w:t> </w:t>
      </w:r>
      <w:r>
        <w:rPr>
          <w:color w:val="231F20"/>
          <w:w w:val="110"/>
        </w:rPr>
        <w:t>Es </w:t>
      </w:r>
      <w:r>
        <w:rPr>
          <w:color w:val="231F20"/>
          <w:spacing w:val="-3"/>
          <w:w w:val="110"/>
        </w:rPr>
        <w:t>decir, </w:t>
      </w:r>
      <w:r>
        <w:rPr>
          <w:color w:val="231F20"/>
          <w:w w:val="110"/>
        </w:rPr>
        <w:t>que para ser eficientes y eficaces, las políticas hacia las familias</w:t>
      </w:r>
      <w:r>
        <w:rPr>
          <w:color w:val="231F20"/>
          <w:w w:val="108"/>
        </w:rPr>
        <w:t> </w:t>
      </w:r>
      <w:r>
        <w:rPr>
          <w:color w:val="231F20"/>
          <w:w w:val="110"/>
        </w:rPr>
        <w:t>deberían apuntar a incidir en las relaciones cotidianas del ciclo vital y fa-</w:t>
      </w:r>
      <w:r>
        <w:rPr>
          <w:color w:val="231F20"/>
          <w:w w:val="93"/>
        </w:rPr>
        <w:t> </w:t>
      </w:r>
      <w:r>
        <w:rPr>
          <w:color w:val="231F20"/>
          <w:w w:val="110"/>
        </w:rPr>
        <w:t>milia, que forman parte de las normas, los valores, las creencias, los hábi-</w:t>
      </w:r>
      <w:r>
        <w:rPr>
          <w:color w:val="231F20"/>
          <w:w w:val="93"/>
        </w:rPr>
        <w:t> </w:t>
      </w:r>
      <w:r>
        <w:rPr>
          <w:color w:val="231F20"/>
          <w:w w:val="110"/>
        </w:rPr>
        <w:t>tos y las costumbres de estos complejos sistemas de organización familiar.</w:t>
      </w:r>
    </w:p>
    <w:p>
      <w:pPr>
        <w:pStyle w:val="BodyText"/>
        <w:spacing w:line="288" w:lineRule="auto"/>
        <w:ind w:left="124" w:right="112" w:firstLine="360"/>
        <w:jc w:val="both"/>
      </w:pPr>
      <w:r>
        <w:rPr>
          <w:color w:val="231F20"/>
          <w:w w:val="110"/>
        </w:rPr>
        <w:t>Tradicionalmente, los proyectos y programas públicos, como parte de la acción gubernamental, han sido formulados a partir de una visión eco- nomicista, que otorga a las variables económicas el poder explicativo del desarrollo</w:t>
      </w:r>
      <w:r>
        <w:rPr>
          <w:color w:val="231F20"/>
          <w:spacing w:val="-8"/>
          <w:w w:val="110"/>
        </w:rPr>
        <w:t> </w:t>
      </w:r>
      <w:r>
        <w:rPr>
          <w:color w:val="231F20"/>
          <w:w w:val="110"/>
        </w:rPr>
        <w:t>económico</w:t>
      </w:r>
      <w:r>
        <w:rPr>
          <w:color w:val="231F20"/>
          <w:spacing w:val="-8"/>
          <w:w w:val="110"/>
        </w:rPr>
        <w:t> </w:t>
      </w:r>
      <w:r>
        <w:rPr>
          <w:color w:val="231F20"/>
          <w:w w:val="110"/>
        </w:rPr>
        <w:t>y</w:t>
      </w:r>
      <w:r>
        <w:rPr>
          <w:color w:val="231F20"/>
          <w:spacing w:val="-8"/>
          <w:w w:val="110"/>
        </w:rPr>
        <w:t> </w:t>
      </w:r>
      <w:r>
        <w:rPr>
          <w:color w:val="231F20"/>
          <w:w w:val="110"/>
        </w:rPr>
        <w:t>social.</w:t>
      </w:r>
      <w:r>
        <w:rPr>
          <w:color w:val="231F20"/>
          <w:spacing w:val="-8"/>
          <w:w w:val="110"/>
        </w:rPr>
        <w:t> </w:t>
      </w:r>
      <w:r>
        <w:rPr>
          <w:color w:val="231F20"/>
          <w:spacing w:val="-3"/>
          <w:w w:val="110"/>
        </w:rPr>
        <w:t>Por</w:t>
      </w:r>
      <w:r>
        <w:rPr>
          <w:color w:val="231F20"/>
          <w:spacing w:val="-8"/>
          <w:w w:val="110"/>
        </w:rPr>
        <w:t> </w:t>
      </w:r>
      <w:r>
        <w:rPr>
          <w:color w:val="231F20"/>
          <w:w w:val="110"/>
        </w:rPr>
        <w:t>eso,</w:t>
      </w:r>
      <w:r>
        <w:rPr>
          <w:color w:val="231F20"/>
          <w:spacing w:val="-8"/>
          <w:w w:val="110"/>
        </w:rPr>
        <w:t> </w:t>
      </w:r>
      <w:r>
        <w:rPr>
          <w:color w:val="231F20"/>
          <w:w w:val="110"/>
        </w:rPr>
        <w:t>dentro</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estrategias</w:t>
      </w:r>
      <w:r>
        <w:rPr>
          <w:color w:val="231F20"/>
          <w:spacing w:val="-8"/>
          <w:w w:val="110"/>
        </w:rPr>
        <w:t> </w:t>
      </w:r>
      <w:r>
        <w:rPr>
          <w:color w:val="231F20"/>
          <w:w w:val="110"/>
        </w:rPr>
        <w:t>para</w:t>
      </w:r>
      <w:r>
        <w:rPr>
          <w:color w:val="231F20"/>
          <w:spacing w:val="-8"/>
          <w:w w:val="110"/>
        </w:rPr>
        <w:t> </w:t>
      </w:r>
      <w:r>
        <w:rPr>
          <w:color w:val="231F20"/>
          <w:w w:val="110"/>
        </w:rPr>
        <w:t>alcan- zar</w:t>
      </w:r>
      <w:r>
        <w:rPr>
          <w:color w:val="231F20"/>
          <w:spacing w:val="-17"/>
          <w:w w:val="110"/>
        </w:rPr>
        <w:t> </w:t>
      </w:r>
      <w:r>
        <w:rPr>
          <w:color w:val="231F20"/>
          <w:w w:val="110"/>
        </w:rPr>
        <w:t>el</w:t>
      </w:r>
      <w:r>
        <w:rPr>
          <w:color w:val="231F20"/>
          <w:spacing w:val="-17"/>
          <w:w w:val="110"/>
        </w:rPr>
        <w:t> </w:t>
      </w:r>
      <w:r>
        <w:rPr>
          <w:color w:val="231F20"/>
          <w:w w:val="110"/>
        </w:rPr>
        <w:t>desarrollo,</w:t>
      </w:r>
      <w:r>
        <w:rPr>
          <w:color w:val="231F20"/>
          <w:spacing w:val="-17"/>
          <w:w w:val="110"/>
        </w:rPr>
        <w:t> </w:t>
      </w:r>
      <w:r>
        <w:rPr>
          <w:color w:val="231F20"/>
          <w:w w:val="110"/>
        </w:rPr>
        <w:t>se</w:t>
      </w:r>
      <w:r>
        <w:rPr>
          <w:color w:val="231F20"/>
          <w:spacing w:val="-17"/>
          <w:w w:val="110"/>
        </w:rPr>
        <w:t> </w:t>
      </w:r>
      <w:r>
        <w:rPr>
          <w:color w:val="231F20"/>
          <w:w w:val="110"/>
        </w:rPr>
        <w:t>ha</w:t>
      </w:r>
      <w:r>
        <w:rPr>
          <w:color w:val="231F20"/>
          <w:spacing w:val="-17"/>
          <w:w w:val="110"/>
        </w:rPr>
        <w:t> </w:t>
      </w:r>
      <w:r>
        <w:rPr>
          <w:color w:val="231F20"/>
          <w:w w:val="110"/>
        </w:rPr>
        <w:t>dado</w:t>
      </w:r>
      <w:r>
        <w:rPr>
          <w:color w:val="231F20"/>
          <w:spacing w:val="-17"/>
          <w:w w:val="110"/>
        </w:rPr>
        <w:t> </w:t>
      </w:r>
      <w:r>
        <w:rPr>
          <w:color w:val="231F20"/>
          <w:w w:val="110"/>
        </w:rPr>
        <w:t>prioridad</w:t>
      </w:r>
      <w:r>
        <w:rPr>
          <w:color w:val="231F20"/>
          <w:spacing w:val="-17"/>
          <w:w w:val="110"/>
        </w:rPr>
        <w:t> </w:t>
      </w:r>
      <w:r>
        <w:rPr>
          <w:color w:val="231F20"/>
          <w:w w:val="110"/>
        </w:rPr>
        <w:t>al</w:t>
      </w:r>
      <w:r>
        <w:rPr>
          <w:color w:val="231F20"/>
          <w:spacing w:val="-17"/>
          <w:w w:val="110"/>
        </w:rPr>
        <w:t> </w:t>
      </w:r>
      <w:r>
        <w:rPr>
          <w:color w:val="231F20"/>
          <w:w w:val="110"/>
        </w:rPr>
        <w:t>crecimiento</w:t>
      </w:r>
      <w:r>
        <w:rPr>
          <w:color w:val="231F20"/>
          <w:spacing w:val="-17"/>
          <w:w w:val="110"/>
        </w:rPr>
        <w:t> </w:t>
      </w:r>
      <w:r>
        <w:rPr>
          <w:color w:val="231F20"/>
          <w:w w:val="110"/>
        </w:rPr>
        <w:t>económico,</w:t>
      </w:r>
      <w:r>
        <w:rPr>
          <w:color w:val="231F20"/>
          <w:spacing w:val="-17"/>
          <w:w w:val="110"/>
        </w:rPr>
        <w:t> </w:t>
      </w:r>
      <w:r>
        <w:rPr>
          <w:color w:val="231F20"/>
          <w:w w:val="110"/>
        </w:rPr>
        <w:t>dejando</w:t>
      </w:r>
      <w:r>
        <w:rPr>
          <w:color w:val="231F20"/>
          <w:spacing w:val="-17"/>
          <w:w w:val="110"/>
        </w:rPr>
        <w:t> </w:t>
      </w:r>
      <w:r>
        <w:rPr>
          <w:color w:val="231F20"/>
          <w:w w:val="110"/>
        </w:rPr>
        <w:t>de lado aspectos sociales, políticos y culturales; lo que ha generado mayores desigualdades que se traducen en grados de pobreza cada vez más cre- cientes, particularmente en regiones rurales con porcentajes</w:t>
      </w:r>
      <w:r>
        <w:rPr>
          <w:color w:val="231F20"/>
          <w:spacing w:val="-8"/>
          <w:w w:val="110"/>
        </w:rPr>
        <w:t> </w:t>
      </w:r>
      <w:r>
        <w:rPr>
          <w:color w:val="231F20"/>
          <w:w w:val="110"/>
        </w:rPr>
        <w:t>significativos de población indígena y con altas tasas de natalidad, mortalidad, migra- ción, desempleo, subempleo y</w:t>
      </w:r>
      <w:r>
        <w:rPr>
          <w:color w:val="231F20"/>
          <w:spacing w:val="40"/>
          <w:w w:val="110"/>
        </w:rPr>
        <w:t> </w:t>
      </w:r>
      <w:r>
        <w:rPr>
          <w:color w:val="231F20"/>
          <w:w w:val="110"/>
        </w:rPr>
        <w:t>analfabetismo.</w:t>
      </w:r>
    </w:p>
    <w:p>
      <w:pPr>
        <w:spacing w:after="0" w:line="288" w:lineRule="auto"/>
        <w:jc w:val="both"/>
        <w:sectPr>
          <w:pgSz w:w="9520" w:h="12920"/>
          <w:pgMar w:header="0" w:footer="1344" w:top="880" w:bottom="1540" w:left="1320" w:right="1000"/>
        </w:sectPr>
      </w:pPr>
    </w:p>
    <w:p>
      <w:pPr>
        <w:pStyle w:val="BodyText"/>
        <w:spacing w:line="288" w:lineRule="auto" w:before="42"/>
        <w:ind w:left="120" w:right="117" w:firstLine="360"/>
        <w:jc w:val="both"/>
      </w:pPr>
      <w:r>
        <w:rPr>
          <w:color w:val="231F20"/>
          <w:w w:val="110"/>
        </w:rPr>
        <w:t>Con relación con lo anterior, hay que señalar que el crecimiento eco- nómico basado en el modelo de la sustitución de importaciones, caracte- rístico de los años cuarenta y cincuenta del siglo </w:t>
      </w:r>
      <w:r>
        <w:rPr>
          <w:rFonts w:ascii="Times New Roman" w:hAnsi="Times New Roman"/>
          <w:color w:val="231F20"/>
          <w:w w:val="110"/>
          <w:sz w:val="16"/>
        </w:rPr>
        <w:t>XX</w:t>
      </w:r>
      <w:r>
        <w:rPr>
          <w:color w:val="231F20"/>
          <w:w w:val="110"/>
        </w:rPr>
        <w:t>, lejos de generar el desarrollo en el país y el bienestar familiar, produjo más desigualdades a nivel regional, fundamentalmente debido a la concentración de los bienes sociales en las regiones industrializadas, lo que condujo al aumento de familias que vivían en condiciones de pobreza crítica.</w:t>
      </w:r>
    </w:p>
    <w:p>
      <w:pPr>
        <w:pStyle w:val="BodyText"/>
        <w:spacing w:line="288" w:lineRule="auto"/>
        <w:ind w:left="120" w:right="116" w:firstLine="360"/>
        <w:jc w:val="both"/>
      </w:pPr>
      <w:r>
        <w:rPr>
          <w:color w:val="231F20"/>
          <w:w w:val="110"/>
        </w:rPr>
        <w:t>Durante la década de los sesenta, y como consecuencia de los efectos que generó el crecimiento industrial en el país, se produjo el desencanto por</w:t>
      </w:r>
      <w:r>
        <w:rPr>
          <w:color w:val="231F20"/>
          <w:spacing w:val="-20"/>
          <w:w w:val="110"/>
        </w:rPr>
        <w:t> </w:t>
      </w:r>
      <w:r>
        <w:rPr>
          <w:color w:val="231F20"/>
          <w:w w:val="110"/>
        </w:rPr>
        <w:t>las</w:t>
      </w:r>
      <w:r>
        <w:rPr>
          <w:color w:val="231F20"/>
          <w:spacing w:val="-20"/>
          <w:w w:val="110"/>
        </w:rPr>
        <w:t> </w:t>
      </w:r>
      <w:r>
        <w:rPr>
          <w:color w:val="231F20"/>
          <w:w w:val="110"/>
        </w:rPr>
        <w:t>teorías</w:t>
      </w:r>
      <w:r>
        <w:rPr>
          <w:color w:val="231F20"/>
          <w:spacing w:val="-20"/>
          <w:w w:val="110"/>
        </w:rPr>
        <w:t> </w:t>
      </w:r>
      <w:r>
        <w:rPr>
          <w:color w:val="231F20"/>
          <w:w w:val="110"/>
        </w:rPr>
        <w:t>que</w:t>
      </w:r>
      <w:r>
        <w:rPr>
          <w:color w:val="231F20"/>
          <w:spacing w:val="-20"/>
          <w:w w:val="110"/>
        </w:rPr>
        <w:t> </w:t>
      </w:r>
      <w:r>
        <w:rPr>
          <w:color w:val="231F20"/>
          <w:w w:val="110"/>
        </w:rPr>
        <w:t>promulgaban</w:t>
      </w:r>
      <w:r>
        <w:rPr>
          <w:color w:val="231F20"/>
          <w:spacing w:val="-20"/>
          <w:w w:val="110"/>
        </w:rPr>
        <w:t> </w:t>
      </w:r>
      <w:r>
        <w:rPr>
          <w:color w:val="231F20"/>
          <w:w w:val="110"/>
        </w:rPr>
        <w:t>el</w:t>
      </w:r>
      <w:r>
        <w:rPr>
          <w:color w:val="231F20"/>
          <w:spacing w:val="-20"/>
          <w:w w:val="110"/>
        </w:rPr>
        <w:t> </w:t>
      </w:r>
      <w:r>
        <w:rPr>
          <w:color w:val="231F20"/>
          <w:w w:val="110"/>
        </w:rPr>
        <w:t>crecimiento</w:t>
      </w:r>
      <w:r>
        <w:rPr>
          <w:color w:val="231F20"/>
          <w:spacing w:val="-20"/>
          <w:w w:val="110"/>
        </w:rPr>
        <w:t> </w:t>
      </w:r>
      <w:r>
        <w:rPr>
          <w:color w:val="231F20"/>
          <w:w w:val="110"/>
        </w:rPr>
        <w:t>económico</w:t>
      </w:r>
      <w:r>
        <w:rPr>
          <w:color w:val="231F20"/>
          <w:spacing w:val="-20"/>
          <w:w w:val="110"/>
        </w:rPr>
        <w:t> </w:t>
      </w:r>
      <w:r>
        <w:rPr>
          <w:color w:val="231F20"/>
          <w:w w:val="110"/>
        </w:rPr>
        <w:t>como</w:t>
      </w:r>
      <w:r>
        <w:rPr>
          <w:color w:val="231F20"/>
          <w:spacing w:val="-20"/>
          <w:w w:val="110"/>
        </w:rPr>
        <w:t> </w:t>
      </w:r>
      <w:r>
        <w:rPr>
          <w:color w:val="231F20"/>
          <w:w w:val="110"/>
        </w:rPr>
        <w:t>alternativa de desarrollo, lo que obligó a replantear las políticas. Fue entonces cuando proliferó la idea de que el desarrollo consistía en un proceso de cambio estructural, es </w:t>
      </w:r>
      <w:r>
        <w:rPr>
          <w:color w:val="231F20"/>
          <w:spacing w:val="-3"/>
          <w:w w:val="110"/>
        </w:rPr>
        <w:t>decir, </w:t>
      </w:r>
      <w:r>
        <w:rPr>
          <w:color w:val="231F20"/>
          <w:w w:val="110"/>
        </w:rPr>
        <w:t>que se tenían que contemplar aspectos de índole eco- nómica,</w:t>
      </w:r>
      <w:r>
        <w:rPr>
          <w:color w:val="231F20"/>
          <w:spacing w:val="-5"/>
          <w:w w:val="110"/>
        </w:rPr>
        <w:t> </w:t>
      </w:r>
      <w:r>
        <w:rPr>
          <w:color w:val="231F20"/>
          <w:w w:val="110"/>
        </w:rPr>
        <w:t>social,</w:t>
      </w:r>
      <w:r>
        <w:rPr>
          <w:color w:val="231F20"/>
          <w:spacing w:val="-5"/>
          <w:w w:val="110"/>
        </w:rPr>
        <w:t> </w:t>
      </w:r>
      <w:r>
        <w:rPr>
          <w:color w:val="231F20"/>
          <w:w w:val="110"/>
        </w:rPr>
        <w:t>política</w:t>
      </w:r>
      <w:r>
        <w:rPr>
          <w:color w:val="231F20"/>
          <w:spacing w:val="-5"/>
          <w:w w:val="110"/>
        </w:rPr>
        <w:t> </w:t>
      </w:r>
      <w:r>
        <w:rPr>
          <w:color w:val="231F20"/>
          <w:w w:val="110"/>
        </w:rPr>
        <w:t>y</w:t>
      </w:r>
      <w:r>
        <w:rPr>
          <w:color w:val="231F20"/>
          <w:spacing w:val="-5"/>
          <w:w w:val="110"/>
        </w:rPr>
        <w:t> </w:t>
      </w:r>
      <w:r>
        <w:rPr>
          <w:color w:val="231F20"/>
          <w:w w:val="110"/>
        </w:rPr>
        <w:t>cultural.</w:t>
      </w:r>
      <w:r>
        <w:rPr>
          <w:color w:val="231F20"/>
          <w:spacing w:val="-5"/>
          <w:w w:val="110"/>
        </w:rPr>
        <w:t> </w:t>
      </w:r>
      <w:r>
        <w:rPr>
          <w:color w:val="231F20"/>
          <w:w w:val="110"/>
        </w:rPr>
        <w:t>Asimismo,</w:t>
      </w:r>
      <w:r>
        <w:rPr>
          <w:color w:val="231F20"/>
          <w:spacing w:val="-5"/>
          <w:w w:val="110"/>
        </w:rPr>
        <w:t> </w:t>
      </w:r>
      <w:r>
        <w:rPr>
          <w:color w:val="231F20"/>
          <w:w w:val="110"/>
        </w:rPr>
        <w:t>se</w:t>
      </w:r>
      <w:r>
        <w:rPr>
          <w:color w:val="231F20"/>
          <w:spacing w:val="-5"/>
          <w:w w:val="110"/>
        </w:rPr>
        <w:t> </w:t>
      </w:r>
      <w:r>
        <w:rPr>
          <w:color w:val="231F20"/>
          <w:w w:val="110"/>
        </w:rPr>
        <w:t>proponía</w:t>
      </w:r>
      <w:r>
        <w:rPr>
          <w:color w:val="231F20"/>
          <w:spacing w:val="-5"/>
          <w:w w:val="110"/>
        </w:rPr>
        <w:t> </w:t>
      </w:r>
      <w:r>
        <w:rPr>
          <w:color w:val="231F20"/>
          <w:w w:val="110"/>
        </w:rPr>
        <w:t>que</w:t>
      </w:r>
      <w:r>
        <w:rPr>
          <w:color w:val="231F20"/>
          <w:spacing w:val="-5"/>
          <w:w w:val="110"/>
        </w:rPr>
        <w:t> </w:t>
      </w:r>
      <w:r>
        <w:rPr>
          <w:color w:val="231F20"/>
          <w:w w:val="110"/>
        </w:rPr>
        <w:t>en</w:t>
      </w:r>
      <w:r>
        <w:rPr>
          <w:color w:val="231F20"/>
          <w:spacing w:val="-5"/>
          <w:w w:val="110"/>
        </w:rPr>
        <w:t> </w:t>
      </w:r>
      <w:r>
        <w:rPr>
          <w:color w:val="231F20"/>
          <w:w w:val="110"/>
        </w:rPr>
        <w:t>esta</w:t>
      </w:r>
      <w:r>
        <w:rPr>
          <w:color w:val="231F20"/>
          <w:spacing w:val="-5"/>
          <w:w w:val="110"/>
        </w:rPr>
        <w:t> </w:t>
      </w:r>
      <w:r>
        <w:rPr>
          <w:color w:val="231F20"/>
          <w:w w:val="110"/>
        </w:rPr>
        <w:t>nueva política,</w:t>
      </w:r>
      <w:r>
        <w:rPr>
          <w:color w:val="231F20"/>
          <w:spacing w:val="-9"/>
          <w:w w:val="110"/>
        </w:rPr>
        <w:t> </w:t>
      </w:r>
      <w:r>
        <w:rPr>
          <w:color w:val="231F20"/>
          <w:w w:val="110"/>
        </w:rPr>
        <w:t>el</w:t>
      </w:r>
      <w:r>
        <w:rPr>
          <w:color w:val="231F20"/>
          <w:spacing w:val="-9"/>
          <w:w w:val="110"/>
        </w:rPr>
        <w:t> </w:t>
      </w:r>
      <w:r>
        <w:rPr>
          <w:color w:val="231F20"/>
          <w:w w:val="110"/>
        </w:rPr>
        <w:t>Estado</w:t>
      </w:r>
      <w:r>
        <w:rPr>
          <w:color w:val="231F20"/>
          <w:spacing w:val="-9"/>
          <w:w w:val="110"/>
        </w:rPr>
        <w:t> </w:t>
      </w:r>
      <w:r>
        <w:rPr>
          <w:color w:val="231F20"/>
          <w:w w:val="110"/>
        </w:rPr>
        <w:t>asumiera</w:t>
      </w:r>
      <w:r>
        <w:rPr>
          <w:color w:val="231F20"/>
          <w:spacing w:val="-9"/>
          <w:w w:val="110"/>
        </w:rPr>
        <w:t> </w:t>
      </w:r>
      <w:r>
        <w:rPr>
          <w:color w:val="231F20"/>
          <w:w w:val="110"/>
        </w:rPr>
        <w:t>el</w:t>
      </w:r>
      <w:r>
        <w:rPr>
          <w:color w:val="231F20"/>
          <w:spacing w:val="-9"/>
          <w:w w:val="110"/>
        </w:rPr>
        <w:t> </w:t>
      </w:r>
      <w:r>
        <w:rPr>
          <w:color w:val="231F20"/>
          <w:w w:val="110"/>
        </w:rPr>
        <w:t>papel</w:t>
      </w:r>
      <w:r>
        <w:rPr>
          <w:color w:val="231F20"/>
          <w:spacing w:val="-9"/>
          <w:w w:val="110"/>
        </w:rPr>
        <w:t> </w:t>
      </w:r>
      <w:r>
        <w:rPr>
          <w:color w:val="231F20"/>
          <w:w w:val="110"/>
        </w:rPr>
        <w:t>de</w:t>
      </w:r>
      <w:r>
        <w:rPr>
          <w:color w:val="231F20"/>
          <w:spacing w:val="-9"/>
          <w:w w:val="110"/>
        </w:rPr>
        <w:t> </w:t>
      </w:r>
      <w:r>
        <w:rPr>
          <w:color w:val="231F20"/>
          <w:w w:val="110"/>
        </w:rPr>
        <w:t>orientador,</w:t>
      </w:r>
      <w:r>
        <w:rPr>
          <w:color w:val="231F20"/>
          <w:spacing w:val="-9"/>
          <w:w w:val="110"/>
        </w:rPr>
        <w:t> </w:t>
      </w:r>
      <w:r>
        <w:rPr>
          <w:color w:val="231F20"/>
          <w:w w:val="110"/>
        </w:rPr>
        <w:t>promotor</w:t>
      </w:r>
      <w:r>
        <w:rPr>
          <w:color w:val="231F20"/>
          <w:spacing w:val="-9"/>
          <w:w w:val="110"/>
        </w:rPr>
        <w:t> </w:t>
      </w:r>
      <w:r>
        <w:rPr>
          <w:color w:val="231F20"/>
          <w:w w:val="110"/>
        </w:rPr>
        <w:t>y</w:t>
      </w:r>
      <w:r>
        <w:rPr>
          <w:color w:val="231F20"/>
          <w:spacing w:val="-9"/>
          <w:w w:val="110"/>
        </w:rPr>
        <w:t> </w:t>
      </w:r>
      <w:r>
        <w:rPr>
          <w:color w:val="231F20"/>
          <w:w w:val="110"/>
        </w:rPr>
        <w:t>planificador del</w:t>
      </w:r>
      <w:r>
        <w:rPr>
          <w:color w:val="231F20"/>
          <w:spacing w:val="-7"/>
          <w:w w:val="110"/>
        </w:rPr>
        <w:t> </w:t>
      </w:r>
      <w:r>
        <w:rPr>
          <w:color w:val="231F20"/>
          <w:w w:val="110"/>
        </w:rPr>
        <w:t>desarrollo.</w:t>
      </w:r>
    </w:p>
    <w:p>
      <w:pPr>
        <w:pStyle w:val="BodyText"/>
        <w:spacing w:line="288" w:lineRule="auto"/>
        <w:ind w:left="120" w:right="117" w:firstLine="360"/>
        <w:jc w:val="both"/>
      </w:pPr>
      <w:r>
        <w:rPr>
          <w:color w:val="231F20"/>
          <w:w w:val="110"/>
        </w:rPr>
        <w:t>Esta</w:t>
      </w:r>
      <w:r>
        <w:rPr>
          <w:color w:val="231F20"/>
          <w:spacing w:val="-5"/>
          <w:w w:val="110"/>
        </w:rPr>
        <w:t> </w:t>
      </w:r>
      <w:r>
        <w:rPr>
          <w:color w:val="231F20"/>
          <w:w w:val="110"/>
        </w:rPr>
        <w:t>corriente</w:t>
      </w:r>
      <w:r>
        <w:rPr>
          <w:color w:val="231F20"/>
          <w:spacing w:val="-5"/>
          <w:w w:val="110"/>
        </w:rPr>
        <w:t> </w:t>
      </w:r>
      <w:r>
        <w:rPr>
          <w:color w:val="231F20"/>
          <w:w w:val="110"/>
        </w:rPr>
        <w:t>de</w:t>
      </w:r>
      <w:r>
        <w:rPr>
          <w:color w:val="231F20"/>
          <w:spacing w:val="-5"/>
          <w:w w:val="110"/>
        </w:rPr>
        <w:t> </w:t>
      </w:r>
      <w:r>
        <w:rPr>
          <w:color w:val="231F20"/>
          <w:w w:val="110"/>
        </w:rPr>
        <w:t>pensamiento</w:t>
      </w:r>
      <w:r>
        <w:rPr>
          <w:color w:val="231F20"/>
          <w:spacing w:val="-5"/>
          <w:w w:val="110"/>
        </w:rPr>
        <w:t> </w:t>
      </w:r>
      <w:r>
        <w:rPr>
          <w:color w:val="231F20"/>
          <w:w w:val="110"/>
        </w:rPr>
        <w:t>tuvo</w:t>
      </w:r>
      <w:r>
        <w:rPr>
          <w:color w:val="231F20"/>
          <w:spacing w:val="-5"/>
          <w:w w:val="110"/>
        </w:rPr>
        <w:t> </w:t>
      </w:r>
      <w:r>
        <w:rPr>
          <w:color w:val="231F20"/>
          <w:w w:val="110"/>
        </w:rPr>
        <w:t>su</w:t>
      </w:r>
      <w:r>
        <w:rPr>
          <w:color w:val="231F20"/>
          <w:spacing w:val="-5"/>
          <w:w w:val="110"/>
        </w:rPr>
        <w:t> </w:t>
      </w:r>
      <w:r>
        <w:rPr>
          <w:color w:val="231F20"/>
          <w:w w:val="110"/>
        </w:rPr>
        <w:t>origen</w:t>
      </w:r>
      <w:r>
        <w:rPr>
          <w:color w:val="231F20"/>
          <w:spacing w:val="-5"/>
          <w:w w:val="110"/>
        </w:rPr>
        <w:t> </w:t>
      </w:r>
      <w:r>
        <w:rPr>
          <w:color w:val="231F20"/>
          <w:w w:val="110"/>
        </w:rPr>
        <w:t>en</w:t>
      </w:r>
      <w:r>
        <w:rPr>
          <w:color w:val="231F20"/>
          <w:spacing w:val="-5"/>
          <w:w w:val="110"/>
        </w:rPr>
        <w:t> </w:t>
      </w:r>
      <w:r>
        <w:rPr>
          <w:color w:val="231F20"/>
          <w:w w:val="110"/>
        </w:rPr>
        <w:t>las</w:t>
      </w:r>
      <w:r>
        <w:rPr>
          <w:color w:val="231F20"/>
          <w:spacing w:val="-5"/>
          <w:w w:val="110"/>
        </w:rPr>
        <w:t> </w:t>
      </w:r>
      <w:r>
        <w:rPr>
          <w:color w:val="231F20"/>
          <w:w w:val="110"/>
        </w:rPr>
        <w:t>teorías</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Comi- sión Económica para América Latina (</w:t>
      </w:r>
      <w:r>
        <w:rPr>
          <w:rFonts w:ascii="Times New Roman" w:hAnsi="Times New Roman"/>
          <w:color w:val="231F20"/>
          <w:w w:val="110"/>
          <w:sz w:val="16"/>
        </w:rPr>
        <w:t>CEPAL</w:t>
      </w:r>
      <w:r>
        <w:rPr>
          <w:color w:val="231F20"/>
          <w:w w:val="110"/>
        </w:rPr>
        <w:t>) y se afianzó con las tesis de la teoría de la dependencia,</w:t>
      </w:r>
      <w:r>
        <w:rPr>
          <w:color w:val="231F20"/>
          <w:w w:val="110"/>
          <w:position w:val="6"/>
          <w:sz w:val="11"/>
        </w:rPr>
        <w:t>8 </w:t>
      </w:r>
      <w:r>
        <w:rPr>
          <w:color w:val="231F20"/>
          <w:w w:val="110"/>
        </w:rPr>
        <w:t>poniendo énfasis en el carácter histórico es- tructural del subdesarrollo, incluso hacían notar la necesidad de la partici- pación social, política y cultural de los grupos marginados en la</w:t>
      </w:r>
      <w:r>
        <w:rPr>
          <w:color w:val="231F20"/>
          <w:spacing w:val="-20"/>
          <w:w w:val="110"/>
        </w:rPr>
        <w:t> </w:t>
      </w:r>
      <w:r>
        <w:rPr>
          <w:color w:val="231F20"/>
          <w:w w:val="110"/>
        </w:rPr>
        <w:t>planeación </w:t>
      </w:r>
      <w:r>
        <w:rPr>
          <w:color w:val="231F20"/>
          <w:spacing w:val="2"/>
          <w:w w:val="110"/>
        </w:rPr>
        <w:t>del </w:t>
      </w:r>
      <w:r>
        <w:rPr>
          <w:color w:val="231F20"/>
          <w:spacing w:val="3"/>
          <w:w w:val="110"/>
        </w:rPr>
        <w:t>desarrollo. Esta alternativa </w:t>
      </w:r>
      <w:r>
        <w:rPr>
          <w:color w:val="231F20"/>
          <w:spacing w:val="2"/>
          <w:w w:val="110"/>
        </w:rPr>
        <w:t>que </w:t>
      </w:r>
      <w:r>
        <w:rPr>
          <w:color w:val="231F20"/>
          <w:spacing w:val="3"/>
          <w:w w:val="110"/>
        </w:rPr>
        <w:t>incluía </w:t>
      </w:r>
      <w:r>
        <w:rPr>
          <w:color w:val="231F20"/>
          <w:w w:val="110"/>
        </w:rPr>
        <w:t>la </w:t>
      </w:r>
      <w:r>
        <w:rPr>
          <w:color w:val="231F20"/>
          <w:spacing w:val="3"/>
          <w:w w:val="110"/>
        </w:rPr>
        <w:t>participación </w:t>
      </w:r>
      <w:r>
        <w:rPr>
          <w:color w:val="231F20"/>
          <w:w w:val="110"/>
        </w:rPr>
        <w:t>familiar, no pasó de ser un planteamiento teórico, pues su puesta en práctica fue boi- coteada por los altos grados de autoritarismo y verticalidad de los gobier- nos latinoamericanos que consolidaron la política de</w:t>
      </w:r>
      <w:r>
        <w:rPr>
          <w:color w:val="231F20"/>
          <w:spacing w:val="27"/>
          <w:w w:val="110"/>
        </w:rPr>
        <w:t> </w:t>
      </w:r>
      <w:r>
        <w:rPr>
          <w:color w:val="231F20"/>
          <w:w w:val="110"/>
        </w:rPr>
        <w:t>dependencia.</w:t>
      </w:r>
    </w:p>
    <w:p>
      <w:pPr>
        <w:pStyle w:val="BodyText"/>
        <w:spacing w:line="288" w:lineRule="auto"/>
        <w:ind w:left="120" w:right="116" w:firstLine="360"/>
        <w:jc w:val="both"/>
      </w:pPr>
      <w:r>
        <w:rPr>
          <w:color w:val="231F20"/>
          <w:w w:val="110"/>
        </w:rPr>
        <w:t>A mediados de 1970, la satisfacción de las necesidades básicas se con- virtió</w:t>
      </w:r>
      <w:r>
        <w:rPr>
          <w:color w:val="231F20"/>
          <w:spacing w:val="-14"/>
          <w:w w:val="110"/>
        </w:rPr>
        <w:t> </w:t>
      </w:r>
      <w:r>
        <w:rPr>
          <w:color w:val="231F20"/>
          <w:w w:val="110"/>
        </w:rPr>
        <w:t>en</w:t>
      </w:r>
      <w:r>
        <w:rPr>
          <w:color w:val="231F20"/>
          <w:spacing w:val="-14"/>
          <w:w w:val="110"/>
        </w:rPr>
        <w:t> </w:t>
      </w:r>
      <w:r>
        <w:rPr>
          <w:color w:val="231F20"/>
          <w:w w:val="110"/>
        </w:rPr>
        <w:t>una</w:t>
      </w:r>
      <w:r>
        <w:rPr>
          <w:color w:val="231F20"/>
          <w:spacing w:val="-14"/>
          <w:w w:val="110"/>
        </w:rPr>
        <w:t> </w:t>
      </w:r>
      <w:r>
        <w:rPr>
          <w:color w:val="231F20"/>
          <w:w w:val="110"/>
        </w:rPr>
        <w:t>importante</w:t>
      </w:r>
      <w:r>
        <w:rPr>
          <w:color w:val="231F20"/>
          <w:spacing w:val="-14"/>
          <w:w w:val="110"/>
        </w:rPr>
        <w:t> </w:t>
      </w:r>
      <w:r>
        <w:rPr>
          <w:color w:val="231F20"/>
          <w:w w:val="110"/>
        </w:rPr>
        <w:t>característica</w:t>
      </w:r>
      <w:r>
        <w:rPr>
          <w:color w:val="231F20"/>
          <w:spacing w:val="-14"/>
          <w:w w:val="110"/>
        </w:rPr>
        <w:t> </w:t>
      </w:r>
      <w:r>
        <w:rPr>
          <w:color w:val="231F20"/>
          <w:w w:val="110"/>
        </w:rPr>
        <w:t>del</w:t>
      </w:r>
      <w:r>
        <w:rPr>
          <w:color w:val="231F20"/>
          <w:spacing w:val="-14"/>
          <w:w w:val="110"/>
        </w:rPr>
        <w:t> </w:t>
      </w:r>
      <w:r>
        <w:rPr>
          <w:color w:val="231F20"/>
          <w:w w:val="110"/>
        </w:rPr>
        <w:t>pensamiento</w:t>
      </w:r>
      <w:r>
        <w:rPr>
          <w:color w:val="231F20"/>
          <w:spacing w:val="-14"/>
          <w:w w:val="110"/>
        </w:rPr>
        <w:t> </w:t>
      </w:r>
      <w:r>
        <w:rPr>
          <w:color w:val="231F20"/>
          <w:w w:val="110"/>
        </w:rPr>
        <w:t>sobre</w:t>
      </w:r>
      <w:r>
        <w:rPr>
          <w:color w:val="231F20"/>
          <w:spacing w:val="-14"/>
          <w:w w:val="110"/>
        </w:rPr>
        <w:t> </w:t>
      </w:r>
      <w:r>
        <w:rPr>
          <w:color w:val="231F20"/>
          <w:w w:val="110"/>
        </w:rPr>
        <w:t>el</w:t>
      </w:r>
      <w:r>
        <w:rPr>
          <w:color w:val="231F20"/>
          <w:spacing w:val="-14"/>
          <w:w w:val="110"/>
        </w:rPr>
        <w:t> </w:t>
      </w:r>
      <w:r>
        <w:rPr>
          <w:color w:val="231F20"/>
          <w:w w:val="110"/>
        </w:rPr>
        <w:t>desarrollo, dando</w:t>
      </w:r>
      <w:r>
        <w:rPr>
          <w:color w:val="231F20"/>
          <w:spacing w:val="-6"/>
          <w:w w:val="110"/>
        </w:rPr>
        <w:t> </w:t>
      </w:r>
      <w:r>
        <w:rPr>
          <w:color w:val="231F20"/>
          <w:w w:val="110"/>
        </w:rPr>
        <w:t>con</w:t>
      </w:r>
      <w:r>
        <w:rPr>
          <w:color w:val="231F20"/>
          <w:spacing w:val="-6"/>
          <w:w w:val="110"/>
        </w:rPr>
        <w:t> </w:t>
      </w:r>
      <w:r>
        <w:rPr>
          <w:color w:val="231F20"/>
          <w:w w:val="110"/>
        </w:rPr>
        <w:t>ello</w:t>
      </w:r>
      <w:r>
        <w:rPr>
          <w:color w:val="231F20"/>
          <w:spacing w:val="-7"/>
          <w:w w:val="110"/>
        </w:rPr>
        <w:t> </w:t>
      </w:r>
      <w:r>
        <w:rPr>
          <w:color w:val="231F20"/>
          <w:w w:val="110"/>
        </w:rPr>
        <w:t>un</w:t>
      </w:r>
      <w:r>
        <w:rPr>
          <w:color w:val="231F20"/>
          <w:spacing w:val="-6"/>
          <w:w w:val="110"/>
        </w:rPr>
        <w:t> </w:t>
      </w:r>
      <w:r>
        <w:rPr>
          <w:color w:val="231F20"/>
          <w:w w:val="110"/>
        </w:rPr>
        <w:t>nuevo</w:t>
      </w:r>
      <w:r>
        <w:rPr>
          <w:color w:val="231F20"/>
          <w:spacing w:val="-6"/>
          <w:w w:val="110"/>
        </w:rPr>
        <w:t> </w:t>
      </w:r>
      <w:r>
        <w:rPr>
          <w:color w:val="231F20"/>
          <w:w w:val="110"/>
        </w:rPr>
        <w:t>enfoque</w:t>
      </w:r>
      <w:r>
        <w:rPr>
          <w:color w:val="231F20"/>
          <w:spacing w:val="-6"/>
          <w:w w:val="110"/>
        </w:rPr>
        <w:t> </w:t>
      </w:r>
      <w:r>
        <w:rPr>
          <w:color w:val="231F20"/>
          <w:w w:val="110"/>
        </w:rPr>
        <w:t>a</w:t>
      </w:r>
      <w:r>
        <w:rPr>
          <w:color w:val="231F20"/>
          <w:spacing w:val="-6"/>
          <w:w w:val="110"/>
        </w:rPr>
        <w:t> </w:t>
      </w:r>
      <w:r>
        <w:rPr>
          <w:color w:val="231F20"/>
          <w:w w:val="110"/>
        </w:rPr>
        <w:t>las</w:t>
      </w:r>
      <w:r>
        <w:rPr>
          <w:color w:val="231F20"/>
          <w:spacing w:val="-6"/>
          <w:w w:val="110"/>
        </w:rPr>
        <w:t> </w:t>
      </w:r>
      <w:r>
        <w:rPr>
          <w:color w:val="231F20"/>
          <w:w w:val="110"/>
        </w:rPr>
        <w:t>políticas,</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que</w:t>
      </w:r>
      <w:r>
        <w:rPr>
          <w:color w:val="231F20"/>
          <w:spacing w:val="-6"/>
          <w:w w:val="110"/>
        </w:rPr>
        <w:t> </w:t>
      </w:r>
      <w:r>
        <w:rPr>
          <w:color w:val="231F20"/>
          <w:w w:val="110"/>
        </w:rPr>
        <w:t>se</w:t>
      </w:r>
      <w:r>
        <w:rPr>
          <w:color w:val="231F20"/>
          <w:spacing w:val="-6"/>
          <w:w w:val="110"/>
        </w:rPr>
        <w:t> </w:t>
      </w:r>
      <w:r>
        <w:rPr>
          <w:color w:val="231F20"/>
          <w:w w:val="110"/>
        </w:rPr>
        <w:t>daba</w:t>
      </w:r>
      <w:r>
        <w:rPr>
          <w:color w:val="231F20"/>
          <w:spacing w:val="-6"/>
          <w:w w:val="110"/>
        </w:rPr>
        <w:t> </w:t>
      </w:r>
      <w:r>
        <w:rPr>
          <w:color w:val="231F20"/>
          <w:w w:val="110"/>
        </w:rPr>
        <w:t>prioridad a los grupos sociales pobres. Asimismo, la concepción de estas necesida- des básicas se constituyó en el fundamento de la planificación social en los países de la región. A pesar del enunciado político de suplir necesidades básicas de las familias, el país llegó al siglo </w:t>
      </w:r>
      <w:r>
        <w:rPr>
          <w:rFonts w:ascii="Times New Roman" w:hAnsi="Times New Roman"/>
          <w:color w:val="231F20"/>
          <w:w w:val="110"/>
          <w:sz w:val="16"/>
        </w:rPr>
        <w:t>XXI </w:t>
      </w:r>
      <w:r>
        <w:rPr>
          <w:color w:val="231F20"/>
          <w:w w:val="110"/>
        </w:rPr>
        <w:t>con altos porcentajes de población en pobreza e</w:t>
      </w:r>
      <w:r>
        <w:rPr>
          <w:color w:val="231F20"/>
          <w:spacing w:val="18"/>
          <w:w w:val="110"/>
        </w:rPr>
        <w:t> </w:t>
      </w:r>
      <w:r>
        <w:rPr>
          <w:color w:val="231F20"/>
          <w:w w:val="110"/>
        </w:rPr>
        <w:t>indigencia.</w:t>
      </w:r>
    </w:p>
    <w:p>
      <w:pPr>
        <w:pStyle w:val="BodyText"/>
      </w:pPr>
    </w:p>
    <w:p>
      <w:pPr>
        <w:pStyle w:val="BodyText"/>
        <w:spacing w:before="2"/>
        <w:rPr>
          <w:sz w:val="19"/>
        </w:rPr>
      </w:pPr>
    </w:p>
    <w:p>
      <w:pPr>
        <w:spacing w:before="0"/>
        <w:ind w:left="480" w:right="0" w:firstLine="0"/>
        <w:jc w:val="left"/>
        <w:rPr>
          <w:i/>
          <w:sz w:val="16"/>
        </w:rPr>
      </w:pPr>
      <w:r>
        <w:rPr>
          <w:color w:val="231F20"/>
          <w:w w:val="105"/>
          <w:position w:val="5"/>
          <w:sz w:val="9"/>
        </w:rPr>
        <w:t>8 </w:t>
      </w:r>
      <w:r>
        <w:rPr>
          <w:color w:val="231F20"/>
          <w:w w:val="105"/>
          <w:sz w:val="16"/>
        </w:rPr>
        <w:t>Fernando  H.  Cardoso  y  Enzo  Faletto  (1969), </w:t>
      </w:r>
      <w:r>
        <w:rPr>
          <w:i/>
          <w:color w:val="231F20"/>
          <w:w w:val="105"/>
          <w:sz w:val="16"/>
        </w:rPr>
        <w:t>Dependencia y desarrollo en América Latina,</w:t>
      </w:r>
    </w:p>
    <w:p>
      <w:pPr>
        <w:spacing w:before="12"/>
        <w:ind w:left="119" w:right="0" w:firstLine="0"/>
        <w:jc w:val="left"/>
        <w:rPr>
          <w:sz w:val="16"/>
        </w:rPr>
      </w:pPr>
      <w:r>
        <w:rPr>
          <w:color w:val="231F20"/>
          <w:w w:val="110"/>
          <w:sz w:val="16"/>
        </w:rPr>
        <w:t>México, Siglo XXI, Editores, 317  pp.</w:t>
      </w:r>
    </w:p>
    <w:p>
      <w:pPr>
        <w:spacing w:after="0"/>
        <w:jc w:val="left"/>
        <w:rPr>
          <w:sz w:val="16"/>
        </w:rPr>
        <w:sectPr>
          <w:pgSz w:w="9520" w:h="12920"/>
          <w:pgMar w:header="0" w:footer="1344" w:top="880" w:bottom="1540" w:left="1000" w:right="1320"/>
        </w:sectPr>
      </w:pPr>
    </w:p>
    <w:p>
      <w:pPr>
        <w:pStyle w:val="BodyText"/>
        <w:spacing w:line="288" w:lineRule="auto" w:before="42"/>
        <w:ind w:left="124" w:right="112" w:firstLine="360"/>
        <w:jc w:val="both"/>
      </w:pPr>
      <w:r>
        <w:rPr>
          <w:color w:val="231F20"/>
          <w:w w:val="110"/>
        </w:rPr>
        <w:t>Ejemplo</w:t>
      </w:r>
      <w:r>
        <w:rPr>
          <w:color w:val="231F20"/>
          <w:spacing w:val="-5"/>
          <w:w w:val="110"/>
        </w:rPr>
        <w:t> </w:t>
      </w:r>
      <w:r>
        <w:rPr>
          <w:color w:val="231F20"/>
          <w:w w:val="110"/>
        </w:rPr>
        <w:t>de</w:t>
      </w:r>
      <w:r>
        <w:rPr>
          <w:color w:val="231F20"/>
          <w:spacing w:val="-5"/>
          <w:w w:val="110"/>
        </w:rPr>
        <w:t> </w:t>
      </w:r>
      <w:r>
        <w:rPr>
          <w:color w:val="231F20"/>
          <w:w w:val="110"/>
        </w:rPr>
        <w:t>ello</w:t>
      </w:r>
      <w:r>
        <w:rPr>
          <w:color w:val="231F20"/>
          <w:spacing w:val="-5"/>
          <w:w w:val="110"/>
        </w:rPr>
        <w:t> </w:t>
      </w:r>
      <w:r>
        <w:rPr>
          <w:color w:val="231F20"/>
          <w:w w:val="110"/>
        </w:rPr>
        <w:t>es</w:t>
      </w:r>
      <w:r>
        <w:rPr>
          <w:color w:val="231F20"/>
          <w:spacing w:val="-5"/>
          <w:w w:val="110"/>
        </w:rPr>
        <w:t> </w:t>
      </w:r>
      <w:r>
        <w:rPr>
          <w:color w:val="231F20"/>
          <w:w w:val="110"/>
        </w:rPr>
        <w:t>el</w:t>
      </w:r>
      <w:r>
        <w:rPr>
          <w:color w:val="231F20"/>
          <w:spacing w:val="-5"/>
          <w:w w:val="110"/>
        </w:rPr>
        <w:t> </w:t>
      </w:r>
      <w:r>
        <w:rPr>
          <w:color w:val="231F20"/>
          <w:w w:val="110"/>
        </w:rPr>
        <w:t>Estado</w:t>
      </w:r>
      <w:r>
        <w:rPr>
          <w:color w:val="231F20"/>
          <w:spacing w:val="-5"/>
          <w:w w:val="110"/>
        </w:rPr>
        <w:t> </w:t>
      </w:r>
      <w:r>
        <w:rPr>
          <w:color w:val="231F20"/>
          <w:w w:val="110"/>
        </w:rPr>
        <w:t>de</w:t>
      </w:r>
      <w:r>
        <w:rPr>
          <w:color w:val="231F20"/>
          <w:spacing w:val="-5"/>
          <w:w w:val="110"/>
        </w:rPr>
        <w:t> </w:t>
      </w:r>
      <w:r>
        <w:rPr>
          <w:color w:val="231F20"/>
          <w:w w:val="110"/>
        </w:rPr>
        <w:t>México,</w:t>
      </w:r>
      <w:r>
        <w:rPr>
          <w:color w:val="231F20"/>
          <w:spacing w:val="-5"/>
          <w:w w:val="110"/>
        </w:rPr>
        <w:t> </w:t>
      </w:r>
      <w:r>
        <w:rPr>
          <w:color w:val="231F20"/>
          <w:w w:val="110"/>
        </w:rPr>
        <w:t>que</w:t>
      </w:r>
      <w:r>
        <w:rPr>
          <w:color w:val="231F20"/>
          <w:spacing w:val="-5"/>
          <w:w w:val="110"/>
        </w:rPr>
        <w:t> </w:t>
      </w:r>
      <w:r>
        <w:rPr>
          <w:color w:val="231F20"/>
          <w:w w:val="110"/>
        </w:rPr>
        <w:t>al</w:t>
      </w:r>
      <w:r>
        <w:rPr>
          <w:color w:val="231F20"/>
          <w:spacing w:val="-5"/>
          <w:w w:val="110"/>
        </w:rPr>
        <w:t> </w:t>
      </w:r>
      <w:r>
        <w:rPr>
          <w:color w:val="231F20"/>
          <w:w w:val="110"/>
        </w:rPr>
        <w:t>ser</w:t>
      </w:r>
      <w:r>
        <w:rPr>
          <w:color w:val="231F20"/>
          <w:spacing w:val="-5"/>
          <w:w w:val="110"/>
        </w:rPr>
        <w:t> </w:t>
      </w:r>
      <w:r>
        <w:rPr>
          <w:color w:val="231F20"/>
          <w:w w:val="110"/>
        </w:rPr>
        <w:t>la</w:t>
      </w:r>
      <w:r>
        <w:rPr>
          <w:color w:val="231F20"/>
          <w:spacing w:val="-5"/>
          <w:w w:val="110"/>
        </w:rPr>
        <w:t> </w:t>
      </w:r>
      <w:r>
        <w:rPr>
          <w:color w:val="231F20"/>
          <w:w w:val="110"/>
        </w:rPr>
        <w:t>entidad</w:t>
      </w:r>
      <w:r>
        <w:rPr>
          <w:color w:val="231F20"/>
          <w:spacing w:val="-5"/>
          <w:w w:val="110"/>
        </w:rPr>
        <w:t> </w:t>
      </w:r>
      <w:r>
        <w:rPr>
          <w:color w:val="231F20"/>
          <w:w w:val="110"/>
        </w:rPr>
        <w:t>más</w:t>
      </w:r>
      <w:r>
        <w:rPr>
          <w:color w:val="231F20"/>
          <w:spacing w:val="-5"/>
          <w:w w:val="110"/>
        </w:rPr>
        <w:t> </w:t>
      </w:r>
      <w:r>
        <w:rPr>
          <w:color w:val="231F20"/>
          <w:w w:val="110"/>
        </w:rPr>
        <w:t>indus- trializada del país e incluso la que concentra mayor población, presenta una</w:t>
      </w:r>
      <w:r>
        <w:rPr>
          <w:color w:val="231F20"/>
          <w:spacing w:val="-6"/>
          <w:w w:val="110"/>
        </w:rPr>
        <w:t> </w:t>
      </w:r>
      <w:r>
        <w:rPr>
          <w:color w:val="231F20"/>
          <w:w w:val="110"/>
        </w:rPr>
        <w:t>estructura</w:t>
      </w:r>
      <w:r>
        <w:rPr>
          <w:color w:val="231F20"/>
          <w:spacing w:val="-6"/>
          <w:w w:val="110"/>
        </w:rPr>
        <w:t> </w:t>
      </w:r>
      <w:r>
        <w:rPr>
          <w:color w:val="231F20"/>
          <w:w w:val="110"/>
        </w:rPr>
        <w:t>social</w:t>
      </w:r>
      <w:r>
        <w:rPr>
          <w:color w:val="231F20"/>
          <w:spacing w:val="-6"/>
          <w:w w:val="110"/>
        </w:rPr>
        <w:t> </w:t>
      </w:r>
      <w:r>
        <w:rPr>
          <w:color w:val="231F20"/>
          <w:w w:val="110"/>
        </w:rPr>
        <w:t>altamente</w:t>
      </w:r>
      <w:r>
        <w:rPr>
          <w:color w:val="231F20"/>
          <w:spacing w:val="-6"/>
          <w:w w:val="110"/>
        </w:rPr>
        <w:t> </w:t>
      </w:r>
      <w:r>
        <w:rPr>
          <w:color w:val="231F20"/>
          <w:w w:val="110"/>
        </w:rPr>
        <w:t>polarizada,</w:t>
      </w:r>
      <w:r>
        <w:rPr>
          <w:color w:val="231F20"/>
          <w:spacing w:val="-6"/>
          <w:w w:val="110"/>
        </w:rPr>
        <w:t> </w:t>
      </w:r>
      <w:r>
        <w:rPr>
          <w:color w:val="231F20"/>
          <w:w w:val="110"/>
        </w:rPr>
        <w:t>que</w:t>
      </w:r>
      <w:r>
        <w:rPr>
          <w:color w:val="231F20"/>
          <w:spacing w:val="-6"/>
          <w:w w:val="110"/>
        </w:rPr>
        <w:t> </w:t>
      </w:r>
      <w:r>
        <w:rPr>
          <w:color w:val="231F20"/>
          <w:w w:val="110"/>
        </w:rPr>
        <w:t>se</w:t>
      </w:r>
      <w:r>
        <w:rPr>
          <w:color w:val="231F20"/>
          <w:spacing w:val="-6"/>
          <w:w w:val="110"/>
        </w:rPr>
        <w:t> </w:t>
      </w:r>
      <w:r>
        <w:rPr>
          <w:color w:val="231F20"/>
          <w:w w:val="110"/>
        </w:rPr>
        <w:t>manifiesta</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existen- cia de grandes grupos de familias y de hogares con altos grados de margi- nación</w:t>
      </w:r>
      <w:r>
        <w:rPr>
          <w:color w:val="231F20"/>
          <w:spacing w:val="-7"/>
          <w:w w:val="110"/>
        </w:rPr>
        <w:t> </w:t>
      </w:r>
      <w:r>
        <w:rPr>
          <w:color w:val="231F20"/>
          <w:w w:val="110"/>
        </w:rPr>
        <w:t>y</w:t>
      </w:r>
      <w:r>
        <w:rPr>
          <w:color w:val="231F20"/>
          <w:spacing w:val="-7"/>
          <w:w w:val="110"/>
        </w:rPr>
        <w:t> </w:t>
      </w:r>
      <w:r>
        <w:rPr>
          <w:color w:val="231F20"/>
          <w:w w:val="110"/>
        </w:rPr>
        <w:t>pobreza.</w:t>
      </w:r>
      <w:r>
        <w:rPr>
          <w:color w:val="231F20"/>
          <w:spacing w:val="-7"/>
          <w:w w:val="110"/>
        </w:rPr>
        <w:t> </w:t>
      </w:r>
      <w:r>
        <w:rPr>
          <w:color w:val="231F20"/>
          <w:w w:val="110"/>
        </w:rPr>
        <w:t>Según</w:t>
      </w:r>
      <w:r>
        <w:rPr>
          <w:color w:val="231F20"/>
          <w:spacing w:val="-7"/>
          <w:w w:val="110"/>
        </w:rPr>
        <w:t> </w:t>
      </w:r>
      <w:r>
        <w:rPr>
          <w:color w:val="231F20"/>
          <w:w w:val="110"/>
        </w:rPr>
        <w:t>datos</w:t>
      </w:r>
      <w:r>
        <w:rPr>
          <w:color w:val="231F20"/>
          <w:spacing w:val="-7"/>
          <w:w w:val="110"/>
        </w:rPr>
        <w:t> </w:t>
      </w:r>
      <w:r>
        <w:rPr>
          <w:color w:val="231F20"/>
          <w:w w:val="110"/>
        </w:rPr>
        <w:t>del</w:t>
      </w:r>
      <w:r>
        <w:rPr>
          <w:color w:val="231F20"/>
          <w:spacing w:val="-7"/>
          <w:w w:val="110"/>
        </w:rPr>
        <w:t> </w:t>
      </w:r>
      <w:r>
        <w:rPr>
          <w:rFonts w:ascii="Times New Roman" w:hAnsi="Times New Roman"/>
          <w:color w:val="231F20"/>
          <w:spacing w:val="-3"/>
          <w:w w:val="110"/>
          <w:sz w:val="16"/>
        </w:rPr>
        <w:t>INEGI</w:t>
      </w:r>
      <w:r>
        <w:rPr>
          <w:rFonts w:ascii="Times New Roman" w:hAnsi="Times New Roman"/>
          <w:color w:val="231F20"/>
          <w:spacing w:val="-2"/>
          <w:w w:val="110"/>
          <w:sz w:val="16"/>
        </w:rPr>
        <w:t> </w:t>
      </w:r>
      <w:r>
        <w:rPr>
          <w:color w:val="231F20"/>
          <w:w w:val="110"/>
        </w:rPr>
        <w:t>de</w:t>
      </w:r>
      <w:r>
        <w:rPr>
          <w:color w:val="231F20"/>
          <w:spacing w:val="-7"/>
          <w:w w:val="110"/>
        </w:rPr>
        <w:t> </w:t>
      </w:r>
      <w:r>
        <w:rPr>
          <w:color w:val="231F20"/>
          <w:w w:val="110"/>
        </w:rPr>
        <w:t>2005,</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125</w:t>
      </w:r>
      <w:r>
        <w:rPr>
          <w:color w:val="231F20"/>
          <w:spacing w:val="-7"/>
          <w:w w:val="110"/>
        </w:rPr>
        <w:t> </w:t>
      </w:r>
      <w:r>
        <w:rPr>
          <w:color w:val="231F20"/>
          <w:w w:val="110"/>
        </w:rPr>
        <w:t>municipios</w:t>
      </w:r>
      <w:r>
        <w:rPr>
          <w:color w:val="231F20"/>
          <w:spacing w:val="-7"/>
          <w:w w:val="110"/>
        </w:rPr>
        <w:t> </w:t>
      </w:r>
      <w:r>
        <w:rPr>
          <w:color w:val="231F20"/>
          <w:w w:val="110"/>
        </w:rPr>
        <w:t>que </w:t>
      </w:r>
      <w:r>
        <w:rPr>
          <w:color w:val="231F20"/>
          <w:spacing w:val="-4"/>
          <w:w w:val="110"/>
        </w:rPr>
        <w:t>integran </w:t>
      </w:r>
      <w:r>
        <w:rPr>
          <w:color w:val="231F20"/>
          <w:w w:val="110"/>
        </w:rPr>
        <w:t>la </w:t>
      </w:r>
      <w:r>
        <w:rPr>
          <w:color w:val="231F20"/>
          <w:spacing w:val="-4"/>
          <w:w w:val="110"/>
        </w:rPr>
        <w:t>entidad, existen </w:t>
      </w:r>
      <w:r>
        <w:rPr>
          <w:color w:val="231F20"/>
          <w:w w:val="110"/>
        </w:rPr>
        <w:t>31 en </w:t>
      </w:r>
      <w:r>
        <w:rPr>
          <w:color w:val="231F20"/>
          <w:spacing w:val="-4"/>
          <w:w w:val="110"/>
        </w:rPr>
        <w:t>condiciones </w:t>
      </w:r>
      <w:r>
        <w:rPr>
          <w:color w:val="231F20"/>
          <w:w w:val="110"/>
        </w:rPr>
        <w:t>de </w:t>
      </w:r>
      <w:r>
        <w:rPr>
          <w:color w:val="231F20"/>
          <w:spacing w:val="-5"/>
          <w:w w:val="110"/>
        </w:rPr>
        <w:t>marginación </w:t>
      </w:r>
      <w:r>
        <w:rPr>
          <w:color w:val="231F20"/>
          <w:spacing w:val="-4"/>
          <w:w w:val="110"/>
        </w:rPr>
        <w:t>alta, </w:t>
      </w:r>
      <w:r>
        <w:rPr>
          <w:color w:val="231F20"/>
          <w:w w:val="110"/>
        </w:rPr>
        <w:t>lo </w:t>
      </w:r>
      <w:r>
        <w:rPr>
          <w:color w:val="231F20"/>
          <w:spacing w:val="-3"/>
          <w:w w:val="110"/>
        </w:rPr>
        <w:t>que re- </w:t>
      </w:r>
      <w:r>
        <w:rPr>
          <w:color w:val="231F20"/>
          <w:w w:val="110"/>
        </w:rPr>
        <w:t>presenta 25.4 por ciento de todos los municipios; de éstos, 30 se localizan en el </w:t>
      </w:r>
      <w:r>
        <w:rPr>
          <w:color w:val="231F20"/>
          <w:spacing w:val="-5"/>
          <w:w w:val="110"/>
        </w:rPr>
        <w:t>Valle </w:t>
      </w:r>
      <w:r>
        <w:rPr>
          <w:color w:val="231F20"/>
          <w:w w:val="110"/>
        </w:rPr>
        <w:t>de </w:t>
      </w:r>
      <w:r>
        <w:rPr>
          <w:color w:val="231F20"/>
          <w:spacing w:val="-3"/>
          <w:w w:val="110"/>
        </w:rPr>
        <w:t>Toluca </w:t>
      </w:r>
      <w:r>
        <w:rPr>
          <w:color w:val="231F20"/>
          <w:w w:val="110"/>
        </w:rPr>
        <w:t>y uno en el </w:t>
      </w:r>
      <w:r>
        <w:rPr>
          <w:color w:val="231F20"/>
          <w:spacing w:val="-5"/>
          <w:w w:val="110"/>
        </w:rPr>
        <w:t>Valle </w:t>
      </w:r>
      <w:r>
        <w:rPr>
          <w:color w:val="231F20"/>
          <w:w w:val="110"/>
        </w:rPr>
        <w:t>de México; siendo en los primeros donde se concentra la mayor cantidad de población indígena de la</w:t>
      </w:r>
      <w:r>
        <w:rPr>
          <w:color w:val="231F20"/>
          <w:spacing w:val="-29"/>
          <w:w w:val="110"/>
        </w:rPr>
        <w:t> </w:t>
      </w:r>
      <w:r>
        <w:rPr>
          <w:color w:val="231F20"/>
          <w:w w:val="110"/>
        </w:rPr>
        <w:t>entidad.</w:t>
      </w:r>
    </w:p>
    <w:p>
      <w:pPr>
        <w:pStyle w:val="BodyText"/>
      </w:pPr>
    </w:p>
    <w:p>
      <w:pPr>
        <w:pStyle w:val="BodyText"/>
        <w:spacing w:before="10"/>
        <w:rPr>
          <w:sz w:val="24"/>
        </w:rPr>
      </w:pPr>
    </w:p>
    <w:p>
      <w:pPr>
        <w:spacing w:before="0"/>
        <w:ind w:left="124" w:right="0" w:firstLine="0"/>
        <w:jc w:val="left"/>
        <w:rPr>
          <w:rFonts w:ascii="Times New Roman" w:hAnsi="Times New Roman"/>
          <w:i/>
          <w:sz w:val="24"/>
        </w:rPr>
      </w:pPr>
      <w:r>
        <w:rPr>
          <w:rFonts w:ascii="Times New Roman" w:hAnsi="Times New Roman"/>
          <w:i/>
          <w:color w:val="231F20"/>
          <w:w w:val="95"/>
          <w:sz w:val="24"/>
        </w:rPr>
        <w:t>P</w:t>
      </w:r>
      <w:r>
        <w:rPr>
          <w:rFonts w:ascii="Times New Roman" w:hAnsi="Times New Roman"/>
          <w:i/>
          <w:color w:val="231F20"/>
          <w:w w:val="95"/>
          <w:sz w:val="19"/>
        </w:rPr>
        <w:t>ROGRAMAS Y PLANES EN  </w:t>
      </w:r>
      <w:r>
        <w:rPr>
          <w:rFonts w:ascii="Times New Roman" w:hAnsi="Times New Roman"/>
          <w:i/>
          <w:color w:val="231F20"/>
          <w:w w:val="95"/>
          <w:sz w:val="24"/>
        </w:rPr>
        <w:t>M</w:t>
      </w:r>
      <w:r>
        <w:rPr>
          <w:rFonts w:ascii="Times New Roman" w:hAnsi="Times New Roman"/>
          <w:i/>
          <w:color w:val="231F20"/>
          <w:w w:val="95"/>
          <w:sz w:val="19"/>
        </w:rPr>
        <w:t>ÉXICO</w:t>
      </w:r>
      <w:r>
        <w:rPr>
          <w:rFonts w:ascii="Times New Roman" w:hAnsi="Times New Roman"/>
          <w:i/>
          <w:color w:val="231F20"/>
          <w:w w:val="95"/>
          <w:sz w:val="24"/>
        </w:rPr>
        <w:t>.</w:t>
      </w:r>
    </w:p>
    <w:p>
      <w:pPr>
        <w:spacing w:line="285" w:lineRule="auto" w:before="6"/>
        <w:ind w:left="124" w:right="2875" w:firstLine="0"/>
        <w:jc w:val="left"/>
        <w:rPr>
          <w:rFonts w:ascii="Times New Roman" w:hAnsi="Times New Roman"/>
          <w:i/>
          <w:sz w:val="19"/>
        </w:rPr>
      </w:pPr>
      <w:r>
        <w:rPr>
          <w:rFonts w:ascii="Times New Roman" w:hAnsi="Times New Roman"/>
          <w:i/>
          <w:color w:val="231F20"/>
          <w:sz w:val="24"/>
        </w:rPr>
        <w:t>L</w:t>
      </w:r>
      <w:r>
        <w:rPr>
          <w:rFonts w:ascii="Times New Roman" w:hAnsi="Times New Roman"/>
          <w:i/>
          <w:color w:val="231F20"/>
          <w:sz w:val="19"/>
        </w:rPr>
        <w:t>A REALIDAD DE LA DINÁMICA FAMILIAR </w:t>
      </w:r>
      <w:r>
        <w:rPr>
          <w:rFonts w:ascii="Times New Roman" w:hAnsi="Times New Roman"/>
          <w:i/>
          <w:color w:val="231F20"/>
          <w:w w:val="95"/>
          <w:sz w:val="19"/>
        </w:rPr>
        <w:t>FRENTE A LOS DISEÑOS DE POLÍTICA PÚBLICA</w:t>
      </w:r>
    </w:p>
    <w:p>
      <w:pPr>
        <w:pStyle w:val="BodyText"/>
        <w:spacing w:before="3"/>
        <w:rPr>
          <w:rFonts w:ascii="Times New Roman"/>
          <w:i/>
          <w:sz w:val="25"/>
        </w:rPr>
      </w:pPr>
    </w:p>
    <w:p>
      <w:pPr>
        <w:pStyle w:val="BodyText"/>
        <w:spacing w:line="288" w:lineRule="auto"/>
        <w:ind w:left="120" w:right="109"/>
        <w:jc w:val="right"/>
      </w:pPr>
      <w:r>
        <w:rPr>
          <w:color w:val="231F20"/>
          <w:w w:val="110"/>
        </w:rPr>
        <w:t>La historia de la política de programas de atención a la pobreza</w:t>
      </w:r>
      <w:r>
        <w:rPr>
          <w:color w:val="231F20"/>
          <w:spacing w:val="41"/>
          <w:w w:val="110"/>
        </w:rPr>
        <w:t> </w:t>
      </w:r>
      <w:r>
        <w:rPr>
          <w:color w:val="231F20"/>
          <w:w w:val="110"/>
        </w:rPr>
        <w:t>en</w:t>
      </w:r>
      <w:r>
        <w:rPr>
          <w:color w:val="231F20"/>
          <w:spacing w:val="3"/>
          <w:w w:val="110"/>
        </w:rPr>
        <w:t> </w:t>
      </w:r>
      <w:r>
        <w:rPr>
          <w:color w:val="231F20"/>
          <w:w w:val="110"/>
        </w:rPr>
        <w:t>México</w:t>
      </w:r>
      <w:r>
        <w:rPr>
          <w:color w:val="231F20"/>
          <w:w w:val="111"/>
        </w:rPr>
        <w:t> </w:t>
      </w:r>
      <w:r>
        <w:rPr>
          <w:color w:val="231F20"/>
          <w:w w:val="110"/>
        </w:rPr>
        <w:t>tiene</w:t>
      </w:r>
      <w:r>
        <w:rPr>
          <w:color w:val="231F20"/>
          <w:spacing w:val="-9"/>
          <w:w w:val="110"/>
        </w:rPr>
        <w:t> </w:t>
      </w:r>
      <w:r>
        <w:rPr>
          <w:color w:val="231F20"/>
          <w:w w:val="110"/>
        </w:rPr>
        <w:t>mayor</w:t>
      </w:r>
      <w:r>
        <w:rPr>
          <w:color w:val="231F20"/>
          <w:spacing w:val="-9"/>
          <w:w w:val="110"/>
        </w:rPr>
        <w:t> </w:t>
      </w:r>
      <w:r>
        <w:rPr>
          <w:color w:val="231F20"/>
          <w:w w:val="110"/>
        </w:rPr>
        <w:t>visibilidad</w:t>
      </w:r>
      <w:r>
        <w:rPr>
          <w:color w:val="231F20"/>
          <w:spacing w:val="-9"/>
          <w:w w:val="110"/>
        </w:rPr>
        <w:t> </w:t>
      </w:r>
      <w:r>
        <w:rPr>
          <w:color w:val="231F20"/>
          <w:w w:val="110"/>
        </w:rPr>
        <w:t>a</w:t>
      </w:r>
      <w:r>
        <w:rPr>
          <w:color w:val="231F20"/>
          <w:spacing w:val="-9"/>
          <w:w w:val="110"/>
        </w:rPr>
        <w:t> </w:t>
      </w:r>
      <w:r>
        <w:rPr>
          <w:color w:val="231F20"/>
          <w:w w:val="110"/>
        </w:rPr>
        <w:t>partir</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década</w:t>
      </w:r>
      <w:r>
        <w:rPr>
          <w:color w:val="231F20"/>
          <w:spacing w:val="-9"/>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sesenta</w:t>
      </w:r>
      <w:r>
        <w:rPr>
          <w:color w:val="231F20"/>
          <w:spacing w:val="-9"/>
          <w:w w:val="110"/>
        </w:rPr>
        <w:t> </w:t>
      </w:r>
      <w:r>
        <w:rPr>
          <w:color w:val="231F20"/>
          <w:w w:val="110"/>
        </w:rPr>
        <w:t>del</w:t>
      </w:r>
      <w:r>
        <w:rPr>
          <w:color w:val="231F20"/>
          <w:spacing w:val="-9"/>
          <w:w w:val="110"/>
        </w:rPr>
        <w:t> </w:t>
      </w:r>
      <w:r>
        <w:rPr>
          <w:color w:val="231F20"/>
          <w:w w:val="110"/>
        </w:rPr>
        <w:t>siglo</w:t>
      </w:r>
      <w:r>
        <w:rPr>
          <w:color w:val="231F20"/>
          <w:spacing w:val="-9"/>
          <w:w w:val="110"/>
        </w:rPr>
        <w:t> </w:t>
      </w:r>
      <w:r>
        <w:rPr>
          <w:color w:val="231F20"/>
          <w:w w:val="110"/>
        </w:rPr>
        <w:t>pasado,</w:t>
      </w:r>
      <w:r>
        <w:rPr>
          <w:color w:val="231F20"/>
          <w:w w:val="110"/>
        </w:rPr>
        <w:t> </w:t>
      </w:r>
      <w:r>
        <w:rPr>
          <w:color w:val="231F20"/>
          <w:w w:val="110"/>
        </w:rPr>
        <w:t>con programas tan publicitados y manejados políticamente por</w:t>
      </w:r>
      <w:r>
        <w:rPr>
          <w:color w:val="231F20"/>
          <w:spacing w:val="-9"/>
          <w:w w:val="110"/>
        </w:rPr>
        <w:t> </w:t>
      </w:r>
      <w:r>
        <w:rPr>
          <w:color w:val="231F20"/>
          <w:w w:val="110"/>
        </w:rPr>
        <w:t>los</w:t>
      </w:r>
      <w:r>
        <w:rPr>
          <w:color w:val="231F20"/>
          <w:spacing w:val="-2"/>
          <w:w w:val="110"/>
        </w:rPr>
        <w:t> </w:t>
      </w:r>
      <w:r>
        <w:rPr>
          <w:color w:val="231F20"/>
          <w:w w:val="110"/>
        </w:rPr>
        <w:t>gobier-</w:t>
      </w:r>
      <w:r>
        <w:rPr>
          <w:color w:val="231F20"/>
          <w:w w:val="93"/>
        </w:rPr>
        <w:t> </w:t>
      </w:r>
      <w:r>
        <w:rPr>
          <w:color w:val="231F20"/>
          <w:w w:val="110"/>
        </w:rPr>
        <w:t>nos</w:t>
      </w:r>
      <w:r>
        <w:rPr>
          <w:color w:val="231F20"/>
          <w:spacing w:val="-11"/>
          <w:w w:val="110"/>
        </w:rPr>
        <w:t> </w:t>
      </w:r>
      <w:r>
        <w:rPr>
          <w:color w:val="231F20"/>
          <w:w w:val="110"/>
        </w:rPr>
        <w:t>como</w:t>
      </w:r>
      <w:r>
        <w:rPr>
          <w:color w:val="231F20"/>
          <w:spacing w:val="-11"/>
          <w:w w:val="110"/>
        </w:rPr>
        <w:t> </w:t>
      </w:r>
      <w:r>
        <w:rPr>
          <w:color w:val="231F20"/>
          <w:w w:val="110"/>
        </w:rPr>
        <w:t>Caminos</w:t>
      </w:r>
      <w:r>
        <w:rPr>
          <w:color w:val="231F20"/>
          <w:spacing w:val="-11"/>
          <w:w w:val="110"/>
        </w:rPr>
        <w:t> </w:t>
      </w:r>
      <w:r>
        <w:rPr>
          <w:color w:val="231F20"/>
          <w:w w:val="110"/>
        </w:rPr>
        <w:t>de</w:t>
      </w:r>
      <w:r>
        <w:rPr>
          <w:color w:val="231F20"/>
          <w:spacing w:val="-11"/>
          <w:w w:val="110"/>
        </w:rPr>
        <w:t> </w:t>
      </w:r>
      <w:r>
        <w:rPr>
          <w:color w:val="231F20"/>
          <w:w w:val="110"/>
        </w:rPr>
        <w:t>Mano</w:t>
      </w:r>
      <w:r>
        <w:rPr>
          <w:color w:val="231F20"/>
          <w:spacing w:val="-11"/>
          <w:w w:val="110"/>
        </w:rPr>
        <w:t> </w:t>
      </w:r>
      <w:r>
        <w:rPr>
          <w:color w:val="231F20"/>
          <w:w w:val="110"/>
        </w:rPr>
        <w:t>de</w:t>
      </w:r>
      <w:r>
        <w:rPr>
          <w:color w:val="231F20"/>
          <w:spacing w:val="-11"/>
          <w:w w:val="110"/>
        </w:rPr>
        <w:t> </w:t>
      </w:r>
      <w:r>
        <w:rPr>
          <w:color w:val="231F20"/>
          <w:w w:val="110"/>
        </w:rPr>
        <w:t>Obra</w:t>
      </w:r>
      <w:r>
        <w:rPr>
          <w:color w:val="231F20"/>
          <w:spacing w:val="-11"/>
          <w:w w:val="110"/>
        </w:rPr>
        <w:t> </w:t>
      </w:r>
      <w:r>
        <w:rPr>
          <w:color w:val="231F20"/>
          <w:w w:val="110"/>
        </w:rPr>
        <w:t>(Camao,</w:t>
      </w:r>
      <w:r>
        <w:rPr>
          <w:color w:val="231F20"/>
          <w:spacing w:val="-11"/>
          <w:w w:val="110"/>
        </w:rPr>
        <w:t> </w:t>
      </w:r>
      <w:r>
        <w:rPr>
          <w:color w:val="231F20"/>
          <w:w w:val="110"/>
        </w:rPr>
        <w:t>1968-1976),</w:t>
      </w:r>
      <w:r>
        <w:rPr>
          <w:color w:val="231F20"/>
          <w:spacing w:val="-11"/>
          <w:w w:val="110"/>
        </w:rPr>
        <w:t> </w:t>
      </w:r>
      <w:r>
        <w:rPr>
          <w:color w:val="231F20"/>
          <w:w w:val="110"/>
        </w:rPr>
        <w:t>Inversiones</w:t>
      </w:r>
      <w:r>
        <w:rPr>
          <w:color w:val="231F20"/>
          <w:spacing w:val="-11"/>
          <w:w w:val="110"/>
        </w:rPr>
        <w:t> </w:t>
      </w:r>
      <w:r>
        <w:rPr>
          <w:color w:val="231F20"/>
          <w:w w:val="110"/>
        </w:rPr>
        <w:t>para</w:t>
      </w:r>
      <w:r>
        <w:rPr>
          <w:color w:val="231F20"/>
          <w:w w:val="108"/>
        </w:rPr>
        <w:t> </w:t>
      </w:r>
      <w:r>
        <w:rPr>
          <w:color w:val="231F20"/>
          <w:w w:val="110"/>
        </w:rPr>
        <w:t>el Desarrollo Rural </w:t>
      </w:r>
      <w:r>
        <w:rPr>
          <w:color w:val="231F20"/>
          <w:spacing w:val="-3"/>
          <w:w w:val="110"/>
        </w:rPr>
        <w:t>(Pider, </w:t>
      </w:r>
      <w:r>
        <w:rPr>
          <w:color w:val="231F20"/>
          <w:w w:val="110"/>
        </w:rPr>
        <w:t>1970-1982) y la Coordinación General</w:t>
      </w:r>
      <w:r>
        <w:rPr>
          <w:color w:val="231F20"/>
          <w:spacing w:val="11"/>
          <w:w w:val="110"/>
        </w:rPr>
        <w:t> </w:t>
      </w:r>
      <w:r>
        <w:rPr>
          <w:color w:val="231F20"/>
          <w:w w:val="110"/>
        </w:rPr>
        <w:t>del</w:t>
      </w:r>
      <w:r>
        <w:rPr>
          <w:color w:val="231F20"/>
          <w:spacing w:val="6"/>
          <w:w w:val="110"/>
        </w:rPr>
        <w:t> </w:t>
      </w:r>
      <w:r>
        <w:rPr>
          <w:color w:val="231F20"/>
          <w:w w:val="110"/>
        </w:rPr>
        <w:t>Plan</w:t>
      </w:r>
      <w:r>
        <w:rPr>
          <w:color w:val="231F20"/>
          <w:w w:val="111"/>
        </w:rPr>
        <w:t> </w:t>
      </w:r>
      <w:r>
        <w:rPr>
          <w:color w:val="231F20"/>
          <w:spacing w:val="-4"/>
          <w:w w:val="110"/>
        </w:rPr>
        <w:t>Nacional </w:t>
      </w:r>
      <w:r>
        <w:rPr>
          <w:color w:val="231F20"/>
          <w:w w:val="110"/>
        </w:rPr>
        <w:t>de </w:t>
      </w:r>
      <w:r>
        <w:rPr>
          <w:color w:val="231F20"/>
          <w:spacing w:val="-4"/>
          <w:w w:val="110"/>
        </w:rPr>
        <w:t>Zonas Deprimidas </w:t>
      </w:r>
      <w:r>
        <w:rPr>
          <w:color w:val="231F20"/>
          <w:w w:val="110"/>
        </w:rPr>
        <w:t>y </w:t>
      </w:r>
      <w:r>
        <w:rPr>
          <w:color w:val="231F20"/>
          <w:spacing w:val="-4"/>
          <w:w w:val="110"/>
        </w:rPr>
        <w:t>Grupos </w:t>
      </w:r>
      <w:r>
        <w:rPr>
          <w:color w:val="231F20"/>
          <w:spacing w:val="-5"/>
          <w:w w:val="110"/>
        </w:rPr>
        <w:t>Marginados</w:t>
      </w:r>
      <w:r>
        <w:rPr>
          <w:color w:val="231F20"/>
          <w:spacing w:val="13"/>
          <w:w w:val="110"/>
        </w:rPr>
        <w:t> </w:t>
      </w:r>
      <w:r>
        <w:rPr>
          <w:color w:val="231F20"/>
          <w:spacing w:val="-6"/>
          <w:w w:val="110"/>
        </w:rPr>
        <w:t>(Coplamar,</w:t>
      </w:r>
      <w:r>
        <w:rPr>
          <w:color w:val="231F20"/>
          <w:spacing w:val="-1"/>
          <w:w w:val="110"/>
        </w:rPr>
        <w:t> </w:t>
      </w:r>
      <w:r>
        <w:rPr>
          <w:color w:val="231F20"/>
          <w:spacing w:val="-4"/>
          <w:w w:val="110"/>
        </w:rPr>
        <w:t>1976-1983).</w:t>
      </w:r>
      <w:r>
        <w:rPr>
          <w:color w:val="231F20"/>
          <w:w w:val="128"/>
        </w:rPr>
        <w:t> </w:t>
      </w:r>
      <w:r>
        <w:rPr>
          <w:color w:val="231F20"/>
          <w:w w:val="110"/>
        </w:rPr>
        <w:t>El</w:t>
      </w:r>
      <w:r>
        <w:rPr>
          <w:color w:val="231F20"/>
          <w:spacing w:val="22"/>
          <w:w w:val="110"/>
        </w:rPr>
        <w:t> </w:t>
      </w:r>
      <w:r>
        <w:rPr>
          <w:color w:val="231F20"/>
          <w:w w:val="110"/>
        </w:rPr>
        <w:t>Coplamar</w:t>
      </w:r>
      <w:r>
        <w:rPr>
          <w:color w:val="231F20"/>
          <w:spacing w:val="22"/>
          <w:w w:val="110"/>
        </w:rPr>
        <w:t> </w:t>
      </w:r>
      <w:r>
        <w:rPr>
          <w:color w:val="231F20"/>
          <w:w w:val="110"/>
        </w:rPr>
        <w:t>fue</w:t>
      </w:r>
      <w:r>
        <w:rPr>
          <w:color w:val="231F20"/>
          <w:spacing w:val="22"/>
          <w:w w:val="110"/>
        </w:rPr>
        <w:t> </w:t>
      </w:r>
      <w:r>
        <w:rPr>
          <w:color w:val="231F20"/>
          <w:w w:val="110"/>
        </w:rPr>
        <w:t>presentado</w:t>
      </w:r>
      <w:r>
        <w:rPr>
          <w:color w:val="231F20"/>
          <w:spacing w:val="22"/>
          <w:w w:val="110"/>
        </w:rPr>
        <w:t> </w:t>
      </w:r>
      <w:r>
        <w:rPr>
          <w:color w:val="231F20"/>
          <w:w w:val="110"/>
        </w:rPr>
        <w:t>como</w:t>
      </w:r>
      <w:r>
        <w:rPr>
          <w:color w:val="231F20"/>
          <w:spacing w:val="22"/>
          <w:w w:val="110"/>
        </w:rPr>
        <w:t> </w:t>
      </w:r>
      <w:r>
        <w:rPr>
          <w:color w:val="231F20"/>
          <w:w w:val="110"/>
        </w:rPr>
        <w:t>una</w:t>
      </w:r>
      <w:r>
        <w:rPr>
          <w:color w:val="231F20"/>
          <w:spacing w:val="22"/>
          <w:w w:val="110"/>
        </w:rPr>
        <w:t> </w:t>
      </w:r>
      <w:r>
        <w:rPr>
          <w:color w:val="231F20"/>
          <w:w w:val="110"/>
        </w:rPr>
        <w:t>de</w:t>
      </w:r>
      <w:r>
        <w:rPr>
          <w:color w:val="231F20"/>
          <w:spacing w:val="22"/>
          <w:w w:val="110"/>
        </w:rPr>
        <w:t> </w:t>
      </w:r>
      <w:r>
        <w:rPr>
          <w:color w:val="231F20"/>
          <w:w w:val="110"/>
        </w:rPr>
        <w:t>las</w:t>
      </w:r>
      <w:r>
        <w:rPr>
          <w:color w:val="231F20"/>
          <w:spacing w:val="22"/>
          <w:w w:val="110"/>
        </w:rPr>
        <w:t> </w:t>
      </w:r>
      <w:r>
        <w:rPr>
          <w:color w:val="231F20"/>
          <w:w w:val="110"/>
        </w:rPr>
        <w:t>acciones</w:t>
      </w:r>
      <w:r>
        <w:rPr>
          <w:color w:val="231F20"/>
          <w:spacing w:val="22"/>
          <w:w w:val="110"/>
        </w:rPr>
        <w:t> </w:t>
      </w:r>
      <w:r>
        <w:rPr>
          <w:color w:val="231F20"/>
          <w:w w:val="110"/>
        </w:rPr>
        <w:t>en</w:t>
      </w:r>
      <w:r>
        <w:rPr>
          <w:color w:val="231F20"/>
          <w:spacing w:val="22"/>
          <w:w w:val="110"/>
        </w:rPr>
        <w:t> </w:t>
      </w:r>
      <w:r>
        <w:rPr>
          <w:color w:val="231F20"/>
          <w:w w:val="110"/>
        </w:rPr>
        <w:t>materia</w:t>
      </w:r>
      <w:r>
        <w:rPr>
          <w:color w:val="231F20"/>
          <w:spacing w:val="22"/>
          <w:w w:val="110"/>
        </w:rPr>
        <w:t> </w:t>
      </w:r>
      <w:r>
        <w:rPr>
          <w:color w:val="231F20"/>
          <w:w w:val="110"/>
        </w:rPr>
        <w:t>de</w:t>
      </w:r>
      <w:r>
        <w:rPr>
          <w:color w:val="231F20"/>
          <w:w w:val="108"/>
        </w:rPr>
        <w:t> </w:t>
      </w:r>
      <w:r>
        <w:rPr>
          <w:color w:val="231F20"/>
          <w:w w:val="110"/>
        </w:rPr>
        <w:t>planeación y desarrollo orientada especialmente al combate contra</w:t>
      </w:r>
      <w:r>
        <w:rPr>
          <w:color w:val="231F20"/>
          <w:spacing w:val="37"/>
          <w:w w:val="110"/>
        </w:rPr>
        <w:t> </w:t>
      </w:r>
      <w:r>
        <w:rPr>
          <w:color w:val="231F20"/>
          <w:w w:val="110"/>
        </w:rPr>
        <w:t>la</w:t>
      </w:r>
      <w:r>
        <w:rPr>
          <w:color w:val="231F20"/>
          <w:spacing w:val="10"/>
          <w:w w:val="110"/>
        </w:rPr>
        <w:t> </w:t>
      </w:r>
      <w:r>
        <w:rPr>
          <w:color w:val="231F20"/>
          <w:w w:val="110"/>
        </w:rPr>
        <w:t>po-</w:t>
      </w:r>
      <w:r>
        <w:rPr>
          <w:color w:val="231F20"/>
          <w:w w:val="93"/>
        </w:rPr>
        <w:t> </w:t>
      </w:r>
      <w:r>
        <w:rPr>
          <w:color w:val="231F20"/>
          <w:w w:val="110"/>
        </w:rPr>
        <w:t>breza,</w:t>
      </w:r>
      <w:r>
        <w:rPr>
          <w:color w:val="231F20"/>
          <w:spacing w:val="16"/>
          <w:w w:val="110"/>
        </w:rPr>
        <w:t> </w:t>
      </w:r>
      <w:r>
        <w:rPr>
          <w:color w:val="231F20"/>
          <w:w w:val="110"/>
        </w:rPr>
        <w:t>aunque</w:t>
      </w:r>
      <w:r>
        <w:rPr>
          <w:color w:val="231F20"/>
          <w:spacing w:val="16"/>
          <w:w w:val="110"/>
        </w:rPr>
        <w:t> </w:t>
      </w:r>
      <w:r>
        <w:rPr>
          <w:color w:val="231F20"/>
          <w:w w:val="110"/>
        </w:rPr>
        <w:t>en</w:t>
      </w:r>
      <w:r>
        <w:rPr>
          <w:color w:val="231F20"/>
          <w:spacing w:val="16"/>
          <w:w w:val="110"/>
        </w:rPr>
        <w:t> </w:t>
      </w:r>
      <w:r>
        <w:rPr>
          <w:color w:val="231F20"/>
          <w:w w:val="110"/>
        </w:rPr>
        <w:t>la</w:t>
      </w:r>
      <w:r>
        <w:rPr>
          <w:color w:val="231F20"/>
          <w:spacing w:val="16"/>
          <w:w w:val="110"/>
        </w:rPr>
        <w:t> </w:t>
      </w:r>
      <w:r>
        <w:rPr>
          <w:color w:val="231F20"/>
          <w:w w:val="110"/>
        </w:rPr>
        <w:t>práctica,</w:t>
      </w:r>
      <w:r>
        <w:rPr>
          <w:color w:val="231F20"/>
          <w:spacing w:val="16"/>
          <w:w w:val="110"/>
        </w:rPr>
        <w:t> </w:t>
      </w:r>
      <w:r>
        <w:rPr>
          <w:color w:val="231F20"/>
          <w:w w:val="110"/>
        </w:rPr>
        <w:t>más</w:t>
      </w:r>
      <w:r>
        <w:rPr>
          <w:color w:val="231F20"/>
          <w:spacing w:val="16"/>
          <w:w w:val="110"/>
        </w:rPr>
        <w:t> </w:t>
      </w:r>
      <w:r>
        <w:rPr>
          <w:color w:val="231F20"/>
          <w:w w:val="110"/>
        </w:rPr>
        <w:t>que</w:t>
      </w:r>
      <w:r>
        <w:rPr>
          <w:color w:val="231F20"/>
          <w:spacing w:val="16"/>
          <w:w w:val="110"/>
        </w:rPr>
        <w:t> </w:t>
      </w:r>
      <w:r>
        <w:rPr>
          <w:color w:val="231F20"/>
          <w:w w:val="110"/>
        </w:rPr>
        <w:t>un</w:t>
      </w:r>
      <w:r>
        <w:rPr>
          <w:color w:val="231F20"/>
          <w:spacing w:val="16"/>
          <w:w w:val="110"/>
        </w:rPr>
        <w:t> </w:t>
      </w:r>
      <w:r>
        <w:rPr>
          <w:color w:val="231F20"/>
          <w:w w:val="110"/>
        </w:rPr>
        <w:t>programa</w:t>
      </w:r>
      <w:r>
        <w:rPr>
          <w:color w:val="231F20"/>
          <w:spacing w:val="16"/>
          <w:w w:val="110"/>
        </w:rPr>
        <w:t> </w:t>
      </w:r>
      <w:r>
        <w:rPr>
          <w:color w:val="231F20"/>
          <w:w w:val="110"/>
        </w:rPr>
        <w:t>social,</w:t>
      </w:r>
      <w:r>
        <w:rPr>
          <w:color w:val="231F20"/>
          <w:spacing w:val="16"/>
          <w:w w:val="110"/>
        </w:rPr>
        <w:t> </w:t>
      </w:r>
      <w:r>
        <w:rPr>
          <w:color w:val="231F20"/>
          <w:w w:val="110"/>
        </w:rPr>
        <w:t>fue</w:t>
      </w:r>
      <w:r>
        <w:rPr>
          <w:color w:val="231F20"/>
          <w:spacing w:val="16"/>
          <w:w w:val="110"/>
        </w:rPr>
        <w:t> </w:t>
      </w:r>
      <w:r>
        <w:rPr>
          <w:color w:val="231F20"/>
          <w:w w:val="110"/>
        </w:rPr>
        <w:t>una</w:t>
      </w:r>
      <w:r>
        <w:rPr>
          <w:color w:val="231F20"/>
          <w:spacing w:val="16"/>
          <w:w w:val="110"/>
        </w:rPr>
        <w:t> </w:t>
      </w:r>
      <w:r>
        <w:rPr>
          <w:color w:val="231F20"/>
          <w:w w:val="110"/>
        </w:rPr>
        <w:t>de</w:t>
      </w:r>
      <w:r>
        <w:rPr>
          <w:color w:val="231F20"/>
          <w:spacing w:val="16"/>
          <w:w w:val="110"/>
        </w:rPr>
        <w:t> </w:t>
      </w:r>
      <w:r>
        <w:rPr>
          <w:color w:val="231F20"/>
          <w:w w:val="110"/>
        </w:rPr>
        <w:t>las</w:t>
      </w:r>
      <w:r>
        <w:rPr>
          <w:color w:val="231F20"/>
          <w:w w:val="110"/>
        </w:rPr>
        <w:t> </w:t>
      </w:r>
      <w:r>
        <w:rPr>
          <w:color w:val="231F20"/>
          <w:w w:val="110"/>
        </w:rPr>
        <w:t>banderas políticas más importantes del presidente en turno. La</w:t>
      </w:r>
      <w:r>
        <w:rPr>
          <w:color w:val="231F20"/>
          <w:spacing w:val="17"/>
          <w:w w:val="110"/>
        </w:rPr>
        <w:t> </w:t>
      </w:r>
      <w:r>
        <w:rPr>
          <w:color w:val="231F20"/>
          <w:w w:val="110"/>
        </w:rPr>
        <w:t>puesta</w:t>
      </w:r>
      <w:r>
        <w:rPr>
          <w:color w:val="231F20"/>
          <w:spacing w:val="7"/>
          <w:w w:val="110"/>
        </w:rPr>
        <w:t> </w:t>
      </w:r>
      <w:r>
        <w:rPr>
          <w:color w:val="231F20"/>
          <w:w w:val="110"/>
        </w:rPr>
        <w:t>en</w:t>
      </w:r>
      <w:r>
        <w:rPr>
          <w:color w:val="231F20"/>
          <w:w w:val="110"/>
        </w:rPr>
        <w:t> </w:t>
      </w:r>
      <w:r>
        <w:rPr>
          <w:color w:val="231F20"/>
          <w:w w:val="110"/>
        </w:rPr>
        <w:t>marcha de este programa, como estrategia para el desarrollo, fracasó</w:t>
      </w:r>
      <w:r>
        <w:rPr>
          <w:color w:val="231F20"/>
          <w:spacing w:val="10"/>
          <w:w w:val="110"/>
        </w:rPr>
        <w:t> </w:t>
      </w:r>
      <w:r>
        <w:rPr>
          <w:color w:val="231F20"/>
          <w:w w:val="110"/>
        </w:rPr>
        <w:t>por</w:t>
      </w:r>
      <w:r>
        <w:rPr>
          <w:color w:val="231F20"/>
          <w:w w:val="107"/>
        </w:rPr>
        <w:t> </w:t>
      </w:r>
      <w:r>
        <w:rPr>
          <w:color w:val="231F20"/>
          <w:w w:val="110"/>
        </w:rPr>
        <w:t>la</w:t>
      </w:r>
      <w:r>
        <w:rPr>
          <w:color w:val="231F20"/>
          <w:spacing w:val="19"/>
          <w:w w:val="110"/>
        </w:rPr>
        <w:t> </w:t>
      </w:r>
      <w:r>
        <w:rPr>
          <w:color w:val="231F20"/>
          <w:w w:val="110"/>
        </w:rPr>
        <w:t>falta</w:t>
      </w:r>
      <w:r>
        <w:rPr>
          <w:color w:val="231F20"/>
          <w:spacing w:val="19"/>
          <w:w w:val="110"/>
        </w:rPr>
        <w:t> </w:t>
      </w:r>
      <w:r>
        <w:rPr>
          <w:color w:val="231F20"/>
          <w:w w:val="110"/>
        </w:rPr>
        <w:t>de</w:t>
      </w:r>
      <w:r>
        <w:rPr>
          <w:color w:val="231F20"/>
          <w:spacing w:val="19"/>
          <w:w w:val="110"/>
        </w:rPr>
        <w:t> </w:t>
      </w:r>
      <w:r>
        <w:rPr>
          <w:color w:val="231F20"/>
          <w:w w:val="110"/>
        </w:rPr>
        <w:t>recursos</w:t>
      </w:r>
      <w:r>
        <w:rPr>
          <w:color w:val="231F20"/>
          <w:spacing w:val="19"/>
          <w:w w:val="110"/>
        </w:rPr>
        <w:t> </w:t>
      </w:r>
      <w:r>
        <w:rPr>
          <w:color w:val="231F20"/>
          <w:spacing w:val="-9"/>
          <w:w w:val="110"/>
        </w:rPr>
        <w:t>y,</w:t>
      </w:r>
      <w:r>
        <w:rPr>
          <w:color w:val="231F20"/>
          <w:spacing w:val="19"/>
          <w:w w:val="110"/>
        </w:rPr>
        <w:t> </w:t>
      </w:r>
      <w:r>
        <w:rPr>
          <w:color w:val="231F20"/>
          <w:w w:val="110"/>
        </w:rPr>
        <w:t>en</w:t>
      </w:r>
      <w:r>
        <w:rPr>
          <w:color w:val="231F20"/>
          <w:spacing w:val="19"/>
          <w:w w:val="110"/>
        </w:rPr>
        <w:t> </w:t>
      </w:r>
      <w:r>
        <w:rPr>
          <w:color w:val="231F20"/>
          <w:w w:val="110"/>
        </w:rPr>
        <w:t>particular,</w:t>
      </w:r>
      <w:r>
        <w:rPr>
          <w:color w:val="231F20"/>
          <w:spacing w:val="19"/>
          <w:w w:val="110"/>
        </w:rPr>
        <w:t> </w:t>
      </w:r>
      <w:r>
        <w:rPr>
          <w:color w:val="231F20"/>
          <w:w w:val="110"/>
        </w:rPr>
        <w:t>porque</w:t>
      </w:r>
      <w:r>
        <w:rPr>
          <w:color w:val="231F20"/>
          <w:spacing w:val="19"/>
          <w:w w:val="110"/>
        </w:rPr>
        <w:t> </w:t>
      </w:r>
      <w:r>
        <w:rPr>
          <w:color w:val="231F20"/>
          <w:w w:val="110"/>
        </w:rPr>
        <w:t>se</w:t>
      </w:r>
      <w:r>
        <w:rPr>
          <w:color w:val="231F20"/>
          <w:spacing w:val="19"/>
          <w:w w:val="110"/>
        </w:rPr>
        <w:t> </w:t>
      </w:r>
      <w:r>
        <w:rPr>
          <w:color w:val="231F20"/>
          <w:w w:val="110"/>
        </w:rPr>
        <w:t>centró</w:t>
      </w:r>
      <w:r>
        <w:rPr>
          <w:color w:val="231F20"/>
          <w:spacing w:val="19"/>
          <w:w w:val="110"/>
        </w:rPr>
        <w:t> </w:t>
      </w:r>
      <w:r>
        <w:rPr>
          <w:color w:val="231F20"/>
          <w:w w:val="110"/>
        </w:rPr>
        <w:t>fuertemente</w:t>
      </w:r>
      <w:r>
        <w:rPr>
          <w:color w:val="231F20"/>
          <w:spacing w:val="19"/>
          <w:w w:val="110"/>
        </w:rPr>
        <w:t> </w:t>
      </w:r>
      <w:r>
        <w:rPr>
          <w:color w:val="231F20"/>
          <w:w w:val="110"/>
        </w:rPr>
        <w:t>en</w:t>
      </w:r>
      <w:r>
        <w:rPr>
          <w:color w:val="231F20"/>
          <w:spacing w:val="19"/>
          <w:w w:val="110"/>
        </w:rPr>
        <w:t> </w:t>
      </w:r>
      <w:r>
        <w:rPr>
          <w:color w:val="231F20"/>
          <w:w w:val="110"/>
        </w:rPr>
        <w:t>las</w:t>
      </w:r>
      <w:r>
        <w:rPr>
          <w:color w:val="231F20"/>
          <w:w w:val="118"/>
        </w:rPr>
        <w:t> </w:t>
      </w:r>
      <w:r>
        <w:rPr>
          <w:color w:val="231F20"/>
          <w:w w:val="110"/>
        </w:rPr>
        <w:t>necesidades de consumo, desatendiendo los factores políticos, sociales   </w:t>
      </w:r>
      <w:r>
        <w:rPr>
          <w:color w:val="231F20"/>
          <w:spacing w:val="40"/>
          <w:w w:val="110"/>
        </w:rPr>
        <w:t> </w:t>
      </w:r>
      <w:r>
        <w:rPr>
          <w:color w:val="231F20"/>
          <w:w w:val="110"/>
        </w:rPr>
        <w:t>y</w:t>
      </w:r>
    </w:p>
    <w:p>
      <w:pPr>
        <w:pStyle w:val="BodyText"/>
        <w:ind w:left="124"/>
      </w:pPr>
      <w:r>
        <w:rPr>
          <w:color w:val="231F20"/>
          <w:w w:val="110"/>
        </w:rPr>
        <w:t>culturales de las familias.</w:t>
      </w:r>
    </w:p>
    <w:p>
      <w:pPr>
        <w:pStyle w:val="BodyText"/>
        <w:spacing w:line="288" w:lineRule="auto" w:before="47"/>
        <w:ind w:left="124" w:right="112" w:firstLine="360"/>
        <w:jc w:val="both"/>
      </w:pPr>
      <w:r>
        <w:rPr>
          <w:color w:val="231F20"/>
          <w:w w:val="110"/>
        </w:rPr>
        <w:t>Durante</w:t>
      </w:r>
      <w:r>
        <w:rPr>
          <w:color w:val="231F20"/>
          <w:spacing w:val="-8"/>
          <w:w w:val="110"/>
        </w:rPr>
        <w:t> </w:t>
      </w:r>
      <w:r>
        <w:rPr>
          <w:color w:val="231F20"/>
          <w:w w:val="110"/>
        </w:rPr>
        <w:t>la</w:t>
      </w:r>
      <w:r>
        <w:rPr>
          <w:color w:val="231F20"/>
          <w:spacing w:val="-8"/>
          <w:w w:val="110"/>
        </w:rPr>
        <w:t> </w:t>
      </w:r>
      <w:r>
        <w:rPr>
          <w:color w:val="231F20"/>
          <w:w w:val="110"/>
        </w:rPr>
        <w:t>década</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ochenta,</w:t>
      </w:r>
      <w:r>
        <w:rPr>
          <w:color w:val="231F20"/>
          <w:spacing w:val="-8"/>
          <w:w w:val="110"/>
        </w:rPr>
        <w:t> </w:t>
      </w:r>
      <w:r>
        <w:rPr>
          <w:color w:val="231F20"/>
          <w:w w:val="110"/>
        </w:rPr>
        <w:t>se</w:t>
      </w:r>
      <w:r>
        <w:rPr>
          <w:color w:val="231F20"/>
          <w:spacing w:val="-8"/>
          <w:w w:val="110"/>
        </w:rPr>
        <w:t> </w:t>
      </w:r>
      <w:r>
        <w:rPr>
          <w:color w:val="231F20"/>
          <w:w w:val="110"/>
        </w:rPr>
        <w:t>continuó</w:t>
      </w:r>
      <w:r>
        <w:rPr>
          <w:color w:val="231F20"/>
          <w:spacing w:val="-8"/>
          <w:w w:val="110"/>
        </w:rPr>
        <w:t> </w:t>
      </w:r>
      <w:r>
        <w:rPr>
          <w:color w:val="231F20"/>
          <w:w w:val="110"/>
        </w:rPr>
        <w:t>con</w:t>
      </w:r>
      <w:r>
        <w:rPr>
          <w:color w:val="231F20"/>
          <w:spacing w:val="-8"/>
          <w:w w:val="110"/>
        </w:rPr>
        <w:t> </w:t>
      </w:r>
      <w:r>
        <w:rPr>
          <w:color w:val="231F20"/>
          <w:w w:val="110"/>
        </w:rPr>
        <w:t>las</w:t>
      </w:r>
      <w:r>
        <w:rPr>
          <w:color w:val="231F20"/>
          <w:spacing w:val="-8"/>
          <w:w w:val="110"/>
        </w:rPr>
        <w:t> </w:t>
      </w:r>
      <w:r>
        <w:rPr>
          <w:color w:val="231F20"/>
          <w:w w:val="110"/>
        </w:rPr>
        <w:t>discusiones</w:t>
      </w:r>
      <w:r>
        <w:rPr>
          <w:color w:val="231F20"/>
          <w:spacing w:val="-8"/>
          <w:w w:val="110"/>
        </w:rPr>
        <w:t> </w:t>
      </w:r>
      <w:r>
        <w:rPr>
          <w:color w:val="231F20"/>
          <w:w w:val="110"/>
        </w:rPr>
        <w:t>sobre el desarrollo, surgiendo nuevos ángulos críticos y aportes que configura- ron un enfoque integral más amplio que la teoría de las necesidades bási- cas. Fue en esta década cuando se creó el Sistema Alimentario Mexicano (</w:t>
      </w:r>
      <w:r>
        <w:rPr>
          <w:rFonts w:ascii="Times New Roman" w:hAnsi="Times New Roman"/>
          <w:color w:val="231F20"/>
          <w:w w:val="110"/>
          <w:sz w:val="16"/>
        </w:rPr>
        <w:t>SAM</w:t>
      </w:r>
      <w:r>
        <w:rPr>
          <w:color w:val="231F20"/>
          <w:w w:val="110"/>
        </w:rPr>
        <w:t>, 1980-1982), cuyo objetivo principal fue erradicar la pobreza de las familias</w:t>
      </w:r>
      <w:r>
        <w:rPr>
          <w:color w:val="231F20"/>
          <w:spacing w:val="-9"/>
          <w:w w:val="110"/>
        </w:rPr>
        <w:t> </w:t>
      </w:r>
      <w:r>
        <w:rPr>
          <w:color w:val="231F20"/>
          <w:w w:val="110"/>
        </w:rPr>
        <w:t>a</w:t>
      </w:r>
      <w:r>
        <w:rPr>
          <w:color w:val="231F20"/>
          <w:spacing w:val="-9"/>
          <w:w w:val="110"/>
        </w:rPr>
        <w:t> </w:t>
      </w:r>
      <w:r>
        <w:rPr>
          <w:color w:val="231F20"/>
          <w:w w:val="110"/>
        </w:rPr>
        <w:t>través</w:t>
      </w:r>
      <w:r>
        <w:rPr>
          <w:color w:val="231F20"/>
          <w:spacing w:val="-9"/>
          <w:w w:val="110"/>
        </w:rPr>
        <w:t> </w:t>
      </w:r>
      <w:r>
        <w:rPr>
          <w:color w:val="231F20"/>
          <w:w w:val="110"/>
        </w:rPr>
        <w:t>del</w:t>
      </w:r>
      <w:r>
        <w:rPr>
          <w:color w:val="231F20"/>
          <w:spacing w:val="-9"/>
          <w:w w:val="110"/>
        </w:rPr>
        <w:t> </w:t>
      </w:r>
      <w:r>
        <w:rPr>
          <w:color w:val="231F20"/>
          <w:w w:val="110"/>
        </w:rPr>
        <w:t>incremento</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producción</w:t>
      </w:r>
      <w:r>
        <w:rPr>
          <w:color w:val="231F20"/>
          <w:spacing w:val="-9"/>
          <w:w w:val="110"/>
        </w:rPr>
        <w:t> </w:t>
      </w:r>
      <w:r>
        <w:rPr>
          <w:color w:val="231F20"/>
          <w:w w:val="110"/>
        </w:rPr>
        <w:t>rural,</w:t>
      </w:r>
      <w:r>
        <w:rPr>
          <w:color w:val="231F20"/>
          <w:spacing w:val="-9"/>
          <w:w w:val="110"/>
        </w:rPr>
        <w:t> </w:t>
      </w:r>
      <w:r>
        <w:rPr>
          <w:color w:val="231F20"/>
          <w:w w:val="110"/>
        </w:rPr>
        <w:t>mediante</w:t>
      </w:r>
      <w:r>
        <w:rPr>
          <w:color w:val="231F20"/>
          <w:spacing w:val="-9"/>
          <w:w w:val="110"/>
        </w:rPr>
        <w:t> </w:t>
      </w:r>
      <w:r>
        <w:rPr>
          <w:color w:val="231F20"/>
          <w:w w:val="110"/>
        </w:rPr>
        <w:t>subsidios para los insumos y los precios. La ausencia de una economía en</w:t>
      </w:r>
      <w:r>
        <w:rPr>
          <w:color w:val="231F20"/>
          <w:spacing w:val="28"/>
          <w:w w:val="110"/>
        </w:rPr>
        <w:t> </w:t>
      </w:r>
      <w:r>
        <w:rPr>
          <w:color w:val="231F20"/>
          <w:w w:val="110"/>
        </w:rPr>
        <w:t>expansión</w:t>
      </w:r>
    </w:p>
    <w:p>
      <w:pPr>
        <w:spacing w:after="0" w:line="288" w:lineRule="auto"/>
        <w:jc w:val="both"/>
        <w:sectPr>
          <w:pgSz w:w="9520" w:h="12920"/>
          <w:pgMar w:header="0" w:footer="1344" w:top="880" w:bottom="1540" w:left="1320" w:right="1000"/>
        </w:sectPr>
      </w:pPr>
    </w:p>
    <w:p>
      <w:pPr>
        <w:pStyle w:val="BodyText"/>
        <w:spacing w:line="288" w:lineRule="auto" w:before="42"/>
        <w:ind w:left="120" w:right="117"/>
        <w:jc w:val="both"/>
      </w:pPr>
      <w:r>
        <w:rPr>
          <w:color w:val="231F20"/>
          <w:w w:val="110"/>
        </w:rPr>
        <w:t>y de un presupuesto nacional lo suficientemente sólido para sostener los subsidios, así como la falta de una administración, producción y supervi- sión de precios, fueron factores que provocaron que este programa no tuviera el éxito esperado.</w:t>
      </w:r>
    </w:p>
    <w:p>
      <w:pPr>
        <w:pStyle w:val="BodyText"/>
        <w:spacing w:line="288" w:lineRule="auto"/>
        <w:ind w:left="120" w:right="116" w:firstLine="360"/>
        <w:jc w:val="both"/>
        <w:rPr>
          <w:sz w:val="11"/>
        </w:rPr>
      </w:pPr>
      <w:r>
        <w:rPr>
          <w:color w:val="231F20"/>
          <w:w w:val="110"/>
        </w:rPr>
        <w:t>Planificar</w:t>
      </w:r>
      <w:r>
        <w:rPr>
          <w:color w:val="231F20"/>
          <w:spacing w:val="-10"/>
          <w:w w:val="110"/>
        </w:rPr>
        <w:t> </w:t>
      </w:r>
      <w:r>
        <w:rPr>
          <w:color w:val="231F20"/>
          <w:w w:val="110"/>
        </w:rPr>
        <w:t>el</w:t>
      </w:r>
      <w:r>
        <w:rPr>
          <w:color w:val="231F20"/>
          <w:spacing w:val="-10"/>
          <w:w w:val="110"/>
        </w:rPr>
        <w:t> </w:t>
      </w:r>
      <w:r>
        <w:rPr>
          <w:color w:val="231F20"/>
          <w:w w:val="110"/>
        </w:rPr>
        <w:t>desarrollo</w:t>
      </w:r>
      <w:r>
        <w:rPr>
          <w:color w:val="231F20"/>
          <w:spacing w:val="-10"/>
          <w:w w:val="110"/>
        </w:rPr>
        <w:t> </w:t>
      </w:r>
      <w:r>
        <w:rPr>
          <w:color w:val="231F20"/>
          <w:w w:val="110"/>
        </w:rPr>
        <w:t>fue</w:t>
      </w:r>
      <w:r>
        <w:rPr>
          <w:color w:val="231F20"/>
          <w:spacing w:val="-10"/>
          <w:w w:val="110"/>
        </w:rPr>
        <w:t> </w:t>
      </w:r>
      <w:r>
        <w:rPr>
          <w:color w:val="231F20"/>
          <w:w w:val="110"/>
        </w:rPr>
        <w:t>una</w:t>
      </w:r>
      <w:r>
        <w:rPr>
          <w:color w:val="231F20"/>
          <w:spacing w:val="-10"/>
          <w:w w:val="110"/>
        </w:rPr>
        <w:t> </w:t>
      </w:r>
      <w:r>
        <w:rPr>
          <w:color w:val="231F20"/>
          <w:w w:val="110"/>
        </w:rPr>
        <w:t>de</w:t>
      </w:r>
      <w:r>
        <w:rPr>
          <w:color w:val="231F20"/>
          <w:spacing w:val="-10"/>
          <w:w w:val="110"/>
        </w:rPr>
        <w:t> </w:t>
      </w:r>
      <w:r>
        <w:rPr>
          <w:color w:val="231F20"/>
          <w:w w:val="110"/>
        </w:rPr>
        <w:t>las</w:t>
      </w:r>
      <w:r>
        <w:rPr>
          <w:color w:val="231F20"/>
          <w:spacing w:val="-10"/>
          <w:w w:val="110"/>
        </w:rPr>
        <w:t> </w:t>
      </w:r>
      <w:r>
        <w:rPr>
          <w:color w:val="231F20"/>
          <w:w w:val="110"/>
        </w:rPr>
        <w:t>retóricas</w:t>
      </w:r>
      <w:r>
        <w:rPr>
          <w:color w:val="231F20"/>
          <w:spacing w:val="-10"/>
          <w:w w:val="110"/>
        </w:rPr>
        <w:t> </w:t>
      </w:r>
      <w:r>
        <w:rPr>
          <w:color w:val="231F20"/>
          <w:w w:val="110"/>
        </w:rPr>
        <w:t>del</w:t>
      </w:r>
      <w:r>
        <w:rPr>
          <w:color w:val="231F20"/>
          <w:spacing w:val="-10"/>
          <w:w w:val="110"/>
        </w:rPr>
        <w:t> </w:t>
      </w:r>
      <w:r>
        <w:rPr>
          <w:color w:val="231F20"/>
          <w:w w:val="110"/>
        </w:rPr>
        <w:t>gobierno</w:t>
      </w:r>
      <w:r>
        <w:rPr>
          <w:color w:val="231F20"/>
          <w:spacing w:val="-10"/>
          <w:w w:val="110"/>
        </w:rPr>
        <w:t> </w:t>
      </w:r>
      <w:r>
        <w:rPr>
          <w:color w:val="231F20"/>
          <w:w w:val="110"/>
        </w:rPr>
        <w:t>en</w:t>
      </w:r>
      <w:r>
        <w:rPr>
          <w:color w:val="231F20"/>
          <w:spacing w:val="-10"/>
          <w:w w:val="110"/>
        </w:rPr>
        <w:t> </w:t>
      </w:r>
      <w:r>
        <w:rPr>
          <w:color w:val="231F20"/>
          <w:w w:val="110"/>
        </w:rPr>
        <w:t>turno</w:t>
      </w:r>
      <w:r>
        <w:rPr>
          <w:color w:val="231F20"/>
          <w:spacing w:val="-10"/>
          <w:w w:val="110"/>
        </w:rPr>
        <w:t> </w:t>
      </w:r>
      <w:r>
        <w:rPr>
          <w:color w:val="231F20"/>
          <w:w w:val="110"/>
        </w:rPr>
        <w:t>en esta década (bajo la presidencia de Miguel de la Madrid), lo cual implicaba que el Estado debería intervenir no sólo en las actividades económicas, sino también en las de educación, salud, vivienda y consumo familiar. Para ello los esfuerzos se centraron en aumentar la eficiencia del aparato buro- crático con amplia promoción política y con miras a mantener la estabili- dad político-social tal como lo expone Rocío</w:t>
      </w:r>
      <w:r>
        <w:rPr>
          <w:color w:val="231F20"/>
          <w:spacing w:val="24"/>
          <w:w w:val="110"/>
        </w:rPr>
        <w:t> </w:t>
      </w:r>
      <w:r>
        <w:rPr>
          <w:color w:val="231F20"/>
          <w:w w:val="110"/>
        </w:rPr>
        <w:t>Guadarrama.</w:t>
      </w:r>
      <w:r>
        <w:rPr>
          <w:color w:val="231F20"/>
          <w:w w:val="110"/>
          <w:position w:val="6"/>
          <w:sz w:val="11"/>
        </w:rPr>
        <w:t>9</w:t>
      </w:r>
    </w:p>
    <w:p>
      <w:pPr>
        <w:pStyle w:val="BodyText"/>
        <w:spacing w:line="288" w:lineRule="auto"/>
        <w:ind w:left="120" w:right="117" w:firstLine="360"/>
        <w:jc w:val="both"/>
      </w:pPr>
      <w:r>
        <w:rPr>
          <w:color w:val="231F20"/>
          <w:w w:val="110"/>
        </w:rPr>
        <w:t>A finales de los años ochenta, se trazan las directrices de la política del desarrollo con el inicio del nuevo sexenio y la puesta en marcha del Pro- grama Nacional de Solidaridad (Pronasol), el cual pretendió combatir la pobreza</w:t>
      </w:r>
      <w:r>
        <w:rPr>
          <w:color w:val="231F20"/>
          <w:spacing w:val="-15"/>
          <w:w w:val="110"/>
        </w:rPr>
        <w:t> </w:t>
      </w:r>
      <w:r>
        <w:rPr>
          <w:color w:val="231F20"/>
          <w:w w:val="110"/>
        </w:rPr>
        <w:t>familiar</w:t>
      </w:r>
      <w:r>
        <w:rPr>
          <w:color w:val="231F20"/>
          <w:spacing w:val="-15"/>
          <w:w w:val="110"/>
        </w:rPr>
        <w:t> </w:t>
      </w:r>
      <w:r>
        <w:rPr>
          <w:color w:val="231F20"/>
          <w:w w:val="110"/>
        </w:rPr>
        <w:t>desde</w:t>
      </w:r>
      <w:r>
        <w:rPr>
          <w:color w:val="231F20"/>
          <w:spacing w:val="-15"/>
          <w:w w:val="110"/>
        </w:rPr>
        <w:t> </w:t>
      </w:r>
      <w:r>
        <w:rPr>
          <w:color w:val="231F20"/>
          <w:w w:val="110"/>
        </w:rPr>
        <w:t>tres</w:t>
      </w:r>
      <w:r>
        <w:rPr>
          <w:color w:val="231F20"/>
          <w:spacing w:val="-15"/>
          <w:w w:val="110"/>
        </w:rPr>
        <w:t> </w:t>
      </w:r>
      <w:r>
        <w:rPr>
          <w:color w:val="231F20"/>
          <w:w w:val="110"/>
        </w:rPr>
        <w:t>ámbitos</w:t>
      </w:r>
      <w:r>
        <w:rPr>
          <w:color w:val="231F20"/>
          <w:spacing w:val="-15"/>
          <w:w w:val="110"/>
        </w:rPr>
        <w:t> </w:t>
      </w:r>
      <w:r>
        <w:rPr>
          <w:color w:val="231F20"/>
          <w:w w:val="110"/>
        </w:rPr>
        <w:t>de</w:t>
      </w:r>
      <w:r>
        <w:rPr>
          <w:color w:val="231F20"/>
          <w:spacing w:val="-15"/>
          <w:w w:val="110"/>
        </w:rPr>
        <w:t> </w:t>
      </w:r>
      <w:r>
        <w:rPr>
          <w:color w:val="231F20"/>
          <w:w w:val="110"/>
        </w:rPr>
        <w:t>acción:</w:t>
      </w:r>
      <w:r>
        <w:rPr>
          <w:color w:val="231F20"/>
          <w:spacing w:val="-15"/>
          <w:w w:val="110"/>
        </w:rPr>
        <w:t> </w:t>
      </w:r>
      <w:r>
        <w:rPr>
          <w:color w:val="231F20"/>
          <w:w w:val="110"/>
        </w:rPr>
        <w:t>1.</w:t>
      </w:r>
      <w:r>
        <w:rPr>
          <w:color w:val="231F20"/>
          <w:spacing w:val="-15"/>
          <w:w w:val="110"/>
        </w:rPr>
        <w:t> </w:t>
      </w:r>
      <w:r>
        <w:rPr>
          <w:color w:val="231F20"/>
          <w:w w:val="110"/>
        </w:rPr>
        <w:t>solidaridad</w:t>
      </w:r>
      <w:r>
        <w:rPr>
          <w:color w:val="231F20"/>
          <w:spacing w:val="-15"/>
          <w:w w:val="110"/>
        </w:rPr>
        <w:t> </w:t>
      </w:r>
      <w:r>
        <w:rPr>
          <w:color w:val="231F20"/>
          <w:w w:val="110"/>
        </w:rPr>
        <w:t>para</w:t>
      </w:r>
      <w:r>
        <w:rPr>
          <w:color w:val="231F20"/>
          <w:spacing w:val="-15"/>
          <w:w w:val="110"/>
        </w:rPr>
        <w:t> </w:t>
      </w:r>
      <w:r>
        <w:rPr>
          <w:color w:val="231F20"/>
          <w:w w:val="110"/>
        </w:rPr>
        <w:t>el</w:t>
      </w:r>
      <w:r>
        <w:rPr>
          <w:color w:val="231F20"/>
          <w:spacing w:val="-15"/>
          <w:w w:val="110"/>
        </w:rPr>
        <w:t> </w:t>
      </w:r>
      <w:r>
        <w:rPr>
          <w:color w:val="231F20"/>
          <w:w w:val="110"/>
        </w:rPr>
        <w:t>bienes- tar</w:t>
      </w:r>
      <w:r>
        <w:rPr>
          <w:color w:val="231F20"/>
          <w:spacing w:val="-16"/>
          <w:w w:val="110"/>
        </w:rPr>
        <w:t> </w:t>
      </w:r>
      <w:r>
        <w:rPr>
          <w:color w:val="231F20"/>
          <w:w w:val="110"/>
        </w:rPr>
        <w:t>que</w:t>
      </w:r>
      <w:r>
        <w:rPr>
          <w:color w:val="231F20"/>
          <w:spacing w:val="-16"/>
          <w:w w:val="110"/>
        </w:rPr>
        <w:t> </w:t>
      </w:r>
      <w:r>
        <w:rPr>
          <w:color w:val="231F20"/>
          <w:w w:val="110"/>
        </w:rPr>
        <w:t>incluía</w:t>
      </w:r>
      <w:r>
        <w:rPr>
          <w:color w:val="231F20"/>
          <w:spacing w:val="-16"/>
          <w:w w:val="110"/>
        </w:rPr>
        <w:t> </w:t>
      </w:r>
      <w:r>
        <w:rPr>
          <w:color w:val="231F20"/>
          <w:w w:val="110"/>
        </w:rPr>
        <w:t>programas</w:t>
      </w:r>
      <w:r>
        <w:rPr>
          <w:color w:val="231F20"/>
          <w:spacing w:val="-16"/>
          <w:w w:val="110"/>
        </w:rPr>
        <w:t> </w:t>
      </w:r>
      <w:r>
        <w:rPr>
          <w:color w:val="231F20"/>
          <w:w w:val="110"/>
        </w:rPr>
        <w:t>de</w:t>
      </w:r>
      <w:r>
        <w:rPr>
          <w:color w:val="231F20"/>
          <w:spacing w:val="-16"/>
          <w:w w:val="110"/>
        </w:rPr>
        <w:t> </w:t>
      </w:r>
      <w:r>
        <w:rPr>
          <w:color w:val="231F20"/>
          <w:w w:val="110"/>
        </w:rPr>
        <w:t>apoyo</w:t>
      </w:r>
      <w:r>
        <w:rPr>
          <w:color w:val="231F20"/>
          <w:spacing w:val="-16"/>
          <w:w w:val="110"/>
        </w:rPr>
        <w:t> </w:t>
      </w:r>
      <w:r>
        <w:rPr>
          <w:color w:val="231F20"/>
          <w:w w:val="110"/>
        </w:rPr>
        <w:t>alimentario</w:t>
      </w:r>
      <w:r>
        <w:rPr>
          <w:color w:val="231F20"/>
          <w:spacing w:val="-16"/>
          <w:w w:val="110"/>
        </w:rPr>
        <w:t> </w:t>
      </w:r>
      <w:r>
        <w:rPr>
          <w:color w:val="231F20"/>
          <w:w w:val="110"/>
        </w:rPr>
        <w:t>y</w:t>
      </w:r>
      <w:r>
        <w:rPr>
          <w:color w:val="231F20"/>
          <w:spacing w:val="-16"/>
          <w:w w:val="110"/>
        </w:rPr>
        <w:t> </w:t>
      </w:r>
      <w:r>
        <w:rPr>
          <w:color w:val="231F20"/>
          <w:w w:val="110"/>
        </w:rPr>
        <w:t>de</w:t>
      </w:r>
      <w:r>
        <w:rPr>
          <w:color w:val="231F20"/>
          <w:spacing w:val="-16"/>
          <w:w w:val="110"/>
        </w:rPr>
        <w:t> </w:t>
      </w:r>
      <w:r>
        <w:rPr>
          <w:color w:val="231F20"/>
          <w:w w:val="110"/>
        </w:rPr>
        <w:t>servicios</w:t>
      </w:r>
      <w:r>
        <w:rPr>
          <w:color w:val="231F20"/>
          <w:spacing w:val="-16"/>
          <w:w w:val="110"/>
        </w:rPr>
        <w:t> </w:t>
      </w:r>
      <w:r>
        <w:rPr>
          <w:color w:val="231F20"/>
          <w:w w:val="110"/>
        </w:rPr>
        <w:t>sociales</w:t>
      </w:r>
      <w:r>
        <w:rPr>
          <w:color w:val="231F20"/>
          <w:spacing w:val="-16"/>
          <w:w w:val="110"/>
        </w:rPr>
        <w:t> </w:t>
      </w:r>
      <w:r>
        <w:rPr>
          <w:color w:val="231F20"/>
          <w:w w:val="110"/>
        </w:rPr>
        <w:t>como salud y educación; 2. solidaridad para la producción a través de tres pro- gramas con los que se buscó incrementar el potencial de ingresos de los pobres: </w:t>
      </w:r>
      <w:r>
        <w:rPr>
          <w:color w:val="231F20"/>
          <w:spacing w:val="-3"/>
          <w:w w:val="110"/>
        </w:rPr>
        <w:t>Fondos </w:t>
      </w:r>
      <w:r>
        <w:rPr>
          <w:color w:val="231F20"/>
          <w:w w:val="110"/>
        </w:rPr>
        <w:t>de solidaridad para la Producción, </w:t>
      </w:r>
      <w:r>
        <w:rPr>
          <w:color w:val="231F20"/>
          <w:spacing w:val="-3"/>
          <w:w w:val="110"/>
        </w:rPr>
        <w:t>Fondos </w:t>
      </w:r>
      <w:r>
        <w:rPr>
          <w:color w:val="231F20"/>
          <w:w w:val="110"/>
        </w:rPr>
        <w:t>de Solidaridad para las Comunidades Indígenas y Mujeres en Solidaridad; 3. Finalmente, en</w:t>
      </w:r>
      <w:r>
        <w:rPr>
          <w:color w:val="231F20"/>
          <w:spacing w:val="-12"/>
          <w:w w:val="110"/>
        </w:rPr>
        <w:t> </w:t>
      </w:r>
      <w:r>
        <w:rPr>
          <w:color w:val="231F20"/>
          <w:w w:val="110"/>
        </w:rPr>
        <w:t>el</w:t>
      </w:r>
      <w:r>
        <w:rPr>
          <w:color w:val="231F20"/>
          <w:spacing w:val="-12"/>
          <w:w w:val="110"/>
        </w:rPr>
        <w:t> </w:t>
      </w:r>
      <w:r>
        <w:rPr>
          <w:color w:val="231F20"/>
          <w:w w:val="110"/>
        </w:rPr>
        <w:t>ámbito</w:t>
      </w:r>
      <w:r>
        <w:rPr>
          <w:color w:val="231F20"/>
          <w:spacing w:val="-12"/>
          <w:w w:val="110"/>
        </w:rPr>
        <w:t> </w:t>
      </w:r>
      <w:r>
        <w:rPr>
          <w:color w:val="231F20"/>
          <w:w w:val="110"/>
        </w:rPr>
        <w:t>de</w:t>
      </w:r>
      <w:r>
        <w:rPr>
          <w:color w:val="231F20"/>
          <w:spacing w:val="-12"/>
          <w:w w:val="110"/>
        </w:rPr>
        <w:t> </w:t>
      </w:r>
      <w:r>
        <w:rPr>
          <w:color w:val="231F20"/>
          <w:w w:val="110"/>
        </w:rPr>
        <w:t>solidaridad</w:t>
      </w:r>
      <w:r>
        <w:rPr>
          <w:color w:val="231F20"/>
          <w:spacing w:val="-12"/>
          <w:w w:val="110"/>
        </w:rPr>
        <w:t> </w:t>
      </w:r>
      <w:r>
        <w:rPr>
          <w:color w:val="231F20"/>
          <w:w w:val="110"/>
        </w:rPr>
        <w:t>para</w:t>
      </w:r>
      <w:r>
        <w:rPr>
          <w:color w:val="231F20"/>
          <w:spacing w:val="-12"/>
          <w:w w:val="110"/>
        </w:rPr>
        <w:t> </w:t>
      </w:r>
      <w:r>
        <w:rPr>
          <w:color w:val="231F20"/>
          <w:w w:val="110"/>
        </w:rPr>
        <w:t>el</w:t>
      </w:r>
      <w:r>
        <w:rPr>
          <w:color w:val="231F20"/>
          <w:spacing w:val="-12"/>
          <w:w w:val="110"/>
        </w:rPr>
        <w:t> </w:t>
      </w:r>
      <w:r>
        <w:rPr>
          <w:color w:val="231F20"/>
          <w:w w:val="110"/>
        </w:rPr>
        <w:t>desarrollo</w:t>
      </w:r>
      <w:r>
        <w:rPr>
          <w:color w:val="231F20"/>
          <w:spacing w:val="-12"/>
          <w:w w:val="110"/>
        </w:rPr>
        <w:t> </w:t>
      </w:r>
      <w:r>
        <w:rPr>
          <w:color w:val="231F20"/>
          <w:w w:val="110"/>
        </w:rPr>
        <w:t>regional,</w:t>
      </w:r>
      <w:r>
        <w:rPr>
          <w:color w:val="231F20"/>
          <w:spacing w:val="-12"/>
          <w:w w:val="110"/>
        </w:rPr>
        <w:t> </w:t>
      </w:r>
      <w:r>
        <w:rPr>
          <w:color w:val="231F20"/>
          <w:w w:val="110"/>
        </w:rPr>
        <w:t>destacan</w:t>
      </w:r>
      <w:r>
        <w:rPr>
          <w:color w:val="231F20"/>
          <w:spacing w:val="-12"/>
          <w:w w:val="110"/>
        </w:rPr>
        <w:t> </w:t>
      </w:r>
      <w:r>
        <w:rPr>
          <w:color w:val="231F20"/>
          <w:w w:val="110"/>
        </w:rPr>
        <w:t>los</w:t>
      </w:r>
      <w:r>
        <w:rPr>
          <w:color w:val="231F20"/>
          <w:spacing w:val="-12"/>
          <w:w w:val="110"/>
        </w:rPr>
        <w:t> </w:t>
      </w:r>
      <w:r>
        <w:rPr>
          <w:color w:val="231F20"/>
          <w:w w:val="110"/>
        </w:rPr>
        <w:t>progra- mas que apoyan el avance de la infraestructura en comunidades  </w:t>
      </w:r>
      <w:r>
        <w:rPr>
          <w:color w:val="231F20"/>
          <w:spacing w:val="2"/>
          <w:w w:val="110"/>
        </w:rPr>
        <w:t> </w:t>
      </w:r>
      <w:r>
        <w:rPr>
          <w:color w:val="231F20"/>
          <w:w w:val="110"/>
        </w:rPr>
        <w:t>pobres.</w:t>
      </w:r>
    </w:p>
    <w:p>
      <w:pPr>
        <w:pStyle w:val="BodyText"/>
        <w:spacing w:line="288" w:lineRule="auto"/>
        <w:ind w:left="120" w:right="114" w:firstLine="360"/>
        <w:jc w:val="right"/>
      </w:pPr>
      <w:r>
        <w:rPr>
          <w:color w:val="231F20"/>
          <w:w w:val="110"/>
        </w:rPr>
        <w:t>Una de las acciones del Pronasol se denominó “Beneficio</w:t>
      </w:r>
      <w:r>
        <w:rPr>
          <w:color w:val="231F20"/>
          <w:spacing w:val="15"/>
          <w:w w:val="110"/>
        </w:rPr>
        <w:t> </w:t>
      </w:r>
      <w:r>
        <w:rPr>
          <w:color w:val="231F20"/>
          <w:w w:val="110"/>
        </w:rPr>
        <w:t>social</w:t>
      </w:r>
      <w:r>
        <w:rPr>
          <w:color w:val="231F20"/>
          <w:spacing w:val="18"/>
          <w:w w:val="110"/>
        </w:rPr>
        <w:t> </w:t>
      </w:r>
      <w:r>
        <w:rPr>
          <w:color w:val="231F20"/>
          <w:w w:val="110"/>
        </w:rPr>
        <w:t>fami-</w:t>
      </w:r>
      <w:r>
        <w:rPr>
          <w:color w:val="231F20"/>
          <w:w w:val="93"/>
        </w:rPr>
        <w:t> </w:t>
      </w:r>
      <w:r>
        <w:rPr>
          <w:color w:val="231F20"/>
          <w:w w:val="110"/>
        </w:rPr>
        <w:t>liar”,</w:t>
      </w:r>
      <w:r>
        <w:rPr>
          <w:color w:val="231F20"/>
          <w:spacing w:val="-12"/>
          <w:w w:val="110"/>
        </w:rPr>
        <w:t> </w:t>
      </w:r>
      <w:r>
        <w:rPr>
          <w:color w:val="231F20"/>
          <w:w w:val="110"/>
        </w:rPr>
        <w:t>el</w:t>
      </w:r>
      <w:r>
        <w:rPr>
          <w:color w:val="231F20"/>
          <w:spacing w:val="-12"/>
          <w:w w:val="110"/>
        </w:rPr>
        <w:t> </w:t>
      </w:r>
      <w:r>
        <w:rPr>
          <w:color w:val="231F20"/>
          <w:w w:val="110"/>
        </w:rPr>
        <w:t>cual</w:t>
      </w:r>
      <w:r>
        <w:rPr>
          <w:color w:val="231F20"/>
          <w:spacing w:val="-12"/>
          <w:w w:val="110"/>
        </w:rPr>
        <w:t> </w:t>
      </w:r>
      <w:r>
        <w:rPr>
          <w:color w:val="231F20"/>
          <w:w w:val="110"/>
        </w:rPr>
        <w:t>se</w:t>
      </w:r>
      <w:r>
        <w:rPr>
          <w:color w:val="231F20"/>
          <w:spacing w:val="-12"/>
          <w:w w:val="110"/>
        </w:rPr>
        <w:t> </w:t>
      </w:r>
      <w:r>
        <w:rPr>
          <w:color w:val="231F20"/>
          <w:w w:val="110"/>
        </w:rPr>
        <w:t>redujo</w:t>
      </w:r>
      <w:r>
        <w:rPr>
          <w:color w:val="231F20"/>
          <w:spacing w:val="-12"/>
          <w:w w:val="110"/>
        </w:rPr>
        <w:t> </w:t>
      </w:r>
      <w:r>
        <w:rPr>
          <w:color w:val="231F20"/>
          <w:w w:val="110"/>
        </w:rPr>
        <w:t>a</w:t>
      </w:r>
      <w:r>
        <w:rPr>
          <w:color w:val="231F20"/>
          <w:spacing w:val="-12"/>
          <w:w w:val="110"/>
        </w:rPr>
        <w:t> </w:t>
      </w:r>
      <w:r>
        <w:rPr>
          <w:color w:val="231F20"/>
          <w:w w:val="110"/>
        </w:rPr>
        <w:t>la</w:t>
      </w:r>
      <w:r>
        <w:rPr>
          <w:color w:val="231F20"/>
          <w:spacing w:val="-12"/>
          <w:w w:val="110"/>
        </w:rPr>
        <w:t> </w:t>
      </w:r>
      <w:r>
        <w:rPr>
          <w:color w:val="231F20"/>
          <w:w w:val="110"/>
        </w:rPr>
        <w:t>construcción</w:t>
      </w:r>
      <w:r>
        <w:rPr>
          <w:color w:val="231F20"/>
          <w:spacing w:val="-12"/>
          <w:w w:val="110"/>
        </w:rPr>
        <w:t> </w:t>
      </w:r>
      <w:r>
        <w:rPr>
          <w:color w:val="231F20"/>
          <w:w w:val="110"/>
        </w:rPr>
        <w:t>de</w:t>
      </w:r>
      <w:r>
        <w:rPr>
          <w:color w:val="231F20"/>
          <w:spacing w:val="-12"/>
          <w:w w:val="110"/>
        </w:rPr>
        <w:t> </w:t>
      </w:r>
      <w:r>
        <w:rPr>
          <w:color w:val="231F20"/>
          <w:w w:val="110"/>
        </w:rPr>
        <w:t>infraestructura</w:t>
      </w:r>
      <w:r>
        <w:rPr>
          <w:color w:val="231F20"/>
          <w:spacing w:val="-12"/>
          <w:w w:val="110"/>
        </w:rPr>
        <w:t> </w:t>
      </w:r>
      <w:r>
        <w:rPr>
          <w:color w:val="231F20"/>
          <w:w w:val="110"/>
        </w:rPr>
        <w:t>hospitalaria,</w:t>
      </w:r>
      <w:r>
        <w:rPr>
          <w:color w:val="231F20"/>
          <w:spacing w:val="-12"/>
          <w:w w:val="110"/>
        </w:rPr>
        <w:t> </w:t>
      </w:r>
      <w:r>
        <w:rPr>
          <w:color w:val="231F20"/>
          <w:w w:val="110"/>
        </w:rPr>
        <w:t>sim-</w:t>
      </w:r>
      <w:r>
        <w:rPr>
          <w:color w:val="231F20"/>
          <w:w w:val="93"/>
        </w:rPr>
        <w:t> </w:t>
      </w:r>
      <w:r>
        <w:rPr>
          <w:color w:val="231F20"/>
          <w:w w:val="110"/>
        </w:rPr>
        <w:t>bolizado a través del lema “hospital digno”. Dicho programa</w:t>
      </w:r>
      <w:r>
        <w:rPr>
          <w:color w:val="231F20"/>
          <w:spacing w:val="-32"/>
          <w:w w:val="110"/>
        </w:rPr>
        <w:t> </w:t>
      </w:r>
      <w:r>
        <w:rPr>
          <w:color w:val="231F20"/>
          <w:w w:val="110"/>
        </w:rPr>
        <w:t>estableció</w:t>
      </w:r>
      <w:r>
        <w:rPr>
          <w:color w:val="231F20"/>
          <w:spacing w:val="-4"/>
          <w:w w:val="110"/>
        </w:rPr>
        <w:t> </w:t>
      </w:r>
      <w:r>
        <w:rPr>
          <w:color w:val="231F20"/>
          <w:w w:val="110"/>
        </w:rPr>
        <w:t>que</w:t>
      </w:r>
      <w:r>
        <w:rPr>
          <w:color w:val="231F20"/>
          <w:w w:val="110"/>
        </w:rPr>
        <w:t> </w:t>
      </w:r>
      <w:r>
        <w:rPr>
          <w:color w:val="231F20"/>
          <w:w w:val="110"/>
        </w:rPr>
        <w:t>la </w:t>
      </w:r>
      <w:r>
        <w:rPr>
          <w:color w:val="231F20"/>
          <w:spacing w:val="2"/>
          <w:w w:val="110"/>
        </w:rPr>
        <w:t>participación directa </w:t>
      </w:r>
      <w:r>
        <w:rPr>
          <w:color w:val="231F20"/>
          <w:w w:val="110"/>
        </w:rPr>
        <w:t>de la </w:t>
      </w:r>
      <w:r>
        <w:rPr>
          <w:color w:val="231F20"/>
          <w:spacing w:val="2"/>
          <w:w w:val="110"/>
        </w:rPr>
        <w:t>familia beneficiaria </w:t>
      </w:r>
      <w:r>
        <w:rPr>
          <w:color w:val="231F20"/>
          <w:w w:val="110"/>
        </w:rPr>
        <w:t>era</w:t>
      </w:r>
      <w:r>
        <w:rPr>
          <w:color w:val="231F20"/>
          <w:spacing w:val="6"/>
          <w:w w:val="110"/>
        </w:rPr>
        <w:t> </w:t>
      </w:r>
      <w:r>
        <w:rPr>
          <w:color w:val="231F20"/>
          <w:spacing w:val="2"/>
          <w:w w:val="110"/>
        </w:rPr>
        <w:t>pieza</w:t>
      </w:r>
      <w:r>
        <w:rPr>
          <w:color w:val="231F20"/>
          <w:spacing w:val="20"/>
          <w:w w:val="110"/>
        </w:rPr>
        <w:t> </w:t>
      </w:r>
      <w:r>
        <w:rPr>
          <w:color w:val="231F20"/>
          <w:spacing w:val="2"/>
          <w:w w:val="110"/>
        </w:rPr>
        <w:t>fundamental</w:t>
      </w:r>
      <w:r>
        <w:rPr>
          <w:color w:val="231F20"/>
          <w:w w:val="101"/>
        </w:rPr>
        <w:t> </w:t>
      </w:r>
      <w:r>
        <w:rPr>
          <w:color w:val="231F20"/>
          <w:w w:val="110"/>
        </w:rPr>
        <w:t>para</w:t>
      </w:r>
      <w:r>
        <w:rPr>
          <w:color w:val="231F20"/>
          <w:spacing w:val="-20"/>
          <w:w w:val="110"/>
        </w:rPr>
        <w:t> </w:t>
      </w:r>
      <w:r>
        <w:rPr>
          <w:color w:val="231F20"/>
          <w:w w:val="110"/>
        </w:rPr>
        <w:t>establecer</w:t>
      </w:r>
      <w:r>
        <w:rPr>
          <w:color w:val="231F20"/>
          <w:spacing w:val="-20"/>
          <w:w w:val="110"/>
        </w:rPr>
        <w:t> </w:t>
      </w:r>
      <w:r>
        <w:rPr>
          <w:color w:val="231F20"/>
          <w:w w:val="110"/>
        </w:rPr>
        <w:t>la</w:t>
      </w:r>
      <w:r>
        <w:rPr>
          <w:color w:val="231F20"/>
          <w:spacing w:val="-20"/>
          <w:w w:val="110"/>
        </w:rPr>
        <w:t> </w:t>
      </w:r>
      <w:r>
        <w:rPr>
          <w:color w:val="231F20"/>
          <w:w w:val="110"/>
        </w:rPr>
        <w:t>prioridad</w:t>
      </w:r>
      <w:r>
        <w:rPr>
          <w:color w:val="231F20"/>
          <w:spacing w:val="-20"/>
          <w:w w:val="110"/>
        </w:rPr>
        <w:t> </w:t>
      </w:r>
      <w:r>
        <w:rPr>
          <w:color w:val="231F20"/>
          <w:w w:val="110"/>
        </w:rPr>
        <w:t>de</w:t>
      </w:r>
      <w:r>
        <w:rPr>
          <w:color w:val="231F20"/>
          <w:spacing w:val="-20"/>
          <w:w w:val="110"/>
        </w:rPr>
        <w:t> </w:t>
      </w:r>
      <w:r>
        <w:rPr>
          <w:color w:val="231F20"/>
          <w:w w:val="110"/>
        </w:rPr>
        <w:t>las</w:t>
      </w:r>
      <w:r>
        <w:rPr>
          <w:color w:val="231F20"/>
          <w:spacing w:val="-20"/>
          <w:w w:val="110"/>
        </w:rPr>
        <w:t> </w:t>
      </w:r>
      <w:r>
        <w:rPr>
          <w:color w:val="231F20"/>
          <w:w w:val="110"/>
        </w:rPr>
        <w:t>actividades</w:t>
      </w:r>
      <w:r>
        <w:rPr>
          <w:color w:val="231F20"/>
          <w:spacing w:val="-20"/>
          <w:w w:val="110"/>
        </w:rPr>
        <w:t> </w:t>
      </w:r>
      <w:r>
        <w:rPr>
          <w:color w:val="231F20"/>
          <w:w w:val="110"/>
        </w:rPr>
        <w:t>y</w:t>
      </w:r>
      <w:r>
        <w:rPr>
          <w:color w:val="231F20"/>
          <w:spacing w:val="-20"/>
          <w:w w:val="110"/>
        </w:rPr>
        <w:t> </w:t>
      </w:r>
      <w:r>
        <w:rPr>
          <w:color w:val="231F20"/>
          <w:w w:val="110"/>
        </w:rPr>
        <w:t>su</w:t>
      </w:r>
      <w:r>
        <w:rPr>
          <w:color w:val="231F20"/>
          <w:spacing w:val="-20"/>
          <w:w w:val="110"/>
        </w:rPr>
        <w:t> </w:t>
      </w:r>
      <w:r>
        <w:rPr>
          <w:color w:val="231F20"/>
          <w:w w:val="110"/>
        </w:rPr>
        <w:t>financiamiento.</w:t>
      </w:r>
      <w:r>
        <w:rPr>
          <w:color w:val="231F20"/>
          <w:spacing w:val="-20"/>
          <w:w w:val="110"/>
        </w:rPr>
        <w:t> </w:t>
      </w:r>
      <w:r>
        <w:rPr>
          <w:color w:val="231F20"/>
          <w:w w:val="110"/>
        </w:rPr>
        <w:t>Al</w:t>
      </w:r>
      <w:r>
        <w:rPr>
          <w:color w:val="231F20"/>
          <w:spacing w:val="-20"/>
          <w:w w:val="110"/>
        </w:rPr>
        <w:t> </w:t>
      </w:r>
      <w:r>
        <w:rPr>
          <w:color w:val="231F20"/>
          <w:w w:val="110"/>
        </w:rPr>
        <w:t>mismo</w:t>
      </w:r>
      <w:r>
        <w:rPr>
          <w:color w:val="231F20"/>
          <w:w w:val="108"/>
        </w:rPr>
        <w:t> </w:t>
      </w:r>
      <w:r>
        <w:rPr>
          <w:color w:val="231F20"/>
          <w:w w:val="110"/>
        </w:rPr>
        <w:t>tiempo,</w:t>
      </w:r>
      <w:r>
        <w:rPr>
          <w:color w:val="231F20"/>
          <w:spacing w:val="30"/>
          <w:w w:val="110"/>
        </w:rPr>
        <w:t> </w:t>
      </w:r>
      <w:r>
        <w:rPr>
          <w:color w:val="231F20"/>
          <w:w w:val="110"/>
        </w:rPr>
        <w:t>uno</w:t>
      </w:r>
      <w:r>
        <w:rPr>
          <w:color w:val="231F20"/>
          <w:spacing w:val="30"/>
          <w:w w:val="110"/>
        </w:rPr>
        <w:t> </w:t>
      </w:r>
      <w:r>
        <w:rPr>
          <w:color w:val="231F20"/>
          <w:w w:val="110"/>
        </w:rPr>
        <w:t>de</w:t>
      </w:r>
      <w:r>
        <w:rPr>
          <w:color w:val="231F20"/>
          <w:spacing w:val="30"/>
          <w:w w:val="110"/>
        </w:rPr>
        <w:t> </w:t>
      </w:r>
      <w:r>
        <w:rPr>
          <w:color w:val="231F20"/>
          <w:w w:val="110"/>
        </w:rPr>
        <w:t>sus</w:t>
      </w:r>
      <w:r>
        <w:rPr>
          <w:color w:val="231F20"/>
          <w:spacing w:val="30"/>
          <w:w w:val="110"/>
        </w:rPr>
        <w:t> </w:t>
      </w:r>
      <w:r>
        <w:rPr>
          <w:color w:val="231F20"/>
          <w:w w:val="110"/>
        </w:rPr>
        <w:t>supuestos</w:t>
      </w:r>
      <w:r>
        <w:rPr>
          <w:color w:val="231F20"/>
          <w:spacing w:val="30"/>
          <w:w w:val="110"/>
        </w:rPr>
        <w:t> </w:t>
      </w:r>
      <w:r>
        <w:rPr>
          <w:color w:val="231F20"/>
          <w:w w:val="110"/>
        </w:rPr>
        <w:t>principales</w:t>
      </w:r>
      <w:r>
        <w:rPr>
          <w:color w:val="231F20"/>
          <w:spacing w:val="30"/>
          <w:w w:val="110"/>
        </w:rPr>
        <w:t> </w:t>
      </w:r>
      <w:r>
        <w:rPr>
          <w:color w:val="231F20"/>
          <w:w w:val="110"/>
        </w:rPr>
        <w:t>fue</w:t>
      </w:r>
      <w:r>
        <w:rPr>
          <w:color w:val="231F20"/>
          <w:spacing w:val="30"/>
          <w:w w:val="110"/>
        </w:rPr>
        <w:t> </w:t>
      </w:r>
      <w:r>
        <w:rPr>
          <w:color w:val="231F20"/>
          <w:w w:val="110"/>
        </w:rPr>
        <w:t>que</w:t>
      </w:r>
      <w:r>
        <w:rPr>
          <w:color w:val="231F20"/>
          <w:spacing w:val="30"/>
          <w:w w:val="110"/>
        </w:rPr>
        <w:t> </w:t>
      </w:r>
      <w:r>
        <w:rPr>
          <w:color w:val="231F20"/>
          <w:w w:val="110"/>
        </w:rPr>
        <w:t>la</w:t>
      </w:r>
      <w:r>
        <w:rPr>
          <w:color w:val="231F20"/>
          <w:spacing w:val="30"/>
          <w:w w:val="110"/>
        </w:rPr>
        <w:t> </w:t>
      </w:r>
      <w:r>
        <w:rPr>
          <w:color w:val="231F20"/>
          <w:w w:val="110"/>
        </w:rPr>
        <w:t>concertación</w:t>
      </w:r>
      <w:r>
        <w:rPr>
          <w:color w:val="231F20"/>
          <w:spacing w:val="30"/>
          <w:w w:val="110"/>
        </w:rPr>
        <w:t> </w:t>
      </w:r>
      <w:r>
        <w:rPr>
          <w:color w:val="231F20"/>
          <w:w w:val="110"/>
        </w:rPr>
        <w:t>entre</w:t>
      </w:r>
      <w:r>
        <w:rPr>
          <w:color w:val="231F20"/>
          <w:w w:val="109"/>
        </w:rPr>
        <w:t> </w:t>
      </w:r>
      <w:r>
        <w:rPr>
          <w:color w:val="231F20"/>
          <w:w w:val="110"/>
        </w:rPr>
        <w:t>sociedad y gobierno era la clave principal para garantizar la eficiencia</w:t>
      </w:r>
      <w:r>
        <w:rPr>
          <w:color w:val="231F20"/>
          <w:spacing w:val="3"/>
          <w:w w:val="110"/>
        </w:rPr>
        <w:t> </w:t>
      </w:r>
      <w:r>
        <w:rPr>
          <w:color w:val="231F20"/>
          <w:w w:val="110"/>
        </w:rPr>
        <w:t>y</w:t>
      </w:r>
      <w:r>
        <w:rPr>
          <w:color w:val="231F20"/>
          <w:spacing w:val="4"/>
          <w:w w:val="110"/>
        </w:rPr>
        <w:t> </w:t>
      </w:r>
      <w:r>
        <w:rPr>
          <w:color w:val="231F20"/>
          <w:w w:val="110"/>
        </w:rPr>
        <w:t>la</w:t>
      </w:r>
      <w:r>
        <w:rPr>
          <w:color w:val="231F20"/>
          <w:w w:val="106"/>
        </w:rPr>
        <w:t> </w:t>
      </w:r>
      <w:r>
        <w:rPr>
          <w:color w:val="231F20"/>
          <w:w w:val="110"/>
        </w:rPr>
        <w:t>confianza,</w:t>
      </w:r>
      <w:r>
        <w:rPr>
          <w:color w:val="231F20"/>
          <w:spacing w:val="-5"/>
          <w:w w:val="110"/>
        </w:rPr>
        <w:t> </w:t>
      </w:r>
      <w:r>
        <w:rPr>
          <w:color w:val="231F20"/>
          <w:w w:val="110"/>
        </w:rPr>
        <w:t>de</w:t>
      </w:r>
      <w:r>
        <w:rPr>
          <w:color w:val="231F20"/>
          <w:spacing w:val="-5"/>
          <w:w w:val="110"/>
        </w:rPr>
        <w:t> </w:t>
      </w:r>
      <w:r>
        <w:rPr>
          <w:color w:val="231F20"/>
          <w:w w:val="110"/>
        </w:rPr>
        <w:t>tal</w:t>
      </w:r>
      <w:r>
        <w:rPr>
          <w:color w:val="231F20"/>
          <w:spacing w:val="-5"/>
          <w:w w:val="110"/>
        </w:rPr>
        <w:t> </w:t>
      </w:r>
      <w:r>
        <w:rPr>
          <w:color w:val="231F20"/>
          <w:w w:val="110"/>
        </w:rPr>
        <w:t>forma</w:t>
      </w:r>
      <w:r>
        <w:rPr>
          <w:color w:val="231F20"/>
          <w:spacing w:val="-5"/>
          <w:w w:val="110"/>
        </w:rPr>
        <w:t> </w:t>
      </w:r>
      <w:r>
        <w:rPr>
          <w:color w:val="231F20"/>
          <w:w w:val="110"/>
        </w:rPr>
        <w:t>que</w:t>
      </w:r>
      <w:r>
        <w:rPr>
          <w:color w:val="231F20"/>
          <w:spacing w:val="-5"/>
          <w:w w:val="110"/>
        </w:rPr>
        <w:t> </w:t>
      </w:r>
      <w:r>
        <w:rPr>
          <w:color w:val="231F20"/>
          <w:w w:val="110"/>
        </w:rPr>
        <w:t>el</w:t>
      </w:r>
      <w:r>
        <w:rPr>
          <w:color w:val="231F20"/>
          <w:spacing w:val="-5"/>
          <w:w w:val="110"/>
        </w:rPr>
        <w:t> </w:t>
      </w:r>
      <w:r>
        <w:rPr>
          <w:color w:val="231F20"/>
          <w:w w:val="110"/>
        </w:rPr>
        <w:t>éxito</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programas</w:t>
      </w:r>
      <w:r>
        <w:rPr>
          <w:color w:val="231F20"/>
          <w:spacing w:val="-5"/>
          <w:w w:val="110"/>
        </w:rPr>
        <w:t> </w:t>
      </w:r>
      <w:r>
        <w:rPr>
          <w:color w:val="231F20"/>
          <w:w w:val="110"/>
        </w:rPr>
        <w:t>dependía</w:t>
      </w:r>
      <w:r>
        <w:rPr>
          <w:color w:val="231F20"/>
          <w:spacing w:val="-5"/>
          <w:w w:val="110"/>
        </w:rPr>
        <w:t> </w:t>
      </w:r>
      <w:r>
        <w:rPr>
          <w:color w:val="231F20"/>
          <w:w w:val="110"/>
        </w:rPr>
        <w:t>del</w:t>
      </w:r>
      <w:r>
        <w:rPr>
          <w:color w:val="231F20"/>
          <w:spacing w:val="-5"/>
          <w:w w:val="110"/>
        </w:rPr>
        <w:t> </w:t>
      </w:r>
      <w:r>
        <w:rPr>
          <w:color w:val="231F20"/>
          <w:spacing w:val="-3"/>
          <w:w w:val="110"/>
        </w:rPr>
        <w:t>esfuerzo</w:t>
      </w:r>
      <w:r>
        <w:rPr>
          <w:color w:val="231F20"/>
          <w:w w:val="108"/>
        </w:rPr>
        <w:t> </w:t>
      </w:r>
      <w:r>
        <w:rPr>
          <w:color w:val="231F20"/>
          <w:w w:val="110"/>
        </w:rPr>
        <w:t>conjunto</w:t>
      </w:r>
      <w:r>
        <w:rPr>
          <w:color w:val="231F20"/>
          <w:spacing w:val="-12"/>
          <w:w w:val="110"/>
        </w:rPr>
        <w:t> </w:t>
      </w:r>
      <w:r>
        <w:rPr>
          <w:color w:val="231F20"/>
          <w:w w:val="110"/>
        </w:rPr>
        <w:t>entre</w:t>
      </w:r>
      <w:r>
        <w:rPr>
          <w:color w:val="231F20"/>
          <w:spacing w:val="-12"/>
          <w:w w:val="110"/>
        </w:rPr>
        <w:t> </w:t>
      </w:r>
      <w:r>
        <w:rPr>
          <w:color w:val="231F20"/>
          <w:w w:val="110"/>
        </w:rPr>
        <w:t>el</w:t>
      </w:r>
      <w:r>
        <w:rPr>
          <w:color w:val="231F20"/>
          <w:spacing w:val="-12"/>
          <w:w w:val="110"/>
        </w:rPr>
        <w:t> </w:t>
      </w:r>
      <w:r>
        <w:rPr>
          <w:color w:val="231F20"/>
          <w:w w:val="110"/>
        </w:rPr>
        <w:t>gobierno</w:t>
      </w:r>
      <w:r>
        <w:rPr>
          <w:color w:val="231F20"/>
          <w:spacing w:val="-12"/>
          <w:w w:val="110"/>
        </w:rPr>
        <w:t> </w:t>
      </w:r>
      <w:r>
        <w:rPr>
          <w:color w:val="231F20"/>
          <w:w w:val="110"/>
        </w:rPr>
        <w:t>y</w:t>
      </w:r>
      <w:r>
        <w:rPr>
          <w:color w:val="231F20"/>
          <w:spacing w:val="-12"/>
          <w:w w:val="110"/>
        </w:rPr>
        <w:t> </w:t>
      </w:r>
      <w:r>
        <w:rPr>
          <w:color w:val="231F20"/>
          <w:w w:val="110"/>
        </w:rPr>
        <w:t>los</w:t>
      </w:r>
      <w:r>
        <w:rPr>
          <w:color w:val="231F20"/>
          <w:spacing w:val="-12"/>
          <w:w w:val="110"/>
        </w:rPr>
        <w:t> </w:t>
      </w:r>
      <w:r>
        <w:rPr>
          <w:color w:val="231F20"/>
          <w:w w:val="110"/>
        </w:rPr>
        <w:t>grupos</w:t>
      </w:r>
      <w:r>
        <w:rPr>
          <w:color w:val="231F20"/>
          <w:spacing w:val="-12"/>
          <w:w w:val="110"/>
        </w:rPr>
        <w:t> </w:t>
      </w:r>
      <w:r>
        <w:rPr>
          <w:color w:val="231F20"/>
          <w:w w:val="110"/>
        </w:rPr>
        <w:t>sociales</w:t>
      </w:r>
      <w:r>
        <w:rPr>
          <w:color w:val="231F20"/>
          <w:spacing w:val="-12"/>
          <w:w w:val="110"/>
        </w:rPr>
        <w:t> </w:t>
      </w:r>
      <w:r>
        <w:rPr>
          <w:color w:val="231F20"/>
          <w:spacing w:val="-3"/>
          <w:w w:val="110"/>
        </w:rPr>
        <w:t>organizados</w:t>
      </w:r>
      <w:r>
        <w:rPr>
          <w:color w:val="231F20"/>
          <w:spacing w:val="-12"/>
          <w:w w:val="110"/>
        </w:rPr>
        <w:t> </w:t>
      </w:r>
      <w:r>
        <w:rPr>
          <w:color w:val="231F20"/>
          <w:w w:val="110"/>
        </w:rPr>
        <w:t>por</w:t>
      </w:r>
      <w:r>
        <w:rPr>
          <w:color w:val="231F20"/>
          <w:spacing w:val="-12"/>
          <w:w w:val="110"/>
        </w:rPr>
        <w:t> </w:t>
      </w:r>
      <w:r>
        <w:rPr>
          <w:color w:val="231F20"/>
          <w:w w:val="110"/>
        </w:rPr>
        <w:t>el</w:t>
      </w:r>
      <w:r>
        <w:rPr>
          <w:color w:val="231F20"/>
          <w:spacing w:val="-12"/>
          <w:w w:val="110"/>
        </w:rPr>
        <w:t> </w:t>
      </w:r>
      <w:r>
        <w:rPr>
          <w:color w:val="231F20"/>
          <w:w w:val="110"/>
        </w:rPr>
        <w:t>primero.</w:t>
      </w:r>
      <w:r>
        <w:rPr>
          <w:color w:val="231F20"/>
          <w:w w:val="128"/>
        </w:rPr>
        <w:t> </w:t>
      </w:r>
      <w:r>
        <w:rPr>
          <w:color w:val="231F20"/>
          <w:w w:val="110"/>
        </w:rPr>
        <w:t>El problema principal de este programa consistió en no</w:t>
      </w:r>
      <w:r>
        <w:rPr>
          <w:color w:val="231F20"/>
          <w:spacing w:val="-19"/>
          <w:w w:val="110"/>
        </w:rPr>
        <w:t> </w:t>
      </w:r>
      <w:r>
        <w:rPr>
          <w:color w:val="231F20"/>
          <w:w w:val="110"/>
        </w:rPr>
        <w:t>haber</w:t>
      </w:r>
      <w:r>
        <w:rPr>
          <w:color w:val="231F20"/>
          <w:spacing w:val="-3"/>
          <w:w w:val="110"/>
        </w:rPr>
        <w:t> </w:t>
      </w:r>
      <w:r>
        <w:rPr>
          <w:color w:val="231F20"/>
          <w:w w:val="110"/>
        </w:rPr>
        <w:t>conside-</w:t>
      </w:r>
      <w:r>
        <w:rPr>
          <w:color w:val="231F20"/>
          <w:w w:val="93"/>
        </w:rPr>
        <w:t> </w:t>
      </w:r>
      <w:r>
        <w:rPr>
          <w:color w:val="231F20"/>
          <w:w w:val="110"/>
        </w:rPr>
        <w:t>rado la existencia de grupos sociales extremadamente pobres</w:t>
      </w:r>
      <w:r>
        <w:rPr>
          <w:color w:val="231F20"/>
          <w:spacing w:val="5"/>
          <w:w w:val="110"/>
        </w:rPr>
        <w:t> </w:t>
      </w:r>
      <w:r>
        <w:rPr>
          <w:color w:val="231F20"/>
          <w:w w:val="110"/>
        </w:rPr>
        <w:t>con grandes</w:t>
      </w:r>
      <w:r>
        <w:rPr>
          <w:color w:val="231F20"/>
          <w:w w:val="110"/>
        </w:rPr>
        <w:t> </w:t>
      </w:r>
      <w:r>
        <w:rPr>
          <w:color w:val="231F20"/>
          <w:w w:val="110"/>
        </w:rPr>
        <w:t>dificultades para organizarse, además de la falta de coordinación entre</w:t>
      </w:r>
      <w:r>
        <w:rPr>
          <w:color w:val="231F20"/>
          <w:spacing w:val="29"/>
          <w:w w:val="110"/>
        </w:rPr>
        <w:t> </w:t>
      </w:r>
      <w:r>
        <w:rPr>
          <w:color w:val="231F20"/>
          <w:w w:val="110"/>
        </w:rPr>
        <w:t>las</w:t>
      </w:r>
    </w:p>
    <w:p>
      <w:pPr>
        <w:spacing w:line="256" w:lineRule="auto" w:before="178"/>
        <w:ind w:left="119" w:right="118" w:firstLine="360"/>
        <w:jc w:val="both"/>
        <w:rPr>
          <w:sz w:val="16"/>
        </w:rPr>
      </w:pPr>
      <w:r>
        <w:rPr>
          <w:color w:val="231F20"/>
          <w:w w:val="110"/>
          <w:position w:val="5"/>
          <w:sz w:val="9"/>
        </w:rPr>
        <w:t>9</w:t>
      </w:r>
      <w:r>
        <w:rPr>
          <w:color w:val="231F20"/>
          <w:spacing w:val="-6"/>
          <w:w w:val="110"/>
          <w:position w:val="5"/>
          <w:sz w:val="9"/>
        </w:rPr>
        <w:t> </w:t>
      </w:r>
      <w:r>
        <w:rPr>
          <w:color w:val="231F20"/>
          <w:w w:val="110"/>
          <w:sz w:val="16"/>
        </w:rPr>
        <w:t>Rocío</w:t>
      </w:r>
      <w:r>
        <w:rPr>
          <w:color w:val="231F20"/>
          <w:spacing w:val="-7"/>
          <w:w w:val="110"/>
          <w:sz w:val="16"/>
        </w:rPr>
        <w:t> </w:t>
      </w:r>
      <w:r>
        <w:rPr>
          <w:color w:val="231F20"/>
          <w:w w:val="110"/>
          <w:sz w:val="16"/>
        </w:rPr>
        <w:t>Guadarrama,</w:t>
      </w:r>
      <w:r>
        <w:rPr>
          <w:color w:val="231F20"/>
          <w:spacing w:val="-7"/>
          <w:w w:val="110"/>
          <w:sz w:val="16"/>
        </w:rPr>
        <w:t> </w:t>
      </w:r>
      <w:r>
        <w:rPr>
          <w:color w:val="231F20"/>
          <w:w w:val="110"/>
          <w:sz w:val="16"/>
        </w:rPr>
        <w:t>(1968),</w:t>
      </w:r>
      <w:r>
        <w:rPr>
          <w:color w:val="231F20"/>
          <w:spacing w:val="-7"/>
          <w:w w:val="110"/>
          <w:sz w:val="16"/>
        </w:rPr>
        <w:t> </w:t>
      </w:r>
      <w:r>
        <w:rPr>
          <w:color w:val="231F20"/>
          <w:spacing w:val="2"/>
          <w:w w:val="110"/>
          <w:sz w:val="16"/>
        </w:rPr>
        <w:t>“Los</w:t>
      </w:r>
      <w:r>
        <w:rPr>
          <w:color w:val="231F20"/>
          <w:spacing w:val="-7"/>
          <w:w w:val="110"/>
          <w:sz w:val="16"/>
        </w:rPr>
        <w:t> </w:t>
      </w:r>
      <w:r>
        <w:rPr>
          <w:color w:val="231F20"/>
          <w:w w:val="110"/>
          <w:sz w:val="16"/>
        </w:rPr>
        <w:t>inicios</w:t>
      </w:r>
      <w:r>
        <w:rPr>
          <w:color w:val="231F20"/>
          <w:spacing w:val="-7"/>
          <w:w w:val="110"/>
          <w:sz w:val="16"/>
        </w:rPr>
        <w:t> </w:t>
      </w:r>
      <w:r>
        <w:rPr>
          <w:color w:val="231F20"/>
          <w:w w:val="110"/>
          <w:sz w:val="16"/>
        </w:rPr>
        <w:t>de</w:t>
      </w:r>
      <w:r>
        <w:rPr>
          <w:color w:val="231F20"/>
          <w:spacing w:val="-7"/>
          <w:w w:val="110"/>
          <w:sz w:val="16"/>
        </w:rPr>
        <w:t> </w:t>
      </w:r>
      <w:r>
        <w:rPr>
          <w:color w:val="231F20"/>
          <w:w w:val="110"/>
          <w:sz w:val="16"/>
        </w:rPr>
        <w:t>la</w:t>
      </w:r>
      <w:r>
        <w:rPr>
          <w:color w:val="231F20"/>
          <w:spacing w:val="-7"/>
          <w:w w:val="110"/>
          <w:sz w:val="16"/>
        </w:rPr>
        <w:t> </w:t>
      </w:r>
      <w:r>
        <w:rPr>
          <w:color w:val="231F20"/>
          <w:w w:val="110"/>
          <w:sz w:val="16"/>
        </w:rPr>
        <w:t>estabilización”,</w:t>
      </w:r>
      <w:r>
        <w:rPr>
          <w:color w:val="231F20"/>
          <w:spacing w:val="-7"/>
          <w:w w:val="110"/>
          <w:sz w:val="16"/>
        </w:rPr>
        <w:t> </w:t>
      </w:r>
      <w:r>
        <w:rPr>
          <w:color w:val="231F20"/>
          <w:w w:val="110"/>
          <w:sz w:val="16"/>
        </w:rPr>
        <w:t>en</w:t>
      </w:r>
      <w:r>
        <w:rPr>
          <w:color w:val="231F20"/>
          <w:spacing w:val="-7"/>
          <w:w w:val="110"/>
          <w:sz w:val="16"/>
        </w:rPr>
        <w:t> </w:t>
      </w:r>
      <w:r>
        <w:rPr>
          <w:color w:val="231F20"/>
          <w:w w:val="110"/>
          <w:sz w:val="16"/>
        </w:rPr>
        <w:t>Cristina</w:t>
      </w:r>
      <w:r>
        <w:rPr>
          <w:color w:val="231F20"/>
          <w:spacing w:val="-7"/>
          <w:w w:val="110"/>
          <w:sz w:val="16"/>
        </w:rPr>
        <w:t> </w:t>
      </w:r>
      <w:r>
        <w:rPr>
          <w:color w:val="231F20"/>
          <w:w w:val="110"/>
          <w:sz w:val="16"/>
        </w:rPr>
        <w:t>Puga,</w:t>
      </w:r>
      <w:r>
        <w:rPr>
          <w:color w:val="231F20"/>
          <w:spacing w:val="-6"/>
          <w:w w:val="110"/>
          <w:sz w:val="16"/>
        </w:rPr>
        <w:t> </w:t>
      </w:r>
      <w:r>
        <w:rPr>
          <w:i/>
          <w:color w:val="231F20"/>
          <w:w w:val="110"/>
          <w:sz w:val="16"/>
        </w:rPr>
        <w:t>et</w:t>
      </w:r>
      <w:r>
        <w:rPr>
          <w:i/>
          <w:color w:val="231F20"/>
          <w:spacing w:val="-9"/>
          <w:w w:val="110"/>
          <w:sz w:val="16"/>
        </w:rPr>
        <w:t> </w:t>
      </w:r>
      <w:r>
        <w:rPr>
          <w:i/>
          <w:color w:val="231F20"/>
          <w:w w:val="110"/>
          <w:sz w:val="16"/>
        </w:rPr>
        <w:t>al</w:t>
      </w:r>
      <w:r>
        <w:rPr>
          <w:color w:val="231F20"/>
          <w:w w:val="110"/>
          <w:sz w:val="16"/>
        </w:rPr>
        <w:t>.,</w:t>
      </w:r>
      <w:r>
        <w:rPr>
          <w:color w:val="231F20"/>
          <w:spacing w:val="-7"/>
          <w:w w:val="110"/>
          <w:sz w:val="16"/>
        </w:rPr>
        <w:t> </w:t>
      </w:r>
      <w:r>
        <w:rPr>
          <w:i/>
          <w:color w:val="231F20"/>
          <w:w w:val="110"/>
          <w:sz w:val="16"/>
        </w:rPr>
        <w:t>Evo- </w:t>
      </w:r>
      <w:r>
        <w:rPr>
          <w:i/>
          <w:color w:val="231F20"/>
          <w:w w:val="110"/>
          <w:sz w:val="16"/>
        </w:rPr>
        <w:t>lución del Estado mexicano, </w:t>
      </w:r>
      <w:r>
        <w:rPr>
          <w:color w:val="231F20"/>
          <w:spacing w:val="-4"/>
          <w:w w:val="110"/>
          <w:sz w:val="16"/>
        </w:rPr>
        <w:t>Tomo </w:t>
      </w:r>
      <w:r>
        <w:rPr>
          <w:color w:val="231F20"/>
          <w:w w:val="110"/>
          <w:sz w:val="16"/>
        </w:rPr>
        <w:t>III, México, Ediciones El caballito, 647</w:t>
      </w:r>
      <w:r>
        <w:rPr>
          <w:color w:val="231F20"/>
          <w:spacing w:val="36"/>
          <w:w w:val="110"/>
          <w:sz w:val="16"/>
        </w:rPr>
        <w:t> </w:t>
      </w:r>
      <w:r>
        <w:rPr>
          <w:color w:val="231F20"/>
          <w:w w:val="110"/>
          <w:sz w:val="16"/>
        </w:rPr>
        <w:t>pp.</w:t>
      </w:r>
    </w:p>
    <w:p>
      <w:pPr>
        <w:spacing w:after="0" w:line="256" w:lineRule="auto"/>
        <w:jc w:val="both"/>
        <w:rPr>
          <w:sz w:val="16"/>
        </w:rPr>
        <w:sectPr>
          <w:footerReference w:type="even" r:id="rId14"/>
          <w:footerReference w:type="default" r:id="rId15"/>
          <w:pgSz w:w="9520" w:h="12920"/>
          <w:pgMar w:footer="1344" w:header="0" w:top="880" w:bottom="1540" w:left="1000" w:right="1320"/>
        </w:sectPr>
      </w:pPr>
    </w:p>
    <w:p>
      <w:pPr>
        <w:pStyle w:val="BodyText"/>
        <w:spacing w:line="288" w:lineRule="auto" w:before="42"/>
        <w:ind w:left="124" w:right="104"/>
      </w:pPr>
      <w:r>
        <w:rPr>
          <w:color w:val="231F20"/>
          <w:w w:val="110"/>
        </w:rPr>
        <w:t>diferentes instituciones y el desvío de fondos, lo cual limitó el alcance de los objetivos propuestos.</w:t>
      </w:r>
    </w:p>
    <w:p>
      <w:pPr>
        <w:pStyle w:val="BodyText"/>
        <w:spacing w:line="288" w:lineRule="auto"/>
        <w:ind w:left="124" w:right="112" w:firstLine="360"/>
        <w:jc w:val="both"/>
      </w:pPr>
      <w:r>
        <w:rPr>
          <w:color w:val="231F20"/>
          <w:w w:val="110"/>
        </w:rPr>
        <w:t>En</w:t>
      </w:r>
      <w:r>
        <w:rPr>
          <w:color w:val="231F20"/>
          <w:spacing w:val="-15"/>
          <w:w w:val="110"/>
        </w:rPr>
        <w:t> </w:t>
      </w:r>
      <w:r>
        <w:rPr>
          <w:color w:val="231F20"/>
          <w:w w:val="110"/>
        </w:rPr>
        <w:t>el</w:t>
      </w:r>
      <w:r>
        <w:rPr>
          <w:color w:val="231F20"/>
          <w:spacing w:val="-15"/>
          <w:w w:val="110"/>
        </w:rPr>
        <w:t> </w:t>
      </w:r>
      <w:r>
        <w:rPr>
          <w:color w:val="231F20"/>
          <w:w w:val="110"/>
        </w:rPr>
        <w:t>sexenio</w:t>
      </w:r>
      <w:r>
        <w:rPr>
          <w:color w:val="231F20"/>
          <w:spacing w:val="-15"/>
          <w:w w:val="110"/>
        </w:rPr>
        <w:t> </w:t>
      </w:r>
      <w:r>
        <w:rPr>
          <w:color w:val="231F20"/>
          <w:w w:val="110"/>
        </w:rPr>
        <w:t>del</w:t>
      </w:r>
      <w:r>
        <w:rPr>
          <w:color w:val="231F20"/>
          <w:spacing w:val="-15"/>
          <w:w w:val="110"/>
        </w:rPr>
        <w:t> </w:t>
      </w:r>
      <w:r>
        <w:rPr>
          <w:color w:val="231F20"/>
          <w:w w:val="110"/>
        </w:rPr>
        <w:t>presidente</w:t>
      </w:r>
      <w:r>
        <w:rPr>
          <w:color w:val="231F20"/>
          <w:spacing w:val="-15"/>
          <w:w w:val="110"/>
        </w:rPr>
        <w:t> </w:t>
      </w:r>
      <w:r>
        <w:rPr>
          <w:color w:val="231F20"/>
          <w:w w:val="110"/>
        </w:rPr>
        <w:t>Ernesto</w:t>
      </w:r>
      <w:r>
        <w:rPr>
          <w:color w:val="231F20"/>
          <w:spacing w:val="-15"/>
          <w:w w:val="110"/>
        </w:rPr>
        <w:t> </w:t>
      </w:r>
      <w:r>
        <w:rPr>
          <w:color w:val="231F20"/>
          <w:w w:val="110"/>
        </w:rPr>
        <w:t>Zedillo</w:t>
      </w:r>
      <w:r>
        <w:rPr>
          <w:color w:val="231F20"/>
          <w:spacing w:val="-15"/>
          <w:w w:val="110"/>
        </w:rPr>
        <w:t> </w:t>
      </w:r>
      <w:r>
        <w:rPr>
          <w:color w:val="231F20"/>
          <w:w w:val="110"/>
        </w:rPr>
        <w:t>(1994-2000),</w:t>
      </w:r>
      <w:r>
        <w:rPr>
          <w:color w:val="231F20"/>
          <w:spacing w:val="-15"/>
          <w:w w:val="110"/>
        </w:rPr>
        <w:t> </w:t>
      </w:r>
      <w:r>
        <w:rPr>
          <w:color w:val="231F20"/>
          <w:w w:val="110"/>
        </w:rPr>
        <w:t>bajo</w:t>
      </w:r>
      <w:r>
        <w:rPr>
          <w:color w:val="231F20"/>
          <w:spacing w:val="-15"/>
          <w:w w:val="110"/>
        </w:rPr>
        <w:t> </w:t>
      </w:r>
      <w:r>
        <w:rPr>
          <w:color w:val="231F20"/>
          <w:w w:val="110"/>
        </w:rPr>
        <w:t>el</w:t>
      </w:r>
      <w:r>
        <w:rPr>
          <w:color w:val="231F20"/>
          <w:spacing w:val="-15"/>
          <w:w w:val="110"/>
        </w:rPr>
        <w:t> </w:t>
      </w:r>
      <w:r>
        <w:rPr>
          <w:color w:val="231F20"/>
          <w:w w:val="110"/>
        </w:rPr>
        <w:t>esque- ma del fortalecimiento federal, inicia el Programa Nacional de Educación, Salud</w:t>
      </w:r>
      <w:r>
        <w:rPr>
          <w:color w:val="231F20"/>
          <w:spacing w:val="-8"/>
          <w:w w:val="110"/>
        </w:rPr>
        <w:t> </w:t>
      </w:r>
      <w:r>
        <w:rPr>
          <w:color w:val="231F20"/>
          <w:w w:val="110"/>
        </w:rPr>
        <w:t>y</w:t>
      </w:r>
      <w:r>
        <w:rPr>
          <w:color w:val="231F20"/>
          <w:spacing w:val="-8"/>
          <w:w w:val="110"/>
        </w:rPr>
        <w:t> </w:t>
      </w:r>
      <w:r>
        <w:rPr>
          <w:color w:val="231F20"/>
          <w:w w:val="110"/>
        </w:rPr>
        <w:t>Alimentación</w:t>
      </w:r>
      <w:r>
        <w:rPr>
          <w:color w:val="231F20"/>
          <w:spacing w:val="-8"/>
          <w:w w:val="110"/>
        </w:rPr>
        <w:t> </w:t>
      </w:r>
      <w:r>
        <w:rPr>
          <w:color w:val="231F20"/>
          <w:w w:val="110"/>
        </w:rPr>
        <w:t>(Progresa),</w:t>
      </w:r>
      <w:r>
        <w:rPr>
          <w:color w:val="231F20"/>
          <w:spacing w:val="-8"/>
          <w:w w:val="110"/>
        </w:rPr>
        <w:t> </w:t>
      </w:r>
      <w:r>
        <w:rPr>
          <w:color w:val="231F20"/>
          <w:w w:val="110"/>
        </w:rPr>
        <w:t>que</w:t>
      </w:r>
      <w:r>
        <w:rPr>
          <w:color w:val="231F20"/>
          <w:spacing w:val="-8"/>
          <w:w w:val="110"/>
        </w:rPr>
        <w:t> </w:t>
      </w:r>
      <w:r>
        <w:rPr>
          <w:color w:val="231F20"/>
          <w:w w:val="110"/>
        </w:rPr>
        <w:t>pretendió</w:t>
      </w:r>
      <w:r>
        <w:rPr>
          <w:color w:val="231F20"/>
          <w:spacing w:val="-8"/>
          <w:w w:val="110"/>
        </w:rPr>
        <w:t> </w:t>
      </w:r>
      <w:r>
        <w:rPr>
          <w:color w:val="231F20"/>
          <w:w w:val="110"/>
        </w:rPr>
        <w:t>implementar</w:t>
      </w:r>
      <w:r>
        <w:rPr>
          <w:color w:val="231F20"/>
          <w:spacing w:val="-8"/>
          <w:w w:val="110"/>
        </w:rPr>
        <w:t> </w:t>
      </w:r>
      <w:r>
        <w:rPr>
          <w:color w:val="231F20"/>
          <w:w w:val="110"/>
        </w:rPr>
        <w:t>mejoras</w:t>
      </w:r>
      <w:r>
        <w:rPr>
          <w:color w:val="231F20"/>
          <w:spacing w:val="-8"/>
          <w:w w:val="110"/>
        </w:rPr>
        <w:t> </w:t>
      </w:r>
      <w:r>
        <w:rPr>
          <w:color w:val="231F20"/>
          <w:w w:val="110"/>
        </w:rPr>
        <w:t>en</w:t>
      </w:r>
      <w:r>
        <w:rPr>
          <w:color w:val="231F20"/>
          <w:spacing w:val="-8"/>
          <w:w w:val="110"/>
        </w:rPr>
        <w:t> </w:t>
      </w:r>
      <w:r>
        <w:rPr>
          <w:color w:val="231F20"/>
          <w:w w:val="110"/>
        </w:rPr>
        <w:t>la calidad</w:t>
      </w:r>
      <w:r>
        <w:rPr>
          <w:color w:val="231F20"/>
          <w:spacing w:val="-5"/>
          <w:w w:val="110"/>
        </w:rPr>
        <w:t> </w:t>
      </w:r>
      <w:r>
        <w:rPr>
          <w:color w:val="231F20"/>
          <w:w w:val="110"/>
        </w:rPr>
        <w:t>de</w:t>
      </w:r>
      <w:r>
        <w:rPr>
          <w:color w:val="231F20"/>
          <w:spacing w:val="-5"/>
          <w:w w:val="110"/>
        </w:rPr>
        <w:t> </w:t>
      </w:r>
      <w:r>
        <w:rPr>
          <w:color w:val="231F20"/>
          <w:w w:val="110"/>
        </w:rPr>
        <w:t>vida</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población,</w:t>
      </w:r>
      <w:r>
        <w:rPr>
          <w:color w:val="231F20"/>
          <w:spacing w:val="-5"/>
          <w:w w:val="110"/>
        </w:rPr>
        <w:t> </w:t>
      </w:r>
      <w:r>
        <w:rPr>
          <w:color w:val="231F20"/>
          <w:w w:val="110"/>
        </w:rPr>
        <w:t>destacando</w:t>
      </w:r>
      <w:r>
        <w:rPr>
          <w:color w:val="231F20"/>
          <w:spacing w:val="-5"/>
          <w:w w:val="110"/>
        </w:rPr>
        <w:t> </w:t>
      </w:r>
      <w:r>
        <w:rPr>
          <w:color w:val="231F20"/>
          <w:w w:val="110"/>
        </w:rPr>
        <w:t>el</w:t>
      </w:r>
      <w:r>
        <w:rPr>
          <w:color w:val="231F20"/>
          <w:spacing w:val="-5"/>
          <w:w w:val="110"/>
        </w:rPr>
        <w:t> </w:t>
      </w:r>
      <w:r>
        <w:rPr>
          <w:color w:val="231F20"/>
          <w:w w:val="110"/>
        </w:rPr>
        <w:t>hecho</w:t>
      </w:r>
      <w:r>
        <w:rPr>
          <w:color w:val="231F20"/>
          <w:spacing w:val="-5"/>
          <w:w w:val="110"/>
        </w:rPr>
        <w:t> </w:t>
      </w:r>
      <w:r>
        <w:rPr>
          <w:color w:val="231F20"/>
          <w:w w:val="110"/>
        </w:rPr>
        <w:t>de</w:t>
      </w:r>
      <w:r>
        <w:rPr>
          <w:color w:val="231F20"/>
          <w:spacing w:val="-5"/>
          <w:w w:val="110"/>
        </w:rPr>
        <w:t> </w:t>
      </w:r>
      <w:r>
        <w:rPr>
          <w:color w:val="231F20"/>
          <w:w w:val="110"/>
        </w:rPr>
        <w:t>que</w:t>
      </w:r>
      <w:r>
        <w:rPr>
          <w:color w:val="231F20"/>
          <w:spacing w:val="-5"/>
          <w:w w:val="110"/>
        </w:rPr>
        <w:t> </w:t>
      </w:r>
      <w:r>
        <w:rPr>
          <w:color w:val="231F20"/>
          <w:w w:val="110"/>
        </w:rPr>
        <w:t>en</w:t>
      </w:r>
      <w:r>
        <w:rPr>
          <w:color w:val="231F20"/>
          <w:spacing w:val="-5"/>
          <w:w w:val="110"/>
        </w:rPr>
        <w:t> </w:t>
      </w:r>
      <w:r>
        <w:rPr>
          <w:color w:val="231F20"/>
          <w:w w:val="110"/>
        </w:rPr>
        <w:t>este</w:t>
      </w:r>
      <w:r>
        <w:rPr>
          <w:color w:val="231F20"/>
          <w:spacing w:val="-5"/>
          <w:w w:val="110"/>
        </w:rPr>
        <w:t> </w:t>
      </w:r>
      <w:r>
        <w:rPr>
          <w:color w:val="231F20"/>
          <w:w w:val="110"/>
        </w:rPr>
        <w:t>sexenio se</w:t>
      </w:r>
      <w:r>
        <w:rPr>
          <w:color w:val="231F20"/>
          <w:spacing w:val="-7"/>
          <w:w w:val="110"/>
        </w:rPr>
        <w:t> </w:t>
      </w:r>
      <w:r>
        <w:rPr>
          <w:color w:val="231F20"/>
          <w:w w:val="110"/>
        </w:rPr>
        <w:t>aludió</w:t>
      </w:r>
      <w:r>
        <w:rPr>
          <w:color w:val="231F20"/>
          <w:spacing w:val="-7"/>
          <w:w w:val="110"/>
        </w:rPr>
        <w:t> </w:t>
      </w:r>
      <w:r>
        <w:rPr>
          <w:color w:val="231F20"/>
          <w:w w:val="110"/>
        </w:rPr>
        <w:t>al</w:t>
      </w:r>
      <w:r>
        <w:rPr>
          <w:color w:val="231F20"/>
          <w:spacing w:val="-7"/>
          <w:w w:val="110"/>
        </w:rPr>
        <w:t> </w:t>
      </w:r>
      <w:r>
        <w:rPr>
          <w:color w:val="231F20"/>
          <w:w w:val="110"/>
        </w:rPr>
        <w:t>“Bienestar</w:t>
      </w:r>
      <w:r>
        <w:rPr>
          <w:color w:val="231F20"/>
          <w:spacing w:val="-7"/>
          <w:w w:val="110"/>
        </w:rPr>
        <w:t> </w:t>
      </w:r>
      <w:r>
        <w:rPr>
          <w:color w:val="231F20"/>
          <w:w w:val="110"/>
        </w:rPr>
        <w:t>Familiar”</w:t>
      </w:r>
      <w:r>
        <w:rPr>
          <w:color w:val="231F20"/>
          <w:spacing w:val="-7"/>
          <w:w w:val="110"/>
        </w:rPr>
        <w:t> </w:t>
      </w:r>
      <w:r>
        <w:rPr>
          <w:color w:val="231F20"/>
          <w:w w:val="110"/>
        </w:rPr>
        <w:t>como</w:t>
      </w:r>
      <w:r>
        <w:rPr>
          <w:color w:val="231F20"/>
          <w:spacing w:val="-7"/>
          <w:w w:val="110"/>
        </w:rPr>
        <w:t> </w:t>
      </w:r>
      <w:r>
        <w:rPr>
          <w:color w:val="231F20"/>
          <w:w w:val="110"/>
        </w:rPr>
        <w:t>una</w:t>
      </w:r>
      <w:r>
        <w:rPr>
          <w:color w:val="231F20"/>
          <w:spacing w:val="-7"/>
          <w:w w:val="110"/>
        </w:rPr>
        <w:t> </w:t>
      </w:r>
      <w:r>
        <w:rPr>
          <w:color w:val="231F20"/>
          <w:w w:val="110"/>
        </w:rPr>
        <w:t>de</w:t>
      </w:r>
      <w:r>
        <w:rPr>
          <w:color w:val="231F20"/>
          <w:spacing w:val="-7"/>
          <w:w w:val="110"/>
        </w:rPr>
        <w:t> </w:t>
      </w:r>
      <w:r>
        <w:rPr>
          <w:color w:val="231F20"/>
          <w:w w:val="110"/>
        </w:rPr>
        <w:t>las</w:t>
      </w:r>
      <w:r>
        <w:rPr>
          <w:color w:val="231F20"/>
          <w:spacing w:val="-7"/>
          <w:w w:val="110"/>
        </w:rPr>
        <w:t> </w:t>
      </w:r>
      <w:r>
        <w:rPr>
          <w:color w:val="231F20"/>
          <w:w w:val="110"/>
        </w:rPr>
        <w:t>prioridades</w:t>
      </w:r>
      <w:r>
        <w:rPr>
          <w:color w:val="231F20"/>
          <w:spacing w:val="-7"/>
          <w:w w:val="110"/>
        </w:rPr>
        <w:t> </w:t>
      </w:r>
      <w:r>
        <w:rPr>
          <w:color w:val="231F20"/>
          <w:w w:val="110"/>
        </w:rPr>
        <w:t>de</w:t>
      </w:r>
      <w:r>
        <w:rPr>
          <w:color w:val="231F20"/>
          <w:spacing w:val="-7"/>
          <w:w w:val="110"/>
        </w:rPr>
        <w:t> </w:t>
      </w:r>
      <w:r>
        <w:rPr>
          <w:color w:val="231F20"/>
          <w:w w:val="110"/>
        </w:rPr>
        <w:t>esta</w:t>
      </w:r>
      <w:r>
        <w:rPr>
          <w:color w:val="231F20"/>
          <w:spacing w:val="-7"/>
          <w:w w:val="110"/>
        </w:rPr>
        <w:t> </w:t>
      </w:r>
      <w:r>
        <w:rPr>
          <w:color w:val="231F20"/>
          <w:w w:val="110"/>
        </w:rPr>
        <w:t>nueva política. Incluso, el lema de campaña del Presidente fue (reiteramos, en el pasado) “bienestar para su familia”, siempre vinculada con la idea nacida durante los setenta y plasmada en la Ley General de Población, que “la fa- milia pequeña vive mejor”. Así, desde su creación, Progresa fue concebido como una estrategia para ayudar a las familias a la superación intergene- racional de la pobreza, proveyendo a las familias pobres de un paquete de beneficios</w:t>
      </w:r>
      <w:r>
        <w:rPr>
          <w:color w:val="231F20"/>
          <w:spacing w:val="-10"/>
          <w:w w:val="110"/>
        </w:rPr>
        <w:t> </w:t>
      </w:r>
      <w:r>
        <w:rPr>
          <w:color w:val="231F20"/>
          <w:w w:val="110"/>
        </w:rPr>
        <w:t>que</w:t>
      </w:r>
      <w:r>
        <w:rPr>
          <w:color w:val="231F20"/>
          <w:spacing w:val="-10"/>
          <w:w w:val="110"/>
        </w:rPr>
        <w:t> </w:t>
      </w:r>
      <w:r>
        <w:rPr>
          <w:color w:val="231F20"/>
          <w:w w:val="110"/>
        </w:rPr>
        <w:t>les</w:t>
      </w:r>
      <w:r>
        <w:rPr>
          <w:color w:val="231F20"/>
          <w:spacing w:val="-10"/>
          <w:w w:val="110"/>
        </w:rPr>
        <w:t> </w:t>
      </w:r>
      <w:r>
        <w:rPr>
          <w:color w:val="231F20"/>
          <w:w w:val="110"/>
        </w:rPr>
        <w:t>permitieran,</w:t>
      </w:r>
      <w:r>
        <w:rPr>
          <w:color w:val="231F20"/>
          <w:spacing w:val="-10"/>
          <w:w w:val="110"/>
        </w:rPr>
        <w:t> </w:t>
      </w:r>
      <w:r>
        <w:rPr>
          <w:color w:val="231F20"/>
          <w:w w:val="110"/>
        </w:rPr>
        <w:t>en</w:t>
      </w:r>
      <w:r>
        <w:rPr>
          <w:color w:val="231F20"/>
          <w:spacing w:val="-10"/>
          <w:w w:val="110"/>
        </w:rPr>
        <w:t> </w:t>
      </w:r>
      <w:r>
        <w:rPr>
          <w:color w:val="231F20"/>
          <w:w w:val="110"/>
        </w:rPr>
        <w:t>un</w:t>
      </w:r>
      <w:r>
        <w:rPr>
          <w:color w:val="231F20"/>
          <w:spacing w:val="-10"/>
          <w:w w:val="110"/>
        </w:rPr>
        <w:t> </w:t>
      </w:r>
      <w:r>
        <w:rPr>
          <w:color w:val="231F20"/>
          <w:w w:val="110"/>
        </w:rPr>
        <w:t>marco</w:t>
      </w:r>
      <w:r>
        <w:rPr>
          <w:color w:val="231F20"/>
          <w:spacing w:val="-10"/>
          <w:w w:val="110"/>
        </w:rPr>
        <w:t> </w:t>
      </w:r>
      <w:r>
        <w:rPr>
          <w:color w:val="231F20"/>
          <w:w w:val="110"/>
        </w:rPr>
        <w:t>de</w:t>
      </w:r>
      <w:r>
        <w:rPr>
          <w:color w:val="231F20"/>
          <w:spacing w:val="-10"/>
          <w:w w:val="110"/>
        </w:rPr>
        <w:t> </w:t>
      </w:r>
      <w:r>
        <w:rPr>
          <w:color w:val="231F20"/>
          <w:w w:val="110"/>
        </w:rPr>
        <w:t>corresponsabilidades,</w:t>
      </w:r>
      <w:r>
        <w:rPr>
          <w:color w:val="231F20"/>
          <w:spacing w:val="-10"/>
          <w:w w:val="110"/>
        </w:rPr>
        <w:t> </w:t>
      </w:r>
      <w:r>
        <w:rPr>
          <w:color w:val="231F20"/>
          <w:w w:val="110"/>
        </w:rPr>
        <w:t>dotar a los niños y jóvenes de las capacidades necesarias para que éstos fueran capaces en un futuro de superar sus desventajas de origen, mejorar signi- ficativamente su inserción en el mercado de trabajo y así superar las con- diciones de pobreza (Banegas,</w:t>
      </w:r>
      <w:r>
        <w:rPr>
          <w:color w:val="231F20"/>
          <w:spacing w:val="-32"/>
          <w:w w:val="110"/>
        </w:rPr>
        <w:t> </w:t>
      </w:r>
      <w:r>
        <w:rPr>
          <w:color w:val="231F20"/>
          <w:w w:val="110"/>
        </w:rPr>
        <w:t>2008).</w:t>
      </w:r>
    </w:p>
    <w:p>
      <w:pPr>
        <w:pStyle w:val="BodyText"/>
        <w:spacing w:line="288" w:lineRule="auto"/>
        <w:ind w:left="124" w:right="114" w:firstLine="360"/>
        <w:jc w:val="both"/>
      </w:pPr>
      <w:r>
        <w:rPr>
          <w:color w:val="231F20"/>
          <w:w w:val="110"/>
        </w:rPr>
        <w:t>El Progresa combinaba acciones de educación, de salud y de alimenta- ción, teniendo como base al núcleo familiar. En su primera fase, se aplicó en 10 estados cubriendo a 160 mil familias. Cifra indudablemente</w:t>
      </w:r>
      <w:r>
        <w:rPr>
          <w:color w:val="231F20"/>
          <w:spacing w:val="-6"/>
          <w:w w:val="110"/>
        </w:rPr>
        <w:t> </w:t>
      </w:r>
      <w:r>
        <w:rPr>
          <w:color w:val="231F20"/>
          <w:w w:val="110"/>
        </w:rPr>
        <w:t>irrisoria con respecto al total de las familias pobres en México, pues con esta polí- tica de cuentagotas se requieren por lo menos otros 500 años para que se presenten efectos apreciables en el bienestar real de las </w:t>
      </w:r>
      <w:r>
        <w:rPr>
          <w:color w:val="231F20"/>
          <w:spacing w:val="1"/>
          <w:w w:val="110"/>
        </w:rPr>
        <w:t> </w:t>
      </w:r>
      <w:r>
        <w:rPr>
          <w:color w:val="231F20"/>
          <w:w w:val="110"/>
        </w:rPr>
        <w:t>familias.</w:t>
      </w:r>
    </w:p>
    <w:p>
      <w:pPr>
        <w:pStyle w:val="BodyText"/>
        <w:spacing w:line="288" w:lineRule="auto"/>
        <w:ind w:left="124" w:right="111" w:firstLine="360"/>
        <w:jc w:val="both"/>
      </w:pPr>
      <w:r>
        <w:rPr>
          <w:color w:val="231F20"/>
          <w:w w:val="110"/>
        </w:rPr>
        <w:t>Progresa fue evidentemente un programa muy publicitado pero que únicamente</w:t>
      </w:r>
      <w:r>
        <w:rPr>
          <w:color w:val="231F20"/>
          <w:spacing w:val="-6"/>
          <w:w w:val="110"/>
        </w:rPr>
        <w:t> </w:t>
      </w:r>
      <w:r>
        <w:rPr>
          <w:color w:val="231F20"/>
          <w:spacing w:val="-3"/>
          <w:w w:val="110"/>
        </w:rPr>
        <w:t>otorgó</w:t>
      </w:r>
      <w:r>
        <w:rPr>
          <w:color w:val="231F20"/>
          <w:spacing w:val="-6"/>
          <w:w w:val="110"/>
        </w:rPr>
        <w:t> </w:t>
      </w:r>
      <w:r>
        <w:rPr>
          <w:color w:val="231F20"/>
          <w:w w:val="110"/>
        </w:rPr>
        <w:t>0.3</w:t>
      </w:r>
      <w:r>
        <w:rPr>
          <w:color w:val="231F20"/>
          <w:spacing w:val="-6"/>
          <w:w w:val="110"/>
        </w:rPr>
        <w:t> </w:t>
      </w:r>
      <w:r>
        <w:rPr>
          <w:color w:val="231F20"/>
          <w:w w:val="110"/>
        </w:rPr>
        <w:t>por</w:t>
      </w:r>
      <w:r>
        <w:rPr>
          <w:color w:val="231F20"/>
          <w:spacing w:val="-6"/>
          <w:w w:val="110"/>
        </w:rPr>
        <w:t> </w:t>
      </w:r>
      <w:r>
        <w:rPr>
          <w:color w:val="231F20"/>
          <w:w w:val="110"/>
        </w:rPr>
        <w:t>ciento</w:t>
      </w:r>
      <w:r>
        <w:rPr>
          <w:color w:val="231F20"/>
          <w:spacing w:val="-6"/>
          <w:w w:val="110"/>
        </w:rPr>
        <w:t> </w:t>
      </w:r>
      <w:r>
        <w:rPr>
          <w:color w:val="231F20"/>
          <w:w w:val="110"/>
        </w:rPr>
        <w:t>(1,200</w:t>
      </w:r>
      <w:r>
        <w:rPr>
          <w:color w:val="231F20"/>
          <w:spacing w:val="-6"/>
          <w:w w:val="110"/>
        </w:rPr>
        <w:t> </w:t>
      </w:r>
      <w:r>
        <w:rPr>
          <w:color w:val="231F20"/>
          <w:w w:val="110"/>
        </w:rPr>
        <w:t>millones</w:t>
      </w:r>
      <w:r>
        <w:rPr>
          <w:color w:val="231F20"/>
          <w:spacing w:val="-6"/>
          <w:w w:val="110"/>
        </w:rPr>
        <w:t> </w:t>
      </w:r>
      <w:r>
        <w:rPr>
          <w:color w:val="231F20"/>
          <w:w w:val="110"/>
        </w:rPr>
        <w:t>de</w:t>
      </w:r>
      <w:r>
        <w:rPr>
          <w:color w:val="231F20"/>
          <w:spacing w:val="-6"/>
          <w:w w:val="110"/>
        </w:rPr>
        <w:t> </w:t>
      </w:r>
      <w:r>
        <w:rPr>
          <w:color w:val="231F20"/>
          <w:w w:val="110"/>
        </w:rPr>
        <w:t>pesos)</w:t>
      </w:r>
      <w:r>
        <w:rPr>
          <w:color w:val="231F20"/>
          <w:spacing w:val="-6"/>
          <w:w w:val="110"/>
        </w:rPr>
        <w:t> </w:t>
      </w:r>
      <w:r>
        <w:rPr>
          <w:color w:val="231F20"/>
          <w:w w:val="110"/>
        </w:rPr>
        <w:t>de</w:t>
      </w:r>
      <w:r>
        <w:rPr>
          <w:color w:val="231F20"/>
          <w:spacing w:val="-6"/>
          <w:w w:val="110"/>
        </w:rPr>
        <w:t> </w:t>
      </w:r>
      <w:r>
        <w:rPr>
          <w:color w:val="231F20"/>
          <w:w w:val="110"/>
        </w:rPr>
        <w:t>lo</w:t>
      </w:r>
      <w:r>
        <w:rPr>
          <w:color w:val="231F20"/>
          <w:spacing w:val="-6"/>
          <w:w w:val="110"/>
        </w:rPr>
        <w:t> </w:t>
      </w:r>
      <w:r>
        <w:rPr>
          <w:color w:val="231F20"/>
          <w:w w:val="110"/>
        </w:rPr>
        <w:t>que</w:t>
      </w:r>
      <w:r>
        <w:rPr>
          <w:color w:val="231F20"/>
          <w:spacing w:val="-6"/>
          <w:w w:val="110"/>
        </w:rPr>
        <w:t> </w:t>
      </w:r>
      <w:r>
        <w:rPr>
          <w:color w:val="231F20"/>
          <w:w w:val="110"/>
        </w:rPr>
        <w:t>el</w:t>
      </w:r>
      <w:r>
        <w:rPr>
          <w:color w:val="231F20"/>
          <w:spacing w:val="-6"/>
          <w:w w:val="110"/>
        </w:rPr>
        <w:t> </w:t>
      </w:r>
      <w:r>
        <w:rPr>
          <w:color w:val="231F20"/>
          <w:w w:val="110"/>
        </w:rPr>
        <w:t>go- bierno invirtió para salvar a los banqueros. Es </w:t>
      </w:r>
      <w:r>
        <w:rPr>
          <w:color w:val="231F20"/>
          <w:spacing w:val="-3"/>
          <w:w w:val="110"/>
        </w:rPr>
        <w:t>decir, </w:t>
      </w:r>
      <w:r>
        <w:rPr>
          <w:color w:val="231F20"/>
          <w:w w:val="110"/>
        </w:rPr>
        <w:t>no existe ni siquiera una política racional de corte caritativo frente a la miseria que carcome cada vez más a las familias mexicanas, excluidas del sistema productivo, cuyas manifestaciones inmediatas son la frustración y la </w:t>
      </w:r>
      <w:r>
        <w:rPr>
          <w:color w:val="231F20"/>
          <w:spacing w:val="23"/>
          <w:w w:val="110"/>
        </w:rPr>
        <w:t> </w:t>
      </w:r>
      <w:r>
        <w:rPr>
          <w:color w:val="231F20"/>
          <w:w w:val="110"/>
        </w:rPr>
        <w:t>depresión.</w:t>
      </w:r>
    </w:p>
    <w:p>
      <w:pPr>
        <w:pStyle w:val="BodyText"/>
        <w:spacing w:line="288" w:lineRule="auto"/>
        <w:ind w:left="124" w:right="112" w:firstLine="360"/>
        <w:jc w:val="both"/>
      </w:pPr>
      <w:r>
        <w:rPr>
          <w:color w:val="231F20"/>
          <w:w w:val="110"/>
        </w:rPr>
        <w:t>El</w:t>
      </w:r>
      <w:r>
        <w:rPr>
          <w:color w:val="231F20"/>
          <w:spacing w:val="-9"/>
          <w:w w:val="110"/>
        </w:rPr>
        <w:t> </w:t>
      </w:r>
      <w:r>
        <w:rPr>
          <w:color w:val="231F20"/>
          <w:w w:val="110"/>
        </w:rPr>
        <w:t>Progresa,</w:t>
      </w:r>
      <w:r>
        <w:rPr>
          <w:color w:val="231F20"/>
          <w:spacing w:val="-9"/>
          <w:w w:val="110"/>
        </w:rPr>
        <w:t> </w:t>
      </w:r>
      <w:r>
        <w:rPr>
          <w:color w:val="231F20"/>
          <w:w w:val="110"/>
        </w:rPr>
        <w:t>anunciado</w:t>
      </w:r>
      <w:r>
        <w:rPr>
          <w:color w:val="231F20"/>
          <w:spacing w:val="-9"/>
          <w:w w:val="110"/>
        </w:rPr>
        <w:t> </w:t>
      </w:r>
      <w:r>
        <w:rPr>
          <w:color w:val="231F20"/>
          <w:w w:val="110"/>
        </w:rPr>
        <w:t>con</w:t>
      </w:r>
      <w:r>
        <w:rPr>
          <w:color w:val="231F20"/>
          <w:spacing w:val="-9"/>
          <w:w w:val="110"/>
        </w:rPr>
        <w:t> </w:t>
      </w:r>
      <w:r>
        <w:rPr>
          <w:color w:val="231F20"/>
          <w:w w:val="110"/>
        </w:rPr>
        <w:t>bombo</w:t>
      </w:r>
      <w:r>
        <w:rPr>
          <w:color w:val="231F20"/>
          <w:spacing w:val="-9"/>
          <w:w w:val="110"/>
        </w:rPr>
        <w:t> </w:t>
      </w:r>
      <w:r>
        <w:rPr>
          <w:color w:val="231F20"/>
          <w:w w:val="110"/>
        </w:rPr>
        <w:t>y</w:t>
      </w:r>
      <w:r>
        <w:rPr>
          <w:color w:val="231F20"/>
          <w:spacing w:val="-9"/>
          <w:w w:val="110"/>
        </w:rPr>
        <w:t> </w:t>
      </w:r>
      <w:r>
        <w:rPr>
          <w:color w:val="231F20"/>
          <w:w w:val="110"/>
        </w:rPr>
        <w:t>platillo</w:t>
      </w:r>
      <w:r>
        <w:rPr>
          <w:color w:val="231F20"/>
          <w:spacing w:val="-9"/>
          <w:w w:val="110"/>
        </w:rPr>
        <w:t> </w:t>
      </w:r>
      <w:r>
        <w:rPr>
          <w:color w:val="231F20"/>
          <w:w w:val="110"/>
        </w:rPr>
        <w:t>por</w:t>
      </w:r>
      <w:r>
        <w:rPr>
          <w:color w:val="231F20"/>
          <w:spacing w:val="-9"/>
          <w:w w:val="110"/>
        </w:rPr>
        <w:t> </w:t>
      </w:r>
      <w:r>
        <w:rPr>
          <w:color w:val="231F20"/>
          <w:w w:val="110"/>
        </w:rPr>
        <w:t>los</w:t>
      </w:r>
      <w:r>
        <w:rPr>
          <w:color w:val="231F20"/>
          <w:spacing w:val="-9"/>
          <w:w w:val="110"/>
        </w:rPr>
        <w:t> </w:t>
      </w:r>
      <w:r>
        <w:rPr>
          <w:color w:val="231F20"/>
          <w:w w:val="110"/>
        </w:rPr>
        <w:t>medios</w:t>
      </w:r>
      <w:r>
        <w:rPr>
          <w:color w:val="231F20"/>
          <w:spacing w:val="-9"/>
          <w:w w:val="110"/>
        </w:rPr>
        <w:t> </w:t>
      </w:r>
      <w:r>
        <w:rPr>
          <w:color w:val="231F20"/>
          <w:w w:val="110"/>
        </w:rPr>
        <w:t>de</w:t>
      </w:r>
      <w:r>
        <w:rPr>
          <w:color w:val="231F20"/>
          <w:spacing w:val="-9"/>
          <w:w w:val="110"/>
        </w:rPr>
        <w:t> </w:t>
      </w:r>
      <w:r>
        <w:rPr>
          <w:color w:val="231F20"/>
          <w:w w:val="110"/>
        </w:rPr>
        <w:t>informa- ción,</w:t>
      </w:r>
      <w:r>
        <w:rPr>
          <w:color w:val="231F20"/>
          <w:spacing w:val="-5"/>
          <w:w w:val="110"/>
        </w:rPr>
        <w:t> </w:t>
      </w:r>
      <w:r>
        <w:rPr>
          <w:color w:val="231F20"/>
          <w:w w:val="110"/>
        </w:rPr>
        <w:t>fue</w:t>
      </w:r>
      <w:r>
        <w:rPr>
          <w:color w:val="231F20"/>
          <w:spacing w:val="-5"/>
          <w:w w:val="110"/>
        </w:rPr>
        <w:t> </w:t>
      </w:r>
      <w:r>
        <w:rPr>
          <w:color w:val="231F20"/>
          <w:w w:val="110"/>
        </w:rPr>
        <w:t>una</w:t>
      </w:r>
      <w:r>
        <w:rPr>
          <w:color w:val="231F20"/>
          <w:spacing w:val="-5"/>
          <w:w w:val="110"/>
        </w:rPr>
        <w:t> </w:t>
      </w:r>
      <w:r>
        <w:rPr>
          <w:color w:val="231F20"/>
          <w:w w:val="110"/>
        </w:rPr>
        <w:t>quimera</w:t>
      </w:r>
      <w:r>
        <w:rPr>
          <w:color w:val="231F20"/>
          <w:spacing w:val="-5"/>
          <w:w w:val="110"/>
        </w:rPr>
        <w:t> </w:t>
      </w:r>
      <w:r>
        <w:rPr>
          <w:color w:val="231F20"/>
          <w:w w:val="110"/>
        </w:rPr>
        <w:t>más</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política</w:t>
      </w:r>
      <w:r>
        <w:rPr>
          <w:color w:val="231F20"/>
          <w:spacing w:val="-5"/>
          <w:w w:val="110"/>
        </w:rPr>
        <w:t> </w:t>
      </w:r>
      <w:r>
        <w:rPr>
          <w:color w:val="231F20"/>
          <w:w w:val="110"/>
        </w:rPr>
        <w:t>pública,</w:t>
      </w:r>
      <w:r>
        <w:rPr>
          <w:color w:val="231F20"/>
          <w:spacing w:val="-5"/>
          <w:w w:val="110"/>
        </w:rPr>
        <w:t> </w:t>
      </w:r>
      <w:r>
        <w:rPr>
          <w:color w:val="231F20"/>
          <w:w w:val="110"/>
        </w:rPr>
        <w:t>pues</w:t>
      </w:r>
      <w:r>
        <w:rPr>
          <w:color w:val="231F20"/>
          <w:spacing w:val="-5"/>
          <w:w w:val="110"/>
        </w:rPr>
        <w:t> </w:t>
      </w:r>
      <w:r>
        <w:rPr>
          <w:color w:val="231F20"/>
          <w:w w:val="110"/>
        </w:rPr>
        <w:t>el</w:t>
      </w:r>
      <w:r>
        <w:rPr>
          <w:color w:val="231F20"/>
          <w:spacing w:val="-5"/>
          <w:w w:val="110"/>
        </w:rPr>
        <w:t> </w:t>
      </w:r>
      <w:r>
        <w:rPr>
          <w:color w:val="231F20"/>
          <w:w w:val="110"/>
        </w:rPr>
        <w:t>modelo</w:t>
      </w:r>
      <w:r>
        <w:rPr>
          <w:color w:val="231F20"/>
          <w:spacing w:val="-5"/>
          <w:w w:val="110"/>
        </w:rPr>
        <w:t> </w:t>
      </w:r>
      <w:r>
        <w:rPr>
          <w:color w:val="231F20"/>
          <w:w w:val="110"/>
        </w:rPr>
        <w:t>económico impuesto por los últimos cuatro gobiernos le ha quitado el trabajo a millo- nes de familias, pretendiendo compensar con un programa de asistencia caritativa las graves desigualdades sociales y la desintegración familiar, generada</w:t>
      </w:r>
      <w:r>
        <w:rPr>
          <w:color w:val="231F20"/>
          <w:spacing w:val="32"/>
          <w:w w:val="110"/>
        </w:rPr>
        <w:t> </w:t>
      </w:r>
      <w:r>
        <w:rPr>
          <w:color w:val="231F20"/>
          <w:w w:val="110"/>
        </w:rPr>
        <w:t>por</w:t>
      </w:r>
      <w:r>
        <w:rPr>
          <w:color w:val="231F20"/>
          <w:spacing w:val="32"/>
          <w:w w:val="110"/>
        </w:rPr>
        <w:t> </w:t>
      </w:r>
      <w:r>
        <w:rPr>
          <w:color w:val="231F20"/>
          <w:w w:val="110"/>
        </w:rPr>
        <w:t>la</w:t>
      </w:r>
      <w:r>
        <w:rPr>
          <w:color w:val="231F20"/>
          <w:spacing w:val="32"/>
          <w:w w:val="110"/>
        </w:rPr>
        <w:t> </w:t>
      </w:r>
      <w:r>
        <w:rPr>
          <w:color w:val="231F20"/>
          <w:w w:val="110"/>
        </w:rPr>
        <w:t>falta</w:t>
      </w:r>
      <w:r>
        <w:rPr>
          <w:color w:val="231F20"/>
          <w:spacing w:val="32"/>
          <w:w w:val="110"/>
        </w:rPr>
        <w:t> </w:t>
      </w:r>
      <w:r>
        <w:rPr>
          <w:color w:val="231F20"/>
          <w:w w:val="110"/>
        </w:rPr>
        <w:t>de</w:t>
      </w:r>
      <w:r>
        <w:rPr>
          <w:color w:val="231F20"/>
          <w:spacing w:val="32"/>
          <w:w w:val="110"/>
        </w:rPr>
        <w:t> </w:t>
      </w:r>
      <w:r>
        <w:rPr>
          <w:color w:val="231F20"/>
          <w:w w:val="110"/>
        </w:rPr>
        <w:t>expectativas</w:t>
      </w:r>
      <w:r>
        <w:rPr>
          <w:color w:val="231F20"/>
          <w:spacing w:val="32"/>
          <w:w w:val="110"/>
        </w:rPr>
        <w:t> </w:t>
      </w:r>
      <w:r>
        <w:rPr>
          <w:color w:val="231F20"/>
          <w:w w:val="110"/>
        </w:rPr>
        <w:t>dignas,</w:t>
      </w:r>
      <w:r>
        <w:rPr>
          <w:color w:val="231F20"/>
          <w:spacing w:val="32"/>
          <w:w w:val="110"/>
        </w:rPr>
        <w:t> </w:t>
      </w:r>
      <w:r>
        <w:rPr>
          <w:color w:val="231F20"/>
          <w:w w:val="110"/>
        </w:rPr>
        <w:t>que</w:t>
      </w:r>
      <w:r>
        <w:rPr>
          <w:color w:val="231F20"/>
          <w:spacing w:val="32"/>
          <w:w w:val="110"/>
        </w:rPr>
        <w:t> </w:t>
      </w:r>
      <w:r>
        <w:rPr>
          <w:color w:val="231F20"/>
          <w:w w:val="110"/>
        </w:rPr>
        <w:t>se</w:t>
      </w:r>
      <w:r>
        <w:rPr>
          <w:color w:val="231F20"/>
          <w:spacing w:val="32"/>
          <w:w w:val="110"/>
        </w:rPr>
        <w:t> </w:t>
      </w:r>
      <w:r>
        <w:rPr>
          <w:color w:val="231F20"/>
          <w:w w:val="110"/>
        </w:rPr>
        <w:t>viven</w:t>
      </w:r>
      <w:r>
        <w:rPr>
          <w:color w:val="231F20"/>
          <w:spacing w:val="32"/>
          <w:w w:val="110"/>
        </w:rPr>
        <w:t> </w:t>
      </w:r>
      <w:r>
        <w:rPr>
          <w:color w:val="231F20"/>
          <w:w w:val="110"/>
        </w:rPr>
        <w:t>en</w:t>
      </w:r>
      <w:r>
        <w:rPr>
          <w:color w:val="231F20"/>
          <w:spacing w:val="32"/>
          <w:w w:val="110"/>
        </w:rPr>
        <w:t> </w:t>
      </w:r>
      <w:r>
        <w:rPr>
          <w:color w:val="231F20"/>
          <w:w w:val="110"/>
        </w:rPr>
        <w:t>el</w:t>
      </w:r>
      <w:r>
        <w:rPr>
          <w:color w:val="231F20"/>
          <w:spacing w:val="32"/>
          <w:w w:val="110"/>
        </w:rPr>
        <w:t> </w:t>
      </w:r>
      <w:r>
        <w:rPr>
          <w:color w:val="231F20"/>
          <w:w w:val="110"/>
        </w:rPr>
        <w:t>México</w:t>
      </w:r>
    </w:p>
    <w:p>
      <w:pPr>
        <w:spacing w:after="0" w:line="288" w:lineRule="auto"/>
        <w:jc w:val="both"/>
        <w:sectPr>
          <w:pgSz w:w="9520" w:h="12920"/>
          <w:pgMar w:header="0" w:footer="1344" w:top="880" w:bottom="1540" w:left="1320" w:right="1000"/>
        </w:sectPr>
      </w:pPr>
    </w:p>
    <w:p>
      <w:pPr>
        <w:pStyle w:val="BodyText"/>
        <w:spacing w:line="288" w:lineRule="auto" w:before="42"/>
        <w:ind w:left="120" w:right="115"/>
        <w:jc w:val="both"/>
      </w:pPr>
      <w:r>
        <w:rPr>
          <w:color w:val="231F20"/>
          <w:w w:val="110"/>
        </w:rPr>
        <w:t>moderno. Los resultados de evaluación del programa pusieron de mani- fiesto que éste no fue diseñado para reducir los niveles de pobreza actual, sino como una estrategia de mediano y largo plazo dirigida a revertir los mecanismos que llevan a su reproducción intergeneracional por medio de la dotación de capital humano, específicamente educación. En todo caso,</w:t>
      </w:r>
      <w:r>
        <w:rPr>
          <w:color w:val="231F20"/>
          <w:spacing w:val="-11"/>
          <w:w w:val="110"/>
        </w:rPr>
        <w:t> </w:t>
      </w:r>
      <w:r>
        <w:rPr>
          <w:color w:val="231F20"/>
          <w:w w:val="110"/>
        </w:rPr>
        <w:t>el efecto del programa sobre las condiciones de vida de los hogares benefi- ciarios sería el de atenuar las condiciones extremas de pobreza, lo que a su vez permitiría mitigar sus efectos negativos sobre el desarrollo de los niños y jóvenes. Debido a lo anterior, no resulta extraño que las evaluacio- nes realizadas hasta la fecha, así como estudios dirigidos específicamente a la medición de los efectos de este programa sobre los niveles de pobreza actuales en México, hayan encontrado que los efectos sobre la incidencia de</w:t>
      </w:r>
      <w:r>
        <w:rPr>
          <w:color w:val="231F20"/>
          <w:spacing w:val="-12"/>
          <w:w w:val="110"/>
        </w:rPr>
        <w:t> </w:t>
      </w:r>
      <w:r>
        <w:rPr>
          <w:color w:val="231F20"/>
          <w:w w:val="110"/>
        </w:rPr>
        <w:t>la</w:t>
      </w:r>
      <w:r>
        <w:rPr>
          <w:color w:val="231F20"/>
          <w:spacing w:val="-12"/>
          <w:w w:val="110"/>
        </w:rPr>
        <w:t> </w:t>
      </w:r>
      <w:r>
        <w:rPr>
          <w:color w:val="231F20"/>
          <w:w w:val="110"/>
        </w:rPr>
        <w:t>pobreza</w:t>
      </w:r>
      <w:r>
        <w:rPr>
          <w:color w:val="231F20"/>
          <w:spacing w:val="-12"/>
          <w:w w:val="110"/>
        </w:rPr>
        <w:t> </w:t>
      </w:r>
      <w:r>
        <w:rPr>
          <w:color w:val="231F20"/>
          <w:w w:val="110"/>
        </w:rPr>
        <w:t>fueron</w:t>
      </w:r>
      <w:r>
        <w:rPr>
          <w:color w:val="231F20"/>
          <w:spacing w:val="-12"/>
          <w:w w:val="110"/>
        </w:rPr>
        <w:t> </w:t>
      </w:r>
      <w:r>
        <w:rPr>
          <w:color w:val="231F20"/>
          <w:w w:val="110"/>
        </w:rPr>
        <w:t>moderados,</w:t>
      </w:r>
      <w:r>
        <w:rPr>
          <w:color w:val="231F20"/>
          <w:spacing w:val="-12"/>
          <w:w w:val="110"/>
        </w:rPr>
        <w:t> </w:t>
      </w:r>
      <w:r>
        <w:rPr>
          <w:color w:val="231F20"/>
          <w:w w:val="110"/>
        </w:rPr>
        <w:t>aunque</w:t>
      </w:r>
      <w:r>
        <w:rPr>
          <w:color w:val="231F20"/>
          <w:spacing w:val="-12"/>
          <w:w w:val="110"/>
        </w:rPr>
        <w:t> </w:t>
      </w:r>
      <w:r>
        <w:rPr>
          <w:color w:val="231F20"/>
          <w:w w:val="110"/>
        </w:rPr>
        <w:t>sí</w:t>
      </w:r>
      <w:r>
        <w:rPr>
          <w:color w:val="231F20"/>
          <w:spacing w:val="-12"/>
          <w:w w:val="110"/>
        </w:rPr>
        <w:t> </w:t>
      </w:r>
      <w:r>
        <w:rPr>
          <w:color w:val="231F20"/>
          <w:w w:val="110"/>
        </w:rPr>
        <w:t>se</w:t>
      </w:r>
      <w:r>
        <w:rPr>
          <w:color w:val="231F20"/>
          <w:spacing w:val="-12"/>
          <w:w w:val="110"/>
        </w:rPr>
        <w:t> </w:t>
      </w:r>
      <w:r>
        <w:rPr>
          <w:color w:val="231F20"/>
          <w:w w:val="110"/>
        </w:rPr>
        <w:t>aprecian</w:t>
      </w:r>
      <w:r>
        <w:rPr>
          <w:color w:val="231F20"/>
          <w:spacing w:val="-12"/>
          <w:w w:val="110"/>
        </w:rPr>
        <w:t> </w:t>
      </w:r>
      <w:r>
        <w:rPr>
          <w:color w:val="231F20"/>
          <w:w w:val="110"/>
        </w:rPr>
        <w:t>efectos</w:t>
      </w:r>
      <w:r>
        <w:rPr>
          <w:color w:val="231F20"/>
          <w:spacing w:val="-12"/>
          <w:w w:val="110"/>
        </w:rPr>
        <w:t> </w:t>
      </w:r>
      <w:r>
        <w:rPr>
          <w:color w:val="231F20"/>
          <w:w w:val="110"/>
        </w:rPr>
        <w:t>importantes en lo que se refiere a la reducción de la intensidad de la pobreza. En otras palabras, el efecto principal de las transferencias del programa no ha sido sacar a los hogares de la pobreza, sino reducir la brecha que existe entre sus ingresos y la línea de pobreza (Banegas,</w:t>
      </w:r>
      <w:r>
        <w:rPr>
          <w:color w:val="231F20"/>
          <w:spacing w:val="29"/>
          <w:w w:val="110"/>
        </w:rPr>
        <w:t> </w:t>
      </w:r>
      <w:r>
        <w:rPr>
          <w:color w:val="231F20"/>
          <w:w w:val="110"/>
        </w:rPr>
        <w:t>2008:2).</w:t>
      </w:r>
    </w:p>
    <w:p>
      <w:pPr>
        <w:pStyle w:val="BodyText"/>
        <w:spacing w:line="288" w:lineRule="auto"/>
        <w:ind w:left="119" w:right="115" w:firstLine="360"/>
        <w:jc w:val="both"/>
      </w:pPr>
      <w:r>
        <w:rPr>
          <w:color w:val="231F20"/>
          <w:w w:val="110"/>
        </w:rPr>
        <w:t>En el sexenio de Vicente </w:t>
      </w:r>
      <w:r>
        <w:rPr>
          <w:color w:val="231F20"/>
          <w:spacing w:val="-4"/>
          <w:w w:val="110"/>
        </w:rPr>
        <w:t>Fox </w:t>
      </w:r>
      <w:r>
        <w:rPr>
          <w:color w:val="231F20"/>
          <w:spacing w:val="2"/>
          <w:w w:val="110"/>
        </w:rPr>
        <w:t>(2000-2006), </w:t>
      </w:r>
      <w:r>
        <w:rPr>
          <w:color w:val="231F20"/>
          <w:w w:val="110"/>
        </w:rPr>
        <w:t>el </w:t>
      </w:r>
      <w:r>
        <w:rPr>
          <w:color w:val="231F20"/>
          <w:spacing w:val="2"/>
          <w:w w:val="110"/>
        </w:rPr>
        <w:t>Progresa cambió </w:t>
      </w:r>
      <w:r>
        <w:rPr>
          <w:color w:val="231F20"/>
          <w:w w:val="110"/>
        </w:rPr>
        <w:t>y fue bautizado con el nombre de Oportunidades, operado por la Secretaría de Desarrollo Social (Sedesol), y cuyo fundamento se basó en cuatro grandes estrategias:</w:t>
      </w:r>
      <w:r>
        <w:rPr>
          <w:color w:val="231F20"/>
          <w:spacing w:val="-12"/>
          <w:w w:val="110"/>
        </w:rPr>
        <w:t> </w:t>
      </w:r>
      <w:r>
        <w:rPr>
          <w:color w:val="231F20"/>
          <w:w w:val="110"/>
        </w:rPr>
        <w:t>1)</w:t>
      </w:r>
      <w:r>
        <w:rPr>
          <w:color w:val="231F20"/>
          <w:spacing w:val="-12"/>
          <w:w w:val="110"/>
        </w:rPr>
        <w:t> </w:t>
      </w:r>
      <w:r>
        <w:rPr>
          <w:color w:val="231F20"/>
          <w:w w:val="110"/>
        </w:rPr>
        <w:t>ampliación</w:t>
      </w:r>
      <w:r>
        <w:rPr>
          <w:color w:val="231F20"/>
          <w:spacing w:val="-12"/>
          <w:w w:val="110"/>
        </w:rPr>
        <w:t> </w:t>
      </w:r>
      <w:r>
        <w:rPr>
          <w:color w:val="231F20"/>
          <w:w w:val="110"/>
        </w:rPr>
        <w:t>de</w:t>
      </w:r>
      <w:r>
        <w:rPr>
          <w:color w:val="231F20"/>
          <w:spacing w:val="-12"/>
          <w:w w:val="110"/>
        </w:rPr>
        <w:t> </w:t>
      </w:r>
      <w:r>
        <w:rPr>
          <w:color w:val="231F20"/>
          <w:w w:val="110"/>
        </w:rPr>
        <w:t>capacidades,</w:t>
      </w:r>
      <w:r>
        <w:rPr>
          <w:color w:val="231F20"/>
          <w:spacing w:val="-12"/>
          <w:w w:val="110"/>
        </w:rPr>
        <w:t> </w:t>
      </w:r>
      <w:r>
        <w:rPr>
          <w:color w:val="231F20"/>
          <w:w w:val="110"/>
        </w:rPr>
        <w:t>2)</w:t>
      </w:r>
      <w:r>
        <w:rPr>
          <w:color w:val="231F20"/>
          <w:spacing w:val="-12"/>
          <w:w w:val="110"/>
        </w:rPr>
        <w:t> </w:t>
      </w:r>
      <w:r>
        <w:rPr>
          <w:color w:val="231F20"/>
          <w:w w:val="110"/>
        </w:rPr>
        <w:t>generación</w:t>
      </w:r>
      <w:r>
        <w:rPr>
          <w:color w:val="231F20"/>
          <w:spacing w:val="-12"/>
          <w:w w:val="110"/>
        </w:rPr>
        <w:t> </w:t>
      </w:r>
      <w:r>
        <w:rPr>
          <w:color w:val="231F20"/>
          <w:w w:val="110"/>
        </w:rPr>
        <w:t>de</w:t>
      </w:r>
      <w:r>
        <w:rPr>
          <w:color w:val="231F20"/>
          <w:spacing w:val="-12"/>
          <w:w w:val="110"/>
        </w:rPr>
        <w:t> </w:t>
      </w:r>
      <w:r>
        <w:rPr>
          <w:color w:val="231F20"/>
          <w:w w:val="110"/>
        </w:rPr>
        <w:t>oportunidades,</w:t>
      </w:r>
    </w:p>
    <w:p>
      <w:pPr>
        <w:pStyle w:val="ListParagraph"/>
        <w:numPr>
          <w:ilvl w:val="0"/>
          <w:numId w:val="1"/>
        </w:numPr>
        <w:tabs>
          <w:tab w:pos="354" w:val="left" w:leader="none"/>
        </w:tabs>
        <w:spacing w:line="288" w:lineRule="auto" w:before="0" w:after="0"/>
        <w:ind w:left="120" w:right="117" w:firstLine="0"/>
        <w:jc w:val="both"/>
        <w:rPr>
          <w:sz w:val="20"/>
        </w:rPr>
      </w:pPr>
      <w:r>
        <w:rPr>
          <w:color w:val="231F20"/>
          <w:w w:val="110"/>
          <w:sz w:val="20"/>
        </w:rPr>
        <w:t>protección civil, y 4) formación de patrimonio. Las cuatro estrategias</w:t>
      </w:r>
      <w:r>
        <w:rPr>
          <w:color w:val="231F20"/>
          <w:spacing w:val="-7"/>
          <w:w w:val="110"/>
          <w:sz w:val="20"/>
        </w:rPr>
        <w:t> </w:t>
      </w:r>
      <w:r>
        <w:rPr>
          <w:color w:val="231F20"/>
          <w:w w:val="110"/>
          <w:sz w:val="20"/>
        </w:rPr>
        <w:t>no tienen a las familias como agentes y</w:t>
      </w:r>
      <w:r>
        <w:rPr>
          <w:color w:val="231F20"/>
          <w:spacing w:val="46"/>
          <w:w w:val="110"/>
          <w:sz w:val="20"/>
        </w:rPr>
        <w:t> </w:t>
      </w:r>
      <w:r>
        <w:rPr>
          <w:color w:val="231F20"/>
          <w:w w:val="110"/>
          <w:sz w:val="20"/>
        </w:rPr>
        <w:t>beneficiarias.</w:t>
      </w:r>
    </w:p>
    <w:p>
      <w:pPr>
        <w:pStyle w:val="BodyText"/>
        <w:spacing w:line="288" w:lineRule="auto"/>
        <w:ind w:left="120" w:right="116" w:firstLine="360"/>
        <w:jc w:val="both"/>
      </w:pPr>
      <w:r>
        <w:rPr>
          <w:color w:val="231F20"/>
          <w:w w:val="110"/>
        </w:rPr>
        <w:t>La política pública de seguridad social tiene expresiones tan dramáti- cas como la de las jubilaciones y pensiones. En el </w:t>
      </w:r>
      <w:r>
        <w:rPr>
          <w:color w:val="231F20"/>
          <w:spacing w:val="-3"/>
          <w:w w:val="110"/>
        </w:rPr>
        <w:t>sexenio </w:t>
      </w:r>
      <w:r>
        <w:rPr>
          <w:color w:val="231F20"/>
          <w:w w:val="110"/>
        </w:rPr>
        <w:t>de Zedillo se rea- lizaron</w:t>
      </w:r>
      <w:r>
        <w:rPr>
          <w:color w:val="231F20"/>
          <w:spacing w:val="-8"/>
          <w:w w:val="110"/>
        </w:rPr>
        <w:t> </w:t>
      </w:r>
      <w:r>
        <w:rPr>
          <w:color w:val="231F20"/>
          <w:w w:val="110"/>
        </w:rPr>
        <w:t>las</w:t>
      </w:r>
      <w:r>
        <w:rPr>
          <w:color w:val="231F20"/>
          <w:spacing w:val="-8"/>
          <w:w w:val="110"/>
        </w:rPr>
        <w:t> </w:t>
      </w:r>
      <w:r>
        <w:rPr>
          <w:color w:val="231F20"/>
          <w:w w:val="110"/>
        </w:rPr>
        <w:t>reformas</w:t>
      </w:r>
      <w:r>
        <w:rPr>
          <w:color w:val="231F20"/>
          <w:spacing w:val="-8"/>
          <w:w w:val="110"/>
        </w:rPr>
        <w:t> </w:t>
      </w:r>
      <w:r>
        <w:rPr>
          <w:color w:val="231F20"/>
          <w:w w:val="110"/>
        </w:rPr>
        <w:t>al</w:t>
      </w:r>
      <w:r>
        <w:rPr>
          <w:color w:val="231F20"/>
          <w:spacing w:val="-8"/>
          <w:w w:val="110"/>
        </w:rPr>
        <w:t> </w:t>
      </w:r>
      <w:r>
        <w:rPr>
          <w:color w:val="231F20"/>
          <w:w w:val="110"/>
        </w:rPr>
        <w:t>sistema</w:t>
      </w:r>
      <w:r>
        <w:rPr>
          <w:color w:val="231F20"/>
          <w:spacing w:val="-8"/>
          <w:w w:val="110"/>
        </w:rPr>
        <w:t> </w:t>
      </w:r>
      <w:r>
        <w:rPr>
          <w:color w:val="231F20"/>
          <w:w w:val="110"/>
        </w:rPr>
        <w:t>de</w:t>
      </w:r>
      <w:r>
        <w:rPr>
          <w:color w:val="231F20"/>
          <w:spacing w:val="-8"/>
          <w:w w:val="110"/>
        </w:rPr>
        <w:t> </w:t>
      </w:r>
      <w:r>
        <w:rPr>
          <w:color w:val="231F20"/>
          <w:w w:val="110"/>
        </w:rPr>
        <w:t>pensiones</w:t>
      </w:r>
      <w:r>
        <w:rPr>
          <w:color w:val="231F20"/>
          <w:spacing w:val="-8"/>
          <w:w w:val="110"/>
        </w:rPr>
        <w:t> </w:t>
      </w:r>
      <w:r>
        <w:rPr>
          <w:color w:val="231F20"/>
          <w:w w:val="110"/>
        </w:rPr>
        <w:t>con</w:t>
      </w:r>
      <w:r>
        <w:rPr>
          <w:color w:val="231F20"/>
          <w:spacing w:val="-8"/>
          <w:w w:val="110"/>
        </w:rPr>
        <w:t> </w:t>
      </w:r>
      <w:r>
        <w:rPr>
          <w:color w:val="231F20"/>
          <w:w w:val="110"/>
        </w:rPr>
        <w:t>la</w:t>
      </w:r>
      <w:r>
        <w:rPr>
          <w:color w:val="231F20"/>
          <w:spacing w:val="-8"/>
          <w:w w:val="110"/>
        </w:rPr>
        <w:t> </w:t>
      </w:r>
      <w:r>
        <w:rPr>
          <w:color w:val="231F20"/>
          <w:w w:val="110"/>
        </w:rPr>
        <w:t>publicitada</w:t>
      </w:r>
      <w:r>
        <w:rPr>
          <w:color w:val="231F20"/>
          <w:spacing w:val="-8"/>
          <w:w w:val="110"/>
        </w:rPr>
        <w:t> </w:t>
      </w:r>
      <w:r>
        <w:rPr>
          <w:color w:val="231F20"/>
          <w:w w:val="110"/>
        </w:rPr>
        <w:t>información </w:t>
      </w:r>
      <w:r>
        <w:rPr>
          <w:color w:val="231F20"/>
          <w:spacing w:val="-3"/>
          <w:w w:val="110"/>
        </w:rPr>
        <w:t>que </w:t>
      </w:r>
      <w:r>
        <w:rPr>
          <w:color w:val="231F20"/>
          <w:spacing w:val="-4"/>
          <w:w w:val="110"/>
        </w:rPr>
        <w:t>consistía </w:t>
      </w:r>
      <w:r>
        <w:rPr>
          <w:color w:val="231F20"/>
          <w:w w:val="110"/>
        </w:rPr>
        <w:t>en </w:t>
      </w:r>
      <w:r>
        <w:rPr>
          <w:color w:val="231F20"/>
          <w:spacing w:val="-4"/>
          <w:w w:val="110"/>
        </w:rPr>
        <w:t>asegurar </w:t>
      </w:r>
      <w:r>
        <w:rPr>
          <w:color w:val="231F20"/>
          <w:w w:val="110"/>
        </w:rPr>
        <w:t>la </w:t>
      </w:r>
      <w:r>
        <w:rPr>
          <w:color w:val="231F20"/>
          <w:spacing w:val="-4"/>
          <w:w w:val="110"/>
        </w:rPr>
        <w:t>viabilidad </w:t>
      </w:r>
      <w:r>
        <w:rPr>
          <w:color w:val="231F20"/>
          <w:spacing w:val="-3"/>
          <w:w w:val="110"/>
        </w:rPr>
        <w:t>del </w:t>
      </w:r>
      <w:r>
        <w:rPr>
          <w:color w:val="231F20"/>
          <w:spacing w:val="-4"/>
          <w:w w:val="110"/>
        </w:rPr>
        <w:t>Instituto Mexicano </w:t>
      </w:r>
      <w:r>
        <w:rPr>
          <w:color w:val="231F20"/>
          <w:spacing w:val="-3"/>
          <w:w w:val="110"/>
        </w:rPr>
        <w:t>del </w:t>
      </w:r>
      <w:r>
        <w:rPr>
          <w:color w:val="231F20"/>
          <w:spacing w:val="-4"/>
          <w:w w:val="110"/>
        </w:rPr>
        <w:t>Seguro </w:t>
      </w:r>
      <w:r>
        <w:rPr>
          <w:color w:val="231F20"/>
          <w:w w:val="110"/>
        </w:rPr>
        <w:t>So- cial, </w:t>
      </w:r>
      <w:r>
        <w:rPr>
          <w:color w:val="231F20"/>
          <w:spacing w:val="2"/>
          <w:w w:val="110"/>
        </w:rPr>
        <w:t>para </w:t>
      </w:r>
      <w:r>
        <w:rPr>
          <w:color w:val="231F20"/>
          <w:w w:val="110"/>
        </w:rPr>
        <w:t>lo </w:t>
      </w:r>
      <w:r>
        <w:rPr>
          <w:color w:val="231F20"/>
          <w:spacing w:val="2"/>
          <w:w w:val="110"/>
        </w:rPr>
        <w:t>cual crearon </w:t>
      </w:r>
      <w:r>
        <w:rPr>
          <w:color w:val="231F20"/>
          <w:w w:val="110"/>
        </w:rPr>
        <w:t>las </w:t>
      </w:r>
      <w:r>
        <w:rPr>
          <w:color w:val="231F20"/>
          <w:spacing w:val="2"/>
          <w:w w:val="110"/>
        </w:rPr>
        <w:t>Administradoras </w:t>
      </w:r>
      <w:r>
        <w:rPr>
          <w:color w:val="231F20"/>
          <w:w w:val="110"/>
        </w:rPr>
        <w:t>de Fondos </w:t>
      </w:r>
      <w:r>
        <w:rPr>
          <w:color w:val="231F20"/>
          <w:spacing w:val="2"/>
          <w:w w:val="110"/>
        </w:rPr>
        <w:t>para </w:t>
      </w:r>
      <w:r>
        <w:rPr>
          <w:color w:val="231F20"/>
          <w:w w:val="110"/>
        </w:rPr>
        <w:t>el Retiro </w:t>
      </w:r>
      <w:r>
        <w:rPr>
          <w:color w:val="231F20"/>
          <w:spacing w:val="-3"/>
          <w:w w:val="110"/>
        </w:rPr>
        <w:t>(Afore).</w:t>
      </w:r>
      <w:r>
        <w:rPr>
          <w:color w:val="231F20"/>
          <w:spacing w:val="-15"/>
          <w:w w:val="110"/>
        </w:rPr>
        <w:t> </w:t>
      </w:r>
      <w:r>
        <w:rPr>
          <w:color w:val="231F20"/>
          <w:w w:val="110"/>
        </w:rPr>
        <w:t>Entraron</w:t>
      </w:r>
      <w:r>
        <w:rPr>
          <w:color w:val="231F20"/>
          <w:spacing w:val="-15"/>
          <w:w w:val="110"/>
        </w:rPr>
        <w:t> </w:t>
      </w:r>
      <w:r>
        <w:rPr>
          <w:color w:val="231F20"/>
          <w:w w:val="110"/>
        </w:rPr>
        <w:t>en</w:t>
      </w:r>
      <w:r>
        <w:rPr>
          <w:color w:val="231F20"/>
          <w:spacing w:val="-15"/>
          <w:w w:val="110"/>
        </w:rPr>
        <w:t> </w:t>
      </w:r>
      <w:r>
        <w:rPr>
          <w:color w:val="231F20"/>
          <w:w w:val="110"/>
        </w:rPr>
        <w:t>operación</w:t>
      </w:r>
      <w:r>
        <w:rPr>
          <w:color w:val="231F20"/>
          <w:spacing w:val="-15"/>
          <w:w w:val="110"/>
        </w:rPr>
        <w:t> </w:t>
      </w:r>
      <w:r>
        <w:rPr>
          <w:color w:val="231F20"/>
          <w:w w:val="110"/>
        </w:rPr>
        <w:t>en</w:t>
      </w:r>
      <w:r>
        <w:rPr>
          <w:color w:val="231F20"/>
          <w:spacing w:val="-15"/>
          <w:w w:val="110"/>
        </w:rPr>
        <w:t> </w:t>
      </w:r>
      <w:r>
        <w:rPr>
          <w:color w:val="231F20"/>
          <w:w w:val="110"/>
        </w:rPr>
        <w:t>1997,</w:t>
      </w:r>
      <w:r>
        <w:rPr>
          <w:color w:val="231F20"/>
          <w:spacing w:val="-15"/>
          <w:w w:val="110"/>
        </w:rPr>
        <w:t> </w:t>
      </w:r>
      <w:r>
        <w:rPr>
          <w:color w:val="231F20"/>
          <w:w w:val="110"/>
        </w:rPr>
        <w:t>privatizando</w:t>
      </w:r>
      <w:r>
        <w:rPr>
          <w:color w:val="231F20"/>
          <w:spacing w:val="-15"/>
          <w:w w:val="110"/>
        </w:rPr>
        <w:t> </w:t>
      </w:r>
      <w:r>
        <w:rPr>
          <w:color w:val="231F20"/>
          <w:w w:val="110"/>
        </w:rPr>
        <w:t>el</w:t>
      </w:r>
      <w:r>
        <w:rPr>
          <w:color w:val="231F20"/>
          <w:spacing w:val="-15"/>
          <w:w w:val="110"/>
        </w:rPr>
        <w:t> </w:t>
      </w:r>
      <w:r>
        <w:rPr>
          <w:color w:val="231F20"/>
          <w:w w:val="110"/>
        </w:rPr>
        <w:t>sistema</w:t>
      </w:r>
      <w:r>
        <w:rPr>
          <w:color w:val="231F20"/>
          <w:spacing w:val="-15"/>
          <w:w w:val="110"/>
        </w:rPr>
        <w:t> </w:t>
      </w:r>
      <w:r>
        <w:rPr>
          <w:color w:val="231F20"/>
          <w:w w:val="110"/>
        </w:rPr>
        <w:t>de</w:t>
      </w:r>
      <w:r>
        <w:rPr>
          <w:color w:val="231F20"/>
          <w:spacing w:val="-15"/>
          <w:w w:val="110"/>
        </w:rPr>
        <w:t> </w:t>
      </w:r>
      <w:r>
        <w:rPr>
          <w:color w:val="231F20"/>
          <w:w w:val="110"/>
        </w:rPr>
        <w:t>retiro</w:t>
      </w:r>
      <w:r>
        <w:rPr>
          <w:color w:val="231F20"/>
          <w:spacing w:val="-15"/>
          <w:w w:val="110"/>
        </w:rPr>
        <w:t> </w:t>
      </w:r>
      <w:r>
        <w:rPr>
          <w:color w:val="231F20"/>
          <w:w w:val="110"/>
        </w:rPr>
        <w:t>de los</w:t>
      </w:r>
      <w:r>
        <w:rPr>
          <w:color w:val="231F20"/>
          <w:spacing w:val="-5"/>
          <w:w w:val="110"/>
        </w:rPr>
        <w:t> </w:t>
      </w:r>
      <w:r>
        <w:rPr>
          <w:color w:val="231F20"/>
          <w:w w:val="110"/>
        </w:rPr>
        <w:t>trabajadores,</w:t>
      </w:r>
      <w:r>
        <w:rPr>
          <w:color w:val="231F20"/>
          <w:spacing w:val="-5"/>
          <w:w w:val="110"/>
        </w:rPr>
        <w:t> </w:t>
      </w:r>
      <w:r>
        <w:rPr>
          <w:color w:val="231F20"/>
          <w:w w:val="110"/>
        </w:rPr>
        <w:t>y</w:t>
      </w:r>
      <w:r>
        <w:rPr>
          <w:color w:val="231F20"/>
          <w:spacing w:val="-5"/>
          <w:w w:val="110"/>
        </w:rPr>
        <w:t> </w:t>
      </w:r>
      <w:r>
        <w:rPr>
          <w:color w:val="231F20"/>
          <w:w w:val="110"/>
        </w:rPr>
        <w:t>según</w:t>
      </w:r>
      <w:r>
        <w:rPr>
          <w:color w:val="231F20"/>
          <w:spacing w:val="-5"/>
          <w:w w:val="110"/>
        </w:rPr>
        <w:t> </w:t>
      </w:r>
      <w:r>
        <w:rPr>
          <w:color w:val="231F20"/>
          <w:w w:val="110"/>
        </w:rPr>
        <w:t>información</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noticieros</w:t>
      </w:r>
      <w:r>
        <w:rPr>
          <w:color w:val="231F20"/>
          <w:spacing w:val="-5"/>
          <w:w w:val="110"/>
        </w:rPr>
        <w:t> </w:t>
      </w:r>
      <w:r>
        <w:rPr>
          <w:color w:val="231F20"/>
          <w:w w:val="110"/>
        </w:rPr>
        <w:t>radiotelevisivos</w:t>
      </w:r>
      <w:r>
        <w:rPr>
          <w:color w:val="231F20"/>
          <w:spacing w:val="-5"/>
          <w:w w:val="110"/>
        </w:rPr>
        <w:t> </w:t>
      </w:r>
      <w:r>
        <w:rPr>
          <w:color w:val="231F20"/>
          <w:w w:val="110"/>
        </w:rPr>
        <w:t>del 25</w:t>
      </w:r>
      <w:r>
        <w:rPr>
          <w:color w:val="231F20"/>
          <w:spacing w:val="-5"/>
          <w:w w:val="110"/>
        </w:rPr>
        <w:t> </w:t>
      </w:r>
      <w:r>
        <w:rPr>
          <w:color w:val="231F20"/>
          <w:w w:val="110"/>
        </w:rPr>
        <w:t>de</w:t>
      </w:r>
      <w:r>
        <w:rPr>
          <w:color w:val="231F20"/>
          <w:spacing w:val="-5"/>
          <w:w w:val="110"/>
        </w:rPr>
        <w:t> </w:t>
      </w:r>
      <w:r>
        <w:rPr>
          <w:color w:val="231F20"/>
          <w:w w:val="110"/>
        </w:rPr>
        <w:t>enero</w:t>
      </w:r>
      <w:r>
        <w:rPr>
          <w:color w:val="231F20"/>
          <w:spacing w:val="-5"/>
          <w:w w:val="110"/>
        </w:rPr>
        <w:t> </w:t>
      </w:r>
      <w:r>
        <w:rPr>
          <w:color w:val="231F20"/>
          <w:w w:val="110"/>
        </w:rPr>
        <w:t>del</w:t>
      </w:r>
      <w:r>
        <w:rPr>
          <w:color w:val="231F20"/>
          <w:spacing w:val="-5"/>
          <w:w w:val="110"/>
        </w:rPr>
        <w:t> </w:t>
      </w:r>
      <w:r>
        <w:rPr>
          <w:color w:val="231F20"/>
          <w:w w:val="110"/>
        </w:rPr>
        <w:t>2009,</w:t>
      </w:r>
      <w:r>
        <w:rPr>
          <w:color w:val="231F20"/>
          <w:spacing w:val="-5"/>
          <w:w w:val="110"/>
        </w:rPr>
        <w:t> </w:t>
      </w:r>
      <w:r>
        <w:rPr>
          <w:color w:val="231F20"/>
          <w:w w:val="110"/>
        </w:rPr>
        <w:t>las</w:t>
      </w:r>
      <w:r>
        <w:rPr>
          <w:color w:val="231F20"/>
          <w:spacing w:val="-5"/>
          <w:w w:val="110"/>
        </w:rPr>
        <w:t> </w:t>
      </w:r>
      <w:r>
        <w:rPr>
          <w:color w:val="231F20"/>
          <w:w w:val="110"/>
        </w:rPr>
        <w:t>afores</w:t>
      </w:r>
      <w:r>
        <w:rPr>
          <w:color w:val="231F20"/>
          <w:spacing w:val="-5"/>
          <w:w w:val="110"/>
        </w:rPr>
        <w:t> </w:t>
      </w:r>
      <w:r>
        <w:rPr>
          <w:color w:val="231F20"/>
          <w:w w:val="110"/>
        </w:rPr>
        <w:t>han</w:t>
      </w:r>
      <w:r>
        <w:rPr>
          <w:color w:val="231F20"/>
          <w:spacing w:val="-5"/>
          <w:w w:val="110"/>
        </w:rPr>
        <w:t> </w:t>
      </w:r>
      <w:r>
        <w:rPr>
          <w:color w:val="231F20"/>
          <w:w w:val="110"/>
        </w:rPr>
        <w:t>generado</w:t>
      </w:r>
      <w:r>
        <w:rPr>
          <w:color w:val="231F20"/>
          <w:spacing w:val="-5"/>
          <w:w w:val="110"/>
        </w:rPr>
        <w:t> </w:t>
      </w:r>
      <w:r>
        <w:rPr>
          <w:color w:val="231F20"/>
          <w:w w:val="110"/>
        </w:rPr>
        <w:t>un</w:t>
      </w:r>
      <w:r>
        <w:rPr>
          <w:color w:val="231F20"/>
          <w:spacing w:val="-5"/>
          <w:w w:val="110"/>
        </w:rPr>
        <w:t> </w:t>
      </w:r>
      <w:r>
        <w:rPr>
          <w:color w:val="231F20"/>
          <w:w w:val="110"/>
        </w:rPr>
        <w:t>pasivo</w:t>
      </w:r>
      <w:r>
        <w:rPr>
          <w:color w:val="231F20"/>
          <w:spacing w:val="-5"/>
          <w:w w:val="110"/>
        </w:rPr>
        <w:t> </w:t>
      </w:r>
      <w:r>
        <w:rPr>
          <w:color w:val="231F20"/>
          <w:w w:val="110"/>
        </w:rPr>
        <w:t>laboral</w:t>
      </w:r>
      <w:r>
        <w:rPr>
          <w:color w:val="231F20"/>
          <w:spacing w:val="-5"/>
          <w:w w:val="110"/>
        </w:rPr>
        <w:t> </w:t>
      </w:r>
      <w:r>
        <w:rPr>
          <w:color w:val="231F20"/>
          <w:w w:val="110"/>
        </w:rPr>
        <w:t>de</w:t>
      </w:r>
      <w:r>
        <w:rPr>
          <w:color w:val="231F20"/>
          <w:spacing w:val="-5"/>
          <w:w w:val="110"/>
        </w:rPr>
        <w:t> </w:t>
      </w:r>
      <w:r>
        <w:rPr>
          <w:color w:val="231F20"/>
          <w:w w:val="110"/>
        </w:rPr>
        <w:t>900</w:t>
      </w:r>
      <w:r>
        <w:rPr>
          <w:color w:val="231F20"/>
          <w:spacing w:val="-5"/>
          <w:w w:val="110"/>
        </w:rPr>
        <w:t> </w:t>
      </w:r>
      <w:r>
        <w:rPr>
          <w:color w:val="231F20"/>
          <w:w w:val="110"/>
        </w:rPr>
        <w:t>mil millones de pesos, pero para los operadores de estas empresas una</w:t>
      </w:r>
      <w:r>
        <w:rPr>
          <w:color w:val="231F20"/>
          <w:spacing w:val="-20"/>
          <w:w w:val="110"/>
        </w:rPr>
        <w:t> </w:t>
      </w:r>
      <w:r>
        <w:rPr>
          <w:color w:val="231F20"/>
          <w:w w:val="110"/>
        </w:rPr>
        <w:t>ganan- cia de más de 150 mil millones de </w:t>
      </w:r>
      <w:r>
        <w:rPr>
          <w:color w:val="231F20"/>
          <w:spacing w:val="17"/>
          <w:w w:val="110"/>
        </w:rPr>
        <w:t> </w:t>
      </w:r>
      <w:r>
        <w:rPr>
          <w:color w:val="231F20"/>
          <w:w w:val="110"/>
        </w:rPr>
        <w:t>pesos.</w:t>
      </w:r>
    </w:p>
    <w:p>
      <w:pPr>
        <w:pStyle w:val="BodyText"/>
        <w:spacing w:line="288" w:lineRule="auto"/>
        <w:ind w:left="120" w:right="117" w:firstLine="360"/>
        <w:jc w:val="both"/>
      </w:pPr>
      <w:r>
        <w:rPr>
          <w:color w:val="231F20"/>
          <w:w w:val="110"/>
        </w:rPr>
        <w:t>En</w:t>
      </w:r>
      <w:r>
        <w:rPr>
          <w:color w:val="231F20"/>
          <w:spacing w:val="-12"/>
          <w:w w:val="110"/>
        </w:rPr>
        <w:t> </w:t>
      </w:r>
      <w:r>
        <w:rPr>
          <w:color w:val="231F20"/>
          <w:w w:val="110"/>
        </w:rPr>
        <w:t>estas</w:t>
      </w:r>
      <w:r>
        <w:rPr>
          <w:color w:val="231F20"/>
          <w:spacing w:val="-12"/>
          <w:w w:val="110"/>
        </w:rPr>
        <w:t> </w:t>
      </w:r>
      <w:r>
        <w:rPr>
          <w:color w:val="231F20"/>
          <w:w w:val="110"/>
        </w:rPr>
        <w:t>condiciones</w:t>
      </w:r>
      <w:r>
        <w:rPr>
          <w:color w:val="231F20"/>
          <w:spacing w:val="-12"/>
          <w:w w:val="110"/>
        </w:rPr>
        <w:t> </w:t>
      </w:r>
      <w:r>
        <w:rPr>
          <w:color w:val="231F20"/>
          <w:w w:val="110"/>
        </w:rPr>
        <w:t>de</w:t>
      </w:r>
      <w:r>
        <w:rPr>
          <w:color w:val="231F20"/>
          <w:spacing w:val="-12"/>
          <w:w w:val="110"/>
        </w:rPr>
        <w:t> </w:t>
      </w:r>
      <w:r>
        <w:rPr>
          <w:color w:val="231F20"/>
          <w:w w:val="110"/>
        </w:rPr>
        <w:t>desprotección</w:t>
      </w:r>
      <w:r>
        <w:rPr>
          <w:color w:val="231F20"/>
          <w:spacing w:val="-12"/>
          <w:w w:val="110"/>
        </w:rPr>
        <w:t> </w:t>
      </w:r>
      <w:r>
        <w:rPr>
          <w:color w:val="231F20"/>
          <w:w w:val="110"/>
        </w:rPr>
        <w:t>total</w:t>
      </w:r>
      <w:r>
        <w:rPr>
          <w:color w:val="231F20"/>
          <w:spacing w:val="-12"/>
          <w:w w:val="110"/>
        </w:rPr>
        <w:t> </w:t>
      </w:r>
      <w:r>
        <w:rPr>
          <w:color w:val="231F20"/>
          <w:w w:val="110"/>
        </w:rPr>
        <w:t>de</w:t>
      </w:r>
      <w:r>
        <w:rPr>
          <w:color w:val="231F20"/>
          <w:spacing w:val="-12"/>
          <w:w w:val="110"/>
        </w:rPr>
        <w:t> </w:t>
      </w:r>
      <w:r>
        <w:rPr>
          <w:color w:val="231F20"/>
          <w:w w:val="110"/>
        </w:rPr>
        <w:t>las</w:t>
      </w:r>
      <w:r>
        <w:rPr>
          <w:color w:val="231F20"/>
          <w:spacing w:val="-12"/>
          <w:w w:val="110"/>
        </w:rPr>
        <w:t> </w:t>
      </w:r>
      <w:r>
        <w:rPr>
          <w:color w:val="231F20"/>
          <w:w w:val="110"/>
        </w:rPr>
        <w:t>familias</w:t>
      </w:r>
      <w:r>
        <w:rPr>
          <w:color w:val="231F20"/>
          <w:spacing w:val="-12"/>
          <w:w w:val="110"/>
        </w:rPr>
        <w:t> </w:t>
      </w:r>
      <w:r>
        <w:rPr>
          <w:color w:val="231F20"/>
          <w:w w:val="110"/>
        </w:rPr>
        <w:t>y</w:t>
      </w:r>
      <w:r>
        <w:rPr>
          <w:color w:val="231F20"/>
          <w:spacing w:val="-12"/>
          <w:w w:val="110"/>
        </w:rPr>
        <w:t> </w:t>
      </w:r>
      <w:r>
        <w:rPr>
          <w:color w:val="231F20"/>
          <w:w w:val="110"/>
        </w:rPr>
        <w:t>los</w:t>
      </w:r>
      <w:r>
        <w:rPr>
          <w:color w:val="231F20"/>
          <w:spacing w:val="-12"/>
          <w:w w:val="110"/>
        </w:rPr>
        <w:t> </w:t>
      </w:r>
      <w:r>
        <w:rPr>
          <w:color w:val="231F20"/>
          <w:w w:val="110"/>
        </w:rPr>
        <w:t>trabaja- dores,</w:t>
      </w:r>
      <w:r>
        <w:rPr>
          <w:color w:val="231F20"/>
          <w:spacing w:val="-24"/>
          <w:w w:val="110"/>
        </w:rPr>
        <w:t> </w:t>
      </w:r>
      <w:r>
        <w:rPr>
          <w:color w:val="231F20"/>
          <w:w w:val="110"/>
        </w:rPr>
        <w:t>el</w:t>
      </w:r>
      <w:r>
        <w:rPr>
          <w:color w:val="231F20"/>
          <w:spacing w:val="-24"/>
          <w:w w:val="110"/>
        </w:rPr>
        <w:t> </w:t>
      </w:r>
      <w:r>
        <w:rPr>
          <w:color w:val="231F20"/>
          <w:w w:val="110"/>
        </w:rPr>
        <w:t>gobierno</w:t>
      </w:r>
      <w:r>
        <w:rPr>
          <w:color w:val="231F20"/>
          <w:spacing w:val="-24"/>
          <w:w w:val="110"/>
        </w:rPr>
        <w:t> </w:t>
      </w:r>
      <w:r>
        <w:rPr>
          <w:color w:val="231F20"/>
          <w:w w:val="110"/>
        </w:rPr>
        <w:t>de</w:t>
      </w:r>
      <w:r>
        <w:rPr>
          <w:color w:val="231F20"/>
          <w:spacing w:val="-24"/>
          <w:w w:val="110"/>
        </w:rPr>
        <w:t> </w:t>
      </w:r>
      <w:r>
        <w:rPr>
          <w:color w:val="231F20"/>
          <w:spacing w:val="-8"/>
          <w:w w:val="110"/>
        </w:rPr>
        <w:t>Fox</w:t>
      </w:r>
      <w:r>
        <w:rPr>
          <w:color w:val="231F20"/>
          <w:spacing w:val="-24"/>
          <w:w w:val="110"/>
        </w:rPr>
        <w:t> </w:t>
      </w:r>
      <w:r>
        <w:rPr>
          <w:color w:val="231F20"/>
          <w:w w:val="110"/>
        </w:rPr>
        <w:t>ejecuta</w:t>
      </w:r>
      <w:r>
        <w:rPr>
          <w:color w:val="231F20"/>
          <w:spacing w:val="-24"/>
          <w:w w:val="110"/>
        </w:rPr>
        <w:t> </w:t>
      </w:r>
      <w:r>
        <w:rPr>
          <w:color w:val="231F20"/>
          <w:w w:val="110"/>
        </w:rPr>
        <w:t>todos</w:t>
      </w:r>
      <w:r>
        <w:rPr>
          <w:color w:val="231F20"/>
          <w:spacing w:val="-24"/>
          <w:w w:val="110"/>
        </w:rPr>
        <w:t> </w:t>
      </w:r>
      <w:r>
        <w:rPr>
          <w:color w:val="231F20"/>
          <w:w w:val="110"/>
        </w:rPr>
        <w:t>los</w:t>
      </w:r>
      <w:r>
        <w:rPr>
          <w:color w:val="231F20"/>
          <w:spacing w:val="-24"/>
          <w:w w:val="110"/>
        </w:rPr>
        <w:t> </w:t>
      </w:r>
      <w:r>
        <w:rPr>
          <w:color w:val="231F20"/>
          <w:w w:val="110"/>
        </w:rPr>
        <w:t>mecanismos</w:t>
      </w:r>
      <w:r>
        <w:rPr>
          <w:color w:val="231F20"/>
          <w:spacing w:val="-24"/>
          <w:w w:val="110"/>
        </w:rPr>
        <w:t> </w:t>
      </w:r>
      <w:r>
        <w:rPr>
          <w:color w:val="231F20"/>
          <w:w w:val="110"/>
        </w:rPr>
        <w:t>para</w:t>
      </w:r>
      <w:r>
        <w:rPr>
          <w:color w:val="231F20"/>
          <w:spacing w:val="-24"/>
          <w:w w:val="110"/>
        </w:rPr>
        <w:t> </w:t>
      </w:r>
      <w:r>
        <w:rPr>
          <w:color w:val="231F20"/>
          <w:w w:val="110"/>
        </w:rPr>
        <w:t>que</w:t>
      </w:r>
      <w:r>
        <w:rPr>
          <w:color w:val="231F20"/>
          <w:spacing w:val="-24"/>
          <w:w w:val="110"/>
        </w:rPr>
        <w:t> </w:t>
      </w:r>
      <w:r>
        <w:rPr>
          <w:color w:val="231F20"/>
          <w:w w:val="110"/>
        </w:rPr>
        <w:t>los</w:t>
      </w:r>
      <w:r>
        <w:rPr>
          <w:color w:val="231F20"/>
          <w:spacing w:val="-24"/>
          <w:w w:val="110"/>
        </w:rPr>
        <w:t> </w:t>
      </w:r>
      <w:r>
        <w:rPr>
          <w:color w:val="231F20"/>
          <w:w w:val="110"/>
        </w:rPr>
        <w:t>derecho- habientes</w:t>
      </w:r>
      <w:r>
        <w:rPr>
          <w:color w:val="231F20"/>
          <w:spacing w:val="-20"/>
          <w:w w:val="110"/>
        </w:rPr>
        <w:t> </w:t>
      </w:r>
      <w:r>
        <w:rPr>
          <w:color w:val="231F20"/>
          <w:w w:val="110"/>
        </w:rPr>
        <w:t>del</w:t>
      </w:r>
      <w:r>
        <w:rPr>
          <w:color w:val="231F20"/>
          <w:spacing w:val="-20"/>
          <w:w w:val="110"/>
        </w:rPr>
        <w:t> </w:t>
      </w:r>
      <w:r>
        <w:rPr>
          <w:color w:val="231F20"/>
          <w:w w:val="110"/>
        </w:rPr>
        <w:t>Instituto</w:t>
      </w:r>
      <w:r>
        <w:rPr>
          <w:color w:val="231F20"/>
          <w:spacing w:val="-20"/>
          <w:w w:val="110"/>
        </w:rPr>
        <w:t> </w:t>
      </w:r>
      <w:r>
        <w:rPr>
          <w:color w:val="231F20"/>
          <w:w w:val="110"/>
        </w:rPr>
        <w:t>de</w:t>
      </w:r>
      <w:r>
        <w:rPr>
          <w:color w:val="231F20"/>
          <w:spacing w:val="-20"/>
          <w:w w:val="110"/>
        </w:rPr>
        <w:t> </w:t>
      </w:r>
      <w:r>
        <w:rPr>
          <w:color w:val="231F20"/>
          <w:w w:val="110"/>
        </w:rPr>
        <w:t>Seguridad</w:t>
      </w:r>
      <w:r>
        <w:rPr>
          <w:color w:val="231F20"/>
          <w:spacing w:val="-20"/>
          <w:w w:val="110"/>
        </w:rPr>
        <w:t> </w:t>
      </w:r>
      <w:r>
        <w:rPr>
          <w:color w:val="231F20"/>
          <w:w w:val="110"/>
        </w:rPr>
        <w:t>y</w:t>
      </w:r>
      <w:r>
        <w:rPr>
          <w:color w:val="231F20"/>
          <w:spacing w:val="-20"/>
          <w:w w:val="110"/>
        </w:rPr>
        <w:t> </w:t>
      </w:r>
      <w:r>
        <w:rPr>
          <w:color w:val="231F20"/>
          <w:w w:val="110"/>
        </w:rPr>
        <w:t>Servicios</w:t>
      </w:r>
      <w:r>
        <w:rPr>
          <w:color w:val="231F20"/>
          <w:spacing w:val="-20"/>
          <w:w w:val="110"/>
        </w:rPr>
        <w:t> </w:t>
      </w:r>
      <w:r>
        <w:rPr>
          <w:color w:val="231F20"/>
          <w:w w:val="110"/>
        </w:rPr>
        <w:t>Sociales</w:t>
      </w:r>
      <w:r>
        <w:rPr>
          <w:color w:val="231F20"/>
          <w:spacing w:val="-20"/>
          <w:w w:val="110"/>
        </w:rPr>
        <w:t> </w:t>
      </w:r>
      <w:r>
        <w:rPr>
          <w:color w:val="231F20"/>
          <w:w w:val="110"/>
        </w:rPr>
        <w:t>de</w:t>
      </w:r>
      <w:r>
        <w:rPr>
          <w:color w:val="231F20"/>
          <w:spacing w:val="-20"/>
          <w:w w:val="110"/>
        </w:rPr>
        <w:t> </w:t>
      </w:r>
      <w:r>
        <w:rPr>
          <w:color w:val="231F20"/>
          <w:w w:val="110"/>
        </w:rPr>
        <w:t>los</w:t>
      </w:r>
      <w:r>
        <w:rPr>
          <w:color w:val="231F20"/>
          <w:spacing w:val="-20"/>
          <w:w w:val="110"/>
        </w:rPr>
        <w:t> </w:t>
      </w:r>
      <w:r>
        <w:rPr>
          <w:color w:val="231F20"/>
          <w:w w:val="110"/>
        </w:rPr>
        <w:t>Trabajadores</w:t>
      </w:r>
    </w:p>
    <w:p>
      <w:pPr>
        <w:spacing w:after="0" w:line="288" w:lineRule="auto"/>
        <w:jc w:val="both"/>
        <w:sectPr>
          <w:footerReference w:type="default" r:id="rId16"/>
          <w:footerReference w:type="even" r:id="rId17"/>
          <w:pgSz w:w="9520" w:h="12920"/>
          <w:pgMar w:footer="1344" w:header="0" w:top="880" w:bottom="1540" w:left="1000" w:right="1320"/>
          <w:pgNumType w:start="23"/>
        </w:sectPr>
      </w:pPr>
    </w:p>
    <w:p>
      <w:pPr>
        <w:pStyle w:val="BodyText"/>
        <w:spacing w:line="295" w:lineRule="auto" w:before="42"/>
        <w:ind w:left="124" w:right="109"/>
        <w:jc w:val="both"/>
      </w:pPr>
      <w:r>
        <w:rPr>
          <w:color w:val="231F20"/>
          <w:w w:val="110"/>
        </w:rPr>
        <w:t>del Estado (</w:t>
      </w:r>
      <w:r>
        <w:rPr>
          <w:rFonts w:ascii="Times New Roman" w:hAnsi="Times New Roman"/>
          <w:color w:val="231F20"/>
          <w:w w:val="110"/>
          <w:sz w:val="16"/>
        </w:rPr>
        <w:t>ISSSTE</w:t>
      </w:r>
      <w:r>
        <w:rPr>
          <w:color w:val="231F20"/>
          <w:w w:val="110"/>
        </w:rPr>
        <w:t>) entren al mercado de las Afores y sean, al igual que los trabajadores del Instituto Mexicano del Seguro Social (</w:t>
      </w:r>
      <w:r>
        <w:rPr>
          <w:rFonts w:ascii="Times New Roman" w:hAnsi="Times New Roman"/>
          <w:color w:val="231F20"/>
          <w:w w:val="110"/>
          <w:sz w:val="16"/>
        </w:rPr>
        <w:t>IMSS</w:t>
      </w:r>
      <w:r>
        <w:rPr>
          <w:color w:val="231F20"/>
          <w:w w:val="110"/>
        </w:rPr>
        <w:t>), fuente de ri- quezas para explotar por parte del capital privado. De esta manera, los ahorros de millones de trabajadores de México, resultarán insuficientes para un retiro con vida digna y mínima de seguridad social familiar. En resumidas</w:t>
      </w:r>
      <w:r>
        <w:rPr>
          <w:color w:val="231F20"/>
          <w:spacing w:val="-9"/>
          <w:w w:val="110"/>
        </w:rPr>
        <w:t> </w:t>
      </w:r>
      <w:r>
        <w:rPr>
          <w:color w:val="231F20"/>
          <w:w w:val="110"/>
        </w:rPr>
        <w:t>cuentas,</w:t>
      </w:r>
      <w:r>
        <w:rPr>
          <w:color w:val="231F20"/>
          <w:spacing w:val="-9"/>
          <w:w w:val="110"/>
        </w:rPr>
        <w:t> </w:t>
      </w:r>
      <w:r>
        <w:rPr>
          <w:color w:val="231F20"/>
          <w:w w:val="110"/>
        </w:rPr>
        <w:t>es</w:t>
      </w:r>
      <w:r>
        <w:rPr>
          <w:color w:val="231F20"/>
          <w:spacing w:val="-9"/>
          <w:w w:val="110"/>
        </w:rPr>
        <w:t> </w:t>
      </w:r>
      <w:r>
        <w:rPr>
          <w:color w:val="231F20"/>
          <w:w w:val="110"/>
        </w:rPr>
        <w:t>la</w:t>
      </w:r>
      <w:r>
        <w:rPr>
          <w:color w:val="231F20"/>
          <w:spacing w:val="-9"/>
          <w:w w:val="110"/>
        </w:rPr>
        <w:t> </w:t>
      </w:r>
      <w:r>
        <w:rPr>
          <w:color w:val="231F20"/>
          <w:w w:val="110"/>
        </w:rPr>
        <w:t>transferencia</w:t>
      </w:r>
      <w:r>
        <w:rPr>
          <w:color w:val="231F20"/>
          <w:spacing w:val="-9"/>
          <w:w w:val="110"/>
        </w:rPr>
        <w:t> </w:t>
      </w:r>
      <w:r>
        <w:rPr>
          <w:color w:val="231F20"/>
          <w:w w:val="110"/>
        </w:rPr>
        <w:t>de</w:t>
      </w:r>
      <w:r>
        <w:rPr>
          <w:color w:val="231F20"/>
          <w:spacing w:val="-9"/>
          <w:w w:val="110"/>
        </w:rPr>
        <w:t> </w:t>
      </w:r>
      <w:r>
        <w:rPr>
          <w:color w:val="231F20"/>
          <w:w w:val="110"/>
        </w:rPr>
        <w:t>las</w:t>
      </w:r>
      <w:r>
        <w:rPr>
          <w:color w:val="231F20"/>
          <w:spacing w:val="-9"/>
          <w:w w:val="110"/>
        </w:rPr>
        <w:t> </w:t>
      </w:r>
      <w:r>
        <w:rPr>
          <w:color w:val="231F20"/>
          <w:w w:val="110"/>
        </w:rPr>
        <w:t>responsabilidades</w:t>
      </w:r>
      <w:r>
        <w:rPr>
          <w:color w:val="231F20"/>
          <w:spacing w:val="-9"/>
          <w:w w:val="110"/>
        </w:rPr>
        <w:t> </w:t>
      </w:r>
      <w:r>
        <w:rPr>
          <w:color w:val="231F20"/>
          <w:w w:val="110"/>
        </w:rPr>
        <w:t>sociales</w:t>
      </w:r>
      <w:r>
        <w:rPr>
          <w:color w:val="231F20"/>
          <w:spacing w:val="-9"/>
          <w:w w:val="110"/>
        </w:rPr>
        <w:t> </w:t>
      </w:r>
      <w:r>
        <w:rPr>
          <w:color w:val="231F20"/>
          <w:w w:val="110"/>
        </w:rPr>
        <w:t>del Estado a los particulares, y la renuncia de las obligaciones básicas de un Estado en cumplimiento de dogmas neoliberales, lo que empobrece a la mayoría</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familias</w:t>
      </w:r>
      <w:r>
        <w:rPr>
          <w:color w:val="231F20"/>
          <w:spacing w:val="-8"/>
          <w:w w:val="110"/>
        </w:rPr>
        <w:t> </w:t>
      </w:r>
      <w:r>
        <w:rPr>
          <w:color w:val="231F20"/>
          <w:w w:val="110"/>
        </w:rPr>
        <w:t>y</w:t>
      </w:r>
      <w:r>
        <w:rPr>
          <w:color w:val="231F20"/>
          <w:spacing w:val="-8"/>
          <w:w w:val="110"/>
        </w:rPr>
        <w:t> </w:t>
      </w:r>
      <w:r>
        <w:rPr>
          <w:color w:val="231F20"/>
          <w:w w:val="110"/>
        </w:rPr>
        <w:t>los</w:t>
      </w:r>
      <w:r>
        <w:rPr>
          <w:color w:val="231F20"/>
          <w:spacing w:val="-8"/>
          <w:w w:val="110"/>
        </w:rPr>
        <w:t> </w:t>
      </w:r>
      <w:r>
        <w:rPr>
          <w:color w:val="231F20"/>
          <w:w w:val="110"/>
        </w:rPr>
        <w:t>hogares</w:t>
      </w:r>
      <w:r>
        <w:rPr>
          <w:color w:val="231F20"/>
          <w:spacing w:val="-8"/>
          <w:w w:val="110"/>
        </w:rPr>
        <w:t> </w:t>
      </w:r>
      <w:r>
        <w:rPr>
          <w:color w:val="231F20"/>
          <w:w w:val="110"/>
        </w:rPr>
        <w:t>en</w:t>
      </w:r>
      <w:r>
        <w:rPr>
          <w:color w:val="231F20"/>
          <w:spacing w:val="-8"/>
          <w:w w:val="110"/>
        </w:rPr>
        <w:t> </w:t>
      </w:r>
      <w:r>
        <w:rPr>
          <w:color w:val="231F20"/>
          <w:w w:val="110"/>
        </w:rPr>
        <w:t>detrimento</w:t>
      </w:r>
      <w:r>
        <w:rPr>
          <w:color w:val="231F20"/>
          <w:spacing w:val="-8"/>
          <w:w w:val="110"/>
        </w:rPr>
        <w:t> </w:t>
      </w:r>
      <w:r>
        <w:rPr>
          <w:color w:val="231F20"/>
          <w:w w:val="110"/>
        </w:rPr>
        <w:t>del</w:t>
      </w:r>
      <w:r>
        <w:rPr>
          <w:color w:val="231F20"/>
          <w:spacing w:val="-8"/>
          <w:w w:val="110"/>
        </w:rPr>
        <w:t> </w:t>
      </w:r>
      <w:r>
        <w:rPr>
          <w:color w:val="231F20"/>
          <w:w w:val="110"/>
        </w:rPr>
        <w:t>enriquecimiento</w:t>
      </w:r>
      <w:r>
        <w:rPr>
          <w:color w:val="231F20"/>
          <w:spacing w:val="-8"/>
          <w:w w:val="110"/>
        </w:rPr>
        <w:t> </w:t>
      </w:r>
      <w:r>
        <w:rPr>
          <w:color w:val="231F20"/>
          <w:w w:val="110"/>
        </w:rPr>
        <w:t>de unos pocos. Es </w:t>
      </w:r>
      <w:r>
        <w:rPr>
          <w:color w:val="231F20"/>
          <w:spacing w:val="-3"/>
          <w:w w:val="110"/>
        </w:rPr>
        <w:t>decir, </w:t>
      </w:r>
      <w:r>
        <w:rPr>
          <w:color w:val="231F20"/>
          <w:w w:val="110"/>
        </w:rPr>
        <w:t>en nuestros contextos actuales en los que cada vez hay una mayor y creciente pérdida de importancia del Estado en la provi- sión de </w:t>
      </w:r>
      <w:r>
        <w:rPr>
          <w:color w:val="231F20"/>
          <w:spacing w:val="2"/>
          <w:w w:val="110"/>
        </w:rPr>
        <w:t>servicios </w:t>
      </w:r>
      <w:r>
        <w:rPr>
          <w:color w:val="231F20"/>
          <w:w w:val="110"/>
        </w:rPr>
        <w:t>sociales, las familias han visto, y continuarán viendo, aumentadas sus responsabilidades económicas y </w:t>
      </w:r>
      <w:r>
        <w:rPr>
          <w:color w:val="231F20"/>
          <w:spacing w:val="25"/>
          <w:w w:val="110"/>
        </w:rPr>
        <w:t> </w:t>
      </w:r>
      <w:r>
        <w:rPr>
          <w:color w:val="231F20"/>
          <w:w w:val="110"/>
        </w:rPr>
        <w:t>domésticas.</w:t>
      </w:r>
    </w:p>
    <w:p>
      <w:pPr>
        <w:pStyle w:val="BodyText"/>
        <w:spacing w:line="295" w:lineRule="auto"/>
        <w:ind w:left="124" w:right="113" w:firstLine="360"/>
        <w:jc w:val="both"/>
      </w:pPr>
      <w:r>
        <w:rPr>
          <w:color w:val="231F20"/>
          <w:w w:val="110"/>
        </w:rPr>
        <w:t>Ciertamente,</w:t>
      </w:r>
      <w:r>
        <w:rPr>
          <w:color w:val="231F20"/>
          <w:spacing w:val="-6"/>
          <w:w w:val="110"/>
        </w:rPr>
        <w:t> </w:t>
      </w:r>
      <w:r>
        <w:rPr>
          <w:color w:val="231F20"/>
          <w:w w:val="110"/>
        </w:rPr>
        <w:t>el</w:t>
      </w:r>
      <w:r>
        <w:rPr>
          <w:color w:val="231F20"/>
          <w:spacing w:val="-6"/>
          <w:w w:val="110"/>
        </w:rPr>
        <w:t> </w:t>
      </w:r>
      <w:r>
        <w:rPr>
          <w:color w:val="231F20"/>
          <w:w w:val="110"/>
        </w:rPr>
        <w:t>Estado</w:t>
      </w:r>
      <w:r>
        <w:rPr>
          <w:color w:val="231F20"/>
          <w:spacing w:val="-6"/>
          <w:w w:val="110"/>
        </w:rPr>
        <w:t> </w:t>
      </w:r>
      <w:r>
        <w:rPr>
          <w:color w:val="231F20"/>
          <w:w w:val="110"/>
        </w:rPr>
        <w:t>mexicano</w:t>
      </w:r>
      <w:r>
        <w:rPr>
          <w:color w:val="231F20"/>
          <w:spacing w:val="-6"/>
          <w:w w:val="110"/>
        </w:rPr>
        <w:t> </w:t>
      </w:r>
      <w:r>
        <w:rPr>
          <w:color w:val="231F20"/>
          <w:w w:val="110"/>
        </w:rPr>
        <w:t>tiene</w:t>
      </w:r>
      <w:r>
        <w:rPr>
          <w:color w:val="231F20"/>
          <w:spacing w:val="-6"/>
          <w:w w:val="110"/>
        </w:rPr>
        <w:t> </w:t>
      </w:r>
      <w:r>
        <w:rPr>
          <w:color w:val="231F20"/>
          <w:w w:val="110"/>
        </w:rPr>
        <w:t>como</w:t>
      </w:r>
      <w:r>
        <w:rPr>
          <w:color w:val="231F20"/>
          <w:spacing w:val="-6"/>
          <w:w w:val="110"/>
        </w:rPr>
        <w:t> </w:t>
      </w:r>
      <w:r>
        <w:rPr>
          <w:color w:val="231F20"/>
          <w:w w:val="110"/>
        </w:rPr>
        <w:t>objetivo</w:t>
      </w:r>
      <w:r>
        <w:rPr>
          <w:color w:val="231F20"/>
          <w:spacing w:val="-6"/>
          <w:w w:val="110"/>
        </w:rPr>
        <w:t> </w:t>
      </w:r>
      <w:r>
        <w:rPr>
          <w:color w:val="231F20"/>
          <w:w w:val="110"/>
        </w:rPr>
        <w:t>central</w:t>
      </w:r>
      <w:r>
        <w:rPr>
          <w:color w:val="231F20"/>
          <w:spacing w:val="-6"/>
          <w:w w:val="110"/>
        </w:rPr>
        <w:t> </w:t>
      </w:r>
      <w:r>
        <w:rPr>
          <w:color w:val="231F20"/>
          <w:w w:val="110"/>
        </w:rPr>
        <w:t>preservar la soberanía nacional, garantizar la democracia y ser un celoso cumplidor de las leyes. Pero ello no es posible si no cumple con la responsabilidad histórica de ejercer la justicia social, cuya materialidad se manifiesta en el grupo familiar, es </w:t>
      </w:r>
      <w:r>
        <w:rPr>
          <w:color w:val="231F20"/>
          <w:spacing w:val="-3"/>
          <w:w w:val="110"/>
        </w:rPr>
        <w:t>decir, </w:t>
      </w:r>
      <w:r>
        <w:rPr>
          <w:color w:val="231F20"/>
          <w:w w:val="110"/>
        </w:rPr>
        <w:t>lo que el civismo y la política denominan el núcleo básico de la</w:t>
      </w:r>
      <w:r>
        <w:rPr>
          <w:color w:val="231F20"/>
          <w:spacing w:val="32"/>
          <w:w w:val="110"/>
        </w:rPr>
        <w:t> </w:t>
      </w:r>
      <w:r>
        <w:rPr>
          <w:color w:val="231F20"/>
          <w:w w:val="110"/>
        </w:rPr>
        <w:t>sociedad.</w:t>
      </w:r>
    </w:p>
    <w:p>
      <w:pPr>
        <w:pStyle w:val="BodyText"/>
        <w:spacing w:line="295" w:lineRule="auto"/>
        <w:ind w:left="124" w:right="112" w:firstLine="360"/>
        <w:jc w:val="both"/>
      </w:pPr>
      <w:r>
        <w:rPr>
          <w:color w:val="231F20"/>
          <w:w w:val="110"/>
        </w:rPr>
        <w:t>La Constitución Nacional establece en sus artículos del 1º al 29, y en  el 123, que toda familia y sus integrantes tienen derecho a disfrutar de vi- vienda digna y decorosa; a recibir educación; a tener los servicios médicos indispensables que garanticen protección a la salud; </w:t>
      </w:r>
      <w:r>
        <w:rPr>
          <w:color w:val="231F20"/>
          <w:spacing w:val="-9"/>
          <w:w w:val="110"/>
        </w:rPr>
        <w:t>y, </w:t>
      </w:r>
      <w:r>
        <w:rPr>
          <w:color w:val="231F20"/>
          <w:w w:val="110"/>
        </w:rPr>
        <w:t>entre otros dere- chos, el de un trabajo digno y útil. Esto indica que le corresponde al</w:t>
      </w:r>
      <w:r>
        <w:rPr>
          <w:color w:val="231F20"/>
          <w:spacing w:val="-15"/>
          <w:w w:val="110"/>
        </w:rPr>
        <w:t> </w:t>
      </w:r>
      <w:r>
        <w:rPr>
          <w:color w:val="231F20"/>
          <w:w w:val="110"/>
        </w:rPr>
        <w:t>Estado promover las condiciones necesarias para el desarrollo integral de la</w:t>
      </w:r>
      <w:r>
        <w:rPr>
          <w:color w:val="231F20"/>
          <w:spacing w:val="-25"/>
          <w:w w:val="110"/>
        </w:rPr>
        <w:t> </w:t>
      </w:r>
      <w:r>
        <w:rPr>
          <w:color w:val="231F20"/>
          <w:w w:val="110"/>
        </w:rPr>
        <w:t>fami- lia, a través de una política social que genere la integración económica y social de las familias de </w:t>
      </w:r>
      <w:r>
        <w:rPr>
          <w:color w:val="231F20"/>
          <w:spacing w:val="14"/>
          <w:w w:val="110"/>
        </w:rPr>
        <w:t> </w:t>
      </w:r>
      <w:r>
        <w:rPr>
          <w:color w:val="231F20"/>
          <w:w w:val="110"/>
        </w:rPr>
        <w:t>México.</w:t>
      </w:r>
    </w:p>
    <w:p>
      <w:pPr>
        <w:pStyle w:val="BodyText"/>
        <w:spacing w:line="295" w:lineRule="auto"/>
        <w:ind w:left="124" w:right="110" w:firstLine="360"/>
        <w:jc w:val="both"/>
      </w:pPr>
      <w:r>
        <w:rPr/>
        <w:pict>
          <v:line style="position:absolute;mso-position-horizontal-relative:page;mso-position-vertical-relative:paragraph;z-index:-457864" from="104.184097pt,49.368656pt" to="107.977097pt,49.368656pt" stroked="true" strokeweight=".46pt" strokecolor="#231f20">
            <w10:wrap type="none"/>
          </v:line>
        </w:pict>
      </w:r>
      <w:r>
        <w:rPr>
          <w:color w:val="231F20"/>
          <w:w w:val="110"/>
        </w:rPr>
        <w:t>Sin</w:t>
      </w:r>
      <w:r>
        <w:rPr>
          <w:color w:val="231F20"/>
          <w:spacing w:val="-4"/>
          <w:w w:val="110"/>
        </w:rPr>
        <w:t> </w:t>
      </w:r>
      <w:r>
        <w:rPr>
          <w:color w:val="231F20"/>
          <w:w w:val="110"/>
        </w:rPr>
        <w:t>embargo,</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México</w:t>
      </w:r>
      <w:r>
        <w:rPr>
          <w:color w:val="231F20"/>
          <w:spacing w:val="-4"/>
          <w:w w:val="110"/>
        </w:rPr>
        <w:t> </w:t>
      </w:r>
      <w:r>
        <w:rPr>
          <w:color w:val="231F20"/>
          <w:w w:val="110"/>
        </w:rPr>
        <w:t>del</w:t>
      </w:r>
      <w:r>
        <w:rPr>
          <w:color w:val="231F20"/>
          <w:spacing w:val="-4"/>
          <w:w w:val="110"/>
        </w:rPr>
        <w:t> </w:t>
      </w:r>
      <w:r>
        <w:rPr>
          <w:color w:val="231F20"/>
          <w:w w:val="110"/>
        </w:rPr>
        <w:t>siglo</w:t>
      </w:r>
      <w:r>
        <w:rPr>
          <w:color w:val="231F20"/>
          <w:spacing w:val="-5"/>
          <w:w w:val="110"/>
        </w:rPr>
        <w:t> </w:t>
      </w:r>
      <w:r>
        <w:rPr>
          <w:rFonts w:ascii="Times New Roman" w:hAnsi="Times New Roman"/>
          <w:color w:val="231F20"/>
          <w:w w:val="110"/>
          <w:sz w:val="16"/>
        </w:rPr>
        <w:t>XXI</w:t>
      </w:r>
      <w:r>
        <w:rPr>
          <w:color w:val="231F20"/>
          <w:w w:val="110"/>
        </w:rPr>
        <w:t>,</w:t>
      </w:r>
      <w:r>
        <w:rPr>
          <w:color w:val="231F20"/>
          <w:spacing w:val="-4"/>
          <w:w w:val="110"/>
        </w:rPr>
        <w:t> </w:t>
      </w:r>
      <w:r>
        <w:rPr>
          <w:color w:val="231F20"/>
          <w:w w:val="110"/>
        </w:rPr>
        <w:t>más</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mitad</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población se encuentra en condiciones de pobreza. Únicamente 6 por ciento del pro- ducto interno bruto se destina a los programas sociales, lo que, sin lugar a dudas, apunta a un panorama poco prometedor para las familias mexi- canas en condiciones de marginación y de pobreza, con escasas oportu- nidades de mejoramiento, sumidos en el analfabetismo, la desnutrición, la insalubridad y la nula posibilidad de ser copartícipes en el diseño de las políticas públicas destinadas a las familias y a los </w:t>
      </w:r>
      <w:r>
        <w:rPr>
          <w:color w:val="231F20"/>
          <w:spacing w:val="30"/>
          <w:w w:val="110"/>
        </w:rPr>
        <w:t> </w:t>
      </w:r>
      <w:r>
        <w:rPr>
          <w:color w:val="231F20"/>
          <w:w w:val="110"/>
        </w:rPr>
        <w:t>hogares.</w:t>
      </w:r>
    </w:p>
    <w:p>
      <w:pPr>
        <w:spacing w:after="0" w:line="295" w:lineRule="auto"/>
        <w:jc w:val="both"/>
        <w:sectPr>
          <w:pgSz w:w="9520" w:h="12920"/>
          <w:pgMar w:header="0" w:footer="1344" w:top="880" w:bottom="1540" w:left="1320" w:right="1000"/>
        </w:sectPr>
      </w:pPr>
    </w:p>
    <w:p>
      <w:pPr>
        <w:pStyle w:val="BodyText"/>
        <w:spacing w:line="288" w:lineRule="auto" w:before="42"/>
        <w:ind w:left="100" w:right="117" w:firstLine="360"/>
        <w:jc w:val="both"/>
      </w:pPr>
      <w:r>
        <w:rPr>
          <w:color w:val="231F20"/>
          <w:w w:val="110"/>
        </w:rPr>
        <w:t>Los</w:t>
      </w:r>
      <w:r>
        <w:rPr>
          <w:color w:val="231F20"/>
          <w:spacing w:val="-7"/>
          <w:w w:val="110"/>
        </w:rPr>
        <w:t> </w:t>
      </w:r>
      <w:r>
        <w:rPr>
          <w:color w:val="231F20"/>
          <w:w w:val="110"/>
        </w:rPr>
        <w:t>programas</w:t>
      </w:r>
      <w:r>
        <w:rPr>
          <w:color w:val="231F20"/>
          <w:spacing w:val="-7"/>
          <w:w w:val="110"/>
        </w:rPr>
        <w:t> </w:t>
      </w:r>
      <w:r>
        <w:rPr>
          <w:color w:val="231F20"/>
          <w:w w:val="110"/>
        </w:rPr>
        <w:t>mencionados</w:t>
      </w:r>
      <w:r>
        <w:rPr>
          <w:color w:val="231F20"/>
          <w:spacing w:val="-7"/>
          <w:w w:val="110"/>
        </w:rPr>
        <w:t> </w:t>
      </w:r>
      <w:r>
        <w:rPr>
          <w:color w:val="231F20"/>
          <w:w w:val="110"/>
        </w:rPr>
        <w:t>anteriormente</w:t>
      </w:r>
      <w:r>
        <w:rPr>
          <w:color w:val="231F20"/>
          <w:spacing w:val="-7"/>
          <w:w w:val="110"/>
        </w:rPr>
        <w:t> </w:t>
      </w:r>
      <w:r>
        <w:rPr>
          <w:color w:val="231F20"/>
          <w:w w:val="110"/>
        </w:rPr>
        <w:t>han</w:t>
      </w:r>
      <w:r>
        <w:rPr>
          <w:color w:val="231F20"/>
          <w:spacing w:val="-7"/>
          <w:w w:val="110"/>
        </w:rPr>
        <w:t> </w:t>
      </w:r>
      <w:r>
        <w:rPr>
          <w:color w:val="231F20"/>
          <w:w w:val="110"/>
        </w:rPr>
        <w:t>cobrado</w:t>
      </w:r>
      <w:r>
        <w:rPr>
          <w:color w:val="231F20"/>
          <w:spacing w:val="-7"/>
          <w:w w:val="110"/>
        </w:rPr>
        <w:t> </w:t>
      </w:r>
      <w:r>
        <w:rPr>
          <w:color w:val="231F20"/>
          <w:w w:val="110"/>
        </w:rPr>
        <w:t>enorme</w:t>
      </w:r>
      <w:r>
        <w:rPr>
          <w:color w:val="231F20"/>
          <w:spacing w:val="-7"/>
          <w:w w:val="110"/>
        </w:rPr>
        <w:t> </w:t>
      </w:r>
      <w:r>
        <w:rPr>
          <w:color w:val="231F20"/>
          <w:w w:val="110"/>
        </w:rPr>
        <w:t>reso- nancia política y publicitaria, fungiendo más como recurso de legitima- ción que como instrumento para el desarrollo. Frecuentemente</w:t>
      </w:r>
      <w:r>
        <w:rPr>
          <w:color w:val="231F20"/>
          <w:spacing w:val="-27"/>
          <w:w w:val="110"/>
        </w:rPr>
        <w:t> </w:t>
      </w:r>
      <w:r>
        <w:rPr>
          <w:color w:val="231F20"/>
          <w:w w:val="110"/>
        </w:rPr>
        <w:t>vinculados con intereses políticos y electorales, muchos de estos programas han dis- torsionado la conceptualización, la teorización y el diseño de políticas pú- blicas eficientes y eficaces, convirtiéndose en acciones que no trascienden los sexenios en los que fueron diseñados y puestos en marcha. Paralela- mente, las familias mexicanas han experimentado el deterioro de su cali- dad de</w:t>
      </w:r>
      <w:r>
        <w:rPr>
          <w:color w:val="231F20"/>
          <w:spacing w:val="10"/>
          <w:w w:val="110"/>
        </w:rPr>
        <w:t> </w:t>
      </w:r>
      <w:r>
        <w:rPr>
          <w:color w:val="231F20"/>
          <w:w w:val="110"/>
        </w:rPr>
        <w:t>vida.</w:t>
      </w:r>
    </w:p>
    <w:p>
      <w:pPr>
        <w:pStyle w:val="BodyText"/>
        <w:spacing w:line="288" w:lineRule="auto"/>
        <w:ind w:left="100" w:right="117" w:firstLine="360"/>
        <w:jc w:val="both"/>
      </w:pPr>
      <w:r>
        <w:rPr>
          <w:color w:val="231F20"/>
          <w:w w:val="110"/>
        </w:rPr>
        <w:t>Lo</w:t>
      </w:r>
      <w:r>
        <w:rPr>
          <w:color w:val="231F20"/>
          <w:spacing w:val="-4"/>
          <w:w w:val="110"/>
        </w:rPr>
        <w:t> </w:t>
      </w:r>
      <w:r>
        <w:rPr>
          <w:color w:val="231F20"/>
          <w:w w:val="110"/>
        </w:rPr>
        <w:t>anterior</w:t>
      </w:r>
      <w:r>
        <w:rPr>
          <w:color w:val="231F20"/>
          <w:spacing w:val="-4"/>
          <w:w w:val="110"/>
        </w:rPr>
        <w:t> </w:t>
      </w:r>
      <w:r>
        <w:rPr>
          <w:color w:val="231F20"/>
          <w:w w:val="110"/>
        </w:rPr>
        <w:t>demuestra</w:t>
      </w:r>
      <w:r>
        <w:rPr>
          <w:color w:val="231F20"/>
          <w:spacing w:val="-4"/>
          <w:w w:val="110"/>
        </w:rPr>
        <w:t> </w:t>
      </w:r>
      <w:r>
        <w:rPr>
          <w:color w:val="231F20"/>
          <w:w w:val="110"/>
        </w:rPr>
        <w:t>que</w:t>
      </w:r>
      <w:r>
        <w:rPr>
          <w:color w:val="231F20"/>
          <w:spacing w:val="-4"/>
          <w:w w:val="110"/>
        </w:rPr>
        <w:t> </w:t>
      </w:r>
      <w:r>
        <w:rPr>
          <w:color w:val="231F20"/>
          <w:w w:val="110"/>
        </w:rPr>
        <w:t>dentro</w:t>
      </w:r>
      <w:r>
        <w:rPr>
          <w:color w:val="231F20"/>
          <w:spacing w:val="-4"/>
          <w:w w:val="110"/>
        </w:rPr>
        <w:t> </w:t>
      </w:r>
      <w:r>
        <w:rPr>
          <w:color w:val="231F20"/>
          <w:w w:val="110"/>
        </w:rPr>
        <w:t>de</w:t>
      </w:r>
      <w:r>
        <w:rPr>
          <w:color w:val="231F20"/>
          <w:spacing w:val="-4"/>
          <w:w w:val="110"/>
        </w:rPr>
        <w:t> </w:t>
      </w:r>
      <w:r>
        <w:rPr>
          <w:color w:val="231F20"/>
          <w:w w:val="110"/>
        </w:rPr>
        <w:t>las</w:t>
      </w:r>
      <w:r>
        <w:rPr>
          <w:color w:val="231F20"/>
          <w:spacing w:val="-4"/>
          <w:w w:val="110"/>
        </w:rPr>
        <w:t> </w:t>
      </w:r>
      <w:r>
        <w:rPr>
          <w:color w:val="231F20"/>
          <w:w w:val="110"/>
        </w:rPr>
        <w:t>distintas</w:t>
      </w:r>
      <w:r>
        <w:rPr>
          <w:color w:val="231F20"/>
          <w:spacing w:val="-4"/>
          <w:w w:val="110"/>
        </w:rPr>
        <w:t> </w:t>
      </w:r>
      <w:r>
        <w:rPr>
          <w:color w:val="231F20"/>
          <w:w w:val="110"/>
        </w:rPr>
        <w:t>políticas,</w:t>
      </w:r>
      <w:r>
        <w:rPr>
          <w:color w:val="231F20"/>
          <w:spacing w:val="-4"/>
          <w:w w:val="110"/>
        </w:rPr>
        <w:t> </w:t>
      </w:r>
      <w:r>
        <w:rPr>
          <w:color w:val="231F20"/>
          <w:w w:val="110"/>
        </w:rPr>
        <w:t>las</w:t>
      </w:r>
      <w:r>
        <w:rPr>
          <w:color w:val="231F20"/>
          <w:spacing w:val="-4"/>
          <w:w w:val="110"/>
        </w:rPr>
        <w:t> </w:t>
      </w:r>
      <w:r>
        <w:rPr>
          <w:color w:val="231F20"/>
          <w:w w:val="110"/>
        </w:rPr>
        <w:t>familias en</w:t>
      </w:r>
      <w:r>
        <w:rPr>
          <w:color w:val="231F20"/>
          <w:spacing w:val="-8"/>
          <w:w w:val="110"/>
        </w:rPr>
        <w:t> </w:t>
      </w:r>
      <w:r>
        <w:rPr>
          <w:color w:val="231F20"/>
          <w:w w:val="110"/>
        </w:rPr>
        <w:t>México</w:t>
      </w:r>
      <w:r>
        <w:rPr>
          <w:color w:val="231F20"/>
          <w:spacing w:val="-8"/>
          <w:w w:val="110"/>
        </w:rPr>
        <w:t> </w:t>
      </w:r>
      <w:r>
        <w:rPr>
          <w:color w:val="231F20"/>
          <w:w w:val="110"/>
        </w:rPr>
        <w:t>han</w:t>
      </w:r>
      <w:r>
        <w:rPr>
          <w:color w:val="231F20"/>
          <w:spacing w:val="-8"/>
          <w:w w:val="110"/>
        </w:rPr>
        <w:t> </w:t>
      </w:r>
      <w:r>
        <w:rPr>
          <w:color w:val="231F20"/>
          <w:w w:val="110"/>
        </w:rPr>
        <w:t>quedado</w:t>
      </w:r>
      <w:r>
        <w:rPr>
          <w:color w:val="231F20"/>
          <w:spacing w:val="-8"/>
          <w:w w:val="110"/>
        </w:rPr>
        <w:t> </w:t>
      </w:r>
      <w:r>
        <w:rPr>
          <w:color w:val="231F20"/>
          <w:w w:val="110"/>
        </w:rPr>
        <w:t>restringidas</w:t>
      </w:r>
      <w:r>
        <w:rPr>
          <w:color w:val="231F20"/>
          <w:spacing w:val="-8"/>
          <w:w w:val="110"/>
        </w:rPr>
        <w:t> </w:t>
      </w:r>
      <w:r>
        <w:rPr>
          <w:color w:val="231F20"/>
          <w:w w:val="110"/>
        </w:rPr>
        <w:t>y</w:t>
      </w:r>
      <w:r>
        <w:rPr>
          <w:color w:val="231F20"/>
          <w:spacing w:val="-8"/>
          <w:w w:val="110"/>
        </w:rPr>
        <w:t> </w:t>
      </w:r>
      <w:r>
        <w:rPr>
          <w:color w:val="231F20"/>
          <w:w w:val="110"/>
        </w:rPr>
        <w:t>marginadas</w:t>
      </w:r>
      <w:r>
        <w:rPr>
          <w:color w:val="231F20"/>
          <w:spacing w:val="-8"/>
          <w:w w:val="110"/>
        </w:rPr>
        <w:t> </w:t>
      </w:r>
      <w:r>
        <w:rPr>
          <w:color w:val="231F20"/>
          <w:w w:val="110"/>
        </w:rPr>
        <w:t>como</w:t>
      </w:r>
      <w:r>
        <w:rPr>
          <w:color w:val="231F20"/>
          <w:spacing w:val="-8"/>
          <w:w w:val="110"/>
        </w:rPr>
        <w:t> </w:t>
      </w:r>
      <w:r>
        <w:rPr>
          <w:color w:val="231F20"/>
          <w:w w:val="110"/>
        </w:rPr>
        <w:t>agente</w:t>
      </w:r>
      <w:r>
        <w:rPr>
          <w:color w:val="231F20"/>
          <w:spacing w:val="-8"/>
          <w:w w:val="110"/>
        </w:rPr>
        <w:t> </w:t>
      </w:r>
      <w:r>
        <w:rPr>
          <w:color w:val="231F20"/>
          <w:w w:val="110"/>
        </w:rPr>
        <w:t>fundamen- tal del desarrollo. Existen programas del Desarrollo Integral de la </w:t>
      </w:r>
      <w:r>
        <w:rPr>
          <w:color w:val="231F20"/>
          <w:spacing w:val="-3"/>
          <w:w w:val="110"/>
        </w:rPr>
        <w:t>Familia </w:t>
      </w:r>
      <w:r>
        <w:rPr>
          <w:color w:val="231F20"/>
          <w:w w:val="110"/>
        </w:rPr>
        <w:t>(</w:t>
      </w:r>
      <w:r>
        <w:rPr>
          <w:rFonts w:ascii="Times New Roman" w:hAnsi="Times New Roman"/>
          <w:color w:val="231F20"/>
          <w:w w:val="110"/>
          <w:sz w:val="16"/>
        </w:rPr>
        <w:t>DIF</w:t>
      </w:r>
      <w:r>
        <w:rPr>
          <w:color w:val="231F20"/>
          <w:w w:val="110"/>
        </w:rPr>
        <w:t>) que tienen como referente a la familia, sin embargo, pocos han sido los que inciden en ella, entre otras causas por no considerar la diversidad familiar, pues se presentan y funcionan como programas uniformes; como es</w:t>
      </w:r>
      <w:r>
        <w:rPr>
          <w:color w:val="231F20"/>
          <w:spacing w:val="-8"/>
          <w:w w:val="110"/>
        </w:rPr>
        <w:t> </w:t>
      </w:r>
      <w:r>
        <w:rPr>
          <w:color w:val="231F20"/>
          <w:w w:val="110"/>
        </w:rPr>
        <w:t>el</w:t>
      </w:r>
      <w:r>
        <w:rPr>
          <w:color w:val="231F20"/>
          <w:spacing w:val="-8"/>
          <w:w w:val="110"/>
        </w:rPr>
        <w:t> </w:t>
      </w:r>
      <w:r>
        <w:rPr>
          <w:color w:val="231F20"/>
          <w:w w:val="110"/>
        </w:rPr>
        <w:t>caso</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de</w:t>
      </w:r>
      <w:r>
        <w:rPr>
          <w:color w:val="231F20"/>
          <w:spacing w:val="-8"/>
          <w:w w:val="110"/>
        </w:rPr>
        <w:t> </w:t>
      </w:r>
      <w:r>
        <w:rPr>
          <w:color w:val="231F20"/>
          <w:w w:val="110"/>
        </w:rPr>
        <w:t>planificación</w:t>
      </w:r>
      <w:r>
        <w:rPr>
          <w:color w:val="231F20"/>
          <w:spacing w:val="-8"/>
          <w:w w:val="110"/>
        </w:rPr>
        <w:t> </w:t>
      </w:r>
      <w:r>
        <w:rPr>
          <w:color w:val="231F20"/>
          <w:spacing w:val="-4"/>
          <w:w w:val="110"/>
        </w:rPr>
        <w:t>familiar,</w:t>
      </w:r>
      <w:r>
        <w:rPr>
          <w:color w:val="231F20"/>
          <w:spacing w:val="-8"/>
          <w:w w:val="110"/>
        </w:rPr>
        <w:t> </w:t>
      </w:r>
      <w:r>
        <w:rPr>
          <w:color w:val="231F20"/>
          <w:w w:val="110"/>
        </w:rPr>
        <w:t>alfabetización,</w:t>
      </w:r>
      <w:r>
        <w:rPr>
          <w:color w:val="231F20"/>
          <w:spacing w:val="-8"/>
          <w:w w:val="110"/>
        </w:rPr>
        <w:t> </w:t>
      </w:r>
      <w:r>
        <w:rPr>
          <w:color w:val="231F20"/>
          <w:w w:val="110"/>
        </w:rPr>
        <w:t>salud</w:t>
      </w:r>
      <w:r>
        <w:rPr>
          <w:color w:val="231F20"/>
          <w:spacing w:val="-8"/>
          <w:w w:val="110"/>
        </w:rPr>
        <w:t> </w:t>
      </w:r>
      <w:r>
        <w:rPr>
          <w:color w:val="231F20"/>
          <w:w w:val="110"/>
        </w:rPr>
        <w:t>reproductiva y</w:t>
      </w:r>
      <w:r>
        <w:rPr>
          <w:color w:val="231F20"/>
          <w:spacing w:val="-9"/>
          <w:w w:val="110"/>
        </w:rPr>
        <w:t> </w:t>
      </w:r>
      <w:r>
        <w:rPr>
          <w:color w:val="231F20"/>
          <w:w w:val="110"/>
        </w:rPr>
        <w:t>capacitación</w:t>
      </w:r>
      <w:r>
        <w:rPr>
          <w:color w:val="231F20"/>
          <w:spacing w:val="-9"/>
          <w:w w:val="110"/>
        </w:rPr>
        <w:t> </w:t>
      </w:r>
      <w:r>
        <w:rPr>
          <w:color w:val="231F20"/>
          <w:w w:val="110"/>
        </w:rPr>
        <w:t>para</w:t>
      </w:r>
      <w:r>
        <w:rPr>
          <w:color w:val="231F20"/>
          <w:spacing w:val="-9"/>
          <w:w w:val="110"/>
        </w:rPr>
        <w:t> </w:t>
      </w:r>
      <w:r>
        <w:rPr>
          <w:color w:val="231F20"/>
          <w:w w:val="110"/>
        </w:rPr>
        <w:t>el</w:t>
      </w:r>
      <w:r>
        <w:rPr>
          <w:color w:val="231F20"/>
          <w:spacing w:val="-9"/>
          <w:w w:val="110"/>
        </w:rPr>
        <w:t> </w:t>
      </w:r>
      <w:r>
        <w:rPr>
          <w:color w:val="231F20"/>
          <w:w w:val="110"/>
        </w:rPr>
        <w:t>trabajo,</w:t>
      </w:r>
      <w:r>
        <w:rPr>
          <w:color w:val="231F20"/>
          <w:spacing w:val="-9"/>
          <w:w w:val="110"/>
        </w:rPr>
        <w:t> </w:t>
      </w:r>
      <w:r>
        <w:rPr>
          <w:color w:val="231F20"/>
          <w:w w:val="110"/>
        </w:rPr>
        <w:t>entre</w:t>
      </w:r>
      <w:r>
        <w:rPr>
          <w:color w:val="231F20"/>
          <w:spacing w:val="-9"/>
          <w:w w:val="110"/>
        </w:rPr>
        <w:t> </w:t>
      </w:r>
      <w:r>
        <w:rPr>
          <w:color w:val="231F20"/>
          <w:w w:val="110"/>
        </w:rPr>
        <w:t>otros.</w:t>
      </w:r>
      <w:r>
        <w:rPr>
          <w:color w:val="231F20"/>
          <w:spacing w:val="-10"/>
          <w:w w:val="110"/>
        </w:rPr>
        <w:t> </w:t>
      </w:r>
      <w:r>
        <w:rPr>
          <w:color w:val="231F20"/>
          <w:w w:val="110"/>
        </w:rPr>
        <w:t>No</w:t>
      </w:r>
      <w:r>
        <w:rPr>
          <w:color w:val="231F20"/>
          <w:spacing w:val="-9"/>
          <w:w w:val="110"/>
        </w:rPr>
        <w:t> </w:t>
      </w:r>
      <w:r>
        <w:rPr>
          <w:color w:val="231F20"/>
          <w:w w:val="110"/>
        </w:rPr>
        <w:t>considerar</w:t>
      </w:r>
      <w:r>
        <w:rPr>
          <w:color w:val="231F20"/>
          <w:spacing w:val="-9"/>
          <w:w w:val="110"/>
        </w:rPr>
        <w:t> </w:t>
      </w:r>
      <w:r>
        <w:rPr>
          <w:color w:val="231F20"/>
          <w:w w:val="110"/>
        </w:rPr>
        <w:t>la</w:t>
      </w:r>
      <w:r>
        <w:rPr>
          <w:color w:val="231F20"/>
          <w:spacing w:val="-9"/>
          <w:w w:val="110"/>
        </w:rPr>
        <w:t> </w:t>
      </w:r>
      <w:r>
        <w:rPr>
          <w:color w:val="231F20"/>
          <w:w w:val="110"/>
        </w:rPr>
        <w:t>heterogeneidad de los arreglos familiares mexicanos es un elemento común y que destina al fracaso a la inmensa mayoría de los programas y políticas orientados a la</w:t>
      </w:r>
      <w:r>
        <w:rPr>
          <w:color w:val="231F20"/>
          <w:spacing w:val="-5"/>
          <w:w w:val="110"/>
        </w:rPr>
        <w:t> </w:t>
      </w:r>
      <w:r>
        <w:rPr>
          <w:color w:val="231F20"/>
          <w:w w:val="110"/>
        </w:rPr>
        <w:t>familia.</w:t>
      </w:r>
    </w:p>
    <w:p>
      <w:pPr>
        <w:pStyle w:val="BodyText"/>
        <w:spacing w:line="288" w:lineRule="auto"/>
        <w:ind w:left="100" w:right="115" w:firstLine="360"/>
        <w:jc w:val="both"/>
      </w:pPr>
      <w:r>
        <w:rPr>
          <w:color w:val="231F20"/>
          <w:w w:val="110"/>
        </w:rPr>
        <w:t>En general, se puede afirmar que las políticas públicas no han tenido respuestas cabales para las familias que viven en condiciones de pobreza extrema, fallando así en su objetivo principal que es estructurar a la socie- dad de una manera más justa. A pesar de ser el Estado de México una de las entidades más industrializadas del país, con altos índices de desarrollo comercial en algunos sectores de la economía, de ocupar el primer lugar en la producción de maíz y de especies de agua dulce en el país, y con una de las afluencias turísticas más importantes, la entidad cuenta con 31 por ciento de los hogares nucleares y ampliados, con ingresos inferiores a dos salarios mínimos (mensuales). Es decir, con tres de cada diez familias de las que tienen arreglos nucleares o ampliados que se debaten en la pobre- za lacerante, lo que por supuesto, afecta de manera sensible la dinámica familiar en la búsqueda por la sobrevivencia.</w:t>
      </w:r>
    </w:p>
    <w:p>
      <w:pPr>
        <w:pStyle w:val="BodyText"/>
        <w:spacing w:line="288" w:lineRule="auto"/>
        <w:ind w:left="100" w:right="117" w:firstLine="360"/>
        <w:jc w:val="both"/>
      </w:pPr>
      <w:r>
        <w:rPr>
          <w:color w:val="231F20"/>
          <w:w w:val="110"/>
        </w:rPr>
        <w:t>Fundamentalmente en los sectores populares, la incorporación cre- ciente de la mujer al mercado de trabajo altera las funciones y la dinámica de vida de las familias, no sólo en lo relacionado con que los espacios de</w:t>
      </w:r>
    </w:p>
    <w:p>
      <w:pPr>
        <w:spacing w:after="0" w:line="288" w:lineRule="auto"/>
        <w:jc w:val="both"/>
        <w:sectPr>
          <w:pgSz w:w="9520" w:h="12920"/>
          <w:pgMar w:header="0" w:footer="1344" w:top="880" w:bottom="1540" w:left="1020" w:right="1320"/>
        </w:sectPr>
      </w:pPr>
    </w:p>
    <w:p>
      <w:pPr>
        <w:pStyle w:val="BodyText"/>
        <w:spacing w:line="288" w:lineRule="auto" w:before="42"/>
        <w:ind w:left="124" w:right="112"/>
        <w:jc w:val="both"/>
      </w:pPr>
      <w:r>
        <w:rPr/>
        <w:pict>
          <v:line style="position:absolute;mso-position-horizontal-relative:page;mso-position-vertical-relative:paragraph;z-index:-457840" from="162.692596pt,64.668663pt" to="165.442596pt,64.668663pt" stroked="true" strokeweight=".46pt" strokecolor="#231f20">
            <w10:wrap type="none"/>
          </v:line>
        </w:pict>
      </w:r>
      <w:r>
        <w:rPr>
          <w:color w:val="231F20"/>
          <w:w w:val="110"/>
        </w:rPr>
        <w:t>cuidado, educación y formación de los hijos se trasladan fuera del ámbito familiar, sino también en los profundos cambios culturales que implica asumir nuevos modelos de familia de “doble ingreso” o “doble carrera”. En el Estado de México, cerca de 17 por ciento de los hogares tienen jefatura femenina. Cerca del 49 por ciento del total de los hogares mexiquenses no tiene derecho a la seguridad social, lo que equivale a que 63 por ciento de la población de la entidad no sea derechohabiente de ninguna de las insti- tuciones encargadas de la atención social.</w:t>
      </w:r>
    </w:p>
    <w:p>
      <w:pPr>
        <w:pStyle w:val="BodyText"/>
        <w:spacing w:line="288" w:lineRule="auto"/>
        <w:ind w:left="124" w:right="112" w:firstLine="360"/>
        <w:jc w:val="both"/>
      </w:pPr>
      <w:r>
        <w:rPr>
          <w:color w:val="231F20"/>
          <w:w w:val="110"/>
        </w:rPr>
        <w:t>Las cifras anteriores demuestran que las políticas públicas de hoy no se dirigen al fortalecimiento de las familias, no incorporan a cada uno de sus</w:t>
      </w:r>
      <w:r>
        <w:rPr>
          <w:color w:val="231F20"/>
          <w:spacing w:val="-5"/>
          <w:w w:val="110"/>
        </w:rPr>
        <w:t> </w:t>
      </w:r>
      <w:r>
        <w:rPr>
          <w:color w:val="231F20"/>
          <w:w w:val="110"/>
        </w:rPr>
        <w:t>integrantes</w:t>
      </w:r>
      <w:r>
        <w:rPr>
          <w:color w:val="231F20"/>
          <w:spacing w:val="-5"/>
          <w:w w:val="110"/>
        </w:rPr>
        <w:t> </w:t>
      </w:r>
      <w:r>
        <w:rPr>
          <w:color w:val="231F20"/>
          <w:w w:val="110"/>
        </w:rPr>
        <w:t>a</w:t>
      </w:r>
      <w:r>
        <w:rPr>
          <w:color w:val="231F20"/>
          <w:spacing w:val="-5"/>
          <w:w w:val="110"/>
        </w:rPr>
        <w:t> </w:t>
      </w:r>
      <w:r>
        <w:rPr>
          <w:color w:val="231F20"/>
          <w:w w:val="110"/>
        </w:rPr>
        <w:t>una</w:t>
      </w:r>
      <w:r>
        <w:rPr>
          <w:color w:val="231F20"/>
          <w:spacing w:val="-5"/>
          <w:w w:val="110"/>
        </w:rPr>
        <w:t> </w:t>
      </w:r>
      <w:r>
        <w:rPr>
          <w:color w:val="231F20"/>
          <w:w w:val="110"/>
        </w:rPr>
        <w:t>vida</w:t>
      </w:r>
      <w:r>
        <w:rPr>
          <w:color w:val="231F20"/>
          <w:spacing w:val="-5"/>
          <w:w w:val="110"/>
        </w:rPr>
        <w:t> </w:t>
      </w:r>
      <w:r>
        <w:rPr>
          <w:color w:val="231F20"/>
          <w:w w:val="110"/>
        </w:rPr>
        <w:t>digna</w:t>
      </w:r>
      <w:r>
        <w:rPr>
          <w:color w:val="231F20"/>
          <w:spacing w:val="-5"/>
          <w:w w:val="110"/>
        </w:rPr>
        <w:t> </w:t>
      </w:r>
      <w:r>
        <w:rPr>
          <w:color w:val="231F20"/>
          <w:w w:val="110"/>
        </w:rPr>
        <w:t>y</w:t>
      </w:r>
      <w:r>
        <w:rPr>
          <w:color w:val="231F20"/>
          <w:spacing w:val="-5"/>
          <w:w w:val="110"/>
        </w:rPr>
        <w:t> </w:t>
      </w:r>
      <w:r>
        <w:rPr>
          <w:color w:val="231F20"/>
          <w:w w:val="110"/>
        </w:rPr>
        <w:t>equilibrada,</w:t>
      </w:r>
      <w:r>
        <w:rPr>
          <w:color w:val="231F20"/>
          <w:spacing w:val="-5"/>
          <w:w w:val="110"/>
        </w:rPr>
        <w:t> </w:t>
      </w:r>
      <w:r>
        <w:rPr>
          <w:color w:val="231F20"/>
          <w:w w:val="110"/>
        </w:rPr>
        <w:t>tanto</w:t>
      </w:r>
      <w:r>
        <w:rPr>
          <w:color w:val="231F20"/>
          <w:spacing w:val="-5"/>
          <w:w w:val="110"/>
        </w:rPr>
        <w:t> </w:t>
      </w:r>
      <w:r>
        <w:rPr>
          <w:color w:val="231F20"/>
          <w:w w:val="110"/>
        </w:rPr>
        <w:t>en</w:t>
      </w:r>
      <w:r>
        <w:rPr>
          <w:color w:val="231F20"/>
          <w:spacing w:val="-5"/>
          <w:w w:val="110"/>
        </w:rPr>
        <w:t> </w:t>
      </w:r>
      <w:r>
        <w:rPr>
          <w:color w:val="231F20"/>
          <w:w w:val="110"/>
        </w:rPr>
        <w:t>lo</w:t>
      </w:r>
      <w:r>
        <w:rPr>
          <w:color w:val="231F20"/>
          <w:spacing w:val="-5"/>
          <w:w w:val="110"/>
        </w:rPr>
        <w:t> </w:t>
      </w:r>
      <w:r>
        <w:rPr>
          <w:color w:val="231F20"/>
          <w:w w:val="110"/>
        </w:rPr>
        <w:t>económico</w:t>
      </w:r>
      <w:r>
        <w:rPr>
          <w:color w:val="231F20"/>
          <w:spacing w:val="-5"/>
          <w:w w:val="110"/>
        </w:rPr>
        <w:t> </w:t>
      </w:r>
      <w:r>
        <w:rPr>
          <w:color w:val="231F20"/>
          <w:w w:val="110"/>
        </w:rPr>
        <w:t>como en lo social, no les proporcionan los elementos necesarios para la convi- vencia</w:t>
      </w:r>
      <w:r>
        <w:rPr>
          <w:color w:val="231F20"/>
          <w:spacing w:val="-4"/>
          <w:w w:val="110"/>
        </w:rPr>
        <w:t> </w:t>
      </w:r>
      <w:r>
        <w:rPr>
          <w:color w:val="231F20"/>
          <w:w w:val="110"/>
        </w:rPr>
        <w:t>familiar,</w:t>
      </w:r>
      <w:r>
        <w:rPr>
          <w:color w:val="231F20"/>
          <w:spacing w:val="-4"/>
          <w:w w:val="110"/>
        </w:rPr>
        <w:t> </w:t>
      </w:r>
      <w:r>
        <w:rPr>
          <w:color w:val="231F20"/>
          <w:w w:val="110"/>
        </w:rPr>
        <w:t>ni</w:t>
      </w:r>
      <w:r>
        <w:rPr>
          <w:color w:val="231F20"/>
          <w:spacing w:val="-4"/>
          <w:w w:val="110"/>
        </w:rPr>
        <w:t> </w:t>
      </w:r>
      <w:r>
        <w:rPr>
          <w:color w:val="231F20"/>
          <w:w w:val="110"/>
        </w:rPr>
        <w:t>para</w:t>
      </w:r>
      <w:r>
        <w:rPr>
          <w:color w:val="231F20"/>
          <w:spacing w:val="-4"/>
          <w:w w:val="110"/>
        </w:rPr>
        <w:t> </w:t>
      </w:r>
      <w:r>
        <w:rPr>
          <w:color w:val="231F20"/>
          <w:w w:val="110"/>
        </w:rPr>
        <w:t>el</w:t>
      </w:r>
      <w:r>
        <w:rPr>
          <w:color w:val="231F20"/>
          <w:spacing w:val="-4"/>
          <w:w w:val="110"/>
        </w:rPr>
        <w:t> </w:t>
      </w:r>
      <w:r>
        <w:rPr>
          <w:color w:val="231F20"/>
          <w:w w:val="110"/>
        </w:rPr>
        <w:t>disfrute</w:t>
      </w:r>
      <w:r>
        <w:rPr>
          <w:color w:val="231F20"/>
          <w:spacing w:val="-4"/>
          <w:w w:val="110"/>
        </w:rPr>
        <w:t> </w:t>
      </w:r>
      <w:r>
        <w:rPr>
          <w:color w:val="231F20"/>
          <w:w w:val="110"/>
        </w:rPr>
        <w:t>de</w:t>
      </w:r>
      <w:r>
        <w:rPr>
          <w:color w:val="231F20"/>
          <w:spacing w:val="-4"/>
          <w:w w:val="110"/>
        </w:rPr>
        <w:t> </w:t>
      </w:r>
      <w:r>
        <w:rPr>
          <w:color w:val="231F20"/>
          <w:w w:val="110"/>
        </w:rPr>
        <w:t>los</w:t>
      </w:r>
      <w:r>
        <w:rPr>
          <w:color w:val="231F20"/>
          <w:spacing w:val="-4"/>
          <w:w w:val="110"/>
        </w:rPr>
        <w:t> </w:t>
      </w:r>
      <w:r>
        <w:rPr>
          <w:color w:val="231F20"/>
          <w:w w:val="110"/>
        </w:rPr>
        <w:t>derechos</w:t>
      </w:r>
      <w:r>
        <w:rPr>
          <w:color w:val="231F20"/>
          <w:spacing w:val="-4"/>
          <w:w w:val="110"/>
        </w:rPr>
        <w:t> </w:t>
      </w:r>
      <w:r>
        <w:rPr>
          <w:color w:val="231F20"/>
          <w:w w:val="110"/>
        </w:rPr>
        <w:t>individuales</w:t>
      </w:r>
      <w:r>
        <w:rPr>
          <w:color w:val="231F20"/>
          <w:spacing w:val="-4"/>
          <w:w w:val="110"/>
        </w:rPr>
        <w:t> </w:t>
      </w:r>
      <w:r>
        <w:rPr>
          <w:color w:val="231F20"/>
          <w:w w:val="110"/>
        </w:rPr>
        <w:t>y</w:t>
      </w:r>
      <w:r>
        <w:rPr>
          <w:color w:val="231F20"/>
          <w:spacing w:val="-4"/>
          <w:w w:val="110"/>
        </w:rPr>
        <w:t> </w:t>
      </w:r>
      <w:r>
        <w:rPr>
          <w:color w:val="231F20"/>
          <w:w w:val="110"/>
        </w:rPr>
        <w:t>colectivos que establece la</w:t>
      </w:r>
      <w:r>
        <w:rPr>
          <w:color w:val="231F20"/>
          <w:spacing w:val="33"/>
          <w:w w:val="110"/>
        </w:rPr>
        <w:t> </w:t>
      </w:r>
      <w:r>
        <w:rPr>
          <w:color w:val="231F20"/>
          <w:w w:val="110"/>
        </w:rPr>
        <w:t>Constitución.</w:t>
      </w:r>
    </w:p>
    <w:p>
      <w:pPr>
        <w:pStyle w:val="BodyText"/>
        <w:spacing w:line="288" w:lineRule="auto"/>
        <w:ind w:left="124" w:right="112" w:firstLine="360"/>
        <w:jc w:val="both"/>
      </w:pPr>
      <w:r>
        <w:rPr>
          <w:color w:val="231F20"/>
          <w:w w:val="110"/>
        </w:rPr>
        <w:t>Es claro que los efectos de las políticas públicas en las familias, como producto</w:t>
      </w:r>
      <w:r>
        <w:rPr>
          <w:color w:val="231F20"/>
          <w:spacing w:val="-5"/>
          <w:w w:val="110"/>
        </w:rPr>
        <w:t> </w:t>
      </w:r>
      <w:r>
        <w:rPr>
          <w:color w:val="231F20"/>
          <w:w w:val="110"/>
        </w:rPr>
        <w:t>del</w:t>
      </w:r>
      <w:r>
        <w:rPr>
          <w:color w:val="231F20"/>
          <w:spacing w:val="-5"/>
          <w:w w:val="110"/>
        </w:rPr>
        <w:t> </w:t>
      </w:r>
      <w:r>
        <w:rPr>
          <w:color w:val="231F20"/>
          <w:w w:val="110"/>
        </w:rPr>
        <w:t>modelo</w:t>
      </w:r>
      <w:r>
        <w:rPr>
          <w:color w:val="231F20"/>
          <w:spacing w:val="-5"/>
          <w:w w:val="110"/>
        </w:rPr>
        <w:t> </w:t>
      </w:r>
      <w:r>
        <w:rPr>
          <w:color w:val="231F20"/>
          <w:w w:val="110"/>
        </w:rPr>
        <w:t>económico</w:t>
      </w:r>
      <w:r>
        <w:rPr>
          <w:color w:val="231F20"/>
          <w:spacing w:val="-5"/>
          <w:w w:val="110"/>
        </w:rPr>
        <w:t> </w:t>
      </w:r>
      <w:r>
        <w:rPr>
          <w:color w:val="231F20"/>
          <w:w w:val="110"/>
        </w:rPr>
        <w:t>neoliberal,</w:t>
      </w:r>
      <w:r>
        <w:rPr>
          <w:color w:val="231F20"/>
          <w:spacing w:val="-5"/>
          <w:w w:val="110"/>
        </w:rPr>
        <w:t> </w:t>
      </w:r>
      <w:r>
        <w:rPr>
          <w:color w:val="231F20"/>
          <w:w w:val="110"/>
        </w:rPr>
        <w:t>se</w:t>
      </w:r>
      <w:r>
        <w:rPr>
          <w:color w:val="231F20"/>
          <w:spacing w:val="-5"/>
          <w:w w:val="110"/>
        </w:rPr>
        <w:t> </w:t>
      </w:r>
      <w:r>
        <w:rPr>
          <w:color w:val="231F20"/>
          <w:w w:val="110"/>
        </w:rPr>
        <w:t>manifiestan</w:t>
      </w:r>
      <w:r>
        <w:rPr>
          <w:color w:val="231F20"/>
          <w:spacing w:val="-5"/>
          <w:w w:val="110"/>
        </w:rPr>
        <w:t> </w:t>
      </w:r>
      <w:r>
        <w:rPr>
          <w:color w:val="231F20"/>
          <w:w w:val="110"/>
        </w:rPr>
        <w:t>en</w:t>
      </w:r>
      <w:r>
        <w:rPr>
          <w:color w:val="231F20"/>
          <w:spacing w:val="-5"/>
          <w:w w:val="110"/>
        </w:rPr>
        <w:t> </w:t>
      </w:r>
      <w:r>
        <w:rPr>
          <w:color w:val="231F20"/>
          <w:w w:val="110"/>
        </w:rPr>
        <w:t>las</w:t>
      </w:r>
      <w:r>
        <w:rPr>
          <w:color w:val="231F20"/>
          <w:spacing w:val="-5"/>
          <w:w w:val="110"/>
        </w:rPr>
        <w:t> </w:t>
      </w:r>
      <w:r>
        <w:rPr>
          <w:color w:val="231F20"/>
          <w:w w:val="110"/>
        </w:rPr>
        <w:t>modifica- </w:t>
      </w:r>
      <w:r>
        <w:rPr>
          <w:color w:val="231F20"/>
          <w:spacing w:val="2"/>
          <w:w w:val="110"/>
        </w:rPr>
        <w:t>ciones </w:t>
      </w:r>
      <w:r>
        <w:rPr>
          <w:color w:val="231F20"/>
          <w:w w:val="110"/>
        </w:rPr>
        <w:t>y </w:t>
      </w:r>
      <w:r>
        <w:rPr>
          <w:color w:val="231F20"/>
          <w:spacing w:val="2"/>
          <w:w w:val="110"/>
        </w:rPr>
        <w:t>transformaciones </w:t>
      </w:r>
      <w:r>
        <w:rPr>
          <w:color w:val="231F20"/>
          <w:w w:val="110"/>
        </w:rPr>
        <w:t>que </w:t>
      </w:r>
      <w:r>
        <w:rPr>
          <w:color w:val="231F20"/>
          <w:spacing w:val="2"/>
          <w:w w:val="110"/>
        </w:rPr>
        <w:t>éstas </w:t>
      </w:r>
      <w:r>
        <w:rPr>
          <w:color w:val="231F20"/>
          <w:w w:val="110"/>
        </w:rPr>
        <w:t>han </w:t>
      </w:r>
      <w:r>
        <w:rPr>
          <w:color w:val="231F20"/>
          <w:spacing w:val="2"/>
          <w:w w:val="110"/>
        </w:rPr>
        <w:t>tenido </w:t>
      </w:r>
      <w:r>
        <w:rPr>
          <w:color w:val="231F20"/>
          <w:w w:val="110"/>
        </w:rPr>
        <w:t>en sus </w:t>
      </w:r>
      <w:r>
        <w:rPr>
          <w:color w:val="231F20"/>
          <w:spacing w:val="2"/>
          <w:w w:val="110"/>
        </w:rPr>
        <w:t>funciones </w:t>
      </w:r>
      <w:r>
        <w:rPr>
          <w:color w:val="231F20"/>
          <w:w w:val="110"/>
        </w:rPr>
        <w:t>y su estructura, ya que las diferentes modalidades que ha seguido el desarrollo en la búsqueda por el bienestar no han hecho otra cosa que empobrecer más a las familias del campo y la ciudad conduciéndolas a un proceso de fragmentación, desintegración y desarraigo</w:t>
      </w:r>
      <w:r>
        <w:rPr>
          <w:color w:val="231F20"/>
          <w:spacing w:val="6"/>
          <w:w w:val="110"/>
        </w:rPr>
        <w:t> </w:t>
      </w:r>
      <w:r>
        <w:rPr>
          <w:color w:val="231F20"/>
          <w:w w:val="110"/>
        </w:rPr>
        <w:t>sociocultural.</w:t>
      </w:r>
    </w:p>
    <w:p>
      <w:pPr>
        <w:pStyle w:val="BodyText"/>
      </w:pPr>
    </w:p>
    <w:p>
      <w:pPr>
        <w:pStyle w:val="BodyText"/>
        <w:spacing w:before="10"/>
        <w:rPr>
          <w:sz w:val="24"/>
        </w:rPr>
      </w:pPr>
    </w:p>
    <w:p>
      <w:pPr>
        <w:spacing w:line="244" w:lineRule="auto" w:before="0"/>
        <w:ind w:left="124" w:right="3614" w:firstLine="0"/>
        <w:jc w:val="left"/>
        <w:rPr>
          <w:rFonts w:ascii="Times New Roman" w:hAnsi="Times New Roman"/>
          <w:i/>
          <w:sz w:val="19"/>
        </w:rPr>
      </w:pPr>
      <w:r>
        <w:rPr>
          <w:rFonts w:ascii="Times New Roman" w:hAnsi="Times New Roman"/>
          <w:i/>
          <w:color w:val="231F20"/>
          <w:spacing w:val="-3"/>
          <w:sz w:val="24"/>
        </w:rPr>
        <w:t>¿H</w:t>
      </w:r>
      <w:r>
        <w:rPr>
          <w:rFonts w:ascii="Times New Roman" w:hAnsi="Times New Roman"/>
          <w:i/>
          <w:color w:val="231F20"/>
          <w:spacing w:val="-3"/>
          <w:sz w:val="19"/>
        </w:rPr>
        <w:t>ASTA</w:t>
      </w:r>
      <w:r>
        <w:rPr>
          <w:rFonts w:ascii="Times New Roman" w:hAnsi="Times New Roman"/>
          <w:i/>
          <w:color w:val="231F20"/>
          <w:spacing w:val="-23"/>
          <w:sz w:val="19"/>
        </w:rPr>
        <w:t> </w:t>
      </w:r>
      <w:r>
        <w:rPr>
          <w:rFonts w:ascii="Times New Roman" w:hAnsi="Times New Roman"/>
          <w:i/>
          <w:color w:val="231F20"/>
          <w:sz w:val="19"/>
        </w:rPr>
        <w:t>DÓNDE</w:t>
      </w:r>
      <w:r>
        <w:rPr>
          <w:rFonts w:ascii="Times New Roman" w:hAnsi="Times New Roman"/>
          <w:i/>
          <w:color w:val="231F20"/>
          <w:spacing w:val="-23"/>
          <w:sz w:val="19"/>
        </w:rPr>
        <w:t> </w:t>
      </w:r>
      <w:r>
        <w:rPr>
          <w:rFonts w:ascii="Times New Roman" w:hAnsi="Times New Roman"/>
          <w:i/>
          <w:color w:val="231F20"/>
          <w:sz w:val="19"/>
        </w:rPr>
        <w:t>LLEGA</w:t>
      </w:r>
      <w:r>
        <w:rPr>
          <w:rFonts w:ascii="Times New Roman" w:hAnsi="Times New Roman"/>
          <w:i/>
          <w:color w:val="231F20"/>
          <w:spacing w:val="-23"/>
          <w:sz w:val="19"/>
        </w:rPr>
        <w:t> </w:t>
      </w:r>
      <w:r>
        <w:rPr>
          <w:rFonts w:ascii="Times New Roman" w:hAnsi="Times New Roman"/>
          <w:i/>
          <w:color w:val="231F20"/>
          <w:spacing w:val="7"/>
          <w:sz w:val="19"/>
        </w:rPr>
        <w:t>LA</w:t>
      </w:r>
      <w:r>
        <w:rPr>
          <w:rFonts w:ascii="Times New Roman" w:hAnsi="Times New Roman"/>
          <w:i/>
          <w:color w:val="231F20"/>
          <w:spacing w:val="-23"/>
          <w:sz w:val="19"/>
        </w:rPr>
        <w:t> </w:t>
      </w:r>
      <w:r>
        <w:rPr>
          <w:rFonts w:ascii="Times New Roman" w:hAnsi="Times New Roman"/>
          <w:i/>
          <w:color w:val="231F20"/>
          <w:spacing w:val="-3"/>
          <w:sz w:val="19"/>
        </w:rPr>
        <w:t>APUESTA</w:t>
      </w:r>
      <w:r>
        <w:rPr>
          <w:rFonts w:ascii="Times New Roman" w:hAnsi="Times New Roman"/>
          <w:i/>
          <w:color w:val="231F20"/>
          <w:spacing w:val="-23"/>
          <w:sz w:val="19"/>
        </w:rPr>
        <w:t> </w:t>
      </w:r>
      <w:r>
        <w:rPr>
          <w:rFonts w:ascii="Times New Roman" w:hAnsi="Times New Roman"/>
          <w:i/>
          <w:color w:val="231F20"/>
          <w:sz w:val="19"/>
        </w:rPr>
        <w:t>DEL </w:t>
      </w:r>
      <w:r>
        <w:rPr>
          <w:rFonts w:ascii="Times New Roman" w:hAnsi="Times New Roman"/>
          <w:i/>
          <w:color w:val="231F20"/>
          <w:sz w:val="19"/>
        </w:rPr>
        <w:t>GOBIERNO</w:t>
      </w:r>
      <w:r>
        <w:rPr>
          <w:rFonts w:ascii="Times New Roman" w:hAnsi="Times New Roman"/>
          <w:i/>
          <w:color w:val="231F20"/>
          <w:spacing w:val="-17"/>
          <w:sz w:val="19"/>
        </w:rPr>
        <w:t> </w:t>
      </w:r>
      <w:r>
        <w:rPr>
          <w:rFonts w:ascii="Times New Roman" w:hAnsi="Times New Roman"/>
          <w:i/>
          <w:color w:val="231F20"/>
          <w:sz w:val="19"/>
        </w:rPr>
        <w:t>EN</w:t>
      </w:r>
      <w:r>
        <w:rPr>
          <w:rFonts w:ascii="Times New Roman" w:hAnsi="Times New Roman"/>
          <w:i/>
          <w:color w:val="231F20"/>
          <w:spacing w:val="-17"/>
          <w:sz w:val="19"/>
        </w:rPr>
        <w:t> </w:t>
      </w:r>
      <w:r>
        <w:rPr>
          <w:rFonts w:ascii="Times New Roman" w:hAnsi="Times New Roman"/>
          <w:i/>
          <w:color w:val="231F20"/>
          <w:sz w:val="24"/>
        </w:rPr>
        <w:t>M</w:t>
      </w:r>
      <w:r>
        <w:rPr>
          <w:rFonts w:ascii="Times New Roman" w:hAnsi="Times New Roman"/>
          <w:i/>
          <w:color w:val="231F20"/>
          <w:sz w:val="19"/>
        </w:rPr>
        <w:t>ÉXICO</w:t>
      </w:r>
      <w:r>
        <w:rPr>
          <w:rFonts w:ascii="Times New Roman" w:hAnsi="Times New Roman"/>
          <w:i/>
          <w:color w:val="231F20"/>
          <w:spacing w:val="-17"/>
          <w:sz w:val="19"/>
        </w:rPr>
        <w:t> </w:t>
      </w:r>
      <w:r>
        <w:rPr>
          <w:rFonts w:ascii="Times New Roman" w:hAnsi="Times New Roman"/>
          <w:i/>
          <w:color w:val="231F20"/>
          <w:sz w:val="19"/>
        </w:rPr>
        <w:t>EN</w:t>
      </w:r>
      <w:r>
        <w:rPr>
          <w:rFonts w:ascii="Times New Roman" w:hAnsi="Times New Roman"/>
          <w:i/>
          <w:color w:val="231F20"/>
          <w:spacing w:val="-17"/>
          <w:sz w:val="19"/>
        </w:rPr>
        <w:t> </w:t>
      </w:r>
      <w:r>
        <w:rPr>
          <w:rFonts w:ascii="Times New Roman" w:hAnsi="Times New Roman"/>
          <w:i/>
          <w:color w:val="231F20"/>
          <w:spacing w:val="-3"/>
          <w:sz w:val="19"/>
        </w:rPr>
        <w:t>MATERIA</w:t>
      </w:r>
    </w:p>
    <w:p>
      <w:pPr>
        <w:spacing w:before="0"/>
        <w:ind w:left="124" w:right="0" w:firstLine="0"/>
        <w:jc w:val="both"/>
        <w:rPr>
          <w:rFonts w:ascii="Times New Roman" w:hAnsi="Times New Roman"/>
          <w:i/>
          <w:sz w:val="24"/>
        </w:rPr>
      </w:pPr>
      <w:r>
        <w:rPr>
          <w:rFonts w:ascii="Times New Roman" w:hAnsi="Times New Roman"/>
          <w:i/>
          <w:color w:val="231F20"/>
          <w:w w:val="95"/>
          <w:sz w:val="19"/>
        </w:rPr>
        <w:t>DE POLÍTICAS PÚBLICAS PARA LAS FAMILIAS</w:t>
      </w:r>
      <w:r>
        <w:rPr>
          <w:rFonts w:ascii="Times New Roman" w:hAnsi="Times New Roman"/>
          <w:i/>
          <w:color w:val="231F20"/>
          <w:w w:val="95"/>
          <w:sz w:val="24"/>
        </w:rPr>
        <w:t>?</w:t>
      </w:r>
    </w:p>
    <w:p>
      <w:pPr>
        <w:pStyle w:val="BodyText"/>
        <w:spacing w:before="9"/>
        <w:rPr>
          <w:rFonts w:ascii="Times New Roman"/>
          <w:i/>
          <w:sz w:val="27"/>
        </w:rPr>
      </w:pPr>
    </w:p>
    <w:p>
      <w:pPr>
        <w:pStyle w:val="BodyText"/>
        <w:spacing w:line="288" w:lineRule="auto"/>
        <w:ind w:left="124" w:right="112"/>
        <w:jc w:val="both"/>
      </w:pPr>
      <w:r>
        <w:rPr>
          <w:color w:val="231F20"/>
          <w:w w:val="110"/>
        </w:rPr>
        <w:t>El gobierno de Felipe Calderón tuvo un programa estrella en materia de política</w:t>
      </w:r>
      <w:r>
        <w:rPr>
          <w:color w:val="231F20"/>
          <w:spacing w:val="-9"/>
          <w:w w:val="110"/>
        </w:rPr>
        <w:t> </w:t>
      </w:r>
      <w:r>
        <w:rPr>
          <w:color w:val="231F20"/>
          <w:w w:val="110"/>
        </w:rPr>
        <w:t>pública</w:t>
      </w:r>
      <w:r>
        <w:rPr>
          <w:color w:val="231F20"/>
          <w:spacing w:val="-9"/>
          <w:w w:val="110"/>
        </w:rPr>
        <w:t> </w:t>
      </w:r>
      <w:r>
        <w:rPr>
          <w:color w:val="231F20"/>
          <w:w w:val="110"/>
        </w:rPr>
        <w:t>hacia</w:t>
      </w:r>
      <w:r>
        <w:rPr>
          <w:color w:val="231F20"/>
          <w:spacing w:val="-9"/>
          <w:w w:val="110"/>
        </w:rPr>
        <w:t> </w:t>
      </w:r>
      <w:r>
        <w:rPr>
          <w:color w:val="231F20"/>
          <w:w w:val="110"/>
        </w:rPr>
        <w:t>las</w:t>
      </w:r>
      <w:r>
        <w:rPr>
          <w:color w:val="231F20"/>
          <w:spacing w:val="-9"/>
          <w:w w:val="110"/>
        </w:rPr>
        <w:t> </w:t>
      </w:r>
      <w:r>
        <w:rPr>
          <w:color w:val="231F20"/>
          <w:w w:val="110"/>
        </w:rPr>
        <w:t>familias,</w:t>
      </w:r>
      <w:r>
        <w:rPr>
          <w:color w:val="231F20"/>
          <w:spacing w:val="-9"/>
          <w:w w:val="110"/>
        </w:rPr>
        <w:t> </w:t>
      </w:r>
      <w:r>
        <w:rPr>
          <w:color w:val="231F20"/>
          <w:w w:val="110"/>
        </w:rPr>
        <w:t>el</w:t>
      </w:r>
      <w:r>
        <w:rPr>
          <w:color w:val="231F20"/>
          <w:spacing w:val="-9"/>
          <w:w w:val="110"/>
        </w:rPr>
        <w:t> </w:t>
      </w:r>
      <w:r>
        <w:rPr>
          <w:color w:val="231F20"/>
          <w:w w:val="110"/>
        </w:rPr>
        <w:t>mencionado</w:t>
      </w:r>
      <w:r>
        <w:rPr>
          <w:color w:val="231F20"/>
          <w:spacing w:val="-9"/>
          <w:w w:val="110"/>
        </w:rPr>
        <w:t> </w:t>
      </w:r>
      <w:r>
        <w:rPr>
          <w:color w:val="231F20"/>
          <w:w w:val="110"/>
        </w:rPr>
        <w:t>programa</w:t>
      </w:r>
      <w:r>
        <w:rPr>
          <w:color w:val="231F20"/>
          <w:spacing w:val="-9"/>
          <w:w w:val="110"/>
        </w:rPr>
        <w:t> </w:t>
      </w:r>
      <w:r>
        <w:rPr>
          <w:color w:val="231F20"/>
          <w:w w:val="110"/>
        </w:rPr>
        <w:t>Oportunidades, cuyo padrón comprendió casi una cuarta parte de los hogares del país, lo que equivale a dos de cada 10 mexicanos aproximadamente</w:t>
      </w:r>
      <w:r>
        <w:rPr>
          <w:color w:val="231F20"/>
          <w:w w:val="110"/>
          <w:position w:val="6"/>
          <w:sz w:val="11"/>
        </w:rPr>
        <w:t>10 </w:t>
      </w:r>
      <w:r>
        <w:rPr>
          <w:color w:val="231F20"/>
          <w:w w:val="110"/>
        </w:rPr>
        <w:t>(Banegas, 2008).</w:t>
      </w:r>
    </w:p>
    <w:p>
      <w:pPr>
        <w:pStyle w:val="BodyText"/>
        <w:spacing w:line="288" w:lineRule="auto"/>
        <w:ind w:left="124" w:right="112" w:firstLine="360"/>
        <w:jc w:val="right"/>
      </w:pPr>
      <w:r>
        <w:rPr>
          <w:color w:val="231F20"/>
          <w:w w:val="110"/>
        </w:rPr>
        <w:t>También este programa tenía limitaciones importantes, entre otras el</w:t>
      </w:r>
      <w:r>
        <w:rPr>
          <w:color w:val="231F20"/>
          <w:w w:val="101"/>
        </w:rPr>
        <w:t> </w:t>
      </w:r>
      <w:r>
        <w:rPr>
          <w:color w:val="231F20"/>
          <w:w w:val="110"/>
        </w:rPr>
        <w:t>supuesto de que la mayor escolarización tendría una relación directa   con</w:t>
      </w:r>
    </w:p>
    <w:p>
      <w:pPr>
        <w:pStyle w:val="BodyText"/>
        <w:spacing w:before="7"/>
        <w:rPr>
          <w:sz w:val="15"/>
        </w:rPr>
      </w:pPr>
    </w:p>
    <w:p>
      <w:pPr>
        <w:spacing w:line="256" w:lineRule="auto" w:before="1"/>
        <w:ind w:left="124" w:right="115" w:firstLine="360"/>
        <w:jc w:val="both"/>
        <w:rPr>
          <w:sz w:val="16"/>
        </w:rPr>
      </w:pPr>
      <w:r>
        <w:rPr>
          <w:color w:val="231F20"/>
          <w:w w:val="105"/>
          <w:position w:val="5"/>
          <w:sz w:val="9"/>
        </w:rPr>
        <w:t>10 </w:t>
      </w:r>
      <w:r>
        <w:rPr>
          <w:color w:val="231F20"/>
          <w:w w:val="105"/>
          <w:sz w:val="16"/>
        </w:rPr>
        <w:t>Tercer bimestre de 2008 (marzo-abril), ver </w:t>
      </w:r>
      <w:hyperlink r:id="rId18">
        <w:r>
          <w:rPr>
            <w:color w:val="231F20"/>
            <w:w w:val="105"/>
            <w:sz w:val="16"/>
          </w:rPr>
          <w:t>http://www.oportunidades.gob.mx/indica-</w:t>
        </w:r>
      </w:hyperlink>
      <w:r>
        <w:rPr>
          <w:color w:val="231F20"/>
          <w:w w:val="105"/>
          <w:sz w:val="16"/>
        </w:rPr>
        <w:t> dores_gestion/main.html</w:t>
      </w:r>
    </w:p>
    <w:p>
      <w:pPr>
        <w:spacing w:after="0" w:line="256" w:lineRule="auto"/>
        <w:jc w:val="both"/>
        <w:rPr>
          <w:sz w:val="16"/>
        </w:rPr>
        <w:sectPr>
          <w:pgSz w:w="9520" w:h="12920"/>
          <w:pgMar w:header="0" w:footer="1344" w:top="880" w:bottom="1540" w:left="1320" w:right="1000"/>
        </w:sectPr>
      </w:pPr>
    </w:p>
    <w:p>
      <w:pPr>
        <w:pStyle w:val="BodyText"/>
        <w:spacing w:line="285" w:lineRule="auto" w:before="42"/>
        <w:ind w:left="120" w:right="117"/>
        <w:jc w:val="both"/>
      </w:pPr>
      <w:r>
        <w:rPr>
          <w:color w:val="231F20"/>
          <w:w w:val="110"/>
        </w:rPr>
        <w:t>una mejora en los ingresos futuros de la familia sin considerar ni las co- yunturas socioeconómicas (que cada vez más limitan las posibilidades de acceder</w:t>
      </w:r>
      <w:r>
        <w:rPr>
          <w:color w:val="231F20"/>
          <w:spacing w:val="-8"/>
          <w:w w:val="110"/>
        </w:rPr>
        <w:t> </w:t>
      </w:r>
      <w:r>
        <w:rPr>
          <w:color w:val="231F20"/>
          <w:w w:val="110"/>
        </w:rPr>
        <w:t>a</w:t>
      </w:r>
      <w:r>
        <w:rPr>
          <w:color w:val="231F20"/>
          <w:spacing w:val="-8"/>
          <w:w w:val="110"/>
        </w:rPr>
        <w:t> </w:t>
      </w:r>
      <w:r>
        <w:rPr>
          <w:color w:val="231F20"/>
          <w:w w:val="110"/>
        </w:rPr>
        <w:t>una</w:t>
      </w:r>
      <w:r>
        <w:rPr>
          <w:color w:val="231F20"/>
          <w:spacing w:val="-8"/>
          <w:w w:val="110"/>
        </w:rPr>
        <w:t> </w:t>
      </w:r>
      <w:r>
        <w:rPr>
          <w:color w:val="231F20"/>
          <w:w w:val="110"/>
        </w:rPr>
        <w:t>fuente</w:t>
      </w:r>
      <w:r>
        <w:rPr>
          <w:color w:val="231F20"/>
          <w:spacing w:val="-8"/>
          <w:w w:val="110"/>
        </w:rPr>
        <w:t> </w:t>
      </w:r>
      <w:r>
        <w:rPr>
          <w:color w:val="231F20"/>
          <w:w w:val="110"/>
        </w:rPr>
        <w:t>de</w:t>
      </w:r>
      <w:r>
        <w:rPr>
          <w:color w:val="231F20"/>
          <w:spacing w:val="-8"/>
          <w:w w:val="110"/>
        </w:rPr>
        <w:t> </w:t>
      </w:r>
      <w:r>
        <w:rPr>
          <w:color w:val="231F20"/>
          <w:w w:val="110"/>
        </w:rPr>
        <w:t>trabajo)</w:t>
      </w:r>
      <w:r>
        <w:rPr>
          <w:color w:val="231F20"/>
          <w:spacing w:val="-8"/>
          <w:w w:val="110"/>
        </w:rPr>
        <w:t> </w:t>
      </w:r>
      <w:r>
        <w:rPr>
          <w:color w:val="231F20"/>
          <w:w w:val="110"/>
        </w:rPr>
        <w:t>ni</w:t>
      </w:r>
      <w:r>
        <w:rPr>
          <w:color w:val="231F20"/>
          <w:spacing w:val="-8"/>
          <w:w w:val="110"/>
        </w:rPr>
        <w:t> </w:t>
      </w:r>
      <w:r>
        <w:rPr>
          <w:color w:val="231F20"/>
          <w:w w:val="110"/>
        </w:rPr>
        <w:t>las</w:t>
      </w:r>
      <w:r>
        <w:rPr>
          <w:color w:val="231F20"/>
          <w:spacing w:val="-8"/>
          <w:w w:val="110"/>
        </w:rPr>
        <w:t> </w:t>
      </w:r>
      <w:r>
        <w:rPr>
          <w:color w:val="231F20"/>
          <w:w w:val="110"/>
        </w:rPr>
        <w:t>capacidades</w:t>
      </w:r>
      <w:r>
        <w:rPr>
          <w:color w:val="231F20"/>
          <w:spacing w:val="-8"/>
          <w:w w:val="110"/>
        </w:rPr>
        <w:t> </w:t>
      </w:r>
      <w:r>
        <w:rPr>
          <w:color w:val="231F20"/>
          <w:w w:val="110"/>
        </w:rPr>
        <w:t>y</w:t>
      </w:r>
      <w:r>
        <w:rPr>
          <w:color w:val="231F20"/>
          <w:spacing w:val="-8"/>
          <w:w w:val="110"/>
        </w:rPr>
        <w:t> </w:t>
      </w:r>
      <w:r>
        <w:rPr>
          <w:color w:val="231F20"/>
          <w:w w:val="110"/>
        </w:rPr>
        <w:t>potencialidades</w:t>
      </w:r>
      <w:r>
        <w:rPr>
          <w:color w:val="231F20"/>
          <w:spacing w:val="-8"/>
          <w:w w:val="110"/>
        </w:rPr>
        <w:t> </w:t>
      </w:r>
      <w:r>
        <w:rPr>
          <w:color w:val="231F20"/>
          <w:w w:val="110"/>
        </w:rPr>
        <w:t>de</w:t>
      </w:r>
      <w:r>
        <w:rPr>
          <w:color w:val="231F20"/>
          <w:spacing w:val="-8"/>
          <w:w w:val="110"/>
        </w:rPr>
        <w:t> </w:t>
      </w:r>
      <w:r>
        <w:rPr>
          <w:color w:val="231F20"/>
          <w:w w:val="110"/>
        </w:rPr>
        <w:t>los grupos familiares, el combate a la pobreza a partir de la inserción econó- mica de las familias consideradas como un conjunto homogéneo, el</w:t>
      </w:r>
      <w:r>
        <w:rPr>
          <w:color w:val="231F20"/>
          <w:spacing w:val="-32"/>
          <w:w w:val="110"/>
        </w:rPr>
        <w:t> </w:t>
      </w:r>
      <w:r>
        <w:rPr>
          <w:color w:val="231F20"/>
          <w:w w:val="110"/>
        </w:rPr>
        <w:t>intento de</w:t>
      </w:r>
      <w:r>
        <w:rPr>
          <w:color w:val="231F20"/>
          <w:spacing w:val="-10"/>
          <w:w w:val="110"/>
        </w:rPr>
        <w:t> </w:t>
      </w:r>
      <w:r>
        <w:rPr>
          <w:color w:val="231F20"/>
          <w:w w:val="110"/>
        </w:rPr>
        <w:t>disminución</w:t>
      </w:r>
      <w:r>
        <w:rPr>
          <w:color w:val="231F20"/>
          <w:spacing w:val="-10"/>
          <w:w w:val="110"/>
        </w:rPr>
        <w:t> </w:t>
      </w:r>
      <w:r>
        <w:rPr>
          <w:color w:val="231F20"/>
          <w:w w:val="110"/>
        </w:rPr>
        <w:t>del</w:t>
      </w:r>
      <w:r>
        <w:rPr>
          <w:color w:val="231F20"/>
          <w:spacing w:val="-10"/>
          <w:w w:val="110"/>
        </w:rPr>
        <w:t> </w:t>
      </w:r>
      <w:r>
        <w:rPr>
          <w:color w:val="231F20"/>
          <w:w w:val="110"/>
        </w:rPr>
        <w:t>trabajo</w:t>
      </w:r>
      <w:r>
        <w:rPr>
          <w:color w:val="231F20"/>
          <w:spacing w:val="-10"/>
          <w:w w:val="110"/>
        </w:rPr>
        <w:t> </w:t>
      </w:r>
      <w:r>
        <w:rPr>
          <w:color w:val="231F20"/>
          <w:w w:val="110"/>
        </w:rPr>
        <w:t>infantil</w:t>
      </w:r>
      <w:r>
        <w:rPr>
          <w:color w:val="231F20"/>
          <w:spacing w:val="-10"/>
          <w:w w:val="110"/>
        </w:rPr>
        <w:t> </w:t>
      </w:r>
      <w:r>
        <w:rPr>
          <w:color w:val="231F20"/>
          <w:w w:val="110"/>
        </w:rPr>
        <w:t>sin</w:t>
      </w:r>
      <w:r>
        <w:rPr>
          <w:color w:val="231F20"/>
          <w:spacing w:val="-10"/>
          <w:w w:val="110"/>
        </w:rPr>
        <w:t> </w:t>
      </w:r>
      <w:r>
        <w:rPr>
          <w:color w:val="231F20"/>
          <w:w w:val="110"/>
        </w:rPr>
        <w:t>tomar</w:t>
      </w:r>
      <w:r>
        <w:rPr>
          <w:color w:val="231F20"/>
          <w:spacing w:val="-10"/>
          <w:w w:val="110"/>
        </w:rPr>
        <w:t> </w:t>
      </w:r>
      <w:r>
        <w:rPr>
          <w:color w:val="231F20"/>
          <w:w w:val="110"/>
        </w:rPr>
        <w:t>en</w:t>
      </w:r>
      <w:r>
        <w:rPr>
          <w:color w:val="231F20"/>
          <w:spacing w:val="-10"/>
          <w:w w:val="110"/>
        </w:rPr>
        <w:t> </w:t>
      </w:r>
      <w:r>
        <w:rPr>
          <w:color w:val="231F20"/>
          <w:w w:val="110"/>
        </w:rPr>
        <w:t>consideración</w:t>
      </w:r>
      <w:r>
        <w:rPr>
          <w:color w:val="231F20"/>
          <w:spacing w:val="-10"/>
          <w:w w:val="110"/>
        </w:rPr>
        <w:t> </w:t>
      </w:r>
      <w:r>
        <w:rPr>
          <w:color w:val="231F20"/>
          <w:w w:val="110"/>
        </w:rPr>
        <w:t>las</w:t>
      </w:r>
      <w:r>
        <w:rPr>
          <w:color w:val="231F20"/>
          <w:spacing w:val="-10"/>
          <w:w w:val="110"/>
        </w:rPr>
        <w:t> </w:t>
      </w:r>
      <w:r>
        <w:rPr>
          <w:color w:val="231F20"/>
          <w:w w:val="110"/>
        </w:rPr>
        <w:t>condicio- nes específicas en que se generaba dicho </w:t>
      </w:r>
      <w:r>
        <w:rPr>
          <w:color w:val="231F20"/>
          <w:spacing w:val="20"/>
          <w:w w:val="110"/>
        </w:rPr>
        <w:t> </w:t>
      </w:r>
      <w:r>
        <w:rPr>
          <w:color w:val="231F20"/>
          <w:w w:val="110"/>
        </w:rPr>
        <w:t>comportamiento.</w:t>
      </w:r>
    </w:p>
    <w:p>
      <w:pPr>
        <w:pStyle w:val="BodyText"/>
        <w:spacing w:line="285" w:lineRule="auto"/>
        <w:ind w:left="120" w:right="115" w:firstLine="360"/>
        <w:jc w:val="both"/>
      </w:pPr>
      <w:r>
        <w:rPr>
          <w:color w:val="231F20"/>
          <w:w w:val="110"/>
        </w:rPr>
        <w:t>Si bien ha sido el programa más conocido y de mayor trascendencia, Oportunidades no fue la única política pública llevada a cabo bajo la admi- nistración de Calderón. El Programa de Estancias Infantiles, que se con- centró en el apoyo a madres y padres trabajadores con hijos entre uno y cinco años de hogares cuyos ingresos totales fueran menores a seis sala- rios mínimos, el Programa Opciones Productivas, que apoyaba particular- mente a hogares en situación de pobreza (aunque no especifica ni el tipo ni la intensidad de la pobreza como criterio de inclusión/exclusión para el programa)</w:t>
      </w:r>
      <w:r>
        <w:rPr>
          <w:color w:val="231F20"/>
          <w:spacing w:val="-5"/>
          <w:w w:val="110"/>
        </w:rPr>
        <w:t> </w:t>
      </w:r>
      <w:r>
        <w:rPr>
          <w:color w:val="231F20"/>
          <w:w w:val="110"/>
        </w:rPr>
        <w:t>para</w:t>
      </w:r>
      <w:r>
        <w:rPr>
          <w:color w:val="231F20"/>
          <w:spacing w:val="-5"/>
          <w:w w:val="110"/>
        </w:rPr>
        <w:t> </w:t>
      </w:r>
      <w:r>
        <w:rPr>
          <w:color w:val="231F20"/>
          <w:w w:val="110"/>
        </w:rPr>
        <w:t>el</w:t>
      </w:r>
      <w:r>
        <w:rPr>
          <w:color w:val="231F20"/>
          <w:spacing w:val="-5"/>
          <w:w w:val="110"/>
        </w:rPr>
        <w:t> </w:t>
      </w:r>
      <w:r>
        <w:rPr>
          <w:color w:val="231F20"/>
          <w:w w:val="110"/>
        </w:rPr>
        <w:t>desarrollo</w:t>
      </w:r>
      <w:r>
        <w:rPr>
          <w:color w:val="231F20"/>
          <w:spacing w:val="-5"/>
          <w:w w:val="110"/>
        </w:rPr>
        <w:t> </w:t>
      </w:r>
      <w:r>
        <w:rPr>
          <w:color w:val="231F20"/>
          <w:w w:val="110"/>
        </w:rPr>
        <w:t>de</w:t>
      </w:r>
      <w:r>
        <w:rPr>
          <w:color w:val="231F20"/>
          <w:spacing w:val="-5"/>
          <w:w w:val="110"/>
        </w:rPr>
        <w:t> </w:t>
      </w:r>
      <w:r>
        <w:rPr>
          <w:color w:val="231F20"/>
          <w:w w:val="110"/>
        </w:rPr>
        <w:t>diferentes</w:t>
      </w:r>
      <w:r>
        <w:rPr>
          <w:color w:val="231F20"/>
          <w:spacing w:val="-5"/>
          <w:w w:val="110"/>
        </w:rPr>
        <w:t> </w:t>
      </w:r>
      <w:r>
        <w:rPr>
          <w:color w:val="231F20"/>
          <w:w w:val="110"/>
        </w:rPr>
        <w:t>proyectos</w:t>
      </w:r>
      <w:r>
        <w:rPr>
          <w:color w:val="231F20"/>
          <w:spacing w:val="-5"/>
          <w:w w:val="110"/>
        </w:rPr>
        <w:t> </w:t>
      </w:r>
      <w:r>
        <w:rPr>
          <w:color w:val="231F20"/>
          <w:w w:val="110"/>
        </w:rPr>
        <w:t>productivos</w:t>
      </w:r>
      <w:r>
        <w:rPr>
          <w:color w:val="231F20"/>
          <w:spacing w:val="-5"/>
          <w:w w:val="110"/>
        </w:rPr>
        <w:t> </w:t>
      </w:r>
      <w:r>
        <w:rPr>
          <w:color w:val="231F20"/>
          <w:w w:val="110"/>
        </w:rPr>
        <w:t>que</w:t>
      </w:r>
      <w:r>
        <w:rPr>
          <w:color w:val="231F20"/>
          <w:spacing w:val="-5"/>
          <w:w w:val="110"/>
        </w:rPr>
        <w:t> </w:t>
      </w:r>
      <w:r>
        <w:rPr>
          <w:color w:val="231F20"/>
          <w:w w:val="110"/>
        </w:rPr>
        <w:t>per- mitiesen</w:t>
      </w:r>
      <w:r>
        <w:rPr>
          <w:color w:val="231F20"/>
          <w:spacing w:val="-20"/>
          <w:w w:val="110"/>
        </w:rPr>
        <w:t> </w:t>
      </w:r>
      <w:r>
        <w:rPr>
          <w:color w:val="231F20"/>
          <w:w w:val="110"/>
        </w:rPr>
        <w:t>la</w:t>
      </w:r>
      <w:r>
        <w:rPr>
          <w:color w:val="231F20"/>
          <w:spacing w:val="-20"/>
          <w:w w:val="110"/>
        </w:rPr>
        <w:t> </w:t>
      </w:r>
      <w:r>
        <w:rPr>
          <w:color w:val="231F20"/>
          <w:w w:val="110"/>
        </w:rPr>
        <w:t>generación</w:t>
      </w:r>
      <w:r>
        <w:rPr>
          <w:color w:val="231F20"/>
          <w:spacing w:val="-20"/>
          <w:w w:val="110"/>
        </w:rPr>
        <w:t> </w:t>
      </w:r>
      <w:r>
        <w:rPr>
          <w:color w:val="231F20"/>
          <w:w w:val="110"/>
        </w:rPr>
        <w:t>de</w:t>
      </w:r>
      <w:r>
        <w:rPr>
          <w:color w:val="231F20"/>
          <w:spacing w:val="-20"/>
          <w:w w:val="110"/>
        </w:rPr>
        <w:t> </w:t>
      </w:r>
      <w:r>
        <w:rPr>
          <w:color w:val="231F20"/>
          <w:w w:val="110"/>
        </w:rPr>
        <w:t>fuentes</w:t>
      </w:r>
      <w:r>
        <w:rPr>
          <w:color w:val="231F20"/>
          <w:spacing w:val="-20"/>
          <w:w w:val="110"/>
        </w:rPr>
        <w:t> </w:t>
      </w:r>
      <w:r>
        <w:rPr>
          <w:color w:val="231F20"/>
          <w:w w:val="110"/>
        </w:rPr>
        <w:t>de</w:t>
      </w:r>
      <w:r>
        <w:rPr>
          <w:color w:val="231F20"/>
          <w:spacing w:val="-20"/>
          <w:w w:val="110"/>
        </w:rPr>
        <w:t> </w:t>
      </w:r>
      <w:r>
        <w:rPr>
          <w:color w:val="231F20"/>
          <w:w w:val="110"/>
        </w:rPr>
        <w:t>empleo,</w:t>
      </w:r>
      <w:r>
        <w:rPr>
          <w:color w:val="231F20"/>
          <w:spacing w:val="-20"/>
          <w:w w:val="110"/>
        </w:rPr>
        <w:t> </w:t>
      </w:r>
      <w:r>
        <w:rPr>
          <w:color w:val="231F20"/>
          <w:w w:val="110"/>
        </w:rPr>
        <w:t>el</w:t>
      </w:r>
      <w:r>
        <w:rPr>
          <w:color w:val="231F20"/>
          <w:spacing w:val="-20"/>
          <w:w w:val="110"/>
        </w:rPr>
        <w:t> </w:t>
      </w:r>
      <w:r>
        <w:rPr>
          <w:color w:val="231F20"/>
          <w:w w:val="110"/>
        </w:rPr>
        <w:t>Programa</w:t>
      </w:r>
      <w:r>
        <w:rPr>
          <w:color w:val="231F20"/>
          <w:spacing w:val="-20"/>
          <w:w w:val="110"/>
        </w:rPr>
        <w:t> </w:t>
      </w:r>
      <w:r>
        <w:rPr>
          <w:color w:val="231F20"/>
          <w:w w:val="110"/>
        </w:rPr>
        <w:t>Hábitat,</w:t>
      </w:r>
      <w:r>
        <w:rPr>
          <w:color w:val="231F20"/>
          <w:spacing w:val="-20"/>
          <w:w w:val="110"/>
        </w:rPr>
        <w:t> </w:t>
      </w:r>
      <w:r>
        <w:rPr>
          <w:color w:val="231F20"/>
          <w:w w:val="110"/>
        </w:rPr>
        <w:t>orientado a la construcción de espacios físicos en asentamientos precarios con el interés de lograr su integración al desarrollo de la ciudad (y así mejorar la calidad de vida de la población allí residente), y el Programa Jornaleros Agrícolas, cuyo objetivo era mejorar las condiciones de vida y laborales de los</w:t>
      </w:r>
      <w:r>
        <w:rPr>
          <w:color w:val="231F20"/>
          <w:spacing w:val="-10"/>
          <w:w w:val="110"/>
        </w:rPr>
        <w:t> </w:t>
      </w:r>
      <w:r>
        <w:rPr>
          <w:color w:val="231F20"/>
          <w:w w:val="110"/>
        </w:rPr>
        <w:t>trabajadores</w:t>
      </w:r>
      <w:r>
        <w:rPr>
          <w:color w:val="231F20"/>
          <w:spacing w:val="-10"/>
          <w:w w:val="110"/>
        </w:rPr>
        <w:t> </w:t>
      </w:r>
      <w:r>
        <w:rPr>
          <w:color w:val="231F20"/>
          <w:w w:val="110"/>
        </w:rPr>
        <w:t>agrícolas</w:t>
      </w:r>
      <w:r>
        <w:rPr>
          <w:color w:val="231F20"/>
          <w:spacing w:val="-10"/>
          <w:w w:val="110"/>
        </w:rPr>
        <w:t> </w:t>
      </w:r>
      <w:r>
        <w:rPr>
          <w:color w:val="231F20"/>
          <w:w w:val="110"/>
        </w:rPr>
        <w:t>en</w:t>
      </w:r>
      <w:r>
        <w:rPr>
          <w:color w:val="231F20"/>
          <w:spacing w:val="-10"/>
          <w:w w:val="110"/>
        </w:rPr>
        <w:t> </w:t>
      </w:r>
      <w:r>
        <w:rPr>
          <w:color w:val="231F20"/>
          <w:w w:val="110"/>
        </w:rPr>
        <w:t>situación</w:t>
      </w:r>
      <w:r>
        <w:rPr>
          <w:color w:val="231F20"/>
          <w:spacing w:val="-10"/>
          <w:w w:val="110"/>
        </w:rPr>
        <w:t> </w:t>
      </w:r>
      <w:r>
        <w:rPr>
          <w:color w:val="231F20"/>
          <w:w w:val="110"/>
        </w:rPr>
        <w:t>de</w:t>
      </w:r>
      <w:r>
        <w:rPr>
          <w:color w:val="231F20"/>
          <w:spacing w:val="-10"/>
          <w:w w:val="110"/>
        </w:rPr>
        <w:t> </w:t>
      </w:r>
      <w:r>
        <w:rPr>
          <w:color w:val="231F20"/>
          <w:w w:val="110"/>
        </w:rPr>
        <w:t>pobreza</w:t>
      </w:r>
      <w:r>
        <w:rPr>
          <w:color w:val="231F20"/>
          <w:spacing w:val="-10"/>
          <w:w w:val="110"/>
        </w:rPr>
        <w:t> </w:t>
      </w:r>
      <w:r>
        <w:rPr>
          <w:color w:val="231F20"/>
          <w:w w:val="110"/>
        </w:rPr>
        <w:t>patrimonial,</w:t>
      </w:r>
      <w:r>
        <w:rPr>
          <w:color w:val="231F20"/>
          <w:spacing w:val="-10"/>
          <w:w w:val="110"/>
        </w:rPr>
        <w:t> </w:t>
      </w:r>
      <w:r>
        <w:rPr>
          <w:color w:val="231F20"/>
          <w:w w:val="110"/>
        </w:rPr>
        <w:t>son</w:t>
      </w:r>
      <w:r>
        <w:rPr>
          <w:color w:val="231F20"/>
          <w:spacing w:val="-10"/>
          <w:w w:val="110"/>
        </w:rPr>
        <w:t> </w:t>
      </w:r>
      <w:r>
        <w:rPr>
          <w:color w:val="231F20"/>
          <w:w w:val="110"/>
        </w:rPr>
        <w:t>algunos ejemplos de la perspectiva de la administración pública sobre la forma en que debe apoyarse el desarrollo de las familias para buscar su </w:t>
      </w:r>
      <w:r>
        <w:rPr>
          <w:color w:val="231F20"/>
          <w:spacing w:val="22"/>
          <w:w w:val="110"/>
        </w:rPr>
        <w:t> </w:t>
      </w:r>
      <w:r>
        <w:rPr>
          <w:color w:val="231F20"/>
          <w:w w:val="110"/>
        </w:rPr>
        <w:t>bienestar.</w:t>
      </w:r>
    </w:p>
    <w:p>
      <w:pPr>
        <w:pStyle w:val="BodyText"/>
        <w:spacing w:line="285" w:lineRule="auto"/>
        <w:ind w:left="119" w:right="117" w:firstLine="360"/>
        <w:jc w:val="both"/>
        <w:rPr>
          <w:sz w:val="11"/>
        </w:rPr>
      </w:pPr>
      <w:r>
        <w:rPr>
          <w:color w:val="231F20"/>
          <w:w w:val="110"/>
        </w:rPr>
        <w:t>Estos</w:t>
      </w:r>
      <w:r>
        <w:rPr>
          <w:color w:val="231F20"/>
          <w:spacing w:val="-11"/>
          <w:w w:val="110"/>
        </w:rPr>
        <w:t> </w:t>
      </w:r>
      <w:r>
        <w:rPr>
          <w:color w:val="231F20"/>
          <w:w w:val="110"/>
        </w:rPr>
        <w:t>programas</w:t>
      </w:r>
      <w:r>
        <w:rPr>
          <w:color w:val="231F20"/>
          <w:spacing w:val="-11"/>
          <w:w w:val="110"/>
        </w:rPr>
        <w:t> </w:t>
      </w:r>
      <w:r>
        <w:rPr>
          <w:color w:val="231F20"/>
          <w:w w:val="110"/>
        </w:rPr>
        <w:t>se</w:t>
      </w:r>
      <w:r>
        <w:rPr>
          <w:color w:val="231F20"/>
          <w:spacing w:val="-11"/>
          <w:w w:val="110"/>
        </w:rPr>
        <w:t> </w:t>
      </w:r>
      <w:r>
        <w:rPr>
          <w:color w:val="231F20"/>
          <w:w w:val="110"/>
        </w:rPr>
        <w:t>integran</w:t>
      </w:r>
      <w:r>
        <w:rPr>
          <w:color w:val="231F20"/>
          <w:spacing w:val="-11"/>
          <w:w w:val="110"/>
        </w:rPr>
        <w:t> </w:t>
      </w:r>
      <w:r>
        <w:rPr>
          <w:color w:val="231F20"/>
          <w:w w:val="110"/>
        </w:rPr>
        <w:t>dentro</w:t>
      </w:r>
      <w:r>
        <w:rPr>
          <w:color w:val="231F20"/>
          <w:spacing w:val="-11"/>
          <w:w w:val="110"/>
        </w:rPr>
        <w:t> </w:t>
      </w:r>
      <w:r>
        <w:rPr>
          <w:color w:val="231F20"/>
          <w:w w:val="110"/>
        </w:rPr>
        <w:t>de</w:t>
      </w:r>
      <w:r>
        <w:rPr>
          <w:color w:val="231F20"/>
          <w:spacing w:val="-11"/>
          <w:w w:val="110"/>
        </w:rPr>
        <w:t> </w:t>
      </w:r>
      <w:r>
        <w:rPr>
          <w:color w:val="231F20"/>
          <w:w w:val="110"/>
        </w:rPr>
        <w:t>una</w:t>
      </w:r>
      <w:r>
        <w:rPr>
          <w:color w:val="231F20"/>
          <w:spacing w:val="-11"/>
          <w:w w:val="110"/>
        </w:rPr>
        <w:t> </w:t>
      </w:r>
      <w:r>
        <w:rPr>
          <w:color w:val="231F20"/>
          <w:w w:val="110"/>
        </w:rPr>
        <w:t>estrategia</w:t>
      </w:r>
      <w:r>
        <w:rPr>
          <w:color w:val="231F20"/>
          <w:spacing w:val="-11"/>
          <w:w w:val="110"/>
        </w:rPr>
        <w:t> </w:t>
      </w:r>
      <w:r>
        <w:rPr>
          <w:color w:val="231F20"/>
          <w:w w:val="110"/>
        </w:rPr>
        <w:t>global</w:t>
      </w:r>
      <w:r>
        <w:rPr>
          <w:color w:val="231F20"/>
          <w:spacing w:val="-11"/>
          <w:w w:val="110"/>
        </w:rPr>
        <w:t> </w:t>
      </w:r>
      <w:r>
        <w:rPr>
          <w:color w:val="231F20"/>
          <w:w w:val="110"/>
        </w:rPr>
        <w:t>del</w:t>
      </w:r>
      <w:r>
        <w:rPr>
          <w:color w:val="231F20"/>
          <w:spacing w:val="-11"/>
          <w:w w:val="110"/>
        </w:rPr>
        <w:t> </w:t>
      </w:r>
      <w:r>
        <w:rPr>
          <w:color w:val="231F20"/>
          <w:w w:val="110"/>
        </w:rPr>
        <w:t>gobier- no</w:t>
      </w:r>
      <w:r>
        <w:rPr>
          <w:color w:val="231F20"/>
          <w:spacing w:val="-9"/>
          <w:w w:val="110"/>
        </w:rPr>
        <w:t> </w:t>
      </w:r>
      <w:r>
        <w:rPr>
          <w:color w:val="231F20"/>
          <w:w w:val="110"/>
        </w:rPr>
        <w:t>federal</w:t>
      </w:r>
      <w:r>
        <w:rPr>
          <w:color w:val="231F20"/>
          <w:spacing w:val="-9"/>
          <w:w w:val="110"/>
        </w:rPr>
        <w:t> </w:t>
      </w:r>
      <w:r>
        <w:rPr>
          <w:color w:val="231F20"/>
          <w:w w:val="110"/>
        </w:rPr>
        <w:t>para</w:t>
      </w:r>
      <w:r>
        <w:rPr>
          <w:color w:val="231F20"/>
          <w:spacing w:val="-9"/>
          <w:w w:val="110"/>
        </w:rPr>
        <w:t> </w:t>
      </w:r>
      <w:r>
        <w:rPr>
          <w:color w:val="231F20"/>
          <w:w w:val="110"/>
        </w:rPr>
        <w:t>el</w:t>
      </w:r>
      <w:r>
        <w:rPr>
          <w:color w:val="231F20"/>
          <w:spacing w:val="-9"/>
          <w:w w:val="110"/>
        </w:rPr>
        <w:t> </w:t>
      </w:r>
      <w:r>
        <w:rPr>
          <w:color w:val="231F20"/>
          <w:w w:val="110"/>
        </w:rPr>
        <w:t>diseño</w:t>
      </w:r>
      <w:r>
        <w:rPr>
          <w:color w:val="231F20"/>
          <w:spacing w:val="-9"/>
          <w:w w:val="110"/>
        </w:rPr>
        <w:t> </w:t>
      </w:r>
      <w:r>
        <w:rPr>
          <w:color w:val="231F20"/>
          <w:w w:val="110"/>
        </w:rPr>
        <w:t>y</w:t>
      </w:r>
      <w:r>
        <w:rPr>
          <w:color w:val="231F20"/>
          <w:spacing w:val="-9"/>
          <w:w w:val="110"/>
        </w:rPr>
        <w:t> </w:t>
      </w:r>
      <w:r>
        <w:rPr>
          <w:color w:val="231F20"/>
          <w:w w:val="110"/>
        </w:rPr>
        <w:t>puesta</w:t>
      </w:r>
      <w:r>
        <w:rPr>
          <w:color w:val="231F20"/>
          <w:spacing w:val="-9"/>
          <w:w w:val="110"/>
        </w:rPr>
        <w:t> </w:t>
      </w:r>
      <w:r>
        <w:rPr>
          <w:color w:val="231F20"/>
          <w:w w:val="110"/>
        </w:rPr>
        <w:t>en</w:t>
      </w:r>
      <w:r>
        <w:rPr>
          <w:color w:val="231F20"/>
          <w:spacing w:val="-9"/>
          <w:w w:val="110"/>
        </w:rPr>
        <w:t> </w:t>
      </w:r>
      <w:r>
        <w:rPr>
          <w:color w:val="231F20"/>
          <w:w w:val="110"/>
        </w:rPr>
        <w:t>práctica</w:t>
      </w:r>
      <w:r>
        <w:rPr>
          <w:color w:val="231F20"/>
          <w:spacing w:val="-9"/>
          <w:w w:val="110"/>
        </w:rPr>
        <w:t> </w:t>
      </w:r>
      <w:r>
        <w:rPr>
          <w:color w:val="231F20"/>
          <w:w w:val="110"/>
        </w:rPr>
        <w:t>de</w:t>
      </w:r>
      <w:r>
        <w:rPr>
          <w:color w:val="231F20"/>
          <w:spacing w:val="-9"/>
          <w:w w:val="110"/>
        </w:rPr>
        <w:t> </w:t>
      </w:r>
      <w:r>
        <w:rPr>
          <w:color w:val="231F20"/>
          <w:w w:val="110"/>
        </w:rPr>
        <w:t>políticas</w:t>
      </w:r>
      <w:r>
        <w:rPr>
          <w:color w:val="231F20"/>
          <w:spacing w:val="-9"/>
          <w:w w:val="110"/>
        </w:rPr>
        <w:t> </w:t>
      </w:r>
      <w:r>
        <w:rPr>
          <w:color w:val="231F20"/>
          <w:w w:val="110"/>
        </w:rPr>
        <w:t>públicas</w:t>
      </w:r>
      <w:r>
        <w:rPr>
          <w:color w:val="231F20"/>
          <w:spacing w:val="-9"/>
          <w:w w:val="110"/>
        </w:rPr>
        <w:t> </w:t>
      </w:r>
      <w:r>
        <w:rPr>
          <w:color w:val="231F20"/>
          <w:w w:val="110"/>
        </w:rPr>
        <w:t>dirigidas a la familia, cuyo objetivo central es reducir las condiciones de vulnerabi- lidad social a que se ven expuestos los hogares mexicanos. Esta estrategia, denominada “estrategia 18”, está integrada por tres puntos centrales: ali- mentación, efectividad de los programas y asignación de recursos para estas políticas. De forma resumida, estos puntos </w:t>
      </w:r>
      <w:r>
        <w:rPr>
          <w:color w:val="231F20"/>
          <w:spacing w:val="45"/>
          <w:w w:val="110"/>
        </w:rPr>
        <w:t> </w:t>
      </w:r>
      <w:r>
        <w:rPr>
          <w:color w:val="231F20"/>
          <w:w w:val="110"/>
        </w:rPr>
        <w:t>señalan:</w:t>
      </w:r>
      <w:r>
        <w:rPr>
          <w:color w:val="231F20"/>
          <w:w w:val="110"/>
          <w:position w:val="6"/>
          <w:sz w:val="11"/>
        </w:rPr>
        <w:t>11</w:t>
      </w:r>
    </w:p>
    <w:p>
      <w:pPr>
        <w:pStyle w:val="BodyText"/>
        <w:spacing w:before="10"/>
        <w:rPr>
          <w:sz w:val="15"/>
        </w:rPr>
      </w:pPr>
    </w:p>
    <w:p>
      <w:pPr>
        <w:spacing w:line="283" w:lineRule="auto" w:before="0"/>
        <w:ind w:left="480" w:right="119" w:firstLine="0"/>
        <w:jc w:val="both"/>
        <w:rPr>
          <w:sz w:val="18"/>
        </w:rPr>
      </w:pPr>
      <w:r>
        <w:rPr>
          <w:color w:val="231F20"/>
          <w:w w:val="110"/>
          <w:sz w:val="18"/>
        </w:rPr>
        <w:t>Mejorar</w:t>
      </w:r>
      <w:r>
        <w:rPr>
          <w:color w:val="231F20"/>
          <w:spacing w:val="-19"/>
          <w:w w:val="110"/>
          <w:sz w:val="18"/>
        </w:rPr>
        <w:t> </w:t>
      </w:r>
      <w:r>
        <w:rPr>
          <w:color w:val="231F20"/>
          <w:w w:val="110"/>
          <w:sz w:val="18"/>
        </w:rPr>
        <w:t>la</w:t>
      </w:r>
      <w:r>
        <w:rPr>
          <w:color w:val="231F20"/>
          <w:spacing w:val="-19"/>
          <w:w w:val="110"/>
          <w:sz w:val="18"/>
        </w:rPr>
        <w:t> </w:t>
      </w:r>
      <w:r>
        <w:rPr>
          <w:color w:val="231F20"/>
          <w:w w:val="110"/>
          <w:sz w:val="18"/>
        </w:rPr>
        <w:t>condición</w:t>
      </w:r>
      <w:r>
        <w:rPr>
          <w:color w:val="231F20"/>
          <w:spacing w:val="-19"/>
          <w:w w:val="110"/>
          <w:sz w:val="18"/>
        </w:rPr>
        <w:t> </w:t>
      </w:r>
      <w:r>
        <w:rPr>
          <w:color w:val="231F20"/>
          <w:w w:val="110"/>
          <w:sz w:val="18"/>
        </w:rPr>
        <w:t>nutricional</w:t>
      </w:r>
      <w:r>
        <w:rPr>
          <w:color w:val="231F20"/>
          <w:spacing w:val="-19"/>
          <w:w w:val="110"/>
          <w:sz w:val="18"/>
        </w:rPr>
        <w:t> </w:t>
      </w:r>
      <w:r>
        <w:rPr>
          <w:color w:val="231F20"/>
          <w:w w:val="110"/>
          <w:sz w:val="18"/>
        </w:rPr>
        <w:t>de</w:t>
      </w:r>
      <w:r>
        <w:rPr>
          <w:color w:val="231F20"/>
          <w:spacing w:val="-19"/>
          <w:w w:val="110"/>
          <w:sz w:val="18"/>
        </w:rPr>
        <w:t> </w:t>
      </w:r>
      <w:r>
        <w:rPr>
          <w:color w:val="231F20"/>
          <w:w w:val="110"/>
          <w:sz w:val="18"/>
        </w:rPr>
        <w:t>los</w:t>
      </w:r>
      <w:r>
        <w:rPr>
          <w:color w:val="231F20"/>
          <w:spacing w:val="-19"/>
          <w:w w:val="110"/>
          <w:sz w:val="18"/>
        </w:rPr>
        <w:t> </w:t>
      </w:r>
      <w:r>
        <w:rPr>
          <w:color w:val="231F20"/>
          <w:w w:val="110"/>
          <w:sz w:val="18"/>
        </w:rPr>
        <w:t>sujetos</w:t>
      </w:r>
      <w:r>
        <w:rPr>
          <w:color w:val="231F20"/>
          <w:spacing w:val="-19"/>
          <w:w w:val="110"/>
          <w:sz w:val="18"/>
        </w:rPr>
        <w:t> </w:t>
      </w:r>
      <w:r>
        <w:rPr>
          <w:color w:val="231F20"/>
          <w:w w:val="110"/>
          <w:sz w:val="18"/>
        </w:rPr>
        <w:t>de</w:t>
      </w:r>
      <w:r>
        <w:rPr>
          <w:color w:val="231F20"/>
          <w:spacing w:val="-19"/>
          <w:w w:val="110"/>
          <w:sz w:val="18"/>
        </w:rPr>
        <w:t> </w:t>
      </w:r>
      <w:r>
        <w:rPr>
          <w:color w:val="231F20"/>
          <w:w w:val="110"/>
          <w:sz w:val="18"/>
        </w:rPr>
        <w:t>asistencia</w:t>
      </w:r>
      <w:r>
        <w:rPr>
          <w:color w:val="231F20"/>
          <w:spacing w:val="-19"/>
          <w:w w:val="110"/>
          <w:sz w:val="18"/>
        </w:rPr>
        <w:t> </w:t>
      </w:r>
      <w:r>
        <w:rPr>
          <w:color w:val="231F20"/>
          <w:w w:val="110"/>
          <w:sz w:val="18"/>
        </w:rPr>
        <w:t>social</w:t>
      </w:r>
      <w:r>
        <w:rPr>
          <w:color w:val="231F20"/>
          <w:spacing w:val="-19"/>
          <w:w w:val="110"/>
          <w:sz w:val="18"/>
        </w:rPr>
        <w:t> </w:t>
      </w:r>
      <w:r>
        <w:rPr>
          <w:color w:val="231F20"/>
          <w:w w:val="110"/>
          <w:sz w:val="18"/>
        </w:rPr>
        <w:t>que</w:t>
      </w:r>
      <w:r>
        <w:rPr>
          <w:color w:val="231F20"/>
          <w:spacing w:val="-19"/>
          <w:w w:val="110"/>
          <w:sz w:val="18"/>
        </w:rPr>
        <w:t> </w:t>
      </w:r>
      <w:r>
        <w:rPr>
          <w:color w:val="231F20"/>
          <w:w w:val="110"/>
          <w:sz w:val="18"/>
        </w:rPr>
        <w:t>requieran apoyo alimentario, para propiciar el desarrollo integral de la familia y contri- buir a superar de manera sostenible su condición de vulnerabilidad. El  </w:t>
      </w:r>
      <w:r>
        <w:rPr>
          <w:color w:val="231F20"/>
          <w:spacing w:val="11"/>
          <w:w w:val="110"/>
          <w:sz w:val="18"/>
        </w:rPr>
        <w:t> </w:t>
      </w:r>
      <w:r>
        <w:rPr>
          <w:color w:val="231F20"/>
          <w:w w:val="110"/>
          <w:sz w:val="18"/>
        </w:rPr>
        <w:t>apoyo</w:t>
      </w:r>
    </w:p>
    <w:p>
      <w:pPr>
        <w:pStyle w:val="BodyText"/>
        <w:rPr>
          <w:sz w:val="18"/>
        </w:rPr>
      </w:pPr>
    </w:p>
    <w:p>
      <w:pPr>
        <w:spacing w:line="256" w:lineRule="auto" w:before="0"/>
        <w:ind w:left="119" w:right="119" w:firstLine="360"/>
        <w:jc w:val="both"/>
        <w:rPr>
          <w:sz w:val="16"/>
        </w:rPr>
      </w:pPr>
      <w:r>
        <w:rPr>
          <w:color w:val="231F20"/>
          <w:w w:val="105"/>
          <w:position w:val="5"/>
          <w:sz w:val="9"/>
        </w:rPr>
        <w:t>11 </w:t>
      </w:r>
      <w:r>
        <w:rPr>
          <w:color w:val="231F20"/>
          <w:w w:val="105"/>
          <w:sz w:val="16"/>
        </w:rPr>
        <w:t>Consulta realizada en línea (diciembre de 2009) </w:t>
      </w:r>
      <w:hyperlink r:id="rId19">
        <w:r>
          <w:rPr>
            <w:color w:val="231F20"/>
            <w:w w:val="105"/>
            <w:sz w:val="16"/>
          </w:rPr>
          <w:t>http://pnd.calderon.presidencia.gob.</w:t>
        </w:r>
      </w:hyperlink>
      <w:r>
        <w:rPr>
          <w:color w:val="231F20"/>
          <w:w w:val="105"/>
          <w:sz w:val="16"/>
        </w:rPr>
        <w:t> mx/igualdad-de-oportunidades/familia-ninos-y-jovenes.html</w:t>
      </w:r>
    </w:p>
    <w:p>
      <w:pPr>
        <w:spacing w:after="0" w:line="256" w:lineRule="auto"/>
        <w:jc w:val="both"/>
        <w:rPr>
          <w:sz w:val="16"/>
        </w:rPr>
        <w:sectPr>
          <w:pgSz w:w="9520" w:h="12920"/>
          <w:pgMar w:header="0" w:footer="1344" w:top="880" w:bottom="1540" w:left="1000" w:right="1320"/>
        </w:sectPr>
      </w:pPr>
    </w:p>
    <w:p>
      <w:pPr>
        <w:spacing w:line="283" w:lineRule="auto" w:before="46"/>
        <w:ind w:left="484" w:right="114" w:firstLine="0"/>
        <w:jc w:val="both"/>
        <w:rPr>
          <w:sz w:val="18"/>
        </w:rPr>
      </w:pPr>
      <w:r>
        <w:rPr>
          <w:color w:val="231F20"/>
          <w:w w:val="110"/>
          <w:sz w:val="18"/>
        </w:rPr>
        <w:t>a la dieta de familias en situaciones de desamparo, a través de un apoyo ali- mentario</w:t>
      </w:r>
      <w:r>
        <w:rPr>
          <w:color w:val="231F20"/>
          <w:spacing w:val="-4"/>
          <w:w w:val="110"/>
          <w:sz w:val="18"/>
        </w:rPr>
        <w:t> </w:t>
      </w:r>
      <w:r>
        <w:rPr>
          <w:color w:val="231F20"/>
          <w:w w:val="110"/>
          <w:sz w:val="18"/>
        </w:rPr>
        <w:t>directo,</w:t>
      </w:r>
      <w:r>
        <w:rPr>
          <w:color w:val="231F20"/>
          <w:spacing w:val="-4"/>
          <w:w w:val="110"/>
          <w:sz w:val="18"/>
        </w:rPr>
        <w:t> </w:t>
      </w:r>
      <w:r>
        <w:rPr>
          <w:color w:val="231F20"/>
          <w:w w:val="110"/>
          <w:sz w:val="18"/>
        </w:rPr>
        <w:t>es</w:t>
      </w:r>
      <w:r>
        <w:rPr>
          <w:color w:val="231F20"/>
          <w:spacing w:val="-4"/>
          <w:w w:val="110"/>
          <w:sz w:val="18"/>
        </w:rPr>
        <w:t> </w:t>
      </w:r>
      <w:r>
        <w:rPr>
          <w:color w:val="231F20"/>
          <w:w w:val="110"/>
          <w:sz w:val="18"/>
        </w:rPr>
        <w:t>una</w:t>
      </w:r>
      <w:r>
        <w:rPr>
          <w:color w:val="231F20"/>
          <w:spacing w:val="-4"/>
          <w:w w:val="110"/>
          <w:sz w:val="18"/>
        </w:rPr>
        <w:t> </w:t>
      </w:r>
      <w:r>
        <w:rPr>
          <w:color w:val="231F20"/>
          <w:w w:val="110"/>
          <w:sz w:val="18"/>
        </w:rPr>
        <w:t>herramienta</w:t>
      </w:r>
      <w:r>
        <w:rPr>
          <w:color w:val="231F20"/>
          <w:spacing w:val="-4"/>
          <w:w w:val="110"/>
          <w:sz w:val="18"/>
        </w:rPr>
        <w:t> </w:t>
      </w:r>
      <w:r>
        <w:rPr>
          <w:color w:val="231F20"/>
          <w:w w:val="110"/>
          <w:sz w:val="18"/>
        </w:rPr>
        <w:t>fundamental</w:t>
      </w:r>
      <w:r>
        <w:rPr>
          <w:color w:val="231F20"/>
          <w:spacing w:val="-4"/>
          <w:w w:val="110"/>
          <w:sz w:val="18"/>
        </w:rPr>
        <w:t> </w:t>
      </w:r>
      <w:r>
        <w:rPr>
          <w:color w:val="231F20"/>
          <w:w w:val="110"/>
          <w:sz w:val="18"/>
        </w:rPr>
        <w:t>para</w:t>
      </w:r>
      <w:r>
        <w:rPr>
          <w:color w:val="231F20"/>
          <w:spacing w:val="-4"/>
          <w:w w:val="110"/>
          <w:sz w:val="18"/>
        </w:rPr>
        <w:t> </w:t>
      </w:r>
      <w:r>
        <w:rPr>
          <w:color w:val="231F20"/>
          <w:w w:val="110"/>
          <w:sz w:val="18"/>
        </w:rPr>
        <w:t>propiciar</w:t>
      </w:r>
      <w:r>
        <w:rPr>
          <w:color w:val="231F20"/>
          <w:spacing w:val="-4"/>
          <w:w w:val="110"/>
          <w:sz w:val="18"/>
        </w:rPr>
        <w:t> </w:t>
      </w:r>
      <w:r>
        <w:rPr>
          <w:color w:val="231F20"/>
          <w:w w:val="110"/>
          <w:sz w:val="18"/>
        </w:rPr>
        <w:t>el</w:t>
      </w:r>
      <w:r>
        <w:rPr>
          <w:color w:val="231F20"/>
          <w:spacing w:val="-4"/>
          <w:w w:val="110"/>
          <w:sz w:val="18"/>
        </w:rPr>
        <w:t> </w:t>
      </w:r>
      <w:r>
        <w:rPr>
          <w:color w:val="231F20"/>
          <w:w w:val="110"/>
          <w:sz w:val="18"/>
        </w:rPr>
        <w:t>desarrollo de habilidades y conocimientos para el mejoramiento sostenible de sus condi- ciones de</w:t>
      </w:r>
      <w:r>
        <w:rPr>
          <w:color w:val="231F20"/>
          <w:spacing w:val="26"/>
          <w:w w:val="110"/>
          <w:sz w:val="18"/>
        </w:rPr>
        <w:t> </w:t>
      </w:r>
      <w:r>
        <w:rPr>
          <w:color w:val="231F20"/>
          <w:w w:val="110"/>
          <w:sz w:val="18"/>
        </w:rPr>
        <w:t>desamparo.</w:t>
      </w:r>
    </w:p>
    <w:p>
      <w:pPr>
        <w:spacing w:line="283" w:lineRule="auto" w:before="1"/>
        <w:ind w:left="484" w:right="112" w:firstLine="0"/>
        <w:jc w:val="both"/>
        <w:rPr>
          <w:sz w:val="18"/>
        </w:rPr>
      </w:pPr>
      <w:r>
        <w:rPr>
          <w:color w:val="231F20"/>
          <w:w w:val="110"/>
          <w:sz w:val="18"/>
        </w:rPr>
        <w:t>Desarrollar indicadores para el seguimiento y la evaluación del impacto de las acciones de perspectiva familiar. </w:t>
      </w:r>
      <w:r>
        <w:rPr>
          <w:color w:val="231F20"/>
          <w:spacing w:val="-4"/>
          <w:w w:val="110"/>
          <w:sz w:val="18"/>
        </w:rPr>
        <w:t>Toda </w:t>
      </w:r>
      <w:r>
        <w:rPr>
          <w:color w:val="231F20"/>
          <w:w w:val="110"/>
          <w:sz w:val="18"/>
        </w:rPr>
        <w:t>la generación nueva de información y análisis acerca de las familias mexicanas es susceptible de contribuir a la for- mación de nuevos indicadores de efectividad de las políticas públicas que se están implementando. A su vez, la evaluación de políticas ha de permitir el mejoramiento de éstas sobre nuevas definiciones y diseños de acción pública. Asignar recursos específicos para la aplicación de una perspectiva familiar. </w:t>
      </w:r>
      <w:r>
        <w:rPr>
          <w:color w:val="231F20"/>
          <w:spacing w:val="43"/>
          <w:w w:val="110"/>
          <w:sz w:val="18"/>
        </w:rPr>
        <w:t> </w:t>
      </w:r>
      <w:r>
        <w:rPr>
          <w:color w:val="231F20"/>
          <w:w w:val="110"/>
          <w:sz w:val="18"/>
        </w:rPr>
        <w:t>En la medida en que se vaya avanzando en materia familiar, se irá consideran- do la pertinencia y la necesidad de asignar más recursos a las políticas de fa- milia. No sólo se tendrán nuevas políticas, sino mejores impactos de éstas sobre la población</w:t>
      </w:r>
      <w:r>
        <w:rPr>
          <w:color w:val="231F20"/>
          <w:spacing w:val="4"/>
          <w:w w:val="110"/>
          <w:sz w:val="18"/>
        </w:rPr>
        <w:t> </w:t>
      </w:r>
      <w:r>
        <w:rPr>
          <w:color w:val="231F20"/>
          <w:w w:val="110"/>
          <w:sz w:val="18"/>
        </w:rPr>
        <w:t>beneficiada.</w:t>
      </w:r>
    </w:p>
    <w:p>
      <w:pPr>
        <w:pStyle w:val="BodyText"/>
        <w:rPr>
          <w:sz w:val="18"/>
        </w:rPr>
      </w:pPr>
    </w:p>
    <w:p>
      <w:pPr>
        <w:pStyle w:val="BodyText"/>
        <w:rPr>
          <w:sz w:val="18"/>
        </w:rPr>
      </w:pPr>
    </w:p>
    <w:p>
      <w:pPr>
        <w:pStyle w:val="BodyText"/>
        <w:rPr>
          <w:sz w:val="18"/>
        </w:rPr>
      </w:pPr>
    </w:p>
    <w:p>
      <w:pPr>
        <w:spacing w:before="147"/>
        <w:ind w:left="124" w:right="0" w:firstLine="0"/>
        <w:jc w:val="both"/>
        <w:rPr>
          <w:rFonts w:ascii="Times New Roman" w:hAnsi="Times New Roman"/>
          <w:i/>
          <w:sz w:val="19"/>
        </w:rPr>
      </w:pPr>
      <w:r>
        <w:rPr>
          <w:rFonts w:ascii="Times New Roman" w:hAnsi="Times New Roman"/>
          <w:i/>
          <w:color w:val="231F20"/>
          <w:w w:val="90"/>
          <w:sz w:val="24"/>
        </w:rPr>
        <w:t>R</w:t>
      </w:r>
      <w:r>
        <w:rPr>
          <w:rFonts w:ascii="Times New Roman" w:hAnsi="Times New Roman"/>
          <w:i/>
          <w:color w:val="231F20"/>
          <w:w w:val="90"/>
          <w:sz w:val="19"/>
        </w:rPr>
        <w:t>EFLEXIÓN FINAL</w:t>
      </w:r>
    </w:p>
    <w:p>
      <w:pPr>
        <w:pStyle w:val="BodyText"/>
        <w:spacing w:before="9"/>
        <w:rPr>
          <w:rFonts w:ascii="Times New Roman"/>
          <w:i/>
          <w:sz w:val="27"/>
        </w:rPr>
      </w:pPr>
    </w:p>
    <w:p>
      <w:pPr>
        <w:pStyle w:val="BodyText"/>
        <w:spacing w:line="288" w:lineRule="auto"/>
        <w:ind w:left="124" w:right="112"/>
        <w:jc w:val="both"/>
      </w:pPr>
      <w:r>
        <w:rPr>
          <w:color w:val="231F20"/>
          <w:w w:val="110"/>
        </w:rPr>
        <w:t>México carece de una política y una praxis donde el Estado asuma la fun- ción pública sobre las familias, de tal manera que en realidad quede cons- tituida tanto en la práctica como en el discurso, como el núcleo fundamen- tal de la sociedad. Ello conduce a que el Estado garantice la protección integral de la familia mediante leyes que, por ejemplo, determinen que el patrimonio</w:t>
      </w:r>
      <w:r>
        <w:rPr>
          <w:color w:val="231F20"/>
          <w:spacing w:val="-5"/>
          <w:w w:val="110"/>
        </w:rPr>
        <w:t> </w:t>
      </w:r>
      <w:r>
        <w:rPr>
          <w:color w:val="231F20"/>
          <w:w w:val="110"/>
        </w:rPr>
        <w:t>familiar</w:t>
      </w:r>
      <w:r>
        <w:rPr>
          <w:color w:val="231F20"/>
          <w:spacing w:val="-5"/>
          <w:w w:val="110"/>
        </w:rPr>
        <w:t> </w:t>
      </w:r>
      <w:r>
        <w:rPr>
          <w:color w:val="231F20"/>
          <w:w w:val="110"/>
        </w:rPr>
        <w:t>es</w:t>
      </w:r>
      <w:r>
        <w:rPr>
          <w:color w:val="231F20"/>
          <w:spacing w:val="-5"/>
          <w:w w:val="110"/>
        </w:rPr>
        <w:t> </w:t>
      </w:r>
      <w:r>
        <w:rPr>
          <w:color w:val="231F20"/>
          <w:w w:val="110"/>
        </w:rPr>
        <w:t>inembargable</w:t>
      </w:r>
      <w:r>
        <w:rPr>
          <w:color w:val="231F20"/>
          <w:spacing w:val="-5"/>
          <w:w w:val="110"/>
        </w:rPr>
        <w:t> </w:t>
      </w:r>
      <w:r>
        <w:rPr>
          <w:color w:val="231F20"/>
          <w:w w:val="110"/>
        </w:rPr>
        <w:t>e</w:t>
      </w:r>
      <w:r>
        <w:rPr>
          <w:color w:val="231F20"/>
          <w:spacing w:val="-5"/>
          <w:w w:val="110"/>
        </w:rPr>
        <w:t> </w:t>
      </w:r>
      <w:r>
        <w:rPr>
          <w:color w:val="231F20"/>
          <w:w w:val="110"/>
        </w:rPr>
        <w:t>inalienable,</w:t>
      </w:r>
      <w:r>
        <w:rPr>
          <w:color w:val="231F20"/>
          <w:spacing w:val="-5"/>
          <w:w w:val="110"/>
        </w:rPr>
        <w:t> </w:t>
      </w:r>
      <w:r>
        <w:rPr>
          <w:color w:val="231F20"/>
          <w:w w:val="110"/>
        </w:rPr>
        <w:t>y</w:t>
      </w:r>
      <w:r>
        <w:rPr>
          <w:color w:val="231F20"/>
          <w:spacing w:val="-5"/>
          <w:w w:val="110"/>
        </w:rPr>
        <w:t> </w:t>
      </w:r>
      <w:r>
        <w:rPr>
          <w:color w:val="231F20"/>
          <w:w w:val="110"/>
        </w:rPr>
        <w:t>por</w:t>
      </w:r>
      <w:r>
        <w:rPr>
          <w:color w:val="231F20"/>
          <w:spacing w:val="-5"/>
          <w:w w:val="110"/>
        </w:rPr>
        <w:t> </w:t>
      </w:r>
      <w:r>
        <w:rPr>
          <w:color w:val="231F20"/>
          <w:w w:val="110"/>
        </w:rPr>
        <w:t>lo</w:t>
      </w:r>
      <w:r>
        <w:rPr>
          <w:color w:val="231F20"/>
          <w:spacing w:val="-5"/>
          <w:w w:val="110"/>
        </w:rPr>
        <w:t> </w:t>
      </w:r>
      <w:r>
        <w:rPr>
          <w:color w:val="231F20"/>
          <w:w w:val="110"/>
        </w:rPr>
        <w:t>tanto</w:t>
      </w:r>
      <w:r>
        <w:rPr>
          <w:color w:val="231F20"/>
          <w:spacing w:val="-5"/>
          <w:w w:val="110"/>
        </w:rPr>
        <w:t> </w:t>
      </w:r>
      <w:r>
        <w:rPr>
          <w:color w:val="231F20"/>
          <w:w w:val="110"/>
        </w:rPr>
        <w:t>no</w:t>
      </w:r>
      <w:r>
        <w:rPr>
          <w:color w:val="231F20"/>
          <w:spacing w:val="-5"/>
          <w:w w:val="110"/>
        </w:rPr>
        <w:t> </w:t>
      </w:r>
      <w:r>
        <w:rPr>
          <w:color w:val="231F20"/>
          <w:w w:val="110"/>
        </w:rPr>
        <w:t>se</w:t>
      </w:r>
      <w:r>
        <w:rPr>
          <w:color w:val="231F20"/>
          <w:spacing w:val="-5"/>
          <w:w w:val="110"/>
        </w:rPr>
        <w:t> </w:t>
      </w:r>
      <w:r>
        <w:rPr>
          <w:color w:val="231F20"/>
          <w:w w:val="110"/>
        </w:rPr>
        <w:t>pre- sentarían tragedias nacionales como los embargos masivos de casas-habi- tación y de salarios que realizan los dueños de la  </w:t>
      </w:r>
      <w:r>
        <w:rPr>
          <w:color w:val="231F20"/>
          <w:spacing w:val="3"/>
          <w:w w:val="110"/>
        </w:rPr>
        <w:t> </w:t>
      </w:r>
      <w:r>
        <w:rPr>
          <w:color w:val="231F20"/>
          <w:w w:val="110"/>
        </w:rPr>
        <w:t>banca.</w:t>
      </w:r>
    </w:p>
    <w:p>
      <w:pPr>
        <w:pStyle w:val="BodyText"/>
        <w:spacing w:line="288" w:lineRule="auto"/>
        <w:ind w:left="124" w:right="113" w:firstLine="360"/>
        <w:jc w:val="both"/>
      </w:pPr>
      <w:r>
        <w:rPr>
          <w:color w:val="231F20"/>
          <w:w w:val="110"/>
        </w:rPr>
        <w:t>Un Estado que tenga como principio la protección a las familias debe convertir</w:t>
      </w:r>
      <w:r>
        <w:rPr>
          <w:color w:val="231F20"/>
          <w:spacing w:val="-14"/>
          <w:w w:val="110"/>
        </w:rPr>
        <w:t> </w:t>
      </w:r>
      <w:r>
        <w:rPr>
          <w:color w:val="231F20"/>
          <w:w w:val="110"/>
        </w:rPr>
        <w:t>la</w:t>
      </w:r>
      <w:r>
        <w:rPr>
          <w:color w:val="231F20"/>
          <w:spacing w:val="-14"/>
          <w:w w:val="110"/>
        </w:rPr>
        <w:t> </w:t>
      </w:r>
      <w:r>
        <w:rPr>
          <w:color w:val="231F20"/>
          <w:w w:val="110"/>
        </w:rPr>
        <w:t>Seguridad</w:t>
      </w:r>
      <w:r>
        <w:rPr>
          <w:color w:val="231F20"/>
          <w:spacing w:val="-14"/>
          <w:w w:val="110"/>
        </w:rPr>
        <w:t> </w:t>
      </w:r>
      <w:r>
        <w:rPr>
          <w:color w:val="231F20"/>
          <w:w w:val="110"/>
        </w:rPr>
        <w:t>Social</w:t>
      </w:r>
      <w:r>
        <w:rPr>
          <w:color w:val="231F20"/>
          <w:spacing w:val="-14"/>
          <w:w w:val="110"/>
        </w:rPr>
        <w:t> </w:t>
      </w:r>
      <w:r>
        <w:rPr>
          <w:color w:val="231F20"/>
          <w:w w:val="110"/>
        </w:rPr>
        <w:t>en</w:t>
      </w:r>
      <w:r>
        <w:rPr>
          <w:color w:val="231F20"/>
          <w:spacing w:val="-14"/>
          <w:w w:val="110"/>
        </w:rPr>
        <w:t> </w:t>
      </w:r>
      <w:r>
        <w:rPr>
          <w:color w:val="231F20"/>
          <w:w w:val="110"/>
        </w:rPr>
        <w:t>el</w:t>
      </w:r>
      <w:r>
        <w:rPr>
          <w:color w:val="231F20"/>
          <w:spacing w:val="-14"/>
          <w:w w:val="110"/>
        </w:rPr>
        <w:t> </w:t>
      </w:r>
      <w:r>
        <w:rPr>
          <w:color w:val="231F20"/>
          <w:w w:val="110"/>
        </w:rPr>
        <w:t>instrumento</w:t>
      </w:r>
      <w:r>
        <w:rPr>
          <w:color w:val="231F20"/>
          <w:spacing w:val="-14"/>
          <w:w w:val="110"/>
        </w:rPr>
        <w:t> </w:t>
      </w:r>
      <w:r>
        <w:rPr>
          <w:color w:val="231F20"/>
          <w:w w:val="110"/>
        </w:rPr>
        <w:t>de</w:t>
      </w:r>
      <w:r>
        <w:rPr>
          <w:color w:val="231F20"/>
          <w:spacing w:val="-14"/>
          <w:w w:val="110"/>
        </w:rPr>
        <w:t> </w:t>
      </w:r>
      <w:r>
        <w:rPr>
          <w:color w:val="231F20"/>
          <w:w w:val="110"/>
        </w:rPr>
        <w:t>servicio</w:t>
      </w:r>
      <w:r>
        <w:rPr>
          <w:color w:val="231F20"/>
          <w:spacing w:val="-14"/>
          <w:w w:val="110"/>
        </w:rPr>
        <w:t> </w:t>
      </w:r>
      <w:r>
        <w:rPr>
          <w:color w:val="231F20"/>
          <w:w w:val="110"/>
        </w:rPr>
        <w:t>público</w:t>
      </w:r>
      <w:r>
        <w:rPr>
          <w:color w:val="231F20"/>
          <w:spacing w:val="-14"/>
          <w:w w:val="110"/>
        </w:rPr>
        <w:t> </w:t>
      </w:r>
      <w:r>
        <w:rPr>
          <w:color w:val="231F20"/>
          <w:w w:val="110"/>
        </w:rPr>
        <w:t>de</w:t>
      </w:r>
      <w:r>
        <w:rPr>
          <w:color w:val="231F20"/>
          <w:spacing w:val="-14"/>
          <w:w w:val="110"/>
        </w:rPr>
        <w:t> </w:t>
      </w:r>
      <w:r>
        <w:rPr>
          <w:color w:val="231F20"/>
          <w:w w:val="110"/>
        </w:rPr>
        <w:t>carác- ter</w:t>
      </w:r>
      <w:r>
        <w:rPr>
          <w:color w:val="231F20"/>
          <w:spacing w:val="-11"/>
          <w:w w:val="110"/>
        </w:rPr>
        <w:t> </w:t>
      </w:r>
      <w:r>
        <w:rPr>
          <w:color w:val="231F20"/>
          <w:w w:val="110"/>
        </w:rPr>
        <w:t>obligatorio</w:t>
      </w:r>
      <w:r>
        <w:rPr>
          <w:color w:val="231F20"/>
          <w:spacing w:val="-11"/>
          <w:w w:val="110"/>
        </w:rPr>
        <w:t> </w:t>
      </w:r>
      <w:r>
        <w:rPr>
          <w:color w:val="231F20"/>
          <w:w w:val="110"/>
        </w:rPr>
        <w:t>que</w:t>
      </w:r>
      <w:r>
        <w:rPr>
          <w:color w:val="231F20"/>
          <w:spacing w:val="-11"/>
          <w:w w:val="110"/>
        </w:rPr>
        <w:t> </w:t>
      </w:r>
      <w:r>
        <w:rPr>
          <w:color w:val="231F20"/>
          <w:w w:val="110"/>
        </w:rPr>
        <w:t>asegure</w:t>
      </w:r>
      <w:r>
        <w:rPr>
          <w:color w:val="231F20"/>
          <w:spacing w:val="-11"/>
          <w:w w:val="110"/>
        </w:rPr>
        <w:t> </w:t>
      </w:r>
      <w:r>
        <w:rPr>
          <w:color w:val="231F20"/>
          <w:w w:val="110"/>
        </w:rPr>
        <w:t>las</w:t>
      </w:r>
      <w:r>
        <w:rPr>
          <w:color w:val="231F20"/>
          <w:spacing w:val="-11"/>
          <w:w w:val="110"/>
        </w:rPr>
        <w:t> </w:t>
      </w:r>
      <w:r>
        <w:rPr>
          <w:color w:val="231F20"/>
          <w:w w:val="110"/>
        </w:rPr>
        <w:t>condiciones</w:t>
      </w:r>
      <w:r>
        <w:rPr>
          <w:color w:val="231F20"/>
          <w:spacing w:val="-11"/>
          <w:w w:val="110"/>
        </w:rPr>
        <w:t> </w:t>
      </w:r>
      <w:r>
        <w:rPr>
          <w:color w:val="231F20"/>
          <w:w w:val="110"/>
        </w:rPr>
        <w:t>dignas</w:t>
      </w:r>
      <w:r>
        <w:rPr>
          <w:color w:val="231F20"/>
          <w:spacing w:val="-11"/>
          <w:w w:val="110"/>
        </w:rPr>
        <w:t> </w:t>
      </w:r>
      <w:r>
        <w:rPr>
          <w:color w:val="231F20"/>
          <w:w w:val="110"/>
        </w:rPr>
        <w:t>de</w:t>
      </w:r>
      <w:r>
        <w:rPr>
          <w:color w:val="231F20"/>
          <w:spacing w:val="-11"/>
          <w:w w:val="110"/>
        </w:rPr>
        <w:t> </w:t>
      </w:r>
      <w:r>
        <w:rPr>
          <w:color w:val="231F20"/>
          <w:w w:val="110"/>
        </w:rPr>
        <w:t>vida</w:t>
      </w:r>
      <w:r>
        <w:rPr>
          <w:color w:val="231F20"/>
          <w:spacing w:val="-11"/>
          <w:w w:val="110"/>
        </w:rPr>
        <w:t> </w:t>
      </w:r>
      <w:r>
        <w:rPr>
          <w:color w:val="231F20"/>
          <w:w w:val="110"/>
        </w:rPr>
        <w:t>a</w:t>
      </w:r>
      <w:r>
        <w:rPr>
          <w:color w:val="231F20"/>
          <w:spacing w:val="-11"/>
          <w:w w:val="110"/>
        </w:rPr>
        <w:t> </w:t>
      </w:r>
      <w:r>
        <w:rPr>
          <w:color w:val="231F20"/>
          <w:w w:val="110"/>
        </w:rPr>
        <w:t>la</w:t>
      </w:r>
      <w:r>
        <w:rPr>
          <w:color w:val="231F20"/>
          <w:spacing w:val="-11"/>
          <w:w w:val="110"/>
        </w:rPr>
        <w:t> </w:t>
      </w:r>
      <w:r>
        <w:rPr>
          <w:color w:val="231F20"/>
          <w:w w:val="110"/>
        </w:rPr>
        <w:t>población,</w:t>
      </w:r>
      <w:r>
        <w:rPr>
          <w:color w:val="231F20"/>
          <w:spacing w:val="-11"/>
          <w:w w:val="110"/>
        </w:rPr>
        <w:t> </w:t>
      </w:r>
      <w:r>
        <w:rPr>
          <w:color w:val="231F20"/>
          <w:w w:val="110"/>
        </w:rPr>
        <w:t>de manera que la familia pueda cumplir adecuadamente las funciones que la sociedad, pero sobre todo sus integrantes, le </w:t>
      </w:r>
      <w:r>
        <w:rPr>
          <w:color w:val="231F20"/>
          <w:spacing w:val="16"/>
          <w:w w:val="110"/>
        </w:rPr>
        <w:t> </w:t>
      </w:r>
      <w:r>
        <w:rPr>
          <w:color w:val="231F20"/>
          <w:w w:val="110"/>
        </w:rPr>
        <w:t>demandan.</w:t>
      </w:r>
    </w:p>
    <w:p>
      <w:pPr>
        <w:pStyle w:val="BodyText"/>
        <w:spacing w:line="288" w:lineRule="auto"/>
        <w:ind w:left="124" w:right="113" w:firstLine="360"/>
        <w:jc w:val="both"/>
      </w:pPr>
      <w:r>
        <w:rPr>
          <w:color w:val="231F20"/>
          <w:spacing w:val="-4"/>
          <w:w w:val="110"/>
        </w:rPr>
        <w:t>Para</w:t>
      </w:r>
      <w:r>
        <w:rPr>
          <w:color w:val="231F20"/>
          <w:spacing w:val="-9"/>
          <w:w w:val="110"/>
        </w:rPr>
        <w:t> </w:t>
      </w:r>
      <w:r>
        <w:rPr>
          <w:color w:val="231F20"/>
          <w:w w:val="110"/>
        </w:rPr>
        <w:t>que</w:t>
      </w:r>
      <w:r>
        <w:rPr>
          <w:color w:val="231F20"/>
          <w:spacing w:val="-9"/>
          <w:w w:val="110"/>
        </w:rPr>
        <w:t> </w:t>
      </w:r>
      <w:r>
        <w:rPr>
          <w:color w:val="231F20"/>
          <w:w w:val="110"/>
        </w:rPr>
        <w:t>así</w:t>
      </w:r>
      <w:r>
        <w:rPr>
          <w:color w:val="231F20"/>
          <w:spacing w:val="-9"/>
          <w:w w:val="110"/>
        </w:rPr>
        <w:t> </w:t>
      </w:r>
      <w:r>
        <w:rPr>
          <w:color w:val="231F20"/>
          <w:w w:val="110"/>
        </w:rPr>
        <w:t>sea,</w:t>
      </w:r>
      <w:r>
        <w:rPr>
          <w:color w:val="231F20"/>
          <w:spacing w:val="-9"/>
          <w:w w:val="110"/>
        </w:rPr>
        <w:t> </w:t>
      </w:r>
      <w:r>
        <w:rPr>
          <w:color w:val="231F20"/>
          <w:w w:val="110"/>
        </w:rPr>
        <w:t>se</w:t>
      </w:r>
      <w:r>
        <w:rPr>
          <w:color w:val="231F20"/>
          <w:spacing w:val="-9"/>
          <w:w w:val="110"/>
        </w:rPr>
        <w:t> </w:t>
      </w:r>
      <w:r>
        <w:rPr>
          <w:color w:val="231F20"/>
          <w:w w:val="110"/>
        </w:rPr>
        <w:t>requiere</w:t>
      </w:r>
      <w:r>
        <w:rPr>
          <w:color w:val="231F20"/>
          <w:spacing w:val="-9"/>
          <w:w w:val="110"/>
        </w:rPr>
        <w:t> </w:t>
      </w:r>
      <w:r>
        <w:rPr>
          <w:color w:val="231F20"/>
          <w:w w:val="110"/>
        </w:rPr>
        <w:t>atender</w:t>
      </w:r>
      <w:r>
        <w:rPr>
          <w:color w:val="231F20"/>
          <w:spacing w:val="-9"/>
          <w:w w:val="110"/>
        </w:rPr>
        <w:t> </w:t>
      </w:r>
      <w:r>
        <w:rPr>
          <w:color w:val="231F20"/>
          <w:w w:val="110"/>
        </w:rPr>
        <w:t>los</w:t>
      </w:r>
      <w:r>
        <w:rPr>
          <w:color w:val="231F20"/>
          <w:spacing w:val="-9"/>
          <w:w w:val="110"/>
        </w:rPr>
        <w:t> </w:t>
      </w:r>
      <w:r>
        <w:rPr>
          <w:color w:val="231F20"/>
          <w:w w:val="110"/>
        </w:rPr>
        <w:t>problemas</w:t>
      </w:r>
      <w:r>
        <w:rPr>
          <w:color w:val="231F20"/>
          <w:spacing w:val="-9"/>
          <w:w w:val="110"/>
        </w:rPr>
        <w:t> </w:t>
      </w:r>
      <w:r>
        <w:rPr>
          <w:color w:val="231F20"/>
          <w:w w:val="110"/>
        </w:rPr>
        <w:t>sociales</w:t>
      </w:r>
      <w:r>
        <w:rPr>
          <w:color w:val="231F20"/>
          <w:spacing w:val="-9"/>
          <w:w w:val="110"/>
        </w:rPr>
        <w:t> </w:t>
      </w:r>
      <w:r>
        <w:rPr>
          <w:color w:val="231F20"/>
          <w:w w:val="110"/>
        </w:rPr>
        <w:t>agudizados por las consecuencias del modelo neoliberal y que afectan la calidad de las relaciones intrafamiliares y la capacidad de las familias y de los hogares</w:t>
      </w:r>
      <w:r>
        <w:rPr>
          <w:color w:val="231F20"/>
          <w:spacing w:val="-33"/>
          <w:w w:val="110"/>
        </w:rPr>
        <w:t> </w:t>
      </w:r>
      <w:r>
        <w:rPr>
          <w:color w:val="231F20"/>
          <w:w w:val="110"/>
        </w:rPr>
        <w:t>de cumplir con sus funciones, tales como la pauperización, el desempleo ju- venil y la desvalorización del trabajo, la desprotección de los grupos   </w:t>
      </w:r>
      <w:r>
        <w:rPr>
          <w:color w:val="231F20"/>
          <w:spacing w:val="9"/>
          <w:w w:val="110"/>
        </w:rPr>
        <w:t> </w:t>
      </w:r>
      <w:r>
        <w:rPr>
          <w:color w:val="231F20"/>
          <w:w w:val="110"/>
        </w:rPr>
        <w:t>más</w:t>
      </w:r>
    </w:p>
    <w:p>
      <w:pPr>
        <w:spacing w:after="0" w:line="288" w:lineRule="auto"/>
        <w:jc w:val="both"/>
        <w:sectPr>
          <w:pgSz w:w="9520" w:h="12920"/>
          <w:pgMar w:header="0" w:footer="1344" w:top="880" w:bottom="1540" w:left="1320" w:right="1000"/>
        </w:sectPr>
      </w:pPr>
    </w:p>
    <w:p>
      <w:pPr>
        <w:pStyle w:val="BodyText"/>
        <w:spacing w:line="295" w:lineRule="auto" w:before="42"/>
        <w:ind w:left="120" w:right="115"/>
        <w:jc w:val="both"/>
      </w:pPr>
      <w:r>
        <w:rPr>
          <w:color w:val="231F20"/>
          <w:w w:val="110"/>
        </w:rPr>
        <w:t>vulnerables, la falta de acceso a servicios básicos, entre otros. Indudable- </w:t>
      </w:r>
      <w:r>
        <w:rPr>
          <w:color w:val="231F20"/>
          <w:spacing w:val="3"/>
          <w:w w:val="110"/>
        </w:rPr>
        <w:t>mente, </w:t>
      </w:r>
      <w:r>
        <w:rPr>
          <w:color w:val="231F20"/>
          <w:w w:val="110"/>
        </w:rPr>
        <w:t>lo </w:t>
      </w:r>
      <w:r>
        <w:rPr>
          <w:color w:val="231F20"/>
          <w:spacing w:val="3"/>
          <w:w w:val="110"/>
        </w:rPr>
        <w:t>expuesto </w:t>
      </w:r>
      <w:r>
        <w:rPr>
          <w:color w:val="231F20"/>
          <w:spacing w:val="2"/>
          <w:w w:val="110"/>
        </w:rPr>
        <w:t>son </w:t>
      </w:r>
      <w:r>
        <w:rPr>
          <w:color w:val="231F20"/>
          <w:spacing w:val="3"/>
          <w:w w:val="110"/>
        </w:rPr>
        <w:t>dilemas </w:t>
      </w:r>
      <w:r>
        <w:rPr>
          <w:color w:val="231F20"/>
          <w:spacing w:val="2"/>
          <w:w w:val="110"/>
        </w:rPr>
        <w:t>que </w:t>
      </w:r>
      <w:r>
        <w:rPr>
          <w:color w:val="231F20"/>
          <w:spacing w:val="3"/>
          <w:w w:val="110"/>
        </w:rPr>
        <w:t>hacen referencia </w:t>
      </w:r>
      <w:r>
        <w:rPr>
          <w:color w:val="231F20"/>
          <w:w w:val="110"/>
        </w:rPr>
        <w:t>a la </w:t>
      </w:r>
      <w:r>
        <w:rPr>
          <w:color w:val="231F20"/>
          <w:spacing w:val="3"/>
          <w:w w:val="110"/>
        </w:rPr>
        <w:t>democracia </w:t>
      </w:r>
      <w:r>
        <w:rPr>
          <w:color w:val="231F20"/>
          <w:w w:val="110"/>
        </w:rPr>
        <w:t>integral; que se refleja en la posibilidad que tienen las familias mexicanas de acceder e influir en las decisiones que les afectan. Resulta evidente la enorme complejidad que supone diseñar y poner en práctica políticas pú- blicas</w:t>
      </w:r>
      <w:r>
        <w:rPr>
          <w:color w:val="231F20"/>
          <w:spacing w:val="-5"/>
          <w:w w:val="110"/>
        </w:rPr>
        <w:t> </w:t>
      </w:r>
      <w:r>
        <w:rPr>
          <w:color w:val="231F20"/>
          <w:w w:val="110"/>
        </w:rPr>
        <w:t>destinadas</w:t>
      </w:r>
      <w:r>
        <w:rPr>
          <w:color w:val="231F20"/>
          <w:spacing w:val="-5"/>
          <w:w w:val="110"/>
        </w:rPr>
        <w:t> </w:t>
      </w:r>
      <w:r>
        <w:rPr>
          <w:color w:val="231F20"/>
          <w:w w:val="110"/>
        </w:rPr>
        <w:t>al</w:t>
      </w:r>
      <w:r>
        <w:rPr>
          <w:color w:val="231F20"/>
          <w:spacing w:val="-5"/>
          <w:w w:val="110"/>
        </w:rPr>
        <w:t> </w:t>
      </w:r>
      <w:r>
        <w:rPr>
          <w:color w:val="231F20"/>
          <w:w w:val="110"/>
        </w:rPr>
        <w:t>igualmente</w:t>
      </w:r>
      <w:r>
        <w:rPr>
          <w:color w:val="231F20"/>
          <w:spacing w:val="-5"/>
          <w:w w:val="110"/>
        </w:rPr>
        <w:t> </w:t>
      </w:r>
      <w:r>
        <w:rPr>
          <w:color w:val="231F20"/>
          <w:w w:val="110"/>
        </w:rPr>
        <w:t>complejo</w:t>
      </w:r>
      <w:r>
        <w:rPr>
          <w:color w:val="231F20"/>
          <w:spacing w:val="-5"/>
          <w:w w:val="110"/>
        </w:rPr>
        <w:t> </w:t>
      </w:r>
      <w:r>
        <w:rPr>
          <w:color w:val="231F20"/>
          <w:w w:val="110"/>
        </w:rPr>
        <w:t>panorama</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familias</w:t>
      </w:r>
      <w:r>
        <w:rPr>
          <w:color w:val="231F20"/>
          <w:spacing w:val="-5"/>
          <w:w w:val="110"/>
        </w:rPr>
        <w:t> </w:t>
      </w:r>
      <w:r>
        <w:rPr>
          <w:color w:val="231F20"/>
          <w:w w:val="110"/>
        </w:rPr>
        <w:t>mexica- nas. Sin dudas, es una tarea que compete a estudiosos de diversas disci- plinas. El conocimiento de las familias y su contexto será obviamente la base</w:t>
      </w:r>
      <w:r>
        <w:rPr>
          <w:color w:val="231F20"/>
          <w:spacing w:val="-5"/>
          <w:w w:val="110"/>
        </w:rPr>
        <w:t> </w:t>
      </w:r>
      <w:r>
        <w:rPr>
          <w:color w:val="231F20"/>
          <w:w w:val="110"/>
        </w:rPr>
        <w:t>que</w:t>
      </w:r>
      <w:r>
        <w:rPr>
          <w:color w:val="231F20"/>
          <w:spacing w:val="-5"/>
          <w:w w:val="110"/>
        </w:rPr>
        <w:t> </w:t>
      </w:r>
      <w:r>
        <w:rPr>
          <w:color w:val="231F20"/>
          <w:w w:val="110"/>
        </w:rPr>
        <w:t>permitirá</w:t>
      </w:r>
      <w:r>
        <w:rPr>
          <w:color w:val="231F20"/>
          <w:spacing w:val="-5"/>
          <w:w w:val="110"/>
        </w:rPr>
        <w:t> </w:t>
      </w:r>
      <w:r>
        <w:rPr>
          <w:color w:val="231F20"/>
          <w:w w:val="110"/>
        </w:rPr>
        <w:t>elaborar</w:t>
      </w:r>
      <w:r>
        <w:rPr>
          <w:color w:val="231F20"/>
          <w:spacing w:val="-5"/>
          <w:w w:val="110"/>
        </w:rPr>
        <w:t> </w:t>
      </w:r>
      <w:r>
        <w:rPr>
          <w:color w:val="231F20"/>
          <w:w w:val="110"/>
        </w:rPr>
        <w:t>la</w:t>
      </w:r>
      <w:r>
        <w:rPr>
          <w:color w:val="231F20"/>
          <w:spacing w:val="-5"/>
          <w:w w:val="110"/>
        </w:rPr>
        <w:t> </w:t>
      </w:r>
      <w:r>
        <w:rPr>
          <w:color w:val="231F20"/>
          <w:w w:val="110"/>
        </w:rPr>
        <w:t>política</w:t>
      </w:r>
      <w:r>
        <w:rPr>
          <w:color w:val="231F20"/>
          <w:spacing w:val="-5"/>
          <w:w w:val="110"/>
        </w:rPr>
        <w:t> </w:t>
      </w:r>
      <w:r>
        <w:rPr>
          <w:color w:val="231F20"/>
          <w:w w:val="110"/>
        </w:rPr>
        <w:t>social</w:t>
      </w:r>
      <w:r>
        <w:rPr>
          <w:color w:val="231F20"/>
          <w:spacing w:val="-5"/>
          <w:w w:val="110"/>
        </w:rPr>
        <w:t> </w:t>
      </w:r>
      <w:r>
        <w:rPr>
          <w:color w:val="231F20"/>
          <w:w w:val="110"/>
        </w:rPr>
        <w:t>en</w:t>
      </w:r>
      <w:r>
        <w:rPr>
          <w:color w:val="231F20"/>
          <w:spacing w:val="-5"/>
          <w:w w:val="110"/>
        </w:rPr>
        <w:t> </w:t>
      </w:r>
      <w:r>
        <w:rPr>
          <w:color w:val="231F20"/>
          <w:w w:val="110"/>
        </w:rPr>
        <w:t>su</w:t>
      </w:r>
      <w:r>
        <w:rPr>
          <w:color w:val="231F20"/>
          <w:spacing w:val="-5"/>
          <w:w w:val="110"/>
        </w:rPr>
        <w:t> </w:t>
      </w:r>
      <w:r>
        <w:rPr>
          <w:color w:val="231F20"/>
          <w:w w:val="110"/>
        </w:rPr>
        <w:t>dimensión</w:t>
      </w:r>
      <w:r>
        <w:rPr>
          <w:color w:val="231F20"/>
          <w:spacing w:val="-5"/>
          <w:w w:val="110"/>
        </w:rPr>
        <w:t> </w:t>
      </w:r>
      <w:r>
        <w:rPr>
          <w:color w:val="231F20"/>
          <w:w w:val="110"/>
        </w:rPr>
        <w:t>familiar.</w:t>
      </w:r>
      <w:r>
        <w:rPr>
          <w:color w:val="231F20"/>
          <w:spacing w:val="-5"/>
          <w:w w:val="110"/>
        </w:rPr>
        <w:t> </w:t>
      </w:r>
      <w:r>
        <w:rPr>
          <w:color w:val="231F20"/>
          <w:w w:val="110"/>
        </w:rPr>
        <w:t>Una política social que para su éxito requiere de, por lo menos, dos condicio- nantes,</w:t>
      </w:r>
      <w:r>
        <w:rPr>
          <w:color w:val="231F20"/>
          <w:spacing w:val="26"/>
          <w:w w:val="110"/>
        </w:rPr>
        <w:t> </w:t>
      </w:r>
      <w:r>
        <w:rPr>
          <w:color w:val="231F20"/>
          <w:w w:val="110"/>
        </w:rPr>
        <w:t>que</w:t>
      </w:r>
      <w:r>
        <w:rPr>
          <w:color w:val="231F20"/>
          <w:spacing w:val="26"/>
          <w:w w:val="110"/>
        </w:rPr>
        <w:t> </w:t>
      </w:r>
      <w:r>
        <w:rPr>
          <w:color w:val="231F20"/>
          <w:w w:val="110"/>
        </w:rPr>
        <w:t>tienen</w:t>
      </w:r>
      <w:r>
        <w:rPr>
          <w:color w:val="231F20"/>
          <w:spacing w:val="26"/>
          <w:w w:val="110"/>
        </w:rPr>
        <w:t> </w:t>
      </w:r>
      <w:r>
        <w:rPr>
          <w:color w:val="231F20"/>
          <w:w w:val="110"/>
        </w:rPr>
        <w:t>que</w:t>
      </w:r>
      <w:r>
        <w:rPr>
          <w:color w:val="231F20"/>
          <w:spacing w:val="26"/>
          <w:w w:val="110"/>
        </w:rPr>
        <w:t> </w:t>
      </w:r>
      <w:r>
        <w:rPr>
          <w:color w:val="231F20"/>
          <w:w w:val="110"/>
        </w:rPr>
        <w:t>ver</w:t>
      </w:r>
      <w:r>
        <w:rPr>
          <w:color w:val="231F20"/>
          <w:spacing w:val="26"/>
          <w:w w:val="110"/>
        </w:rPr>
        <w:t> </w:t>
      </w:r>
      <w:r>
        <w:rPr>
          <w:color w:val="231F20"/>
          <w:w w:val="110"/>
        </w:rPr>
        <w:t>con</w:t>
      </w:r>
      <w:r>
        <w:rPr>
          <w:color w:val="231F20"/>
          <w:spacing w:val="26"/>
          <w:w w:val="110"/>
        </w:rPr>
        <w:t> </w:t>
      </w:r>
      <w:r>
        <w:rPr>
          <w:color w:val="231F20"/>
          <w:w w:val="110"/>
        </w:rPr>
        <w:t>la</w:t>
      </w:r>
      <w:r>
        <w:rPr>
          <w:color w:val="231F20"/>
          <w:spacing w:val="26"/>
          <w:w w:val="110"/>
        </w:rPr>
        <w:t> </w:t>
      </w:r>
      <w:r>
        <w:rPr>
          <w:color w:val="231F20"/>
          <w:w w:val="110"/>
        </w:rPr>
        <w:t>fortaleza</w:t>
      </w:r>
      <w:r>
        <w:rPr>
          <w:color w:val="231F20"/>
          <w:spacing w:val="26"/>
          <w:w w:val="110"/>
        </w:rPr>
        <w:t> </w:t>
      </w:r>
      <w:r>
        <w:rPr>
          <w:color w:val="231F20"/>
          <w:w w:val="110"/>
        </w:rPr>
        <w:t>de</w:t>
      </w:r>
      <w:r>
        <w:rPr>
          <w:color w:val="231F20"/>
          <w:spacing w:val="26"/>
          <w:w w:val="110"/>
        </w:rPr>
        <w:t> </w:t>
      </w:r>
      <w:r>
        <w:rPr>
          <w:color w:val="231F20"/>
          <w:w w:val="110"/>
        </w:rPr>
        <w:t>la</w:t>
      </w:r>
      <w:r>
        <w:rPr>
          <w:color w:val="231F20"/>
          <w:spacing w:val="26"/>
          <w:w w:val="110"/>
        </w:rPr>
        <w:t> </w:t>
      </w:r>
      <w:r>
        <w:rPr>
          <w:color w:val="231F20"/>
          <w:w w:val="110"/>
        </w:rPr>
        <w:t>democracia</w:t>
      </w:r>
      <w:r>
        <w:rPr>
          <w:color w:val="231F20"/>
          <w:spacing w:val="26"/>
          <w:w w:val="110"/>
        </w:rPr>
        <w:t> </w:t>
      </w:r>
      <w:r>
        <w:rPr>
          <w:color w:val="231F20"/>
          <w:w w:val="110"/>
        </w:rPr>
        <w:t>en</w:t>
      </w:r>
      <w:r>
        <w:rPr>
          <w:color w:val="231F20"/>
          <w:spacing w:val="26"/>
          <w:w w:val="110"/>
        </w:rPr>
        <w:t> </w:t>
      </w:r>
      <w:r>
        <w:rPr>
          <w:color w:val="231F20"/>
          <w:w w:val="110"/>
        </w:rPr>
        <w:t>México:</w:t>
      </w:r>
    </w:p>
    <w:p>
      <w:pPr>
        <w:pStyle w:val="ListParagraph"/>
        <w:numPr>
          <w:ilvl w:val="1"/>
          <w:numId w:val="1"/>
        </w:numPr>
        <w:tabs>
          <w:tab w:pos="356" w:val="left" w:leader="none"/>
        </w:tabs>
        <w:spacing w:line="295" w:lineRule="auto" w:before="0" w:after="0"/>
        <w:ind w:left="120" w:right="117" w:firstLine="0"/>
        <w:jc w:val="both"/>
        <w:rPr>
          <w:sz w:val="20"/>
        </w:rPr>
      </w:pPr>
      <w:r>
        <w:rPr>
          <w:color w:val="231F20"/>
          <w:w w:val="105"/>
          <w:sz w:val="20"/>
        </w:rPr>
        <w:t>la participación directa de las familias en la planeación, ejecución, admi- </w:t>
      </w:r>
      <w:r>
        <w:rPr>
          <w:color w:val="231F20"/>
          <w:spacing w:val="-4"/>
          <w:w w:val="105"/>
          <w:sz w:val="20"/>
        </w:rPr>
        <w:t>nistración </w:t>
      </w:r>
      <w:r>
        <w:rPr>
          <w:color w:val="231F20"/>
          <w:w w:val="105"/>
          <w:sz w:val="20"/>
        </w:rPr>
        <w:t>y </w:t>
      </w:r>
      <w:r>
        <w:rPr>
          <w:color w:val="231F20"/>
          <w:spacing w:val="-4"/>
          <w:w w:val="105"/>
          <w:sz w:val="20"/>
        </w:rPr>
        <w:t>evaluación </w:t>
      </w:r>
      <w:r>
        <w:rPr>
          <w:color w:val="231F20"/>
          <w:w w:val="105"/>
          <w:sz w:val="20"/>
        </w:rPr>
        <w:t>de la </w:t>
      </w:r>
      <w:r>
        <w:rPr>
          <w:color w:val="231F20"/>
          <w:spacing w:val="-4"/>
          <w:w w:val="105"/>
          <w:sz w:val="20"/>
        </w:rPr>
        <w:t>política pública, </w:t>
      </w:r>
      <w:r>
        <w:rPr>
          <w:color w:val="231F20"/>
          <w:w w:val="105"/>
          <w:sz w:val="20"/>
        </w:rPr>
        <w:t>y </w:t>
      </w:r>
      <w:r>
        <w:rPr>
          <w:i/>
          <w:color w:val="231F20"/>
          <w:w w:val="105"/>
          <w:sz w:val="20"/>
        </w:rPr>
        <w:t>b) </w:t>
      </w:r>
      <w:r>
        <w:rPr>
          <w:color w:val="231F20"/>
          <w:spacing w:val="-3"/>
          <w:w w:val="105"/>
          <w:sz w:val="20"/>
        </w:rPr>
        <w:t>los </w:t>
      </w:r>
      <w:r>
        <w:rPr>
          <w:color w:val="231F20"/>
          <w:spacing w:val="-4"/>
          <w:w w:val="105"/>
          <w:sz w:val="20"/>
        </w:rPr>
        <w:t>programas </w:t>
      </w:r>
      <w:r>
        <w:rPr>
          <w:color w:val="231F20"/>
          <w:w w:val="105"/>
          <w:sz w:val="20"/>
        </w:rPr>
        <w:t>de </w:t>
      </w:r>
      <w:r>
        <w:rPr>
          <w:color w:val="231F20"/>
          <w:spacing w:val="-4"/>
          <w:w w:val="105"/>
          <w:sz w:val="20"/>
        </w:rPr>
        <w:t>desarrollo </w:t>
      </w:r>
      <w:r>
        <w:rPr>
          <w:color w:val="231F20"/>
          <w:w w:val="105"/>
          <w:sz w:val="20"/>
        </w:rPr>
        <w:t>familiar  carentes  del  control</w:t>
      </w:r>
      <w:r>
        <w:rPr>
          <w:color w:val="231F20"/>
          <w:spacing w:val="14"/>
          <w:w w:val="105"/>
          <w:sz w:val="20"/>
        </w:rPr>
        <w:t> </w:t>
      </w:r>
      <w:r>
        <w:rPr>
          <w:color w:val="231F20"/>
          <w:w w:val="105"/>
          <w:sz w:val="20"/>
        </w:rPr>
        <w:t>político-social.</w:t>
      </w:r>
    </w:p>
    <w:p>
      <w:pPr>
        <w:pStyle w:val="BodyText"/>
        <w:spacing w:line="295" w:lineRule="auto"/>
        <w:ind w:left="119" w:right="118" w:firstLine="360"/>
        <w:jc w:val="both"/>
      </w:pPr>
      <w:r>
        <w:rPr>
          <w:color w:val="231F20"/>
          <w:w w:val="110"/>
        </w:rPr>
        <w:t>Las entidades del país ofrecen un panorama plural en materia de los diferentes marcos jurídicos que, desde diversos puntos de vista, afectan el ámbito</w:t>
      </w:r>
      <w:r>
        <w:rPr>
          <w:color w:val="231F20"/>
          <w:spacing w:val="-14"/>
          <w:w w:val="110"/>
        </w:rPr>
        <w:t> </w:t>
      </w:r>
      <w:r>
        <w:rPr>
          <w:color w:val="231F20"/>
          <w:w w:val="110"/>
        </w:rPr>
        <w:t>de</w:t>
      </w:r>
      <w:r>
        <w:rPr>
          <w:color w:val="231F20"/>
          <w:spacing w:val="-14"/>
          <w:w w:val="110"/>
        </w:rPr>
        <w:t> </w:t>
      </w:r>
      <w:r>
        <w:rPr>
          <w:color w:val="231F20"/>
          <w:w w:val="110"/>
        </w:rPr>
        <w:t>las</w:t>
      </w:r>
      <w:r>
        <w:rPr>
          <w:color w:val="231F20"/>
          <w:spacing w:val="-14"/>
          <w:w w:val="110"/>
        </w:rPr>
        <w:t> </w:t>
      </w:r>
      <w:r>
        <w:rPr>
          <w:color w:val="231F20"/>
          <w:w w:val="110"/>
        </w:rPr>
        <w:t>familias</w:t>
      </w:r>
      <w:r>
        <w:rPr>
          <w:color w:val="231F20"/>
          <w:spacing w:val="-14"/>
          <w:w w:val="110"/>
        </w:rPr>
        <w:t> </w:t>
      </w:r>
      <w:r>
        <w:rPr>
          <w:color w:val="231F20"/>
          <w:w w:val="110"/>
        </w:rPr>
        <w:t>y</w:t>
      </w:r>
      <w:r>
        <w:rPr>
          <w:color w:val="231F20"/>
          <w:spacing w:val="-14"/>
          <w:w w:val="110"/>
        </w:rPr>
        <w:t> </w:t>
      </w:r>
      <w:r>
        <w:rPr>
          <w:color w:val="231F20"/>
          <w:w w:val="110"/>
        </w:rPr>
        <w:t>los</w:t>
      </w:r>
      <w:r>
        <w:rPr>
          <w:color w:val="231F20"/>
          <w:spacing w:val="-14"/>
          <w:w w:val="110"/>
        </w:rPr>
        <w:t> </w:t>
      </w:r>
      <w:r>
        <w:rPr>
          <w:color w:val="231F20"/>
          <w:w w:val="110"/>
        </w:rPr>
        <w:t>hogares.</w:t>
      </w:r>
      <w:r>
        <w:rPr>
          <w:color w:val="231F20"/>
          <w:spacing w:val="-14"/>
          <w:w w:val="110"/>
        </w:rPr>
        <w:t> </w:t>
      </w:r>
      <w:r>
        <w:rPr>
          <w:color w:val="231F20"/>
          <w:w w:val="110"/>
        </w:rPr>
        <w:t>Mientras</w:t>
      </w:r>
      <w:r>
        <w:rPr>
          <w:color w:val="231F20"/>
          <w:spacing w:val="-14"/>
          <w:w w:val="110"/>
        </w:rPr>
        <w:t> </w:t>
      </w:r>
      <w:r>
        <w:rPr>
          <w:color w:val="231F20"/>
          <w:w w:val="110"/>
        </w:rPr>
        <w:t>en</w:t>
      </w:r>
      <w:r>
        <w:rPr>
          <w:color w:val="231F20"/>
          <w:spacing w:val="-14"/>
          <w:w w:val="110"/>
        </w:rPr>
        <w:t> </w:t>
      </w:r>
      <w:r>
        <w:rPr>
          <w:color w:val="231F20"/>
          <w:w w:val="110"/>
        </w:rPr>
        <w:t>el</w:t>
      </w:r>
      <w:r>
        <w:rPr>
          <w:color w:val="231F20"/>
          <w:spacing w:val="-14"/>
          <w:w w:val="110"/>
        </w:rPr>
        <w:t> </w:t>
      </w:r>
      <w:r>
        <w:rPr>
          <w:color w:val="231F20"/>
          <w:w w:val="110"/>
        </w:rPr>
        <w:t>Distrito</w:t>
      </w:r>
      <w:r>
        <w:rPr>
          <w:color w:val="231F20"/>
          <w:spacing w:val="-14"/>
          <w:w w:val="110"/>
        </w:rPr>
        <w:t> </w:t>
      </w:r>
      <w:r>
        <w:rPr>
          <w:color w:val="231F20"/>
          <w:spacing w:val="-4"/>
          <w:w w:val="110"/>
        </w:rPr>
        <w:t>Federal</w:t>
      </w:r>
      <w:r>
        <w:rPr>
          <w:color w:val="231F20"/>
          <w:spacing w:val="-14"/>
          <w:w w:val="110"/>
        </w:rPr>
        <w:t> </w:t>
      </w:r>
      <w:r>
        <w:rPr>
          <w:color w:val="231F20"/>
          <w:w w:val="110"/>
        </w:rPr>
        <w:t>se</w:t>
      </w:r>
      <w:r>
        <w:rPr>
          <w:color w:val="231F20"/>
          <w:spacing w:val="-14"/>
          <w:w w:val="110"/>
        </w:rPr>
        <w:t> </w:t>
      </w:r>
      <w:r>
        <w:rPr>
          <w:color w:val="231F20"/>
          <w:spacing w:val="-3"/>
          <w:w w:val="110"/>
        </w:rPr>
        <w:t>otorga </w:t>
      </w:r>
      <w:r>
        <w:rPr>
          <w:color w:val="231F20"/>
          <w:w w:val="110"/>
        </w:rPr>
        <w:t>algún reconocimiento a la diversidad de arreglos familiares y al ejercicio del derecho a decidir sobre el propio cuerpo al legislarse en pro de la so- ciedad de convivencia y del derecho al aborto, en la mayoría de los</w:t>
      </w:r>
      <w:r>
        <w:rPr>
          <w:color w:val="231F20"/>
          <w:spacing w:val="-28"/>
          <w:w w:val="110"/>
        </w:rPr>
        <w:t> </w:t>
      </w:r>
      <w:r>
        <w:rPr>
          <w:color w:val="231F20"/>
          <w:w w:val="110"/>
        </w:rPr>
        <w:t>estados ello no ocurre y los discursos y prácticas de los hacedores de políticas pú- blicas siguen estando apegadas a concepciones que desestiman la diversi- dad familiar y las necesidades de los miembros más vulnerables de los hogares.</w:t>
      </w:r>
    </w:p>
    <w:p>
      <w:pPr>
        <w:pStyle w:val="BodyText"/>
        <w:spacing w:line="295" w:lineRule="auto"/>
        <w:ind w:left="120" w:right="117" w:firstLine="360"/>
        <w:jc w:val="both"/>
      </w:pPr>
      <w:r>
        <w:rPr>
          <w:color w:val="231F20"/>
          <w:w w:val="110"/>
        </w:rPr>
        <w:t>Es innegable reconocer que en el transcurso de las últimas décadas las características de las familias mexicanas experimentaron profundas</w:t>
      </w:r>
      <w:r>
        <w:rPr>
          <w:color w:val="231F20"/>
          <w:spacing w:val="-15"/>
          <w:w w:val="110"/>
        </w:rPr>
        <w:t> </w:t>
      </w:r>
      <w:r>
        <w:rPr>
          <w:color w:val="231F20"/>
          <w:w w:val="110"/>
        </w:rPr>
        <w:t>trans- formaciones que están evidenciando cambios sin precedentes en la histo- ria y fisonomía de estas unidades. Cambios que además de irreversibles, </w:t>
      </w:r>
      <w:r>
        <w:rPr>
          <w:color w:val="231F20"/>
          <w:spacing w:val="3"/>
          <w:w w:val="110"/>
        </w:rPr>
        <w:t>obligan </w:t>
      </w:r>
      <w:r>
        <w:rPr>
          <w:color w:val="231F20"/>
          <w:w w:val="110"/>
        </w:rPr>
        <w:t>a </w:t>
      </w:r>
      <w:r>
        <w:rPr>
          <w:color w:val="231F20"/>
          <w:spacing w:val="3"/>
          <w:w w:val="110"/>
        </w:rPr>
        <w:t>valorar </w:t>
      </w:r>
      <w:r>
        <w:rPr>
          <w:color w:val="231F20"/>
          <w:spacing w:val="2"/>
          <w:w w:val="110"/>
        </w:rPr>
        <w:t>las </w:t>
      </w:r>
      <w:r>
        <w:rPr>
          <w:color w:val="231F20"/>
          <w:spacing w:val="3"/>
          <w:w w:val="110"/>
        </w:rPr>
        <w:t>consecuencias </w:t>
      </w:r>
      <w:r>
        <w:rPr>
          <w:color w:val="231F20"/>
          <w:w w:val="110"/>
        </w:rPr>
        <w:t>de </w:t>
      </w:r>
      <w:r>
        <w:rPr>
          <w:color w:val="231F20"/>
          <w:spacing w:val="2"/>
          <w:w w:val="110"/>
        </w:rPr>
        <w:t>sus </w:t>
      </w:r>
      <w:r>
        <w:rPr>
          <w:color w:val="231F20"/>
          <w:spacing w:val="3"/>
          <w:w w:val="110"/>
        </w:rPr>
        <w:t>impactos </w:t>
      </w:r>
      <w:r>
        <w:rPr>
          <w:color w:val="231F20"/>
          <w:w w:val="110"/>
        </w:rPr>
        <w:t>en </w:t>
      </w:r>
      <w:r>
        <w:rPr>
          <w:color w:val="231F20"/>
          <w:spacing w:val="2"/>
          <w:w w:val="110"/>
        </w:rPr>
        <w:t>una </w:t>
      </w:r>
      <w:r>
        <w:rPr>
          <w:color w:val="231F20"/>
          <w:spacing w:val="3"/>
          <w:w w:val="110"/>
        </w:rPr>
        <w:t>sociedad </w:t>
      </w:r>
      <w:r>
        <w:rPr>
          <w:color w:val="231F20"/>
          <w:w w:val="110"/>
        </w:rPr>
        <w:t>mexicana desigual, en creciente pobreza y sumamente heterogénea. Reco- nocer que la diversidad es una de las características distintivas de las uni- dades</w:t>
      </w:r>
      <w:r>
        <w:rPr>
          <w:color w:val="231F20"/>
          <w:spacing w:val="-18"/>
          <w:w w:val="110"/>
        </w:rPr>
        <w:t> </w:t>
      </w:r>
      <w:r>
        <w:rPr>
          <w:color w:val="231F20"/>
          <w:w w:val="110"/>
        </w:rPr>
        <w:t>familiares</w:t>
      </w:r>
      <w:r>
        <w:rPr>
          <w:color w:val="231F20"/>
          <w:spacing w:val="-18"/>
          <w:w w:val="110"/>
        </w:rPr>
        <w:t> </w:t>
      </w:r>
      <w:r>
        <w:rPr>
          <w:color w:val="231F20"/>
          <w:w w:val="110"/>
        </w:rPr>
        <w:t>del</w:t>
      </w:r>
      <w:r>
        <w:rPr>
          <w:color w:val="231F20"/>
          <w:spacing w:val="-18"/>
          <w:w w:val="110"/>
        </w:rPr>
        <w:t> </w:t>
      </w:r>
      <w:r>
        <w:rPr>
          <w:color w:val="231F20"/>
          <w:w w:val="110"/>
        </w:rPr>
        <w:t>México</w:t>
      </w:r>
      <w:r>
        <w:rPr>
          <w:color w:val="231F20"/>
          <w:spacing w:val="-18"/>
          <w:w w:val="110"/>
        </w:rPr>
        <w:t> </w:t>
      </w:r>
      <w:r>
        <w:rPr>
          <w:color w:val="231F20"/>
          <w:w w:val="110"/>
        </w:rPr>
        <w:t>del</w:t>
      </w:r>
      <w:r>
        <w:rPr>
          <w:color w:val="231F20"/>
          <w:spacing w:val="-18"/>
          <w:w w:val="110"/>
        </w:rPr>
        <w:t> </w:t>
      </w:r>
      <w:r>
        <w:rPr>
          <w:color w:val="231F20"/>
          <w:w w:val="110"/>
        </w:rPr>
        <w:t>siglo</w:t>
      </w:r>
      <w:r>
        <w:rPr>
          <w:color w:val="231F20"/>
          <w:spacing w:val="-18"/>
          <w:w w:val="110"/>
        </w:rPr>
        <w:t> </w:t>
      </w:r>
      <w:r>
        <w:rPr>
          <w:rFonts w:ascii="Times New Roman" w:hAnsi="Times New Roman"/>
          <w:color w:val="231F20"/>
          <w:w w:val="110"/>
          <w:sz w:val="16"/>
        </w:rPr>
        <w:t>XXI</w:t>
      </w:r>
      <w:r>
        <w:rPr>
          <w:rFonts w:ascii="Times New Roman" w:hAnsi="Times New Roman"/>
          <w:color w:val="231F20"/>
          <w:spacing w:val="-13"/>
          <w:w w:val="110"/>
          <w:sz w:val="16"/>
        </w:rPr>
        <w:t> </w:t>
      </w:r>
      <w:r>
        <w:rPr>
          <w:color w:val="231F20"/>
          <w:w w:val="110"/>
        </w:rPr>
        <w:t>es</w:t>
      </w:r>
      <w:r>
        <w:rPr>
          <w:color w:val="231F20"/>
          <w:spacing w:val="-18"/>
          <w:w w:val="110"/>
        </w:rPr>
        <w:t> </w:t>
      </w:r>
      <w:r>
        <w:rPr>
          <w:color w:val="231F20"/>
          <w:w w:val="110"/>
        </w:rPr>
        <w:t>admitir</w:t>
      </w:r>
      <w:r>
        <w:rPr>
          <w:color w:val="231F20"/>
          <w:spacing w:val="-18"/>
          <w:w w:val="110"/>
        </w:rPr>
        <w:t> </w:t>
      </w:r>
      <w:r>
        <w:rPr>
          <w:color w:val="231F20"/>
          <w:w w:val="110"/>
        </w:rPr>
        <w:t>que</w:t>
      </w:r>
      <w:r>
        <w:rPr>
          <w:color w:val="231F20"/>
          <w:spacing w:val="-18"/>
          <w:w w:val="110"/>
        </w:rPr>
        <w:t> </w:t>
      </w:r>
      <w:r>
        <w:rPr>
          <w:color w:val="231F20"/>
          <w:w w:val="110"/>
        </w:rPr>
        <w:t>las</w:t>
      </w:r>
      <w:r>
        <w:rPr>
          <w:color w:val="231F20"/>
          <w:spacing w:val="-18"/>
          <w:w w:val="110"/>
        </w:rPr>
        <w:t> </w:t>
      </w:r>
      <w:r>
        <w:rPr>
          <w:color w:val="231F20"/>
          <w:w w:val="110"/>
        </w:rPr>
        <w:t>políticas</w:t>
      </w:r>
      <w:r>
        <w:rPr>
          <w:color w:val="231F20"/>
          <w:spacing w:val="-18"/>
          <w:w w:val="110"/>
        </w:rPr>
        <w:t> </w:t>
      </w:r>
      <w:r>
        <w:rPr>
          <w:color w:val="231F20"/>
          <w:w w:val="110"/>
        </w:rPr>
        <w:t>públicas se enfrentan a por lo menos dos grandes retos: por una parte, integrar esa diversidad </w:t>
      </w:r>
      <w:r>
        <w:rPr>
          <w:color w:val="231F20"/>
          <w:spacing w:val="-9"/>
          <w:w w:val="110"/>
        </w:rPr>
        <w:t>y, </w:t>
      </w:r>
      <w:r>
        <w:rPr>
          <w:color w:val="231F20"/>
          <w:w w:val="110"/>
        </w:rPr>
        <w:t>por otro lado, apoyar a las familias más vulnerables de la so- ciedad para hacer frente a los inexorables cambios que </w:t>
      </w:r>
      <w:r>
        <w:rPr>
          <w:color w:val="231F20"/>
          <w:spacing w:val="13"/>
          <w:w w:val="110"/>
        </w:rPr>
        <w:t> </w:t>
      </w:r>
      <w:r>
        <w:rPr>
          <w:color w:val="231F20"/>
          <w:w w:val="110"/>
        </w:rPr>
        <w:t>experimentan.</w:t>
      </w:r>
    </w:p>
    <w:p>
      <w:pPr>
        <w:spacing w:after="0" w:line="295" w:lineRule="auto"/>
        <w:jc w:val="both"/>
        <w:sectPr>
          <w:pgSz w:w="9520" w:h="12920"/>
          <w:pgMar w:header="0" w:footer="1344" w:top="880" w:bottom="1540" w:left="1000" w:right="1320"/>
        </w:sectPr>
      </w:pPr>
    </w:p>
    <w:p>
      <w:pPr>
        <w:pStyle w:val="BodyText"/>
        <w:spacing w:line="285" w:lineRule="auto" w:before="42"/>
        <w:ind w:left="124" w:right="112" w:firstLine="360"/>
        <w:jc w:val="both"/>
      </w:pPr>
      <w:r>
        <w:rPr>
          <w:color w:val="231F20"/>
          <w:w w:val="110"/>
        </w:rPr>
        <w:t>Si </w:t>
      </w:r>
      <w:r>
        <w:rPr>
          <w:color w:val="231F20"/>
          <w:spacing w:val="-3"/>
          <w:w w:val="110"/>
        </w:rPr>
        <w:t>bien </w:t>
      </w:r>
      <w:r>
        <w:rPr>
          <w:color w:val="231F20"/>
          <w:w w:val="110"/>
        </w:rPr>
        <w:t>es </w:t>
      </w:r>
      <w:r>
        <w:rPr>
          <w:color w:val="231F20"/>
          <w:spacing w:val="-4"/>
          <w:w w:val="110"/>
        </w:rPr>
        <w:t>cierto </w:t>
      </w:r>
      <w:r>
        <w:rPr>
          <w:color w:val="231F20"/>
          <w:spacing w:val="-3"/>
          <w:w w:val="110"/>
        </w:rPr>
        <w:t>que las </w:t>
      </w:r>
      <w:r>
        <w:rPr>
          <w:color w:val="231F20"/>
          <w:spacing w:val="-4"/>
          <w:w w:val="110"/>
        </w:rPr>
        <w:t>transformaciones </w:t>
      </w:r>
      <w:r>
        <w:rPr>
          <w:color w:val="231F20"/>
          <w:w w:val="110"/>
        </w:rPr>
        <w:t>de </w:t>
      </w:r>
      <w:r>
        <w:rPr>
          <w:color w:val="231F20"/>
          <w:spacing w:val="-3"/>
          <w:w w:val="110"/>
        </w:rPr>
        <w:t>las </w:t>
      </w:r>
      <w:r>
        <w:rPr>
          <w:color w:val="231F20"/>
          <w:spacing w:val="-4"/>
          <w:w w:val="110"/>
        </w:rPr>
        <w:t>familias </w:t>
      </w:r>
      <w:r>
        <w:rPr>
          <w:color w:val="231F20"/>
          <w:spacing w:val="-3"/>
          <w:w w:val="110"/>
        </w:rPr>
        <w:t>son </w:t>
      </w:r>
      <w:r>
        <w:rPr>
          <w:color w:val="231F20"/>
          <w:spacing w:val="-4"/>
          <w:w w:val="110"/>
        </w:rPr>
        <w:t>temas siem- </w:t>
      </w:r>
      <w:r>
        <w:rPr>
          <w:color w:val="231F20"/>
          <w:w w:val="110"/>
        </w:rPr>
        <w:t>pre presentes en los discursos políticos (en los que de manera reiterada</w:t>
      </w:r>
      <w:r>
        <w:rPr>
          <w:color w:val="231F20"/>
          <w:spacing w:val="-24"/>
          <w:w w:val="110"/>
        </w:rPr>
        <w:t> </w:t>
      </w:r>
      <w:r>
        <w:rPr>
          <w:color w:val="231F20"/>
          <w:w w:val="110"/>
        </w:rPr>
        <w:t>se hace</w:t>
      </w:r>
      <w:r>
        <w:rPr>
          <w:color w:val="231F20"/>
          <w:spacing w:val="-12"/>
          <w:w w:val="110"/>
        </w:rPr>
        <w:t> </w:t>
      </w:r>
      <w:r>
        <w:rPr>
          <w:color w:val="231F20"/>
          <w:w w:val="110"/>
        </w:rPr>
        <w:t>hincapié</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preocupación</w:t>
      </w:r>
      <w:r>
        <w:rPr>
          <w:color w:val="231F20"/>
          <w:spacing w:val="-12"/>
          <w:w w:val="110"/>
        </w:rPr>
        <w:t> </w:t>
      </w:r>
      <w:r>
        <w:rPr>
          <w:color w:val="231F20"/>
          <w:w w:val="110"/>
        </w:rPr>
        <w:t>por</w:t>
      </w:r>
      <w:r>
        <w:rPr>
          <w:color w:val="231F20"/>
          <w:spacing w:val="-12"/>
          <w:w w:val="110"/>
        </w:rPr>
        <w:t> </w:t>
      </w:r>
      <w:r>
        <w:rPr>
          <w:color w:val="231F20"/>
          <w:w w:val="110"/>
        </w:rPr>
        <w:t>la</w:t>
      </w:r>
      <w:r>
        <w:rPr>
          <w:color w:val="231F20"/>
          <w:spacing w:val="-12"/>
          <w:w w:val="110"/>
        </w:rPr>
        <w:t> </w:t>
      </w:r>
      <w:r>
        <w:rPr>
          <w:color w:val="231F20"/>
          <w:spacing w:val="-3"/>
          <w:w w:val="110"/>
        </w:rPr>
        <w:t>“desintegración”</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familia),</w:t>
      </w:r>
      <w:r>
        <w:rPr>
          <w:color w:val="231F20"/>
          <w:spacing w:val="-12"/>
          <w:w w:val="110"/>
        </w:rPr>
        <w:t> </w:t>
      </w:r>
      <w:r>
        <w:rPr>
          <w:color w:val="231F20"/>
          <w:w w:val="110"/>
        </w:rPr>
        <w:t>poco y nada de ese interés se ha visto reflejado en las agendas de las políticas públicas</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distintos</w:t>
      </w:r>
      <w:r>
        <w:rPr>
          <w:color w:val="231F20"/>
          <w:spacing w:val="-6"/>
          <w:w w:val="110"/>
        </w:rPr>
        <w:t> </w:t>
      </w:r>
      <w:r>
        <w:rPr>
          <w:color w:val="231F20"/>
          <w:w w:val="110"/>
        </w:rPr>
        <w:t>gobiernos</w:t>
      </w:r>
      <w:r>
        <w:rPr>
          <w:color w:val="231F20"/>
          <w:spacing w:val="-6"/>
          <w:w w:val="110"/>
        </w:rPr>
        <w:t> </w:t>
      </w:r>
      <w:r>
        <w:rPr>
          <w:color w:val="231F20"/>
          <w:w w:val="110"/>
        </w:rPr>
        <w:t>que</w:t>
      </w:r>
      <w:r>
        <w:rPr>
          <w:color w:val="231F20"/>
          <w:spacing w:val="-6"/>
          <w:w w:val="110"/>
        </w:rPr>
        <w:t> </w:t>
      </w:r>
      <w:r>
        <w:rPr>
          <w:color w:val="231F20"/>
          <w:w w:val="110"/>
        </w:rPr>
        <w:t>ha</w:t>
      </w:r>
      <w:r>
        <w:rPr>
          <w:color w:val="231F20"/>
          <w:spacing w:val="-6"/>
          <w:w w:val="110"/>
        </w:rPr>
        <w:t> </w:t>
      </w:r>
      <w:r>
        <w:rPr>
          <w:color w:val="231F20"/>
          <w:w w:val="110"/>
        </w:rPr>
        <w:t>tenido</w:t>
      </w:r>
      <w:r>
        <w:rPr>
          <w:color w:val="231F20"/>
          <w:spacing w:val="-6"/>
          <w:w w:val="110"/>
        </w:rPr>
        <w:t> </w:t>
      </w:r>
      <w:r>
        <w:rPr>
          <w:color w:val="231F20"/>
          <w:w w:val="110"/>
        </w:rPr>
        <w:t>México.</w:t>
      </w:r>
      <w:r>
        <w:rPr>
          <w:color w:val="231F20"/>
          <w:spacing w:val="-6"/>
          <w:w w:val="110"/>
        </w:rPr>
        <w:t> </w:t>
      </w:r>
      <w:r>
        <w:rPr>
          <w:color w:val="231F20"/>
          <w:w w:val="110"/>
        </w:rPr>
        <w:t>Del</w:t>
      </w:r>
      <w:r>
        <w:rPr>
          <w:color w:val="231F20"/>
          <w:spacing w:val="-6"/>
          <w:w w:val="110"/>
        </w:rPr>
        <w:t> </w:t>
      </w:r>
      <w:r>
        <w:rPr>
          <w:color w:val="231F20"/>
          <w:w w:val="110"/>
        </w:rPr>
        <w:t>mismo</w:t>
      </w:r>
      <w:r>
        <w:rPr>
          <w:color w:val="231F20"/>
          <w:spacing w:val="-6"/>
          <w:w w:val="110"/>
        </w:rPr>
        <w:t> </w:t>
      </w:r>
      <w:r>
        <w:rPr>
          <w:color w:val="231F20"/>
          <w:w w:val="110"/>
        </w:rPr>
        <w:t>modo, los</w:t>
      </w:r>
      <w:r>
        <w:rPr>
          <w:color w:val="231F20"/>
          <w:spacing w:val="-8"/>
          <w:w w:val="110"/>
        </w:rPr>
        <w:t> </w:t>
      </w:r>
      <w:r>
        <w:rPr>
          <w:color w:val="231F20"/>
          <w:w w:val="110"/>
        </w:rPr>
        <w:t>cambios</w:t>
      </w:r>
      <w:r>
        <w:rPr>
          <w:color w:val="231F20"/>
          <w:spacing w:val="-8"/>
          <w:w w:val="110"/>
        </w:rPr>
        <w:t> </w:t>
      </w:r>
      <w:r>
        <w:rPr>
          <w:color w:val="231F20"/>
          <w:w w:val="110"/>
        </w:rPr>
        <w:t>sociodemográficos</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familias</w:t>
      </w:r>
      <w:r>
        <w:rPr>
          <w:color w:val="231F20"/>
          <w:spacing w:val="-8"/>
          <w:w w:val="110"/>
        </w:rPr>
        <w:t> </w:t>
      </w:r>
      <w:r>
        <w:rPr>
          <w:color w:val="231F20"/>
          <w:w w:val="110"/>
        </w:rPr>
        <w:t>también</w:t>
      </w:r>
      <w:r>
        <w:rPr>
          <w:color w:val="231F20"/>
          <w:spacing w:val="-8"/>
          <w:w w:val="110"/>
        </w:rPr>
        <w:t> </w:t>
      </w:r>
      <w:r>
        <w:rPr>
          <w:color w:val="231F20"/>
          <w:w w:val="110"/>
        </w:rPr>
        <w:t>han</w:t>
      </w:r>
      <w:r>
        <w:rPr>
          <w:color w:val="231F20"/>
          <w:spacing w:val="-8"/>
          <w:w w:val="110"/>
        </w:rPr>
        <w:t> </w:t>
      </w:r>
      <w:r>
        <w:rPr>
          <w:color w:val="231F20"/>
          <w:w w:val="110"/>
        </w:rPr>
        <w:t>estado</w:t>
      </w:r>
      <w:r>
        <w:rPr>
          <w:color w:val="231F20"/>
          <w:spacing w:val="-8"/>
          <w:w w:val="110"/>
        </w:rPr>
        <w:t> </w:t>
      </w:r>
      <w:r>
        <w:rPr>
          <w:color w:val="231F20"/>
          <w:spacing w:val="-4"/>
          <w:w w:val="110"/>
        </w:rPr>
        <w:t>ausentes </w:t>
      </w:r>
      <w:r>
        <w:rPr>
          <w:color w:val="231F20"/>
          <w:w w:val="110"/>
        </w:rPr>
        <w:t>del diseño de las políticas públicas (Cabella, 2007). Así, teniendo en</w:t>
      </w:r>
      <w:r>
        <w:rPr>
          <w:color w:val="231F20"/>
          <w:spacing w:val="-23"/>
          <w:w w:val="110"/>
        </w:rPr>
        <w:t> </w:t>
      </w:r>
      <w:r>
        <w:rPr>
          <w:color w:val="231F20"/>
          <w:w w:val="110"/>
        </w:rPr>
        <w:t>cuenta la</w:t>
      </w:r>
      <w:r>
        <w:rPr>
          <w:color w:val="231F20"/>
          <w:spacing w:val="-6"/>
          <w:w w:val="110"/>
        </w:rPr>
        <w:t> </w:t>
      </w:r>
      <w:r>
        <w:rPr>
          <w:color w:val="231F20"/>
          <w:w w:val="110"/>
        </w:rPr>
        <w:t>necesidad</w:t>
      </w:r>
      <w:r>
        <w:rPr>
          <w:color w:val="231F20"/>
          <w:spacing w:val="-6"/>
          <w:w w:val="110"/>
        </w:rPr>
        <w:t> </w:t>
      </w:r>
      <w:r>
        <w:rPr>
          <w:color w:val="231F20"/>
          <w:w w:val="110"/>
        </w:rPr>
        <w:t>de</w:t>
      </w:r>
      <w:r>
        <w:rPr>
          <w:color w:val="231F20"/>
          <w:spacing w:val="-6"/>
          <w:w w:val="110"/>
        </w:rPr>
        <w:t> </w:t>
      </w:r>
      <w:r>
        <w:rPr>
          <w:color w:val="231F20"/>
          <w:w w:val="110"/>
        </w:rPr>
        <w:t>buscar</w:t>
      </w:r>
      <w:r>
        <w:rPr>
          <w:color w:val="231F20"/>
          <w:spacing w:val="-6"/>
          <w:w w:val="110"/>
        </w:rPr>
        <w:t> </w:t>
      </w:r>
      <w:r>
        <w:rPr>
          <w:color w:val="231F20"/>
          <w:w w:val="110"/>
        </w:rPr>
        <w:t>un</w:t>
      </w:r>
      <w:r>
        <w:rPr>
          <w:color w:val="231F20"/>
          <w:spacing w:val="-6"/>
          <w:w w:val="110"/>
        </w:rPr>
        <w:t> </w:t>
      </w:r>
      <w:r>
        <w:rPr>
          <w:color w:val="231F20"/>
          <w:w w:val="110"/>
        </w:rPr>
        <w:t>punto</w:t>
      </w:r>
      <w:r>
        <w:rPr>
          <w:color w:val="231F20"/>
          <w:spacing w:val="-6"/>
          <w:w w:val="110"/>
        </w:rPr>
        <w:t> </w:t>
      </w:r>
      <w:r>
        <w:rPr>
          <w:color w:val="231F20"/>
          <w:w w:val="110"/>
        </w:rPr>
        <w:t>de</w:t>
      </w:r>
      <w:r>
        <w:rPr>
          <w:color w:val="231F20"/>
          <w:spacing w:val="-6"/>
          <w:w w:val="110"/>
        </w:rPr>
        <w:t> </w:t>
      </w:r>
      <w:r>
        <w:rPr>
          <w:color w:val="231F20"/>
          <w:w w:val="110"/>
        </w:rPr>
        <w:t>encuentro</w:t>
      </w:r>
      <w:r>
        <w:rPr>
          <w:color w:val="231F20"/>
          <w:spacing w:val="-6"/>
          <w:w w:val="110"/>
        </w:rPr>
        <w:t> </w:t>
      </w:r>
      <w:r>
        <w:rPr>
          <w:color w:val="231F20"/>
          <w:w w:val="110"/>
        </w:rPr>
        <w:t>entre</w:t>
      </w:r>
      <w:r>
        <w:rPr>
          <w:color w:val="231F20"/>
          <w:spacing w:val="-6"/>
          <w:w w:val="110"/>
        </w:rPr>
        <w:t> </w:t>
      </w:r>
      <w:r>
        <w:rPr>
          <w:color w:val="231F20"/>
          <w:w w:val="110"/>
        </w:rPr>
        <w:t>los</w:t>
      </w:r>
      <w:r>
        <w:rPr>
          <w:color w:val="231F20"/>
          <w:spacing w:val="-6"/>
          <w:w w:val="110"/>
        </w:rPr>
        <w:t> </w:t>
      </w:r>
      <w:r>
        <w:rPr>
          <w:color w:val="231F20"/>
          <w:w w:val="110"/>
        </w:rPr>
        <w:t>cambios</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fami- lia y el diseño de políticas públicas destinadas a estas unidades, se pueden identificar al menos tres grandes desafíos a los que se debe hacer  </w:t>
      </w:r>
      <w:r>
        <w:rPr>
          <w:color w:val="231F20"/>
          <w:spacing w:val="11"/>
          <w:w w:val="110"/>
        </w:rPr>
        <w:t> </w:t>
      </w:r>
      <w:r>
        <w:rPr>
          <w:color w:val="231F20"/>
          <w:w w:val="110"/>
        </w:rPr>
        <w:t>frente:</w:t>
      </w:r>
    </w:p>
    <w:p>
      <w:pPr>
        <w:pStyle w:val="BodyText"/>
        <w:spacing w:before="11"/>
        <w:rPr>
          <w:sz w:val="23"/>
        </w:rPr>
      </w:pPr>
    </w:p>
    <w:p>
      <w:pPr>
        <w:pStyle w:val="ListParagraph"/>
        <w:numPr>
          <w:ilvl w:val="2"/>
          <w:numId w:val="1"/>
        </w:numPr>
        <w:tabs>
          <w:tab w:pos="485" w:val="left" w:leader="none"/>
        </w:tabs>
        <w:spacing w:line="285" w:lineRule="auto" w:before="0" w:after="0"/>
        <w:ind w:left="484" w:right="110" w:hanging="240"/>
        <w:jc w:val="both"/>
        <w:rPr>
          <w:sz w:val="20"/>
        </w:rPr>
      </w:pPr>
      <w:r>
        <w:rPr>
          <w:color w:val="231F20"/>
          <w:w w:val="110"/>
          <w:sz w:val="20"/>
        </w:rPr>
        <w:t>Las políticas públicas deben incorporar en sus programas la heteroge- neidad de los grupos familiares más allá de los modelos ideológicos predominantes.</w:t>
      </w:r>
    </w:p>
    <w:p>
      <w:pPr>
        <w:pStyle w:val="ListParagraph"/>
        <w:numPr>
          <w:ilvl w:val="2"/>
          <w:numId w:val="1"/>
        </w:numPr>
        <w:tabs>
          <w:tab w:pos="485" w:val="left" w:leader="none"/>
        </w:tabs>
        <w:spacing w:line="285" w:lineRule="auto" w:before="1" w:after="0"/>
        <w:ind w:left="484" w:right="113" w:hanging="240"/>
        <w:jc w:val="both"/>
        <w:rPr>
          <w:sz w:val="20"/>
        </w:rPr>
      </w:pPr>
      <w:r>
        <w:rPr>
          <w:color w:val="231F20"/>
          <w:w w:val="110"/>
          <w:sz w:val="20"/>
        </w:rPr>
        <w:t>En primer lugar, es imprescindible promover políticas públicas que reconozcan la igualdad de género y rompan con los esquemas</w:t>
      </w:r>
      <w:r>
        <w:rPr>
          <w:color w:val="231F20"/>
          <w:spacing w:val="-29"/>
          <w:w w:val="110"/>
          <w:sz w:val="20"/>
        </w:rPr>
        <w:t> </w:t>
      </w:r>
      <w:r>
        <w:rPr>
          <w:color w:val="231F20"/>
          <w:w w:val="110"/>
          <w:sz w:val="20"/>
        </w:rPr>
        <w:t>tradicio- nales que asignan a la mujer roles específicos dentro del   </w:t>
      </w:r>
      <w:r>
        <w:rPr>
          <w:color w:val="231F20"/>
          <w:spacing w:val="-3"/>
          <w:w w:val="110"/>
          <w:sz w:val="20"/>
        </w:rPr>
        <w:t>hogar.</w:t>
      </w:r>
    </w:p>
    <w:p>
      <w:pPr>
        <w:pStyle w:val="ListParagraph"/>
        <w:numPr>
          <w:ilvl w:val="2"/>
          <w:numId w:val="1"/>
        </w:numPr>
        <w:tabs>
          <w:tab w:pos="485" w:val="left" w:leader="none"/>
        </w:tabs>
        <w:spacing w:line="285" w:lineRule="auto" w:before="1" w:after="0"/>
        <w:ind w:left="484" w:right="113" w:hanging="240"/>
        <w:jc w:val="both"/>
        <w:rPr>
          <w:sz w:val="20"/>
        </w:rPr>
      </w:pPr>
      <w:r>
        <w:rPr>
          <w:color w:val="231F20"/>
          <w:w w:val="110"/>
          <w:sz w:val="20"/>
        </w:rPr>
        <w:t>En segundo término, es forzoso lograr también un equilibro en las re- laciones intergeneracionales que asegure el bienestar a todos los gru- pos de edad que integran los núcleos </w:t>
      </w:r>
      <w:r>
        <w:rPr>
          <w:color w:val="231F20"/>
          <w:spacing w:val="16"/>
          <w:w w:val="110"/>
          <w:sz w:val="20"/>
        </w:rPr>
        <w:t> </w:t>
      </w:r>
      <w:r>
        <w:rPr>
          <w:color w:val="231F20"/>
          <w:w w:val="110"/>
          <w:sz w:val="20"/>
        </w:rPr>
        <w:t>familiares.</w:t>
      </w:r>
    </w:p>
    <w:p>
      <w:pPr>
        <w:pStyle w:val="BodyText"/>
      </w:pPr>
    </w:p>
    <w:p>
      <w:pPr>
        <w:pStyle w:val="BodyText"/>
        <w:spacing w:before="11"/>
        <w:rPr>
          <w:sz w:val="24"/>
        </w:rPr>
      </w:pPr>
    </w:p>
    <w:p>
      <w:pPr>
        <w:spacing w:before="0"/>
        <w:ind w:left="124" w:right="0" w:firstLine="0"/>
        <w:jc w:val="left"/>
        <w:rPr>
          <w:rFonts w:ascii="Times New Roman" w:hAnsi="Times New Roman"/>
          <w:i/>
          <w:sz w:val="19"/>
        </w:rPr>
      </w:pPr>
      <w:r>
        <w:rPr>
          <w:rFonts w:ascii="Times New Roman" w:hAnsi="Times New Roman"/>
          <w:i/>
          <w:color w:val="231F20"/>
          <w:sz w:val="24"/>
        </w:rPr>
        <w:t>B</w:t>
      </w:r>
      <w:r>
        <w:rPr>
          <w:rFonts w:ascii="Times New Roman" w:hAnsi="Times New Roman"/>
          <w:i/>
          <w:color w:val="231F20"/>
          <w:sz w:val="19"/>
        </w:rPr>
        <w:t>IBLIOGRAFÍA</w:t>
      </w:r>
    </w:p>
    <w:p>
      <w:pPr>
        <w:pStyle w:val="BodyText"/>
        <w:spacing w:before="6"/>
        <w:rPr>
          <w:rFonts w:ascii="Times New Roman"/>
          <w:i/>
          <w:sz w:val="25"/>
        </w:rPr>
      </w:pPr>
    </w:p>
    <w:p>
      <w:pPr>
        <w:spacing w:line="264" w:lineRule="auto" w:before="0"/>
        <w:ind w:left="484" w:right="116" w:hanging="360"/>
        <w:jc w:val="both"/>
        <w:rPr>
          <w:sz w:val="19"/>
        </w:rPr>
      </w:pPr>
      <w:r>
        <w:rPr>
          <w:rFonts w:ascii="Times New Roman" w:hAnsi="Times New Roman"/>
          <w:color w:val="231F20"/>
          <w:w w:val="110"/>
          <w:sz w:val="19"/>
        </w:rPr>
        <w:t>A</w:t>
      </w:r>
      <w:r>
        <w:rPr>
          <w:rFonts w:ascii="Times New Roman" w:hAnsi="Times New Roman"/>
          <w:color w:val="231F20"/>
          <w:w w:val="110"/>
          <w:sz w:val="15"/>
        </w:rPr>
        <w:t>RRIAGADA</w:t>
      </w:r>
      <w:r>
        <w:rPr>
          <w:rFonts w:ascii="Times New Roman" w:hAnsi="Times New Roman"/>
          <w:color w:val="231F20"/>
          <w:w w:val="110"/>
          <w:sz w:val="19"/>
        </w:rPr>
        <w:t>, </w:t>
      </w:r>
      <w:r>
        <w:rPr>
          <w:color w:val="231F20"/>
          <w:w w:val="110"/>
          <w:sz w:val="19"/>
        </w:rPr>
        <w:t>Irma (2007), “Familias latinoamericanas: cambiantes, diversas y desiguales”, </w:t>
      </w:r>
      <w:r>
        <w:rPr>
          <w:i/>
          <w:color w:val="231F20"/>
          <w:w w:val="110"/>
          <w:sz w:val="19"/>
        </w:rPr>
        <w:t>Papeles de Población</w:t>
      </w:r>
      <w:r>
        <w:rPr>
          <w:color w:val="231F20"/>
          <w:w w:val="110"/>
          <w:sz w:val="19"/>
        </w:rPr>
        <w:t>, año 13, núm. 53, pp. 9-22.</w:t>
      </w:r>
    </w:p>
    <w:p>
      <w:pPr>
        <w:pStyle w:val="ListParagraph"/>
        <w:numPr>
          <w:ilvl w:val="0"/>
          <w:numId w:val="2"/>
        </w:numPr>
        <w:tabs>
          <w:tab w:pos="384" w:val="left" w:leader="none"/>
        </w:tabs>
        <w:spacing w:line="264" w:lineRule="auto" w:before="1" w:after="0"/>
        <w:ind w:left="484" w:right="113" w:hanging="360"/>
        <w:jc w:val="both"/>
        <w:rPr>
          <w:sz w:val="19"/>
        </w:rPr>
      </w:pPr>
      <w:r>
        <w:rPr>
          <w:rFonts w:ascii="Times New Roman" w:hAnsi="Times New Roman"/>
          <w:color w:val="231F20"/>
          <w:w w:val="105"/>
          <w:sz w:val="15"/>
        </w:rPr>
        <w:t>AA</w:t>
      </w:r>
      <w:r>
        <w:rPr>
          <w:rFonts w:ascii="Times New Roman" w:hAnsi="Times New Roman"/>
          <w:color w:val="231F20"/>
          <w:w w:val="105"/>
          <w:sz w:val="19"/>
        </w:rPr>
        <w:t>. </w:t>
      </w:r>
      <w:r>
        <w:rPr>
          <w:color w:val="231F20"/>
          <w:w w:val="105"/>
          <w:sz w:val="19"/>
        </w:rPr>
        <w:t>(1996), </w:t>
      </w:r>
      <w:r>
        <w:rPr>
          <w:i/>
          <w:color w:val="231F20"/>
          <w:w w:val="105"/>
          <w:sz w:val="19"/>
        </w:rPr>
        <w:t>La familia: investigación y política pública</w:t>
      </w:r>
      <w:r>
        <w:rPr>
          <w:color w:val="231F20"/>
          <w:w w:val="105"/>
          <w:sz w:val="19"/>
        </w:rPr>
        <w:t>, México, Unicef, </w:t>
      </w:r>
      <w:r>
        <w:rPr>
          <w:rFonts w:ascii="Times New Roman" w:hAnsi="Times New Roman"/>
          <w:color w:val="231F20"/>
          <w:w w:val="105"/>
          <w:sz w:val="15"/>
        </w:rPr>
        <w:t>AIF </w:t>
      </w:r>
      <w:r>
        <w:rPr>
          <w:color w:val="231F20"/>
          <w:w w:val="105"/>
          <w:sz w:val="19"/>
        </w:rPr>
        <w:t>y Colmex.</w:t>
      </w:r>
    </w:p>
    <w:p>
      <w:pPr>
        <w:tabs>
          <w:tab w:pos="844" w:val="left" w:leader="none"/>
        </w:tabs>
        <w:spacing w:line="264" w:lineRule="auto" w:before="1"/>
        <w:ind w:left="484" w:right="113" w:hanging="360"/>
        <w:jc w:val="both"/>
        <w:rPr>
          <w:sz w:val="19"/>
        </w:rPr>
      </w:pPr>
      <w:r>
        <w:rPr>
          <w:color w:val="231F20"/>
          <w:w w:val="128"/>
          <w:sz w:val="19"/>
          <w:u w:val="single" w:color="231F20"/>
        </w:rPr>
        <w:t> </w:t>
      </w:r>
      <w:r>
        <w:rPr>
          <w:color w:val="231F20"/>
          <w:sz w:val="19"/>
          <w:u w:val="single" w:color="231F20"/>
        </w:rPr>
        <w:tab/>
        <w:tab/>
      </w:r>
      <w:r>
        <w:rPr>
          <w:color w:val="231F20"/>
          <w:sz w:val="19"/>
        </w:rPr>
        <w:t> </w:t>
      </w:r>
      <w:r>
        <w:rPr>
          <w:color w:val="231F20"/>
          <w:spacing w:val="-10"/>
          <w:sz w:val="19"/>
        </w:rPr>
        <w:t> </w:t>
      </w:r>
      <w:r>
        <w:rPr>
          <w:color w:val="231F20"/>
          <w:w w:val="110"/>
          <w:sz w:val="19"/>
        </w:rPr>
        <w:t>(1987), </w:t>
      </w:r>
      <w:r>
        <w:rPr>
          <w:i/>
          <w:color w:val="231F20"/>
          <w:w w:val="110"/>
          <w:sz w:val="19"/>
        </w:rPr>
        <w:t>Cuadernos de Familia</w:t>
      </w:r>
      <w:r>
        <w:rPr>
          <w:color w:val="231F20"/>
          <w:w w:val="110"/>
          <w:sz w:val="19"/>
        </w:rPr>
        <w:t>, núm. 2, Manizales,</w:t>
      </w:r>
      <w:r>
        <w:rPr>
          <w:color w:val="231F20"/>
          <w:spacing w:val="33"/>
          <w:w w:val="110"/>
          <w:sz w:val="19"/>
        </w:rPr>
        <w:t> </w:t>
      </w:r>
      <w:r>
        <w:rPr>
          <w:color w:val="231F20"/>
          <w:w w:val="110"/>
          <w:sz w:val="19"/>
        </w:rPr>
        <w:t>Colombia,</w:t>
      </w:r>
      <w:r>
        <w:rPr>
          <w:color w:val="231F20"/>
          <w:spacing w:val="6"/>
          <w:w w:val="110"/>
          <w:sz w:val="19"/>
        </w:rPr>
        <w:t> </w:t>
      </w:r>
      <w:r>
        <w:rPr>
          <w:color w:val="231F20"/>
          <w:w w:val="110"/>
          <w:sz w:val="19"/>
        </w:rPr>
        <w:t>Universi-</w:t>
      </w:r>
      <w:r>
        <w:rPr>
          <w:color w:val="231F20"/>
          <w:w w:val="93"/>
          <w:sz w:val="19"/>
        </w:rPr>
        <w:t> </w:t>
      </w:r>
      <w:r>
        <w:rPr>
          <w:color w:val="231F20"/>
          <w:w w:val="110"/>
          <w:sz w:val="19"/>
        </w:rPr>
        <w:t>dad de Caldas, Facultad de Desarrollo</w:t>
      </w:r>
      <w:r>
        <w:rPr>
          <w:color w:val="231F20"/>
          <w:spacing w:val="40"/>
          <w:w w:val="110"/>
          <w:sz w:val="19"/>
        </w:rPr>
        <w:t> </w:t>
      </w:r>
      <w:r>
        <w:rPr>
          <w:color w:val="231F20"/>
          <w:spacing w:val="-4"/>
          <w:w w:val="110"/>
          <w:sz w:val="19"/>
        </w:rPr>
        <w:t>Familiar.</w:t>
      </w:r>
    </w:p>
    <w:p>
      <w:pPr>
        <w:spacing w:line="264" w:lineRule="auto" w:before="1"/>
        <w:ind w:left="484" w:right="113" w:hanging="360"/>
        <w:jc w:val="both"/>
        <w:rPr>
          <w:sz w:val="19"/>
        </w:rPr>
      </w:pPr>
      <w:r>
        <w:rPr>
          <w:rFonts w:ascii="Times New Roman" w:hAnsi="Times New Roman"/>
          <w:color w:val="231F20"/>
          <w:w w:val="105"/>
          <w:sz w:val="19"/>
        </w:rPr>
        <w:t>B</w:t>
      </w:r>
      <w:r>
        <w:rPr>
          <w:rFonts w:ascii="Times New Roman" w:hAnsi="Times New Roman"/>
          <w:color w:val="231F20"/>
          <w:w w:val="105"/>
          <w:sz w:val="15"/>
        </w:rPr>
        <w:t>ANEGAS</w:t>
      </w:r>
      <w:r>
        <w:rPr>
          <w:rFonts w:ascii="Times New Roman" w:hAnsi="Times New Roman"/>
          <w:color w:val="231F20"/>
          <w:w w:val="105"/>
          <w:sz w:val="19"/>
        </w:rPr>
        <w:t>, </w:t>
      </w:r>
      <w:r>
        <w:rPr>
          <w:color w:val="231F20"/>
          <w:w w:val="105"/>
          <w:sz w:val="19"/>
        </w:rPr>
        <w:t>Israel (2008), </w:t>
      </w:r>
      <w:r>
        <w:rPr>
          <w:i/>
          <w:color w:val="231F20"/>
          <w:w w:val="105"/>
          <w:sz w:val="19"/>
        </w:rPr>
        <w:t>Trayectorias de bienestar y vulnerabilidad: Análisis de un </w:t>
      </w:r>
      <w:r>
        <w:rPr>
          <w:i/>
          <w:color w:val="231F20"/>
          <w:w w:val="105"/>
          <w:sz w:val="19"/>
        </w:rPr>
        <w:t>panel</w:t>
      </w:r>
      <w:r>
        <w:rPr>
          <w:i/>
          <w:color w:val="231F20"/>
          <w:spacing w:val="-20"/>
          <w:w w:val="105"/>
          <w:sz w:val="19"/>
        </w:rPr>
        <w:t> </w:t>
      </w:r>
      <w:r>
        <w:rPr>
          <w:i/>
          <w:color w:val="231F20"/>
          <w:w w:val="105"/>
          <w:sz w:val="19"/>
        </w:rPr>
        <w:t>de</w:t>
      </w:r>
      <w:r>
        <w:rPr>
          <w:i/>
          <w:color w:val="231F20"/>
          <w:spacing w:val="-20"/>
          <w:w w:val="105"/>
          <w:sz w:val="19"/>
        </w:rPr>
        <w:t> </w:t>
      </w:r>
      <w:r>
        <w:rPr>
          <w:i/>
          <w:color w:val="231F20"/>
          <w:w w:val="105"/>
          <w:sz w:val="19"/>
        </w:rPr>
        <w:t>hogares</w:t>
      </w:r>
      <w:r>
        <w:rPr>
          <w:i/>
          <w:color w:val="231F20"/>
          <w:spacing w:val="-20"/>
          <w:w w:val="105"/>
          <w:sz w:val="19"/>
        </w:rPr>
        <w:t> </w:t>
      </w:r>
      <w:r>
        <w:rPr>
          <w:i/>
          <w:color w:val="231F20"/>
          <w:w w:val="105"/>
          <w:sz w:val="19"/>
        </w:rPr>
        <w:t>incorporados</w:t>
      </w:r>
      <w:r>
        <w:rPr>
          <w:i/>
          <w:color w:val="231F20"/>
          <w:spacing w:val="-20"/>
          <w:w w:val="105"/>
          <w:sz w:val="19"/>
        </w:rPr>
        <w:t> </w:t>
      </w:r>
      <w:r>
        <w:rPr>
          <w:i/>
          <w:color w:val="231F20"/>
          <w:w w:val="105"/>
          <w:sz w:val="19"/>
        </w:rPr>
        <w:t>al</w:t>
      </w:r>
      <w:r>
        <w:rPr>
          <w:i/>
          <w:color w:val="231F20"/>
          <w:spacing w:val="-20"/>
          <w:w w:val="105"/>
          <w:sz w:val="19"/>
        </w:rPr>
        <w:t> </w:t>
      </w:r>
      <w:r>
        <w:rPr>
          <w:i/>
          <w:color w:val="231F20"/>
          <w:w w:val="105"/>
          <w:sz w:val="19"/>
        </w:rPr>
        <w:t>programa</w:t>
      </w:r>
      <w:r>
        <w:rPr>
          <w:i/>
          <w:color w:val="231F20"/>
          <w:spacing w:val="-20"/>
          <w:w w:val="105"/>
          <w:sz w:val="19"/>
        </w:rPr>
        <w:t> </w:t>
      </w:r>
      <w:r>
        <w:rPr>
          <w:i/>
          <w:color w:val="231F20"/>
          <w:w w:val="105"/>
          <w:sz w:val="19"/>
        </w:rPr>
        <w:t>Oportunidades</w:t>
      </w:r>
      <w:r>
        <w:rPr>
          <w:i/>
          <w:color w:val="231F20"/>
          <w:spacing w:val="-20"/>
          <w:w w:val="105"/>
          <w:sz w:val="19"/>
        </w:rPr>
        <w:t> </w:t>
      </w:r>
      <w:r>
        <w:rPr>
          <w:i/>
          <w:color w:val="231F20"/>
          <w:w w:val="105"/>
          <w:sz w:val="19"/>
        </w:rPr>
        <w:t>(1997-2006)</w:t>
      </w:r>
      <w:r>
        <w:rPr>
          <w:color w:val="231F20"/>
          <w:w w:val="105"/>
          <w:sz w:val="19"/>
        </w:rPr>
        <w:t>,</w:t>
      </w:r>
      <w:r>
        <w:rPr>
          <w:color w:val="231F20"/>
          <w:spacing w:val="-17"/>
          <w:w w:val="105"/>
          <w:sz w:val="19"/>
        </w:rPr>
        <w:t> </w:t>
      </w:r>
      <w:r>
        <w:rPr>
          <w:color w:val="231F20"/>
          <w:w w:val="105"/>
          <w:sz w:val="19"/>
        </w:rPr>
        <w:t>México, El   Colegio </w:t>
      </w:r>
      <w:r>
        <w:rPr>
          <w:color w:val="231F20"/>
          <w:spacing w:val="13"/>
          <w:w w:val="105"/>
          <w:sz w:val="19"/>
        </w:rPr>
        <w:t> </w:t>
      </w:r>
      <w:r>
        <w:rPr>
          <w:color w:val="231F20"/>
          <w:w w:val="105"/>
          <w:sz w:val="19"/>
        </w:rPr>
        <w:t>Mexiquense.</w:t>
      </w:r>
    </w:p>
    <w:p>
      <w:pPr>
        <w:spacing w:line="264" w:lineRule="auto" w:before="1"/>
        <w:ind w:left="484" w:right="113" w:hanging="360"/>
        <w:jc w:val="both"/>
        <w:rPr>
          <w:sz w:val="19"/>
        </w:rPr>
      </w:pPr>
      <w:r>
        <w:rPr>
          <w:rFonts w:ascii="Times New Roman" w:hAnsi="Times New Roman"/>
          <w:color w:val="231F20"/>
          <w:w w:val="110"/>
          <w:sz w:val="19"/>
        </w:rPr>
        <w:t>B</w:t>
      </w:r>
      <w:r>
        <w:rPr>
          <w:rFonts w:ascii="Times New Roman" w:hAnsi="Times New Roman"/>
          <w:color w:val="231F20"/>
          <w:w w:val="110"/>
          <w:sz w:val="15"/>
        </w:rPr>
        <w:t>ORSOTTI</w:t>
      </w:r>
      <w:r>
        <w:rPr>
          <w:color w:val="231F20"/>
          <w:w w:val="110"/>
          <w:sz w:val="19"/>
        </w:rPr>
        <w:t>,</w:t>
      </w:r>
      <w:r>
        <w:rPr>
          <w:color w:val="231F20"/>
          <w:spacing w:val="-3"/>
          <w:w w:val="110"/>
          <w:sz w:val="19"/>
        </w:rPr>
        <w:t> </w:t>
      </w:r>
      <w:r>
        <w:rPr>
          <w:color w:val="231F20"/>
          <w:w w:val="110"/>
          <w:sz w:val="19"/>
        </w:rPr>
        <w:t>Carlos</w:t>
      </w:r>
      <w:r>
        <w:rPr>
          <w:color w:val="231F20"/>
          <w:spacing w:val="-3"/>
          <w:w w:val="110"/>
          <w:sz w:val="19"/>
        </w:rPr>
        <w:t> </w:t>
      </w:r>
      <w:r>
        <w:rPr>
          <w:color w:val="231F20"/>
          <w:w w:val="110"/>
          <w:sz w:val="19"/>
        </w:rPr>
        <w:t>A.</w:t>
      </w:r>
      <w:r>
        <w:rPr>
          <w:color w:val="231F20"/>
          <w:spacing w:val="-3"/>
          <w:w w:val="110"/>
          <w:sz w:val="19"/>
        </w:rPr>
        <w:t> </w:t>
      </w:r>
      <w:r>
        <w:rPr>
          <w:color w:val="231F20"/>
          <w:w w:val="110"/>
          <w:sz w:val="19"/>
        </w:rPr>
        <w:t>(1978),</w:t>
      </w:r>
      <w:r>
        <w:rPr>
          <w:color w:val="231F20"/>
          <w:spacing w:val="-3"/>
          <w:w w:val="110"/>
          <w:sz w:val="19"/>
        </w:rPr>
        <w:t> </w:t>
      </w:r>
      <w:r>
        <w:rPr>
          <w:i/>
          <w:color w:val="231F20"/>
          <w:w w:val="110"/>
          <w:sz w:val="19"/>
        </w:rPr>
        <w:t>Notas</w:t>
      </w:r>
      <w:r>
        <w:rPr>
          <w:i/>
          <w:color w:val="231F20"/>
          <w:spacing w:val="-7"/>
          <w:w w:val="110"/>
          <w:sz w:val="19"/>
        </w:rPr>
        <w:t> </w:t>
      </w:r>
      <w:r>
        <w:rPr>
          <w:i/>
          <w:color w:val="231F20"/>
          <w:w w:val="110"/>
          <w:sz w:val="19"/>
        </w:rPr>
        <w:t>sobre</w:t>
      </w:r>
      <w:r>
        <w:rPr>
          <w:i/>
          <w:color w:val="231F20"/>
          <w:spacing w:val="-7"/>
          <w:w w:val="110"/>
          <w:sz w:val="19"/>
        </w:rPr>
        <w:t> </w:t>
      </w:r>
      <w:r>
        <w:rPr>
          <w:i/>
          <w:color w:val="231F20"/>
          <w:w w:val="110"/>
          <w:sz w:val="19"/>
        </w:rPr>
        <w:t>la</w:t>
      </w:r>
      <w:r>
        <w:rPr>
          <w:i/>
          <w:color w:val="231F20"/>
          <w:spacing w:val="-7"/>
          <w:w w:val="110"/>
          <w:sz w:val="19"/>
        </w:rPr>
        <w:t> </w:t>
      </w:r>
      <w:r>
        <w:rPr>
          <w:i/>
          <w:color w:val="231F20"/>
          <w:w w:val="110"/>
          <w:sz w:val="19"/>
        </w:rPr>
        <w:t>familia</w:t>
      </w:r>
      <w:r>
        <w:rPr>
          <w:i/>
          <w:color w:val="231F20"/>
          <w:spacing w:val="-7"/>
          <w:w w:val="110"/>
          <w:sz w:val="19"/>
        </w:rPr>
        <w:t> </w:t>
      </w:r>
      <w:r>
        <w:rPr>
          <w:i/>
          <w:color w:val="231F20"/>
          <w:w w:val="110"/>
          <w:sz w:val="19"/>
        </w:rPr>
        <w:t>como</w:t>
      </w:r>
      <w:r>
        <w:rPr>
          <w:i/>
          <w:color w:val="231F20"/>
          <w:spacing w:val="-7"/>
          <w:w w:val="110"/>
          <w:sz w:val="19"/>
        </w:rPr>
        <w:t> </w:t>
      </w:r>
      <w:r>
        <w:rPr>
          <w:i/>
          <w:color w:val="231F20"/>
          <w:w w:val="110"/>
          <w:sz w:val="19"/>
        </w:rPr>
        <w:t>unidad</w:t>
      </w:r>
      <w:r>
        <w:rPr>
          <w:i/>
          <w:color w:val="231F20"/>
          <w:spacing w:val="-7"/>
          <w:w w:val="110"/>
          <w:sz w:val="19"/>
        </w:rPr>
        <w:t> </w:t>
      </w:r>
      <w:r>
        <w:rPr>
          <w:i/>
          <w:color w:val="231F20"/>
          <w:w w:val="110"/>
          <w:sz w:val="19"/>
        </w:rPr>
        <w:t>socioeconómica</w:t>
      </w:r>
      <w:r>
        <w:rPr>
          <w:color w:val="231F20"/>
          <w:w w:val="110"/>
          <w:sz w:val="19"/>
        </w:rPr>
        <w:t>, Chile, Cuadernos de la </w:t>
      </w:r>
      <w:r>
        <w:rPr>
          <w:rFonts w:ascii="Times New Roman" w:hAnsi="Times New Roman"/>
          <w:color w:val="231F20"/>
          <w:w w:val="110"/>
          <w:sz w:val="15"/>
        </w:rPr>
        <w:t>CEPAL</w:t>
      </w:r>
      <w:r>
        <w:rPr>
          <w:color w:val="231F20"/>
          <w:w w:val="110"/>
          <w:sz w:val="19"/>
        </w:rPr>
        <w:t>, Naciones  </w:t>
      </w:r>
      <w:r>
        <w:rPr>
          <w:color w:val="231F20"/>
          <w:spacing w:val="25"/>
          <w:w w:val="110"/>
          <w:sz w:val="19"/>
        </w:rPr>
        <w:t> </w:t>
      </w:r>
      <w:r>
        <w:rPr>
          <w:color w:val="231F20"/>
          <w:w w:val="110"/>
          <w:sz w:val="19"/>
        </w:rPr>
        <w:t>Unidas.</w:t>
      </w:r>
    </w:p>
    <w:p>
      <w:pPr>
        <w:spacing w:line="266" w:lineRule="auto" w:before="3"/>
        <w:ind w:left="484" w:right="113" w:hanging="360"/>
        <w:jc w:val="both"/>
        <w:rPr>
          <w:sz w:val="19"/>
        </w:rPr>
      </w:pPr>
      <w:r>
        <w:rPr>
          <w:rFonts w:ascii="Times New Roman" w:hAnsi="Times New Roman"/>
          <w:color w:val="231F20"/>
          <w:w w:val="110"/>
          <w:sz w:val="19"/>
        </w:rPr>
        <w:t>C</w:t>
      </w:r>
      <w:r>
        <w:rPr>
          <w:rFonts w:ascii="Times New Roman" w:hAnsi="Times New Roman"/>
          <w:color w:val="231F20"/>
          <w:w w:val="110"/>
          <w:sz w:val="15"/>
        </w:rPr>
        <w:t>ABELLA</w:t>
      </w:r>
      <w:r>
        <w:rPr>
          <w:color w:val="231F20"/>
          <w:w w:val="110"/>
          <w:sz w:val="19"/>
        </w:rPr>
        <w:t>,</w:t>
      </w:r>
      <w:r>
        <w:rPr>
          <w:color w:val="231F20"/>
          <w:spacing w:val="-4"/>
          <w:w w:val="110"/>
          <w:sz w:val="19"/>
        </w:rPr>
        <w:t> Wanda </w:t>
      </w:r>
      <w:r>
        <w:rPr>
          <w:color w:val="231F20"/>
          <w:w w:val="110"/>
          <w:sz w:val="19"/>
        </w:rPr>
        <w:t>(2007),</w:t>
      </w:r>
      <w:r>
        <w:rPr>
          <w:color w:val="231F20"/>
          <w:spacing w:val="-4"/>
          <w:w w:val="110"/>
          <w:sz w:val="19"/>
        </w:rPr>
        <w:t> </w:t>
      </w:r>
      <w:r>
        <w:rPr>
          <w:i/>
          <w:color w:val="231F20"/>
          <w:w w:val="110"/>
          <w:sz w:val="19"/>
        </w:rPr>
        <w:t>El</w:t>
      </w:r>
      <w:r>
        <w:rPr>
          <w:i/>
          <w:color w:val="231F20"/>
          <w:spacing w:val="-8"/>
          <w:w w:val="110"/>
          <w:sz w:val="19"/>
        </w:rPr>
        <w:t> </w:t>
      </w:r>
      <w:r>
        <w:rPr>
          <w:i/>
          <w:color w:val="231F20"/>
          <w:w w:val="110"/>
          <w:sz w:val="19"/>
        </w:rPr>
        <w:t>cambio</w:t>
      </w:r>
      <w:r>
        <w:rPr>
          <w:i/>
          <w:color w:val="231F20"/>
          <w:spacing w:val="-8"/>
          <w:w w:val="110"/>
          <w:sz w:val="19"/>
        </w:rPr>
        <w:t> </w:t>
      </w:r>
      <w:r>
        <w:rPr>
          <w:i/>
          <w:color w:val="231F20"/>
          <w:w w:val="110"/>
          <w:sz w:val="19"/>
        </w:rPr>
        <w:t>familiar</w:t>
      </w:r>
      <w:r>
        <w:rPr>
          <w:i/>
          <w:color w:val="231F20"/>
          <w:spacing w:val="-8"/>
          <w:w w:val="110"/>
          <w:sz w:val="19"/>
        </w:rPr>
        <w:t> </w:t>
      </w:r>
      <w:r>
        <w:rPr>
          <w:i/>
          <w:color w:val="231F20"/>
          <w:w w:val="110"/>
          <w:sz w:val="19"/>
        </w:rPr>
        <w:t>en</w:t>
      </w:r>
      <w:r>
        <w:rPr>
          <w:i/>
          <w:color w:val="231F20"/>
          <w:spacing w:val="-8"/>
          <w:w w:val="110"/>
          <w:sz w:val="19"/>
        </w:rPr>
        <w:t> </w:t>
      </w:r>
      <w:r>
        <w:rPr>
          <w:i/>
          <w:color w:val="231F20"/>
          <w:w w:val="110"/>
          <w:sz w:val="19"/>
        </w:rPr>
        <w:t>Uruguay:</w:t>
      </w:r>
      <w:r>
        <w:rPr>
          <w:i/>
          <w:color w:val="231F20"/>
          <w:spacing w:val="-8"/>
          <w:w w:val="110"/>
          <w:sz w:val="19"/>
        </w:rPr>
        <w:t> </w:t>
      </w:r>
      <w:r>
        <w:rPr>
          <w:i/>
          <w:color w:val="231F20"/>
          <w:w w:val="110"/>
          <w:sz w:val="19"/>
        </w:rPr>
        <w:t>una</w:t>
      </w:r>
      <w:r>
        <w:rPr>
          <w:i/>
          <w:color w:val="231F20"/>
          <w:spacing w:val="-8"/>
          <w:w w:val="110"/>
          <w:sz w:val="19"/>
        </w:rPr>
        <w:t> </w:t>
      </w:r>
      <w:r>
        <w:rPr>
          <w:i/>
          <w:color w:val="231F20"/>
          <w:w w:val="110"/>
          <w:sz w:val="19"/>
        </w:rPr>
        <w:t>breve</w:t>
      </w:r>
      <w:r>
        <w:rPr>
          <w:i/>
          <w:color w:val="231F20"/>
          <w:spacing w:val="-8"/>
          <w:w w:val="110"/>
          <w:sz w:val="19"/>
        </w:rPr>
        <w:t> </w:t>
      </w:r>
      <w:r>
        <w:rPr>
          <w:i/>
          <w:color w:val="231F20"/>
          <w:w w:val="110"/>
          <w:sz w:val="19"/>
        </w:rPr>
        <w:t>reseña</w:t>
      </w:r>
      <w:r>
        <w:rPr>
          <w:i/>
          <w:color w:val="231F20"/>
          <w:spacing w:val="-8"/>
          <w:w w:val="110"/>
          <w:sz w:val="19"/>
        </w:rPr>
        <w:t> </w:t>
      </w:r>
      <w:r>
        <w:rPr>
          <w:i/>
          <w:color w:val="231F20"/>
          <w:w w:val="110"/>
          <w:sz w:val="19"/>
        </w:rPr>
        <w:t>de</w:t>
      </w:r>
      <w:r>
        <w:rPr>
          <w:i/>
          <w:color w:val="231F20"/>
          <w:spacing w:val="-8"/>
          <w:w w:val="110"/>
          <w:sz w:val="19"/>
        </w:rPr>
        <w:t> </w:t>
      </w:r>
      <w:r>
        <w:rPr>
          <w:i/>
          <w:color w:val="231F20"/>
          <w:w w:val="110"/>
          <w:sz w:val="19"/>
        </w:rPr>
        <w:t>las </w:t>
      </w:r>
      <w:r>
        <w:rPr>
          <w:i/>
          <w:color w:val="231F20"/>
          <w:w w:val="110"/>
          <w:sz w:val="19"/>
        </w:rPr>
        <w:t>tendencias</w:t>
      </w:r>
      <w:r>
        <w:rPr>
          <w:i/>
          <w:color w:val="231F20"/>
          <w:spacing w:val="-11"/>
          <w:w w:val="110"/>
          <w:sz w:val="19"/>
        </w:rPr>
        <w:t> </w:t>
      </w:r>
      <w:r>
        <w:rPr>
          <w:i/>
          <w:color w:val="231F20"/>
          <w:w w:val="110"/>
          <w:sz w:val="19"/>
        </w:rPr>
        <w:t>recientes</w:t>
      </w:r>
      <w:r>
        <w:rPr>
          <w:color w:val="231F20"/>
          <w:w w:val="110"/>
          <w:sz w:val="19"/>
        </w:rPr>
        <w:t>,</w:t>
      </w:r>
      <w:r>
        <w:rPr>
          <w:color w:val="231F20"/>
          <w:spacing w:val="-8"/>
          <w:w w:val="110"/>
          <w:sz w:val="19"/>
        </w:rPr>
        <w:t> </w:t>
      </w:r>
      <w:r>
        <w:rPr>
          <w:color w:val="231F20"/>
          <w:w w:val="110"/>
          <w:sz w:val="19"/>
        </w:rPr>
        <w:t>Serie</w:t>
      </w:r>
      <w:r>
        <w:rPr>
          <w:color w:val="231F20"/>
          <w:spacing w:val="-8"/>
          <w:w w:val="110"/>
          <w:sz w:val="19"/>
        </w:rPr>
        <w:t> </w:t>
      </w:r>
      <w:r>
        <w:rPr>
          <w:color w:val="231F20"/>
          <w:w w:val="110"/>
          <w:sz w:val="19"/>
        </w:rPr>
        <w:t>Divulgación,</w:t>
      </w:r>
      <w:r>
        <w:rPr>
          <w:color w:val="231F20"/>
          <w:spacing w:val="-8"/>
          <w:w w:val="110"/>
          <w:sz w:val="19"/>
        </w:rPr>
        <w:t> </w:t>
      </w:r>
      <w:r>
        <w:rPr>
          <w:color w:val="231F20"/>
          <w:w w:val="110"/>
          <w:sz w:val="19"/>
        </w:rPr>
        <w:t>Montevideo,</w:t>
      </w:r>
      <w:r>
        <w:rPr>
          <w:color w:val="231F20"/>
          <w:spacing w:val="-8"/>
          <w:w w:val="110"/>
          <w:sz w:val="19"/>
        </w:rPr>
        <w:t> </w:t>
      </w:r>
      <w:r>
        <w:rPr>
          <w:color w:val="231F20"/>
          <w:spacing w:val="-3"/>
          <w:w w:val="110"/>
          <w:sz w:val="19"/>
        </w:rPr>
        <w:t>Uruguay,</w:t>
      </w:r>
      <w:r>
        <w:rPr>
          <w:color w:val="231F20"/>
          <w:spacing w:val="-8"/>
          <w:w w:val="110"/>
          <w:sz w:val="19"/>
        </w:rPr>
        <w:t> </w:t>
      </w:r>
      <w:r>
        <w:rPr>
          <w:rFonts w:ascii="Times New Roman" w:hAnsi="Times New Roman"/>
          <w:color w:val="231F20"/>
          <w:w w:val="110"/>
          <w:sz w:val="15"/>
        </w:rPr>
        <w:t>UNFPA</w:t>
      </w:r>
      <w:r>
        <w:rPr>
          <w:color w:val="231F20"/>
          <w:w w:val="110"/>
          <w:sz w:val="19"/>
        </w:rPr>
        <w:t>,</w:t>
      </w:r>
      <w:r>
        <w:rPr>
          <w:color w:val="231F20"/>
          <w:spacing w:val="-8"/>
          <w:w w:val="110"/>
          <w:sz w:val="19"/>
        </w:rPr>
        <w:t> </w:t>
      </w:r>
      <w:r>
        <w:rPr>
          <w:color w:val="231F20"/>
          <w:w w:val="110"/>
          <w:sz w:val="19"/>
        </w:rPr>
        <w:t>Edito- rial</w:t>
      </w:r>
      <w:r>
        <w:rPr>
          <w:color w:val="231F20"/>
          <w:spacing w:val="-8"/>
          <w:w w:val="110"/>
          <w:sz w:val="19"/>
        </w:rPr>
        <w:t> </w:t>
      </w:r>
      <w:r>
        <w:rPr>
          <w:color w:val="231F20"/>
          <w:w w:val="110"/>
          <w:sz w:val="19"/>
        </w:rPr>
        <w:t>Trilce.</w:t>
      </w:r>
    </w:p>
    <w:p>
      <w:pPr>
        <w:spacing w:after="0" w:line="266" w:lineRule="auto"/>
        <w:jc w:val="both"/>
        <w:rPr>
          <w:sz w:val="19"/>
        </w:rPr>
        <w:sectPr>
          <w:pgSz w:w="9520" w:h="12920"/>
          <w:pgMar w:header="0" w:footer="1344" w:top="880" w:bottom="1540" w:left="1320" w:right="1000"/>
        </w:sectPr>
      </w:pPr>
    </w:p>
    <w:p>
      <w:pPr>
        <w:spacing w:line="266" w:lineRule="auto" w:before="44"/>
        <w:ind w:left="480" w:right="119" w:hanging="360"/>
        <w:jc w:val="both"/>
        <w:rPr>
          <w:sz w:val="19"/>
        </w:rPr>
      </w:pPr>
      <w:r>
        <w:rPr>
          <w:rFonts w:ascii="Times New Roman" w:hAnsi="Times New Roman"/>
          <w:color w:val="231F20"/>
          <w:w w:val="105"/>
          <w:sz w:val="19"/>
        </w:rPr>
        <w:t>C</w:t>
      </w:r>
      <w:r>
        <w:rPr>
          <w:rFonts w:ascii="Times New Roman" w:hAnsi="Times New Roman"/>
          <w:color w:val="231F20"/>
          <w:w w:val="105"/>
          <w:sz w:val="15"/>
        </w:rPr>
        <w:t>ARDOSO</w:t>
      </w:r>
      <w:r>
        <w:rPr>
          <w:color w:val="231F20"/>
          <w:w w:val="105"/>
          <w:sz w:val="19"/>
        </w:rPr>
        <w:t>, Fernando H. y Enzo Faletto (1969), </w:t>
      </w:r>
      <w:r>
        <w:rPr>
          <w:i/>
          <w:color w:val="231F20"/>
          <w:w w:val="105"/>
          <w:sz w:val="19"/>
        </w:rPr>
        <w:t>Dependencia y desarrollo en Amé- </w:t>
      </w:r>
      <w:r>
        <w:rPr>
          <w:i/>
          <w:color w:val="231F20"/>
          <w:w w:val="105"/>
          <w:sz w:val="19"/>
        </w:rPr>
        <w:t>rica  Latina</w:t>
      </w:r>
      <w:r>
        <w:rPr>
          <w:color w:val="231F20"/>
          <w:w w:val="105"/>
          <w:sz w:val="19"/>
        </w:rPr>
        <w:t>,  México,  Siglo XXI.</w:t>
      </w:r>
    </w:p>
    <w:p>
      <w:pPr>
        <w:spacing w:before="0"/>
        <w:ind w:left="120" w:right="0" w:firstLine="0"/>
        <w:jc w:val="left"/>
        <w:rPr>
          <w:sz w:val="19"/>
        </w:rPr>
      </w:pPr>
      <w:r>
        <w:rPr>
          <w:i/>
          <w:color w:val="231F20"/>
          <w:w w:val="105"/>
          <w:sz w:val="19"/>
        </w:rPr>
        <w:t>Gaceta Oficial del Distrito Federal </w:t>
      </w:r>
      <w:r>
        <w:rPr>
          <w:color w:val="231F20"/>
          <w:w w:val="105"/>
          <w:sz w:val="19"/>
        </w:rPr>
        <w:t>(2006) , México Editorial del    D.F.</w:t>
      </w:r>
    </w:p>
    <w:p>
      <w:pPr>
        <w:spacing w:before="25"/>
        <w:ind w:left="120" w:right="0" w:firstLine="0"/>
        <w:jc w:val="left"/>
        <w:rPr>
          <w:sz w:val="19"/>
        </w:rPr>
      </w:pPr>
      <w:r>
        <w:rPr>
          <w:rFonts w:ascii="Times New Roman" w:hAnsi="Times New Roman"/>
          <w:color w:val="231F20"/>
          <w:w w:val="110"/>
          <w:sz w:val="19"/>
        </w:rPr>
        <w:t>G</w:t>
      </w:r>
      <w:r>
        <w:rPr>
          <w:rFonts w:ascii="Times New Roman" w:hAnsi="Times New Roman"/>
          <w:color w:val="231F20"/>
          <w:w w:val="110"/>
          <w:sz w:val="15"/>
        </w:rPr>
        <w:t>UADARRAMA</w:t>
      </w:r>
      <w:r>
        <w:rPr>
          <w:color w:val="231F20"/>
          <w:w w:val="110"/>
          <w:sz w:val="19"/>
        </w:rPr>
        <w:t>, Rocío (1986), “Los inicios de la estabilización”, en Cristina Puga,</w:t>
      </w:r>
    </w:p>
    <w:p>
      <w:pPr>
        <w:spacing w:before="25"/>
        <w:ind w:left="119" w:right="0" w:firstLine="360"/>
        <w:jc w:val="left"/>
        <w:rPr>
          <w:sz w:val="19"/>
        </w:rPr>
      </w:pPr>
      <w:r>
        <w:rPr>
          <w:i/>
          <w:color w:val="231F20"/>
          <w:w w:val="110"/>
          <w:sz w:val="19"/>
        </w:rPr>
        <w:t>et</w:t>
      </w:r>
      <w:r>
        <w:rPr>
          <w:i/>
          <w:color w:val="231F20"/>
          <w:spacing w:val="-19"/>
          <w:w w:val="110"/>
          <w:sz w:val="19"/>
        </w:rPr>
        <w:t> </w:t>
      </w:r>
      <w:r>
        <w:rPr>
          <w:i/>
          <w:color w:val="231F20"/>
          <w:w w:val="110"/>
          <w:sz w:val="19"/>
        </w:rPr>
        <w:t>al.,</w:t>
      </w:r>
      <w:r>
        <w:rPr>
          <w:i/>
          <w:color w:val="231F20"/>
          <w:spacing w:val="-16"/>
          <w:w w:val="110"/>
          <w:sz w:val="19"/>
        </w:rPr>
        <w:t> </w:t>
      </w:r>
      <w:r>
        <w:rPr>
          <w:i/>
          <w:color w:val="231F20"/>
          <w:w w:val="110"/>
          <w:sz w:val="19"/>
        </w:rPr>
        <w:t>Evolución</w:t>
      </w:r>
      <w:r>
        <w:rPr>
          <w:i/>
          <w:color w:val="231F20"/>
          <w:spacing w:val="-19"/>
          <w:w w:val="110"/>
          <w:sz w:val="19"/>
        </w:rPr>
        <w:t> </w:t>
      </w:r>
      <w:r>
        <w:rPr>
          <w:i/>
          <w:color w:val="231F20"/>
          <w:w w:val="110"/>
          <w:sz w:val="19"/>
        </w:rPr>
        <w:t>del</w:t>
      </w:r>
      <w:r>
        <w:rPr>
          <w:i/>
          <w:color w:val="231F20"/>
          <w:spacing w:val="-19"/>
          <w:w w:val="110"/>
          <w:sz w:val="19"/>
        </w:rPr>
        <w:t> </w:t>
      </w:r>
      <w:r>
        <w:rPr>
          <w:i/>
          <w:color w:val="231F20"/>
          <w:w w:val="110"/>
          <w:sz w:val="19"/>
        </w:rPr>
        <w:t>Estado</w:t>
      </w:r>
      <w:r>
        <w:rPr>
          <w:i/>
          <w:color w:val="231F20"/>
          <w:spacing w:val="-19"/>
          <w:w w:val="110"/>
          <w:sz w:val="19"/>
        </w:rPr>
        <w:t> </w:t>
      </w:r>
      <w:r>
        <w:rPr>
          <w:i/>
          <w:color w:val="231F20"/>
          <w:spacing w:val="-3"/>
          <w:w w:val="110"/>
          <w:sz w:val="19"/>
        </w:rPr>
        <w:t>mexicano</w:t>
      </w:r>
      <w:r>
        <w:rPr>
          <w:color w:val="231F20"/>
          <w:spacing w:val="-3"/>
          <w:w w:val="110"/>
          <w:sz w:val="19"/>
        </w:rPr>
        <w:t>,</w:t>
      </w:r>
      <w:r>
        <w:rPr>
          <w:color w:val="231F20"/>
          <w:spacing w:val="-16"/>
          <w:w w:val="110"/>
          <w:sz w:val="19"/>
        </w:rPr>
        <w:t> </w:t>
      </w:r>
      <w:r>
        <w:rPr>
          <w:color w:val="231F20"/>
          <w:w w:val="110"/>
          <w:sz w:val="19"/>
        </w:rPr>
        <w:t>México</w:t>
      </w:r>
      <w:r>
        <w:rPr>
          <w:i/>
          <w:color w:val="231F20"/>
          <w:w w:val="110"/>
          <w:sz w:val="19"/>
        </w:rPr>
        <w:t>,</w:t>
      </w:r>
      <w:r>
        <w:rPr>
          <w:i/>
          <w:color w:val="231F20"/>
          <w:spacing w:val="-16"/>
          <w:w w:val="110"/>
          <w:sz w:val="19"/>
        </w:rPr>
        <w:t> </w:t>
      </w:r>
      <w:r>
        <w:rPr>
          <w:color w:val="231F20"/>
          <w:spacing w:val="-6"/>
          <w:w w:val="110"/>
          <w:sz w:val="19"/>
        </w:rPr>
        <w:t>Tomo</w:t>
      </w:r>
      <w:r>
        <w:rPr>
          <w:color w:val="231F20"/>
          <w:spacing w:val="-16"/>
          <w:w w:val="110"/>
          <w:sz w:val="19"/>
        </w:rPr>
        <w:t> </w:t>
      </w:r>
      <w:r>
        <w:rPr>
          <w:color w:val="231F20"/>
          <w:w w:val="110"/>
          <w:sz w:val="19"/>
        </w:rPr>
        <w:t>III,</w:t>
      </w:r>
      <w:r>
        <w:rPr>
          <w:color w:val="231F20"/>
          <w:spacing w:val="-16"/>
          <w:w w:val="110"/>
          <w:sz w:val="19"/>
        </w:rPr>
        <w:t> </w:t>
      </w:r>
      <w:r>
        <w:rPr>
          <w:color w:val="231F20"/>
          <w:w w:val="110"/>
          <w:sz w:val="19"/>
        </w:rPr>
        <w:t>Ediciones</w:t>
      </w:r>
      <w:r>
        <w:rPr>
          <w:color w:val="231F20"/>
          <w:spacing w:val="-16"/>
          <w:w w:val="110"/>
          <w:sz w:val="19"/>
        </w:rPr>
        <w:t> </w:t>
      </w:r>
      <w:r>
        <w:rPr>
          <w:color w:val="231F20"/>
          <w:w w:val="110"/>
          <w:sz w:val="19"/>
        </w:rPr>
        <w:t>El</w:t>
      </w:r>
      <w:r>
        <w:rPr>
          <w:color w:val="231F20"/>
          <w:spacing w:val="-16"/>
          <w:w w:val="110"/>
          <w:sz w:val="19"/>
        </w:rPr>
        <w:t> </w:t>
      </w:r>
      <w:r>
        <w:rPr>
          <w:color w:val="231F20"/>
          <w:w w:val="110"/>
          <w:sz w:val="19"/>
        </w:rPr>
        <w:t>Caballito.</w:t>
      </w:r>
    </w:p>
    <w:p>
      <w:pPr>
        <w:spacing w:line="266" w:lineRule="auto" w:before="25"/>
        <w:ind w:left="479" w:right="117" w:hanging="360"/>
        <w:jc w:val="both"/>
        <w:rPr>
          <w:sz w:val="19"/>
        </w:rPr>
      </w:pPr>
      <w:r>
        <w:rPr>
          <w:color w:val="231F20"/>
          <w:w w:val="110"/>
          <w:sz w:val="19"/>
        </w:rPr>
        <w:t>Instituto</w:t>
      </w:r>
      <w:r>
        <w:rPr>
          <w:color w:val="231F20"/>
          <w:spacing w:val="-14"/>
          <w:w w:val="110"/>
          <w:sz w:val="19"/>
        </w:rPr>
        <w:t> </w:t>
      </w:r>
      <w:r>
        <w:rPr>
          <w:color w:val="231F20"/>
          <w:w w:val="110"/>
          <w:sz w:val="19"/>
        </w:rPr>
        <w:t>Nacional</w:t>
      </w:r>
      <w:r>
        <w:rPr>
          <w:color w:val="231F20"/>
          <w:spacing w:val="-14"/>
          <w:w w:val="110"/>
          <w:sz w:val="19"/>
        </w:rPr>
        <w:t> </w:t>
      </w:r>
      <w:r>
        <w:rPr>
          <w:color w:val="231F20"/>
          <w:w w:val="110"/>
          <w:sz w:val="19"/>
        </w:rPr>
        <w:t>de</w:t>
      </w:r>
      <w:r>
        <w:rPr>
          <w:color w:val="231F20"/>
          <w:spacing w:val="-14"/>
          <w:w w:val="110"/>
          <w:sz w:val="19"/>
        </w:rPr>
        <w:t> </w:t>
      </w:r>
      <w:r>
        <w:rPr>
          <w:color w:val="231F20"/>
          <w:w w:val="110"/>
          <w:sz w:val="19"/>
        </w:rPr>
        <w:t>Estadística,</w:t>
      </w:r>
      <w:r>
        <w:rPr>
          <w:color w:val="231F20"/>
          <w:spacing w:val="-14"/>
          <w:w w:val="110"/>
          <w:sz w:val="19"/>
        </w:rPr>
        <w:t> </w:t>
      </w:r>
      <w:r>
        <w:rPr>
          <w:color w:val="231F20"/>
          <w:w w:val="110"/>
          <w:sz w:val="19"/>
        </w:rPr>
        <w:t>Geografía</w:t>
      </w:r>
      <w:r>
        <w:rPr>
          <w:color w:val="231F20"/>
          <w:spacing w:val="-14"/>
          <w:w w:val="110"/>
          <w:sz w:val="19"/>
        </w:rPr>
        <w:t> </w:t>
      </w:r>
      <w:r>
        <w:rPr>
          <w:color w:val="231F20"/>
          <w:w w:val="110"/>
          <w:sz w:val="19"/>
        </w:rPr>
        <w:t>e</w:t>
      </w:r>
      <w:r>
        <w:rPr>
          <w:color w:val="231F20"/>
          <w:spacing w:val="-14"/>
          <w:w w:val="110"/>
          <w:sz w:val="19"/>
        </w:rPr>
        <w:t> </w:t>
      </w:r>
      <w:r>
        <w:rPr>
          <w:color w:val="231F20"/>
          <w:w w:val="110"/>
          <w:sz w:val="19"/>
        </w:rPr>
        <w:t>Informática,</w:t>
      </w:r>
      <w:r>
        <w:rPr>
          <w:color w:val="231F20"/>
          <w:spacing w:val="-14"/>
          <w:w w:val="110"/>
          <w:sz w:val="19"/>
        </w:rPr>
        <w:t> </w:t>
      </w:r>
      <w:r>
        <w:rPr>
          <w:rFonts w:ascii="Times New Roman" w:hAnsi="Times New Roman"/>
          <w:color w:val="231F20"/>
          <w:w w:val="110"/>
          <w:sz w:val="19"/>
        </w:rPr>
        <w:t>(</w:t>
      </w:r>
      <w:r>
        <w:rPr>
          <w:rFonts w:ascii="Times New Roman" w:hAnsi="Times New Roman"/>
          <w:color w:val="231F20"/>
          <w:w w:val="110"/>
          <w:sz w:val="15"/>
        </w:rPr>
        <w:t>INEGI</w:t>
      </w:r>
      <w:r>
        <w:rPr>
          <w:rFonts w:ascii="Times New Roman" w:hAnsi="Times New Roman"/>
          <w:color w:val="231F20"/>
          <w:w w:val="110"/>
          <w:sz w:val="19"/>
        </w:rPr>
        <w:t>)</w:t>
      </w:r>
      <w:r>
        <w:rPr>
          <w:rFonts w:ascii="Times New Roman" w:hAnsi="Times New Roman"/>
          <w:color w:val="231F20"/>
          <w:spacing w:val="-20"/>
          <w:w w:val="110"/>
          <w:sz w:val="19"/>
        </w:rPr>
        <w:t> </w:t>
      </w:r>
      <w:r>
        <w:rPr>
          <w:color w:val="231F20"/>
          <w:w w:val="110"/>
          <w:sz w:val="19"/>
        </w:rPr>
        <w:t>(2006)</w:t>
      </w:r>
      <w:r>
        <w:rPr>
          <w:color w:val="231F20"/>
          <w:spacing w:val="-14"/>
          <w:w w:val="110"/>
          <w:sz w:val="19"/>
        </w:rPr>
        <w:t> </w:t>
      </w:r>
      <w:r>
        <w:rPr>
          <w:color w:val="231F20"/>
          <w:w w:val="110"/>
          <w:sz w:val="19"/>
        </w:rPr>
        <w:t>Conteo de Población y Vivienda 2005, México.</w:t>
      </w:r>
    </w:p>
    <w:p>
      <w:pPr>
        <w:spacing w:line="266" w:lineRule="auto" w:before="0"/>
        <w:ind w:left="479" w:right="118" w:hanging="360"/>
        <w:jc w:val="both"/>
        <w:rPr>
          <w:sz w:val="19"/>
        </w:rPr>
      </w:pPr>
      <w:r>
        <w:rPr>
          <w:rFonts w:ascii="Times New Roman" w:hAnsi="Times New Roman"/>
          <w:color w:val="231F20"/>
          <w:w w:val="110"/>
          <w:sz w:val="19"/>
        </w:rPr>
        <w:t>M</w:t>
      </w:r>
      <w:r>
        <w:rPr>
          <w:rFonts w:ascii="Times New Roman" w:hAnsi="Times New Roman"/>
          <w:color w:val="231F20"/>
          <w:w w:val="110"/>
          <w:sz w:val="15"/>
        </w:rPr>
        <w:t>ASSÉ </w:t>
      </w:r>
      <w:r>
        <w:rPr>
          <w:rFonts w:ascii="Times New Roman" w:hAnsi="Times New Roman"/>
          <w:color w:val="231F20"/>
          <w:w w:val="110"/>
          <w:sz w:val="19"/>
        </w:rPr>
        <w:t>N</w:t>
      </w:r>
      <w:r>
        <w:rPr>
          <w:rFonts w:ascii="Times New Roman" w:hAnsi="Times New Roman"/>
          <w:color w:val="231F20"/>
          <w:w w:val="110"/>
          <w:sz w:val="15"/>
        </w:rPr>
        <w:t>ARVÁEZ</w:t>
      </w:r>
      <w:r>
        <w:rPr>
          <w:color w:val="231F20"/>
          <w:w w:val="110"/>
          <w:sz w:val="19"/>
        </w:rPr>
        <w:t>, Carlos y Eduardo Sandoval </w:t>
      </w:r>
      <w:r>
        <w:rPr>
          <w:color w:val="231F20"/>
          <w:spacing w:val="-3"/>
          <w:w w:val="110"/>
          <w:sz w:val="19"/>
        </w:rPr>
        <w:t>Forero </w:t>
      </w:r>
      <w:r>
        <w:rPr>
          <w:color w:val="231F20"/>
          <w:w w:val="110"/>
          <w:sz w:val="19"/>
        </w:rPr>
        <w:t>(1995)</w:t>
      </w:r>
      <w:r>
        <w:rPr>
          <w:i/>
          <w:color w:val="231F20"/>
          <w:w w:val="110"/>
          <w:sz w:val="19"/>
        </w:rPr>
        <w:t>, Políticas públicas</w:t>
      </w:r>
      <w:r>
        <w:rPr>
          <w:i/>
          <w:color w:val="231F20"/>
          <w:spacing w:val="-18"/>
          <w:w w:val="110"/>
          <w:sz w:val="19"/>
        </w:rPr>
        <w:t> </w:t>
      </w:r>
      <w:r>
        <w:rPr>
          <w:i/>
          <w:color w:val="231F20"/>
          <w:w w:val="110"/>
          <w:sz w:val="19"/>
        </w:rPr>
        <w:t>y </w:t>
      </w:r>
      <w:r>
        <w:rPr>
          <w:i/>
          <w:color w:val="231F20"/>
          <w:w w:val="110"/>
          <w:sz w:val="19"/>
        </w:rPr>
        <w:t>desarrollo municipal</w:t>
      </w:r>
      <w:r>
        <w:rPr>
          <w:color w:val="231F20"/>
          <w:w w:val="110"/>
          <w:sz w:val="19"/>
        </w:rPr>
        <w:t>, México, El Colegio de México y</w:t>
      </w:r>
      <w:r>
        <w:rPr>
          <w:color w:val="231F20"/>
          <w:spacing w:val="31"/>
          <w:w w:val="110"/>
          <w:sz w:val="19"/>
        </w:rPr>
        <w:t> </w:t>
      </w:r>
      <w:r>
        <w:rPr>
          <w:rFonts w:ascii="Times New Roman" w:hAnsi="Times New Roman"/>
          <w:color w:val="231F20"/>
          <w:w w:val="110"/>
          <w:sz w:val="15"/>
        </w:rPr>
        <w:t>UAEM</w:t>
      </w:r>
      <w:r>
        <w:rPr>
          <w:color w:val="231F20"/>
          <w:w w:val="110"/>
          <w:sz w:val="19"/>
        </w:rPr>
        <w:t>.</w:t>
      </w:r>
    </w:p>
    <w:p>
      <w:pPr>
        <w:spacing w:line="266" w:lineRule="auto" w:before="0"/>
        <w:ind w:left="480" w:right="117" w:hanging="360"/>
        <w:jc w:val="both"/>
        <w:rPr>
          <w:sz w:val="19"/>
        </w:rPr>
      </w:pPr>
      <w:r>
        <w:rPr>
          <w:rFonts w:ascii="Times New Roman" w:hAnsi="Times New Roman"/>
          <w:color w:val="231F20"/>
          <w:w w:val="105"/>
          <w:sz w:val="19"/>
        </w:rPr>
        <w:t>Q</w:t>
      </w:r>
      <w:r>
        <w:rPr>
          <w:rFonts w:ascii="Times New Roman" w:hAnsi="Times New Roman"/>
          <w:color w:val="231F20"/>
          <w:w w:val="105"/>
          <w:sz w:val="15"/>
        </w:rPr>
        <w:t>UINTERO  </w:t>
      </w:r>
      <w:r>
        <w:rPr>
          <w:rFonts w:ascii="Times New Roman" w:hAnsi="Times New Roman"/>
          <w:color w:val="231F20"/>
          <w:w w:val="105"/>
          <w:sz w:val="19"/>
        </w:rPr>
        <w:t>V</w:t>
      </w:r>
      <w:r>
        <w:rPr>
          <w:rFonts w:ascii="Times New Roman" w:hAnsi="Times New Roman"/>
          <w:color w:val="231F20"/>
          <w:w w:val="105"/>
          <w:sz w:val="15"/>
        </w:rPr>
        <w:t>ELÁSQUEZ</w:t>
      </w:r>
      <w:r>
        <w:rPr>
          <w:color w:val="231F20"/>
          <w:w w:val="105"/>
          <w:sz w:val="19"/>
        </w:rPr>
        <w:t>, Ángela María (2007), </w:t>
      </w:r>
      <w:r>
        <w:rPr>
          <w:i/>
          <w:color w:val="231F20"/>
          <w:w w:val="105"/>
          <w:sz w:val="19"/>
        </w:rPr>
        <w:t>Diccionario especializado en familia   </w:t>
      </w:r>
      <w:r>
        <w:rPr>
          <w:i/>
          <w:color w:val="231F20"/>
          <w:w w:val="105"/>
          <w:sz w:val="19"/>
        </w:rPr>
        <w:t>y  género</w:t>
      </w:r>
      <w:r>
        <w:rPr>
          <w:color w:val="231F20"/>
          <w:w w:val="105"/>
          <w:sz w:val="19"/>
        </w:rPr>
        <w:t>,  Argentina,  Universidad  de  Antioquía  y  Lumen</w:t>
      </w:r>
      <w:r>
        <w:rPr>
          <w:color w:val="231F20"/>
          <w:spacing w:val="30"/>
          <w:w w:val="105"/>
          <w:sz w:val="19"/>
        </w:rPr>
        <w:t> </w:t>
      </w:r>
      <w:r>
        <w:rPr>
          <w:color w:val="231F20"/>
          <w:w w:val="105"/>
          <w:sz w:val="19"/>
        </w:rPr>
        <w:t>Humanitas.</w:t>
      </w:r>
    </w:p>
    <w:p>
      <w:pPr>
        <w:spacing w:line="266" w:lineRule="auto" w:before="0"/>
        <w:ind w:left="480" w:right="119" w:hanging="360"/>
        <w:jc w:val="both"/>
        <w:rPr>
          <w:sz w:val="19"/>
        </w:rPr>
      </w:pPr>
      <w:r>
        <w:rPr>
          <w:rFonts w:ascii="Times New Roman" w:hAnsi="Times New Roman"/>
          <w:color w:val="231F20"/>
          <w:w w:val="110"/>
          <w:sz w:val="19"/>
        </w:rPr>
        <w:t>S</w:t>
      </w:r>
      <w:r>
        <w:rPr>
          <w:rFonts w:ascii="Times New Roman" w:hAnsi="Times New Roman"/>
          <w:color w:val="231F20"/>
          <w:w w:val="110"/>
          <w:sz w:val="15"/>
        </w:rPr>
        <w:t>ÁNCHEZ </w:t>
      </w:r>
      <w:r>
        <w:rPr>
          <w:rFonts w:ascii="Times New Roman" w:hAnsi="Times New Roman"/>
          <w:color w:val="231F20"/>
          <w:w w:val="110"/>
          <w:sz w:val="19"/>
        </w:rPr>
        <w:t>A</w:t>
      </w:r>
      <w:r>
        <w:rPr>
          <w:rFonts w:ascii="Times New Roman" w:hAnsi="Times New Roman"/>
          <w:color w:val="231F20"/>
          <w:w w:val="110"/>
          <w:sz w:val="15"/>
        </w:rPr>
        <w:t>ZCONA</w:t>
      </w:r>
      <w:r>
        <w:rPr>
          <w:color w:val="231F20"/>
          <w:w w:val="110"/>
          <w:sz w:val="19"/>
        </w:rPr>
        <w:t>, Jorge (1980), </w:t>
      </w:r>
      <w:r>
        <w:rPr>
          <w:i/>
          <w:color w:val="231F20"/>
          <w:w w:val="110"/>
          <w:sz w:val="19"/>
        </w:rPr>
        <w:t>Familia y sociedad</w:t>
      </w:r>
      <w:r>
        <w:rPr>
          <w:color w:val="231F20"/>
          <w:w w:val="110"/>
          <w:sz w:val="19"/>
        </w:rPr>
        <w:t>, México, Cuadernos de Joa- quín Mortiz.</w:t>
      </w:r>
    </w:p>
    <w:p>
      <w:pPr>
        <w:spacing w:line="266" w:lineRule="auto" w:before="0"/>
        <w:ind w:left="479" w:right="117" w:hanging="360"/>
        <w:jc w:val="both"/>
        <w:rPr>
          <w:sz w:val="19"/>
        </w:rPr>
      </w:pPr>
      <w:r>
        <w:rPr>
          <w:rFonts w:ascii="Times New Roman" w:hAnsi="Times New Roman"/>
          <w:color w:val="231F20"/>
          <w:w w:val="105"/>
          <w:sz w:val="19"/>
        </w:rPr>
        <w:t>S</w:t>
      </w:r>
      <w:r>
        <w:rPr>
          <w:rFonts w:ascii="Times New Roman" w:hAnsi="Times New Roman"/>
          <w:color w:val="231F20"/>
          <w:w w:val="105"/>
          <w:sz w:val="15"/>
        </w:rPr>
        <w:t>UNKEL</w:t>
      </w:r>
      <w:r>
        <w:rPr>
          <w:rFonts w:ascii="Times New Roman" w:hAnsi="Times New Roman"/>
          <w:color w:val="231F20"/>
          <w:w w:val="105"/>
          <w:sz w:val="19"/>
        </w:rPr>
        <w:t>, </w:t>
      </w:r>
      <w:r>
        <w:rPr>
          <w:color w:val="231F20"/>
          <w:w w:val="105"/>
          <w:sz w:val="19"/>
        </w:rPr>
        <w:t>Osvaldo y Pedro Paz (1982), </w:t>
      </w:r>
      <w:r>
        <w:rPr>
          <w:i/>
          <w:color w:val="231F20"/>
          <w:w w:val="105"/>
          <w:sz w:val="19"/>
        </w:rPr>
        <w:t>El subdesarrollo latinoamericano y la teoría </w:t>
      </w:r>
      <w:r>
        <w:rPr>
          <w:i/>
          <w:color w:val="231F20"/>
          <w:w w:val="105"/>
          <w:sz w:val="19"/>
        </w:rPr>
        <w:t>del desarrollo</w:t>
      </w:r>
      <w:r>
        <w:rPr>
          <w:color w:val="231F20"/>
          <w:w w:val="105"/>
          <w:sz w:val="19"/>
        </w:rPr>
        <w:t>,  México,  Siglo  </w:t>
      </w:r>
      <w:r>
        <w:rPr>
          <w:rFonts w:ascii="Times New Roman" w:hAnsi="Times New Roman"/>
          <w:color w:val="231F20"/>
          <w:w w:val="105"/>
          <w:sz w:val="15"/>
        </w:rPr>
        <w:t>XXI </w:t>
      </w:r>
      <w:r>
        <w:rPr>
          <w:color w:val="231F20"/>
          <w:w w:val="105"/>
          <w:sz w:val="19"/>
        </w:rPr>
        <w:t>Editores.</w:t>
      </w:r>
    </w:p>
    <w:p>
      <w:pPr>
        <w:spacing w:line="266" w:lineRule="auto" w:before="0"/>
        <w:ind w:left="479" w:right="119" w:hanging="360"/>
        <w:jc w:val="both"/>
        <w:rPr>
          <w:sz w:val="19"/>
        </w:rPr>
      </w:pPr>
      <w:r>
        <w:rPr>
          <w:rFonts w:ascii="Times New Roman" w:hAnsi="Times New Roman"/>
          <w:color w:val="231F20"/>
          <w:w w:val="105"/>
          <w:sz w:val="19"/>
        </w:rPr>
        <w:t>U</w:t>
      </w:r>
      <w:r>
        <w:rPr>
          <w:rFonts w:ascii="Times New Roman" w:hAnsi="Times New Roman"/>
          <w:color w:val="231F20"/>
          <w:w w:val="105"/>
          <w:sz w:val="15"/>
        </w:rPr>
        <w:t>VALLE </w:t>
      </w:r>
      <w:r>
        <w:rPr>
          <w:rFonts w:ascii="Times New Roman" w:hAnsi="Times New Roman"/>
          <w:color w:val="231F20"/>
          <w:w w:val="105"/>
          <w:sz w:val="19"/>
        </w:rPr>
        <w:t>B</w:t>
      </w:r>
      <w:r>
        <w:rPr>
          <w:rFonts w:ascii="Times New Roman" w:hAnsi="Times New Roman"/>
          <w:color w:val="231F20"/>
          <w:w w:val="105"/>
          <w:sz w:val="15"/>
        </w:rPr>
        <w:t>ERRONES</w:t>
      </w:r>
      <w:r>
        <w:rPr>
          <w:color w:val="231F20"/>
          <w:w w:val="105"/>
          <w:sz w:val="19"/>
        </w:rPr>
        <w:t>, Ricardo (1997), </w:t>
      </w:r>
      <w:r>
        <w:rPr>
          <w:i/>
          <w:color w:val="231F20"/>
          <w:w w:val="105"/>
          <w:sz w:val="19"/>
        </w:rPr>
        <w:t>Las transformaciones del Estado y la Adminis- </w:t>
      </w:r>
      <w:r>
        <w:rPr>
          <w:i/>
          <w:color w:val="231F20"/>
          <w:w w:val="105"/>
          <w:sz w:val="19"/>
        </w:rPr>
        <w:t>tración Pública en la sociedad contemporánea</w:t>
      </w:r>
      <w:r>
        <w:rPr>
          <w:color w:val="231F20"/>
          <w:w w:val="105"/>
          <w:sz w:val="19"/>
        </w:rPr>
        <w:t>, México, </w:t>
      </w:r>
      <w:r>
        <w:rPr>
          <w:rFonts w:ascii="Times New Roman" w:hAnsi="Times New Roman"/>
          <w:color w:val="231F20"/>
          <w:w w:val="105"/>
          <w:sz w:val="15"/>
        </w:rPr>
        <w:t>IAPEM</w:t>
      </w:r>
      <w:r>
        <w:rPr>
          <w:color w:val="231F20"/>
          <w:w w:val="105"/>
          <w:sz w:val="19"/>
        </w:rPr>
        <w:t>,    </w:t>
      </w:r>
      <w:r>
        <w:rPr>
          <w:rFonts w:ascii="Times New Roman" w:hAnsi="Times New Roman"/>
          <w:color w:val="231F20"/>
          <w:w w:val="105"/>
          <w:sz w:val="15"/>
        </w:rPr>
        <w:t>UAEM</w:t>
      </w:r>
      <w:r>
        <w:rPr>
          <w:color w:val="231F20"/>
          <w:w w:val="105"/>
          <w:sz w:val="19"/>
        </w:rPr>
        <w:t>.</w:t>
      </w:r>
    </w:p>
    <w:p>
      <w:pPr>
        <w:spacing w:line="266" w:lineRule="auto" w:before="0"/>
        <w:ind w:left="480" w:right="117" w:hanging="360"/>
        <w:jc w:val="both"/>
        <w:rPr>
          <w:sz w:val="19"/>
        </w:rPr>
      </w:pPr>
      <w:r>
        <w:rPr>
          <w:rFonts w:ascii="Times New Roman" w:hAnsi="Times New Roman"/>
          <w:color w:val="231F20"/>
          <w:w w:val="110"/>
          <w:sz w:val="19"/>
        </w:rPr>
        <w:t>V</w:t>
      </w:r>
      <w:r>
        <w:rPr>
          <w:rFonts w:ascii="Times New Roman" w:hAnsi="Times New Roman"/>
          <w:color w:val="231F20"/>
          <w:w w:val="110"/>
          <w:sz w:val="15"/>
        </w:rPr>
        <w:t>ILLARREAL</w:t>
      </w:r>
      <w:r>
        <w:rPr>
          <w:rFonts w:ascii="Times New Roman" w:hAnsi="Times New Roman"/>
          <w:color w:val="231F20"/>
          <w:w w:val="110"/>
          <w:sz w:val="19"/>
        </w:rPr>
        <w:t>,</w:t>
      </w:r>
      <w:r>
        <w:rPr>
          <w:rFonts w:ascii="Times New Roman" w:hAnsi="Times New Roman"/>
          <w:color w:val="231F20"/>
          <w:spacing w:val="-34"/>
          <w:w w:val="110"/>
          <w:sz w:val="19"/>
        </w:rPr>
        <w:t> </w:t>
      </w:r>
      <w:r>
        <w:rPr>
          <w:color w:val="231F20"/>
          <w:w w:val="110"/>
          <w:sz w:val="19"/>
        </w:rPr>
        <w:t>René</w:t>
      </w:r>
      <w:r>
        <w:rPr>
          <w:color w:val="231F20"/>
          <w:spacing w:val="-28"/>
          <w:w w:val="110"/>
          <w:sz w:val="19"/>
        </w:rPr>
        <w:t> </w:t>
      </w:r>
      <w:r>
        <w:rPr>
          <w:color w:val="231F20"/>
          <w:w w:val="110"/>
          <w:sz w:val="19"/>
        </w:rPr>
        <w:t>(1993).</w:t>
      </w:r>
      <w:r>
        <w:rPr>
          <w:color w:val="231F20"/>
          <w:spacing w:val="-28"/>
          <w:w w:val="110"/>
          <w:sz w:val="19"/>
        </w:rPr>
        <w:t> </w:t>
      </w:r>
      <w:r>
        <w:rPr>
          <w:i/>
          <w:color w:val="231F20"/>
          <w:w w:val="110"/>
          <w:sz w:val="19"/>
        </w:rPr>
        <w:t>Liberalismo</w:t>
      </w:r>
      <w:r>
        <w:rPr>
          <w:i/>
          <w:color w:val="231F20"/>
          <w:spacing w:val="-30"/>
          <w:w w:val="110"/>
          <w:sz w:val="19"/>
        </w:rPr>
        <w:t> </w:t>
      </w:r>
      <w:r>
        <w:rPr>
          <w:i/>
          <w:color w:val="231F20"/>
          <w:w w:val="110"/>
          <w:sz w:val="19"/>
        </w:rPr>
        <w:t>social</w:t>
      </w:r>
      <w:r>
        <w:rPr>
          <w:i/>
          <w:color w:val="231F20"/>
          <w:spacing w:val="-30"/>
          <w:w w:val="110"/>
          <w:sz w:val="19"/>
        </w:rPr>
        <w:t> </w:t>
      </w:r>
      <w:r>
        <w:rPr>
          <w:i/>
          <w:color w:val="231F20"/>
          <w:w w:val="110"/>
          <w:sz w:val="19"/>
        </w:rPr>
        <w:t>y</w:t>
      </w:r>
      <w:r>
        <w:rPr>
          <w:i/>
          <w:color w:val="231F20"/>
          <w:spacing w:val="-30"/>
          <w:w w:val="110"/>
          <w:sz w:val="19"/>
        </w:rPr>
        <w:t> </w:t>
      </w:r>
      <w:r>
        <w:rPr>
          <w:i/>
          <w:color w:val="231F20"/>
          <w:w w:val="110"/>
          <w:sz w:val="19"/>
        </w:rPr>
        <w:t>reforma</w:t>
      </w:r>
      <w:r>
        <w:rPr>
          <w:i/>
          <w:color w:val="231F20"/>
          <w:spacing w:val="-30"/>
          <w:w w:val="110"/>
          <w:sz w:val="19"/>
        </w:rPr>
        <w:t> </w:t>
      </w:r>
      <w:r>
        <w:rPr>
          <w:i/>
          <w:color w:val="231F20"/>
          <w:w w:val="110"/>
          <w:sz w:val="19"/>
        </w:rPr>
        <w:t>del</w:t>
      </w:r>
      <w:r>
        <w:rPr>
          <w:i/>
          <w:color w:val="231F20"/>
          <w:spacing w:val="-30"/>
          <w:w w:val="110"/>
          <w:sz w:val="19"/>
        </w:rPr>
        <w:t> </w:t>
      </w:r>
      <w:r>
        <w:rPr>
          <w:i/>
          <w:color w:val="231F20"/>
          <w:w w:val="110"/>
          <w:sz w:val="19"/>
        </w:rPr>
        <w:t>Estado:</w:t>
      </w:r>
      <w:r>
        <w:rPr>
          <w:i/>
          <w:color w:val="231F20"/>
          <w:spacing w:val="-30"/>
          <w:w w:val="110"/>
          <w:sz w:val="19"/>
        </w:rPr>
        <w:t> </w:t>
      </w:r>
      <w:r>
        <w:rPr>
          <w:i/>
          <w:color w:val="231F20"/>
          <w:w w:val="110"/>
          <w:sz w:val="19"/>
        </w:rPr>
        <w:t>México</w:t>
      </w:r>
      <w:r>
        <w:rPr>
          <w:i/>
          <w:color w:val="231F20"/>
          <w:spacing w:val="-30"/>
          <w:w w:val="110"/>
          <w:sz w:val="19"/>
        </w:rPr>
        <w:t> </w:t>
      </w:r>
      <w:r>
        <w:rPr>
          <w:i/>
          <w:color w:val="231F20"/>
          <w:w w:val="110"/>
          <w:sz w:val="19"/>
        </w:rPr>
        <w:t>en</w:t>
      </w:r>
      <w:r>
        <w:rPr>
          <w:i/>
          <w:color w:val="231F20"/>
          <w:spacing w:val="-30"/>
          <w:w w:val="110"/>
          <w:sz w:val="19"/>
        </w:rPr>
        <w:t> </w:t>
      </w:r>
      <w:r>
        <w:rPr>
          <w:i/>
          <w:color w:val="231F20"/>
          <w:w w:val="110"/>
          <w:sz w:val="19"/>
        </w:rPr>
        <w:t>la</w:t>
      </w:r>
      <w:r>
        <w:rPr>
          <w:i/>
          <w:color w:val="231F20"/>
          <w:spacing w:val="-30"/>
          <w:w w:val="110"/>
          <w:sz w:val="19"/>
        </w:rPr>
        <w:t> </w:t>
      </w:r>
      <w:r>
        <w:rPr>
          <w:i/>
          <w:color w:val="231F20"/>
          <w:w w:val="110"/>
          <w:sz w:val="19"/>
        </w:rPr>
        <w:t>era </w:t>
      </w:r>
      <w:r>
        <w:rPr>
          <w:i/>
          <w:color w:val="231F20"/>
          <w:w w:val="110"/>
          <w:sz w:val="19"/>
        </w:rPr>
        <w:t>del capitalismo posmoderno</w:t>
      </w:r>
      <w:r>
        <w:rPr>
          <w:color w:val="231F20"/>
          <w:w w:val="110"/>
          <w:sz w:val="19"/>
        </w:rPr>
        <w:t>, México, Nacional Financiera y</w:t>
      </w:r>
      <w:r>
        <w:rPr>
          <w:color w:val="231F20"/>
          <w:spacing w:val="-12"/>
          <w:w w:val="110"/>
          <w:sz w:val="19"/>
        </w:rPr>
        <w:t> </w:t>
      </w:r>
      <w:r>
        <w:rPr>
          <w:rFonts w:ascii="Times New Roman" w:hAnsi="Times New Roman"/>
          <w:color w:val="231F20"/>
          <w:w w:val="110"/>
          <w:sz w:val="15"/>
        </w:rPr>
        <w:t>FCE</w:t>
      </w:r>
      <w:r>
        <w:rPr>
          <w:color w:val="231F20"/>
          <w:w w:val="110"/>
          <w:sz w:val="19"/>
        </w:rPr>
        <w:t>.</w:t>
      </w:r>
    </w:p>
    <w:p>
      <w:pPr>
        <w:spacing w:line="266" w:lineRule="auto" w:before="0"/>
        <w:ind w:left="479" w:right="117" w:hanging="360"/>
        <w:jc w:val="both"/>
        <w:rPr>
          <w:sz w:val="19"/>
        </w:rPr>
      </w:pPr>
      <w:r>
        <w:rPr>
          <w:rFonts w:ascii="Times New Roman" w:hAnsi="Times New Roman"/>
          <w:color w:val="231F20"/>
          <w:spacing w:val="-3"/>
          <w:w w:val="110"/>
          <w:sz w:val="19"/>
        </w:rPr>
        <w:t>W</w:t>
      </w:r>
      <w:r>
        <w:rPr>
          <w:rFonts w:ascii="Times New Roman" w:hAnsi="Times New Roman"/>
          <w:color w:val="231F20"/>
          <w:spacing w:val="-3"/>
          <w:w w:val="110"/>
          <w:sz w:val="15"/>
        </w:rPr>
        <w:t>ELTI</w:t>
      </w:r>
      <w:r>
        <w:rPr>
          <w:rFonts w:ascii="Times New Roman" w:hAnsi="Times New Roman"/>
          <w:color w:val="231F20"/>
          <w:spacing w:val="-3"/>
          <w:w w:val="110"/>
          <w:sz w:val="19"/>
        </w:rPr>
        <w:t>, </w:t>
      </w:r>
      <w:r>
        <w:rPr>
          <w:color w:val="231F20"/>
          <w:w w:val="110"/>
          <w:sz w:val="19"/>
        </w:rPr>
        <w:t>Carlos (2004), </w:t>
      </w:r>
      <w:r>
        <w:rPr>
          <w:i/>
          <w:color w:val="231F20"/>
          <w:w w:val="110"/>
          <w:sz w:val="19"/>
        </w:rPr>
        <w:t>La Ley General de Población de México y el contexto</w:t>
      </w:r>
      <w:r>
        <w:rPr>
          <w:i/>
          <w:color w:val="231F20"/>
          <w:spacing w:val="-24"/>
          <w:w w:val="110"/>
          <w:sz w:val="19"/>
        </w:rPr>
        <w:t> </w:t>
      </w:r>
      <w:r>
        <w:rPr>
          <w:i/>
          <w:color w:val="231F20"/>
          <w:w w:val="110"/>
          <w:sz w:val="19"/>
        </w:rPr>
        <w:t>inter- </w:t>
      </w:r>
      <w:r>
        <w:rPr>
          <w:i/>
          <w:color w:val="231F20"/>
          <w:w w:val="110"/>
          <w:sz w:val="19"/>
        </w:rPr>
        <w:t>nacional</w:t>
      </w:r>
      <w:r>
        <w:rPr>
          <w:i/>
          <w:color w:val="231F20"/>
          <w:spacing w:val="-14"/>
          <w:w w:val="110"/>
          <w:sz w:val="19"/>
        </w:rPr>
        <w:t> </w:t>
      </w:r>
      <w:r>
        <w:rPr>
          <w:i/>
          <w:color w:val="231F20"/>
          <w:w w:val="110"/>
          <w:sz w:val="19"/>
        </w:rPr>
        <w:t>en</w:t>
      </w:r>
      <w:r>
        <w:rPr>
          <w:i/>
          <w:color w:val="231F20"/>
          <w:spacing w:val="-14"/>
          <w:w w:val="110"/>
          <w:sz w:val="19"/>
        </w:rPr>
        <w:t> </w:t>
      </w:r>
      <w:r>
        <w:rPr>
          <w:i/>
          <w:color w:val="231F20"/>
          <w:w w:val="110"/>
          <w:sz w:val="19"/>
        </w:rPr>
        <w:t>la</w:t>
      </w:r>
      <w:r>
        <w:rPr>
          <w:i/>
          <w:color w:val="231F20"/>
          <w:spacing w:val="-14"/>
          <w:w w:val="110"/>
          <w:sz w:val="19"/>
        </w:rPr>
        <w:t> </w:t>
      </w:r>
      <w:r>
        <w:rPr>
          <w:i/>
          <w:color w:val="231F20"/>
          <w:w w:val="110"/>
          <w:sz w:val="19"/>
        </w:rPr>
        <w:t>época</w:t>
      </w:r>
      <w:r>
        <w:rPr>
          <w:i/>
          <w:color w:val="231F20"/>
          <w:spacing w:val="-14"/>
          <w:w w:val="110"/>
          <w:sz w:val="19"/>
        </w:rPr>
        <w:t> </w:t>
      </w:r>
      <w:r>
        <w:rPr>
          <w:i/>
          <w:color w:val="231F20"/>
          <w:w w:val="110"/>
          <w:sz w:val="19"/>
        </w:rPr>
        <w:t>de</w:t>
      </w:r>
      <w:r>
        <w:rPr>
          <w:i/>
          <w:color w:val="231F20"/>
          <w:spacing w:val="-14"/>
          <w:w w:val="110"/>
          <w:sz w:val="19"/>
        </w:rPr>
        <w:t> </w:t>
      </w:r>
      <w:r>
        <w:rPr>
          <w:i/>
          <w:color w:val="231F20"/>
          <w:w w:val="110"/>
          <w:sz w:val="19"/>
        </w:rPr>
        <w:t>su</w:t>
      </w:r>
      <w:r>
        <w:rPr>
          <w:i/>
          <w:color w:val="231F20"/>
          <w:spacing w:val="-14"/>
          <w:w w:val="110"/>
          <w:sz w:val="19"/>
        </w:rPr>
        <w:t> </w:t>
      </w:r>
      <w:r>
        <w:rPr>
          <w:i/>
          <w:color w:val="231F20"/>
          <w:w w:val="110"/>
          <w:sz w:val="19"/>
        </w:rPr>
        <w:t>emisión</w:t>
      </w:r>
      <w:r>
        <w:rPr>
          <w:color w:val="231F20"/>
          <w:w w:val="110"/>
          <w:sz w:val="19"/>
        </w:rPr>
        <w:t>,</w:t>
      </w:r>
      <w:r>
        <w:rPr>
          <w:color w:val="231F20"/>
          <w:spacing w:val="-10"/>
          <w:w w:val="110"/>
          <w:sz w:val="19"/>
        </w:rPr>
        <w:t> </w:t>
      </w:r>
      <w:r>
        <w:rPr>
          <w:color w:val="231F20"/>
          <w:w w:val="110"/>
          <w:sz w:val="19"/>
        </w:rPr>
        <w:t>Comunicación</w:t>
      </w:r>
      <w:r>
        <w:rPr>
          <w:color w:val="231F20"/>
          <w:spacing w:val="-10"/>
          <w:w w:val="110"/>
          <w:sz w:val="19"/>
        </w:rPr>
        <w:t> </w:t>
      </w:r>
      <w:r>
        <w:rPr>
          <w:color w:val="231F20"/>
          <w:w w:val="110"/>
          <w:sz w:val="19"/>
        </w:rPr>
        <w:t>presentada</w:t>
      </w:r>
      <w:r>
        <w:rPr>
          <w:color w:val="231F20"/>
          <w:spacing w:val="-10"/>
          <w:w w:val="110"/>
          <w:sz w:val="19"/>
        </w:rPr>
        <w:t> </w:t>
      </w:r>
      <w:r>
        <w:rPr>
          <w:color w:val="231F20"/>
          <w:w w:val="110"/>
          <w:sz w:val="19"/>
        </w:rPr>
        <w:t>al</w:t>
      </w:r>
      <w:r>
        <w:rPr>
          <w:color w:val="231F20"/>
          <w:spacing w:val="-10"/>
          <w:w w:val="110"/>
          <w:sz w:val="19"/>
        </w:rPr>
        <w:t> </w:t>
      </w:r>
      <w:r>
        <w:rPr>
          <w:color w:val="231F20"/>
          <w:w w:val="110"/>
          <w:sz w:val="19"/>
        </w:rPr>
        <w:t>II</w:t>
      </w:r>
      <w:r>
        <w:rPr>
          <w:color w:val="231F20"/>
          <w:spacing w:val="-10"/>
          <w:w w:val="110"/>
          <w:sz w:val="19"/>
        </w:rPr>
        <w:t> </w:t>
      </w:r>
      <w:r>
        <w:rPr>
          <w:color w:val="231F20"/>
          <w:w w:val="110"/>
          <w:sz w:val="19"/>
        </w:rPr>
        <w:t>Seminario de la Red de Estudios de Población, </w:t>
      </w:r>
      <w:r>
        <w:rPr>
          <w:color w:val="231F20"/>
          <w:spacing w:val="-5"/>
          <w:w w:val="110"/>
          <w:sz w:val="19"/>
        </w:rPr>
        <w:t>ALFAPOP, </w:t>
      </w:r>
      <w:r>
        <w:rPr>
          <w:color w:val="231F20"/>
          <w:w w:val="110"/>
          <w:sz w:val="19"/>
        </w:rPr>
        <w:t>Francia, Centre d’Estudis Demogràfics.</w:t>
      </w:r>
    </w:p>
    <w:p>
      <w:pPr>
        <w:pStyle w:val="BodyText"/>
        <w:spacing w:before="4"/>
        <w:rPr>
          <w:sz w:val="25"/>
        </w:rPr>
      </w:pPr>
    </w:p>
    <w:p>
      <w:pPr>
        <w:pStyle w:val="Heading3"/>
        <w:ind w:left="120"/>
        <w:jc w:val="left"/>
        <w:rPr>
          <w:i/>
        </w:rPr>
      </w:pPr>
      <w:r>
        <w:rPr>
          <w:i/>
          <w:color w:val="231F20"/>
        </w:rPr>
        <w:t>Páginas consultadas</w:t>
      </w:r>
    </w:p>
    <w:p>
      <w:pPr>
        <w:pStyle w:val="BodyText"/>
        <w:spacing w:before="4"/>
        <w:rPr>
          <w:rFonts w:ascii="Calibri"/>
          <w:i/>
        </w:rPr>
      </w:pPr>
    </w:p>
    <w:p>
      <w:pPr>
        <w:spacing w:line="266" w:lineRule="auto" w:before="0"/>
        <w:ind w:left="480" w:right="119" w:hanging="360"/>
        <w:jc w:val="both"/>
        <w:rPr>
          <w:sz w:val="19"/>
        </w:rPr>
      </w:pPr>
      <w:hyperlink r:id="rId21">
        <w:r>
          <w:rPr>
            <w:color w:val="231F20"/>
            <w:w w:val="113"/>
            <w:sz w:val="19"/>
          </w:rPr>
          <w:t>h</w:t>
        </w:r>
        <w:r>
          <w:rPr>
            <w:color w:val="231F20"/>
            <w:w w:val="94"/>
            <w:sz w:val="19"/>
          </w:rPr>
          <w:t>tt</w:t>
        </w:r>
        <w:r>
          <w:rPr>
            <w:color w:val="231F20"/>
            <w:w w:val="106"/>
            <w:sz w:val="19"/>
          </w:rPr>
          <w:t>p</w:t>
        </w:r>
        <w:r>
          <w:rPr>
            <w:color w:val="231F20"/>
            <w:w w:val="131"/>
            <w:sz w:val="19"/>
          </w:rPr>
          <w:t>:</w:t>
        </w:r>
        <w:r>
          <w:rPr>
            <w:color w:val="231F20"/>
            <w:w w:val="66"/>
            <w:sz w:val="19"/>
          </w:rPr>
          <w:t>//</w:t>
        </w:r>
        <w:r>
          <w:rPr>
            <w:color w:val="231F20"/>
            <w:w w:val="108"/>
            <w:sz w:val="19"/>
          </w:rPr>
          <w:t>www</w:t>
        </w:r>
        <w:r>
          <w:rPr>
            <w:color w:val="231F20"/>
            <w:w w:val="128"/>
            <w:sz w:val="19"/>
          </w:rPr>
          <w:t>.</w:t>
        </w:r>
        <w:r>
          <w:rPr>
            <w:color w:val="231F20"/>
            <w:w w:val="108"/>
            <w:sz w:val="19"/>
          </w:rPr>
          <w:t>o</w:t>
        </w:r>
        <w:r>
          <w:rPr>
            <w:color w:val="231F20"/>
            <w:w w:val="106"/>
            <w:sz w:val="19"/>
          </w:rPr>
          <w:t>p</w:t>
        </w:r>
        <w:r>
          <w:rPr>
            <w:color w:val="231F20"/>
            <w:w w:val="108"/>
            <w:sz w:val="19"/>
          </w:rPr>
          <w:t>o</w:t>
        </w:r>
        <w:r>
          <w:rPr>
            <w:color w:val="231F20"/>
            <w:w w:val="105"/>
            <w:sz w:val="19"/>
          </w:rPr>
          <w:t>r</w:t>
        </w:r>
        <w:r>
          <w:rPr>
            <w:color w:val="231F20"/>
            <w:w w:val="94"/>
            <w:sz w:val="19"/>
          </w:rPr>
          <w:t>t</w:t>
        </w:r>
        <w:r>
          <w:rPr>
            <w:color w:val="231F20"/>
            <w:w w:val="113"/>
            <w:sz w:val="19"/>
          </w:rPr>
          <w:t>u</w:t>
        </w:r>
        <w:r>
          <w:rPr>
            <w:color w:val="231F20"/>
            <w:w w:val="111"/>
            <w:sz w:val="19"/>
          </w:rPr>
          <w:t>n</w:t>
        </w:r>
        <w:r>
          <w:rPr>
            <w:color w:val="231F20"/>
            <w:w w:val="98"/>
            <w:sz w:val="19"/>
          </w:rPr>
          <w:t>i</w:t>
        </w:r>
        <w:r>
          <w:rPr>
            <w:color w:val="231F20"/>
            <w:w w:val="107"/>
            <w:sz w:val="19"/>
          </w:rPr>
          <w:t>d</w:t>
        </w:r>
        <w:r>
          <w:rPr>
            <w:color w:val="231F20"/>
            <w:w w:val="108"/>
            <w:sz w:val="19"/>
          </w:rPr>
          <w:t>a</w:t>
        </w:r>
        <w:r>
          <w:rPr>
            <w:color w:val="231F20"/>
            <w:w w:val="107"/>
            <w:sz w:val="19"/>
          </w:rPr>
          <w:t>d</w:t>
        </w:r>
        <w:r>
          <w:rPr>
            <w:color w:val="231F20"/>
            <w:w w:val="109"/>
            <w:sz w:val="19"/>
          </w:rPr>
          <w:t>e</w:t>
        </w:r>
        <w:r>
          <w:rPr>
            <w:color w:val="231F20"/>
            <w:w w:val="118"/>
            <w:sz w:val="19"/>
          </w:rPr>
          <w:t>s</w:t>
        </w:r>
        <w:r>
          <w:rPr>
            <w:color w:val="231F20"/>
            <w:w w:val="128"/>
            <w:sz w:val="19"/>
          </w:rPr>
          <w:t>.</w:t>
        </w:r>
        <w:r>
          <w:rPr>
            <w:color w:val="231F20"/>
            <w:w w:val="110"/>
            <w:sz w:val="19"/>
          </w:rPr>
          <w:t>g</w:t>
        </w:r>
        <w:r>
          <w:rPr>
            <w:color w:val="231F20"/>
            <w:w w:val="108"/>
            <w:sz w:val="19"/>
          </w:rPr>
          <w:t>o</w:t>
        </w:r>
        <w:r>
          <w:rPr>
            <w:color w:val="231F20"/>
            <w:w w:val="107"/>
            <w:sz w:val="19"/>
          </w:rPr>
          <w:t>b</w:t>
        </w:r>
        <w:r>
          <w:rPr>
            <w:color w:val="231F20"/>
            <w:w w:val="128"/>
            <w:sz w:val="19"/>
          </w:rPr>
          <w:t>.</w:t>
        </w:r>
        <w:r>
          <w:rPr>
            <w:color w:val="231F20"/>
            <w:w w:val="110"/>
            <w:sz w:val="19"/>
          </w:rPr>
          <w:t>m</w:t>
        </w:r>
        <w:r>
          <w:rPr>
            <w:color w:val="231F20"/>
            <w:w w:val="118"/>
            <w:sz w:val="19"/>
          </w:rPr>
          <w:t>x</w:t>
        </w:r>
        <w:r>
          <w:rPr>
            <w:color w:val="231F20"/>
            <w:w w:val="66"/>
            <w:sz w:val="19"/>
          </w:rPr>
          <w:t>/</w:t>
        </w:r>
        <w:r>
          <w:rPr>
            <w:color w:val="231F20"/>
            <w:w w:val="98"/>
            <w:sz w:val="19"/>
          </w:rPr>
          <w:t>i</w:t>
        </w:r>
        <w:r>
          <w:rPr>
            <w:color w:val="231F20"/>
            <w:w w:val="111"/>
            <w:sz w:val="19"/>
          </w:rPr>
          <w:t>n</w:t>
        </w:r>
        <w:r>
          <w:rPr>
            <w:color w:val="231F20"/>
            <w:w w:val="107"/>
            <w:sz w:val="19"/>
          </w:rPr>
          <w:t>d</w:t>
        </w:r>
        <w:r>
          <w:rPr>
            <w:color w:val="231F20"/>
            <w:w w:val="98"/>
            <w:sz w:val="19"/>
          </w:rPr>
          <w:t>i</w:t>
        </w:r>
        <w:r>
          <w:rPr>
            <w:color w:val="231F20"/>
            <w:w w:val="115"/>
            <w:sz w:val="19"/>
          </w:rPr>
          <w:t>c</w:t>
        </w:r>
        <w:r>
          <w:rPr>
            <w:color w:val="231F20"/>
            <w:w w:val="108"/>
            <w:sz w:val="19"/>
          </w:rPr>
          <w:t>a</w:t>
        </w:r>
        <w:r>
          <w:rPr>
            <w:color w:val="231F20"/>
            <w:w w:val="107"/>
            <w:sz w:val="19"/>
          </w:rPr>
          <w:t>d</w:t>
        </w:r>
        <w:r>
          <w:rPr>
            <w:color w:val="231F20"/>
            <w:w w:val="108"/>
            <w:sz w:val="19"/>
          </w:rPr>
          <w:t>o</w:t>
        </w:r>
        <w:r>
          <w:rPr>
            <w:color w:val="231F20"/>
            <w:w w:val="105"/>
            <w:sz w:val="19"/>
          </w:rPr>
          <w:t>r</w:t>
        </w:r>
        <w:r>
          <w:rPr>
            <w:color w:val="231F20"/>
            <w:w w:val="109"/>
            <w:sz w:val="19"/>
          </w:rPr>
          <w:t>e</w:t>
        </w:r>
        <w:r>
          <w:rPr>
            <w:color w:val="231F20"/>
            <w:w w:val="118"/>
            <w:sz w:val="19"/>
          </w:rPr>
          <w:t>s</w:t>
        </w:r>
        <w:r>
          <w:rPr>
            <w:color w:val="231F20"/>
            <w:w w:val="134"/>
            <w:sz w:val="19"/>
          </w:rPr>
          <w:t>_</w:t>
        </w:r>
        <w:r>
          <w:rPr>
            <w:color w:val="231F20"/>
            <w:w w:val="110"/>
            <w:sz w:val="19"/>
          </w:rPr>
          <w:t>g</w:t>
        </w:r>
        <w:r>
          <w:rPr>
            <w:color w:val="231F20"/>
            <w:w w:val="109"/>
            <w:sz w:val="19"/>
          </w:rPr>
          <w:t>e</w:t>
        </w:r>
        <w:r>
          <w:rPr>
            <w:color w:val="231F20"/>
            <w:w w:val="118"/>
            <w:sz w:val="19"/>
          </w:rPr>
          <w:t>s</w:t>
        </w:r>
        <w:r>
          <w:rPr>
            <w:color w:val="231F20"/>
            <w:w w:val="94"/>
            <w:sz w:val="19"/>
          </w:rPr>
          <w:t>t</w:t>
        </w:r>
        <w:r>
          <w:rPr>
            <w:color w:val="231F20"/>
            <w:w w:val="98"/>
            <w:sz w:val="19"/>
          </w:rPr>
          <w:t>i</w:t>
        </w:r>
        <w:r>
          <w:rPr>
            <w:color w:val="231F20"/>
            <w:w w:val="108"/>
            <w:sz w:val="19"/>
          </w:rPr>
          <w:t>o</w:t>
        </w:r>
        <w:r>
          <w:rPr>
            <w:color w:val="231F20"/>
            <w:w w:val="111"/>
            <w:sz w:val="19"/>
          </w:rPr>
          <w:t>n</w:t>
        </w:r>
        <w:r>
          <w:rPr>
            <w:color w:val="231F20"/>
            <w:w w:val="66"/>
            <w:sz w:val="19"/>
          </w:rPr>
          <w:t>/</w:t>
        </w:r>
        <w:r>
          <w:rPr>
            <w:color w:val="231F20"/>
            <w:w w:val="110"/>
            <w:sz w:val="19"/>
          </w:rPr>
          <w:t>m</w:t>
        </w:r>
        <w:r>
          <w:rPr>
            <w:color w:val="231F20"/>
            <w:w w:val="108"/>
            <w:sz w:val="19"/>
          </w:rPr>
          <w:t>a</w:t>
        </w:r>
        <w:r>
          <w:rPr>
            <w:color w:val="231F20"/>
            <w:w w:val="98"/>
            <w:sz w:val="19"/>
          </w:rPr>
          <w:t>i</w:t>
        </w:r>
        <w:r>
          <w:rPr>
            <w:color w:val="231F20"/>
            <w:w w:val="111"/>
            <w:sz w:val="19"/>
          </w:rPr>
          <w:t>n</w:t>
        </w:r>
        <w:r>
          <w:rPr>
            <w:color w:val="231F20"/>
            <w:w w:val="128"/>
            <w:sz w:val="19"/>
          </w:rPr>
          <w:t>.</w:t>
        </w:r>
        <w:r>
          <w:rPr>
            <w:color w:val="231F20"/>
            <w:w w:val="113"/>
            <w:sz w:val="19"/>
          </w:rPr>
          <w:t>h</w:t>
        </w:r>
        <w:r>
          <w:rPr>
            <w:color w:val="231F20"/>
            <w:w w:val="94"/>
            <w:sz w:val="19"/>
          </w:rPr>
          <w:t>t</w:t>
        </w:r>
        <w:r>
          <w:rPr>
            <w:color w:val="231F20"/>
            <w:w w:val="110"/>
            <w:sz w:val="19"/>
          </w:rPr>
          <w:t>m</w:t>
        </w:r>
        <w:r>
          <w:rPr>
            <w:color w:val="231F20"/>
            <w:w w:val="101"/>
            <w:sz w:val="19"/>
          </w:rPr>
          <w:t>l</w:t>
        </w:r>
      </w:hyperlink>
      <w:r>
        <w:rPr>
          <w:color w:val="231F20"/>
          <w:sz w:val="19"/>
        </w:rPr>
        <w:t>  </w:t>
      </w:r>
      <w:r>
        <w:rPr>
          <w:color w:val="231F20"/>
          <w:w w:val="94"/>
          <w:sz w:val="19"/>
        </w:rPr>
        <w:t>t</w:t>
      </w:r>
      <w:r>
        <w:rPr>
          <w:color w:val="231F20"/>
          <w:w w:val="109"/>
          <w:sz w:val="19"/>
        </w:rPr>
        <w:t>e</w:t>
      </w:r>
      <w:r>
        <w:rPr>
          <w:color w:val="231F20"/>
          <w:w w:val="105"/>
          <w:sz w:val="19"/>
        </w:rPr>
        <w:t>r</w:t>
      </w:r>
      <w:r>
        <w:rPr>
          <w:color w:val="231F20"/>
          <w:w w:val="115"/>
          <w:sz w:val="19"/>
        </w:rPr>
        <w:t>c</w:t>
      </w:r>
      <w:r>
        <w:rPr>
          <w:color w:val="231F20"/>
          <w:w w:val="109"/>
          <w:sz w:val="19"/>
        </w:rPr>
        <w:t>e</w:t>
      </w:r>
      <w:r>
        <w:rPr>
          <w:color w:val="231F20"/>
          <w:w w:val="105"/>
          <w:sz w:val="19"/>
        </w:rPr>
        <w:t>r</w:t>
      </w:r>
      <w:r>
        <w:rPr>
          <w:color w:val="231F20"/>
          <w:sz w:val="19"/>
        </w:rPr>
        <w:t>  </w:t>
      </w:r>
      <w:r>
        <w:rPr>
          <w:color w:val="231F20"/>
          <w:w w:val="107"/>
          <w:sz w:val="19"/>
        </w:rPr>
        <w:t>b</w:t>
      </w:r>
      <w:r>
        <w:rPr>
          <w:color w:val="231F20"/>
          <w:w w:val="98"/>
          <w:sz w:val="19"/>
        </w:rPr>
        <w:t>i</w:t>
      </w:r>
      <w:r>
        <w:rPr>
          <w:color w:val="231F20"/>
          <w:w w:val="93"/>
          <w:sz w:val="19"/>
        </w:rPr>
        <w:t>- </w:t>
      </w:r>
      <w:r>
        <w:rPr>
          <w:color w:val="231F20"/>
          <w:w w:val="105"/>
          <w:sz w:val="19"/>
        </w:rPr>
        <w:t>mestre de 2008  (marzo-abril).</w:t>
      </w:r>
    </w:p>
    <w:p>
      <w:pPr>
        <w:spacing w:line="266" w:lineRule="auto" w:before="0"/>
        <w:ind w:left="480" w:right="119" w:hanging="360"/>
        <w:jc w:val="both"/>
        <w:rPr>
          <w:sz w:val="19"/>
        </w:rPr>
      </w:pPr>
      <w:hyperlink r:id="rId22">
        <w:r>
          <w:rPr>
            <w:color w:val="231F20"/>
            <w:w w:val="105"/>
            <w:sz w:val="19"/>
          </w:rPr>
          <w:t>http://pnd.calderon.presidencia.gob.mx/igualdad-de-oportunidades/familia-ni-</w:t>
        </w:r>
      </w:hyperlink>
      <w:r>
        <w:rPr>
          <w:color w:val="231F20"/>
          <w:w w:val="105"/>
          <w:sz w:val="19"/>
        </w:rPr>
        <w:t> nos-y-jovenes.html consulta realizada en línea (diciembre de 2009).</w:t>
      </w:r>
    </w:p>
    <w:p>
      <w:pPr>
        <w:spacing w:after="0" w:line="266" w:lineRule="auto"/>
        <w:jc w:val="both"/>
        <w:rPr>
          <w:sz w:val="19"/>
        </w:rPr>
        <w:sectPr>
          <w:footerReference w:type="even" r:id="rId20"/>
          <w:pgSz w:w="9520" w:h="12920"/>
          <w:pgMar w:footer="0" w:header="0" w:top="880" w:bottom="280" w:left="1000" w:right="1320"/>
        </w:sectPr>
      </w:pPr>
    </w:p>
    <w:p>
      <w:pPr>
        <w:pStyle w:val="BodyText"/>
        <w:spacing w:before="4"/>
        <w:rPr>
          <w:rFonts w:ascii="Times New Roman"/>
          <w:sz w:val="17"/>
        </w:rPr>
      </w:pPr>
    </w:p>
    <w:p>
      <w:pPr>
        <w:spacing w:after="0"/>
        <w:rPr>
          <w:rFonts w:ascii="Times New Roman"/>
          <w:sz w:val="17"/>
        </w:rPr>
        <w:sectPr>
          <w:footerReference w:type="default" r:id="rId23"/>
          <w:pgSz w:w="9520" w:h="12920"/>
          <w:pgMar w:footer="0" w:header="0" w:top="1220" w:bottom="280" w:left="1320" w:right="1320"/>
        </w:sectPr>
      </w:pPr>
    </w:p>
    <w:p>
      <w:pPr>
        <w:pStyle w:val="Heading1"/>
        <w:spacing w:line="240" w:lineRule="auto" w:before="130"/>
        <w:rPr>
          <w:i/>
        </w:rPr>
      </w:pPr>
      <w:bookmarkStart w:name="_TOC_250011" w:id="3"/>
      <w:bookmarkEnd w:id="3"/>
      <w:r>
        <w:rPr>
          <w:i/>
          <w:color w:val="231F20"/>
          <w:w w:val="65"/>
        </w:rPr>
        <w:t>La familia en vinculación con el mercado laboral</w:t>
      </w:r>
    </w:p>
    <w:p>
      <w:pPr>
        <w:pStyle w:val="Heading2"/>
        <w:spacing w:line="259" w:lineRule="auto"/>
        <w:ind w:left="4867" w:firstLine="303"/>
      </w:pPr>
      <w:bookmarkStart w:name="_TOC_250010" w:id="4"/>
      <w:r>
        <w:rPr>
          <w:i/>
          <w:color w:val="231F20"/>
          <w:w w:val="65"/>
        </w:rPr>
        <w:t>Rosa Patricia Román Reyes</w:t>
      </w:r>
      <w:r>
        <w:rPr>
          <w:color w:val="231F20"/>
          <w:w w:val="65"/>
        </w:rPr>
        <w:t> </w:t>
      </w:r>
      <w:bookmarkEnd w:id="4"/>
      <w:r>
        <w:rPr>
          <w:color w:val="231F20"/>
          <w:w w:val="65"/>
        </w:rPr>
        <w:t>Juan Gabino González Becerril</w:t>
      </w:r>
    </w:p>
    <w:p>
      <w:pPr>
        <w:pStyle w:val="BodyText"/>
        <w:rPr>
          <w:rFonts w:ascii="Trebuchet MS"/>
          <w:i/>
        </w:rPr>
      </w:pPr>
    </w:p>
    <w:p>
      <w:pPr>
        <w:pStyle w:val="BodyText"/>
        <w:rPr>
          <w:rFonts w:ascii="Trebuchet MS"/>
          <w:i/>
        </w:rPr>
      </w:pPr>
    </w:p>
    <w:p>
      <w:pPr>
        <w:pStyle w:val="BodyText"/>
        <w:rPr>
          <w:rFonts w:ascii="Trebuchet MS"/>
          <w:i/>
        </w:rPr>
      </w:pPr>
    </w:p>
    <w:p>
      <w:pPr>
        <w:pStyle w:val="BodyText"/>
        <w:rPr>
          <w:rFonts w:ascii="Trebuchet MS"/>
          <w:i/>
        </w:rPr>
      </w:pPr>
    </w:p>
    <w:p>
      <w:pPr>
        <w:pStyle w:val="BodyText"/>
        <w:rPr>
          <w:rFonts w:ascii="Trebuchet MS"/>
          <w:i/>
        </w:rPr>
      </w:pPr>
    </w:p>
    <w:p>
      <w:pPr>
        <w:pStyle w:val="BodyText"/>
        <w:spacing w:before="6"/>
        <w:rPr>
          <w:rFonts w:ascii="Trebuchet MS"/>
          <w:i/>
          <w:sz w:val="19"/>
        </w:rPr>
      </w:pPr>
    </w:p>
    <w:p>
      <w:pPr>
        <w:spacing w:before="68"/>
        <w:ind w:left="100" w:right="0" w:firstLine="0"/>
        <w:jc w:val="both"/>
        <w:rPr>
          <w:rFonts w:ascii="Times New Roman" w:hAnsi="Times New Roman"/>
          <w:i/>
          <w:sz w:val="19"/>
        </w:rPr>
      </w:pPr>
      <w:r>
        <w:rPr>
          <w:rFonts w:ascii="Times New Roman" w:hAnsi="Times New Roman"/>
          <w:i/>
          <w:color w:val="231F20"/>
          <w:sz w:val="24"/>
        </w:rPr>
        <w:t>I</w:t>
      </w:r>
      <w:r>
        <w:rPr>
          <w:rFonts w:ascii="Times New Roman" w:hAnsi="Times New Roman"/>
          <w:i/>
          <w:color w:val="231F20"/>
          <w:sz w:val="19"/>
        </w:rPr>
        <w:t>NTRODUCCIÓN</w:t>
      </w:r>
    </w:p>
    <w:p>
      <w:pPr>
        <w:pStyle w:val="BodyText"/>
        <w:spacing w:before="9"/>
        <w:rPr>
          <w:rFonts w:ascii="Times New Roman"/>
          <w:i/>
          <w:sz w:val="27"/>
        </w:rPr>
      </w:pPr>
    </w:p>
    <w:p>
      <w:pPr>
        <w:pStyle w:val="BodyText"/>
        <w:spacing w:line="288" w:lineRule="auto"/>
        <w:ind w:left="100" w:right="117"/>
        <w:jc w:val="both"/>
      </w:pPr>
      <w:r>
        <w:rPr>
          <w:color w:val="231F20"/>
          <w:w w:val="110"/>
        </w:rPr>
        <w:t>La </w:t>
      </w:r>
      <w:r>
        <w:rPr>
          <w:color w:val="231F20"/>
          <w:spacing w:val="-4"/>
          <w:w w:val="110"/>
        </w:rPr>
        <w:t>unidad </w:t>
      </w:r>
      <w:r>
        <w:rPr>
          <w:color w:val="231F20"/>
          <w:w w:val="110"/>
        </w:rPr>
        <w:t>de </w:t>
      </w:r>
      <w:r>
        <w:rPr>
          <w:color w:val="231F20"/>
          <w:spacing w:val="-4"/>
          <w:w w:val="110"/>
        </w:rPr>
        <w:t>análisis tradicional </w:t>
      </w:r>
      <w:r>
        <w:rPr>
          <w:color w:val="231F20"/>
          <w:w w:val="110"/>
        </w:rPr>
        <w:t>en el </w:t>
      </w:r>
      <w:r>
        <w:rPr>
          <w:color w:val="231F20"/>
          <w:spacing w:val="-4"/>
          <w:w w:val="110"/>
        </w:rPr>
        <w:t>estudio </w:t>
      </w:r>
      <w:r>
        <w:rPr>
          <w:color w:val="231F20"/>
          <w:spacing w:val="-3"/>
          <w:w w:val="110"/>
        </w:rPr>
        <w:t>del </w:t>
      </w:r>
      <w:r>
        <w:rPr>
          <w:color w:val="231F20"/>
          <w:spacing w:val="-4"/>
          <w:w w:val="110"/>
        </w:rPr>
        <w:t>mercado </w:t>
      </w:r>
      <w:r>
        <w:rPr>
          <w:color w:val="231F20"/>
          <w:w w:val="110"/>
        </w:rPr>
        <w:t>de </w:t>
      </w:r>
      <w:r>
        <w:rPr>
          <w:color w:val="231F20"/>
          <w:spacing w:val="-4"/>
          <w:w w:val="110"/>
        </w:rPr>
        <w:t>trabajo </w:t>
      </w:r>
      <w:r>
        <w:rPr>
          <w:color w:val="231F20"/>
          <w:w w:val="110"/>
        </w:rPr>
        <w:t>ha</w:t>
      </w:r>
      <w:r>
        <w:rPr>
          <w:color w:val="231F20"/>
          <w:spacing w:val="-20"/>
          <w:w w:val="110"/>
        </w:rPr>
        <w:t> </w:t>
      </w:r>
      <w:r>
        <w:rPr>
          <w:color w:val="231F20"/>
          <w:spacing w:val="-3"/>
          <w:w w:val="110"/>
        </w:rPr>
        <w:t>sido </w:t>
      </w:r>
      <w:r>
        <w:rPr>
          <w:color w:val="231F20"/>
          <w:w w:val="110"/>
        </w:rPr>
        <w:t>históricamente el individuo. Sin embargo, en el marco de los cambios y las transformaciones que la dinámica laboral ha sufrido a lo largo de las últi- mas tres décadas, se ha insistido en la importancia de considerar a las personas en el marco de sus relaciones familiares, por lo que la familia se convirtió en la unidad de análisis principal en estudios de este</w:t>
      </w:r>
      <w:r>
        <w:rPr>
          <w:color w:val="231F20"/>
          <w:spacing w:val="47"/>
          <w:w w:val="110"/>
        </w:rPr>
        <w:t> </w:t>
      </w:r>
      <w:r>
        <w:rPr>
          <w:color w:val="231F20"/>
          <w:w w:val="110"/>
        </w:rPr>
        <w:t>tipo.</w:t>
      </w:r>
    </w:p>
    <w:p>
      <w:pPr>
        <w:pStyle w:val="BodyText"/>
        <w:spacing w:line="288" w:lineRule="auto"/>
        <w:ind w:left="100" w:right="115" w:firstLine="360"/>
        <w:jc w:val="both"/>
      </w:pPr>
      <w:r>
        <w:rPr>
          <w:color w:val="231F20"/>
          <w:w w:val="110"/>
        </w:rPr>
        <w:t>La importancia de la familia como unidad de análisis económico se basa en el supuesto de que es una entidad que toma decisiones conjuntas en lo relativo a la generación y asignación del ingreso; por lo que esta po- sibilidad de acción, la vinculada con la toma de decisiones es lo que hace que la familia se constituya como una unidad de fundamental importancia en el estudio de las desigualdades de ingreso (Kuznets, 1978), aunque también en las investigaciones dirigidas a analizar las formas de su gene- ración y obtención.</w:t>
      </w:r>
    </w:p>
    <w:p>
      <w:pPr>
        <w:pStyle w:val="BodyText"/>
        <w:spacing w:line="288" w:lineRule="auto"/>
        <w:ind w:left="100" w:right="118" w:firstLine="360"/>
        <w:jc w:val="both"/>
      </w:pPr>
      <w:r>
        <w:rPr>
          <w:color w:val="231F20"/>
          <w:w w:val="110"/>
        </w:rPr>
        <w:t>En</w:t>
      </w:r>
      <w:r>
        <w:rPr>
          <w:color w:val="231F20"/>
          <w:spacing w:val="-5"/>
          <w:w w:val="110"/>
        </w:rPr>
        <w:t> </w:t>
      </w:r>
      <w:r>
        <w:rPr>
          <w:color w:val="231F20"/>
          <w:w w:val="110"/>
        </w:rPr>
        <w:t>este</w:t>
      </w:r>
      <w:r>
        <w:rPr>
          <w:color w:val="231F20"/>
          <w:spacing w:val="-5"/>
          <w:w w:val="110"/>
        </w:rPr>
        <w:t> </w:t>
      </w:r>
      <w:r>
        <w:rPr>
          <w:color w:val="231F20"/>
          <w:w w:val="110"/>
        </w:rPr>
        <w:t>marco,</w:t>
      </w:r>
      <w:r>
        <w:rPr>
          <w:color w:val="231F20"/>
          <w:spacing w:val="-5"/>
          <w:w w:val="110"/>
        </w:rPr>
        <w:t> </w:t>
      </w:r>
      <w:r>
        <w:rPr>
          <w:color w:val="231F20"/>
          <w:w w:val="110"/>
        </w:rPr>
        <w:t>el</w:t>
      </w:r>
      <w:r>
        <w:rPr>
          <w:color w:val="231F20"/>
          <w:spacing w:val="-5"/>
          <w:w w:val="110"/>
        </w:rPr>
        <w:t> </w:t>
      </w:r>
      <w:r>
        <w:rPr>
          <w:color w:val="231F20"/>
          <w:w w:val="110"/>
        </w:rPr>
        <w:t>interés</w:t>
      </w:r>
      <w:r>
        <w:rPr>
          <w:color w:val="231F20"/>
          <w:spacing w:val="-5"/>
          <w:w w:val="110"/>
        </w:rPr>
        <w:t> </w:t>
      </w:r>
      <w:r>
        <w:rPr>
          <w:color w:val="231F20"/>
          <w:w w:val="110"/>
        </w:rPr>
        <w:t>central</w:t>
      </w:r>
      <w:r>
        <w:rPr>
          <w:color w:val="231F20"/>
          <w:spacing w:val="-5"/>
          <w:w w:val="110"/>
        </w:rPr>
        <w:t> </w:t>
      </w:r>
      <w:r>
        <w:rPr>
          <w:color w:val="231F20"/>
          <w:w w:val="110"/>
        </w:rPr>
        <w:t>de</w:t>
      </w:r>
      <w:r>
        <w:rPr>
          <w:color w:val="231F20"/>
          <w:spacing w:val="-5"/>
          <w:w w:val="110"/>
        </w:rPr>
        <w:t> </w:t>
      </w:r>
      <w:r>
        <w:rPr>
          <w:color w:val="231F20"/>
          <w:w w:val="110"/>
        </w:rPr>
        <w:t>este</w:t>
      </w:r>
      <w:r>
        <w:rPr>
          <w:color w:val="231F20"/>
          <w:spacing w:val="-5"/>
          <w:w w:val="110"/>
        </w:rPr>
        <w:t> </w:t>
      </w:r>
      <w:r>
        <w:rPr>
          <w:color w:val="231F20"/>
          <w:w w:val="110"/>
        </w:rPr>
        <w:t>trabajo</w:t>
      </w:r>
      <w:r>
        <w:rPr>
          <w:color w:val="231F20"/>
          <w:spacing w:val="-5"/>
          <w:w w:val="110"/>
        </w:rPr>
        <w:t> </w:t>
      </w:r>
      <w:r>
        <w:rPr>
          <w:color w:val="231F20"/>
          <w:w w:val="110"/>
        </w:rPr>
        <w:t>se</w:t>
      </w:r>
      <w:r>
        <w:rPr>
          <w:color w:val="231F20"/>
          <w:spacing w:val="-5"/>
          <w:w w:val="110"/>
        </w:rPr>
        <w:t> </w:t>
      </w:r>
      <w:r>
        <w:rPr>
          <w:color w:val="231F20"/>
          <w:w w:val="110"/>
        </w:rPr>
        <w:t>enfoca</w:t>
      </w:r>
      <w:r>
        <w:rPr>
          <w:color w:val="231F20"/>
          <w:spacing w:val="-5"/>
          <w:w w:val="110"/>
        </w:rPr>
        <w:t> </w:t>
      </w:r>
      <w:r>
        <w:rPr>
          <w:color w:val="231F20"/>
          <w:w w:val="110"/>
        </w:rPr>
        <w:t>en</w:t>
      </w:r>
      <w:r>
        <w:rPr>
          <w:color w:val="231F20"/>
          <w:spacing w:val="-5"/>
          <w:w w:val="110"/>
        </w:rPr>
        <w:t> </w:t>
      </w:r>
      <w:r>
        <w:rPr>
          <w:color w:val="231F20"/>
          <w:w w:val="110"/>
        </w:rPr>
        <w:t>revisar</w:t>
      </w:r>
      <w:r>
        <w:rPr>
          <w:color w:val="231F20"/>
          <w:spacing w:val="-5"/>
          <w:w w:val="110"/>
        </w:rPr>
        <w:t> </w:t>
      </w:r>
      <w:r>
        <w:rPr>
          <w:color w:val="231F20"/>
          <w:w w:val="110"/>
        </w:rPr>
        <w:t>las características</w:t>
      </w:r>
      <w:r>
        <w:rPr>
          <w:color w:val="231F20"/>
          <w:spacing w:val="-16"/>
          <w:w w:val="110"/>
        </w:rPr>
        <w:t> </w:t>
      </w:r>
      <w:r>
        <w:rPr>
          <w:color w:val="231F20"/>
          <w:w w:val="110"/>
        </w:rPr>
        <w:t>y</w:t>
      </w:r>
      <w:r>
        <w:rPr>
          <w:color w:val="231F20"/>
          <w:spacing w:val="-16"/>
          <w:w w:val="110"/>
        </w:rPr>
        <w:t> </w:t>
      </w:r>
      <w:r>
        <w:rPr>
          <w:color w:val="231F20"/>
          <w:w w:val="110"/>
        </w:rPr>
        <w:t>complejidades</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conceptualización</w:t>
      </w:r>
      <w:r>
        <w:rPr>
          <w:color w:val="231F20"/>
          <w:spacing w:val="-16"/>
          <w:w w:val="110"/>
        </w:rPr>
        <w:t> </w:t>
      </w:r>
      <w:r>
        <w:rPr>
          <w:color w:val="231F20"/>
          <w:w w:val="110"/>
        </w:rPr>
        <w:t>y</w:t>
      </w:r>
      <w:r>
        <w:rPr>
          <w:color w:val="231F20"/>
          <w:spacing w:val="-16"/>
          <w:w w:val="110"/>
        </w:rPr>
        <w:t> </w:t>
      </w:r>
      <w:r>
        <w:rPr>
          <w:color w:val="231F20"/>
          <w:w w:val="110"/>
        </w:rPr>
        <w:t>observación,</w:t>
      </w:r>
      <w:r>
        <w:rPr>
          <w:color w:val="231F20"/>
          <w:spacing w:val="-16"/>
          <w:w w:val="110"/>
        </w:rPr>
        <w:t> </w:t>
      </w:r>
      <w:r>
        <w:rPr>
          <w:color w:val="231F20"/>
          <w:w w:val="110"/>
        </w:rPr>
        <w:t>estu- dio,</w:t>
      </w:r>
      <w:r>
        <w:rPr>
          <w:color w:val="231F20"/>
          <w:spacing w:val="-6"/>
          <w:w w:val="110"/>
        </w:rPr>
        <w:t> </w:t>
      </w:r>
      <w:r>
        <w:rPr>
          <w:color w:val="231F20"/>
          <w:w w:val="110"/>
        </w:rPr>
        <w:t>análisis</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unidad</w:t>
      </w:r>
      <w:r>
        <w:rPr>
          <w:color w:val="231F20"/>
          <w:spacing w:val="-6"/>
          <w:w w:val="110"/>
        </w:rPr>
        <w:t> </w:t>
      </w:r>
      <w:r>
        <w:rPr>
          <w:color w:val="231F20"/>
          <w:w w:val="110"/>
        </w:rPr>
        <w:t>familiar</w:t>
      </w:r>
      <w:r>
        <w:rPr>
          <w:color w:val="231F20"/>
          <w:spacing w:val="-6"/>
          <w:w w:val="110"/>
        </w:rPr>
        <w:t> </w:t>
      </w:r>
      <w:r>
        <w:rPr>
          <w:color w:val="231F20"/>
          <w:w w:val="110"/>
        </w:rPr>
        <w:t>en</w:t>
      </w:r>
      <w:r>
        <w:rPr>
          <w:color w:val="231F20"/>
          <w:spacing w:val="-6"/>
          <w:w w:val="110"/>
        </w:rPr>
        <w:t> </w:t>
      </w:r>
      <w:r>
        <w:rPr>
          <w:color w:val="231F20"/>
          <w:w w:val="110"/>
        </w:rPr>
        <w:t>relación</w:t>
      </w:r>
      <w:r>
        <w:rPr>
          <w:color w:val="231F20"/>
          <w:spacing w:val="-6"/>
          <w:w w:val="110"/>
        </w:rPr>
        <w:t> </w:t>
      </w:r>
      <w:r>
        <w:rPr>
          <w:color w:val="231F20"/>
          <w:w w:val="110"/>
        </w:rPr>
        <w:t>con</w:t>
      </w:r>
      <w:r>
        <w:rPr>
          <w:color w:val="231F20"/>
          <w:spacing w:val="-6"/>
          <w:w w:val="110"/>
        </w:rPr>
        <w:t> </w:t>
      </w:r>
      <w:r>
        <w:rPr>
          <w:color w:val="231F20"/>
          <w:w w:val="110"/>
        </w:rPr>
        <w:t>la</w:t>
      </w:r>
      <w:r>
        <w:rPr>
          <w:color w:val="231F20"/>
          <w:spacing w:val="-6"/>
          <w:w w:val="110"/>
        </w:rPr>
        <w:t> </w:t>
      </w:r>
      <w:r>
        <w:rPr>
          <w:color w:val="231F20"/>
          <w:w w:val="110"/>
        </w:rPr>
        <w:t>dinámica</w:t>
      </w:r>
      <w:r>
        <w:rPr>
          <w:color w:val="231F20"/>
          <w:spacing w:val="-6"/>
          <w:w w:val="110"/>
        </w:rPr>
        <w:t> </w:t>
      </w:r>
      <w:r>
        <w:rPr>
          <w:color w:val="231F20"/>
          <w:w w:val="110"/>
        </w:rPr>
        <w:t>laboral,</w:t>
      </w:r>
      <w:r>
        <w:rPr>
          <w:color w:val="231F20"/>
          <w:spacing w:val="-6"/>
          <w:w w:val="110"/>
        </w:rPr>
        <w:t> </w:t>
      </w:r>
      <w:r>
        <w:rPr>
          <w:color w:val="231F20"/>
          <w:w w:val="110"/>
        </w:rPr>
        <w:t>anali- zando</w:t>
      </w:r>
      <w:r>
        <w:rPr>
          <w:color w:val="231F20"/>
          <w:spacing w:val="-5"/>
          <w:w w:val="110"/>
        </w:rPr>
        <w:t> </w:t>
      </w:r>
      <w:r>
        <w:rPr>
          <w:color w:val="231F20"/>
          <w:w w:val="110"/>
        </w:rPr>
        <w:t>la</w:t>
      </w:r>
      <w:r>
        <w:rPr>
          <w:color w:val="231F20"/>
          <w:spacing w:val="-5"/>
          <w:w w:val="110"/>
        </w:rPr>
        <w:t> </w:t>
      </w:r>
      <w:r>
        <w:rPr>
          <w:color w:val="231F20"/>
          <w:w w:val="110"/>
        </w:rPr>
        <w:t>actividad</w:t>
      </w:r>
      <w:r>
        <w:rPr>
          <w:color w:val="231F20"/>
          <w:spacing w:val="-5"/>
          <w:w w:val="110"/>
        </w:rPr>
        <w:t> </w:t>
      </w:r>
      <w:r>
        <w:rPr>
          <w:color w:val="231F20"/>
          <w:w w:val="110"/>
        </w:rPr>
        <w:t>laboral</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integrantes</w:t>
      </w:r>
      <w:r>
        <w:rPr>
          <w:color w:val="231F20"/>
          <w:spacing w:val="-5"/>
          <w:w w:val="110"/>
        </w:rPr>
        <w:t> </w:t>
      </w:r>
      <w:r>
        <w:rPr>
          <w:color w:val="231F20"/>
          <w:w w:val="110"/>
        </w:rPr>
        <w:t>de</w:t>
      </w:r>
      <w:r>
        <w:rPr>
          <w:color w:val="231F20"/>
          <w:spacing w:val="-5"/>
          <w:w w:val="110"/>
        </w:rPr>
        <w:t> </w:t>
      </w:r>
      <w:r>
        <w:rPr>
          <w:color w:val="231F20"/>
          <w:w w:val="110"/>
        </w:rPr>
        <w:t>diversos</w:t>
      </w:r>
      <w:r>
        <w:rPr>
          <w:color w:val="231F20"/>
          <w:spacing w:val="-5"/>
          <w:w w:val="110"/>
        </w:rPr>
        <w:t> </w:t>
      </w:r>
      <w:r>
        <w:rPr>
          <w:color w:val="231F20"/>
          <w:w w:val="110"/>
        </w:rPr>
        <w:t>núcleos</w:t>
      </w:r>
      <w:r>
        <w:rPr>
          <w:color w:val="231F20"/>
          <w:spacing w:val="-5"/>
          <w:w w:val="110"/>
        </w:rPr>
        <w:t> </w:t>
      </w:r>
      <w:r>
        <w:rPr>
          <w:color w:val="231F20"/>
          <w:w w:val="110"/>
        </w:rPr>
        <w:t>familiares en pequeños establecimientos en la Ciudad de México, y las repercusio- nes que su trabajo tiene sobre la vida familiar, así como el impacto de la dinámica familiar en las actividades</w:t>
      </w:r>
      <w:r>
        <w:rPr>
          <w:color w:val="231F20"/>
          <w:spacing w:val="5"/>
          <w:w w:val="110"/>
        </w:rPr>
        <w:t> </w:t>
      </w:r>
      <w:r>
        <w:rPr>
          <w:color w:val="231F20"/>
          <w:w w:val="110"/>
        </w:rPr>
        <w:t>laborales.</w:t>
      </w:r>
    </w:p>
    <w:p>
      <w:pPr>
        <w:pStyle w:val="BodyText"/>
        <w:spacing w:line="288" w:lineRule="auto"/>
        <w:ind w:left="100" w:right="119" w:firstLine="360"/>
        <w:jc w:val="both"/>
      </w:pPr>
      <w:r>
        <w:rPr>
          <w:color w:val="231F20"/>
          <w:w w:val="110"/>
        </w:rPr>
        <w:t>Así,</w:t>
      </w:r>
      <w:r>
        <w:rPr>
          <w:color w:val="231F20"/>
          <w:spacing w:val="-16"/>
          <w:w w:val="110"/>
        </w:rPr>
        <w:t> </w:t>
      </w:r>
      <w:r>
        <w:rPr>
          <w:color w:val="231F20"/>
          <w:w w:val="110"/>
        </w:rPr>
        <w:t>el</w:t>
      </w:r>
      <w:r>
        <w:rPr>
          <w:color w:val="231F20"/>
          <w:spacing w:val="-16"/>
          <w:w w:val="110"/>
        </w:rPr>
        <w:t> </w:t>
      </w:r>
      <w:r>
        <w:rPr>
          <w:color w:val="231F20"/>
          <w:w w:val="110"/>
        </w:rPr>
        <w:t>problema</w:t>
      </w:r>
      <w:r>
        <w:rPr>
          <w:color w:val="231F20"/>
          <w:spacing w:val="-16"/>
          <w:w w:val="110"/>
        </w:rPr>
        <w:t> </w:t>
      </w:r>
      <w:r>
        <w:rPr>
          <w:color w:val="231F20"/>
          <w:w w:val="110"/>
        </w:rPr>
        <w:t>de</w:t>
      </w:r>
      <w:r>
        <w:rPr>
          <w:color w:val="231F20"/>
          <w:spacing w:val="-16"/>
          <w:w w:val="110"/>
        </w:rPr>
        <w:t> </w:t>
      </w:r>
      <w:r>
        <w:rPr>
          <w:color w:val="231F20"/>
          <w:w w:val="110"/>
        </w:rPr>
        <w:t>investigación</w:t>
      </w:r>
      <w:r>
        <w:rPr>
          <w:color w:val="231F20"/>
          <w:spacing w:val="-16"/>
          <w:w w:val="110"/>
        </w:rPr>
        <w:t> </w:t>
      </w:r>
      <w:r>
        <w:rPr>
          <w:color w:val="231F20"/>
          <w:w w:val="110"/>
        </w:rPr>
        <w:t>planteado</w:t>
      </w:r>
      <w:r>
        <w:rPr>
          <w:color w:val="231F20"/>
          <w:spacing w:val="-16"/>
          <w:w w:val="110"/>
        </w:rPr>
        <w:t> </w:t>
      </w:r>
      <w:r>
        <w:rPr>
          <w:color w:val="231F20"/>
          <w:w w:val="110"/>
        </w:rPr>
        <w:t>se</w:t>
      </w:r>
      <w:r>
        <w:rPr>
          <w:color w:val="231F20"/>
          <w:spacing w:val="-16"/>
          <w:w w:val="110"/>
        </w:rPr>
        <w:t> </w:t>
      </w:r>
      <w:r>
        <w:rPr>
          <w:color w:val="231F20"/>
          <w:w w:val="110"/>
        </w:rPr>
        <w:t>inscribe</w:t>
      </w:r>
      <w:r>
        <w:rPr>
          <w:color w:val="231F20"/>
          <w:spacing w:val="-16"/>
          <w:w w:val="110"/>
        </w:rPr>
        <w:t> </w:t>
      </w:r>
      <w:r>
        <w:rPr>
          <w:color w:val="231F20"/>
          <w:w w:val="110"/>
        </w:rPr>
        <w:t>dentro</w:t>
      </w:r>
      <w:r>
        <w:rPr>
          <w:color w:val="231F20"/>
          <w:spacing w:val="-16"/>
          <w:w w:val="110"/>
        </w:rPr>
        <w:t> </w:t>
      </w:r>
      <w:r>
        <w:rPr>
          <w:color w:val="231F20"/>
          <w:w w:val="110"/>
        </w:rPr>
        <w:t>del</w:t>
      </w:r>
      <w:r>
        <w:rPr>
          <w:color w:val="231F20"/>
          <w:spacing w:val="-16"/>
          <w:w w:val="110"/>
        </w:rPr>
        <w:t> </w:t>
      </w:r>
      <w:r>
        <w:rPr>
          <w:color w:val="231F20"/>
          <w:w w:val="110"/>
        </w:rPr>
        <w:t>grupo de</w:t>
      </w:r>
      <w:r>
        <w:rPr>
          <w:color w:val="231F20"/>
          <w:spacing w:val="-11"/>
          <w:w w:val="110"/>
        </w:rPr>
        <w:t> </w:t>
      </w:r>
      <w:r>
        <w:rPr>
          <w:color w:val="231F20"/>
          <w:w w:val="110"/>
        </w:rPr>
        <w:t>estudios</w:t>
      </w:r>
      <w:r>
        <w:rPr>
          <w:color w:val="231F20"/>
          <w:spacing w:val="-11"/>
          <w:w w:val="110"/>
        </w:rPr>
        <w:t> </w:t>
      </w:r>
      <w:r>
        <w:rPr>
          <w:color w:val="231F20"/>
          <w:w w:val="110"/>
        </w:rPr>
        <w:t>que</w:t>
      </w:r>
      <w:r>
        <w:rPr>
          <w:color w:val="231F20"/>
          <w:spacing w:val="-11"/>
          <w:w w:val="110"/>
        </w:rPr>
        <w:t> </w:t>
      </w:r>
      <w:r>
        <w:rPr>
          <w:color w:val="231F20"/>
          <w:w w:val="110"/>
        </w:rPr>
        <w:t>se</w:t>
      </w:r>
      <w:r>
        <w:rPr>
          <w:color w:val="231F20"/>
          <w:spacing w:val="-11"/>
          <w:w w:val="110"/>
        </w:rPr>
        <w:t> </w:t>
      </w:r>
      <w:r>
        <w:rPr>
          <w:color w:val="231F20"/>
          <w:w w:val="110"/>
        </w:rPr>
        <w:t>ocupan</w:t>
      </w:r>
      <w:r>
        <w:rPr>
          <w:color w:val="231F20"/>
          <w:spacing w:val="-11"/>
          <w:w w:val="110"/>
        </w:rPr>
        <w:t> </w:t>
      </w:r>
      <w:r>
        <w:rPr>
          <w:color w:val="231F20"/>
          <w:w w:val="110"/>
        </w:rPr>
        <w:t>de</w:t>
      </w:r>
      <w:r>
        <w:rPr>
          <w:color w:val="231F20"/>
          <w:spacing w:val="-11"/>
          <w:w w:val="110"/>
        </w:rPr>
        <w:t> </w:t>
      </w:r>
      <w:r>
        <w:rPr>
          <w:color w:val="231F20"/>
          <w:w w:val="110"/>
        </w:rPr>
        <w:t>analizar</w:t>
      </w:r>
      <w:r>
        <w:rPr>
          <w:color w:val="231F20"/>
          <w:spacing w:val="-11"/>
          <w:w w:val="110"/>
        </w:rPr>
        <w:t> </w:t>
      </w:r>
      <w:r>
        <w:rPr>
          <w:color w:val="231F20"/>
          <w:w w:val="110"/>
        </w:rPr>
        <w:t>las</w:t>
      </w:r>
      <w:r>
        <w:rPr>
          <w:color w:val="231F20"/>
          <w:spacing w:val="-11"/>
          <w:w w:val="110"/>
        </w:rPr>
        <w:t> </w:t>
      </w:r>
      <w:r>
        <w:rPr>
          <w:color w:val="231F20"/>
          <w:w w:val="110"/>
        </w:rPr>
        <w:t>características</w:t>
      </w:r>
      <w:r>
        <w:rPr>
          <w:color w:val="231F20"/>
          <w:spacing w:val="-11"/>
          <w:w w:val="110"/>
        </w:rPr>
        <w:t> </w:t>
      </w:r>
      <w:r>
        <w:rPr>
          <w:color w:val="231F20"/>
          <w:w w:val="110"/>
        </w:rPr>
        <w:t>y</w:t>
      </w:r>
      <w:r>
        <w:rPr>
          <w:color w:val="231F20"/>
          <w:spacing w:val="-11"/>
          <w:w w:val="110"/>
        </w:rPr>
        <w:t> </w:t>
      </w:r>
      <w:r>
        <w:rPr>
          <w:color w:val="231F20"/>
          <w:w w:val="110"/>
        </w:rPr>
        <w:t>las</w:t>
      </w:r>
      <w:r>
        <w:rPr>
          <w:color w:val="231F20"/>
          <w:spacing w:val="-11"/>
          <w:w w:val="110"/>
        </w:rPr>
        <w:t> </w:t>
      </w:r>
      <w:r>
        <w:rPr>
          <w:color w:val="231F20"/>
          <w:w w:val="110"/>
        </w:rPr>
        <w:t>implicaciones</w:t>
      </w:r>
    </w:p>
    <w:p>
      <w:pPr>
        <w:pStyle w:val="BodyText"/>
        <w:spacing w:before="10"/>
        <w:rPr>
          <w:sz w:val="19"/>
        </w:rPr>
      </w:pPr>
    </w:p>
    <w:p>
      <w:pPr>
        <w:spacing w:before="75"/>
        <w:ind w:left="1388" w:right="1407" w:firstLine="0"/>
        <w:jc w:val="center"/>
        <w:rPr>
          <w:rFonts w:ascii="Calibri"/>
          <w:i/>
          <w:sz w:val="16"/>
        </w:rPr>
      </w:pPr>
      <w:r>
        <w:rPr>
          <w:rFonts w:ascii="Calibri"/>
          <w:i/>
          <w:color w:val="231F20"/>
          <w:w w:val="95"/>
          <w:sz w:val="16"/>
        </w:rPr>
        <w:t>33</w:t>
      </w:r>
    </w:p>
    <w:p>
      <w:pPr>
        <w:spacing w:after="0"/>
        <w:jc w:val="center"/>
        <w:rPr>
          <w:rFonts w:ascii="Calibri"/>
          <w:sz w:val="16"/>
        </w:rPr>
        <w:sectPr>
          <w:footerReference w:type="even" r:id="rId24"/>
          <w:pgSz w:w="9520" w:h="12920"/>
          <w:pgMar w:footer="0" w:header="0" w:top="1220" w:bottom="280" w:left="1020" w:right="1320"/>
        </w:sectPr>
      </w:pPr>
    </w:p>
    <w:p>
      <w:pPr>
        <w:pStyle w:val="BodyText"/>
        <w:spacing w:line="280" w:lineRule="auto" w:before="42"/>
        <w:ind w:left="124" w:right="112"/>
        <w:jc w:val="both"/>
      </w:pPr>
      <w:r>
        <w:rPr>
          <w:color w:val="231F20"/>
          <w:w w:val="110"/>
        </w:rPr>
        <w:t>que tiene la participación de la familia en la actividad económica, así como los efectos de esta participación en el </w:t>
      </w:r>
      <w:r>
        <w:rPr>
          <w:color w:val="231F20"/>
          <w:spacing w:val="-3"/>
          <w:w w:val="110"/>
        </w:rPr>
        <w:t>hogar. </w:t>
      </w:r>
      <w:r>
        <w:rPr>
          <w:color w:val="231F20"/>
          <w:w w:val="110"/>
        </w:rPr>
        <w:t>Bajo esta perspectiva, el</w:t>
      </w:r>
      <w:r>
        <w:rPr>
          <w:color w:val="231F20"/>
          <w:spacing w:val="-24"/>
          <w:w w:val="110"/>
        </w:rPr>
        <w:t> </w:t>
      </w:r>
      <w:r>
        <w:rPr>
          <w:color w:val="231F20"/>
          <w:w w:val="110"/>
        </w:rPr>
        <w:t>docu- mento</w:t>
      </w:r>
      <w:r>
        <w:rPr>
          <w:color w:val="231F20"/>
          <w:spacing w:val="-5"/>
          <w:w w:val="110"/>
        </w:rPr>
        <w:t> </w:t>
      </w:r>
      <w:r>
        <w:rPr>
          <w:color w:val="231F20"/>
          <w:w w:val="110"/>
        </w:rPr>
        <w:t>busca</w:t>
      </w:r>
      <w:r>
        <w:rPr>
          <w:color w:val="231F20"/>
          <w:spacing w:val="-5"/>
          <w:w w:val="110"/>
        </w:rPr>
        <w:t> </w:t>
      </w:r>
      <w:r>
        <w:rPr>
          <w:color w:val="231F20"/>
          <w:w w:val="110"/>
        </w:rPr>
        <w:t>aportar</w:t>
      </w:r>
      <w:r>
        <w:rPr>
          <w:color w:val="231F20"/>
          <w:spacing w:val="-5"/>
          <w:w w:val="110"/>
        </w:rPr>
        <w:t> </w:t>
      </w:r>
      <w:r>
        <w:rPr>
          <w:color w:val="231F20"/>
          <w:w w:val="110"/>
        </w:rPr>
        <w:t>elementos</w:t>
      </w:r>
      <w:r>
        <w:rPr>
          <w:color w:val="231F20"/>
          <w:spacing w:val="-5"/>
          <w:w w:val="110"/>
        </w:rPr>
        <w:t> </w:t>
      </w:r>
      <w:r>
        <w:rPr>
          <w:color w:val="231F20"/>
          <w:w w:val="110"/>
        </w:rPr>
        <w:t>que</w:t>
      </w:r>
      <w:r>
        <w:rPr>
          <w:color w:val="231F20"/>
          <w:spacing w:val="-5"/>
          <w:w w:val="110"/>
        </w:rPr>
        <w:t> </w:t>
      </w:r>
      <w:r>
        <w:rPr>
          <w:color w:val="231F20"/>
          <w:w w:val="110"/>
        </w:rPr>
        <w:t>permitan</w:t>
      </w:r>
      <w:r>
        <w:rPr>
          <w:color w:val="231F20"/>
          <w:spacing w:val="-5"/>
          <w:w w:val="110"/>
        </w:rPr>
        <w:t> </w:t>
      </w:r>
      <w:r>
        <w:rPr>
          <w:color w:val="231F20"/>
          <w:w w:val="110"/>
        </w:rPr>
        <w:t>dar</w:t>
      </w:r>
      <w:r>
        <w:rPr>
          <w:color w:val="231F20"/>
          <w:spacing w:val="-5"/>
          <w:w w:val="110"/>
        </w:rPr>
        <w:t> </w:t>
      </w:r>
      <w:r>
        <w:rPr>
          <w:color w:val="231F20"/>
          <w:w w:val="110"/>
        </w:rPr>
        <w:t>respuestas</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w w:val="110"/>
        </w:rPr>
        <w:t>siguiente inquietud:</w:t>
      </w:r>
      <w:r>
        <w:rPr>
          <w:color w:val="231F20"/>
          <w:spacing w:val="-6"/>
          <w:w w:val="110"/>
        </w:rPr>
        <w:t> </w:t>
      </w:r>
      <w:r>
        <w:rPr>
          <w:color w:val="231F20"/>
          <w:w w:val="110"/>
        </w:rPr>
        <w:t>¿La</w:t>
      </w:r>
      <w:r>
        <w:rPr>
          <w:color w:val="231F20"/>
          <w:spacing w:val="-6"/>
          <w:w w:val="110"/>
        </w:rPr>
        <w:t> </w:t>
      </w:r>
      <w:r>
        <w:rPr>
          <w:color w:val="231F20"/>
          <w:w w:val="110"/>
        </w:rPr>
        <w:t>participación</w:t>
      </w:r>
      <w:r>
        <w:rPr>
          <w:color w:val="231F20"/>
          <w:spacing w:val="-6"/>
          <w:w w:val="110"/>
        </w:rPr>
        <w:t> </w:t>
      </w:r>
      <w:r>
        <w:rPr>
          <w:color w:val="231F20"/>
          <w:w w:val="110"/>
        </w:rPr>
        <w:t>laboral</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miembros</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familia</w:t>
      </w:r>
      <w:r>
        <w:rPr>
          <w:color w:val="231F20"/>
          <w:spacing w:val="-6"/>
          <w:w w:val="110"/>
        </w:rPr>
        <w:t> </w:t>
      </w:r>
      <w:r>
        <w:rPr>
          <w:color w:val="231F20"/>
          <w:w w:val="110"/>
        </w:rPr>
        <w:t>constitu- ye una forma de producción que permite asegurar la reproducción, tanto de</w:t>
      </w:r>
      <w:r>
        <w:rPr>
          <w:color w:val="231F20"/>
          <w:spacing w:val="-9"/>
          <w:w w:val="110"/>
        </w:rPr>
        <w:t> </w:t>
      </w:r>
      <w:r>
        <w:rPr>
          <w:color w:val="231F20"/>
          <w:w w:val="110"/>
        </w:rPr>
        <w:t>la</w:t>
      </w:r>
      <w:r>
        <w:rPr>
          <w:color w:val="231F20"/>
          <w:spacing w:val="-9"/>
          <w:w w:val="110"/>
        </w:rPr>
        <w:t> </w:t>
      </w:r>
      <w:r>
        <w:rPr>
          <w:color w:val="231F20"/>
          <w:w w:val="110"/>
        </w:rPr>
        <w:t>unidad</w:t>
      </w:r>
      <w:r>
        <w:rPr>
          <w:color w:val="231F20"/>
          <w:spacing w:val="-9"/>
          <w:w w:val="110"/>
        </w:rPr>
        <w:t> </w:t>
      </w:r>
      <w:r>
        <w:rPr>
          <w:color w:val="231F20"/>
          <w:w w:val="110"/>
        </w:rPr>
        <w:t>económica</w:t>
      </w:r>
      <w:r>
        <w:rPr>
          <w:color w:val="231F20"/>
          <w:spacing w:val="-9"/>
          <w:w w:val="110"/>
        </w:rPr>
        <w:t> </w:t>
      </w:r>
      <w:r>
        <w:rPr>
          <w:color w:val="231F20"/>
          <w:w w:val="110"/>
        </w:rPr>
        <w:t>como</w:t>
      </w:r>
      <w:r>
        <w:rPr>
          <w:color w:val="231F20"/>
          <w:spacing w:val="-9"/>
          <w:w w:val="110"/>
        </w:rPr>
        <w:t> </w:t>
      </w:r>
      <w:r>
        <w:rPr>
          <w:color w:val="231F20"/>
          <w:w w:val="110"/>
        </w:rPr>
        <w:t>del</w:t>
      </w:r>
      <w:r>
        <w:rPr>
          <w:color w:val="231F20"/>
          <w:spacing w:val="-9"/>
          <w:w w:val="110"/>
        </w:rPr>
        <w:t> </w:t>
      </w:r>
      <w:r>
        <w:rPr>
          <w:color w:val="231F20"/>
          <w:w w:val="110"/>
        </w:rPr>
        <w:t>consumo</w:t>
      </w:r>
      <w:r>
        <w:rPr>
          <w:color w:val="231F20"/>
          <w:spacing w:val="-9"/>
          <w:w w:val="110"/>
        </w:rPr>
        <w:t> </w:t>
      </w:r>
      <w:r>
        <w:rPr>
          <w:color w:val="231F20"/>
          <w:w w:val="110"/>
        </w:rPr>
        <w:t>y</w:t>
      </w:r>
      <w:r>
        <w:rPr>
          <w:color w:val="231F20"/>
          <w:spacing w:val="-9"/>
          <w:w w:val="110"/>
        </w:rPr>
        <w:t> </w:t>
      </w:r>
      <w:r>
        <w:rPr>
          <w:color w:val="231F20"/>
          <w:w w:val="110"/>
        </w:rPr>
        <w:t>el</w:t>
      </w:r>
      <w:r>
        <w:rPr>
          <w:color w:val="231F20"/>
          <w:spacing w:val="-9"/>
          <w:w w:val="110"/>
        </w:rPr>
        <w:t> </w:t>
      </w:r>
      <w:r>
        <w:rPr>
          <w:color w:val="231F20"/>
          <w:w w:val="110"/>
        </w:rPr>
        <w:t>abastecimiento</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unidad familiar?</w:t>
      </w:r>
    </w:p>
    <w:p>
      <w:pPr>
        <w:pStyle w:val="BodyText"/>
        <w:spacing w:line="280" w:lineRule="auto"/>
        <w:ind w:left="124" w:right="113" w:firstLine="360"/>
        <w:jc w:val="both"/>
      </w:pPr>
      <w:r>
        <w:rPr>
          <w:color w:val="231F20"/>
          <w:w w:val="110"/>
        </w:rPr>
        <w:t>La revisión inicia en la década de los años sesenta con las investigacio- nes que comienzan a estudiar la forma en que los cambios económicos y demográficos estaban configurando diferentes estructuras de oportunida- des para los individuos, para llegar a la discusión de hasta dónde las estra- tegias</w:t>
      </w:r>
      <w:r>
        <w:rPr>
          <w:color w:val="231F20"/>
          <w:spacing w:val="-8"/>
          <w:w w:val="110"/>
        </w:rPr>
        <w:t> </w:t>
      </w:r>
      <w:r>
        <w:rPr>
          <w:color w:val="231F20"/>
          <w:w w:val="110"/>
        </w:rPr>
        <w:t>familiares</w:t>
      </w:r>
      <w:r>
        <w:rPr>
          <w:color w:val="231F20"/>
          <w:spacing w:val="-8"/>
          <w:w w:val="110"/>
        </w:rPr>
        <w:t> </w:t>
      </w:r>
      <w:r>
        <w:rPr>
          <w:color w:val="231F20"/>
          <w:w w:val="110"/>
        </w:rPr>
        <w:t>están</w:t>
      </w:r>
      <w:r>
        <w:rPr>
          <w:color w:val="231F20"/>
          <w:spacing w:val="-8"/>
          <w:w w:val="110"/>
        </w:rPr>
        <w:t> </w:t>
      </w:r>
      <w:r>
        <w:rPr>
          <w:color w:val="231F20"/>
          <w:w w:val="110"/>
        </w:rPr>
        <w:t>comenzando</w:t>
      </w:r>
      <w:r>
        <w:rPr>
          <w:color w:val="231F20"/>
          <w:spacing w:val="-8"/>
          <w:w w:val="110"/>
        </w:rPr>
        <w:t> </w:t>
      </w:r>
      <w:r>
        <w:rPr>
          <w:color w:val="231F20"/>
          <w:w w:val="110"/>
        </w:rPr>
        <w:t>a</w:t>
      </w:r>
      <w:r>
        <w:rPr>
          <w:color w:val="231F20"/>
          <w:spacing w:val="-8"/>
          <w:w w:val="110"/>
        </w:rPr>
        <w:t> </w:t>
      </w:r>
      <w:r>
        <w:rPr>
          <w:color w:val="231F20"/>
          <w:w w:val="110"/>
        </w:rPr>
        <w:t>agotar</w:t>
      </w:r>
      <w:r>
        <w:rPr>
          <w:color w:val="231F20"/>
          <w:spacing w:val="-8"/>
          <w:w w:val="110"/>
        </w:rPr>
        <w:t> </w:t>
      </w:r>
      <w:r>
        <w:rPr>
          <w:color w:val="231F20"/>
          <w:w w:val="110"/>
        </w:rPr>
        <w:t>sus</w:t>
      </w:r>
      <w:r>
        <w:rPr>
          <w:color w:val="231F20"/>
          <w:spacing w:val="-8"/>
          <w:w w:val="110"/>
        </w:rPr>
        <w:t> </w:t>
      </w:r>
      <w:r>
        <w:rPr>
          <w:color w:val="231F20"/>
          <w:w w:val="110"/>
        </w:rPr>
        <w:t>posibilidades</w:t>
      </w:r>
      <w:r>
        <w:rPr>
          <w:color w:val="231F20"/>
          <w:spacing w:val="-8"/>
          <w:w w:val="110"/>
        </w:rPr>
        <w:t> </w:t>
      </w:r>
      <w:r>
        <w:rPr>
          <w:color w:val="231F20"/>
          <w:w w:val="110"/>
        </w:rPr>
        <w:t>en</w:t>
      </w:r>
      <w:r>
        <w:rPr>
          <w:color w:val="231F20"/>
          <w:spacing w:val="-8"/>
          <w:w w:val="110"/>
        </w:rPr>
        <w:t> </w:t>
      </w:r>
      <w:r>
        <w:rPr>
          <w:color w:val="231F20"/>
          <w:w w:val="110"/>
        </w:rPr>
        <w:t>tanto</w:t>
      </w:r>
      <w:r>
        <w:rPr>
          <w:color w:val="231F20"/>
          <w:spacing w:val="-8"/>
          <w:w w:val="110"/>
        </w:rPr>
        <w:t> </w:t>
      </w:r>
      <w:r>
        <w:rPr>
          <w:color w:val="231F20"/>
          <w:w w:val="110"/>
        </w:rPr>
        <w:t>que ya no otorgan una respuesta al problema de la sobrevivencia de las unida- des</w:t>
      </w:r>
      <w:r>
        <w:rPr>
          <w:color w:val="231F20"/>
          <w:spacing w:val="6"/>
          <w:w w:val="110"/>
        </w:rPr>
        <w:t> </w:t>
      </w:r>
      <w:r>
        <w:rPr>
          <w:color w:val="231F20"/>
          <w:w w:val="110"/>
        </w:rPr>
        <w:t>familiares.</w:t>
      </w:r>
    </w:p>
    <w:p>
      <w:pPr>
        <w:pStyle w:val="BodyText"/>
      </w:pPr>
    </w:p>
    <w:p>
      <w:pPr>
        <w:pStyle w:val="BodyText"/>
        <w:spacing w:before="9"/>
        <w:rPr>
          <w:sz w:val="24"/>
        </w:rPr>
      </w:pPr>
    </w:p>
    <w:p>
      <w:pPr>
        <w:spacing w:line="278" w:lineRule="auto" w:before="1"/>
        <w:ind w:left="124" w:right="3735" w:firstLine="0"/>
        <w:jc w:val="left"/>
        <w:rPr>
          <w:rFonts w:ascii="Times New Roman" w:hAnsi="Times New Roman"/>
          <w:i/>
          <w:sz w:val="19"/>
        </w:rPr>
      </w:pPr>
      <w:r>
        <w:rPr>
          <w:rFonts w:ascii="Times New Roman" w:hAnsi="Times New Roman"/>
          <w:i/>
          <w:color w:val="231F20"/>
          <w:w w:val="95"/>
          <w:sz w:val="24"/>
        </w:rPr>
        <w:t>E</w:t>
      </w:r>
      <w:r>
        <w:rPr>
          <w:rFonts w:ascii="Times New Roman" w:hAnsi="Times New Roman"/>
          <w:i/>
          <w:color w:val="231F20"/>
          <w:w w:val="95"/>
          <w:sz w:val="19"/>
        </w:rPr>
        <w:t>NTENDIENDO LA FAMILIA A TRAVÉS </w:t>
      </w:r>
      <w:r>
        <w:rPr>
          <w:rFonts w:ascii="Times New Roman" w:hAnsi="Times New Roman"/>
          <w:i/>
          <w:color w:val="231F20"/>
          <w:sz w:val="19"/>
        </w:rPr>
        <w:t>DE LA DINÁMICA LABORAL</w:t>
      </w:r>
    </w:p>
    <w:p>
      <w:pPr>
        <w:pStyle w:val="BodyText"/>
        <w:spacing w:before="1"/>
        <w:rPr>
          <w:rFonts w:ascii="Times New Roman"/>
          <w:i/>
          <w:sz w:val="25"/>
        </w:rPr>
      </w:pPr>
    </w:p>
    <w:p>
      <w:pPr>
        <w:pStyle w:val="BodyText"/>
        <w:spacing w:line="280" w:lineRule="auto"/>
        <w:ind w:left="124" w:right="114"/>
        <w:jc w:val="both"/>
      </w:pPr>
      <w:r>
        <w:rPr>
          <w:color w:val="231F20"/>
          <w:w w:val="105"/>
        </w:rPr>
        <w:t>El interés está en discutir el rol del trabajo como un elemento central en la vida </w:t>
      </w:r>
      <w:r>
        <w:rPr>
          <w:color w:val="231F20"/>
          <w:spacing w:val="-4"/>
          <w:w w:val="105"/>
        </w:rPr>
        <w:t>familiar, </w:t>
      </w:r>
      <w:r>
        <w:rPr>
          <w:color w:val="231F20"/>
          <w:w w:val="105"/>
        </w:rPr>
        <w:t>teniendo en cuenta que el estudio de la participación en la acti- vidad económica se enriquece al considerar a los individuos en el contexto   de  sus  unidades  domésticas  (García  y  Pacheco,</w:t>
      </w:r>
      <w:r>
        <w:rPr>
          <w:color w:val="231F20"/>
          <w:spacing w:val="-17"/>
          <w:w w:val="105"/>
        </w:rPr>
        <w:t> </w:t>
      </w:r>
      <w:r>
        <w:rPr>
          <w:color w:val="231F20"/>
          <w:w w:val="105"/>
        </w:rPr>
        <w:t>2000).</w:t>
      </w:r>
    </w:p>
    <w:p>
      <w:pPr>
        <w:pStyle w:val="BodyText"/>
        <w:spacing w:line="280" w:lineRule="auto"/>
        <w:ind w:left="124" w:right="111" w:firstLine="360"/>
        <w:jc w:val="right"/>
      </w:pPr>
      <w:r>
        <w:rPr>
          <w:color w:val="231F20"/>
          <w:spacing w:val="-3"/>
          <w:w w:val="110"/>
        </w:rPr>
        <w:t>Sobre </w:t>
      </w:r>
      <w:r>
        <w:rPr>
          <w:color w:val="231F20"/>
          <w:w w:val="110"/>
        </w:rPr>
        <w:t>el </w:t>
      </w:r>
      <w:r>
        <w:rPr>
          <w:color w:val="231F20"/>
          <w:spacing w:val="-3"/>
          <w:w w:val="110"/>
        </w:rPr>
        <w:t>espacio </w:t>
      </w:r>
      <w:r>
        <w:rPr>
          <w:color w:val="231F20"/>
          <w:w w:val="110"/>
        </w:rPr>
        <w:t>de la </w:t>
      </w:r>
      <w:r>
        <w:rPr>
          <w:color w:val="231F20"/>
          <w:spacing w:val="-3"/>
          <w:w w:val="110"/>
        </w:rPr>
        <w:t>familia </w:t>
      </w:r>
      <w:r>
        <w:rPr>
          <w:color w:val="231F20"/>
          <w:w w:val="110"/>
        </w:rPr>
        <w:t>y </w:t>
      </w:r>
      <w:r>
        <w:rPr>
          <w:color w:val="231F20"/>
          <w:spacing w:val="-3"/>
          <w:w w:val="110"/>
        </w:rPr>
        <w:t>sobre </w:t>
      </w:r>
      <w:r>
        <w:rPr>
          <w:color w:val="231F20"/>
          <w:w w:val="110"/>
        </w:rPr>
        <w:t>las </w:t>
      </w:r>
      <w:r>
        <w:rPr>
          <w:color w:val="231F20"/>
          <w:spacing w:val="-3"/>
          <w:w w:val="110"/>
        </w:rPr>
        <w:t>relaciones </w:t>
      </w:r>
      <w:r>
        <w:rPr>
          <w:color w:val="231F20"/>
          <w:w w:val="110"/>
        </w:rPr>
        <w:t>que en su </w:t>
      </w:r>
      <w:r>
        <w:rPr>
          <w:color w:val="231F20"/>
          <w:spacing w:val="-3"/>
          <w:w w:val="110"/>
        </w:rPr>
        <w:t>interior </w:t>
      </w:r>
      <w:r>
        <w:rPr>
          <w:color w:val="231F20"/>
          <w:w w:val="110"/>
        </w:rPr>
        <w:t>se</w:t>
      </w:r>
      <w:r>
        <w:rPr>
          <w:color w:val="231F20"/>
          <w:w w:val="109"/>
        </w:rPr>
        <w:t> </w:t>
      </w:r>
      <w:r>
        <w:rPr>
          <w:color w:val="231F20"/>
          <w:spacing w:val="-5"/>
          <w:w w:val="110"/>
        </w:rPr>
        <w:t>estructuran </w:t>
      </w:r>
      <w:r>
        <w:rPr>
          <w:color w:val="231F20"/>
          <w:spacing w:val="-4"/>
          <w:w w:val="110"/>
        </w:rPr>
        <w:t>han influido, </w:t>
      </w:r>
      <w:r>
        <w:rPr>
          <w:color w:val="231F20"/>
          <w:w w:val="110"/>
        </w:rPr>
        <w:t>e </w:t>
      </w:r>
      <w:r>
        <w:rPr>
          <w:color w:val="231F20"/>
          <w:spacing w:val="-4"/>
          <w:w w:val="110"/>
        </w:rPr>
        <w:t>influyen </w:t>
      </w:r>
      <w:r>
        <w:rPr>
          <w:color w:val="231F20"/>
          <w:spacing w:val="-5"/>
          <w:w w:val="110"/>
        </w:rPr>
        <w:t>continuamente, cambios sociales </w:t>
      </w:r>
      <w:r>
        <w:rPr>
          <w:color w:val="231F20"/>
          <w:spacing w:val="-3"/>
          <w:w w:val="110"/>
        </w:rPr>
        <w:t>de </w:t>
      </w:r>
      <w:r>
        <w:rPr>
          <w:color w:val="231F20"/>
          <w:spacing w:val="-4"/>
          <w:w w:val="110"/>
        </w:rPr>
        <w:t>muy</w:t>
      </w:r>
      <w:r>
        <w:rPr>
          <w:color w:val="231F20"/>
          <w:w w:val="108"/>
        </w:rPr>
        <w:t> </w:t>
      </w:r>
      <w:r>
        <w:rPr>
          <w:color w:val="231F20"/>
          <w:w w:val="110"/>
        </w:rPr>
        <w:t>diversa índole que hacen posible la generación de nuevas modalidades de</w:t>
      </w:r>
      <w:r>
        <w:rPr>
          <w:color w:val="231F20"/>
          <w:w w:val="109"/>
        </w:rPr>
        <w:t> </w:t>
      </w:r>
      <w:r>
        <w:rPr>
          <w:color w:val="231F20"/>
          <w:spacing w:val="-4"/>
          <w:w w:val="110"/>
        </w:rPr>
        <w:t>organización </w:t>
      </w:r>
      <w:r>
        <w:rPr>
          <w:color w:val="231F20"/>
          <w:w w:val="110"/>
        </w:rPr>
        <w:t>del </w:t>
      </w:r>
      <w:r>
        <w:rPr>
          <w:color w:val="231F20"/>
          <w:spacing w:val="-3"/>
          <w:w w:val="110"/>
        </w:rPr>
        <w:t>espacio familiar </w:t>
      </w:r>
      <w:r>
        <w:rPr>
          <w:color w:val="231F20"/>
          <w:w w:val="110"/>
        </w:rPr>
        <w:t>y </w:t>
      </w:r>
      <w:r>
        <w:rPr>
          <w:color w:val="231F20"/>
          <w:spacing w:val="-3"/>
          <w:w w:val="110"/>
        </w:rPr>
        <w:t>doméstico (López, Salles </w:t>
      </w:r>
      <w:r>
        <w:rPr>
          <w:color w:val="231F20"/>
          <w:w w:val="110"/>
        </w:rPr>
        <w:t>y </w:t>
      </w:r>
      <w:r>
        <w:rPr>
          <w:color w:val="231F20"/>
          <w:spacing w:val="-3"/>
          <w:w w:val="110"/>
        </w:rPr>
        <w:t>Tuirán, 2001).</w:t>
      </w:r>
    </w:p>
    <w:p>
      <w:pPr>
        <w:pStyle w:val="BodyText"/>
        <w:spacing w:line="280" w:lineRule="auto"/>
        <w:ind w:left="124" w:right="111" w:firstLine="360"/>
        <w:jc w:val="both"/>
      </w:pPr>
      <w:r>
        <w:rPr>
          <w:color w:val="231F20"/>
          <w:w w:val="110"/>
        </w:rPr>
        <w:t>Los </w:t>
      </w:r>
      <w:r>
        <w:rPr>
          <w:color w:val="231F20"/>
          <w:spacing w:val="-3"/>
          <w:w w:val="110"/>
        </w:rPr>
        <w:t>hogares, </w:t>
      </w:r>
      <w:r>
        <w:rPr>
          <w:color w:val="231F20"/>
          <w:w w:val="110"/>
        </w:rPr>
        <w:t>en </w:t>
      </w:r>
      <w:r>
        <w:rPr>
          <w:color w:val="231F20"/>
          <w:spacing w:val="-3"/>
          <w:w w:val="110"/>
        </w:rPr>
        <w:t>tanto relaciones sociales </w:t>
      </w:r>
      <w:r>
        <w:rPr>
          <w:color w:val="231F20"/>
          <w:w w:val="110"/>
        </w:rPr>
        <w:t>que </w:t>
      </w:r>
      <w:r>
        <w:rPr>
          <w:color w:val="231F20"/>
          <w:spacing w:val="-3"/>
          <w:w w:val="110"/>
        </w:rPr>
        <w:t>operan sobre </w:t>
      </w:r>
      <w:r>
        <w:rPr>
          <w:color w:val="231F20"/>
          <w:w w:val="110"/>
        </w:rPr>
        <w:t>la </w:t>
      </w:r>
      <w:r>
        <w:rPr>
          <w:color w:val="231F20"/>
          <w:spacing w:val="-3"/>
          <w:w w:val="110"/>
        </w:rPr>
        <w:t>demanda </w:t>
      </w:r>
      <w:r>
        <w:rPr>
          <w:color w:val="231F20"/>
          <w:w w:val="110"/>
        </w:rPr>
        <w:t>de bienes y servicios, la reproducción de la fuerza de trabajo y las relacio- nes de la </w:t>
      </w:r>
      <w:r>
        <w:rPr>
          <w:color w:val="231F20"/>
          <w:spacing w:val="-3"/>
          <w:w w:val="110"/>
        </w:rPr>
        <w:t>vida cotidiana, </w:t>
      </w:r>
      <w:r>
        <w:rPr>
          <w:color w:val="231F20"/>
          <w:w w:val="110"/>
        </w:rPr>
        <w:t>no han </w:t>
      </w:r>
      <w:r>
        <w:rPr>
          <w:color w:val="231F20"/>
          <w:spacing w:val="-3"/>
          <w:w w:val="110"/>
        </w:rPr>
        <w:t>quedado </w:t>
      </w:r>
      <w:r>
        <w:rPr>
          <w:color w:val="231F20"/>
          <w:w w:val="110"/>
        </w:rPr>
        <w:t>al </w:t>
      </w:r>
      <w:r>
        <w:rPr>
          <w:color w:val="231F20"/>
          <w:spacing w:val="-4"/>
          <w:w w:val="110"/>
        </w:rPr>
        <w:t>margen </w:t>
      </w:r>
      <w:r>
        <w:rPr>
          <w:color w:val="231F20"/>
          <w:w w:val="110"/>
        </w:rPr>
        <w:t>de </w:t>
      </w:r>
      <w:r>
        <w:rPr>
          <w:color w:val="231F20"/>
          <w:spacing w:val="-3"/>
          <w:w w:val="110"/>
        </w:rPr>
        <w:t>estos cambios, </w:t>
      </w:r>
      <w:r>
        <w:rPr>
          <w:color w:val="231F20"/>
          <w:w w:val="110"/>
        </w:rPr>
        <w:t>ni del proceso de reestructuración económica, ni de las crisis recesivas sufridas </w:t>
      </w:r>
      <w:r>
        <w:rPr>
          <w:color w:val="231F20"/>
          <w:spacing w:val="-3"/>
          <w:w w:val="110"/>
        </w:rPr>
        <w:t>durante </w:t>
      </w:r>
      <w:r>
        <w:rPr>
          <w:color w:val="231F20"/>
          <w:w w:val="110"/>
        </w:rPr>
        <w:t>los </w:t>
      </w:r>
      <w:r>
        <w:rPr>
          <w:color w:val="231F20"/>
          <w:spacing w:val="-3"/>
          <w:w w:val="110"/>
        </w:rPr>
        <w:t>últimos años </w:t>
      </w:r>
      <w:r>
        <w:rPr>
          <w:color w:val="231F20"/>
          <w:w w:val="110"/>
        </w:rPr>
        <w:t>en </w:t>
      </w:r>
      <w:r>
        <w:rPr>
          <w:color w:val="231F20"/>
          <w:spacing w:val="-3"/>
          <w:w w:val="110"/>
        </w:rPr>
        <w:t>México. </w:t>
      </w:r>
      <w:r>
        <w:rPr>
          <w:color w:val="231F20"/>
          <w:w w:val="110"/>
        </w:rPr>
        <w:t>De </w:t>
      </w:r>
      <w:r>
        <w:rPr>
          <w:color w:val="231F20"/>
          <w:spacing w:val="-3"/>
          <w:w w:val="110"/>
        </w:rPr>
        <w:t>hecho, múltiples evidencias</w:t>
      </w:r>
      <w:r>
        <w:rPr>
          <w:color w:val="231F20"/>
          <w:spacing w:val="-3"/>
          <w:w w:val="110"/>
          <w:position w:val="6"/>
          <w:sz w:val="11"/>
        </w:rPr>
        <w:t>1 </w:t>
      </w:r>
      <w:r>
        <w:rPr>
          <w:color w:val="231F20"/>
          <w:spacing w:val="-3"/>
          <w:w w:val="110"/>
        </w:rPr>
        <w:t>indican </w:t>
      </w:r>
      <w:r>
        <w:rPr>
          <w:color w:val="231F20"/>
          <w:w w:val="110"/>
        </w:rPr>
        <w:t>que los efectos del </w:t>
      </w:r>
      <w:r>
        <w:rPr>
          <w:color w:val="231F20"/>
          <w:spacing w:val="-3"/>
          <w:w w:val="110"/>
        </w:rPr>
        <w:t>contexto </w:t>
      </w:r>
      <w:r>
        <w:rPr>
          <w:color w:val="231F20"/>
          <w:w w:val="110"/>
        </w:rPr>
        <w:t>macroeconómico sobre este particular ámbito han </w:t>
      </w:r>
      <w:r>
        <w:rPr>
          <w:color w:val="231F20"/>
          <w:spacing w:val="-3"/>
          <w:w w:val="110"/>
        </w:rPr>
        <w:t>generado como respuesta </w:t>
      </w:r>
      <w:r>
        <w:rPr>
          <w:color w:val="231F20"/>
          <w:w w:val="110"/>
        </w:rPr>
        <w:t>un </w:t>
      </w:r>
      <w:r>
        <w:rPr>
          <w:color w:val="231F20"/>
          <w:spacing w:val="-3"/>
          <w:w w:val="110"/>
        </w:rPr>
        <w:t>componente importante </w:t>
      </w:r>
      <w:r>
        <w:rPr>
          <w:color w:val="231F20"/>
          <w:w w:val="110"/>
        </w:rPr>
        <w:t>del </w:t>
      </w:r>
      <w:r>
        <w:rPr>
          <w:color w:val="231F20"/>
          <w:spacing w:val="-3"/>
          <w:w w:val="110"/>
        </w:rPr>
        <w:t>cambio social </w:t>
      </w:r>
      <w:r>
        <w:rPr>
          <w:color w:val="231F20"/>
          <w:w w:val="110"/>
        </w:rPr>
        <w:t>en los </w:t>
      </w:r>
      <w:r>
        <w:rPr>
          <w:color w:val="231F20"/>
          <w:spacing w:val="-3"/>
          <w:w w:val="110"/>
        </w:rPr>
        <w:t>últimos años.</w:t>
      </w:r>
    </w:p>
    <w:p>
      <w:pPr>
        <w:spacing w:line="256" w:lineRule="auto" w:before="157"/>
        <w:ind w:left="124" w:right="112" w:firstLine="360"/>
        <w:jc w:val="both"/>
        <w:rPr>
          <w:sz w:val="16"/>
        </w:rPr>
      </w:pPr>
      <w:r>
        <w:rPr>
          <w:color w:val="231F20"/>
          <w:w w:val="110"/>
          <w:position w:val="5"/>
          <w:sz w:val="9"/>
        </w:rPr>
        <w:t>1</w:t>
      </w:r>
      <w:r>
        <w:rPr>
          <w:color w:val="231F20"/>
          <w:spacing w:val="-8"/>
          <w:w w:val="110"/>
          <w:position w:val="5"/>
          <w:sz w:val="9"/>
        </w:rPr>
        <w:t> </w:t>
      </w:r>
      <w:r>
        <w:rPr>
          <w:color w:val="231F20"/>
          <w:w w:val="110"/>
          <w:sz w:val="16"/>
        </w:rPr>
        <w:t>Véase</w:t>
      </w:r>
      <w:r>
        <w:rPr>
          <w:color w:val="231F20"/>
          <w:spacing w:val="-13"/>
          <w:w w:val="110"/>
          <w:sz w:val="16"/>
        </w:rPr>
        <w:t> </w:t>
      </w:r>
      <w:r>
        <w:rPr>
          <w:color w:val="231F20"/>
          <w:w w:val="110"/>
          <w:sz w:val="16"/>
        </w:rPr>
        <w:t>García</w:t>
      </w:r>
      <w:r>
        <w:rPr>
          <w:color w:val="231F20"/>
          <w:spacing w:val="-13"/>
          <w:w w:val="110"/>
          <w:sz w:val="16"/>
        </w:rPr>
        <w:t> </w:t>
      </w:r>
      <w:r>
        <w:rPr>
          <w:color w:val="231F20"/>
          <w:w w:val="110"/>
          <w:sz w:val="16"/>
        </w:rPr>
        <w:t>y</w:t>
      </w:r>
      <w:r>
        <w:rPr>
          <w:color w:val="231F20"/>
          <w:spacing w:val="-13"/>
          <w:w w:val="110"/>
          <w:sz w:val="16"/>
        </w:rPr>
        <w:t> </w:t>
      </w:r>
      <w:r>
        <w:rPr>
          <w:color w:val="231F20"/>
          <w:w w:val="110"/>
          <w:sz w:val="16"/>
        </w:rPr>
        <w:t>Oliveira</w:t>
      </w:r>
      <w:r>
        <w:rPr>
          <w:color w:val="231F20"/>
          <w:spacing w:val="-13"/>
          <w:w w:val="110"/>
          <w:sz w:val="16"/>
        </w:rPr>
        <w:t> </w:t>
      </w:r>
      <w:r>
        <w:rPr>
          <w:color w:val="231F20"/>
          <w:w w:val="110"/>
          <w:sz w:val="16"/>
        </w:rPr>
        <w:t>(1998),</w:t>
      </w:r>
      <w:r>
        <w:rPr>
          <w:color w:val="231F20"/>
          <w:spacing w:val="-13"/>
          <w:w w:val="110"/>
          <w:sz w:val="16"/>
        </w:rPr>
        <w:t> </w:t>
      </w:r>
      <w:r>
        <w:rPr>
          <w:color w:val="231F20"/>
          <w:w w:val="110"/>
          <w:sz w:val="16"/>
        </w:rPr>
        <w:t>García,</w:t>
      </w:r>
      <w:r>
        <w:rPr>
          <w:color w:val="231F20"/>
          <w:spacing w:val="-13"/>
          <w:w w:val="110"/>
          <w:sz w:val="16"/>
        </w:rPr>
        <w:t> </w:t>
      </w:r>
      <w:r>
        <w:rPr>
          <w:color w:val="231F20"/>
          <w:w w:val="110"/>
          <w:sz w:val="16"/>
        </w:rPr>
        <w:t>Muñoz</w:t>
      </w:r>
      <w:r>
        <w:rPr>
          <w:color w:val="231F20"/>
          <w:spacing w:val="-13"/>
          <w:w w:val="110"/>
          <w:sz w:val="16"/>
        </w:rPr>
        <w:t> </w:t>
      </w:r>
      <w:r>
        <w:rPr>
          <w:color w:val="231F20"/>
          <w:w w:val="110"/>
          <w:sz w:val="16"/>
        </w:rPr>
        <w:t>y</w:t>
      </w:r>
      <w:r>
        <w:rPr>
          <w:color w:val="231F20"/>
          <w:spacing w:val="-13"/>
          <w:w w:val="110"/>
          <w:sz w:val="16"/>
        </w:rPr>
        <w:t> </w:t>
      </w:r>
      <w:r>
        <w:rPr>
          <w:color w:val="231F20"/>
          <w:w w:val="110"/>
          <w:sz w:val="16"/>
        </w:rPr>
        <w:t>Oliveira</w:t>
      </w:r>
      <w:r>
        <w:rPr>
          <w:color w:val="231F20"/>
          <w:spacing w:val="-13"/>
          <w:w w:val="110"/>
          <w:sz w:val="16"/>
        </w:rPr>
        <w:t> </w:t>
      </w:r>
      <w:r>
        <w:rPr>
          <w:color w:val="231F20"/>
          <w:w w:val="110"/>
          <w:sz w:val="16"/>
        </w:rPr>
        <w:t>(1989),</w:t>
      </w:r>
      <w:r>
        <w:rPr>
          <w:color w:val="231F20"/>
          <w:spacing w:val="-13"/>
          <w:w w:val="110"/>
          <w:sz w:val="16"/>
        </w:rPr>
        <w:t> </w:t>
      </w:r>
      <w:r>
        <w:rPr>
          <w:color w:val="231F20"/>
          <w:w w:val="110"/>
          <w:sz w:val="16"/>
        </w:rPr>
        <w:t>García</w:t>
      </w:r>
      <w:r>
        <w:rPr>
          <w:color w:val="231F20"/>
          <w:spacing w:val="-13"/>
          <w:w w:val="110"/>
          <w:sz w:val="16"/>
        </w:rPr>
        <w:t> </w:t>
      </w:r>
      <w:r>
        <w:rPr>
          <w:color w:val="231F20"/>
          <w:w w:val="110"/>
          <w:sz w:val="16"/>
        </w:rPr>
        <w:t>y</w:t>
      </w:r>
      <w:r>
        <w:rPr>
          <w:color w:val="231F20"/>
          <w:spacing w:val="-13"/>
          <w:w w:val="110"/>
          <w:sz w:val="16"/>
        </w:rPr>
        <w:t> </w:t>
      </w:r>
      <w:r>
        <w:rPr>
          <w:color w:val="231F20"/>
          <w:w w:val="110"/>
          <w:sz w:val="16"/>
        </w:rPr>
        <w:t>Pacheco</w:t>
      </w:r>
      <w:r>
        <w:rPr>
          <w:color w:val="231F20"/>
          <w:spacing w:val="-13"/>
          <w:w w:val="110"/>
          <w:sz w:val="16"/>
        </w:rPr>
        <w:t> </w:t>
      </w:r>
      <w:r>
        <w:rPr>
          <w:color w:val="231F20"/>
          <w:w w:val="110"/>
          <w:sz w:val="16"/>
        </w:rPr>
        <w:t>(2000), Cortés</w:t>
      </w:r>
      <w:r>
        <w:rPr>
          <w:color w:val="231F20"/>
          <w:spacing w:val="-13"/>
          <w:w w:val="110"/>
          <w:sz w:val="16"/>
        </w:rPr>
        <w:t> </w:t>
      </w:r>
      <w:r>
        <w:rPr>
          <w:color w:val="231F20"/>
          <w:w w:val="110"/>
          <w:sz w:val="16"/>
        </w:rPr>
        <w:t>(2001)</w:t>
      </w:r>
      <w:r>
        <w:rPr>
          <w:color w:val="231F20"/>
          <w:spacing w:val="-13"/>
          <w:w w:val="110"/>
          <w:sz w:val="16"/>
        </w:rPr>
        <w:t> </w:t>
      </w:r>
      <w:r>
        <w:rPr>
          <w:color w:val="231F20"/>
          <w:w w:val="110"/>
          <w:sz w:val="16"/>
        </w:rPr>
        <w:t>entre</w:t>
      </w:r>
      <w:r>
        <w:rPr>
          <w:color w:val="231F20"/>
          <w:spacing w:val="-13"/>
          <w:w w:val="110"/>
          <w:sz w:val="16"/>
        </w:rPr>
        <w:t> </w:t>
      </w:r>
      <w:r>
        <w:rPr>
          <w:color w:val="231F20"/>
          <w:w w:val="110"/>
          <w:sz w:val="16"/>
        </w:rPr>
        <w:t>otros.</w:t>
      </w:r>
    </w:p>
    <w:p>
      <w:pPr>
        <w:spacing w:after="0" w:line="256" w:lineRule="auto"/>
        <w:jc w:val="both"/>
        <w:rPr>
          <w:sz w:val="16"/>
        </w:rPr>
        <w:sectPr>
          <w:footerReference w:type="even" r:id="rId25"/>
          <w:footerReference w:type="default" r:id="rId26"/>
          <w:pgSz w:w="9520" w:h="12920"/>
          <w:pgMar w:footer="1344" w:header="0" w:top="880" w:bottom="1540" w:left="1320" w:right="1000"/>
          <w:pgNumType w:start="34"/>
        </w:sectPr>
      </w:pPr>
    </w:p>
    <w:p>
      <w:pPr>
        <w:pStyle w:val="BodyText"/>
        <w:spacing w:line="288" w:lineRule="auto" w:before="42"/>
        <w:ind w:left="120" w:right="117" w:firstLine="360"/>
        <w:jc w:val="both"/>
      </w:pPr>
      <w:r>
        <w:rPr>
          <w:color w:val="231F20"/>
          <w:w w:val="110"/>
        </w:rPr>
        <w:t>Parafraseando</w:t>
      </w:r>
      <w:r>
        <w:rPr>
          <w:color w:val="231F20"/>
          <w:spacing w:val="-12"/>
          <w:w w:val="110"/>
        </w:rPr>
        <w:t> </w:t>
      </w:r>
      <w:r>
        <w:rPr>
          <w:color w:val="231F20"/>
          <w:w w:val="110"/>
        </w:rPr>
        <w:t>a</w:t>
      </w:r>
      <w:r>
        <w:rPr>
          <w:color w:val="231F20"/>
          <w:spacing w:val="-12"/>
          <w:w w:val="110"/>
        </w:rPr>
        <w:t> </w:t>
      </w:r>
      <w:r>
        <w:rPr>
          <w:color w:val="231F20"/>
          <w:w w:val="110"/>
        </w:rPr>
        <w:t>Rubalcava</w:t>
      </w:r>
      <w:r>
        <w:rPr>
          <w:color w:val="231F20"/>
          <w:spacing w:val="-12"/>
          <w:w w:val="110"/>
        </w:rPr>
        <w:t> </w:t>
      </w:r>
      <w:r>
        <w:rPr>
          <w:color w:val="231F20"/>
          <w:w w:val="110"/>
        </w:rPr>
        <w:t>(2001),</w:t>
      </w:r>
      <w:r>
        <w:rPr>
          <w:color w:val="231F20"/>
          <w:spacing w:val="-12"/>
          <w:w w:val="110"/>
        </w:rPr>
        <w:t> </w:t>
      </w:r>
      <w:r>
        <w:rPr>
          <w:color w:val="231F20"/>
          <w:w w:val="110"/>
        </w:rPr>
        <w:t>desde</w:t>
      </w:r>
      <w:r>
        <w:rPr>
          <w:color w:val="231F20"/>
          <w:spacing w:val="-12"/>
          <w:w w:val="110"/>
        </w:rPr>
        <w:t> </w:t>
      </w:r>
      <w:r>
        <w:rPr>
          <w:color w:val="231F20"/>
          <w:w w:val="110"/>
        </w:rPr>
        <w:t>una</w:t>
      </w:r>
      <w:r>
        <w:rPr>
          <w:color w:val="231F20"/>
          <w:spacing w:val="-12"/>
          <w:w w:val="110"/>
        </w:rPr>
        <w:t> </w:t>
      </w:r>
      <w:r>
        <w:rPr>
          <w:color w:val="231F20"/>
          <w:w w:val="110"/>
        </w:rPr>
        <w:t>perspectiva</w:t>
      </w:r>
      <w:r>
        <w:rPr>
          <w:color w:val="231F20"/>
          <w:spacing w:val="-12"/>
          <w:w w:val="110"/>
        </w:rPr>
        <w:t> </w:t>
      </w:r>
      <w:r>
        <w:rPr>
          <w:color w:val="231F20"/>
          <w:w w:val="110"/>
        </w:rPr>
        <w:t>tanto</w:t>
      </w:r>
      <w:r>
        <w:rPr>
          <w:color w:val="231F20"/>
          <w:spacing w:val="-12"/>
          <w:w w:val="110"/>
        </w:rPr>
        <w:t> </w:t>
      </w:r>
      <w:r>
        <w:rPr>
          <w:color w:val="231F20"/>
          <w:w w:val="110"/>
        </w:rPr>
        <w:t>socioe- conómica</w:t>
      </w:r>
      <w:r>
        <w:rPr>
          <w:color w:val="231F20"/>
          <w:spacing w:val="-5"/>
          <w:w w:val="110"/>
        </w:rPr>
        <w:t> </w:t>
      </w:r>
      <w:r>
        <w:rPr>
          <w:color w:val="231F20"/>
          <w:w w:val="110"/>
        </w:rPr>
        <w:t>como</w:t>
      </w:r>
      <w:r>
        <w:rPr>
          <w:color w:val="231F20"/>
          <w:spacing w:val="-5"/>
          <w:w w:val="110"/>
        </w:rPr>
        <w:t> </w:t>
      </w:r>
      <w:r>
        <w:rPr>
          <w:color w:val="231F20"/>
          <w:w w:val="110"/>
        </w:rPr>
        <w:t>demográfica,</w:t>
      </w:r>
      <w:r>
        <w:rPr>
          <w:color w:val="231F20"/>
          <w:spacing w:val="-5"/>
          <w:w w:val="110"/>
        </w:rPr>
        <w:t> </w:t>
      </w:r>
      <w:r>
        <w:rPr>
          <w:color w:val="231F20"/>
          <w:w w:val="110"/>
        </w:rPr>
        <w:t>los</w:t>
      </w:r>
      <w:r>
        <w:rPr>
          <w:color w:val="231F20"/>
          <w:spacing w:val="-5"/>
          <w:w w:val="110"/>
        </w:rPr>
        <w:t> </w:t>
      </w:r>
      <w:r>
        <w:rPr>
          <w:color w:val="231F20"/>
          <w:w w:val="110"/>
        </w:rPr>
        <w:t>ingresos</w:t>
      </w:r>
      <w:r>
        <w:rPr>
          <w:color w:val="231F20"/>
          <w:spacing w:val="-5"/>
          <w:w w:val="110"/>
        </w:rPr>
        <w:t> </w:t>
      </w:r>
      <w:r>
        <w:rPr>
          <w:color w:val="231F20"/>
          <w:w w:val="110"/>
        </w:rPr>
        <w:t>familiares</w:t>
      </w:r>
      <w:r>
        <w:rPr>
          <w:color w:val="231F20"/>
          <w:spacing w:val="-5"/>
          <w:w w:val="110"/>
        </w:rPr>
        <w:t> </w:t>
      </w:r>
      <w:r>
        <w:rPr>
          <w:color w:val="231F20"/>
          <w:w w:val="110"/>
        </w:rPr>
        <w:t>constituyen</w:t>
      </w:r>
      <w:r>
        <w:rPr>
          <w:color w:val="231F20"/>
          <w:spacing w:val="-5"/>
          <w:w w:val="110"/>
        </w:rPr>
        <w:t> </w:t>
      </w:r>
      <w:r>
        <w:rPr>
          <w:color w:val="231F20"/>
          <w:w w:val="110"/>
        </w:rPr>
        <w:t>una</w:t>
      </w:r>
      <w:r>
        <w:rPr>
          <w:color w:val="231F20"/>
          <w:spacing w:val="-5"/>
          <w:w w:val="110"/>
        </w:rPr>
        <w:t> </w:t>
      </w:r>
      <w:r>
        <w:rPr>
          <w:color w:val="231F20"/>
          <w:w w:val="110"/>
        </w:rPr>
        <w:t>alter- nativa de estudio para entender la adopción de estrategias para</w:t>
      </w:r>
      <w:r>
        <w:rPr>
          <w:color w:val="231F20"/>
          <w:spacing w:val="-3"/>
          <w:w w:val="110"/>
        </w:rPr>
        <w:t> </w:t>
      </w:r>
      <w:r>
        <w:rPr>
          <w:color w:val="231F20"/>
          <w:w w:val="110"/>
        </w:rPr>
        <w:t>sobrevivir por parte de los grupos domésticos, al mismo tiempo que permiten cono- cer la utilización de los recursos familiares para generar los ingresos que exige su</w:t>
      </w:r>
      <w:r>
        <w:rPr>
          <w:color w:val="231F20"/>
          <w:spacing w:val="45"/>
          <w:w w:val="110"/>
        </w:rPr>
        <w:t> </w:t>
      </w:r>
      <w:r>
        <w:rPr>
          <w:color w:val="231F20"/>
          <w:w w:val="110"/>
        </w:rPr>
        <w:t>subsistencia.</w:t>
      </w:r>
    </w:p>
    <w:p>
      <w:pPr>
        <w:pStyle w:val="BodyText"/>
        <w:spacing w:line="288" w:lineRule="auto"/>
        <w:ind w:left="120" w:right="117" w:firstLine="360"/>
        <w:jc w:val="both"/>
      </w:pPr>
      <w:r>
        <w:rPr>
          <w:color w:val="231F20"/>
          <w:w w:val="110"/>
        </w:rPr>
        <w:t>En una muy importante proporción, el recurso principal para obtener ingresos</w:t>
      </w:r>
      <w:r>
        <w:rPr>
          <w:color w:val="231F20"/>
          <w:spacing w:val="-13"/>
          <w:w w:val="110"/>
        </w:rPr>
        <w:t> </w:t>
      </w:r>
      <w:r>
        <w:rPr>
          <w:color w:val="231F20"/>
          <w:w w:val="110"/>
        </w:rPr>
        <w:t>monetarios</w:t>
      </w:r>
      <w:r>
        <w:rPr>
          <w:color w:val="231F20"/>
          <w:spacing w:val="-13"/>
          <w:w w:val="110"/>
        </w:rPr>
        <w:t> </w:t>
      </w:r>
      <w:r>
        <w:rPr>
          <w:color w:val="231F20"/>
          <w:w w:val="110"/>
        </w:rPr>
        <w:t>lo</w:t>
      </w:r>
      <w:r>
        <w:rPr>
          <w:color w:val="231F20"/>
          <w:spacing w:val="-13"/>
          <w:w w:val="110"/>
        </w:rPr>
        <w:t> </w:t>
      </w:r>
      <w:r>
        <w:rPr>
          <w:color w:val="231F20"/>
          <w:w w:val="110"/>
        </w:rPr>
        <w:t>constituye</w:t>
      </w:r>
      <w:r>
        <w:rPr>
          <w:color w:val="231F20"/>
          <w:spacing w:val="-13"/>
          <w:w w:val="110"/>
        </w:rPr>
        <w:t> </w:t>
      </w:r>
      <w:r>
        <w:rPr>
          <w:color w:val="231F20"/>
          <w:w w:val="110"/>
        </w:rPr>
        <w:t>la</w:t>
      </w:r>
      <w:r>
        <w:rPr>
          <w:color w:val="231F20"/>
          <w:spacing w:val="-13"/>
          <w:w w:val="110"/>
        </w:rPr>
        <w:t> </w:t>
      </w:r>
      <w:r>
        <w:rPr>
          <w:color w:val="231F20"/>
          <w:spacing w:val="-3"/>
          <w:w w:val="110"/>
        </w:rPr>
        <w:t>fuerza</w:t>
      </w:r>
      <w:r>
        <w:rPr>
          <w:color w:val="231F20"/>
          <w:spacing w:val="-13"/>
          <w:w w:val="110"/>
        </w:rPr>
        <w:t> </w:t>
      </w:r>
      <w:r>
        <w:rPr>
          <w:color w:val="231F20"/>
          <w:w w:val="110"/>
        </w:rPr>
        <w:t>de</w:t>
      </w:r>
      <w:r>
        <w:rPr>
          <w:color w:val="231F20"/>
          <w:spacing w:val="-13"/>
          <w:w w:val="110"/>
        </w:rPr>
        <w:t> </w:t>
      </w:r>
      <w:r>
        <w:rPr>
          <w:color w:val="231F20"/>
          <w:w w:val="110"/>
        </w:rPr>
        <w:t>trabajo</w:t>
      </w:r>
      <w:r>
        <w:rPr>
          <w:color w:val="231F20"/>
          <w:spacing w:val="-13"/>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w w:val="110"/>
        </w:rPr>
        <w:t>miembros</w:t>
      </w:r>
      <w:r>
        <w:rPr>
          <w:color w:val="231F20"/>
          <w:spacing w:val="-13"/>
          <w:w w:val="110"/>
        </w:rPr>
        <w:t> </w:t>
      </w:r>
      <w:r>
        <w:rPr>
          <w:color w:val="231F20"/>
          <w:w w:val="110"/>
        </w:rPr>
        <w:t>de</w:t>
      </w:r>
      <w:r>
        <w:rPr>
          <w:color w:val="231F20"/>
          <w:spacing w:val="-13"/>
          <w:w w:val="110"/>
        </w:rPr>
        <w:t> </w:t>
      </w:r>
      <w:r>
        <w:rPr>
          <w:color w:val="231F20"/>
          <w:w w:val="110"/>
        </w:rPr>
        <w:t>la unidad familiar, quienes son los encargados de generar el ingreso familiar. Al respecto, García y Pacheco (2000) señalan que la gran mayoría de los individuos que conforman la sociedad mexicana organizan su manuten- ción cotidiana y generacional de manera conjunta en sus </w:t>
      </w:r>
      <w:r>
        <w:rPr>
          <w:color w:val="231F20"/>
          <w:spacing w:val="47"/>
          <w:w w:val="110"/>
        </w:rPr>
        <w:t> </w:t>
      </w:r>
      <w:r>
        <w:rPr>
          <w:color w:val="231F20"/>
          <w:w w:val="110"/>
        </w:rPr>
        <w:t>hogares.</w:t>
      </w:r>
    </w:p>
    <w:p>
      <w:pPr>
        <w:pStyle w:val="BodyText"/>
        <w:spacing w:line="288" w:lineRule="auto"/>
        <w:ind w:left="120" w:right="117" w:firstLine="360"/>
        <w:jc w:val="both"/>
      </w:pPr>
      <w:r>
        <w:rPr>
          <w:color w:val="231F20"/>
          <w:w w:val="110"/>
        </w:rPr>
        <w:t>En este sentido, es necesario tener presente que las diferencias entre las formas consideradas por los hogares de proveerse de un ingreso van a variar</w:t>
      </w:r>
      <w:r>
        <w:rPr>
          <w:color w:val="231F20"/>
          <w:spacing w:val="-7"/>
          <w:w w:val="110"/>
        </w:rPr>
        <w:t> </w:t>
      </w:r>
      <w:r>
        <w:rPr>
          <w:color w:val="231F20"/>
          <w:w w:val="110"/>
        </w:rPr>
        <w:t>en</w:t>
      </w:r>
      <w:r>
        <w:rPr>
          <w:color w:val="231F20"/>
          <w:spacing w:val="-7"/>
          <w:w w:val="110"/>
        </w:rPr>
        <w:t> </w:t>
      </w:r>
      <w:r>
        <w:rPr>
          <w:color w:val="231F20"/>
          <w:w w:val="110"/>
        </w:rPr>
        <w:t>función</w:t>
      </w:r>
      <w:r>
        <w:rPr>
          <w:color w:val="231F20"/>
          <w:spacing w:val="-7"/>
          <w:w w:val="110"/>
        </w:rPr>
        <w:t> </w:t>
      </w:r>
      <w:r>
        <w:rPr>
          <w:color w:val="231F20"/>
          <w:w w:val="110"/>
        </w:rPr>
        <w:t>de</w:t>
      </w:r>
      <w:r>
        <w:rPr>
          <w:color w:val="231F20"/>
          <w:spacing w:val="-7"/>
          <w:w w:val="110"/>
        </w:rPr>
        <w:t> </w:t>
      </w:r>
      <w:r>
        <w:rPr>
          <w:color w:val="231F20"/>
          <w:w w:val="110"/>
        </w:rPr>
        <w:t>una</w:t>
      </w:r>
      <w:r>
        <w:rPr>
          <w:color w:val="231F20"/>
          <w:spacing w:val="-7"/>
          <w:w w:val="110"/>
        </w:rPr>
        <w:t> </w:t>
      </w:r>
      <w:r>
        <w:rPr>
          <w:color w:val="231F20"/>
          <w:w w:val="110"/>
        </w:rPr>
        <w:t>serie</w:t>
      </w:r>
      <w:r>
        <w:rPr>
          <w:color w:val="231F20"/>
          <w:spacing w:val="-7"/>
          <w:w w:val="110"/>
        </w:rPr>
        <w:t> </w:t>
      </w:r>
      <w:r>
        <w:rPr>
          <w:color w:val="231F20"/>
          <w:w w:val="110"/>
        </w:rPr>
        <w:t>de</w:t>
      </w:r>
      <w:r>
        <w:rPr>
          <w:color w:val="231F20"/>
          <w:spacing w:val="-7"/>
          <w:w w:val="110"/>
        </w:rPr>
        <w:t> </w:t>
      </w:r>
      <w:r>
        <w:rPr>
          <w:color w:val="231F20"/>
          <w:w w:val="110"/>
        </w:rPr>
        <w:t>características</w:t>
      </w:r>
      <w:r>
        <w:rPr>
          <w:color w:val="231F20"/>
          <w:spacing w:val="-7"/>
          <w:w w:val="110"/>
        </w:rPr>
        <w:t> </w:t>
      </w:r>
      <w:r>
        <w:rPr>
          <w:color w:val="231F20"/>
          <w:w w:val="110"/>
        </w:rPr>
        <w:t>entre</w:t>
      </w:r>
      <w:r>
        <w:rPr>
          <w:color w:val="231F20"/>
          <w:spacing w:val="-7"/>
          <w:w w:val="110"/>
        </w:rPr>
        <w:t> </w:t>
      </w:r>
      <w:r>
        <w:rPr>
          <w:color w:val="231F20"/>
          <w:w w:val="110"/>
        </w:rPr>
        <w:t>las</w:t>
      </w:r>
      <w:r>
        <w:rPr>
          <w:color w:val="231F20"/>
          <w:spacing w:val="-7"/>
          <w:w w:val="110"/>
        </w:rPr>
        <w:t> </w:t>
      </w:r>
      <w:r>
        <w:rPr>
          <w:color w:val="231F20"/>
          <w:w w:val="110"/>
        </w:rPr>
        <w:t>que</w:t>
      </w:r>
      <w:r>
        <w:rPr>
          <w:color w:val="231F20"/>
          <w:spacing w:val="-7"/>
          <w:w w:val="110"/>
        </w:rPr>
        <w:t> </w:t>
      </w:r>
      <w:r>
        <w:rPr>
          <w:color w:val="231F20"/>
          <w:w w:val="110"/>
        </w:rPr>
        <w:t>no</w:t>
      </w:r>
      <w:r>
        <w:rPr>
          <w:color w:val="231F20"/>
          <w:spacing w:val="-7"/>
          <w:w w:val="110"/>
        </w:rPr>
        <w:t> </w:t>
      </w:r>
      <w:r>
        <w:rPr>
          <w:color w:val="231F20"/>
          <w:w w:val="110"/>
        </w:rPr>
        <w:t>se</w:t>
      </w:r>
      <w:r>
        <w:rPr>
          <w:color w:val="231F20"/>
          <w:spacing w:val="-7"/>
          <w:w w:val="110"/>
        </w:rPr>
        <w:t> </w:t>
      </w:r>
      <w:r>
        <w:rPr>
          <w:color w:val="231F20"/>
          <w:w w:val="110"/>
        </w:rPr>
        <w:t>pueden dejar de lado la dinámica, composición y organización de los hogares, así como los roles de género que desempeñan cada uno de los miembros que los conforman (quiénes y cómo se encargan de las tareas que permiten la reproducción de la unidad dentro y fuera del hogar), ya que éstos son fac- tores</w:t>
      </w:r>
      <w:r>
        <w:rPr>
          <w:color w:val="231F20"/>
          <w:spacing w:val="-3"/>
          <w:w w:val="110"/>
        </w:rPr>
        <w:t> </w:t>
      </w:r>
      <w:r>
        <w:rPr>
          <w:color w:val="231F20"/>
          <w:w w:val="110"/>
        </w:rPr>
        <w:t>que</w:t>
      </w:r>
      <w:r>
        <w:rPr>
          <w:color w:val="231F20"/>
          <w:spacing w:val="-3"/>
          <w:w w:val="110"/>
        </w:rPr>
        <w:t> </w:t>
      </w:r>
      <w:r>
        <w:rPr>
          <w:color w:val="231F20"/>
          <w:w w:val="110"/>
        </w:rPr>
        <w:t>ayudan</w:t>
      </w:r>
      <w:r>
        <w:rPr>
          <w:color w:val="231F20"/>
          <w:spacing w:val="-3"/>
          <w:w w:val="110"/>
        </w:rPr>
        <w:t> </w:t>
      </w:r>
      <w:r>
        <w:rPr>
          <w:color w:val="231F20"/>
          <w:w w:val="110"/>
        </w:rPr>
        <w:t>a</w:t>
      </w:r>
      <w:r>
        <w:rPr>
          <w:color w:val="231F20"/>
          <w:spacing w:val="-3"/>
          <w:w w:val="110"/>
        </w:rPr>
        <w:t> </w:t>
      </w:r>
      <w:r>
        <w:rPr>
          <w:color w:val="231F20"/>
          <w:w w:val="110"/>
        </w:rPr>
        <w:t>entender</w:t>
      </w:r>
      <w:r>
        <w:rPr>
          <w:color w:val="231F20"/>
          <w:spacing w:val="-3"/>
          <w:w w:val="110"/>
        </w:rPr>
        <w:t> </w:t>
      </w:r>
      <w:r>
        <w:rPr>
          <w:color w:val="231F20"/>
          <w:w w:val="110"/>
        </w:rPr>
        <w:t>tanto</w:t>
      </w:r>
      <w:r>
        <w:rPr>
          <w:color w:val="231F20"/>
          <w:spacing w:val="-3"/>
          <w:w w:val="110"/>
        </w:rPr>
        <w:t> </w:t>
      </w:r>
      <w:r>
        <w:rPr>
          <w:color w:val="231F20"/>
          <w:w w:val="110"/>
        </w:rPr>
        <w:t>los</w:t>
      </w:r>
      <w:r>
        <w:rPr>
          <w:color w:val="231F20"/>
          <w:spacing w:val="-3"/>
          <w:w w:val="110"/>
        </w:rPr>
        <w:t> </w:t>
      </w:r>
      <w:r>
        <w:rPr>
          <w:color w:val="231F20"/>
          <w:w w:val="110"/>
        </w:rPr>
        <w:t>cambios</w:t>
      </w:r>
      <w:r>
        <w:rPr>
          <w:color w:val="231F20"/>
          <w:spacing w:val="-3"/>
          <w:w w:val="110"/>
        </w:rPr>
        <w:t> </w:t>
      </w:r>
      <w:r>
        <w:rPr>
          <w:color w:val="231F20"/>
          <w:w w:val="110"/>
        </w:rPr>
        <w:t>en</w:t>
      </w:r>
      <w:r>
        <w:rPr>
          <w:color w:val="231F20"/>
          <w:spacing w:val="-3"/>
          <w:w w:val="110"/>
        </w:rPr>
        <w:t> </w:t>
      </w:r>
      <w:r>
        <w:rPr>
          <w:color w:val="231F20"/>
          <w:w w:val="110"/>
        </w:rPr>
        <w:t>la</w:t>
      </w:r>
      <w:r>
        <w:rPr>
          <w:color w:val="231F20"/>
          <w:spacing w:val="-3"/>
          <w:w w:val="110"/>
        </w:rPr>
        <w:t> </w:t>
      </w:r>
      <w:r>
        <w:rPr>
          <w:color w:val="231F20"/>
          <w:w w:val="110"/>
        </w:rPr>
        <w:t>generación</w:t>
      </w:r>
      <w:r>
        <w:rPr>
          <w:color w:val="231F20"/>
          <w:spacing w:val="-3"/>
          <w:w w:val="110"/>
        </w:rPr>
        <w:t> </w:t>
      </w:r>
      <w:r>
        <w:rPr>
          <w:color w:val="231F20"/>
          <w:w w:val="110"/>
        </w:rPr>
        <w:t>y</w:t>
      </w:r>
      <w:r>
        <w:rPr>
          <w:color w:val="231F20"/>
          <w:spacing w:val="-3"/>
          <w:w w:val="110"/>
        </w:rPr>
        <w:t> </w:t>
      </w:r>
      <w:r>
        <w:rPr>
          <w:color w:val="231F20"/>
          <w:w w:val="110"/>
        </w:rPr>
        <w:t>distribu- ción del ingreso de los hogares como la desigualdad (Rubalcava,</w:t>
      </w:r>
      <w:r>
        <w:rPr>
          <w:color w:val="231F20"/>
          <w:spacing w:val="26"/>
          <w:w w:val="110"/>
        </w:rPr>
        <w:t> </w:t>
      </w:r>
      <w:r>
        <w:rPr>
          <w:color w:val="231F20"/>
          <w:w w:val="110"/>
        </w:rPr>
        <w:t>2001).</w:t>
      </w:r>
    </w:p>
    <w:p>
      <w:pPr>
        <w:pStyle w:val="BodyText"/>
        <w:spacing w:line="288" w:lineRule="auto"/>
        <w:ind w:left="120" w:right="119" w:firstLine="360"/>
        <w:jc w:val="both"/>
      </w:pPr>
      <w:r>
        <w:rPr>
          <w:color w:val="231F20"/>
          <w:w w:val="110"/>
        </w:rPr>
        <w:t>Si se piensa que la división familiar del trabajo es “[…] un proceso so- cial de distribución del trabajo en función del estatus familiar”, indudable- mente va a haber efectos recíprocos de la esfera laboral sobre la vida</w:t>
      </w:r>
      <w:r>
        <w:rPr>
          <w:color w:val="231F20"/>
          <w:spacing w:val="-22"/>
          <w:w w:val="110"/>
        </w:rPr>
        <w:t> </w:t>
      </w:r>
      <w:r>
        <w:rPr>
          <w:color w:val="231F20"/>
          <w:w w:val="110"/>
        </w:rPr>
        <w:t>fami- liar</w:t>
      </w:r>
      <w:r>
        <w:rPr>
          <w:color w:val="231F20"/>
          <w:spacing w:val="-12"/>
          <w:w w:val="110"/>
        </w:rPr>
        <w:t> </w:t>
      </w:r>
      <w:r>
        <w:rPr>
          <w:color w:val="231F20"/>
          <w:w w:val="110"/>
        </w:rPr>
        <w:t>y</w:t>
      </w:r>
      <w:r>
        <w:rPr>
          <w:color w:val="231F20"/>
          <w:spacing w:val="-12"/>
          <w:w w:val="110"/>
        </w:rPr>
        <w:t> </w:t>
      </w:r>
      <w:r>
        <w:rPr>
          <w:color w:val="231F20"/>
          <w:w w:val="110"/>
        </w:rPr>
        <w:t>a</w:t>
      </w:r>
      <w:r>
        <w:rPr>
          <w:color w:val="231F20"/>
          <w:spacing w:val="-12"/>
          <w:w w:val="110"/>
        </w:rPr>
        <w:t> </w:t>
      </w:r>
      <w:r>
        <w:rPr>
          <w:color w:val="231F20"/>
          <w:w w:val="110"/>
        </w:rPr>
        <w:t>la</w:t>
      </w:r>
      <w:r>
        <w:rPr>
          <w:color w:val="231F20"/>
          <w:spacing w:val="-12"/>
          <w:w w:val="110"/>
        </w:rPr>
        <w:t> </w:t>
      </w:r>
      <w:r>
        <w:rPr>
          <w:color w:val="231F20"/>
          <w:w w:val="110"/>
        </w:rPr>
        <w:t>inversa,</w:t>
      </w:r>
      <w:r>
        <w:rPr>
          <w:color w:val="231F20"/>
          <w:spacing w:val="-12"/>
          <w:w w:val="110"/>
        </w:rPr>
        <w:t> </w:t>
      </w:r>
      <w:r>
        <w:rPr>
          <w:color w:val="231F20"/>
          <w:w w:val="110"/>
        </w:rPr>
        <w:t>creándose</w:t>
      </w:r>
      <w:r>
        <w:rPr>
          <w:color w:val="231F20"/>
          <w:spacing w:val="-12"/>
          <w:w w:val="110"/>
        </w:rPr>
        <w:t> </w:t>
      </w:r>
      <w:r>
        <w:rPr>
          <w:color w:val="231F20"/>
          <w:w w:val="110"/>
        </w:rPr>
        <w:t>un</w:t>
      </w:r>
      <w:r>
        <w:rPr>
          <w:color w:val="231F20"/>
          <w:spacing w:val="-12"/>
          <w:w w:val="110"/>
        </w:rPr>
        <w:t> </w:t>
      </w:r>
      <w:r>
        <w:rPr>
          <w:color w:val="231F20"/>
          <w:w w:val="110"/>
        </w:rPr>
        <w:t>vínculo</w:t>
      </w:r>
      <w:r>
        <w:rPr>
          <w:color w:val="231F20"/>
          <w:spacing w:val="-12"/>
          <w:w w:val="110"/>
        </w:rPr>
        <w:t> </w:t>
      </w:r>
      <w:r>
        <w:rPr>
          <w:color w:val="231F20"/>
          <w:w w:val="110"/>
        </w:rPr>
        <w:t>indisoluble</w:t>
      </w:r>
      <w:r>
        <w:rPr>
          <w:color w:val="231F20"/>
          <w:spacing w:val="-12"/>
          <w:w w:val="110"/>
        </w:rPr>
        <w:t> </w:t>
      </w:r>
      <w:r>
        <w:rPr>
          <w:color w:val="231F20"/>
          <w:w w:val="110"/>
        </w:rPr>
        <w:t>entre</w:t>
      </w:r>
      <w:r>
        <w:rPr>
          <w:color w:val="231F20"/>
          <w:spacing w:val="-12"/>
          <w:w w:val="110"/>
        </w:rPr>
        <w:t> </w:t>
      </w:r>
      <w:r>
        <w:rPr>
          <w:color w:val="231F20"/>
          <w:w w:val="110"/>
        </w:rPr>
        <w:t>ambos</w:t>
      </w:r>
      <w:r>
        <w:rPr>
          <w:color w:val="231F20"/>
          <w:spacing w:val="-12"/>
          <w:w w:val="110"/>
        </w:rPr>
        <w:t> </w:t>
      </w:r>
      <w:r>
        <w:rPr>
          <w:color w:val="231F20"/>
          <w:w w:val="110"/>
        </w:rPr>
        <w:t>fenómenos (Barrere-Maurisson,</w:t>
      </w:r>
      <w:r>
        <w:rPr>
          <w:color w:val="231F20"/>
          <w:spacing w:val="-27"/>
          <w:w w:val="110"/>
        </w:rPr>
        <w:t> </w:t>
      </w:r>
      <w:r>
        <w:rPr>
          <w:color w:val="231F20"/>
          <w:w w:val="110"/>
        </w:rPr>
        <w:t>1999:</w:t>
      </w:r>
      <w:r>
        <w:rPr>
          <w:color w:val="231F20"/>
          <w:spacing w:val="-27"/>
          <w:w w:val="110"/>
        </w:rPr>
        <w:t> </w:t>
      </w:r>
      <w:r>
        <w:rPr>
          <w:color w:val="231F20"/>
          <w:w w:val="110"/>
        </w:rPr>
        <w:t>9).</w:t>
      </w:r>
    </w:p>
    <w:p>
      <w:pPr>
        <w:pStyle w:val="BodyText"/>
        <w:spacing w:line="288" w:lineRule="auto"/>
        <w:ind w:left="119" w:right="118" w:firstLine="360"/>
        <w:jc w:val="both"/>
      </w:pPr>
      <w:r>
        <w:rPr>
          <w:color w:val="231F20"/>
          <w:w w:val="110"/>
        </w:rPr>
        <w:t>Al tener en cuenta las relaciones existentes entre la estructura y la organización de las unidades domésticas y los diversos trabajos que</w:t>
      </w:r>
      <w:r>
        <w:rPr>
          <w:color w:val="231F20"/>
          <w:spacing w:val="-19"/>
          <w:w w:val="110"/>
        </w:rPr>
        <w:t> </w:t>
      </w:r>
      <w:r>
        <w:rPr>
          <w:color w:val="231F20"/>
          <w:w w:val="110"/>
        </w:rPr>
        <w:t>llevan a cabo sus integrantes, se está pensando en los individuos inmersos en  dos esferas de acción al mismo tiempo: la familia y el trabajo. Esta concep- ción implica la necesidad de realizar un análisis que integre ambas esferas de</w:t>
      </w:r>
      <w:r>
        <w:rPr>
          <w:color w:val="231F20"/>
          <w:spacing w:val="-5"/>
          <w:w w:val="110"/>
        </w:rPr>
        <w:t> </w:t>
      </w:r>
      <w:r>
        <w:rPr>
          <w:color w:val="231F20"/>
          <w:w w:val="110"/>
        </w:rPr>
        <w:t>actividad:</w:t>
      </w:r>
      <w:r>
        <w:rPr>
          <w:color w:val="231F20"/>
          <w:spacing w:val="-5"/>
          <w:w w:val="110"/>
        </w:rPr>
        <w:t> </w:t>
      </w:r>
      <w:r>
        <w:rPr>
          <w:color w:val="231F20"/>
          <w:w w:val="110"/>
        </w:rPr>
        <w:t>la</w:t>
      </w:r>
      <w:r>
        <w:rPr>
          <w:color w:val="231F20"/>
          <w:spacing w:val="-5"/>
          <w:w w:val="110"/>
        </w:rPr>
        <w:t> </w:t>
      </w:r>
      <w:r>
        <w:rPr>
          <w:color w:val="231F20"/>
          <w:w w:val="110"/>
        </w:rPr>
        <w:t>organización</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vida</w:t>
      </w:r>
      <w:r>
        <w:rPr>
          <w:color w:val="231F20"/>
          <w:spacing w:val="-5"/>
          <w:w w:val="110"/>
        </w:rPr>
        <w:t> </w:t>
      </w:r>
      <w:r>
        <w:rPr>
          <w:color w:val="231F20"/>
          <w:w w:val="110"/>
        </w:rPr>
        <w:t>familiar</w:t>
      </w:r>
      <w:r>
        <w:rPr>
          <w:color w:val="231F20"/>
          <w:spacing w:val="-5"/>
          <w:w w:val="110"/>
        </w:rPr>
        <w:t> </w:t>
      </w:r>
      <w:r>
        <w:rPr>
          <w:color w:val="231F20"/>
          <w:w w:val="110"/>
        </w:rPr>
        <w:t>conjuntamente</w:t>
      </w:r>
      <w:r>
        <w:rPr>
          <w:color w:val="231F20"/>
          <w:spacing w:val="-5"/>
          <w:w w:val="110"/>
        </w:rPr>
        <w:t> </w:t>
      </w:r>
      <w:r>
        <w:rPr>
          <w:color w:val="231F20"/>
          <w:w w:val="110"/>
        </w:rPr>
        <w:t>con</w:t>
      </w:r>
      <w:r>
        <w:rPr>
          <w:color w:val="231F20"/>
          <w:spacing w:val="-5"/>
          <w:w w:val="110"/>
        </w:rPr>
        <w:t> </w:t>
      </w:r>
      <w:r>
        <w:rPr>
          <w:color w:val="231F20"/>
          <w:w w:val="110"/>
        </w:rPr>
        <w:t>la</w:t>
      </w:r>
      <w:r>
        <w:rPr>
          <w:color w:val="231F20"/>
          <w:spacing w:val="-5"/>
          <w:w w:val="110"/>
        </w:rPr>
        <w:t> </w:t>
      </w:r>
      <w:r>
        <w:rPr>
          <w:color w:val="231F20"/>
          <w:w w:val="110"/>
        </w:rPr>
        <w:t>diná- mica de funcionamiento del ámbito</w:t>
      </w:r>
      <w:r>
        <w:rPr>
          <w:color w:val="231F20"/>
          <w:spacing w:val="2"/>
          <w:w w:val="110"/>
        </w:rPr>
        <w:t> </w:t>
      </w:r>
      <w:r>
        <w:rPr>
          <w:color w:val="231F20"/>
          <w:w w:val="110"/>
        </w:rPr>
        <w:t>laboral.</w:t>
      </w:r>
    </w:p>
    <w:p>
      <w:pPr>
        <w:pStyle w:val="BodyText"/>
        <w:spacing w:line="288" w:lineRule="auto"/>
        <w:ind w:left="120" w:right="117" w:firstLine="360"/>
        <w:jc w:val="both"/>
      </w:pPr>
      <w:r>
        <w:rPr>
          <w:color w:val="231F20"/>
          <w:w w:val="110"/>
        </w:rPr>
        <w:t>El análisis de los vínculos que el trabajo mantiene con la familia da cuenta de la estrecha superposición de las esferas del ámbito laboral y doméstico. Es por ello que tanto el trabajo como la familia deben definirse</w:t>
      </w:r>
    </w:p>
    <w:p>
      <w:pPr>
        <w:spacing w:after="0" w:line="288" w:lineRule="auto"/>
        <w:jc w:val="both"/>
        <w:sectPr>
          <w:pgSz w:w="9520" w:h="12920"/>
          <w:pgMar w:header="0" w:footer="1344" w:top="880" w:bottom="1540" w:left="1000" w:right="1320"/>
        </w:sectPr>
      </w:pPr>
    </w:p>
    <w:p>
      <w:pPr>
        <w:pStyle w:val="BodyText"/>
        <w:spacing w:line="288" w:lineRule="auto" w:before="42"/>
        <w:ind w:left="124" w:right="113"/>
        <w:jc w:val="both"/>
      </w:pPr>
      <w:r>
        <w:rPr>
          <w:color w:val="231F20"/>
          <w:w w:val="110"/>
        </w:rPr>
        <w:t>específicamente uno en relación con el otro. Esto, debido a que la familia se entiende indisociablemente por su relación con el trabajo, ya que es la familia el lugar donde se realiza una distribución obligada de las activida- des laborales.</w:t>
      </w:r>
    </w:p>
    <w:p>
      <w:pPr>
        <w:pStyle w:val="BodyText"/>
        <w:spacing w:line="288" w:lineRule="auto"/>
        <w:ind w:left="124" w:right="114" w:firstLine="360"/>
        <w:jc w:val="both"/>
      </w:pPr>
      <w:r>
        <w:rPr>
          <w:color w:val="231F20"/>
          <w:w w:val="110"/>
        </w:rPr>
        <w:t>Su funcionamiento induce necesariamente la negociación del trabajo entre sus integrantes para asegurar la supervivencia de la unidad familiar, ya que el mantenimiento de esta célula está constituido tanto por tareas domésticas como por recursos que provengan del ejercicio laboral. La fa- milia puede ser entonces entendida como la unidad de referencia que rige la</w:t>
      </w:r>
      <w:r>
        <w:rPr>
          <w:color w:val="231F20"/>
          <w:spacing w:val="-9"/>
          <w:w w:val="110"/>
        </w:rPr>
        <w:t> </w:t>
      </w:r>
      <w:r>
        <w:rPr>
          <w:color w:val="231F20"/>
          <w:w w:val="110"/>
        </w:rPr>
        <w:t>distribución</w:t>
      </w:r>
      <w:r>
        <w:rPr>
          <w:color w:val="231F20"/>
          <w:spacing w:val="-9"/>
          <w:w w:val="110"/>
        </w:rPr>
        <w:t> </w:t>
      </w:r>
      <w:r>
        <w:rPr>
          <w:color w:val="231F20"/>
          <w:w w:val="110"/>
        </w:rPr>
        <w:t>entre</w:t>
      </w:r>
      <w:r>
        <w:rPr>
          <w:color w:val="231F20"/>
          <w:spacing w:val="-9"/>
          <w:w w:val="110"/>
        </w:rPr>
        <w:t> </w:t>
      </w:r>
      <w:r>
        <w:rPr>
          <w:color w:val="231F20"/>
          <w:w w:val="110"/>
        </w:rPr>
        <w:t>el</w:t>
      </w:r>
      <w:r>
        <w:rPr>
          <w:color w:val="231F20"/>
          <w:spacing w:val="-9"/>
          <w:w w:val="110"/>
        </w:rPr>
        <w:t> </w:t>
      </w:r>
      <w:r>
        <w:rPr>
          <w:color w:val="231F20"/>
          <w:w w:val="110"/>
        </w:rPr>
        <w:t>trabajo</w:t>
      </w:r>
      <w:r>
        <w:rPr>
          <w:color w:val="231F20"/>
          <w:spacing w:val="-9"/>
          <w:w w:val="110"/>
        </w:rPr>
        <w:t> </w:t>
      </w:r>
      <w:r>
        <w:rPr>
          <w:color w:val="231F20"/>
          <w:w w:val="110"/>
        </w:rPr>
        <w:t>y</w:t>
      </w:r>
      <w:r>
        <w:rPr>
          <w:color w:val="231F20"/>
          <w:spacing w:val="-9"/>
          <w:w w:val="110"/>
        </w:rPr>
        <w:t> </w:t>
      </w:r>
      <w:r>
        <w:rPr>
          <w:color w:val="231F20"/>
          <w:w w:val="110"/>
        </w:rPr>
        <w:t>lo</w:t>
      </w:r>
      <w:r>
        <w:rPr>
          <w:color w:val="231F20"/>
          <w:spacing w:val="-9"/>
          <w:w w:val="110"/>
        </w:rPr>
        <w:t> </w:t>
      </w:r>
      <w:r>
        <w:rPr>
          <w:color w:val="231F20"/>
          <w:w w:val="110"/>
        </w:rPr>
        <w:t>doméstico,</w:t>
      </w:r>
      <w:r>
        <w:rPr>
          <w:color w:val="231F20"/>
          <w:spacing w:val="-9"/>
          <w:w w:val="110"/>
        </w:rPr>
        <w:t> </w:t>
      </w:r>
      <w:r>
        <w:rPr>
          <w:color w:val="231F20"/>
          <w:w w:val="110"/>
        </w:rPr>
        <w:t>permitiendo</w:t>
      </w:r>
      <w:r>
        <w:rPr>
          <w:color w:val="231F20"/>
          <w:spacing w:val="-9"/>
          <w:w w:val="110"/>
        </w:rPr>
        <w:t> </w:t>
      </w:r>
      <w:r>
        <w:rPr>
          <w:color w:val="231F20"/>
          <w:w w:val="110"/>
        </w:rPr>
        <w:t>la</w:t>
      </w:r>
      <w:r>
        <w:rPr>
          <w:color w:val="231F20"/>
          <w:spacing w:val="-9"/>
          <w:w w:val="110"/>
        </w:rPr>
        <w:t> </w:t>
      </w:r>
      <w:r>
        <w:rPr>
          <w:color w:val="231F20"/>
          <w:w w:val="110"/>
        </w:rPr>
        <w:t>regulación</w:t>
      </w:r>
      <w:r>
        <w:rPr>
          <w:color w:val="231F20"/>
          <w:spacing w:val="-9"/>
          <w:w w:val="110"/>
        </w:rPr>
        <w:t> </w:t>
      </w:r>
      <w:r>
        <w:rPr>
          <w:color w:val="231F20"/>
          <w:w w:val="110"/>
        </w:rPr>
        <w:t>de ambos</w:t>
      </w:r>
      <w:r>
        <w:rPr>
          <w:color w:val="231F20"/>
          <w:spacing w:val="-14"/>
          <w:w w:val="110"/>
        </w:rPr>
        <w:t> </w:t>
      </w:r>
      <w:r>
        <w:rPr>
          <w:color w:val="231F20"/>
          <w:w w:val="110"/>
        </w:rPr>
        <w:t>aspectos</w:t>
      </w:r>
      <w:r>
        <w:rPr>
          <w:color w:val="231F20"/>
          <w:spacing w:val="-14"/>
          <w:w w:val="110"/>
        </w:rPr>
        <w:t> </w:t>
      </w:r>
      <w:r>
        <w:rPr>
          <w:color w:val="231F20"/>
          <w:w w:val="110"/>
        </w:rPr>
        <w:t>(Barrere-Maurisson,</w:t>
      </w:r>
      <w:r>
        <w:rPr>
          <w:color w:val="231F20"/>
          <w:spacing w:val="-14"/>
          <w:w w:val="110"/>
        </w:rPr>
        <w:t> </w:t>
      </w:r>
      <w:r>
        <w:rPr>
          <w:color w:val="231F20"/>
          <w:w w:val="110"/>
        </w:rPr>
        <w:t>1999)</w:t>
      </w:r>
      <w:r>
        <w:rPr>
          <w:color w:val="231F20"/>
          <w:w w:val="110"/>
          <w:position w:val="6"/>
          <w:sz w:val="11"/>
        </w:rPr>
        <w:t>2</w:t>
      </w:r>
      <w:r>
        <w:rPr>
          <w:color w:val="231F20"/>
          <w:w w:val="110"/>
        </w:rPr>
        <w:t>.</w:t>
      </w:r>
    </w:p>
    <w:p>
      <w:pPr>
        <w:pStyle w:val="BodyText"/>
        <w:spacing w:line="288" w:lineRule="auto"/>
        <w:ind w:left="124" w:right="110" w:firstLine="360"/>
        <w:jc w:val="both"/>
      </w:pPr>
      <w:r>
        <w:rPr>
          <w:color w:val="231F20"/>
          <w:w w:val="110"/>
        </w:rPr>
        <w:t>Sin embargo, hay que tener en cuenta que las modalidades en que se organiza </w:t>
      </w:r>
      <w:r>
        <w:rPr>
          <w:color w:val="231F20"/>
          <w:spacing w:val="2"/>
          <w:w w:val="110"/>
        </w:rPr>
        <w:t>esta distribución </w:t>
      </w:r>
      <w:r>
        <w:rPr>
          <w:color w:val="231F20"/>
          <w:w w:val="110"/>
        </w:rPr>
        <w:t>y las </w:t>
      </w:r>
      <w:r>
        <w:rPr>
          <w:color w:val="231F20"/>
          <w:spacing w:val="2"/>
          <w:w w:val="110"/>
        </w:rPr>
        <w:t>formas familiares </w:t>
      </w:r>
      <w:r>
        <w:rPr>
          <w:color w:val="231F20"/>
          <w:w w:val="110"/>
        </w:rPr>
        <w:t>con que se </w:t>
      </w:r>
      <w:r>
        <w:rPr>
          <w:color w:val="231F20"/>
          <w:spacing w:val="2"/>
          <w:w w:val="110"/>
        </w:rPr>
        <w:t>relaciona </w:t>
      </w:r>
      <w:r>
        <w:rPr>
          <w:color w:val="231F20"/>
          <w:w w:val="110"/>
        </w:rPr>
        <w:t>pueden ser diversas. Por eso es importante revisar someramente cómo se han dado los vínculos entre el ámbito familiar y el laboral </w:t>
      </w:r>
      <w:r>
        <w:rPr>
          <w:color w:val="231F20"/>
          <w:spacing w:val="-9"/>
          <w:w w:val="110"/>
        </w:rPr>
        <w:t>y, </w:t>
      </w:r>
      <w:r>
        <w:rPr>
          <w:color w:val="231F20"/>
          <w:w w:val="110"/>
        </w:rPr>
        <w:t>fundamental- mente, cómo se han estudiado, con qué unidades de análisis, mediante  qué metodologías, a qué resultados se ha arribado y de qué manera ha estado presente el análisis de la relación entre el trabajo y la</w:t>
      </w:r>
      <w:r>
        <w:rPr>
          <w:color w:val="231F20"/>
          <w:spacing w:val="37"/>
          <w:w w:val="110"/>
        </w:rPr>
        <w:t> </w:t>
      </w:r>
      <w:r>
        <w:rPr>
          <w:color w:val="231F20"/>
          <w:w w:val="110"/>
        </w:rPr>
        <w:t>familia.</w:t>
      </w:r>
    </w:p>
    <w:p>
      <w:pPr>
        <w:pStyle w:val="BodyText"/>
      </w:pPr>
    </w:p>
    <w:p>
      <w:pPr>
        <w:pStyle w:val="BodyText"/>
        <w:spacing w:before="10"/>
        <w:rPr>
          <w:sz w:val="24"/>
        </w:rPr>
      </w:pPr>
    </w:p>
    <w:p>
      <w:pPr>
        <w:spacing w:before="0"/>
        <w:ind w:left="124" w:right="0" w:firstLine="0"/>
        <w:jc w:val="both"/>
        <w:rPr>
          <w:rFonts w:ascii="Times New Roman" w:hAnsi="Times New Roman"/>
          <w:i/>
          <w:sz w:val="19"/>
        </w:rPr>
      </w:pPr>
      <w:r>
        <w:rPr>
          <w:rFonts w:ascii="Times New Roman" w:hAnsi="Times New Roman"/>
          <w:i/>
          <w:color w:val="231F20"/>
          <w:w w:val="95"/>
          <w:sz w:val="24"/>
        </w:rPr>
        <w:t>T</w:t>
      </w:r>
      <w:r>
        <w:rPr>
          <w:rFonts w:ascii="Times New Roman" w:hAnsi="Times New Roman"/>
          <w:i/>
          <w:color w:val="231F20"/>
          <w:w w:val="95"/>
          <w:sz w:val="19"/>
        </w:rPr>
        <w:t>RABAJO Y FAMILIA</w:t>
      </w:r>
      <w:r>
        <w:rPr>
          <w:rFonts w:ascii="Times New Roman" w:hAnsi="Times New Roman"/>
          <w:i/>
          <w:color w:val="231F20"/>
          <w:w w:val="95"/>
          <w:sz w:val="24"/>
        </w:rPr>
        <w:t>: </w:t>
      </w:r>
      <w:r>
        <w:rPr>
          <w:rFonts w:ascii="Times New Roman" w:hAnsi="Times New Roman"/>
          <w:i/>
          <w:color w:val="231F20"/>
          <w:w w:val="95"/>
          <w:sz w:val="19"/>
        </w:rPr>
        <w:t>LA ARTICULACIÓN</w:t>
      </w:r>
    </w:p>
    <w:p>
      <w:pPr>
        <w:spacing w:before="52"/>
        <w:ind w:left="124" w:right="0" w:firstLine="0"/>
        <w:jc w:val="both"/>
        <w:rPr>
          <w:rFonts w:ascii="Times New Roman" w:hAnsi="Times New Roman"/>
          <w:i/>
          <w:sz w:val="19"/>
        </w:rPr>
      </w:pPr>
      <w:r>
        <w:rPr>
          <w:rFonts w:ascii="Times New Roman" w:hAnsi="Times New Roman"/>
          <w:i/>
          <w:color w:val="231F20"/>
          <w:sz w:val="19"/>
        </w:rPr>
        <w:t>DE DOS DIMENSIONES A TRAVÉS DEL TIEMPO</w:t>
      </w:r>
    </w:p>
    <w:p>
      <w:pPr>
        <w:pStyle w:val="BodyText"/>
        <w:rPr>
          <w:rFonts w:ascii="Times New Roman"/>
          <w:i/>
          <w:sz w:val="18"/>
        </w:rPr>
      </w:pPr>
    </w:p>
    <w:p>
      <w:pPr>
        <w:pStyle w:val="BodyText"/>
        <w:spacing w:line="288" w:lineRule="auto" w:before="124"/>
        <w:ind w:left="124" w:right="111"/>
        <w:jc w:val="both"/>
      </w:pPr>
      <w:r>
        <w:rPr>
          <w:color w:val="231F20"/>
          <w:w w:val="110"/>
        </w:rPr>
        <w:t>Durante los años cincuenta, caracterizados por un precipitado proceso de </w:t>
      </w:r>
      <w:r>
        <w:rPr>
          <w:color w:val="231F20"/>
          <w:spacing w:val="2"/>
          <w:w w:val="110"/>
        </w:rPr>
        <w:t>urbanización </w:t>
      </w:r>
      <w:r>
        <w:rPr>
          <w:color w:val="231F20"/>
          <w:w w:val="110"/>
        </w:rPr>
        <w:t>y por </w:t>
      </w:r>
      <w:r>
        <w:rPr>
          <w:color w:val="231F20"/>
          <w:spacing w:val="2"/>
          <w:w w:val="110"/>
        </w:rPr>
        <w:t>fuertes cambios </w:t>
      </w:r>
      <w:r>
        <w:rPr>
          <w:color w:val="231F20"/>
          <w:w w:val="110"/>
        </w:rPr>
        <w:t>en la </w:t>
      </w:r>
      <w:r>
        <w:rPr>
          <w:color w:val="231F20"/>
          <w:spacing w:val="2"/>
          <w:w w:val="110"/>
        </w:rPr>
        <w:t>estructura económica, temas </w:t>
      </w:r>
      <w:r>
        <w:rPr>
          <w:color w:val="231F20"/>
          <w:w w:val="110"/>
        </w:rPr>
        <w:t>como</w:t>
      </w:r>
      <w:r>
        <w:rPr>
          <w:color w:val="231F20"/>
          <w:spacing w:val="-17"/>
          <w:w w:val="110"/>
        </w:rPr>
        <w:t> </w:t>
      </w:r>
      <w:r>
        <w:rPr>
          <w:color w:val="231F20"/>
          <w:w w:val="110"/>
        </w:rPr>
        <w:t>el</w:t>
      </w:r>
      <w:r>
        <w:rPr>
          <w:color w:val="231F20"/>
          <w:spacing w:val="-17"/>
          <w:w w:val="110"/>
        </w:rPr>
        <w:t> </w:t>
      </w:r>
      <w:r>
        <w:rPr>
          <w:color w:val="231F20"/>
          <w:w w:val="110"/>
        </w:rPr>
        <w:t>análisis</w:t>
      </w:r>
      <w:r>
        <w:rPr>
          <w:color w:val="231F20"/>
          <w:spacing w:val="-17"/>
          <w:w w:val="110"/>
        </w:rPr>
        <w:t> </w:t>
      </w:r>
      <w:r>
        <w:rPr>
          <w:color w:val="231F20"/>
          <w:w w:val="110"/>
        </w:rPr>
        <w:t>y</w:t>
      </w:r>
      <w:r>
        <w:rPr>
          <w:color w:val="231F20"/>
          <w:spacing w:val="-17"/>
          <w:w w:val="110"/>
        </w:rPr>
        <w:t> </w:t>
      </w:r>
      <w:r>
        <w:rPr>
          <w:color w:val="231F20"/>
          <w:w w:val="110"/>
        </w:rPr>
        <w:t>la</w:t>
      </w:r>
      <w:r>
        <w:rPr>
          <w:color w:val="231F20"/>
          <w:spacing w:val="-17"/>
          <w:w w:val="110"/>
        </w:rPr>
        <w:t> </w:t>
      </w:r>
      <w:r>
        <w:rPr>
          <w:color w:val="231F20"/>
          <w:w w:val="110"/>
        </w:rPr>
        <w:t>comprensión</w:t>
      </w:r>
      <w:r>
        <w:rPr>
          <w:color w:val="231F20"/>
          <w:spacing w:val="-17"/>
          <w:w w:val="110"/>
        </w:rPr>
        <w:t> </w:t>
      </w:r>
      <w:r>
        <w:rPr>
          <w:color w:val="231F20"/>
          <w:w w:val="110"/>
        </w:rPr>
        <w:t>de</w:t>
      </w:r>
      <w:r>
        <w:rPr>
          <w:color w:val="231F20"/>
          <w:spacing w:val="-17"/>
          <w:w w:val="110"/>
        </w:rPr>
        <w:t> </w:t>
      </w:r>
      <w:r>
        <w:rPr>
          <w:color w:val="231F20"/>
          <w:w w:val="110"/>
        </w:rPr>
        <w:t>los</w:t>
      </w:r>
      <w:r>
        <w:rPr>
          <w:color w:val="231F20"/>
          <w:spacing w:val="-17"/>
          <w:w w:val="110"/>
        </w:rPr>
        <w:t> </w:t>
      </w:r>
      <w:r>
        <w:rPr>
          <w:color w:val="231F20"/>
          <w:w w:val="110"/>
        </w:rPr>
        <w:t>procesos</w:t>
      </w:r>
      <w:r>
        <w:rPr>
          <w:color w:val="231F20"/>
          <w:spacing w:val="-17"/>
          <w:w w:val="110"/>
        </w:rPr>
        <w:t> </w:t>
      </w:r>
      <w:r>
        <w:rPr>
          <w:color w:val="231F20"/>
          <w:w w:val="110"/>
        </w:rPr>
        <w:t>macroestructurales</w:t>
      </w:r>
      <w:r>
        <w:rPr>
          <w:color w:val="231F20"/>
          <w:spacing w:val="-17"/>
          <w:w w:val="110"/>
        </w:rPr>
        <w:t> </w:t>
      </w:r>
      <w:r>
        <w:rPr>
          <w:color w:val="231F20"/>
          <w:w w:val="110"/>
        </w:rPr>
        <w:t>domi- naban el ámbito de atención académica. Los temas de análisis destacados en este periodo tenían que ver con el dinamismo y las características del empleo industrial, los cambios en las formas de organización de la</w:t>
      </w:r>
      <w:r>
        <w:rPr>
          <w:color w:val="231F20"/>
          <w:spacing w:val="-25"/>
          <w:w w:val="110"/>
        </w:rPr>
        <w:t> </w:t>
      </w:r>
      <w:r>
        <w:rPr>
          <w:color w:val="231F20"/>
          <w:w w:val="110"/>
        </w:rPr>
        <w:t>produc- </w:t>
      </w:r>
      <w:r>
        <w:rPr>
          <w:color w:val="231F20"/>
          <w:spacing w:val="2"/>
          <w:w w:val="110"/>
        </w:rPr>
        <w:t>ción, </w:t>
      </w:r>
      <w:r>
        <w:rPr>
          <w:color w:val="231F20"/>
          <w:w w:val="110"/>
        </w:rPr>
        <w:t>la </w:t>
      </w:r>
      <w:r>
        <w:rPr>
          <w:color w:val="231F20"/>
          <w:spacing w:val="2"/>
          <w:w w:val="110"/>
        </w:rPr>
        <w:t>expansión </w:t>
      </w:r>
      <w:r>
        <w:rPr>
          <w:color w:val="231F20"/>
          <w:w w:val="110"/>
        </w:rPr>
        <w:t>y </w:t>
      </w:r>
      <w:r>
        <w:rPr>
          <w:color w:val="231F20"/>
          <w:spacing w:val="2"/>
          <w:w w:val="110"/>
        </w:rPr>
        <w:t>heterogeneidad </w:t>
      </w:r>
      <w:r>
        <w:rPr>
          <w:color w:val="231F20"/>
          <w:w w:val="110"/>
        </w:rPr>
        <w:t>del </w:t>
      </w:r>
      <w:r>
        <w:rPr>
          <w:color w:val="231F20"/>
          <w:spacing w:val="2"/>
          <w:w w:val="110"/>
        </w:rPr>
        <w:t>sector terciario </w:t>
      </w:r>
      <w:r>
        <w:rPr>
          <w:color w:val="231F20"/>
          <w:w w:val="110"/>
        </w:rPr>
        <w:t>y la </w:t>
      </w:r>
      <w:r>
        <w:rPr>
          <w:color w:val="231F20"/>
          <w:spacing w:val="2"/>
          <w:w w:val="110"/>
        </w:rPr>
        <w:t>migración </w:t>
      </w:r>
      <w:r>
        <w:rPr>
          <w:color w:val="231F20"/>
          <w:w w:val="110"/>
        </w:rPr>
        <w:t>(García y Oliveira,</w:t>
      </w:r>
      <w:r>
        <w:rPr>
          <w:color w:val="231F20"/>
          <w:spacing w:val="-30"/>
          <w:w w:val="110"/>
        </w:rPr>
        <w:t> </w:t>
      </w:r>
      <w:r>
        <w:rPr>
          <w:color w:val="231F20"/>
          <w:w w:val="110"/>
        </w:rPr>
        <w:t>1998).</w:t>
      </w:r>
    </w:p>
    <w:p>
      <w:pPr>
        <w:pStyle w:val="BodyText"/>
      </w:pPr>
    </w:p>
    <w:p>
      <w:pPr>
        <w:pStyle w:val="BodyText"/>
      </w:pPr>
    </w:p>
    <w:p>
      <w:pPr>
        <w:spacing w:line="256" w:lineRule="auto" w:before="161"/>
        <w:ind w:left="124" w:right="110" w:firstLine="360"/>
        <w:jc w:val="both"/>
        <w:rPr>
          <w:sz w:val="16"/>
        </w:rPr>
      </w:pPr>
      <w:r>
        <w:rPr>
          <w:color w:val="231F20"/>
          <w:w w:val="110"/>
          <w:position w:val="5"/>
          <w:sz w:val="9"/>
        </w:rPr>
        <w:t>2 </w:t>
      </w:r>
      <w:r>
        <w:rPr>
          <w:color w:val="231F20"/>
          <w:w w:val="110"/>
          <w:sz w:val="16"/>
        </w:rPr>
        <w:t>Desde esta perspectiva, se puede pensar en la familia jugando un rol de mediadora entre</w:t>
      </w:r>
      <w:r>
        <w:rPr>
          <w:color w:val="231F20"/>
          <w:spacing w:val="-3"/>
          <w:w w:val="110"/>
          <w:sz w:val="16"/>
        </w:rPr>
        <w:t> </w:t>
      </w:r>
      <w:r>
        <w:rPr>
          <w:color w:val="231F20"/>
          <w:w w:val="110"/>
          <w:sz w:val="16"/>
        </w:rPr>
        <w:t>el</w:t>
      </w:r>
      <w:r>
        <w:rPr>
          <w:color w:val="231F20"/>
          <w:spacing w:val="-3"/>
          <w:w w:val="110"/>
          <w:sz w:val="16"/>
        </w:rPr>
        <w:t> </w:t>
      </w:r>
      <w:r>
        <w:rPr>
          <w:color w:val="231F20"/>
          <w:w w:val="110"/>
          <w:sz w:val="16"/>
        </w:rPr>
        <w:t>desarrollo</w:t>
      </w:r>
      <w:r>
        <w:rPr>
          <w:color w:val="231F20"/>
          <w:spacing w:val="-3"/>
          <w:w w:val="110"/>
          <w:sz w:val="16"/>
        </w:rPr>
        <w:t> </w:t>
      </w:r>
      <w:r>
        <w:rPr>
          <w:color w:val="231F20"/>
          <w:w w:val="110"/>
          <w:sz w:val="16"/>
        </w:rPr>
        <w:t>de</w:t>
      </w:r>
      <w:r>
        <w:rPr>
          <w:color w:val="231F20"/>
          <w:spacing w:val="-3"/>
          <w:w w:val="110"/>
          <w:sz w:val="16"/>
        </w:rPr>
        <w:t> </w:t>
      </w:r>
      <w:r>
        <w:rPr>
          <w:color w:val="231F20"/>
          <w:w w:val="110"/>
          <w:sz w:val="16"/>
        </w:rPr>
        <w:t>actividades</w:t>
      </w:r>
      <w:r>
        <w:rPr>
          <w:color w:val="231F20"/>
          <w:spacing w:val="-3"/>
          <w:w w:val="110"/>
          <w:sz w:val="16"/>
        </w:rPr>
        <w:t> </w:t>
      </w:r>
      <w:r>
        <w:rPr>
          <w:color w:val="231F20"/>
          <w:w w:val="110"/>
          <w:sz w:val="16"/>
        </w:rPr>
        <w:t>de</w:t>
      </w:r>
      <w:r>
        <w:rPr>
          <w:color w:val="231F20"/>
          <w:spacing w:val="-3"/>
          <w:w w:val="110"/>
          <w:sz w:val="16"/>
        </w:rPr>
        <w:t> </w:t>
      </w:r>
      <w:r>
        <w:rPr>
          <w:color w:val="231F20"/>
          <w:w w:val="110"/>
          <w:sz w:val="16"/>
        </w:rPr>
        <w:t>parte</w:t>
      </w:r>
      <w:r>
        <w:rPr>
          <w:color w:val="231F20"/>
          <w:spacing w:val="-3"/>
          <w:w w:val="110"/>
          <w:sz w:val="16"/>
        </w:rPr>
        <w:t> </w:t>
      </w:r>
      <w:r>
        <w:rPr>
          <w:color w:val="231F20"/>
          <w:w w:val="110"/>
          <w:sz w:val="16"/>
        </w:rPr>
        <w:t>de</w:t>
      </w:r>
      <w:r>
        <w:rPr>
          <w:color w:val="231F20"/>
          <w:spacing w:val="-3"/>
          <w:w w:val="110"/>
          <w:sz w:val="16"/>
        </w:rPr>
        <w:t> </w:t>
      </w:r>
      <w:r>
        <w:rPr>
          <w:color w:val="231F20"/>
          <w:w w:val="110"/>
          <w:sz w:val="16"/>
        </w:rPr>
        <w:t>sus</w:t>
      </w:r>
      <w:r>
        <w:rPr>
          <w:color w:val="231F20"/>
          <w:spacing w:val="-3"/>
          <w:w w:val="110"/>
          <w:sz w:val="16"/>
        </w:rPr>
        <w:t> </w:t>
      </w:r>
      <w:r>
        <w:rPr>
          <w:color w:val="231F20"/>
          <w:w w:val="110"/>
          <w:sz w:val="16"/>
        </w:rPr>
        <w:t>integrantes</w:t>
      </w:r>
      <w:r>
        <w:rPr>
          <w:color w:val="231F20"/>
          <w:spacing w:val="-3"/>
          <w:w w:val="110"/>
          <w:sz w:val="16"/>
        </w:rPr>
        <w:t> </w:t>
      </w:r>
      <w:r>
        <w:rPr>
          <w:color w:val="231F20"/>
          <w:w w:val="110"/>
          <w:sz w:val="16"/>
        </w:rPr>
        <w:t>en</w:t>
      </w:r>
      <w:r>
        <w:rPr>
          <w:color w:val="231F20"/>
          <w:spacing w:val="-3"/>
          <w:w w:val="110"/>
          <w:sz w:val="16"/>
        </w:rPr>
        <w:t> </w:t>
      </w:r>
      <w:r>
        <w:rPr>
          <w:color w:val="231F20"/>
          <w:w w:val="110"/>
          <w:sz w:val="16"/>
        </w:rPr>
        <w:t>un</w:t>
      </w:r>
      <w:r>
        <w:rPr>
          <w:color w:val="231F20"/>
          <w:spacing w:val="-3"/>
          <w:w w:val="110"/>
          <w:sz w:val="16"/>
        </w:rPr>
        <w:t> </w:t>
      </w:r>
      <w:r>
        <w:rPr>
          <w:color w:val="231F20"/>
          <w:w w:val="110"/>
          <w:sz w:val="16"/>
        </w:rPr>
        <w:t>ámbito</w:t>
      </w:r>
      <w:r>
        <w:rPr>
          <w:color w:val="231F20"/>
          <w:spacing w:val="-3"/>
          <w:w w:val="110"/>
          <w:sz w:val="16"/>
        </w:rPr>
        <w:t> </w:t>
      </w:r>
      <w:r>
        <w:rPr>
          <w:color w:val="231F20"/>
          <w:w w:val="110"/>
          <w:sz w:val="16"/>
        </w:rPr>
        <w:t>doméstico</w:t>
      </w:r>
      <w:r>
        <w:rPr>
          <w:color w:val="231F20"/>
          <w:spacing w:val="-3"/>
          <w:w w:val="110"/>
          <w:sz w:val="16"/>
        </w:rPr>
        <w:t> </w:t>
      </w:r>
      <w:r>
        <w:rPr>
          <w:color w:val="231F20"/>
          <w:w w:val="110"/>
          <w:sz w:val="16"/>
        </w:rPr>
        <w:t>y</w:t>
      </w:r>
      <w:r>
        <w:rPr>
          <w:color w:val="231F20"/>
          <w:spacing w:val="-3"/>
          <w:w w:val="110"/>
          <w:sz w:val="16"/>
        </w:rPr>
        <w:t> </w:t>
      </w:r>
      <w:r>
        <w:rPr>
          <w:color w:val="231F20"/>
          <w:w w:val="110"/>
          <w:sz w:val="16"/>
        </w:rPr>
        <w:t>en</w:t>
      </w:r>
      <w:r>
        <w:rPr>
          <w:color w:val="231F20"/>
          <w:spacing w:val="-3"/>
          <w:w w:val="110"/>
          <w:sz w:val="16"/>
        </w:rPr>
        <w:t> </w:t>
      </w:r>
      <w:r>
        <w:rPr>
          <w:color w:val="231F20"/>
          <w:w w:val="110"/>
          <w:sz w:val="16"/>
        </w:rPr>
        <w:t>un </w:t>
      </w:r>
      <w:r>
        <w:rPr>
          <w:color w:val="231F20"/>
          <w:spacing w:val="3"/>
          <w:w w:val="110"/>
          <w:sz w:val="16"/>
        </w:rPr>
        <w:t>ámbito laboral, entre </w:t>
      </w:r>
      <w:r>
        <w:rPr>
          <w:color w:val="231F20"/>
          <w:w w:val="110"/>
          <w:sz w:val="16"/>
        </w:rPr>
        <w:t>el </w:t>
      </w:r>
      <w:r>
        <w:rPr>
          <w:color w:val="231F20"/>
          <w:spacing w:val="3"/>
          <w:w w:val="110"/>
          <w:sz w:val="16"/>
        </w:rPr>
        <w:t>hogar </w:t>
      </w:r>
      <w:r>
        <w:rPr>
          <w:color w:val="231F20"/>
          <w:w w:val="110"/>
          <w:sz w:val="16"/>
        </w:rPr>
        <w:t>y el </w:t>
      </w:r>
      <w:r>
        <w:rPr>
          <w:color w:val="231F20"/>
          <w:spacing w:val="3"/>
          <w:w w:val="110"/>
          <w:sz w:val="16"/>
        </w:rPr>
        <w:t>trabajo (esferas </w:t>
      </w:r>
      <w:r>
        <w:rPr>
          <w:color w:val="231F20"/>
          <w:spacing w:val="2"/>
          <w:w w:val="110"/>
          <w:sz w:val="16"/>
        </w:rPr>
        <w:t>que </w:t>
      </w:r>
      <w:r>
        <w:rPr>
          <w:color w:val="231F20"/>
          <w:w w:val="110"/>
          <w:sz w:val="16"/>
        </w:rPr>
        <w:t>en </w:t>
      </w:r>
      <w:r>
        <w:rPr>
          <w:color w:val="231F20"/>
          <w:spacing w:val="3"/>
          <w:w w:val="110"/>
          <w:sz w:val="16"/>
        </w:rPr>
        <w:t>este proyecto </w:t>
      </w:r>
      <w:r>
        <w:rPr>
          <w:color w:val="231F20"/>
          <w:w w:val="110"/>
          <w:sz w:val="16"/>
        </w:rPr>
        <w:t>se </w:t>
      </w:r>
      <w:r>
        <w:rPr>
          <w:color w:val="231F20"/>
          <w:spacing w:val="3"/>
          <w:w w:val="110"/>
          <w:sz w:val="16"/>
        </w:rPr>
        <w:t>encuentran </w:t>
      </w:r>
      <w:r>
        <w:rPr>
          <w:color w:val="231F20"/>
          <w:w w:val="110"/>
          <w:sz w:val="16"/>
        </w:rPr>
        <w:t>imbricadas).</w:t>
      </w:r>
    </w:p>
    <w:p>
      <w:pPr>
        <w:spacing w:after="0" w:line="256" w:lineRule="auto"/>
        <w:jc w:val="both"/>
        <w:rPr>
          <w:sz w:val="16"/>
        </w:rPr>
        <w:sectPr>
          <w:pgSz w:w="9520" w:h="12920"/>
          <w:pgMar w:header="0" w:footer="1344" w:top="880" w:bottom="1540" w:left="1320" w:right="1000"/>
        </w:sectPr>
      </w:pPr>
    </w:p>
    <w:p>
      <w:pPr>
        <w:pStyle w:val="BodyText"/>
        <w:spacing w:line="288" w:lineRule="auto" w:before="42"/>
        <w:ind w:left="100" w:right="118" w:firstLine="360"/>
        <w:jc w:val="both"/>
      </w:pPr>
      <w:r>
        <w:rPr>
          <w:color w:val="231F20"/>
          <w:w w:val="110"/>
        </w:rPr>
        <w:t>A finales de los años sesenta se comenzó a estudiar la forma en que los cambios económicos y demográficos estaban configurando diferentes es- tructuras de oportunidades para los individuos. Asimismo, varios estudios comienzan</w:t>
      </w:r>
      <w:r>
        <w:rPr>
          <w:color w:val="231F20"/>
          <w:spacing w:val="-9"/>
          <w:w w:val="110"/>
        </w:rPr>
        <w:t> </w:t>
      </w:r>
      <w:r>
        <w:rPr>
          <w:color w:val="231F20"/>
          <w:w w:val="110"/>
        </w:rPr>
        <w:t>a</w:t>
      </w:r>
      <w:r>
        <w:rPr>
          <w:color w:val="231F20"/>
          <w:spacing w:val="-9"/>
          <w:w w:val="110"/>
        </w:rPr>
        <w:t> </w:t>
      </w:r>
      <w:r>
        <w:rPr>
          <w:color w:val="231F20"/>
          <w:w w:val="110"/>
        </w:rPr>
        <w:t>incorporar</w:t>
      </w:r>
      <w:r>
        <w:rPr>
          <w:color w:val="231F20"/>
          <w:spacing w:val="-9"/>
          <w:w w:val="110"/>
        </w:rPr>
        <w:t> </w:t>
      </w:r>
      <w:r>
        <w:rPr>
          <w:color w:val="231F20"/>
          <w:w w:val="110"/>
        </w:rPr>
        <w:t>la</w:t>
      </w:r>
      <w:r>
        <w:rPr>
          <w:color w:val="231F20"/>
          <w:spacing w:val="-9"/>
          <w:w w:val="110"/>
        </w:rPr>
        <w:t> </w:t>
      </w:r>
      <w:r>
        <w:rPr>
          <w:color w:val="231F20"/>
          <w:w w:val="110"/>
        </w:rPr>
        <w:t>inquietud</w:t>
      </w:r>
      <w:r>
        <w:rPr>
          <w:color w:val="231F20"/>
          <w:spacing w:val="-9"/>
          <w:w w:val="110"/>
        </w:rPr>
        <w:t> </w:t>
      </w:r>
      <w:r>
        <w:rPr>
          <w:color w:val="231F20"/>
          <w:w w:val="110"/>
        </w:rPr>
        <w:t>por</w:t>
      </w:r>
      <w:r>
        <w:rPr>
          <w:color w:val="231F20"/>
          <w:spacing w:val="-9"/>
          <w:w w:val="110"/>
        </w:rPr>
        <w:t> </w:t>
      </w:r>
      <w:r>
        <w:rPr>
          <w:color w:val="231F20"/>
          <w:w w:val="110"/>
        </w:rPr>
        <w:t>las</w:t>
      </w:r>
      <w:r>
        <w:rPr>
          <w:color w:val="231F20"/>
          <w:spacing w:val="-9"/>
          <w:w w:val="110"/>
        </w:rPr>
        <w:t> </w:t>
      </w:r>
      <w:r>
        <w:rPr>
          <w:color w:val="231F20"/>
          <w:w w:val="110"/>
        </w:rPr>
        <w:t>características</w:t>
      </w:r>
      <w:r>
        <w:rPr>
          <w:color w:val="231F20"/>
          <w:spacing w:val="-9"/>
          <w:w w:val="110"/>
        </w:rPr>
        <w:t> </w:t>
      </w:r>
      <w:r>
        <w:rPr>
          <w:color w:val="231F20"/>
          <w:w w:val="110"/>
        </w:rPr>
        <w:t>de</w:t>
      </w:r>
      <w:r>
        <w:rPr>
          <w:color w:val="231F20"/>
          <w:spacing w:val="-9"/>
          <w:w w:val="110"/>
        </w:rPr>
        <w:t> </w:t>
      </w:r>
      <w:r>
        <w:rPr>
          <w:color w:val="231F20"/>
          <w:w w:val="110"/>
        </w:rPr>
        <w:t>las</w:t>
      </w:r>
      <w:r>
        <w:rPr>
          <w:color w:val="231F20"/>
          <w:spacing w:val="-9"/>
          <w:w w:val="110"/>
        </w:rPr>
        <w:t> </w:t>
      </w:r>
      <w:r>
        <w:rPr>
          <w:color w:val="231F20"/>
          <w:w w:val="110"/>
        </w:rPr>
        <w:t>familias</w:t>
      </w:r>
      <w:r>
        <w:rPr>
          <w:color w:val="231F20"/>
          <w:spacing w:val="-9"/>
          <w:w w:val="110"/>
        </w:rPr>
        <w:t> </w:t>
      </w:r>
      <w:r>
        <w:rPr>
          <w:color w:val="231F20"/>
          <w:w w:val="110"/>
        </w:rPr>
        <w:t>y la</w:t>
      </w:r>
      <w:r>
        <w:rPr>
          <w:color w:val="231F20"/>
          <w:spacing w:val="-9"/>
          <w:w w:val="110"/>
        </w:rPr>
        <w:t> </w:t>
      </w:r>
      <w:r>
        <w:rPr>
          <w:color w:val="231F20"/>
          <w:w w:val="110"/>
        </w:rPr>
        <w:t>influencia</w:t>
      </w:r>
      <w:r>
        <w:rPr>
          <w:color w:val="231F20"/>
          <w:spacing w:val="-9"/>
          <w:w w:val="110"/>
        </w:rPr>
        <w:t> </w:t>
      </w:r>
      <w:r>
        <w:rPr>
          <w:color w:val="231F20"/>
          <w:w w:val="110"/>
        </w:rPr>
        <w:t>de</w:t>
      </w:r>
      <w:r>
        <w:rPr>
          <w:color w:val="231F20"/>
          <w:spacing w:val="-9"/>
          <w:w w:val="110"/>
        </w:rPr>
        <w:t> </w:t>
      </w:r>
      <w:r>
        <w:rPr>
          <w:color w:val="231F20"/>
          <w:w w:val="110"/>
        </w:rPr>
        <w:t>las</w:t>
      </w:r>
      <w:r>
        <w:rPr>
          <w:color w:val="231F20"/>
          <w:spacing w:val="-9"/>
          <w:w w:val="110"/>
        </w:rPr>
        <w:t> </w:t>
      </w:r>
      <w:r>
        <w:rPr>
          <w:color w:val="231F20"/>
          <w:w w:val="110"/>
        </w:rPr>
        <w:t>relaciones</w:t>
      </w:r>
      <w:r>
        <w:rPr>
          <w:color w:val="231F20"/>
          <w:spacing w:val="-9"/>
          <w:w w:val="110"/>
        </w:rPr>
        <w:t> </w:t>
      </w:r>
      <w:r>
        <w:rPr>
          <w:color w:val="231F20"/>
          <w:w w:val="110"/>
        </w:rPr>
        <w:t>de</w:t>
      </w:r>
      <w:r>
        <w:rPr>
          <w:color w:val="231F20"/>
          <w:spacing w:val="-9"/>
          <w:w w:val="110"/>
        </w:rPr>
        <w:t> </w:t>
      </w:r>
      <w:r>
        <w:rPr>
          <w:color w:val="231F20"/>
          <w:w w:val="110"/>
        </w:rPr>
        <w:t>parentesco</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adquisición</w:t>
      </w:r>
      <w:r>
        <w:rPr>
          <w:color w:val="231F20"/>
          <w:spacing w:val="-9"/>
          <w:w w:val="110"/>
        </w:rPr>
        <w:t> </w:t>
      </w:r>
      <w:r>
        <w:rPr>
          <w:color w:val="231F20"/>
          <w:w w:val="110"/>
        </w:rPr>
        <w:t>de</w:t>
      </w:r>
      <w:r>
        <w:rPr>
          <w:color w:val="231F20"/>
          <w:spacing w:val="-9"/>
          <w:w w:val="110"/>
        </w:rPr>
        <w:t> </w:t>
      </w:r>
      <w:r>
        <w:rPr>
          <w:color w:val="231F20"/>
          <w:w w:val="110"/>
        </w:rPr>
        <w:t>un</w:t>
      </w:r>
      <w:r>
        <w:rPr>
          <w:color w:val="231F20"/>
          <w:spacing w:val="-9"/>
          <w:w w:val="110"/>
        </w:rPr>
        <w:t> </w:t>
      </w:r>
      <w:r>
        <w:rPr>
          <w:color w:val="231F20"/>
          <w:w w:val="110"/>
        </w:rPr>
        <w:t>empleo y en el éxito ocupacional, mediante el análisis de variables como los patro- nes de movilidad social y el origen social (García y Oliveira,</w:t>
      </w:r>
      <w:r>
        <w:rPr>
          <w:color w:val="231F20"/>
          <w:spacing w:val="29"/>
          <w:w w:val="110"/>
        </w:rPr>
        <w:t> </w:t>
      </w:r>
      <w:r>
        <w:rPr>
          <w:color w:val="231F20"/>
          <w:w w:val="110"/>
        </w:rPr>
        <w:t>1998).</w:t>
      </w:r>
    </w:p>
    <w:p>
      <w:pPr>
        <w:pStyle w:val="BodyText"/>
        <w:rPr>
          <w:sz w:val="16"/>
        </w:rPr>
      </w:pPr>
    </w:p>
    <w:p>
      <w:pPr>
        <w:spacing w:line="283" w:lineRule="auto" w:before="0"/>
        <w:ind w:left="459" w:right="119" w:firstLine="0"/>
        <w:jc w:val="both"/>
        <w:rPr>
          <w:sz w:val="18"/>
        </w:rPr>
      </w:pPr>
      <w:r>
        <w:rPr>
          <w:color w:val="231F20"/>
          <w:w w:val="110"/>
          <w:sz w:val="18"/>
        </w:rPr>
        <w:t>En los años setenta se destacó el estudio de la migración hacia las áreas me- tropolitanas del país y cómo este fenómeno se interrelacionaba con las trans- formaciones acaecidas en los mercados de trabajo, así como en la estructura ocupacional. De entre los múltiples estudios realizados en este contexto,</w:t>
      </w:r>
      <w:r>
        <w:rPr>
          <w:color w:val="231F20"/>
          <w:w w:val="110"/>
          <w:position w:val="5"/>
          <w:sz w:val="10"/>
        </w:rPr>
        <w:t>3 </w:t>
      </w:r>
      <w:r>
        <w:rPr>
          <w:color w:val="231F20"/>
          <w:w w:val="110"/>
          <w:sz w:val="18"/>
        </w:rPr>
        <w:t>los resultados más destacados señalan que las redes de relaciones entre familia- res</w:t>
      </w:r>
      <w:r>
        <w:rPr>
          <w:color w:val="231F20"/>
          <w:spacing w:val="-8"/>
          <w:w w:val="110"/>
          <w:sz w:val="18"/>
        </w:rPr>
        <w:t> </w:t>
      </w:r>
      <w:r>
        <w:rPr>
          <w:color w:val="231F20"/>
          <w:w w:val="110"/>
          <w:sz w:val="18"/>
        </w:rPr>
        <w:t>y</w:t>
      </w:r>
      <w:r>
        <w:rPr>
          <w:color w:val="231F20"/>
          <w:spacing w:val="-8"/>
          <w:w w:val="110"/>
          <w:sz w:val="18"/>
        </w:rPr>
        <w:t> </w:t>
      </w:r>
      <w:r>
        <w:rPr>
          <w:color w:val="231F20"/>
          <w:w w:val="110"/>
          <w:sz w:val="18"/>
        </w:rPr>
        <w:t>amigos</w:t>
      </w:r>
      <w:r>
        <w:rPr>
          <w:color w:val="231F20"/>
          <w:spacing w:val="-8"/>
          <w:w w:val="110"/>
          <w:sz w:val="18"/>
        </w:rPr>
        <w:t> </w:t>
      </w:r>
      <w:r>
        <w:rPr>
          <w:color w:val="231F20"/>
          <w:w w:val="110"/>
          <w:sz w:val="18"/>
        </w:rPr>
        <w:t>son</w:t>
      </w:r>
      <w:r>
        <w:rPr>
          <w:color w:val="231F20"/>
          <w:spacing w:val="-8"/>
          <w:w w:val="110"/>
          <w:sz w:val="18"/>
        </w:rPr>
        <w:t> </w:t>
      </w:r>
      <w:r>
        <w:rPr>
          <w:color w:val="231F20"/>
          <w:w w:val="110"/>
          <w:sz w:val="18"/>
        </w:rPr>
        <w:t>fundamentales</w:t>
      </w:r>
      <w:r>
        <w:rPr>
          <w:color w:val="231F20"/>
          <w:spacing w:val="-8"/>
          <w:w w:val="110"/>
          <w:sz w:val="18"/>
        </w:rPr>
        <w:t> </w:t>
      </w:r>
      <w:r>
        <w:rPr>
          <w:color w:val="231F20"/>
          <w:w w:val="110"/>
          <w:sz w:val="18"/>
        </w:rPr>
        <w:t>en</w:t>
      </w:r>
      <w:r>
        <w:rPr>
          <w:color w:val="231F20"/>
          <w:spacing w:val="-8"/>
          <w:w w:val="110"/>
          <w:sz w:val="18"/>
        </w:rPr>
        <w:t> </w:t>
      </w:r>
      <w:r>
        <w:rPr>
          <w:color w:val="231F20"/>
          <w:w w:val="110"/>
          <w:sz w:val="18"/>
        </w:rPr>
        <w:t>el</w:t>
      </w:r>
      <w:r>
        <w:rPr>
          <w:color w:val="231F20"/>
          <w:spacing w:val="-8"/>
          <w:w w:val="110"/>
          <w:sz w:val="18"/>
        </w:rPr>
        <w:t> </w:t>
      </w:r>
      <w:r>
        <w:rPr>
          <w:color w:val="231F20"/>
          <w:w w:val="110"/>
          <w:sz w:val="18"/>
        </w:rPr>
        <w:t>proceso</w:t>
      </w:r>
      <w:r>
        <w:rPr>
          <w:color w:val="231F20"/>
          <w:spacing w:val="-8"/>
          <w:w w:val="110"/>
          <w:sz w:val="18"/>
        </w:rPr>
        <w:t> </w:t>
      </w:r>
      <w:r>
        <w:rPr>
          <w:color w:val="231F20"/>
          <w:w w:val="110"/>
          <w:sz w:val="18"/>
        </w:rPr>
        <w:t>de</w:t>
      </w:r>
      <w:r>
        <w:rPr>
          <w:color w:val="231F20"/>
          <w:spacing w:val="-8"/>
          <w:w w:val="110"/>
          <w:sz w:val="18"/>
        </w:rPr>
        <w:t> </w:t>
      </w:r>
      <w:r>
        <w:rPr>
          <w:color w:val="231F20"/>
          <w:w w:val="110"/>
          <w:sz w:val="18"/>
        </w:rPr>
        <w:t>adaptación</w:t>
      </w:r>
      <w:r>
        <w:rPr>
          <w:color w:val="231F20"/>
          <w:spacing w:val="-8"/>
          <w:w w:val="110"/>
          <w:sz w:val="18"/>
        </w:rPr>
        <w:t> </w:t>
      </w:r>
      <w:r>
        <w:rPr>
          <w:color w:val="231F20"/>
          <w:w w:val="110"/>
          <w:sz w:val="18"/>
        </w:rPr>
        <w:t>al</w:t>
      </w:r>
      <w:r>
        <w:rPr>
          <w:color w:val="231F20"/>
          <w:spacing w:val="-8"/>
          <w:w w:val="110"/>
          <w:sz w:val="18"/>
        </w:rPr>
        <w:t> </w:t>
      </w:r>
      <w:r>
        <w:rPr>
          <w:color w:val="231F20"/>
          <w:w w:val="110"/>
          <w:sz w:val="18"/>
        </w:rPr>
        <w:t>lugar</w:t>
      </w:r>
      <w:r>
        <w:rPr>
          <w:color w:val="231F20"/>
          <w:spacing w:val="-8"/>
          <w:w w:val="110"/>
          <w:sz w:val="18"/>
        </w:rPr>
        <w:t> </w:t>
      </w:r>
      <w:r>
        <w:rPr>
          <w:color w:val="231F20"/>
          <w:w w:val="110"/>
          <w:sz w:val="18"/>
        </w:rPr>
        <w:t>de</w:t>
      </w:r>
      <w:r>
        <w:rPr>
          <w:color w:val="231F20"/>
          <w:spacing w:val="-8"/>
          <w:w w:val="110"/>
          <w:sz w:val="18"/>
        </w:rPr>
        <w:t> </w:t>
      </w:r>
      <w:r>
        <w:rPr>
          <w:color w:val="231F20"/>
          <w:w w:val="110"/>
          <w:sz w:val="18"/>
        </w:rPr>
        <w:t>destino de</w:t>
      </w:r>
      <w:r>
        <w:rPr>
          <w:color w:val="231F20"/>
          <w:spacing w:val="14"/>
          <w:w w:val="110"/>
          <w:sz w:val="18"/>
        </w:rPr>
        <w:t> </w:t>
      </w:r>
      <w:r>
        <w:rPr>
          <w:color w:val="231F20"/>
          <w:w w:val="110"/>
          <w:sz w:val="18"/>
        </w:rPr>
        <w:t>los</w:t>
      </w:r>
      <w:r>
        <w:rPr>
          <w:color w:val="231F20"/>
          <w:spacing w:val="14"/>
          <w:w w:val="110"/>
          <w:sz w:val="18"/>
        </w:rPr>
        <w:t> </w:t>
      </w:r>
      <w:r>
        <w:rPr>
          <w:color w:val="231F20"/>
          <w:w w:val="110"/>
          <w:sz w:val="18"/>
        </w:rPr>
        <w:t>migrantes,</w:t>
      </w:r>
      <w:r>
        <w:rPr>
          <w:color w:val="231F20"/>
          <w:spacing w:val="14"/>
          <w:w w:val="110"/>
          <w:sz w:val="18"/>
        </w:rPr>
        <w:t> </w:t>
      </w:r>
      <w:r>
        <w:rPr>
          <w:color w:val="231F20"/>
          <w:w w:val="110"/>
          <w:sz w:val="18"/>
        </w:rPr>
        <w:t>situación</w:t>
      </w:r>
      <w:r>
        <w:rPr>
          <w:color w:val="231F20"/>
          <w:spacing w:val="14"/>
          <w:w w:val="110"/>
          <w:sz w:val="18"/>
        </w:rPr>
        <w:t> </w:t>
      </w:r>
      <w:r>
        <w:rPr>
          <w:color w:val="231F20"/>
          <w:w w:val="110"/>
          <w:sz w:val="18"/>
        </w:rPr>
        <w:t>que</w:t>
      </w:r>
      <w:r>
        <w:rPr>
          <w:color w:val="231F20"/>
          <w:spacing w:val="14"/>
          <w:w w:val="110"/>
          <w:sz w:val="18"/>
        </w:rPr>
        <w:t> </w:t>
      </w:r>
      <w:r>
        <w:rPr>
          <w:color w:val="231F20"/>
          <w:w w:val="110"/>
          <w:sz w:val="18"/>
        </w:rPr>
        <w:t>llegó</w:t>
      </w:r>
      <w:r>
        <w:rPr>
          <w:color w:val="231F20"/>
          <w:spacing w:val="14"/>
          <w:w w:val="110"/>
          <w:sz w:val="18"/>
        </w:rPr>
        <w:t> </w:t>
      </w:r>
      <w:r>
        <w:rPr>
          <w:color w:val="231F20"/>
          <w:w w:val="110"/>
          <w:sz w:val="18"/>
        </w:rPr>
        <w:t>a</w:t>
      </w:r>
      <w:r>
        <w:rPr>
          <w:color w:val="231F20"/>
          <w:spacing w:val="14"/>
          <w:w w:val="110"/>
          <w:sz w:val="18"/>
        </w:rPr>
        <w:t> </w:t>
      </w:r>
      <w:r>
        <w:rPr>
          <w:color w:val="231F20"/>
          <w:w w:val="110"/>
          <w:sz w:val="18"/>
        </w:rPr>
        <w:t>desmitificar</w:t>
      </w:r>
      <w:r>
        <w:rPr>
          <w:color w:val="231F20"/>
          <w:spacing w:val="14"/>
          <w:w w:val="110"/>
          <w:sz w:val="18"/>
        </w:rPr>
        <w:t> </w:t>
      </w:r>
      <w:r>
        <w:rPr>
          <w:color w:val="231F20"/>
          <w:w w:val="110"/>
          <w:sz w:val="18"/>
        </w:rPr>
        <w:t>el</w:t>
      </w:r>
      <w:r>
        <w:rPr>
          <w:color w:val="231F20"/>
          <w:spacing w:val="14"/>
          <w:w w:val="110"/>
          <w:sz w:val="18"/>
        </w:rPr>
        <w:t> </w:t>
      </w:r>
      <w:r>
        <w:rPr>
          <w:color w:val="231F20"/>
          <w:w w:val="110"/>
          <w:sz w:val="18"/>
        </w:rPr>
        <w:t>hecho</w:t>
      </w:r>
      <w:r>
        <w:rPr>
          <w:color w:val="231F20"/>
          <w:spacing w:val="14"/>
          <w:w w:val="110"/>
          <w:sz w:val="18"/>
        </w:rPr>
        <w:t> </w:t>
      </w:r>
      <w:r>
        <w:rPr>
          <w:color w:val="231F20"/>
          <w:w w:val="110"/>
          <w:sz w:val="18"/>
        </w:rPr>
        <w:t>de</w:t>
      </w:r>
      <w:r>
        <w:rPr>
          <w:color w:val="231F20"/>
          <w:spacing w:val="14"/>
          <w:w w:val="110"/>
          <w:sz w:val="18"/>
        </w:rPr>
        <w:t> </w:t>
      </w:r>
      <w:r>
        <w:rPr>
          <w:color w:val="231F20"/>
          <w:w w:val="110"/>
          <w:sz w:val="18"/>
        </w:rPr>
        <w:t>que</w:t>
      </w:r>
      <w:r>
        <w:rPr>
          <w:color w:val="231F20"/>
          <w:spacing w:val="14"/>
          <w:w w:val="110"/>
          <w:sz w:val="18"/>
        </w:rPr>
        <w:t> </w:t>
      </w:r>
      <w:r>
        <w:rPr>
          <w:color w:val="231F20"/>
          <w:w w:val="110"/>
          <w:sz w:val="18"/>
        </w:rPr>
        <w:t>la</w:t>
      </w:r>
      <w:r>
        <w:rPr>
          <w:color w:val="231F20"/>
          <w:spacing w:val="14"/>
          <w:w w:val="110"/>
          <w:sz w:val="18"/>
        </w:rPr>
        <w:t> </w:t>
      </w:r>
      <w:r>
        <w:rPr>
          <w:color w:val="231F20"/>
          <w:w w:val="110"/>
          <w:sz w:val="18"/>
        </w:rPr>
        <w:t>migra-</w:t>
      </w:r>
      <w:r>
        <w:rPr>
          <w:color w:val="231F20"/>
          <w:w w:val="93"/>
          <w:sz w:val="18"/>
        </w:rPr>
        <w:t> </w:t>
      </w:r>
      <w:r>
        <w:rPr>
          <w:color w:val="231F20"/>
          <w:w w:val="110"/>
          <w:sz w:val="18"/>
        </w:rPr>
        <w:t>ción de los miembros del hogar era tomada exclusivamente por los propios migrantes. En estos estudios evidenciaron que los rasgos y características de las familias de origen están presentes como condicionantes de la migración, la escolaridad y la ocupación de los individuos (García y Oliveira,</w:t>
      </w:r>
      <w:r>
        <w:rPr>
          <w:color w:val="231F20"/>
          <w:spacing w:val="26"/>
          <w:w w:val="110"/>
          <w:sz w:val="18"/>
        </w:rPr>
        <w:t> </w:t>
      </w:r>
      <w:r>
        <w:rPr>
          <w:color w:val="231F20"/>
          <w:w w:val="110"/>
          <w:sz w:val="18"/>
        </w:rPr>
        <w:t>1998).</w:t>
      </w:r>
    </w:p>
    <w:p>
      <w:pPr>
        <w:pStyle w:val="BodyText"/>
        <w:spacing w:before="7"/>
        <w:rPr>
          <w:sz w:val="21"/>
        </w:rPr>
      </w:pPr>
    </w:p>
    <w:p>
      <w:pPr>
        <w:pStyle w:val="BodyText"/>
        <w:spacing w:line="288" w:lineRule="auto"/>
        <w:ind w:left="100" w:right="119" w:firstLine="360"/>
        <w:jc w:val="both"/>
      </w:pPr>
      <w:r>
        <w:rPr>
          <w:color w:val="231F20"/>
          <w:w w:val="110"/>
        </w:rPr>
        <w:t>Si bien en estos estudios aún la familia no se constituye en un objetivo central en la investigación sobre los mercados laborales, constituyeron importantes antecedentes para entender el énfasis concedido posterior- mente a las familias como unidades de análisis en los procesos de forma- ción de la oferta de trabajo.</w:t>
      </w:r>
    </w:p>
    <w:p>
      <w:pPr>
        <w:pStyle w:val="BodyText"/>
        <w:rPr>
          <w:sz w:val="16"/>
        </w:rPr>
      </w:pPr>
    </w:p>
    <w:p>
      <w:pPr>
        <w:spacing w:line="283" w:lineRule="auto" w:before="0"/>
        <w:ind w:left="460" w:right="117" w:firstLine="0"/>
        <w:jc w:val="both"/>
        <w:rPr>
          <w:sz w:val="18"/>
        </w:rPr>
      </w:pPr>
      <w:r>
        <w:rPr>
          <w:color w:val="231F20"/>
          <w:w w:val="110"/>
          <w:sz w:val="18"/>
        </w:rPr>
        <w:t>Durante</w:t>
      </w:r>
      <w:r>
        <w:rPr>
          <w:color w:val="231F20"/>
          <w:spacing w:val="13"/>
          <w:w w:val="110"/>
          <w:sz w:val="18"/>
        </w:rPr>
        <w:t> </w:t>
      </w:r>
      <w:r>
        <w:rPr>
          <w:color w:val="231F20"/>
          <w:w w:val="110"/>
          <w:sz w:val="18"/>
        </w:rPr>
        <w:t>los</w:t>
      </w:r>
      <w:r>
        <w:rPr>
          <w:color w:val="231F20"/>
          <w:spacing w:val="13"/>
          <w:w w:val="110"/>
          <w:sz w:val="18"/>
        </w:rPr>
        <w:t> </w:t>
      </w:r>
      <w:r>
        <w:rPr>
          <w:color w:val="231F20"/>
          <w:w w:val="110"/>
          <w:sz w:val="18"/>
        </w:rPr>
        <w:t>últimos</w:t>
      </w:r>
      <w:r>
        <w:rPr>
          <w:color w:val="231F20"/>
          <w:spacing w:val="13"/>
          <w:w w:val="110"/>
          <w:sz w:val="18"/>
        </w:rPr>
        <w:t> </w:t>
      </w:r>
      <w:r>
        <w:rPr>
          <w:color w:val="231F20"/>
          <w:w w:val="110"/>
          <w:sz w:val="18"/>
        </w:rPr>
        <w:t>años</w:t>
      </w:r>
      <w:r>
        <w:rPr>
          <w:color w:val="231F20"/>
          <w:spacing w:val="13"/>
          <w:w w:val="110"/>
          <w:sz w:val="18"/>
        </w:rPr>
        <w:t> </w:t>
      </w:r>
      <w:r>
        <w:rPr>
          <w:color w:val="231F20"/>
          <w:w w:val="110"/>
          <w:sz w:val="18"/>
        </w:rPr>
        <w:t>de</w:t>
      </w:r>
      <w:r>
        <w:rPr>
          <w:color w:val="231F20"/>
          <w:spacing w:val="13"/>
          <w:w w:val="110"/>
          <w:sz w:val="18"/>
        </w:rPr>
        <w:t> </w:t>
      </w:r>
      <w:r>
        <w:rPr>
          <w:color w:val="231F20"/>
          <w:w w:val="110"/>
          <w:sz w:val="18"/>
        </w:rPr>
        <w:t>la</w:t>
      </w:r>
      <w:r>
        <w:rPr>
          <w:color w:val="231F20"/>
          <w:spacing w:val="13"/>
          <w:w w:val="110"/>
          <w:sz w:val="18"/>
        </w:rPr>
        <w:t> </w:t>
      </w:r>
      <w:r>
        <w:rPr>
          <w:color w:val="231F20"/>
          <w:w w:val="110"/>
          <w:sz w:val="18"/>
        </w:rPr>
        <w:t>década</w:t>
      </w:r>
      <w:r>
        <w:rPr>
          <w:color w:val="231F20"/>
          <w:spacing w:val="13"/>
          <w:w w:val="110"/>
          <w:sz w:val="18"/>
        </w:rPr>
        <w:t> </w:t>
      </w:r>
      <w:r>
        <w:rPr>
          <w:color w:val="231F20"/>
          <w:w w:val="110"/>
          <w:sz w:val="18"/>
        </w:rPr>
        <w:t>del</w:t>
      </w:r>
      <w:r>
        <w:rPr>
          <w:color w:val="231F20"/>
          <w:spacing w:val="13"/>
          <w:w w:val="110"/>
          <w:sz w:val="18"/>
        </w:rPr>
        <w:t> </w:t>
      </w:r>
      <w:r>
        <w:rPr>
          <w:color w:val="231F20"/>
          <w:w w:val="110"/>
          <w:sz w:val="18"/>
        </w:rPr>
        <w:t>setenta</w:t>
      </w:r>
      <w:r>
        <w:rPr>
          <w:color w:val="231F20"/>
          <w:spacing w:val="13"/>
          <w:w w:val="110"/>
          <w:sz w:val="18"/>
        </w:rPr>
        <w:t> </w:t>
      </w:r>
      <w:r>
        <w:rPr>
          <w:color w:val="231F20"/>
          <w:w w:val="110"/>
          <w:sz w:val="18"/>
        </w:rPr>
        <w:t>el</w:t>
      </w:r>
      <w:r>
        <w:rPr>
          <w:color w:val="231F20"/>
          <w:spacing w:val="13"/>
          <w:w w:val="110"/>
          <w:sz w:val="18"/>
        </w:rPr>
        <w:t> </w:t>
      </w:r>
      <w:r>
        <w:rPr>
          <w:color w:val="231F20"/>
          <w:w w:val="110"/>
          <w:sz w:val="18"/>
        </w:rPr>
        <w:t>agotamiento</w:t>
      </w:r>
      <w:r>
        <w:rPr>
          <w:color w:val="231F20"/>
          <w:spacing w:val="13"/>
          <w:w w:val="110"/>
          <w:sz w:val="18"/>
        </w:rPr>
        <w:t> </w:t>
      </w:r>
      <w:r>
        <w:rPr>
          <w:color w:val="231F20"/>
          <w:w w:val="110"/>
          <w:sz w:val="18"/>
        </w:rPr>
        <w:t>del</w:t>
      </w:r>
      <w:r>
        <w:rPr>
          <w:color w:val="231F20"/>
          <w:spacing w:val="13"/>
          <w:w w:val="110"/>
          <w:sz w:val="18"/>
        </w:rPr>
        <w:t> </w:t>
      </w:r>
      <w:r>
        <w:rPr>
          <w:color w:val="231F20"/>
          <w:w w:val="110"/>
          <w:sz w:val="18"/>
        </w:rPr>
        <w:t>modelo</w:t>
      </w:r>
      <w:r>
        <w:rPr>
          <w:color w:val="231F20"/>
          <w:w w:val="108"/>
          <w:sz w:val="18"/>
        </w:rPr>
        <w:t> </w:t>
      </w:r>
      <w:r>
        <w:rPr>
          <w:color w:val="231F20"/>
          <w:w w:val="110"/>
          <w:sz w:val="18"/>
        </w:rPr>
        <w:t>de</w:t>
      </w:r>
      <w:r>
        <w:rPr>
          <w:color w:val="231F20"/>
          <w:spacing w:val="-7"/>
          <w:w w:val="110"/>
          <w:sz w:val="18"/>
        </w:rPr>
        <w:t> </w:t>
      </w:r>
      <w:r>
        <w:rPr>
          <w:color w:val="231F20"/>
          <w:w w:val="110"/>
          <w:sz w:val="18"/>
        </w:rPr>
        <w:t>desarrollo</w:t>
      </w:r>
      <w:r>
        <w:rPr>
          <w:color w:val="231F20"/>
          <w:spacing w:val="-7"/>
          <w:w w:val="110"/>
          <w:sz w:val="18"/>
        </w:rPr>
        <w:t> </w:t>
      </w:r>
      <w:r>
        <w:rPr>
          <w:color w:val="231F20"/>
          <w:w w:val="110"/>
          <w:sz w:val="18"/>
        </w:rPr>
        <w:t>(basado</w:t>
      </w:r>
      <w:r>
        <w:rPr>
          <w:color w:val="231F20"/>
          <w:spacing w:val="-7"/>
          <w:w w:val="110"/>
          <w:sz w:val="18"/>
        </w:rPr>
        <w:t> </w:t>
      </w:r>
      <w:r>
        <w:rPr>
          <w:color w:val="231F20"/>
          <w:w w:val="110"/>
          <w:sz w:val="18"/>
        </w:rPr>
        <w:t>en</w:t>
      </w:r>
      <w:r>
        <w:rPr>
          <w:color w:val="231F20"/>
          <w:spacing w:val="-7"/>
          <w:w w:val="110"/>
          <w:sz w:val="18"/>
        </w:rPr>
        <w:t> </w:t>
      </w:r>
      <w:r>
        <w:rPr>
          <w:color w:val="231F20"/>
          <w:w w:val="110"/>
          <w:sz w:val="18"/>
        </w:rPr>
        <w:t>la</w:t>
      </w:r>
      <w:r>
        <w:rPr>
          <w:color w:val="231F20"/>
          <w:spacing w:val="-7"/>
          <w:w w:val="110"/>
          <w:sz w:val="18"/>
        </w:rPr>
        <w:t> </w:t>
      </w:r>
      <w:r>
        <w:rPr>
          <w:color w:val="231F20"/>
          <w:w w:val="110"/>
          <w:sz w:val="18"/>
        </w:rPr>
        <w:t>industrialización</w:t>
      </w:r>
      <w:r>
        <w:rPr>
          <w:color w:val="231F20"/>
          <w:spacing w:val="-7"/>
          <w:w w:val="110"/>
          <w:sz w:val="18"/>
        </w:rPr>
        <w:t> </w:t>
      </w:r>
      <w:r>
        <w:rPr>
          <w:color w:val="231F20"/>
          <w:w w:val="110"/>
          <w:sz w:val="18"/>
        </w:rPr>
        <w:t>por</w:t>
      </w:r>
      <w:r>
        <w:rPr>
          <w:color w:val="231F20"/>
          <w:spacing w:val="-7"/>
          <w:w w:val="110"/>
          <w:sz w:val="18"/>
        </w:rPr>
        <w:t> </w:t>
      </w:r>
      <w:r>
        <w:rPr>
          <w:color w:val="231F20"/>
          <w:w w:val="110"/>
          <w:sz w:val="18"/>
        </w:rPr>
        <w:t>sustitución</w:t>
      </w:r>
      <w:r>
        <w:rPr>
          <w:color w:val="231F20"/>
          <w:spacing w:val="-7"/>
          <w:w w:val="110"/>
          <w:sz w:val="18"/>
        </w:rPr>
        <w:t> </w:t>
      </w:r>
      <w:r>
        <w:rPr>
          <w:color w:val="231F20"/>
          <w:w w:val="110"/>
          <w:sz w:val="18"/>
        </w:rPr>
        <w:t>de</w:t>
      </w:r>
      <w:r>
        <w:rPr>
          <w:color w:val="231F20"/>
          <w:spacing w:val="-7"/>
          <w:w w:val="110"/>
          <w:sz w:val="18"/>
        </w:rPr>
        <w:t> </w:t>
      </w:r>
      <w:r>
        <w:rPr>
          <w:color w:val="231F20"/>
          <w:w w:val="110"/>
          <w:sz w:val="18"/>
        </w:rPr>
        <w:t>importaciones) comenzó a hacerse cada vez más evidente en América Latina. En este </w:t>
      </w:r>
      <w:r>
        <w:rPr>
          <w:color w:val="231F20"/>
          <w:spacing w:val="-3"/>
          <w:w w:val="110"/>
          <w:sz w:val="18"/>
        </w:rPr>
        <w:t>contexto </w:t>
      </w:r>
      <w:r>
        <w:rPr>
          <w:color w:val="231F20"/>
          <w:w w:val="110"/>
          <w:sz w:val="18"/>
        </w:rPr>
        <w:t>se</w:t>
      </w:r>
      <w:r>
        <w:rPr>
          <w:color w:val="231F20"/>
          <w:spacing w:val="-15"/>
          <w:w w:val="110"/>
          <w:sz w:val="18"/>
        </w:rPr>
        <w:t> </w:t>
      </w:r>
      <w:r>
        <w:rPr>
          <w:color w:val="231F20"/>
          <w:w w:val="110"/>
          <w:sz w:val="18"/>
        </w:rPr>
        <w:t>hizo</w:t>
      </w:r>
      <w:r>
        <w:rPr>
          <w:color w:val="231F20"/>
          <w:spacing w:val="-15"/>
          <w:w w:val="110"/>
          <w:sz w:val="18"/>
        </w:rPr>
        <w:t> </w:t>
      </w:r>
      <w:r>
        <w:rPr>
          <w:color w:val="231F20"/>
          <w:w w:val="110"/>
          <w:sz w:val="18"/>
        </w:rPr>
        <w:t>manifiesta</w:t>
      </w:r>
      <w:r>
        <w:rPr>
          <w:color w:val="231F20"/>
          <w:spacing w:val="-15"/>
          <w:w w:val="110"/>
          <w:sz w:val="18"/>
        </w:rPr>
        <w:t> </w:t>
      </w:r>
      <w:r>
        <w:rPr>
          <w:color w:val="231F20"/>
          <w:w w:val="110"/>
          <w:sz w:val="18"/>
        </w:rPr>
        <w:t>la</w:t>
      </w:r>
      <w:r>
        <w:rPr>
          <w:color w:val="231F20"/>
          <w:spacing w:val="-15"/>
          <w:w w:val="110"/>
          <w:sz w:val="18"/>
        </w:rPr>
        <w:t> </w:t>
      </w:r>
      <w:r>
        <w:rPr>
          <w:color w:val="231F20"/>
          <w:w w:val="110"/>
          <w:sz w:val="18"/>
        </w:rPr>
        <w:t>limitación</w:t>
      </w:r>
      <w:r>
        <w:rPr>
          <w:color w:val="231F20"/>
          <w:spacing w:val="-15"/>
          <w:w w:val="110"/>
          <w:sz w:val="18"/>
        </w:rPr>
        <w:t> </w:t>
      </w:r>
      <w:r>
        <w:rPr>
          <w:color w:val="231F20"/>
          <w:w w:val="110"/>
          <w:sz w:val="18"/>
        </w:rPr>
        <w:t>de</w:t>
      </w:r>
      <w:r>
        <w:rPr>
          <w:color w:val="231F20"/>
          <w:spacing w:val="-15"/>
          <w:w w:val="110"/>
          <w:sz w:val="18"/>
        </w:rPr>
        <w:t> </w:t>
      </w:r>
      <w:r>
        <w:rPr>
          <w:color w:val="231F20"/>
          <w:w w:val="110"/>
          <w:sz w:val="18"/>
        </w:rPr>
        <w:t>una</w:t>
      </w:r>
      <w:r>
        <w:rPr>
          <w:color w:val="231F20"/>
          <w:spacing w:val="-15"/>
          <w:w w:val="110"/>
          <w:sz w:val="18"/>
        </w:rPr>
        <w:t> </w:t>
      </w:r>
      <w:r>
        <w:rPr>
          <w:color w:val="231F20"/>
          <w:w w:val="110"/>
          <w:sz w:val="18"/>
        </w:rPr>
        <w:t>concepción</w:t>
      </w:r>
      <w:r>
        <w:rPr>
          <w:color w:val="231F20"/>
          <w:spacing w:val="-15"/>
          <w:w w:val="110"/>
          <w:sz w:val="18"/>
        </w:rPr>
        <w:t> </w:t>
      </w:r>
      <w:r>
        <w:rPr>
          <w:color w:val="231F20"/>
          <w:w w:val="110"/>
          <w:sz w:val="18"/>
        </w:rPr>
        <w:t>del</w:t>
      </w:r>
      <w:r>
        <w:rPr>
          <w:color w:val="231F20"/>
          <w:spacing w:val="-13"/>
          <w:w w:val="110"/>
          <w:sz w:val="18"/>
        </w:rPr>
        <w:t> </w:t>
      </w:r>
      <w:r>
        <w:rPr>
          <w:color w:val="231F20"/>
          <w:w w:val="110"/>
          <w:sz w:val="18"/>
        </w:rPr>
        <w:t>comportamiento</w:t>
      </w:r>
      <w:r>
        <w:rPr>
          <w:color w:val="231F20"/>
          <w:spacing w:val="-12"/>
          <w:w w:val="110"/>
          <w:sz w:val="18"/>
        </w:rPr>
        <w:t> </w:t>
      </w:r>
      <w:r>
        <w:rPr>
          <w:color w:val="231F20"/>
          <w:w w:val="110"/>
          <w:sz w:val="18"/>
        </w:rPr>
        <w:t>sociode- mográfico basado únicamente en agregados de individuos aislados, por lo que se buscó recuperar elementos como los modos de producción, las clases so- ciales,</w:t>
      </w:r>
      <w:r>
        <w:rPr>
          <w:color w:val="231F20"/>
          <w:spacing w:val="-3"/>
          <w:w w:val="110"/>
          <w:sz w:val="18"/>
        </w:rPr>
        <w:t> </w:t>
      </w:r>
      <w:r>
        <w:rPr>
          <w:color w:val="231F20"/>
          <w:w w:val="110"/>
          <w:sz w:val="18"/>
        </w:rPr>
        <w:t>el</w:t>
      </w:r>
      <w:r>
        <w:rPr>
          <w:color w:val="231F20"/>
          <w:spacing w:val="-3"/>
          <w:w w:val="110"/>
          <w:sz w:val="18"/>
        </w:rPr>
        <w:t> </w:t>
      </w:r>
      <w:r>
        <w:rPr>
          <w:color w:val="231F20"/>
          <w:w w:val="110"/>
          <w:sz w:val="18"/>
        </w:rPr>
        <w:t>conflicto,</w:t>
      </w:r>
      <w:r>
        <w:rPr>
          <w:color w:val="231F20"/>
          <w:spacing w:val="-3"/>
          <w:w w:val="110"/>
          <w:sz w:val="18"/>
        </w:rPr>
        <w:t> </w:t>
      </w:r>
      <w:r>
        <w:rPr>
          <w:color w:val="231F20"/>
          <w:w w:val="110"/>
          <w:sz w:val="18"/>
        </w:rPr>
        <w:t>de</w:t>
      </w:r>
      <w:r>
        <w:rPr>
          <w:color w:val="231F20"/>
          <w:spacing w:val="-3"/>
          <w:w w:val="110"/>
          <w:sz w:val="18"/>
        </w:rPr>
        <w:t> </w:t>
      </w:r>
      <w:r>
        <w:rPr>
          <w:color w:val="231F20"/>
          <w:w w:val="110"/>
          <w:sz w:val="18"/>
        </w:rPr>
        <w:t>forma</w:t>
      </w:r>
      <w:r>
        <w:rPr>
          <w:color w:val="231F20"/>
          <w:spacing w:val="-3"/>
          <w:w w:val="110"/>
          <w:sz w:val="18"/>
        </w:rPr>
        <w:t> </w:t>
      </w:r>
      <w:r>
        <w:rPr>
          <w:color w:val="231F20"/>
          <w:w w:val="110"/>
          <w:sz w:val="18"/>
        </w:rPr>
        <w:t>de</w:t>
      </w:r>
      <w:r>
        <w:rPr>
          <w:color w:val="231F20"/>
          <w:spacing w:val="-3"/>
          <w:w w:val="110"/>
          <w:sz w:val="18"/>
        </w:rPr>
        <w:t> </w:t>
      </w:r>
      <w:r>
        <w:rPr>
          <w:color w:val="231F20"/>
          <w:w w:val="110"/>
          <w:sz w:val="18"/>
        </w:rPr>
        <w:t>poder</w:t>
      </w:r>
      <w:r>
        <w:rPr>
          <w:color w:val="231F20"/>
          <w:spacing w:val="-3"/>
          <w:w w:val="110"/>
          <w:sz w:val="18"/>
        </w:rPr>
        <w:t> </w:t>
      </w:r>
      <w:r>
        <w:rPr>
          <w:color w:val="231F20"/>
          <w:w w:val="110"/>
          <w:sz w:val="18"/>
        </w:rPr>
        <w:t>entender</w:t>
      </w:r>
      <w:r>
        <w:rPr>
          <w:color w:val="231F20"/>
          <w:spacing w:val="-3"/>
          <w:w w:val="110"/>
          <w:sz w:val="18"/>
        </w:rPr>
        <w:t> </w:t>
      </w:r>
      <w:r>
        <w:rPr>
          <w:color w:val="231F20"/>
          <w:w w:val="110"/>
          <w:sz w:val="18"/>
        </w:rPr>
        <w:t>la</w:t>
      </w:r>
      <w:r>
        <w:rPr>
          <w:color w:val="231F20"/>
          <w:spacing w:val="-3"/>
          <w:w w:val="110"/>
          <w:sz w:val="18"/>
        </w:rPr>
        <w:t> </w:t>
      </w:r>
      <w:r>
        <w:rPr>
          <w:color w:val="231F20"/>
          <w:w w:val="110"/>
          <w:sz w:val="18"/>
        </w:rPr>
        <w:t>reproducción</w:t>
      </w:r>
      <w:r>
        <w:rPr>
          <w:color w:val="231F20"/>
          <w:spacing w:val="-3"/>
          <w:w w:val="110"/>
          <w:sz w:val="18"/>
        </w:rPr>
        <w:t> </w:t>
      </w:r>
      <w:r>
        <w:rPr>
          <w:color w:val="231F20"/>
          <w:w w:val="110"/>
          <w:sz w:val="18"/>
        </w:rPr>
        <w:t>de</w:t>
      </w:r>
      <w:r>
        <w:rPr>
          <w:color w:val="231F20"/>
          <w:spacing w:val="-3"/>
          <w:w w:val="110"/>
          <w:sz w:val="18"/>
        </w:rPr>
        <w:t> </w:t>
      </w:r>
      <w:r>
        <w:rPr>
          <w:color w:val="231F20"/>
          <w:w w:val="110"/>
          <w:sz w:val="18"/>
        </w:rPr>
        <w:t>la</w:t>
      </w:r>
      <w:r>
        <w:rPr>
          <w:color w:val="231F20"/>
          <w:spacing w:val="-3"/>
          <w:w w:val="110"/>
          <w:sz w:val="18"/>
        </w:rPr>
        <w:t> </w:t>
      </w:r>
      <w:r>
        <w:rPr>
          <w:color w:val="231F20"/>
          <w:w w:val="110"/>
          <w:sz w:val="18"/>
        </w:rPr>
        <w:t>población y de la fuerza de trabajo como una parte de la reproducción de la sociedad   </w:t>
      </w:r>
      <w:r>
        <w:rPr>
          <w:color w:val="231F20"/>
          <w:spacing w:val="43"/>
          <w:w w:val="110"/>
          <w:sz w:val="18"/>
        </w:rPr>
        <w:t> </w:t>
      </w:r>
      <w:r>
        <w:rPr>
          <w:color w:val="231F20"/>
          <w:w w:val="110"/>
          <w:sz w:val="18"/>
        </w:rPr>
        <w:t>en su conjunto. Comenzó a enfatizarse el plano de las estructuras, el interés</w:t>
      </w:r>
      <w:r>
        <w:rPr>
          <w:color w:val="231F20"/>
          <w:spacing w:val="43"/>
          <w:w w:val="110"/>
          <w:sz w:val="18"/>
        </w:rPr>
        <w:t> </w:t>
      </w:r>
      <w:r>
        <w:rPr>
          <w:color w:val="231F20"/>
          <w:w w:val="110"/>
          <w:sz w:val="18"/>
        </w:rPr>
        <w:t>en los grupos sociales y en sus ámbitos de interacción y su influencia sobre el comportamiento</w:t>
      </w:r>
      <w:r>
        <w:rPr>
          <w:color w:val="231F20"/>
          <w:spacing w:val="-10"/>
          <w:w w:val="110"/>
          <w:sz w:val="18"/>
        </w:rPr>
        <w:t> </w:t>
      </w:r>
      <w:r>
        <w:rPr>
          <w:color w:val="231F20"/>
          <w:w w:val="110"/>
          <w:sz w:val="18"/>
        </w:rPr>
        <w:t>demográfico</w:t>
      </w:r>
      <w:r>
        <w:rPr>
          <w:color w:val="231F20"/>
          <w:spacing w:val="-10"/>
          <w:w w:val="110"/>
          <w:sz w:val="18"/>
        </w:rPr>
        <w:t> </w:t>
      </w:r>
      <w:r>
        <w:rPr>
          <w:color w:val="231F20"/>
          <w:w w:val="110"/>
          <w:sz w:val="18"/>
        </w:rPr>
        <w:t>(García</w:t>
      </w:r>
      <w:r>
        <w:rPr>
          <w:color w:val="231F20"/>
          <w:spacing w:val="-10"/>
          <w:w w:val="110"/>
          <w:sz w:val="18"/>
        </w:rPr>
        <w:t> </w:t>
      </w:r>
      <w:r>
        <w:rPr>
          <w:color w:val="231F20"/>
          <w:w w:val="110"/>
          <w:sz w:val="18"/>
        </w:rPr>
        <w:t>y</w:t>
      </w:r>
      <w:r>
        <w:rPr>
          <w:color w:val="231F20"/>
          <w:spacing w:val="-10"/>
          <w:w w:val="110"/>
          <w:sz w:val="18"/>
        </w:rPr>
        <w:t> </w:t>
      </w:r>
      <w:r>
        <w:rPr>
          <w:color w:val="231F20"/>
          <w:w w:val="110"/>
          <w:sz w:val="18"/>
        </w:rPr>
        <w:t>Oliveira,</w:t>
      </w:r>
      <w:r>
        <w:rPr>
          <w:color w:val="231F20"/>
          <w:spacing w:val="-10"/>
          <w:w w:val="110"/>
          <w:sz w:val="18"/>
        </w:rPr>
        <w:t> </w:t>
      </w:r>
      <w:r>
        <w:rPr>
          <w:color w:val="231F20"/>
          <w:w w:val="110"/>
          <w:sz w:val="18"/>
        </w:rPr>
        <w:t>1998).</w:t>
      </w:r>
    </w:p>
    <w:p>
      <w:pPr>
        <w:pStyle w:val="BodyText"/>
        <w:spacing w:before="8"/>
        <w:rPr>
          <w:sz w:val="21"/>
        </w:rPr>
      </w:pPr>
    </w:p>
    <w:p>
      <w:pPr>
        <w:spacing w:line="256" w:lineRule="auto" w:before="1"/>
        <w:ind w:left="100" w:right="117" w:firstLine="360"/>
        <w:jc w:val="both"/>
        <w:rPr>
          <w:sz w:val="16"/>
        </w:rPr>
      </w:pPr>
      <w:r>
        <w:rPr>
          <w:color w:val="231F20"/>
          <w:w w:val="105"/>
          <w:position w:val="5"/>
          <w:sz w:val="9"/>
        </w:rPr>
        <w:t>3 </w:t>
      </w:r>
      <w:r>
        <w:rPr>
          <w:color w:val="231F20"/>
          <w:w w:val="105"/>
          <w:sz w:val="16"/>
        </w:rPr>
        <w:t>Entre los que destacan está el estudio de Monterrey de Balán, Browning y Jelín (1974) y   </w:t>
      </w:r>
      <w:r>
        <w:rPr>
          <w:color w:val="231F20"/>
          <w:spacing w:val="37"/>
          <w:w w:val="105"/>
          <w:sz w:val="16"/>
        </w:rPr>
        <w:t> </w:t>
      </w:r>
      <w:r>
        <w:rPr>
          <w:color w:val="231F20"/>
          <w:w w:val="105"/>
          <w:sz w:val="16"/>
        </w:rPr>
        <w:t>el de la Ciudad de México de Muñoz, Oliveira y Stern (1981), citados en García y Oliveira </w:t>
      </w:r>
      <w:r>
        <w:rPr>
          <w:color w:val="231F20"/>
          <w:spacing w:val="30"/>
          <w:w w:val="105"/>
          <w:sz w:val="16"/>
        </w:rPr>
        <w:t> </w:t>
      </w:r>
      <w:r>
        <w:rPr>
          <w:color w:val="231F20"/>
          <w:w w:val="105"/>
          <w:sz w:val="16"/>
        </w:rPr>
        <w:t>(1998).</w:t>
      </w:r>
    </w:p>
    <w:p>
      <w:pPr>
        <w:spacing w:after="0" w:line="256" w:lineRule="auto"/>
        <w:jc w:val="both"/>
        <w:rPr>
          <w:sz w:val="16"/>
        </w:rPr>
        <w:sectPr>
          <w:pgSz w:w="9520" w:h="12920"/>
          <w:pgMar w:header="0" w:footer="1344" w:top="880" w:bottom="1540" w:left="1020" w:right="1320"/>
        </w:sectPr>
      </w:pPr>
    </w:p>
    <w:p>
      <w:pPr>
        <w:pStyle w:val="BodyText"/>
        <w:spacing w:line="283" w:lineRule="auto" w:before="42"/>
        <w:ind w:left="124" w:right="112" w:firstLine="360"/>
        <w:jc w:val="both"/>
      </w:pPr>
      <w:r>
        <w:rPr>
          <w:color w:val="231F20"/>
          <w:w w:val="110"/>
        </w:rPr>
        <w:t>Es así como surge clara y explícitamente el interés por la unidad do- méstica y por la familia, entendidas como lugares donde los individuos organizan su reproducción cotidiana y generacional, y donde tiene lugar</w:t>
      </w:r>
      <w:r>
        <w:rPr>
          <w:color w:val="231F20"/>
          <w:spacing w:val="-19"/>
          <w:w w:val="110"/>
        </w:rPr>
        <w:t> </w:t>
      </w:r>
      <w:r>
        <w:rPr>
          <w:color w:val="231F20"/>
          <w:w w:val="110"/>
        </w:rPr>
        <w:t>la socialización de los nuevos miembros y el reforzamiento de los significa- dos y motivaciones que fundamentan las actividades del grupo (García y </w:t>
      </w:r>
      <w:r>
        <w:rPr>
          <w:color w:val="231F20"/>
          <w:w w:val="105"/>
        </w:rPr>
        <w:t>Oliveira,</w:t>
      </w:r>
      <w:r>
        <w:rPr>
          <w:color w:val="231F20"/>
          <w:spacing w:val="24"/>
          <w:w w:val="105"/>
        </w:rPr>
        <w:t> </w:t>
      </w:r>
      <w:r>
        <w:rPr>
          <w:color w:val="231F20"/>
          <w:w w:val="105"/>
        </w:rPr>
        <w:t>1998).</w:t>
      </w:r>
    </w:p>
    <w:p>
      <w:pPr>
        <w:pStyle w:val="BodyText"/>
        <w:spacing w:line="283" w:lineRule="auto"/>
        <w:ind w:left="124" w:right="112" w:firstLine="360"/>
        <w:jc w:val="both"/>
      </w:pPr>
      <w:r>
        <w:rPr>
          <w:color w:val="231F20"/>
          <w:w w:val="110"/>
        </w:rPr>
        <w:t>También en relación con los mercados de trabajo, se volvió más per- ceptible</w:t>
      </w:r>
      <w:r>
        <w:rPr>
          <w:color w:val="231F20"/>
          <w:spacing w:val="-10"/>
          <w:w w:val="110"/>
        </w:rPr>
        <w:t> </w:t>
      </w:r>
      <w:r>
        <w:rPr>
          <w:color w:val="231F20"/>
          <w:w w:val="110"/>
        </w:rPr>
        <w:t>que</w:t>
      </w:r>
      <w:r>
        <w:rPr>
          <w:color w:val="231F20"/>
          <w:spacing w:val="-10"/>
          <w:w w:val="110"/>
        </w:rPr>
        <w:t> </w:t>
      </w:r>
      <w:r>
        <w:rPr>
          <w:color w:val="231F20"/>
          <w:w w:val="110"/>
        </w:rPr>
        <w:t>la</w:t>
      </w:r>
      <w:r>
        <w:rPr>
          <w:color w:val="231F20"/>
          <w:spacing w:val="-10"/>
          <w:w w:val="110"/>
        </w:rPr>
        <w:t> </w:t>
      </w:r>
      <w:r>
        <w:rPr>
          <w:color w:val="231F20"/>
          <w:w w:val="110"/>
        </w:rPr>
        <w:t>dinámica</w:t>
      </w:r>
      <w:r>
        <w:rPr>
          <w:color w:val="231F20"/>
          <w:spacing w:val="-10"/>
          <w:w w:val="110"/>
        </w:rPr>
        <w:t> </w:t>
      </w:r>
      <w:r>
        <w:rPr>
          <w:color w:val="231F20"/>
          <w:w w:val="110"/>
        </w:rPr>
        <w:t>económica</w:t>
      </w:r>
      <w:r>
        <w:rPr>
          <w:color w:val="231F20"/>
          <w:spacing w:val="-10"/>
          <w:w w:val="110"/>
        </w:rPr>
        <w:t> </w:t>
      </w:r>
      <w:r>
        <w:rPr>
          <w:color w:val="231F20"/>
          <w:w w:val="110"/>
        </w:rPr>
        <w:t>no</w:t>
      </w:r>
      <w:r>
        <w:rPr>
          <w:color w:val="231F20"/>
          <w:spacing w:val="-10"/>
          <w:w w:val="110"/>
        </w:rPr>
        <w:t> </w:t>
      </w:r>
      <w:r>
        <w:rPr>
          <w:color w:val="231F20"/>
          <w:w w:val="110"/>
        </w:rPr>
        <w:t>hacía</w:t>
      </w:r>
      <w:r>
        <w:rPr>
          <w:color w:val="231F20"/>
          <w:spacing w:val="-10"/>
          <w:w w:val="110"/>
        </w:rPr>
        <w:t> </w:t>
      </w:r>
      <w:r>
        <w:rPr>
          <w:color w:val="231F20"/>
          <w:w w:val="110"/>
        </w:rPr>
        <w:t>más</w:t>
      </w:r>
      <w:r>
        <w:rPr>
          <w:color w:val="231F20"/>
          <w:spacing w:val="-10"/>
          <w:w w:val="110"/>
        </w:rPr>
        <w:t> </w:t>
      </w:r>
      <w:r>
        <w:rPr>
          <w:color w:val="231F20"/>
          <w:w w:val="110"/>
        </w:rPr>
        <w:t>que</w:t>
      </w:r>
      <w:r>
        <w:rPr>
          <w:color w:val="231F20"/>
          <w:spacing w:val="-10"/>
          <w:w w:val="110"/>
        </w:rPr>
        <w:t> </w:t>
      </w:r>
      <w:r>
        <w:rPr>
          <w:color w:val="231F20"/>
          <w:w w:val="110"/>
        </w:rPr>
        <w:t>destacar</w:t>
      </w:r>
      <w:r>
        <w:rPr>
          <w:color w:val="231F20"/>
          <w:spacing w:val="-10"/>
          <w:w w:val="110"/>
        </w:rPr>
        <w:t> </w:t>
      </w:r>
      <w:r>
        <w:rPr>
          <w:color w:val="231F20"/>
          <w:w w:val="110"/>
        </w:rPr>
        <w:t>la</w:t>
      </w:r>
      <w:r>
        <w:rPr>
          <w:color w:val="231F20"/>
          <w:spacing w:val="-10"/>
          <w:w w:val="110"/>
        </w:rPr>
        <w:t> </w:t>
      </w:r>
      <w:r>
        <w:rPr>
          <w:color w:val="231F20"/>
          <w:w w:val="110"/>
        </w:rPr>
        <w:t>importan- cia de las redes y características familiares en la manutención de los indi- viduos. La investigación sobre mercado de trabajo desde esta </w:t>
      </w:r>
      <w:r>
        <w:rPr>
          <w:color w:val="231F20"/>
          <w:spacing w:val="1"/>
          <w:w w:val="110"/>
        </w:rPr>
        <w:t> </w:t>
      </w:r>
      <w:r>
        <w:rPr>
          <w:color w:val="231F20"/>
          <w:w w:val="110"/>
        </w:rPr>
        <w:t>óptica</w:t>
      </w:r>
    </w:p>
    <w:p>
      <w:pPr>
        <w:pStyle w:val="BodyText"/>
        <w:spacing w:before="10"/>
        <w:rPr>
          <w:sz w:val="15"/>
        </w:rPr>
      </w:pPr>
    </w:p>
    <w:p>
      <w:pPr>
        <w:spacing w:line="278" w:lineRule="auto" w:before="0"/>
        <w:ind w:left="484" w:right="113" w:firstLine="0"/>
        <w:jc w:val="both"/>
        <w:rPr>
          <w:sz w:val="18"/>
        </w:rPr>
      </w:pPr>
      <w:r>
        <w:rPr>
          <w:color w:val="231F20"/>
          <w:w w:val="110"/>
          <w:sz w:val="18"/>
        </w:rPr>
        <w:t>[…] trata de analizar cómo la participación de hombres y mujeres en la activi- dad económica se ve afectada por el hecho de que viven la mayoría de las ve- ces en familias y organizan su manutención de forma conjunta. La pertenencia a un hogar implica compartir una experiencia de vida común, encontrar múl- tiples estímulos u obstáculos a la acción individual” (García, Muñoz y Oliveira, </w:t>
      </w:r>
      <w:r>
        <w:rPr>
          <w:color w:val="231F20"/>
          <w:w w:val="105"/>
          <w:sz w:val="18"/>
        </w:rPr>
        <w:t>1989: 85).</w:t>
      </w:r>
    </w:p>
    <w:p>
      <w:pPr>
        <w:pStyle w:val="BodyText"/>
        <w:spacing w:before="6"/>
        <w:rPr>
          <w:sz w:val="21"/>
        </w:rPr>
      </w:pPr>
    </w:p>
    <w:p>
      <w:pPr>
        <w:pStyle w:val="BodyText"/>
        <w:spacing w:line="283" w:lineRule="auto"/>
        <w:ind w:left="124" w:right="113" w:firstLine="360"/>
        <w:jc w:val="both"/>
      </w:pPr>
      <w:r>
        <w:rPr>
          <w:color w:val="231F20"/>
          <w:w w:val="110"/>
        </w:rPr>
        <w:t>En la misma línea de análisis, otros autores más enfáticamente</w:t>
      </w:r>
      <w:r>
        <w:rPr>
          <w:color w:val="231F20"/>
          <w:spacing w:val="-28"/>
          <w:w w:val="110"/>
        </w:rPr>
        <w:t> </w:t>
      </w:r>
      <w:r>
        <w:rPr>
          <w:color w:val="231F20"/>
          <w:w w:val="110"/>
        </w:rPr>
        <w:t>señalan que “[…] la supervivencia de los individuos depende en gran medida de la unidad doméstica, pues constituye la principal defensa frente a la desocu- pación,</w:t>
      </w:r>
      <w:r>
        <w:rPr>
          <w:color w:val="231F20"/>
          <w:spacing w:val="-12"/>
          <w:w w:val="110"/>
        </w:rPr>
        <w:t> </w:t>
      </w:r>
      <w:r>
        <w:rPr>
          <w:color w:val="231F20"/>
          <w:w w:val="110"/>
        </w:rPr>
        <w:t>el</w:t>
      </w:r>
      <w:r>
        <w:rPr>
          <w:color w:val="231F20"/>
          <w:spacing w:val="-12"/>
          <w:w w:val="110"/>
        </w:rPr>
        <w:t> </w:t>
      </w:r>
      <w:r>
        <w:rPr>
          <w:color w:val="231F20"/>
          <w:w w:val="110"/>
        </w:rPr>
        <w:t>ingreso</w:t>
      </w:r>
      <w:r>
        <w:rPr>
          <w:color w:val="231F20"/>
          <w:spacing w:val="-12"/>
          <w:w w:val="110"/>
        </w:rPr>
        <w:t> </w:t>
      </w:r>
      <w:r>
        <w:rPr>
          <w:color w:val="231F20"/>
          <w:w w:val="110"/>
        </w:rPr>
        <w:t>personal</w:t>
      </w:r>
      <w:r>
        <w:rPr>
          <w:color w:val="231F20"/>
          <w:spacing w:val="-12"/>
          <w:w w:val="110"/>
        </w:rPr>
        <w:t> </w:t>
      </w:r>
      <w:r>
        <w:rPr>
          <w:color w:val="231F20"/>
          <w:w w:val="110"/>
        </w:rPr>
        <w:t>insuficiente,</w:t>
      </w:r>
      <w:r>
        <w:rPr>
          <w:color w:val="231F20"/>
          <w:spacing w:val="-12"/>
          <w:w w:val="110"/>
        </w:rPr>
        <w:t> </w:t>
      </w:r>
      <w:r>
        <w:rPr>
          <w:color w:val="231F20"/>
          <w:w w:val="110"/>
        </w:rPr>
        <w:t>la</w:t>
      </w:r>
      <w:r>
        <w:rPr>
          <w:color w:val="231F20"/>
          <w:spacing w:val="-12"/>
          <w:w w:val="110"/>
        </w:rPr>
        <w:t> </w:t>
      </w:r>
      <w:r>
        <w:rPr>
          <w:color w:val="231F20"/>
          <w:w w:val="110"/>
        </w:rPr>
        <w:t>vejez</w:t>
      </w:r>
      <w:r>
        <w:rPr>
          <w:color w:val="231F20"/>
          <w:spacing w:val="-12"/>
          <w:w w:val="110"/>
        </w:rPr>
        <w:t> </w:t>
      </w:r>
      <w:r>
        <w:rPr>
          <w:color w:val="231F20"/>
          <w:w w:val="110"/>
        </w:rPr>
        <w:t>o</w:t>
      </w:r>
      <w:r>
        <w:rPr>
          <w:color w:val="231F20"/>
          <w:spacing w:val="-12"/>
          <w:w w:val="110"/>
        </w:rPr>
        <w:t> </w:t>
      </w:r>
      <w:r>
        <w:rPr>
          <w:color w:val="231F20"/>
          <w:w w:val="110"/>
        </w:rPr>
        <w:t>la</w:t>
      </w:r>
      <w:r>
        <w:rPr>
          <w:color w:val="231F20"/>
          <w:spacing w:val="-12"/>
          <w:w w:val="110"/>
        </w:rPr>
        <w:t> </w:t>
      </w:r>
      <w:r>
        <w:rPr>
          <w:color w:val="231F20"/>
          <w:w w:val="110"/>
        </w:rPr>
        <w:t>enfermedad”</w:t>
      </w:r>
      <w:r>
        <w:rPr>
          <w:color w:val="231F20"/>
          <w:spacing w:val="-12"/>
          <w:w w:val="110"/>
        </w:rPr>
        <w:t> </w:t>
      </w:r>
      <w:r>
        <w:rPr>
          <w:color w:val="231F20"/>
          <w:spacing w:val="-3"/>
          <w:w w:val="110"/>
        </w:rPr>
        <w:t>(Margulis, </w:t>
      </w:r>
      <w:r>
        <w:rPr>
          <w:color w:val="231F20"/>
          <w:w w:val="110"/>
        </w:rPr>
        <w:t>Rendón</w:t>
      </w:r>
      <w:r>
        <w:rPr>
          <w:color w:val="231F20"/>
          <w:spacing w:val="-13"/>
          <w:w w:val="110"/>
        </w:rPr>
        <w:t> </w:t>
      </w:r>
      <w:r>
        <w:rPr>
          <w:color w:val="231F20"/>
          <w:w w:val="110"/>
        </w:rPr>
        <w:t>y</w:t>
      </w:r>
      <w:r>
        <w:rPr>
          <w:color w:val="231F20"/>
          <w:spacing w:val="-13"/>
          <w:w w:val="110"/>
        </w:rPr>
        <w:t> </w:t>
      </w:r>
      <w:r>
        <w:rPr>
          <w:color w:val="231F20"/>
          <w:w w:val="110"/>
        </w:rPr>
        <w:t>Pedrero,</w:t>
      </w:r>
      <w:r>
        <w:rPr>
          <w:color w:val="231F20"/>
          <w:spacing w:val="-13"/>
          <w:w w:val="110"/>
        </w:rPr>
        <w:t> </w:t>
      </w:r>
      <w:r>
        <w:rPr>
          <w:color w:val="231F20"/>
          <w:w w:val="110"/>
        </w:rPr>
        <w:t>1981:</w:t>
      </w:r>
      <w:r>
        <w:rPr>
          <w:color w:val="231F20"/>
          <w:spacing w:val="-13"/>
          <w:w w:val="110"/>
        </w:rPr>
        <w:t> </w:t>
      </w:r>
      <w:r>
        <w:rPr>
          <w:color w:val="231F20"/>
          <w:w w:val="110"/>
        </w:rPr>
        <w:t>298).</w:t>
      </w:r>
    </w:p>
    <w:p>
      <w:pPr>
        <w:pStyle w:val="BodyText"/>
        <w:spacing w:line="283" w:lineRule="auto"/>
        <w:ind w:left="124" w:right="110" w:firstLine="360"/>
        <w:jc w:val="both"/>
      </w:pPr>
      <w:r>
        <w:rPr>
          <w:color w:val="231F20"/>
          <w:w w:val="110"/>
        </w:rPr>
        <w:t>En el periodo de los años noventa y con la continuidad y agudización de los problemas económicos del país, algunos autores plantean que las estrategias</w:t>
      </w:r>
      <w:r>
        <w:rPr>
          <w:color w:val="231F20"/>
          <w:spacing w:val="-17"/>
          <w:w w:val="110"/>
        </w:rPr>
        <w:t> </w:t>
      </w:r>
      <w:r>
        <w:rPr>
          <w:color w:val="231F20"/>
          <w:w w:val="110"/>
        </w:rPr>
        <w:t>familiares</w:t>
      </w:r>
      <w:r>
        <w:rPr>
          <w:color w:val="231F20"/>
          <w:spacing w:val="-17"/>
          <w:w w:val="110"/>
        </w:rPr>
        <w:t> </w:t>
      </w:r>
      <w:r>
        <w:rPr>
          <w:color w:val="231F20"/>
          <w:w w:val="110"/>
        </w:rPr>
        <w:t>están</w:t>
      </w:r>
      <w:r>
        <w:rPr>
          <w:color w:val="231F20"/>
          <w:spacing w:val="-17"/>
          <w:w w:val="110"/>
        </w:rPr>
        <w:t> </w:t>
      </w:r>
      <w:r>
        <w:rPr>
          <w:color w:val="231F20"/>
          <w:w w:val="110"/>
        </w:rPr>
        <w:t>comenzando</w:t>
      </w:r>
      <w:r>
        <w:rPr>
          <w:color w:val="231F20"/>
          <w:spacing w:val="-17"/>
          <w:w w:val="110"/>
        </w:rPr>
        <w:t> </w:t>
      </w:r>
      <w:r>
        <w:rPr>
          <w:color w:val="231F20"/>
          <w:w w:val="110"/>
        </w:rPr>
        <w:t>a</w:t>
      </w:r>
      <w:r>
        <w:rPr>
          <w:color w:val="231F20"/>
          <w:spacing w:val="-17"/>
          <w:w w:val="110"/>
        </w:rPr>
        <w:t> </w:t>
      </w:r>
      <w:r>
        <w:rPr>
          <w:color w:val="231F20"/>
          <w:w w:val="110"/>
        </w:rPr>
        <w:t>agotar</w:t>
      </w:r>
      <w:r>
        <w:rPr>
          <w:color w:val="231F20"/>
          <w:spacing w:val="-17"/>
          <w:w w:val="110"/>
        </w:rPr>
        <w:t> </w:t>
      </w:r>
      <w:r>
        <w:rPr>
          <w:color w:val="231F20"/>
          <w:w w:val="110"/>
        </w:rPr>
        <w:t>sus</w:t>
      </w:r>
      <w:r>
        <w:rPr>
          <w:color w:val="231F20"/>
          <w:spacing w:val="-17"/>
          <w:w w:val="110"/>
        </w:rPr>
        <w:t> </w:t>
      </w:r>
      <w:r>
        <w:rPr>
          <w:color w:val="231F20"/>
          <w:w w:val="110"/>
        </w:rPr>
        <w:t>posibilidades</w:t>
      </w:r>
      <w:r>
        <w:rPr>
          <w:color w:val="231F20"/>
          <w:spacing w:val="-17"/>
          <w:w w:val="110"/>
        </w:rPr>
        <w:t> </w:t>
      </w:r>
      <w:r>
        <w:rPr>
          <w:color w:val="231F20"/>
          <w:w w:val="110"/>
        </w:rPr>
        <w:t>en</w:t>
      </w:r>
      <w:r>
        <w:rPr>
          <w:color w:val="231F20"/>
          <w:spacing w:val="-17"/>
          <w:w w:val="110"/>
        </w:rPr>
        <w:t> </w:t>
      </w:r>
      <w:r>
        <w:rPr>
          <w:color w:val="231F20"/>
          <w:w w:val="110"/>
        </w:rPr>
        <w:t>tanto ya no otorgan una respuesta al problema de la sobrevivencia de las unida- des familiares (García y Pacheco,</w:t>
      </w:r>
      <w:r>
        <w:rPr>
          <w:color w:val="231F20"/>
          <w:spacing w:val="-16"/>
          <w:w w:val="110"/>
        </w:rPr>
        <w:t> </w:t>
      </w:r>
      <w:r>
        <w:rPr>
          <w:color w:val="231F20"/>
          <w:w w:val="110"/>
        </w:rPr>
        <w:t>2000).</w:t>
      </w:r>
    </w:p>
    <w:p>
      <w:pPr>
        <w:pStyle w:val="BodyText"/>
        <w:spacing w:line="283" w:lineRule="auto"/>
        <w:ind w:left="124" w:right="110" w:firstLine="360"/>
        <w:jc w:val="both"/>
      </w:pPr>
      <w:r>
        <w:rPr>
          <w:color w:val="231F20"/>
          <w:w w:val="110"/>
        </w:rPr>
        <w:t>A partir de este momento comenzó a evidenciarse que la mayor parti- cipación en los mercados de trabajo de las esposas, no sólo no constituyó una respuesta de los hogares con ingresos más bajos, sino que también se </w:t>
      </w:r>
      <w:r>
        <w:rPr>
          <w:color w:val="231F20"/>
          <w:spacing w:val="2"/>
          <w:w w:val="110"/>
        </w:rPr>
        <w:t>extendió </w:t>
      </w:r>
      <w:r>
        <w:rPr>
          <w:color w:val="231F20"/>
          <w:w w:val="110"/>
        </w:rPr>
        <w:t>a </w:t>
      </w:r>
      <w:r>
        <w:rPr>
          <w:color w:val="231F20"/>
          <w:spacing w:val="2"/>
          <w:w w:val="110"/>
        </w:rPr>
        <w:t>unidades domésticas </w:t>
      </w:r>
      <w:r>
        <w:rPr>
          <w:color w:val="231F20"/>
          <w:w w:val="110"/>
        </w:rPr>
        <w:t>de </w:t>
      </w:r>
      <w:r>
        <w:rPr>
          <w:color w:val="231F20"/>
          <w:spacing w:val="2"/>
          <w:w w:val="110"/>
        </w:rPr>
        <w:t>sectores medios </w:t>
      </w:r>
      <w:r>
        <w:rPr>
          <w:color w:val="231F20"/>
          <w:w w:val="110"/>
        </w:rPr>
        <w:t>con </w:t>
      </w:r>
      <w:r>
        <w:rPr>
          <w:color w:val="231F20"/>
          <w:spacing w:val="2"/>
          <w:w w:val="110"/>
        </w:rPr>
        <w:t>mano </w:t>
      </w:r>
      <w:r>
        <w:rPr>
          <w:color w:val="231F20"/>
          <w:w w:val="110"/>
        </w:rPr>
        <w:t>de </w:t>
      </w:r>
      <w:r>
        <w:rPr>
          <w:color w:val="231F20"/>
          <w:spacing w:val="2"/>
          <w:w w:val="110"/>
        </w:rPr>
        <w:t>obra </w:t>
      </w:r>
      <w:r>
        <w:rPr>
          <w:color w:val="231F20"/>
          <w:w w:val="110"/>
        </w:rPr>
        <w:t>escolarizada</w:t>
      </w:r>
      <w:r>
        <w:rPr>
          <w:color w:val="231F20"/>
          <w:spacing w:val="-7"/>
          <w:w w:val="110"/>
        </w:rPr>
        <w:t> </w:t>
      </w:r>
      <w:r>
        <w:rPr>
          <w:color w:val="231F20"/>
          <w:w w:val="110"/>
        </w:rPr>
        <w:t>(García</w:t>
      </w:r>
      <w:r>
        <w:rPr>
          <w:color w:val="231F20"/>
          <w:spacing w:val="-7"/>
          <w:w w:val="110"/>
        </w:rPr>
        <w:t> </w:t>
      </w:r>
      <w:r>
        <w:rPr>
          <w:color w:val="231F20"/>
          <w:w w:val="110"/>
        </w:rPr>
        <w:t>y</w:t>
      </w:r>
      <w:r>
        <w:rPr>
          <w:color w:val="231F20"/>
          <w:spacing w:val="-7"/>
          <w:w w:val="110"/>
        </w:rPr>
        <w:t> </w:t>
      </w:r>
      <w:r>
        <w:rPr>
          <w:color w:val="231F20"/>
          <w:w w:val="110"/>
        </w:rPr>
        <w:t>Pacheco,</w:t>
      </w:r>
      <w:r>
        <w:rPr>
          <w:color w:val="231F20"/>
          <w:spacing w:val="-7"/>
          <w:w w:val="110"/>
        </w:rPr>
        <w:t> </w:t>
      </w:r>
      <w:r>
        <w:rPr>
          <w:color w:val="231F20"/>
          <w:w w:val="110"/>
        </w:rPr>
        <w:t>2000).</w:t>
      </w:r>
      <w:r>
        <w:rPr>
          <w:color w:val="231F20"/>
          <w:spacing w:val="-7"/>
          <w:w w:val="110"/>
        </w:rPr>
        <w:t> </w:t>
      </w:r>
      <w:r>
        <w:rPr>
          <w:color w:val="231F20"/>
          <w:w w:val="110"/>
        </w:rPr>
        <w:t>El</w:t>
      </w:r>
      <w:r>
        <w:rPr>
          <w:color w:val="231F20"/>
          <w:spacing w:val="-7"/>
          <w:w w:val="110"/>
        </w:rPr>
        <w:t> </w:t>
      </w:r>
      <w:r>
        <w:rPr>
          <w:color w:val="231F20"/>
          <w:w w:val="110"/>
        </w:rPr>
        <w:t>incremento</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participación</w:t>
      </w:r>
      <w:r>
        <w:rPr>
          <w:color w:val="231F20"/>
          <w:spacing w:val="-7"/>
          <w:w w:val="110"/>
        </w:rPr>
        <w:t> </w:t>
      </w:r>
      <w:r>
        <w:rPr>
          <w:color w:val="231F20"/>
          <w:w w:val="110"/>
        </w:rPr>
        <w:t>en el mercado de trabajo de las esposas se ha asociado con la ampliación de las</w:t>
      </w:r>
      <w:r>
        <w:rPr>
          <w:color w:val="231F20"/>
          <w:spacing w:val="-5"/>
          <w:w w:val="110"/>
        </w:rPr>
        <w:t> </w:t>
      </w:r>
      <w:r>
        <w:rPr>
          <w:color w:val="231F20"/>
          <w:w w:val="110"/>
        </w:rPr>
        <w:t>oportunidades</w:t>
      </w:r>
      <w:r>
        <w:rPr>
          <w:color w:val="231F20"/>
          <w:spacing w:val="-5"/>
          <w:w w:val="110"/>
        </w:rPr>
        <w:t> </w:t>
      </w:r>
      <w:r>
        <w:rPr>
          <w:color w:val="231F20"/>
          <w:w w:val="110"/>
        </w:rPr>
        <w:t>de</w:t>
      </w:r>
      <w:r>
        <w:rPr>
          <w:color w:val="231F20"/>
          <w:spacing w:val="-5"/>
          <w:w w:val="110"/>
        </w:rPr>
        <w:t> </w:t>
      </w:r>
      <w:r>
        <w:rPr>
          <w:color w:val="231F20"/>
          <w:w w:val="110"/>
        </w:rPr>
        <w:t>empleo</w:t>
      </w:r>
      <w:r>
        <w:rPr>
          <w:color w:val="231F20"/>
          <w:spacing w:val="-5"/>
          <w:w w:val="110"/>
        </w:rPr>
        <w:t> </w:t>
      </w:r>
      <w:r>
        <w:rPr>
          <w:color w:val="231F20"/>
          <w:w w:val="110"/>
        </w:rPr>
        <w:t>para</w:t>
      </w:r>
      <w:r>
        <w:rPr>
          <w:color w:val="231F20"/>
          <w:spacing w:val="-5"/>
          <w:w w:val="110"/>
        </w:rPr>
        <w:t> </w:t>
      </w:r>
      <w:r>
        <w:rPr>
          <w:color w:val="231F20"/>
          <w:w w:val="110"/>
        </w:rPr>
        <w:t>algunas</w:t>
      </w:r>
      <w:r>
        <w:rPr>
          <w:color w:val="231F20"/>
          <w:spacing w:val="-5"/>
          <w:w w:val="110"/>
        </w:rPr>
        <w:t> </w:t>
      </w:r>
      <w:r>
        <w:rPr>
          <w:color w:val="231F20"/>
          <w:w w:val="110"/>
        </w:rPr>
        <w:t>mujeres</w:t>
      </w:r>
      <w:r>
        <w:rPr>
          <w:color w:val="231F20"/>
          <w:spacing w:val="-5"/>
          <w:w w:val="110"/>
        </w:rPr>
        <w:t> </w:t>
      </w:r>
      <w:r>
        <w:rPr>
          <w:color w:val="231F20"/>
          <w:w w:val="110"/>
        </w:rPr>
        <w:t>con</w:t>
      </w:r>
      <w:r>
        <w:rPr>
          <w:color w:val="231F20"/>
          <w:spacing w:val="-5"/>
          <w:w w:val="110"/>
        </w:rPr>
        <w:t> </w:t>
      </w:r>
      <w:r>
        <w:rPr>
          <w:color w:val="231F20"/>
          <w:w w:val="110"/>
        </w:rPr>
        <w:t>mayor</w:t>
      </w:r>
      <w:r>
        <w:rPr>
          <w:color w:val="231F20"/>
          <w:spacing w:val="-5"/>
          <w:w w:val="110"/>
        </w:rPr>
        <w:t> </w:t>
      </w:r>
      <w:r>
        <w:rPr>
          <w:color w:val="231F20"/>
          <w:w w:val="110"/>
        </w:rPr>
        <w:t>escolaridad, con el descenso de la fecundidad </w:t>
      </w:r>
      <w:r>
        <w:rPr>
          <w:color w:val="231F20"/>
          <w:spacing w:val="-9"/>
          <w:w w:val="110"/>
        </w:rPr>
        <w:t>y, </w:t>
      </w:r>
      <w:r>
        <w:rPr>
          <w:color w:val="231F20"/>
          <w:w w:val="110"/>
        </w:rPr>
        <w:t>especialmente, con la respuesta que adoptaron muchas mujeres para enfrentar el descenso en sus niveles de vida.</w:t>
      </w:r>
    </w:p>
    <w:p>
      <w:pPr>
        <w:spacing w:after="0" w:line="283" w:lineRule="auto"/>
        <w:jc w:val="both"/>
        <w:sectPr>
          <w:pgSz w:w="9520" w:h="12920"/>
          <w:pgMar w:header="0" w:footer="1344" w:top="880" w:bottom="1540" w:left="1320" w:right="1000"/>
        </w:sectPr>
      </w:pPr>
    </w:p>
    <w:p>
      <w:pPr>
        <w:pStyle w:val="BodyText"/>
        <w:spacing w:line="288" w:lineRule="auto" w:before="42"/>
        <w:ind w:left="120" w:right="117" w:firstLine="360"/>
        <w:jc w:val="both"/>
      </w:pPr>
      <w:r>
        <w:rPr>
          <w:color w:val="231F20"/>
          <w:w w:val="110"/>
        </w:rPr>
        <w:t>El análisis de la familia y el trabajo en esta discusión implica la vincu- </w:t>
      </w:r>
      <w:r>
        <w:rPr>
          <w:color w:val="231F20"/>
          <w:spacing w:val="2"/>
          <w:w w:val="110"/>
        </w:rPr>
        <w:t>lación </w:t>
      </w:r>
      <w:r>
        <w:rPr>
          <w:color w:val="231F20"/>
          <w:w w:val="110"/>
        </w:rPr>
        <w:t>de dos </w:t>
      </w:r>
      <w:r>
        <w:rPr>
          <w:color w:val="231F20"/>
          <w:spacing w:val="2"/>
          <w:w w:val="110"/>
        </w:rPr>
        <w:t>unidades: </w:t>
      </w:r>
      <w:r>
        <w:rPr>
          <w:color w:val="231F20"/>
          <w:w w:val="110"/>
        </w:rPr>
        <w:t>la </w:t>
      </w:r>
      <w:r>
        <w:rPr>
          <w:color w:val="231F20"/>
          <w:spacing w:val="2"/>
          <w:w w:val="110"/>
        </w:rPr>
        <w:t>doméstica </w:t>
      </w:r>
      <w:r>
        <w:rPr>
          <w:color w:val="231F20"/>
          <w:w w:val="110"/>
        </w:rPr>
        <w:t>y la </w:t>
      </w:r>
      <w:r>
        <w:rPr>
          <w:color w:val="231F20"/>
          <w:spacing w:val="2"/>
          <w:w w:val="110"/>
        </w:rPr>
        <w:t>laboral, </w:t>
      </w:r>
      <w:r>
        <w:rPr>
          <w:color w:val="231F20"/>
          <w:w w:val="110"/>
        </w:rPr>
        <w:t>e </w:t>
      </w:r>
      <w:r>
        <w:rPr>
          <w:color w:val="231F20"/>
          <w:spacing w:val="2"/>
          <w:w w:val="110"/>
        </w:rPr>
        <w:t>implica también </w:t>
      </w:r>
      <w:r>
        <w:rPr>
          <w:color w:val="231F20"/>
          <w:w w:val="110"/>
        </w:rPr>
        <w:t>la articulación de los individuos en los diferentes papeles que asumen y de las relaciones sociales que entre ellos establecen. Desde una postura we- beriana, una relación social es una conducta que implica al otro, en tanto que</w:t>
      </w:r>
      <w:r>
        <w:rPr>
          <w:color w:val="231F20"/>
          <w:spacing w:val="-3"/>
          <w:w w:val="110"/>
        </w:rPr>
        <w:t> </w:t>
      </w:r>
      <w:r>
        <w:rPr>
          <w:color w:val="231F20"/>
          <w:w w:val="110"/>
        </w:rPr>
        <w:t>va</w:t>
      </w:r>
      <w:r>
        <w:rPr>
          <w:color w:val="231F20"/>
          <w:spacing w:val="-3"/>
          <w:w w:val="110"/>
        </w:rPr>
        <w:t> </w:t>
      </w:r>
      <w:r>
        <w:rPr>
          <w:color w:val="231F20"/>
          <w:w w:val="110"/>
        </w:rPr>
        <w:t>más</w:t>
      </w:r>
      <w:r>
        <w:rPr>
          <w:color w:val="231F20"/>
          <w:spacing w:val="-3"/>
          <w:w w:val="110"/>
        </w:rPr>
        <w:t> </w:t>
      </w:r>
      <w:r>
        <w:rPr>
          <w:color w:val="231F20"/>
          <w:w w:val="110"/>
        </w:rPr>
        <w:t>allá</w:t>
      </w:r>
      <w:r>
        <w:rPr>
          <w:color w:val="231F20"/>
          <w:spacing w:val="-3"/>
          <w:w w:val="110"/>
        </w:rPr>
        <w:t> </w:t>
      </w:r>
      <w:r>
        <w:rPr>
          <w:color w:val="231F20"/>
          <w:w w:val="110"/>
        </w:rPr>
        <w:t>de</w:t>
      </w:r>
      <w:r>
        <w:rPr>
          <w:color w:val="231F20"/>
          <w:spacing w:val="-3"/>
          <w:w w:val="110"/>
        </w:rPr>
        <w:t> </w:t>
      </w:r>
      <w:r>
        <w:rPr>
          <w:color w:val="231F20"/>
          <w:w w:val="110"/>
        </w:rPr>
        <w:t>la</w:t>
      </w:r>
      <w:r>
        <w:rPr>
          <w:color w:val="231F20"/>
          <w:spacing w:val="-3"/>
          <w:w w:val="110"/>
        </w:rPr>
        <w:t> </w:t>
      </w:r>
      <w:r>
        <w:rPr>
          <w:color w:val="231F20"/>
          <w:w w:val="110"/>
        </w:rPr>
        <w:t>conducta</w:t>
      </w:r>
      <w:r>
        <w:rPr>
          <w:color w:val="231F20"/>
          <w:spacing w:val="-3"/>
          <w:w w:val="110"/>
        </w:rPr>
        <w:t> </w:t>
      </w:r>
      <w:r>
        <w:rPr>
          <w:color w:val="231F20"/>
          <w:w w:val="110"/>
        </w:rPr>
        <w:t>del</w:t>
      </w:r>
      <w:r>
        <w:rPr>
          <w:color w:val="231F20"/>
          <w:spacing w:val="-3"/>
          <w:w w:val="110"/>
        </w:rPr>
        <w:t> </w:t>
      </w:r>
      <w:r>
        <w:rPr>
          <w:color w:val="231F20"/>
          <w:w w:val="110"/>
        </w:rPr>
        <w:t>otro,</w:t>
      </w:r>
      <w:r>
        <w:rPr>
          <w:color w:val="231F20"/>
          <w:spacing w:val="-3"/>
          <w:w w:val="110"/>
        </w:rPr>
        <w:t> </w:t>
      </w:r>
      <w:r>
        <w:rPr>
          <w:color w:val="231F20"/>
          <w:w w:val="110"/>
        </w:rPr>
        <w:t>y</w:t>
      </w:r>
      <w:r>
        <w:rPr>
          <w:color w:val="231F20"/>
          <w:spacing w:val="-3"/>
          <w:w w:val="110"/>
        </w:rPr>
        <w:t> </w:t>
      </w:r>
      <w:r>
        <w:rPr>
          <w:color w:val="231F20"/>
          <w:w w:val="110"/>
        </w:rPr>
        <w:t>descansa</w:t>
      </w:r>
      <w:r>
        <w:rPr>
          <w:color w:val="231F20"/>
          <w:spacing w:val="-3"/>
          <w:w w:val="110"/>
        </w:rPr>
        <w:t> </w:t>
      </w:r>
      <w:r>
        <w:rPr>
          <w:color w:val="231F20"/>
          <w:w w:val="110"/>
        </w:rPr>
        <w:t>en</w:t>
      </w:r>
      <w:r>
        <w:rPr>
          <w:color w:val="231F20"/>
          <w:spacing w:val="-3"/>
          <w:w w:val="110"/>
        </w:rPr>
        <w:t> </w:t>
      </w:r>
      <w:r>
        <w:rPr>
          <w:color w:val="231F20"/>
          <w:w w:val="110"/>
        </w:rPr>
        <w:t>la</w:t>
      </w:r>
      <w:r>
        <w:rPr>
          <w:color w:val="231F20"/>
          <w:spacing w:val="-3"/>
          <w:w w:val="110"/>
        </w:rPr>
        <w:t> </w:t>
      </w:r>
      <w:r>
        <w:rPr>
          <w:color w:val="231F20"/>
          <w:w w:val="110"/>
        </w:rPr>
        <w:t>posibilidad</w:t>
      </w:r>
      <w:r>
        <w:rPr>
          <w:color w:val="231F20"/>
          <w:spacing w:val="-3"/>
          <w:w w:val="110"/>
        </w:rPr>
        <w:t> </w:t>
      </w:r>
      <w:r>
        <w:rPr>
          <w:color w:val="231F20"/>
          <w:w w:val="110"/>
        </w:rPr>
        <w:t>de</w:t>
      </w:r>
      <w:r>
        <w:rPr>
          <w:color w:val="231F20"/>
          <w:spacing w:val="-3"/>
          <w:w w:val="110"/>
        </w:rPr>
        <w:t> </w:t>
      </w:r>
      <w:r>
        <w:rPr>
          <w:color w:val="231F20"/>
          <w:w w:val="110"/>
        </w:rPr>
        <w:t>que se</w:t>
      </w:r>
      <w:r>
        <w:rPr>
          <w:color w:val="231F20"/>
          <w:spacing w:val="-7"/>
          <w:w w:val="110"/>
        </w:rPr>
        <w:t> </w:t>
      </w:r>
      <w:r>
        <w:rPr>
          <w:color w:val="231F20"/>
          <w:w w:val="110"/>
        </w:rPr>
        <w:t>actuará</w:t>
      </w:r>
      <w:r>
        <w:rPr>
          <w:color w:val="231F20"/>
          <w:spacing w:val="-7"/>
          <w:w w:val="110"/>
        </w:rPr>
        <w:t> </w:t>
      </w:r>
      <w:r>
        <w:rPr>
          <w:color w:val="231F20"/>
          <w:w w:val="110"/>
        </w:rPr>
        <w:t>socialmente</w:t>
      </w:r>
      <w:r>
        <w:rPr>
          <w:color w:val="231F20"/>
          <w:spacing w:val="-7"/>
          <w:w w:val="110"/>
        </w:rPr>
        <w:t> </w:t>
      </w:r>
      <w:r>
        <w:rPr>
          <w:color w:val="231F20"/>
          <w:w w:val="110"/>
        </w:rPr>
        <w:t>en</w:t>
      </w:r>
      <w:r>
        <w:rPr>
          <w:color w:val="231F20"/>
          <w:spacing w:val="-7"/>
          <w:w w:val="110"/>
        </w:rPr>
        <w:t> </w:t>
      </w:r>
      <w:r>
        <w:rPr>
          <w:color w:val="231F20"/>
          <w:w w:val="110"/>
        </w:rPr>
        <w:t>un</w:t>
      </w:r>
      <w:r>
        <w:rPr>
          <w:color w:val="231F20"/>
          <w:spacing w:val="-7"/>
          <w:w w:val="110"/>
        </w:rPr>
        <w:t> </w:t>
      </w:r>
      <w:r>
        <w:rPr>
          <w:color w:val="231F20"/>
          <w:w w:val="110"/>
        </w:rPr>
        <w:t>sentido</w:t>
      </w:r>
      <w:r>
        <w:rPr>
          <w:color w:val="231F20"/>
          <w:spacing w:val="-7"/>
          <w:w w:val="110"/>
        </w:rPr>
        <w:t> </w:t>
      </w:r>
      <w:r>
        <w:rPr>
          <w:color w:val="231F20"/>
          <w:w w:val="110"/>
        </w:rPr>
        <w:t>esperado.</w:t>
      </w:r>
      <w:r>
        <w:rPr>
          <w:color w:val="231F20"/>
          <w:spacing w:val="-7"/>
          <w:w w:val="110"/>
        </w:rPr>
        <w:t> </w:t>
      </w:r>
      <w:r>
        <w:rPr>
          <w:color w:val="231F20"/>
          <w:w w:val="110"/>
        </w:rPr>
        <w:t>De</w:t>
      </w:r>
      <w:r>
        <w:rPr>
          <w:color w:val="231F20"/>
          <w:spacing w:val="-7"/>
          <w:w w:val="110"/>
        </w:rPr>
        <w:t> </w:t>
      </w:r>
      <w:r>
        <w:rPr>
          <w:color w:val="231F20"/>
          <w:w w:val="110"/>
        </w:rPr>
        <w:t>esta</w:t>
      </w:r>
      <w:r>
        <w:rPr>
          <w:color w:val="231F20"/>
          <w:spacing w:val="-7"/>
          <w:w w:val="110"/>
        </w:rPr>
        <w:t> </w:t>
      </w:r>
      <w:r>
        <w:rPr>
          <w:color w:val="231F20"/>
          <w:w w:val="110"/>
        </w:rPr>
        <w:t>forma,</w:t>
      </w:r>
      <w:r>
        <w:rPr>
          <w:color w:val="231F20"/>
          <w:spacing w:val="-7"/>
          <w:w w:val="110"/>
        </w:rPr>
        <w:t> </w:t>
      </w:r>
      <w:r>
        <w:rPr>
          <w:color w:val="231F20"/>
          <w:w w:val="110"/>
        </w:rPr>
        <w:t>las</w:t>
      </w:r>
      <w:r>
        <w:rPr>
          <w:color w:val="231F20"/>
          <w:spacing w:val="-7"/>
          <w:w w:val="110"/>
        </w:rPr>
        <w:t> </w:t>
      </w:r>
      <w:r>
        <w:rPr>
          <w:color w:val="231F20"/>
          <w:w w:val="110"/>
        </w:rPr>
        <w:t>personas en sus relaciones sociales orientan sus acciones fundamentalmente por tres motivos: el hábito o las normas, las emociones y los sentimientos, es </w:t>
      </w:r>
      <w:r>
        <w:rPr>
          <w:color w:val="231F20"/>
          <w:spacing w:val="-3"/>
          <w:w w:val="110"/>
        </w:rPr>
        <w:t>decir, </w:t>
      </w:r>
      <w:r>
        <w:rPr>
          <w:color w:val="231F20"/>
          <w:w w:val="110"/>
        </w:rPr>
        <w:t>lo subjetivo, y las metas o la racionalidad, que integran, entre otros, las expectativas y la adquisición de recursos y medios </w:t>
      </w:r>
      <w:r>
        <w:rPr>
          <w:color w:val="231F20"/>
          <w:spacing w:val="-6"/>
          <w:w w:val="110"/>
        </w:rPr>
        <w:t>(Weber,</w:t>
      </w:r>
      <w:r>
        <w:rPr>
          <w:color w:val="231F20"/>
          <w:spacing w:val="34"/>
          <w:w w:val="110"/>
        </w:rPr>
        <w:t> </w:t>
      </w:r>
      <w:r>
        <w:rPr>
          <w:color w:val="231F20"/>
          <w:w w:val="110"/>
        </w:rPr>
        <w:t>1996).</w:t>
      </w:r>
    </w:p>
    <w:p>
      <w:pPr>
        <w:pStyle w:val="BodyText"/>
        <w:spacing w:line="288" w:lineRule="auto"/>
        <w:ind w:left="120" w:right="118" w:firstLine="360"/>
        <w:jc w:val="both"/>
      </w:pPr>
      <w:r>
        <w:rPr>
          <w:color w:val="231F20"/>
          <w:w w:val="110"/>
        </w:rPr>
        <w:t>En esta orientación de la acción, los individuos necesitan considerar a los</w:t>
      </w:r>
      <w:r>
        <w:rPr>
          <w:color w:val="231F20"/>
          <w:spacing w:val="-7"/>
          <w:w w:val="110"/>
        </w:rPr>
        <w:t> </w:t>
      </w:r>
      <w:r>
        <w:rPr>
          <w:color w:val="231F20"/>
          <w:w w:val="110"/>
        </w:rPr>
        <w:t>demás</w:t>
      </w:r>
      <w:r>
        <w:rPr>
          <w:color w:val="231F20"/>
          <w:spacing w:val="-7"/>
          <w:w w:val="110"/>
        </w:rPr>
        <w:t> </w:t>
      </w:r>
      <w:r>
        <w:rPr>
          <w:color w:val="231F20"/>
          <w:w w:val="110"/>
        </w:rPr>
        <w:t>para</w:t>
      </w:r>
      <w:r>
        <w:rPr>
          <w:color w:val="231F20"/>
          <w:spacing w:val="-7"/>
          <w:w w:val="110"/>
        </w:rPr>
        <w:t> </w:t>
      </w:r>
      <w:r>
        <w:rPr>
          <w:color w:val="231F20"/>
          <w:w w:val="110"/>
        </w:rPr>
        <w:t>interactuar</w:t>
      </w:r>
      <w:r>
        <w:rPr>
          <w:color w:val="231F20"/>
          <w:spacing w:val="-7"/>
          <w:w w:val="110"/>
        </w:rPr>
        <w:t> </w:t>
      </w:r>
      <w:r>
        <w:rPr>
          <w:color w:val="231F20"/>
          <w:w w:val="110"/>
        </w:rPr>
        <w:t>y</w:t>
      </w:r>
      <w:r>
        <w:rPr>
          <w:color w:val="231F20"/>
          <w:spacing w:val="-7"/>
          <w:w w:val="110"/>
        </w:rPr>
        <w:t> </w:t>
      </w:r>
      <w:r>
        <w:rPr>
          <w:color w:val="231F20"/>
          <w:w w:val="110"/>
        </w:rPr>
        <w:t>relacionarse;</w:t>
      </w:r>
      <w:r>
        <w:rPr>
          <w:color w:val="231F20"/>
          <w:spacing w:val="-7"/>
          <w:w w:val="110"/>
        </w:rPr>
        <w:t> </w:t>
      </w:r>
      <w:r>
        <w:rPr>
          <w:color w:val="231F20"/>
          <w:w w:val="110"/>
        </w:rPr>
        <w:t>requieren</w:t>
      </w:r>
      <w:r>
        <w:rPr>
          <w:color w:val="231F20"/>
          <w:spacing w:val="-7"/>
          <w:w w:val="110"/>
        </w:rPr>
        <w:t> </w:t>
      </w:r>
      <w:r>
        <w:rPr>
          <w:color w:val="231F20"/>
          <w:w w:val="110"/>
        </w:rPr>
        <w:t>negociar</w:t>
      </w:r>
      <w:r>
        <w:rPr>
          <w:color w:val="231F20"/>
          <w:spacing w:val="-7"/>
          <w:w w:val="110"/>
        </w:rPr>
        <w:t> </w:t>
      </w:r>
      <w:r>
        <w:rPr>
          <w:color w:val="231F20"/>
          <w:w w:val="110"/>
        </w:rPr>
        <w:t>su</w:t>
      </w:r>
      <w:r>
        <w:rPr>
          <w:color w:val="231F20"/>
          <w:spacing w:val="-7"/>
          <w:w w:val="110"/>
        </w:rPr>
        <w:t> </w:t>
      </w:r>
      <w:r>
        <w:rPr>
          <w:color w:val="231F20"/>
          <w:w w:val="110"/>
        </w:rPr>
        <w:t>participa- ción</w:t>
      </w:r>
      <w:r>
        <w:rPr>
          <w:color w:val="231F20"/>
          <w:spacing w:val="-4"/>
          <w:w w:val="110"/>
        </w:rPr>
        <w:t> </w:t>
      </w:r>
      <w:r>
        <w:rPr>
          <w:color w:val="231F20"/>
          <w:w w:val="110"/>
        </w:rPr>
        <w:t>tanto</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interior</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familia</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que</w:t>
      </w:r>
      <w:r>
        <w:rPr>
          <w:color w:val="231F20"/>
          <w:spacing w:val="-4"/>
          <w:w w:val="110"/>
        </w:rPr>
        <w:t> </w:t>
      </w:r>
      <w:r>
        <w:rPr>
          <w:color w:val="231F20"/>
          <w:w w:val="110"/>
        </w:rPr>
        <w:t>forman</w:t>
      </w:r>
      <w:r>
        <w:rPr>
          <w:color w:val="231F20"/>
          <w:spacing w:val="-4"/>
          <w:w w:val="110"/>
        </w:rPr>
        <w:t> </w:t>
      </w:r>
      <w:r>
        <w:rPr>
          <w:color w:val="231F20"/>
          <w:w w:val="110"/>
        </w:rPr>
        <w:t>parte,</w:t>
      </w:r>
      <w:r>
        <w:rPr>
          <w:color w:val="231F20"/>
          <w:spacing w:val="-4"/>
          <w:w w:val="110"/>
        </w:rPr>
        <w:t> </w:t>
      </w:r>
      <w:r>
        <w:rPr>
          <w:color w:val="231F20"/>
          <w:w w:val="110"/>
        </w:rPr>
        <w:t>como</w:t>
      </w:r>
      <w:r>
        <w:rPr>
          <w:color w:val="231F20"/>
          <w:spacing w:val="-4"/>
          <w:w w:val="110"/>
        </w:rPr>
        <w:t> </w:t>
      </w:r>
      <w:r>
        <w:rPr>
          <w:color w:val="231F20"/>
          <w:w w:val="110"/>
        </w:rPr>
        <w:t>fuera</w:t>
      </w:r>
      <w:r>
        <w:rPr>
          <w:color w:val="231F20"/>
          <w:spacing w:val="-4"/>
          <w:w w:val="110"/>
        </w:rPr>
        <w:t> </w:t>
      </w:r>
      <w:r>
        <w:rPr>
          <w:color w:val="231F20"/>
          <w:w w:val="110"/>
        </w:rPr>
        <w:t>de ella. Y esa negociación trae consigo el ejercicio del poder y de la autoridad, y</w:t>
      </w:r>
      <w:r>
        <w:rPr>
          <w:color w:val="231F20"/>
          <w:spacing w:val="-4"/>
          <w:w w:val="110"/>
        </w:rPr>
        <w:t> </w:t>
      </w:r>
      <w:r>
        <w:rPr>
          <w:color w:val="231F20"/>
          <w:w w:val="110"/>
        </w:rPr>
        <w:t>el</w:t>
      </w:r>
      <w:r>
        <w:rPr>
          <w:color w:val="231F20"/>
          <w:spacing w:val="-4"/>
          <w:w w:val="110"/>
        </w:rPr>
        <w:t> </w:t>
      </w:r>
      <w:r>
        <w:rPr>
          <w:color w:val="231F20"/>
          <w:w w:val="110"/>
        </w:rPr>
        <w:t>establecimiento</w:t>
      </w:r>
      <w:r>
        <w:rPr>
          <w:color w:val="231F20"/>
          <w:spacing w:val="-4"/>
          <w:w w:val="110"/>
        </w:rPr>
        <w:t> </w:t>
      </w:r>
      <w:r>
        <w:rPr>
          <w:color w:val="231F20"/>
          <w:w w:val="110"/>
        </w:rPr>
        <w:t>de</w:t>
      </w:r>
      <w:r>
        <w:rPr>
          <w:color w:val="231F20"/>
          <w:spacing w:val="-4"/>
          <w:w w:val="110"/>
        </w:rPr>
        <w:t> </w:t>
      </w:r>
      <w:r>
        <w:rPr>
          <w:color w:val="231F20"/>
          <w:w w:val="110"/>
        </w:rPr>
        <w:t>distintas</w:t>
      </w:r>
      <w:r>
        <w:rPr>
          <w:color w:val="231F20"/>
          <w:spacing w:val="-4"/>
          <w:w w:val="110"/>
        </w:rPr>
        <w:t> </w:t>
      </w:r>
      <w:r>
        <w:rPr>
          <w:color w:val="231F20"/>
          <w:w w:val="110"/>
        </w:rPr>
        <w:t>jerarquías</w:t>
      </w:r>
      <w:r>
        <w:rPr>
          <w:color w:val="231F20"/>
          <w:spacing w:val="-4"/>
          <w:w w:val="110"/>
        </w:rPr>
        <w:t> </w:t>
      </w:r>
      <w:r>
        <w:rPr>
          <w:color w:val="231F20"/>
          <w:w w:val="110"/>
        </w:rPr>
        <w:t>en</w:t>
      </w:r>
      <w:r>
        <w:rPr>
          <w:color w:val="231F20"/>
          <w:spacing w:val="-4"/>
          <w:w w:val="110"/>
        </w:rPr>
        <w:t> </w:t>
      </w:r>
      <w:r>
        <w:rPr>
          <w:color w:val="231F20"/>
          <w:w w:val="110"/>
        </w:rPr>
        <w:t>todos</w:t>
      </w:r>
      <w:r>
        <w:rPr>
          <w:color w:val="231F20"/>
          <w:spacing w:val="-4"/>
          <w:w w:val="110"/>
        </w:rPr>
        <w:t> </w:t>
      </w:r>
      <w:r>
        <w:rPr>
          <w:color w:val="231F20"/>
          <w:w w:val="110"/>
        </w:rPr>
        <w:t>los</w:t>
      </w:r>
      <w:r>
        <w:rPr>
          <w:color w:val="231F20"/>
          <w:spacing w:val="-4"/>
          <w:w w:val="110"/>
        </w:rPr>
        <w:t> </w:t>
      </w:r>
      <w:r>
        <w:rPr>
          <w:color w:val="231F20"/>
          <w:w w:val="110"/>
        </w:rPr>
        <w:t>ámbitos</w:t>
      </w:r>
      <w:r>
        <w:rPr>
          <w:color w:val="231F20"/>
          <w:spacing w:val="-4"/>
          <w:w w:val="110"/>
        </w:rPr>
        <w:t> </w:t>
      </w:r>
      <w:r>
        <w:rPr>
          <w:color w:val="231F20"/>
          <w:w w:val="110"/>
        </w:rPr>
        <w:t>en</w:t>
      </w:r>
      <w:r>
        <w:rPr>
          <w:color w:val="231F20"/>
          <w:spacing w:val="-4"/>
          <w:w w:val="110"/>
        </w:rPr>
        <w:t> </w:t>
      </w:r>
      <w:r>
        <w:rPr>
          <w:color w:val="231F20"/>
          <w:w w:val="110"/>
        </w:rPr>
        <w:t>los</w:t>
      </w:r>
      <w:r>
        <w:rPr>
          <w:color w:val="231F20"/>
          <w:spacing w:val="-4"/>
          <w:w w:val="110"/>
        </w:rPr>
        <w:t> </w:t>
      </w:r>
      <w:r>
        <w:rPr>
          <w:color w:val="231F20"/>
          <w:w w:val="110"/>
        </w:rPr>
        <w:t>que los individuos se</w:t>
      </w:r>
      <w:r>
        <w:rPr>
          <w:color w:val="231F20"/>
          <w:spacing w:val="28"/>
          <w:w w:val="110"/>
        </w:rPr>
        <w:t> </w:t>
      </w:r>
      <w:r>
        <w:rPr>
          <w:color w:val="231F20"/>
          <w:w w:val="110"/>
        </w:rPr>
        <w:t>relacionen.</w:t>
      </w:r>
    </w:p>
    <w:p>
      <w:pPr>
        <w:pStyle w:val="BodyText"/>
        <w:spacing w:line="288" w:lineRule="auto"/>
        <w:ind w:left="120" w:right="119" w:firstLine="360"/>
        <w:jc w:val="both"/>
      </w:pPr>
      <w:r>
        <w:rPr>
          <w:color w:val="231F20"/>
          <w:w w:val="110"/>
        </w:rPr>
        <w:t>En el interior de la familia como grupo económico existe una</w:t>
      </w:r>
      <w:r>
        <w:rPr>
          <w:color w:val="231F20"/>
          <w:spacing w:val="-20"/>
          <w:w w:val="110"/>
        </w:rPr>
        <w:t> </w:t>
      </w:r>
      <w:r>
        <w:rPr>
          <w:color w:val="231F20"/>
          <w:w w:val="110"/>
        </w:rPr>
        <w:t>necesaria división</w:t>
      </w:r>
      <w:r>
        <w:rPr>
          <w:color w:val="231F20"/>
          <w:spacing w:val="-7"/>
          <w:w w:val="110"/>
        </w:rPr>
        <w:t> </w:t>
      </w:r>
      <w:r>
        <w:rPr>
          <w:color w:val="231F20"/>
          <w:w w:val="110"/>
        </w:rPr>
        <w:t>y</w:t>
      </w:r>
      <w:r>
        <w:rPr>
          <w:color w:val="231F20"/>
          <w:spacing w:val="-7"/>
          <w:w w:val="110"/>
        </w:rPr>
        <w:t> </w:t>
      </w:r>
      <w:r>
        <w:rPr>
          <w:color w:val="231F20"/>
          <w:w w:val="110"/>
        </w:rPr>
        <w:t>diferenciación</w:t>
      </w:r>
      <w:r>
        <w:rPr>
          <w:color w:val="231F20"/>
          <w:spacing w:val="-7"/>
          <w:w w:val="110"/>
        </w:rPr>
        <w:t> </w:t>
      </w:r>
      <w:r>
        <w:rPr>
          <w:color w:val="231F20"/>
          <w:w w:val="110"/>
        </w:rPr>
        <w:t>de</w:t>
      </w:r>
      <w:r>
        <w:rPr>
          <w:color w:val="231F20"/>
          <w:spacing w:val="-7"/>
          <w:w w:val="110"/>
        </w:rPr>
        <w:t> </w:t>
      </w:r>
      <w:r>
        <w:rPr>
          <w:color w:val="231F20"/>
          <w:w w:val="110"/>
        </w:rPr>
        <w:t>tareas</w:t>
      </w:r>
      <w:r>
        <w:rPr>
          <w:color w:val="231F20"/>
          <w:spacing w:val="-7"/>
          <w:w w:val="110"/>
        </w:rPr>
        <w:t> </w:t>
      </w:r>
      <w:r>
        <w:rPr>
          <w:color w:val="231F20"/>
          <w:w w:val="110"/>
        </w:rPr>
        <w:t>que</w:t>
      </w:r>
      <w:r>
        <w:rPr>
          <w:color w:val="231F20"/>
          <w:spacing w:val="-7"/>
          <w:w w:val="110"/>
        </w:rPr>
        <w:t> </w:t>
      </w:r>
      <w:r>
        <w:rPr>
          <w:color w:val="231F20"/>
          <w:w w:val="110"/>
        </w:rPr>
        <w:t>logra</w:t>
      </w:r>
      <w:r>
        <w:rPr>
          <w:color w:val="231F20"/>
          <w:spacing w:val="-7"/>
          <w:w w:val="110"/>
        </w:rPr>
        <w:t> </w:t>
      </w:r>
      <w:r>
        <w:rPr>
          <w:color w:val="231F20"/>
          <w:w w:val="110"/>
        </w:rPr>
        <w:t>la</w:t>
      </w:r>
      <w:r>
        <w:rPr>
          <w:color w:val="231F20"/>
          <w:spacing w:val="-7"/>
          <w:w w:val="110"/>
        </w:rPr>
        <w:t> </w:t>
      </w:r>
      <w:r>
        <w:rPr>
          <w:color w:val="231F20"/>
          <w:w w:val="110"/>
        </w:rPr>
        <w:t>reciprocidad</w:t>
      </w:r>
      <w:r>
        <w:rPr>
          <w:color w:val="231F20"/>
          <w:spacing w:val="-7"/>
          <w:w w:val="110"/>
        </w:rPr>
        <w:t> </w:t>
      </w:r>
      <w:r>
        <w:rPr>
          <w:color w:val="231F20"/>
          <w:w w:val="110"/>
        </w:rPr>
        <w:t>y</w:t>
      </w:r>
      <w:r>
        <w:rPr>
          <w:color w:val="231F20"/>
          <w:spacing w:val="-7"/>
          <w:w w:val="110"/>
        </w:rPr>
        <w:t> </w:t>
      </w:r>
      <w:r>
        <w:rPr>
          <w:color w:val="231F20"/>
          <w:w w:val="110"/>
        </w:rPr>
        <w:t>la</w:t>
      </w:r>
      <w:r>
        <w:rPr>
          <w:color w:val="231F20"/>
          <w:spacing w:val="-7"/>
          <w:w w:val="110"/>
        </w:rPr>
        <w:t> </w:t>
      </w:r>
      <w:r>
        <w:rPr>
          <w:color w:val="231F20"/>
          <w:w w:val="110"/>
        </w:rPr>
        <w:t>dependen- cia</w:t>
      </w:r>
      <w:r>
        <w:rPr>
          <w:color w:val="231F20"/>
          <w:spacing w:val="-18"/>
          <w:w w:val="110"/>
        </w:rPr>
        <w:t> </w:t>
      </w:r>
      <w:r>
        <w:rPr>
          <w:color w:val="231F20"/>
          <w:w w:val="110"/>
        </w:rPr>
        <w:t>entre</w:t>
      </w:r>
      <w:r>
        <w:rPr>
          <w:color w:val="231F20"/>
          <w:spacing w:val="-18"/>
          <w:w w:val="110"/>
        </w:rPr>
        <w:t> </w:t>
      </w:r>
      <w:r>
        <w:rPr>
          <w:color w:val="231F20"/>
          <w:w w:val="110"/>
        </w:rPr>
        <w:t>sus</w:t>
      </w:r>
      <w:r>
        <w:rPr>
          <w:color w:val="231F20"/>
          <w:spacing w:val="-18"/>
          <w:w w:val="110"/>
        </w:rPr>
        <w:t> </w:t>
      </w:r>
      <w:r>
        <w:rPr>
          <w:color w:val="231F20"/>
          <w:w w:val="110"/>
        </w:rPr>
        <w:t>miembros.</w:t>
      </w:r>
      <w:r>
        <w:rPr>
          <w:color w:val="231F20"/>
          <w:spacing w:val="-18"/>
          <w:w w:val="110"/>
        </w:rPr>
        <w:t> </w:t>
      </w:r>
      <w:r>
        <w:rPr>
          <w:color w:val="231F20"/>
          <w:w w:val="110"/>
        </w:rPr>
        <w:t>Es</w:t>
      </w:r>
      <w:r>
        <w:rPr>
          <w:color w:val="231F20"/>
          <w:spacing w:val="-18"/>
          <w:w w:val="110"/>
        </w:rPr>
        <w:t> </w:t>
      </w:r>
      <w:r>
        <w:rPr>
          <w:color w:val="231F20"/>
          <w:w w:val="110"/>
        </w:rPr>
        <w:t>válido</w:t>
      </w:r>
      <w:r>
        <w:rPr>
          <w:color w:val="231F20"/>
          <w:spacing w:val="-18"/>
          <w:w w:val="110"/>
        </w:rPr>
        <w:t> </w:t>
      </w:r>
      <w:r>
        <w:rPr>
          <w:color w:val="231F20"/>
          <w:w w:val="110"/>
        </w:rPr>
        <w:t>preguntarse</w:t>
      </w:r>
      <w:r>
        <w:rPr>
          <w:color w:val="231F20"/>
          <w:spacing w:val="-18"/>
          <w:w w:val="110"/>
        </w:rPr>
        <w:t> </w:t>
      </w:r>
      <w:r>
        <w:rPr>
          <w:color w:val="231F20"/>
          <w:w w:val="110"/>
        </w:rPr>
        <w:t>si</w:t>
      </w:r>
      <w:r>
        <w:rPr>
          <w:color w:val="231F20"/>
          <w:spacing w:val="-18"/>
          <w:w w:val="110"/>
        </w:rPr>
        <w:t> </w:t>
      </w:r>
      <w:r>
        <w:rPr>
          <w:color w:val="231F20"/>
          <w:w w:val="110"/>
        </w:rPr>
        <w:t>esta</w:t>
      </w:r>
      <w:r>
        <w:rPr>
          <w:color w:val="231F20"/>
          <w:spacing w:val="-18"/>
          <w:w w:val="110"/>
        </w:rPr>
        <w:t> </w:t>
      </w:r>
      <w:r>
        <w:rPr>
          <w:color w:val="231F20"/>
          <w:w w:val="110"/>
        </w:rPr>
        <w:t>división</w:t>
      </w:r>
      <w:r>
        <w:rPr>
          <w:color w:val="231F20"/>
          <w:spacing w:val="-18"/>
          <w:w w:val="110"/>
        </w:rPr>
        <w:t> </w:t>
      </w:r>
      <w:r>
        <w:rPr>
          <w:color w:val="231F20"/>
          <w:w w:val="110"/>
        </w:rPr>
        <w:t>de</w:t>
      </w:r>
      <w:r>
        <w:rPr>
          <w:color w:val="231F20"/>
          <w:spacing w:val="-18"/>
          <w:w w:val="110"/>
        </w:rPr>
        <w:t> </w:t>
      </w:r>
      <w:r>
        <w:rPr>
          <w:color w:val="231F20"/>
          <w:w w:val="110"/>
        </w:rPr>
        <w:t>actividades se </w:t>
      </w:r>
      <w:r>
        <w:rPr>
          <w:color w:val="231F20"/>
          <w:spacing w:val="-4"/>
          <w:w w:val="110"/>
        </w:rPr>
        <w:t>asocia </w:t>
      </w:r>
      <w:r>
        <w:rPr>
          <w:color w:val="231F20"/>
          <w:w w:val="110"/>
        </w:rPr>
        <w:t>a la </w:t>
      </w:r>
      <w:r>
        <w:rPr>
          <w:color w:val="231F20"/>
          <w:spacing w:val="-4"/>
          <w:w w:val="110"/>
        </w:rPr>
        <w:t>subordinación </w:t>
      </w:r>
      <w:r>
        <w:rPr>
          <w:color w:val="231F20"/>
          <w:w w:val="110"/>
        </w:rPr>
        <w:t>de un </w:t>
      </w:r>
      <w:r>
        <w:rPr>
          <w:color w:val="231F20"/>
          <w:spacing w:val="-5"/>
          <w:w w:val="110"/>
        </w:rPr>
        <w:t>sexo </w:t>
      </w:r>
      <w:r>
        <w:rPr>
          <w:color w:val="231F20"/>
          <w:w w:val="110"/>
        </w:rPr>
        <w:t>en </w:t>
      </w:r>
      <w:r>
        <w:rPr>
          <w:color w:val="231F20"/>
          <w:spacing w:val="-4"/>
          <w:w w:val="110"/>
        </w:rPr>
        <w:t>función </w:t>
      </w:r>
      <w:r>
        <w:rPr>
          <w:color w:val="231F20"/>
          <w:spacing w:val="-3"/>
          <w:w w:val="110"/>
        </w:rPr>
        <w:t>del </w:t>
      </w:r>
      <w:r>
        <w:rPr>
          <w:color w:val="231F20"/>
          <w:spacing w:val="-4"/>
          <w:w w:val="110"/>
        </w:rPr>
        <w:t>otro; </w:t>
      </w:r>
      <w:r>
        <w:rPr>
          <w:color w:val="231F20"/>
          <w:spacing w:val="-3"/>
          <w:w w:val="110"/>
        </w:rPr>
        <w:t>¿de qué </w:t>
      </w:r>
      <w:r>
        <w:rPr>
          <w:color w:val="231F20"/>
          <w:spacing w:val="-4"/>
          <w:w w:val="110"/>
        </w:rPr>
        <w:t>forma </w:t>
      </w:r>
      <w:r>
        <w:rPr>
          <w:color w:val="231F20"/>
          <w:w w:val="110"/>
        </w:rPr>
        <w:t>se construyen y validan las jerarquías en la familia?, ¿mediante qué mecanis- mos se establece la división de tareas? (Lévi-Strauss,</w:t>
      </w:r>
      <w:r>
        <w:rPr>
          <w:color w:val="231F20"/>
          <w:spacing w:val="-1"/>
          <w:w w:val="110"/>
        </w:rPr>
        <w:t> </w:t>
      </w:r>
      <w:r>
        <w:rPr>
          <w:color w:val="231F20"/>
          <w:w w:val="110"/>
        </w:rPr>
        <w:t>1985).</w:t>
      </w:r>
    </w:p>
    <w:p>
      <w:pPr>
        <w:pStyle w:val="BodyText"/>
      </w:pPr>
    </w:p>
    <w:p>
      <w:pPr>
        <w:pStyle w:val="BodyText"/>
        <w:spacing w:before="10"/>
        <w:rPr>
          <w:sz w:val="24"/>
        </w:rPr>
      </w:pPr>
    </w:p>
    <w:p>
      <w:pPr>
        <w:spacing w:before="0"/>
        <w:ind w:left="120" w:right="0" w:firstLine="0"/>
        <w:jc w:val="both"/>
        <w:rPr>
          <w:rFonts w:ascii="Times New Roman"/>
          <w:i/>
          <w:sz w:val="19"/>
        </w:rPr>
      </w:pPr>
      <w:r>
        <w:rPr>
          <w:rFonts w:ascii="Times New Roman"/>
          <w:i/>
          <w:color w:val="231F20"/>
          <w:w w:val="95"/>
          <w:sz w:val="24"/>
        </w:rPr>
        <w:t>L</w:t>
      </w:r>
      <w:r>
        <w:rPr>
          <w:rFonts w:ascii="Times New Roman"/>
          <w:i/>
          <w:color w:val="231F20"/>
          <w:w w:val="95"/>
          <w:sz w:val="19"/>
        </w:rPr>
        <w:t>AS ENTREVISTAS COMO HERRAMIENTA DE</w:t>
      </w:r>
    </w:p>
    <w:p>
      <w:pPr>
        <w:spacing w:before="52"/>
        <w:ind w:left="119" w:right="0" w:firstLine="0"/>
        <w:jc w:val="both"/>
        <w:rPr>
          <w:rFonts w:ascii="Times New Roman" w:hAnsi="Times New Roman"/>
          <w:i/>
          <w:sz w:val="19"/>
        </w:rPr>
      </w:pPr>
      <w:r>
        <w:rPr>
          <w:rFonts w:ascii="Times New Roman" w:hAnsi="Times New Roman"/>
          <w:i/>
          <w:color w:val="231F20"/>
          <w:w w:val="95"/>
          <w:sz w:val="19"/>
        </w:rPr>
        <w:t>APROXIMACIÓN AL VÍNCULO ENTRE EL TRABAJO Y LA FAMILIA</w:t>
      </w:r>
    </w:p>
    <w:p>
      <w:pPr>
        <w:pStyle w:val="BodyText"/>
        <w:rPr>
          <w:rFonts w:ascii="Times New Roman"/>
          <w:i/>
          <w:sz w:val="18"/>
        </w:rPr>
      </w:pPr>
    </w:p>
    <w:p>
      <w:pPr>
        <w:pStyle w:val="BodyText"/>
        <w:spacing w:line="288" w:lineRule="auto" w:before="124"/>
        <w:ind w:left="120" w:right="117"/>
        <w:jc w:val="both"/>
      </w:pPr>
      <w:r>
        <w:rPr>
          <w:color w:val="231F20"/>
          <w:w w:val="110"/>
        </w:rPr>
        <w:t>La entrevista es un acercamiento a la figura del individuo como un actor que desempeña, dramatizándolo, un cierto modelo de rol social. Y este desempeño a la vez que dramatización de un código, es una idealización, pues</w:t>
      </w:r>
      <w:r>
        <w:rPr>
          <w:color w:val="231F20"/>
          <w:spacing w:val="-19"/>
          <w:w w:val="110"/>
        </w:rPr>
        <w:t> </w:t>
      </w:r>
      <w:r>
        <w:rPr>
          <w:color w:val="231F20"/>
          <w:w w:val="110"/>
        </w:rPr>
        <w:t>tiende</w:t>
      </w:r>
      <w:r>
        <w:rPr>
          <w:color w:val="231F20"/>
          <w:spacing w:val="-19"/>
          <w:w w:val="110"/>
        </w:rPr>
        <w:t> </w:t>
      </w:r>
      <w:r>
        <w:rPr>
          <w:color w:val="231F20"/>
          <w:w w:val="110"/>
        </w:rPr>
        <w:t>a</w:t>
      </w:r>
      <w:r>
        <w:rPr>
          <w:color w:val="231F20"/>
          <w:spacing w:val="-19"/>
          <w:w w:val="110"/>
        </w:rPr>
        <w:t> </w:t>
      </w:r>
      <w:r>
        <w:rPr>
          <w:color w:val="231F20"/>
          <w:w w:val="110"/>
        </w:rPr>
        <w:t>moldear</w:t>
      </w:r>
      <w:r>
        <w:rPr>
          <w:color w:val="231F20"/>
          <w:spacing w:val="-19"/>
          <w:w w:val="110"/>
        </w:rPr>
        <w:t> </w:t>
      </w:r>
      <w:r>
        <w:rPr>
          <w:color w:val="231F20"/>
          <w:w w:val="110"/>
        </w:rPr>
        <w:t>un</w:t>
      </w:r>
      <w:r>
        <w:rPr>
          <w:color w:val="231F20"/>
          <w:spacing w:val="-19"/>
          <w:w w:val="110"/>
        </w:rPr>
        <w:t> </w:t>
      </w:r>
      <w:r>
        <w:rPr>
          <w:color w:val="231F20"/>
          <w:w w:val="110"/>
        </w:rPr>
        <w:t>desempeño</w:t>
      </w:r>
      <w:r>
        <w:rPr>
          <w:color w:val="231F20"/>
          <w:spacing w:val="-19"/>
          <w:w w:val="110"/>
        </w:rPr>
        <w:t> </w:t>
      </w:r>
      <w:r>
        <w:rPr>
          <w:color w:val="231F20"/>
          <w:w w:val="110"/>
        </w:rPr>
        <w:t>según</w:t>
      </w:r>
      <w:r>
        <w:rPr>
          <w:color w:val="231F20"/>
          <w:spacing w:val="-19"/>
          <w:w w:val="110"/>
        </w:rPr>
        <w:t> </w:t>
      </w:r>
      <w:r>
        <w:rPr>
          <w:color w:val="231F20"/>
          <w:w w:val="110"/>
        </w:rPr>
        <w:t>la</w:t>
      </w:r>
      <w:r>
        <w:rPr>
          <w:color w:val="231F20"/>
          <w:spacing w:val="-19"/>
          <w:w w:val="110"/>
        </w:rPr>
        <w:t> </w:t>
      </w:r>
      <w:r>
        <w:rPr>
          <w:color w:val="231F20"/>
          <w:w w:val="110"/>
        </w:rPr>
        <w:t>forma</w:t>
      </w:r>
      <w:r>
        <w:rPr>
          <w:color w:val="231F20"/>
          <w:spacing w:val="-19"/>
          <w:w w:val="110"/>
        </w:rPr>
        <w:t> </w:t>
      </w:r>
      <w:r>
        <w:rPr>
          <w:color w:val="231F20"/>
          <w:w w:val="110"/>
        </w:rPr>
        <w:t>ideal</w:t>
      </w:r>
      <w:r>
        <w:rPr>
          <w:color w:val="231F20"/>
          <w:spacing w:val="-19"/>
          <w:w w:val="110"/>
        </w:rPr>
        <w:t> </w:t>
      </w:r>
      <w:r>
        <w:rPr>
          <w:color w:val="231F20"/>
          <w:w w:val="110"/>
        </w:rPr>
        <w:t>del</w:t>
      </w:r>
      <w:r>
        <w:rPr>
          <w:color w:val="231F20"/>
          <w:spacing w:val="-19"/>
          <w:w w:val="110"/>
        </w:rPr>
        <w:t> </w:t>
      </w:r>
      <w:r>
        <w:rPr>
          <w:color w:val="231F20"/>
          <w:w w:val="110"/>
        </w:rPr>
        <w:t>rol</w:t>
      </w:r>
      <w:r>
        <w:rPr>
          <w:color w:val="231F20"/>
          <w:spacing w:val="-19"/>
          <w:w w:val="110"/>
        </w:rPr>
        <w:t> </w:t>
      </w:r>
      <w:r>
        <w:rPr>
          <w:color w:val="231F20"/>
          <w:w w:val="110"/>
        </w:rPr>
        <w:t>pertinente. De este modo, cuando un individuo se presenta ante otros, su desempeño tenderá</w:t>
      </w:r>
      <w:r>
        <w:rPr>
          <w:color w:val="231F20"/>
          <w:spacing w:val="-7"/>
          <w:w w:val="110"/>
        </w:rPr>
        <w:t> </w:t>
      </w:r>
      <w:r>
        <w:rPr>
          <w:color w:val="231F20"/>
          <w:w w:val="110"/>
        </w:rPr>
        <w:t>a</w:t>
      </w:r>
      <w:r>
        <w:rPr>
          <w:color w:val="231F20"/>
          <w:spacing w:val="-7"/>
          <w:w w:val="110"/>
        </w:rPr>
        <w:t> </w:t>
      </w:r>
      <w:r>
        <w:rPr>
          <w:color w:val="231F20"/>
          <w:w w:val="110"/>
        </w:rPr>
        <w:t>incorporar</w:t>
      </w:r>
      <w:r>
        <w:rPr>
          <w:color w:val="231F20"/>
          <w:spacing w:val="-7"/>
          <w:w w:val="110"/>
        </w:rPr>
        <w:t> </w:t>
      </w:r>
      <w:r>
        <w:rPr>
          <w:color w:val="231F20"/>
          <w:w w:val="110"/>
        </w:rPr>
        <w:t>y</w:t>
      </w:r>
      <w:r>
        <w:rPr>
          <w:color w:val="231F20"/>
          <w:spacing w:val="-7"/>
          <w:w w:val="110"/>
        </w:rPr>
        <w:t> </w:t>
      </w:r>
      <w:r>
        <w:rPr>
          <w:color w:val="231F20"/>
          <w:w w:val="110"/>
        </w:rPr>
        <w:t>a</w:t>
      </w:r>
      <w:r>
        <w:rPr>
          <w:color w:val="231F20"/>
          <w:spacing w:val="-7"/>
          <w:w w:val="110"/>
        </w:rPr>
        <w:t> </w:t>
      </w:r>
      <w:r>
        <w:rPr>
          <w:color w:val="231F20"/>
          <w:w w:val="110"/>
        </w:rPr>
        <w:t>ejemplificar</w:t>
      </w:r>
      <w:r>
        <w:rPr>
          <w:color w:val="231F20"/>
          <w:spacing w:val="-7"/>
          <w:w w:val="110"/>
        </w:rPr>
        <w:t> </w:t>
      </w:r>
      <w:r>
        <w:rPr>
          <w:color w:val="231F20"/>
          <w:w w:val="110"/>
        </w:rPr>
        <w:t>los</w:t>
      </w:r>
      <w:r>
        <w:rPr>
          <w:color w:val="231F20"/>
          <w:spacing w:val="-7"/>
          <w:w w:val="110"/>
        </w:rPr>
        <w:t> </w:t>
      </w:r>
      <w:r>
        <w:rPr>
          <w:color w:val="231F20"/>
          <w:w w:val="110"/>
        </w:rPr>
        <w:t>valores</w:t>
      </w:r>
      <w:r>
        <w:rPr>
          <w:color w:val="231F20"/>
          <w:spacing w:val="-7"/>
          <w:w w:val="110"/>
        </w:rPr>
        <w:t> </w:t>
      </w:r>
      <w:r>
        <w:rPr>
          <w:color w:val="231F20"/>
          <w:w w:val="110"/>
        </w:rPr>
        <w:t>que</w:t>
      </w:r>
      <w:r>
        <w:rPr>
          <w:color w:val="231F20"/>
          <w:spacing w:val="-7"/>
          <w:w w:val="110"/>
        </w:rPr>
        <w:t> </w:t>
      </w:r>
      <w:r>
        <w:rPr>
          <w:color w:val="231F20"/>
          <w:w w:val="110"/>
        </w:rPr>
        <w:t>espera</w:t>
      </w:r>
      <w:r>
        <w:rPr>
          <w:color w:val="231F20"/>
          <w:spacing w:val="-7"/>
          <w:w w:val="110"/>
        </w:rPr>
        <w:t> </w:t>
      </w:r>
      <w:r>
        <w:rPr>
          <w:color w:val="231F20"/>
          <w:w w:val="110"/>
        </w:rPr>
        <w:t>sean</w:t>
      </w:r>
      <w:r>
        <w:rPr>
          <w:color w:val="231F20"/>
          <w:spacing w:val="-7"/>
          <w:w w:val="110"/>
        </w:rPr>
        <w:t> </w:t>
      </w:r>
      <w:r>
        <w:rPr>
          <w:color w:val="231F20"/>
          <w:w w:val="110"/>
        </w:rPr>
        <w:t>atendidos por la sociedad de su grupo de referencia (Ortí,</w:t>
      </w:r>
      <w:r>
        <w:rPr>
          <w:color w:val="231F20"/>
          <w:spacing w:val="8"/>
          <w:w w:val="110"/>
        </w:rPr>
        <w:t> </w:t>
      </w:r>
      <w:r>
        <w:rPr>
          <w:color w:val="231F20"/>
          <w:w w:val="110"/>
        </w:rPr>
        <w:t>1994).</w:t>
      </w:r>
    </w:p>
    <w:p>
      <w:pPr>
        <w:spacing w:after="0" w:line="288" w:lineRule="auto"/>
        <w:jc w:val="both"/>
        <w:sectPr>
          <w:pgSz w:w="9520" w:h="12920"/>
          <w:pgMar w:header="0" w:footer="1344" w:top="880" w:bottom="1540" w:left="1000" w:right="1320"/>
        </w:sectPr>
      </w:pPr>
    </w:p>
    <w:p>
      <w:pPr>
        <w:pStyle w:val="BodyText"/>
        <w:spacing w:line="288" w:lineRule="auto" w:before="42"/>
        <w:ind w:left="124" w:right="110" w:firstLine="360"/>
        <w:jc w:val="both"/>
      </w:pPr>
      <w:r>
        <w:rPr>
          <w:color w:val="231F20"/>
          <w:spacing w:val="3"/>
          <w:w w:val="110"/>
        </w:rPr>
        <w:t>La </w:t>
      </w:r>
      <w:r>
        <w:rPr>
          <w:color w:val="231F20"/>
          <w:spacing w:val="2"/>
          <w:w w:val="110"/>
        </w:rPr>
        <w:t>entrevista entonces, tiende </w:t>
      </w:r>
      <w:r>
        <w:rPr>
          <w:color w:val="231F20"/>
          <w:w w:val="110"/>
        </w:rPr>
        <w:t>a </w:t>
      </w:r>
      <w:r>
        <w:rPr>
          <w:color w:val="231F20"/>
          <w:spacing w:val="2"/>
          <w:w w:val="110"/>
        </w:rPr>
        <w:t>producir </w:t>
      </w:r>
      <w:r>
        <w:rPr>
          <w:color w:val="231F20"/>
          <w:w w:val="110"/>
        </w:rPr>
        <w:t>una </w:t>
      </w:r>
      <w:r>
        <w:rPr>
          <w:color w:val="231F20"/>
          <w:spacing w:val="2"/>
          <w:w w:val="110"/>
        </w:rPr>
        <w:t>expresión individual, </w:t>
      </w:r>
      <w:r>
        <w:rPr>
          <w:color w:val="231F20"/>
          <w:w w:val="110"/>
        </w:rPr>
        <w:t>pero precisamente porque esta individualidad es una individualidad</w:t>
      </w:r>
      <w:r>
        <w:rPr>
          <w:color w:val="231F20"/>
          <w:spacing w:val="-33"/>
          <w:w w:val="110"/>
        </w:rPr>
        <w:t> </w:t>
      </w:r>
      <w:r>
        <w:rPr>
          <w:color w:val="231F20"/>
          <w:w w:val="110"/>
        </w:rPr>
        <w:t>socia- lizada</w:t>
      </w:r>
      <w:r>
        <w:rPr>
          <w:color w:val="231F20"/>
          <w:spacing w:val="-8"/>
          <w:w w:val="110"/>
        </w:rPr>
        <w:t> </w:t>
      </w:r>
      <w:r>
        <w:rPr>
          <w:color w:val="231F20"/>
          <w:w w:val="110"/>
        </w:rPr>
        <w:t>por</w:t>
      </w:r>
      <w:r>
        <w:rPr>
          <w:color w:val="231F20"/>
          <w:spacing w:val="-8"/>
          <w:w w:val="110"/>
        </w:rPr>
        <w:t> </w:t>
      </w:r>
      <w:r>
        <w:rPr>
          <w:color w:val="231F20"/>
          <w:w w:val="110"/>
        </w:rPr>
        <w:t>una</w:t>
      </w:r>
      <w:r>
        <w:rPr>
          <w:color w:val="231F20"/>
          <w:spacing w:val="-8"/>
          <w:w w:val="110"/>
        </w:rPr>
        <w:t> </w:t>
      </w:r>
      <w:r>
        <w:rPr>
          <w:color w:val="231F20"/>
          <w:w w:val="110"/>
        </w:rPr>
        <w:t>mentalidad</w:t>
      </w:r>
      <w:r>
        <w:rPr>
          <w:color w:val="231F20"/>
          <w:spacing w:val="-8"/>
          <w:w w:val="110"/>
        </w:rPr>
        <w:t> </w:t>
      </w:r>
      <w:r>
        <w:rPr>
          <w:color w:val="231F20"/>
          <w:w w:val="110"/>
        </w:rPr>
        <w:t>cotidiana</w:t>
      </w:r>
      <w:r>
        <w:rPr>
          <w:color w:val="231F20"/>
          <w:spacing w:val="-8"/>
          <w:w w:val="110"/>
        </w:rPr>
        <w:t> </w:t>
      </w:r>
      <w:r>
        <w:rPr>
          <w:color w:val="231F20"/>
          <w:w w:val="110"/>
        </w:rPr>
        <w:t>estructurada</w:t>
      </w:r>
      <w:r>
        <w:rPr>
          <w:color w:val="231F20"/>
          <w:spacing w:val="-8"/>
          <w:w w:val="110"/>
        </w:rPr>
        <w:t> </w:t>
      </w:r>
      <w:r>
        <w:rPr>
          <w:color w:val="231F20"/>
          <w:w w:val="110"/>
        </w:rPr>
        <w:t>por</w:t>
      </w:r>
      <w:r>
        <w:rPr>
          <w:color w:val="231F20"/>
          <w:spacing w:val="-7"/>
          <w:w w:val="110"/>
        </w:rPr>
        <w:t> </w:t>
      </w:r>
      <w:r>
        <w:rPr>
          <w:i/>
          <w:color w:val="231F20"/>
          <w:w w:val="110"/>
        </w:rPr>
        <w:t>habitus</w:t>
      </w:r>
      <w:r>
        <w:rPr>
          <w:i/>
          <w:color w:val="231F20"/>
          <w:spacing w:val="-8"/>
          <w:w w:val="110"/>
        </w:rPr>
        <w:t> </w:t>
      </w:r>
      <w:r>
        <w:rPr>
          <w:color w:val="231F20"/>
          <w:w w:val="110"/>
        </w:rPr>
        <w:t>lingüísticos</w:t>
      </w:r>
      <w:r>
        <w:rPr>
          <w:color w:val="231F20"/>
          <w:spacing w:val="-8"/>
          <w:w w:val="110"/>
        </w:rPr>
        <w:t> </w:t>
      </w:r>
      <w:r>
        <w:rPr>
          <w:color w:val="231F20"/>
          <w:w w:val="110"/>
        </w:rPr>
        <w:t>y sociales, como por estilos de vida, en cuanto que formaciones y validacio- nes</w:t>
      </w:r>
      <w:r>
        <w:rPr>
          <w:color w:val="231F20"/>
          <w:spacing w:val="-4"/>
          <w:w w:val="110"/>
        </w:rPr>
        <w:t> </w:t>
      </w:r>
      <w:r>
        <w:rPr>
          <w:color w:val="231F20"/>
          <w:w w:val="110"/>
        </w:rPr>
        <w:t>específicas</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conducta</w:t>
      </w:r>
      <w:r>
        <w:rPr>
          <w:color w:val="231F20"/>
          <w:spacing w:val="-4"/>
          <w:w w:val="110"/>
        </w:rPr>
        <w:t> </w:t>
      </w:r>
      <w:r>
        <w:rPr>
          <w:color w:val="231F20"/>
          <w:w w:val="110"/>
        </w:rPr>
        <w:t>realizadas</w:t>
      </w:r>
      <w:r>
        <w:rPr>
          <w:color w:val="231F20"/>
          <w:spacing w:val="-4"/>
          <w:w w:val="110"/>
        </w:rPr>
        <w:t> </w:t>
      </w:r>
      <w:r>
        <w:rPr>
          <w:color w:val="231F20"/>
          <w:w w:val="110"/>
        </w:rPr>
        <w:t>dentro</w:t>
      </w:r>
      <w:r>
        <w:rPr>
          <w:color w:val="231F20"/>
          <w:spacing w:val="-4"/>
          <w:w w:val="110"/>
        </w:rPr>
        <w:t> </w:t>
      </w:r>
      <w:r>
        <w:rPr>
          <w:color w:val="231F20"/>
          <w:w w:val="110"/>
        </w:rPr>
        <w:t>de</w:t>
      </w:r>
      <w:r>
        <w:rPr>
          <w:color w:val="231F20"/>
          <w:spacing w:val="-4"/>
          <w:w w:val="110"/>
        </w:rPr>
        <w:t> </w:t>
      </w:r>
      <w:r>
        <w:rPr>
          <w:color w:val="231F20"/>
          <w:w w:val="110"/>
        </w:rPr>
        <w:t>los</w:t>
      </w:r>
      <w:r>
        <w:rPr>
          <w:color w:val="231F20"/>
          <w:spacing w:val="-4"/>
          <w:w w:val="110"/>
        </w:rPr>
        <w:t> </w:t>
      </w:r>
      <w:r>
        <w:rPr>
          <w:color w:val="231F20"/>
          <w:w w:val="110"/>
        </w:rPr>
        <w:t>grupos</w:t>
      </w:r>
      <w:r>
        <w:rPr>
          <w:color w:val="231F20"/>
          <w:spacing w:val="-4"/>
          <w:w w:val="110"/>
        </w:rPr>
        <w:t> </w:t>
      </w:r>
      <w:r>
        <w:rPr>
          <w:color w:val="231F20"/>
          <w:w w:val="110"/>
        </w:rPr>
        <w:t>(Ortí,</w:t>
      </w:r>
      <w:r>
        <w:rPr>
          <w:color w:val="231F20"/>
          <w:spacing w:val="-4"/>
          <w:w w:val="110"/>
        </w:rPr>
        <w:t> </w:t>
      </w:r>
      <w:r>
        <w:rPr>
          <w:color w:val="231F20"/>
          <w:w w:val="110"/>
        </w:rPr>
        <w:t>1994).</w:t>
      </w:r>
    </w:p>
    <w:p>
      <w:pPr>
        <w:pStyle w:val="BodyText"/>
        <w:spacing w:before="3"/>
        <w:rPr>
          <w:sz w:val="23"/>
        </w:rPr>
      </w:pPr>
    </w:p>
    <w:p>
      <w:pPr>
        <w:pStyle w:val="Heading3"/>
        <w:rPr>
          <w:i/>
        </w:rPr>
      </w:pPr>
      <w:r>
        <w:rPr>
          <w:i/>
          <w:color w:val="231F20"/>
        </w:rPr>
        <w:t>La pauta de entrevista</w:t>
      </w:r>
    </w:p>
    <w:p>
      <w:pPr>
        <w:pStyle w:val="BodyText"/>
        <w:spacing w:before="4"/>
        <w:rPr>
          <w:rFonts w:ascii="Calibri"/>
          <w:i/>
          <w:sz w:val="22"/>
        </w:rPr>
      </w:pPr>
    </w:p>
    <w:p>
      <w:pPr>
        <w:pStyle w:val="BodyText"/>
        <w:spacing w:line="288" w:lineRule="auto"/>
        <w:ind w:left="124" w:right="112"/>
        <w:jc w:val="both"/>
      </w:pPr>
      <w:r>
        <w:rPr>
          <w:color w:val="231F20"/>
          <w:w w:val="110"/>
        </w:rPr>
        <w:t>Mediante</w:t>
      </w:r>
      <w:r>
        <w:rPr>
          <w:color w:val="231F20"/>
          <w:spacing w:val="-7"/>
          <w:w w:val="110"/>
        </w:rPr>
        <w:t> </w:t>
      </w:r>
      <w:r>
        <w:rPr>
          <w:color w:val="231F20"/>
          <w:w w:val="110"/>
        </w:rPr>
        <w:t>las</w:t>
      </w:r>
      <w:r>
        <w:rPr>
          <w:color w:val="231F20"/>
          <w:spacing w:val="-7"/>
          <w:w w:val="110"/>
        </w:rPr>
        <w:t> </w:t>
      </w:r>
      <w:r>
        <w:rPr>
          <w:color w:val="231F20"/>
          <w:w w:val="110"/>
        </w:rPr>
        <w:t>entrevistas</w:t>
      </w:r>
      <w:r>
        <w:rPr>
          <w:color w:val="231F20"/>
          <w:spacing w:val="-7"/>
          <w:w w:val="110"/>
        </w:rPr>
        <w:t> </w:t>
      </w:r>
      <w:r>
        <w:rPr>
          <w:color w:val="231F20"/>
          <w:w w:val="110"/>
        </w:rPr>
        <w:t>se</w:t>
      </w:r>
      <w:r>
        <w:rPr>
          <w:color w:val="231F20"/>
          <w:spacing w:val="-7"/>
          <w:w w:val="110"/>
        </w:rPr>
        <w:t> </w:t>
      </w:r>
      <w:r>
        <w:rPr>
          <w:color w:val="231F20"/>
          <w:w w:val="110"/>
        </w:rPr>
        <w:t>han</w:t>
      </w:r>
      <w:r>
        <w:rPr>
          <w:color w:val="231F20"/>
          <w:spacing w:val="-7"/>
          <w:w w:val="110"/>
        </w:rPr>
        <w:t> </w:t>
      </w:r>
      <w:r>
        <w:rPr>
          <w:color w:val="231F20"/>
          <w:w w:val="110"/>
        </w:rPr>
        <w:t>buscado</w:t>
      </w:r>
      <w:r>
        <w:rPr>
          <w:color w:val="231F20"/>
          <w:spacing w:val="-7"/>
          <w:w w:val="110"/>
        </w:rPr>
        <w:t> </w:t>
      </w:r>
      <w:r>
        <w:rPr>
          <w:color w:val="231F20"/>
          <w:w w:val="110"/>
        </w:rPr>
        <w:t>los</w:t>
      </w:r>
      <w:r>
        <w:rPr>
          <w:color w:val="231F20"/>
          <w:spacing w:val="-7"/>
          <w:w w:val="110"/>
        </w:rPr>
        <w:t> </w:t>
      </w:r>
      <w:r>
        <w:rPr>
          <w:color w:val="231F20"/>
          <w:w w:val="110"/>
        </w:rPr>
        <w:t>significados</w:t>
      </w:r>
      <w:r>
        <w:rPr>
          <w:color w:val="231F20"/>
          <w:spacing w:val="-7"/>
          <w:w w:val="110"/>
        </w:rPr>
        <w:t> </w:t>
      </w:r>
      <w:r>
        <w:rPr>
          <w:color w:val="231F20"/>
          <w:w w:val="110"/>
        </w:rPr>
        <w:t>e</w:t>
      </w:r>
      <w:r>
        <w:rPr>
          <w:color w:val="231F20"/>
          <w:spacing w:val="-7"/>
          <w:w w:val="110"/>
        </w:rPr>
        <w:t> </w:t>
      </w:r>
      <w:r>
        <w:rPr>
          <w:color w:val="231F20"/>
          <w:w w:val="110"/>
        </w:rPr>
        <w:t>interpretaciones que los individuos atribuyen a sus </w:t>
      </w:r>
      <w:r>
        <w:rPr>
          <w:color w:val="231F20"/>
          <w:spacing w:val="-3"/>
          <w:w w:val="110"/>
        </w:rPr>
        <w:t>experiencias </w:t>
      </w:r>
      <w:r>
        <w:rPr>
          <w:color w:val="231F20"/>
          <w:w w:val="110"/>
        </w:rPr>
        <w:t>como miembros de una fa- </w:t>
      </w:r>
      <w:r>
        <w:rPr>
          <w:color w:val="231F20"/>
          <w:spacing w:val="-4"/>
          <w:w w:val="110"/>
        </w:rPr>
        <w:t>milia </w:t>
      </w:r>
      <w:r>
        <w:rPr>
          <w:color w:val="231F20"/>
          <w:w w:val="110"/>
        </w:rPr>
        <w:t>y al </w:t>
      </w:r>
      <w:r>
        <w:rPr>
          <w:color w:val="231F20"/>
          <w:spacing w:val="-4"/>
          <w:w w:val="110"/>
        </w:rPr>
        <w:t>mismo tiempo </w:t>
      </w:r>
      <w:r>
        <w:rPr>
          <w:color w:val="231F20"/>
          <w:spacing w:val="-3"/>
          <w:w w:val="110"/>
        </w:rPr>
        <w:t>como </w:t>
      </w:r>
      <w:r>
        <w:rPr>
          <w:color w:val="231F20"/>
          <w:spacing w:val="-4"/>
          <w:w w:val="110"/>
        </w:rPr>
        <w:t>integrantes </w:t>
      </w:r>
      <w:r>
        <w:rPr>
          <w:color w:val="231F20"/>
          <w:w w:val="110"/>
        </w:rPr>
        <w:t>de </w:t>
      </w:r>
      <w:r>
        <w:rPr>
          <w:color w:val="231F20"/>
          <w:spacing w:val="-3"/>
          <w:w w:val="110"/>
        </w:rPr>
        <w:t>una </w:t>
      </w:r>
      <w:r>
        <w:rPr>
          <w:color w:val="231F20"/>
          <w:spacing w:val="-4"/>
          <w:w w:val="110"/>
        </w:rPr>
        <w:t>unidad económica. </w:t>
      </w:r>
      <w:r>
        <w:rPr>
          <w:color w:val="231F20"/>
          <w:w w:val="110"/>
        </w:rPr>
        <w:t>Las </w:t>
      </w:r>
      <w:r>
        <w:rPr>
          <w:color w:val="231F20"/>
          <w:spacing w:val="-3"/>
          <w:w w:val="110"/>
        </w:rPr>
        <w:t>en- </w:t>
      </w:r>
      <w:r>
        <w:rPr>
          <w:color w:val="231F20"/>
          <w:w w:val="110"/>
        </w:rPr>
        <w:t>trevistas, como técnicas de recolección de información, han permitido el acercamiento a los individuos que viven una realidad de interacción entre dos espacios fundamentales de sus vidas: la familia y el trabajo, recupe- rando la diversidad de formas en que esa experiencia es </w:t>
      </w:r>
      <w:r>
        <w:rPr>
          <w:color w:val="231F20"/>
          <w:spacing w:val="29"/>
          <w:w w:val="110"/>
        </w:rPr>
        <w:t> </w:t>
      </w:r>
      <w:r>
        <w:rPr>
          <w:color w:val="231F20"/>
          <w:w w:val="110"/>
        </w:rPr>
        <w:t>vivida.</w:t>
      </w:r>
    </w:p>
    <w:p>
      <w:pPr>
        <w:pStyle w:val="BodyText"/>
        <w:spacing w:line="288" w:lineRule="auto"/>
        <w:ind w:left="124" w:right="113" w:firstLine="360"/>
        <w:jc w:val="both"/>
      </w:pPr>
      <w:r>
        <w:rPr>
          <w:color w:val="231F20"/>
          <w:w w:val="110"/>
        </w:rPr>
        <w:t>En las entrevistas se han considerado informantes a las personas que cumplían con los siguientes requisitos:</w:t>
      </w:r>
    </w:p>
    <w:p>
      <w:pPr>
        <w:pStyle w:val="BodyText"/>
        <w:spacing w:before="1"/>
        <w:rPr>
          <w:sz w:val="24"/>
        </w:rPr>
      </w:pPr>
    </w:p>
    <w:p>
      <w:pPr>
        <w:pStyle w:val="ListParagraph"/>
        <w:numPr>
          <w:ilvl w:val="1"/>
          <w:numId w:val="2"/>
        </w:numPr>
        <w:tabs>
          <w:tab w:pos="485" w:val="left" w:leader="none"/>
        </w:tabs>
        <w:spacing w:line="288" w:lineRule="auto" w:before="0" w:after="0"/>
        <w:ind w:left="484" w:right="113" w:hanging="240"/>
        <w:jc w:val="both"/>
        <w:rPr>
          <w:sz w:val="20"/>
        </w:rPr>
      </w:pPr>
      <w:r>
        <w:rPr>
          <w:color w:val="231F20"/>
          <w:w w:val="110"/>
          <w:sz w:val="20"/>
        </w:rPr>
        <w:t>Conocimiento</w:t>
      </w:r>
      <w:r>
        <w:rPr>
          <w:color w:val="231F20"/>
          <w:spacing w:val="-9"/>
          <w:w w:val="110"/>
          <w:sz w:val="20"/>
        </w:rPr>
        <w:t> </w:t>
      </w:r>
      <w:r>
        <w:rPr>
          <w:color w:val="231F20"/>
          <w:w w:val="110"/>
          <w:sz w:val="20"/>
        </w:rPr>
        <w:t>sobre</w:t>
      </w:r>
      <w:r>
        <w:rPr>
          <w:color w:val="231F20"/>
          <w:spacing w:val="-9"/>
          <w:w w:val="110"/>
          <w:sz w:val="20"/>
        </w:rPr>
        <w:t> </w:t>
      </w:r>
      <w:r>
        <w:rPr>
          <w:color w:val="231F20"/>
          <w:w w:val="110"/>
          <w:sz w:val="20"/>
        </w:rPr>
        <w:t>la</w:t>
      </w:r>
      <w:r>
        <w:rPr>
          <w:color w:val="231F20"/>
          <w:spacing w:val="-9"/>
          <w:w w:val="110"/>
          <w:sz w:val="20"/>
        </w:rPr>
        <w:t> </w:t>
      </w:r>
      <w:r>
        <w:rPr>
          <w:color w:val="231F20"/>
          <w:w w:val="110"/>
          <w:sz w:val="20"/>
        </w:rPr>
        <w:t>organización</w:t>
      </w:r>
      <w:r>
        <w:rPr>
          <w:color w:val="231F20"/>
          <w:spacing w:val="-9"/>
          <w:w w:val="110"/>
          <w:sz w:val="20"/>
        </w:rPr>
        <w:t> </w:t>
      </w:r>
      <w:r>
        <w:rPr>
          <w:color w:val="231F20"/>
          <w:w w:val="110"/>
          <w:sz w:val="20"/>
        </w:rPr>
        <w:t>y</w:t>
      </w:r>
      <w:r>
        <w:rPr>
          <w:color w:val="231F20"/>
          <w:spacing w:val="-9"/>
          <w:w w:val="110"/>
          <w:sz w:val="20"/>
        </w:rPr>
        <w:t> </w:t>
      </w:r>
      <w:r>
        <w:rPr>
          <w:color w:val="231F20"/>
          <w:w w:val="110"/>
          <w:sz w:val="20"/>
        </w:rPr>
        <w:t>administración</w:t>
      </w:r>
      <w:r>
        <w:rPr>
          <w:color w:val="231F20"/>
          <w:spacing w:val="-9"/>
          <w:w w:val="110"/>
          <w:sz w:val="20"/>
        </w:rPr>
        <w:t> </w:t>
      </w:r>
      <w:r>
        <w:rPr>
          <w:color w:val="231F20"/>
          <w:w w:val="110"/>
          <w:sz w:val="20"/>
        </w:rPr>
        <w:t>de</w:t>
      </w:r>
      <w:r>
        <w:rPr>
          <w:color w:val="231F20"/>
          <w:spacing w:val="-9"/>
          <w:w w:val="110"/>
          <w:sz w:val="20"/>
        </w:rPr>
        <w:t> </w:t>
      </w:r>
      <w:r>
        <w:rPr>
          <w:color w:val="231F20"/>
          <w:w w:val="110"/>
          <w:sz w:val="20"/>
        </w:rPr>
        <w:t>la</w:t>
      </w:r>
      <w:r>
        <w:rPr>
          <w:color w:val="231F20"/>
          <w:spacing w:val="-9"/>
          <w:w w:val="110"/>
          <w:sz w:val="20"/>
        </w:rPr>
        <w:t> </w:t>
      </w:r>
      <w:r>
        <w:rPr>
          <w:color w:val="231F20"/>
          <w:w w:val="110"/>
          <w:sz w:val="20"/>
        </w:rPr>
        <w:t>dinámica</w:t>
      </w:r>
      <w:r>
        <w:rPr>
          <w:color w:val="231F20"/>
          <w:spacing w:val="-9"/>
          <w:w w:val="110"/>
          <w:sz w:val="20"/>
        </w:rPr>
        <w:t> </w:t>
      </w:r>
      <w:r>
        <w:rPr>
          <w:color w:val="231F20"/>
          <w:w w:val="110"/>
          <w:sz w:val="20"/>
        </w:rPr>
        <w:t>de funcionamiento del </w:t>
      </w:r>
      <w:r>
        <w:rPr>
          <w:color w:val="231F20"/>
          <w:spacing w:val="-3"/>
          <w:w w:val="110"/>
          <w:sz w:val="20"/>
        </w:rPr>
        <w:t>hogar, </w:t>
      </w:r>
      <w:r>
        <w:rPr>
          <w:color w:val="231F20"/>
          <w:w w:val="110"/>
          <w:sz w:val="20"/>
        </w:rPr>
        <w:t>la persona que conozca quiénes y con cuán- to contribuyen a los gastos de la unidad doméstica y en qué se gasta el dinero.</w:t>
      </w:r>
    </w:p>
    <w:p>
      <w:pPr>
        <w:pStyle w:val="ListParagraph"/>
        <w:numPr>
          <w:ilvl w:val="1"/>
          <w:numId w:val="2"/>
        </w:numPr>
        <w:tabs>
          <w:tab w:pos="485" w:val="left" w:leader="none"/>
        </w:tabs>
        <w:spacing w:line="288" w:lineRule="auto" w:before="0" w:after="0"/>
        <w:ind w:left="484" w:right="113" w:hanging="240"/>
        <w:jc w:val="both"/>
        <w:rPr>
          <w:sz w:val="20"/>
        </w:rPr>
      </w:pPr>
      <w:r>
        <w:rPr>
          <w:color w:val="231F20"/>
          <w:w w:val="110"/>
          <w:sz w:val="20"/>
        </w:rPr>
        <w:t>Conocimiento sobre la organización y administración de las activida- des que se llevan a </w:t>
      </w:r>
      <w:r>
        <w:rPr>
          <w:color w:val="231F20"/>
          <w:spacing w:val="20"/>
          <w:w w:val="110"/>
          <w:sz w:val="20"/>
        </w:rPr>
        <w:t> </w:t>
      </w:r>
      <w:r>
        <w:rPr>
          <w:color w:val="231F20"/>
          <w:w w:val="110"/>
          <w:sz w:val="20"/>
        </w:rPr>
        <w:t>cabo.</w:t>
      </w:r>
    </w:p>
    <w:p>
      <w:pPr>
        <w:pStyle w:val="ListParagraph"/>
        <w:numPr>
          <w:ilvl w:val="1"/>
          <w:numId w:val="2"/>
        </w:numPr>
        <w:tabs>
          <w:tab w:pos="485" w:val="left" w:leader="none"/>
        </w:tabs>
        <w:spacing w:line="240" w:lineRule="auto" w:before="0" w:after="0"/>
        <w:ind w:left="484" w:right="0" w:hanging="240"/>
        <w:jc w:val="left"/>
        <w:rPr>
          <w:sz w:val="20"/>
        </w:rPr>
      </w:pPr>
      <w:r>
        <w:rPr>
          <w:color w:val="231F20"/>
          <w:w w:val="110"/>
          <w:sz w:val="20"/>
        </w:rPr>
        <w:t>La guía de entrevista está conformada por nueve apartados </w:t>
      </w:r>
      <w:r>
        <w:rPr>
          <w:color w:val="231F20"/>
          <w:spacing w:val="22"/>
          <w:w w:val="110"/>
          <w:sz w:val="20"/>
        </w:rPr>
        <w:t> </w:t>
      </w:r>
      <w:r>
        <w:rPr>
          <w:color w:val="231F20"/>
          <w:w w:val="110"/>
          <w:sz w:val="20"/>
        </w:rPr>
        <w:t>básicos:</w:t>
      </w:r>
    </w:p>
    <w:p>
      <w:pPr>
        <w:pStyle w:val="ListParagraph"/>
        <w:numPr>
          <w:ilvl w:val="0"/>
          <w:numId w:val="3"/>
        </w:numPr>
        <w:tabs>
          <w:tab w:pos="725" w:val="left" w:leader="none"/>
        </w:tabs>
        <w:spacing w:line="288" w:lineRule="auto" w:before="47" w:after="0"/>
        <w:ind w:left="724" w:right="110" w:hanging="240"/>
        <w:jc w:val="both"/>
        <w:rPr>
          <w:sz w:val="20"/>
        </w:rPr>
      </w:pPr>
      <w:r>
        <w:rPr>
          <w:color w:val="231F20"/>
          <w:w w:val="110"/>
          <w:sz w:val="20"/>
        </w:rPr>
        <w:t>Características sociodemográficas. Tiene como objetivo conocer las </w:t>
      </w:r>
      <w:r>
        <w:rPr>
          <w:color w:val="231F20"/>
          <w:spacing w:val="5"/>
          <w:w w:val="110"/>
          <w:sz w:val="20"/>
        </w:rPr>
        <w:t>características sociodemográficas </w:t>
      </w:r>
      <w:r>
        <w:rPr>
          <w:color w:val="231F20"/>
          <w:spacing w:val="4"/>
          <w:w w:val="110"/>
          <w:sz w:val="20"/>
        </w:rPr>
        <w:t>del grupo </w:t>
      </w:r>
      <w:r>
        <w:rPr>
          <w:color w:val="231F20"/>
          <w:spacing w:val="5"/>
          <w:w w:val="110"/>
          <w:sz w:val="20"/>
        </w:rPr>
        <w:t>familiar del(a) pro- </w:t>
      </w:r>
      <w:r>
        <w:rPr>
          <w:color w:val="231F20"/>
          <w:w w:val="110"/>
          <w:sz w:val="20"/>
        </w:rPr>
        <w:t>pietario(a)</w:t>
      </w:r>
      <w:r>
        <w:rPr>
          <w:color w:val="231F20"/>
          <w:spacing w:val="-5"/>
          <w:w w:val="110"/>
          <w:sz w:val="20"/>
        </w:rPr>
        <w:t> </w:t>
      </w:r>
      <w:r>
        <w:rPr>
          <w:color w:val="231F20"/>
          <w:w w:val="110"/>
          <w:sz w:val="20"/>
        </w:rPr>
        <w:t>del</w:t>
      </w:r>
      <w:r>
        <w:rPr>
          <w:color w:val="231F20"/>
          <w:spacing w:val="-5"/>
          <w:w w:val="110"/>
          <w:sz w:val="20"/>
        </w:rPr>
        <w:t> </w:t>
      </w:r>
      <w:r>
        <w:rPr>
          <w:color w:val="231F20"/>
          <w:w w:val="110"/>
          <w:sz w:val="20"/>
        </w:rPr>
        <w:t>establecimiento</w:t>
      </w:r>
      <w:r>
        <w:rPr>
          <w:color w:val="231F20"/>
          <w:spacing w:val="-5"/>
          <w:w w:val="110"/>
          <w:sz w:val="20"/>
        </w:rPr>
        <w:t> </w:t>
      </w:r>
      <w:r>
        <w:rPr>
          <w:color w:val="231F20"/>
          <w:w w:val="110"/>
          <w:sz w:val="20"/>
        </w:rPr>
        <w:t>con</w:t>
      </w:r>
      <w:r>
        <w:rPr>
          <w:color w:val="231F20"/>
          <w:spacing w:val="-5"/>
          <w:w w:val="110"/>
          <w:sz w:val="20"/>
        </w:rPr>
        <w:t> </w:t>
      </w:r>
      <w:r>
        <w:rPr>
          <w:color w:val="231F20"/>
          <w:w w:val="110"/>
          <w:sz w:val="20"/>
        </w:rPr>
        <w:t>el</w:t>
      </w:r>
      <w:r>
        <w:rPr>
          <w:color w:val="231F20"/>
          <w:spacing w:val="-5"/>
          <w:w w:val="110"/>
          <w:sz w:val="20"/>
        </w:rPr>
        <w:t> </w:t>
      </w:r>
      <w:r>
        <w:rPr>
          <w:color w:val="231F20"/>
          <w:w w:val="110"/>
          <w:sz w:val="20"/>
        </w:rPr>
        <w:t>objetivo</w:t>
      </w:r>
      <w:r>
        <w:rPr>
          <w:color w:val="231F20"/>
          <w:spacing w:val="-5"/>
          <w:w w:val="110"/>
          <w:sz w:val="20"/>
        </w:rPr>
        <w:t> </w:t>
      </w:r>
      <w:r>
        <w:rPr>
          <w:color w:val="231F20"/>
          <w:w w:val="110"/>
          <w:sz w:val="20"/>
        </w:rPr>
        <w:t>de</w:t>
      </w:r>
      <w:r>
        <w:rPr>
          <w:color w:val="231F20"/>
          <w:spacing w:val="-5"/>
          <w:w w:val="110"/>
          <w:sz w:val="20"/>
        </w:rPr>
        <w:t> </w:t>
      </w:r>
      <w:r>
        <w:rPr>
          <w:color w:val="231F20"/>
          <w:w w:val="110"/>
          <w:sz w:val="20"/>
        </w:rPr>
        <w:t>contar</w:t>
      </w:r>
      <w:r>
        <w:rPr>
          <w:color w:val="231F20"/>
          <w:spacing w:val="-5"/>
          <w:w w:val="110"/>
          <w:sz w:val="20"/>
        </w:rPr>
        <w:t> </w:t>
      </w:r>
      <w:r>
        <w:rPr>
          <w:color w:val="231F20"/>
          <w:w w:val="110"/>
          <w:sz w:val="20"/>
        </w:rPr>
        <w:t>con</w:t>
      </w:r>
      <w:r>
        <w:rPr>
          <w:color w:val="231F20"/>
          <w:spacing w:val="-5"/>
          <w:w w:val="110"/>
          <w:sz w:val="20"/>
        </w:rPr>
        <w:t> </w:t>
      </w:r>
      <w:r>
        <w:rPr>
          <w:color w:val="231F20"/>
          <w:w w:val="110"/>
          <w:sz w:val="20"/>
        </w:rPr>
        <w:t>el</w:t>
      </w:r>
      <w:r>
        <w:rPr>
          <w:color w:val="231F20"/>
          <w:spacing w:val="-5"/>
          <w:w w:val="110"/>
          <w:sz w:val="20"/>
        </w:rPr>
        <w:t> </w:t>
      </w:r>
      <w:r>
        <w:rPr>
          <w:color w:val="231F20"/>
          <w:w w:val="110"/>
          <w:sz w:val="20"/>
        </w:rPr>
        <w:t>perfil de los individuos y de la</w:t>
      </w:r>
      <w:r>
        <w:rPr>
          <w:color w:val="231F20"/>
          <w:spacing w:val="35"/>
          <w:w w:val="110"/>
          <w:sz w:val="20"/>
        </w:rPr>
        <w:t> </w:t>
      </w:r>
      <w:r>
        <w:rPr>
          <w:color w:val="231F20"/>
          <w:w w:val="110"/>
          <w:sz w:val="20"/>
        </w:rPr>
        <w:t>familia.</w:t>
      </w:r>
    </w:p>
    <w:p>
      <w:pPr>
        <w:pStyle w:val="ListParagraph"/>
        <w:numPr>
          <w:ilvl w:val="0"/>
          <w:numId w:val="3"/>
        </w:numPr>
        <w:tabs>
          <w:tab w:pos="725" w:val="left" w:leader="none"/>
        </w:tabs>
        <w:spacing w:line="288" w:lineRule="auto" w:before="0" w:after="0"/>
        <w:ind w:left="724" w:right="112" w:hanging="240"/>
        <w:jc w:val="both"/>
        <w:rPr>
          <w:sz w:val="20"/>
        </w:rPr>
      </w:pPr>
      <w:r>
        <w:rPr>
          <w:color w:val="231F20"/>
          <w:w w:val="110"/>
          <w:sz w:val="20"/>
        </w:rPr>
        <w:t>La familia y el </w:t>
      </w:r>
      <w:r>
        <w:rPr>
          <w:color w:val="231F20"/>
          <w:spacing w:val="-3"/>
          <w:w w:val="110"/>
          <w:sz w:val="20"/>
        </w:rPr>
        <w:t>hogar. </w:t>
      </w:r>
      <w:r>
        <w:rPr>
          <w:color w:val="231F20"/>
          <w:w w:val="110"/>
          <w:sz w:val="20"/>
        </w:rPr>
        <w:t>Dirigido a conocer características como el ta- maño, la composición y la estructura del hogar de los(as) propie- tarios(as) de los</w:t>
      </w:r>
      <w:r>
        <w:rPr>
          <w:color w:val="231F20"/>
          <w:spacing w:val="-13"/>
          <w:w w:val="110"/>
          <w:sz w:val="20"/>
        </w:rPr>
        <w:t> </w:t>
      </w:r>
      <w:r>
        <w:rPr>
          <w:color w:val="231F20"/>
          <w:w w:val="110"/>
          <w:sz w:val="20"/>
        </w:rPr>
        <w:t>micronegocios.</w:t>
      </w:r>
    </w:p>
    <w:p>
      <w:pPr>
        <w:pStyle w:val="ListParagraph"/>
        <w:numPr>
          <w:ilvl w:val="0"/>
          <w:numId w:val="3"/>
        </w:numPr>
        <w:tabs>
          <w:tab w:pos="725" w:val="left" w:leader="none"/>
        </w:tabs>
        <w:spacing w:line="288" w:lineRule="auto" w:before="0" w:after="0"/>
        <w:ind w:left="724" w:right="112" w:hanging="240"/>
        <w:jc w:val="both"/>
        <w:rPr>
          <w:sz w:val="20"/>
        </w:rPr>
      </w:pPr>
      <w:r>
        <w:rPr>
          <w:color w:val="231F20"/>
          <w:w w:val="105"/>
          <w:sz w:val="20"/>
        </w:rPr>
        <w:t>La dinámica de la unidad doméstica. En este punto el interés es in- </w:t>
      </w:r>
      <w:r>
        <w:rPr>
          <w:color w:val="231F20"/>
          <w:spacing w:val="2"/>
          <w:w w:val="105"/>
          <w:sz w:val="20"/>
        </w:rPr>
        <w:t>dagar acerca </w:t>
      </w:r>
      <w:r>
        <w:rPr>
          <w:color w:val="231F20"/>
          <w:w w:val="105"/>
          <w:sz w:val="20"/>
        </w:rPr>
        <w:t>de las </w:t>
      </w:r>
      <w:r>
        <w:rPr>
          <w:color w:val="231F20"/>
          <w:spacing w:val="2"/>
          <w:w w:val="105"/>
          <w:sz w:val="20"/>
        </w:rPr>
        <w:t>relaciones intrafamiliares </w:t>
      </w:r>
      <w:r>
        <w:rPr>
          <w:color w:val="231F20"/>
          <w:w w:val="105"/>
          <w:sz w:val="20"/>
        </w:rPr>
        <w:t>que </w:t>
      </w:r>
      <w:r>
        <w:rPr>
          <w:color w:val="231F20"/>
          <w:spacing w:val="2"/>
          <w:w w:val="105"/>
          <w:sz w:val="20"/>
        </w:rPr>
        <w:t>mantienen </w:t>
      </w:r>
      <w:r>
        <w:rPr>
          <w:color w:val="231F20"/>
          <w:w w:val="105"/>
          <w:sz w:val="20"/>
        </w:rPr>
        <w:t>los integrantes de las unidades  seleccionadas,  así  como  en  la  división  de</w:t>
      </w:r>
      <w:r>
        <w:rPr>
          <w:color w:val="231F20"/>
          <w:spacing w:val="28"/>
          <w:w w:val="105"/>
          <w:sz w:val="20"/>
        </w:rPr>
        <w:t> </w:t>
      </w:r>
      <w:r>
        <w:rPr>
          <w:color w:val="231F20"/>
          <w:w w:val="105"/>
          <w:sz w:val="20"/>
        </w:rPr>
        <w:t>las</w:t>
      </w:r>
      <w:r>
        <w:rPr>
          <w:color w:val="231F20"/>
          <w:spacing w:val="28"/>
          <w:w w:val="105"/>
          <w:sz w:val="20"/>
        </w:rPr>
        <w:t> </w:t>
      </w:r>
      <w:r>
        <w:rPr>
          <w:color w:val="231F20"/>
          <w:w w:val="105"/>
          <w:sz w:val="20"/>
        </w:rPr>
        <w:t>actividades</w:t>
      </w:r>
      <w:r>
        <w:rPr>
          <w:color w:val="231F20"/>
          <w:spacing w:val="28"/>
          <w:w w:val="105"/>
          <w:sz w:val="20"/>
        </w:rPr>
        <w:t> </w:t>
      </w:r>
      <w:r>
        <w:rPr>
          <w:color w:val="231F20"/>
          <w:w w:val="105"/>
          <w:sz w:val="20"/>
        </w:rPr>
        <w:t>en</w:t>
      </w:r>
      <w:r>
        <w:rPr>
          <w:color w:val="231F20"/>
          <w:spacing w:val="28"/>
          <w:w w:val="105"/>
          <w:sz w:val="20"/>
        </w:rPr>
        <w:t> </w:t>
      </w:r>
      <w:r>
        <w:rPr>
          <w:color w:val="231F20"/>
          <w:w w:val="105"/>
          <w:sz w:val="20"/>
        </w:rPr>
        <w:t>el</w:t>
      </w:r>
      <w:r>
        <w:rPr>
          <w:color w:val="231F20"/>
          <w:spacing w:val="28"/>
          <w:w w:val="105"/>
          <w:sz w:val="20"/>
        </w:rPr>
        <w:t> </w:t>
      </w:r>
      <w:r>
        <w:rPr>
          <w:color w:val="231F20"/>
          <w:w w:val="105"/>
          <w:sz w:val="20"/>
        </w:rPr>
        <w:t>interior</w:t>
      </w:r>
      <w:r>
        <w:rPr>
          <w:color w:val="231F20"/>
          <w:spacing w:val="28"/>
          <w:w w:val="105"/>
          <w:sz w:val="20"/>
        </w:rPr>
        <w:t> </w:t>
      </w:r>
      <w:r>
        <w:rPr>
          <w:color w:val="231F20"/>
          <w:w w:val="105"/>
          <w:sz w:val="20"/>
        </w:rPr>
        <w:t>del</w:t>
      </w:r>
      <w:r>
        <w:rPr>
          <w:color w:val="231F20"/>
          <w:spacing w:val="28"/>
          <w:w w:val="105"/>
          <w:sz w:val="20"/>
        </w:rPr>
        <w:t> </w:t>
      </w:r>
      <w:r>
        <w:rPr>
          <w:color w:val="231F20"/>
          <w:w w:val="105"/>
          <w:sz w:val="20"/>
        </w:rPr>
        <w:t>hogar</w:t>
      </w:r>
      <w:r>
        <w:rPr>
          <w:color w:val="231F20"/>
          <w:spacing w:val="28"/>
          <w:w w:val="105"/>
          <w:sz w:val="20"/>
        </w:rPr>
        <w:t> </w:t>
      </w:r>
      <w:r>
        <w:rPr>
          <w:color w:val="231F20"/>
          <w:w w:val="105"/>
          <w:sz w:val="20"/>
        </w:rPr>
        <w:t>y</w:t>
      </w:r>
      <w:r>
        <w:rPr>
          <w:color w:val="231F20"/>
          <w:spacing w:val="28"/>
          <w:w w:val="105"/>
          <w:sz w:val="20"/>
        </w:rPr>
        <w:t> </w:t>
      </w:r>
      <w:r>
        <w:rPr>
          <w:color w:val="231F20"/>
          <w:w w:val="105"/>
          <w:sz w:val="20"/>
        </w:rPr>
        <w:t>del</w:t>
      </w:r>
      <w:r>
        <w:rPr>
          <w:color w:val="231F20"/>
          <w:spacing w:val="28"/>
          <w:w w:val="105"/>
          <w:sz w:val="20"/>
        </w:rPr>
        <w:t> </w:t>
      </w:r>
      <w:r>
        <w:rPr>
          <w:color w:val="231F20"/>
          <w:w w:val="105"/>
          <w:sz w:val="20"/>
        </w:rPr>
        <w:t>negocio.</w:t>
      </w:r>
    </w:p>
    <w:p>
      <w:pPr>
        <w:spacing w:after="0" w:line="288" w:lineRule="auto"/>
        <w:jc w:val="both"/>
        <w:rPr>
          <w:sz w:val="20"/>
        </w:rPr>
        <w:sectPr>
          <w:pgSz w:w="9520" w:h="12920"/>
          <w:pgMar w:header="0" w:footer="1344" w:top="880" w:bottom="1540" w:left="1320" w:right="1000"/>
        </w:sectPr>
      </w:pPr>
    </w:p>
    <w:p>
      <w:pPr>
        <w:pStyle w:val="ListParagraph"/>
        <w:numPr>
          <w:ilvl w:val="0"/>
          <w:numId w:val="3"/>
        </w:numPr>
        <w:tabs>
          <w:tab w:pos="700" w:val="left" w:leader="none"/>
        </w:tabs>
        <w:spacing w:line="288" w:lineRule="auto" w:before="42" w:after="0"/>
        <w:ind w:left="700" w:right="119" w:hanging="240"/>
        <w:jc w:val="both"/>
        <w:rPr>
          <w:sz w:val="20"/>
        </w:rPr>
      </w:pPr>
      <w:r>
        <w:rPr>
          <w:color w:val="231F20"/>
          <w:spacing w:val="3"/>
          <w:w w:val="110"/>
          <w:sz w:val="20"/>
        </w:rPr>
        <w:t>Características </w:t>
      </w:r>
      <w:r>
        <w:rPr>
          <w:color w:val="231F20"/>
          <w:spacing w:val="2"/>
          <w:w w:val="110"/>
          <w:sz w:val="20"/>
        </w:rPr>
        <w:t>del </w:t>
      </w:r>
      <w:r>
        <w:rPr>
          <w:color w:val="231F20"/>
          <w:spacing w:val="3"/>
          <w:w w:val="110"/>
          <w:sz w:val="20"/>
        </w:rPr>
        <w:t>trabajo realizado </w:t>
      </w:r>
      <w:r>
        <w:rPr>
          <w:color w:val="231F20"/>
          <w:w w:val="110"/>
          <w:sz w:val="20"/>
        </w:rPr>
        <w:t>en el </w:t>
      </w:r>
      <w:r>
        <w:rPr>
          <w:color w:val="231F20"/>
          <w:spacing w:val="3"/>
          <w:w w:val="110"/>
          <w:sz w:val="20"/>
        </w:rPr>
        <w:t>micronegocio. Intenta </w:t>
      </w:r>
      <w:r>
        <w:rPr>
          <w:color w:val="231F20"/>
          <w:w w:val="110"/>
          <w:sz w:val="20"/>
        </w:rPr>
        <w:t>aproximarse al conocimiento de las características que presentan las actividades laborales que se llevan a cabo en los pequeños esta- blecimientos.</w:t>
      </w:r>
    </w:p>
    <w:p>
      <w:pPr>
        <w:pStyle w:val="ListParagraph"/>
        <w:numPr>
          <w:ilvl w:val="0"/>
          <w:numId w:val="3"/>
        </w:numPr>
        <w:tabs>
          <w:tab w:pos="700" w:val="left" w:leader="none"/>
        </w:tabs>
        <w:spacing w:line="288" w:lineRule="auto" w:before="0" w:after="0"/>
        <w:ind w:left="700" w:right="118" w:hanging="240"/>
        <w:jc w:val="both"/>
        <w:rPr>
          <w:sz w:val="20"/>
        </w:rPr>
      </w:pPr>
      <w:r>
        <w:rPr>
          <w:color w:val="231F20"/>
          <w:w w:val="110"/>
          <w:sz w:val="20"/>
        </w:rPr>
        <w:t>Redes y apoyos. Tiene como objetivo indagar sobre las principales formas de apoyo y las redes que establecen los micronegocios para su funcionamiento y</w:t>
      </w:r>
      <w:r>
        <w:rPr>
          <w:color w:val="231F20"/>
          <w:spacing w:val="46"/>
          <w:w w:val="110"/>
          <w:sz w:val="20"/>
        </w:rPr>
        <w:t> </w:t>
      </w:r>
      <w:r>
        <w:rPr>
          <w:color w:val="231F20"/>
          <w:w w:val="110"/>
          <w:sz w:val="20"/>
        </w:rPr>
        <w:t>subsistencia.</w:t>
      </w:r>
    </w:p>
    <w:p>
      <w:pPr>
        <w:pStyle w:val="ListParagraph"/>
        <w:numPr>
          <w:ilvl w:val="0"/>
          <w:numId w:val="3"/>
        </w:numPr>
        <w:tabs>
          <w:tab w:pos="700" w:val="left" w:leader="none"/>
        </w:tabs>
        <w:spacing w:line="288" w:lineRule="auto" w:before="0" w:after="0"/>
        <w:ind w:left="700" w:right="119" w:hanging="240"/>
        <w:jc w:val="both"/>
        <w:rPr>
          <w:sz w:val="20"/>
        </w:rPr>
      </w:pPr>
      <w:r>
        <w:rPr>
          <w:color w:val="231F20"/>
          <w:w w:val="110"/>
          <w:sz w:val="20"/>
        </w:rPr>
        <w:t>Manejo y distribución de los recursos. Procura indagar en los recur- sos que ingresan en el negocio mediante equipos, materias primas  o solicitudes de</w:t>
      </w:r>
      <w:r>
        <w:rPr>
          <w:color w:val="231F20"/>
          <w:spacing w:val="15"/>
          <w:w w:val="110"/>
          <w:sz w:val="20"/>
        </w:rPr>
        <w:t> </w:t>
      </w:r>
      <w:r>
        <w:rPr>
          <w:color w:val="231F20"/>
          <w:w w:val="110"/>
          <w:sz w:val="20"/>
        </w:rPr>
        <w:t>créditos.</w:t>
      </w:r>
    </w:p>
    <w:p>
      <w:pPr>
        <w:pStyle w:val="ListParagraph"/>
        <w:numPr>
          <w:ilvl w:val="0"/>
          <w:numId w:val="3"/>
        </w:numPr>
        <w:tabs>
          <w:tab w:pos="700" w:val="left" w:leader="none"/>
        </w:tabs>
        <w:spacing w:line="288" w:lineRule="auto" w:before="0" w:after="0"/>
        <w:ind w:left="700" w:right="117" w:hanging="240"/>
        <w:jc w:val="both"/>
        <w:rPr>
          <w:sz w:val="20"/>
        </w:rPr>
      </w:pPr>
      <w:r>
        <w:rPr>
          <w:color w:val="231F20"/>
          <w:w w:val="110"/>
          <w:sz w:val="20"/>
        </w:rPr>
        <w:t>Participación y toma de decisiones. Se orienta a reconocer los</w:t>
      </w:r>
      <w:r>
        <w:rPr>
          <w:color w:val="231F20"/>
          <w:spacing w:val="-15"/>
          <w:w w:val="110"/>
          <w:sz w:val="20"/>
        </w:rPr>
        <w:t> </w:t>
      </w:r>
      <w:r>
        <w:rPr>
          <w:color w:val="231F20"/>
          <w:w w:val="110"/>
          <w:sz w:val="20"/>
        </w:rPr>
        <w:t>meca- nismos de participación y toma de decisiones de los integrantes de la unidad familiar y del pequeño</w:t>
      </w:r>
      <w:r>
        <w:rPr>
          <w:color w:val="231F20"/>
          <w:spacing w:val="2"/>
          <w:w w:val="110"/>
          <w:sz w:val="20"/>
        </w:rPr>
        <w:t> </w:t>
      </w:r>
      <w:r>
        <w:rPr>
          <w:color w:val="231F20"/>
          <w:w w:val="110"/>
          <w:sz w:val="20"/>
        </w:rPr>
        <w:t>establecimiento.</w:t>
      </w:r>
    </w:p>
    <w:p>
      <w:pPr>
        <w:pStyle w:val="ListParagraph"/>
        <w:numPr>
          <w:ilvl w:val="0"/>
          <w:numId w:val="3"/>
        </w:numPr>
        <w:tabs>
          <w:tab w:pos="700" w:val="left" w:leader="none"/>
        </w:tabs>
        <w:spacing w:line="288" w:lineRule="auto" w:before="0" w:after="0"/>
        <w:ind w:left="700" w:right="117" w:hanging="240"/>
        <w:jc w:val="both"/>
        <w:rPr>
          <w:sz w:val="20"/>
        </w:rPr>
      </w:pPr>
      <w:r>
        <w:rPr>
          <w:color w:val="231F20"/>
          <w:w w:val="110"/>
          <w:sz w:val="20"/>
        </w:rPr>
        <w:t>Percepciones y expectativas con respecto al negocio. Busca conocer las percepciones, expectativas, temores, ansiedades e intereses pre- sentes y futuros de los propietarios y los trabajadores en relación con el</w:t>
      </w:r>
      <w:r>
        <w:rPr>
          <w:color w:val="231F20"/>
          <w:spacing w:val="30"/>
          <w:w w:val="110"/>
          <w:sz w:val="20"/>
        </w:rPr>
        <w:t> </w:t>
      </w:r>
      <w:r>
        <w:rPr>
          <w:color w:val="231F20"/>
          <w:w w:val="110"/>
          <w:sz w:val="20"/>
        </w:rPr>
        <w:t>negocio.</w:t>
      </w:r>
    </w:p>
    <w:p>
      <w:pPr>
        <w:pStyle w:val="ListParagraph"/>
        <w:numPr>
          <w:ilvl w:val="0"/>
          <w:numId w:val="3"/>
        </w:numPr>
        <w:tabs>
          <w:tab w:pos="700" w:val="left" w:leader="none"/>
        </w:tabs>
        <w:spacing w:line="288" w:lineRule="auto" w:before="0" w:after="0"/>
        <w:ind w:left="700" w:right="119" w:hanging="240"/>
        <w:jc w:val="both"/>
        <w:rPr>
          <w:sz w:val="20"/>
        </w:rPr>
      </w:pPr>
      <w:r>
        <w:rPr>
          <w:color w:val="231F20"/>
          <w:w w:val="110"/>
          <w:sz w:val="20"/>
        </w:rPr>
        <w:t>El trabajo con la familia en la misma casa. El objetivo es analizar las </w:t>
      </w:r>
      <w:r>
        <w:rPr>
          <w:color w:val="231F20"/>
          <w:spacing w:val="-4"/>
          <w:w w:val="110"/>
          <w:sz w:val="20"/>
        </w:rPr>
        <w:t>implicaciones </w:t>
      </w:r>
      <w:r>
        <w:rPr>
          <w:color w:val="231F20"/>
          <w:spacing w:val="-3"/>
          <w:w w:val="110"/>
          <w:sz w:val="20"/>
        </w:rPr>
        <w:t>que </w:t>
      </w:r>
      <w:r>
        <w:rPr>
          <w:color w:val="231F20"/>
          <w:spacing w:val="-4"/>
          <w:w w:val="110"/>
          <w:sz w:val="20"/>
        </w:rPr>
        <w:t>tiene </w:t>
      </w:r>
      <w:r>
        <w:rPr>
          <w:color w:val="231F20"/>
          <w:w w:val="110"/>
          <w:sz w:val="20"/>
        </w:rPr>
        <w:t>el </w:t>
      </w:r>
      <w:r>
        <w:rPr>
          <w:color w:val="231F20"/>
          <w:spacing w:val="-4"/>
          <w:w w:val="110"/>
          <w:sz w:val="20"/>
        </w:rPr>
        <w:t>hecho </w:t>
      </w:r>
      <w:r>
        <w:rPr>
          <w:color w:val="231F20"/>
          <w:w w:val="110"/>
          <w:sz w:val="20"/>
        </w:rPr>
        <w:t>de </w:t>
      </w:r>
      <w:r>
        <w:rPr>
          <w:color w:val="231F20"/>
          <w:spacing w:val="-4"/>
          <w:w w:val="110"/>
          <w:sz w:val="20"/>
        </w:rPr>
        <w:t>trabajar </w:t>
      </w:r>
      <w:r>
        <w:rPr>
          <w:color w:val="231F20"/>
          <w:spacing w:val="-3"/>
          <w:w w:val="110"/>
          <w:sz w:val="20"/>
        </w:rPr>
        <w:t>con </w:t>
      </w:r>
      <w:r>
        <w:rPr>
          <w:color w:val="231F20"/>
          <w:w w:val="110"/>
          <w:sz w:val="20"/>
        </w:rPr>
        <w:t>la </w:t>
      </w:r>
      <w:r>
        <w:rPr>
          <w:color w:val="231F20"/>
          <w:spacing w:val="-4"/>
          <w:w w:val="110"/>
          <w:sz w:val="20"/>
        </w:rPr>
        <w:t>familia </w:t>
      </w:r>
      <w:r>
        <w:rPr>
          <w:color w:val="231F20"/>
          <w:w w:val="110"/>
          <w:sz w:val="20"/>
        </w:rPr>
        <w:t>en la</w:t>
      </w:r>
      <w:r>
        <w:rPr>
          <w:color w:val="231F20"/>
          <w:spacing w:val="-23"/>
          <w:w w:val="110"/>
          <w:sz w:val="20"/>
        </w:rPr>
        <w:t> </w:t>
      </w:r>
      <w:r>
        <w:rPr>
          <w:color w:val="231F20"/>
          <w:spacing w:val="-4"/>
          <w:w w:val="110"/>
          <w:sz w:val="20"/>
        </w:rPr>
        <w:t>misma </w:t>
      </w:r>
      <w:r>
        <w:rPr>
          <w:color w:val="231F20"/>
          <w:w w:val="110"/>
          <w:sz w:val="20"/>
        </w:rPr>
        <w:t>casa en que la unidad familiar  vive.</w:t>
      </w:r>
    </w:p>
    <w:p>
      <w:pPr>
        <w:pStyle w:val="BodyText"/>
        <w:spacing w:before="1"/>
        <w:rPr>
          <w:sz w:val="24"/>
        </w:rPr>
      </w:pPr>
    </w:p>
    <w:p>
      <w:pPr>
        <w:pStyle w:val="BodyText"/>
        <w:spacing w:line="288" w:lineRule="auto"/>
        <w:ind w:left="100" w:right="115" w:firstLine="360"/>
        <w:jc w:val="both"/>
      </w:pPr>
      <w:r>
        <w:rPr>
          <w:color w:val="231F20"/>
          <w:w w:val="110"/>
        </w:rPr>
        <w:t>Las entrevistas se han llevado a cabo en los hogares de las personas, que a su vez son utilizados como ámbitos para el desarrollo de las activi- dades del negocio. La utilización del hogar como unidad de análisis de la </w:t>
      </w:r>
      <w:r>
        <w:rPr>
          <w:color w:val="231F20"/>
          <w:spacing w:val="3"/>
          <w:w w:val="110"/>
        </w:rPr>
        <w:t>participación </w:t>
      </w:r>
      <w:r>
        <w:rPr>
          <w:color w:val="231F20"/>
          <w:w w:val="110"/>
        </w:rPr>
        <w:t>de </w:t>
      </w:r>
      <w:r>
        <w:rPr>
          <w:color w:val="231F20"/>
          <w:spacing w:val="2"/>
          <w:w w:val="110"/>
        </w:rPr>
        <w:t>los </w:t>
      </w:r>
      <w:r>
        <w:rPr>
          <w:color w:val="231F20"/>
          <w:spacing w:val="3"/>
          <w:w w:val="110"/>
        </w:rPr>
        <w:t>individuos </w:t>
      </w:r>
      <w:r>
        <w:rPr>
          <w:color w:val="231F20"/>
          <w:w w:val="110"/>
        </w:rPr>
        <w:t>en la </w:t>
      </w:r>
      <w:r>
        <w:rPr>
          <w:color w:val="231F20"/>
          <w:spacing w:val="3"/>
          <w:w w:val="110"/>
        </w:rPr>
        <w:t>actividad económica, trae implícita </w:t>
      </w:r>
      <w:r>
        <w:rPr>
          <w:color w:val="231F20"/>
          <w:w w:val="110"/>
        </w:rPr>
        <w:t>la</w:t>
      </w:r>
      <w:r>
        <w:rPr>
          <w:color w:val="231F20"/>
          <w:spacing w:val="2"/>
          <w:w w:val="110"/>
        </w:rPr>
        <w:t> </w:t>
      </w:r>
      <w:r>
        <w:rPr>
          <w:color w:val="231F20"/>
          <w:w w:val="110"/>
        </w:rPr>
        <w:t>conceptualización</w:t>
      </w:r>
      <w:r>
        <w:rPr>
          <w:color w:val="231F20"/>
          <w:spacing w:val="-5"/>
          <w:w w:val="110"/>
        </w:rPr>
        <w:t> </w:t>
      </w:r>
      <w:r>
        <w:rPr>
          <w:color w:val="231F20"/>
          <w:w w:val="110"/>
        </w:rPr>
        <w:t>del</w:t>
      </w:r>
      <w:r>
        <w:rPr>
          <w:color w:val="231F20"/>
          <w:spacing w:val="-5"/>
          <w:w w:val="110"/>
        </w:rPr>
        <w:t> </w:t>
      </w:r>
      <w:r>
        <w:rPr>
          <w:color w:val="231F20"/>
          <w:w w:val="110"/>
        </w:rPr>
        <w:t>hogar</w:t>
      </w:r>
      <w:r>
        <w:rPr>
          <w:color w:val="231F20"/>
          <w:spacing w:val="-5"/>
          <w:w w:val="110"/>
        </w:rPr>
        <w:t> </w:t>
      </w:r>
      <w:r>
        <w:rPr>
          <w:color w:val="231F20"/>
          <w:w w:val="110"/>
        </w:rPr>
        <w:t>como</w:t>
      </w:r>
      <w:r>
        <w:rPr>
          <w:color w:val="231F20"/>
          <w:spacing w:val="-5"/>
          <w:w w:val="110"/>
        </w:rPr>
        <w:t> </w:t>
      </w:r>
      <w:r>
        <w:rPr>
          <w:color w:val="231F20"/>
          <w:w w:val="110"/>
        </w:rPr>
        <w:t>un</w:t>
      </w:r>
      <w:r>
        <w:rPr>
          <w:color w:val="231F20"/>
          <w:spacing w:val="-5"/>
          <w:w w:val="110"/>
        </w:rPr>
        <w:t> </w:t>
      </w:r>
      <w:r>
        <w:rPr>
          <w:color w:val="231F20"/>
          <w:w w:val="110"/>
        </w:rPr>
        <w:t>ámbito</w:t>
      </w:r>
      <w:r>
        <w:rPr>
          <w:color w:val="231F20"/>
          <w:spacing w:val="-5"/>
          <w:w w:val="110"/>
        </w:rPr>
        <w:t> </w:t>
      </w:r>
      <w:r>
        <w:rPr>
          <w:color w:val="231F20"/>
          <w:w w:val="110"/>
        </w:rPr>
        <w:t>social</w:t>
      </w:r>
      <w:r>
        <w:rPr>
          <w:color w:val="231F20"/>
          <w:spacing w:val="-5"/>
          <w:w w:val="110"/>
        </w:rPr>
        <w:t> </w:t>
      </w:r>
      <w:r>
        <w:rPr>
          <w:color w:val="231F20"/>
          <w:w w:val="110"/>
        </w:rPr>
        <w:t>donde</w:t>
      </w:r>
      <w:r>
        <w:rPr>
          <w:color w:val="231F20"/>
          <w:spacing w:val="-5"/>
          <w:w w:val="110"/>
        </w:rPr>
        <w:t> </w:t>
      </w:r>
      <w:r>
        <w:rPr>
          <w:color w:val="231F20"/>
          <w:w w:val="110"/>
        </w:rPr>
        <w:t>los</w:t>
      </w:r>
      <w:r>
        <w:rPr>
          <w:color w:val="231F20"/>
          <w:spacing w:val="-5"/>
          <w:w w:val="110"/>
        </w:rPr>
        <w:t> </w:t>
      </w:r>
      <w:r>
        <w:rPr>
          <w:color w:val="231F20"/>
          <w:w w:val="110"/>
        </w:rPr>
        <w:t>individuos organizan, con armonías o conflictos, diversas actividades necesarias para la</w:t>
      </w:r>
      <w:r>
        <w:rPr>
          <w:color w:val="231F20"/>
          <w:spacing w:val="-5"/>
          <w:w w:val="110"/>
        </w:rPr>
        <w:t> </w:t>
      </w:r>
      <w:r>
        <w:rPr>
          <w:color w:val="231F20"/>
          <w:w w:val="110"/>
        </w:rPr>
        <w:t>reproducción</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vida</w:t>
      </w:r>
      <w:r>
        <w:rPr>
          <w:color w:val="231F20"/>
          <w:spacing w:val="-5"/>
          <w:w w:val="110"/>
        </w:rPr>
        <w:t> </w:t>
      </w:r>
      <w:r>
        <w:rPr>
          <w:color w:val="231F20"/>
          <w:w w:val="110"/>
        </w:rPr>
        <w:t>cotidiana.</w:t>
      </w:r>
      <w:r>
        <w:rPr>
          <w:color w:val="231F20"/>
          <w:spacing w:val="-5"/>
          <w:w w:val="110"/>
        </w:rPr>
        <w:t> </w:t>
      </w:r>
      <w:r>
        <w:rPr>
          <w:color w:val="231F20"/>
          <w:w w:val="110"/>
        </w:rPr>
        <w:t>La</w:t>
      </w:r>
      <w:r>
        <w:rPr>
          <w:color w:val="231F20"/>
          <w:spacing w:val="-5"/>
          <w:w w:val="110"/>
        </w:rPr>
        <w:t> </w:t>
      </w:r>
      <w:r>
        <w:rPr>
          <w:color w:val="231F20"/>
          <w:w w:val="110"/>
        </w:rPr>
        <w:t>pertenencia</w:t>
      </w:r>
      <w:r>
        <w:rPr>
          <w:color w:val="231F20"/>
          <w:spacing w:val="-5"/>
          <w:w w:val="110"/>
        </w:rPr>
        <w:t> </w:t>
      </w:r>
      <w:r>
        <w:rPr>
          <w:color w:val="231F20"/>
          <w:w w:val="110"/>
        </w:rPr>
        <w:t>a</w:t>
      </w:r>
      <w:r>
        <w:rPr>
          <w:color w:val="231F20"/>
          <w:spacing w:val="-5"/>
          <w:w w:val="110"/>
        </w:rPr>
        <w:t> </w:t>
      </w:r>
      <w:r>
        <w:rPr>
          <w:color w:val="231F20"/>
          <w:w w:val="110"/>
        </w:rPr>
        <w:t>un</w:t>
      </w:r>
      <w:r>
        <w:rPr>
          <w:color w:val="231F20"/>
          <w:spacing w:val="-5"/>
          <w:w w:val="110"/>
        </w:rPr>
        <w:t> </w:t>
      </w:r>
      <w:r>
        <w:rPr>
          <w:color w:val="231F20"/>
          <w:w w:val="110"/>
        </w:rPr>
        <w:t>hogar</w:t>
      </w:r>
      <w:r>
        <w:rPr>
          <w:color w:val="231F20"/>
          <w:spacing w:val="-5"/>
          <w:w w:val="110"/>
        </w:rPr>
        <w:t> </w:t>
      </w:r>
      <w:r>
        <w:rPr>
          <w:color w:val="231F20"/>
          <w:w w:val="110"/>
        </w:rPr>
        <w:t>supone</w:t>
      </w:r>
      <w:r>
        <w:rPr>
          <w:color w:val="231F20"/>
          <w:spacing w:val="-5"/>
          <w:w w:val="110"/>
        </w:rPr>
        <w:t> </w:t>
      </w:r>
      <w:r>
        <w:rPr>
          <w:color w:val="231F20"/>
          <w:w w:val="110"/>
        </w:rPr>
        <w:t>una experiencia de vida en común, de tal manera que cada miembro encuentra múltiples estímulos y obstáculos para su acción individual. </w:t>
      </w:r>
      <w:r>
        <w:rPr>
          <w:color w:val="231F20"/>
          <w:spacing w:val="-3"/>
          <w:w w:val="110"/>
        </w:rPr>
        <w:t>Formar </w:t>
      </w:r>
      <w:r>
        <w:rPr>
          <w:color w:val="231F20"/>
          <w:w w:val="110"/>
        </w:rPr>
        <w:t>parte de </w:t>
      </w:r>
      <w:r>
        <w:rPr>
          <w:color w:val="231F20"/>
          <w:spacing w:val="-3"/>
          <w:w w:val="110"/>
        </w:rPr>
        <w:t>una </w:t>
      </w:r>
      <w:r>
        <w:rPr>
          <w:color w:val="231F20"/>
          <w:spacing w:val="-4"/>
          <w:w w:val="110"/>
        </w:rPr>
        <w:t>familia también implica utilizar </w:t>
      </w:r>
      <w:r>
        <w:rPr>
          <w:color w:val="231F20"/>
          <w:spacing w:val="-3"/>
          <w:w w:val="110"/>
        </w:rPr>
        <w:t>una </w:t>
      </w:r>
      <w:r>
        <w:rPr>
          <w:color w:val="231F20"/>
          <w:spacing w:val="-4"/>
          <w:w w:val="110"/>
        </w:rPr>
        <w:t>misma infraestructura, aunque</w:t>
      </w:r>
      <w:r>
        <w:rPr>
          <w:color w:val="231F20"/>
          <w:spacing w:val="-16"/>
          <w:w w:val="110"/>
        </w:rPr>
        <w:t> </w:t>
      </w:r>
      <w:r>
        <w:rPr>
          <w:color w:val="231F20"/>
          <w:w w:val="110"/>
        </w:rPr>
        <w:t>de manera desigual, para la satisfacción de sus necesidades (García, Muñoz y </w:t>
      </w:r>
      <w:r>
        <w:rPr>
          <w:color w:val="231F20"/>
          <w:w w:val="105"/>
        </w:rPr>
        <w:t>Oliveira,</w:t>
      </w:r>
      <w:r>
        <w:rPr>
          <w:color w:val="231F20"/>
          <w:spacing w:val="24"/>
          <w:w w:val="105"/>
        </w:rPr>
        <w:t> </w:t>
      </w:r>
      <w:r>
        <w:rPr>
          <w:color w:val="231F20"/>
          <w:w w:val="105"/>
        </w:rPr>
        <w:t>1989).</w:t>
      </w:r>
    </w:p>
    <w:p>
      <w:pPr>
        <w:spacing w:after="0" w:line="288" w:lineRule="auto"/>
        <w:jc w:val="both"/>
        <w:sectPr>
          <w:footerReference w:type="even" r:id="rId27"/>
          <w:footerReference w:type="default" r:id="rId28"/>
          <w:pgSz w:w="9520" w:h="12920"/>
          <w:pgMar w:footer="1344" w:header="0" w:top="880" w:bottom="1540" w:left="1020" w:right="1320"/>
        </w:sectPr>
      </w:pPr>
    </w:p>
    <w:p>
      <w:pPr>
        <w:pStyle w:val="Heading3"/>
        <w:spacing w:before="38"/>
        <w:jc w:val="left"/>
        <w:rPr>
          <w:i/>
        </w:rPr>
      </w:pPr>
      <w:r>
        <w:rPr>
          <w:i/>
          <w:color w:val="231F20"/>
        </w:rPr>
        <w:t>Las unidades entrevistadas</w:t>
      </w:r>
    </w:p>
    <w:p>
      <w:pPr>
        <w:pStyle w:val="BodyText"/>
        <w:spacing w:before="4"/>
        <w:rPr>
          <w:rFonts w:ascii="Calibri"/>
          <w:i/>
          <w:sz w:val="22"/>
        </w:rPr>
      </w:pPr>
    </w:p>
    <w:p>
      <w:pPr>
        <w:pStyle w:val="BodyText"/>
        <w:spacing w:line="288" w:lineRule="auto"/>
        <w:ind w:left="120" w:right="113"/>
        <w:jc w:val="right"/>
      </w:pPr>
      <w:r>
        <w:rPr>
          <w:color w:val="231F20"/>
          <w:w w:val="110"/>
        </w:rPr>
        <w:t>Se</w:t>
      </w:r>
      <w:r>
        <w:rPr>
          <w:color w:val="231F20"/>
          <w:spacing w:val="-13"/>
          <w:w w:val="110"/>
        </w:rPr>
        <w:t> </w:t>
      </w:r>
      <w:r>
        <w:rPr>
          <w:color w:val="231F20"/>
          <w:spacing w:val="-4"/>
          <w:w w:val="110"/>
        </w:rPr>
        <w:t>entrevistaron</w:t>
      </w:r>
      <w:r>
        <w:rPr>
          <w:color w:val="231F20"/>
          <w:spacing w:val="-13"/>
          <w:w w:val="110"/>
        </w:rPr>
        <w:t> </w:t>
      </w:r>
      <w:r>
        <w:rPr>
          <w:color w:val="231F20"/>
          <w:w w:val="110"/>
        </w:rPr>
        <w:t>22</w:t>
      </w:r>
      <w:r>
        <w:rPr>
          <w:color w:val="231F20"/>
          <w:spacing w:val="-13"/>
          <w:w w:val="110"/>
        </w:rPr>
        <w:t> </w:t>
      </w:r>
      <w:r>
        <w:rPr>
          <w:color w:val="231F20"/>
          <w:spacing w:val="-4"/>
          <w:w w:val="110"/>
        </w:rPr>
        <w:t>propietarios</w:t>
      </w:r>
      <w:r>
        <w:rPr>
          <w:color w:val="231F20"/>
          <w:spacing w:val="-13"/>
          <w:w w:val="110"/>
        </w:rPr>
        <w:t> </w:t>
      </w:r>
      <w:r>
        <w:rPr>
          <w:color w:val="231F20"/>
          <w:w w:val="110"/>
        </w:rPr>
        <w:t>y</w:t>
      </w:r>
      <w:r>
        <w:rPr>
          <w:color w:val="231F20"/>
          <w:spacing w:val="-13"/>
          <w:w w:val="110"/>
        </w:rPr>
        <w:t> </w:t>
      </w:r>
      <w:r>
        <w:rPr>
          <w:color w:val="231F20"/>
          <w:spacing w:val="-4"/>
          <w:w w:val="110"/>
        </w:rPr>
        <w:t>propietarias</w:t>
      </w:r>
      <w:r>
        <w:rPr>
          <w:color w:val="231F20"/>
          <w:spacing w:val="-13"/>
          <w:w w:val="110"/>
        </w:rPr>
        <w:t> </w:t>
      </w:r>
      <w:r>
        <w:rPr>
          <w:color w:val="231F20"/>
          <w:w w:val="110"/>
        </w:rPr>
        <w:t>de</w:t>
      </w:r>
      <w:r>
        <w:rPr>
          <w:color w:val="231F20"/>
          <w:spacing w:val="-13"/>
          <w:w w:val="110"/>
        </w:rPr>
        <w:t> </w:t>
      </w:r>
      <w:r>
        <w:rPr>
          <w:color w:val="231F20"/>
          <w:spacing w:val="-4"/>
          <w:w w:val="110"/>
        </w:rPr>
        <w:t>pequeños</w:t>
      </w:r>
      <w:r>
        <w:rPr>
          <w:color w:val="231F20"/>
          <w:spacing w:val="-13"/>
          <w:w w:val="110"/>
        </w:rPr>
        <w:t> </w:t>
      </w:r>
      <w:r>
        <w:rPr>
          <w:color w:val="231F20"/>
          <w:spacing w:val="-4"/>
          <w:w w:val="110"/>
        </w:rPr>
        <w:t>establecimientos</w:t>
      </w:r>
      <w:r>
        <w:rPr>
          <w:color w:val="231F20"/>
          <w:w w:val="118"/>
        </w:rPr>
        <w:t> </w:t>
      </w:r>
      <w:r>
        <w:rPr>
          <w:color w:val="231F20"/>
          <w:w w:val="110"/>
        </w:rPr>
        <w:t>en</w:t>
      </w:r>
      <w:r>
        <w:rPr>
          <w:color w:val="231F20"/>
          <w:spacing w:val="21"/>
          <w:w w:val="110"/>
        </w:rPr>
        <w:t> </w:t>
      </w:r>
      <w:r>
        <w:rPr>
          <w:color w:val="231F20"/>
          <w:w w:val="110"/>
        </w:rPr>
        <w:t>la</w:t>
      </w:r>
      <w:r>
        <w:rPr>
          <w:color w:val="231F20"/>
          <w:spacing w:val="21"/>
          <w:w w:val="110"/>
        </w:rPr>
        <w:t> </w:t>
      </w:r>
      <w:r>
        <w:rPr>
          <w:color w:val="231F20"/>
          <w:w w:val="110"/>
        </w:rPr>
        <w:t>Ciudad</w:t>
      </w:r>
      <w:r>
        <w:rPr>
          <w:color w:val="231F20"/>
          <w:spacing w:val="21"/>
          <w:w w:val="110"/>
        </w:rPr>
        <w:t> </w:t>
      </w:r>
      <w:r>
        <w:rPr>
          <w:color w:val="231F20"/>
          <w:w w:val="110"/>
        </w:rPr>
        <w:t>de</w:t>
      </w:r>
      <w:r>
        <w:rPr>
          <w:color w:val="231F20"/>
          <w:spacing w:val="21"/>
          <w:w w:val="110"/>
        </w:rPr>
        <w:t> </w:t>
      </w:r>
      <w:r>
        <w:rPr>
          <w:color w:val="231F20"/>
          <w:w w:val="110"/>
        </w:rPr>
        <w:t>México</w:t>
      </w:r>
      <w:r>
        <w:rPr>
          <w:color w:val="231F20"/>
          <w:spacing w:val="21"/>
          <w:w w:val="110"/>
        </w:rPr>
        <w:t> </w:t>
      </w:r>
      <w:r>
        <w:rPr>
          <w:color w:val="231F20"/>
          <w:w w:val="110"/>
        </w:rPr>
        <w:t>durante</w:t>
      </w:r>
      <w:r>
        <w:rPr>
          <w:color w:val="231F20"/>
          <w:spacing w:val="21"/>
          <w:w w:val="110"/>
        </w:rPr>
        <w:t> </w:t>
      </w:r>
      <w:r>
        <w:rPr>
          <w:color w:val="231F20"/>
          <w:w w:val="110"/>
        </w:rPr>
        <w:t>los</w:t>
      </w:r>
      <w:r>
        <w:rPr>
          <w:color w:val="231F20"/>
          <w:spacing w:val="21"/>
          <w:w w:val="110"/>
        </w:rPr>
        <w:t> </w:t>
      </w:r>
      <w:r>
        <w:rPr>
          <w:color w:val="231F20"/>
          <w:w w:val="110"/>
        </w:rPr>
        <w:t>meses</w:t>
      </w:r>
      <w:r>
        <w:rPr>
          <w:color w:val="231F20"/>
          <w:spacing w:val="21"/>
          <w:w w:val="110"/>
        </w:rPr>
        <w:t> </w:t>
      </w:r>
      <w:r>
        <w:rPr>
          <w:color w:val="231F20"/>
          <w:w w:val="110"/>
        </w:rPr>
        <w:t>de</w:t>
      </w:r>
      <w:r>
        <w:rPr>
          <w:color w:val="231F20"/>
          <w:spacing w:val="21"/>
          <w:w w:val="110"/>
        </w:rPr>
        <w:t> </w:t>
      </w:r>
      <w:r>
        <w:rPr>
          <w:color w:val="231F20"/>
          <w:w w:val="110"/>
        </w:rPr>
        <w:t>noviembre</w:t>
      </w:r>
      <w:r>
        <w:rPr>
          <w:color w:val="231F20"/>
          <w:spacing w:val="21"/>
          <w:w w:val="110"/>
        </w:rPr>
        <w:t> </w:t>
      </w:r>
      <w:r>
        <w:rPr>
          <w:color w:val="231F20"/>
          <w:w w:val="110"/>
        </w:rPr>
        <w:t>de</w:t>
      </w:r>
      <w:r>
        <w:rPr>
          <w:color w:val="231F20"/>
          <w:spacing w:val="21"/>
          <w:w w:val="110"/>
        </w:rPr>
        <w:t> </w:t>
      </w:r>
      <w:r>
        <w:rPr>
          <w:color w:val="231F20"/>
          <w:w w:val="110"/>
        </w:rPr>
        <w:t>2003</w:t>
      </w:r>
      <w:r>
        <w:rPr>
          <w:color w:val="231F20"/>
          <w:spacing w:val="21"/>
          <w:w w:val="110"/>
        </w:rPr>
        <w:t> </w:t>
      </w:r>
      <w:r>
        <w:rPr>
          <w:color w:val="231F20"/>
          <w:w w:val="110"/>
        </w:rPr>
        <w:t>a</w:t>
      </w:r>
      <w:r>
        <w:rPr>
          <w:color w:val="231F20"/>
          <w:spacing w:val="21"/>
          <w:w w:val="110"/>
        </w:rPr>
        <w:t> </w:t>
      </w:r>
      <w:r>
        <w:rPr>
          <w:color w:val="231F20"/>
          <w:w w:val="110"/>
        </w:rPr>
        <w:t>sep-</w:t>
      </w:r>
      <w:r>
        <w:rPr>
          <w:color w:val="231F20"/>
          <w:w w:val="93"/>
        </w:rPr>
        <w:t> </w:t>
      </w:r>
      <w:r>
        <w:rPr>
          <w:color w:val="231F20"/>
          <w:w w:val="110"/>
        </w:rPr>
        <w:t>tiembre del año 2004; 11 pertenecientes al rubro de restaurantes</w:t>
      </w:r>
      <w:r>
        <w:rPr>
          <w:color w:val="231F20"/>
          <w:spacing w:val="22"/>
          <w:w w:val="110"/>
        </w:rPr>
        <w:t> </w:t>
      </w:r>
      <w:r>
        <w:rPr>
          <w:color w:val="231F20"/>
          <w:w w:val="110"/>
        </w:rPr>
        <w:t>o</w:t>
      </w:r>
      <w:r>
        <w:rPr>
          <w:color w:val="231F20"/>
          <w:spacing w:val="7"/>
          <w:w w:val="110"/>
        </w:rPr>
        <w:t> </w:t>
      </w:r>
      <w:r>
        <w:rPr>
          <w:color w:val="231F20"/>
          <w:w w:val="110"/>
        </w:rPr>
        <w:t>nego-</w:t>
      </w:r>
      <w:r>
        <w:rPr>
          <w:color w:val="231F20"/>
          <w:w w:val="93"/>
        </w:rPr>
        <w:t> </w:t>
      </w:r>
      <w:r>
        <w:rPr>
          <w:color w:val="231F20"/>
          <w:w w:val="110"/>
        </w:rPr>
        <w:t>cios de comida y los 11 restantes ubicados en el giro de los</w:t>
      </w:r>
      <w:r>
        <w:rPr>
          <w:color w:val="231F20"/>
          <w:spacing w:val="46"/>
          <w:w w:val="110"/>
        </w:rPr>
        <w:t> </w:t>
      </w:r>
      <w:r>
        <w:rPr>
          <w:color w:val="231F20"/>
          <w:w w:val="110"/>
        </w:rPr>
        <w:t>talleres</w:t>
      </w:r>
      <w:r>
        <w:rPr>
          <w:color w:val="231F20"/>
          <w:spacing w:val="7"/>
          <w:w w:val="110"/>
        </w:rPr>
        <w:t> </w:t>
      </w:r>
      <w:r>
        <w:rPr>
          <w:color w:val="231F20"/>
          <w:w w:val="110"/>
        </w:rPr>
        <w:t>mecá-</w:t>
      </w:r>
      <w:r>
        <w:rPr>
          <w:color w:val="231F20"/>
          <w:w w:val="93"/>
        </w:rPr>
        <w:t> </w:t>
      </w:r>
      <w:r>
        <w:rPr>
          <w:color w:val="231F20"/>
          <w:w w:val="110"/>
        </w:rPr>
        <w:t>nicos.</w:t>
      </w:r>
      <w:r>
        <w:rPr>
          <w:color w:val="231F20"/>
          <w:spacing w:val="36"/>
          <w:w w:val="110"/>
        </w:rPr>
        <w:t> </w:t>
      </w:r>
      <w:r>
        <w:rPr>
          <w:color w:val="231F20"/>
          <w:w w:val="110"/>
        </w:rPr>
        <w:t>El</w:t>
      </w:r>
      <w:r>
        <w:rPr>
          <w:color w:val="231F20"/>
          <w:spacing w:val="36"/>
          <w:w w:val="110"/>
        </w:rPr>
        <w:t> </w:t>
      </w:r>
      <w:r>
        <w:rPr>
          <w:color w:val="231F20"/>
          <w:w w:val="110"/>
        </w:rPr>
        <w:t>escenario</w:t>
      </w:r>
      <w:r>
        <w:rPr>
          <w:color w:val="231F20"/>
          <w:spacing w:val="36"/>
          <w:w w:val="110"/>
        </w:rPr>
        <w:t> </w:t>
      </w:r>
      <w:r>
        <w:rPr>
          <w:color w:val="231F20"/>
          <w:w w:val="110"/>
        </w:rPr>
        <w:t>de</w:t>
      </w:r>
      <w:r>
        <w:rPr>
          <w:color w:val="231F20"/>
          <w:spacing w:val="36"/>
          <w:w w:val="110"/>
        </w:rPr>
        <w:t> </w:t>
      </w:r>
      <w:r>
        <w:rPr>
          <w:color w:val="231F20"/>
          <w:w w:val="110"/>
        </w:rPr>
        <w:t>la</w:t>
      </w:r>
      <w:r>
        <w:rPr>
          <w:color w:val="231F20"/>
          <w:spacing w:val="36"/>
          <w:w w:val="110"/>
        </w:rPr>
        <w:t> </w:t>
      </w:r>
      <w:r>
        <w:rPr>
          <w:color w:val="231F20"/>
          <w:w w:val="110"/>
        </w:rPr>
        <w:t>Ciudad</w:t>
      </w:r>
      <w:r>
        <w:rPr>
          <w:color w:val="231F20"/>
          <w:spacing w:val="36"/>
          <w:w w:val="110"/>
        </w:rPr>
        <w:t> </w:t>
      </w:r>
      <w:r>
        <w:rPr>
          <w:color w:val="231F20"/>
          <w:w w:val="110"/>
        </w:rPr>
        <w:t>de</w:t>
      </w:r>
      <w:r>
        <w:rPr>
          <w:color w:val="231F20"/>
          <w:spacing w:val="36"/>
          <w:w w:val="110"/>
        </w:rPr>
        <w:t> </w:t>
      </w:r>
      <w:r>
        <w:rPr>
          <w:color w:val="231F20"/>
          <w:w w:val="110"/>
        </w:rPr>
        <w:t>México</w:t>
      </w:r>
      <w:r>
        <w:rPr>
          <w:color w:val="231F20"/>
          <w:spacing w:val="36"/>
          <w:w w:val="110"/>
        </w:rPr>
        <w:t> </w:t>
      </w:r>
      <w:r>
        <w:rPr>
          <w:color w:val="231F20"/>
          <w:w w:val="110"/>
        </w:rPr>
        <w:t>hizo</w:t>
      </w:r>
      <w:r>
        <w:rPr>
          <w:color w:val="231F20"/>
          <w:spacing w:val="36"/>
          <w:w w:val="110"/>
        </w:rPr>
        <w:t> </w:t>
      </w:r>
      <w:r>
        <w:rPr>
          <w:color w:val="231F20"/>
          <w:w w:val="110"/>
        </w:rPr>
        <w:t>posible</w:t>
      </w:r>
      <w:r>
        <w:rPr>
          <w:color w:val="231F20"/>
          <w:spacing w:val="36"/>
          <w:w w:val="110"/>
        </w:rPr>
        <w:t> </w:t>
      </w:r>
      <w:r>
        <w:rPr>
          <w:color w:val="231F20"/>
          <w:w w:val="110"/>
        </w:rPr>
        <w:t>estudiar</w:t>
      </w:r>
      <w:r>
        <w:rPr>
          <w:color w:val="231F20"/>
          <w:spacing w:val="36"/>
          <w:w w:val="110"/>
        </w:rPr>
        <w:t> </w:t>
      </w:r>
      <w:r>
        <w:rPr>
          <w:color w:val="231F20"/>
          <w:w w:val="110"/>
        </w:rPr>
        <w:t>varios</w:t>
      </w:r>
      <w:r>
        <w:rPr>
          <w:color w:val="231F20"/>
          <w:w w:val="118"/>
        </w:rPr>
        <w:t> </w:t>
      </w:r>
      <w:r>
        <w:rPr>
          <w:color w:val="231F20"/>
          <w:w w:val="110"/>
        </w:rPr>
        <w:t>aspectos</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dinámica</w:t>
      </w:r>
      <w:r>
        <w:rPr>
          <w:color w:val="231F20"/>
          <w:spacing w:val="-5"/>
          <w:w w:val="110"/>
        </w:rPr>
        <w:t> </w:t>
      </w:r>
      <w:r>
        <w:rPr>
          <w:color w:val="231F20"/>
          <w:w w:val="110"/>
        </w:rPr>
        <w:t>del</w:t>
      </w:r>
      <w:r>
        <w:rPr>
          <w:color w:val="231F20"/>
          <w:spacing w:val="-5"/>
          <w:w w:val="110"/>
        </w:rPr>
        <w:t> </w:t>
      </w:r>
      <w:r>
        <w:rPr>
          <w:color w:val="231F20"/>
          <w:w w:val="110"/>
        </w:rPr>
        <w:t>mercado</w:t>
      </w:r>
      <w:r>
        <w:rPr>
          <w:color w:val="231F20"/>
          <w:spacing w:val="-5"/>
          <w:w w:val="110"/>
        </w:rPr>
        <w:t> </w:t>
      </w:r>
      <w:r>
        <w:rPr>
          <w:color w:val="231F20"/>
          <w:w w:val="110"/>
        </w:rPr>
        <w:t>de</w:t>
      </w:r>
      <w:r>
        <w:rPr>
          <w:color w:val="231F20"/>
          <w:spacing w:val="-5"/>
          <w:w w:val="110"/>
        </w:rPr>
        <w:t> </w:t>
      </w:r>
      <w:r>
        <w:rPr>
          <w:color w:val="231F20"/>
          <w:w w:val="110"/>
        </w:rPr>
        <w:t>trabajo</w:t>
      </w:r>
      <w:r>
        <w:rPr>
          <w:color w:val="231F20"/>
          <w:spacing w:val="-5"/>
          <w:w w:val="110"/>
        </w:rPr>
        <w:t> </w:t>
      </w:r>
      <w:r>
        <w:rPr>
          <w:color w:val="231F20"/>
          <w:w w:val="110"/>
        </w:rPr>
        <w:t>en</w:t>
      </w:r>
      <w:r>
        <w:rPr>
          <w:color w:val="231F20"/>
          <w:spacing w:val="-5"/>
          <w:w w:val="110"/>
        </w:rPr>
        <w:t> </w:t>
      </w:r>
      <w:r>
        <w:rPr>
          <w:color w:val="231F20"/>
          <w:w w:val="110"/>
        </w:rPr>
        <w:t>un</w:t>
      </w:r>
      <w:r>
        <w:rPr>
          <w:color w:val="231F20"/>
          <w:spacing w:val="-5"/>
          <w:w w:val="110"/>
        </w:rPr>
        <w:t> </w:t>
      </w:r>
      <w:r>
        <w:rPr>
          <w:color w:val="231F20"/>
          <w:w w:val="110"/>
        </w:rPr>
        <w:t>contexto</w:t>
      </w:r>
      <w:r>
        <w:rPr>
          <w:color w:val="231F20"/>
          <w:spacing w:val="-5"/>
          <w:w w:val="110"/>
        </w:rPr>
        <w:t> </w:t>
      </w:r>
      <w:r>
        <w:rPr>
          <w:color w:val="231F20"/>
          <w:w w:val="110"/>
        </w:rPr>
        <w:t>concreto</w:t>
      </w:r>
      <w:r>
        <w:rPr>
          <w:color w:val="231F20"/>
          <w:spacing w:val="-5"/>
          <w:w w:val="110"/>
        </w:rPr>
        <w:t> </w:t>
      </w:r>
      <w:r>
        <w:rPr>
          <w:color w:val="231F20"/>
          <w:w w:val="110"/>
        </w:rPr>
        <w:t>de</w:t>
      </w:r>
      <w:r>
        <w:rPr>
          <w:color w:val="231F20"/>
          <w:w w:val="108"/>
        </w:rPr>
        <w:t> </w:t>
      </w:r>
      <w:r>
        <w:rPr>
          <w:color w:val="231F20"/>
          <w:w w:val="110"/>
        </w:rPr>
        <w:t>desarrollo</w:t>
      </w:r>
      <w:r>
        <w:rPr>
          <w:color w:val="231F20"/>
          <w:spacing w:val="-10"/>
          <w:w w:val="110"/>
        </w:rPr>
        <w:t> </w:t>
      </w:r>
      <w:r>
        <w:rPr>
          <w:color w:val="231F20"/>
          <w:w w:val="110"/>
        </w:rPr>
        <w:t>de</w:t>
      </w:r>
      <w:r>
        <w:rPr>
          <w:color w:val="231F20"/>
          <w:spacing w:val="-10"/>
          <w:w w:val="110"/>
        </w:rPr>
        <w:t> </w:t>
      </w:r>
      <w:r>
        <w:rPr>
          <w:color w:val="231F20"/>
          <w:w w:val="110"/>
        </w:rPr>
        <w:t>gran</w:t>
      </w:r>
      <w:r>
        <w:rPr>
          <w:color w:val="231F20"/>
          <w:spacing w:val="-10"/>
          <w:w w:val="110"/>
        </w:rPr>
        <w:t> </w:t>
      </w:r>
      <w:r>
        <w:rPr>
          <w:color w:val="231F20"/>
          <w:w w:val="110"/>
        </w:rPr>
        <w:t>parte</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problemas</w:t>
      </w:r>
      <w:r>
        <w:rPr>
          <w:color w:val="231F20"/>
          <w:spacing w:val="-10"/>
          <w:w w:val="110"/>
        </w:rPr>
        <w:t> </w:t>
      </w:r>
      <w:r>
        <w:rPr>
          <w:color w:val="231F20"/>
          <w:w w:val="110"/>
        </w:rPr>
        <w:t>que</w:t>
      </w:r>
      <w:r>
        <w:rPr>
          <w:color w:val="231F20"/>
          <w:spacing w:val="-10"/>
          <w:w w:val="110"/>
        </w:rPr>
        <w:t> </w:t>
      </w:r>
      <w:r>
        <w:rPr>
          <w:color w:val="231F20"/>
          <w:w w:val="110"/>
        </w:rPr>
        <w:t>aquejan</w:t>
      </w:r>
      <w:r>
        <w:rPr>
          <w:color w:val="231F20"/>
          <w:spacing w:val="-10"/>
          <w:w w:val="110"/>
        </w:rPr>
        <w:t> </w:t>
      </w:r>
      <w:r>
        <w:rPr>
          <w:color w:val="231F20"/>
          <w:w w:val="110"/>
        </w:rPr>
        <w:t>a</w:t>
      </w:r>
      <w:r>
        <w:rPr>
          <w:color w:val="231F20"/>
          <w:spacing w:val="-10"/>
          <w:w w:val="110"/>
        </w:rPr>
        <w:t> </w:t>
      </w:r>
      <w:r>
        <w:rPr>
          <w:color w:val="231F20"/>
          <w:w w:val="110"/>
        </w:rPr>
        <w:t>los</w:t>
      </w:r>
      <w:r>
        <w:rPr>
          <w:color w:val="231F20"/>
          <w:spacing w:val="-10"/>
          <w:w w:val="110"/>
        </w:rPr>
        <w:t> </w:t>
      </w:r>
      <w:r>
        <w:rPr>
          <w:color w:val="231F20"/>
          <w:w w:val="110"/>
        </w:rPr>
        <w:t>micronegocios.</w:t>
      </w:r>
    </w:p>
    <w:p>
      <w:pPr>
        <w:pStyle w:val="BodyText"/>
        <w:spacing w:line="288" w:lineRule="auto"/>
        <w:ind w:left="124" w:right="112" w:firstLine="360"/>
        <w:jc w:val="both"/>
      </w:pPr>
      <w:r>
        <w:rPr>
          <w:color w:val="231F20"/>
          <w:w w:val="110"/>
        </w:rPr>
        <w:t>Para</w:t>
      </w:r>
      <w:r>
        <w:rPr>
          <w:color w:val="231F20"/>
          <w:spacing w:val="-5"/>
          <w:w w:val="110"/>
        </w:rPr>
        <w:t> </w:t>
      </w:r>
      <w:r>
        <w:rPr>
          <w:color w:val="231F20"/>
          <w:w w:val="110"/>
        </w:rPr>
        <w:t>llegar</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w w:val="110"/>
        </w:rPr>
        <w:t>realización</w:t>
      </w:r>
      <w:r>
        <w:rPr>
          <w:color w:val="231F20"/>
          <w:spacing w:val="-5"/>
          <w:w w:val="110"/>
        </w:rPr>
        <w:t> </w:t>
      </w:r>
      <w:r>
        <w:rPr>
          <w:color w:val="231F20"/>
          <w:w w:val="110"/>
        </w:rPr>
        <w:t>de</w:t>
      </w:r>
      <w:r>
        <w:rPr>
          <w:color w:val="231F20"/>
          <w:spacing w:val="-5"/>
          <w:w w:val="110"/>
        </w:rPr>
        <w:t> </w:t>
      </w:r>
      <w:r>
        <w:rPr>
          <w:color w:val="231F20"/>
          <w:w w:val="110"/>
        </w:rPr>
        <w:t>cada</w:t>
      </w:r>
      <w:r>
        <w:rPr>
          <w:color w:val="231F20"/>
          <w:spacing w:val="-5"/>
          <w:w w:val="110"/>
        </w:rPr>
        <w:t> </w:t>
      </w:r>
      <w:r>
        <w:rPr>
          <w:color w:val="231F20"/>
          <w:w w:val="110"/>
        </w:rPr>
        <w:t>una</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entrevistas,</w:t>
      </w:r>
      <w:r>
        <w:rPr>
          <w:color w:val="231F20"/>
          <w:spacing w:val="-5"/>
          <w:w w:val="110"/>
        </w:rPr>
        <w:t> </w:t>
      </w:r>
      <w:r>
        <w:rPr>
          <w:color w:val="231F20"/>
          <w:w w:val="110"/>
        </w:rPr>
        <w:t>fue</w:t>
      </w:r>
      <w:r>
        <w:rPr>
          <w:color w:val="231F20"/>
          <w:spacing w:val="-5"/>
          <w:w w:val="110"/>
        </w:rPr>
        <w:t> </w:t>
      </w:r>
      <w:r>
        <w:rPr>
          <w:color w:val="231F20"/>
          <w:w w:val="110"/>
        </w:rPr>
        <w:t>necesario un proceso de contacto y conocimiento de los potenciales sujetos de estu- dio de la investigación. El contacto se logró a través de personas</w:t>
      </w:r>
      <w:r>
        <w:rPr>
          <w:color w:val="231F20"/>
          <w:spacing w:val="-19"/>
          <w:w w:val="110"/>
        </w:rPr>
        <w:t> </w:t>
      </w:r>
      <w:r>
        <w:rPr>
          <w:color w:val="231F20"/>
          <w:w w:val="110"/>
        </w:rPr>
        <w:t>conocidas de los propietarios e incluso mediante los propios dueños de negocios, utilizando el método de bola de nieve, para poder moverse de un contacto a otro, a través de una red de informantes. De muchas de las entrevistas  se obtuvieron nuevos contactos que, por un lado permitieron el desarrollo de nuevas entrevistas, y por otra parte, hicieron posible la detección de redes locales de funcionamiento de los establecimientos y de las familias en cada una de las delegaciones en las que se ha  </w:t>
      </w:r>
      <w:r>
        <w:rPr>
          <w:color w:val="231F20"/>
          <w:spacing w:val="32"/>
          <w:w w:val="110"/>
        </w:rPr>
        <w:t> </w:t>
      </w:r>
      <w:r>
        <w:rPr>
          <w:color w:val="231F20"/>
          <w:w w:val="110"/>
        </w:rPr>
        <w:t>trabajado.</w:t>
      </w:r>
    </w:p>
    <w:p>
      <w:pPr>
        <w:pStyle w:val="BodyText"/>
        <w:spacing w:line="288" w:lineRule="auto"/>
        <w:ind w:left="124" w:right="112" w:firstLine="360"/>
        <w:jc w:val="both"/>
      </w:pPr>
      <w:r>
        <w:rPr>
          <w:color w:val="231F20"/>
          <w:w w:val="110"/>
        </w:rPr>
        <w:t>Importa destacar que este procedimiento de búsqueda de los</w:t>
      </w:r>
      <w:r>
        <w:rPr>
          <w:color w:val="231F20"/>
          <w:spacing w:val="-13"/>
          <w:w w:val="110"/>
        </w:rPr>
        <w:t> </w:t>
      </w:r>
      <w:r>
        <w:rPr>
          <w:color w:val="231F20"/>
          <w:w w:val="110"/>
        </w:rPr>
        <w:t>entrevis- tados fue necesario para asegurar que los negocios cumplieran con los requisitos establecidos dentro de las líneas propuestas en la investigación. De modo tal que, antes de la entrevista propiamente dicha con cada uno de los grupos, se mantuvo un contacto previo (una “primera entrevista”), en la cual se extraían los datos que permitían saber si ese negocio “califi- caba” para ser</w:t>
      </w:r>
      <w:r>
        <w:rPr>
          <w:color w:val="231F20"/>
          <w:spacing w:val="1"/>
          <w:w w:val="110"/>
        </w:rPr>
        <w:t> </w:t>
      </w:r>
      <w:r>
        <w:rPr>
          <w:color w:val="231F20"/>
          <w:w w:val="110"/>
        </w:rPr>
        <w:t>entrevistado.</w:t>
      </w:r>
    </w:p>
    <w:p>
      <w:pPr>
        <w:pStyle w:val="BodyText"/>
        <w:spacing w:line="288" w:lineRule="auto"/>
        <w:ind w:left="124" w:right="113" w:firstLine="360"/>
        <w:jc w:val="both"/>
      </w:pPr>
      <w:r>
        <w:rPr>
          <w:color w:val="231F20"/>
          <w:w w:val="110"/>
        </w:rPr>
        <w:t>Las personas de los establecimientos que cumplieron con estos requi- sitos fueron entrevistados en reuniones en las que se pretendió que estu- viera presente quien era considerado propietario del negocio, y alguno de los</w:t>
      </w:r>
      <w:r>
        <w:rPr>
          <w:color w:val="231F20"/>
          <w:spacing w:val="-9"/>
          <w:w w:val="110"/>
        </w:rPr>
        <w:t> </w:t>
      </w:r>
      <w:r>
        <w:rPr>
          <w:color w:val="231F20"/>
          <w:w w:val="110"/>
        </w:rPr>
        <w:t>trabajadores</w:t>
      </w:r>
      <w:r>
        <w:rPr>
          <w:color w:val="231F20"/>
          <w:spacing w:val="-9"/>
          <w:w w:val="110"/>
        </w:rPr>
        <w:t> </w:t>
      </w:r>
      <w:r>
        <w:rPr>
          <w:color w:val="231F20"/>
          <w:w w:val="110"/>
        </w:rPr>
        <w:t>familiares</w:t>
      </w:r>
      <w:r>
        <w:rPr>
          <w:color w:val="231F20"/>
          <w:spacing w:val="-9"/>
          <w:w w:val="110"/>
        </w:rPr>
        <w:t> </w:t>
      </w:r>
      <w:r>
        <w:rPr>
          <w:color w:val="231F20"/>
          <w:w w:val="110"/>
        </w:rPr>
        <w:t>del</w:t>
      </w:r>
      <w:r>
        <w:rPr>
          <w:color w:val="231F20"/>
          <w:spacing w:val="-9"/>
          <w:w w:val="110"/>
        </w:rPr>
        <w:t> </w:t>
      </w:r>
      <w:r>
        <w:rPr>
          <w:color w:val="231F20"/>
          <w:w w:val="110"/>
        </w:rPr>
        <w:t>mismo.</w:t>
      </w:r>
      <w:r>
        <w:rPr>
          <w:color w:val="231F20"/>
          <w:spacing w:val="-9"/>
          <w:w w:val="110"/>
        </w:rPr>
        <w:t> </w:t>
      </w:r>
      <w:r>
        <w:rPr>
          <w:color w:val="231F20"/>
          <w:w w:val="110"/>
        </w:rPr>
        <w:t>En</w:t>
      </w:r>
      <w:r>
        <w:rPr>
          <w:color w:val="231F20"/>
          <w:spacing w:val="-9"/>
          <w:w w:val="110"/>
        </w:rPr>
        <w:t> </w:t>
      </w:r>
      <w:r>
        <w:rPr>
          <w:color w:val="231F20"/>
          <w:w w:val="110"/>
        </w:rPr>
        <w:t>todas</w:t>
      </w:r>
      <w:r>
        <w:rPr>
          <w:color w:val="231F20"/>
          <w:spacing w:val="-9"/>
          <w:w w:val="110"/>
        </w:rPr>
        <w:t> </w:t>
      </w:r>
      <w:r>
        <w:rPr>
          <w:color w:val="231F20"/>
          <w:w w:val="110"/>
        </w:rPr>
        <w:t>las</w:t>
      </w:r>
      <w:r>
        <w:rPr>
          <w:color w:val="231F20"/>
          <w:spacing w:val="-9"/>
          <w:w w:val="110"/>
        </w:rPr>
        <w:t> </w:t>
      </w:r>
      <w:r>
        <w:rPr>
          <w:color w:val="231F20"/>
          <w:w w:val="110"/>
        </w:rPr>
        <w:t>entrevistas</w:t>
      </w:r>
      <w:r>
        <w:rPr>
          <w:color w:val="231F20"/>
          <w:spacing w:val="-9"/>
          <w:w w:val="110"/>
        </w:rPr>
        <w:t> </w:t>
      </w:r>
      <w:r>
        <w:rPr>
          <w:color w:val="231F20"/>
          <w:w w:val="110"/>
        </w:rPr>
        <w:t>se</w:t>
      </w:r>
      <w:r>
        <w:rPr>
          <w:color w:val="231F20"/>
          <w:spacing w:val="-9"/>
          <w:w w:val="110"/>
        </w:rPr>
        <w:t> </w:t>
      </w:r>
      <w:r>
        <w:rPr>
          <w:color w:val="231F20"/>
          <w:w w:val="110"/>
        </w:rPr>
        <w:t>contó</w:t>
      </w:r>
      <w:r>
        <w:rPr>
          <w:color w:val="231F20"/>
          <w:spacing w:val="-9"/>
          <w:w w:val="110"/>
        </w:rPr>
        <w:t> </w:t>
      </w:r>
      <w:r>
        <w:rPr>
          <w:color w:val="231F20"/>
          <w:w w:val="110"/>
        </w:rPr>
        <w:t>con esta relación de asistentes-entrevistados. Las entrevistas tuvieron una du- </w:t>
      </w:r>
      <w:r>
        <w:rPr>
          <w:color w:val="231F20"/>
          <w:spacing w:val="-4"/>
          <w:w w:val="110"/>
        </w:rPr>
        <w:t>ración promedio </w:t>
      </w:r>
      <w:r>
        <w:rPr>
          <w:color w:val="231F20"/>
          <w:w w:val="110"/>
        </w:rPr>
        <w:t>de </w:t>
      </w:r>
      <w:r>
        <w:rPr>
          <w:color w:val="231F20"/>
          <w:spacing w:val="-3"/>
          <w:w w:val="110"/>
        </w:rPr>
        <w:t>dos </w:t>
      </w:r>
      <w:r>
        <w:rPr>
          <w:color w:val="231F20"/>
          <w:spacing w:val="-4"/>
          <w:w w:val="110"/>
        </w:rPr>
        <w:t>horas </w:t>
      </w:r>
      <w:r>
        <w:rPr>
          <w:color w:val="231F20"/>
          <w:w w:val="110"/>
        </w:rPr>
        <w:t>y </w:t>
      </w:r>
      <w:r>
        <w:rPr>
          <w:color w:val="231F20"/>
          <w:spacing w:val="-4"/>
          <w:w w:val="110"/>
        </w:rPr>
        <w:t>fueron grabadas </w:t>
      </w:r>
      <w:r>
        <w:rPr>
          <w:color w:val="231F20"/>
          <w:w w:val="110"/>
        </w:rPr>
        <w:t>en </w:t>
      </w:r>
      <w:r>
        <w:rPr>
          <w:color w:val="231F20"/>
          <w:spacing w:val="-4"/>
          <w:w w:val="110"/>
        </w:rPr>
        <w:t>casetes </w:t>
      </w:r>
      <w:r>
        <w:rPr>
          <w:color w:val="231F20"/>
          <w:spacing w:val="-3"/>
          <w:w w:val="110"/>
        </w:rPr>
        <w:t>que </w:t>
      </w:r>
      <w:r>
        <w:rPr>
          <w:color w:val="231F20"/>
          <w:spacing w:val="-4"/>
          <w:w w:val="110"/>
        </w:rPr>
        <w:t>luego fueron </w:t>
      </w:r>
      <w:r>
        <w:rPr>
          <w:color w:val="231F20"/>
          <w:w w:val="110"/>
        </w:rPr>
        <w:t>transcritos para el análisis de la</w:t>
      </w:r>
      <w:r>
        <w:rPr>
          <w:color w:val="231F20"/>
          <w:spacing w:val="28"/>
          <w:w w:val="110"/>
        </w:rPr>
        <w:t> </w:t>
      </w:r>
      <w:r>
        <w:rPr>
          <w:color w:val="231F20"/>
          <w:w w:val="110"/>
        </w:rPr>
        <w:t>información.</w:t>
      </w:r>
    </w:p>
    <w:p>
      <w:pPr>
        <w:pStyle w:val="BodyText"/>
        <w:spacing w:line="288" w:lineRule="auto"/>
        <w:ind w:left="124" w:right="113" w:firstLine="360"/>
        <w:jc w:val="both"/>
      </w:pPr>
      <w:r>
        <w:rPr>
          <w:color w:val="231F20"/>
          <w:w w:val="110"/>
        </w:rPr>
        <w:t>En tres de los establecimientos de cocina, y en cinco de los talleres</w:t>
      </w:r>
      <w:r>
        <w:rPr>
          <w:color w:val="231F20"/>
          <w:spacing w:val="-16"/>
          <w:w w:val="110"/>
        </w:rPr>
        <w:t> </w:t>
      </w:r>
      <w:r>
        <w:rPr>
          <w:color w:val="231F20"/>
          <w:w w:val="110"/>
        </w:rPr>
        <w:t>me- cánicos, las entrevistas se realizaron con el propietario, mientras que en los</w:t>
      </w:r>
      <w:r>
        <w:rPr>
          <w:color w:val="231F20"/>
          <w:spacing w:val="32"/>
          <w:w w:val="110"/>
        </w:rPr>
        <w:t> </w:t>
      </w:r>
      <w:r>
        <w:rPr>
          <w:color w:val="231F20"/>
          <w:w w:val="110"/>
        </w:rPr>
        <w:t>demás</w:t>
      </w:r>
      <w:r>
        <w:rPr>
          <w:color w:val="231F20"/>
          <w:spacing w:val="32"/>
          <w:w w:val="110"/>
        </w:rPr>
        <w:t> </w:t>
      </w:r>
      <w:r>
        <w:rPr>
          <w:color w:val="231F20"/>
          <w:w w:val="110"/>
        </w:rPr>
        <w:t>negocios,</w:t>
      </w:r>
      <w:r>
        <w:rPr>
          <w:color w:val="231F20"/>
          <w:spacing w:val="32"/>
          <w:w w:val="110"/>
        </w:rPr>
        <w:t> </w:t>
      </w:r>
      <w:r>
        <w:rPr>
          <w:color w:val="231F20"/>
          <w:w w:val="110"/>
        </w:rPr>
        <w:t>además</w:t>
      </w:r>
      <w:r>
        <w:rPr>
          <w:color w:val="231F20"/>
          <w:spacing w:val="32"/>
          <w:w w:val="110"/>
        </w:rPr>
        <w:t> </w:t>
      </w:r>
      <w:r>
        <w:rPr>
          <w:color w:val="231F20"/>
          <w:w w:val="110"/>
        </w:rPr>
        <w:t>del</w:t>
      </w:r>
      <w:r>
        <w:rPr>
          <w:color w:val="231F20"/>
          <w:spacing w:val="32"/>
          <w:w w:val="110"/>
        </w:rPr>
        <w:t> </w:t>
      </w:r>
      <w:r>
        <w:rPr>
          <w:color w:val="231F20"/>
          <w:w w:val="110"/>
        </w:rPr>
        <w:t>propietario,</w:t>
      </w:r>
      <w:r>
        <w:rPr>
          <w:color w:val="231F20"/>
          <w:spacing w:val="32"/>
          <w:w w:val="110"/>
        </w:rPr>
        <w:t> </w:t>
      </w:r>
      <w:r>
        <w:rPr>
          <w:color w:val="231F20"/>
          <w:w w:val="110"/>
        </w:rPr>
        <w:t>se</w:t>
      </w:r>
      <w:r>
        <w:rPr>
          <w:color w:val="231F20"/>
          <w:spacing w:val="32"/>
          <w:w w:val="110"/>
        </w:rPr>
        <w:t> </w:t>
      </w:r>
      <w:r>
        <w:rPr>
          <w:color w:val="231F20"/>
          <w:w w:val="110"/>
        </w:rPr>
        <w:t>pudo</w:t>
      </w:r>
      <w:r>
        <w:rPr>
          <w:color w:val="231F20"/>
          <w:spacing w:val="32"/>
          <w:w w:val="110"/>
        </w:rPr>
        <w:t> </w:t>
      </w:r>
      <w:r>
        <w:rPr>
          <w:color w:val="231F20"/>
          <w:w w:val="110"/>
        </w:rPr>
        <w:t>entrevistar</w:t>
      </w:r>
      <w:r>
        <w:rPr>
          <w:color w:val="231F20"/>
          <w:spacing w:val="32"/>
          <w:w w:val="110"/>
        </w:rPr>
        <w:t> </w:t>
      </w:r>
      <w:r>
        <w:rPr>
          <w:color w:val="231F20"/>
          <w:w w:val="110"/>
        </w:rPr>
        <w:t>a</w:t>
      </w:r>
      <w:r>
        <w:rPr>
          <w:color w:val="231F20"/>
          <w:spacing w:val="32"/>
          <w:w w:val="110"/>
        </w:rPr>
        <w:t> </w:t>
      </w:r>
      <w:r>
        <w:rPr>
          <w:color w:val="231F20"/>
          <w:w w:val="110"/>
        </w:rPr>
        <w:t>otro</w:t>
      </w:r>
    </w:p>
    <w:p>
      <w:pPr>
        <w:spacing w:after="0" w:line="288" w:lineRule="auto"/>
        <w:jc w:val="both"/>
        <w:sectPr>
          <w:pgSz w:w="9520" w:h="12920"/>
          <w:pgMar w:header="0" w:footer="1344" w:top="880" w:bottom="1540" w:left="1320" w:right="1000"/>
        </w:sectPr>
      </w:pPr>
    </w:p>
    <w:p>
      <w:pPr>
        <w:pStyle w:val="BodyText"/>
        <w:spacing w:line="285" w:lineRule="auto" w:before="42"/>
        <w:ind w:left="100" w:right="115"/>
        <w:jc w:val="both"/>
      </w:pPr>
      <w:r>
        <w:rPr>
          <w:color w:val="231F20"/>
          <w:spacing w:val="2"/>
          <w:w w:val="110"/>
        </w:rPr>
        <w:t>familiar </w:t>
      </w:r>
      <w:r>
        <w:rPr>
          <w:color w:val="231F20"/>
          <w:w w:val="110"/>
        </w:rPr>
        <w:t>que </w:t>
      </w:r>
      <w:r>
        <w:rPr>
          <w:color w:val="231F20"/>
          <w:spacing w:val="2"/>
          <w:w w:val="110"/>
        </w:rPr>
        <w:t>participa </w:t>
      </w:r>
      <w:r>
        <w:rPr>
          <w:color w:val="231F20"/>
          <w:w w:val="110"/>
        </w:rPr>
        <w:t>en la </w:t>
      </w:r>
      <w:r>
        <w:rPr>
          <w:color w:val="231F20"/>
          <w:spacing w:val="2"/>
          <w:w w:val="110"/>
        </w:rPr>
        <w:t>actividad laboral </w:t>
      </w:r>
      <w:r>
        <w:rPr>
          <w:color w:val="231F20"/>
          <w:w w:val="110"/>
        </w:rPr>
        <w:t>del </w:t>
      </w:r>
      <w:r>
        <w:rPr>
          <w:color w:val="231F20"/>
          <w:spacing w:val="2"/>
          <w:w w:val="110"/>
        </w:rPr>
        <w:t>establecimiento. Estos </w:t>
      </w:r>
      <w:r>
        <w:rPr>
          <w:color w:val="231F20"/>
          <w:w w:val="110"/>
        </w:rPr>
        <w:t>otros familiares eran cónyuges, o hijos(as), de la persona declarada dueña del negocio. En todos los establecimientos se indica la presencia de traba- jadores familiares: desde dos hasta ocho personas. En prácticamente nin- guno</w:t>
      </w:r>
      <w:r>
        <w:rPr>
          <w:color w:val="231F20"/>
          <w:spacing w:val="-14"/>
          <w:w w:val="110"/>
        </w:rPr>
        <w:t> </w:t>
      </w:r>
      <w:r>
        <w:rPr>
          <w:color w:val="231F20"/>
          <w:w w:val="110"/>
        </w:rPr>
        <w:t>de</w:t>
      </w:r>
      <w:r>
        <w:rPr>
          <w:color w:val="231F20"/>
          <w:spacing w:val="-14"/>
          <w:w w:val="110"/>
        </w:rPr>
        <w:t> </w:t>
      </w:r>
      <w:r>
        <w:rPr>
          <w:color w:val="231F20"/>
          <w:w w:val="110"/>
        </w:rPr>
        <w:t>los</w:t>
      </w:r>
      <w:r>
        <w:rPr>
          <w:color w:val="231F20"/>
          <w:spacing w:val="-14"/>
          <w:w w:val="110"/>
        </w:rPr>
        <w:t> </w:t>
      </w:r>
      <w:r>
        <w:rPr>
          <w:color w:val="231F20"/>
          <w:w w:val="110"/>
        </w:rPr>
        <w:t>negocios</w:t>
      </w:r>
      <w:r>
        <w:rPr>
          <w:color w:val="231F20"/>
          <w:spacing w:val="-14"/>
          <w:w w:val="110"/>
        </w:rPr>
        <w:t> </w:t>
      </w:r>
      <w:r>
        <w:rPr>
          <w:color w:val="231F20"/>
          <w:w w:val="110"/>
        </w:rPr>
        <w:t>relacionados</w:t>
      </w:r>
      <w:r>
        <w:rPr>
          <w:color w:val="231F20"/>
          <w:spacing w:val="-14"/>
          <w:w w:val="110"/>
        </w:rPr>
        <w:t> </w:t>
      </w:r>
      <w:r>
        <w:rPr>
          <w:color w:val="231F20"/>
          <w:w w:val="110"/>
        </w:rPr>
        <w:t>con</w:t>
      </w:r>
      <w:r>
        <w:rPr>
          <w:color w:val="231F20"/>
          <w:spacing w:val="-14"/>
          <w:w w:val="110"/>
        </w:rPr>
        <w:t> </w:t>
      </w:r>
      <w:r>
        <w:rPr>
          <w:color w:val="231F20"/>
          <w:w w:val="110"/>
        </w:rPr>
        <w:t>la</w:t>
      </w:r>
      <w:r>
        <w:rPr>
          <w:color w:val="231F20"/>
          <w:spacing w:val="-14"/>
          <w:w w:val="110"/>
        </w:rPr>
        <w:t> </w:t>
      </w:r>
      <w:r>
        <w:rPr>
          <w:color w:val="231F20"/>
          <w:w w:val="110"/>
        </w:rPr>
        <w:t>elaboración</w:t>
      </w:r>
      <w:r>
        <w:rPr>
          <w:color w:val="231F20"/>
          <w:spacing w:val="-14"/>
          <w:w w:val="110"/>
        </w:rPr>
        <w:t> </w:t>
      </w:r>
      <w:r>
        <w:rPr>
          <w:color w:val="231F20"/>
          <w:w w:val="110"/>
        </w:rPr>
        <w:t>de</w:t>
      </w:r>
      <w:r>
        <w:rPr>
          <w:color w:val="231F20"/>
          <w:spacing w:val="-14"/>
          <w:w w:val="110"/>
        </w:rPr>
        <w:t> </w:t>
      </w:r>
      <w:r>
        <w:rPr>
          <w:color w:val="231F20"/>
          <w:w w:val="110"/>
        </w:rPr>
        <w:t>comida</w:t>
      </w:r>
      <w:r>
        <w:rPr>
          <w:color w:val="231F20"/>
          <w:spacing w:val="-14"/>
          <w:w w:val="110"/>
        </w:rPr>
        <w:t> </w:t>
      </w:r>
      <w:r>
        <w:rPr>
          <w:color w:val="231F20"/>
          <w:w w:val="110"/>
        </w:rPr>
        <w:t>desarrollan actividades laborales trabajadores no familiares. </w:t>
      </w:r>
      <w:r>
        <w:rPr>
          <w:color w:val="231F20"/>
          <w:spacing w:val="2"/>
          <w:w w:val="110"/>
        </w:rPr>
        <w:t>La </w:t>
      </w:r>
      <w:r>
        <w:rPr>
          <w:color w:val="231F20"/>
          <w:w w:val="110"/>
        </w:rPr>
        <w:t>gran mayoría de las personas que se declaran, o son declaradas como propietarios de los esta- blecimientos, son hombres, que en general trabajan junto a sus cónyuges  o  sus hijos.</w:t>
      </w:r>
    </w:p>
    <w:p>
      <w:pPr>
        <w:pStyle w:val="BodyText"/>
      </w:pPr>
    </w:p>
    <w:p>
      <w:pPr>
        <w:pStyle w:val="BodyText"/>
        <w:spacing w:before="11"/>
        <w:rPr>
          <w:sz w:val="24"/>
        </w:rPr>
      </w:pPr>
    </w:p>
    <w:p>
      <w:pPr>
        <w:spacing w:before="0"/>
        <w:ind w:left="100" w:right="0" w:firstLine="0"/>
        <w:jc w:val="both"/>
        <w:rPr>
          <w:rFonts w:ascii="Times New Roman"/>
          <w:i/>
          <w:sz w:val="19"/>
        </w:rPr>
      </w:pPr>
      <w:r>
        <w:rPr>
          <w:rFonts w:ascii="Times New Roman"/>
          <w:i/>
          <w:color w:val="231F20"/>
          <w:w w:val="95"/>
          <w:sz w:val="24"/>
        </w:rPr>
        <w:t>L</w:t>
      </w:r>
      <w:r>
        <w:rPr>
          <w:rFonts w:ascii="Times New Roman"/>
          <w:i/>
          <w:color w:val="231F20"/>
          <w:w w:val="95"/>
          <w:sz w:val="19"/>
        </w:rPr>
        <w:t>AS DISTINTAS FORMAS DE</w:t>
      </w:r>
    </w:p>
    <w:p>
      <w:pPr>
        <w:spacing w:before="50"/>
        <w:ind w:left="100" w:right="0" w:firstLine="0"/>
        <w:jc w:val="both"/>
        <w:rPr>
          <w:rFonts w:ascii="Times New Roman"/>
          <w:i/>
          <w:sz w:val="19"/>
        </w:rPr>
      </w:pPr>
      <w:r>
        <w:rPr>
          <w:rFonts w:ascii="Times New Roman"/>
          <w:i/>
          <w:color w:val="231F20"/>
          <w:w w:val="95"/>
          <w:sz w:val="19"/>
        </w:rPr>
        <w:t>VINCULAR LA FAMILIA Y EL TRABAJO</w:t>
      </w:r>
    </w:p>
    <w:p>
      <w:pPr>
        <w:pStyle w:val="BodyText"/>
        <w:rPr>
          <w:rFonts w:ascii="Times New Roman"/>
          <w:i/>
          <w:sz w:val="18"/>
        </w:rPr>
      </w:pPr>
    </w:p>
    <w:p>
      <w:pPr>
        <w:pStyle w:val="BodyText"/>
        <w:spacing w:line="285" w:lineRule="auto" w:before="122"/>
        <w:ind w:left="100" w:right="116"/>
        <w:jc w:val="both"/>
      </w:pPr>
      <w:r>
        <w:rPr>
          <w:color w:val="231F20"/>
          <w:w w:val="110"/>
        </w:rPr>
        <w:t>La familia y el trabajo se vinculan de diversas maneras para organizar su funcionamiento cotidiano y conjunto. Para analizar la información prove- niente de las entrevistas se agruparon los datos en tres atributos (la inclu- sión o exclusión de la familia del negocio, la inestabilidad del vínculo tra- bajo-familia y el frágil equilibrio que sostiene esta relación), ya que se entiende que esta diversidad de modos de articular la familia y el trabajo constituye una forma de aproximación al análisis tanto de la reproducción sociosimbólica como económica de la unidad familiar.</w:t>
      </w:r>
    </w:p>
    <w:p>
      <w:pPr>
        <w:pStyle w:val="BodyText"/>
        <w:spacing w:before="3"/>
        <w:rPr>
          <w:sz w:val="23"/>
        </w:rPr>
      </w:pPr>
    </w:p>
    <w:p>
      <w:pPr>
        <w:pStyle w:val="Heading3"/>
        <w:spacing w:before="1"/>
        <w:ind w:left="100"/>
        <w:rPr>
          <w:i/>
        </w:rPr>
      </w:pPr>
      <w:r>
        <w:rPr>
          <w:i/>
          <w:color w:val="231F20"/>
        </w:rPr>
        <w:t>La inclusión o exclusión de la familia al  negocio</w:t>
      </w:r>
    </w:p>
    <w:p>
      <w:pPr>
        <w:pStyle w:val="BodyText"/>
        <w:spacing w:before="2"/>
        <w:rPr>
          <w:rFonts w:ascii="Calibri"/>
          <w:i/>
          <w:sz w:val="22"/>
        </w:rPr>
      </w:pPr>
    </w:p>
    <w:p>
      <w:pPr>
        <w:pStyle w:val="BodyText"/>
        <w:spacing w:line="285" w:lineRule="auto"/>
        <w:ind w:left="100" w:right="117"/>
        <w:jc w:val="both"/>
      </w:pPr>
      <w:r>
        <w:rPr>
          <w:color w:val="231F20"/>
          <w:w w:val="110"/>
        </w:rPr>
        <w:t>Incluir</w:t>
      </w:r>
      <w:r>
        <w:rPr>
          <w:color w:val="231F20"/>
          <w:spacing w:val="-6"/>
          <w:w w:val="110"/>
        </w:rPr>
        <w:t> </w:t>
      </w:r>
      <w:r>
        <w:rPr>
          <w:color w:val="231F20"/>
          <w:w w:val="110"/>
        </w:rPr>
        <w:t>o</w:t>
      </w:r>
      <w:r>
        <w:rPr>
          <w:color w:val="231F20"/>
          <w:spacing w:val="-6"/>
          <w:w w:val="110"/>
        </w:rPr>
        <w:t> </w:t>
      </w:r>
      <w:r>
        <w:rPr>
          <w:color w:val="231F20"/>
          <w:w w:val="110"/>
        </w:rPr>
        <w:t>no</w:t>
      </w:r>
      <w:r>
        <w:rPr>
          <w:color w:val="231F20"/>
          <w:spacing w:val="-6"/>
          <w:w w:val="110"/>
        </w:rPr>
        <w:t> </w:t>
      </w:r>
      <w:r>
        <w:rPr>
          <w:color w:val="231F20"/>
          <w:w w:val="110"/>
        </w:rPr>
        <w:t>a</w:t>
      </w:r>
      <w:r>
        <w:rPr>
          <w:color w:val="231F20"/>
          <w:spacing w:val="-6"/>
          <w:w w:val="110"/>
        </w:rPr>
        <w:t> </w:t>
      </w:r>
      <w:r>
        <w:rPr>
          <w:color w:val="231F20"/>
          <w:w w:val="110"/>
        </w:rPr>
        <w:t>los</w:t>
      </w:r>
      <w:r>
        <w:rPr>
          <w:color w:val="231F20"/>
          <w:spacing w:val="-6"/>
          <w:w w:val="110"/>
        </w:rPr>
        <w:t> </w:t>
      </w:r>
      <w:r>
        <w:rPr>
          <w:color w:val="231F20"/>
          <w:w w:val="110"/>
        </w:rPr>
        <w:t>miembros</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familia</w:t>
      </w:r>
      <w:r>
        <w:rPr>
          <w:color w:val="231F20"/>
          <w:spacing w:val="-6"/>
          <w:w w:val="110"/>
        </w:rPr>
        <w:t> </w:t>
      </w:r>
      <w:r>
        <w:rPr>
          <w:color w:val="231F20"/>
          <w:w w:val="110"/>
        </w:rPr>
        <w:t>al</w:t>
      </w:r>
      <w:r>
        <w:rPr>
          <w:color w:val="231F20"/>
          <w:spacing w:val="-6"/>
          <w:w w:val="110"/>
        </w:rPr>
        <w:t> </w:t>
      </w:r>
      <w:r>
        <w:rPr>
          <w:color w:val="231F20"/>
          <w:w w:val="110"/>
        </w:rPr>
        <w:t>trabajo</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negocio</w:t>
      </w:r>
      <w:r>
        <w:rPr>
          <w:color w:val="231F20"/>
          <w:spacing w:val="-6"/>
          <w:w w:val="110"/>
        </w:rPr>
        <w:t> </w:t>
      </w:r>
      <w:r>
        <w:rPr>
          <w:color w:val="231F20"/>
          <w:w w:val="110"/>
        </w:rPr>
        <w:t>es</w:t>
      </w:r>
      <w:r>
        <w:rPr>
          <w:color w:val="231F20"/>
          <w:spacing w:val="-6"/>
          <w:w w:val="110"/>
        </w:rPr>
        <w:t> </w:t>
      </w:r>
      <w:r>
        <w:rPr>
          <w:color w:val="231F20"/>
          <w:w w:val="110"/>
        </w:rPr>
        <w:t>el</w:t>
      </w:r>
      <w:r>
        <w:rPr>
          <w:color w:val="231F20"/>
          <w:spacing w:val="-6"/>
          <w:w w:val="110"/>
        </w:rPr>
        <w:t> </w:t>
      </w:r>
      <w:r>
        <w:rPr>
          <w:color w:val="231F20"/>
          <w:w w:val="110"/>
        </w:rPr>
        <w:t>punto de</w:t>
      </w:r>
      <w:r>
        <w:rPr>
          <w:color w:val="231F20"/>
          <w:spacing w:val="-5"/>
          <w:w w:val="110"/>
        </w:rPr>
        <w:t> </w:t>
      </w:r>
      <w:r>
        <w:rPr>
          <w:color w:val="231F20"/>
          <w:w w:val="110"/>
        </w:rPr>
        <w:t>partida</w:t>
      </w:r>
      <w:r>
        <w:rPr>
          <w:color w:val="231F20"/>
          <w:spacing w:val="-5"/>
          <w:w w:val="110"/>
        </w:rPr>
        <w:t> </w:t>
      </w:r>
      <w:r>
        <w:rPr>
          <w:color w:val="231F20"/>
          <w:w w:val="110"/>
        </w:rPr>
        <w:t>para</w:t>
      </w:r>
      <w:r>
        <w:rPr>
          <w:color w:val="231F20"/>
          <w:spacing w:val="-5"/>
          <w:w w:val="110"/>
        </w:rPr>
        <w:t> </w:t>
      </w:r>
      <w:r>
        <w:rPr>
          <w:color w:val="231F20"/>
          <w:w w:val="110"/>
        </w:rPr>
        <w:t>la</w:t>
      </w:r>
      <w:r>
        <w:rPr>
          <w:color w:val="231F20"/>
          <w:spacing w:val="-5"/>
          <w:w w:val="110"/>
        </w:rPr>
        <w:t> </w:t>
      </w:r>
      <w:r>
        <w:rPr>
          <w:color w:val="231F20"/>
          <w:w w:val="110"/>
        </w:rPr>
        <w:t>comprensión</w:t>
      </w:r>
      <w:r>
        <w:rPr>
          <w:color w:val="231F20"/>
          <w:spacing w:val="-5"/>
          <w:w w:val="110"/>
        </w:rPr>
        <w:t> </w:t>
      </w:r>
      <w:r>
        <w:rPr>
          <w:color w:val="231F20"/>
          <w:w w:val="110"/>
        </w:rPr>
        <w:t>y</w:t>
      </w:r>
      <w:r>
        <w:rPr>
          <w:color w:val="231F20"/>
          <w:spacing w:val="-5"/>
          <w:w w:val="110"/>
        </w:rPr>
        <w:t> </w:t>
      </w:r>
      <w:r>
        <w:rPr>
          <w:color w:val="231F20"/>
          <w:w w:val="110"/>
        </w:rPr>
        <w:t>el</w:t>
      </w:r>
      <w:r>
        <w:rPr>
          <w:color w:val="231F20"/>
          <w:spacing w:val="-5"/>
          <w:w w:val="110"/>
        </w:rPr>
        <w:t> </w:t>
      </w:r>
      <w:r>
        <w:rPr>
          <w:color w:val="231F20"/>
          <w:w w:val="110"/>
        </w:rPr>
        <w:t>análisis</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articulación</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produc- ción y la reproducción en las unidades </w:t>
      </w:r>
      <w:r>
        <w:rPr>
          <w:color w:val="231F20"/>
          <w:spacing w:val="8"/>
          <w:w w:val="110"/>
        </w:rPr>
        <w:t> </w:t>
      </w:r>
      <w:r>
        <w:rPr>
          <w:color w:val="231F20"/>
          <w:w w:val="110"/>
        </w:rPr>
        <w:t>entrevistadas.</w:t>
      </w:r>
    </w:p>
    <w:p>
      <w:pPr>
        <w:pStyle w:val="BodyText"/>
        <w:spacing w:line="285" w:lineRule="auto" w:before="1"/>
        <w:ind w:left="100" w:right="116" w:firstLine="360"/>
        <w:jc w:val="both"/>
      </w:pPr>
      <w:r>
        <w:rPr>
          <w:color w:val="231F20"/>
          <w:w w:val="110"/>
        </w:rPr>
        <w:t>Algunos</w:t>
      </w:r>
      <w:r>
        <w:rPr>
          <w:color w:val="231F20"/>
          <w:spacing w:val="-9"/>
          <w:w w:val="110"/>
        </w:rPr>
        <w:t> </w:t>
      </w:r>
      <w:r>
        <w:rPr>
          <w:color w:val="231F20"/>
          <w:w w:val="110"/>
        </w:rPr>
        <w:t>propietarios</w:t>
      </w:r>
      <w:r>
        <w:rPr>
          <w:color w:val="231F20"/>
          <w:spacing w:val="-9"/>
          <w:w w:val="110"/>
        </w:rPr>
        <w:t> </w:t>
      </w:r>
      <w:r>
        <w:rPr>
          <w:color w:val="231F20"/>
          <w:w w:val="110"/>
        </w:rPr>
        <w:t>de</w:t>
      </w:r>
      <w:r>
        <w:rPr>
          <w:color w:val="231F20"/>
          <w:spacing w:val="-9"/>
          <w:w w:val="110"/>
        </w:rPr>
        <w:t> </w:t>
      </w:r>
      <w:r>
        <w:rPr>
          <w:color w:val="231F20"/>
          <w:w w:val="110"/>
        </w:rPr>
        <w:t>establecimientos</w:t>
      </w:r>
      <w:r>
        <w:rPr>
          <w:color w:val="231F20"/>
          <w:spacing w:val="-9"/>
          <w:w w:val="110"/>
        </w:rPr>
        <w:t> </w:t>
      </w:r>
      <w:r>
        <w:rPr>
          <w:color w:val="231F20"/>
          <w:w w:val="110"/>
        </w:rPr>
        <w:t>consideran</w:t>
      </w:r>
      <w:r>
        <w:rPr>
          <w:color w:val="231F20"/>
          <w:spacing w:val="-9"/>
          <w:w w:val="110"/>
        </w:rPr>
        <w:t> </w:t>
      </w:r>
      <w:r>
        <w:rPr>
          <w:color w:val="231F20"/>
          <w:w w:val="110"/>
        </w:rPr>
        <w:t>deseable</w:t>
      </w:r>
      <w:r>
        <w:rPr>
          <w:color w:val="231F20"/>
          <w:spacing w:val="-9"/>
          <w:w w:val="110"/>
        </w:rPr>
        <w:t> </w:t>
      </w:r>
      <w:r>
        <w:rPr>
          <w:color w:val="231F20"/>
          <w:w w:val="110"/>
        </w:rPr>
        <w:t>la</w:t>
      </w:r>
      <w:r>
        <w:rPr>
          <w:color w:val="231F20"/>
          <w:spacing w:val="-9"/>
          <w:w w:val="110"/>
        </w:rPr>
        <w:t> </w:t>
      </w:r>
      <w:r>
        <w:rPr>
          <w:color w:val="231F20"/>
          <w:w w:val="110"/>
        </w:rPr>
        <w:t>inclu- sión de la familia al trabajo en el negocio y la buscan, en tanto que otros manifiestan que no es una buena alternativa integrarla. De esta forma, hay quienes consideran que el trabajo de la familia es necesario e importante </w:t>
      </w:r>
      <w:r>
        <w:rPr>
          <w:color w:val="231F20"/>
          <w:spacing w:val="-3"/>
          <w:w w:val="110"/>
        </w:rPr>
        <w:t>para </w:t>
      </w:r>
      <w:r>
        <w:rPr>
          <w:color w:val="231F20"/>
          <w:w w:val="110"/>
        </w:rPr>
        <w:t>el </w:t>
      </w:r>
      <w:r>
        <w:rPr>
          <w:color w:val="231F20"/>
          <w:spacing w:val="-4"/>
          <w:w w:val="110"/>
        </w:rPr>
        <w:t>negocio, destacando </w:t>
      </w:r>
      <w:r>
        <w:rPr>
          <w:color w:val="231F20"/>
          <w:spacing w:val="-3"/>
          <w:w w:val="110"/>
        </w:rPr>
        <w:t>que </w:t>
      </w:r>
      <w:r>
        <w:rPr>
          <w:color w:val="231F20"/>
          <w:w w:val="110"/>
        </w:rPr>
        <w:t>es la </w:t>
      </w:r>
      <w:r>
        <w:rPr>
          <w:color w:val="231F20"/>
          <w:spacing w:val="-4"/>
          <w:w w:val="110"/>
        </w:rPr>
        <w:t>presencia </w:t>
      </w:r>
      <w:r>
        <w:rPr>
          <w:color w:val="231F20"/>
          <w:w w:val="110"/>
        </w:rPr>
        <w:t>de </w:t>
      </w:r>
      <w:r>
        <w:rPr>
          <w:color w:val="231F20"/>
          <w:spacing w:val="-3"/>
          <w:w w:val="110"/>
        </w:rPr>
        <w:t>los </w:t>
      </w:r>
      <w:r>
        <w:rPr>
          <w:color w:val="231F20"/>
          <w:spacing w:val="-4"/>
          <w:w w:val="110"/>
        </w:rPr>
        <w:t>miembros </w:t>
      </w:r>
      <w:r>
        <w:rPr>
          <w:color w:val="231F20"/>
          <w:w w:val="110"/>
        </w:rPr>
        <w:t>de la</w:t>
      </w:r>
      <w:r>
        <w:rPr>
          <w:color w:val="231F20"/>
          <w:spacing w:val="-24"/>
          <w:w w:val="110"/>
        </w:rPr>
        <w:t> </w:t>
      </w:r>
      <w:r>
        <w:rPr>
          <w:color w:val="231F20"/>
          <w:spacing w:val="-4"/>
          <w:w w:val="110"/>
        </w:rPr>
        <w:t>familia </w:t>
      </w:r>
      <w:r>
        <w:rPr>
          <w:color w:val="231F20"/>
          <w:w w:val="110"/>
        </w:rPr>
        <w:t>la que da al trabajo las particularidades que le permiten salir</w:t>
      </w:r>
      <w:r>
        <w:rPr>
          <w:color w:val="231F20"/>
          <w:spacing w:val="18"/>
          <w:w w:val="110"/>
        </w:rPr>
        <w:t> </w:t>
      </w:r>
      <w:r>
        <w:rPr>
          <w:color w:val="231F20"/>
          <w:w w:val="110"/>
        </w:rPr>
        <w:t>adelante.</w:t>
      </w:r>
    </w:p>
    <w:p>
      <w:pPr>
        <w:pStyle w:val="BodyText"/>
        <w:spacing w:before="2"/>
        <w:rPr>
          <w:sz w:val="16"/>
        </w:rPr>
      </w:pPr>
    </w:p>
    <w:p>
      <w:pPr>
        <w:spacing w:before="0"/>
        <w:ind w:left="460" w:right="0" w:firstLine="0"/>
        <w:jc w:val="left"/>
        <w:rPr>
          <w:sz w:val="18"/>
        </w:rPr>
      </w:pPr>
      <w:r>
        <w:rPr>
          <w:color w:val="231F20"/>
          <w:w w:val="110"/>
          <w:sz w:val="18"/>
        </w:rPr>
        <w:t>Yo  estoy convencido que si no fuera por ellos (la familia) esto no   funcionaría,</w:t>
      </w:r>
    </w:p>
    <w:p>
      <w:pPr>
        <w:spacing w:before="39"/>
        <w:ind w:left="460" w:right="0" w:firstLine="0"/>
        <w:jc w:val="left"/>
        <w:rPr>
          <w:sz w:val="18"/>
        </w:rPr>
      </w:pPr>
      <w:r>
        <w:rPr>
          <w:color w:val="231F20"/>
          <w:w w:val="110"/>
          <w:sz w:val="18"/>
        </w:rPr>
        <w:t>¿quién se va a querer meter todas estas horas acá adentro?, nadie, nadie que</w:t>
      </w:r>
    </w:p>
    <w:p>
      <w:pPr>
        <w:spacing w:after="0"/>
        <w:jc w:val="left"/>
        <w:rPr>
          <w:sz w:val="18"/>
        </w:rPr>
        <w:sectPr>
          <w:footerReference w:type="default" r:id="rId29"/>
          <w:footerReference w:type="even" r:id="rId30"/>
          <w:pgSz w:w="9520" w:h="12920"/>
          <w:pgMar w:footer="1344" w:header="0" w:top="880" w:bottom="1540" w:left="1020" w:right="1320"/>
          <w:pgNumType w:start="43"/>
        </w:sectPr>
      </w:pPr>
    </w:p>
    <w:p>
      <w:pPr>
        <w:spacing w:line="278" w:lineRule="auto" w:before="46"/>
        <w:ind w:left="484" w:right="112" w:firstLine="0"/>
        <w:jc w:val="both"/>
        <w:rPr>
          <w:sz w:val="18"/>
        </w:rPr>
      </w:pPr>
      <w:r>
        <w:rPr>
          <w:color w:val="231F20"/>
          <w:w w:val="110"/>
          <w:sz w:val="18"/>
        </w:rPr>
        <w:t>no sienta que esto es suyo. Por eso yo le digo esto, fíjese bien, la familia es el mejor negocio que uno puede tener, y por suerte a mis hijos esto les gusta, porque acá crecieron, en medio de esto, como quien dice (propietario de co- cina, 53 años)</w:t>
      </w:r>
    </w:p>
    <w:p>
      <w:pPr>
        <w:spacing w:line="278" w:lineRule="auto" w:before="0"/>
        <w:ind w:left="484" w:right="114" w:firstLine="0"/>
        <w:jc w:val="both"/>
        <w:rPr>
          <w:sz w:val="18"/>
        </w:rPr>
      </w:pPr>
      <w:r>
        <w:rPr>
          <w:color w:val="231F20"/>
          <w:w w:val="110"/>
          <w:sz w:val="18"/>
        </w:rPr>
        <w:t>Bueno, trabaja uno mejor, que diga, más cómodo o no sé, más a gusto, porque es la familia de uno y no hay que andar cuidándose ni nada de eso […] todos tiran parejo, para el mismo lado, todo lo que se gana va para el mismo lugar, entonces es mejor trabajar así que con extraños que uno ni conoce” (propieta- ria de cocina, 45 años).</w:t>
      </w:r>
    </w:p>
    <w:p>
      <w:pPr>
        <w:pStyle w:val="BodyText"/>
        <w:spacing w:before="6"/>
        <w:rPr>
          <w:sz w:val="21"/>
        </w:rPr>
      </w:pPr>
    </w:p>
    <w:p>
      <w:pPr>
        <w:pStyle w:val="BodyText"/>
        <w:spacing w:line="283" w:lineRule="auto"/>
        <w:ind w:left="124" w:right="113" w:firstLine="360"/>
        <w:jc w:val="both"/>
      </w:pPr>
      <w:r>
        <w:rPr>
          <w:color w:val="231F20"/>
          <w:w w:val="110"/>
        </w:rPr>
        <w:t>No sólo se reconoce la importancia de la familia para el trabajo en el negocio, sino que en estas unidades se hace notar además que el negocio existe por y para la familia, y que no tendría sentido si no estuvieran tra- bajando en él los integrantes del grupo familiar.</w:t>
      </w:r>
    </w:p>
    <w:p>
      <w:pPr>
        <w:pStyle w:val="BodyText"/>
        <w:spacing w:before="10"/>
        <w:rPr>
          <w:sz w:val="15"/>
        </w:rPr>
      </w:pPr>
    </w:p>
    <w:p>
      <w:pPr>
        <w:spacing w:line="278" w:lineRule="auto" w:before="0"/>
        <w:ind w:left="484" w:right="113" w:firstLine="0"/>
        <w:jc w:val="both"/>
        <w:rPr>
          <w:sz w:val="18"/>
        </w:rPr>
      </w:pPr>
      <w:r>
        <w:rPr>
          <w:color w:val="231F20"/>
          <w:w w:val="110"/>
          <w:sz w:val="18"/>
        </w:rPr>
        <w:t>¿Y para qué hace uno todo este esfuerzo sino es para los hijos y para los nie- tos? para que no tengan que andar mendigando un trabajo por ahí. Uno hace esto para ellos, no piensa en hacerse rico y tener una fortuna, no que va, uno piensa en darles las oportunidades que no tuvo uno, en hacer esto para la fa- milia, para que se quede la familia ¿entiende? (propietario de cocina, 41 años).</w:t>
      </w:r>
    </w:p>
    <w:p>
      <w:pPr>
        <w:pStyle w:val="BodyText"/>
        <w:spacing w:before="6"/>
        <w:rPr>
          <w:sz w:val="21"/>
        </w:rPr>
      </w:pPr>
    </w:p>
    <w:p>
      <w:pPr>
        <w:pStyle w:val="BodyText"/>
        <w:spacing w:line="283" w:lineRule="auto"/>
        <w:ind w:left="124" w:right="113" w:firstLine="360"/>
        <w:jc w:val="both"/>
        <w:rPr>
          <w:sz w:val="11"/>
        </w:rPr>
      </w:pPr>
      <w:r>
        <w:rPr>
          <w:color w:val="231F20"/>
          <w:w w:val="110"/>
        </w:rPr>
        <w:t>Por</w:t>
      </w:r>
      <w:r>
        <w:rPr>
          <w:color w:val="231F20"/>
          <w:spacing w:val="-3"/>
          <w:w w:val="110"/>
        </w:rPr>
        <w:t> </w:t>
      </w:r>
      <w:r>
        <w:rPr>
          <w:color w:val="231F20"/>
          <w:w w:val="110"/>
        </w:rPr>
        <w:t>otra</w:t>
      </w:r>
      <w:r>
        <w:rPr>
          <w:color w:val="231F20"/>
          <w:spacing w:val="-3"/>
          <w:w w:val="110"/>
        </w:rPr>
        <w:t> </w:t>
      </w:r>
      <w:r>
        <w:rPr>
          <w:color w:val="231F20"/>
          <w:w w:val="110"/>
        </w:rPr>
        <w:t>parte,</w:t>
      </w:r>
      <w:r>
        <w:rPr>
          <w:color w:val="231F20"/>
          <w:spacing w:val="-3"/>
          <w:w w:val="110"/>
        </w:rPr>
        <w:t> </w:t>
      </w:r>
      <w:r>
        <w:rPr>
          <w:color w:val="231F20"/>
          <w:w w:val="110"/>
        </w:rPr>
        <w:t>esta</w:t>
      </w:r>
      <w:r>
        <w:rPr>
          <w:color w:val="231F20"/>
          <w:spacing w:val="-3"/>
          <w:w w:val="110"/>
        </w:rPr>
        <w:t> </w:t>
      </w:r>
      <w:r>
        <w:rPr>
          <w:color w:val="231F20"/>
          <w:w w:val="110"/>
        </w:rPr>
        <w:t>idea</w:t>
      </w:r>
      <w:r>
        <w:rPr>
          <w:color w:val="231F20"/>
          <w:spacing w:val="-3"/>
          <w:w w:val="110"/>
        </w:rPr>
        <w:t> </w:t>
      </w:r>
      <w:r>
        <w:rPr>
          <w:color w:val="231F20"/>
          <w:w w:val="110"/>
        </w:rPr>
        <w:t>del</w:t>
      </w:r>
      <w:r>
        <w:rPr>
          <w:color w:val="231F20"/>
          <w:spacing w:val="-3"/>
          <w:w w:val="110"/>
        </w:rPr>
        <w:t> </w:t>
      </w:r>
      <w:r>
        <w:rPr>
          <w:color w:val="231F20"/>
          <w:w w:val="110"/>
        </w:rPr>
        <w:t>negocio</w:t>
      </w:r>
      <w:r>
        <w:rPr>
          <w:color w:val="231F20"/>
          <w:spacing w:val="-3"/>
          <w:w w:val="110"/>
        </w:rPr>
        <w:t> </w:t>
      </w:r>
      <w:r>
        <w:rPr>
          <w:color w:val="231F20"/>
          <w:w w:val="110"/>
        </w:rPr>
        <w:t>por</w:t>
      </w:r>
      <w:r>
        <w:rPr>
          <w:color w:val="231F20"/>
          <w:spacing w:val="-3"/>
          <w:w w:val="110"/>
        </w:rPr>
        <w:t> </w:t>
      </w:r>
      <w:r>
        <w:rPr>
          <w:color w:val="231F20"/>
          <w:w w:val="110"/>
        </w:rPr>
        <w:t>y</w:t>
      </w:r>
      <w:r>
        <w:rPr>
          <w:color w:val="231F20"/>
          <w:spacing w:val="-3"/>
          <w:w w:val="110"/>
        </w:rPr>
        <w:t> </w:t>
      </w:r>
      <w:r>
        <w:rPr>
          <w:color w:val="231F20"/>
          <w:w w:val="110"/>
        </w:rPr>
        <w:t>para</w:t>
      </w:r>
      <w:r>
        <w:rPr>
          <w:color w:val="231F20"/>
          <w:spacing w:val="-3"/>
          <w:w w:val="110"/>
        </w:rPr>
        <w:t> </w:t>
      </w:r>
      <w:r>
        <w:rPr>
          <w:color w:val="231F20"/>
          <w:w w:val="110"/>
        </w:rPr>
        <w:t>la</w:t>
      </w:r>
      <w:r>
        <w:rPr>
          <w:color w:val="231F20"/>
          <w:spacing w:val="-3"/>
          <w:w w:val="110"/>
        </w:rPr>
        <w:t> </w:t>
      </w:r>
      <w:r>
        <w:rPr>
          <w:color w:val="231F20"/>
          <w:w w:val="110"/>
        </w:rPr>
        <w:t>familia</w:t>
      </w:r>
      <w:r>
        <w:rPr>
          <w:color w:val="231F20"/>
          <w:spacing w:val="-3"/>
          <w:w w:val="110"/>
        </w:rPr>
        <w:t> </w:t>
      </w:r>
      <w:r>
        <w:rPr>
          <w:color w:val="231F20"/>
          <w:w w:val="110"/>
        </w:rPr>
        <w:t>evidencia</w:t>
      </w:r>
      <w:r>
        <w:rPr>
          <w:color w:val="231F20"/>
          <w:spacing w:val="-3"/>
          <w:w w:val="110"/>
        </w:rPr>
        <w:t> </w:t>
      </w:r>
      <w:r>
        <w:rPr>
          <w:color w:val="231F20"/>
          <w:w w:val="110"/>
        </w:rPr>
        <w:t>una determinada forma de concebir a la unidad familiar, que, por su ubicación estratégica entre los procesos macro y microestructurales, parece erigirse en un espacio de mediación, que en este caso busca atenuar la fuerza con que algunas transformaciones inciden sobre la vida de sus </w:t>
      </w:r>
      <w:r>
        <w:rPr>
          <w:color w:val="231F20"/>
          <w:spacing w:val="36"/>
          <w:w w:val="110"/>
        </w:rPr>
        <w:t> </w:t>
      </w:r>
      <w:r>
        <w:rPr>
          <w:color w:val="231F20"/>
          <w:w w:val="110"/>
        </w:rPr>
        <w:t>integrantes.</w:t>
      </w:r>
      <w:r>
        <w:rPr>
          <w:color w:val="231F20"/>
          <w:w w:val="110"/>
          <w:position w:val="6"/>
          <w:sz w:val="11"/>
        </w:rPr>
        <w:t>4</w:t>
      </w:r>
    </w:p>
    <w:p>
      <w:pPr>
        <w:pStyle w:val="BodyText"/>
        <w:spacing w:line="283" w:lineRule="auto"/>
        <w:ind w:left="124" w:right="113" w:firstLine="360"/>
        <w:jc w:val="both"/>
      </w:pPr>
      <w:r>
        <w:rPr>
          <w:color w:val="231F20"/>
          <w:w w:val="110"/>
        </w:rPr>
        <w:t>Estos propietarios reconocen los inconvenientes y las desventajas que tiene para ellos ser dueños o trabajar en un negocio familiar con otros in- tegrantes de su unidad doméstica. Asimismo refuerzan la idea de que el negocio puede funcionar independientemente de la familia.</w:t>
      </w:r>
    </w:p>
    <w:p>
      <w:pPr>
        <w:pStyle w:val="BodyText"/>
        <w:spacing w:before="10"/>
        <w:rPr>
          <w:sz w:val="15"/>
        </w:rPr>
      </w:pPr>
    </w:p>
    <w:p>
      <w:pPr>
        <w:spacing w:line="278" w:lineRule="auto" w:before="0"/>
        <w:ind w:left="484" w:right="112" w:firstLine="0"/>
        <w:jc w:val="both"/>
        <w:rPr>
          <w:sz w:val="18"/>
        </w:rPr>
      </w:pPr>
      <w:r>
        <w:rPr>
          <w:color w:val="231F20"/>
          <w:w w:val="110"/>
          <w:sz w:val="18"/>
        </w:rPr>
        <w:t>No que va, aquí todos somos trabajadores, uno tiene que tener cuidado y</w:t>
      </w:r>
      <w:r>
        <w:rPr>
          <w:color w:val="231F20"/>
          <w:spacing w:val="-18"/>
          <w:w w:val="110"/>
          <w:sz w:val="18"/>
        </w:rPr>
        <w:t> </w:t>
      </w:r>
      <w:r>
        <w:rPr>
          <w:color w:val="231F20"/>
          <w:w w:val="110"/>
          <w:sz w:val="18"/>
        </w:rPr>
        <w:t>como quien dice no mezclar las cosas. Sí es la familia pero tienen que trabajar, por eso se les paga como a cualquier hijo de vecino, no se puede estar tocando el corazón y decir “no, es mi hijo, no importa que llegue tarde o que no me ter- mine”; no, no, no, no hay que hacer distinciones, todos tienen que trabajar (propietario</w:t>
      </w:r>
      <w:r>
        <w:rPr>
          <w:color w:val="231F20"/>
          <w:spacing w:val="-12"/>
          <w:w w:val="110"/>
          <w:sz w:val="18"/>
        </w:rPr>
        <w:t> </w:t>
      </w:r>
      <w:r>
        <w:rPr>
          <w:color w:val="231F20"/>
          <w:w w:val="110"/>
          <w:sz w:val="18"/>
        </w:rPr>
        <w:t>de</w:t>
      </w:r>
      <w:r>
        <w:rPr>
          <w:color w:val="231F20"/>
          <w:spacing w:val="-12"/>
          <w:w w:val="110"/>
          <w:sz w:val="18"/>
        </w:rPr>
        <w:t> </w:t>
      </w:r>
      <w:r>
        <w:rPr>
          <w:color w:val="231F20"/>
          <w:spacing w:val="-3"/>
          <w:w w:val="110"/>
          <w:sz w:val="18"/>
        </w:rPr>
        <w:t>taller,</w:t>
      </w:r>
      <w:r>
        <w:rPr>
          <w:color w:val="231F20"/>
          <w:spacing w:val="-12"/>
          <w:w w:val="110"/>
          <w:sz w:val="18"/>
        </w:rPr>
        <w:t> </w:t>
      </w:r>
      <w:r>
        <w:rPr>
          <w:color w:val="231F20"/>
          <w:w w:val="110"/>
          <w:sz w:val="18"/>
        </w:rPr>
        <w:t>39</w:t>
      </w:r>
      <w:r>
        <w:rPr>
          <w:color w:val="231F20"/>
          <w:spacing w:val="-12"/>
          <w:w w:val="110"/>
          <w:sz w:val="18"/>
        </w:rPr>
        <w:t> </w:t>
      </w:r>
      <w:r>
        <w:rPr>
          <w:color w:val="231F20"/>
          <w:w w:val="110"/>
          <w:sz w:val="18"/>
        </w:rPr>
        <w:t>años).</w:t>
      </w:r>
    </w:p>
    <w:p>
      <w:pPr>
        <w:pStyle w:val="BodyText"/>
        <w:spacing w:before="1"/>
        <w:rPr>
          <w:sz w:val="18"/>
        </w:rPr>
      </w:pPr>
    </w:p>
    <w:p>
      <w:pPr>
        <w:spacing w:line="256" w:lineRule="auto" w:before="0"/>
        <w:ind w:left="124" w:right="112" w:firstLine="360"/>
        <w:jc w:val="both"/>
        <w:rPr>
          <w:sz w:val="16"/>
        </w:rPr>
      </w:pPr>
      <w:r>
        <w:rPr>
          <w:color w:val="231F20"/>
          <w:w w:val="110"/>
          <w:position w:val="5"/>
          <w:sz w:val="9"/>
        </w:rPr>
        <w:t>4 </w:t>
      </w:r>
      <w:r>
        <w:rPr>
          <w:color w:val="231F20"/>
          <w:w w:val="110"/>
          <w:sz w:val="16"/>
        </w:rPr>
        <w:t>De manera directa o indirecta, la unidad doméstica está constituyendo una unidad de análisis privilegiada en la evaluación del impacto de los procesos sociodemográficos sobre la dinámica social.</w:t>
      </w:r>
    </w:p>
    <w:p>
      <w:pPr>
        <w:spacing w:after="0" w:line="256" w:lineRule="auto"/>
        <w:jc w:val="both"/>
        <w:rPr>
          <w:sz w:val="16"/>
        </w:rPr>
        <w:sectPr>
          <w:pgSz w:w="9520" w:h="12920"/>
          <w:pgMar w:header="0" w:footer="1344" w:top="880" w:bottom="1540" w:left="1320" w:right="1000"/>
        </w:sectPr>
      </w:pPr>
    </w:p>
    <w:p>
      <w:pPr>
        <w:spacing w:line="283" w:lineRule="auto" w:before="46"/>
        <w:ind w:left="460" w:right="116" w:firstLine="0"/>
        <w:jc w:val="both"/>
        <w:rPr>
          <w:sz w:val="18"/>
        </w:rPr>
      </w:pPr>
      <w:r>
        <w:rPr>
          <w:color w:val="231F20"/>
          <w:w w:val="110"/>
          <w:sz w:val="18"/>
        </w:rPr>
        <w:t>Y no, no, porque si no fueran ellos serían otros, ¿me entiende?, el negocio por si</w:t>
      </w:r>
      <w:r>
        <w:rPr>
          <w:color w:val="231F20"/>
          <w:spacing w:val="-5"/>
          <w:w w:val="110"/>
          <w:sz w:val="18"/>
        </w:rPr>
        <w:t> </w:t>
      </w:r>
      <w:r>
        <w:rPr>
          <w:color w:val="231F20"/>
          <w:w w:val="110"/>
          <w:sz w:val="18"/>
        </w:rPr>
        <w:t>digamos,</w:t>
      </w:r>
      <w:r>
        <w:rPr>
          <w:color w:val="231F20"/>
          <w:spacing w:val="-5"/>
          <w:w w:val="110"/>
          <w:sz w:val="18"/>
        </w:rPr>
        <w:t> </w:t>
      </w:r>
      <w:r>
        <w:rPr>
          <w:color w:val="231F20"/>
          <w:w w:val="110"/>
          <w:sz w:val="18"/>
        </w:rPr>
        <w:t>esto</w:t>
      </w:r>
      <w:r>
        <w:rPr>
          <w:color w:val="231F20"/>
          <w:spacing w:val="-5"/>
          <w:w w:val="110"/>
          <w:sz w:val="18"/>
        </w:rPr>
        <w:t> </w:t>
      </w:r>
      <w:r>
        <w:rPr>
          <w:color w:val="231F20"/>
          <w:w w:val="110"/>
          <w:sz w:val="18"/>
        </w:rPr>
        <w:t>es</w:t>
      </w:r>
      <w:r>
        <w:rPr>
          <w:color w:val="231F20"/>
          <w:spacing w:val="-5"/>
          <w:w w:val="110"/>
          <w:sz w:val="18"/>
        </w:rPr>
        <w:t> </w:t>
      </w:r>
      <w:r>
        <w:rPr>
          <w:color w:val="231F20"/>
          <w:w w:val="110"/>
          <w:sz w:val="18"/>
        </w:rPr>
        <w:t>para</w:t>
      </w:r>
      <w:r>
        <w:rPr>
          <w:color w:val="231F20"/>
          <w:spacing w:val="-5"/>
          <w:w w:val="110"/>
          <w:sz w:val="18"/>
        </w:rPr>
        <w:t> </w:t>
      </w:r>
      <w:r>
        <w:rPr>
          <w:color w:val="231F20"/>
          <w:w w:val="110"/>
          <w:sz w:val="18"/>
        </w:rPr>
        <w:t>la</w:t>
      </w:r>
      <w:r>
        <w:rPr>
          <w:color w:val="231F20"/>
          <w:spacing w:val="-5"/>
          <w:w w:val="110"/>
          <w:sz w:val="18"/>
        </w:rPr>
        <w:t> </w:t>
      </w:r>
      <w:r>
        <w:rPr>
          <w:color w:val="231F20"/>
          <w:w w:val="110"/>
          <w:sz w:val="18"/>
        </w:rPr>
        <w:t>familia,</w:t>
      </w:r>
      <w:r>
        <w:rPr>
          <w:color w:val="231F20"/>
          <w:spacing w:val="-5"/>
          <w:w w:val="110"/>
          <w:sz w:val="18"/>
        </w:rPr>
        <w:t> </w:t>
      </w:r>
      <w:r>
        <w:rPr>
          <w:color w:val="231F20"/>
          <w:w w:val="110"/>
          <w:sz w:val="18"/>
        </w:rPr>
        <w:t>para</w:t>
      </w:r>
      <w:r>
        <w:rPr>
          <w:color w:val="231F20"/>
          <w:spacing w:val="-5"/>
          <w:w w:val="110"/>
          <w:sz w:val="18"/>
        </w:rPr>
        <w:t> </w:t>
      </w:r>
      <w:r>
        <w:rPr>
          <w:color w:val="231F20"/>
          <w:w w:val="110"/>
          <w:sz w:val="18"/>
        </w:rPr>
        <w:t>vivir</w:t>
      </w:r>
      <w:r>
        <w:rPr>
          <w:color w:val="231F20"/>
          <w:spacing w:val="-5"/>
          <w:w w:val="110"/>
          <w:sz w:val="18"/>
        </w:rPr>
        <w:t> mejor, </w:t>
      </w:r>
      <w:r>
        <w:rPr>
          <w:color w:val="231F20"/>
          <w:w w:val="110"/>
          <w:sz w:val="18"/>
        </w:rPr>
        <w:t>¿no?,</w:t>
      </w:r>
      <w:r>
        <w:rPr>
          <w:color w:val="231F20"/>
          <w:spacing w:val="-5"/>
          <w:w w:val="110"/>
          <w:sz w:val="18"/>
        </w:rPr>
        <w:t> </w:t>
      </w:r>
      <w:r>
        <w:rPr>
          <w:color w:val="231F20"/>
          <w:w w:val="110"/>
          <w:sz w:val="18"/>
        </w:rPr>
        <w:t>para</w:t>
      </w:r>
      <w:r>
        <w:rPr>
          <w:color w:val="231F20"/>
          <w:spacing w:val="-5"/>
          <w:w w:val="110"/>
          <w:sz w:val="18"/>
        </w:rPr>
        <w:t> </w:t>
      </w:r>
      <w:r>
        <w:rPr>
          <w:color w:val="231F20"/>
          <w:w w:val="110"/>
          <w:sz w:val="18"/>
        </w:rPr>
        <w:t>hacerle</w:t>
      </w:r>
      <w:r>
        <w:rPr>
          <w:color w:val="231F20"/>
          <w:spacing w:val="-5"/>
          <w:w w:val="110"/>
          <w:sz w:val="18"/>
        </w:rPr>
        <w:t> </w:t>
      </w:r>
      <w:r>
        <w:rPr>
          <w:color w:val="231F20"/>
          <w:w w:val="110"/>
          <w:sz w:val="18"/>
        </w:rPr>
        <w:t>la</w:t>
      </w:r>
      <w:r>
        <w:rPr>
          <w:color w:val="231F20"/>
          <w:spacing w:val="-5"/>
          <w:w w:val="110"/>
          <w:sz w:val="18"/>
        </w:rPr>
        <w:t> </w:t>
      </w:r>
      <w:r>
        <w:rPr>
          <w:color w:val="231F20"/>
          <w:w w:val="110"/>
          <w:sz w:val="18"/>
        </w:rPr>
        <w:t>luchita como dicen, pero nadie es, eh, esto, nadie es que diga si falta este me muero, no. […] a veces es peor la familia para trabajar, por la confianza y esas cosas […] aquí las cosas están bien claras; aquí se viene a trabajar y la familia se queda afuera, así no nos metemos en broncas, ¿no? (propietario de taller me- cánico, 64</w:t>
      </w:r>
      <w:r>
        <w:rPr>
          <w:color w:val="231F20"/>
          <w:spacing w:val="11"/>
          <w:w w:val="110"/>
          <w:sz w:val="18"/>
        </w:rPr>
        <w:t> </w:t>
      </w:r>
      <w:r>
        <w:rPr>
          <w:color w:val="231F20"/>
          <w:w w:val="110"/>
          <w:sz w:val="18"/>
        </w:rPr>
        <w:t>años).</w:t>
      </w:r>
    </w:p>
    <w:p>
      <w:pPr>
        <w:pStyle w:val="BodyText"/>
        <w:spacing w:before="7"/>
        <w:rPr>
          <w:sz w:val="21"/>
        </w:rPr>
      </w:pPr>
    </w:p>
    <w:p>
      <w:pPr>
        <w:pStyle w:val="BodyText"/>
        <w:spacing w:line="288" w:lineRule="auto"/>
        <w:ind w:left="100" w:right="117" w:firstLine="360"/>
        <w:jc w:val="both"/>
      </w:pPr>
      <w:r>
        <w:rPr>
          <w:color w:val="231F20"/>
          <w:w w:val="110"/>
        </w:rPr>
        <w:t>Se</w:t>
      </w:r>
      <w:r>
        <w:rPr>
          <w:color w:val="231F20"/>
          <w:spacing w:val="-4"/>
          <w:w w:val="110"/>
        </w:rPr>
        <w:t> </w:t>
      </w:r>
      <w:r>
        <w:rPr>
          <w:color w:val="231F20"/>
          <w:w w:val="110"/>
        </w:rPr>
        <w:t>destaca</w:t>
      </w:r>
      <w:r>
        <w:rPr>
          <w:color w:val="231F20"/>
          <w:spacing w:val="-4"/>
          <w:w w:val="110"/>
        </w:rPr>
        <w:t> </w:t>
      </w:r>
      <w:r>
        <w:rPr>
          <w:color w:val="231F20"/>
          <w:w w:val="110"/>
        </w:rPr>
        <w:t>además</w:t>
      </w:r>
      <w:r>
        <w:rPr>
          <w:color w:val="231F20"/>
          <w:spacing w:val="-4"/>
          <w:w w:val="110"/>
        </w:rPr>
        <w:t> </w:t>
      </w:r>
      <w:r>
        <w:rPr>
          <w:color w:val="231F20"/>
          <w:w w:val="110"/>
        </w:rPr>
        <w:t>que</w:t>
      </w:r>
      <w:r>
        <w:rPr>
          <w:color w:val="231F20"/>
          <w:spacing w:val="-4"/>
          <w:w w:val="110"/>
        </w:rPr>
        <w:t> </w:t>
      </w:r>
      <w:r>
        <w:rPr>
          <w:color w:val="231F20"/>
          <w:w w:val="110"/>
        </w:rPr>
        <w:t>trabajar</w:t>
      </w:r>
      <w:r>
        <w:rPr>
          <w:color w:val="231F20"/>
          <w:spacing w:val="-4"/>
          <w:w w:val="110"/>
        </w:rPr>
        <w:t> </w:t>
      </w:r>
      <w:r>
        <w:rPr>
          <w:color w:val="231F20"/>
          <w:w w:val="110"/>
        </w:rPr>
        <w:t>junto</w:t>
      </w:r>
      <w:r>
        <w:rPr>
          <w:color w:val="231F20"/>
          <w:spacing w:val="-4"/>
          <w:w w:val="110"/>
        </w:rPr>
        <w:t> </w:t>
      </w:r>
      <w:r>
        <w:rPr>
          <w:color w:val="231F20"/>
          <w:w w:val="110"/>
        </w:rPr>
        <w:t>con</w:t>
      </w:r>
      <w:r>
        <w:rPr>
          <w:color w:val="231F20"/>
          <w:spacing w:val="-4"/>
          <w:w w:val="110"/>
        </w:rPr>
        <w:t> </w:t>
      </w:r>
      <w:r>
        <w:rPr>
          <w:color w:val="231F20"/>
          <w:w w:val="110"/>
        </w:rPr>
        <w:t>la</w:t>
      </w:r>
      <w:r>
        <w:rPr>
          <w:color w:val="231F20"/>
          <w:spacing w:val="-4"/>
          <w:w w:val="110"/>
        </w:rPr>
        <w:t> </w:t>
      </w:r>
      <w:r>
        <w:rPr>
          <w:color w:val="231F20"/>
          <w:w w:val="110"/>
        </w:rPr>
        <w:t>familia</w:t>
      </w:r>
      <w:r>
        <w:rPr>
          <w:color w:val="231F20"/>
          <w:spacing w:val="-4"/>
          <w:w w:val="110"/>
        </w:rPr>
        <w:t> </w:t>
      </w:r>
      <w:r>
        <w:rPr>
          <w:color w:val="231F20"/>
          <w:w w:val="110"/>
        </w:rPr>
        <w:t>no</w:t>
      </w:r>
      <w:r>
        <w:rPr>
          <w:color w:val="231F20"/>
          <w:spacing w:val="-4"/>
          <w:w w:val="110"/>
        </w:rPr>
        <w:t> </w:t>
      </w:r>
      <w:r>
        <w:rPr>
          <w:color w:val="231F20"/>
          <w:w w:val="110"/>
        </w:rPr>
        <w:t>es</w:t>
      </w:r>
      <w:r>
        <w:rPr>
          <w:color w:val="231F20"/>
          <w:spacing w:val="-4"/>
          <w:w w:val="110"/>
        </w:rPr>
        <w:t> </w:t>
      </w:r>
      <w:r>
        <w:rPr>
          <w:color w:val="231F20"/>
          <w:w w:val="110"/>
        </w:rPr>
        <w:t>una</w:t>
      </w:r>
      <w:r>
        <w:rPr>
          <w:color w:val="231F20"/>
          <w:spacing w:val="-4"/>
          <w:w w:val="110"/>
        </w:rPr>
        <w:t> </w:t>
      </w:r>
      <w:r>
        <w:rPr>
          <w:color w:val="231F20"/>
          <w:w w:val="110"/>
        </w:rPr>
        <w:t>situación óptima ni deseable para los propietarios de estos</w:t>
      </w:r>
      <w:r>
        <w:rPr>
          <w:color w:val="231F20"/>
          <w:spacing w:val="5"/>
          <w:w w:val="110"/>
        </w:rPr>
        <w:t> </w:t>
      </w:r>
      <w:r>
        <w:rPr>
          <w:color w:val="231F20"/>
          <w:w w:val="110"/>
        </w:rPr>
        <w:t>establecimientos.</w:t>
      </w:r>
    </w:p>
    <w:p>
      <w:pPr>
        <w:pStyle w:val="BodyText"/>
        <w:rPr>
          <w:sz w:val="16"/>
        </w:rPr>
      </w:pPr>
    </w:p>
    <w:p>
      <w:pPr>
        <w:spacing w:line="283" w:lineRule="auto" w:before="0"/>
        <w:ind w:left="460" w:right="117" w:firstLine="0"/>
        <w:jc w:val="both"/>
        <w:rPr>
          <w:sz w:val="18"/>
        </w:rPr>
      </w:pPr>
      <w:r>
        <w:rPr>
          <w:color w:val="231F20"/>
          <w:w w:val="110"/>
          <w:sz w:val="18"/>
        </w:rPr>
        <w:t>Nadie les pidió que se vinieran a trabajar (al negocio), vinieron solitos porque afuera está muy difícil hacerse un trabajito, entonces vinieron solos, nadie los buscó, no que yo les fui a decir “vengan a trabajar conmigo que los necesito”, nade les dijo […] no me molesta, pero tampoco me gusta, por eso de que no se juntan el negocio con el placer, bueno para mí no se juntan la familia y el tra- bajo, si no queda de otra está bien, pero no se juntan (propietario de taller, 50 años).</w:t>
      </w:r>
    </w:p>
    <w:p>
      <w:pPr>
        <w:pStyle w:val="BodyText"/>
        <w:spacing w:before="7"/>
        <w:rPr>
          <w:sz w:val="21"/>
        </w:rPr>
      </w:pPr>
    </w:p>
    <w:p>
      <w:pPr>
        <w:pStyle w:val="BodyText"/>
        <w:spacing w:line="288" w:lineRule="auto"/>
        <w:ind w:left="100" w:right="118" w:firstLine="360"/>
        <w:jc w:val="both"/>
      </w:pPr>
      <w:r>
        <w:rPr>
          <w:color w:val="231F20"/>
          <w:w w:val="110"/>
        </w:rPr>
        <w:t>Esta situación se complementa con las formas en que las actividades de la familia y del negocio se apropian de los lugares de la   casa.</w:t>
      </w:r>
    </w:p>
    <w:p>
      <w:pPr>
        <w:pStyle w:val="BodyText"/>
        <w:spacing w:line="288" w:lineRule="auto"/>
        <w:ind w:left="100" w:right="117" w:firstLine="360"/>
        <w:jc w:val="both"/>
      </w:pPr>
      <w:r>
        <w:rPr>
          <w:color w:val="231F20"/>
          <w:w w:val="110"/>
        </w:rPr>
        <w:t>Por otra parte, hay quienes realizan las tareas laborales y de la familia en los mismos lugares de la casa; así, la cocina es para la comida del ne- gocio y de la casa, en la sala se atienden los clientes y se ve televisión, en   el dormitorio se instala la computadora y se</w:t>
      </w:r>
      <w:r>
        <w:rPr>
          <w:color w:val="231F20"/>
          <w:spacing w:val="14"/>
          <w:w w:val="110"/>
        </w:rPr>
        <w:t> </w:t>
      </w:r>
      <w:r>
        <w:rPr>
          <w:color w:val="231F20"/>
          <w:w w:val="110"/>
        </w:rPr>
        <w:t>trabaja.</w:t>
      </w:r>
    </w:p>
    <w:p>
      <w:pPr>
        <w:pStyle w:val="BodyText"/>
        <w:rPr>
          <w:sz w:val="16"/>
        </w:rPr>
      </w:pPr>
    </w:p>
    <w:p>
      <w:pPr>
        <w:spacing w:line="283" w:lineRule="auto" w:before="0"/>
        <w:ind w:left="460" w:right="117" w:firstLine="0"/>
        <w:jc w:val="both"/>
        <w:rPr>
          <w:sz w:val="18"/>
        </w:rPr>
      </w:pPr>
      <w:r>
        <w:rPr>
          <w:color w:val="231F20"/>
          <w:w w:val="110"/>
          <w:sz w:val="18"/>
        </w:rPr>
        <w:t>Como que uno se acostumbra, ¿cómo le diré?, sí, eso, se acostumbra y ya no parece raro que la casa no sea una casa como quien dice, porque esto no es una casa, esto es todo del negocio, hasta el baño […] ellos (esposo e hijo)</w:t>
      </w:r>
      <w:r>
        <w:rPr>
          <w:color w:val="231F20"/>
          <w:spacing w:val="-25"/>
          <w:w w:val="110"/>
          <w:sz w:val="18"/>
        </w:rPr>
        <w:t> </w:t>
      </w:r>
      <w:r>
        <w:rPr>
          <w:color w:val="231F20"/>
          <w:w w:val="110"/>
          <w:sz w:val="18"/>
        </w:rPr>
        <w:t>hacen todo entrando y saliendo, no meten los autos porque no pasan por la puerta (risas) que si no… (esposa de propietario de taller mecánico, 49</w:t>
      </w:r>
      <w:r>
        <w:rPr>
          <w:color w:val="231F20"/>
          <w:spacing w:val="34"/>
          <w:w w:val="110"/>
          <w:sz w:val="18"/>
        </w:rPr>
        <w:t> </w:t>
      </w:r>
      <w:r>
        <w:rPr>
          <w:color w:val="231F20"/>
          <w:w w:val="110"/>
          <w:sz w:val="18"/>
        </w:rPr>
        <w:t>años).</w:t>
      </w:r>
    </w:p>
    <w:p>
      <w:pPr>
        <w:pStyle w:val="BodyText"/>
        <w:spacing w:before="7"/>
        <w:rPr>
          <w:sz w:val="21"/>
        </w:rPr>
      </w:pPr>
    </w:p>
    <w:p>
      <w:pPr>
        <w:pStyle w:val="BodyText"/>
        <w:spacing w:line="288" w:lineRule="auto"/>
        <w:ind w:left="100" w:right="114" w:firstLine="360"/>
        <w:jc w:val="both"/>
      </w:pPr>
      <w:r>
        <w:rPr>
          <w:color w:val="231F20"/>
          <w:w w:val="110"/>
        </w:rPr>
        <w:t>“Todo se hace en el mismo lugar y ya estamos acostumbrados así, a nadie le molesta porque es el trabajo, y es mejor así que en una maquila doce horas” (propietario de cocina, 41 años).</w:t>
      </w:r>
    </w:p>
    <w:p>
      <w:pPr>
        <w:pStyle w:val="BodyText"/>
        <w:spacing w:line="288" w:lineRule="auto"/>
        <w:ind w:left="100" w:right="117" w:firstLine="360"/>
        <w:jc w:val="both"/>
      </w:pPr>
      <w:r>
        <w:rPr>
          <w:color w:val="231F20"/>
          <w:w w:val="110"/>
        </w:rPr>
        <w:t>En otros de los negocios considerados en este estudio se puede obser- var una mayor definición en la delimitación de cada uno de los lugares; no obstante, en esa delimitación la mayoría de las veces es la familia la que pierde espacios, ya que la cocina es para el negocio y la unidad   doméstica</w:t>
      </w:r>
    </w:p>
    <w:p>
      <w:pPr>
        <w:spacing w:after="0" w:line="288" w:lineRule="auto"/>
        <w:jc w:val="both"/>
        <w:sectPr>
          <w:pgSz w:w="9520" w:h="12920"/>
          <w:pgMar w:header="0" w:footer="1344" w:top="880" w:bottom="1540" w:left="1020" w:right="1320"/>
        </w:sectPr>
      </w:pPr>
    </w:p>
    <w:p>
      <w:pPr>
        <w:pStyle w:val="BodyText"/>
        <w:spacing w:line="295" w:lineRule="auto" w:before="42"/>
        <w:ind w:left="124" w:right="112"/>
        <w:jc w:val="both"/>
      </w:pPr>
      <w:r>
        <w:rPr>
          <w:color w:val="231F20"/>
          <w:w w:val="110"/>
        </w:rPr>
        <w:t>tiene un lugar más pequeño construido fuera de la casa, la sala deja de ser un</w:t>
      </w:r>
      <w:r>
        <w:rPr>
          <w:color w:val="231F20"/>
          <w:spacing w:val="-10"/>
          <w:w w:val="110"/>
        </w:rPr>
        <w:t> </w:t>
      </w:r>
      <w:r>
        <w:rPr>
          <w:color w:val="231F20"/>
          <w:w w:val="110"/>
        </w:rPr>
        <w:t>lugar</w:t>
      </w:r>
      <w:r>
        <w:rPr>
          <w:color w:val="231F20"/>
          <w:spacing w:val="-10"/>
          <w:w w:val="110"/>
        </w:rPr>
        <w:t> </w:t>
      </w:r>
      <w:r>
        <w:rPr>
          <w:color w:val="231F20"/>
          <w:w w:val="110"/>
        </w:rPr>
        <w:t>para</w:t>
      </w:r>
      <w:r>
        <w:rPr>
          <w:color w:val="231F20"/>
          <w:spacing w:val="-10"/>
          <w:w w:val="110"/>
        </w:rPr>
        <w:t> </w:t>
      </w:r>
      <w:r>
        <w:rPr>
          <w:color w:val="231F20"/>
          <w:w w:val="110"/>
        </w:rPr>
        <w:t>utilización</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integrantes</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unidad</w:t>
      </w:r>
      <w:r>
        <w:rPr>
          <w:color w:val="231F20"/>
          <w:spacing w:val="-10"/>
          <w:w w:val="110"/>
        </w:rPr>
        <w:t> </w:t>
      </w:r>
      <w:r>
        <w:rPr>
          <w:color w:val="231F20"/>
          <w:w w:val="110"/>
        </w:rPr>
        <w:t>doméstica</w:t>
      </w:r>
      <w:r>
        <w:rPr>
          <w:color w:val="231F20"/>
          <w:spacing w:val="-10"/>
          <w:w w:val="110"/>
        </w:rPr>
        <w:t> </w:t>
      </w:r>
      <w:r>
        <w:rPr>
          <w:color w:val="231F20"/>
          <w:w w:val="110"/>
        </w:rPr>
        <w:t>y</w:t>
      </w:r>
      <w:r>
        <w:rPr>
          <w:color w:val="231F20"/>
          <w:spacing w:val="-10"/>
          <w:w w:val="110"/>
        </w:rPr>
        <w:t> </w:t>
      </w:r>
      <w:r>
        <w:rPr>
          <w:color w:val="231F20"/>
          <w:w w:val="110"/>
        </w:rPr>
        <w:t>se</w:t>
      </w:r>
      <w:r>
        <w:rPr>
          <w:color w:val="231F20"/>
          <w:spacing w:val="-10"/>
          <w:w w:val="110"/>
        </w:rPr>
        <w:t> </w:t>
      </w:r>
      <w:r>
        <w:rPr>
          <w:color w:val="231F20"/>
          <w:w w:val="110"/>
        </w:rPr>
        <w:t>con- vierte en la oficina, se comparten dormitorios para habilitar lugares como depósito de materiales; </w:t>
      </w:r>
      <w:r>
        <w:rPr>
          <w:color w:val="231F20"/>
          <w:spacing w:val="5"/>
          <w:w w:val="110"/>
        </w:rPr>
        <w:t>“Y </w:t>
      </w:r>
      <w:r>
        <w:rPr>
          <w:color w:val="231F20"/>
          <w:w w:val="110"/>
        </w:rPr>
        <w:t>sí es duro, para los hijos es más duro porque  no lo ven como nosotros, entonces a veces se enojan […] es comprensible porque les invade la casa todo esto, es bueno por un lado, porque quiere decir que hay trabajo, pero es malo porque la casa es cada vez más chica para</w:t>
      </w:r>
      <w:r>
        <w:rPr>
          <w:color w:val="231F20"/>
          <w:spacing w:val="-7"/>
          <w:w w:val="110"/>
        </w:rPr>
        <w:t> </w:t>
      </w:r>
      <w:r>
        <w:rPr>
          <w:color w:val="231F20"/>
          <w:w w:val="110"/>
        </w:rPr>
        <w:t>todo”</w:t>
      </w:r>
      <w:r>
        <w:rPr>
          <w:color w:val="231F20"/>
          <w:spacing w:val="-7"/>
          <w:w w:val="110"/>
        </w:rPr>
        <w:t> </w:t>
      </w:r>
      <w:r>
        <w:rPr>
          <w:color w:val="231F20"/>
          <w:w w:val="110"/>
        </w:rPr>
        <w:t>(propietario</w:t>
      </w:r>
      <w:r>
        <w:rPr>
          <w:color w:val="231F20"/>
          <w:spacing w:val="-7"/>
          <w:w w:val="110"/>
        </w:rPr>
        <w:t> </w:t>
      </w:r>
      <w:r>
        <w:rPr>
          <w:color w:val="231F20"/>
          <w:w w:val="110"/>
        </w:rPr>
        <w:t>de</w:t>
      </w:r>
      <w:r>
        <w:rPr>
          <w:color w:val="231F20"/>
          <w:spacing w:val="-7"/>
          <w:w w:val="110"/>
        </w:rPr>
        <w:t> </w:t>
      </w:r>
      <w:r>
        <w:rPr>
          <w:color w:val="231F20"/>
          <w:w w:val="110"/>
        </w:rPr>
        <w:t>cocina,</w:t>
      </w:r>
      <w:r>
        <w:rPr>
          <w:color w:val="231F20"/>
          <w:spacing w:val="-7"/>
          <w:w w:val="110"/>
        </w:rPr>
        <w:t> </w:t>
      </w:r>
      <w:r>
        <w:rPr>
          <w:color w:val="231F20"/>
          <w:w w:val="110"/>
        </w:rPr>
        <w:t>54</w:t>
      </w:r>
      <w:r>
        <w:rPr>
          <w:color w:val="231F20"/>
          <w:spacing w:val="-7"/>
          <w:w w:val="110"/>
        </w:rPr>
        <w:t> </w:t>
      </w:r>
      <w:r>
        <w:rPr>
          <w:color w:val="231F20"/>
          <w:w w:val="110"/>
        </w:rPr>
        <w:t>años).</w:t>
      </w:r>
    </w:p>
    <w:p>
      <w:pPr>
        <w:pStyle w:val="BodyText"/>
        <w:spacing w:before="10"/>
        <w:rPr>
          <w:sz w:val="15"/>
        </w:rPr>
      </w:pPr>
    </w:p>
    <w:p>
      <w:pPr>
        <w:spacing w:line="290" w:lineRule="auto" w:before="0"/>
        <w:ind w:left="484" w:right="114" w:firstLine="0"/>
        <w:jc w:val="both"/>
        <w:rPr>
          <w:sz w:val="18"/>
        </w:rPr>
      </w:pPr>
      <w:r>
        <w:rPr>
          <w:color w:val="231F20"/>
          <w:w w:val="105"/>
          <w:sz w:val="18"/>
        </w:rPr>
        <w:t>Antes tenía mi propio dormitorio, pero ahora comparto con mi hermana y su    hija, porque el que era mío ahora es para las despensas […] antes teníamos sala pero ahora nunca se sabe quién va a estar sentado ahí, antes teníamos parque ahora no se puede […] ¿sigo?, todo así, todo para el negocio […] no es que me queje,</w:t>
      </w:r>
      <w:r>
        <w:rPr>
          <w:color w:val="231F20"/>
          <w:spacing w:val="23"/>
          <w:w w:val="105"/>
          <w:sz w:val="18"/>
        </w:rPr>
        <w:t> </w:t>
      </w:r>
      <w:r>
        <w:rPr>
          <w:color w:val="231F20"/>
          <w:w w:val="105"/>
          <w:sz w:val="18"/>
        </w:rPr>
        <w:t>digo</w:t>
      </w:r>
      <w:r>
        <w:rPr>
          <w:color w:val="231F20"/>
          <w:spacing w:val="23"/>
          <w:w w:val="105"/>
          <w:sz w:val="18"/>
        </w:rPr>
        <w:t> </w:t>
      </w:r>
      <w:r>
        <w:rPr>
          <w:color w:val="231F20"/>
          <w:w w:val="105"/>
          <w:sz w:val="18"/>
        </w:rPr>
        <w:t>que</w:t>
      </w:r>
      <w:r>
        <w:rPr>
          <w:color w:val="231F20"/>
          <w:spacing w:val="23"/>
          <w:w w:val="105"/>
          <w:sz w:val="18"/>
        </w:rPr>
        <w:t> </w:t>
      </w:r>
      <w:r>
        <w:rPr>
          <w:color w:val="231F20"/>
          <w:w w:val="105"/>
          <w:sz w:val="18"/>
        </w:rPr>
        <w:t>no</w:t>
      </w:r>
      <w:r>
        <w:rPr>
          <w:color w:val="231F20"/>
          <w:spacing w:val="23"/>
          <w:w w:val="105"/>
          <w:sz w:val="18"/>
        </w:rPr>
        <w:t> </w:t>
      </w:r>
      <w:r>
        <w:rPr>
          <w:color w:val="231F20"/>
          <w:w w:val="105"/>
          <w:sz w:val="18"/>
        </w:rPr>
        <w:t>me</w:t>
      </w:r>
      <w:r>
        <w:rPr>
          <w:color w:val="231F20"/>
          <w:spacing w:val="23"/>
          <w:w w:val="105"/>
          <w:sz w:val="18"/>
        </w:rPr>
        <w:t> </w:t>
      </w:r>
      <w:r>
        <w:rPr>
          <w:color w:val="231F20"/>
          <w:w w:val="105"/>
          <w:sz w:val="18"/>
        </w:rPr>
        <w:t>gusta</w:t>
      </w:r>
      <w:r>
        <w:rPr>
          <w:color w:val="231F20"/>
          <w:spacing w:val="23"/>
          <w:w w:val="105"/>
          <w:sz w:val="18"/>
        </w:rPr>
        <w:t> </w:t>
      </w:r>
      <w:r>
        <w:rPr>
          <w:color w:val="231F20"/>
          <w:w w:val="105"/>
          <w:sz w:val="18"/>
        </w:rPr>
        <w:t>nada</w:t>
      </w:r>
      <w:r>
        <w:rPr>
          <w:color w:val="231F20"/>
          <w:spacing w:val="23"/>
          <w:w w:val="105"/>
          <w:sz w:val="18"/>
        </w:rPr>
        <w:t> </w:t>
      </w:r>
      <w:r>
        <w:rPr>
          <w:color w:val="231F20"/>
          <w:w w:val="105"/>
          <w:sz w:val="18"/>
        </w:rPr>
        <w:t>más</w:t>
      </w:r>
      <w:r>
        <w:rPr>
          <w:color w:val="231F20"/>
          <w:spacing w:val="23"/>
          <w:w w:val="105"/>
          <w:sz w:val="18"/>
        </w:rPr>
        <w:t> </w:t>
      </w:r>
      <w:r>
        <w:rPr>
          <w:color w:val="231F20"/>
          <w:w w:val="105"/>
          <w:sz w:val="18"/>
        </w:rPr>
        <w:t>(hija</w:t>
      </w:r>
      <w:r>
        <w:rPr>
          <w:color w:val="231F20"/>
          <w:spacing w:val="23"/>
          <w:w w:val="105"/>
          <w:sz w:val="18"/>
        </w:rPr>
        <w:t> </w:t>
      </w:r>
      <w:r>
        <w:rPr>
          <w:color w:val="231F20"/>
          <w:w w:val="105"/>
          <w:sz w:val="18"/>
        </w:rPr>
        <w:t>de</w:t>
      </w:r>
      <w:r>
        <w:rPr>
          <w:color w:val="231F20"/>
          <w:spacing w:val="23"/>
          <w:w w:val="105"/>
          <w:sz w:val="18"/>
        </w:rPr>
        <w:t> </w:t>
      </w:r>
      <w:r>
        <w:rPr>
          <w:color w:val="231F20"/>
          <w:w w:val="105"/>
          <w:sz w:val="18"/>
        </w:rPr>
        <w:t>propietario</w:t>
      </w:r>
      <w:r>
        <w:rPr>
          <w:color w:val="231F20"/>
          <w:spacing w:val="23"/>
          <w:w w:val="105"/>
          <w:sz w:val="18"/>
        </w:rPr>
        <w:t> </w:t>
      </w:r>
      <w:r>
        <w:rPr>
          <w:color w:val="231F20"/>
          <w:w w:val="105"/>
          <w:sz w:val="18"/>
        </w:rPr>
        <w:t>de</w:t>
      </w:r>
      <w:r>
        <w:rPr>
          <w:color w:val="231F20"/>
          <w:spacing w:val="23"/>
          <w:w w:val="105"/>
          <w:sz w:val="18"/>
        </w:rPr>
        <w:t> </w:t>
      </w:r>
      <w:r>
        <w:rPr>
          <w:color w:val="231F20"/>
          <w:w w:val="105"/>
          <w:sz w:val="18"/>
        </w:rPr>
        <w:t>cocina,</w:t>
      </w:r>
      <w:r>
        <w:rPr>
          <w:color w:val="231F20"/>
          <w:spacing w:val="23"/>
          <w:w w:val="105"/>
          <w:sz w:val="18"/>
        </w:rPr>
        <w:t> </w:t>
      </w:r>
      <w:r>
        <w:rPr>
          <w:color w:val="231F20"/>
          <w:w w:val="105"/>
          <w:sz w:val="18"/>
        </w:rPr>
        <w:t>20</w:t>
      </w:r>
      <w:r>
        <w:rPr>
          <w:color w:val="231F20"/>
          <w:spacing w:val="23"/>
          <w:w w:val="105"/>
          <w:sz w:val="18"/>
        </w:rPr>
        <w:t> </w:t>
      </w:r>
      <w:r>
        <w:rPr>
          <w:color w:val="231F20"/>
          <w:w w:val="105"/>
          <w:sz w:val="18"/>
        </w:rPr>
        <w:t>años).</w:t>
      </w:r>
    </w:p>
    <w:p>
      <w:pPr>
        <w:pStyle w:val="BodyText"/>
        <w:spacing w:before="7"/>
        <w:rPr>
          <w:sz w:val="21"/>
        </w:rPr>
      </w:pPr>
    </w:p>
    <w:p>
      <w:pPr>
        <w:pStyle w:val="BodyText"/>
        <w:spacing w:line="295" w:lineRule="auto"/>
        <w:ind w:left="124" w:right="112" w:firstLine="360"/>
        <w:jc w:val="both"/>
      </w:pPr>
      <w:r>
        <w:rPr>
          <w:color w:val="231F20"/>
          <w:w w:val="110"/>
        </w:rPr>
        <w:t>Un aspecto importante a destacar es el hecho de que no todos los in- tegrantes de la unidad doméstica trabajan en el negocio. En algunos casos esposas, esposos, hijos e hijas de los propietarios desarrollan actividades laborales en otros lugares sin participar del micronegocio familiar. En este sentido se puede pensar que se habría producido una ampliación del</w:t>
      </w:r>
      <w:r>
        <w:rPr>
          <w:color w:val="231F20"/>
          <w:spacing w:val="-18"/>
          <w:w w:val="110"/>
        </w:rPr>
        <w:t> </w:t>
      </w:r>
      <w:r>
        <w:rPr>
          <w:color w:val="231F20"/>
          <w:w w:val="110"/>
        </w:rPr>
        <w:t>espa- cio en el cual tiene lugar la estrategia de vida de la unidad doméstica, pero sin perder la reciprocidad que constituye un mecanismo fundamental que hace</w:t>
      </w:r>
      <w:r>
        <w:rPr>
          <w:color w:val="231F20"/>
          <w:spacing w:val="-21"/>
          <w:w w:val="110"/>
        </w:rPr>
        <w:t> </w:t>
      </w:r>
      <w:r>
        <w:rPr>
          <w:color w:val="231F20"/>
          <w:w w:val="110"/>
        </w:rPr>
        <w:t>posible</w:t>
      </w:r>
      <w:r>
        <w:rPr>
          <w:color w:val="231F20"/>
          <w:spacing w:val="-21"/>
          <w:w w:val="110"/>
        </w:rPr>
        <w:t> </w:t>
      </w:r>
      <w:r>
        <w:rPr>
          <w:color w:val="231F20"/>
          <w:w w:val="110"/>
        </w:rPr>
        <w:t>cualquier</w:t>
      </w:r>
      <w:r>
        <w:rPr>
          <w:color w:val="231F20"/>
          <w:spacing w:val="-21"/>
          <w:w w:val="110"/>
        </w:rPr>
        <w:t> </w:t>
      </w:r>
      <w:r>
        <w:rPr>
          <w:color w:val="231F20"/>
          <w:w w:val="110"/>
        </w:rPr>
        <w:t>estrategia</w:t>
      </w:r>
      <w:r>
        <w:rPr>
          <w:color w:val="231F20"/>
          <w:spacing w:val="-21"/>
          <w:w w:val="110"/>
        </w:rPr>
        <w:t> </w:t>
      </w:r>
      <w:r>
        <w:rPr>
          <w:color w:val="231F20"/>
          <w:w w:val="110"/>
        </w:rPr>
        <w:t>familiar</w:t>
      </w:r>
      <w:r>
        <w:rPr>
          <w:color w:val="231F20"/>
          <w:spacing w:val="-21"/>
          <w:w w:val="110"/>
        </w:rPr>
        <w:t> </w:t>
      </w:r>
      <w:r>
        <w:rPr>
          <w:color w:val="231F20"/>
          <w:w w:val="110"/>
        </w:rPr>
        <w:t>de</w:t>
      </w:r>
      <w:r>
        <w:rPr>
          <w:color w:val="231F20"/>
          <w:spacing w:val="-21"/>
          <w:w w:val="110"/>
        </w:rPr>
        <w:t> </w:t>
      </w:r>
      <w:r>
        <w:rPr>
          <w:color w:val="231F20"/>
          <w:w w:val="110"/>
        </w:rPr>
        <w:t>sobrevivencia</w:t>
      </w:r>
      <w:r>
        <w:rPr>
          <w:color w:val="231F20"/>
          <w:spacing w:val="-21"/>
          <w:w w:val="110"/>
        </w:rPr>
        <w:t> </w:t>
      </w:r>
      <w:r>
        <w:rPr>
          <w:color w:val="231F20"/>
          <w:w w:val="110"/>
        </w:rPr>
        <w:t>(Lomnitz,</w:t>
      </w:r>
      <w:r>
        <w:rPr>
          <w:color w:val="231F20"/>
          <w:spacing w:val="-21"/>
          <w:w w:val="110"/>
        </w:rPr>
        <w:t> </w:t>
      </w:r>
      <w:r>
        <w:rPr>
          <w:color w:val="231F20"/>
          <w:w w:val="110"/>
        </w:rPr>
        <w:t>1975).</w:t>
      </w:r>
    </w:p>
    <w:p>
      <w:pPr>
        <w:pStyle w:val="BodyText"/>
        <w:spacing w:before="2"/>
        <w:rPr>
          <w:sz w:val="23"/>
        </w:rPr>
      </w:pPr>
    </w:p>
    <w:p>
      <w:pPr>
        <w:pStyle w:val="Heading3"/>
        <w:rPr>
          <w:i/>
        </w:rPr>
      </w:pPr>
      <w:r>
        <w:rPr>
          <w:i/>
          <w:color w:val="231F20"/>
        </w:rPr>
        <w:t>La inestabilidad de un vínculo</w:t>
      </w:r>
    </w:p>
    <w:p>
      <w:pPr>
        <w:pStyle w:val="BodyText"/>
        <w:spacing w:before="10"/>
        <w:rPr>
          <w:rFonts w:ascii="Calibri"/>
          <w:i/>
          <w:sz w:val="22"/>
        </w:rPr>
      </w:pPr>
    </w:p>
    <w:p>
      <w:pPr>
        <w:pStyle w:val="BodyText"/>
        <w:spacing w:line="295" w:lineRule="auto"/>
        <w:ind w:left="124" w:right="110"/>
        <w:jc w:val="both"/>
      </w:pPr>
      <w:r>
        <w:rPr>
          <w:color w:val="231F20"/>
          <w:w w:val="110"/>
        </w:rPr>
        <w:t>Desde la percepción de los entrevistados el vínculo entre la familia y el trabajo es inestable en tanto que el negocio corre el riesgo de debilitarse y no mantenerse ante problemas o conflictos en la unidad doméstica. Es en este</w:t>
      </w:r>
      <w:r>
        <w:rPr>
          <w:color w:val="231F20"/>
          <w:spacing w:val="-13"/>
          <w:w w:val="110"/>
        </w:rPr>
        <w:t> </w:t>
      </w:r>
      <w:r>
        <w:rPr>
          <w:color w:val="231F20"/>
          <w:w w:val="110"/>
        </w:rPr>
        <w:t>sentido</w:t>
      </w:r>
      <w:r>
        <w:rPr>
          <w:color w:val="231F20"/>
          <w:spacing w:val="-13"/>
          <w:w w:val="110"/>
        </w:rPr>
        <w:t> </w:t>
      </w:r>
      <w:r>
        <w:rPr>
          <w:color w:val="231F20"/>
          <w:w w:val="110"/>
        </w:rPr>
        <w:t>que</w:t>
      </w:r>
      <w:r>
        <w:rPr>
          <w:color w:val="231F20"/>
          <w:spacing w:val="-13"/>
          <w:w w:val="110"/>
        </w:rPr>
        <w:t> </w:t>
      </w:r>
      <w:r>
        <w:rPr>
          <w:color w:val="231F20"/>
          <w:w w:val="110"/>
        </w:rPr>
        <w:t>las</w:t>
      </w:r>
      <w:r>
        <w:rPr>
          <w:color w:val="231F20"/>
          <w:spacing w:val="-13"/>
          <w:w w:val="110"/>
        </w:rPr>
        <w:t> </w:t>
      </w:r>
      <w:r>
        <w:rPr>
          <w:color w:val="231F20"/>
          <w:w w:val="110"/>
        </w:rPr>
        <w:t>unidades</w:t>
      </w:r>
      <w:r>
        <w:rPr>
          <w:color w:val="231F20"/>
          <w:spacing w:val="-13"/>
          <w:w w:val="110"/>
        </w:rPr>
        <w:t> </w:t>
      </w:r>
      <w:r>
        <w:rPr>
          <w:color w:val="231F20"/>
          <w:w w:val="110"/>
        </w:rPr>
        <w:t>entrevistadas</w:t>
      </w:r>
      <w:r>
        <w:rPr>
          <w:color w:val="231F20"/>
          <w:spacing w:val="-13"/>
          <w:w w:val="110"/>
        </w:rPr>
        <w:t> </w:t>
      </w:r>
      <w:r>
        <w:rPr>
          <w:color w:val="231F20"/>
          <w:w w:val="110"/>
        </w:rPr>
        <w:t>señalan</w:t>
      </w:r>
      <w:r>
        <w:rPr>
          <w:color w:val="231F20"/>
          <w:spacing w:val="-13"/>
          <w:w w:val="110"/>
        </w:rPr>
        <w:t> </w:t>
      </w:r>
      <w:r>
        <w:rPr>
          <w:color w:val="231F20"/>
          <w:w w:val="110"/>
        </w:rPr>
        <w:t>que</w:t>
      </w:r>
      <w:r>
        <w:rPr>
          <w:color w:val="231F20"/>
          <w:spacing w:val="-13"/>
          <w:w w:val="110"/>
        </w:rPr>
        <w:t> </w:t>
      </w:r>
      <w:r>
        <w:rPr>
          <w:color w:val="231F20"/>
          <w:w w:val="110"/>
        </w:rPr>
        <w:t>el</w:t>
      </w:r>
      <w:r>
        <w:rPr>
          <w:color w:val="231F20"/>
          <w:spacing w:val="-13"/>
          <w:w w:val="110"/>
        </w:rPr>
        <w:t> </w:t>
      </w:r>
      <w:r>
        <w:rPr>
          <w:color w:val="231F20"/>
          <w:w w:val="110"/>
        </w:rPr>
        <w:t>negocio</w:t>
      </w:r>
      <w:r>
        <w:rPr>
          <w:color w:val="231F20"/>
          <w:spacing w:val="-13"/>
          <w:w w:val="110"/>
        </w:rPr>
        <w:t> </w:t>
      </w:r>
      <w:r>
        <w:rPr>
          <w:color w:val="231F20"/>
          <w:w w:val="110"/>
        </w:rPr>
        <w:t>depende en gran medida de las relaciones</w:t>
      </w:r>
      <w:r>
        <w:rPr>
          <w:color w:val="231F20"/>
          <w:spacing w:val="44"/>
          <w:w w:val="110"/>
        </w:rPr>
        <w:t> </w:t>
      </w:r>
      <w:r>
        <w:rPr>
          <w:color w:val="231F20"/>
          <w:w w:val="110"/>
        </w:rPr>
        <w:t>familiares.</w:t>
      </w:r>
    </w:p>
    <w:p>
      <w:pPr>
        <w:pStyle w:val="BodyText"/>
        <w:spacing w:line="295" w:lineRule="auto"/>
        <w:ind w:left="124" w:right="113" w:firstLine="360"/>
        <w:jc w:val="both"/>
      </w:pPr>
      <w:r>
        <w:rPr>
          <w:color w:val="231F20"/>
          <w:w w:val="110"/>
        </w:rPr>
        <w:t>“Imagínese que nos peleáramos, no, ni pensarlo, ¿entonces quién tra- baja si todos se enojan? […] para que funcione nos tenemos que llevar bien, tenemos que ser positivos y pensar en el bien del negocio, en el bien de la familia, sino es entre todos esto no sale, no sale no” (propietario de taller mecánico, 37 años).</w:t>
      </w:r>
    </w:p>
    <w:p>
      <w:pPr>
        <w:spacing w:after="0" w:line="295" w:lineRule="auto"/>
        <w:jc w:val="both"/>
        <w:sectPr>
          <w:pgSz w:w="9520" w:h="12920"/>
          <w:pgMar w:header="0" w:footer="1344" w:top="880" w:bottom="1540" w:left="1320" w:right="1000"/>
        </w:sectPr>
      </w:pPr>
    </w:p>
    <w:p>
      <w:pPr>
        <w:spacing w:line="276" w:lineRule="auto" w:before="46"/>
        <w:ind w:left="460" w:right="117" w:firstLine="0"/>
        <w:jc w:val="both"/>
        <w:rPr>
          <w:sz w:val="18"/>
        </w:rPr>
      </w:pPr>
      <w:r>
        <w:rPr>
          <w:color w:val="231F20"/>
          <w:w w:val="110"/>
          <w:sz w:val="18"/>
        </w:rPr>
        <w:t>Es lo mejor no tener problemas, pero como trabajadora y como profesional, si hay problemas en la casa se resuelven en la casa mientras aquí se trabaja. Es incómodo</w:t>
      </w:r>
      <w:r>
        <w:rPr>
          <w:color w:val="231F20"/>
          <w:spacing w:val="-11"/>
          <w:w w:val="110"/>
          <w:sz w:val="18"/>
        </w:rPr>
        <w:t> </w:t>
      </w:r>
      <w:r>
        <w:rPr>
          <w:color w:val="231F20"/>
          <w:w w:val="110"/>
          <w:sz w:val="18"/>
        </w:rPr>
        <w:t>a</w:t>
      </w:r>
      <w:r>
        <w:rPr>
          <w:color w:val="231F20"/>
          <w:spacing w:val="-11"/>
          <w:w w:val="110"/>
          <w:sz w:val="18"/>
        </w:rPr>
        <w:t> </w:t>
      </w:r>
      <w:r>
        <w:rPr>
          <w:color w:val="231F20"/>
          <w:w w:val="110"/>
          <w:sz w:val="18"/>
        </w:rPr>
        <w:t>veces</w:t>
      </w:r>
      <w:r>
        <w:rPr>
          <w:color w:val="231F20"/>
          <w:spacing w:val="-11"/>
          <w:w w:val="110"/>
          <w:sz w:val="18"/>
        </w:rPr>
        <w:t> </w:t>
      </w:r>
      <w:r>
        <w:rPr>
          <w:color w:val="231F20"/>
          <w:w w:val="110"/>
          <w:sz w:val="18"/>
        </w:rPr>
        <w:t>cuando</w:t>
      </w:r>
      <w:r>
        <w:rPr>
          <w:color w:val="231F20"/>
          <w:spacing w:val="-11"/>
          <w:w w:val="110"/>
          <w:sz w:val="18"/>
        </w:rPr>
        <w:t> </w:t>
      </w:r>
      <w:r>
        <w:rPr>
          <w:color w:val="231F20"/>
          <w:w w:val="110"/>
          <w:sz w:val="18"/>
        </w:rPr>
        <w:t>eso</w:t>
      </w:r>
      <w:r>
        <w:rPr>
          <w:color w:val="231F20"/>
          <w:spacing w:val="-11"/>
          <w:w w:val="110"/>
          <w:sz w:val="18"/>
        </w:rPr>
        <w:t> </w:t>
      </w:r>
      <w:r>
        <w:rPr>
          <w:color w:val="231F20"/>
          <w:w w:val="110"/>
          <w:sz w:val="18"/>
        </w:rPr>
        <w:t>pasa,</w:t>
      </w:r>
      <w:r>
        <w:rPr>
          <w:color w:val="231F20"/>
          <w:spacing w:val="-11"/>
          <w:w w:val="110"/>
          <w:sz w:val="18"/>
        </w:rPr>
        <w:t> </w:t>
      </w:r>
      <w:r>
        <w:rPr>
          <w:color w:val="231F20"/>
          <w:w w:val="110"/>
          <w:sz w:val="18"/>
        </w:rPr>
        <w:t>dan</w:t>
      </w:r>
      <w:r>
        <w:rPr>
          <w:color w:val="231F20"/>
          <w:spacing w:val="-11"/>
          <w:w w:val="110"/>
          <w:sz w:val="18"/>
        </w:rPr>
        <w:t> </w:t>
      </w:r>
      <w:r>
        <w:rPr>
          <w:color w:val="231F20"/>
          <w:w w:val="110"/>
          <w:sz w:val="18"/>
        </w:rPr>
        <w:t>ganas</w:t>
      </w:r>
      <w:r>
        <w:rPr>
          <w:color w:val="231F20"/>
          <w:spacing w:val="-11"/>
          <w:w w:val="110"/>
          <w:sz w:val="18"/>
        </w:rPr>
        <w:t> </w:t>
      </w:r>
      <w:r>
        <w:rPr>
          <w:color w:val="231F20"/>
          <w:w w:val="110"/>
          <w:sz w:val="18"/>
        </w:rPr>
        <w:t>de</w:t>
      </w:r>
      <w:r>
        <w:rPr>
          <w:color w:val="231F20"/>
          <w:spacing w:val="-11"/>
          <w:w w:val="110"/>
          <w:sz w:val="18"/>
        </w:rPr>
        <w:t> </w:t>
      </w:r>
      <w:r>
        <w:rPr>
          <w:color w:val="231F20"/>
          <w:w w:val="110"/>
          <w:sz w:val="18"/>
        </w:rPr>
        <w:t>trabajar</w:t>
      </w:r>
      <w:r>
        <w:rPr>
          <w:color w:val="231F20"/>
          <w:spacing w:val="-11"/>
          <w:w w:val="110"/>
          <w:sz w:val="18"/>
        </w:rPr>
        <w:t> </w:t>
      </w:r>
      <w:r>
        <w:rPr>
          <w:color w:val="231F20"/>
          <w:w w:val="110"/>
          <w:sz w:val="18"/>
        </w:rPr>
        <w:t>con</w:t>
      </w:r>
      <w:r>
        <w:rPr>
          <w:color w:val="231F20"/>
          <w:spacing w:val="-11"/>
          <w:w w:val="110"/>
          <w:sz w:val="18"/>
        </w:rPr>
        <w:t> </w:t>
      </w:r>
      <w:r>
        <w:rPr>
          <w:color w:val="231F20"/>
          <w:w w:val="110"/>
          <w:sz w:val="18"/>
        </w:rPr>
        <w:t>cualquiera</w:t>
      </w:r>
      <w:r>
        <w:rPr>
          <w:color w:val="231F20"/>
          <w:spacing w:val="-11"/>
          <w:w w:val="110"/>
          <w:sz w:val="18"/>
        </w:rPr>
        <w:t> </w:t>
      </w:r>
      <w:r>
        <w:rPr>
          <w:color w:val="231F20"/>
          <w:w w:val="110"/>
          <w:sz w:val="18"/>
        </w:rPr>
        <w:t>menos con las hijas (risas), pero son las menos veces, en general todo es armonía (propietaria de cocina, 56</w:t>
      </w:r>
      <w:r>
        <w:rPr>
          <w:color w:val="231F20"/>
          <w:spacing w:val="-26"/>
          <w:w w:val="110"/>
          <w:sz w:val="18"/>
        </w:rPr>
        <w:t> </w:t>
      </w:r>
      <w:r>
        <w:rPr>
          <w:color w:val="231F20"/>
          <w:w w:val="110"/>
          <w:sz w:val="18"/>
        </w:rPr>
        <w:t>años).</w:t>
      </w:r>
    </w:p>
    <w:p>
      <w:pPr>
        <w:pStyle w:val="BodyText"/>
        <w:spacing w:before="6"/>
        <w:rPr>
          <w:sz w:val="21"/>
        </w:rPr>
      </w:pPr>
    </w:p>
    <w:p>
      <w:pPr>
        <w:pStyle w:val="BodyText"/>
        <w:spacing w:line="280" w:lineRule="auto"/>
        <w:ind w:left="100" w:right="117" w:firstLine="360"/>
        <w:jc w:val="both"/>
      </w:pPr>
      <w:r>
        <w:rPr>
          <w:color w:val="231F20"/>
          <w:w w:val="110"/>
        </w:rPr>
        <w:t>Asimismo, el vínculo también es débil cuando los problemas del nego- cio afectan el funcionamiento y el equilibrio de la familia. También en este aspecto</w:t>
      </w:r>
      <w:r>
        <w:rPr>
          <w:color w:val="231F20"/>
          <w:spacing w:val="-6"/>
          <w:w w:val="110"/>
        </w:rPr>
        <w:t> </w:t>
      </w:r>
      <w:r>
        <w:rPr>
          <w:color w:val="231F20"/>
          <w:w w:val="110"/>
        </w:rPr>
        <w:t>se</w:t>
      </w:r>
      <w:r>
        <w:rPr>
          <w:color w:val="231F20"/>
          <w:spacing w:val="-6"/>
          <w:w w:val="110"/>
        </w:rPr>
        <w:t> </w:t>
      </w:r>
      <w:r>
        <w:rPr>
          <w:color w:val="231F20"/>
          <w:w w:val="110"/>
        </w:rPr>
        <w:t>expresaron</w:t>
      </w:r>
      <w:r>
        <w:rPr>
          <w:color w:val="231F20"/>
          <w:spacing w:val="-6"/>
          <w:w w:val="110"/>
        </w:rPr>
        <w:t> </w:t>
      </w:r>
      <w:r>
        <w:rPr>
          <w:color w:val="231F20"/>
          <w:w w:val="110"/>
        </w:rPr>
        <w:t>las</w:t>
      </w:r>
      <w:r>
        <w:rPr>
          <w:color w:val="231F20"/>
          <w:spacing w:val="-6"/>
          <w:w w:val="110"/>
        </w:rPr>
        <w:t> </w:t>
      </w:r>
      <w:r>
        <w:rPr>
          <w:color w:val="231F20"/>
          <w:w w:val="110"/>
        </w:rPr>
        <w:t>personas</w:t>
      </w:r>
      <w:r>
        <w:rPr>
          <w:color w:val="231F20"/>
          <w:spacing w:val="-6"/>
          <w:w w:val="110"/>
        </w:rPr>
        <w:t> </w:t>
      </w:r>
      <w:r>
        <w:rPr>
          <w:color w:val="231F20"/>
          <w:w w:val="110"/>
        </w:rPr>
        <w:t>de</w:t>
      </w:r>
      <w:r>
        <w:rPr>
          <w:color w:val="231F20"/>
          <w:spacing w:val="-6"/>
          <w:w w:val="110"/>
        </w:rPr>
        <w:t> </w:t>
      </w:r>
      <w:r>
        <w:rPr>
          <w:color w:val="231F20"/>
          <w:w w:val="110"/>
        </w:rPr>
        <w:t>las</w:t>
      </w:r>
      <w:r>
        <w:rPr>
          <w:color w:val="231F20"/>
          <w:spacing w:val="-6"/>
          <w:w w:val="110"/>
        </w:rPr>
        <w:t> </w:t>
      </w:r>
      <w:r>
        <w:rPr>
          <w:color w:val="231F20"/>
          <w:w w:val="110"/>
        </w:rPr>
        <w:t>unidades</w:t>
      </w:r>
      <w:r>
        <w:rPr>
          <w:color w:val="231F20"/>
          <w:spacing w:val="-6"/>
          <w:w w:val="110"/>
        </w:rPr>
        <w:t> </w:t>
      </w:r>
      <w:r>
        <w:rPr>
          <w:color w:val="231F20"/>
          <w:w w:val="110"/>
        </w:rPr>
        <w:t>entrevistadas,</w:t>
      </w:r>
      <w:r>
        <w:rPr>
          <w:color w:val="231F20"/>
          <w:spacing w:val="-6"/>
          <w:w w:val="110"/>
        </w:rPr>
        <w:t> </w:t>
      </w:r>
      <w:r>
        <w:rPr>
          <w:color w:val="231F20"/>
          <w:w w:val="110"/>
        </w:rPr>
        <w:t>y</w:t>
      </w:r>
      <w:r>
        <w:rPr>
          <w:color w:val="231F20"/>
          <w:spacing w:val="-6"/>
          <w:w w:val="110"/>
        </w:rPr>
        <w:t> </w:t>
      </w:r>
      <w:r>
        <w:rPr>
          <w:color w:val="231F20"/>
          <w:w w:val="110"/>
        </w:rPr>
        <w:t>nueva- mente hay quienes acentúan esta situación. En este caso, mientras que para algunos si bien existen estos problemas, no son considerados centra- les, para otros las situaciones problemáticas en el negocio afectan en gran medida el equilibrio de la</w:t>
      </w:r>
      <w:r>
        <w:rPr>
          <w:color w:val="231F20"/>
          <w:spacing w:val="-8"/>
          <w:w w:val="110"/>
        </w:rPr>
        <w:t> </w:t>
      </w:r>
      <w:r>
        <w:rPr>
          <w:color w:val="231F20"/>
          <w:w w:val="110"/>
        </w:rPr>
        <w:t>familia.</w:t>
      </w:r>
    </w:p>
    <w:p>
      <w:pPr>
        <w:pStyle w:val="BodyText"/>
        <w:spacing w:before="10"/>
        <w:rPr>
          <w:sz w:val="15"/>
        </w:rPr>
      </w:pPr>
    </w:p>
    <w:p>
      <w:pPr>
        <w:spacing w:line="276" w:lineRule="auto" w:before="1"/>
        <w:ind w:left="460" w:right="115" w:firstLine="0"/>
        <w:jc w:val="both"/>
        <w:rPr>
          <w:sz w:val="18"/>
        </w:rPr>
      </w:pPr>
      <w:r>
        <w:rPr>
          <w:color w:val="231F20"/>
          <w:w w:val="110"/>
          <w:sz w:val="18"/>
        </w:rPr>
        <w:t>Son problemas casi siempre de dinero, no se puede pelear en la casa siempre por</w:t>
      </w:r>
      <w:r>
        <w:rPr>
          <w:color w:val="231F20"/>
          <w:spacing w:val="-10"/>
          <w:w w:val="110"/>
          <w:sz w:val="18"/>
        </w:rPr>
        <w:t> </w:t>
      </w:r>
      <w:r>
        <w:rPr>
          <w:color w:val="231F20"/>
          <w:w w:val="110"/>
          <w:sz w:val="18"/>
        </w:rPr>
        <w:t>eso</w:t>
      </w:r>
      <w:r>
        <w:rPr>
          <w:color w:val="231F20"/>
          <w:spacing w:val="-10"/>
          <w:w w:val="110"/>
          <w:sz w:val="18"/>
        </w:rPr>
        <w:t> </w:t>
      </w:r>
      <w:r>
        <w:rPr>
          <w:color w:val="231F20"/>
          <w:w w:val="110"/>
          <w:sz w:val="18"/>
        </w:rPr>
        <w:t>[…]</w:t>
      </w:r>
      <w:r>
        <w:rPr>
          <w:color w:val="231F20"/>
          <w:spacing w:val="-10"/>
          <w:w w:val="110"/>
          <w:sz w:val="18"/>
        </w:rPr>
        <w:t> </w:t>
      </w:r>
      <w:r>
        <w:rPr>
          <w:color w:val="231F20"/>
          <w:w w:val="110"/>
          <w:sz w:val="18"/>
        </w:rPr>
        <w:t>como</w:t>
      </w:r>
      <w:r>
        <w:rPr>
          <w:color w:val="231F20"/>
          <w:spacing w:val="-10"/>
          <w:w w:val="110"/>
          <w:sz w:val="18"/>
        </w:rPr>
        <w:t> </w:t>
      </w:r>
      <w:r>
        <w:rPr>
          <w:color w:val="231F20"/>
          <w:w w:val="110"/>
          <w:sz w:val="18"/>
        </w:rPr>
        <w:t>si</w:t>
      </w:r>
      <w:r>
        <w:rPr>
          <w:color w:val="231F20"/>
          <w:spacing w:val="-10"/>
          <w:w w:val="110"/>
          <w:sz w:val="18"/>
        </w:rPr>
        <w:t> </w:t>
      </w:r>
      <w:r>
        <w:rPr>
          <w:color w:val="231F20"/>
          <w:w w:val="110"/>
          <w:sz w:val="18"/>
        </w:rPr>
        <w:t>fuera</w:t>
      </w:r>
      <w:r>
        <w:rPr>
          <w:color w:val="231F20"/>
          <w:spacing w:val="-10"/>
          <w:w w:val="110"/>
          <w:sz w:val="18"/>
        </w:rPr>
        <w:t> </w:t>
      </w:r>
      <w:r>
        <w:rPr>
          <w:color w:val="231F20"/>
          <w:w w:val="110"/>
          <w:sz w:val="18"/>
        </w:rPr>
        <w:t>una</w:t>
      </w:r>
      <w:r>
        <w:rPr>
          <w:color w:val="231F20"/>
          <w:spacing w:val="-10"/>
          <w:w w:val="110"/>
          <w:sz w:val="18"/>
        </w:rPr>
        <w:t> </w:t>
      </w:r>
      <w:r>
        <w:rPr>
          <w:color w:val="231F20"/>
          <w:w w:val="110"/>
          <w:sz w:val="18"/>
        </w:rPr>
        <w:t>regla,</w:t>
      </w:r>
      <w:r>
        <w:rPr>
          <w:color w:val="231F20"/>
          <w:spacing w:val="-10"/>
          <w:w w:val="110"/>
          <w:sz w:val="18"/>
        </w:rPr>
        <w:t> </w:t>
      </w:r>
      <w:r>
        <w:rPr>
          <w:color w:val="231F20"/>
          <w:w w:val="110"/>
          <w:sz w:val="18"/>
        </w:rPr>
        <w:t>cuando</w:t>
      </w:r>
      <w:r>
        <w:rPr>
          <w:color w:val="231F20"/>
          <w:spacing w:val="-10"/>
          <w:w w:val="110"/>
          <w:sz w:val="18"/>
        </w:rPr>
        <w:t> </w:t>
      </w:r>
      <w:r>
        <w:rPr>
          <w:color w:val="231F20"/>
          <w:w w:val="110"/>
          <w:sz w:val="18"/>
        </w:rPr>
        <w:t>se</w:t>
      </w:r>
      <w:r>
        <w:rPr>
          <w:color w:val="231F20"/>
          <w:spacing w:val="-10"/>
          <w:w w:val="110"/>
          <w:sz w:val="18"/>
        </w:rPr>
        <w:t> </w:t>
      </w:r>
      <w:r>
        <w:rPr>
          <w:color w:val="231F20"/>
          <w:w w:val="110"/>
          <w:sz w:val="18"/>
        </w:rPr>
        <w:t>acabó</w:t>
      </w:r>
      <w:r>
        <w:rPr>
          <w:color w:val="231F20"/>
          <w:spacing w:val="-10"/>
          <w:w w:val="110"/>
          <w:sz w:val="18"/>
        </w:rPr>
        <w:t> </w:t>
      </w:r>
      <w:r>
        <w:rPr>
          <w:color w:val="231F20"/>
          <w:w w:val="110"/>
          <w:sz w:val="18"/>
        </w:rPr>
        <w:t>el</w:t>
      </w:r>
      <w:r>
        <w:rPr>
          <w:color w:val="231F20"/>
          <w:spacing w:val="-10"/>
          <w:w w:val="110"/>
          <w:sz w:val="18"/>
        </w:rPr>
        <w:t> </w:t>
      </w:r>
      <w:r>
        <w:rPr>
          <w:color w:val="231F20"/>
          <w:w w:val="110"/>
          <w:sz w:val="18"/>
        </w:rPr>
        <w:t>trabajo</w:t>
      </w:r>
      <w:r>
        <w:rPr>
          <w:color w:val="231F20"/>
          <w:spacing w:val="-10"/>
          <w:w w:val="110"/>
          <w:sz w:val="18"/>
        </w:rPr>
        <w:t> </w:t>
      </w:r>
      <w:r>
        <w:rPr>
          <w:color w:val="231F20"/>
          <w:w w:val="110"/>
          <w:sz w:val="18"/>
        </w:rPr>
        <w:t>no</w:t>
      </w:r>
      <w:r>
        <w:rPr>
          <w:color w:val="231F20"/>
          <w:spacing w:val="-10"/>
          <w:w w:val="110"/>
          <w:sz w:val="18"/>
        </w:rPr>
        <w:t> </w:t>
      </w:r>
      <w:r>
        <w:rPr>
          <w:color w:val="231F20"/>
          <w:w w:val="110"/>
          <w:sz w:val="18"/>
        </w:rPr>
        <w:t>peleamos</w:t>
      </w:r>
      <w:r>
        <w:rPr>
          <w:color w:val="231F20"/>
          <w:spacing w:val="-10"/>
          <w:w w:val="110"/>
          <w:sz w:val="18"/>
        </w:rPr>
        <w:t> </w:t>
      </w:r>
      <w:r>
        <w:rPr>
          <w:color w:val="231F20"/>
          <w:w w:val="110"/>
          <w:sz w:val="18"/>
        </w:rPr>
        <w:t>por el negocio, hablamos sí, para organizar las cosas y ponernos de acuerdo “¿que tú abres mañana?, </w:t>
      </w:r>
      <w:r>
        <w:rPr>
          <w:i/>
          <w:color w:val="231F20"/>
          <w:w w:val="110"/>
          <w:sz w:val="18"/>
        </w:rPr>
        <w:t>ok</w:t>
      </w:r>
      <w:r>
        <w:rPr>
          <w:color w:val="231F20"/>
          <w:w w:val="110"/>
          <w:sz w:val="18"/>
        </w:rPr>
        <w:t>, entonces yo voy al mercado, ¿quién atiende al de coca cola?” y esas cosas, pero no problemas, eso es trabajando, no con la familia descansando (propietario de cocina, 41</w:t>
      </w:r>
      <w:r>
        <w:rPr>
          <w:color w:val="231F20"/>
          <w:spacing w:val="-3"/>
          <w:w w:val="110"/>
          <w:sz w:val="18"/>
        </w:rPr>
        <w:t> </w:t>
      </w:r>
      <w:r>
        <w:rPr>
          <w:color w:val="231F20"/>
          <w:w w:val="110"/>
          <w:sz w:val="18"/>
        </w:rPr>
        <w:t>años).</w:t>
      </w:r>
    </w:p>
    <w:p>
      <w:pPr>
        <w:pStyle w:val="BodyText"/>
        <w:spacing w:before="6"/>
        <w:rPr>
          <w:sz w:val="21"/>
        </w:rPr>
      </w:pPr>
    </w:p>
    <w:p>
      <w:pPr>
        <w:pStyle w:val="BodyText"/>
        <w:spacing w:line="280" w:lineRule="auto"/>
        <w:ind w:left="100" w:right="118" w:firstLine="360"/>
        <w:jc w:val="both"/>
      </w:pPr>
      <w:r>
        <w:rPr>
          <w:color w:val="231F20"/>
          <w:w w:val="110"/>
        </w:rPr>
        <w:t>“Alguna vez pasó, pero son las menos veces, que el negocio nos afecta en la familia, hasta a mi marido que no tiene nada que ver con esto (risas), a veces los problemas no sabemos cómo resolverlos y nos persiguen por todos lados y llegan a la familia, es lo peor, lo peor que puede pasar” (pro- pietaria de cocina, 56 años).</w:t>
      </w:r>
    </w:p>
    <w:p>
      <w:pPr>
        <w:pStyle w:val="BodyText"/>
        <w:spacing w:line="280" w:lineRule="auto"/>
        <w:ind w:left="100" w:right="117" w:firstLine="360"/>
        <w:jc w:val="both"/>
      </w:pPr>
      <w:r>
        <w:rPr>
          <w:color w:val="231F20"/>
          <w:w w:val="110"/>
        </w:rPr>
        <w:t>Se puede decir que si bien las unidades entrevistadas no están exentas de</w:t>
      </w:r>
      <w:r>
        <w:rPr>
          <w:color w:val="231F20"/>
          <w:spacing w:val="-8"/>
          <w:w w:val="110"/>
        </w:rPr>
        <w:t> </w:t>
      </w:r>
      <w:r>
        <w:rPr>
          <w:color w:val="231F20"/>
          <w:w w:val="110"/>
        </w:rPr>
        <w:t>problemas</w:t>
      </w:r>
      <w:r>
        <w:rPr>
          <w:color w:val="231F20"/>
          <w:spacing w:val="-8"/>
          <w:w w:val="110"/>
        </w:rPr>
        <w:t> </w:t>
      </w:r>
      <w:r>
        <w:rPr>
          <w:color w:val="231F20"/>
          <w:w w:val="110"/>
        </w:rPr>
        <w:t>y</w:t>
      </w:r>
      <w:r>
        <w:rPr>
          <w:color w:val="231F20"/>
          <w:spacing w:val="-8"/>
          <w:w w:val="110"/>
        </w:rPr>
        <w:t> </w:t>
      </w:r>
      <w:r>
        <w:rPr>
          <w:color w:val="231F20"/>
          <w:w w:val="110"/>
        </w:rPr>
        <w:t>conflictos</w:t>
      </w:r>
      <w:r>
        <w:rPr>
          <w:color w:val="231F20"/>
          <w:spacing w:val="-8"/>
          <w:w w:val="110"/>
        </w:rPr>
        <w:t> </w:t>
      </w:r>
      <w:r>
        <w:rPr>
          <w:color w:val="231F20"/>
          <w:w w:val="110"/>
        </w:rPr>
        <w:t>en</w:t>
      </w:r>
      <w:r>
        <w:rPr>
          <w:color w:val="231F20"/>
          <w:spacing w:val="-8"/>
          <w:w w:val="110"/>
        </w:rPr>
        <w:t> </w:t>
      </w:r>
      <w:r>
        <w:rPr>
          <w:color w:val="231F20"/>
          <w:w w:val="110"/>
        </w:rPr>
        <w:t>su</w:t>
      </w:r>
      <w:r>
        <w:rPr>
          <w:color w:val="231F20"/>
          <w:spacing w:val="-8"/>
          <w:w w:val="110"/>
        </w:rPr>
        <w:t> </w:t>
      </w:r>
      <w:r>
        <w:rPr>
          <w:color w:val="231F20"/>
          <w:w w:val="110"/>
        </w:rPr>
        <w:t>funcionamiento</w:t>
      </w:r>
      <w:r>
        <w:rPr>
          <w:color w:val="231F20"/>
          <w:spacing w:val="-8"/>
          <w:w w:val="110"/>
        </w:rPr>
        <w:t> </w:t>
      </w:r>
      <w:r>
        <w:rPr>
          <w:color w:val="231F20"/>
          <w:w w:val="110"/>
        </w:rPr>
        <w:t>cotidiano,</w:t>
      </w:r>
      <w:r>
        <w:rPr>
          <w:color w:val="231F20"/>
          <w:spacing w:val="-8"/>
          <w:w w:val="110"/>
        </w:rPr>
        <w:t> </w:t>
      </w:r>
      <w:r>
        <w:rPr>
          <w:color w:val="231F20"/>
          <w:w w:val="110"/>
        </w:rPr>
        <w:t>desde</w:t>
      </w:r>
      <w:r>
        <w:rPr>
          <w:color w:val="231F20"/>
          <w:spacing w:val="-8"/>
          <w:w w:val="110"/>
        </w:rPr>
        <w:t> </w:t>
      </w:r>
      <w:r>
        <w:rPr>
          <w:color w:val="231F20"/>
          <w:w w:val="110"/>
        </w:rPr>
        <w:t>la</w:t>
      </w:r>
      <w:r>
        <w:rPr>
          <w:color w:val="231F20"/>
          <w:spacing w:val="-8"/>
          <w:w w:val="110"/>
        </w:rPr>
        <w:t> </w:t>
      </w:r>
      <w:r>
        <w:rPr>
          <w:color w:val="231F20"/>
          <w:w w:val="110"/>
        </w:rPr>
        <w:t>percep- ción de los individuos estos conflictos no amenazan la supervivencia del negocio ni de la familia. Son situaciones que no llegan al punto de romper el vínculo trabajo-familia, como se verá con mayor detalle más</w:t>
      </w:r>
      <w:r>
        <w:rPr>
          <w:color w:val="231F20"/>
          <w:spacing w:val="40"/>
          <w:w w:val="110"/>
        </w:rPr>
        <w:t> </w:t>
      </w:r>
      <w:r>
        <w:rPr>
          <w:color w:val="231F20"/>
          <w:w w:val="110"/>
        </w:rPr>
        <w:t>adelante.</w:t>
      </w:r>
    </w:p>
    <w:p>
      <w:pPr>
        <w:pStyle w:val="BodyText"/>
        <w:spacing w:before="2"/>
        <w:rPr>
          <w:sz w:val="23"/>
        </w:rPr>
      </w:pPr>
    </w:p>
    <w:p>
      <w:pPr>
        <w:pStyle w:val="Heading3"/>
        <w:ind w:left="100"/>
        <w:rPr>
          <w:i/>
        </w:rPr>
      </w:pPr>
      <w:r>
        <w:rPr>
          <w:i/>
          <w:color w:val="231F20"/>
        </w:rPr>
        <w:t>Una doble vida: el frágil equilibrio</w:t>
      </w:r>
    </w:p>
    <w:p>
      <w:pPr>
        <w:pStyle w:val="BodyText"/>
        <w:spacing w:before="8"/>
        <w:rPr>
          <w:rFonts w:ascii="Calibri"/>
          <w:i/>
          <w:sz w:val="21"/>
        </w:rPr>
      </w:pPr>
    </w:p>
    <w:p>
      <w:pPr>
        <w:pStyle w:val="BodyText"/>
        <w:spacing w:line="285" w:lineRule="auto"/>
        <w:ind w:left="100" w:right="117"/>
        <w:jc w:val="both"/>
      </w:pPr>
      <w:r>
        <w:rPr>
          <w:color w:val="231F20"/>
          <w:w w:val="110"/>
        </w:rPr>
        <w:t>Los</w:t>
      </w:r>
      <w:r>
        <w:rPr>
          <w:color w:val="231F20"/>
          <w:spacing w:val="-4"/>
          <w:w w:val="110"/>
        </w:rPr>
        <w:t> </w:t>
      </w:r>
      <w:r>
        <w:rPr>
          <w:color w:val="231F20"/>
          <w:w w:val="110"/>
        </w:rPr>
        <w:t>integrantes</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familia</w:t>
      </w:r>
      <w:r>
        <w:rPr>
          <w:color w:val="231F20"/>
          <w:spacing w:val="-4"/>
          <w:w w:val="110"/>
        </w:rPr>
        <w:t> </w:t>
      </w:r>
      <w:r>
        <w:rPr>
          <w:color w:val="231F20"/>
          <w:w w:val="110"/>
        </w:rPr>
        <w:t>son</w:t>
      </w:r>
      <w:r>
        <w:rPr>
          <w:color w:val="231F20"/>
          <w:spacing w:val="-4"/>
          <w:w w:val="110"/>
        </w:rPr>
        <w:t> </w:t>
      </w:r>
      <w:r>
        <w:rPr>
          <w:color w:val="231F20"/>
          <w:w w:val="110"/>
        </w:rPr>
        <w:t>a</w:t>
      </w:r>
      <w:r>
        <w:rPr>
          <w:color w:val="231F20"/>
          <w:spacing w:val="-4"/>
          <w:w w:val="110"/>
        </w:rPr>
        <w:t> </w:t>
      </w:r>
      <w:r>
        <w:rPr>
          <w:color w:val="231F20"/>
          <w:w w:val="110"/>
        </w:rPr>
        <w:t>la</w:t>
      </w:r>
      <w:r>
        <w:rPr>
          <w:color w:val="231F20"/>
          <w:spacing w:val="-4"/>
          <w:w w:val="110"/>
        </w:rPr>
        <w:t> </w:t>
      </w:r>
      <w:r>
        <w:rPr>
          <w:color w:val="231F20"/>
          <w:w w:val="110"/>
        </w:rPr>
        <w:t>vez</w:t>
      </w:r>
      <w:r>
        <w:rPr>
          <w:color w:val="231F20"/>
          <w:spacing w:val="-4"/>
          <w:w w:val="110"/>
        </w:rPr>
        <w:t> </w:t>
      </w:r>
      <w:r>
        <w:rPr>
          <w:color w:val="231F20"/>
          <w:w w:val="110"/>
        </w:rPr>
        <w:t>trabajadores</w:t>
      </w:r>
      <w:r>
        <w:rPr>
          <w:color w:val="231F20"/>
          <w:spacing w:val="-4"/>
          <w:w w:val="110"/>
        </w:rPr>
        <w:t> </w:t>
      </w:r>
      <w:r>
        <w:rPr>
          <w:color w:val="231F20"/>
          <w:w w:val="110"/>
        </w:rPr>
        <w:t>del</w:t>
      </w:r>
      <w:r>
        <w:rPr>
          <w:color w:val="231F20"/>
          <w:spacing w:val="-4"/>
          <w:w w:val="110"/>
        </w:rPr>
        <w:t> </w:t>
      </w:r>
      <w:r>
        <w:rPr>
          <w:color w:val="231F20"/>
          <w:w w:val="110"/>
        </w:rPr>
        <w:t>negocio,</w:t>
      </w:r>
      <w:r>
        <w:rPr>
          <w:color w:val="231F20"/>
          <w:spacing w:val="-4"/>
          <w:w w:val="110"/>
        </w:rPr>
        <w:t> </w:t>
      </w:r>
      <w:r>
        <w:rPr>
          <w:color w:val="231F20"/>
          <w:w w:val="110"/>
        </w:rPr>
        <w:t>en</w:t>
      </w:r>
      <w:r>
        <w:rPr>
          <w:color w:val="231F20"/>
          <w:spacing w:val="-4"/>
          <w:w w:val="110"/>
        </w:rPr>
        <w:t> </w:t>
      </w:r>
      <w:r>
        <w:rPr>
          <w:color w:val="231F20"/>
          <w:w w:val="110"/>
        </w:rPr>
        <w:t>tanto que</w:t>
      </w:r>
      <w:r>
        <w:rPr>
          <w:color w:val="231F20"/>
          <w:spacing w:val="-6"/>
          <w:w w:val="110"/>
        </w:rPr>
        <w:t> </w:t>
      </w:r>
      <w:r>
        <w:rPr>
          <w:color w:val="231F20"/>
          <w:w w:val="110"/>
        </w:rPr>
        <w:t>los</w:t>
      </w:r>
      <w:r>
        <w:rPr>
          <w:color w:val="231F20"/>
          <w:spacing w:val="-6"/>
          <w:w w:val="110"/>
        </w:rPr>
        <w:t> </w:t>
      </w:r>
      <w:r>
        <w:rPr>
          <w:color w:val="231F20"/>
          <w:w w:val="110"/>
        </w:rPr>
        <w:t>propietarios(as)</w:t>
      </w:r>
      <w:r>
        <w:rPr>
          <w:color w:val="231F20"/>
          <w:spacing w:val="-6"/>
          <w:w w:val="110"/>
        </w:rPr>
        <w:t> </w:t>
      </w:r>
      <w:r>
        <w:rPr>
          <w:color w:val="231F20"/>
          <w:w w:val="110"/>
        </w:rPr>
        <w:t>del</w:t>
      </w:r>
      <w:r>
        <w:rPr>
          <w:color w:val="231F20"/>
          <w:spacing w:val="-6"/>
          <w:w w:val="110"/>
        </w:rPr>
        <w:t> </w:t>
      </w:r>
      <w:r>
        <w:rPr>
          <w:color w:val="231F20"/>
          <w:w w:val="110"/>
        </w:rPr>
        <w:t>establecimiento</w:t>
      </w:r>
      <w:r>
        <w:rPr>
          <w:color w:val="231F20"/>
          <w:spacing w:val="-6"/>
          <w:w w:val="110"/>
        </w:rPr>
        <w:t> </w:t>
      </w:r>
      <w:r>
        <w:rPr>
          <w:color w:val="231F20"/>
          <w:w w:val="110"/>
        </w:rPr>
        <w:t>son</w:t>
      </w:r>
      <w:r>
        <w:rPr>
          <w:color w:val="231F20"/>
          <w:spacing w:val="-6"/>
          <w:w w:val="110"/>
        </w:rPr>
        <w:t> </w:t>
      </w:r>
      <w:r>
        <w:rPr>
          <w:color w:val="231F20"/>
          <w:w w:val="110"/>
        </w:rPr>
        <w:t>padres,</w:t>
      </w:r>
      <w:r>
        <w:rPr>
          <w:color w:val="231F20"/>
          <w:spacing w:val="-6"/>
          <w:w w:val="110"/>
        </w:rPr>
        <w:t> </w:t>
      </w:r>
      <w:r>
        <w:rPr>
          <w:color w:val="231F20"/>
          <w:w w:val="110"/>
        </w:rPr>
        <w:t>madres,</w:t>
      </w:r>
      <w:r>
        <w:rPr>
          <w:color w:val="231F20"/>
          <w:spacing w:val="-6"/>
          <w:w w:val="110"/>
        </w:rPr>
        <w:t> </w:t>
      </w:r>
      <w:r>
        <w:rPr>
          <w:color w:val="231F20"/>
          <w:w w:val="110"/>
        </w:rPr>
        <w:t>esposas</w:t>
      </w:r>
      <w:r>
        <w:rPr>
          <w:color w:val="231F20"/>
          <w:spacing w:val="-6"/>
          <w:w w:val="110"/>
        </w:rPr>
        <w:t> </w:t>
      </w:r>
      <w:r>
        <w:rPr>
          <w:color w:val="231F20"/>
          <w:w w:val="110"/>
        </w:rPr>
        <w:t>y esposos. Esta situación es vivida con múltiples sentimientos, a veces con- tradictorios, desde el orgullo y la satisfacción, hasta la culpa y la</w:t>
      </w:r>
      <w:r>
        <w:rPr>
          <w:color w:val="231F20"/>
          <w:spacing w:val="-20"/>
          <w:w w:val="110"/>
        </w:rPr>
        <w:t> </w:t>
      </w:r>
      <w:r>
        <w:rPr>
          <w:color w:val="231F20"/>
          <w:w w:val="110"/>
        </w:rPr>
        <w:t>preocupa- ción por el manejo de la autoridad y de sus </w:t>
      </w:r>
      <w:r>
        <w:rPr>
          <w:color w:val="231F20"/>
          <w:spacing w:val="20"/>
          <w:w w:val="110"/>
        </w:rPr>
        <w:t> </w:t>
      </w:r>
      <w:r>
        <w:rPr>
          <w:color w:val="231F20"/>
          <w:w w:val="110"/>
        </w:rPr>
        <w:t>límites.</w:t>
      </w:r>
    </w:p>
    <w:p>
      <w:pPr>
        <w:spacing w:after="0" w:line="285" w:lineRule="auto"/>
        <w:jc w:val="both"/>
        <w:sectPr>
          <w:pgSz w:w="9520" w:h="12920"/>
          <w:pgMar w:header="0" w:footer="1344" w:top="880" w:bottom="1540" w:left="1020" w:right="1320"/>
        </w:sectPr>
      </w:pPr>
    </w:p>
    <w:p>
      <w:pPr>
        <w:spacing w:line="283" w:lineRule="auto" w:before="46"/>
        <w:ind w:left="484" w:right="113" w:firstLine="0"/>
        <w:jc w:val="both"/>
        <w:rPr>
          <w:sz w:val="18"/>
        </w:rPr>
      </w:pPr>
      <w:r>
        <w:rPr>
          <w:color w:val="231F20"/>
          <w:w w:val="110"/>
          <w:sz w:val="18"/>
        </w:rPr>
        <w:t>Él no para nunca, si no está dando alguna orden o diciendo cómo se hace algo no está feliz […] parece que no se da cuenta que no puede estar siempre en pose de jefe […] a veces nos burlamos y le decimos </w:t>
      </w:r>
      <w:r>
        <w:rPr>
          <w:color w:val="231F20"/>
          <w:spacing w:val="-4"/>
          <w:w w:val="110"/>
          <w:sz w:val="18"/>
        </w:rPr>
        <w:t>“Ya </w:t>
      </w:r>
      <w:r>
        <w:rPr>
          <w:color w:val="231F20"/>
          <w:w w:val="110"/>
          <w:sz w:val="18"/>
        </w:rPr>
        <w:t>entendimos Al Capone, ya puede dejarse de </w:t>
      </w:r>
      <w:r>
        <w:rPr>
          <w:color w:val="231F20"/>
          <w:spacing w:val="2"/>
          <w:w w:val="110"/>
          <w:sz w:val="18"/>
        </w:rPr>
        <w:t>gritar” </w:t>
      </w:r>
      <w:r>
        <w:rPr>
          <w:color w:val="231F20"/>
          <w:w w:val="110"/>
          <w:sz w:val="18"/>
        </w:rPr>
        <w:t>[…] es que no cierra nunca, ni el negocio ni el   </w:t>
      </w:r>
      <w:r>
        <w:rPr>
          <w:color w:val="231F20"/>
          <w:spacing w:val="43"/>
          <w:w w:val="110"/>
          <w:sz w:val="18"/>
        </w:rPr>
        <w:t> </w:t>
      </w:r>
      <w:r>
        <w:rPr>
          <w:color w:val="231F20"/>
          <w:w w:val="110"/>
          <w:sz w:val="18"/>
        </w:rPr>
        <w:t>jefe, no cierran nunca (esposa de propietario de cocina, 57 </w:t>
      </w:r>
      <w:r>
        <w:rPr>
          <w:color w:val="231F20"/>
          <w:spacing w:val="16"/>
          <w:w w:val="110"/>
          <w:sz w:val="18"/>
        </w:rPr>
        <w:t> </w:t>
      </w:r>
      <w:r>
        <w:rPr>
          <w:color w:val="231F20"/>
          <w:w w:val="110"/>
          <w:sz w:val="18"/>
        </w:rPr>
        <w:t>años).</w:t>
      </w:r>
    </w:p>
    <w:p>
      <w:pPr>
        <w:spacing w:line="283" w:lineRule="auto" w:before="1"/>
        <w:ind w:left="484" w:right="112" w:firstLine="0"/>
        <w:jc w:val="both"/>
        <w:rPr>
          <w:sz w:val="18"/>
        </w:rPr>
      </w:pPr>
      <w:r>
        <w:rPr>
          <w:color w:val="231F20"/>
          <w:w w:val="105"/>
          <w:sz w:val="18"/>
        </w:rPr>
        <w:t>A veces se olvida que soy la madre y me llevo hasta yo los gritos […] él siente     que si no está dando órdenes todo el día y diciendo cómo se hace esto y aquello, no van a hacerse bien las cosas (madre de propietario de taller mecánico, 77 años).</w:t>
      </w:r>
    </w:p>
    <w:p>
      <w:pPr>
        <w:pStyle w:val="BodyText"/>
        <w:spacing w:before="7"/>
        <w:rPr>
          <w:sz w:val="21"/>
        </w:rPr>
      </w:pPr>
    </w:p>
    <w:p>
      <w:pPr>
        <w:pStyle w:val="BodyText"/>
        <w:spacing w:line="288" w:lineRule="auto"/>
        <w:ind w:left="124" w:right="112" w:firstLine="360"/>
        <w:jc w:val="both"/>
      </w:pPr>
      <w:r>
        <w:rPr>
          <w:color w:val="231F20"/>
          <w:w w:val="105"/>
        </w:rPr>
        <w:t>Pero también los propietarios expresan sus  dificultades  de  “dejar  de  ser el jefe del negocio” cuando se está con la familia en la casa: </w:t>
      </w:r>
      <w:r>
        <w:rPr>
          <w:color w:val="231F20"/>
          <w:spacing w:val="-9"/>
          <w:w w:val="105"/>
        </w:rPr>
        <w:t>“A  </w:t>
      </w:r>
      <w:r>
        <w:rPr>
          <w:color w:val="231F20"/>
          <w:w w:val="105"/>
        </w:rPr>
        <w:t>veces         me olvido que se acabó el trabajo y sigo  hablando  en  el  mismo  tono  en casa, cuando ya no estamos trabajando […] nunca me dicen nada (esposa         e hijos) al que le molesta es a mí porque estoy siempre con lo mismo en la cabeza,  no  descanso  nunca”  (propietario  de  cocina,  54</w:t>
      </w:r>
      <w:r>
        <w:rPr>
          <w:color w:val="231F20"/>
          <w:spacing w:val="-18"/>
          <w:w w:val="105"/>
        </w:rPr>
        <w:t> </w:t>
      </w:r>
      <w:r>
        <w:rPr>
          <w:color w:val="231F20"/>
          <w:w w:val="105"/>
        </w:rPr>
        <w:t>años).</w:t>
      </w:r>
    </w:p>
    <w:p>
      <w:pPr>
        <w:pStyle w:val="BodyText"/>
        <w:spacing w:line="288" w:lineRule="auto"/>
        <w:ind w:left="124" w:right="111" w:firstLine="360"/>
        <w:jc w:val="both"/>
      </w:pPr>
      <w:r>
        <w:rPr>
          <w:color w:val="231F20"/>
          <w:w w:val="110"/>
        </w:rPr>
        <w:t>Las distintas formas de vincular la familia y el trabajo reflejan diferen- cias en las concepciones acerca de cómo relacionar el espacio del trabajo con</w:t>
      </w:r>
      <w:r>
        <w:rPr>
          <w:color w:val="231F20"/>
          <w:spacing w:val="-9"/>
          <w:w w:val="110"/>
        </w:rPr>
        <w:t> </w:t>
      </w:r>
      <w:r>
        <w:rPr>
          <w:color w:val="231F20"/>
          <w:w w:val="110"/>
        </w:rPr>
        <w:t>el</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familia.</w:t>
      </w:r>
      <w:r>
        <w:rPr>
          <w:color w:val="231F20"/>
          <w:spacing w:val="-9"/>
          <w:w w:val="110"/>
        </w:rPr>
        <w:t> </w:t>
      </w:r>
      <w:r>
        <w:rPr>
          <w:color w:val="231F20"/>
          <w:w w:val="110"/>
        </w:rPr>
        <w:t>Dado</w:t>
      </w:r>
      <w:r>
        <w:rPr>
          <w:color w:val="231F20"/>
          <w:spacing w:val="-9"/>
          <w:w w:val="110"/>
        </w:rPr>
        <w:t> </w:t>
      </w:r>
      <w:r>
        <w:rPr>
          <w:color w:val="231F20"/>
          <w:w w:val="110"/>
        </w:rPr>
        <w:t>que</w:t>
      </w:r>
      <w:r>
        <w:rPr>
          <w:color w:val="231F20"/>
          <w:spacing w:val="-9"/>
          <w:w w:val="110"/>
        </w:rPr>
        <w:t> </w:t>
      </w:r>
      <w:r>
        <w:rPr>
          <w:color w:val="231F20"/>
          <w:w w:val="110"/>
        </w:rPr>
        <w:t>todas</w:t>
      </w:r>
      <w:r>
        <w:rPr>
          <w:color w:val="231F20"/>
          <w:spacing w:val="-9"/>
          <w:w w:val="110"/>
        </w:rPr>
        <w:t> </w:t>
      </w:r>
      <w:r>
        <w:rPr>
          <w:color w:val="231F20"/>
          <w:w w:val="110"/>
        </w:rPr>
        <w:t>las</w:t>
      </w:r>
      <w:r>
        <w:rPr>
          <w:color w:val="231F20"/>
          <w:spacing w:val="-9"/>
          <w:w w:val="110"/>
        </w:rPr>
        <w:t> </w:t>
      </w:r>
      <w:r>
        <w:rPr>
          <w:color w:val="231F20"/>
          <w:w w:val="110"/>
        </w:rPr>
        <w:t>actividades</w:t>
      </w:r>
      <w:r>
        <w:rPr>
          <w:color w:val="231F20"/>
          <w:spacing w:val="-9"/>
          <w:w w:val="110"/>
        </w:rPr>
        <w:t> </w:t>
      </w:r>
      <w:r>
        <w:rPr>
          <w:color w:val="231F20"/>
          <w:w w:val="110"/>
        </w:rPr>
        <w:t>del</w:t>
      </w:r>
      <w:r>
        <w:rPr>
          <w:color w:val="231F20"/>
          <w:spacing w:val="-9"/>
          <w:w w:val="110"/>
        </w:rPr>
        <w:t> </w:t>
      </w:r>
      <w:r>
        <w:rPr>
          <w:color w:val="231F20"/>
          <w:w w:val="110"/>
        </w:rPr>
        <w:t>negocio</w:t>
      </w:r>
      <w:r>
        <w:rPr>
          <w:color w:val="231F20"/>
          <w:spacing w:val="-9"/>
          <w:w w:val="110"/>
        </w:rPr>
        <w:t> </w:t>
      </w:r>
      <w:r>
        <w:rPr>
          <w:color w:val="231F20"/>
          <w:w w:val="110"/>
        </w:rPr>
        <w:t>son</w:t>
      </w:r>
      <w:r>
        <w:rPr>
          <w:color w:val="231F20"/>
          <w:spacing w:val="-9"/>
          <w:w w:val="110"/>
        </w:rPr>
        <w:t> </w:t>
      </w:r>
      <w:r>
        <w:rPr>
          <w:color w:val="231F20"/>
          <w:w w:val="110"/>
        </w:rPr>
        <w:t>desarro- lladas en el ámbito de la unidad doméstica y llevadas a cabo por sus inte- grantes, claramente se observa el papel central que otorgan a la familia en el </w:t>
      </w:r>
      <w:r>
        <w:rPr>
          <w:color w:val="231F20"/>
          <w:spacing w:val="2"/>
          <w:w w:val="110"/>
        </w:rPr>
        <w:t>funcionamiento </w:t>
      </w:r>
      <w:r>
        <w:rPr>
          <w:color w:val="231F20"/>
          <w:w w:val="110"/>
        </w:rPr>
        <w:t>del </w:t>
      </w:r>
      <w:r>
        <w:rPr>
          <w:color w:val="231F20"/>
          <w:spacing w:val="2"/>
          <w:w w:val="110"/>
        </w:rPr>
        <w:t>pequeño establecimiento; tanto, </w:t>
      </w:r>
      <w:r>
        <w:rPr>
          <w:color w:val="231F20"/>
          <w:w w:val="110"/>
        </w:rPr>
        <w:t>que </w:t>
      </w:r>
      <w:r>
        <w:rPr>
          <w:color w:val="231F20"/>
          <w:spacing w:val="2"/>
          <w:w w:val="110"/>
        </w:rPr>
        <w:t>conciben </w:t>
      </w:r>
      <w:r>
        <w:rPr>
          <w:color w:val="231F20"/>
          <w:w w:val="110"/>
        </w:rPr>
        <w:t>el negocio únicamente en función de la </w:t>
      </w:r>
      <w:r>
        <w:rPr>
          <w:color w:val="231F20"/>
          <w:spacing w:val="2"/>
          <w:w w:val="110"/>
        </w:rPr>
        <w:t> </w:t>
      </w:r>
      <w:r>
        <w:rPr>
          <w:color w:val="231F20"/>
          <w:w w:val="110"/>
        </w:rPr>
        <w:t>familia.</w:t>
      </w:r>
    </w:p>
    <w:p>
      <w:pPr>
        <w:pStyle w:val="BodyText"/>
        <w:spacing w:line="288" w:lineRule="auto"/>
        <w:ind w:left="124" w:right="113" w:firstLine="360"/>
        <w:jc w:val="both"/>
      </w:pPr>
      <w:r>
        <w:rPr>
          <w:color w:val="231F20"/>
          <w:w w:val="110"/>
        </w:rPr>
        <w:t>Esto se asocia con el hecho de que las actividades del negocio se apro- pian de todos los espacios de la unidad doméstica cuyos integrantes asu- men esta situación como algo natural y  necesario.</w:t>
      </w:r>
    </w:p>
    <w:p>
      <w:pPr>
        <w:pStyle w:val="BodyText"/>
        <w:spacing w:line="288" w:lineRule="auto"/>
        <w:ind w:left="124" w:right="112" w:firstLine="360"/>
        <w:jc w:val="both"/>
      </w:pPr>
      <w:r>
        <w:rPr>
          <w:color w:val="231F20"/>
          <w:w w:val="110"/>
        </w:rPr>
        <w:t>En concordancia, se percibe que el negocio está supeditado a las rela- ciones</w:t>
      </w:r>
      <w:r>
        <w:rPr>
          <w:color w:val="231F20"/>
          <w:spacing w:val="-12"/>
          <w:w w:val="110"/>
        </w:rPr>
        <w:t> </w:t>
      </w:r>
      <w:r>
        <w:rPr>
          <w:color w:val="231F20"/>
          <w:w w:val="110"/>
        </w:rPr>
        <w:t>familiares,</w:t>
      </w:r>
      <w:r>
        <w:rPr>
          <w:color w:val="231F20"/>
          <w:spacing w:val="-12"/>
          <w:w w:val="110"/>
        </w:rPr>
        <w:t> </w:t>
      </w:r>
      <w:r>
        <w:rPr>
          <w:color w:val="231F20"/>
          <w:w w:val="110"/>
        </w:rPr>
        <w:t>y</w:t>
      </w:r>
      <w:r>
        <w:rPr>
          <w:color w:val="231F20"/>
          <w:spacing w:val="-12"/>
          <w:w w:val="110"/>
        </w:rPr>
        <w:t> </w:t>
      </w:r>
      <w:r>
        <w:rPr>
          <w:color w:val="231F20"/>
          <w:w w:val="110"/>
        </w:rPr>
        <w:t>que</w:t>
      </w:r>
      <w:r>
        <w:rPr>
          <w:color w:val="231F20"/>
          <w:spacing w:val="-12"/>
          <w:w w:val="110"/>
        </w:rPr>
        <w:t> </w:t>
      </w:r>
      <w:r>
        <w:rPr>
          <w:color w:val="231F20"/>
          <w:w w:val="110"/>
        </w:rPr>
        <w:t>los</w:t>
      </w:r>
      <w:r>
        <w:rPr>
          <w:color w:val="231F20"/>
          <w:spacing w:val="-12"/>
          <w:w w:val="110"/>
        </w:rPr>
        <w:t> </w:t>
      </w:r>
      <w:r>
        <w:rPr>
          <w:color w:val="231F20"/>
          <w:w w:val="110"/>
        </w:rPr>
        <w:t>problemas</w:t>
      </w:r>
      <w:r>
        <w:rPr>
          <w:color w:val="231F20"/>
          <w:spacing w:val="-12"/>
          <w:w w:val="110"/>
        </w:rPr>
        <w:t> </w:t>
      </w:r>
      <w:r>
        <w:rPr>
          <w:color w:val="231F20"/>
          <w:w w:val="110"/>
        </w:rPr>
        <w:t>laborales</w:t>
      </w:r>
      <w:r>
        <w:rPr>
          <w:color w:val="231F20"/>
          <w:spacing w:val="-12"/>
          <w:w w:val="110"/>
        </w:rPr>
        <w:t> </w:t>
      </w:r>
      <w:r>
        <w:rPr>
          <w:color w:val="231F20"/>
          <w:w w:val="110"/>
        </w:rPr>
        <w:t>no</w:t>
      </w:r>
      <w:r>
        <w:rPr>
          <w:color w:val="231F20"/>
          <w:spacing w:val="-12"/>
          <w:w w:val="110"/>
        </w:rPr>
        <w:t> </w:t>
      </w:r>
      <w:r>
        <w:rPr>
          <w:color w:val="231F20"/>
          <w:w w:val="110"/>
        </w:rPr>
        <w:t>pueden</w:t>
      </w:r>
      <w:r>
        <w:rPr>
          <w:color w:val="231F20"/>
          <w:spacing w:val="-12"/>
          <w:w w:val="110"/>
        </w:rPr>
        <w:t> </w:t>
      </w:r>
      <w:r>
        <w:rPr>
          <w:color w:val="231F20"/>
          <w:w w:val="110"/>
        </w:rPr>
        <w:t>y</w:t>
      </w:r>
      <w:r>
        <w:rPr>
          <w:color w:val="231F20"/>
          <w:spacing w:val="-12"/>
          <w:w w:val="110"/>
        </w:rPr>
        <w:t> </w:t>
      </w:r>
      <w:r>
        <w:rPr>
          <w:color w:val="231F20"/>
          <w:w w:val="110"/>
        </w:rPr>
        <w:t>no</w:t>
      </w:r>
      <w:r>
        <w:rPr>
          <w:color w:val="231F20"/>
          <w:spacing w:val="-12"/>
          <w:w w:val="110"/>
        </w:rPr>
        <w:t> </w:t>
      </w:r>
      <w:r>
        <w:rPr>
          <w:color w:val="231F20"/>
          <w:w w:val="110"/>
        </w:rPr>
        <w:t>deben</w:t>
      </w:r>
      <w:r>
        <w:rPr>
          <w:color w:val="231F20"/>
          <w:spacing w:val="-12"/>
          <w:w w:val="110"/>
        </w:rPr>
        <w:t> </w:t>
      </w:r>
      <w:r>
        <w:rPr>
          <w:color w:val="231F20"/>
          <w:w w:val="110"/>
        </w:rPr>
        <w:t>afec- tar</w:t>
      </w:r>
      <w:r>
        <w:rPr>
          <w:color w:val="231F20"/>
          <w:spacing w:val="-4"/>
          <w:w w:val="110"/>
        </w:rPr>
        <w:t> </w:t>
      </w:r>
      <w:r>
        <w:rPr>
          <w:color w:val="231F20"/>
          <w:w w:val="110"/>
        </w:rPr>
        <w:t>el</w:t>
      </w:r>
      <w:r>
        <w:rPr>
          <w:color w:val="231F20"/>
          <w:spacing w:val="-4"/>
          <w:w w:val="110"/>
        </w:rPr>
        <w:t> </w:t>
      </w:r>
      <w:r>
        <w:rPr>
          <w:color w:val="231F20"/>
          <w:w w:val="110"/>
        </w:rPr>
        <w:t>funcionamiento</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unidad</w:t>
      </w:r>
      <w:r>
        <w:rPr>
          <w:color w:val="231F20"/>
          <w:spacing w:val="-4"/>
          <w:w w:val="110"/>
        </w:rPr>
        <w:t> </w:t>
      </w:r>
      <w:r>
        <w:rPr>
          <w:color w:val="231F20"/>
          <w:w w:val="110"/>
        </w:rPr>
        <w:t>familiar.</w:t>
      </w:r>
      <w:r>
        <w:rPr>
          <w:color w:val="231F20"/>
          <w:spacing w:val="-4"/>
          <w:w w:val="110"/>
        </w:rPr>
        <w:t> </w:t>
      </w:r>
      <w:r>
        <w:rPr>
          <w:color w:val="231F20"/>
          <w:w w:val="110"/>
        </w:rPr>
        <w:t>Sin</w:t>
      </w:r>
      <w:r>
        <w:rPr>
          <w:color w:val="231F20"/>
          <w:spacing w:val="-4"/>
          <w:w w:val="110"/>
        </w:rPr>
        <w:t> </w:t>
      </w:r>
      <w:r>
        <w:rPr>
          <w:color w:val="231F20"/>
          <w:w w:val="110"/>
        </w:rPr>
        <w:t>embargo,</w:t>
      </w:r>
      <w:r>
        <w:rPr>
          <w:color w:val="231F20"/>
          <w:spacing w:val="-4"/>
          <w:w w:val="110"/>
        </w:rPr>
        <w:t> </w:t>
      </w:r>
      <w:r>
        <w:rPr>
          <w:color w:val="231F20"/>
          <w:w w:val="110"/>
        </w:rPr>
        <w:t>reconocen</w:t>
      </w:r>
      <w:r>
        <w:rPr>
          <w:color w:val="231F20"/>
          <w:spacing w:val="-4"/>
          <w:w w:val="110"/>
        </w:rPr>
        <w:t> </w:t>
      </w:r>
      <w:r>
        <w:rPr>
          <w:color w:val="231F20"/>
          <w:w w:val="110"/>
        </w:rPr>
        <w:t>que</w:t>
      </w:r>
      <w:r>
        <w:rPr>
          <w:color w:val="231F20"/>
          <w:spacing w:val="-4"/>
          <w:w w:val="110"/>
        </w:rPr>
        <w:t> </w:t>
      </w:r>
      <w:r>
        <w:rPr>
          <w:color w:val="231F20"/>
          <w:w w:val="110"/>
        </w:rPr>
        <w:t>es una situación incómoda para los miembros de la unidad doméstica la im- posibilidad</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propietarios</w:t>
      </w:r>
      <w:r>
        <w:rPr>
          <w:color w:val="231F20"/>
          <w:spacing w:val="-6"/>
          <w:w w:val="110"/>
        </w:rPr>
        <w:t> </w:t>
      </w:r>
      <w:r>
        <w:rPr>
          <w:color w:val="231F20"/>
          <w:w w:val="110"/>
        </w:rPr>
        <w:t>de</w:t>
      </w:r>
      <w:r>
        <w:rPr>
          <w:color w:val="231F20"/>
          <w:spacing w:val="-6"/>
          <w:w w:val="110"/>
        </w:rPr>
        <w:t> </w:t>
      </w:r>
      <w:r>
        <w:rPr>
          <w:color w:val="231F20"/>
          <w:w w:val="110"/>
        </w:rPr>
        <w:t>dar</w:t>
      </w:r>
      <w:r>
        <w:rPr>
          <w:color w:val="231F20"/>
          <w:spacing w:val="-6"/>
          <w:w w:val="110"/>
        </w:rPr>
        <w:t> </w:t>
      </w:r>
      <w:r>
        <w:rPr>
          <w:color w:val="231F20"/>
          <w:w w:val="110"/>
        </w:rPr>
        <w:t>por</w:t>
      </w:r>
      <w:r>
        <w:rPr>
          <w:color w:val="231F20"/>
          <w:spacing w:val="-6"/>
          <w:w w:val="110"/>
        </w:rPr>
        <w:t> </w:t>
      </w:r>
      <w:r>
        <w:rPr>
          <w:color w:val="231F20"/>
          <w:w w:val="110"/>
        </w:rPr>
        <w:t>terminado</w:t>
      </w:r>
      <w:r>
        <w:rPr>
          <w:color w:val="231F20"/>
          <w:spacing w:val="-6"/>
          <w:w w:val="110"/>
        </w:rPr>
        <w:t> </w:t>
      </w:r>
      <w:r>
        <w:rPr>
          <w:color w:val="231F20"/>
          <w:w w:val="110"/>
        </w:rPr>
        <w:t>su</w:t>
      </w:r>
      <w:r>
        <w:rPr>
          <w:color w:val="231F20"/>
          <w:spacing w:val="-6"/>
          <w:w w:val="110"/>
        </w:rPr>
        <w:t> </w:t>
      </w:r>
      <w:r>
        <w:rPr>
          <w:color w:val="231F20"/>
          <w:w w:val="110"/>
        </w:rPr>
        <w:t>rol</w:t>
      </w:r>
      <w:r>
        <w:rPr>
          <w:color w:val="231F20"/>
          <w:spacing w:val="-6"/>
          <w:w w:val="110"/>
        </w:rPr>
        <w:t> </w:t>
      </w:r>
      <w:r>
        <w:rPr>
          <w:color w:val="231F20"/>
          <w:w w:val="110"/>
        </w:rPr>
        <w:t>de</w:t>
      </w:r>
      <w:r>
        <w:rPr>
          <w:color w:val="231F20"/>
          <w:spacing w:val="-6"/>
          <w:w w:val="110"/>
        </w:rPr>
        <w:t> </w:t>
      </w:r>
      <w:r>
        <w:rPr>
          <w:color w:val="231F20"/>
          <w:w w:val="110"/>
        </w:rPr>
        <w:t>jefes</w:t>
      </w:r>
      <w:r>
        <w:rPr>
          <w:color w:val="231F20"/>
          <w:spacing w:val="-6"/>
          <w:w w:val="110"/>
        </w:rPr>
        <w:t> </w:t>
      </w:r>
      <w:r>
        <w:rPr>
          <w:color w:val="231F20"/>
          <w:w w:val="110"/>
        </w:rPr>
        <w:t>una</w:t>
      </w:r>
      <w:r>
        <w:rPr>
          <w:color w:val="231F20"/>
          <w:spacing w:val="-6"/>
          <w:w w:val="110"/>
        </w:rPr>
        <w:t> </w:t>
      </w:r>
      <w:r>
        <w:rPr>
          <w:color w:val="231F20"/>
          <w:w w:val="110"/>
        </w:rPr>
        <w:t>vez que concluye la jornada laboral del</w:t>
      </w:r>
      <w:r>
        <w:rPr>
          <w:color w:val="231F20"/>
          <w:spacing w:val="34"/>
          <w:w w:val="110"/>
        </w:rPr>
        <w:t> </w:t>
      </w:r>
      <w:r>
        <w:rPr>
          <w:color w:val="231F20"/>
          <w:w w:val="110"/>
        </w:rPr>
        <w:t>día.</w:t>
      </w:r>
    </w:p>
    <w:p>
      <w:pPr>
        <w:pStyle w:val="BodyText"/>
        <w:spacing w:line="288" w:lineRule="auto"/>
        <w:ind w:left="124" w:right="113" w:firstLine="360"/>
        <w:jc w:val="both"/>
      </w:pPr>
      <w:r>
        <w:rPr>
          <w:color w:val="231F20"/>
          <w:w w:val="110"/>
        </w:rPr>
        <w:t>Por</w:t>
      </w:r>
      <w:r>
        <w:rPr>
          <w:color w:val="231F20"/>
          <w:spacing w:val="-8"/>
          <w:w w:val="110"/>
        </w:rPr>
        <w:t> </w:t>
      </w:r>
      <w:r>
        <w:rPr>
          <w:color w:val="231F20"/>
          <w:w w:val="110"/>
        </w:rPr>
        <w:t>su</w:t>
      </w:r>
      <w:r>
        <w:rPr>
          <w:color w:val="231F20"/>
          <w:spacing w:val="-8"/>
          <w:w w:val="110"/>
        </w:rPr>
        <w:t> </w:t>
      </w:r>
      <w:r>
        <w:rPr>
          <w:color w:val="231F20"/>
          <w:w w:val="110"/>
        </w:rPr>
        <w:t>parte,</w:t>
      </w:r>
      <w:r>
        <w:rPr>
          <w:color w:val="231F20"/>
          <w:spacing w:val="-8"/>
          <w:w w:val="110"/>
        </w:rPr>
        <w:t> </w:t>
      </w:r>
      <w:r>
        <w:rPr>
          <w:color w:val="231F20"/>
          <w:w w:val="110"/>
        </w:rPr>
        <w:t>hay</w:t>
      </w:r>
      <w:r>
        <w:rPr>
          <w:color w:val="231F20"/>
          <w:spacing w:val="-8"/>
          <w:w w:val="110"/>
        </w:rPr>
        <w:t> </w:t>
      </w:r>
      <w:r>
        <w:rPr>
          <w:color w:val="231F20"/>
          <w:w w:val="110"/>
        </w:rPr>
        <w:t>propietarios</w:t>
      </w:r>
      <w:r>
        <w:rPr>
          <w:color w:val="231F20"/>
          <w:spacing w:val="-8"/>
          <w:w w:val="110"/>
        </w:rPr>
        <w:t> </w:t>
      </w:r>
      <w:r>
        <w:rPr>
          <w:color w:val="231F20"/>
          <w:w w:val="110"/>
        </w:rPr>
        <w:t>que</w:t>
      </w:r>
      <w:r>
        <w:rPr>
          <w:color w:val="231F20"/>
          <w:spacing w:val="-8"/>
          <w:w w:val="110"/>
        </w:rPr>
        <w:t> </w:t>
      </w:r>
      <w:r>
        <w:rPr>
          <w:color w:val="231F20"/>
          <w:w w:val="110"/>
        </w:rPr>
        <w:t>consideran</w:t>
      </w:r>
      <w:r>
        <w:rPr>
          <w:color w:val="231F20"/>
          <w:spacing w:val="-8"/>
          <w:w w:val="110"/>
        </w:rPr>
        <w:t> </w:t>
      </w:r>
      <w:r>
        <w:rPr>
          <w:color w:val="231F20"/>
          <w:w w:val="110"/>
        </w:rPr>
        <w:t>que</w:t>
      </w:r>
      <w:r>
        <w:rPr>
          <w:color w:val="231F20"/>
          <w:spacing w:val="-8"/>
          <w:w w:val="110"/>
        </w:rPr>
        <w:t> </w:t>
      </w:r>
      <w:r>
        <w:rPr>
          <w:color w:val="231F20"/>
          <w:w w:val="110"/>
        </w:rPr>
        <w:t>la</w:t>
      </w:r>
      <w:r>
        <w:rPr>
          <w:color w:val="231F20"/>
          <w:spacing w:val="-8"/>
          <w:w w:val="110"/>
        </w:rPr>
        <w:t> </w:t>
      </w:r>
      <w:r>
        <w:rPr>
          <w:color w:val="231F20"/>
          <w:w w:val="110"/>
        </w:rPr>
        <w:t>unidad</w:t>
      </w:r>
      <w:r>
        <w:rPr>
          <w:color w:val="231F20"/>
          <w:spacing w:val="-8"/>
          <w:w w:val="110"/>
        </w:rPr>
        <w:t> </w:t>
      </w:r>
      <w:r>
        <w:rPr>
          <w:color w:val="231F20"/>
          <w:w w:val="110"/>
        </w:rPr>
        <w:t>familiar</w:t>
      </w:r>
      <w:r>
        <w:rPr>
          <w:color w:val="231F20"/>
          <w:spacing w:val="-8"/>
          <w:w w:val="110"/>
        </w:rPr>
        <w:t> </w:t>
      </w:r>
      <w:r>
        <w:rPr>
          <w:color w:val="231F20"/>
          <w:w w:val="110"/>
        </w:rPr>
        <w:t>no es un factor central en el negocio, señalando los inconvenientes y desven- tajas que se asocian con un negocio familiar. Coherentemente, no todos</w:t>
      </w:r>
      <w:r>
        <w:rPr>
          <w:color w:val="231F20"/>
          <w:spacing w:val="-19"/>
          <w:w w:val="110"/>
        </w:rPr>
        <w:t> </w:t>
      </w:r>
      <w:r>
        <w:rPr>
          <w:color w:val="231F20"/>
          <w:w w:val="110"/>
        </w:rPr>
        <w:t>los miembros</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unidad</w:t>
      </w:r>
      <w:r>
        <w:rPr>
          <w:color w:val="231F20"/>
          <w:spacing w:val="-18"/>
          <w:w w:val="110"/>
        </w:rPr>
        <w:t> </w:t>
      </w:r>
      <w:r>
        <w:rPr>
          <w:color w:val="231F20"/>
          <w:w w:val="110"/>
        </w:rPr>
        <w:t>doméstica</w:t>
      </w:r>
      <w:r>
        <w:rPr>
          <w:color w:val="231F20"/>
          <w:spacing w:val="-18"/>
          <w:w w:val="110"/>
        </w:rPr>
        <w:t> </w:t>
      </w:r>
      <w:r>
        <w:rPr>
          <w:color w:val="231F20"/>
          <w:w w:val="110"/>
        </w:rPr>
        <w:t>trabajan</w:t>
      </w:r>
      <w:r>
        <w:rPr>
          <w:color w:val="231F20"/>
          <w:spacing w:val="-18"/>
          <w:w w:val="110"/>
        </w:rPr>
        <w:t> </w:t>
      </w:r>
      <w:r>
        <w:rPr>
          <w:color w:val="231F20"/>
          <w:w w:val="110"/>
        </w:rPr>
        <w:t>en</w:t>
      </w:r>
      <w:r>
        <w:rPr>
          <w:color w:val="231F20"/>
          <w:spacing w:val="-18"/>
          <w:w w:val="110"/>
        </w:rPr>
        <w:t> </w:t>
      </w:r>
      <w:r>
        <w:rPr>
          <w:color w:val="231F20"/>
          <w:w w:val="110"/>
        </w:rPr>
        <w:t>el</w:t>
      </w:r>
      <w:r>
        <w:rPr>
          <w:color w:val="231F20"/>
          <w:spacing w:val="-18"/>
          <w:w w:val="110"/>
        </w:rPr>
        <w:t> </w:t>
      </w:r>
      <w:r>
        <w:rPr>
          <w:color w:val="231F20"/>
          <w:w w:val="110"/>
        </w:rPr>
        <w:t>establecimiento</w:t>
      </w:r>
      <w:r>
        <w:rPr>
          <w:color w:val="231F20"/>
          <w:spacing w:val="-18"/>
          <w:w w:val="110"/>
        </w:rPr>
        <w:t> </w:t>
      </w:r>
      <w:r>
        <w:rPr>
          <w:color w:val="231F20"/>
          <w:w w:val="110"/>
        </w:rPr>
        <w:t>(muchos</w:t>
      </w:r>
      <w:r>
        <w:rPr>
          <w:color w:val="231F20"/>
          <w:spacing w:val="-18"/>
          <w:w w:val="110"/>
        </w:rPr>
        <w:t> </w:t>
      </w:r>
      <w:r>
        <w:rPr>
          <w:color w:val="231F20"/>
          <w:w w:val="110"/>
        </w:rPr>
        <w:t>lo hacen</w:t>
      </w:r>
      <w:r>
        <w:rPr>
          <w:color w:val="231F20"/>
          <w:spacing w:val="23"/>
          <w:w w:val="110"/>
        </w:rPr>
        <w:t> </w:t>
      </w:r>
      <w:r>
        <w:rPr>
          <w:color w:val="231F20"/>
          <w:w w:val="110"/>
        </w:rPr>
        <w:t>fuera</w:t>
      </w:r>
      <w:r>
        <w:rPr>
          <w:color w:val="231F20"/>
          <w:spacing w:val="23"/>
          <w:w w:val="110"/>
        </w:rPr>
        <w:t> </w:t>
      </w:r>
      <w:r>
        <w:rPr>
          <w:color w:val="231F20"/>
          <w:w w:val="110"/>
        </w:rPr>
        <w:t>del</w:t>
      </w:r>
      <w:r>
        <w:rPr>
          <w:color w:val="231F20"/>
          <w:spacing w:val="23"/>
          <w:w w:val="110"/>
        </w:rPr>
        <w:t> </w:t>
      </w:r>
      <w:r>
        <w:rPr>
          <w:color w:val="231F20"/>
          <w:w w:val="110"/>
        </w:rPr>
        <w:t>mismo)</w:t>
      </w:r>
      <w:r>
        <w:rPr>
          <w:color w:val="231F20"/>
          <w:spacing w:val="23"/>
          <w:w w:val="110"/>
        </w:rPr>
        <w:t> </w:t>
      </w:r>
      <w:r>
        <w:rPr>
          <w:color w:val="231F20"/>
          <w:w w:val="110"/>
        </w:rPr>
        <w:t>y</w:t>
      </w:r>
      <w:r>
        <w:rPr>
          <w:color w:val="231F20"/>
          <w:spacing w:val="23"/>
          <w:w w:val="110"/>
        </w:rPr>
        <w:t> </w:t>
      </w:r>
      <w:r>
        <w:rPr>
          <w:color w:val="231F20"/>
          <w:w w:val="110"/>
        </w:rPr>
        <w:t>son</w:t>
      </w:r>
      <w:r>
        <w:rPr>
          <w:color w:val="231F20"/>
          <w:spacing w:val="23"/>
          <w:w w:val="110"/>
        </w:rPr>
        <w:t> </w:t>
      </w:r>
      <w:r>
        <w:rPr>
          <w:color w:val="231F20"/>
          <w:w w:val="110"/>
        </w:rPr>
        <w:t>negocios</w:t>
      </w:r>
      <w:r>
        <w:rPr>
          <w:color w:val="231F20"/>
          <w:spacing w:val="23"/>
          <w:w w:val="110"/>
        </w:rPr>
        <w:t> </w:t>
      </w:r>
      <w:r>
        <w:rPr>
          <w:color w:val="231F20"/>
          <w:w w:val="110"/>
        </w:rPr>
        <w:t>que</w:t>
      </w:r>
      <w:r>
        <w:rPr>
          <w:color w:val="231F20"/>
          <w:spacing w:val="23"/>
          <w:w w:val="110"/>
        </w:rPr>
        <w:t> </w:t>
      </w:r>
      <w:r>
        <w:rPr>
          <w:color w:val="231F20"/>
          <w:w w:val="110"/>
        </w:rPr>
        <w:t>buscan</w:t>
      </w:r>
      <w:r>
        <w:rPr>
          <w:color w:val="231F20"/>
          <w:spacing w:val="23"/>
          <w:w w:val="110"/>
        </w:rPr>
        <w:t> </w:t>
      </w:r>
      <w:r>
        <w:rPr>
          <w:color w:val="231F20"/>
          <w:w w:val="110"/>
        </w:rPr>
        <w:t>mantener</w:t>
      </w:r>
      <w:r>
        <w:rPr>
          <w:color w:val="231F20"/>
          <w:spacing w:val="23"/>
          <w:w w:val="110"/>
        </w:rPr>
        <w:t> </w:t>
      </w:r>
      <w:r>
        <w:rPr>
          <w:color w:val="231F20"/>
          <w:w w:val="110"/>
        </w:rPr>
        <w:t>separados</w:t>
      </w:r>
    </w:p>
    <w:p>
      <w:pPr>
        <w:spacing w:after="0" w:line="288" w:lineRule="auto"/>
        <w:jc w:val="both"/>
        <w:sectPr>
          <w:pgSz w:w="9520" w:h="12920"/>
          <w:pgMar w:header="0" w:footer="1344" w:top="880" w:bottom="1540" w:left="1320" w:right="1000"/>
        </w:sectPr>
      </w:pPr>
    </w:p>
    <w:p>
      <w:pPr>
        <w:pStyle w:val="BodyText"/>
        <w:spacing w:line="288" w:lineRule="auto" w:before="42"/>
        <w:ind w:left="120" w:right="117"/>
        <w:jc w:val="both"/>
      </w:pPr>
      <w:r>
        <w:rPr>
          <w:color w:val="231F20"/>
          <w:w w:val="110"/>
        </w:rPr>
        <w:t>los</w:t>
      </w:r>
      <w:r>
        <w:rPr>
          <w:color w:val="231F20"/>
          <w:spacing w:val="-7"/>
          <w:w w:val="110"/>
        </w:rPr>
        <w:t> </w:t>
      </w:r>
      <w:r>
        <w:rPr>
          <w:color w:val="231F20"/>
          <w:w w:val="110"/>
        </w:rPr>
        <w:t>lugares</w:t>
      </w:r>
      <w:r>
        <w:rPr>
          <w:color w:val="231F20"/>
          <w:spacing w:val="-7"/>
          <w:w w:val="110"/>
        </w:rPr>
        <w:t> </w:t>
      </w:r>
      <w:r>
        <w:rPr>
          <w:color w:val="231F20"/>
          <w:w w:val="110"/>
        </w:rPr>
        <w:t>para</w:t>
      </w:r>
      <w:r>
        <w:rPr>
          <w:color w:val="231F20"/>
          <w:spacing w:val="-7"/>
          <w:w w:val="110"/>
        </w:rPr>
        <w:t> </w:t>
      </w:r>
      <w:r>
        <w:rPr>
          <w:color w:val="231F20"/>
          <w:w w:val="110"/>
        </w:rPr>
        <w:t>el</w:t>
      </w:r>
      <w:r>
        <w:rPr>
          <w:color w:val="231F20"/>
          <w:spacing w:val="-7"/>
          <w:w w:val="110"/>
        </w:rPr>
        <w:t> </w:t>
      </w:r>
      <w:r>
        <w:rPr>
          <w:color w:val="231F20"/>
          <w:w w:val="110"/>
        </w:rPr>
        <w:t>trabajo</w:t>
      </w:r>
      <w:r>
        <w:rPr>
          <w:color w:val="231F20"/>
          <w:spacing w:val="-7"/>
          <w:w w:val="110"/>
        </w:rPr>
        <w:t> </w:t>
      </w:r>
      <w:r>
        <w:rPr>
          <w:color w:val="231F20"/>
          <w:w w:val="110"/>
        </w:rPr>
        <w:t>y</w:t>
      </w:r>
      <w:r>
        <w:rPr>
          <w:color w:val="231F20"/>
          <w:spacing w:val="-7"/>
          <w:w w:val="110"/>
        </w:rPr>
        <w:t> </w:t>
      </w:r>
      <w:r>
        <w:rPr>
          <w:color w:val="231F20"/>
          <w:w w:val="110"/>
        </w:rPr>
        <w:t>para</w:t>
      </w:r>
      <w:r>
        <w:rPr>
          <w:color w:val="231F20"/>
          <w:spacing w:val="-7"/>
          <w:w w:val="110"/>
        </w:rPr>
        <w:t> </w:t>
      </w:r>
      <w:r>
        <w:rPr>
          <w:color w:val="231F20"/>
          <w:w w:val="110"/>
        </w:rPr>
        <w:t>la</w:t>
      </w:r>
      <w:r>
        <w:rPr>
          <w:color w:val="231F20"/>
          <w:spacing w:val="-7"/>
          <w:w w:val="110"/>
        </w:rPr>
        <w:t> </w:t>
      </w:r>
      <w:r>
        <w:rPr>
          <w:color w:val="231F20"/>
          <w:w w:val="110"/>
        </w:rPr>
        <w:t>unidad</w:t>
      </w:r>
      <w:r>
        <w:rPr>
          <w:color w:val="231F20"/>
          <w:spacing w:val="-7"/>
          <w:w w:val="110"/>
        </w:rPr>
        <w:t> </w:t>
      </w:r>
      <w:r>
        <w:rPr>
          <w:color w:val="231F20"/>
          <w:w w:val="110"/>
        </w:rPr>
        <w:t>doméstica.</w:t>
      </w:r>
      <w:r>
        <w:rPr>
          <w:color w:val="231F20"/>
          <w:spacing w:val="-7"/>
          <w:w w:val="110"/>
        </w:rPr>
        <w:t> </w:t>
      </w:r>
      <w:r>
        <w:rPr>
          <w:color w:val="231F20"/>
          <w:w w:val="110"/>
        </w:rPr>
        <w:t>Sin</w:t>
      </w:r>
      <w:r>
        <w:rPr>
          <w:color w:val="231F20"/>
          <w:spacing w:val="-7"/>
          <w:w w:val="110"/>
        </w:rPr>
        <w:t> </w:t>
      </w:r>
      <w:r>
        <w:rPr>
          <w:color w:val="231F20"/>
          <w:spacing w:val="-3"/>
          <w:w w:val="110"/>
        </w:rPr>
        <w:t>embargo,</w:t>
      </w:r>
      <w:r>
        <w:rPr>
          <w:color w:val="231F20"/>
          <w:spacing w:val="-7"/>
          <w:w w:val="110"/>
        </w:rPr>
        <w:t> </w:t>
      </w:r>
      <w:r>
        <w:rPr>
          <w:color w:val="231F20"/>
          <w:w w:val="110"/>
        </w:rPr>
        <w:t>indican que las situaciones problemáticas en el trabajo suelen afectar la cotidiani- dad de la unidad</w:t>
      </w:r>
      <w:r>
        <w:rPr>
          <w:color w:val="231F20"/>
          <w:spacing w:val="23"/>
          <w:w w:val="110"/>
        </w:rPr>
        <w:t> </w:t>
      </w:r>
      <w:r>
        <w:rPr>
          <w:color w:val="231F20"/>
          <w:w w:val="110"/>
        </w:rPr>
        <w:t>doméstica.</w:t>
      </w:r>
    </w:p>
    <w:p>
      <w:pPr>
        <w:pStyle w:val="BodyText"/>
      </w:pPr>
    </w:p>
    <w:p>
      <w:pPr>
        <w:pStyle w:val="BodyText"/>
        <w:spacing w:before="10"/>
        <w:rPr>
          <w:sz w:val="24"/>
        </w:rPr>
      </w:pPr>
    </w:p>
    <w:p>
      <w:pPr>
        <w:spacing w:line="244" w:lineRule="auto" w:before="0"/>
        <w:ind w:left="120" w:right="3466" w:firstLine="0"/>
        <w:jc w:val="left"/>
        <w:rPr>
          <w:rFonts w:ascii="Times New Roman" w:hAnsi="Times New Roman"/>
          <w:i/>
          <w:sz w:val="19"/>
        </w:rPr>
      </w:pPr>
      <w:r>
        <w:rPr>
          <w:rFonts w:ascii="Times New Roman" w:hAnsi="Times New Roman"/>
          <w:i/>
          <w:color w:val="231F20"/>
          <w:sz w:val="24"/>
        </w:rPr>
        <w:t>E</w:t>
      </w:r>
      <w:r>
        <w:rPr>
          <w:rFonts w:ascii="Times New Roman" w:hAnsi="Times New Roman"/>
          <w:i/>
          <w:color w:val="231F20"/>
          <w:sz w:val="19"/>
        </w:rPr>
        <w:t>L</w:t>
      </w:r>
      <w:r>
        <w:rPr>
          <w:rFonts w:ascii="Times New Roman" w:hAnsi="Times New Roman"/>
          <w:i/>
          <w:color w:val="231F20"/>
          <w:spacing w:val="-20"/>
          <w:sz w:val="19"/>
        </w:rPr>
        <w:t> </w:t>
      </w:r>
      <w:r>
        <w:rPr>
          <w:rFonts w:ascii="Times New Roman" w:hAnsi="Times New Roman"/>
          <w:i/>
          <w:color w:val="231F20"/>
          <w:sz w:val="19"/>
        </w:rPr>
        <w:t>RIESGO</w:t>
      </w:r>
      <w:r>
        <w:rPr>
          <w:rFonts w:ascii="Times New Roman" w:hAnsi="Times New Roman"/>
          <w:i/>
          <w:color w:val="231F20"/>
          <w:sz w:val="24"/>
        </w:rPr>
        <w:t>:</w:t>
      </w:r>
      <w:r>
        <w:rPr>
          <w:rFonts w:ascii="Times New Roman" w:hAnsi="Times New Roman"/>
          <w:i/>
          <w:color w:val="231F20"/>
          <w:spacing w:val="-32"/>
          <w:sz w:val="24"/>
        </w:rPr>
        <w:t> </w:t>
      </w:r>
      <w:r>
        <w:rPr>
          <w:rFonts w:ascii="Times New Roman" w:hAnsi="Times New Roman"/>
          <w:i/>
          <w:color w:val="231F20"/>
          <w:sz w:val="24"/>
        </w:rPr>
        <w:t>¿</w:t>
      </w:r>
      <w:r>
        <w:rPr>
          <w:rFonts w:ascii="Times New Roman" w:hAnsi="Times New Roman"/>
          <w:i/>
          <w:color w:val="231F20"/>
          <w:sz w:val="19"/>
        </w:rPr>
        <w:t>CÓMO</w:t>
      </w:r>
      <w:r>
        <w:rPr>
          <w:rFonts w:ascii="Times New Roman" w:hAnsi="Times New Roman"/>
          <w:i/>
          <w:color w:val="231F20"/>
          <w:spacing w:val="-20"/>
          <w:sz w:val="19"/>
        </w:rPr>
        <w:t> </w:t>
      </w:r>
      <w:r>
        <w:rPr>
          <w:rFonts w:ascii="Times New Roman" w:hAnsi="Times New Roman"/>
          <w:i/>
          <w:color w:val="231F20"/>
          <w:sz w:val="19"/>
        </w:rPr>
        <w:t>SE</w:t>
      </w:r>
      <w:r>
        <w:rPr>
          <w:rFonts w:ascii="Times New Roman" w:hAnsi="Times New Roman"/>
          <w:i/>
          <w:color w:val="231F20"/>
          <w:spacing w:val="-20"/>
          <w:sz w:val="19"/>
        </w:rPr>
        <w:t> </w:t>
      </w:r>
      <w:r>
        <w:rPr>
          <w:rFonts w:ascii="Times New Roman" w:hAnsi="Times New Roman"/>
          <w:i/>
          <w:color w:val="231F20"/>
          <w:sz w:val="19"/>
        </w:rPr>
        <w:t>VIVE</w:t>
      </w:r>
      <w:r>
        <w:rPr>
          <w:rFonts w:ascii="Times New Roman" w:hAnsi="Times New Roman"/>
          <w:i/>
          <w:color w:val="231F20"/>
          <w:spacing w:val="-20"/>
          <w:sz w:val="19"/>
        </w:rPr>
        <w:t> </w:t>
      </w:r>
      <w:r>
        <w:rPr>
          <w:rFonts w:ascii="Times New Roman" w:hAnsi="Times New Roman"/>
          <w:i/>
          <w:color w:val="231F20"/>
          <w:spacing w:val="7"/>
          <w:sz w:val="19"/>
        </w:rPr>
        <w:t>LA</w:t>
      </w:r>
      <w:r>
        <w:rPr>
          <w:rFonts w:ascii="Times New Roman" w:hAnsi="Times New Roman"/>
          <w:i/>
          <w:color w:val="231F20"/>
          <w:spacing w:val="-20"/>
          <w:sz w:val="19"/>
        </w:rPr>
        <w:t> </w:t>
      </w:r>
      <w:r>
        <w:rPr>
          <w:rFonts w:ascii="Times New Roman" w:hAnsi="Times New Roman"/>
          <w:i/>
          <w:color w:val="231F20"/>
          <w:sz w:val="19"/>
        </w:rPr>
        <w:t>RELACIÓN </w:t>
      </w:r>
      <w:r>
        <w:rPr>
          <w:rFonts w:ascii="Times New Roman" w:hAnsi="Times New Roman"/>
          <w:i/>
          <w:color w:val="231F20"/>
          <w:w w:val="95"/>
          <w:sz w:val="19"/>
        </w:rPr>
        <w:t>TRABAJO</w:t>
      </w:r>
      <w:r>
        <w:rPr>
          <w:rFonts w:ascii="Times New Roman" w:hAnsi="Times New Roman"/>
          <w:i/>
          <w:color w:val="231F20"/>
          <w:w w:val="95"/>
          <w:sz w:val="24"/>
        </w:rPr>
        <w:t>-</w:t>
      </w:r>
      <w:r>
        <w:rPr>
          <w:rFonts w:ascii="Times New Roman" w:hAnsi="Times New Roman"/>
          <w:i/>
          <w:color w:val="231F20"/>
          <w:w w:val="95"/>
          <w:sz w:val="19"/>
        </w:rPr>
        <w:t>FAMILIA</w:t>
      </w:r>
      <w:r>
        <w:rPr>
          <w:rFonts w:ascii="Times New Roman" w:hAnsi="Times New Roman"/>
          <w:i/>
          <w:color w:val="231F20"/>
          <w:spacing w:val="-16"/>
          <w:w w:val="95"/>
          <w:sz w:val="19"/>
        </w:rPr>
        <w:t> </w:t>
      </w:r>
      <w:r>
        <w:rPr>
          <w:rFonts w:ascii="Times New Roman" w:hAnsi="Times New Roman"/>
          <w:i/>
          <w:color w:val="231F20"/>
          <w:w w:val="95"/>
          <w:sz w:val="19"/>
        </w:rPr>
        <w:t>Y</w:t>
      </w:r>
      <w:r>
        <w:rPr>
          <w:rFonts w:ascii="Times New Roman" w:hAnsi="Times New Roman"/>
          <w:i/>
          <w:color w:val="231F20"/>
          <w:spacing w:val="-16"/>
          <w:w w:val="95"/>
          <w:sz w:val="19"/>
        </w:rPr>
        <w:t> </w:t>
      </w:r>
      <w:r>
        <w:rPr>
          <w:rFonts w:ascii="Times New Roman" w:hAnsi="Times New Roman"/>
          <w:i/>
          <w:color w:val="231F20"/>
          <w:w w:val="95"/>
          <w:sz w:val="19"/>
        </w:rPr>
        <w:t>QUÉ</w:t>
      </w:r>
      <w:r>
        <w:rPr>
          <w:rFonts w:ascii="Times New Roman" w:hAnsi="Times New Roman"/>
          <w:i/>
          <w:color w:val="231F20"/>
          <w:spacing w:val="-16"/>
          <w:w w:val="95"/>
          <w:sz w:val="19"/>
        </w:rPr>
        <w:t> </w:t>
      </w:r>
      <w:r>
        <w:rPr>
          <w:rFonts w:ascii="Times New Roman" w:hAnsi="Times New Roman"/>
          <w:i/>
          <w:color w:val="231F20"/>
          <w:w w:val="95"/>
          <w:sz w:val="19"/>
        </w:rPr>
        <w:t>PERCEPCIONES</w:t>
      </w:r>
    </w:p>
    <w:p>
      <w:pPr>
        <w:spacing w:before="0"/>
        <w:ind w:left="120" w:right="0" w:firstLine="0"/>
        <w:jc w:val="both"/>
        <w:rPr>
          <w:rFonts w:ascii="Times New Roman"/>
          <w:i/>
          <w:sz w:val="24"/>
        </w:rPr>
      </w:pPr>
      <w:r>
        <w:rPr>
          <w:rFonts w:ascii="Times New Roman"/>
          <w:i/>
          <w:color w:val="231F20"/>
          <w:w w:val="95"/>
          <w:sz w:val="19"/>
        </w:rPr>
        <w:t>Y EXPECTATIVAS SE TIENE DE ELLA</w:t>
      </w:r>
      <w:r>
        <w:rPr>
          <w:rFonts w:ascii="Times New Roman"/>
          <w:i/>
          <w:color w:val="231F20"/>
          <w:w w:val="95"/>
          <w:sz w:val="24"/>
        </w:rPr>
        <w:t>?</w:t>
      </w:r>
    </w:p>
    <w:p>
      <w:pPr>
        <w:pStyle w:val="BodyText"/>
        <w:spacing w:before="9"/>
        <w:rPr>
          <w:rFonts w:ascii="Times New Roman"/>
          <w:i/>
          <w:sz w:val="27"/>
        </w:rPr>
      </w:pPr>
    </w:p>
    <w:p>
      <w:pPr>
        <w:pStyle w:val="BodyText"/>
        <w:spacing w:line="288" w:lineRule="auto"/>
        <w:ind w:left="120" w:right="117"/>
        <w:jc w:val="both"/>
      </w:pPr>
      <w:r>
        <w:rPr>
          <w:color w:val="231F20"/>
          <w:w w:val="110"/>
        </w:rPr>
        <w:t>Como indica Ulrich Beck (1998), el concepto de riesgo implica el enfoque moderno de la previsión y control de las consecuencias futuras de la ac- ción humana. Por riesgo social se entienden los posibles daños que en el presente puedan ser comunicados como anticipación y que resultan de una</w:t>
      </w:r>
      <w:r>
        <w:rPr>
          <w:color w:val="231F20"/>
          <w:spacing w:val="-9"/>
          <w:w w:val="110"/>
        </w:rPr>
        <w:t> </w:t>
      </w:r>
      <w:r>
        <w:rPr>
          <w:color w:val="231F20"/>
          <w:w w:val="110"/>
        </w:rPr>
        <w:t>decisión-acción</w:t>
      </w:r>
      <w:r>
        <w:rPr>
          <w:color w:val="231F20"/>
          <w:spacing w:val="-9"/>
          <w:w w:val="110"/>
        </w:rPr>
        <w:t> </w:t>
      </w:r>
      <w:r>
        <w:rPr>
          <w:color w:val="231F20"/>
          <w:w w:val="110"/>
        </w:rPr>
        <w:t>específica.</w:t>
      </w:r>
      <w:r>
        <w:rPr>
          <w:color w:val="231F20"/>
          <w:spacing w:val="-9"/>
          <w:w w:val="110"/>
        </w:rPr>
        <w:t> </w:t>
      </w:r>
      <w:r>
        <w:rPr>
          <w:color w:val="231F20"/>
          <w:w w:val="110"/>
        </w:rPr>
        <w:t>Un</w:t>
      </w:r>
      <w:r>
        <w:rPr>
          <w:color w:val="231F20"/>
          <w:spacing w:val="-9"/>
          <w:w w:val="110"/>
        </w:rPr>
        <w:t> </w:t>
      </w:r>
      <w:r>
        <w:rPr>
          <w:color w:val="231F20"/>
          <w:w w:val="110"/>
        </w:rPr>
        <w:t>riesgo</w:t>
      </w:r>
      <w:r>
        <w:rPr>
          <w:color w:val="231F20"/>
          <w:spacing w:val="-9"/>
          <w:w w:val="110"/>
        </w:rPr>
        <w:t> </w:t>
      </w:r>
      <w:r>
        <w:rPr>
          <w:color w:val="231F20"/>
          <w:w w:val="110"/>
        </w:rPr>
        <w:t>es</w:t>
      </w:r>
      <w:r>
        <w:rPr>
          <w:color w:val="231F20"/>
          <w:spacing w:val="-9"/>
          <w:w w:val="110"/>
        </w:rPr>
        <w:t> </w:t>
      </w:r>
      <w:r>
        <w:rPr>
          <w:color w:val="231F20"/>
          <w:spacing w:val="-3"/>
          <w:w w:val="110"/>
        </w:rPr>
        <w:t>existente</w:t>
      </w:r>
      <w:r>
        <w:rPr>
          <w:color w:val="231F20"/>
          <w:spacing w:val="-9"/>
          <w:w w:val="110"/>
        </w:rPr>
        <w:t> </w:t>
      </w:r>
      <w:r>
        <w:rPr>
          <w:color w:val="231F20"/>
          <w:w w:val="110"/>
        </w:rPr>
        <w:t>cuando</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presente existe inseguridad respecto al futuro, porque éste no puede ser conocido ni</w:t>
      </w:r>
      <w:r>
        <w:rPr>
          <w:color w:val="231F20"/>
          <w:spacing w:val="-10"/>
          <w:w w:val="110"/>
        </w:rPr>
        <w:t> </w:t>
      </w:r>
      <w:r>
        <w:rPr>
          <w:color w:val="231F20"/>
          <w:w w:val="110"/>
        </w:rPr>
        <w:t>anticipado.</w:t>
      </w:r>
    </w:p>
    <w:p>
      <w:pPr>
        <w:pStyle w:val="BodyText"/>
        <w:spacing w:line="288" w:lineRule="auto"/>
        <w:ind w:left="120" w:right="115" w:firstLine="360"/>
        <w:jc w:val="both"/>
      </w:pPr>
      <w:r>
        <w:rPr>
          <w:color w:val="231F20"/>
          <w:w w:val="110"/>
        </w:rPr>
        <w:t>Un concepto de riesgo así concebido, como observación de observa- ciones, no se interesa tanto por la existencia “real” de los riesgos ni por la posibilidad de los daños, sino por la probabilidad de que dichos daños aparezcan en el horizonte de las decisiones que se asuman para realizar cualquier acción. En una sociedad de riesgo, es justamente esta probabili- dad de calcular riesgos y de medir daños, la que desaparece. Por ello, una sociología del riesgo tiene siempre presente el problema del procesamien- to de la inseguridad en el contexto de decisiones  contingentes.</w:t>
      </w:r>
    </w:p>
    <w:p>
      <w:pPr>
        <w:pStyle w:val="BodyText"/>
        <w:spacing w:line="288" w:lineRule="auto"/>
        <w:ind w:left="119" w:right="115" w:firstLine="360"/>
        <w:jc w:val="both"/>
      </w:pPr>
      <w:r>
        <w:rPr>
          <w:color w:val="231F20"/>
          <w:w w:val="110"/>
        </w:rPr>
        <w:t>Para aproximarse al conocimiento de la forma en que se perciben ac- tualmente los propietarios y trabajadores en relación con la estabilidad y permanencia del negocio, y los riesgos para ambas unidades (¿lo que es riesgoso para el negocio también lo es para la familia?, ¿la vulnerabilidad de una entidad afecta a la otra?) se propone ubicar el análisis del riesgo en estas percepciones asociadas al sentimiento de seguridad. En este sentido, el riesgo se entenderá como un concepto necesario para la discusión de la viabilidad de los micronegocios, así como de las percepciones de sus tra- bajadores en torno a la seguridad que estos nichos laborales  ofrecen.</w:t>
      </w:r>
    </w:p>
    <w:p>
      <w:pPr>
        <w:pStyle w:val="BodyText"/>
        <w:spacing w:line="288" w:lineRule="auto"/>
        <w:ind w:left="119" w:right="115" w:firstLine="360"/>
        <w:jc w:val="both"/>
      </w:pPr>
      <w:r>
        <w:rPr>
          <w:color w:val="231F20"/>
          <w:w w:val="110"/>
        </w:rPr>
        <w:t>La incertidumbre y el riesgo que afrontan las personas comprende, entre otros aspectos, los grados de inseguridad económica que generan caídas abruptas de  los  ingresos, el  tipo de  riesgos indiosincráticos y   la</w:t>
      </w:r>
    </w:p>
    <w:p>
      <w:pPr>
        <w:spacing w:after="0" w:line="288" w:lineRule="auto"/>
        <w:jc w:val="both"/>
        <w:sectPr>
          <w:pgSz w:w="9520" w:h="12920"/>
          <w:pgMar w:header="0" w:footer="1344" w:top="880" w:bottom="1540" w:left="1000" w:right="1320"/>
        </w:sectPr>
      </w:pPr>
    </w:p>
    <w:p>
      <w:pPr>
        <w:pStyle w:val="BodyText"/>
        <w:spacing w:line="288" w:lineRule="auto" w:before="42"/>
        <w:ind w:left="124" w:right="113"/>
        <w:jc w:val="both"/>
      </w:pPr>
      <w:r>
        <w:rPr>
          <w:color w:val="231F20"/>
          <w:w w:val="110"/>
        </w:rPr>
        <w:t>posibilidad</w:t>
      </w:r>
      <w:r>
        <w:rPr>
          <w:color w:val="231F20"/>
          <w:spacing w:val="-14"/>
          <w:w w:val="110"/>
        </w:rPr>
        <w:t> </w:t>
      </w:r>
      <w:r>
        <w:rPr>
          <w:color w:val="231F20"/>
          <w:w w:val="110"/>
        </w:rPr>
        <w:t>de</w:t>
      </w:r>
      <w:r>
        <w:rPr>
          <w:color w:val="231F20"/>
          <w:spacing w:val="-14"/>
          <w:w w:val="110"/>
        </w:rPr>
        <w:t> </w:t>
      </w:r>
      <w:r>
        <w:rPr>
          <w:color w:val="231F20"/>
          <w:w w:val="110"/>
        </w:rPr>
        <w:t>que</w:t>
      </w:r>
      <w:r>
        <w:rPr>
          <w:color w:val="231F20"/>
          <w:spacing w:val="-14"/>
          <w:w w:val="110"/>
        </w:rPr>
        <w:t> </w:t>
      </w:r>
      <w:r>
        <w:rPr>
          <w:color w:val="231F20"/>
          <w:w w:val="110"/>
        </w:rPr>
        <w:t>éstos</w:t>
      </w:r>
      <w:r>
        <w:rPr>
          <w:color w:val="231F20"/>
          <w:spacing w:val="-14"/>
          <w:w w:val="110"/>
        </w:rPr>
        <w:t> </w:t>
      </w:r>
      <w:r>
        <w:rPr>
          <w:color w:val="231F20"/>
          <w:w w:val="110"/>
        </w:rPr>
        <w:t>deriven</w:t>
      </w:r>
      <w:r>
        <w:rPr>
          <w:color w:val="231F20"/>
          <w:spacing w:val="-14"/>
          <w:w w:val="110"/>
        </w:rPr>
        <w:t> </w:t>
      </w:r>
      <w:r>
        <w:rPr>
          <w:color w:val="231F20"/>
          <w:w w:val="110"/>
        </w:rPr>
        <w:t>en</w:t>
      </w:r>
      <w:r>
        <w:rPr>
          <w:color w:val="231F20"/>
          <w:spacing w:val="-14"/>
          <w:w w:val="110"/>
        </w:rPr>
        <w:t> </w:t>
      </w:r>
      <w:r>
        <w:rPr>
          <w:color w:val="231F20"/>
          <w:w w:val="110"/>
        </w:rPr>
        <w:t>catastróficos,</w:t>
      </w:r>
      <w:r>
        <w:rPr>
          <w:color w:val="231F20"/>
          <w:spacing w:val="-14"/>
          <w:w w:val="110"/>
        </w:rPr>
        <w:t> </w:t>
      </w:r>
      <w:r>
        <w:rPr>
          <w:color w:val="231F20"/>
          <w:w w:val="110"/>
        </w:rPr>
        <w:t>o</w:t>
      </w:r>
      <w:r>
        <w:rPr>
          <w:color w:val="231F20"/>
          <w:spacing w:val="-14"/>
          <w:w w:val="110"/>
        </w:rPr>
        <w:t> </w:t>
      </w:r>
      <w:r>
        <w:rPr>
          <w:color w:val="231F20"/>
          <w:w w:val="110"/>
        </w:rPr>
        <w:t>bien</w:t>
      </w:r>
      <w:r>
        <w:rPr>
          <w:color w:val="231F20"/>
          <w:spacing w:val="-14"/>
          <w:w w:val="110"/>
        </w:rPr>
        <w:t> </w:t>
      </w:r>
      <w:r>
        <w:rPr>
          <w:color w:val="231F20"/>
          <w:w w:val="110"/>
        </w:rPr>
        <w:t>la</w:t>
      </w:r>
      <w:r>
        <w:rPr>
          <w:color w:val="231F20"/>
          <w:spacing w:val="-14"/>
          <w:w w:val="110"/>
        </w:rPr>
        <w:t> </w:t>
      </w:r>
      <w:r>
        <w:rPr>
          <w:color w:val="231F20"/>
          <w:w w:val="110"/>
        </w:rPr>
        <w:t>disminuida</w:t>
      </w:r>
      <w:r>
        <w:rPr>
          <w:color w:val="231F20"/>
          <w:spacing w:val="-14"/>
          <w:w w:val="110"/>
        </w:rPr>
        <w:t> </w:t>
      </w:r>
      <w:r>
        <w:rPr>
          <w:color w:val="231F20"/>
          <w:w w:val="110"/>
        </w:rPr>
        <w:t>capa- cidad para resistir a los choques. El riesgo económico y social que se en- frenta ante la severidad y frecuencia de las perturbaciones está condicio- nado por variables económicas y por el desarrollo social de cada país en el marco de sus sistemas políticos (Sojo,</w:t>
      </w:r>
      <w:r>
        <w:rPr>
          <w:color w:val="231F20"/>
          <w:spacing w:val="6"/>
          <w:w w:val="110"/>
        </w:rPr>
        <w:t> </w:t>
      </w:r>
      <w:r>
        <w:rPr>
          <w:color w:val="231F20"/>
          <w:w w:val="110"/>
        </w:rPr>
        <w:t>2004).</w:t>
      </w:r>
    </w:p>
    <w:p>
      <w:pPr>
        <w:pStyle w:val="BodyText"/>
        <w:spacing w:line="288" w:lineRule="auto"/>
        <w:ind w:left="124" w:right="113" w:firstLine="360"/>
        <w:jc w:val="both"/>
      </w:pPr>
      <w:r>
        <w:rPr>
          <w:color w:val="231F20"/>
          <w:w w:val="110"/>
        </w:rPr>
        <w:t>En un marco estructural de deterioro del salario real y de deficiencia de los servicios y de las infraestructuras básicas, se hace necesario cono- cer y especificar las alternativas a las que recurren los trabajadores y sus familias para satisfacer sus necesidades  básicas.</w:t>
      </w:r>
    </w:p>
    <w:p>
      <w:pPr>
        <w:pStyle w:val="BodyText"/>
        <w:spacing w:line="288" w:lineRule="auto"/>
        <w:ind w:left="124" w:right="113" w:firstLine="360"/>
        <w:jc w:val="both"/>
      </w:pPr>
      <w:r>
        <w:rPr>
          <w:color w:val="231F20"/>
          <w:w w:val="110"/>
        </w:rPr>
        <w:t>Los efectos intergeneracionales de las estrategias de los sectores me- dios de la población frente a las perturbaciones del ingreso, pueden poner en entredicho su propia constitución y permanencia, y las estrategias que desarrollen, más allá de su relativa eficacia a corto plazo, pueden tener efectos perjudiciales más duraderos que las propias perturbaciones que las originaron. En estas circunstancias, a menudo se recurre a vender ac- tivos, restringir la inversión en capital humano, incrementar la participa- ción en la fuerza de trabajo, aumentar las horas trabajadas o migrar (Sojo, 2004).</w:t>
      </w:r>
    </w:p>
    <w:p>
      <w:pPr>
        <w:pStyle w:val="BodyText"/>
        <w:spacing w:line="288" w:lineRule="auto"/>
        <w:ind w:left="124" w:right="113" w:firstLine="360"/>
        <w:jc w:val="both"/>
      </w:pPr>
      <w:r>
        <w:rPr>
          <w:color w:val="231F20"/>
          <w:w w:val="110"/>
        </w:rPr>
        <w:t>Estas alternativas pueden ser múltiples y varían según la especifici- dad histórica y económica de los contextos en que se ubiquen los grupos familiares.</w:t>
      </w:r>
    </w:p>
    <w:p>
      <w:pPr>
        <w:pStyle w:val="BodyText"/>
        <w:spacing w:before="3"/>
        <w:rPr>
          <w:sz w:val="23"/>
        </w:rPr>
      </w:pPr>
    </w:p>
    <w:p>
      <w:pPr>
        <w:pStyle w:val="Heading3"/>
        <w:rPr>
          <w:i/>
        </w:rPr>
      </w:pPr>
      <w:r>
        <w:rPr>
          <w:i/>
          <w:color w:val="231F20"/>
        </w:rPr>
        <w:t>La diversidad del riesgo y sus distintas representaciones</w:t>
      </w:r>
    </w:p>
    <w:p>
      <w:pPr>
        <w:pStyle w:val="BodyText"/>
        <w:spacing w:before="4"/>
        <w:rPr>
          <w:rFonts w:ascii="Calibri"/>
          <w:i/>
          <w:sz w:val="22"/>
        </w:rPr>
      </w:pPr>
    </w:p>
    <w:p>
      <w:pPr>
        <w:pStyle w:val="BodyText"/>
        <w:spacing w:line="288" w:lineRule="auto"/>
        <w:ind w:left="124" w:right="113"/>
        <w:jc w:val="both"/>
      </w:pPr>
      <w:r>
        <w:rPr>
          <w:color w:val="231F20"/>
          <w:w w:val="110"/>
        </w:rPr>
        <w:t>El riesgo se percibe y se vive de distintas maneras y desde distintas posi- ciones entre las unidades entrevistadas.</w:t>
      </w:r>
    </w:p>
    <w:p>
      <w:pPr>
        <w:pStyle w:val="BodyText"/>
        <w:spacing w:line="288" w:lineRule="auto"/>
        <w:ind w:left="124" w:right="112" w:firstLine="360"/>
        <w:jc w:val="both"/>
      </w:pPr>
      <w:r>
        <w:rPr>
          <w:color w:val="231F20"/>
          <w:w w:val="110"/>
        </w:rPr>
        <w:t>Esta diversidad de formas de entender y representar el riesgo se tras- lada mayormente hacia el tema de la seguridad y se puede resumir en tres situaciones: la seguridad </w:t>
      </w:r>
      <w:r>
        <w:rPr>
          <w:i/>
          <w:color w:val="231F20"/>
          <w:w w:val="110"/>
        </w:rPr>
        <w:t>versus </w:t>
      </w:r>
      <w:r>
        <w:rPr>
          <w:color w:val="231F20"/>
          <w:w w:val="110"/>
        </w:rPr>
        <w:t>la incertidumbre respecto del futuro del negocio,</w:t>
      </w:r>
      <w:r>
        <w:rPr>
          <w:color w:val="231F20"/>
          <w:spacing w:val="-19"/>
          <w:w w:val="110"/>
        </w:rPr>
        <w:t> </w:t>
      </w:r>
      <w:r>
        <w:rPr>
          <w:color w:val="231F20"/>
          <w:w w:val="110"/>
        </w:rPr>
        <w:t>la</w:t>
      </w:r>
      <w:r>
        <w:rPr>
          <w:color w:val="231F20"/>
          <w:spacing w:val="-19"/>
          <w:w w:val="110"/>
        </w:rPr>
        <w:t> </w:t>
      </w:r>
      <w:r>
        <w:rPr>
          <w:color w:val="231F20"/>
          <w:w w:val="110"/>
        </w:rPr>
        <w:t>familia</w:t>
      </w:r>
      <w:r>
        <w:rPr>
          <w:color w:val="231F20"/>
          <w:spacing w:val="-19"/>
          <w:w w:val="110"/>
        </w:rPr>
        <w:t> </w:t>
      </w:r>
      <w:r>
        <w:rPr>
          <w:color w:val="231F20"/>
          <w:w w:val="110"/>
        </w:rPr>
        <w:t>como</w:t>
      </w:r>
      <w:r>
        <w:rPr>
          <w:color w:val="231F20"/>
          <w:spacing w:val="-19"/>
          <w:w w:val="110"/>
        </w:rPr>
        <w:t> </w:t>
      </w:r>
      <w:r>
        <w:rPr>
          <w:color w:val="231F20"/>
          <w:w w:val="110"/>
        </w:rPr>
        <w:t>factor</w:t>
      </w:r>
      <w:r>
        <w:rPr>
          <w:color w:val="231F20"/>
          <w:spacing w:val="-19"/>
          <w:w w:val="110"/>
        </w:rPr>
        <w:t> </w:t>
      </w:r>
      <w:r>
        <w:rPr>
          <w:color w:val="231F20"/>
          <w:w w:val="110"/>
        </w:rPr>
        <w:t>de</w:t>
      </w:r>
      <w:r>
        <w:rPr>
          <w:color w:val="231F20"/>
          <w:spacing w:val="-19"/>
          <w:w w:val="110"/>
        </w:rPr>
        <w:t> </w:t>
      </w:r>
      <w:r>
        <w:rPr>
          <w:color w:val="231F20"/>
          <w:w w:val="110"/>
        </w:rPr>
        <w:t>riesgo</w:t>
      </w:r>
      <w:r>
        <w:rPr>
          <w:color w:val="231F20"/>
          <w:spacing w:val="-19"/>
          <w:w w:val="110"/>
        </w:rPr>
        <w:t> </w:t>
      </w:r>
      <w:r>
        <w:rPr>
          <w:color w:val="231F20"/>
          <w:w w:val="110"/>
        </w:rPr>
        <w:t>desde</w:t>
      </w:r>
      <w:r>
        <w:rPr>
          <w:color w:val="231F20"/>
          <w:spacing w:val="-19"/>
          <w:w w:val="110"/>
        </w:rPr>
        <w:t> </w:t>
      </w:r>
      <w:r>
        <w:rPr>
          <w:color w:val="231F20"/>
          <w:w w:val="110"/>
        </w:rPr>
        <w:t>distintas</w:t>
      </w:r>
      <w:r>
        <w:rPr>
          <w:color w:val="231F20"/>
          <w:spacing w:val="-19"/>
          <w:w w:val="110"/>
        </w:rPr>
        <w:t> </w:t>
      </w:r>
      <w:r>
        <w:rPr>
          <w:color w:val="231F20"/>
          <w:w w:val="110"/>
        </w:rPr>
        <w:t>realidades</w:t>
      </w:r>
      <w:r>
        <w:rPr>
          <w:color w:val="231F20"/>
          <w:spacing w:val="-19"/>
          <w:w w:val="110"/>
        </w:rPr>
        <w:t> </w:t>
      </w:r>
      <w:r>
        <w:rPr>
          <w:color w:val="231F20"/>
          <w:w w:val="110"/>
        </w:rPr>
        <w:t>y</w:t>
      </w:r>
      <w:r>
        <w:rPr>
          <w:color w:val="231F20"/>
          <w:spacing w:val="-19"/>
          <w:w w:val="110"/>
        </w:rPr>
        <w:t> </w:t>
      </w:r>
      <w:r>
        <w:rPr>
          <w:color w:val="231F20"/>
          <w:w w:val="110"/>
        </w:rPr>
        <w:t>la</w:t>
      </w:r>
      <w:r>
        <w:rPr>
          <w:color w:val="231F20"/>
          <w:spacing w:val="-19"/>
          <w:w w:val="110"/>
        </w:rPr>
        <w:t> </w:t>
      </w:r>
      <w:r>
        <w:rPr>
          <w:color w:val="231F20"/>
          <w:w w:val="110"/>
        </w:rPr>
        <w:t>capa- cidad de trabajar y tener trabajo como una solución ante la  inseguridad.</w:t>
      </w:r>
    </w:p>
    <w:p>
      <w:pPr>
        <w:pStyle w:val="BodyText"/>
        <w:spacing w:before="3"/>
        <w:rPr>
          <w:sz w:val="23"/>
        </w:rPr>
      </w:pPr>
    </w:p>
    <w:p>
      <w:pPr>
        <w:pStyle w:val="Heading3"/>
        <w:rPr>
          <w:i/>
        </w:rPr>
      </w:pPr>
      <w:r>
        <w:rPr>
          <w:i/>
          <w:color w:val="231F20"/>
          <w:w w:val="105"/>
        </w:rPr>
        <w:t>¿Esto es temporal o permanente?</w:t>
      </w:r>
    </w:p>
    <w:p>
      <w:pPr>
        <w:pStyle w:val="BodyText"/>
        <w:spacing w:before="4"/>
        <w:rPr>
          <w:rFonts w:ascii="Calibri"/>
          <w:i/>
          <w:sz w:val="22"/>
        </w:rPr>
      </w:pPr>
    </w:p>
    <w:p>
      <w:pPr>
        <w:pStyle w:val="BodyText"/>
        <w:spacing w:line="288" w:lineRule="auto"/>
        <w:ind w:left="124" w:right="111"/>
        <w:jc w:val="both"/>
      </w:pPr>
      <w:r>
        <w:rPr>
          <w:color w:val="231F20"/>
          <w:w w:val="110"/>
        </w:rPr>
        <w:t>Considerar la percepción de los entrevistados respecto a la “duración” de sus trabajos (el tiempo de vida del micronegocio se podría decir)   implica</w:t>
      </w:r>
    </w:p>
    <w:p>
      <w:pPr>
        <w:spacing w:after="0" w:line="288" w:lineRule="auto"/>
        <w:jc w:val="both"/>
        <w:sectPr>
          <w:pgSz w:w="9520" w:h="12920"/>
          <w:pgMar w:header="0" w:footer="1344" w:top="880" w:bottom="1540" w:left="1320" w:right="1000"/>
        </w:sectPr>
      </w:pPr>
    </w:p>
    <w:p>
      <w:pPr>
        <w:pStyle w:val="BodyText"/>
        <w:spacing w:line="297" w:lineRule="auto" w:before="42"/>
        <w:ind w:left="26" w:right="117"/>
        <w:jc w:val="right"/>
      </w:pPr>
      <w:r>
        <w:rPr>
          <w:color w:val="231F20"/>
          <w:w w:val="110"/>
        </w:rPr>
        <w:t>introducir en el análisis la noción de incertidumbre, entendida desde el</w:t>
      </w:r>
      <w:r>
        <w:rPr>
          <w:color w:val="231F20"/>
          <w:w w:val="101"/>
        </w:rPr>
        <w:t> </w:t>
      </w:r>
      <w:r>
        <w:rPr>
          <w:color w:val="231F20"/>
          <w:w w:val="110"/>
        </w:rPr>
        <w:t>planteo de Filgueira “[…] con respecto al trabajo como vía principal de la</w:t>
      </w:r>
      <w:r>
        <w:rPr>
          <w:color w:val="231F20"/>
          <w:w w:val="106"/>
        </w:rPr>
        <w:t> </w:t>
      </w:r>
      <w:r>
        <w:rPr>
          <w:color w:val="231F20"/>
          <w:w w:val="110"/>
        </w:rPr>
        <w:t>construcción del futuro de las personas y de sus familias” (Filgueira, 2002).</w:t>
      </w:r>
      <w:r>
        <w:rPr>
          <w:color w:val="231F20"/>
          <w:w w:val="101"/>
        </w:rPr>
        <w:t> </w:t>
      </w:r>
      <w:r>
        <w:rPr>
          <w:color w:val="231F20"/>
          <w:w w:val="110"/>
        </w:rPr>
        <w:t>En este sentido, mientras que algunos trabajadores permanentemente</w:t>
      </w:r>
      <w:r>
        <w:rPr>
          <w:color w:val="231F20"/>
          <w:w w:val="108"/>
        </w:rPr>
        <w:t> </w:t>
      </w:r>
      <w:r>
        <w:rPr>
          <w:color w:val="231F20"/>
          <w:w w:val="110"/>
        </w:rPr>
        <w:t>plantean inquietud, y en ocasiones temor ante el futuro del negocio, hay</w:t>
      </w:r>
      <w:r>
        <w:rPr>
          <w:color w:val="231F20"/>
          <w:w w:val="108"/>
        </w:rPr>
        <w:t> </w:t>
      </w:r>
      <w:r>
        <w:rPr>
          <w:color w:val="231F20"/>
          <w:w w:val="110"/>
        </w:rPr>
        <w:t>otros que perciben la permanencia del negocio “hasta que se acabe” sin</w:t>
      </w:r>
      <w:r>
        <w:rPr>
          <w:color w:val="231F20"/>
          <w:w w:val="111"/>
        </w:rPr>
        <w:t> </w:t>
      </w:r>
      <w:r>
        <w:rPr>
          <w:color w:val="231F20"/>
          <w:w w:val="110"/>
        </w:rPr>
        <w:t>que el riesgo constituya un elemento en permanente discusión. No sólo</w:t>
      </w:r>
      <w:r>
        <w:rPr>
          <w:color w:val="231F20"/>
          <w:w w:val="108"/>
        </w:rPr>
        <w:t> </w:t>
      </w:r>
      <w:r>
        <w:rPr>
          <w:color w:val="231F20"/>
          <w:w w:val="110"/>
        </w:rPr>
        <w:t>eso, sino que aceptan el riesgo a cambio de las bondades que les ofrece   el</w:t>
      </w:r>
    </w:p>
    <w:p>
      <w:pPr>
        <w:pStyle w:val="BodyText"/>
        <w:spacing w:line="234" w:lineRule="exact"/>
        <w:ind w:left="100"/>
      </w:pPr>
      <w:r>
        <w:rPr>
          <w:color w:val="231F20"/>
          <w:w w:val="105"/>
        </w:rPr>
        <w:t>trabajo  por  cuenta  propia  (autonomía, independencia).</w:t>
      </w:r>
    </w:p>
    <w:p>
      <w:pPr>
        <w:pStyle w:val="BodyText"/>
        <w:spacing w:before="8"/>
      </w:pPr>
    </w:p>
    <w:p>
      <w:pPr>
        <w:spacing w:line="292" w:lineRule="auto" w:before="0"/>
        <w:ind w:left="460" w:right="119" w:firstLine="0"/>
        <w:jc w:val="both"/>
        <w:rPr>
          <w:sz w:val="18"/>
        </w:rPr>
      </w:pPr>
      <w:r>
        <w:rPr>
          <w:color w:val="231F20"/>
          <w:w w:val="110"/>
          <w:sz w:val="18"/>
        </w:rPr>
        <w:t>El</w:t>
      </w:r>
      <w:r>
        <w:rPr>
          <w:color w:val="231F20"/>
          <w:spacing w:val="-11"/>
          <w:w w:val="110"/>
          <w:sz w:val="18"/>
        </w:rPr>
        <w:t> </w:t>
      </w:r>
      <w:r>
        <w:rPr>
          <w:color w:val="231F20"/>
          <w:w w:val="110"/>
          <w:sz w:val="18"/>
        </w:rPr>
        <w:t>problema</w:t>
      </w:r>
      <w:r>
        <w:rPr>
          <w:color w:val="231F20"/>
          <w:spacing w:val="-11"/>
          <w:w w:val="110"/>
          <w:sz w:val="18"/>
        </w:rPr>
        <w:t> </w:t>
      </w:r>
      <w:r>
        <w:rPr>
          <w:color w:val="231F20"/>
          <w:w w:val="110"/>
          <w:sz w:val="18"/>
        </w:rPr>
        <w:t>de</w:t>
      </w:r>
      <w:r>
        <w:rPr>
          <w:color w:val="231F20"/>
          <w:spacing w:val="-11"/>
          <w:w w:val="110"/>
          <w:sz w:val="18"/>
        </w:rPr>
        <w:t> </w:t>
      </w:r>
      <w:r>
        <w:rPr>
          <w:color w:val="231F20"/>
          <w:w w:val="110"/>
          <w:sz w:val="18"/>
        </w:rPr>
        <w:t>trabajar</w:t>
      </w:r>
      <w:r>
        <w:rPr>
          <w:color w:val="231F20"/>
          <w:spacing w:val="-11"/>
          <w:w w:val="110"/>
          <w:sz w:val="18"/>
        </w:rPr>
        <w:t> </w:t>
      </w:r>
      <w:r>
        <w:rPr>
          <w:color w:val="231F20"/>
          <w:w w:val="110"/>
          <w:sz w:val="18"/>
        </w:rPr>
        <w:t>por</w:t>
      </w:r>
      <w:r>
        <w:rPr>
          <w:color w:val="231F20"/>
          <w:spacing w:val="-11"/>
          <w:w w:val="110"/>
          <w:sz w:val="18"/>
        </w:rPr>
        <w:t> </w:t>
      </w:r>
      <w:r>
        <w:rPr>
          <w:color w:val="231F20"/>
          <w:w w:val="110"/>
          <w:sz w:val="18"/>
        </w:rPr>
        <w:t>cuenta</w:t>
      </w:r>
      <w:r>
        <w:rPr>
          <w:color w:val="231F20"/>
          <w:spacing w:val="-11"/>
          <w:w w:val="110"/>
          <w:sz w:val="18"/>
        </w:rPr>
        <w:t> </w:t>
      </w:r>
      <w:r>
        <w:rPr>
          <w:color w:val="231F20"/>
          <w:w w:val="110"/>
          <w:sz w:val="18"/>
        </w:rPr>
        <w:t>de</w:t>
      </w:r>
      <w:r>
        <w:rPr>
          <w:color w:val="231F20"/>
          <w:spacing w:val="-11"/>
          <w:w w:val="110"/>
          <w:sz w:val="18"/>
        </w:rPr>
        <w:t> </w:t>
      </w:r>
      <w:r>
        <w:rPr>
          <w:color w:val="231F20"/>
          <w:w w:val="110"/>
          <w:sz w:val="18"/>
        </w:rPr>
        <w:t>uno</w:t>
      </w:r>
      <w:r>
        <w:rPr>
          <w:color w:val="231F20"/>
          <w:spacing w:val="-11"/>
          <w:w w:val="110"/>
          <w:sz w:val="18"/>
        </w:rPr>
        <w:t> </w:t>
      </w:r>
      <w:r>
        <w:rPr>
          <w:color w:val="231F20"/>
          <w:w w:val="110"/>
          <w:sz w:val="18"/>
        </w:rPr>
        <w:t>es</w:t>
      </w:r>
      <w:r>
        <w:rPr>
          <w:color w:val="231F20"/>
          <w:spacing w:val="-11"/>
          <w:w w:val="110"/>
          <w:sz w:val="18"/>
        </w:rPr>
        <w:t> </w:t>
      </w:r>
      <w:r>
        <w:rPr>
          <w:color w:val="231F20"/>
          <w:w w:val="110"/>
          <w:sz w:val="18"/>
        </w:rPr>
        <w:t>que</w:t>
      </w:r>
      <w:r>
        <w:rPr>
          <w:color w:val="231F20"/>
          <w:spacing w:val="-11"/>
          <w:w w:val="110"/>
          <w:sz w:val="18"/>
        </w:rPr>
        <w:t> </w:t>
      </w:r>
      <w:r>
        <w:rPr>
          <w:color w:val="231F20"/>
          <w:w w:val="110"/>
          <w:sz w:val="18"/>
        </w:rPr>
        <w:t>es</w:t>
      </w:r>
      <w:r>
        <w:rPr>
          <w:color w:val="231F20"/>
          <w:spacing w:val="-11"/>
          <w:w w:val="110"/>
          <w:sz w:val="18"/>
        </w:rPr>
        <w:t> </w:t>
      </w:r>
      <w:r>
        <w:rPr>
          <w:color w:val="231F20"/>
          <w:w w:val="110"/>
          <w:sz w:val="18"/>
        </w:rPr>
        <w:t>eso</w:t>
      </w:r>
      <w:r>
        <w:rPr>
          <w:color w:val="231F20"/>
          <w:spacing w:val="-11"/>
          <w:w w:val="110"/>
          <w:sz w:val="18"/>
        </w:rPr>
        <w:t> </w:t>
      </w:r>
      <w:r>
        <w:rPr>
          <w:color w:val="231F20"/>
          <w:w w:val="110"/>
          <w:sz w:val="18"/>
        </w:rPr>
        <w:t>precisamente,</w:t>
      </w:r>
      <w:r>
        <w:rPr>
          <w:color w:val="231F20"/>
          <w:spacing w:val="-11"/>
          <w:w w:val="110"/>
          <w:sz w:val="18"/>
        </w:rPr>
        <w:t> </w:t>
      </w:r>
      <w:r>
        <w:rPr>
          <w:color w:val="231F20"/>
          <w:w w:val="110"/>
          <w:sz w:val="18"/>
        </w:rPr>
        <w:t>depende de uno mismo y de nadie más […] y eso es un riesgo, porque está uno solo frente al mundo; este negocio hoy funciona bien y mañana quién sabe […] me da miedo sí, como no me va a dar miedo no poder garantizarme</w:t>
      </w:r>
      <w:r>
        <w:rPr>
          <w:color w:val="231F20"/>
          <w:spacing w:val="2"/>
          <w:w w:val="110"/>
          <w:sz w:val="18"/>
        </w:rPr>
        <w:t> </w:t>
      </w:r>
      <w:r>
        <w:rPr>
          <w:color w:val="231F20"/>
          <w:w w:val="110"/>
          <w:sz w:val="18"/>
        </w:rPr>
        <w:t>nada</w:t>
      </w:r>
      <w:r>
        <w:rPr>
          <w:color w:val="231F20"/>
          <w:spacing w:val="3"/>
          <w:w w:val="110"/>
          <w:sz w:val="18"/>
        </w:rPr>
        <w:t> </w:t>
      </w:r>
      <w:r>
        <w:rPr>
          <w:color w:val="231F20"/>
          <w:w w:val="110"/>
          <w:sz w:val="18"/>
        </w:rPr>
        <w:t>(propie-</w:t>
      </w:r>
      <w:r>
        <w:rPr>
          <w:color w:val="231F20"/>
          <w:w w:val="93"/>
          <w:sz w:val="18"/>
        </w:rPr>
        <w:t> </w:t>
      </w:r>
      <w:r>
        <w:rPr>
          <w:color w:val="231F20"/>
          <w:w w:val="110"/>
          <w:sz w:val="18"/>
        </w:rPr>
        <w:t>tario de cocina, 36</w:t>
      </w:r>
      <w:r>
        <w:rPr>
          <w:color w:val="231F20"/>
          <w:spacing w:val="10"/>
          <w:w w:val="110"/>
          <w:sz w:val="18"/>
        </w:rPr>
        <w:t> </w:t>
      </w:r>
      <w:r>
        <w:rPr>
          <w:color w:val="231F20"/>
          <w:w w:val="110"/>
          <w:sz w:val="18"/>
        </w:rPr>
        <w:t>años).</w:t>
      </w:r>
    </w:p>
    <w:p>
      <w:pPr>
        <w:spacing w:line="292" w:lineRule="auto" w:before="0"/>
        <w:ind w:left="460" w:right="117" w:firstLine="0"/>
        <w:jc w:val="both"/>
        <w:rPr>
          <w:sz w:val="18"/>
        </w:rPr>
      </w:pPr>
      <w:r>
        <w:rPr>
          <w:color w:val="231F20"/>
          <w:w w:val="110"/>
          <w:sz w:val="18"/>
        </w:rPr>
        <w:t>Hay que pensar en el día a día, uno que no nació negociante, no sabe calcular otra cosa que no sea lo de todos los días […] siempre pensamos que esto es hasta que se acabe, hasta lo que tenga que durar […] si nos metimos en esto </w:t>
      </w:r>
      <w:r>
        <w:rPr>
          <w:color w:val="231F20"/>
          <w:spacing w:val="43"/>
          <w:w w:val="110"/>
          <w:sz w:val="18"/>
        </w:rPr>
        <w:t> </w:t>
      </w:r>
      <w:r>
        <w:rPr>
          <w:color w:val="231F20"/>
          <w:w w:val="110"/>
          <w:sz w:val="18"/>
        </w:rPr>
        <w:t>es porque nos gusta el riesgo, ¿no? (risas) sabemos que es duro, pero es lo que nos gusta (propietario de taller mecánico, 52</w:t>
      </w:r>
      <w:r>
        <w:rPr>
          <w:color w:val="231F20"/>
          <w:spacing w:val="-8"/>
          <w:w w:val="110"/>
          <w:sz w:val="18"/>
        </w:rPr>
        <w:t> </w:t>
      </w:r>
      <w:r>
        <w:rPr>
          <w:color w:val="231F20"/>
          <w:w w:val="110"/>
          <w:sz w:val="18"/>
        </w:rPr>
        <w:t>años).</w:t>
      </w:r>
    </w:p>
    <w:p>
      <w:pPr>
        <w:pStyle w:val="BodyText"/>
        <w:spacing w:before="7"/>
        <w:rPr>
          <w:sz w:val="21"/>
        </w:rPr>
      </w:pPr>
    </w:p>
    <w:p>
      <w:pPr>
        <w:pStyle w:val="BodyText"/>
        <w:spacing w:line="297" w:lineRule="auto"/>
        <w:ind w:left="100" w:right="117" w:firstLine="360"/>
        <w:jc w:val="right"/>
      </w:pPr>
      <w:r>
        <w:rPr>
          <w:color w:val="231F20"/>
          <w:spacing w:val="2"/>
          <w:w w:val="110"/>
        </w:rPr>
        <w:t>Posiblemente </w:t>
      </w:r>
      <w:r>
        <w:rPr>
          <w:color w:val="231F20"/>
          <w:w w:val="110"/>
        </w:rPr>
        <w:t>una de las </w:t>
      </w:r>
      <w:r>
        <w:rPr>
          <w:color w:val="231F20"/>
          <w:spacing w:val="2"/>
          <w:w w:val="110"/>
        </w:rPr>
        <w:t>principales diferencias </w:t>
      </w:r>
      <w:r>
        <w:rPr>
          <w:color w:val="231F20"/>
          <w:w w:val="110"/>
        </w:rPr>
        <w:t>que</w:t>
      </w:r>
      <w:r>
        <w:rPr>
          <w:color w:val="231F20"/>
          <w:spacing w:val="24"/>
          <w:w w:val="110"/>
        </w:rPr>
        <w:t> </w:t>
      </w:r>
      <w:r>
        <w:rPr>
          <w:color w:val="231F20"/>
          <w:w w:val="110"/>
        </w:rPr>
        <w:t>se</w:t>
      </w:r>
      <w:r>
        <w:rPr>
          <w:color w:val="231F20"/>
          <w:spacing w:val="32"/>
          <w:w w:val="110"/>
        </w:rPr>
        <w:t> </w:t>
      </w:r>
      <w:r>
        <w:rPr>
          <w:color w:val="231F20"/>
          <w:spacing w:val="2"/>
          <w:w w:val="110"/>
        </w:rPr>
        <w:t>encuentran</w:t>
      </w:r>
      <w:r>
        <w:rPr>
          <w:color w:val="231F20"/>
          <w:w w:val="111"/>
        </w:rPr>
        <w:t> </w:t>
      </w:r>
      <w:r>
        <w:rPr>
          <w:color w:val="231F20"/>
          <w:spacing w:val="2"/>
          <w:w w:val="110"/>
        </w:rPr>
        <w:t>entre </w:t>
      </w:r>
      <w:r>
        <w:rPr>
          <w:color w:val="231F20"/>
          <w:w w:val="110"/>
        </w:rPr>
        <w:t>los </w:t>
      </w:r>
      <w:r>
        <w:rPr>
          <w:color w:val="231F20"/>
          <w:spacing w:val="2"/>
          <w:w w:val="110"/>
        </w:rPr>
        <w:t>distintos trabajadores entrevistados </w:t>
      </w:r>
      <w:r>
        <w:rPr>
          <w:color w:val="231F20"/>
          <w:w w:val="110"/>
        </w:rPr>
        <w:t>sea </w:t>
      </w:r>
      <w:r>
        <w:rPr>
          <w:color w:val="231F20"/>
          <w:spacing w:val="2"/>
          <w:w w:val="110"/>
        </w:rPr>
        <w:t>precisamente</w:t>
      </w:r>
      <w:r>
        <w:rPr>
          <w:color w:val="231F20"/>
          <w:spacing w:val="21"/>
          <w:w w:val="110"/>
        </w:rPr>
        <w:t> </w:t>
      </w:r>
      <w:r>
        <w:rPr>
          <w:color w:val="231F20"/>
          <w:spacing w:val="2"/>
          <w:w w:val="110"/>
        </w:rPr>
        <w:t>ésta,</w:t>
      </w:r>
      <w:r>
        <w:rPr>
          <w:color w:val="231F20"/>
          <w:spacing w:val="25"/>
          <w:w w:val="110"/>
        </w:rPr>
        <w:t> </w:t>
      </w:r>
      <w:r>
        <w:rPr>
          <w:color w:val="231F20"/>
          <w:w w:val="110"/>
        </w:rPr>
        <w:t>la</w:t>
      </w:r>
      <w:r>
        <w:rPr>
          <w:color w:val="231F20"/>
          <w:w w:val="108"/>
        </w:rPr>
        <w:t> </w:t>
      </w:r>
      <w:r>
        <w:rPr>
          <w:color w:val="231F20"/>
          <w:w w:val="110"/>
        </w:rPr>
        <w:t>percepción del riesgo asociada a la seguridad de lo que ya se ha logrado</w:t>
      </w:r>
      <w:r>
        <w:rPr>
          <w:color w:val="231F20"/>
          <w:spacing w:val="7"/>
          <w:w w:val="110"/>
        </w:rPr>
        <w:t> </w:t>
      </w:r>
      <w:r>
        <w:rPr>
          <w:color w:val="231F20"/>
          <w:w w:val="110"/>
        </w:rPr>
        <w:t>y</w:t>
      </w:r>
      <w:r>
        <w:rPr>
          <w:color w:val="231F20"/>
          <w:w w:val="108"/>
        </w:rPr>
        <w:t> </w:t>
      </w:r>
      <w:r>
        <w:rPr>
          <w:color w:val="231F20"/>
          <w:w w:val="110"/>
        </w:rPr>
        <w:t>a</w:t>
      </w:r>
      <w:r>
        <w:rPr>
          <w:color w:val="231F20"/>
          <w:spacing w:val="-17"/>
          <w:w w:val="110"/>
        </w:rPr>
        <w:t> </w:t>
      </w:r>
      <w:r>
        <w:rPr>
          <w:color w:val="231F20"/>
          <w:w w:val="110"/>
        </w:rPr>
        <w:t>la</w:t>
      </w:r>
      <w:r>
        <w:rPr>
          <w:color w:val="231F20"/>
          <w:spacing w:val="-17"/>
          <w:w w:val="110"/>
        </w:rPr>
        <w:t> </w:t>
      </w:r>
      <w:r>
        <w:rPr>
          <w:color w:val="231F20"/>
          <w:w w:val="110"/>
        </w:rPr>
        <w:t>certidumbre</w:t>
      </w:r>
      <w:r>
        <w:rPr>
          <w:color w:val="231F20"/>
          <w:spacing w:val="-17"/>
          <w:w w:val="110"/>
        </w:rPr>
        <w:t> </w:t>
      </w:r>
      <w:r>
        <w:rPr>
          <w:color w:val="231F20"/>
          <w:w w:val="110"/>
        </w:rPr>
        <w:t>respecto</w:t>
      </w:r>
      <w:r>
        <w:rPr>
          <w:color w:val="231F20"/>
          <w:spacing w:val="-17"/>
          <w:w w:val="110"/>
        </w:rPr>
        <w:t> </w:t>
      </w:r>
      <w:r>
        <w:rPr>
          <w:color w:val="231F20"/>
          <w:w w:val="110"/>
        </w:rPr>
        <w:t>al</w:t>
      </w:r>
      <w:r>
        <w:rPr>
          <w:color w:val="231F20"/>
          <w:spacing w:val="-17"/>
          <w:w w:val="110"/>
        </w:rPr>
        <w:t> </w:t>
      </w:r>
      <w:r>
        <w:rPr>
          <w:color w:val="231F20"/>
          <w:w w:val="110"/>
        </w:rPr>
        <w:t>futuro,</w:t>
      </w:r>
      <w:r>
        <w:rPr>
          <w:color w:val="231F20"/>
          <w:spacing w:val="-17"/>
          <w:w w:val="110"/>
        </w:rPr>
        <w:t> </w:t>
      </w:r>
      <w:r>
        <w:rPr>
          <w:color w:val="231F20"/>
          <w:w w:val="110"/>
        </w:rPr>
        <w:t>y</w:t>
      </w:r>
      <w:r>
        <w:rPr>
          <w:color w:val="231F20"/>
          <w:spacing w:val="-17"/>
          <w:w w:val="110"/>
        </w:rPr>
        <w:t> </w:t>
      </w:r>
      <w:r>
        <w:rPr>
          <w:color w:val="231F20"/>
          <w:w w:val="110"/>
        </w:rPr>
        <w:t>en</w:t>
      </w:r>
      <w:r>
        <w:rPr>
          <w:color w:val="231F20"/>
          <w:spacing w:val="-17"/>
          <w:w w:val="110"/>
        </w:rPr>
        <w:t> </w:t>
      </w:r>
      <w:r>
        <w:rPr>
          <w:color w:val="231F20"/>
          <w:w w:val="110"/>
        </w:rPr>
        <w:t>relación</w:t>
      </w:r>
      <w:r>
        <w:rPr>
          <w:color w:val="231F20"/>
          <w:spacing w:val="-17"/>
          <w:w w:val="110"/>
        </w:rPr>
        <w:t> </w:t>
      </w:r>
      <w:r>
        <w:rPr>
          <w:color w:val="231F20"/>
          <w:w w:val="110"/>
        </w:rPr>
        <w:t>con</w:t>
      </w:r>
      <w:r>
        <w:rPr>
          <w:color w:val="231F20"/>
          <w:spacing w:val="-17"/>
          <w:w w:val="110"/>
        </w:rPr>
        <w:t> </w:t>
      </w:r>
      <w:r>
        <w:rPr>
          <w:color w:val="231F20"/>
          <w:w w:val="110"/>
        </w:rPr>
        <w:t>la</w:t>
      </w:r>
      <w:r>
        <w:rPr>
          <w:color w:val="231F20"/>
          <w:spacing w:val="-17"/>
          <w:w w:val="110"/>
        </w:rPr>
        <w:t> </w:t>
      </w:r>
      <w:r>
        <w:rPr>
          <w:color w:val="231F20"/>
          <w:w w:val="110"/>
        </w:rPr>
        <w:t>dificultad</w:t>
      </w:r>
      <w:r>
        <w:rPr>
          <w:color w:val="231F20"/>
          <w:spacing w:val="-17"/>
          <w:w w:val="110"/>
        </w:rPr>
        <w:t> </w:t>
      </w:r>
      <w:r>
        <w:rPr>
          <w:color w:val="231F20"/>
          <w:w w:val="110"/>
        </w:rPr>
        <w:t>de</w:t>
      </w:r>
      <w:r>
        <w:rPr>
          <w:color w:val="231F20"/>
          <w:spacing w:val="-17"/>
          <w:w w:val="110"/>
        </w:rPr>
        <w:t> </w:t>
      </w:r>
      <w:r>
        <w:rPr>
          <w:color w:val="231F20"/>
          <w:w w:val="110"/>
        </w:rPr>
        <w:t>generar</w:t>
      </w:r>
      <w:r>
        <w:rPr>
          <w:color w:val="231F20"/>
          <w:w w:val="105"/>
        </w:rPr>
        <w:t> </w:t>
      </w:r>
      <w:r>
        <w:rPr>
          <w:color w:val="231F20"/>
          <w:w w:val="110"/>
        </w:rPr>
        <w:t>nuevos y diferentes escenarios para desarrollar el trabajo. Sin</w:t>
      </w:r>
      <w:r>
        <w:rPr>
          <w:color w:val="231F20"/>
          <w:spacing w:val="24"/>
          <w:w w:val="110"/>
        </w:rPr>
        <w:t> </w:t>
      </w:r>
      <w:r>
        <w:rPr>
          <w:color w:val="231F20"/>
          <w:w w:val="110"/>
        </w:rPr>
        <w:t>embargo,</w:t>
      </w:r>
      <w:r>
        <w:rPr>
          <w:color w:val="231F20"/>
          <w:spacing w:val="8"/>
          <w:w w:val="110"/>
        </w:rPr>
        <w:t> </w:t>
      </w:r>
      <w:r>
        <w:rPr>
          <w:color w:val="231F20"/>
          <w:w w:val="110"/>
        </w:rPr>
        <w:t>y</w:t>
      </w:r>
      <w:r>
        <w:rPr>
          <w:color w:val="231F20"/>
          <w:w w:val="108"/>
        </w:rPr>
        <w:t> </w:t>
      </w:r>
      <w:r>
        <w:rPr>
          <w:color w:val="231F20"/>
          <w:w w:val="110"/>
        </w:rPr>
        <w:t>a</w:t>
      </w:r>
      <w:r>
        <w:rPr>
          <w:color w:val="231F20"/>
          <w:spacing w:val="30"/>
          <w:w w:val="110"/>
        </w:rPr>
        <w:t> </w:t>
      </w:r>
      <w:r>
        <w:rPr>
          <w:color w:val="231F20"/>
          <w:w w:val="110"/>
        </w:rPr>
        <w:t>pesar</w:t>
      </w:r>
      <w:r>
        <w:rPr>
          <w:color w:val="231F20"/>
          <w:spacing w:val="30"/>
          <w:w w:val="110"/>
        </w:rPr>
        <w:t> </w:t>
      </w:r>
      <w:r>
        <w:rPr>
          <w:color w:val="231F20"/>
          <w:w w:val="110"/>
        </w:rPr>
        <w:t>de</w:t>
      </w:r>
      <w:r>
        <w:rPr>
          <w:color w:val="231F20"/>
          <w:spacing w:val="30"/>
          <w:w w:val="110"/>
        </w:rPr>
        <w:t> </w:t>
      </w:r>
      <w:r>
        <w:rPr>
          <w:color w:val="231F20"/>
          <w:w w:val="110"/>
        </w:rPr>
        <w:t>las</w:t>
      </w:r>
      <w:r>
        <w:rPr>
          <w:color w:val="231F20"/>
          <w:spacing w:val="30"/>
          <w:w w:val="110"/>
        </w:rPr>
        <w:t> </w:t>
      </w:r>
      <w:r>
        <w:rPr>
          <w:color w:val="231F20"/>
          <w:w w:val="110"/>
        </w:rPr>
        <w:t>diferentes</w:t>
      </w:r>
      <w:r>
        <w:rPr>
          <w:color w:val="231F20"/>
          <w:spacing w:val="30"/>
          <w:w w:val="110"/>
        </w:rPr>
        <w:t> </w:t>
      </w:r>
      <w:r>
        <w:rPr>
          <w:color w:val="231F20"/>
          <w:w w:val="110"/>
        </w:rPr>
        <w:t>formas</w:t>
      </w:r>
      <w:r>
        <w:rPr>
          <w:color w:val="231F20"/>
          <w:spacing w:val="30"/>
          <w:w w:val="110"/>
        </w:rPr>
        <w:t> </w:t>
      </w:r>
      <w:r>
        <w:rPr>
          <w:color w:val="231F20"/>
          <w:w w:val="110"/>
        </w:rPr>
        <w:t>de</w:t>
      </w:r>
      <w:r>
        <w:rPr>
          <w:color w:val="231F20"/>
          <w:spacing w:val="30"/>
          <w:w w:val="110"/>
        </w:rPr>
        <w:t> </w:t>
      </w:r>
      <w:r>
        <w:rPr>
          <w:color w:val="231F20"/>
          <w:w w:val="110"/>
        </w:rPr>
        <w:t>percibir</w:t>
      </w:r>
      <w:r>
        <w:rPr>
          <w:color w:val="231F20"/>
          <w:spacing w:val="30"/>
          <w:w w:val="110"/>
        </w:rPr>
        <w:t> </w:t>
      </w:r>
      <w:r>
        <w:rPr>
          <w:color w:val="231F20"/>
          <w:w w:val="110"/>
        </w:rPr>
        <w:t>el</w:t>
      </w:r>
      <w:r>
        <w:rPr>
          <w:color w:val="231F20"/>
          <w:spacing w:val="30"/>
          <w:w w:val="110"/>
        </w:rPr>
        <w:t> </w:t>
      </w:r>
      <w:r>
        <w:rPr>
          <w:color w:val="231F20"/>
          <w:w w:val="110"/>
        </w:rPr>
        <w:t>riesgo,</w:t>
      </w:r>
      <w:r>
        <w:rPr>
          <w:color w:val="231F20"/>
          <w:spacing w:val="30"/>
          <w:w w:val="110"/>
        </w:rPr>
        <w:t> </w:t>
      </w:r>
      <w:r>
        <w:rPr>
          <w:color w:val="231F20"/>
          <w:w w:val="110"/>
        </w:rPr>
        <w:t>los</w:t>
      </w:r>
      <w:r>
        <w:rPr>
          <w:color w:val="231F20"/>
          <w:spacing w:val="30"/>
          <w:w w:val="110"/>
        </w:rPr>
        <w:t> </w:t>
      </w:r>
      <w:r>
        <w:rPr>
          <w:color w:val="231F20"/>
          <w:w w:val="110"/>
        </w:rPr>
        <w:t>entrevistados</w:t>
      </w:r>
      <w:r>
        <w:rPr>
          <w:color w:val="231F20"/>
          <w:w w:val="118"/>
        </w:rPr>
        <w:t> </w:t>
      </w:r>
      <w:r>
        <w:rPr>
          <w:color w:val="231F20"/>
          <w:w w:val="110"/>
        </w:rPr>
        <w:t>reconocen</w:t>
      </w:r>
      <w:r>
        <w:rPr>
          <w:color w:val="231F20"/>
          <w:spacing w:val="-4"/>
          <w:w w:val="110"/>
        </w:rPr>
        <w:t> </w:t>
      </w:r>
      <w:r>
        <w:rPr>
          <w:color w:val="231F20"/>
          <w:w w:val="110"/>
        </w:rPr>
        <w:t>en</w:t>
      </w:r>
      <w:r>
        <w:rPr>
          <w:color w:val="231F20"/>
          <w:spacing w:val="-4"/>
          <w:w w:val="110"/>
        </w:rPr>
        <w:t> </w:t>
      </w:r>
      <w:r>
        <w:rPr>
          <w:color w:val="231F20"/>
          <w:w w:val="110"/>
        </w:rPr>
        <w:t>la</w:t>
      </w:r>
      <w:r>
        <w:rPr>
          <w:color w:val="231F20"/>
          <w:spacing w:val="-4"/>
          <w:w w:val="110"/>
        </w:rPr>
        <w:t> </w:t>
      </w:r>
      <w:r>
        <w:rPr>
          <w:color w:val="231F20"/>
          <w:w w:val="110"/>
        </w:rPr>
        <w:t>familia</w:t>
      </w:r>
      <w:r>
        <w:rPr>
          <w:color w:val="231F20"/>
          <w:spacing w:val="-4"/>
          <w:w w:val="110"/>
        </w:rPr>
        <w:t> </w:t>
      </w:r>
      <w:r>
        <w:rPr>
          <w:color w:val="231F20"/>
          <w:w w:val="110"/>
        </w:rPr>
        <w:t>un</w:t>
      </w:r>
      <w:r>
        <w:rPr>
          <w:color w:val="231F20"/>
          <w:spacing w:val="-4"/>
          <w:w w:val="110"/>
        </w:rPr>
        <w:t> </w:t>
      </w:r>
      <w:r>
        <w:rPr>
          <w:color w:val="231F20"/>
          <w:w w:val="110"/>
        </w:rPr>
        <w:t>elemento</w:t>
      </w:r>
      <w:r>
        <w:rPr>
          <w:color w:val="231F20"/>
          <w:spacing w:val="-4"/>
          <w:w w:val="110"/>
        </w:rPr>
        <w:t> </w:t>
      </w:r>
      <w:r>
        <w:rPr>
          <w:color w:val="231F20"/>
          <w:w w:val="110"/>
        </w:rPr>
        <w:t>de</w:t>
      </w:r>
      <w:r>
        <w:rPr>
          <w:color w:val="231F20"/>
          <w:spacing w:val="-4"/>
          <w:w w:val="110"/>
        </w:rPr>
        <w:t> </w:t>
      </w:r>
      <w:r>
        <w:rPr>
          <w:color w:val="231F20"/>
          <w:w w:val="110"/>
        </w:rPr>
        <w:t>importancia</w:t>
      </w:r>
      <w:r>
        <w:rPr>
          <w:color w:val="231F20"/>
          <w:spacing w:val="-4"/>
          <w:w w:val="110"/>
        </w:rPr>
        <w:t> </w:t>
      </w:r>
      <w:r>
        <w:rPr>
          <w:color w:val="231F20"/>
          <w:w w:val="110"/>
        </w:rPr>
        <w:t>para</w:t>
      </w:r>
      <w:r>
        <w:rPr>
          <w:color w:val="231F20"/>
          <w:spacing w:val="-4"/>
          <w:w w:val="110"/>
        </w:rPr>
        <w:t> </w:t>
      </w:r>
      <w:r>
        <w:rPr>
          <w:color w:val="231F20"/>
          <w:w w:val="110"/>
        </w:rPr>
        <w:t>enfrentar</w:t>
      </w:r>
      <w:r>
        <w:rPr>
          <w:color w:val="231F20"/>
          <w:spacing w:val="-4"/>
          <w:w w:val="110"/>
        </w:rPr>
        <w:t> </w:t>
      </w:r>
      <w:r>
        <w:rPr>
          <w:color w:val="231F20"/>
          <w:w w:val="110"/>
        </w:rPr>
        <w:t>la</w:t>
      </w:r>
      <w:r>
        <w:rPr>
          <w:color w:val="231F20"/>
          <w:spacing w:val="-4"/>
          <w:w w:val="110"/>
        </w:rPr>
        <w:t> </w:t>
      </w:r>
      <w:r>
        <w:rPr>
          <w:color w:val="231F20"/>
          <w:w w:val="110"/>
        </w:rPr>
        <w:t>inse-</w:t>
      </w:r>
      <w:r>
        <w:rPr>
          <w:color w:val="231F20"/>
          <w:w w:val="93"/>
        </w:rPr>
        <w:t> </w:t>
      </w:r>
      <w:r>
        <w:rPr>
          <w:color w:val="231F20"/>
          <w:w w:val="110"/>
        </w:rPr>
        <w:t>guridad</w:t>
      </w:r>
      <w:r>
        <w:rPr>
          <w:color w:val="231F20"/>
          <w:spacing w:val="-16"/>
          <w:w w:val="110"/>
        </w:rPr>
        <w:t> </w:t>
      </w:r>
      <w:r>
        <w:rPr>
          <w:color w:val="231F20"/>
          <w:w w:val="110"/>
        </w:rPr>
        <w:t>y</w:t>
      </w:r>
      <w:r>
        <w:rPr>
          <w:color w:val="231F20"/>
          <w:spacing w:val="-16"/>
          <w:w w:val="110"/>
        </w:rPr>
        <w:t> </w:t>
      </w:r>
      <w:r>
        <w:rPr>
          <w:color w:val="231F20"/>
          <w:w w:val="110"/>
        </w:rPr>
        <w:t>la</w:t>
      </w:r>
      <w:r>
        <w:rPr>
          <w:color w:val="231F20"/>
          <w:spacing w:val="-16"/>
          <w:w w:val="110"/>
        </w:rPr>
        <w:t> </w:t>
      </w:r>
      <w:r>
        <w:rPr>
          <w:color w:val="231F20"/>
          <w:w w:val="110"/>
        </w:rPr>
        <w:t>incertidumbre,</w:t>
      </w:r>
      <w:r>
        <w:rPr>
          <w:color w:val="231F20"/>
          <w:spacing w:val="-16"/>
          <w:w w:val="110"/>
        </w:rPr>
        <w:t> </w:t>
      </w:r>
      <w:r>
        <w:rPr>
          <w:color w:val="231F20"/>
          <w:w w:val="110"/>
        </w:rPr>
        <w:t>aunque</w:t>
      </w:r>
      <w:r>
        <w:rPr>
          <w:color w:val="231F20"/>
          <w:spacing w:val="-16"/>
          <w:w w:val="110"/>
        </w:rPr>
        <w:t> </w:t>
      </w:r>
      <w:r>
        <w:rPr>
          <w:color w:val="231F20"/>
          <w:w w:val="110"/>
        </w:rPr>
        <w:t>con</w:t>
      </w:r>
      <w:r>
        <w:rPr>
          <w:color w:val="231F20"/>
          <w:spacing w:val="-16"/>
          <w:w w:val="110"/>
        </w:rPr>
        <w:t> </w:t>
      </w:r>
      <w:r>
        <w:rPr>
          <w:color w:val="231F20"/>
          <w:w w:val="110"/>
        </w:rPr>
        <w:t>matices,</w:t>
      </w:r>
      <w:r>
        <w:rPr>
          <w:color w:val="231F20"/>
          <w:spacing w:val="-16"/>
          <w:w w:val="110"/>
        </w:rPr>
        <w:t> </w:t>
      </w:r>
      <w:r>
        <w:rPr>
          <w:color w:val="231F20"/>
          <w:w w:val="110"/>
        </w:rPr>
        <w:t>como</w:t>
      </w:r>
      <w:r>
        <w:rPr>
          <w:color w:val="231F20"/>
          <w:spacing w:val="-16"/>
          <w:w w:val="110"/>
        </w:rPr>
        <w:t> </w:t>
      </w:r>
      <w:r>
        <w:rPr>
          <w:color w:val="231F20"/>
          <w:w w:val="110"/>
        </w:rPr>
        <w:t>se</w:t>
      </w:r>
      <w:r>
        <w:rPr>
          <w:color w:val="231F20"/>
          <w:spacing w:val="-16"/>
          <w:w w:val="110"/>
        </w:rPr>
        <w:t> </w:t>
      </w:r>
      <w:r>
        <w:rPr>
          <w:color w:val="231F20"/>
          <w:w w:val="110"/>
        </w:rPr>
        <w:t>verá</w:t>
      </w:r>
      <w:r>
        <w:rPr>
          <w:color w:val="231F20"/>
          <w:spacing w:val="-16"/>
          <w:w w:val="110"/>
        </w:rPr>
        <w:t> </w:t>
      </w:r>
      <w:r>
        <w:rPr>
          <w:color w:val="231F20"/>
          <w:w w:val="110"/>
        </w:rPr>
        <w:t>más</w:t>
      </w:r>
      <w:r>
        <w:rPr>
          <w:color w:val="231F20"/>
          <w:spacing w:val="-16"/>
          <w:w w:val="110"/>
        </w:rPr>
        <w:t> </w:t>
      </w:r>
      <w:r>
        <w:rPr>
          <w:color w:val="231F20"/>
          <w:w w:val="110"/>
        </w:rPr>
        <w:t>adelante.</w:t>
      </w:r>
    </w:p>
    <w:p>
      <w:pPr>
        <w:pStyle w:val="BodyText"/>
        <w:spacing w:line="297" w:lineRule="auto"/>
        <w:ind w:left="100" w:right="113" w:firstLine="360"/>
        <w:jc w:val="both"/>
      </w:pPr>
      <w:r>
        <w:rPr>
          <w:color w:val="231F20"/>
          <w:w w:val="110"/>
        </w:rPr>
        <w:t>Entre los entrevistados se encuentran trabajadores que perciben que el riesgo radica en no poder mantener un puesto de trabajo para ellos y en muchos casos, tampoco para los integrantes de su unidad doméstica. Para estas personas el núcleo de la inseguridad está en las propias condiciones en las que desarrollan su trabajo y en la imposibilidad de ejercer poder sobre esas condiciones, no poder controlar el trabajo: “este negocio hoy funciona bien y mañana quién  sabe”.</w:t>
      </w:r>
    </w:p>
    <w:p>
      <w:pPr>
        <w:spacing w:after="0" w:line="297" w:lineRule="auto"/>
        <w:jc w:val="both"/>
        <w:sectPr>
          <w:footerReference w:type="even" r:id="rId31"/>
          <w:footerReference w:type="default" r:id="rId32"/>
          <w:pgSz w:w="9520" w:h="12920"/>
          <w:pgMar w:footer="1344" w:header="0" w:top="880" w:bottom="1540" w:left="1020" w:right="1320"/>
        </w:sectPr>
      </w:pPr>
    </w:p>
    <w:p>
      <w:pPr>
        <w:pStyle w:val="BodyText"/>
        <w:spacing w:line="288" w:lineRule="auto" w:before="42"/>
        <w:ind w:left="124" w:right="113" w:firstLine="360"/>
        <w:jc w:val="both"/>
      </w:pPr>
      <w:r>
        <w:rPr>
          <w:color w:val="231F20"/>
          <w:w w:val="110"/>
        </w:rPr>
        <w:t>Sin embargo, hay otros trabajadores que manejan un discurso en el cual reconocen que este tipo de actividad laboral por cuenta propia es por sí misma un riesgo que ellos decidieron asumir. El trabajo en el microne- gocio constituye una fuente de autonomía que provee de satisfacción al punto de mantenerse en esa actividad más allá de lo riesgosa que sea: “si nos metimos en esto es porque nos gusta el   riesgo”.</w:t>
      </w:r>
    </w:p>
    <w:p>
      <w:pPr>
        <w:pStyle w:val="BodyText"/>
        <w:spacing w:line="288" w:lineRule="auto"/>
        <w:ind w:left="124" w:right="113" w:firstLine="360"/>
        <w:jc w:val="both"/>
      </w:pPr>
      <w:r>
        <w:rPr>
          <w:color w:val="231F20"/>
          <w:w w:val="110"/>
        </w:rPr>
        <w:t>Así como el riesgo se percibe de diferente manera, también son distin- tas las situaciones que generan inseguridad y temor en los   negocios.</w:t>
      </w:r>
    </w:p>
    <w:p>
      <w:pPr>
        <w:pStyle w:val="BodyText"/>
        <w:spacing w:line="288" w:lineRule="auto"/>
        <w:ind w:left="124" w:right="112" w:firstLine="360"/>
        <w:jc w:val="both"/>
      </w:pPr>
      <w:r>
        <w:rPr>
          <w:color w:val="231F20"/>
          <w:w w:val="110"/>
        </w:rPr>
        <w:t>“¿Qué lo hace inestable?, y bueno, muchas cosas; si la gente no tiene dinero no va a meterle al carro, por decir, si se rompe y no tengo, lo dejo parado hasta que pueda, y viajo en metro, ¿eso a quién perjudica?, a noso- tros, a todos los que estamos esperando que ese carrito se descomponga” (propietario de taller mecánico, 37 años).</w:t>
      </w:r>
    </w:p>
    <w:p>
      <w:pPr>
        <w:pStyle w:val="BodyText"/>
        <w:spacing w:line="288" w:lineRule="auto"/>
        <w:ind w:left="124" w:right="113" w:firstLine="360"/>
        <w:jc w:val="both"/>
      </w:pPr>
      <w:r>
        <w:rPr>
          <w:color w:val="231F20"/>
          <w:w w:val="110"/>
        </w:rPr>
        <w:t>“Aquí el problema grande es la situación del país que cada vez está </w:t>
      </w:r>
      <w:r>
        <w:rPr>
          <w:color w:val="231F20"/>
          <w:spacing w:val="-7"/>
          <w:w w:val="110"/>
        </w:rPr>
        <w:t>peor, </w:t>
      </w:r>
      <w:r>
        <w:rPr>
          <w:color w:val="231F20"/>
          <w:w w:val="110"/>
        </w:rPr>
        <w:t>la </w:t>
      </w:r>
      <w:r>
        <w:rPr>
          <w:color w:val="231F20"/>
          <w:spacing w:val="-4"/>
          <w:w w:val="110"/>
        </w:rPr>
        <w:t>situación económica </w:t>
      </w:r>
      <w:r>
        <w:rPr>
          <w:color w:val="231F20"/>
          <w:spacing w:val="-3"/>
          <w:w w:val="110"/>
        </w:rPr>
        <w:t>[…] eso hace que </w:t>
      </w:r>
      <w:r>
        <w:rPr>
          <w:color w:val="231F20"/>
          <w:w w:val="110"/>
        </w:rPr>
        <w:t>no </w:t>
      </w:r>
      <w:r>
        <w:rPr>
          <w:color w:val="231F20"/>
          <w:spacing w:val="-3"/>
          <w:w w:val="110"/>
        </w:rPr>
        <w:t>haya </w:t>
      </w:r>
      <w:r>
        <w:rPr>
          <w:color w:val="231F20"/>
          <w:spacing w:val="-4"/>
          <w:w w:val="110"/>
        </w:rPr>
        <w:t>forma </w:t>
      </w:r>
      <w:r>
        <w:rPr>
          <w:color w:val="231F20"/>
          <w:w w:val="110"/>
        </w:rPr>
        <w:t>de </w:t>
      </w:r>
      <w:r>
        <w:rPr>
          <w:color w:val="231F20"/>
          <w:spacing w:val="-3"/>
          <w:w w:val="110"/>
        </w:rPr>
        <w:t>que </w:t>
      </w:r>
      <w:r>
        <w:rPr>
          <w:color w:val="231F20"/>
          <w:w w:val="110"/>
        </w:rPr>
        <w:t>la </w:t>
      </w:r>
      <w:r>
        <w:rPr>
          <w:color w:val="231F20"/>
          <w:spacing w:val="-4"/>
          <w:w w:val="110"/>
        </w:rPr>
        <w:t>gente </w:t>
      </w:r>
      <w:r>
        <w:rPr>
          <w:color w:val="231F20"/>
          <w:w w:val="110"/>
        </w:rPr>
        <w:t>salga adelante, que uno salga adelante, porque la situación está cada vez más difícil” (esposa de propietario de cocina, 39 años).</w:t>
      </w:r>
    </w:p>
    <w:p>
      <w:pPr>
        <w:pStyle w:val="BodyText"/>
        <w:spacing w:line="288" w:lineRule="auto"/>
        <w:ind w:left="124" w:right="111" w:firstLine="360"/>
        <w:jc w:val="both"/>
      </w:pPr>
      <w:r>
        <w:rPr>
          <w:color w:val="231F20"/>
          <w:w w:val="110"/>
        </w:rPr>
        <w:t>Nuevamente se hace presente en este grupo de trabajadores la rela- ción directa entre el trabajo y los ingresos que éste genera, en la medida en que los riesgos se reconocen a partir de la ausencia de ingresos al</w:t>
      </w:r>
      <w:r>
        <w:rPr>
          <w:color w:val="231F20"/>
          <w:spacing w:val="-18"/>
          <w:w w:val="110"/>
        </w:rPr>
        <w:t> </w:t>
      </w:r>
      <w:r>
        <w:rPr>
          <w:color w:val="231F20"/>
          <w:w w:val="110"/>
        </w:rPr>
        <w:t>nego- cio. Por otra parte, también se hace evidente un rasgo señalado anterior- mente: la incapacidad percibida en estos trabajadores de controlar su tra- bajo y las situaciones que de él se derivan. Esta falta de control lleva a percibir</w:t>
      </w:r>
      <w:r>
        <w:rPr>
          <w:color w:val="231F20"/>
          <w:spacing w:val="-5"/>
          <w:w w:val="110"/>
        </w:rPr>
        <w:t> </w:t>
      </w:r>
      <w:r>
        <w:rPr>
          <w:color w:val="231F20"/>
          <w:w w:val="110"/>
        </w:rPr>
        <w:t>el</w:t>
      </w:r>
      <w:r>
        <w:rPr>
          <w:color w:val="231F20"/>
          <w:spacing w:val="-5"/>
          <w:w w:val="110"/>
        </w:rPr>
        <w:t> </w:t>
      </w:r>
      <w:r>
        <w:rPr>
          <w:color w:val="231F20"/>
          <w:w w:val="110"/>
        </w:rPr>
        <w:t>riesgo</w:t>
      </w:r>
      <w:r>
        <w:rPr>
          <w:color w:val="231F20"/>
          <w:spacing w:val="-5"/>
          <w:w w:val="110"/>
        </w:rPr>
        <w:t> </w:t>
      </w:r>
      <w:r>
        <w:rPr>
          <w:color w:val="231F20"/>
          <w:w w:val="110"/>
        </w:rPr>
        <w:t>en</w:t>
      </w:r>
      <w:r>
        <w:rPr>
          <w:color w:val="231F20"/>
          <w:spacing w:val="-5"/>
          <w:w w:val="110"/>
        </w:rPr>
        <w:t> </w:t>
      </w:r>
      <w:r>
        <w:rPr>
          <w:color w:val="231F20"/>
          <w:w w:val="110"/>
        </w:rPr>
        <w:t>relación</w:t>
      </w:r>
      <w:r>
        <w:rPr>
          <w:color w:val="231F20"/>
          <w:spacing w:val="-5"/>
          <w:w w:val="110"/>
        </w:rPr>
        <w:t> </w:t>
      </w:r>
      <w:r>
        <w:rPr>
          <w:color w:val="231F20"/>
          <w:w w:val="110"/>
        </w:rPr>
        <w:t>con</w:t>
      </w:r>
      <w:r>
        <w:rPr>
          <w:color w:val="231F20"/>
          <w:spacing w:val="-5"/>
          <w:w w:val="110"/>
        </w:rPr>
        <w:t> </w:t>
      </w:r>
      <w:r>
        <w:rPr>
          <w:color w:val="231F20"/>
          <w:w w:val="110"/>
        </w:rPr>
        <w:t>el</w:t>
      </w:r>
      <w:r>
        <w:rPr>
          <w:color w:val="231F20"/>
          <w:spacing w:val="-5"/>
          <w:w w:val="110"/>
        </w:rPr>
        <w:t> </w:t>
      </w:r>
      <w:r>
        <w:rPr>
          <w:color w:val="231F20"/>
          <w:w w:val="110"/>
        </w:rPr>
        <w:t>entorno</w:t>
      </w:r>
      <w:r>
        <w:rPr>
          <w:color w:val="231F20"/>
          <w:spacing w:val="-5"/>
          <w:w w:val="110"/>
        </w:rPr>
        <w:t> </w:t>
      </w:r>
      <w:r>
        <w:rPr>
          <w:color w:val="231F20"/>
          <w:w w:val="110"/>
        </w:rPr>
        <w:t>exterior</w:t>
      </w:r>
      <w:r>
        <w:rPr>
          <w:color w:val="231F20"/>
          <w:spacing w:val="-5"/>
          <w:w w:val="110"/>
        </w:rPr>
        <w:t> </w:t>
      </w:r>
      <w:r>
        <w:rPr>
          <w:color w:val="231F20"/>
          <w:w w:val="110"/>
        </w:rPr>
        <w:t>al</w:t>
      </w:r>
      <w:r>
        <w:rPr>
          <w:color w:val="231F20"/>
          <w:spacing w:val="-5"/>
          <w:w w:val="110"/>
        </w:rPr>
        <w:t> </w:t>
      </w:r>
      <w:r>
        <w:rPr>
          <w:color w:val="231F20"/>
          <w:w w:val="110"/>
        </w:rPr>
        <w:t>negocio</w:t>
      </w:r>
      <w:r>
        <w:rPr>
          <w:color w:val="231F20"/>
          <w:spacing w:val="-5"/>
          <w:w w:val="110"/>
        </w:rPr>
        <w:t> </w:t>
      </w:r>
      <w:r>
        <w:rPr>
          <w:color w:val="231F20"/>
          <w:w w:val="110"/>
        </w:rPr>
        <w:t>y</w:t>
      </w:r>
      <w:r>
        <w:rPr>
          <w:color w:val="231F20"/>
          <w:spacing w:val="-5"/>
          <w:w w:val="110"/>
        </w:rPr>
        <w:t> </w:t>
      </w:r>
      <w:r>
        <w:rPr>
          <w:color w:val="231F20"/>
          <w:w w:val="110"/>
        </w:rPr>
        <w:t>con</w:t>
      </w:r>
      <w:r>
        <w:rPr>
          <w:color w:val="231F20"/>
          <w:spacing w:val="-5"/>
          <w:w w:val="110"/>
        </w:rPr>
        <w:t> </w:t>
      </w:r>
      <w:r>
        <w:rPr>
          <w:color w:val="231F20"/>
          <w:w w:val="110"/>
        </w:rPr>
        <w:t>situa- ciones que, en tanto son ajenas al trabajador, son imposibles de controlar y predecir: “el problema grande es la situación del país, que está </w:t>
      </w:r>
      <w:r>
        <w:rPr>
          <w:color w:val="231F20"/>
          <w:spacing w:val="43"/>
          <w:w w:val="110"/>
        </w:rPr>
        <w:t> </w:t>
      </w:r>
      <w:r>
        <w:rPr>
          <w:color w:val="231F20"/>
          <w:w w:val="110"/>
        </w:rPr>
        <w:t>peor”.</w:t>
      </w:r>
    </w:p>
    <w:p>
      <w:pPr>
        <w:pStyle w:val="BodyText"/>
        <w:spacing w:line="288" w:lineRule="auto"/>
        <w:ind w:left="124" w:right="113" w:firstLine="360"/>
        <w:jc w:val="right"/>
      </w:pPr>
      <w:r>
        <w:rPr>
          <w:color w:val="231F20"/>
          <w:w w:val="110"/>
        </w:rPr>
        <w:t>Hay trabajadores que identifican modalidades diferentes</w:t>
      </w:r>
      <w:r>
        <w:rPr>
          <w:color w:val="231F20"/>
          <w:spacing w:val="36"/>
          <w:w w:val="110"/>
        </w:rPr>
        <w:t> </w:t>
      </w:r>
      <w:r>
        <w:rPr>
          <w:color w:val="231F20"/>
          <w:w w:val="110"/>
        </w:rPr>
        <w:t>que</w:t>
      </w:r>
      <w:r>
        <w:rPr>
          <w:color w:val="231F20"/>
          <w:spacing w:val="14"/>
          <w:w w:val="110"/>
        </w:rPr>
        <w:t> </w:t>
      </w:r>
      <w:r>
        <w:rPr>
          <w:color w:val="231F20"/>
          <w:w w:val="110"/>
        </w:rPr>
        <w:t>pueden</w:t>
      </w:r>
      <w:r>
        <w:rPr>
          <w:color w:val="231F20"/>
          <w:w w:val="111"/>
        </w:rPr>
        <w:t> </w:t>
      </w:r>
      <w:r>
        <w:rPr>
          <w:color w:val="231F20"/>
          <w:w w:val="110"/>
        </w:rPr>
        <w:t>generar</w:t>
      </w:r>
      <w:r>
        <w:rPr>
          <w:color w:val="231F20"/>
          <w:spacing w:val="-5"/>
          <w:w w:val="110"/>
        </w:rPr>
        <w:t> </w:t>
      </w:r>
      <w:r>
        <w:rPr>
          <w:color w:val="231F20"/>
          <w:w w:val="110"/>
        </w:rPr>
        <w:t>riesgos</w:t>
      </w:r>
      <w:r>
        <w:rPr>
          <w:color w:val="231F20"/>
          <w:spacing w:val="-5"/>
          <w:w w:val="110"/>
        </w:rPr>
        <w:t> </w:t>
      </w:r>
      <w:r>
        <w:rPr>
          <w:color w:val="231F20"/>
          <w:w w:val="110"/>
        </w:rPr>
        <w:t>para</w:t>
      </w:r>
      <w:r>
        <w:rPr>
          <w:color w:val="231F20"/>
          <w:spacing w:val="-5"/>
          <w:w w:val="110"/>
        </w:rPr>
        <w:t> </w:t>
      </w:r>
      <w:r>
        <w:rPr>
          <w:color w:val="231F20"/>
          <w:w w:val="110"/>
        </w:rPr>
        <w:t>el</w:t>
      </w:r>
      <w:r>
        <w:rPr>
          <w:color w:val="231F20"/>
          <w:spacing w:val="-5"/>
          <w:w w:val="110"/>
        </w:rPr>
        <w:t> </w:t>
      </w:r>
      <w:r>
        <w:rPr>
          <w:color w:val="231F20"/>
          <w:w w:val="110"/>
        </w:rPr>
        <w:t>trabajo</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negocio:</w:t>
      </w:r>
      <w:r>
        <w:rPr>
          <w:color w:val="231F20"/>
          <w:spacing w:val="-5"/>
          <w:w w:val="110"/>
        </w:rPr>
        <w:t> </w:t>
      </w:r>
      <w:r>
        <w:rPr>
          <w:color w:val="231F20"/>
          <w:w w:val="110"/>
        </w:rPr>
        <w:t>aquellas</w:t>
      </w:r>
      <w:r>
        <w:rPr>
          <w:color w:val="231F20"/>
          <w:spacing w:val="-5"/>
          <w:w w:val="110"/>
        </w:rPr>
        <w:t> </w:t>
      </w:r>
      <w:r>
        <w:rPr>
          <w:color w:val="231F20"/>
          <w:w w:val="110"/>
        </w:rPr>
        <w:t>derivadas</w:t>
      </w:r>
      <w:r>
        <w:rPr>
          <w:color w:val="231F20"/>
          <w:spacing w:val="-5"/>
          <w:w w:val="110"/>
        </w:rPr>
        <w:t> </w:t>
      </w:r>
      <w:r>
        <w:rPr>
          <w:color w:val="231F20"/>
          <w:w w:val="110"/>
        </w:rPr>
        <w:t>de</w:t>
      </w:r>
      <w:r>
        <w:rPr>
          <w:color w:val="231F20"/>
          <w:spacing w:val="-5"/>
          <w:w w:val="110"/>
        </w:rPr>
        <w:t> </w:t>
      </w:r>
      <w:r>
        <w:rPr>
          <w:color w:val="231F20"/>
          <w:w w:val="110"/>
        </w:rPr>
        <w:t>su</w:t>
      </w:r>
      <w:r>
        <w:rPr>
          <w:color w:val="231F20"/>
          <w:spacing w:val="-5"/>
          <w:w w:val="110"/>
        </w:rPr>
        <w:t> </w:t>
      </w:r>
      <w:r>
        <w:rPr>
          <w:color w:val="231F20"/>
          <w:w w:val="110"/>
        </w:rPr>
        <w:t>pro-</w:t>
      </w:r>
      <w:r>
        <w:rPr>
          <w:color w:val="231F20"/>
          <w:w w:val="93"/>
        </w:rPr>
        <w:t> </w:t>
      </w:r>
      <w:r>
        <w:rPr>
          <w:color w:val="231F20"/>
          <w:w w:val="110"/>
        </w:rPr>
        <w:t>pia capacidad para trabajar y generar trabajo. En este</w:t>
      </w:r>
      <w:r>
        <w:rPr>
          <w:color w:val="231F20"/>
          <w:spacing w:val="36"/>
          <w:w w:val="110"/>
        </w:rPr>
        <w:t> </w:t>
      </w:r>
      <w:r>
        <w:rPr>
          <w:color w:val="231F20"/>
          <w:w w:val="110"/>
        </w:rPr>
        <w:t>sentido,</w:t>
      </w:r>
      <w:r>
        <w:rPr>
          <w:color w:val="231F20"/>
          <w:spacing w:val="14"/>
          <w:w w:val="110"/>
        </w:rPr>
        <w:t> </w:t>
      </w:r>
      <w:r>
        <w:rPr>
          <w:color w:val="231F20"/>
          <w:w w:val="110"/>
        </w:rPr>
        <w:t>equiparan</w:t>
      </w:r>
      <w:r>
        <w:rPr>
          <w:color w:val="231F20"/>
          <w:w w:val="108"/>
        </w:rPr>
        <w:t> </w:t>
      </w:r>
      <w:r>
        <w:rPr>
          <w:color w:val="231F20"/>
          <w:w w:val="110"/>
        </w:rPr>
        <w:t>como situaciones riesgosas, enfermarse y no poder trabajar, no</w:t>
      </w:r>
      <w:r>
        <w:rPr>
          <w:color w:val="231F20"/>
          <w:spacing w:val="-5"/>
          <w:w w:val="110"/>
        </w:rPr>
        <w:t> </w:t>
      </w:r>
      <w:r>
        <w:rPr>
          <w:color w:val="231F20"/>
          <w:w w:val="110"/>
        </w:rPr>
        <w:t>contar</w:t>
      </w:r>
      <w:r>
        <w:rPr>
          <w:color w:val="231F20"/>
          <w:spacing w:val="-1"/>
          <w:w w:val="110"/>
        </w:rPr>
        <w:t> </w:t>
      </w:r>
      <w:r>
        <w:rPr>
          <w:color w:val="231F20"/>
          <w:w w:val="110"/>
        </w:rPr>
        <w:t>con</w:t>
      </w:r>
      <w:r>
        <w:rPr>
          <w:color w:val="231F20"/>
          <w:w w:val="111"/>
        </w:rPr>
        <w:t> </w:t>
      </w:r>
      <w:r>
        <w:rPr>
          <w:color w:val="231F20"/>
          <w:w w:val="110"/>
        </w:rPr>
        <w:t>alguna</w:t>
      </w:r>
      <w:r>
        <w:rPr>
          <w:color w:val="231F20"/>
          <w:spacing w:val="-12"/>
          <w:w w:val="110"/>
        </w:rPr>
        <w:t> </w:t>
      </w:r>
      <w:r>
        <w:rPr>
          <w:color w:val="231F20"/>
          <w:w w:val="110"/>
        </w:rPr>
        <w:t>herramienta</w:t>
      </w:r>
      <w:r>
        <w:rPr>
          <w:color w:val="231F20"/>
          <w:spacing w:val="-12"/>
          <w:w w:val="110"/>
        </w:rPr>
        <w:t> </w:t>
      </w:r>
      <w:r>
        <w:rPr>
          <w:color w:val="231F20"/>
          <w:w w:val="110"/>
        </w:rPr>
        <w:t>necesaria</w:t>
      </w:r>
      <w:r>
        <w:rPr>
          <w:color w:val="231F20"/>
          <w:spacing w:val="-12"/>
          <w:w w:val="110"/>
        </w:rPr>
        <w:t> </w:t>
      </w:r>
      <w:r>
        <w:rPr>
          <w:color w:val="231F20"/>
          <w:w w:val="110"/>
        </w:rPr>
        <w:t>o</w:t>
      </w:r>
      <w:r>
        <w:rPr>
          <w:color w:val="231F20"/>
          <w:spacing w:val="-12"/>
          <w:w w:val="110"/>
        </w:rPr>
        <w:t> </w:t>
      </w:r>
      <w:r>
        <w:rPr>
          <w:color w:val="231F20"/>
          <w:w w:val="110"/>
        </w:rPr>
        <w:t>no</w:t>
      </w:r>
      <w:r>
        <w:rPr>
          <w:color w:val="231F20"/>
          <w:spacing w:val="-12"/>
          <w:w w:val="110"/>
        </w:rPr>
        <w:t> </w:t>
      </w:r>
      <w:r>
        <w:rPr>
          <w:color w:val="231F20"/>
          <w:w w:val="110"/>
        </w:rPr>
        <w:t>poder</w:t>
      </w:r>
      <w:r>
        <w:rPr>
          <w:color w:val="231F20"/>
          <w:spacing w:val="-12"/>
          <w:w w:val="110"/>
        </w:rPr>
        <w:t> </w:t>
      </w:r>
      <w:r>
        <w:rPr>
          <w:color w:val="231F20"/>
          <w:w w:val="110"/>
        </w:rPr>
        <w:t>pagar</w:t>
      </w:r>
      <w:r>
        <w:rPr>
          <w:color w:val="231F20"/>
          <w:spacing w:val="-12"/>
          <w:w w:val="110"/>
        </w:rPr>
        <w:t> </w:t>
      </w:r>
      <w:r>
        <w:rPr>
          <w:color w:val="231F20"/>
          <w:w w:val="110"/>
        </w:rPr>
        <w:t>en</w:t>
      </w:r>
      <w:r>
        <w:rPr>
          <w:color w:val="231F20"/>
          <w:spacing w:val="-12"/>
          <w:w w:val="110"/>
        </w:rPr>
        <w:t> </w:t>
      </w:r>
      <w:r>
        <w:rPr>
          <w:color w:val="231F20"/>
          <w:w w:val="110"/>
        </w:rPr>
        <w:t>fecha</w:t>
      </w:r>
      <w:r>
        <w:rPr>
          <w:color w:val="231F20"/>
          <w:spacing w:val="-12"/>
          <w:w w:val="110"/>
        </w:rPr>
        <w:t> </w:t>
      </w:r>
      <w:r>
        <w:rPr>
          <w:color w:val="231F20"/>
          <w:w w:val="110"/>
        </w:rPr>
        <w:t>a</w:t>
      </w:r>
      <w:r>
        <w:rPr>
          <w:color w:val="231F20"/>
          <w:spacing w:val="-12"/>
          <w:w w:val="110"/>
        </w:rPr>
        <w:t> </w:t>
      </w:r>
      <w:r>
        <w:rPr>
          <w:color w:val="231F20"/>
          <w:w w:val="110"/>
        </w:rPr>
        <w:t>sus</w:t>
      </w:r>
      <w:r>
        <w:rPr>
          <w:color w:val="231F20"/>
          <w:spacing w:val="-12"/>
          <w:w w:val="110"/>
        </w:rPr>
        <w:t> </w:t>
      </w:r>
      <w:r>
        <w:rPr>
          <w:color w:val="231F20"/>
          <w:w w:val="110"/>
        </w:rPr>
        <w:t>trabajadores:</w:t>
      </w:r>
    </w:p>
    <w:p>
      <w:pPr>
        <w:pStyle w:val="BodyText"/>
        <w:rPr>
          <w:sz w:val="16"/>
        </w:rPr>
      </w:pPr>
    </w:p>
    <w:p>
      <w:pPr>
        <w:spacing w:line="283" w:lineRule="auto" w:before="0"/>
        <w:ind w:left="484" w:right="112" w:firstLine="0"/>
        <w:jc w:val="both"/>
        <w:rPr>
          <w:sz w:val="18"/>
        </w:rPr>
      </w:pPr>
      <w:r>
        <w:rPr>
          <w:color w:val="231F20"/>
          <w:w w:val="110"/>
          <w:sz w:val="18"/>
        </w:rPr>
        <w:t>Lo que se dice riesgo viene de la mano de uno mismo, porque yo por mí me siento muy seguro de poder hacer todo lo que tengo que hacer, puedo muy bien sacar esto adelante, ¿pero si me enfermo y no puedo seguir?, me imagino a veces que tengo un accidente o algo así; eso me da miedo, no poder levan- tarme a trabajar (propietario de taller mecánico, 50 años).</w:t>
      </w:r>
    </w:p>
    <w:p>
      <w:pPr>
        <w:spacing w:after="0" w:line="283" w:lineRule="auto"/>
        <w:jc w:val="both"/>
        <w:rPr>
          <w:sz w:val="18"/>
        </w:rPr>
        <w:sectPr>
          <w:pgSz w:w="9520" w:h="12920"/>
          <w:pgMar w:header="0" w:footer="1344" w:top="880" w:bottom="1540" w:left="1320" w:right="1000"/>
        </w:sectPr>
      </w:pPr>
    </w:p>
    <w:p>
      <w:pPr>
        <w:spacing w:line="283" w:lineRule="auto" w:before="46"/>
        <w:ind w:left="480" w:right="117" w:firstLine="0"/>
        <w:jc w:val="both"/>
        <w:rPr>
          <w:sz w:val="18"/>
        </w:rPr>
      </w:pPr>
      <w:r>
        <w:rPr>
          <w:color w:val="231F20"/>
          <w:w w:val="110"/>
          <w:sz w:val="18"/>
        </w:rPr>
        <w:t>A veces el problema está en no poder comprar todo lo que uno necesita para el trabajo. Mire, le digo que por ejemplo una vez teníamos una comida de fin de año y nos pidieron barbacoa, y no me llegó un dinero que estaba esperando y a último momento no teníamos de dónde sacar para la barbacoa; total que estuve como loco pensando qué iba a hacer, porque si me arriesgaba a no darles a los clientes lo que nos pidieron, me arriesgo a que no vuelvan […] el riesgo es perder clientes porque uno no puede darles la calidad que quieren (propietario de cocina, 54</w:t>
      </w:r>
      <w:r>
        <w:rPr>
          <w:color w:val="231F20"/>
          <w:spacing w:val="-27"/>
          <w:w w:val="110"/>
          <w:sz w:val="18"/>
        </w:rPr>
        <w:t> </w:t>
      </w:r>
      <w:r>
        <w:rPr>
          <w:color w:val="231F20"/>
          <w:w w:val="110"/>
          <w:sz w:val="18"/>
        </w:rPr>
        <w:t>años).</w:t>
      </w:r>
    </w:p>
    <w:p>
      <w:pPr>
        <w:pStyle w:val="BodyText"/>
        <w:spacing w:before="7"/>
        <w:rPr>
          <w:sz w:val="21"/>
        </w:rPr>
      </w:pPr>
    </w:p>
    <w:p>
      <w:pPr>
        <w:pStyle w:val="BodyText"/>
        <w:spacing w:line="288" w:lineRule="auto"/>
        <w:ind w:left="120" w:right="113" w:firstLine="360"/>
        <w:jc w:val="both"/>
      </w:pPr>
      <w:r>
        <w:rPr>
          <w:color w:val="231F20"/>
          <w:w w:val="110"/>
        </w:rPr>
        <w:t>Este</w:t>
      </w:r>
      <w:r>
        <w:rPr>
          <w:color w:val="231F20"/>
          <w:spacing w:val="-6"/>
          <w:w w:val="110"/>
        </w:rPr>
        <w:t> </w:t>
      </w:r>
      <w:r>
        <w:rPr>
          <w:color w:val="231F20"/>
          <w:w w:val="110"/>
        </w:rPr>
        <w:t>grupo</w:t>
      </w:r>
      <w:r>
        <w:rPr>
          <w:color w:val="231F20"/>
          <w:spacing w:val="-6"/>
          <w:w w:val="110"/>
        </w:rPr>
        <w:t> </w:t>
      </w:r>
      <w:r>
        <w:rPr>
          <w:color w:val="231F20"/>
          <w:w w:val="110"/>
        </w:rPr>
        <w:t>de</w:t>
      </w:r>
      <w:r>
        <w:rPr>
          <w:color w:val="231F20"/>
          <w:spacing w:val="-6"/>
          <w:w w:val="110"/>
        </w:rPr>
        <w:t> </w:t>
      </w:r>
      <w:r>
        <w:rPr>
          <w:color w:val="231F20"/>
          <w:w w:val="110"/>
        </w:rPr>
        <w:t>trabajadores,</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medida</w:t>
      </w:r>
      <w:r>
        <w:rPr>
          <w:color w:val="231F20"/>
          <w:spacing w:val="-6"/>
          <w:w w:val="110"/>
        </w:rPr>
        <w:t> </w:t>
      </w:r>
      <w:r>
        <w:rPr>
          <w:color w:val="231F20"/>
          <w:w w:val="110"/>
        </w:rPr>
        <w:t>en</w:t>
      </w:r>
      <w:r>
        <w:rPr>
          <w:color w:val="231F20"/>
          <w:spacing w:val="-6"/>
          <w:w w:val="110"/>
        </w:rPr>
        <w:t> </w:t>
      </w:r>
      <w:r>
        <w:rPr>
          <w:color w:val="231F20"/>
          <w:w w:val="110"/>
        </w:rPr>
        <w:t>que</w:t>
      </w:r>
      <w:r>
        <w:rPr>
          <w:color w:val="231F20"/>
          <w:spacing w:val="-6"/>
          <w:w w:val="110"/>
        </w:rPr>
        <w:t> </w:t>
      </w:r>
      <w:r>
        <w:rPr>
          <w:color w:val="231F20"/>
          <w:w w:val="110"/>
        </w:rPr>
        <w:t>manifiesta</w:t>
      </w:r>
      <w:r>
        <w:rPr>
          <w:color w:val="231F20"/>
          <w:spacing w:val="-6"/>
          <w:w w:val="110"/>
        </w:rPr>
        <w:t> </w:t>
      </w:r>
      <w:r>
        <w:rPr>
          <w:color w:val="231F20"/>
          <w:w w:val="110"/>
        </w:rPr>
        <w:t>mayor</w:t>
      </w:r>
      <w:r>
        <w:rPr>
          <w:color w:val="231F20"/>
          <w:spacing w:val="-6"/>
          <w:w w:val="110"/>
        </w:rPr>
        <w:t> </w:t>
      </w:r>
      <w:r>
        <w:rPr>
          <w:color w:val="231F20"/>
          <w:w w:val="110"/>
        </w:rPr>
        <w:t>con- fianza y control en sus propias capacidades de trabajo, percibe el riesgo precisamente en relación con esa situación; con la pérdida de esas capaci- dades: “eso me da miedo, no poder levantarme a trabajar”. Para estos tra- bajadores, el micronegocio está en riesgo cuando ellos no pueden hacer frente</w:t>
      </w:r>
      <w:r>
        <w:rPr>
          <w:color w:val="231F20"/>
          <w:spacing w:val="-8"/>
          <w:w w:val="110"/>
        </w:rPr>
        <w:t> </w:t>
      </w:r>
      <w:r>
        <w:rPr>
          <w:color w:val="231F20"/>
          <w:w w:val="110"/>
        </w:rPr>
        <w:t>a</w:t>
      </w:r>
      <w:r>
        <w:rPr>
          <w:color w:val="231F20"/>
          <w:spacing w:val="-8"/>
          <w:w w:val="110"/>
        </w:rPr>
        <w:t> </w:t>
      </w:r>
      <w:r>
        <w:rPr>
          <w:color w:val="231F20"/>
          <w:w w:val="110"/>
        </w:rPr>
        <w:t>situaciones</w:t>
      </w:r>
      <w:r>
        <w:rPr>
          <w:color w:val="231F20"/>
          <w:spacing w:val="-8"/>
          <w:w w:val="110"/>
        </w:rPr>
        <w:t> </w:t>
      </w:r>
      <w:r>
        <w:rPr>
          <w:color w:val="231F20"/>
          <w:w w:val="110"/>
        </w:rPr>
        <w:t>imprevistas</w:t>
      </w:r>
      <w:r>
        <w:rPr>
          <w:color w:val="231F20"/>
          <w:spacing w:val="-8"/>
          <w:w w:val="110"/>
        </w:rPr>
        <w:t> </w:t>
      </w:r>
      <w:r>
        <w:rPr>
          <w:color w:val="231F20"/>
          <w:w w:val="110"/>
        </w:rPr>
        <w:t>que</w:t>
      </w:r>
      <w:r>
        <w:rPr>
          <w:color w:val="231F20"/>
          <w:spacing w:val="-8"/>
          <w:w w:val="110"/>
        </w:rPr>
        <w:t> </w:t>
      </w:r>
      <w:r>
        <w:rPr>
          <w:color w:val="231F20"/>
          <w:w w:val="110"/>
        </w:rPr>
        <w:t>surgen</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interior</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propia</w:t>
      </w:r>
      <w:r>
        <w:rPr>
          <w:color w:val="231F20"/>
          <w:spacing w:val="-8"/>
          <w:w w:val="110"/>
        </w:rPr>
        <w:t> </w:t>
      </w:r>
      <w:r>
        <w:rPr>
          <w:color w:val="231F20"/>
          <w:w w:val="110"/>
        </w:rPr>
        <w:t>diná- mica, tanto del negocio como de la unidad doméstica, más que en el entor- no del </w:t>
      </w:r>
      <w:r>
        <w:rPr>
          <w:color w:val="231F20"/>
          <w:spacing w:val="2"/>
          <w:w w:val="110"/>
        </w:rPr>
        <w:t>establecimiento. </w:t>
      </w:r>
      <w:r>
        <w:rPr>
          <w:color w:val="231F20"/>
          <w:w w:val="110"/>
        </w:rPr>
        <w:t>Para </w:t>
      </w:r>
      <w:r>
        <w:rPr>
          <w:color w:val="231F20"/>
          <w:spacing w:val="2"/>
          <w:w w:val="110"/>
        </w:rPr>
        <w:t>estas unidades entrevistadas </w:t>
      </w:r>
      <w:r>
        <w:rPr>
          <w:color w:val="231F20"/>
          <w:w w:val="110"/>
        </w:rPr>
        <w:t>la </w:t>
      </w:r>
      <w:r>
        <w:rPr>
          <w:color w:val="231F20"/>
          <w:spacing w:val="2"/>
          <w:w w:val="110"/>
        </w:rPr>
        <w:t>seguridad </w:t>
      </w:r>
      <w:r>
        <w:rPr>
          <w:color w:val="231F20"/>
          <w:w w:val="110"/>
        </w:rPr>
        <w:t>pareciera garantizarse a través de ellas mismas y de sus propias capacida- des para trabajar. No es de extrañar que sean mayormente los jóvenes (hijos de los propietarios) los que sostienen esta</w:t>
      </w:r>
      <w:r>
        <w:rPr>
          <w:color w:val="231F20"/>
          <w:spacing w:val="6"/>
          <w:w w:val="110"/>
        </w:rPr>
        <w:t> </w:t>
      </w:r>
      <w:r>
        <w:rPr>
          <w:color w:val="231F20"/>
          <w:w w:val="110"/>
        </w:rPr>
        <w:t>opinión.</w:t>
      </w:r>
    </w:p>
    <w:p>
      <w:pPr>
        <w:pStyle w:val="BodyText"/>
      </w:pPr>
    </w:p>
    <w:p>
      <w:pPr>
        <w:pStyle w:val="BodyText"/>
        <w:spacing w:before="10"/>
        <w:rPr>
          <w:sz w:val="24"/>
        </w:rPr>
      </w:pPr>
    </w:p>
    <w:p>
      <w:pPr>
        <w:spacing w:before="0"/>
        <w:ind w:left="120" w:right="0" w:firstLine="0"/>
        <w:jc w:val="both"/>
        <w:rPr>
          <w:rFonts w:ascii="Times New Roman"/>
          <w:i/>
          <w:sz w:val="19"/>
        </w:rPr>
      </w:pPr>
      <w:r>
        <w:rPr>
          <w:rFonts w:ascii="Times New Roman"/>
          <w:i/>
          <w:color w:val="231F20"/>
          <w:w w:val="95"/>
          <w:sz w:val="24"/>
        </w:rPr>
        <w:t>A</w:t>
      </w:r>
      <w:r>
        <w:rPr>
          <w:rFonts w:ascii="Times New Roman"/>
          <w:i/>
          <w:color w:val="231F20"/>
          <w:w w:val="95"/>
          <w:sz w:val="19"/>
        </w:rPr>
        <w:t>LGUNOS COMENTARIOS FINALES</w:t>
      </w:r>
    </w:p>
    <w:p>
      <w:pPr>
        <w:pStyle w:val="BodyText"/>
        <w:spacing w:before="9"/>
        <w:rPr>
          <w:rFonts w:ascii="Times New Roman"/>
          <w:i/>
          <w:sz w:val="27"/>
        </w:rPr>
      </w:pPr>
    </w:p>
    <w:p>
      <w:pPr>
        <w:pStyle w:val="BodyText"/>
        <w:spacing w:line="288" w:lineRule="auto"/>
        <w:ind w:left="119" w:right="114"/>
        <w:jc w:val="both"/>
      </w:pPr>
      <w:r>
        <w:rPr>
          <w:color w:val="231F20"/>
          <w:w w:val="110"/>
        </w:rPr>
        <w:t>La familia y el trabajo constituyen dos ejes organizadores de la vida coti- diana, dos mundos que ya no se encuentran separados, sino que se fun- den en el contexto de las interacciones sociales, económicas y políticas </w:t>
      </w:r>
      <w:r>
        <w:rPr>
          <w:color w:val="231F20"/>
          <w:w w:val="105"/>
        </w:rPr>
        <w:t>(Goldani, 2001).</w:t>
      </w:r>
    </w:p>
    <w:p>
      <w:pPr>
        <w:pStyle w:val="BodyText"/>
        <w:spacing w:line="288" w:lineRule="auto"/>
        <w:ind w:left="119" w:right="118" w:firstLine="360"/>
        <w:jc w:val="right"/>
      </w:pPr>
      <w:r>
        <w:rPr>
          <w:color w:val="231F20"/>
          <w:w w:val="110"/>
        </w:rPr>
        <w:t>Las transformaciones en estas dimensiones implican</w:t>
      </w:r>
      <w:r>
        <w:rPr>
          <w:color w:val="231F20"/>
          <w:spacing w:val="-34"/>
          <w:w w:val="110"/>
        </w:rPr>
        <w:t> </w:t>
      </w:r>
      <w:r>
        <w:rPr>
          <w:color w:val="231F20"/>
          <w:w w:val="110"/>
        </w:rPr>
        <w:t>una</w:t>
      </w:r>
      <w:r>
        <w:rPr>
          <w:color w:val="231F20"/>
          <w:spacing w:val="-6"/>
          <w:w w:val="110"/>
        </w:rPr>
        <w:t> </w:t>
      </w:r>
      <w:r>
        <w:rPr>
          <w:color w:val="231F20"/>
          <w:w w:val="110"/>
        </w:rPr>
        <w:t>multiplicidad</w:t>
      </w:r>
      <w:r>
        <w:rPr>
          <w:color w:val="231F20"/>
          <w:w w:val="106"/>
        </w:rPr>
        <w:t> </w:t>
      </w:r>
      <w:r>
        <w:rPr>
          <w:color w:val="231F20"/>
          <w:w w:val="110"/>
        </w:rPr>
        <w:t>de</w:t>
      </w:r>
      <w:r>
        <w:rPr>
          <w:color w:val="231F20"/>
          <w:spacing w:val="-15"/>
          <w:w w:val="110"/>
        </w:rPr>
        <w:t> </w:t>
      </w:r>
      <w:r>
        <w:rPr>
          <w:color w:val="231F20"/>
          <w:w w:val="110"/>
        </w:rPr>
        <w:t>arreglos</w:t>
      </w:r>
      <w:r>
        <w:rPr>
          <w:color w:val="231F20"/>
          <w:spacing w:val="-15"/>
          <w:w w:val="110"/>
        </w:rPr>
        <w:t> </w:t>
      </w:r>
      <w:r>
        <w:rPr>
          <w:color w:val="231F20"/>
          <w:w w:val="110"/>
        </w:rPr>
        <w:t>familiares,</w:t>
      </w:r>
      <w:r>
        <w:rPr>
          <w:color w:val="231F20"/>
          <w:spacing w:val="-15"/>
          <w:w w:val="110"/>
        </w:rPr>
        <w:t> </w:t>
      </w:r>
      <w:r>
        <w:rPr>
          <w:color w:val="231F20"/>
          <w:w w:val="110"/>
        </w:rPr>
        <w:t>la</w:t>
      </w:r>
      <w:r>
        <w:rPr>
          <w:color w:val="231F20"/>
          <w:spacing w:val="-15"/>
          <w:w w:val="110"/>
        </w:rPr>
        <w:t> </w:t>
      </w:r>
      <w:r>
        <w:rPr>
          <w:color w:val="231F20"/>
          <w:w w:val="110"/>
        </w:rPr>
        <w:t>redefinición</w:t>
      </w:r>
      <w:r>
        <w:rPr>
          <w:color w:val="231F20"/>
          <w:spacing w:val="-15"/>
          <w:w w:val="110"/>
        </w:rPr>
        <w:t> </w:t>
      </w:r>
      <w:r>
        <w:rPr>
          <w:color w:val="231F20"/>
          <w:w w:val="110"/>
        </w:rPr>
        <w:t>del</w:t>
      </w:r>
      <w:r>
        <w:rPr>
          <w:color w:val="231F20"/>
          <w:spacing w:val="-15"/>
          <w:w w:val="110"/>
        </w:rPr>
        <w:t> </w:t>
      </w:r>
      <w:r>
        <w:rPr>
          <w:color w:val="231F20"/>
          <w:w w:val="110"/>
        </w:rPr>
        <w:t>papel</w:t>
      </w:r>
      <w:r>
        <w:rPr>
          <w:color w:val="231F20"/>
          <w:spacing w:val="-15"/>
          <w:w w:val="110"/>
        </w:rPr>
        <w:t> </w:t>
      </w:r>
      <w:r>
        <w:rPr>
          <w:color w:val="231F20"/>
          <w:w w:val="110"/>
        </w:rPr>
        <w:t>del</w:t>
      </w:r>
      <w:r>
        <w:rPr>
          <w:color w:val="231F20"/>
          <w:spacing w:val="-15"/>
          <w:w w:val="110"/>
        </w:rPr>
        <w:t> </w:t>
      </w:r>
      <w:r>
        <w:rPr>
          <w:color w:val="231F20"/>
          <w:w w:val="110"/>
        </w:rPr>
        <w:t>Estado,</w:t>
      </w:r>
      <w:r>
        <w:rPr>
          <w:color w:val="231F20"/>
          <w:spacing w:val="-15"/>
          <w:w w:val="110"/>
        </w:rPr>
        <w:t> </w:t>
      </w:r>
      <w:r>
        <w:rPr>
          <w:color w:val="231F20"/>
          <w:w w:val="110"/>
        </w:rPr>
        <w:t>el</w:t>
      </w:r>
      <w:r>
        <w:rPr>
          <w:color w:val="231F20"/>
          <w:spacing w:val="-15"/>
          <w:w w:val="110"/>
        </w:rPr>
        <w:t> </w:t>
      </w:r>
      <w:r>
        <w:rPr>
          <w:color w:val="231F20"/>
          <w:spacing w:val="-3"/>
          <w:w w:val="110"/>
        </w:rPr>
        <w:t>surgimiento</w:t>
      </w:r>
      <w:r>
        <w:rPr>
          <w:color w:val="231F20"/>
          <w:spacing w:val="-15"/>
          <w:w w:val="110"/>
        </w:rPr>
        <w:t> </w:t>
      </w:r>
      <w:r>
        <w:rPr>
          <w:color w:val="231F20"/>
          <w:w w:val="110"/>
        </w:rPr>
        <w:t>de</w:t>
      </w:r>
      <w:r>
        <w:rPr>
          <w:color w:val="231F20"/>
          <w:w w:val="109"/>
        </w:rPr>
        <w:t> </w:t>
      </w:r>
      <w:r>
        <w:rPr>
          <w:color w:val="231F20"/>
          <w:w w:val="110"/>
        </w:rPr>
        <w:t>nuevos</w:t>
      </w:r>
      <w:r>
        <w:rPr>
          <w:color w:val="231F20"/>
          <w:spacing w:val="-10"/>
          <w:w w:val="110"/>
        </w:rPr>
        <w:t> </w:t>
      </w:r>
      <w:r>
        <w:rPr>
          <w:color w:val="231F20"/>
          <w:w w:val="110"/>
        </w:rPr>
        <w:t>procesos</w:t>
      </w:r>
      <w:r>
        <w:rPr>
          <w:color w:val="231F20"/>
          <w:spacing w:val="-10"/>
          <w:w w:val="110"/>
        </w:rPr>
        <w:t> </w:t>
      </w:r>
      <w:r>
        <w:rPr>
          <w:color w:val="231F20"/>
          <w:w w:val="110"/>
        </w:rPr>
        <w:t>de</w:t>
      </w:r>
      <w:r>
        <w:rPr>
          <w:color w:val="231F20"/>
          <w:spacing w:val="-10"/>
          <w:w w:val="110"/>
        </w:rPr>
        <w:t> </w:t>
      </w:r>
      <w:r>
        <w:rPr>
          <w:color w:val="231F20"/>
          <w:w w:val="110"/>
        </w:rPr>
        <w:t>reforma</w:t>
      </w:r>
      <w:r>
        <w:rPr>
          <w:color w:val="231F20"/>
          <w:spacing w:val="-10"/>
          <w:w w:val="110"/>
        </w:rPr>
        <w:t> </w:t>
      </w:r>
      <w:r>
        <w:rPr>
          <w:color w:val="231F20"/>
          <w:w w:val="110"/>
        </w:rPr>
        <w:t>y</w:t>
      </w:r>
      <w:r>
        <w:rPr>
          <w:color w:val="231F20"/>
          <w:spacing w:val="-10"/>
          <w:w w:val="110"/>
        </w:rPr>
        <w:t> </w:t>
      </w:r>
      <w:r>
        <w:rPr>
          <w:color w:val="231F20"/>
          <w:w w:val="110"/>
        </w:rPr>
        <w:t>de</w:t>
      </w:r>
      <w:r>
        <w:rPr>
          <w:color w:val="231F20"/>
          <w:spacing w:val="-10"/>
          <w:w w:val="110"/>
        </w:rPr>
        <w:t> </w:t>
      </w:r>
      <w:r>
        <w:rPr>
          <w:color w:val="231F20"/>
          <w:w w:val="110"/>
        </w:rPr>
        <w:t>un</w:t>
      </w:r>
      <w:r>
        <w:rPr>
          <w:color w:val="231F20"/>
          <w:spacing w:val="-10"/>
          <w:w w:val="110"/>
        </w:rPr>
        <w:t> </w:t>
      </w:r>
      <w:r>
        <w:rPr>
          <w:color w:val="231F20"/>
          <w:w w:val="110"/>
        </w:rPr>
        <w:t>incremento</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vulnerabilidad,</w:t>
      </w:r>
      <w:r>
        <w:rPr>
          <w:color w:val="231F20"/>
          <w:spacing w:val="-10"/>
          <w:w w:val="110"/>
        </w:rPr>
        <w:t> </w:t>
      </w:r>
      <w:r>
        <w:rPr>
          <w:color w:val="231F20"/>
          <w:w w:val="110"/>
        </w:rPr>
        <w:t>situa-</w:t>
      </w:r>
      <w:r>
        <w:rPr>
          <w:color w:val="231F20"/>
          <w:w w:val="93"/>
        </w:rPr>
        <w:t> </w:t>
      </w:r>
      <w:r>
        <w:rPr>
          <w:color w:val="231F20"/>
          <w:w w:val="110"/>
        </w:rPr>
        <w:t>ción que comienza a reflejarse en la generación de procesos</w:t>
      </w:r>
      <w:r>
        <w:rPr>
          <w:color w:val="231F20"/>
          <w:spacing w:val="3"/>
          <w:w w:val="110"/>
        </w:rPr>
        <w:t> </w:t>
      </w:r>
      <w:r>
        <w:rPr>
          <w:color w:val="231F20"/>
          <w:w w:val="110"/>
        </w:rPr>
        <w:t>de</w:t>
      </w:r>
      <w:r>
        <w:rPr>
          <w:color w:val="231F20"/>
          <w:spacing w:val="10"/>
          <w:w w:val="110"/>
        </w:rPr>
        <w:t> </w:t>
      </w:r>
      <w:r>
        <w:rPr>
          <w:color w:val="231F20"/>
          <w:w w:val="110"/>
        </w:rPr>
        <w:t>exclusión.</w:t>
      </w:r>
      <w:r>
        <w:rPr>
          <w:color w:val="231F20"/>
          <w:w w:val="111"/>
        </w:rPr>
        <w:t> </w:t>
      </w:r>
      <w:r>
        <w:rPr>
          <w:color w:val="231F20"/>
          <w:w w:val="110"/>
        </w:rPr>
        <w:t>Los cambios socioeconómicos y socioestructurales acontecidos</w:t>
      </w:r>
      <w:r>
        <w:rPr>
          <w:color w:val="231F20"/>
          <w:spacing w:val="30"/>
          <w:w w:val="110"/>
        </w:rPr>
        <w:t> </w:t>
      </w:r>
      <w:r>
        <w:rPr>
          <w:color w:val="231F20"/>
          <w:w w:val="110"/>
        </w:rPr>
        <w:t>en</w:t>
      </w:r>
      <w:r>
        <w:rPr>
          <w:color w:val="231F20"/>
          <w:spacing w:val="13"/>
          <w:w w:val="110"/>
        </w:rPr>
        <w:t> </w:t>
      </w:r>
      <w:r>
        <w:rPr>
          <w:color w:val="231F20"/>
          <w:w w:val="110"/>
        </w:rPr>
        <w:t>los</w:t>
      </w:r>
      <w:r>
        <w:rPr>
          <w:color w:val="231F20"/>
          <w:w w:val="110"/>
        </w:rPr>
        <w:t> </w:t>
      </w:r>
      <w:r>
        <w:rPr>
          <w:color w:val="231F20"/>
          <w:w w:val="110"/>
        </w:rPr>
        <w:t>años ochenta, a velocidades impresionantes, modificaron</w:t>
      </w:r>
      <w:r>
        <w:rPr>
          <w:color w:val="231F20"/>
          <w:spacing w:val="-6"/>
          <w:w w:val="110"/>
        </w:rPr>
        <w:t> </w:t>
      </w:r>
      <w:r>
        <w:rPr>
          <w:color w:val="231F20"/>
          <w:w w:val="110"/>
        </w:rPr>
        <w:t>drásticamente</w:t>
      </w:r>
      <w:r>
        <w:rPr>
          <w:color w:val="231F20"/>
          <w:spacing w:val="-1"/>
          <w:w w:val="110"/>
        </w:rPr>
        <w:t> </w:t>
      </w:r>
      <w:r>
        <w:rPr>
          <w:color w:val="231F20"/>
          <w:w w:val="110"/>
        </w:rPr>
        <w:t>el</w:t>
      </w:r>
      <w:r>
        <w:rPr>
          <w:color w:val="231F20"/>
          <w:w w:val="106"/>
        </w:rPr>
        <w:t> </w:t>
      </w:r>
      <w:r>
        <w:rPr>
          <w:color w:val="231F20"/>
          <w:w w:val="110"/>
        </w:rPr>
        <w:t>escenario de la cotidianidad y las formas conocidas para</w:t>
      </w:r>
      <w:r>
        <w:rPr>
          <w:color w:val="231F20"/>
          <w:spacing w:val="22"/>
          <w:w w:val="110"/>
        </w:rPr>
        <w:t> </w:t>
      </w:r>
      <w:r>
        <w:rPr>
          <w:color w:val="231F20"/>
          <w:w w:val="110"/>
        </w:rPr>
        <w:t>la</w:t>
      </w:r>
      <w:r>
        <w:rPr>
          <w:color w:val="231F20"/>
          <w:spacing w:val="18"/>
          <w:w w:val="110"/>
        </w:rPr>
        <w:t> </w:t>
      </w:r>
      <w:r>
        <w:rPr>
          <w:color w:val="231F20"/>
          <w:w w:val="110"/>
        </w:rPr>
        <w:t>organización</w:t>
      </w:r>
      <w:r>
        <w:rPr>
          <w:color w:val="231F20"/>
          <w:w w:val="111"/>
        </w:rPr>
        <w:t> </w:t>
      </w:r>
      <w:r>
        <w:rPr>
          <w:color w:val="231F20"/>
          <w:spacing w:val="-6"/>
          <w:w w:val="110"/>
        </w:rPr>
        <w:t>familiar. </w:t>
      </w:r>
      <w:r>
        <w:rPr>
          <w:color w:val="231F20"/>
          <w:spacing w:val="-3"/>
          <w:w w:val="110"/>
        </w:rPr>
        <w:t>Los </w:t>
      </w:r>
      <w:r>
        <w:rPr>
          <w:color w:val="231F20"/>
          <w:spacing w:val="-4"/>
          <w:w w:val="110"/>
        </w:rPr>
        <w:t>mecanismos habituales </w:t>
      </w:r>
      <w:r>
        <w:rPr>
          <w:color w:val="231F20"/>
          <w:spacing w:val="-3"/>
          <w:w w:val="110"/>
        </w:rPr>
        <w:t>eran </w:t>
      </w:r>
      <w:r>
        <w:rPr>
          <w:color w:val="231F20"/>
          <w:spacing w:val="-4"/>
          <w:w w:val="110"/>
        </w:rPr>
        <w:t>insuficientes, </w:t>
      </w:r>
      <w:r>
        <w:rPr>
          <w:color w:val="231F20"/>
          <w:spacing w:val="-3"/>
          <w:w w:val="110"/>
        </w:rPr>
        <w:t>los </w:t>
      </w:r>
      <w:r>
        <w:rPr>
          <w:color w:val="231F20"/>
          <w:spacing w:val="-4"/>
          <w:w w:val="110"/>
        </w:rPr>
        <w:t>esquemas</w:t>
      </w:r>
      <w:r>
        <w:rPr>
          <w:color w:val="231F20"/>
          <w:spacing w:val="18"/>
          <w:w w:val="110"/>
        </w:rPr>
        <w:t> </w:t>
      </w:r>
      <w:r>
        <w:rPr>
          <w:color w:val="231F20"/>
          <w:w w:val="110"/>
        </w:rPr>
        <w:t>de</w:t>
      </w:r>
      <w:r>
        <w:rPr>
          <w:color w:val="231F20"/>
          <w:spacing w:val="-1"/>
          <w:w w:val="110"/>
        </w:rPr>
        <w:t> </w:t>
      </w:r>
      <w:r>
        <w:rPr>
          <w:color w:val="231F20"/>
          <w:spacing w:val="-4"/>
          <w:w w:val="110"/>
        </w:rPr>
        <w:t>refe-</w:t>
      </w:r>
      <w:r>
        <w:rPr>
          <w:color w:val="231F20"/>
          <w:w w:val="93"/>
        </w:rPr>
        <w:t> </w:t>
      </w:r>
      <w:r>
        <w:rPr>
          <w:color w:val="231F20"/>
          <w:w w:val="110"/>
        </w:rPr>
        <w:t>rencia en el pensamiento social se tornaron ineficaces ante las</w:t>
      </w:r>
      <w:r>
        <w:rPr>
          <w:color w:val="231F20"/>
          <w:spacing w:val="28"/>
          <w:w w:val="110"/>
        </w:rPr>
        <w:t> </w:t>
      </w:r>
      <w:r>
        <w:rPr>
          <w:color w:val="231F20"/>
          <w:w w:val="110"/>
        </w:rPr>
        <w:t>situaciones</w:t>
      </w:r>
    </w:p>
    <w:p>
      <w:pPr>
        <w:spacing w:after="0" w:line="288" w:lineRule="auto"/>
        <w:jc w:val="right"/>
        <w:sectPr>
          <w:footerReference w:type="default" r:id="rId33"/>
          <w:footerReference w:type="even" r:id="rId34"/>
          <w:pgSz w:w="9520" w:h="12920"/>
          <w:pgMar w:footer="1344" w:header="0" w:top="880" w:bottom="1540" w:left="1000" w:right="1320"/>
          <w:pgNumType w:start="53"/>
        </w:sectPr>
      </w:pPr>
    </w:p>
    <w:p>
      <w:pPr>
        <w:pStyle w:val="BodyText"/>
        <w:spacing w:line="288" w:lineRule="auto" w:before="42"/>
        <w:ind w:left="52" w:right="111"/>
        <w:jc w:val="right"/>
      </w:pPr>
      <w:r>
        <w:rPr>
          <w:color w:val="231F20"/>
          <w:w w:val="110"/>
        </w:rPr>
        <w:t>inéditas generadas por una crisis económica y se impuso la necesidad de</w:t>
      </w:r>
      <w:r>
        <w:rPr>
          <w:color w:val="231F20"/>
          <w:w w:val="108"/>
        </w:rPr>
        <w:t> </w:t>
      </w:r>
      <w:r>
        <w:rPr>
          <w:color w:val="231F20"/>
          <w:w w:val="110"/>
        </w:rPr>
        <w:t>buscar alternativas para enfrentar las nuevas situaciones: las denominadas</w:t>
      </w:r>
      <w:r>
        <w:rPr>
          <w:color w:val="231F20"/>
          <w:w w:val="118"/>
        </w:rPr>
        <w:t> </w:t>
      </w:r>
      <w:r>
        <w:rPr>
          <w:color w:val="231F20"/>
          <w:w w:val="110"/>
        </w:rPr>
        <w:t>estrategias de enfrentamiento a la crisis en la cotidianidad (Goldani, 2001).</w:t>
      </w:r>
      <w:r>
        <w:rPr>
          <w:color w:val="231F20"/>
          <w:w w:val="101"/>
        </w:rPr>
        <w:t> </w:t>
      </w:r>
      <w:r>
        <w:rPr>
          <w:color w:val="231F20"/>
          <w:w w:val="110"/>
        </w:rPr>
        <w:t>Al respecto, García, Muñoz y Oliveira (1989) señalan que los hogares, en</w:t>
      </w:r>
      <w:r>
        <w:rPr>
          <w:color w:val="231F20"/>
          <w:w w:val="111"/>
        </w:rPr>
        <w:t> </w:t>
      </w:r>
      <w:r>
        <w:rPr>
          <w:color w:val="231F20"/>
          <w:w w:val="110"/>
        </w:rPr>
        <w:t>tanto relaciones sociales que operan sobre la demanda de bienes y servi-</w:t>
      </w:r>
      <w:r>
        <w:rPr>
          <w:color w:val="231F20"/>
          <w:w w:val="93"/>
        </w:rPr>
        <w:t> </w:t>
      </w:r>
      <w:r>
        <w:rPr>
          <w:color w:val="231F20"/>
          <w:w w:val="110"/>
        </w:rPr>
        <w:t>cios, la reproducción de la fuerza de trabajo y las relaciones de la vida</w:t>
      </w:r>
      <w:r>
        <w:rPr>
          <w:color w:val="231F20"/>
          <w:w w:val="108"/>
        </w:rPr>
        <w:t> </w:t>
      </w:r>
      <w:r>
        <w:rPr>
          <w:color w:val="231F20"/>
          <w:w w:val="110"/>
        </w:rPr>
        <w:t>cotidiana, no quedan al margen de los procesos de reestructuración eco-</w:t>
      </w:r>
      <w:r>
        <w:rPr>
          <w:color w:val="231F20"/>
          <w:w w:val="93"/>
        </w:rPr>
        <w:t> </w:t>
      </w:r>
      <w:r>
        <w:rPr>
          <w:color w:val="231F20"/>
          <w:w w:val="110"/>
        </w:rPr>
        <w:t>nómica ni de las crisis recesivas que sufre la economía. De hecho, se pue-</w:t>
      </w:r>
      <w:r>
        <w:rPr>
          <w:color w:val="231F20"/>
          <w:w w:val="93"/>
        </w:rPr>
        <w:t> </w:t>
      </w:r>
      <w:r>
        <w:rPr>
          <w:color w:val="231F20"/>
          <w:w w:val="110"/>
        </w:rPr>
        <w:t>de pensar que los efectos del contexto macroeconómico sobre el ámbito</w:t>
      </w:r>
      <w:r>
        <w:rPr>
          <w:color w:val="231F20"/>
          <w:w w:val="108"/>
        </w:rPr>
        <w:t> </w:t>
      </w:r>
      <w:r>
        <w:rPr>
          <w:color w:val="231F20"/>
          <w:w w:val="110"/>
        </w:rPr>
        <w:t>familiar han  generado como respuesta un  componente importante  del</w:t>
      </w:r>
    </w:p>
    <w:p>
      <w:pPr>
        <w:pStyle w:val="BodyText"/>
        <w:ind w:left="124"/>
        <w:jc w:val="both"/>
      </w:pPr>
      <w:r>
        <w:rPr>
          <w:color w:val="231F20"/>
          <w:w w:val="110"/>
        </w:rPr>
        <w:t>cambio social de los últimos  años.</w:t>
      </w:r>
    </w:p>
    <w:p>
      <w:pPr>
        <w:pStyle w:val="BodyText"/>
        <w:spacing w:line="288" w:lineRule="auto" w:before="47"/>
        <w:ind w:left="124" w:right="113" w:firstLine="360"/>
        <w:jc w:val="both"/>
      </w:pPr>
      <w:r>
        <w:rPr>
          <w:color w:val="231F20"/>
          <w:w w:val="110"/>
        </w:rPr>
        <w:t>La forma de organización de la vida social en las unidades entrevista- das</w:t>
      </w:r>
      <w:r>
        <w:rPr>
          <w:color w:val="231F20"/>
          <w:spacing w:val="-14"/>
          <w:w w:val="110"/>
        </w:rPr>
        <w:t> </w:t>
      </w:r>
      <w:r>
        <w:rPr>
          <w:color w:val="231F20"/>
          <w:w w:val="110"/>
        </w:rPr>
        <w:t>ha</w:t>
      </w:r>
      <w:r>
        <w:rPr>
          <w:color w:val="231F20"/>
          <w:spacing w:val="-14"/>
          <w:w w:val="110"/>
        </w:rPr>
        <w:t> </w:t>
      </w:r>
      <w:r>
        <w:rPr>
          <w:color w:val="231F20"/>
          <w:w w:val="110"/>
        </w:rPr>
        <w:t>estado</w:t>
      </w:r>
      <w:r>
        <w:rPr>
          <w:color w:val="231F20"/>
          <w:spacing w:val="-14"/>
          <w:w w:val="110"/>
        </w:rPr>
        <w:t> </w:t>
      </w:r>
      <w:r>
        <w:rPr>
          <w:color w:val="231F20"/>
          <w:w w:val="110"/>
        </w:rPr>
        <w:t>caracterizada</w:t>
      </w:r>
      <w:r>
        <w:rPr>
          <w:color w:val="231F20"/>
          <w:spacing w:val="-14"/>
          <w:w w:val="110"/>
        </w:rPr>
        <w:t> </w:t>
      </w:r>
      <w:r>
        <w:rPr>
          <w:color w:val="231F20"/>
          <w:w w:val="110"/>
        </w:rPr>
        <w:t>por</w:t>
      </w:r>
      <w:r>
        <w:rPr>
          <w:color w:val="231F20"/>
          <w:spacing w:val="-14"/>
          <w:w w:val="110"/>
        </w:rPr>
        <w:t> </w:t>
      </w:r>
      <w:r>
        <w:rPr>
          <w:color w:val="231F20"/>
          <w:w w:val="110"/>
        </w:rPr>
        <w:t>situaciones</w:t>
      </w:r>
      <w:r>
        <w:rPr>
          <w:color w:val="231F20"/>
          <w:spacing w:val="-14"/>
          <w:w w:val="110"/>
        </w:rPr>
        <w:t> </w:t>
      </w:r>
      <w:r>
        <w:rPr>
          <w:color w:val="231F20"/>
          <w:w w:val="110"/>
        </w:rPr>
        <w:t>de</w:t>
      </w:r>
      <w:r>
        <w:rPr>
          <w:color w:val="231F20"/>
          <w:spacing w:val="-14"/>
          <w:w w:val="110"/>
        </w:rPr>
        <w:t> </w:t>
      </w:r>
      <w:r>
        <w:rPr>
          <w:color w:val="231F20"/>
          <w:w w:val="110"/>
        </w:rPr>
        <w:t>pluralidad,</w:t>
      </w:r>
      <w:r>
        <w:rPr>
          <w:color w:val="231F20"/>
          <w:spacing w:val="-14"/>
          <w:w w:val="110"/>
        </w:rPr>
        <w:t> </w:t>
      </w:r>
      <w:r>
        <w:rPr>
          <w:color w:val="231F20"/>
          <w:w w:val="110"/>
        </w:rPr>
        <w:t>diferencias,</w:t>
      </w:r>
      <w:r>
        <w:rPr>
          <w:color w:val="231F20"/>
          <w:spacing w:val="-14"/>
          <w:w w:val="110"/>
        </w:rPr>
        <w:t> </w:t>
      </w:r>
      <w:r>
        <w:rPr>
          <w:color w:val="231F20"/>
          <w:w w:val="110"/>
        </w:rPr>
        <w:t>hete- rogeneidad</w:t>
      </w:r>
      <w:r>
        <w:rPr>
          <w:color w:val="231F20"/>
          <w:spacing w:val="-6"/>
          <w:w w:val="110"/>
        </w:rPr>
        <w:t> </w:t>
      </w:r>
      <w:r>
        <w:rPr>
          <w:color w:val="231F20"/>
          <w:w w:val="110"/>
        </w:rPr>
        <w:t>y</w:t>
      </w:r>
      <w:r>
        <w:rPr>
          <w:color w:val="231F20"/>
          <w:spacing w:val="-6"/>
          <w:w w:val="110"/>
        </w:rPr>
        <w:t> </w:t>
      </w:r>
      <w:r>
        <w:rPr>
          <w:color w:val="231F20"/>
          <w:w w:val="110"/>
        </w:rPr>
        <w:t>diversidad.</w:t>
      </w:r>
      <w:r>
        <w:rPr>
          <w:color w:val="231F20"/>
          <w:spacing w:val="-6"/>
          <w:w w:val="110"/>
        </w:rPr>
        <w:t> </w:t>
      </w:r>
      <w:r>
        <w:rPr>
          <w:color w:val="231F20"/>
          <w:w w:val="110"/>
        </w:rPr>
        <w:t>Y</w:t>
      </w:r>
      <w:r>
        <w:rPr>
          <w:color w:val="231F20"/>
          <w:spacing w:val="-6"/>
          <w:w w:val="110"/>
        </w:rPr>
        <w:t> </w:t>
      </w:r>
      <w:r>
        <w:rPr>
          <w:color w:val="231F20"/>
          <w:w w:val="110"/>
        </w:rPr>
        <w:t>esa</w:t>
      </w:r>
      <w:r>
        <w:rPr>
          <w:color w:val="231F20"/>
          <w:spacing w:val="-6"/>
          <w:w w:val="110"/>
        </w:rPr>
        <w:t> </w:t>
      </w:r>
      <w:r>
        <w:rPr>
          <w:color w:val="231F20"/>
          <w:w w:val="110"/>
        </w:rPr>
        <w:t>diversidad</w:t>
      </w:r>
      <w:r>
        <w:rPr>
          <w:color w:val="231F20"/>
          <w:spacing w:val="-6"/>
          <w:w w:val="110"/>
        </w:rPr>
        <w:t> </w:t>
      </w:r>
      <w:r>
        <w:rPr>
          <w:color w:val="231F20"/>
          <w:w w:val="110"/>
        </w:rPr>
        <w:t>se</w:t>
      </w:r>
      <w:r>
        <w:rPr>
          <w:color w:val="231F20"/>
          <w:spacing w:val="-6"/>
          <w:w w:val="110"/>
        </w:rPr>
        <w:t> </w:t>
      </w:r>
      <w:r>
        <w:rPr>
          <w:color w:val="231F20"/>
          <w:w w:val="110"/>
        </w:rPr>
        <w:t>ha</w:t>
      </w:r>
      <w:r>
        <w:rPr>
          <w:color w:val="231F20"/>
          <w:spacing w:val="-6"/>
          <w:w w:val="110"/>
        </w:rPr>
        <w:t> </w:t>
      </w:r>
      <w:r>
        <w:rPr>
          <w:color w:val="231F20"/>
          <w:w w:val="110"/>
        </w:rPr>
        <w:t>reflejado</w:t>
      </w:r>
      <w:r>
        <w:rPr>
          <w:color w:val="231F20"/>
          <w:spacing w:val="-6"/>
          <w:w w:val="110"/>
        </w:rPr>
        <w:t> </w:t>
      </w:r>
      <w:r>
        <w:rPr>
          <w:color w:val="231F20"/>
          <w:w w:val="110"/>
        </w:rPr>
        <w:t>en</w:t>
      </w:r>
      <w:r>
        <w:rPr>
          <w:color w:val="231F20"/>
          <w:spacing w:val="-6"/>
          <w:w w:val="110"/>
        </w:rPr>
        <w:t> </w:t>
      </w:r>
      <w:r>
        <w:rPr>
          <w:color w:val="231F20"/>
          <w:w w:val="110"/>
        </w:rPr>
        <w:t>aspectos</w:t>
      </w:r>
      <w:r>
        <w:rPr>
          <w:color w:val="231F20"/>
          <w:spacing w:val="-6"/>
          <w:w w:val="110"/>
        </w:rPr>
        <w:t> </w:t>
      </w:r>
      <w:r>
        <w:rPr>
          <w:color w:val="231F20"/>
          <w:w w:val="110"/>
        </w:rPr>
        <w:t>como la pluralidad de arreglos domésticos, de estilos de vida, diferencias por género y por</w:t>
      </w:r>
      <w:r>
        <w:rPr>
          <w:color w:val="231F20"/>
          <w:spacing w:val="31"/>
          <w:w w:val="110"/>
        </w:rPr>
        <w:t> </w:t>
      </w:r>
      <w:r>
        <w:rPr>
          <w:color w:val="231F20"/>
          <w:w w:val="110"/>
        </w:rPr>
        <w:t>generaciones.</w:t>
      </w:r>
    </w:p>
    <w:p>
      <w:pPr>
        <w:pStyle w:val="BodyText"/>
        <w:spacing w:line="288" w:lineRule="auto"/>
        <w:ind w:left="124" w:right="112" w:firstLine="360"/>
        <w:jc w:val="both"/>
      </w:pPr>
      <w:r>
        <w:rPr>
          <w:color w:val="231F20"/>
          <w:w w:val="110"/>
        </w:rPr>
        <w:t>Evidentemente, esta heterogeneidad no es un fenómeno nuevo.</w:t>
      </w:r>
      <w:r>
        <w:rPr>
          <w:color w:val="231F20"/>
          <w:spacing w:val="-18"/>
          <w:w w:val="110"/>
        </w:rPr>
        <w:t> </w:t>
      </w:r>
      <w:r>
        <w:rPr>
          <w:color w:val="231F20"/>
          <w:w w:val="110"/>
        </w:rPr>
        <w:t>Enton- ces, ¿qué significado tiene en el ámbito de la unidad doméstica que com- parte</w:t>
      </w:r>
      <w:r>
        <w:rPr>
          <w:color w:val="231F20"/>
          <w:spacing w:val="-7"/>
          <w:w w:val="110"/>
        </w:rPr>
        <w:t> </w:t>
      </w:r>
      <w:r>
        <w:rPr>
          <w:color w:val="231F20"/>
          <w:w w:val="110"/>
        </w:rPr>
        <w:t>el</w:t>
      </w:r>
      <w:r>
        <w:rPr>
          <w:color w:val="231F20"/>
          <w:spacing w:val="-7"/>
          <w:w w:val="110"/>
        </w:rPr>
        <w:t> </w:t>
      </w:r>
      <w:r>
        <w:rPr>
          <w:color w:val="231F20"/>
          <w:w w:val="110"/>
        </w:rPr>
        <w:t>espacio</w:t>
      </w:r>
      <w:r>
        <w:rPr>
          <w:color w:val="231F20"/>
          <w:spacing w:val="-7"/>
          <w:w w:val="110"/>
        </w:rPr>
        <w:t> </w:t>
      </w:r>
      <w:r>
        <w:rPr>
          <w:color w:val="231F20"/>
          <w:w w:val="110"/>
        </w:rPr>
        <w:t>de</w:t>
      </w:r>
      <w:r>
        <w:rPr>
          <w:color w:val="231F20"/>
          <w:spacing w:val="-7"/>
          <w:w w:val="110"/>
        </w:rPr>
        <w:t> </w:t>
      </w:r>
      <w:r>
        <w:rPr>
          <w:color w:val="231F20"/>
          <w:w w:val="110"/>
        </w:rPr>
        <w:t>trabajo?,</w:t>
      </w:r>
      <w:r>
        <w:rPr>
          <w:color w:val="231F20"/>
          <w:spacing w:val="-7"/>
          <w:w w:val="110"/>
        </w:rPr>
        <w:t> </w:t>
      </w:r>
      <w:r>
        <w:rPr>
          <w:color w:val="231F20"/>
          <w:w w:val="110"/>
        </w:rPr>
        <w:t>¿qué</w:t>
      </w:r>
      <w:r>
        <w:rPr>
          <w:color w:val="231F20"/>
          <w:spacing w:val="-7"/>
          <w:w w:val="110"/>
        </w:rPr>
        <w:t> </w:t>
      </w:r>
      <w:r>
        <w:rPr>
          <w:color w:val="231F20"/>
          <w:w w:val="110"/>
        </w:rPr>
        <w:t>supone</w:t>
      </w:r>
      <w:r>
        <w:rPr>
          <w:color w:val="231F20"/>
          <w:spacing w:val="-7"/>
          <w:w w:val="110"/>
        </w:rPr>
        <w:t> </w:t>
      </w:r>
      <w:r>
        <w:rPr>
          <w:color w:val="231F20"/>
          <w:w w:val="110"/>
        </w:rPr>
        <w:t>la</w:t>
      </w:r>
      <w:r>
        <w:rPr>
          <w:color w:val="231F20"/>
          <w:spacing w:val="-7"/>
          <w:w w:val="110"/>
        </w:rPr>
        <w:t> </w:t>
      </w:r>
      <w:r>
        <w:rPr>
          <w:color w:val="231F20"/>
          <w:w w:val="110"/>
        </w:rPr>
        <w:t>diversidad</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propia</w:t>
      </w:r>
      <w:r>
        <w:rPr>
          <w:color w:val="231F20"/>
          <w:spacing w:val="-7"/>
          <w:w w:val="110"/>
        </w:rPr>
        <w:t> </w:t>
      </w:r>
      <w:r>
        <w:rPr>
          <w:color w:val="231F20"/>
          <w:w w:val="110"/>
        </w:rPr>
        <w:t>percep- ción de los integrantes de esta unidad doméstica?, ¿cómo pueden convivir individuos diferentes y autónomos?, ¿cómo es posible que en la unidad doméstica surja la solidaridad a partir no de la semejanza sino de la dife- rencia?, ¿cómo logra la unidad doméstica imponerse a individuos que se suponen libres y</w:t>
      </w:r>
      <w:r>
        <w:rPr>
          <w:color w:val="231F20"/>
          <w:spacing w:val="30"/>
          <w:w w:val="110"/>
        </w:rPr>
        <w:t> </w:t>
      </w:r>
      <w:r>
        <w:rPr>
          <w:color w:val="231F20"/>
          <w:w w:val="110"/>
        </w:rPr>
        <w:t>autónomos?</w:t>
      </w:r>
    </w:p>
    <w:p>
      <w:pPr>
        <w:pStyle w:val="BodyText"/>
        <w:spacing w:line="288" w:lineRule="auto"/>
        <w:ind w:left="124" w:right="113" w:firstLine="360"/>
        <w:jc w:val="both"/>
      </w:pPr>
      <w:r>
        <w:rPr>
          <w:color w:val="231F20"/>
          <w:w w:val="110"/>
        </w:rPr>
        <w:t>La división del trabajo, en la medida en que representa una</w:t>
      </w:r>
      <w:r>
        <w:rPr>
          <w:color w:val="231F20"/>
          <w:spacing w:val="-12"/>
          <w:w w:val="110"/>
        </w:rPr>
        <w:t> </w:t>
      </w:r>
      <w:r>
        <w:rPr>
          <w:color w:val="231F20"/>
          <w:w w:val="110"/>
        </w:rPr>
        <w:t>separación de</w:t>
      </w:r>
      <w:r>
        <w:rPr>
          <w:color w:val="231F20"/>
          <w:spacing w:val="-13"/>
          <w:w w:val="110"/>
        </w:rPr>
        <w:t> </w:t>
      </w:r>
      <w:r>
        <w:rPr>
          <w:color w:val="231F20"/>
          <w:spacing w:val="-4"/>
          <w:w w:val="110"/>
        </w:rPr>
        <w:t>funciones,</w:t>
      </w:r>
      <w:r>
        <w:rPr>
          <w:color w:val="231F20"/>
          <w:spacing w:val="-13"/>
          <w:w w:val="110"/>
        </w:rPr>
        <w:t> </w:t>
      </w:r>
      <w:r>
        <w:rPr>
          <w:color w:val="231F20"/>
          <w:spacing w:val="-4"/>
          <w:w w:val="110"/>
        </w:rPr>
        <w:t>¿implica</w:t>
      </w:r>
      <w:r>
        <w:rPr>
          <w:color w:val="231F20"/>
          <w:spacing w:val="-13"/>
          <w:w w:val="110"/>
        </w:rPr>
        <w:t> </w:t>
      </w:r>
      <w:r>
        <w:rPr>
          <w:color w:val="231F20"/>
          <w:w w:val="110"/>
        </w:rPr>
        <w:t>un</w:t>
      </w:r>
      <w:r>
        <w:rPr>
          <w:color w:val="231F20"/>
          <w:spacing w:val="-13"/>
          <w:w w:val="110"/>
        </w:rPr>
        <w:t> </w:t>
      </w:r>
      <w:r>
        <w:rPr>
          <w:color w:val="231F20"/>
          <w:spacing w:val="-4"/>
          <w:w w:val="110"/>
        </w:rPr>
        <w:t>cierto</w:t>
      </w:r>
      <w:r>
        <w:rPr>
          <w:color w:val="231F20"/>
          <w:spacing w:val="-13"/>
          <w:w w:val="110"/>
        </w:rPr>
        <w:t> </w:t>
      </w:r>
      <w:r>
        <w:rPr>
          <w:color w:val="231F20"/>
          <w:spacing w:val="-4"/>
          <w:w w:val="110"/>
        </w:rPr>
        <w:t>debilitamiento</w:t>
      </w:r>
      <w:r>
        <w:rPr>
          <w:color w:val="231F20"/>
          <w:spacing w:val="-13"/>
          <w:w w:val="110"/>
        </w:rPr>
        <w:t> </w:t>
      </w:r>
      <w:r>
        <w:rPr>
          <w:color w:val="231F20"/>
          <w:w w:val="110"/>
        </w:rPr>
        <w:t>de</w:t>
      </w:r>
      <w:r>
        <w:rPr>
          <w:color w:val="231F20"/>
          <w:spacing w:val="-13"/>
          <w:w w:val="110"/>
        </w:rPr>
        <w:t> </w:t>
      </w:r>
      <w:r>
        <w:rPr>
          <w:color w:val="231F20"/>
          <w:spacing w:val="-3"/>
          <w:w w:val="110"/>
        </w:rPr>
        <w:t>los</w:t>
      </w:r>
      <w:r>
        <w:rPr>
          <w:color w:val="231F20"/>
          <w:spacing w:val="-13"/>
          <w:w w:val="110"/>
        </w:rPr>
        <w:t> </w:t>
      </w:r>
      <w:r>
        <w:rPr>
          <w:color w:val="231F20"/>
          <w:spacing w:val="-4"/>
          <w:w w:val="110"/>
        </w:rPr>
        <w:t>vínculos</w:t>
      </w:r>
      <w:r>
        <w:rPr>
          <w:color w:val="231F20"/>
          <w:spacing w:val="-13"/>
          <w:w w:val="110"/>
        </w:rPr>
        <w:t> </w:t>
      </w:r>
      <w:r>
        <w:rPr>
          <w:color w:val="231F20"/>
          <w:w w:val="110"/>
        </w:rPr>
        <w:t>de</w:t>
      </w:r>
      <w:r>
        <w:rPr>
          <w:color w:val="231F20"/>
          <w:spacing w:val="-13"/>
          <w:w w:val="110"/>
        </w:rPr>
        <w:t> </w:t>
      </w:r>
      <w:r>
        <w:rPr>
          <w:color w:val="231F20"/>
          <w:spacing w:val="-4"/>
          <w:w w:val="110"/>
        </w:rPr>
        <w:t>parentesco?,</w:t>
      </w:r>
    </w:p>
    <w:p>
      <w:pPr>
        <w:pStyle w:val="BodyText"/>
        <w:spacing w:line="288" w:lineRule="auto"/>
        <w:ind w:left="124" w:right="112"/>
        <w:jc w:val="both"/>
      </w:pPr>
      <w:r>
        <w:rPr>
          <w:color w:val="231F20"/>
          <w:w w:val="110"/>
        </w:rPr>
        <w:t>¿cómo se concilia en los individuos el nexo entre el individualismo (base y requisito para la afirmación de la división del trabajo) y la subordinación</w:t>
      </w:r>
      <w:r>
        <w:rPr>
          <w:color w:val="231F20"/>
          <w:spacing w:val="-20"/>
          <w:w w:val="110"/>
        </w:rPr>
        <w:t> </w:t>
      </w:r>
      <w:r>
        <w:rPr>
          <w:color w:val="231F20"/>
          <w:w w:val="110"/>
        </w:rPr>
        <w:t>a la unidad doméstica?, ¿cómo se ordena e integra esta pluralidad?, ¿cuál es el elemento que permite dar cuenta de la forma en que la unidad domésti- ca se integra al trabajo en el micronegocio?, ¿mediante qué mecanismos</w:t>
      </w:r>
      <w:r>
        <w:rPr>
          <w:color w:val="231F20"/>
          <w:spacing w:val="-8"/>
          <w:w w:val="110"/>
        </w:rPr>
        <w:t> </w:t>
      </w:r>
      <w:r>
        <w:rPr>
          <w:color w:val="231F20"/>
          <w:w w:val="110"/>
        </w:rPr>
        <w:t>se produce esta</w:t>
      </w:r>
      <w:r>
        <w:rPr>
          <w:color w:val="231F20"/>
          <w:spacing w:val="-7"/>
          <w:w w:val="110"/>
        </w:rPr>
        <w:t> </w:t>
      </w:r>
      <w:r>
        <w:rPr>
          <w:color w:val="231F20"/>
          <w:w w:val="110"/>
        </w:rPr>
        <w:t>integración?</w:t>
      </w:r>
    </w:p>
    <w:p>
      <w:pPr>
        <w:pStyle w:val="BodyText"/>
        <w:spacing w:line="288" w:lineRule="auto"/>
        <w:ind w:left="124" w:right="112" w:firstLine="360"/>
        <w:jc w:val="both"/>
      </w:pPr>
      <w:r>
        <w:rPr>
          <w:color w:val="231F20"/>
          <w:w w:val="110"/>
        </w:rPr>
        <w:t>Las entrevistas han resaltado que una de las situaciones más proble- </w:t>
      </w:r>
      <w:r>
        <w:rPr>
          <w:color w:val="231F20"/>
          <w:spacing w:val="3"/>
          <w:w w:val="110"/>
        </w:rPr>
        <w:t>máticas </w:t>
      </w:r>
      <w:r>
        <w:rPr>
          <w:color w:val="231F20"/>
          <w:spacing w:val="2"/>
          <w:w w:val="110"/>
        </w:rPr>
        <w:t>que </w:t>
      </w:r>
      <w:r>
        <w:rPr>
          <w:color w:val="231F20"/>
          <w:spacing w:val="3"/>
          <w:w w:val="110"/>
        </w:rPr>
        <w:t>deben enfrentar estos negocios está </w:t>
      </w:r>
      <w:r>
        <w:rPr>
          <w:color w:val="231F20"/>
          <w:w w:val="110"/>
        </w:rPr>
        <w:t>en </w:t>
      </w:r>
      <w:r>
        <w:rPr>
          <w:color w:val="231F20"/>
          <w:spacing w:val="3"/>
          <w:w w:val="110"/>
        </w:rPr>
        <w:t>lograr </w:t>
      </w:r>
      <w:r>
        <w:rPr>
          <w:color w:val="231F20"/>
          <w:spacing w:val="2"/>
          <w:w w:val="110"/>
        </w:rPr>
        <w:t>que los indi- </w:t>
      </w:r>
      <w:r>
        <w:rPr>
          <w:color w:val="231F20"/>
          <w:w w:val="110"/>
        </w:rPr>
        <w:t>viduos</w:t>
      </w:r>
      <w:r>
        <w:rPr>
          <w:color w:val="231F20"/>
          <w:spacing w:val="-10"/>
          <w:w w:val="110"/>
        </w:rPr>
        <w:t> </w:t>
      </w:r>
      <w:r>
        <w:rPr>
          <w:color w:val="231F20"/>
          <w:w w:val="110"/>
        </w:rPr>
        <w:t>compartan</w:t>
      </w:r>
      <w:r>
        <w:rPr>
          <w:color w:val="231F20"/>
          <w:spacing w:val="-10"/>
          <w:w w:val="110"/>
        </w:rPr>
        <w:t> </w:t>
      </w:r>
      <w:r>
        <w:rPr>
          <w:color w:val="231F20"/>
          <w:w w:val="110"/>
        </w:rPr>
        <w:t>el</w:t>
      </w:r>
      <w:r>
        <w:rPr>
          <w:color w:val="231F20"/>
          <w:spacing w:val="-10"/>
          <w:w w:val="110"/>
        </w:rPr>
        <w:t> </w:t>
      </w:r>
      <w:r>
        <w:rPr>
          <w:color w:val="231F20"/>
          <w:w w:val="110"/>
        </w:rPr>
        <w:t>sistema</w:t>
      </w:r>
      <w:r>
        <w:rPr>
          <w:color w:val="231F20"/>
          <w:spacing w:val="-10"/>
          <w:w w:val="110"/>
        </w:rPr>
        <w:t> </w:t>
      </w:r>
      <w:r>
        <w:rPr>
          <w:color w:val="231F20"/>
          <w:w w:val="110"/>
        </w:rPr>
        <w:t>normativo</w:t>
      </w:r>
      <w:r>
        <w:rPr>
          <w:color w:val="231F20"/>
          <w:spacing w:val="-10"/>
          <w:w w:val="110"/>
        </w:rPr>
        <w:t> </w:t>
      </w:r>
      <w:r>
        <w:rPr>
          <w:color w:val="231F20"/>
          <w:w w:val="110"/>
        </w:rPr>
        <w:t>y</w:t>
      </w:r>
      <w:r>
        <w:rPr>
          <w:color w:val="231F20"/>
          <w:spacing w:val="-10"/>
          <w:w w:val="110"/>
        </w:rPr>
        <w:t> </w:t>
      </w:r>
      <w:r>
        <w:rPr>
          <w:color w:val="231F20"/>
          <w:w w:val="110"/>
        </w:rPr>
        <w:t>de</w:t>
      </w:r>
      <w:r>
        <w:rPr>
          <w:color w:val="231F20"/>
          <w:spacing w:val="-10"/>
          <w:w w:val="110"/>
        </w:rPr>
        <w:t> </w:t>
      </w:r>
      <w:r>
        <w:rPr>
          <w:color w:val="231F20"/>
          <w:w w:val="110"/>
        </w:rPr>
        <w:t>valores</w:t>
      </w:r>
      <w:r>
        <w:rPr>
          <w:color w:val="231F20"/>
          <w:spacing w:val="-10"/>
          <w:w w:val="110"/>
        </w:rPr>
        <w:t> </w:t>
      </w:r>
      <w:r>
        <w:rPr>
          <w:color w:val="231F20"/>
          <w:w w:val="110"/>
        </w:rPr>
        <w:t>presentes</w:t>
      </w:r>
      <w:r>
        <w:rPr>
          <w:color w:val="231F20"/>
          <w:spacing w:val="-10"/>
          <w:w w:val="110"/>
        </w:rPr>
        <w:t> </w:t>
      </w:r>
      <w:r>
        <w:rPr>
          <w:color w:val="231F20"/>
          <w:w w:val="110"/>
        </w:rPr>
        <w:t>en</w:t>
      </w:r>
      <w:r>
        <w:rPr>
          <w:color w:val="231F20"/>
          <w:spacing w:val="-10"/>
          <w:w w:val="110"/>
        </w:rPr>
        <w:t> </w:t>
      </w:r>
      <w:r>
        <w:rPr>
          <w:color w:val="231F20"/>
          <w:w w:val="110"/>
        </w:rPr>
        <w:t>la</w:t>
      </w:r>
      <w:r>
        <w:rPr>
          <w:color w:val="231F20"/>
          <w:spacing w:val="-10"/>
          <w:w w:val="110"/>
        </w:rPr>
        <w:t> </w:t>
      </w:r>
      <w:r>
        <w:rPr>
          <w:color w:val="231F20"/>
          <w:w w:val="110"/>
        </w:rPr>
        <w:t>unidad doméstica.</w:t>
      </w:r>
    </w:p>
    <w:p>
      <w:pPr>
        <w:spacing w:after="0" w:line="288" w:lineRule="auto"/>
        <w:jc w:val="both"/>
        <w:sectPr>
          <w:pgSz w:w="9520" w:h="12920"/>
          <w:pgMar w:header="0" w:footer="1344" w:top="880" w:bottom="1540" w:left="1320" w:right="1000"/>
        </w:sectPr>
      </w:pPr>
    </w:p>
    <w:p>
      <w:pPr>
        <w:pStyle w:val="BodyText"/>
        <w:spacing w:line="288" w:lineRule="auto" w:before="42"/>
        <w:ind w:left="100" w:right="117" w:firstLine="360"/>
        <w:jc w:val="both"/>
      </w:pPr>
      <w:r>
        <w:rPr>
          <w:color w:val="231F20"/>
          <w:w w:val="110"/>
        </w:rPr>
        <w:t>En</w:t>
      </w:r>
      <w:r>
        <w:rPr>
          <w:color w:val="231F20"/>
          <w:spacing w:val="-4"/>
          <w:w w:val="110"/>
        </w:rPr>
        <w:t> </w:t>
      </w:r>
      <w:r>
        <w:rPr>
          <w:color w:val="231F20"/>
          <w:w w:val="110"/>
        </w:rPr>
        <w:t>este</w:t>
      </w:r>
      <w:r>
        <w:rPr>
          <w:color w:val="231F20"/>
          <w:spacing w:val="-4"/>
          <w:w w:val="110"/>
        </w:rPr>
        <w:t> </w:t>
      </w:r>
      <w:r>
        <w:rPr>
          <w:color w:val="231F20"/>
          <w:w w:val="110"/>
        </w:rPr>
        <w:t>sentido,</w:t>
      </w:r>
      <w:r>
        <w:rPr>
          <w:color w:val="231F20"/>
          <w:spacing w:val="-4"/>
          <w:w w:val="110"/>
        </w:rPr>
        <w:t> </w:t>
      </w:r>
      <w:r>
        <w:rPr>
          <w:color w:val="231F20"/>
          <w:w w:val="110"/>
        </w:rPr>
        <w:t>y</w:t>
      </w:r>
      <w:r>
        <w:rPr>
          <w:color w:val="231F20"/>
          <w:spacing w:val="-4"/>
          <w:w w:val="110"/>
        </w:rPr>
        <w:t> </w:t>
      </w:r>
      <w:r>
        <w:rPr>
          <w:color w:val="231F20"/>
          <w:w w:val="110"/>
        </w:rPr>
        <w:t>en</w:t>
      </w:r>
      <w:r>
        <w:rPr>
          <w:color w:val="231F20"/>
          <w:spacing w:val="-4"/>
          <w:w w:val="110"/>
        </w:rPr>
        <w:t> </w:t>
      </w:r>
      <w:r>
        <w:rPr>
          <w:color w:val="231F20"/>
          <w:w w:val="110"/>
        </w:rPr>
        <w:t>la</w:t>
      </w:r>
      <w:r>
        <w:rPr>
          <w:color w:val="231F20"/>
          <w:spacing w:val="-4"/>
          <w:w w:val="110"/>
        </w:rPr>
        <w:t> </w:t>
      </w:r>
      <w:r>
        <w:rPr>
          <w:color w:val="231F20"/>
          <w:w w:val="110"/>
        </w:rPr>
        <w:t>línea</w:t>
      </w:r>
      <w:r>
        <w:rPr>
          <w:color w:val="231F20"/>
          <w:spacing w:val="-4"/>
          <w:w w:val="110"/>
        </w:rPr>
        <w:t> </w:t>
      </w:r>
      <w:r>
        <w:rPr>
          <w:color w:val="231F20"/>
          <w:w w:val="110"/>
        </w:rPr>
        <w:t>propuesta</w:t>
      </w:r>
      <w:r>
        <w:rPr>
          <w:color w:val="231F20"/>
          <w:spacing w:val="-4"/>
          <w:w w:val="110"/>
        </w:rPr>
        <w:t> </w:t>
      </w:r>
      <w:r>
        <w:rPr>
          <w:color w:val="231F20"/>
          <w:w w:val="110"/>
        </w:rPr>
        <w:t>por</w:t>
      </w:r>
      <w:r>
        <w:rPr>
          <w:color w:val="231F20"/>
          <w:spacing w:val="-4"/>
          <w:w w:val="110"/>
        </w:rPr>
        <w:t> </w:t>
      </w:r>
      <w:r>
        <w:rPr>
          <w:color w:val="231F20"/>
          <w:w w:val="110"/>
        </w:rPr>
        <w:t>Durkheim,</w:t>
      </w:r>
      <w:r>
        <w:rPr>
          <w:color w:val="231F20"/>
          <w:spacing w:val="-4"/>
          <w:w w:val="110"/>
        </w:rPr>
        <w:t> </w:t>
      </w:r>
      <w:r>
        <w:rPr>
          <w:color w:val="231F20"/>
          <w:w w:val="110"/>
        </w:rPr>
        <w:t>se</w:t>
      </w:r>
      <w:r>
        <w:rPr>
          <w:color w:val="231F20"/>
          <w:spacing w:val="-4"/>
          <w:w w:val="110"/>
        </w:rPr>
        <w:t> </w:t>
      </w:r>
      <w:r>
        <w:rPr>
          <w:color w:val="231F20"/>
          <w:w w:val="110"/>
        </w:rPr>
        <w:t>puede</w:t>
      </w:r>
      <w:r>
        <w:rPr>
          <w:color w:val="231F20"/>
          <w:spacing w:val="-4"/>
          <w:w w:val="110"/>
        </w:rPr>
        <w:t> </w:t>
      </w:r>
      <w:r>
        <w:rPr>
          <w:color w:val="231F20"/>
          <w:w w:val="110"/>
        </w:rPr>
        <w:t>pensar que la división del trabajo logra construir y afianzar la  cohesión:</w:t>
      </w:r>
    </w:p>
    <w:p>
      <w:pPr>
        <w:pStyle w:val="BodyText"/>
        <w:rPr>
          <w:sz w:val="16"/>
        </w:rPr>
      </w:pPr>
    </w:p>
    <w:p>
      <w:pPr>
        <w:spacing w:line="283" w:lineRule="auto" w:before="0"/>
        <w:ind w:left="460" w:right="117" w:firstLine="0"/>
        <w:jc w:val="both"/>
        <w:rPr>
          <w:sz w:val="18"/>
        </w:rPr>
      </w:pPr>
      <w:r>
        <w:rPr>
          <w:color w:val="231F20"/>
          <w:w w:val="110"/>
          <w:sz w:val="18"/>
        </w:rPr>
        <w:t>la</w:t>
      </w:r>
      <w:r>
        <w:rPr>
          <w:color w:val="231F20"/>
          <w:spacing w:val="-5"/>
          <w:w w:val="110"/>
          <w:sz w:val="18"/>
        </w:rPr>
        <w:t> </w:t>
      </w:r>
      <w:r>
        <w:rPr>
          <w:color w:val="231F20"/>
          <w:w w:val="110"/>
          <w:sz w:val="18"/>
        </w:rPr>
        <w:t>división</w:t>
      </w:r>
      <w:r>
        <w:rPr>
          <w:color w:val="231F20"/>
          <w:spacing w:val="-5"/>
          <w:w w:val="110"/>
          <w:sz w:val="18"/>
        </w:rPr>
        <w:t> </w:t>
      </w:r>
      <w:r>
        <w:rPr>
          <w:color w:val="231F20"/>
          <w:w w:val="110"/>
          <w:sz w:val="18"/>
        </w:rPr>
        <w:t>del</w:t>
      </w:r>
      <w:r>
        <w:rPr>
          <w:color w:val="231F20"/>
          <w:spacing w:val="-5"/>
          <w:w w:val="110"/>
          <w:sz w:val="18"/>
        </w:rPr>
        <w:t> </w:t>
      </w:r>
      <w:r>
        <w:rPr>
          <w:color w:val="231F20"/>
          <w:w w:val="110"/>
          <w:sz w:val="18"/>
        </w:rPr>
        <w:t>trabajo</w:t>
      </w:r>
      <w:r>
        <w:rPr>
          <w:color w:val="231F20"/>
          <w:spacing w:val="-5"/>
          <w:w w:val="110"/>
          <w:sz w:val="18"/>
        </w:rPr>
        <w:t> </w:t>
      </w:r>
      <w:r>
        <w:rPr>
          <w:color w:val="231F20"/>
          <w:w w:val="110"/>
          <w:sz w:val="18"/>
        </w:rPr>
        <w:t>[…]</w:t>
      </w:r>
      <w:r>
        <w:rPr>
          <w:color w:val="231F20"/>
          <w:spacing w:val="-5"/>
          <w:w w:val="110"/>
          <w:sz w:val="18"/>
        </w:rPr>
        <w:t> </w:t>
      </w:r>
      <w:r>
        <w:rPr>
          <w:color w:val="231F20"/>
          <w:w w:val="110"/>
          <w:sz w:val="18"/>
        </w:rPr>
        <w:t>supone</w:t>
      </w:r>
      <w:r>
        <w:rPr>
          <w:color w:val="231F20"/>
          <w:spacing w:val="-5"/>
          <w:w w:val="110"/>
          <w:sz w:val="18"/>
        </w:rPr>
        <w:t> </w:t>
      </w:r>
      <w:r>
        <w:rPr>
          <w:color w:val="231F20"/>
          <w:w w:val="110"/>
          <w:sz w:val="18"/>
        </w:rPr>
        <w:t>el</w:t>
      </w:r>
      <w:r>
        <w:rPr>
          <w:color w:val="231F20"/>
          <w:spacing w:val="-5"/>
          <w:w w:val="110"/>
          <w:sz w:val="18"/>
        </w:rPr>
        <w:t> </w:t>
      </w:r>
      <w:r>
        <w:rPr>
          <w:color w:val="231F20"/>
          <w:w w:val="110"/>
          <w:sz w:val="18"/>
        </w:rPr>
        <w:t>desarrollo</w:t>
      </w:r>
      <w:r>
        <w:rPr>
          <w:color w:val="231F20"/>
          <w:spacing w:val="-5"/>
          <w:w w:val="110"/>
          <w:sz w:val="18"/>
        </w:rPr>
        <w:t> </w:t>
      </w:r>
      <w:r>
        <w:rPr>
          <w:color w:val="231F20"/>
          <w:w w:val="110"/>
          <w:sz w:val="18"/>
        </w:rPr>
        <w:t>de</w:t>
      </w:r>
      <w:r>
        <w:rPr>
          <w:color w:val="231F20"/>
          <w:spacing w:val="-5"/>
          <w:w w:val="110"/>
          <w:sz w:val="18"/>
        </w:rPr>
        <w:t> </w:t>
      </w:r>
      <w:r>
        <w:rPr>
          <w:color w:val="231F20"/>
          <w:w w:val="110"/>
          <w:sz w:val="18"/>
        </w:rPr>
        <w:t>las</w:t>
      </w:r>
      <w:r>
        <w:rPr>
          <w:color w:val="231F20"/>
          <w:spacing w:val="-5"/>
          <w:w w:val="110"/>
          <w:sz w:val="18"/>
        </w:rPr>
        <w:t> </w:t>
      </w:r>
      <w:r>
        <w:rPr>
          <w:color w:val="231F20"/>
          <w:w w:val="110"/>
          <w:sz w:val="18"/>
        </w:rPr>
        <w:t>diferencias</w:t>
      </w:r>
      <w:r>
        <w:rPr>
          <w:color w:val="231F20"/>
          <w:spacing w:val="-5"/>
          <w:w w:val="110"/>
          <w:sz w:val="18"/>
        </w:rPr>
        <w:t> </w:t>
      </w:r>
      <w:r>
        <w:rPr>
          <w:color w:val="231F20"/>
          <w:w w:val="110"/>
          <w:sz w:val="18"/>
        </w:rPr>
        <w:t>entre</w:t>
      </w:r>
      <w:r>
        <w:rPr>
          <w:color w:val="231F20"/>
          <w:spacing w:val="-5"/>
          <w:w w:val="110"/>
          <w:sz w:val="18"/>
        </w:rPr>
        <w:t> </w:t>
      </w:r>
      <w:r>
        <w:rPr>
          <w:color w:val="231F20"/>
          <w:w w:val="110"/>
          <w:sz w:val="18"/>
        </w:rPr>
        <w:t>los</w:t>
      </w:r>
      <w:r>
        <w:rPr>
          <w:color w:val="231F20"/>
          <w:spacing w:val="-5"/>
          <w:w w:val="110"/>
          <w:sz w:val="18"/>
        </w:rPr>
        <w:t> </w:t>
      </w:r>
      <w:r>
        <w:rPr>
          <w:color w:val="231F20"/>
          <w:w w:val="110"/>
          <w:sz w:val="18"/>
        </w:rPr>
        <w:t>indi- viduos, lo cual a su vez implica que los individuos son más libres, más autóno- mos y dotados de una pluralidad específica […] Es esta división la que garan- tiza la integración social, puesto que mientras que vuelve diversos entre sí a los individuos, al mismo tiempo los hace más dependientes o solidarios unos con</w:t>
      </w:r>
      <w:r>
        <w:rPr>
          <w:color w:val="231F20"/>
          <w:spacing w:val="14"/>
          <w:w w:val="110"/>
          <w:sz w:val="18"/>
        </w:rPr>
        <w:t> </w:t>
      </w:r>
      <w:r>
        <w:rPr>
          <w:color w:val="231F20"/>
          <w:w w:val="110"/>
          <w:sz w:val="18"/>
        </w:rPr>
        <w:t>otros.</w:t>
      </w:r>
    </w:p>
    <w:p>
      <w:pPr>
        <w:pStyle w:val="BodyText"/>
        <w:spacing w:before="7"/>
        <w:rPr>
          <w:sz w:val="21"/>
        </w:rPr>
      </w:pPr>
    </w:p>
    <w:p>
      <w:pPr>
        <w:pStyle w:val="BodyText"/>
        <w:spacing w:line="288" w:lineRule="auto"/>
        <w:ind w:left="100" w:right="117" w:firstLine="360"/>
        <w:jc w:val="both"/>
      </w:pPr>
      <w:r>
        <w:rPr>
          <w:color w:val="231F20"/>
          <w:w w:val="110"/>
        </w:rPr>
        <w:t>De esta forma, se atribuye a la división del trabajo “la capacidad de producir una integración social fundada sobre una adhesión a los valores y a las normas colectivas” (Esteinou,</w:t>
      </w:r>
      <w:r>
        <w:rPr>
          <w:color w:val="231F20"/>
          <w:spacing w:val="-1"/>
          <w:w w:val="110"/>
        </w:rPr>
        <w:t> </w:t>
      </w:r>
      <w:r>
        <w:rPr>
          <w:color w:val="231F20"/>
          <w:w w:val="110"/>
        </w:rPr>
        <w:t>1998).</w:t>
      </w:r>
    </w:p>
    <w:p>
      <w:pPr>
        <w:pStyle w:val="BodyText"/>
        <w:spacing w:line="288" w:lineRule="auto"/>
        <w:ind w:left="100" w:right="119" w:firstLine="360"/>
        <w:jc w:val="both"/>
      </w:pPr>
      <w:r>
        <w:rPr>
          <w:color w:val="231F20"/>
          <w:w w:val="110"/>
        </w:rPr>
        <w:t>Sin duda, esta integración enfrenta dificultades, ya que la unidad do- méstica está fundada en la cooperación y por lo tanto supone el interés recíproco. A la solidaridad hay que agregarle entonces la importancia del contrato, que puede entenderse como el elemento que permite a la unidad doméstica subsistir “sólo en la medida que las diferencias individuales encuentren un límite, una convergencia en la conciencia  colectiva”.</w:t>
      </w:r>
    </w:p>
    <w:p>
      <w:pPr>
        <w:pStyle w:val="BodyText"/>
        <w:spacing w:line="288" w:lineRule="auto"/>
        <w:ind w:left="100" w:right="116" w:firstLine="360"/>
        <w:jc w:val="right"/>
      </w:pPr>
      <w:r>
        <w:rPr>
          <w:color w:val="231F20"/>
          <w:w w:val="110"/>
        </w:rPr>
        <w:t>Por otra parte, fue posible entender las estrategias de</w:t>
      </w:r>
      <w:r>
        <w:rPr>
          <w:color w:val="231F20"/>
          <w:spacing w:val="-10"/>
          <w:w w:val="110"/>
        </w:rPr>
        <w:t> </w:t>
      </w:r>
      <w:r>
        <w:rPr>
          <w:color w:val="231F20"/>
          <w:w w:val="110"/>
        </w:rPr>
        <w:t>reproducción</w:t>
      </w:r>
      <w:r>
        <w:rPr>
          <w:color w:val="231F20"/>
          <w:spacing w:val="-1"/>
          <w:w w:val="110"/>
        </w:rPr>
        <w:t> </w:t>
      </w:r>
      <w:r>
        <w:rPr>
          <w:color w:val="231F20"/>
          <w:w w:val="110"/>
        </w:rPr>
        <w:t>de</w:t>
      </w:r>
      <w:r>
        <w:rPr>
          <w:color w:val="231F20"/>
          <w:w w:val="108"/>
        </w:rPr>
        <w:t> </w:t>
      </w:r>
      <w:r>
        <w:rPr>
          <w:color w:val="231F20"/>
          <w:w w:val="110"/>
        </w:rPr>
        <w:t>las unidades entrevistadas como un conjunto de prácticas</w:t>
      </w:r>
      <w:r>
        <w:rPr>
          <w:color w:val="231F20"/>
          <w:spacing w:val="7"/>
          <w:w w:val="110"/>
        </w:rPr>
        <w:t> </w:t>
      </w:r>
      <w:r>
        <w:rPr>
          <w:color w:val="231F20"/>
          <w:w w:val="110"/>
        </w:rPr>
        <w:t>con</w:t>
      </w:r>
      <w:r>
        <w:rPr>
          <w:color w:val="231F20"/>
          <w:spacing w:val="13"/>
          <w:w w:val="110"/>
        </w:rPr>
        <w:t> </w:t>
      </w:r>
      <w:r>
        <w:rPr>
          <w:color w:val="231F20"/>
          <w:w w:val="110"/>
        </w:rPr>
        <w:t>caracterís-</w:t>
      </w:r>
      <w:r>
        <w:rPr>
          <w:color w:val="231F20"/>
          <w:w w:val="93"/>
        </w:rPr>
        <w:t> </w:t>
      </w:r>
      <w:r>
        <w:rPr>
          <w:color w:val="231F20"/>
          <w:spacing w:val="2"/>
          <w:w w:val="110"/>
        </w:rPr>
        <w:t>ticas</w:t>
      </w:r>
      <w:r>
        <w:rPr>
          <w:color w:val="231F20"/>
          <w:spacing w:val="33"/>
          <w:w w:val="110"/>
        </w:rPr>
        <w:t> </w:t>
      </w:r>
      <w:r>
        <w:rPr>
          <w:color w:val="231F20"/>
          <w:w w:val="110"/>
        </w:rPr>
        <w:t>muy</w:t>
      </w:r>
      <w:r>
        <w:rPr>
          <w:color w:val="231F20"/>
          <w:spacing w:val="33"/>
          <w:w w:val="110"/>
        </w:rPr>
        <w:t> </w:t>
      </w:r>
      <w:r>
        <w:rPr>
          <w:color w:val="231F20"/>
          <w:spacing w:val="2"/>
          <w:w w:val="110"/>
        </w:rPr>
        <w:t>diferentes,</w:t>
      </w:r>
      <w:r>
        <w:rPr>
          <w:color w:val="231F20"/>
          <w:spacing w:val="34"/>
          <w:w w:val="110"/>
        </w:rPr>
        <w:t> </w:t>
      </w:r>
      <w:r>
        <w:rPr>
          <w:color w:val="231F20"/>
          <w:w w:val="110"/>
        </w:rPr>
        <w:t>por</w:t>
      </w:r>
      <w:r>
        <w:rPr>
          <w:color w:val="231F20"/>
          <w:spacing w:val="33"/>
          <w:w w:val="110"/>
        </w:rPr>
        <w:t> </w:t>
      </w:r>
      <w:r>
        <w:rPr>
          <w:color w:val="231F20"/>
          <w:spacing w:val="2"/>
          <w:w w:val="110"/>
        </w:rPr>
        <w:t>medio</w:t>
      </w:r>
      <w:r>
        <w:rPr>
          <w:color w:val="231F20"/>
          <w:spacing w:val="33"/>
          <w:w w:val="110"/>
        </w:rPr>
        <w:t> </w:t>
      </w:r>
      <w:r>
        <w:rPr>
          <w:color w:val="231F20"/>
          <w:w w:val="110"/>
        </w:rPr>
        <w:t>de</w:t>
      </w:r>
      <w:r>
        <w:rPr>
          <w:color w:val="231F20"/>
          <w:spacing w:val="34"/>
          <w:w w:val="110"/>
        </w:rPr>
        <w:t> </w:t>
      </w:r>
      <w:r>
        <w:rPr>
          <w:color w:val="231F20"/>
          <w:w w:val="110"/>
        </w:rPr>
        <w:t>las</w:t>
      </w:r>
      <w:r>
        <w:rPr>
          <w:color w:val="231F20"/>
          <w:spacing w:val="33"/>
          <w:w w:val="110"/>
        </w:rPr>
        <w:t> </w:t>
      </w:r>
      <w:r>
        <w:rPr>
          <w:color w:val="231F20"/>
          <w:spacing w:val="2"/>
          <w:w w:val="110"/>
        </w:rPr>
        <w:t>cuales</w:t>
      </w:r>
      <w:r>
        <w:rPr>
          <w:color w:val="231F20"/>
          <w:spacing w:val="33"/>
          <w:w w:val="110"/>
        </w:rPr>
        <w:t> </w:t>
      </w:r>
      <w:r>
        <w:rPr>
          <w:color w:val="231F20"/>
          <w:w w:val="110"/>
        </w:rPr>
        <w:t>las</w:t>
      </w:r>
      <w:r>
        <w:rPr>
          <w:color w:val="231F20"/>
          <w:spacing w:val="33"/>
          <w:w w:val="110"/>
        </w:rPr>
        <w:t> </w:t>
      </w:r>
      <w:r>
        <w:rPr>
          <w:color w:val="231F20"/>
          <w:spacing w:val="2"/>
          <w:w w:val="110"/>
        </w:rPr>
        <w:t>unidades</w:t>
      </w:r>
      <w:r>
        <w:rPr>
          <w:color w:val="231F20"/>
          <w:spacing w:val="33"/>
          <w:w w:val="110"/>
        </w:rPr>
        <w:t> </w:t>
      </w:r>
      <w:r>
        <w:rPr>
          <w:color w:val="231F20"/>
          <w:spacing w:val="2"/>
          <w:w w:val="110"/>
        </w:rPr>
        <w:t>domésticas</w:t>
      </w:r>
      <w:r>
        <w:rPr>
          <w:color w:val="231F20"/>
          <w:w w:val="118"/>
        </w:rPr>
        <w:t> </w:t>
      </w:r>
      <w:r>
        <w:rPr>
          <w:color w:val="231F20"/>
          <w:w w:val="110"/>
        </w:rPr>
        <w:t>tienden</w:t>
      </w:r>
      <w:r>
        <w:rPr>
          <w:color w:val="231F20"/>
          <w:spacing w:val="-15"/>
          <w:w w:val="110"/>
        </w:rPr>
        <w:t> </w:t>
      </w:r>
      <w:r>
        <w:rPr>
          <w:color w:val="231F20"/>
          <w:w w:val="110"/>
        </w:rPr>
        <w:t>(de</w:t>
      </w:r>
      <w:r>
        <w:rPr>
          <w:color w:val="231F20"/>
          <w:spacing w:val="-15"/>
          <w:w w:val="110"/>
        </w:rPr>
        <w:t> </w:t>
      </w:r>
      <w:r>
        <w:rPr>
          <w:color w:val="231F20"/>
          <w:w w:val="110"/>
        </w:rPr>
        <w:t>manera</w:t>
      </w:r>
      <w:r>
        <w:rPr>
          <w:color w:val="231F20"/>
          <w:spacing w:val="-15"/>
          <w:w w:val="110"/>
        </w:rPr>
        <w:t> </w:t>
      </w:r>
      <w:r>
        <w:rPr>
          <w:color w:val="231F20"/>
          <w:w w:val="110"/>
        </w:rPr>
        <w:t>consciente</w:t>
      </w:r>
      <w:r>
        <w:rPr>
          <w:color w:val="231F20"/>
          <w:spacing w:val="-15"/>
          <w:w w:val="110"/>
        </w:rPr>
        <w:t> </w:t>
      </w:r>
      <w:r>
        <w:rPr>
          <w:color w:val="231F20"/>
          <w:w w:val="110"/>
        </w:rPr>
        <w:t>o</w:t>
      </w:r>
      <w:r>
        <w:rPr>
          <w:color w:val="231F20"/>
          <w:spacing w:val="-15"/>
          <w:w w:val="110"/>
        </w:rPr>
        <w:t> </w:t>
      </w:r>
      <w:r>
        <w:rPr>
          <w:color w:val="231F20"/>
          <w:w w:val="110"/>
        </w:rPr>
        <w:t>no)</w:t>
      </w:r>
      <w:r>
        <w:rPr>
          <w:color w:val="231F20"/>
          <w:spacing w:val="-15"/>
          <w:w w:val="110"/>
        </w:rPr>
        <w:t> </w:t>
      </w:r>
      <w:r>
        <w:rPr>
          <w:color w:val="231F20"/>
          <w:w w:val="110"/>
        </w:rPr>
        <w:t>a</w:t>
      </w:r>
      <w:r>
        <w:rPr>
          <w:color w:val="231F20"/>
          <w:spacing w:val="-15"/>
          <w:w w:val="110"/>
        </w:rPr>
        <w:t> </w:t>
      </w:r>
      <w:r>
        <w:rPr>
          <w:color w:val="231F20"/>
          <w:w w:val="110"/>
        </w:rPr>
        <w:t>conservar</w:t>
      </w:r>
      <w:r>
        <w:rPr>
          <w:color w:val="231F20"/>
          <w:spacing w:val="-15"/>
          <w:w w:val="110"/>
        </w:rPr>
        <w:t> </w:t>
      </w:r>
      <w:r>
        <w:rPr>
          <w:color w:val="231F20"/>
          <w:w w:val="110"/>
        </w:rPr>
        <w:t>o</w:t>
      </w:r>
      <w:r>
        <w:rPr>
          <w:color w:val="231F20"/>
          <w:spacing w:val="-15"/>
          <w:w w:val="110"/>
        </w:rPr>
        <w:t> </w:t>
      </w:r>
      <w:r>
        <w:rPr>
          <w:color w:val="231F20"/>
          <w:w w:val="110"/>
        </w:rPr>
        <w:t>aumentar</w:t>
      </w:r>
      <w:r>
        <w:rPr>
          <w:color w:val="231F20"/>
          <w:spacing w:val="-15"/>
          <w:w w:val="110"/>
        </w:rPr>
        <w:t> </w:t>
      </w:r>
      <w:r>
        <w:rPr>
          <w:color w:val="231F20"/>
          <w:w w:val="110"/>
        </w:rPr>
        <w:t>su</w:t>
      </w:r>
      <w:r>
        <w:rPr>
          <w:color w:val="231F20"/>
          <w:spacing w:val="-15"/>
          <w:w w:val="110"/>
        </w:rPr>
        <w:t> </w:t>
      </w:r>
      <w:r>
        <w:rPr>
          <w:color w:val="231F20"/>
          <w:w w:val="110"/>
        </w:rPr>
        <w:t>patrimonio.</w:t>
      </w:r>
    </w:p>
    <w:p>
      <w:pPr>
        <w:pStyle w:val="BodyText"/>
        <w:spacing w:line="288" w:lineRule="auto"/>
        <w:ind w:left="100" w:right="117" w:firstLine="360"/>
        <w:jc w:val="both"/>
      </w:pPr>
      <w:r>
        <w:rPr>
          <w:color w:val="231F20"/>
          <w:w w:val="110"/>
        </w:rPr>
        <w:t>Estas</w:t>
      </w:r>
      <w:r>
        <w:rPr>
          <w:color w:val="231F20"/>
          <w:spacing w:val="-8"/>
          <w:w w:val="110"/>
        </w:rPr>
        <w:t> </w:t>
      </w:r>
      <w:r>
        <w:rPr>
          <w:color w:val="231F20"/>
          <w:w w:val="110"/>
        </w:rPr>
        <w:t>estrategias</w:t>
      </w:r>
      <w:r>
        <w:rPr>
          <w:color w:val="231F20"/>
          <w:spacing w:val="-8"/>
          <w:w w:val="110"/>
        </w:rPr>
        <w:t> </w:t>
      </w:r>
      <w:r>
        <w:rPr>
          <w:color w:val="231F20"/>
          <w:w w:val="110"/>
        </w:rPr>
        <w:t>constituyen</w:t>
      </w:r>
      <w:r>
        <w:rPr>
          <w:color w:val="231F20"/>
          <w:spacing w:val="-8"/>
          <w:w w:val="110"/>
        </w:rPr>
        <w:t> </w:t>
      </w:r>
      <w:r>
        <w:rPr>
          <w:color w:val="231F20"/>
          <w:w w:val="110"/>
        </w:rPr>
        <w:t>un</w:t>
      </w:r>
      <w:r>
        <w:rPr>
          <w:color w:val="231F20"/>
          <w:spacing w:val="-8"/>
          <w:w w:val="110"/>
        </w:rPr>
        <w:t> </w:t>
      </w:r>
      <w:r>
        <w:rPr>
          <w:color w:val="231F20"/>
          <w:w w:val="110"/>
        </w:rPr>
        <w:t>sistema,</w:t>
      </w:r>
      <w:r>
        <w:rPr>
          <w:color w:val="231F20"/>
          <w:spacing w:val="-8"/>
          <w:w w:val="110"/>
        </w:rPr>
        <w:t> </w:t>
      </w:r>
      <w:r>
        <w:rPr>
          <w:color w:val="231F20"/>
          <w:w w:val="110"/>
        </w:rPr>
        <w:t>y</w:t>
      </w:r>
      <w:r>
        <w:rPr>
          <w:color w:val="231F20"/>
          <w:spacing w:val="-8"/>
          <w:w w:val="110"/>
        </w:rPr>
        <w:t> </w:t>
      </w:r>
      <w:r>
        <w:rPr>
          <w:color w:val="231F20"/>
          <w:w w:val="110"/>
        </w:rPr>
        <w:t>por</w:t>
      </w:r>
      <w:r>
        <w:rPr>
          <w:color w:val="231F20"/>
          <w:spacing w:val="-8"/>
          <w:w w:val="110"/>
        </w:rPr>
        <w:t> </w:t>
      </w:r>
      <w:r>
        <w:rPr>
          <w:color w:val="231F20"/>
          <w:w w:val="110"/>
        </w:rPr>
        <w:t>lo</w:t>
      </w:r>
      <w:r>
        <w:rPr>
          <w:color w:val="231F20"/>
          <w:spacing w:val="-8"/>
          <w:w w:val="110"/>
        </w:rPr>
        <w:t> </w:t>
      </w:r>
      <w:r>
        <w:rPr>
          <w:color w:val="231F20"/>
          <w:w w:val="110"/>
        </w:rPr>
        <w:t>tanto</w:t>
      </w:r>
      <w:r>
        <w:rPr>
          <w:color w:val="231F20"/>
          <w:spacing w:val="-8"/>
          <w:w w:val="110"/>
        </w:rPr>
        <w:t> </w:t>
      </w:r>
      <w:r>
        <w:rPr>
          <w:color w:val="231F20"/>
          <w:w w:val="110"/>
        </w:rPr>
        <w:t>dependen</w:t>
      </w:r>
      <w:r>
        <w:rPr>
          <w:color w:val="231F20"/>
          <w:spacing w:val="-8"/>
          <w:w w:val="110"/>
        </w:rPr>
        <w:t> </w:t>
      </w:r>
      <w:r>
        <w:rPr>
          <w:color w:val="231F20"/>
          <w:w w:val="110"/>
        </w:rPr>
        <w:t>tanto de</w:t>
      </w:r>
      <w:r>
        <w:rPr>
          <w:color w:val="231F20"/>
          <w:spacing w:val="-14"/>
          <w:w w:val="110"/>
        </w:rPr>
        <w:t> </w:t>
      </w:r>
      <w:r>
        <w:rPr>
          <w:color w:val="231F20"/>
          <w:w w:val="110"/>
        </w:rPr>
        <w:t>los</w:t>
      </w:r>
      <w:r>
        <w:rPr>
          <w:color w:val="231F20"/>
          <w:spacing w:val="-14"/>
          <w:w w:val="110"/>
        </w:rPr>
        <w:t> </w:t>
      </w:r>
      <w:r>
        <w:rPr>
          <w:color w:val="231F20"/>
          <w:w w:val="110"/>
        </w:rPr>
        <w:t>instrumentos</w:t>
      </w:r>
      <w:r>
        <w:rPr>
          <w:color w:val="231F20"/>
          <w:spacing w:val="-14"/>
          <w:w w:val="110"/>
        </w:rPr>
        <w:t> </w:t>
      </w:r>
      <w:r>
        <w:rPr>
          <w:color w:val="231F20"/>
          <w:w w:val="110"/>
        </w:rPr>
        <w:t>(trabajo</w:t>
      </w:r>
      <w:r>
        <w:rPr>
          <w:color w:val="231F20"/>
          <w:spacing w:val="-14"/>
          <w:w w:val="110"/>
        </w:rPr>
        <w:t> </w:t>
      </w:r>
      <w:r>
        <w:rPr>
          <w:color w:val="231F20"/>
          <w:w w:val="110"/>
        </w:rPr>
        <w:t>del</w:t>
      </w:r>
      <w:r>
        <w:rPr>
          <w:color w:val="231F20"/>
          <w:spacing w:val="-14"/>
          <w:w w:val="110"/>
        </w:rPr>
        <w:t> </w:t>
      </w:r>
      <w:r>
        <w:rPr>
          <w:color w:val="231F20"/>
          <w:w w:val="110"/>
        </w:rPr>
        <w:t>negocio,</w:t>
      </w:r>
      <w:r>
        <w:rPr>
          <w:color w:val="231F20"/>
          <w:spacing w:val="-14"/>
          <w:w w:val="110"/>
        </w:rPr>
        <w:t> </w:t>
      </w:r>
      <w:r>
        <w:rPr>
          <w:color w:val="231F20"/>
          <w:w w:val="110"/>
        </w:rPr>
        <w:t>ingresos,</w:t>
      </w:r>
      <w:r>
        <w:rPr>
          <w:color w:val="231F20"/>
          <w:spacing w:val="-14"/>
          <w:w w:val="110"/>
        </w:rPr>
        <w:t> </w:t>
      </w:r>
      <w:r>
        <w:rPr>
          <w:color w:val="231F20"/>
          <w:w w:val="110"/>
        </w:rPr>
        <w:t>ganancias,</w:t>
      </w:r>
      <w:r>
        <w:rPr>
          <w:color w:val="231F20"/>
          <w:spacing w:val="-14"/>
          <w:w w:val="110"/>
        </w:rPr>
        <w:t> </w:t>
      </w:r>
      <w:r>
        <w:rPr>
          <w:color w:val="231F20"/>
          <w:w w:val="110"/>
        </w:rPr>
        <w:t>horas</w:t>
      </w:r>
      <w:r>
        <w:rPr>
          <w:color w:val="231F20"/>
          <w:spacing w:val="-14"/>
          <w:w w:val="110"/>
        </w:rPr>
        <w:t> </w:t>
      </w:r>
      <w:r>
        <w:rPr>
          <w:color w:val="231F20"/>
          <w:w w:val="110"/>
        </w:rPr>
        <w:t>dedicas al trabajo, cantidad de clientes, materia prima disponible) como del</w:t>
      </w:r>
      <w:r>
        <w:rPr>
          <w:color w:val="231F20"/>
          <w:spacing w:val="-23"/>
          <w:w w:val="110"/>
        </w:rPr>
        <w:t> </w:t>
      </w:r>
      <w:r>
        <w:rPr>
          <w:color w:val="231F20"/>
          <w:w w:val="110"/>
        </w:rPr>
        <w:t>estado del</w:t>
      </w:r>
      <w:r>
        <w:rPr>
          <w:color w:val="231F20"/>
          <w:spacing w:val="-5"/>
          <w:w w:val="110"/>
        </w:rPr>
        <w:t> </w:t>
      </w:r>
      <w:r>
        <w:rPr>
          <w:color w:val="231F20"/>
          <w:w w:val="110"/>
        </w:rPr>
        <w:t>capital</w:t>
      </w:r>
      <w:r>
        <w:rPr>
          <w:color w:val="231F20"/>
          <w:spacing w:val="-5"/>
          <w:w w:val="110"/>
        </w:rPr>
        <w:t> </w:t>
      </w:r>
      <w:r>
        <w:rPr>
          <w:color w:val="231F20"/>
          <w:w w:val="110"/>
        </w:rPr>
        <w:t>por</w:t>
      </w:r>
      <w:r>
        <w:rPr>
          <w:color w:val="231F20"/>
          <w:spacing w:val="-5"/>
          <w:w w:val="110"/>
        </w:rPr>
        <w:t> </w:t>
      </w:r>
      <w:r>
        <w:rPr>
          <w:color w:val="231F20"/>
          <w:w w:val="110"/>
        </w:rPr>
        <w:t>reproducir</w:t>
      </w:r>
      <w:r>
        <w:rPr>
          <w:color w:val="231F20"/>
          <w:spacing w:val="-5"/>
          <w:w w:val="110"/>
        </w:rPr>
        <w:t> </w:t>
      </w:r>
      <w:r>
        <w:rPr>
          <w:color w:val="231F20"/>
          <w:w w:val="110"/>
        </w:rPr>
        <w:t>(tanto</w:t>
      </w:r>
      <w:r>
        <w:rPr>
          <w:color w:val="231F20"/>
          <w:spacing w:val="-5"/>
          <w:w w:val="110"/>
        </w:rPr>
        <w:t> </w:t>
      </w:r>
      <w:r>
        <w:rPr>
          <w:color w:val="231F20"/>
          <w:w w:val="110"/>
        </w:rPr>
        <w:t>material</w:t>
      </w:r>
      <w:r>
        <w:rPr>
          <w:color w:val="231F20"/>
          <w:spacing w:val="-5"/>
          <w:w w:val="110"/>
        </w:rPr>
        <w:t> </w:t>
      </w:r>
      <w:r>
        <w:rPr>
          <w:color w:val="231F20"/>
          <w:w w:val="110"/>
        </w:rPr>
        <w:t>como</w:t>
      </w:r>
      <w:r>
        <w:rPr>
          <w:color w:val="231F20"/>
          <w:spacing w:val="-5"/>
          <w:w w:val="110"/>
        </w:rPr>
        <w:t> </w:t>
      </w:r>
      <w:r>
        <w:rPr>
          <w:color w:val="231F20"/>
          <w:w w:val="110"/>
        </w:rPr>
        <w:t>simbólico).</w:t>
      </w:r>
      <w:r>
        <w:rPr>
          <w:color w:val="231F20"/>
          <w:spacing w:val="-5"/>
          <w:w w:val="110"/>
        </w:rPr>
        <w:t> </w:t>
      </w:r>
      <w:r>
        <w:rPr>
          <w:color w:val="231F20"/>
          <w:w w:val="110"/>
        </w:rPr>
        <w:t>Cualquier</w:t>
      </w:r>
      <w:r>
        <w:rPr>
          <w:color w:val="231F20"/>
          <w:spacing w:val="-5"/>
          <w:w w:val="110"/>
        </w:rPr>
        <w:t> </w:t>
      </w:r>
      <w:r>
        <w:rPr>
          <w:color w:val="231F20"/>
          <w:w w:val="110"/>
        </w:rPr>
        <w:t>cam- bio en relación con los instrumentos o el estado, conlleva una reestructu- ración del sistema de estrategias de reproducción (Esteinou,</w:t>
      </w:r>
      <w:r>
        <w:rPr>
          <w:color w:val="231F20"/>
          <w:spacing w:val="-18"/>
          <w:w w:val="110"/>
        </w:rPr>
        <w:t> </w:t>
      </w:r>
      <w:r>
        <w:rPr>
          <w:color w:val="231F20"/>
          <w:w w:val="110"/>
        </w:rPr>
        <w:t>1998).</w:t>
      </w:r>
    </w:p>
    <w:p>
      <w:pPr>
        <w:pStyle w:val="BodyText"/>
        <w:spacing w:line="288" w:lineRule="auto"/>
        <w:ind w:left="100" w:right="118" w:firstLine="360"/>
        <w:jc w:val="both"/>
      </w:pPr>
      <w:r>
        <w:rPr>
          <w:color w:val="231F20"/>
          <w:w w:val="110"/>
        </w:rPr>
        <w:t>Claro está que buscando entender la participación de la familia en el trabajo del negocio muchas fueron las situaciones que salieron a la luz; los </w:t>
      </w:r>
      <w:r>
        <w:rPr>
          <w:color w:val="231F20"/>
          <w:spacing w:val="-4"/>
          <w:w w:val="110"/>
        </w:rPr>
        <w:t>hijos </w:t>
      </w:r>
      <w:r>
        <w:rPr>
          <w:color w:val="231F20"/>
          <w:spacing w:val="-3"/>
          <w:w w:val="110"/>
        </w:rPr>
        <w:t>con </w:t>
      </w:r>
      <w:r>
        <w:rPr>
          <w:color w:val="231F20"/>
          <w:spacing w:val="-4"/>
          <w:w w:val="110"/>
        </w:rPr>
        <w:t>ganas </w:t>
      </w:r>
      <w:r>
        <w:rPr>
          <w:color w:val="231F20"/>
          <w:w w:val="110"/>
        </w:rPr>
        <w:t>de </w:t>
      </w:r>
      <w:r>
        <w:rPr>
          <w:color w:val="231F20"/>
          <w:spacing w:val="-4"/>
          <w:w w:val="110"/>
        </w:rPr>
        <w:t>cuestionar </w:t>
      </w:r>
      <w:r>
        <w:rPr>
          <w:color w:val="231F20"/>
          <w:w w:val="110"/>
        </w:rPr>
        <w:t>a </w:t>
      </w:r>
      <w:r>
        <w:rPr>
          <w:color w:val="231F20"/>
          <w:spacing w:val="-3"/>
          <w:w w:val="110"/>
        </w:rPr>
        <w:t>los </w:t>
      </w:r>
      <w:r>
        <w:rPr>
          <w:color w:val="231F20"/>
          <w:spacing w:val="-4"/>
          <w:w w:val="110"/>
        </w:rPr>
        <w:t>padres </w:t>
      </w:r>
      <w:r>
        <w:rPr>
          <w:color w:val="231F20"/>
          <w:spacing w:val="-3"/>
          <w:w w:val="110"/>
        </w:rPr>
        <w:t>pero con </w:t>
      </w:r>
      <w:r>
        <w:rPr>
          <w:color w:val="231F20"/>
          <w:spacing w:val="-4"/>
          <w:w w:val="110"/>
        </w:rPr>
        <w:t>miedo </w:t>
      </w:r>
      <w:r>
        <w:rPr>
          <w:color w:val="231F20"/>
          <w:w w:val="110"/>
        </w:rPr>
        <w:t>de </w:t>
      </w:r>
      <w:r>
        <w:rPr>
          <w:color w:val="231F20"/>
          <w:spacing w:val="-4"/>
          <w:w w:val="110"/>
        </w:rPr>
        <w:t>hacerlo, </w:t>
      </w:r>
      <w:r>
        <w:rPr>
          <w:color w:val="231F20"/>
          <w:spacing w:val="-3"/>
          <w:w w:val="110"/>
        </w:rPr>
        <w:t>las es- </w:t>
      </w:r>
      <w:r>
        <w:rPr>
          <w:color w:val="231F20"/>
          <w:w w:val="110"/>
        </w:rPr>
        <w:t>posas en aparente subordinación pero como verdaderas jefas y dueñas de los negocios de sus maridos, los viejos luchando por preservar el patrimo- nio que alguna vez iniciaron con el deseo de mantenerlo en la familia. </w:t>
      </w:r>
      <w:r>
        <w:rPr>
          <w:color w:val="231F20"/>
          <w:spacing w:val="-8"/>
          <w:w w:val="110"/>
        </w:rPr>
        <w:t>Va- </w:t>
      </w:r>
      <w:r>
        <w:rPr>
          <w:color w:val="231F20"/>
          <w:w w:val="110"/>
        </w:rPr>
        <w:t>rias generaciones que comparten lugares y actividades a veces con objeti- vos e intereses tan diversos, a veces con las mismas   intenciones.</w:t>
      </w:r>
    </w:p>
    <w:p>
      <w:pPr>
        <w:spacing w:after="0" w:line="288" w:lineRule="auto"/>
        <w:jc w:val="both"/>
        <w:sectPr>
          <w:pgSz w:w="9520" w:h="12920"/>
          <w:pgMar w:header="0" w:footer="1344" w:top="880" w:bottom="1540" w:left="1020" w:right="1320"/>
        </w:sectPr>
      </w:pPr>
    </w:p>
    <w:p>
      <w:pPr>
        <w:pStyle w:val="BodyText"/>
        <w:spacing w:line="280" w:lineRule="auto" w:before="42"/>
        <w:ind w:left="124" w:right="113" w:firstLine="360"/>
        <w:jc w:val="both"/>
      </w:pPr>
      <w:r>
        <w:rPr>
          <w:color w:val="231F20"/>
          <w:w w:val="110"/>
        </w:rPr>
        <w:t>Intentar articular producción y reproducción implicó un enorme es- fuerzo, ¿cómo se integran en la vida cotidiana dos categorías que teórica- mente han sido discutidas hasta el cansancio?, ¿hasta dónde es posible dar cuenta de esta articulación a partir de las entrevistas?</w:t>
      </w:r>
    </w:p>
    <w:p>
      <w:pPr>
        <w:pStyle w:val="BodyText"/>
        <w:spacing w:line="280" w:lineRule="auto"/>
        <w:ind w:left="124" w:right="113" w:firstLine="360"/>
        <w:jc w:val="both"/>
      </w:pPr>
      <w:r>
        <w:rPr>
          <w:color w:val="231F20"/>
          <w:w w:val="110"/>
        </w:rPr>
        <w:t>Abordar el riesgo implicó emprender con los entrevistados un viaje hacia el concepto mismo del trabajo, ¿para qué trabajan?, ¿qué sentido tiene el negocio?, ¿cómo se valoran y se entienden como trabajadores?,</w:t>
      </w:r>
    </w:p>
    <w:p>
      <w:pPr>
        <w:pStyle w:val="BodyText"/>
        <w:spacing w:line="280" w:lineRule="auto"/>
        <w:ind w:left="124"/>
      </w:pPr>
      <w:r>
        <w:rPr>
          <w:color w:val="231F20"/>
          <w:w w:val="105"/>
        </w:rPr>
        <w:t>¿por qué su trabajo brinda (o no) seguridad?, ¿qué del trabajo les aporta certezas  y tranquilidad?</w:t>
      </w:r>
    </w:p>
    <w:p>
      <w:pPr>
        <w:pStyle w:val="BodyText"/>
        <w:spacing w:line="280" w:lineRule="auto"/>
        <w:ind w:left="124" w:right="113" w:firstLine="360"/>
        <w:jc w:val="both"/>
      </w:pPr>
      <w:r>
        <w:rPr>
          <w:color w:val="231F20"/>
          <w:spacing w:val="2"/>
          <w:w w:val="110"/>
        </w:rPr>
        <w:t>Pensar </w:t>
      </w:r>
      <w:r>
        <w:rPr>
          <w:color w:val="231F20"/>
          <w:w w:val="110"/>
        </w:rPr>
        <w:t>en el </w:t>
      </w:r>
      <w:r>
        <w:rPr>
          <w:color w:val="231F20"/>
          <w:spacing w:val="3"/>
          <w:w w:val="110"/>
        </w:rPr>
        <w:t>poder supuso pensar </w:t>
      </w:r>
      <w:r>
        <w:rPr>
          <w:color w:val="231F20"/>
          <w:w w:val="110"/>
        </w:rPr>
        <w:t>en el </w:t>
      </w:r>
      <w:r>
        <w:rPr>
          <w:color w:val="231F20"/>
          <w:spacing w:val="3"/>
          <w:w w:val="110"/>
        </w:rPr>
        <w:t>control, </w:t>
      </w:r>
      <w:r>
        <w:rPr>
          <w:color w:val="231F20"/>
          <w:w w:val="110"/>
        </w:rPr>
        <w:t>en la </w:t>
      </w:r>
      <w:r>
        <w:rPr>
          <w:color w:val="231F20"/>
          <w:spacing w:val="3"/>
          <w:w w:val="110"/>
        </w:rPr>
        <w:t>autoridad, </w:t>
      </w:r>
      <w:r>
        <w:rPr>
          <w:color w:val="231F20"/>
          <w:w w:val="110"/>
        </w:rPr>
        <w:t>en   la negociación </w:t>
      </w:r>
      <w:r>
        <w:rPr>
          <w:color w:val="231F20"/>
          <w:spacing w:val="-10"/>
          <w:w w:val="110"/>
        </w:rPr>
        <w:t>y, </w:t>
      </w:r>
      <w:r>
        <w:rPr>
          <w:color w:val="231F20"/>
          <w:w w:val="110"/>
        </w:rPr>
        <w:t>a fin de cuentas, en la forma en que a pesar del control, la autoridad y la negociación, la familia intenta permanecer integrada para hacer funcionar el negocio; ¿lo</w:t>
      </w:r>
      <w:r>
        <w:rPr>
          <w:color w:val="231F20"/>
          <w:spacing w:val="48"/>
          <w:w w:val="110"/>
        </w:rPr>
        <w:t> </w:t>
      </w:r>
      <w:r>
        <w:rPr>
          <w:color w:val="231F20"/>
          <w:w w:val="110"/>
        </w:rPr>
        <w:t>logra?</w:t>
      </w:r>
    </w:p>
    <w:p>
      <w:pPr>
        <w:pStyle w:val="BodyText"/>
        <w:spacing w:line="280" w:lineRule="auto"/>
        <w:ind w:left="124" w:right="112" w:firstLine="360"/>
        <w:jc w:val="both"/>
      </w:pPr>
      <w:r>
        <w:rPr>
          <w:color w:val="231F20"/>
          <w:w w:val="110"/>
        </w:rPr>
        <w:t>Para</w:t>
      </w:r>
      <w:r>
        <w:rPr>
          <w:color w:val="231F20"/>
          <w:spacing w:val="-17"/>
          <w:w w:val="110"/>
        </w:rPr>
        <w:t> </w:t>
      </w:r>
      <w:r>
        <w:rPr>
          <w:color w:val="231F20"/>
          <w:w w:val="110"/>
        </w:rPr>
        <w:t>cada</w:t>
      </w:r>
      <w:r>
        <w:rPr>
          <w:color w:val="231F20"/>
          <w:spacing w:val="-17"/>
          <w:w w:val="110"/>
        </w:rPr>
        <w:t> </w:t>
      </w:r>
      <w:r>
        <w:rPr>
          <w:color w:val="231F20"/>
          <w:w w:val="110"/>
        </w:rPr>
        <w:t>uno</w:t>
      </w:r>
      <w:r>
        <w:rPr>
          <w:color w:val="231F20"/>
          <w:spacing w:val="-17"/>
          <w:w w:val="110"/>
        </w:rPr>
        <w:t> </w:t>
      </w:r>
      <w:r>
        <w:rPr>
          <w:color w:val="231F20"/>
          <w:w w:val="110"/>
        </w:rPr>
        <w:t>de</w:t>
      </w:r>
      <w:r>
        <w:rPr>
          <w:color w:val="231F20"/>
          <w:spacing w:val="-17"/>
          <w:w w:val="110"/>
        </w:rPr>
        <w:t> </w:t>
      </w:r>
      <w:r>
        <w:rPr>
          <w:color w:val="231F20"/>
          <w:w w:val="110"/>
        </w:rPr>
        <w:t>los</w:t>
      </w:r>
      <w:r>
        <w:rPr>
          <w:color w:val="231F20"/>
          <w:spacing w:val="-17"/>
          <w:w w:val="110"/>
        </w:rPr>
        <w:t> </w:t>
      </w:r>
      <w:r>
        <w:rPr>
          <w:color w:val="231F20"/>
          <w:w w:val="110"/>
        </w:rPr>
        <w:t>trabajadores</w:t>
      </w:r>
      <w:r>
        <w:rPr>
          <w:color w:val="231F20"/>
          <w:spacing w:val="-17"/>
          <w:w w:val="110"/>
        </w:rPr>
        <w:t> </w:t>
      </w:r>
      <w:r>
        <w:rPr>
          <w:color w:val="231F20"/>
          <w:w w:val="110"/>
        </w:rPr>
        <w:t>entrevistados</w:t>
      </w:r>
      <w:r>
        <w:rPr>
          <w:color w:val="231F20"/>
          <w:spacing w:val="-17"/>
          <w:w w:val="110"/>
        </w:rPr>
        <w:t> </w:t>
      </w:r>
      <w:r>
        <w:rPr>
          <w:color w:val="231F20"/>
          <w:w w:val="110"/>
        </w:rPr>
        <w:t>hay</w:t>
      </w:r>
      <w:r>
        <w:rPr>
          <w:color w:val="231F20"/>
          <w:spacing w:val="-17"/>
          <w:w w:val="110"/>
        </w:rPr>
        <w:t> </w:t>
      </w:r>
      <w:r>
        <w:rPr>
          <w:color w:val="231F20"/>
          <w:w w:val="110"/>
        </w:rPr>
        <w:t>diferentes</w:t>
      </w:r>
      <w:r>
        <w:rPr>
          <w:color w:val="231F20"/>
          <w:spacing w:val="-17"/>
          <w:w w:val="110"/>
        </w:rPr>
        <w:t> </w:t>
      </w:r>
      <w:r>
        <w:rPr>
          <w:color w:val="231F20"/>
          <w:w w:val="110"/>
        </w:rPr>
        <w:t>respues- tas, que sin dudas generarán más interrogantes. Para abordar esta multi- plicidad de situaciones en la diversidad de escenarios, que tanto el trabajo cualitativo como el análisis cuantitativo generaron, es necesario equiparse con un conjunto de </w:t>
      </w:r>
      <w:r>
        <w:rPr>
          <w:color w:val="231F20"/>
          <w:spacing w:val="25"/>
          <w:w w:val="110"/>
        </w:rPr>
        <w:t> </w:t>
      </w:r>
      <w:r>
        <w:rPr>
          <w:color w:val="231F20"/>
          <w:w w:val="110"/>
        </w:rPr>
        <w:t>insumos.</w:t>
      </w:r>
    </w:p>
    <w:p>
      <w:pPr>
        <w:pStyle w:val="BodyText"/>
        <w:spacing w:line="280" w:lineRule="auto"/>
        <w:ind w:left="124" w:right="114" w:firstLine="360"/>
        <w:jc w:val="both"/>
      </w:pPr>
      <w:r>
        <w:rPr>
          <w:color w:val="231F20"/>
          <w:w w:val="105"/>
        </w:rPr>
        <w:t>Entre estos  insumos  es  necesario  discutir  elementos  socio  simbólicos y de la teoría del capital humano, que aporten al análisis de por ejemplo,        la percepción del riesgo asociada a la escolaridad y el valor asignado a la educación (¿la mayor escolaridad reduce el riesgo  al  futuro?).  Elementos que permitan discutir el señalado peso de la  herencia  y  del  patrimonio  (¿por qué quienes menos tienen —materialmente hablando— señalan una preocupación tan fuerte por la herencia para los hijos?) lo cual es necesa-    rio  continuar </w:t>
      </w:r>
      <w:r>
        <w:rPr>
          <w:color w:val="231F20"/>
          <w:spacing w:val="14"/>
          <w:w w:val="105"/>
        </w:rPr>
        <w:t> </w:t>
      </w:r>
      <w:r>
        <w:rPr>
          <w:color w:val="231F20"/>
          <w:w w:val="105"/>
        </w:rPr>
        <w:t>discutiendo.</w:t>
      </w:r>
    </w:p>
    <w:p>
      <w:pPr>
        <w:pStyle w:val="BodyText"/>
      </w:pPr>
    </w:p>
    <w:p>
      <w:pPr>
        <w:pStyle w:val="BodyText"/>
        <w:spacing w:before="9"/>
        <w:rPr>
          <w:sz w:val="24"/>
        </w:rPr>
      </w:pPr>
    </w:p>
    <w:p>
      <w:pPr>
        <w:spacing w:before="1"/>
        <w:ind w:left="124" w:right="0" w:firstLine="0"/>
        <w:jc w:val="left"/>
        <w:rPr>
          <w:rFonts w:ascii="Times New Roman" w:hAnsi="Times New Roman"/>
          <w:i/>
          <w:sz w:val="19"/>
        </w:rPr>
      </w:pPr>
      <w:r>
        <w:rPr>
          <w:rFonts w:ascii="Times New Roman" w:hAnsi="Times New Roman"/>
          <w:i/>
          <w:color w:val="231F20"/>
          <w:sz w:val="24"/>
        </w:rPr>
        <w:t>B</w:t>
      </w:r>
      <w:r>
        <w:rPr>
          <w:rFonts w:ascii="Times New Roman" w:hAnsi="Times New Roman"/>
          <w:i/>
          <w:color w:val="231F20"/>
          <w:sz w:val="19"/>
        </w:rPr>
        <w:t>IBLIOGRAFÍA</w:t>
      </w:r>
    </w:p>
    <w:p>
      <w:pPr>
        <w:pStyle w:val="BodyText"/>
        <w:rPr>
          <w:rFonts w:ascii="Times New Roman"/>
          <w:i/>
          <w:sz w:val="25"/>
        </w:rPr>
      </w:pPr>
    </w:p>
    <w:p>
      <w:pPr>
        <w:spacing w:line="259" w:lineRule="auto" w:before="0"/>
        <w:ind w:left="484" w:right="113" w:hanging="360"/>
        <w:jc w:val="both"/>
        <w:rPr>
          <w:sz w:val="19"/>
        </w:rPr>
      </w:pPr>
      <w:r>
        <w:rPr>
          <w:rFonts w:ascii="Times New Roman" w:hAnsi="Times New Roman"/>
          <w:color w:val="231F20"/>
          <w:w w:val="105"/>
          <w:sz w:val="19"/>
        </w:rPr>
        <w:t>B</w:t>
      </w:r>
      <w:r>
        <w:rPr>
          <w:rFonts w:ascii="Times New Roman" w:hAnsi="Times New Roman"/>
          <w:color w:val="231F20"/>
          <w:w w:val="105"/>
          <w:sz w:val="15"/>
        </w:rPr>
        <w:t>ARRERE</w:t>
      </w:r>
      <w:r>
        <w:rPr>
          <w:rFonts w:ascii="Times New Roman" w:hAnsi="Times New Roman"/>
          <w:color w:val="231F20"/>
          <w:w w:val="105"/>
          <w:sz w:val="19"/>
        </w:rPr>
        <w:t>-M</w:t>
      </w:r>
      <w:r>
        <w:rPr>
          <w:rFonts w:ascii="Times New Roman" w:hAnsi="Times New Roman"/>
          <w:color w:val="231F20"/>
          <w:w w:val="105"/>
          <w:sz w:val="15"/>
        </w:rPr>
        <w:t>AURISSON</w:t>
      </w:r>
      <w:r>
        <w:rPr>
          <w:color w:val="231F20"/>
          <w:w w:val="105"/>
          <w:sz w:val="19"/>
        </w:rPr>
        <w:t>, Marie (1999), </w:t>
      </w:r>
      <w:r>
        <w:rPr>
          <w:i/>
          <w:color w:val="231F20"/>
          <w:w w:val="105"/>
          <w:sz w:val="19"/>
        </w:rPr>
        <w:t>La división familiar del trabajo: la vida doble</w:t>
      </w:r>
      <w:r>
        <w:rPr>
          <w:color w:val="231F20"/>
          <w:w w:val="105"/>
          <w:sz w:val="19"/>
        </w:rPr>
        <w:t>, Argentina, Asociación Trabajo y Sociedad, PIETTE-CONICET, Lumen Humanitas.</w:t>
      </w:r>
    </w:p>
    <w:p>
      <w:pPr>
        <w:spacing w:line="259" w:lineRule="auto" w:before="0"/>
        <w:ind w:left="484" w:right="112" w:hanging="360"/>
        <w:jc w:val="both"/>
        <w:rPr>
          <w:sz w:val="19"/>
        </w:rPr>
      </w:pPr>
      <w:r>
        <w:rPr>
          <w:rFonts w:ascii="Times New Roman" w:hAnsi="Times New Roman"/>
          <w:color w:val="231F20"/>
          <w:w w:val="110"/>
          <w:sz w:val="19"/>
        </w:rPr>
        <w:t>B</w:t>
      </w:r>
      <w:r>
        <w:rPr>
          <w:rFonts w:ascii="Times New Roman" w:hAnsi="Times New Roman"/>
          <w:color w:val="231F20"/>
          <w:w w:val="110"/>
          <w:sz w:val="15"/>
        </w:rPr>
        <w:t>ECKER</w:t>
      </w:r>
      <w:r>
        <w:rPr>
          <w:rFonts w:ascii="Times New Roman" w:hAnsi="Times New Roman"/>
          <w:color w:val="231F20"/>
          <w:w w:val="110"/>
          <w:sz w:val="19"/>
        </w:rPr>
        <w:t>, </w:t>
      </w:r>
      <w:r>
        <w:rPr>
          <w:color w:val="231F20"/>
          <w:w w:val="110"/>
          <w:sz w:val="19"/>
        </w:rPr>
        <w:t>Gary (1983), “Inversión en capital humano e ingresos”, en L. Toharia, </w:t>
      </w:r>
      <w:r>
        <w:rPr>
          <w:i/>
          <w:color w:val="231F20"/>
          <w:w w:val="110"/>
          <w:sz w:val="19"/>
        </w:rPr>
        <w:t>El</w:t>
      </w:r>
      <w:r>
        <w:rPr>
          <w:i/>
          <w:color w:val="231F20"/>
          <w:spacing w:val="-12"/>
          <w:w w:val="110"/>
          <w:sz w:val="19"/>
        </w:rPr>
        <w:t> </w:t>
      </w:r>
      <w:r>
        <w:rPr>
          <w:i/>
          <w:color w:val="231F20"/>
          <w:spacing w:val="-4"/>
          <w:w w:val="110"/>
          <w:sz w:val="19"/>
        </w:rPr>
        <w:t>mercado</w:t>
      </w:r>
      <w:r>
        <w:rPr>
          <w:i/>
          <w:color w:val="231F20"/>
          <w:spacing w:val="-12"/>
          <w:w w:val="110"/>
          <w:sz w:val="19"/>
        </w:rPr>
        <w:t> </w:t>
      </w:r>
      <w:r>
        <w:rPr>
          <w:i/>
          <w:color w:val="231F20"/>
          <w:w w:val="110"/>
          <w:sz w:val="19"/>
        </w:rPr>
        <w:t>de</w:t>
      </w:r>
      <w:r>
        <w:rPr>
          <w:i/>
          <w:color w:val="231F20"/>
          <w:spacing w:val="-12"/>
          <w:w w:val="110"/>
          <w:sz w:val="19"/>
        </w:rPr>
        <w:t> </w:t>
      </w:r>
      <w:r>
        <w:rPr>
          <w:i/>
          <w:color w:val="231F20"/>
          <w:spacing w:val="-4"/>
          <w:w w:val="110"/>
          <w:sz w:val="19"/>
        </w:rPr>
        <w:t>trabajo:</w:t>
      </w:r>
      <w:r>
        <w:rPr>
          <w:i/>
          <w:color w:val="231F20"/>
          <w:spacing w:val="-12"/>
          <w:w w:val="110"/>
          <w:sz w:val="19"/>
        </w:rPr>
        <w:t> </w:t>
      </w:r>
      <w:r>
        <w:rPr>
          <w:i/>
          <w:color w:val="231F20"/>
          <w:spacing w:val="-4"/>
          <w:w w:val="110"/>
          <w:sz w:val="19"/>
        </w:rPr>
        <w:t>teoría</w:t>
      </w:r>
      <w:r>
        <w:rPr>
          <w:i/>
          <w:color w:val="231F20"/>
          <w:spacing w:val="-12"/>
          <w:w w:val="110"/>
          <w:sz w:val="19"/>
        </w:rPr>
        <w:t> </w:t>
      </w:r>
      <w:r>
        <w:rPr>
          <w:i/>
          <w:color w:val="231F20"/>
          <w:w w:val="110"/>
          <w:sz w:val="19"/>
        </w:rPr>
        <w:t>y</w:t>
      </w:r>
      <w:r>
        <w:rPr>
          <w:i/>
          <w:color w:val="231F20"/>
          <w:spacing w:val="-12"/>
          <w:w w:val="110"/>
          <w:sz w:val="19"/>
        </w:rPr>
        <w:t> </w:t>
      </w:r>
      <w:r>
        <w:rPr>
          <w:i/>
          <w:color w:val="231F20"/>
          <w:spacing w:val="-4"/>
          <w:w w:val="110"/>
          <w:sz w:val="19"/>
        </w:rPr>
        <w:t>significaciones</w:t>
      </w:r>
      <w:r>
        <w:rPr>
          <w:color w:val="231F20"/>
          <w:spacing w:val="-4"/>
          <w:w w:val="110"/>
          <w:sz w:val="19"/>
        </w:rPr>
        <w:t>,</w:t>
      </w:r>
      <w:r>
        <w:rPr>
          <w:color w:val="231F20"/>
          <w:spacing w:val="-8"/>
          <w:w w:val="110"/>
          <w:sz w:val="19"/>
        </w:rPr>
        <w:t> </w:t>
      </w:r>
      <w:r>
        <w:rPr>
          <w:color w:val="231F20"/>
          <w:spacing w:val="-4"/>
          <w:w w:val="110"/>
          <w:sz w:val="19"/>
        </w:rPr>
        <w:t>Lecturas</w:t>
      </w:r>
      <w:r>
        <w:rPr>
          <w:color w:val="231F20"/>
          <w:spacing w:val="-8"/>
          <w:w w:val="110"/>
          <w:sz w:val="19"/>
        </w:rPr>
        <w:t> </w:t>
      </w:r>
      <w:r>
        <w:rPr>
          <w:color w:val="231F20"/>
          <w:spacing w:val="-4"/>
          <w:w w:val="110"/>
          <w:sz w:val="19"/>
        </w:rPr>
        <w:t>Seleccionadas,</w:t>
      </w:r>
      <w:r>
        <w:rPr>
          <w:color w:val="231F20"/>
          <w:spacing w:val="-8"/>
          <w:w w:val="110"/>
          <w:sz w:val="19"/>
        </w:rPr>
        <w:t> </w:t>
      </w:r>
      <w:r>
        <w:rPr>
          <w:color w:val="231F20"/>
          <w:spacing w:val="-4"/>
          <w:w w:val="110"/>
          <w:sz w:val="19"/>
        </w:rPr>
        <w:t>España, </w:t>
      </w:r>
      <w:r>
        <w:rPr>
          <w:color w:val="231F20"/>
          <w:w w:val="110"/>
          <w:sz w:val="19"/>
        </w:rPr>
        <w:t>Alianza</w:t>
      </w:r>
      <w:r>
        <w:rPr>
          <w:color w:val="231F20"/>
          <w:spacing w:val="-11"/>
          <w:w w:val="110"/>
          <w:sz w:val="19"/>
        </w:rPr>
        <w:t> </w:t>
      </w:r>
      <w:r>
        <w:rPr>
          <w:color w:val="231F20"/>
          <w:w w:val="110"/>
          <w:sz w:val="19"/>
        </w:rPr>
        <w:t>Editorial.</w:t>
      </w:r>
    </w:p>
    <w:p>
      <w:pPr>
        <w:spacing w:line="266" w:lineRule="auto" w:before="7"/>
        <w:ind w:left="484" w:right="113" w:hanging="360"/>
        <w:jc w:val="both"/>
        <w:rPr>
          <w:sz w:val="19"/>
        </w:rPr>
      </w:pPr>
      <w:r>
        <w:rPr>
          <w:rFonts w:ascii="Times New Roman" w:hAnsi="Times New Roman"/>
          <w:color w:val="231F20"/>
          <w:w w:val="105"/>
          <w:sz w:val="19"/>
        </w:rPr>
        <w:t>B</w:t>
      </w:r>
      <w:r>
        <w:rPr>
          <w:rFonts w:ascii="Times New Roman" w:hAnsi="Times New Roman"/>
          <w:color w:val="231F20"/>
          <w:w w:val="105"/>
          <w:sz w:val="15"/>
        </w:rPr>
        <w:t>ECK</w:t>
      </w:r>
      <w:r>
        <w:rPr>
          <w:rFonts w:ascii="Times New Roman" w:hAnsi="Times New Roman"/>
          <w:color w:val="231F20"/>
          <w:w w:val="105"/>
          <w:sz w:val="19"/>
        </w:rPr>
        <w:t>, </w:t>
      </w:r>
      <w:r>
        <w:rPr>
          <w:color w:val="231F20"/>
          <w:w w:val="105"/>
          <w:sz w:val="19"/>
        </w:rPr>
        <w:t>Ulrich (1998), </w:t>
      </w:r>
      <w:r>
        <w:rPr>
          <w:i/>
          <w:color w:val="231F20"/>
          <w:w w:val="105"/>
          <w:sz w:val="19"/>
        </w:rPr>
        <w:t>La sociedad del riesgo: hacia una nueva modernidad</w:t>
      </w:r>
      <w:r>
        <w:rPr>
          <w:color w:val="231F20"/>
          <w:w w:val="105"/>
          <w:sz w:val="19"/>
        </w:rPr>
        <w:t>, España, Editorial Paidós.</w:t>
      </w:r>
    </w:p>
    <w:p>
      <w:pPr>
        <w:spacing w:after="0" w:line="266" w:lineRule="auto"/>
        <w:jc w:val="both"/>
        <w:rPr>
          <w:sz w:val="19"/>
        </w:rPr>
        <w:sectPr>
          <w:pgSz w:w="9520" w:h="12920"/>
          <w:pgMar w:header="0" w:footer="1344" w:top="880" w:bottom="1540" w:left="1320" w:right="1000"/>
        </w:sectPr>
      </w:pPr>
    </w:p>
    <w:p>
      <w:pPr>
        <w:spacing w:line="266" w:lineRule="auto" w:before="44"/>
        <w:ind w:left="480" w:right="119" w:hanging="360"/>
        <w:jc w:val="both"/>
        <w:rPr>
          <w:sz w:val="19"/>
        </w:rPr>
      </w:pPr>
      <w:r>
        <w:rPr>
          <w:rFonts w:ascii="Times New Roman" w:hAnsi="Times New Roman"/>
          <w:color w:val="231F20"/>
          <w:w w:val="110"/>
          <w:sz w:val="19"/>
        </w:rPr>
        <w:t>C</w:t>
      </w:r>
      <w:r>
        <w:rPr>
          <w:rFonts w:ascii="Times New Roman" w:hAnsi="Times New Roman"/>
          <w:color w:val="231F20"/>
          <w:w w:val="110"/>
          <w:sz w:val="15"/>
        </w:rPr>
        <w:t>ORTÉS</w:t>
      </w:r>
      <w:r>
        <w:rPr>
          <w:rFonts w:ascii="Times New Roman" w:hAnsi="Times New Roman"/>
          <w:color w:val="231F20"/>
          <w:w w:val="110"/>
          <w:sz w:val="19"/>
        </w:rPr>
        <w:t>, </w:t>
      </w:r>
      <w:r>
        <w:rPr>
          <w:color w:val="231F20"/>
          <w:w w:val="110"/>
          <w:sz w:val="19"/>
        </w:rPr>
        <w:t>Fernando y Rosa María Rubalcava (1994), </w:t>
      </w:r>
      <w:r>
        <w:rPr>
          <w:i/>
          <w:color w:val="231F20"/>
          <w:w w:val="110"/>
          <w:sz w:val="19"/>
        </w:rPr>
        <w:t>El ingreso de los hogares</w:t>
      </w:r>
      <w:r>
        <w:rPr>
          <w:color w:val="231F20"/>
          <w:w w:val="110"/>
          <w:sz w:val="19"/>
        </w:rPr>
        <w:t>, Monografías Censales de México,   </w:t>
      </w:r>
      <w:r>
        <w:rPr>
          <w:rFonts w:ascii="Times New Roman" w:hAnsi="Times New Roman"/>
          <w:color w:val="231F20"/>
          <w:w w:val="110"/>
          <w:sz w:val="15"/>
        </w:rPr>
        <w:t>INEGI</w:t>
      </w:r>
      <w:r>
        <w:rPr>
          <w:color w:val="231F20"/>
          <w:w w:val="110"/>
          <w:sz w:val="19"/>
        </w:rPr>
        <w:t>-Colmex.</w:t>
      </w:r>
    </w:p>
    <w:p>
      <w:pPr>
        <w:tabs>
          <w:tab w:pos="839" w:val="left" w:leader="none"/>
        </w:tabs>
        <w:spacing w:before="0"/>
        <w:ind w:left="120" w:right="0" w:firstLine="0"/>
        <w:jc w:val="left"/>
        <w:rPr>
          <w:sz w:val="19"/>
        </w:rPr>
      </w:pPr>
      <w:r>
        <w:rPr>
          <w:color w:val="231F20"/>
          <w:w w:val="128"/>
          <w:sz w:val="19"/>
          <w:u w:val="single" w:color="231F20"/>
        </w:rPr>
        <w:t> </w:t>
      </w:r>
      <w:r>
        <w:rPr>
          <w:color w:val="231F20"/>
          <w:sz w:val="19"/>
          <w:u w:val="single" w:color="231F20"/>
        </w:rPr>
        <w:tab/>
      </w:r>
      <w:r>
        <w:rPr>
          <w:color w:val="231F20"/>
          <w:sz w:val="19"/>
        </w:rPr>
        <w:t> </w:t>
      </w:r>
      <w:r>
        <w:rPr>
          <w:color w:val="231F20"/>
          <w:spacing w:val="-18"/>
          <w:sz w:val="19"/>
        </w:rPr>
        <w:t> </w:t>
      </w:r>
      <w:r>
        <w:rPr>
          <w:color w:val="231F20"/>
          <w:w w:val="110"/>
          <w:sz w:val="19"/>
        </w:rPr>
        <w:t>(1995), </w:t>
      </w:r>
      <w:r>
        <w:rPr>
          <w:i/>
          <w:color w:val="231F20"/>
          <w:w w:val="110"/>
          <w:sz w:val="19"/>
        </w:rPr>
        <w:t>El ingreso de los hogares</w:t>
      </w:r>
      <w:r>
        <w:rPr>
          <w:color w:val="231F20"/>
          <w:w w:val="110"/>
          <w:sz w:val="19"/>
        </w:rPr>
        <w:t>, tomo VII, México, </w:t>
      </w:r>
      <w:r>
        <w:rPr>
          <w:color w:val="231F20"/>
          <w:spacing w:val="-7"/>
          <w:w w:val="110"/>
          <w:sz w:val="19"/>
        </w:rPr>
        <w:t>D.F., </w:t>
      </w:r>
      <w:r>
        <w:rPr>
          <w:color w:val="231F20"/>
          <w:spacing w:val="4"/>
          <w:w w:val="110"/>
          <w:sz w:val="19"/>
        </w:rPr>
        <w:t> </w:t>
      </w:r>
      <w:r>
        <w:rPr>
          <w:rFonts w:ascii="Times New Roman" w:hAnsi="Times New Roman"/>
          <w:color w:val="231F20"/>
          <w:w w:val="110"/>
          <w:sz w:val="15"/>
        </w:rPr>
        <w:t>INEGI</w:t>
      </w:r>
      <w:r>
        <w:rPr>
          <w:color w:val="231F20"/>
          <w:w w:val="110"/>
          <w:sz w:val="19"/>
        </w:rPr>
        <w:t>.</w:t>
      </w:r>
    </w:p>
    <w:p>
      <w:pPr>
        <w:spacing w:line="266" w:lineRule="auto" w:before="25"/>
        <w:ind w:left="480" w:right="119" w:hanging="360"/>
        <w:jc w:val="both"/>
        <w:rPr>
          <w:sz w:val="19"/>
        </w:rPr>
      </w:pPr>
      <w:r>
        <w:rPr>
          <w:rFonts w:ascii="Times New Roman" w:hAnsi="Times New Roman"/>
          <w:color w:val="231F20"/>
          <w:w w:val="110"/>
          <w:sz w:val="19"/>
        </w:rPr>
        <w:t>C</w:t>
      </w:r>
      <w:r>
        <w:rPr>
          <w:rFonts w:ascii="Times New Roman" w:hAnsi="Times New Roman"/>
          <w:color w:val="231F20"/>
          <w:w w:val="110"/>
          <w:sz w:val="15"/>
        </w:rPr>
        <w:t>HAYANOV</w:t>
      </w:r>
      <w:r>
        <w:rPr>
          <w:color w:val="231F20"/>
          <w:w w:val="110"/>
          <w:sz w:val="19"/>
        </w:rPr>
        <w:t>, Alexander (1981), </w:t>
      </w:r>
      <w:r>
        <w:rPr>
          <w:i/>
          <w:color w:val="231F20"/>
          <w:w w:val="110"/>
          <w:sz w:val="19"/>
        </w:rPr>
        <w:t>Chayanov y la teoría de la economía campesina</w:t>
      </w:r>
      <w:r>
        <w:rPr>
          <w:color w:val="231F20"/>
          <w:w w:val="110"/>
          <w:sz w:val="19"/>
        </w:rPr>
        <w:t>, Serie Cuadernos de Pasado y presente 94,  México.</w:t>
      </w:r>
    </w:p>
    <w:p>
      <w:pPr>
        <w:spacing w:line="266" w:lineRule="auto" w:before="0"/>
        <w:ind w:left="479" w:right="119" w:hanging="360"/>
        <w:jc w:val="both"/>
        <w:rPr>
          <w:sz w:val="19"/>
        </w:rPr>
      </w:pPr>
      <w:r>
        <w:rPr>
          <w:rFonts w:ascii="Times New Roman" w:hAnsi="Times New Roman"/>
          <w:color w:val="231F20"/>
          <w:w w:val="110"/>
          <w:sz w:val="19"/>
        </w:rPr>
        <w:t>E</w:t>
      </w:r>
      <w:r>
        <w:rPr>
          <w:rFonts w:ascii="Times New Roman" w:hAnsi="Times New Roman"/>
          <w:color w:val="231F20"/>
          <w:w w:val="110"/>
          <w:sz w:val="15"/>
        </w:rPr>
        <w:t>STEINOU</w:t>
      </w:r>
      <w:r>
        <w:rPr>
          <w:color w:val="231F20"/>
          <w:w w:val="110"/>
          <w:sz w:val="19"/>
        </w:rPr>
        <w:t>,</w:t>
      </w:r>
      <w:r>
        <w:rPr>
          <w:color w:val="231F20"/>
          <w:spacing w:val="-14"/>
          <w:w w:val="110"/>
          <w:sz w:val="19"/>
        </w:rPr>
        <w:t> </w:t>
      </w:r>
      <w:r>
        <w:rPr>
          <w:color w:val="231F20"/>
          <w:w w:val="110"/>
          <w:sz w:val="19"/>
        </w:rPr>
        <w:t>Rosario</w:t>
      </w:r>
      <w:r>
        <w:rPr>
          <w:color w:val="231F20"/>
          <w:spacing w:val="-14"/>
          <w:w w:val="110"/>
          <w:sz w:val="19"/>
        </w:rPr>
        <w:t> </w:t>
      </w:r>
      <w:r>
        <w:rPr>
          <w:color w:val="231F20"/>
          <w:w w:val="110"/>
          <w:sz w:val="19"/>
        </w:rPr>
        <w:t>(1998),</w:t>
      </w:r>
      <w:r>
        <w:rPr>
          <w:color w:val="231F20"/>
          <w:spacing w:val="-14"/>
          <w:w w:val="110"/>
          <w:sz w:val="19"/>
        </w:rPr>
        <w:t> </w:t>
      </w:r>
      <w:r>
        <w:rPr>
          <w:color w:val="231F20"/>
          <w:w w:val="110"/>
          <w:sz w:val="19"/>
        </w:rPr>
        <w:t>“Familia</w:t>
      </w:r>
      <w:r>
        <w:rPr>
          <w:color w:val="231F20"/>
          <w:spacing w:val="-14"/>
          <w:w w:val="110"/>
          <w:sz w:val="19"/>
        </w:rPr>
        <w:t> </w:t>
      </w:r>
      <w:r>
        <w:rPr>
          <w:color w:val="231F20"/>
          <w:w w:val="110"/>
          <w:sz w:val="19"/>
        </w:rPr>
        <w:t>y</w:t>
      </w:r>
      <w:r>
        <w:rPr>
          <w:color w:val="231F20"/>
          <w:spacing w:val="-14"/>
          <w:w w:val="110"/>
          <w:sz w:val="19"/>
        </w:rPr>
        <w:t> </w:t>
      </w:r>
      <w:r>
        <w:rPr>
          <w:color w:val="231F20"/>
          <w:w w:val="110"/>
          <w:sz w:val="19"/>
        </w:rPr>
        <w:t>diferenciación</w:t>
      </w:r>
      <w:r>
        <w:rPr>
          <w:color w:val="231F20"/>
          <w:spacing w:val="-14"/>
          <w:w w:val="110"/>
          <w:sz w:val="19"/>
        </w:rPr>
        <w:t> </w:t>
      </w:r>
      <w:r>
        <w:rPr>
          <w:color w:val="231F20"/>
          <w:w w:val="110"/>
          <w:sz w:val="19"/>
        </w:rPr>
        <w:t>simbólica”,</w:t>
      </w:r>
      <w:r>
        <w:rPr>
          <w:color w:val="231F20"/>
          <w:spacing w:val="-14"/>
          <w:w w:val="110"/>
          <w:sz w:val="19"/>
        </w:rPr>
        <w:t> </w:t>
      </w:r>
      <w:r>
        <w:rPr>
          <w:color w:val="231F20"/>
          <w:w w:val="110"/>
          <w:sz w:val="19"/>
        </w:rPr>
        <w:t>en</w:t>
      </w:r>
      <w:r>
        <w:rPr>
          <w:color w:val="231F20"/>
          <w:spacing w:val="-14"/>
          <w:w w:val="110"/>
          <w:sz w:val="19"/>
        </w:rPr>
        <w:t> </w:t>
      </w:r>
      <w:r>
        <w:rPr>
          <w:i/>
          <w:color w:val="231F20"/>
          <w:w w:val="110"/>
          <w:sz w:val="19"/>
        </w:rPr>
        <w:t>Nueva</w:t>
      </w:r>
      <w:r>
        <w:rPr>
          <w:i/>
          <w:color w:val="231F20"/>
          <w:spacing w:val="-17"/>
          <w:w w:val="110"/>
          <w:sz w:val="19"/>
        </w:rPr>
        <w:t> </w:t>
      </w:r>
      <w:r>
        <w:rPr>
          <w:i/>
          <w:color w:val="231F20"/>
          <w:w w:val="110"/>
          <w:sz w:val="19"/>
        </w:rPr>
        <w:t>Antro- </w:t>
      </w:r>
      <w:r>
        <w:rPr>
          <w:i/>
          <w:color w:val="231F20"/>
          <w:w w:val="110"/>
          <w:sz w:val="19"/>
        </w:rPr>
        <w:t>pología</w:t>
      </w:r>
      <w:r>
        <w:rPr>
          <w:color w:val="231F20"/>
          <w:w w:val="110"/>
          <w:sz w:val="19"/>
        </w:rPr>
        <w:t>, vol. </w:t>
      </w:r>
      <w:r>
        <w:rPr>
          <w:color w:val="231F20"/>
          <w:spacing w:val="-9"/>
          <w:w w:val="110"/>
          <w:sz w:val="19"/>
        </w:rPr>
        <w:t>XIV,  </w:t>
      </w:r>
      <w:r>
        <w:rPr>
          <w:color w:val="231F20"/>
          <w:w w:val="110"/>
          <w:sz w:val="19"/>
        </w:rPr>
        <w:t>núm. 55, junio, </w:t>
      </w:r>
      <w:r>
        <w:rPr>
          <w:color w:val="231F20"/>
          <w:spacing w:val="13"/>
          <w:w w:val="110"/>
          <w:sz w:val="19"/>
        </w:rPr>
        <w:t> </w:t>
      </w:r>
      <w:r>
        <w:rPr>
          <w:color w:val="231F20"/>
          <w:w w:val="110"/>
          <w:sz w:val="19"/>
        </w:rPr>
        <w:t>México.</w:t>
      </w:r>
    </w:p>
    <w:p>
      <w:pPr>
        <w:spacing w:before="0"/>
        <w:ind w:left="120" w:right="0" w:firstLine="0"/>
        <w:jc w:val="left"/>
        <w:rPr>
          <w:sz w:val="19"/>
        </w:rPr>
      </w:pPr>
      <w:r>
        <w:rPr>
          <w:rFonts w:ascii="Times New Roman" w:hAnsi="Times New Roman"/>
          <w:color w:val="231F20"/>
          <w:w w:val="105"/>
          <w:sz w:val="19"/>
        </w:rPr>
        <w:t>F</w:t>
      </w:r>
      <w:r>
        <w:rPr>
          <w:rFonts w:ascii="Times New Roman" w:hAnsi="Times New Roman"/>
          <w:color w:val="231F20"/>
          <w:w w:val="105"/>
          <w:sz w:val="15"/>
        </w:rPr>
        <w:t>ILGUEIRA</w:t>
      </w:r>
      <w:r>
        <w:rPr>
          <w:color w:val="231F20"/>
          <w:w w:val="105"/>
          <w:sz w:val="19"/>
        </w:rPr>
        <w:t>,  Fernando (2002), </w:t>
      </w:r>
      <w:r>
        <w:rPr>
          <w:i/>
          <w:color w:val="231F20"/>
          <w:w w:val="105"/>
          <w:sz w:val="19"/>
        </w:rPr>
        <w:t>Capítulo 1: Notas sobre el marco conceptual</w:t>
      </w:r>
      <w:r>
        <w:rPr>
          <w:color w:val="231F20"/>
          <w:w w:val="105"/>
          <w:sz w:val="19"/>
        </w:rPr>
        <w:t>,     Chile,</w:t>
      </w:r>
    </w:p>
    <w:p>
      <w:pPr>
        <w:spacing w:before="25"/>
        <w:ind w:left="480" w:right="0" w:firstLine="0"/>
        <w:jc w:val="left"/>
        <w:rPr>
          <w:sz w:val="19"/>
        </w:rPr>
      </w:pPr>
      <w:r>
        <w:rPr>
          <w:rFonts w:ascii="Times New Roman"/>
          <w:color w:val="231F20"/>
          <w:w w:val="110"/>
          <w:sz w:val="15"/>
        </w:rPr>
        <w:t>CEPAL</w:t>
      </w:r>
      <w:r>
        <w:rPr>
          <w:color w:val="231F20"/>
          <w:w w:val="110"/>
          <w:sz w:val="19"/>
        </w:rPr>
        <w:t>.</w:t>
      </w:r>
    </w:p>
    <w:p>
      <w:pPr>
        <w:spacing w:line="266" w:lineRule="auto" w:before="25"/>
        <w:ind w:left="479" w:right="118" w:hanging="360"/>
        <w:jc w:val="both"/>
        <w:rPr>
          <w:sz w:val="19"/>
        </w:rPr>
      </w:pPr>
      <w:r>
        <w:rPr>
          <w:rFonts w:ascii="Times New Roman" w:hAnsi="Times New Roman"/>
          <w:color w:val="231F20"/>
          <w:w w:val="110"/>
          <w:sz w:val="19"/>
        </w:rPr>
        <w:t>F</w:t>
      </w:r>
      <w:r>
        <w:rPr>
          <w:rFonts w:ascii="Times New Roman" w:hAnsi="Times New Roman"/>
          <w:color w:val="231F20"/>
          <w:w w:val="110"/>
          <w:sz w:val="15"/>
        </w:rPr>
        <w:t>ORTES</w:t>
      </w:r>
      <w:r>
        <w:rPr>
          <w:color w:val="231F20"/>
          <w:w w:val="110"/>
          <w:sz w:val="19"/>
        </w:rPr>
        <w:t>, Meyer (1985), “Introduction”</w:t>
      </w:r>
      <w:r>
        <w:rPr>
          <w:i/>
          <w:color w:val="231F20"/>
          <w:w w:val="110"/>
          <w:sz w:val="19"/>
        </w:rPr>
        <w:t>, </w:t>
      </w:r>
      <w:r>
        <w:rPr>
          <w:color w:val="231F20"/>
          <w:w w:val="110"/>
          <w:sz w:val="19"/>
        </w:rPr>
        <w:t>en Jack Goody (ed.), </w:t>
      </w:r>
      <w:r>
        <w:rPr>
          <w:i/>
          <w:color w:val="231F20"/>
          <w:w w:val="110"/>
          <w:sz w:val="19"/>
        </w:rPr>
        <w:t>The Developmental </w:t>
      </w:r>
      <w:r>
        <w:rPr>
          <w:i/>
          <w:color w:val="231F20"/>
          <w:w w:val="110"/>
          <w:sz w:val="19"/>
        </w:rPr>
        <w:t>Cycle in Domestic Groups</w:t>
      </w:r>
      <w:r>
        <w:rPr>
          <w:color w:val="231F20"/>
          <w:w w:val="110"/>
          <w:sz w:val="19"/>
        </w:rPr>
        <w:t>, Gran Bretaña, Cambridge University  Press.</w:t>
      </w:r>
    </w:p>
    <w:p>
      <w:pPr>
        <w:spacing w:line="266" w:lineRule="auto" w:before="0"/>
        <w:ind w:left="480" w:right="117" w:hanging="360"/>
        <w:jc w:val="both"/>
        <w:rPr>
          <w:sz w:val="19"/>
        </w:rPr>
      </w:pPr>
      <w:r>
        <w:rPr>
          <w:rFonts w:ascii="Times New Roman" w:hAnsi="Times New Roman"/>
          <w:color w:val="231F20"/>
          <w:w w:val="110"/>
          <w:sz w:val="19"/>
        </w:rPr>
        <w:t>G</w:t>
      </w:r>
      <w:r>
        <w:rPr>
          <w:rFonts w:ascii="Times New Roman" w:hAnsi="Times New Roman"/>
          <w:color w:val="231F20"/>
          <w:w w:val="110"/>
          <w:sz w:val="15"/>
        </w:rPr>
        <w:t>ARCÍA</w:t>
      </w:r>
      <w:r>
        <w:rPr>
          <w:color w:val="231F20"/>
          <w:w w:val="110"/>
          <w:sz w:val="19"/>
        </w:rPr>
        <w:t>, Brígida, Humberto Muñoz y Orlandina de Oliveira (1989), “Reproduc- ción de la fuerza de trabajo”, en O. Oliveira, M. Pepin y S. Salles, </w:t>
      </w:r>
      <w:r>
        <w:rPr>
          <w:i/>
          <w:color w:val="231F20"/>
          <w:w w:val="110"/>
          <w:sz w:val="19"/>
        </w:rPr>
        <w:t>Grupos </w:t>
      </w:r>
      <w:r>
        <w:rPr>
          <w:i/>
          <w:color w:val="231F20"/>
          <w:w w:val="110"/>
          <w:sz w:val="19"/>
        </w:rPr>
        <w:t>domésticos y reproducción cotidiana</w:t>
      </w:r>
      <w:r>
        <w:rPr>
          <w:color w:val="231F20"/>
          <w:w w:val="110"/>
          <w:sz w:val="19"/>
        </w:rPr>
        <w:t>, México, El Colegio de México, Miguel Ángel Porrúa.</w:t>
      </w:r>
    </w:p>
    <w:p>
      <w:pPr>
        <w:spacing w:line="266" w:lineRule="auto" w:before="0"/>
        <w:ind w:left="480" w:right="118" w:hanging="360"/>
        <w:jc w:val="both"/>
        <w:rPr>
          <w:sz w:val="19"/>
        </w:rPr>
      </w:pPr>
      <w:r>
        <w:rPr>
          <w:rFonts w:ascii="Times New Roman" w:hAnsi="Times New Roman"/>
          <w:color w:val="231F20"/>
          <w:w w:val="110"/>
          <w:sz w:val="19"/>
        </w:rPr>
        <w:t>G</w:t>
      </w:r>
      <w:r>
        <w:rPr>
          <w:rFonts w:ascii="Times New Roman" w:hAnsi="Times New Roman"/>
          <w:color w:val="231F20"/>
          <w:w w:val="110"/>
          <w:sz w:val="15"/>
        </w:rPr>
        <w:t>ARCÍA</w:t>
      </w:r>
      <w:r>
        <w:rPr>
          <w:color w:val="231F20"/>
          <w:w w:val="110"/>
          <w:sz w:val="19"/>
        </w:rPr>
        <w:t>, Brígida y Orlandina de Oliveira (1998), </w:t>
      </w:r>
      <w:r>
        <w:rPr>
          <w:i/>
          <w:color w:val="231F20"/>
          <w:w w:val="110"/>
          <w:sz w:val="19"/>
        </w:rPr>
        <w:t>Participación femenina en los </w:t>
      </w:r>
      <w:r>
        <w:rPr>
          <w:i/>
          <w:color w:val="231F20"/>
          <w:w w:val="110"/>
          <w:sz w:val="19"/>
        </w:rPr>
        <w:t>mercados de trabajo</w:t>
      </w:r>
      <w:r>
        <w:rPr>
          <w:color w:val="231F20"/>
          <w:w w:val="110"/>
          <w:sz w:val="19"/>
        </w:rPr>
        <w:t>, </w:t>
      </w:r>
      <w:r>
        <w:rPr>
          <w:i/>
          <w:color w:val="231F20"/>
          <w:w w:val="110"/>
          <w:sz w:val="19"/>
        </w:rPr>
        <w:t>Revista Trabajo </w:t>
      </w:r>
      <w:r>
        <w:rPr>
          <w:color w:val="231F20"/>
          <w:w w:val="110"/>
          <w:sz w:val="19"/>
        </w:rPr>
        <w:t>núm. 1, año 1, México, Universidad Autónoma Metropolitana.</w:t>
      </w:r>
    </w:p>
    <w:p>
      <w:pPr>
        <w:spacing w:line="266" w:lineRule="auto" w:before="0"/>
        <w:ind w:left="480" w:right="116" w:hanging="360"/>
        <w:jc w:val="both"/>
        <w:rPr>
          <w:sz w:val="19"/>
        </w:rPr>
      </w:pPr>
      <w:r>
        <w:rPr>
          <w:color w:val="231F20"/>
          <w:w w:val="110"/>
          <w:sz w:val="19"/>
        </w:rPr>
        <w:t>García, Brígida y Edith Pacheco (2000), “Esposas, hijos e hijas en el mercado de trabajo de la Ciudad de México en 1995”, </w:t>
      </w:r>
      <w:r>
        <w:rPr>
          <w:i/>
          <w:color w:val="231F20"/>
          <w:w w:val="110"/>
          <w:sz w:val="19"/>
        </w:rPr>
        <w:t>Estudios Demográficos y</w:t>
      </w:r>
      <w:r>
        <w:rPr>
          <w:i/>
          <w:color w:val="231F20"/>
          <w:spacing w:val="-9"/>
          <w:w w:val="110"/>
          <w:sz w:val="19"/>
        </w:rPr>
        <w:t> </w:t>
      </w:r>
      <w:r>
        <w:rPr>
          <w:i/>
          <w:color w:val="231F20"/>
          <w:w w:val="110"/>
          <w:sz w:val="19"/>
        </w:rPr>
        <w:t>Urba- </w:t>
      </w:r>
      <w:r>
        <w:rPr>
          <w:i/>
          <w:color w:val="231F20"/>
          <w:w w:val="110"/>
          <w:sz w:val="19"/>
        </w:rPr>
        <w:t>nos</w:t>
      </w:r>
      <w:r>
        <w:rPr>
          <w:color w:val="231F20"/>
          <w:w w:val="110"/>
          <w:sz w:val="19"/>
        </w:rPr>
        <w:t>, </w:t>
      </w:r>
      <w:r>
        <w:rPr>
          <w:color w:val="231F20"/>
          <w:spacing w:val="2"/>
          <w:w w:val="110"/>
          <w:sz w:val="19"/>
        </w:rPr>
        <w:t>vol. </w:t>
      </w:r>
      <w:r>
        <w:rPr>
          <w:color w:val="231F20"/>
          <w:w w:val="110"/>
          <w:sz w:val="19"/>
        </w:rPr>
        <w:t>15, </w:t>
      </w:r>
      <w:r>
        <w:rPr>
          <w:color w:val="231F20"/>
          <w:spacing w:val="2"/>
          <w:w w:val="110"/>
          <w:sz w:val="19"/>
        </w:rPr>
        <w:t>núm. </w:t>
      </w:r>
      <w:r>
        <w:rPr>
          <w:color w:val="231F20"/>
          <w:w w:val="110"/>
          <w:sz w:val="19"/>
        </w:rPr>
        <w:t>1, </w:t>
      </w:r>
      <w:r>
        <w:rPr>
          <w:color w:val="231F20"/>
          <w:spacing w:val="2"/>
          <w:w w:val="110"/>
          <w:sz w:val="19"/>
        </w:rPr>
        <w:t>Centro </w:t>
      </w:r>
      <w:r>
        <w:rPr>
          <w:color w:val="231F20"/>
          <w:w w:val="110"/>
          <w:sz w:val="19"/>
        </w:rPr>
        <w:t>de </w:t>
      </w:r>
      <w:r>
        <w:rPr>
          <w:color w:val="231F20"/>
          <w:spacing w:val="2"/>
          <w:w w:val="110"/>
          <w:sz w:val="19"/>
        </w:rPr>
        <w:t>Estudios Demográficos </w:t>
      </w:r>
      <w:r>
        <w:rPr>
          <w:color w:val="231F20"/>
          <w:w w:val="110"/>
          <w:sz w:val="19"/>
        </w:rPr>
        <w:t>y de </w:t>
      </w:r>
      <w:r>
        <w:rPr>
          <w:color w:val="231F20"/>
          <w:spacing w:val="2"/>
          <w:w w:val="110"/>
          <w:sz w:val="19"/>
        </w:rPr>
        <w:t>Desarrollo </w:t>
      </w:r>
      <w:r>
        <w:rPr>
          <w:color w:val="231F20"/>
          <w:w w:val="110"/>
          <w:sz w:val="19"/>
        </w:rPr>
        <w:t>Urbano, </w:t>
      </w:r>
      <w:r>
        <w:rPr>
          <w:color w:val="231F20"/>
          <w:spacing w:val="1"/>
          <w:w w:val="110"/>
          <w:sz w:val="19"/>
        </w:rPr>
        <w:t> </w:t>
      </w:r>
      <w:r>
        <w:rPr>
          <w:color w:val="231F20"/>
          <w:w w:val="110"/>
          <w:sz w:val="19"/>
        </w:rPr>
        <w:t>México.</w:t>
      </w:r>
    </w:p>
    <w:p>
      <w:pPr>
        <w:spacing w:line="266" w:lineRule="auto" w:before="0"/>
        <w:ind w:left="479" w:right="117" w:hanging="360"/>
        <w:jc w:val="both"/>
        <w:rPr>
          <w:sz w:val="19"/>
        </w:rPr>
      </w:pPr>
      <w:r>
        <w:rPr>
          <w:rFonts w:ascii="Times New Roman" w:hAnsi="Times New Roman"/>
          <w:color w:val="231F20"/>
          <w:w w:val="110"/>
          <w:sz w:val="19"/>
        </w:rPr>
        <w:t>G</w:t>
      </w:r>
      <w:r>
        <w:rPr>
          <w:rFonts w:ascii="Times New Roman" w:hAnsi="Times New Roman"/>
          <w:color w:val="231F20"/>
          <w:w w:val="110"/>
          <w:sz w:val="15"/>
        </w:rPr>
        <w:t>OLDANI</w:t>
      </w:r>
      <w:r>
        <w:rPr>
          <w:rFonts w:ascii="Times New Roman" w:hAnsi="Times New Roman"/>
          <w:color w:val="231F20"/>
          <w:w w:val="110"/>
          <w:sz w:val="19"/>
        </w:rPr>
        <w:t>, </w:t>
      </w:r>
      <w:r>
        <w:rPr>
          <w:color w:val="231F20"/>
          <w:w w:val="110"/>
          <w:sz w:val="19"/>
        </w:rPr>
        <w:t>Alicia (2001), </w:t>
      </w:r>
      <w:r>
        <w:rPr>
          <w:color w:val="231F20"/>
          <w:spacing w:val="4"/>
          <w:w w:val="110"/>
          <w:sz w:val="19"/>
        </w:rPr>
        <w:t>“Las </w:t>
      </w:r>
      <w:r>
        <w:rPr>
          <w:color w:val="231F20"/>
          <w:w w:val="110"/>
          <w:sz w:val="19"/>
        </w:rPr>
        <w:t>familias brasileñas y sus desafíos como factor de protección al final del siglo </w:t>
      </w:r>
      <w:r>
        <w:rPr>
          <w:rFonts w:ascii="Times New Roman" w:hAnsi="Times New Roman"/>
          <w:color w:val="231F20"/>
          <w:w w:val="110"/>
          <w:sz w:val="15"/>
        </w:rPr>
        <w:t>XX</w:t>
      </w:r>
      <w:r>
        <w:rPr>
          <w:color w:val="231F20"/>
          <w:w w:val="110"/>
          <w:sz w:val="19"/>
        </w:rPr>
        <w:t>”, en: C. Gómes (comp.). </w:t>
      </w:r>
      <w:r>
        <w:rPr>
          <w:i/>
          <w:color w:val="231F20"/>
          <w:spacing w:val="-3"/>
          <w:w w:val="110"/>
          <w:sz w:val="19"/>
        </w:rPr>
        <w:t>Procesos </w:t>
      </w:r>
      <w:r>
        <w:rPr>
          <w:i/>
          <w:color w:val="231F20"/>
          <w:w w:val="110"/>
          <w:sz w:val="19"/>
        </w:rPr>
        <w:t>sociales,</w:t>
      </w:r>
      <w:r>
        <w:rPr>
          <w:i/>
          <w:color w:val="231F20"/>
          <w:spacing w:val="-31"/>
          <w:w w:val="110"/>
          <w:sz w:val="19"/>
        </w:rPr>
        <w:t> </w:t>
      </w:r>
      <w:r>
        <w:rPr>
          <w:i/>
          <w:color w:val="231F20"/>
          <w:w w:val="110"/>
          <w:sz w:val="19"/>
        </w:rPr>
        <w:t>po- </w:t>
      </w:r>
      <w:r>
        <w:rPr>
          <w:i/>
          <w:color w:val="231F20"/>
          <w:w w:val="110"/>
          <w:sz w:val="19"/>
        </w:rPr>
        <w:t>blación y familia</w:t>
      </w:r>
      <w:r>
        <w:rPr>
          <w:color w:val="231F20"/>
          <w:w w:val="110"/>
          <w:sz w:val="19"/>
        </w:rPr>
        <w:t>, México, FLACSO;</w:t>
      </w:r>
      <w:r>
        <w:rPr>
          <w:color w:val="231F20"/>
          <w:spacing w:val="39"/>
          <w:w w:val="110"/>
          <w:sz w:val="19"/>
        </w:rPr>
        <w:t> </w:t>
      </w:r>
      <w:r>
        <w:rPr>
          <w:color w:val="231F20"/>
          <w:w w:val="110"/>
          <w:sz w:val="19"/>
        </w:rPr>
        <w:t>Porrúa.</w:t>
      </w:r>
    </w:p>
    <w:p>
      <w:pPr>
        <w:spacing w:line="266" w:lineRule="auto" w:before="0"/>
        <w:ind w:left="479" w:right="117" w:hanging="360"/>
        <w:jc w:val="both"/>
        <w:rPr>
          <w:sz w:val="19"/>
        </w:rPr>
      </w:pPr>
      <w:r>
        <w:rPr>
          <w:rFonts w:ascii="Times New Roman" w:hAnsi="Times New Roman"/>
          <w:color w:val="231F20"/>
          <w:w w:val="110"/>
          <w:sz w:val="19"/>
        </w:rPr>
        <w:t>G</w:t>
      </w:r>
      <w:r>
        <w:rPr>
          <w:rFonts w:ascii="Times New Roman" w:hAnsi="Times New Roman"/>
          <w:color w:val="231F20"/>
          <w:w w:val="110"/>
          <w:sz w:val="15"/>
        </w:rPr>
        <w:t>OODY</w:t>
      </w:r>
      <w:r>
        <w:rPr>
          <w:color w:val="231F20"/>
          <w:w w:val="110"/>
          <w:sz w:val="19"/>
        </w:rPr>
        <w:t>, Jack (1985), “The Fission of Domestic Groups Among the LoDagaba”, en </w:t>
      </w:r>
      <w:r>
        <w:rPr>
          <w:i/>
          <w:color w:val="231F20"/>
          <w:w w:val="110"/>
          <w:sz w:val="19"/>
        </w:rPr>
        <w:t>The Developmental Cycle in Domestic Groups, </w:t>
      </w:r>
      <w:r>
        <w:rPr>
          <w:color w:val="231F20"/>
          <w:w w:val="110"/>
          <w:sz w:val="19"/>
        </w:rPr>
        <w:t>Gran Bretaña, Cambridge University Press.</w:t>
      </w:r>
    </w:p>
    <w:p>
      <w:pPr>
        <w:spacing w:line="266" w:lineRule="auto" w:before="0"/>
        <w:ind w:left="480" w:right="117" w:hanging="360"/>
        <w:jc w:val="both"/>
        <w:rPr>
          <w:sz w:val="19"/>
        </w:rPr>
      </w:pPr>
      <w:r>
        <w:rPr>
          <w:rFonts w:ascii="Times New Roman" w:hAnsi="Times New Roman"/>
          <w:color w:val="231F20"/>
          <w:w w:val="105"/>
          <w:sz w:val="19"/>
        </w:rPr>
        <w:t>K</w:t>
      </w:r>
      <w:r>
        <w:rPr>
          <w:rFonts w:ascii="Times New Roman" w:hAnsi="Times New Roman"/>
          <w:color w:val="231F20"/>
          <w:w w:val="105"/>
          <w:sz w:val="15"/>
        </w:rPr>
        <w:t>AZTMAN</w:t>
      </w:r>
      <w:r>
        <w:rPr>
          <w:color w:val="231F20"/>
          <w:w w:val="105"/>
          <w:sz w:val="19"/>
        </w:rPr>
        <w:t>, Rubén y Fernando Filgueira (2001), </w:t>
      </w:r>
      <w:r>
        <w:rPr>
          <w:i/>
          <w:color w:val="231F20"/>
          <w:w w:val="105"/>
          <w:sz w:val="19"/>
        </w:rPr>
        <w:t>Trabajo y ciudadanía. Integración   </w:t>
      </w:r>
      <w:r>
        <w:rPr>
          <w:i/>
          <w:color w:val="231F20"/>
          <w:w w:val="105"/>
          <w:sz w:val="19"/>
        </w:rPr>
        <w:t>y exclusión social en cuatro áreas metropolitanas de América Latina</w:t>
      </w:r>
      <w:r>
        <w:rPr>
          <w:color w:val="231F20"/>
          <w:w w:val="105"/>
          <w:sz w:val="19"/>
        </w:rPr>
        <w:t>, Santiago de  Chile</w:t>
      </w:r>
      <w:r>
        <w:rPr>
          <w:i/>
          <w:color w:val="231F20"/>
          <w:w w:val="105"/>
          <w:sz w:val="19"/>
        </w:rPr>
        <w:t>,</w:t>
      </w:r>
      <w:r>
        <w:rPr>
          <w:i/>
          <w:color w:val="231F20"/>
          <w:spacing w:val="30"/>
          <w:w w:val="105"/>
          <w:sz w:val="19"/>
        </w:rPr>
        <w:t> </w:t>
      </w:r>
      <w:r>
        <w:rPr>
          <w:rFonts w:ascii="Times New Roman" w:hAnsi="Times New Roman"/>
          <w:color w:val="231F20"/>
          <w:w w:val="105"/>
          <w:sz w:val="15"/>
        </w:rPr>
        <w:t>CEPAL</w:t>
      </w:r>
      <w:r>
        <w:rPr>
          <w:color w:val="231F20"/>
          <w:w w:val="105"/>
          <w:sz w:val="19"/>
        </w:rPr>
        <w:t>.</w:t>
      </w:r>
    </w:p>
    <w:p>
      <w:pPr>
        <w:spacing w:line="266" w:lineRule="auto" w:before="0"/>
        <w:ind w:left="480" w:right="117" w:hanging="360"/>
        <w:jc w:val="both"/>
        <w:rPr>
          <w:sz w:val="19"/>
        </w:rPr>
      </w:pPr>
      <w:r>
        <w:rPr>
          <w:rFonts w:ascii="Times New Roman" w:hAnsi="Times New Roman"/>
          <w:color w:val="231F20"/>
          <w:w w:val="105"/>
          <w:sz w:val="19"/>
        </w:rPr>
        <w:t>K</w:t>
      </w:r>
      <w:r>
        <w:rPr>
          <w:rFonts w:ascii="Times New Roman" w:hAnsi="Times New Roman"/>
          <w:color w:val="231F20"/>
          <w:w w:val="105"/>
          <w:sz w:val="15"/>
        </w:rPr>
        <w:t>UZNETS</w:t>
      </w:r>
      <w:r>
        <w:rPr>
          <w:color w:val="231F20"/>
          <w:w w:val="105"/>
          <w:sz w:val="19"/>
        </w:rPr>
        <w:t>, Simon (1978), “Modern Economic Growth and the Less Developed Countries</w:t>
      </w:r>
      <w:r>
        <w:rPr>
          <w:i/>
          <w:color w:val="231F20"/>
          <w:w w:val="105"/>
          <w:sz w:val="19"/>
        </w:rPr>
        <w:t>”</w:t>
      </w:r>
      <w:r>
        <w:rPr>
          <w:color w:val="231F20"/>
          <w:w w:val="105"/>
          <w:sz w:val="19"/>
        </w:rPr>
        <w:t>, en Li K. T. y Yu T. S. (eds.), </w:t>
      </w:r>
      <w:r>
        <w:rPr>
          <w:i/>
          <w:color w:val="231F20"/>
          <w:w w:val="105"/>
          <w:sz w:val="19"/>
        </w:rPr>
        <w:t>Experience and Lessons of Economic </w:t>
      </w:r>
      <w:r>
        <w:rPr>
          <w:i/>
          <w:color w:val="231F20"/>
          <w:w w:val="105"/>
          <w:sz w:val="19"/>
        </w:rPr>
        <w:t>Development in Taiwan</w:t>
      </w:r>
      <w:r>
        <w:rPr>
          <w:color w:val="231F20"/>
          <w:w w:val="105"/>
          <w:sz w:val="19"/>
        </w:rPr>
        <w:t>, Taipei.</w:t>
      </w:r>
    </w:p>
    <w:p>
      <w:pPr>
        <w:spacing w:before="0"/>
        <w:ind w:left="119" w:right="0" w:firstLine="0"/>
        <w:jc w:val="left"/>
        <w:rPr>
          <w:sz w:val="19"/>
        </w:rPr>
      </w:pPr>
      <w:r>
        <w:rPr>
          <w:rFonts w:ascii="Times New Roman" w:hAnsi="Times New Roman"/>
          <w:color w:val="231F20"/>
          <w:w w:val="105"/>
          <w:sz w:val="19"/>
        </w:rPr>
        <w:t>L</w:t>
      </w:r>
      <w:r>
        <w:rPr>
          <w:rFonts w:ascii="Times New Roman" w:hAnsi="Times New Roman"/>
          <w:color w:val="231F20"/>
          <w:w w:val="105"/>
          <w:sz w:val="15"/>
        </w:rPr>
        <w:t>EVI  </w:t>
      </w:r>
      <w:r>
        <w:rPr>
          <w:rFonts w:ascii="Times New Roman" w:hAnsi="Times New Roman"/>
          <w:color w:val="231F20"/>
          <w:w w:val="105"/>
          <w:sz w:val="19"/>
        </w:rPr>
        <w:t>S</w:t>
      </w:r>
      <w:r>
        <w:rPr>
          <w:rFonts w:ascii="Times New Roman" w:hAnsi="Times New Roman"/>
          <w:color w:val="231F20"/>
          <w:w w:val="105"/>
          <w:sz w:val="15"/>
        </w:rPr>
        <w:t>TRAUSS</w:t>
      </w:r>
      <w:r>
        <w:rPr>
          <w:rFonts w:ascii="Times New Roman" w:hAnsi="Times New Roman"/>
          <w:color w:val="231F20"/>
          <w:w w:val="105"/>
          <w:sz w:val="19"/>
        </w:rPr>
        <w:t>, </w:t>
      </w:r>
      <w:r>
        <w:rPr>
          <w:color w:val="231F20"/>
          <w:w w:val="105"/>
          <w:sz w:val="19"/>
        </w:rPr>
        <w:t>Claude (1985), </w:t>
      </w:r>
      <w:r>
        <w:rPr>
          <w:i/>
          <w:color w:val="231F20"/>
          <w:w w:val="105"/>
          <w:sz w:val="19"/>
        </w:rPr>
        <w:t>Le regard éloigné 1983</w:t>
      </w:r>
      <w:r>
        <w:rPr>
          <w:color w:val="231F20"/>
          <w:w w:val="105"/>
          <w:sz w:val="19"/>
        </w:rPr>
        <w:t>, The View from Afar,     trans.</w:t>
      </w:r>
    </w:p>
    <w:p>
      <w:pPr>
        <w:spacing w:before="25"/>
        <w:ind w:left="479" w:right="0" w:firstLine="0"/>
        <w:jc w:val="left"/>
        <w:rPr>
          <w:sz w:val="19"/>
        </w:rPr>
      </w:pPr>
      <w:r>
        <w:rPr>
          <w:color w:val="231F20"/>
          <w:w w:val="110"/>
          <w:sz w:val="19"/>
        </w:rPr>
        <w:t>Joachim  Neugroschel  and  Phoebe Hoss.</w:t>
      </w:r>
    </w:p>
    <w:p>
      <w:pPr>
        <w:spacing w:line="266" w:lineRule="auto" w:before="25"/>
        <w:ind w:left="479" w:right="118" w:hanging="360"/>
        <w:jc w:val="both"/>
        <w:rPr>
          <w:sz w:val="19"/>
        </w:rPr>
      </w:pPr>
      <w:r>
        <w:rPr>
          <w:rFonts w:ascii="Times New Roman" w:hAnsi="Times New Roman"/>
          <w:color w:val="231F20"/>
          <w:w w:val="110"/>
          <w:sz w:val="19"/>
        </w:rPr>
        <w:t>L</w:t>
      </w:r>
      <w:r>
        <w:rPr>
          <w:rFonts w:ascii="Times New Roman" w:hAnsi="Times New Roman"/>
          <w:color w:val="231F20"/>
          <w:w w:val="110"/>
          <w:sz w:val="15"/>
        </w:rPr>
        <w:t>OMNITZ</w:t>
      </w:r>
      <w:r>
        <w:rPr>
          <w:color w:val="231F20"/>
          <w:w w:val="110"/>
          <w:sz w:val="19"/>
        </w:rPr>
        <w:t>, Larissa (1975), Cómo sobreviven los marginados, México, Siglo XXI Editores.</w:t>
      </w:r>
    </w:p>
    <w:p>
      <w:pPr>
        <w:spacing w:line="266" w:lineRule="auto" w:before="0"/>
        <w:ind w:left="479" w:right="119" w:hanging="360"/>
        <w:jc w:val="both"/>
        <w:rPr>
          <w:i/>
          <w:sz w:val="19"/>
        </w:rPr>
      </w:pPr>
      <w:r>
        <w:rPr>
          <w:rFonts w:ascii="Times New Roman" w:hAnsi="Times New Roman"/>
          <w:color w:val="231F20"/>
          <w:w w:val="110"/>
          <w:sz w:val="19"/>
        </w:rPr>
        <w:t>L</w:t>
      </w:r>
      <w:r>
        <w:rPr>
          <w:rFonts w:ascii="Times New Roman" w:hAnsi="Times New Roman"/>
          <w:color w:val="231F20"/>
          <w:w w:val="110"/>
          <w:sz w:val="15"/>
        </w:rPr>
        <w:t>ÓPEZ</w:t>
      </w:r>
      <w:r>
        <w:rPr>
          <w:color w:val="231F20"/>
          <w:w w:val="110"/>
          <w:sz w:val="19"/>
        </w:rPr>
        <w:t>, María, Vania Salles y Rodolfo Tuirán (2001), “Familias y hogares: per- vivencias y transformaciones en un horizonte de largo plazo”, en </w:t>
      </w:r>
      <w:r>
        <w:rPr>
          <w:color w:val="231F20"/>
          <w:w w:val="125"/>
          <w:sz w:val="19"/>
        </w:rPr>
        <w:t>J. </w:t>
      </w:r>
      <w:r>
        <w:rPr>
          <w:color w:val="231F20"/>
          <w:w w:val="110"/>
          <w:sz w:val="19"/>
        </w:rPr>
        <w:t>Gómez León de y C. Rabell (coordinadoras.) </w:t>
      </w:r>
      <w:r>
        <w:rPr>
          <w:i/>
          <w:color w:val="231F20"/>
          <w:w w:val="110"/>
          <w:sz w:val="19"/>
        </w:rPr>
        <w:t>La población de México. Tendencias   y</w:t>
      </w:r>
    </w:p>
    <w:p>
      <w:pPr>
        <w:spacing w:after="0" w:line="266" w:lineRule="auto"/>
        <w:jc w:val="both"/>
        <w:rPr>
          <w:sz w:val="19"/>
        </w:rPr>
        <w:sectPr>
          <w:pgSz w:w="9520" w:h="12920"/>
          <w:pgMar w:header="0" w:footer="1344" w:top="880" w:bottom="1540" w:left="1000" w:right="1320"/>
        </w:sectPr>
      </w:pPr>
    </w:p>
    <w:p>
      <w:pPr>
        <w:spacing w:line="266" w:lineRule="auto" w:before="44"/>
        <w:ind w:left="484" w:right="0" w:firstLine="0"/>
        <w:jc w:val="left"/>
        <w:rPr>
          <w:sz w:val="19"/>
        </w:rPr>
      </w:pPr>
      <w:r>
        <w:rPr>
          <w:i/>
          <w:color w:val="231F20"/>
          <w:w w:val="105"/>
          <w:sz w:val="19"/>
        </w:rPr>
        <w:t>perspectivas sociodemográficas hacia el siglo </w:t>
      </w:r>
      <w:r>
        <w:rPr>
          <w:rFonts w:ascii="Georgia" w:hAnsi="Georgia"/>
          <w:i/>
          <w:color w:val="231F20"/>
          <w:w w:val="105"/>
          <w:sz w:val="15"/>
        </w:rPr>
        <w:t>XXI</w:t>
      </w:r>
      <w:r>
        <w:rPr>
          <w:color w:val="231F20"/>
          <w:w w:val="105"/>
          <w:sz w:val="19"/>
        </w:rPr>
        <w:t>, Conapo; Fondo de Cultura Económica,   México.</w:t>
      </w:r>
    </w:p>
    <w:p>
      <w:pPr>
        <w:spacing w:line="266" w:lineRule="auto" w:before="0"/>
        <w:ind w:left="484" w:right="113" w:hanging="360"/>
        <w:jc w:val="both"/>
        <w:rPr>
          <w:sz w:val="19"/>
        </w:rPr>
      </w:pPr>
      <w:r>
        <w:rPr>
          <w:rFonts w:ascii="Times New Roman" w:hAnsi="Times New Roman"/>
          <w:color w:val="231F20"/>
          <w:spacing w:val="-3"/>
          <w:w w:val="110"/>
          <w:sz w:val="19"/>
        </w:rPr>
        <w:t>O</w:t>
      </w:r>
      <w:r>
        <w:rPr>
          <w:rFonts w:ascii="Times New Roman" w:hAnsi="Times New Roman"/>
          <w:color w:val="231F20"/>
          <w:spacing w:val="-3"/>
          <w:w w:val="110"/>
          <w:sz w:val="15"/>
        </w:rPr>
        <w:t>RTÍ</w:t>
      </w:r>
      <w:r>
        <w:rPr>
          <w:color w:val="231F20"/>
          <w:spacing w:val="-3"/>
          <w:w w:val="110"/>
          <w:sz w:val="19"/>
        </w:rPr>
        <w:t>,</w:t>
      </w:r>
      <w:r>
        <w:rPr>
          <w:color w:val="231F20"/>
          <w:spacing w:val="-23"/>
          <w:w w:val="110"/>
          <w:sz w:val="19"/>
        </w:rPr>
        <w:t> </w:t>
      </w:r>
      <w:r>
        <w:rPr>
          <w:color w:val="231F20"/>
          <w:w w:val="110"/>
          <w:sz w:val="19"/>
        </w:rPr>
        <w:t>Alfonso</w:t>
      </w:r>
      <w:r>
        <w:rPr>
          <w:color w:val="231F20"/>
          <w:spacing w:val="-23"/>
          <w:w w:val="110"/>
          <w:sz w:val="19"/>
        </w:rPr>
        <w:t> </w:t>
      </w:r>
      <w:r>
        <w:rPr>
          <w:color w:val="231F20"/>
          <w:w w:val="110"/>
          <w:sz w:val="19"/>
        </w:rPr>
        <w:t>(1994),</w:t>
      </w:r>
      <w:r>
        <w:rPr>
          <w:color w:val="231F20"/>
          <w:spacing w:val="-23"/>
          <w:w w:val="110"/>
          <w:sz w:val="19"/>
        </w:rPr>
        <w:t> </w:t>
      </w:r>
      <w:r>
        <w:rPr>
          <w:color w:val="231F20"/>
          <w:spacing w:val="4"/>
          <w:w w:val="110"/>
          <w:sz w:val="19"/>
        </w:rPr>
        <w:t>“La</w:t>
      </w:r>
      <w:r>
        <w:rPr>
          <w:color w:val="231F20"/>
          <w:spacing w:val="-23"/>
          <w:w w:val="110"/>
          <w:sz w:val="19"/>
        </w:rPr>
        <w:t> </w:t>
      </w:r>
      <w:r>
        <w:rPr>
          <w:color w:val="231F20"/>
          <w:w w:val="110"/>
          <w:sz w:val="19"/>
        </w:rPr>
        <w:t>confrontación</w:t>
      </w:r>
      <w:r>
        <w:rPr>
          <w:color w:val="231F20"/>
          <w:spacing w:val="-23"/>
          <w:w w:val="110"/>
          <w:sz w:val="19"/>
        </w:rPr>
        <w:t> </w:t>
      </w:r>
      <w:r>
        <w:rPr>
          <w:color w:val="231F20"/>
          <w:w w:val="110"/>
          <w:sz w:val="19"/>
        </w:rPr>
        <w:t>de</w:t>
      </w:r>
      <w:r>
        <w:rPr>
          <w:color w:val="231F20"/>
          <w:spacing w:val="-23"/>
          <w:w w:val="110"/>
          <w:sz w:val="19"/>
        </w:rPr>
        <w:t> </w:t>
      </w:r>
      <w:r>
        <w:rPr>
          <w:color w:val="231F20"/>
          <w:w w:val="110"/>
          <w:sz w:val="19"/>
        </w:rPr>
        <w:t>modelos</w:t>
      </w:r>
      <w:r>
        <w:rPr>
          <w:color w:val="231F20"/>
          <w:spacing w:val="-23"/>
          <w:w w:val="110"/>
          <w:sz w:val="19"/>
        </w:rPr>
        <w:t> </w:t>
      </w:r>
      <w:r>
        <w:rPr>
          <w:color w:val="231F20"/>
          <w:w w:val="110"/>
          <w:sz w:val="19"/>
        </w:rPr>
        <w:t>y</w:t>
      </w:r>
      <w:r>
        <w:rPr>
          <w:color w:val="231F20"/>
          <w:spacing w:val="-23"/>
          <w:w w:val="110"/>
          <w:sz w:val="19"/>
        </w:rPr>
        <w:t> </w:t>
      </w:r>
      <w:r>
        <w:rPr>
          <w:color w:val="231F20"/>
          <w:w w:val="110"/>
          <w:sz w:val="19"/>
        </w:rPr>
        <w:t>niveles</w:t>
      </w:r>
      <w:r>
        <w:rPr>
          <w:color w:val="231F20"/>
          <w:spacing w:val="-23"/>
          <w:w w:val="110"/>
          <w:sz w:val="19"/>
        </w:rPr>
        <w:t> </w:t>
      </w:r>
      <w:r>
        <w:rPr>
          <w:color w:val="231F20"/>
          <w:w w:val="110"/>
          <w:sz w:val="19"/>
        </w:rPr>
        <w:t>epistemológicos</w:t>
      </w:r>
      <w:r>
        <w:rPr>
          <w:color w:val="231F20"/>
          <w:spacing w:val="-23"/>
          <w:w w:val="110"/>
          <w:sz w:val="19"/>
        </w:rPr>
        <w:t> </w:t>
      </w:r>
      <w:r>
        <w:rPr>
          <w:color w:val="231F20"/>
          <w:w w:val="110"/>
          <w:sz w:val="19"/>
        </w:rPr>
        <w:t>en la génesis e historia de la investigación social”, en </w:t>
      </w:r>
      <w:r>
        <w:rPr>
          <w:color w:val="231F20"/>
          <w:w w:val="125"/>
          <w:sz w:val="19"/>
        </w:rPr>
        <w:t>J. </w:t>
      </w:r>
      <w:r>
        <w:rPr>
          <w:color w:val="231F20"/>
          <w:w w:val="110"/>
          <w:sz w:val="19"/>
        </w:rPr>
        <w:t>Delgado y </w:t>
      </w:r>
      <w:r>
        <w:rPr>
          <w:color w:val="231F20"/>
          <w:w w:val="125"/>
          <w:sz w:val="19"/>
        </w:rPr>
        <w:t>J. </w:t>
      </w:r>
      <w:r>
        <w:rPr>
          <w:color w:val="231F20"/>
          <w:w w:val="110"/>
          <w:sz w:val="19"/>
        </w:rPr>
        <w:t>Gutiérrez, </w:t>
      </w:r>
      <w:r>
        <w:rPr>
          <w:i/>
          <w:color w:val="231F20"/>
          <w:w w:val="110"/>
          <w:sz w:val="19"/>
        </w:rPr>
        <w:t>Métodos</w:t>
      </w:r>
      <w:r>
        <w:rPr>
          <w:i/>
          <w:color w:val="231F20"/>
          <w:spacing w:val="-10"/>
          <w:w w:val="110"/>
          <w:sz w:val="19"/>
        </w:rPr>
        <w:t> </w:t>
      </w:r>
      <w:r>
        <w:rPr>
          <w:i/>
          <w:color w:val="231F20"/>
          <w:w w:val="110"/>
          <w:sz w:val="19"/>
        </w:rPr>
        <w:t>y</w:t>
      </w:r>
      <w:r>
        <w:rPr>
          <w:i/>
          <w:color w:val="231F20"/>
          <w:spacing w:val="-10"/>
          <w:w w:val="110"/>
          <w:sz w:val="19"/>
        </w:rPr>
        <w:t> </w:t>
      </w:r>
      <w:r>
        <w:rPr>
          <w:i/>
          <w:color w:val="231F20"/>
          <w:w w:val="110"/>
          <w:sz w:val="19"/>
        </w:rPr>
        <w:t>técnicas</w:t>
      </w:r>
      <w:r>
        <w:rPr>
          <w:i/>
          <w:color w:val="231F20"/>
          <w:spacing w:val="-10"/>
          <w:w w:val="110"/>
          <w:sz w:val="19"/>
        </w:rPr>
        <w:t> </w:t>
      </w:r>
      <w:r>
        <w:rPr>
          <w:i/>
          <w:color w:val="231F20"/>
          <w:w w:val="110"/>
          <w:sz w:val="19"/>
        </w:rPr>
        <w:t>cualitativas</w:t>
      </w:r>
      <w:r>
        <w:rPr>
          <w:i/>
          <w:color w:val="231F20"/>
          <w:spacing w:val="-10"/>
          <w:w w:val="110"/>
          <w:sz w:val="19"/>
        </w:rPr>
        <w:t> </w:t>
      </w:r>
      <w:r>
        <w:rPr>
          <w:i/>
          <w:color w:val="231F20"/>
          <w:w w:val="110"/>
          <w:sz w:val="19"/>
        </w:rPr>
        <w:t>de</w:t>
      </w:r>
      <w:r>
        <w:rPr>
          <w:i/>
          <w:color w:val="231F20"/>
          <w:spacing w:val="-10"/>
          <w:w w:val="110"/>
          <w:sz w:val="19"/>
        </w:rPr>
        <w:t> </w:t>
      </w:r>
      <w:r>
        <w:rPr>
          <w:i/>
          <w:color w:val="231F20"/>
          <w:w w:val="110"/>
          <w:sz w:val="19"/>
        </w:rPr>
        <w:t>investigación</w:t>
      </w:r>
      <w:r>
        <w:rPr>
          <w:i/>
          <w:color w:val="231F20"/>
          <w:spacing w:val="-10"/>
          <w:w w:val="110"/>
          <w:sz w:val="19"/>
        </w:rPr>
        <w:t> </w:t>
      </w:r>
      <w:r>
        <w:rPr>
          <w:i/>
          <w:color w:val="231F20"/>
          <w:w w:val="110"/>
          <w:sz w:val="19"/>
        </w:rPr>
        <w:t>en</w:t>
      </w:r>
      <w:r>
        <w:rPr>
          <w:i/>
          <w:color w:val="231F20"/>
          <w:spacing w:val="-10"/>
          <w:w w:val="110"/>
          <w:sz w:val="19"/>
        </w:rPr>
        <w:t> </w:t>
      </w:r>
      <w:r>
        <w:rPr>
          <w:i/>
          <w:color w:val="231F20"/>
          <w:w w:val="110"/>
          <w:sz w:val="19"/>
        </w:rPr>
        <w:t>Ciencias</w:t>
      </w:r>
      <w:r>
        <w:rPr>
          <w:i/>
          <w:color w:val="231F20"/>
          <w:spacing w:val="-10"/>
          <w:w w:val="110"/>
          <w:sz w:val="19"/>
        </w:rPr>
        <w:t> </w:t>
      </w:r>
      <w:r>
        <w:rPr>
          <w:i/>
          <w:color w:val="231F20"/>
          <w:w w:val="110"/>
          <w:sz w:val="19"/>
        </w:rPr>
        <w:t>Sociales</w:t>
      </w:r>
      <w:r>
        <w:rPr>
          <w:color w:val="231F20"/>
          <w:w w:val="110"/>
          <w:sz w:val="19"/>
        </w:rPr>
        <w:t>,</w:t>
      </w:r>
      <w:r>
        <w:rPr>
          <w:color w:val="231F20"/>
          <w:spacing w:val="-6"/>
          <w:w w:val="110"/>
          <w:sz w:val="19"/>
        </w:rPr>
        <w:t> </w:t>
      </w:r>
      <w:r>
        <w:rPr>
          <w:color w:val="231F20"/>
          <w:w w:val="110"/>
          <w:sz w:val="19"/>
        </w:rPr>
        <w:t>España, Síntesis</w:t>
      </w:r>
      <w:r>
        <w:rPr>
          <w:color w:val="231F20"/>
          <w:spacing w:val="-2"/>
          <w:w w:val="110"/>
          <w:sz w:val="19"/>
        </w:rPr>
        <w:t> </w:t>
      </w:r>
      <w:r>
        <w:rPr>
          <w:color w:val="231F20"/>
          <w:w w:val="110"/>
          <w:sz w:val="19"/>
        </w:rPr>
        <w:t>Psicológica.</w:t>
      </w:r>
    </w:p>
    <w:p>
      <w:pPr>
        <w:spacing w:before="0"/>
        <w:ind w:left="124" w:right="0" w:firstLine="0"/>
        <w:jc w:val="left"/>
        <w:rPr>
          <w:i/>
          <w:sz w:val="19"/>
        </w:rPr>
      </w:pPr>
      <w:r>
        <w:rPr>
          <w:color w:val="231F20"/>
          <w:w w:val="105"/>
          <w:sz w:val="19"/>
        </w:rPr>
        <w:t>Programa  de  Naciones  Unidas  (</w:t>
      </w:r>
      <w:r>
        <w:rPr>
          <w:rFonts w:ascii="Times New Roman"/>
          <w:color w:val="231F20"/>
          <w:w w:val="105"/>
          <w:sz w:val="15"/>
        </w:rPr>
        <w:t>PNUD</w:t>
      </w:r>
      <w:r>
        <w:rPr>
          <w:color w:val="231F20"/>
          <w:w w:val="105"/>
          <w:sz w:val="19"/>
        </w:rPr>
        <w:t>)  (1998), </w:t>
      </w:r>
      <w:r>
        <w:rPr>
          <w:i/>
          <w:color w:val="231F20"/>
          <w:w w:val="105"/>
          <w:sz w:val="19"/>
        </w:rPr>
        <w:t>Desarrollo humano de Chile, 1998.</w:t>
      </w:r>
    </w:p>
    <w:p>
      <w:pPr>
        <w:spacing w:before="25"/>
        <w:ind w:left="484" w:right="0" w:firstLine="0"/>
        <w:jc w:val="left"/>
        <w:rPr>
          <w:sz w:val="19"/>
        </w:rPr>
      </w:pPr>
      <w:r>
        <w:rPr>
          <w:i/>
          <w:color w:val="231F20"/>
          <w:w w:val="105"/>
          <w:sz w:val="19"/>
        </w:rPr>
        <w:t>Las paradojas de la modernización</w:t>
      </w:r>
      <w:r>
        <w:rPr>
          <w:color w:val="231F20"/>
          <w:w w:val="105"/>
          <w:sz w:val="19"/>
        </w:rPr>
        <w:t>,   Chile.</w:t>
      </w:r>
    </w:p>
    <w:p>
      <w:pPr>
        <w:spacing w:line="266" w:lineRule="auto" w:before="25"/>
        <w:ind w:left="484" w:right="113" w:hanging="360"/>
        <w:jc w:val="both"/>
        <w:rPr>
          <w:sz w:val="19"/>
        </w:rPr>
      </w:pPr>
      <w:r>
        <w:rPr>
          <w:rFonts w:ascii="Times New Roman" w:hAnsi="Times New Roman"/>
          <w:color w:val="231F20"/>
          <w:w w:val="110"/>
          <w:sz w:val="19"/>
        </w:rPr>
        <w:t>M</w:t>
      </w:r>
      <w:r>
        <w:rPr>
          <w:rFonts w:ascii="Times New Roman" w:hAnsi="Times New Roman"/>
          <w:color w:val="231F20"/>
          <w:w w:val="110"/>
          <w:sz w:val="15"/>
        </w:rPr>
        <w:t>ARGULIS</w:t>
      </w:r>
      <w:r>
        <w:rPr>
          <w:rFonts w:ascii="Times New Roman" w:hAnsi="Times New Roman"/>
          <w:color w:val="231F20"/>
          <w:w w:val="110"/>
          <w:sz w:val="19"/>
        </w:rPr>
        <w:t>, </w:t>
      </w:r>
      <w:r>
        <w:rPr>
          <w:color w:val="231F20"/>
          <w:w w:val="110"/>
          <w:sz w:val="19"/>
        </w:rPr>
        <w:t>Mario, </w:t>
      </w:r>
      <w:r>
        <w:rPr>
          <w:color w:val="231F20"/>
          <w:spacing w:val="-3"/>
          <w:w w:val="110"/>
          <w:sz w:val="19"/>
        </w:rPr>
        <w:t>Teresa </w:t>
      </w:r>
      <w:r>
        <w:rPr>
          <w:color w:val="231F20"/>
          <w:w w:val="110"/>
          <w:sz w:val="19"/>
        </w:rPr>
        <w:t>Rendón y Mercedes Pedrero (1981), “Fuerza de tra- bajo</w:t>
      </w:r>
      <w:r>
        <w:rPr>
          <w:color w:val="231F20"/>
          <w:spacing w:val="-5"/>
          <w:w w:val="110"/>
          <w:sz w:val="19"/>
        </w:rPr>
        <w:t> </w:t>
      </w:r>
      <w:r>
        <w:rPr>
          <w:color w:val="231F20"/>
          <w:w w:val="110"/>
          <w:sz w:val="19"/>
        </w:rPr>
        <w:t>y</w:t>
      </w:r>
      <w:r>
        <w:rPr>
          <w:color w:val="231F20"/>
          <w:spacing w:val="-5"/>
          <w:w w:val="110"/>
          <w:sz w:val="19"/>
        </w:rPr>
        <w:t> </w:t>
      </w:r>
      <w:r>
        <w:rPr>
          <w:color w:val="231F20"/>
          <w:w w:val="110"/>
          <w:sz w:val="19"/>
        </w:rPr>
        <w:t>estrategias</w:t>
      </w:r>
      <w:r>
        <w:rPr>
          <w:color w:val="231F20"/>
          <w:spacing w:val="-5"/>
          <w:w w:val="110"/>
          <w:sz w:val="19"/>
        </w:rPr>
        <w:t> </w:t>
      </w:r>
      <w:r>
        <w:rPr>
          <w:color w:val="231F20"/>
          <w:w w:val="110"/>
          <w:sz w:val="19"/>
        </w:rPr>
        <w:t>de</w:t>
      </w:r>
      <w:r>
        <w:rPr>
          <w:color w:val="231F20"/>
          <w:spacing w:val="-5"/>
          <w:w w:val="110"/>
          <w:sz w:val="19"/>
        </w:rPr>
        <w:t> </w:t>
      </w:r>
      <w:r>
        <w:rPr>
          <w:color w:val="231F20"/>
          <w:w w:val="110"/>
          <w:sz w:val="19"/>
        </w:rPr>
        <w:t>supervivencia</w:t>
      </w:r>
      <w:r>
        <w:rPr>
          <w:color w:val="231F20"/>
          <w:spacing w:val="-5"/>
          <w:w w:val="110"/>
          <w:sz w:val="19"/>
        </w:rPr>
        <w:t> </w:t>
      </w:r>
      <w:r>
        <w:rPr>
          <w:color w:val="231F20"/>
          <w:w w:val="110"/>
          <w:sz w:val="19"/>
        </w:rPr>
        <w:t>en</w:t>
      </w:r>
      <w:r>
        <w:rPr>
          <w:color w:val="231F20"/>
          <w:spacing w:val="-5"/>
          <w:w w:val="110"/>
          <w:sz w:val="19"/>
        </w:rPr>
        <w:t> </w:t>
      </w:r>
      <w:r>
        <w:rPr>
          <w:color w:val="231F20"/>
          <w:w w:val="110"/>
          <w:sz w:val="19"/>
        </w:rPr>
        <w:t>una</w:t>
      </w:r>
      <w:r>
        <w:rPr>
          <w:color w:val="231F20"/>
          <w:spacing w:val="-5"/>
          <w:w w:val="110"/>
          <w:sz w:val="19"/>
        </w:rPr>
        <w:t> </w:t>
      </w:r>
      <w:r>
        <w:rPr>
          <w:color w:val="231F20"/>
          <w:w w:val="110"/>
          <w:sz w:val="19"/>
        </w:rPr>
        <w:t>población</w:t>
      </w:r>
      <w:r>
        <w:rPr>
          <w:color w:val="231F20"/>
          <w:spacing w:val="-5"/>
          <w:w w:val="110"/>
          <w:sz w:val="19"/>
        </w:rPr>
        <w:t> </w:t>
      </w:r>
      <w:r>
        <w:rPr>
          <w:color w:val="231F20"/>
          <w:w w:val="110"/>
          <w:sz w:val="19"/>
        </w:rPr>
        <w:t>de</w:t>
      </w:r>
      <w:r>
        <w:rPr>
          <w:color w:val="231F20"/>
          <w:spacing w:val="-5"/>
          <w:w w:val="110"/>
          <w:sz w:val="19"/>
        </w:rPr>
        <w:t> </w:t>
      </w:r>
      <w:r>
        <w:rPr>
          <w:color w:val="231F20"/>
          <w:w w:val="110"/>
          <w:sz w:val="19"/>
        </w:rPr>
        <w:t>origen</w:t>
      </w:r>
      <w:r>
        <w:rPr>
          <w:color w:val="231F20"/>
          <w:spacing w:val="-5"/>
          <w:w w:val="110"/>
          <w:sz w:val="19"/>
        </w:rPr>
        <w:t> </w:t>
      </w:r>
      <w:r>
        <w:rPr>
          <w:color w:val="231F20"/>
          <w:w w:val="110"/>
          <w:sz w:val="19"/>
        </w:rPr>
        <w:t>migratorio: colonias</w:t>
      </w:r>
      <w:r>
        <w:rPr>
          <w:color w:val="231F20"/>
          <w:spacing w:val="-4"/>
          <w:w w:val="110"/>
          <w:sz w:val="19"/>
        </w:rPr>
        <w:t> </w:t>
      </w:r>
      <w:r>
        <w:rPr>
          <w:color w:val="231F20"/>
          <w:w w:val="110"/>
          <w:sz w:val="19"/>
        </w:rPr>
        <w:t>populares</w:t>
      </w:r>
      <w:r>
        <w:rPr>
          <w:color w:val="231F20"/>
          <w:spacing w:val="-4"/>
          <w:w w:val="110"/>
          <w:sz w:val="19"/>
        </w:rPr>
        <w:t> </w:t>
      </w:r>
      <w:r>
        <w:rPr>
          <w:color w:val="231F20"/>
          <w:w w:val="110"/>
          <w:sz w:val="19"/>
        </w:rPr>
        <w:t>de</w:t>
      </w:r>
      <w:r>
        <w:rPr>
          <w:color w:val="231F20"/>
          <w:spacing w:val="-4"/>
          <w:w w:val="110"/>
          <w:sz w:val="19"/>
        </w:rPr>
        <w:t> </w:t>
      </w:r>
      <w:r>
        <w:rPr>
          <w:color w:val="231F20"/>
          <w:w w:val="110"/>
          <w:sz w:val="19"/>
        </w:rPr>
        <w:t>Reynosa”,</w:t>
      </w:r>
      <w:r>
        <w:rPr>
          <w:color w:val="231F20"/>
          <w:spacing w:val="-4"/>
          <w:w w:val="110"/>
          <w:sz w:val="19"/>
        </w:rPr>
        <w:t> </w:t>
      </w:r>
      <w:r>
        <w:rPr>
          <w:color w:val="231F20"/>
          <w:w w:val="110"/>
          <w:sz w:val="19"/>
        </w:rPr>
        <w:t>en</w:t>
      </w:r>
      <w:r>
        <w:rPr>
          <w:color w:val="231F20"/>
          <w:spacing w:val="-4"/>
          <w:w w:val="110"/>
          <w:sz w:val="19"/>
        </w:rPr>
        <w:t> </w:t>
      </w:r>
      <w:r>
        <w:rPr>
          <w:i/>
          <w:color w:val="231F20"/>
          <w:w w:val="110"/>
          <w:sz w:val="19"/>
        </w:rPr>
        <w:t>Revista</w:t>
      </w:r>
      <w:r>
        <w:rPr>
          <w:i/>
          <w:color w:val="231F20"/>
          <w:spacing w:val="-8"/>
          <w:w w:val="110"/>
          <w:sz w:val="19"/>
        </w:rPr>
        <w:t> </w:t>
      </w:r>
      <w:r>
        <w:rPr>
          <w:i/>
          <w:color w:val="231F20"/>
          <w:w w:val="110"/>
          <w:sz w:val="19"/>
        </w:rPr>
        <w:t>Demografía</w:t>
      </w:r>
      <w:r>
        <w:rPr>
          <w:i/>
          <w:color w:val="231F20"/>
          <w:spacing w:val="-8"/>
          <w:w w:val="110"/>
          <w:sz w:val="19"/>
        </w:rPr>
        <w:t> </w:t>
      </w:r>
      <w:r>
        <w:rPr>
          <w:i/>
          <w:color w:val="231F20"/>
          <w:w w:val="110"/>
          <w:sz w:val="19"/>
        </w:rPr>
        <w:t>y</w:t>
      </w:r>
      <w:r>
        <w:rPr>
          <w:i/>
          <w:color w:val="231F20"/>
          <w:spacing w:val="-8"/>
          <w:w w:val="110"/>
          <w:sz w:val="19"/>
        </w:rPr>
        <w:t> </w:t>
      </w:r>
      <w:r>
        <w:rPr>
          <w:i/>
          <w:color w:val="231F20"/>
          <w:w w:val="110"/>
          <w:sz w:val="19"/>
        </w:rPr>
        <w:t>Economía</w:t>
      </w:r>
      <w:r>
        <w:rPr>
          <w:i/>
          <w:color w:val="231F20"/>
          <w:spacing w:val="-4"/>
          <w:w w:val="110"/>
          <w:sz w:val="19"/>
        </w:rPr>
        <w:t> </w:t>
      </w:r>
      <w:r>
        <w:rPr>
          <w:color w:val="231F20"/>
          <w:w w:val="110"/>
          <w:sz w:val="19"/>
        </w:rPr>
        <w:t>47;</w:t>
      </w:r>
      <w:r>
        <w:rPr>
          <w:color w:val="231F20"/>
          <w:spacing w:val="-4"/>
          <w:w w:val="110"/>
          <w:sz w:val="19"/>
        </w:rPr>
        <w:t> </w:t>
      </w:r>
      <w:r>
        <w:rPr>
          <w:color w:val="231F20"/>
          <w:w w:val="110"/>
          <w:sz w:val="19"/>
        </w:rPr>
        <w:t>vol. </w:t>
      </w:r>
      <w:r>
        <w:rPr>
          <w:color w:val="231F20"/>
          <w:spacing w:val="-12"/>
          <w:w w:val="110"/>
          <w:sz w:val="19"/>
        </w:rPr>
        <w:t>XV,  </w:t>
      </w:r>
      <w:r>
        <w:rPr>
          <w:color w:val="231F20"/>
          <w:w w:val="110"/>
          <w:sz w:val="19"/>
        </w:rPr>
        <w:t>número 3, México, El Colegio de  </w:t>
      </w:r>
      <w:r>
        <w:rPr>
          <w:color w:val="231F20"/>
          <w:spacing w:val="38"/>
          <w:w w:val="110"/>
          <w:sz w:val="19"/>
        </w:rPr>
        <w:t> </w:t>
      </w:r>
      <w:r>
        <w:rPr>
          <w:color w:val="231F20"/>
          <w:w w:val="110"/>
          <w:sz w:val="19"/>
        </w:rPr>
        <w:t>México.</w:t>
      </w:r>
    </w:p>
    <w:p>
      <w:pPr>
        <w:spacing w:line="266" w:lineRule="auto" w:before="0"/>
        <w:ind w:left="484" w:right="113" w:hanging="360"/>
        <w:jc w:val="both"/>
        <w:rPr>
          <w:sz w:val="19"/>
        </w:rPr>
      </w:pPr>
      <w:r>
        <w:rPr>
          <w:rFonts w:ascii="Times New Roman" w:hAnsi="Times New Roman"/>
          <w:color w:val="231F20"/>
          <w:w w:val="110"/>
          <w:sz w:val="19"/>
        </w:rPr>
        <w:t>R</w:t>
      </w:r>
      <w:r>
        <w:rPr>
          <w:rFonts w:ascii="Times New Roman" w:hAnsi="Times New Roman"/>
          <w:color w:val="231F20"/>
          <w:w w:val="110"/>
          <w:sz w:val="15"/>
        </w:rPr>
        <w:t>UBALCAVA</w:t>
      </w:r>
      <w:r>
        <w:rPr>
          <w:rFonts w:ascii="Times New Roman" w:hAnsi="Times New Roman"/>
          <w:color w:val="231F20"/>
          <w:w w:val="110"/>
          <w:sz w:val="19"/>
        </w:rPr>
        <w:t>, </w:t>
      </w:r>
      <w:r>
        <w:rPr>
          <w:color w:val="231F20"/>
          <w:w w:val="110"/>
          <w:sz w:val="19"/>
        </w:rPr>
        <w:t>Rosa María (2001), “Localidades y hogares en un mundo de pro- pensiones”, Seminario Internacional: Las diferentes expresiones de la vulnerabilidad social en América Latina y el Caribe, Chile,  </w:t>
      </w:r>
      <w:r>
        <w:rPr>
          <w:rFonts w:ascii="Times New Roman" w:hAnsi="Times New Roman"/>
          <w:color w:val="231F20"/>
          <w:w w:val="110"/>
          <w:sz w:val="15"/>
        </w:rPr>
        <w:t>CEPAL</w:t>
      </w:r>
      <w:r>
        <w:rPr>
          <w:color w:val="231F20"/>
          <w:w w:val="110"/>
          <w:sz w:val="19"/>
        </w:rPr>
        <w:t>.</w:t>
      </w:r>
    </w:p>
    <w:p>
      <w:pPr>
        <w:spacing w:line="266" w:lineRule="auto" w:before="0"/>
        <w:ind w:left="484" w:right="110" w:hanging="360"/>
        <w:jc w:val="both"/>
        <w:rPr>
          <w:sz w:val="19"/>
        </w:rPr>
      </w:pPr>
      <w:r>
        <w:rPr>
          <w:rFonts w:ascii="Times New Roman" w:hAnsi="Times New Roman"/>
          <w:color w:val="231F20"/>
          <w:w w:val="110"/>
          <w:sz w:val="19"/>
        </w:rPr>
        <w:t>R</w:t>
      </w:r>
      <w:r>
        <w:rPr>
          <w:rFonts w:ascii="Times New Roman" w:hAnsi="Times New Roman"/>
          <w:color w:val="231F20"/>
          <w:w w:val="110"/>
          <w:sz w:val="15"/>
        </w:rPr>
        <w:t>UBALCAVA </w:t>
      </w:r>
      <w:r>
        <w:rPr>
          <w:color w:val="231F20"/>
          <w:w w:val="110"/>
          <w:sz w:val="19"/>
        </w:rPr>
        <w:t>Rosa María y Vania Salles (2001), “Hogares pobres con mujeres trabajadoras y percepciones femeninas”</w:t>
      </w:r>
      <w:r>
        <w:rPr>
          <w:i/>
          <w:color w:val="231F20"/>
          <w:w w:val="110"/>
          <w:sz w:val="19"/>
        </w:rPr>
        <w:t>, </w:t>
      </w:r>
      <w:r>
        <w:rPr>
          <w:color w:val="231F20"/>
          <w:w w:val="110"/>
          <w:sz w:val="19"/>
        </w:rPr>
        <w:t>en A. Ziccardi (comp.), </w:t>
      </w:r>
      <w:r>
        <w:rPr>
          <w:i/>
          <w:color w:val="231F20"/>
          <w:w w:val="110"/>
          <w:sz w:val="19"/>
        </w:rPr>
        <w:t>Pobreza, </w:t>
      </w:r>
      <w:r>
        <w:rPr>
          <w:i/>
          <w:color w:val="231F20"/>
          <w:w w:val="110"/>
          <w:sz w:val="19"/>
        </w:rPr>
        <w:t>desigualdad social y ciudadanía</w:t>
      </w:r>
      <w:r>
        <w:rPr>
          <w:color w:val="231F20"/>
          <w:w w:val="110"/>
          <w:sz w:val="19"/>
        </w:rPr>
        <w:t>, Buenos Aires, Argentina, Clacso.</w:t>
      </w:r>
    </w:p>
    <w:p>
      <w:pPr>
        <w:spacing w:line="266" w:lineRule="auto" w:before="0"/>
        <w:ind w:left="484" w:right="113" w:hanging="360"/>
        <w:jc w:val="both"/>
        <w:rPr>
          <w:sz w:val="19"/>
        </w:rPr>
      </w:pPr>
      <w:r>
        <w:rPr>
          <w:rFonts w:ascii="Times New Roman" w:hAnsi="Times New Roman"/>
          <w:color w:val="231F20"/>
          <w:w w:val="105"/>
          <w:sz w:val="19"/>
        </w:rPr>
        <w:t>S</w:t>
      </w:r>
      <w:r>
        <w:rPr>
          <w:rFonts w:ascii="Times New Roman" w:hAnsi="Times New Roman"/>
          <w:color w:val="231F20"/>
          <w:w w:val="105"/>
          <w:sz w:val="15"/>
        </w:rPr>
        <w:t>OJO</w:t>
      </w:r>
      <w:r>
        <w:rPr>
          <w:color w:val="231F20"/>
          <w:w w:val="105"/>
          <w:sz w:val="19"/>
        </w:rPr>
        <w:t>, Ana (2004), </w:t>
      </w:r>
      <w:r>
        <w:rPr>
          <w:i/>
          <w:color w:val="231F20"/>
          <w:w w:val="105"/>
          <w:sz w:val="19"/>
        </w:rPr>
        <w:t>Vulnerabilidad social y políticas públicas, </w:t>
      </w:r>
      <w:r>
        <w:rPr>
          <w:color w:val="231F20"/>
          <w:w w:val="105"/>
          <w:sz w:val="19"/>
        </w:rPr>
        <w:t>Serie Estudios y Pers- pectivas  14,  México, </w:t>
      </w:r>
      <w:r>
        <w:rPr>
          <w:rFonts w:ascii="Times New Roman" w:hAnsi="Times New Roman"/>
          <w:color w:val="231F20"/>
          <w:w w:val="105"/>
          <w:sz w:val="15"/>
        </w:rPr>
        <w:t>CEPAL</w:t>
      </w:r>
      <w:r>
        <w:rPr>
          <w:color w:val="231F20"/>
          <w:w w:val="105"/>
          <w:sz w:val="19"/>
        </w:rPr>
        <w:t>.</w:t>
      </w:r>
    </w:p>
    <w:p>
      <w:pPr>
        <w:spacing w:before="0"/>
        <w:ind w:left="124" w:right="-14" w:firstLine="0"/>
        <w:jc w:val="left"/>
        <w:rPr>
          <w:sz w:val="19"/>
        </w:rPr>
      </w:pPr>
      <w:r>
        <w:rPr>
          <w:rFonts w:ascii="Times New Roman" w:hAnsi="Times New Roman"/>
          <w:color w:val="231F20"/>
          <w:w w:val="110"/>
          <w:sz w:val="19"/>
        </w:rPr>
        <w:t>W</w:t>
      </w:r>
      <w:r>
        <w:rPr>
          <w:rFonts w:ascii="Times New Roman" w:hAnsi="Times New Roman"/>
          <w:color w:val="231F20"/>
          <w:w w:val="110"/>
          <w:sz w:val="15"/>
        </w:rPr>
        <w:t>EBER</w:t>
      </w:r>
      <w:r>
        <w:rPr>
          <w:color w:val="231F20"/>
          <w:w w:val="110"/>
          <w:sz w:val="19"/>
        </w:rPr>
        <w:t>, Max (1996), </w:t>
      </w:r>
      <w:r>
        <w:rPr>
          <w:i/>
          <w:color w:val="231F20"/>
          <w:w w:val="110"/>
          <w:sz w:val="19"/>
        </w:rPr>
        <w:t>Economía y sociedad</w:t>
      </w:r>
      <w:r>
        <w:rPr>
          <w:color w:val="231F20"/>
          <w:w w:val="110"/>
          <w:sz w:val="19"/>
        </w:rPr>
        <w:t>, México, Fondo de Cultura Económica.</w:t>
      </w:r>
    </w:p>
    <w:p>
      <w:pPr>
        <w:spacing w:after="0"/>
        <w:jc w:val="left"/>
        <w:rPr>
          <w:sz w:val="19"/>
        </w:rPr>
        <w:sectPr>
          <w:footerReference w:type="default" r:id="rId35"/>
          <w:pgSz w:w="9520" w:h="12920"/>
          <w:pgMar w:footer="0" w:header="0" w:top="880" w:bottom="280" w:left="1320" w:right="1000"/>
        </w:sectPr>
      </w:pPr>
    </w:p>
    <w:p>
      <w:pPr>
        <w:pStyle w:val="Heading1"/>
        <w:ind w:left="3760" w:hanging="208"/>
        <w:rPr>
          <w:i/>
        </w:rPr>
      </w:pPr>
      <w:bookmarkStart w:name="_TOC_250009" w:id="5"/>
      <w:r>
        <w:rPr>
          <w:i/>
          <w:color w:val="231F20"/>
          <w:w w:val="65"/>
        </w:rPr>
        <w:t>Cambios en la</w:t>
      </w:r>
      <w:r>
        <w:rPr>
          <w:i/>
          <w:color w:val="231F20"/>
          <w:spacing w:val="-20"/>
          <w:w w:val="65"/>
        </w:rPr>
        <w:t> </w:t>
      </w:r>
      <w:r>
        <w:rPr>
          <w:i/>
          <w:color w:val="231F20"/>
          <w:w w:val="65"/>
        </w:rPr>
        <w:t>formación</w:t>
      </w:r>
      <w:r>
        <w:rPr>
          <w:i/>
          <w:color w:val="231F20"/>
          <w:spacing w:val="-7"/>
          <w:w w:val="65"/>
        </w:rPr>
        <w:t> </w:t>
      </w:r>
      <w:r>
        <w:rPr>
          <w:i/>
          <w:color w:val="231F20"/>
          <w:w w:val="65"/>
        </w:rPr>
        <w:t>familiar</w:t>
      </w:r>
      <w:r>
        <w:rPr>
          <w:color w:val="231F20"/>
          <w:w w:val="59"/>
        </w:rPr>
        <w:t> </w:t>
      </w:r>
      <w:r>
        <w:rPr>
          <w:color w:val="231F20"/>
          <w:w w:val="70"/>
        </w:rPr>
        <w:t>a</w:t>
      </w:r>
      <w:r>
        <w:rPr>
          <w:color w:val="231F20"/>
          <w:spacing w:val="-38"/>
          <w:w w:val="70"/>
        </w:rPr>
        <w:t> </w:t>
      </w:r>
      <w:r>
        <w:rPr>
          <w:color w:val="231F20"/>
          <w:w w:val="70"/>
        </w:rPr>
        <w:t>inicios</w:t>
      </w:r>
      <w:r>
        <w:rPr>
          <w:color w:val="231F20"/>
          <w:spacing w:val="-38"/>
          <w:w w:val="70"/>
        </w:rPr>
        <w:t> </w:t>
      </w:r>
      <w:r>
        <w:rPr>
          <w:color w:val="231F20"/>
          <w:w w:val="70"/>
        </w:rPr>
        <w:t>del</w:t>
      </w:r>
      <w:r>
        <w:rPr>
          <w:color w:val="231F20"/>
          <w:spacing w:val="-38"/>
          <w:w w:val="70"/>
        </w:rPr>
        <w:t> </w:t>
      </w:r>
      <w:r>
        <w:rPr>
          <w:color w:val="231F20"/>
          <w:w w:val="70"/>
        </w:rPr>
        <w:t>siglo</w:t>
      </w:r>
      <w:r>
        <w:rPr>
          <w:color w:val="231F20"/>
          <w:spacing w:val="-38"/>
          <w:w w:val="70"/>
        </w:rPr>
        <w:t> </w:t>
      </w:r>
      <w:r>
        <w:rPr>
          <w:rFonts w:ascii="Cambria" w:hAnsi="Cambria"/>
          <w:i/>
          <w:color w:val="231F20"/>
          <w:w w:val="70"/>
          <w:sz w:val="28"/>
        </w:rPr>
        <w:t>XXI</w:t>
      </w:r>
      <w:r>
        <w:rPr>
          <w:rFonts w:ascii="Cambria" w:hAnsi="Cambria"/>
          <w:i/>
          <w:color w:val="231F20"/>
          <w:spacing w:val="-5"/>
          <w:w w:val="70"/>
          <w:sz w:val="28"/>
        </w:rPr>
        <w:t> </w:t>
      </w:r>
      <w:r>
        <w:rPr>
          <w:i/>
          <w:color w:val="231F20"/>
          <w:w w:val="70"/>
        </w:rPr>
        <w:t>en</w:t>
      </w:r>
      <w:r>
        <w:rPr>
          <w:i/>
          <w:color w:val="231F20"/>
          <w:spacing w:val="-38"/>
          <w:w w:val="70"/>
        </w:rPr>
        <w:t> </w:t>
      </w:r>
      <w:bookmarkEnd w:id="5"/>
      <w:r>
        <w:rPr>
          <w:i/>
          <w:color w:val="231F20"/>
          <w:w w:val="70"/>
        </w:rPr>
        <w:t>México</w:t>
      </w:r>
    </w:p>
    <w:p>
      <w:pPr>
        <w:pStyle w:val="Heading2"/>
        <w:spacing w:line="259" w:lineRule="auto"/>
        <w:ind w:left="5046" w:hanging="113"/>
      </w:pPr>
      <w:r>
        <w:rPr>
          <w:i/>
          <w:color w:val="231F20"/>
          <w:w w:val="65"/>
        </w:rPr>
        <w:t>María Viridiana</w:t>
      </w:r>
      <w:r>
        <w:rPr>
          <w:i/>
          <w:color w:val="231F20"/>
          <w:spacing w:val="33"/>
          <w:w w:val="65"/>
        </w:rPr>
        <w:t> </w:t>
      </w:r>
      <w:r>
        <w:rPr>
          <w:i/>
          <w:color w:val="231F20"/>
          <w:w w:val="65"/>
        </w:rPr>
        <w:t>Sosa</w:t>
      </w:r>
      <w:r>
        <w:rPr>
          <w:i/>
          <w:color w:val="231F20"/>
          <w:spacing w:val="16"/>
          <w:w w:val="65"/>
        </w:rPr>
        <w:t> </w:t>
      </w:r>
      <w:r>
        <w:rPr>
          <w:i/>
          <w:color w:val="231F20"/>
          <w:w w:val="65"/>
        </w:rPr>
        <w:t>Márquez</w:t>
      </w:r>
      <w:r>
        <w:rPr>
          <w:color w:val="231F20"/>
          <w:w w:val="68"/>
        </w:rPr>
        <w:t> </w:t>
      </w:r>
      <w:r>
        <w:rPr>
          <w:color w:val="231F20"/>
          <w:w w:val="70"/>
        </w:rPr>
        <w:t>Alfonso</w:t>
      </w:r>
      <w:r>
        <w:rPr>
          <w:color w:val="231F20"/>
          <w:spacing w:val="-29"/>
          <w:w w:val="70"/>
        </w:rPr>
        <w:t> </w:t>
      </w:r>
      <w:r>
        <w:rPr>
          <w:color w:val="231F20"/>
          <w:w w:val="70"/>
        </w:rPr>
        <w:t>Mejía</w:t>
      </w:r>
      <w:r>
        <w:rPr>
          <w:color w:val="231F20"/>
          <w:spacing w:val="-29"/>
          <w:w w:val="70"/>
        </w:rPr>
        <w:t> </w:t>
      </w:r>
      <w:r>
        <w:rPr>
          <w:color w:val="231F20"/>
          <w:w w:val="70"/>
        </w:rPr>
        <w:t>Modesto</w:t>
      </w:r>
      <w:r>
        <w:rPr>
          <w:color w:val="231F20"/>
          <w:w w:val="70"/>
        </w:rPr>
        <w:t> </w:t>
      </w:r>
      <w:r>
        <w:rPr>
          <w:color w:val="231F20"/>
          <w:w w:val="70"/>
        </w:rPr>
        <w:t>José</w:t>
      </w:r>
      <w:r>
        <w:rPr>
          <w:color w:val="231F20"/>
          <w:spacing w:val="-14"/>
          <w:w w:val="70"/>
        </w:rPr>
        <w:t> </w:t>
      </w:r>
      <w:r>
        <w:rPr>
          <w:color w:val="231F20"/>
          <w:w w:val="70"/>
        </w:rPr>
        <w:t>Antonio</w:t>
      </w:r>
      <w:r>
        <w:rPr>
          <w:color w:val="231F20"/>
          <w:spacing w:val="-14"/>
          <w:w w:val="70"/>
        </w:rPr>
        <w:t> </w:t>
      </w:r>
      <w:r>
        <w:rPr>
          <w:color w:val="231F20"/>
          <w:w w:val="70"/>
        </w:rPr>
        <w:t>Soberón</w:t>
      </w:r>
      <w:r>
        <w:rPr>
          <w:color w:val="231F20"/>
          <w:spacing w:val="-14"/>
          <w:w w:val="70"/>
        </w:rPr>
        <w:t> </w:t>
      </w:r>
      <w:r>
        <w:rPr>
          <w:color w:val="231F20"/>
          <w:w w:val="70"/>
        </w:rPr>
        <w:t>Mora</w:t>
      </w:r>
    </w:p>
    <w:p>
      <w:pPr>
        <w:pStyle w:val="BodyText"/>
        <w:rPr>
          <w:rFonts w:ascii="Trebuchet MS"/>
          <w:i/>
        </w:rPr>
      </w:pPr>
    </w:p>
    <w:p>
      <w:pPr>
        <w:pStyle w:val="BodyText"/>
        <w:rPr>
          <w:rFonts w:ascii="Trebuchet MS"/>
          <w:i/>
        </w:rPr>
      </w:pPr>
    </w:p>
    <w:p>
      <w:pPr>
        <w:pStyle w:val="BodyText"/>
        <w:spacing w:before="3"/>
        <w:rPr>
          <w:rFonts w:ascii="Trebuchet MS"/>
          <w:i/>
          <w:sz w:val="19"/>
        </w:rPr>
      </w:pPr>
    </w:p>
    <w:p>
      <w:pPr>
        <w:spacing w:before="67"/>
        <w:ind w:left="100" w:right="0" w:firstLine="0"/>
        <w:jc w:val="left"/>
        <w:rPr>
          <w:rFonts w:ascii="Times New Roman" w:hAnsi="Times New Roman"/>
          <w:i/>
          <w:sz w:val="19"/>
        </w:rPr>
      </w:pPr>
      <w:r>
        <w:rPr>
          <w:rFonts w:ascii="Times New Roman" w:hAnsi="Times New Roman"/>
          <w:i/>
          <w:color w:val="231F20"/>
          <w:sz w:val="24"/>
        </w:rPr>
        <w:t>I</w:t>
      </w:r>
      <w:r>
        <w:rPr>
          <w:rFonts w:ascii="Times New Roman" w:hAnsi="Times New Roman"/>
          <w:i/>
          <w:color w:val="231F20"/>
          <w:sz w:val="19"/>
        </w:rPr>
        <w:t>NTRODUCCIÓN</w:t>
      </w:r>
    </w:p>
    <w:p>
      <w:pPr>
        <w:pStyle w:val="BodyText"/>
        <w:spacing w:before="9"/>
        <w:rPr>
          <w:rFonts w:ascii="Times New Roman"/>
          <w:i/>
          <w:sz w:val="27"/>
        </w:rPr>
      </w:pPr>
    </w:p>
    <w:p>
      <w:pPr>
        <w:pStyle w:val="BodyText"/>
        <w:spacing w:line="288" w:lineRule="auto"/>
        <w:ind w:left="100" w:right="117"/>
        <w:jc w:val="right"/>
      </w:pPr>
      <w:r>
        <w:rPr>
          <w:color w:val="231F20"/>
          <w:w w:val="110"/>
        </w:rPr>
        <w:t>Una</w:t>
      </w:r>
      <w:r>
        <w:rPr>
          <w:color w:val="231F20"/>
          <w:spacing w:val="22"/>
          <w:w w:val="110"/>
        </w:rPr>
        <w:t> </w:t>
      </w:r>
      <w:r>
        <w:rPr>
          <w:color w:val="231F20"/>
          <w:w w:val="110"/>
        </w:rPr>
        <w:t>de</w:t>
      </w:r>
      <w:r>
        <w:rPr>
          <w:color w:val="231F20"/>
          <w:spacing w:val="22"/>
          <w:w w:val="110"/>
        </w:rPr>
        <w:t> </w:t>
      </w:r>
      <w:r>
        <w:rPr>
          <w:color w:val="231F20"/>
          <w:w w:val="110"/>
        </w:rPr>
        <w:t>las</w:t>
      </w:r>
      <w:r>
        <w:rPr>
          <w:color w:val="231F20"/>
          <w:spacing w:val="22"/>
          <w:w w:val="110"/>
        </w:rPr>
        <w:t> </w:t>
      </w:r>
      <w:r>
        <w:rPr>
          <w:color w:val="231F20"/>
          <w:w w:val="110"/>
        </w:rPr>
        <w:t>transiciones</w:t>
      </w:r>
      <w:r>
        <w:rPr>
          <w:color w:val="231F20"/>
          <w:spacing w:val="22"/>
          <w:w w:val="110"/>
        </w:rPr>
        <w:t> </w:t>
      </w:r>
      <w:r>
        <w:rPr>
          <w:color w:val="231F20"/>
          <w:w w:val="110"/>
        </w:rPr>
        <w:t>a</w:t>
      </w:r>
      <w:r>
        <w:rPr>
          <w:color w:val="231F20"/>
          <w:spacing w:val="22"/>
          <w:w w:val="110"/>
        </w:rPr>
        <w:t> </w:t>
      </w:r>
      <w:r>
        <w:rPr>
          <w:color w:val="231F20"/>
          <w:w w:val="110"/>
        </w:rPr>
        <w:t>la</w:t>
      </w:r>
      <w:r>
        <w:rPr>
          <w:color w:val="231F20"/>
          <w:spacing w:val="22"/>
          <w:w w:val="110"/>
        </w:rPr>
        <w:t> </w:t>
      </w:r>
      <w:r>
        <w:rPr>
          <w:color w:val="231F20"/>
          <w:w w:val="110"/>
        </w:rPr>
        <w:t>vida</w:t>
      </w:r>
      <w:r>
        <w:rPr>
          <w:color w:val="231F20"/>
          <w:spacing w:val="22"/>
          <w:w w:val="110"/>
        </w:rPr>
        <w:t> </w:t>
      </w:r>
      <w:r>
        <w:rPr>
          <w:color w:val="231F20"/>
          <w:w w:val="110"/>
        </w:rPr>
        <w:t>adulta</w:t>
      </w:r>
      <w:r>
        <w:rPr>
          <w:color w:val="231F20"/>
          <w:spacing w:val="22"/>
          <w:w w:val="110"/>
        </w:rPr>
        <w:t> </w:t>
      </w:r>
      <w:r>
        <w:rPr>
          <w:color w:val="231F20"/>
          <w:w w:val="110"/>
        </w:rPr>
        <w:t>que</w:t>
      </w:r>
      <w:r>
        <w:rPr>
          <w:color w:val="231F20"/>
          <w:spacing w:val="22"/>
          <w:w w:val="110"/>
        </w:rPr>
        <w:t> </w:t>
      </w:r>
      <w:r>
        <w:rPr>
          <w:color w:val="231F20"/>
          <w:w w:val="110"/>
        </w:rPr>
        <w:t>más</w:t>
      </w:r>
      <w:r>
        <w:rPr>
          <w:color w:val="231F20"/>
          <w:spacing w:val="22"/>
          <w:w w:val="110"/>
        </w:rPr>
        <w:t> </w:t>
      </w:r>
      <w:r>
        <w:rPr>
          <w:color w:val="231F20"/>
          <w:w w:val="110"/>
        </w:rPr>
        <w:t>repercusión</w:t>
      </w:r>
      <w:r>
        <w:rPr>
          <w:color w:val="231F20"/>
          <w:spacing w:val="22"/>
          <w:w w:val="110"/>
        </w:rPr>
        <w:t> </w:t>
      </w:r>
      <w:r>
        <w:rPr>
          <w:color w:val="231F20"/>
          <w:w w:val="110"/>
        </w:rPr>
        <w:t>tiene</w:t>
      </w:r>
      <w:r>
        <w:rPr>
          <w:color w:val="231F20"/>
          <w:spacing w:val="22"/>
          <w:w w:val="110"/>
        </w:rPr>
        <w:t> </w:t>
      </w:r>
      <w:r>
        <w:rPr>
          <w:color w:val="231F20"/>
          <w:w w:val="110"/>
        </w:rPr>
        <w:t>en</w:t>
      </w:r>
      <w:r>
        <w:rPr>
          <w:color w:val="231F20"/>
          <w:spacing w:val="22"/>
          <w:w w:val="110"/>
        </w:rPr>
        <w:t> </w:t>
      </w:r>
      <w:r>
        <w:rPr>
          <w:color w:val="231F20"/>
          <w:w w:val="110"/>
        </w:rPr>
        <w:t>la</w:t>
      </w:r>
      <w:r>
        <w:rPr>
          <w:color w:val="231F20"/>
          <w:w w:val="108"/>
        </w:rPr>
        <w:t> </w:t>
      </w:r>
      <w:r>
        <w:rPr>
          <w:color w:val="231F20"/>
          <w:w w:val="110"/>
        </w:rPr>
        <w:t>biografía</w:t>
      </w:r>
      <w:r>
        <w:rPr>
          <w:color w:val="231F20"/>
          <w:spacing w:val="17"/>
          <w:w w:val="110"/>
        </w:rPr>
        <w:t> </w:t>
      </w:r>
      <w:r>
        <w:rPr>
          <w:color w:val="231F20"/>
          <w:w w:val="110"/>
        </w:rPr>
        <w:t>de</w:t>
      </w:r>
      <w:r>
        <w:rPr>
          <w:color w:val="231F20"/>
          <w:spacing w:val="17"/>
          <w:w w:val="110"/>
        </w:rPr>
        <w:t> </w:t>
      </w:r>
      <w:r>
        <w:rPr>
          <w:color w:val="231F20"/>
          <w:w w:val="110"/>
        </w:rPr>
        <w:t>las</w:t>
      </w:r>
      <w:r>
        <w:rPr>
          <w:color w:val="231F20"/>
          <w:spacing w:val="17"/>
          <w:w w:val="110"/>
        </w:rPr>
        <w:t> </w:t>
      </w:r>
      <w:r>
        <w:rPr>
          <w:color w:val="231F20"/>
          <w:w w:val="110"/>
        </w:rPr>
        <w:t>personas</w:t>
      </w:r>
      <w:r>
        <w:rPr>
          <w:color w:val="231F20"/>
          <w:spacing w:val="17"/>
          <w:w w:val="110"/>
        </w:rPr>
        <w:t> </w:t>
      </w:r>
      <w:r>
        <w:rPr>
          <w:color w:val="231F20"/>
          <w:w w:val="110"/>
        </w:rPr>
        <w:t>es</w:t>
      </w:r>
      <w:r>
        <w:rPr>
          <w:color w:val="231F20"/>
          <w:spacing w:val="17"/>
          <w:w w:val="110"/>
        </w:rPr>
        <w:t> </w:t>
      </w:r>
      <w:r>
        <w:rPr>
          <w:color w:val="231F20"/>
          <w:w w:val="110"/>
        </w:rPr>
        <w:t>la</w:t>
      </w:r>
      <w:r>
        <w:rPr>
          <w:color w:val="231F20"/>
          <w:spacing w:val="17"/>
          <w:w w:val="110"/>
        </w:rPr>
        <w:t> </w:t>
      </w:r>
      <w:r>
        <w:rPr>
          <w:color w:val="231F20"/>
          <w:w w:val="110"/>
        </w:rPr>
        <w:t>formación</w:t>
      </w:r>
      <w:r>
        <w:rPr>
          <w:color w:val="231F20"/>
          <w:spacing w:val="17"/>
          <w:w w:val="110"/>
        </w:rPr>
        <w:t> </w:t>
      </w:r>
      <w:r>
        <w:rPr>
          <w:color w:val="231F20"/>
          <w:w w:val="110"/>
        </w:rPr>
        <w:t>familiar.</w:t>
      </w:r>
      <w:r>
        <w:rPr>
          <w:color w:val="231F20"/>
          <w:spacing w:val="17"/>
          <w:w w:val="110"/>
        </w:rPr>
        <w:t> </w:t>
      </w:r>
      <w:r>
        <w:rPr>
          <w:color w:val="231F20"/>
          <w:w w:val="110"/>
        </w:rPr>
        <w:t>Ésta</w:t>
      </w:r>
      <w:r>
        <w:rPr>
          <w:color w:val="231F20"/>
          <w:spacing w:val="17"/>
          <w:w w:val="110"/>
        </w:rPr>
        <w:t> </w:t>
      </w:r>
      <w:r>
        <w:rPr>
          <w:color w:val="231F20"/>
          <w:w w:val="110"/>
        </w:rPr>
        <w:t>es</w:t>
      </w:r>
      <w:r>
        <w:rPr>
          <w:color w:val="231F20"/>
          <w:spacing w:val="17"/>
          <w:w w:val="110"/>
        </w:rPr>
        <w:t> </w:t>
      </w:r>
      <w:r>
        <w:rPr>
          <w:color w:val="231F20"/>
          <w:w w:val="110"/>
        </w:rPr>
        <w:t>relevante</w:t>
      </w:r>
      <w:r>
        <w:rPr>
          <w:color w:val="231F20"/>
          <w:spacing w:val="17"/>
          <w:w w:val="110"/>
        </w:rPr>
        <w:t> </w:t>
      </w:r>
      <w:r>
        <w:rPr>
          <w:color w:val="231F20"/>
          <w:w w:val="110"/>
        </w:rPr>
        <w:t>para</w:t>
      </w:r>
      <w:r>
        <w:rPr>
          <w:color w:val="231F20"/>
          <w:w w:val="108"/>
        </w:rPr>
        <w:t> </w:t>
      </w:r>
      <w:r>
        <w:rPr>
          <w:color w:val="231F20"/>
          <w:w w:val="110"/>
        </w:rPr>
        <w:t>la demografía porque, aunque no forma parte de las</w:t>
      </w:r>
      <w:r>
        <w:rPr>
          <w:color w:val="231F20"/>
          <w:spacing w:val="16"/>
          <w:w w:val="110"/>
        </w:rPr>
        <w:t> </w:t>
      </w:r>
      <w:r>
        <w:rPr>
          <w:color w:val="231F20"/>
          <w:w w:val="110"/>
        </w:rPr>
        <w:t>variables</w:t>
      </w:r>
      <w:r>
        <w:rPr>
          <w:color w:val="231F20"/>
          <w:spacing w:val="12"/>
          <w:w w:val="110"/>
        </w:rPr>
        <w:t> </w:t>
      </w:r>
      <w:r>
        <w:rPr>
          <w:color w:val="231F20"/>
          <w:w w:val="110"/>
        </w:rPr>
        <w:t>contenidas</w:t>
      </w:r>
      <w:r>
        <w:rPr>
          <w:color w:val="231F20"/>
          <w:w w:val="109"/>
        </w:rPr>
        <w:t> </w:t>
      </w:r>
      <w:r>
        <w:rPr>
          <w:color w:val="231F20"/>
          <w:w w:val="110"/>
        </w:rPr>
        <w:t>en la ecuación compensadora</w:t>
      </w:r>
      <w:r>
        <w:rPr>
          <w:color w:val="231F20"/>
          <w:w w:val="110"/>
          <w:position w:val="6"/>
          <w:sz w:val="11"/>
        </w:rPr>
        <w:t>1 </w:t>
      </w:r>
      <w:r>
        <w:rPr>
          <w:color w:val="231F20"/>
          <w:w w:val="110"/>
        </w:rPr>
        <w:t>es el inicio de una vida en pareja,</w:t>
      </w:r>
      <w:r>
        <w:rPr>
          <w:color w:val="231F20"/>
          <w:spacing w:val="24"/>
          <w:w w:val="110"/>
        </w:rPr>
        <w:t> </w:t>
      </w:r>
      <w:r>
        <w:rPr>
          <w:color w:val="231F20"/>
          <w:w w:val="110"/>
        </w:rPr>
        <w:t>que</w:t>
      </w:r>
      <w:r>
        <w:rPr>
          <w:color w:val="231F20"/>
          <w:spacing w:val="2"/>
          <w:w w:val="110"/>
        </w:rPr>
        <w:t> </w:t>
      </w:r>
      <w:r>
        <w:rPr>
          <w:color w:val="231F20"/>
          <w:w w:val="110"/>
        </w:rPr>
        <w:t>gene-</w:t>
      </w:r>
      <w:r>
        <w:rPr>
          <w:color w:val="231F20"/>
          <w:w w:val="93"/>
        </w:rPr>
        <w:t> </w:t>
      </w:r>
      <w:r>
        <w:rPr>
          <w:color w:val="231F20"/>
          <w:spacing w:val="-4"/>
          <w:w w:val="110"/>
        </w:rPr>
        <w:t>ralmente</w:t>
      </w:r>
      <w:r>
        <w:rPr>
          <w:color w:val="231F20"/>
          <w:spacing w:val="-10"/>
          <w:w w:val="110"/>
        </w:rPr>
        <w:t> </w:t>
      </w:r>
      <w:r>
        <w:rPr>
          <w:color w:val="231F20"/>
          <w:w w:val="110"/>
        </w:rPr>
        <w:t>se</w:t>
      </w:r>
      <w:r>
        <w:rPr>
          <w:color w:val="231F20"/>
          <w:spacing w:val="-10"/>
          <w:w w:val="110"/>
        </w:rPr>
        <w:t> </w:t>
      </w:r>
      <w:r>
        <w:rPr>
          <w:color w:val="231F20"/>
          <w:spacing w:val="-4"/>
          <w:w w:val="110"/>
        </w:rPr>
        <w:t>reproduce</w:t>
      </w:r>
      <w:r>
        <w:rPr>
          <w:color w:val="231F20"/>
          <w:spacing w:val="-10"/>
          <w:w w:val="110"/>
        </w:rPr>
        <w:t> </w:t>
      </w:r>
      <w:r>
        <w:rPr>
          <w:color w:val="231F20"/>
          <w:w w:val="110"/>
        </w:rPr>
        <w:t>y</w:t>
      </w:r>
      <w:r>
        <w:rPr>
          <w:color w:val="231F20"/>
          <w:spacing w:val="-10"/>
          <w:w w:val="110"/>
        </w:rPr>
        <w:t> </w:t>
      </w:r>
      <w:r>
        <w:rPr>
          <w:color w:val="231F20"/>
          <w:spacing w:val="-4"/>
          <w:w w:val="110"/>
        </w:rPr>
        <w:t>marca</w:t>
      </w:r>
      <w:r>
        <w:rPr>
          <w:color w:val="231F20"/>
          <w:spacing w:val="-10"/>
          <w:w w:val="110"/>
        </w:rPr>
        <w:t> </w:t>
      </w:r>
      <w:r>
        <w:rPr>
          <w:color w:val="231F20"/>
          <w:spacing w:val="-4"/>
          <w:w w:val="110"/>
        </w:rPr>
        <w:t>ritmos</w:t>
      </w:r>
      <w:r>
        <w:rPr>
          <w:color w:val="231F20"/>
          <w:spacing w:val="-10"/>
          <w:w w:val="110"/>
        </w:rPr>
        <w:t> </w:t>
      </w:r>
      <w:r>
        <w:rPr>
          <w:color w:val="231F20"/>
          <w:w w:val="110"/>
        </w:rPr>
        <w:t>de</w:t>
      </w:r>
      <w:r>
        <w:rPr>
          <w:color w:val="231F20"/>
          <w:spacing w:val="-10"/>
          <w:w w:val="110"/>
        </w:rPr>
        <w:t> </w:t>
      </w:r>
      <w:r>
        <w:rPr>
          <w:color w:val="231F20"/>
          <w:spacing w:val="-4"/>
          <w:w w:val="110"/>
        </w:rPr>
        <w:t>crecimiento</w:t>
      </w:r>
      <w:r>
        <w:rPr>
          <w:color w:val="231F20"/>
          <w:spacing w:val="-10"/>
          <w:w w:val="110"/>
        </w:rPr>
        <w:t> </w:t>
      </w:r>
      <w:r>
        <w:rPr>
          <w:color w:val="231F20"/>
          <w:spacing w:val="-4"/>
          <w:w w:val="110"/>
        </w:rPr>
        <w:t>natural</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spacing w:val="-4"/>
          <w:w w:val="110"/>
        </w:rPr>
        <w:t>población.</w:t>
      </w:r>
      <w:r>
        <w:rPr>
          <w:color w:val="231F20"/>
          <w:w w:val="128"/>
        </w:rPr>
        <w:t> </w:t>
      </w:r>
      <w:r>
        <w:rPr>
          <w:color w:val="231F20"/>
          <w:w w:val="110"/>
        </w:rPr>
        <w:t>El </w:t>
      </w:r>
      <w:r>
        <w:rPr>
          <w:color w:val="231F20"/>
          <w:spacing w:val="-4"/>
          <w:w w:val="110"/>
        </w:rPr>
        <w:t>comportamiento nupcial </w:t>
      </w:r>
      <w:r>
        <w:rPr>
          <w:color w:val="231F20"/>
          <w:w w:val="110"/>
        </w:rPr>
        <w:t>a </w:t>
      </w:r>
      <w:r>
        <w:rPr>
          <w:color w:val="231F20"/>
          <w:spacing w:val="-3"/>
          <w:w w:val="110"/>
        </w:rPr>
        <w:t>finales del </w:t>
      </w:r>
      <w:r>
        <w:rPr>
          <w:color w:val="231F20"/>
          <w:spacing w:val="-4"/>
          <w:w w:val="110"/>
        </w:rPr>
        <w:t>siglo </w:t>
      </w:r>
      <w:r>
        <w:rPr>
          <w:rFonts w:ascii="Times New Roman" w:hAnsi="Times New Roman"/>
          <w:color w:val="231F20"/>
          <w:w w:val="110"/>
          <w:sz w:val="16"/>
        </w:rPr>
        <w:t>XX </w:t>
      </w:r>
      <w:r>
        <w:rPr>
          <w:color w:val="231F20"/>
          <w:w w:val="110"/>
        </w:rPr>
        <w:t>en </w:t>
      </w:r>
      <w:r>
        <w:rPr>
          <w:color w:val="231F20"/>
          <w:spacing w:val="-4"/>
          <w:w w:val="110"/>
        </w:rPr>
        <w:t>México</w:t>
      </w:r>
      <w:r>
        <w:rPr>
          <w:color w:val="231F20"/>
          <w:spacing w:val="-22"/>
          <w:w w:val="110"/>
        </w:rPr>
        <w:t> </w:t>
      </w:r>
      <w:r>
        <w:rPr>
          <w:color w:val="231F20"/>
          <w:w w:val="110"/>
        </w:rPr>
        <w:t>se</w:t>
      </w:r>
      <w:r>
        <w:rPr>
          <w:color w:val="231F20"/>
          <w:spacing w:val="-5"/>
          <w:w w:val="110"/>
        </w:rPr>
        <w:t> </w:t>
      </w:r>
      <w:r>
        <w:rPr>
          <w:color w:val="231F20"/>
          <w:spacing w:val="-4"/>
          <w:w w:val="110"/>
        </w:rPr>
        <w:t>caracterizó</w:t>
      </w:r>
      <w:r>
        <w:rPr>
          <w:color w:val="231F20"/>
          <w:w w:val="108"/>
        </w:rPr>
        <w:t> </w:t>
      </w:r>
      <w:r>
        <w:rPr>
          <w:color w:val="231F20"/>
          <w:w w:val="110"/>
        </w:rPr>
        <w:t>por sufrir transformaciones que algunos autores califican</w:t>
      </w:r>
      <w:r>
        <w:rPr>
          <w:color w:val="231F20"/>
          <w:spacing w:val="-9"/>
          <w:w w:val="110"/>
        </w:rPr>
        <w:t> </w:t>
      </w:r>
      <w:r>
        <w:rPr>
          <w:color w:val="231F20"/>
          <w:w w:val="110"/>
        </w:rPr>
        <w:t>como</w:t>
      </w:r>
      <w:r>
        <w:rPr>
          <w:color w:val="231F20"/>
          <w:spacing w:val="-2"/>
          <w:w w:val="110"/>
        </w:rPr>
        <w:t> </w:t>
      </w:r>
      <w:r>
        <w:rPr>
          <w:color w:val="231F20"/>
          <w:w w:val="110"/>
        </w:rPr>
        <w:t>relevantes</w:t>
      </w:r>
      <w:r>
        <w:rPr>
          <w:color w:val="231F20"/>
          <w:w w:val="108"/>
        </w:rPr>
        <w:t> </w:t>
      </w:r>
      <w:r>
        <w:rPr>
          <w:color w:val="231F20"/>
          <w:w w:val="110"/>
        </w:rPr>
        <w:t>y otros como moderadas. Entre los principales cambios, a</w:t>
      </w:r>
      <w:r>
        <w:rPr>
          <w:color w:val="231F20"/>
          <w:spacing w:val="15"/>
          <w:w w:val="110"/>
        </w:rPr>
        <w:t> </w:t>
      </w:r>
      <w:r>
        <w:rPr>
          <w:color w:val="231F20"/>
          <w:w w:val="110"/>
        </w:rPr>
        <w:t>grandes</w:t>
      </w:r>
      <w:r>
        <w:rPr>
          <w:color w:val="231F20"/>
          <w:spacing w:val="7"/>
          <w:w w:val="110"/>
        </w:rPr>
        <w:t> </w:t>
      </w:r>
      <w:r>
        <w:rPr>
          <w:color w:val="231F20"/>
          <w:w w:val="110"/>
        </w:rPr>
        <w:t>rasgos,</w:t>
      </w:r>
      <w:r>
        <w:rPr>
          <w:color w:val="231F20"/>
          <w:w w:val="112"/>
        </w:rPr>
        <w:t> </w:t>
      </w:r>
      <w:r>
        <w:rPr>
          <w:color w:val="231F20"/>
          <w:w w:val="110"/>
        </w:rPr>
        <w:t>podemos</w:t>
      </w:r>
      <w:r>
        <w:rPr>
          <w:color w:val="231F20"/>
          <w:spacing w:val="-10"/>
          <w:w w:val="110"/>
        </w:rPr>
        <w:t> </w:t>
      </w:r>
      <w:r>
        <w:rPr>
          <w:color w:val="231F20"/>
          <w:w w:val="110"/>
        </w:rPr>
        <w:t>mencionar:</w:t>
      </w:r>
      <w:r>
        <w:rPr>
          <w:color w:val="231F20"/>
          <w:spacing w:val="-10"/>
          <w:w w:val="110"/>
        </w:rPr>
        <w:t> </w:t>
      </w:r>
      <w:r>
        <w:rPr>
          <w:color w:val="231F20"/>
          <w:w w:val="110"/>
        </w:rPr>
        <w:t>la</w:t>
      </w:r>
      <w:r>
        <w:rPr>
          <w:color w:val="231F20"/>
          <w:spacing w:val="-10"/>
          <w:w w:val="110"/>
        </w:rPr>
        <w:t> </w:t>
      </w:r>
      <w:r>
        <w:rPr>
          <w:color w:val="231F20"/>
          <w:w w:val="110"/>
        </w:rPr>
        <w:t>disminución</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matrimonios</w:t>
      </w:r>
      <w:r>
        <w:rPr>
          <w:color w:val="231F20"/>
          <w:spacing w:val="-10"/>
          <w:w w:val="110"/>
        </w:rPr>
        <w:t> </w:t>
      </w:r>
      <w:r>
        <w:rPr>
          <w:color w:val="231F20"/>
          <w:w w:val="110"/>
        </w:rPr>
        <w:t>legales</w:t>
      </w:r>
      <w:r>
        <w:rPr>
          <w:color w:val="231F20"/>
          <w:spacing w:val="-10"/>
          <w:w w:val="110"/>
        </w:rPr>
        <w:t> </w:t>
      </w:r>
      <w:r>
        <w:rPr>
          <w:color w:val="231F20"/>
          <w:w w:val="110"/>
        </w:rPr>
        <w:t>con</w:t>
      </w:r>
      <w:r>
        <w:rPr>
          <w:color w:val="231F20"/>
          <w:spacing w:val="-10"/>
          <w:w w:val="110"/>
        </w:rPr>
        <w:t> </w:t>
      </w:r>
      <w:r>
        <w:rPr>
          <w:color w:val="231F20"/>
          <w:w w:val="110"/>
        </w:rPr>
        <w:t>ganan-</w:t>
      </w:r>
      <w:r>
        <w:rPr>
          <w:color w:val="231F20"/>
          <w:w w:val="108"/>
        </w:rPr>
        <w:t> </w:t>
      </w:r>
      <w:r>
        <w:rPr>
          <w:color w:val="231F20"/>
          <w:w w:val="110"/>
        </w:rPr>
        <w:t>cias</w:t>
      </w:r>
      <w:r>
        <w:rPr>
          <w:color w:val="231F20"/>
          <w:spacing w:val="-4"/>
          <w:w w:val="110"/>
        </w:rPr>
        <w:t> </w:t>
      </w:r>
      <w:r>
        <w:rPr>
          <w:color w:val="231F20"/>
          <w:w w:val="110"/>
        </w:rPr>
        <w:t>para</w:t>
      </w:r>
      <w:r>
        <w:rPr>
          <w:color w:val="231F20"/>
          <w:spacing w:val="-4"/>
          <w:w w:val="110"/>
        </w:rPr>
        <w:t> </w:t>
      </w:r>
      <w:r>
        <w:rPr>
          <w:color w:val="231F20"/>
          <w:w w:val="110"/>
        </w:rPr>
        <w:t>la</w:t>
      </w:r>
      <w:r>
        <w:rPr>
          <w:color w:val="231F20"/>
          <w:spacing w:val="-4"/>
          <w:w w:val="110"/>
        </w:rPr>
        <w:t> </w:t>
      </w:r>
      <w:r>
        <w:rPr>
          <w:color w:val="231F20"/>
          <w:w w:val="110"/>
        </w:rPr>
        <w:t>unión</w:t>
      </w:r>
      <w:r>
        <w:rPr>
          <w:color w:val="231F20"/>
          <w:spacing w:val="-4"/>
          <w:w w:val="110"/>
        </w:rPr>
        <w:t> </w:t>
      </w:r>
      <w:r>
        <w:rPr>
          <w:color w:val="231F20"/>
          <w:w w:val="110"/>
        </w:rPr>
        <w:t>libre</w:t>
      </w:r>
      <w:r>
        <w:rPr>
          <w:color w:val="231F20"/>
          <w:spacing w:val="-4"/>
          <w:w w:val="110"/>
        </w:rPr>
        <w:t> </w:t>
      </w:r>
      <w:r>
        <w:rPr>
          <w:color w:val="231F20"/>
          <w:w w:val="110"/>
        </w:rPr>
        <w:t>y</w:t>
      </w:r>
      <w:r>
        <w:rPr>
          <w:color w:val="231F20"/>
          <w:spacing w:val="-4"/>
          <w:w w:val="110"/>
        </w:rPr>
        <w:t> </w:t>
      </w:r>
      <w:r>
        <w:rPr>
          <w:color w:val="231F20"/>
          <w:w w:val="110"/>
        </w:rPr>
        <w:t>se</w:t>
      </w:r>
      <w:r>
        <w:rPr>
          <w:color w:val="231F20"/>
          <w:spacing w:val="-4"/>
          <w:w w:val="110"/>
        </w:rPr>
        <w:t> </w:t>
      </w:r>
      <w:r>
        <w:rPr>
          <w:color w:val="231F20"/>
          <w:w w:val="110"/>
        </w:rPr>
        <w:t>presenta</w:t>
      </w:r>
      <w:r>
        <w:rPr>
          <w:color w:val="231F20"/>
          <w:spacing w:val="-4"/>
          <w:w w:val="110"/>
        </w:rPr>
        <w:t> </w:t>
      </w:r>
      <w:r>
        <w:rPr>
          <w:color w:val="231F20"/>
          <w:w w:val="110"/>
        </w:rPr>
        <w:t>un</w:t>
      </w:r>
      <w:r>
        <w:rPr>
          <w:color w:val="231F20"/>
          <w:spacing w:val="-4"/>
          <w:w w:val="110"/>
        </w:rPr>
        <w:t> </w:t>
      </w:r>
      <w:r>
        <w:rPr>
          <w:color w:val="231F20"/>
          <w:w w:val="110"/>
        </w:rPr>
        <w:t>importante</w:t>
      </w:r>
      <w:r>
        <w:rPr>
          <w:color w:val="231F20"/>
          <w:spacing w:val="-4"/>
          <w:w w:val="110"/>
        </w:rPr>
        <w:t> </w:t>
      </w:r>
      <w:r>
        <w:rPr>
          <w:color w:val="231F20"/>
          <w:w w:val="110"/>
        </w:rPr>
        <w:t>aumento</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soltería,</w:t>
      </w:r>
      <w:r>
        <w:rPr>
          <w:color w:val="231F20"/>
          <w:w w:val="107"/>
        </w:rPr>
        <w:t> </w:t>
      </w:r>
      <w:r>
        <w:rPr>
          <w:color w:val="231F20"/>
          <w:spacing w:val="-4"/>
          <w:w w:val="110"/>
        </w:rPr>
        <w:t>principalmente entre </w:t>
      </w:r>
      <w:r>
        <w:rPr>
          <w:color w:val="231F20"/>
          <w:spacing w:val="-3"/>
          <w:w w:val="110"/>
        </w:rPr>
        <w:t>las </w:t>
      </w:r>
      <w:r>
        <w:rPr>
          <w:color w:val="231F20"/>
          <w:spacing w:val="-4"/>
          <w:w w:val="110"/>
        </w:rPr>
        <w:t>mujeres. Asimismo, </w:t>
      </w:r>
      <w:r>
        <w:rPr>
          <w:color w:val="231F20"/>
          <w:w w:val="110"/>
        </w:rPr>
        <w:t>la </w:t>
      </w:r>
      <w:r>
        <w:rPr>
          <w:color w:val="231F20"/>
          <w:spacing w:val="-4"/>
          <w:w w:val="110"/>
        </w:rPr>
        <w:t>disminución </w:t>
      </w:r>
      <w:r>
        <w:rPr>
          <w:color w:val="231F20"/>
          <w:w w:val="110"/>
        </w:rPr>
        <w:t>en</w:t>
      </w:r>
      <w:r>
        <w:rPr>
          <w:color w:val="231F20"/>
          <w:spacing w:val="14"/>
          <w:w w:val="110"/>
        </w:rPr>
        <w:t> </w:t>
      </w:r>
      <w:r>
        <w:rPr>
          <w:color w:val="231F20"/>
          <w:w w:val="110"/>
        </w:rPr>
        <w:t>la</w:t>
      </w:r>
      <w:r>
        <w:rPr>
          <w:color w:val="231F20"/>
          <w:spacing w:val="-1"/>
          <w:w w:val="110"/>
        </w:rPr>
        <w:t> </w:t>
      </w:r>
      <w:r>
        <w:rPr>
          <w:color w:val="231F20"/>
          <w:spacing w:val="-4"/>
          <w:w w:val="110"/>
        </w:rPr>
        <w:t>mortalidad</w:t>
      </w:r>
      <w:r>
        <w:rPr>
          <w:color w:val="231F20"/>
          <w:w w:val="107"/>
        </w:rPr>
        <w:t> </w:t>
      </w:r>
      <w:r>
        <w:rPr>
          <w:color w:val="231F20"/>
          <w:w w:val="110"/>
        </w:rPr>
        <w:t>trajo</w:t>
      </w:r>
      <w:r>
        <w:rPr>
          <w:color w:val="231F20"/>
          <w:spacing w:val="19"/>
          <w:w w:val="110"/>
        </w:rPr>
        <w:t> </w:t>
      </w:r>
      <w:r>
        <w:rPr>
          <w:color w:val="231F20"/>
          <w:w w:val="110"/>
        </w:rPr>
        <w:t>como</w:t>
      </w:r>
      <w:r>
        <w:rPr>
          <w:color w:val="231F20"/>
          <w:spacing w:val="19"/>
          <w:w w:val="110"/>
        </w:rPr>
        <w:t> </w:t>
      </w:r>
      <w:r>
        <w:rPr>
          <w:color w:val="231F20"/>
          <w:w w:val="110"/>
        </w:rPr>
        <w:t>consecuencia</w:t>
      </w:r>
      <w:r>
        <w:rPr>
          <w:color w:val="231F20"/>
          <w:spacing w:val="19"/>
          <w:w w:val="110"/>
        </w:rPr>
        <w:t> </w:t>
      </w:r>
      <w:r>
        <w:rPr>
          <w:color w:val="231F20"/>
          <w:w w:val="110"/>
        </w:rPr>
        <w:t>el</w:t>
      </w:r>
      <w:r>
        <w:rPr>
          <w:color w:val="231F20"/>
          <w:spacing w:val="19"/>
          <w:w w:val="110"/>
        </w:rPr>
        <w:t> </w:t>
      </w:r>
      <w:r>
        <w:rPr>
          <w:color w:val="231F20"/>
          <w:w w:val="110"/>
        </w:rPr>
        <w:t>descenso</w:t>
      </w:r>
      <w:r>
        <w:rPr>
          <w:color w:val="231F20"/>
          <w:spacing w:val="19"/>
          <w:w w:val="110"/>
        </w:rPr>
        <w:t> </w:t>
      </w:r>
      <w:r>
        <w:rPr>
          <w:color w:val="231F20"/>
          <w:w w:val="110"/>
        </w:rPr>
        <w:t>de</w:t>
      </w:r>
      <w:r>
        <w:rPr>
          <w:color w:val="231F20"/>
          <w:spacing w:val="19"/>
          <w:w w:val="110"/>
        </w:rPr>
        <w:t> </w:t>
      </w:r>
      <w:r>
        <w:rPr>
          <w:color w:val="231F20"/>
          <w:w w:val="110"/>
        </w:rPr>
        <w:t>la</w:t>
      </w:r>
      <w:r>
        <w:rPr>
          <w:color w:val="231F20"/>
          <w:spacing w:val="19"/>
          <w:w w:val="110"/>
        </w:rPr>
        <w:t> </w:t>
      </w:r>
      <w:r>
        <w:rPr>
          <w:color w:val="231F20"/>
          <w:w w:val="110"/>
        </w:rPr>
        <w:t>viudez,</w:t>
      </w:r>
      <w:r>
        <w:rPr>
          <w:color w:val="231F20"/>
          <w:spacing w:val="19"/>
          <w:w w:val="110"/>
        </w:rPr>
        <w:t> </w:t>
      </w:r>
      <w:r>
        <w:rPr>
          <w:color w:val="231F20"/>
          <w:w w:val="110"/>
        </w:rPr>
        <w:t>y</w:t>
      </w:r>
      <w:r>
        <w:rPr>
          <w:color w:val="231F20"/>
          <w:spacing w:val="19"/>
          <w:w w:val="110"/>
        </w:rPr>
        <w:t> </w:t>
      </w:r>
      <w:r>
        <w:rPr>
          <w:color w:val="231F20"/>
          <w:w w:val="110"/>
        </w:rPr>
        <w:t>al</w:t>
      </w:r>
      <w:r>
        <w:rPr>
          <w:color w:val="231F20"/>
          <w:spacing w:val="19"/>
          <w:w w:val="110"/>
        </w:rPr>
        <w:t> </w:t>
      </w:r>
      <w:r>
        <w:rPr>
          <w:color w:val="231F20"/>
          <w:w w:val="110"/>
        </w:rPr>
        <w:t>vivir</w:t>
      </w:r>
      <w:r>
        <w:rPr>
          <w:color w:val="231F20"/>
          <w:spacing w:val="19"/>
          <w:w w:val="110"/>
        </w:rPr>
        <w:t> </w:t>
      </w:r>
      <w:r>
        <w:rPr>
          <w:color w:val="231F20"/>
          <w:w w:val="110"/>
        </w:rPr>
        <w:t>las</w:t>
      </w:r>
      <w:r>
        <w:rPr>
          <w:color w:val="231F20"/>
          <w:spacing w:val="19"/>
          <w:w w:val="110"/>
        </w:rPr>
        <w:t> </w:t>
      </w:r>
      <w:r>
        <w:rPr>
          <w:color w:val="231F20"/>
          <w:w w:val="110"/>
        </w:rPr>
        <w:t>personas</w:t>
      </w:r>
      <w:r>
        <w:rPr>
          <w:color w:val="231F20"/>
          <w:w w:val="110"/>
        </w:rPr>
        <w:t> </w:t>
      </w:r>
      <w:r>
        <w:rPr>
          <w:color w:val="231F20"/>
          <w:w w:val="110"/>
        </w:rPr>
        <w:t>más</w:t>
      </w:r>
      <w:r>
        <w:rPr>
          <w:color w:val="231F20"/>
          <w:spacing w:val="17"/>
          <w:w w:val="110"/>
        </w:rPr>
        <w:t> </w:t>
      </w:r>
      <w:r>
        <w:rPr>
          <w:color w:val="231F20"/>
          <w:w w:val="110"/>
        </w:rPr>
        <w:t>tiempo</w:t>
      </w:r>
      <w:r>
        <w:rPr>
          <w:color w:val="231F20"/>
          <w:spacing w:val="17"/>
          <w:w w:val="110"/>
        </w:rPr>
        <w:t> </w:t>
      </w:r>
      <w:r>
        <w:rPr>
          <w:color w:val="231F20"/>
          <w:w w:val="110"/>
        </w:rPr>
        <w:t>en</w:t>
      </w:r>
      <w:r>
        <w:rPr>
          <w:color w:val="231F20"/>
          <w:spacing w:val="17"/>
          <w:w w:val="110"/>
        </w:rPr>
        <w:t> </w:t>
      </w:r>
      <w:r>
        <w:rPr>
          <w:color w:val="231F20"/>
          <w:w w:val="110"/>
        </w:rPr>
        <w:t>unión,</w:t>
      </w:r>
      <w:r>
        <w:rPr>
          <w:color w:val="231F20"/>
          <w:spacing w:val="17"/>
          <w:w w:val="110"/>
        </w:rPr>
        <w:t> </w:t>
      </w:r>
      <w:r>
        <w:rPr>
          <w:color w:val="231F20"/>
          <w:w w:val="110"/>
        </w:rPr>
        <w:t>el</w:t>
      </w:r>
      <w:r>
        <w:rPr>
          <w:color w:val="231F20"/>
          <w:spacing w:val="17"/>
          <w:w w:val="110"/>
        </w:rPr>
        <w:t> </w:t>
      </w:r>
      <w:r>
        <w:rPr>
          <w:color w:val="231F20"/>
          <w:w w:val="110"/>
        </w:rPr>
        <w:t>riesgo</w:t>
      </w:r>
      <w:r>
        <w:rPr>
          <w:color w:val="231F20"/>
          <w:spacing w:val="17"/>
          <w:w w:val="110"/>
        </w:rPr>
        <w:t> </w:t>
      </w:r>
      <w:r>
        <w:rPr>
          <w:color w:val="231F20"/>
          <w:w w:val="110"/>
        </w:rPr>
        <w:t>de</w:t>
      </w:r>
      <w:r>
        <w:rPr>
          <w:color w:val="231F20"/>
          <w:spacing w:val="17"/>
          <w:w w:val="110"/>
        </w:rPr>
        <w:t> </w:t>
      </w:r>
      <w:r>
        <w:rPr>
          <w:color w:val="231F20"/>
          <w:w w:val="110"/>
        </w:rPr>
        <w:t>ruptura</w:t>
      </w:r>
      <w:r>
        <w:rPr>
          <w:color w:val="231F20"/>
          <w:spacing w:val="17"/>
          <w:w w:val="110"/>
        </w:rPr>
        <w:t> </w:t>
      </w:r>
      <w:r>
        <w:rPr>
          <w:color w:val="231F20"/>
          <w:w w:val="110"/>
        </w:rPr>
        <w:t>aumenta.</w:t>
      </w:r>
      <w:r>
        <w:rPr>
          <w:color w:val="231F20"/>
          <w:spacing w:val="17"/>
          <w:w w:val="110"/>
        </w:rPr>
        <w:t> </w:t>
      </w:r>
      <w:r>
        <w:rPr>
          <w:color w:val="231F20"/>
          <w:w w:val="110"/>
        </w:rPr>
        <w:t>El</w:t>
      </w:r>
      <w:r>
        <w:rPr>
          <w:color w:val="231F20"/>
          <w:spacing w:val="17"/>
          <w:w w:val="110"/>
        </w:rPr>
        <w:t> </w:t>
      </w:r>
      <w:r>
        <w:rPr>
          <w:color w:val="231F20"/>
          <w:w w:val="110"/>
        </w:rPr>
        <w:t>aumento</w:t>
      </w:r>
      <w:r>
        <w:rPr>
          <w:color w:val="231F20"/>
          <w:spacing w:val="17"/>
          <w:w w:val="110"/>
        </w:rPr>
        <w:t> </w:t>
      </w:r>
      <w:r>
        <w:rPr>
          <w:color w:val="231F20"/>
          <w:w w:val="110"/>
        </w:rPr>
        <w:t>de</w:t>
      </w:r>
      <w:r>
        <w:rPr>
          <w:color w:val="231F20"/>
          <w:spacing w:val="17"/>
          <w:w w:val="110"/>
        </w:rPr>
        <w:t> </w:t>
      </w:r>
      <w:r>
        <w:rPr>
          <w:color w:val="231F20"/>
          <w:w w:val="110"/>
        </w:rPr>
        <w:t>arre-</w:t>
      </w:r>
      <w:r>
        <w:rPr>
          <w:color w:val="231F20"/>
          <w:w w:val="93"/>
        </w:rPr>
        <w:t> </w:t>
      </w:r>
      <w:r>
        <w:rPr>
          <w:color w:val="231F20"/>
          <w:w w:val="110"/>
        </w:rPr>
        <w:t>glos familiares con características sociodemográficas, culturales y  </w:t>
      </w:r>
      <w:r>
        <w:rPr>
          <w:color w:val="231F20"/>
          <w:spacing w:val="31"/>
          <w:w w:val="110"/>
        </w:rPr>
        <w:t> </w:t>
      </w:r>
      <w:r>
        <w:rPr>
          <w:color w:val="231F20"/>
          <w:w w:val="110"/>
        </w:rPr>
        <w:t>econó-</w:t>
      </w:r>
    </w:p>
    <w:p>
      <w:pPr>
        <w:pStyle w:val="BodyText"/>
        <w:ind w:left="100"/>
      </w:pPr>
      <w:r>
        <w:rPr>
          <w:color w:val="231F20"/>
          <w:w w:val="110"/>
        </w:rPr>
        <w:t>micas diversas también es parte de estos  cambios.</w:t>
      </w:r>
    </w:p>
    <w:p>
      <w:pPr>
        <w:pStyle w:val="BodyText"/>
        <w:spacing w:line="288" w:lineRule="auto" w:before="47"/>
        <w:ind w:left="100" w:right="117" w:firstLine="360"/>
        <w:jc w:val="right"/>
      </w:pPr>
      <w:r>
        <w:rPr>
          <w:color w:val="231F20"/>
          <w:w w:val="110"/>
        </w:rPr>
        <w:t>Por lo que hoy en día se observan un sinnúmero de comportamientos</w:t>
      </w:r>
      <w:r>
        <w:rPr>
          <w:color w:val="231F20"/>
          <w:w w:val="108"/>
        </w:rPr>
        <w:t> </w:t>
      </w:r>
      <w:r>
        <w:rPr>
          <w:color w:val="231F20"/>
          <w:w w:val="110"/>
        </w:rPr>
        <w:t>en cuanto a la nupcialidad: una en donde las personas entran en una pri-</w:t>
      </w:r>
      <w:r>
        <w:rPr>
          <w:color w:val="231F20"/>
          <w:w w:val="93"/>
        </w:rPr>
        <w:t> </w:t>
      </w:r>
      <w:r>
        <w:rPr>
          <w:color w:val="231F20"/>
          <w:w w:val="110"/>
        </w:rPr>
        <w:t>mera unión a edades tempranas, y otra donde aquellas que no siguen esta</w:t>
      </w:r>
      <w:r>
        <w:rPr>
          <w:color w:val="231F20"/>
          <w:w w:val="108"/>
        </w:rPr>
        <w:t> </w:t>
      </w:r>
      <w:r>
        <w:rPr>
          <w:color w:val="231F20"/>
          <w:w w:val="110"/>
        </w:rPr>
        <w:t>pauta lo hacen hasta después de los 30 años, es decir, con un calendario</w:t>
      </w:r>
      <w:r>
        <w:rPr>
          <w:color w:val="231F20"/>
          <w:w w:val="108"/>
        </w:rPr>
        <w:t> </w:t>
      </w:r>
      <w:r>
        <w:rPr>
          <w:color w:val="231F20"/>
          <w:w w:val="110"/>
        </w:rPr>
        <w:t>más tardío. Además, las brechas de diferencias de edad entre cónyuges</w:t>
      </w:r>
    </w:p>
    <w:p>
      <w:pPr>
        <w:pStyle w:val="BodyText"/>
        <w:spacing w:before="3"/>
        <w:rPr>
          <w:sz w:val="23"/>
        </w:rPr>
      </w:pPr>
    </w:p>
    <w:p>
      <w:pPr>
        <w:spacing w:line="256" w:lineRule="auto" w:before="0"/>
        <w:ind w:left="100" w:right="118" w:firstLine="360"/>
        <w:jc w:val="both"/>
        <w:rPr>
          <w:sz w:val="16"/>
        </w:rPr>
      </w:pPr>
      <w:r>
        <w:rPr>
          <w:color w:val="231F20"/>
          <w:w w:val="110"/>
          <w:position w:val="5"/>
          <w:sz w:val="9"/>
        </w:rPr>
        <w:t>1</w:t>
      </w:r>
      <w:r>
        <w:rPr>
          <w:color w:val="231F20"/>
          <w:spacing w:val="-6"/>
          <w:w w:val="110"/>
          <w:position w:val="5"/>
          <w:sz w:val="9"/>
        </w:rPr>
        <w:t> </w:t>
      </w:r>
      <w:r>
        <w:rPr>
          <w:color w:val="231F20"/>
          <w:w w:val="110"/>
          <w:sz w:val="16"/>
        </w:rPr>
        <w:t>Fórmula</w:t>
      </w:r>
      <w:r>
        <w:rPr>
          <w:color w:val="231F20"/>
          <w:spacing w:val="-7"/>
          <w:w w:val="110"/>
          <w:sz w:val="16"/>
        </w:rPr>
        <w:t> </w:t>
      </w:r>
      <w:r>
        <w:rPr>
          <w:color w:val="231F20"/>
          <w:w w:val="110"/>
          <w:sz w:val="16"/>
        </w:rPr>
        <w:t>básica</w:t>
      </w:r>
      <w:r>
        <w:rPr>
          <w:color w:val="231F20"/>
          <w:spacing w:val="-7"/>
          <w:w w:val="110"/>
          <w:sz w:val="16"/>
        </w:rPr>
        <w:t> </w:t>
      </w:r>
      <w:r>
        <w:rPr>
          <w:color w:val="231F20"/>
          <w:w w:val="110"/>
          <w:sz w:val="16"/>
        </w:rPr>
        <w:t>demográfica</w:t>
      </w:r>
      <w:r>
        <w:rPr>
          <w:color w:val="231F20"/>
          <w:spacing w:val="-7"/>
          <w:w w:val="110"/>
          <w:sz w:val="16"/>
        </w:rPr>
        <w:t> </w:t>
      </w:r>
      <w:r>
        <w:rPr>
          <w:color w:val="231F20"/>
          <w:w w:val="110"/>
          <w:sz w:val="16"/>
        </w:rPr>
        <w:t>que</w:t>
      </w:r>
      <w:r>
        <w:rPr>
          <w:color w:val="231F20"/>
          <w:spacing w:val="-7"/>
          <w:w w:val="110"/>
          <w:sz w:val="16"/>
        </w:rPr>
        <w:t> </w:t>
      </w:r>
      <w:r>
        <w:rPr>
          <w:color w:val="231F20"/>
          <w:w w:val="110"/>
          <w:sz w:val="16"/>
        </w:rPr>
        <w:t>se</w:t>
      </w:r>
      <w:r>
        <w:rPr>
          <w:color w:val="231F20"/>
          <w:spacing w:val="-7"/>
          <w:w w:val="110"/>
          <w:sz w:val="16"/>
        </w:rPr>
        <w:t> </w:t>
      </w:r>
      <w:r>
        <w:rPr>
          <w:color w:val="231F20"/>
          <w:w w:val="110"/>
          <w:sz w:val="16"/>
        </w:rPr>
        <w:t>utiliza</w:t>
      </w:r>
      <w:r>
        <w:rPr>
          <w:color w:val="231F20"/>
          <w:spacing w:val="-7"/>
          <w:w w:val="110"/>
          <w:sz w:val="16"/>
        </w:rPr>
        <w:t> </w:t>
      </w:r>
      <w:r>
        <w:rPr>
          <w:color w:val="231F20"/>
          <w:w w:val="110"/>
          <w:sz w:val="16"/>
        </w:rPr>
        <w:t>para</w:t>
      </w:r>
      <w:r>
        <w:rPr>
          <w:color w:val="231F20"/>
          <w:spacing w:val="-7"/>
          <w:w w:val="110"/>
          <w:sz w:val="16"/>
        </w:rPr>
        <w:t> </w:t>
      </w:r>
      <w:r>
        <w:rPr>
          <w:color w:val="231F20"/>
          <w:w w:val="110"/>
          <w:sz w:val="16"/>
        </w:rPr>
        <w:t>estimar</w:t>
      </w:r>
      <w:r>
        <w:rPr>
          <w:color w:val="231F20"/>
          <w:spacing w:val="-7"/>
          <w:w w:val="110"/>
          <w:sz w:val="16"/>
        </w:rPr>
        <w:t> </w:t>
      </w:r>
      <w:r>
        <w:rPr>
          <w:color w:val="231F20"/>
          <w:w w:val="110"/>
          <w:sz w:val="16"/>
        </w:rPr>
        <w:t>el</w:t>
      </w:r>
      <w:r>
        <w:rPr>
          <w:color w:val="231F20"/>
          <w:spacing w:val="-7"/>
          <w:w w:val="110"/>
          <w:sz w:val="16"/>
        </w:rPr>
        <w:t> </w:t>
      </w:r>
      <w:r>
        <w:rPr>
          <w:color w:val="231F20"/>
          <w:w w:val="110"/>
          <w:sz w:val="16"/>
        </w:rPr>
        <w:t>cambio</w:t>
      </w:r>
      <w:r>
        <w:rPr>
          <w:color w:val="231F20"/>
          <w:spacing w:val="-7"/>
          <w:w w:val="110"/>
          <w:sz w:val="16"/>
        </w:rPr>
        <w:t> </w:t>
      </w:r>
      <w:r>
        <w:rPr>
          <w:color w:val="231F20"/>
          <w:w w:val="110"/>
          <w:sz w:val="16"/>
        </w:rPr>
        <w:t>total</w:t>
      </w:r>
      <w:r>
        <w:rPr>
          <w:color w:val="231F20"/>
          <w:spacing w:val="-7"/>
          <w:w w:val="110"/>
          <w:sz w:val="16"/>
        </w:rPr>
        <w:t> </w:t>
      </w:r>
      <w:r>
        <w:rPr>
          <w:color w:val="231F20"/>
          <w:w w:val="110"/>
          <w:sz w:val="16"/>
        </w:rPr>
        <w:t>de</w:t>
      </w:r>
      <w:r>
        <w:rPr>
          <w:color w:val="231F20"/>
          <w:spacing w:val="-7"/>
          <w:w w:val="110"/>
          <w:sz w:val="16"/>
        </w:rPr>
        <w:t> </w:t>
      </w:r>
      <w:r>
        <w:rPr>
          <w:color w:val="231F20"/>
          <w:w w:val="110"/>
          <w:sz w:val="16"/>
        </w:rPr>
        <w:t>una</w:t>
      </w:r>
      <w:r>
        <w:rPr>
          <w:color w:val="231F20"/>
          <w:spacing w:val="-7"/>
          <w:w w:val="110"/>
          <w:sz w:val="16"/>
        </w:rPr>
        <w:t> </w:t>
      </w:r>
      <w:r>
        <w:rPr>
          <w:color w:val="231F20"/>
          <w:w w:val="110"/>
          <w:sz w:val="16"/>
        </w:rPr>
        <w:t>población entre dos fechas dadas. Ésta abarca los componentes de movimiento de la población: naci- mientos, defunciones y</w:t>
      </w:r>
      <w:r>
        <w:rPr>
          <w:color w:val="231F20"/>
          <w:spacing w:val="32"/>
          <w:w w:val="110"/>
          <w:sz w:val="16"/>
        </w:rPr>
        <w:t> </w:t>
      </w:r>
      <w:r>
        <w:rPr>
          <w:color w:val="231F20"/>
          <w:w w:val="110"/>
          <w:sz w:val="16"/>
        </w:rPr>
        <w:t>migración.</w:t>
      </w:r>
    </w:p>
    <w:p>
      <w:pPr>
        <w:pStyle w:val="BodyText"/>
        <w:spacing w:before="5"/>
        <w:rPr>
          <w:sz w:val="17"/>
        </w:rPr>
      </w:pPr>
    </w:p>
    <w:p>
      <w:pPr>
        <w:spacing w:before="75"/>
        <w:ind w:left="1388" w:right="1407" w:firstLine="0"/>
        <w:jc w:val="center"/>
        <w:rPr>
          <w:rFonts w:ascii="Calibri"/>
          <w:i/>
          <w:sz w:val="16"/>
        </w:rPr>
      </w:pPr>
      <w:r>
        <w:rPr>
          <w:rFonts w:ascii="Calibri"/>
          <w:i/>
          <w:color w:val="231F20"/>
          <w:w w:val="95"/>
          <w:sz w:val="16"/>
        </w:rPr>
        <w:t>59</w:t>
      </w:r>
    </w:p>
    <w:p>
      <w:pPr>
        <w:spacing w:after="0"/>
        <w:jc w:val="center"/>
        <w:rPr>
          <w:rFonts w:ascii="Calibri"/>
          <w:sz w:val="16"/>
        </w:rPr>
        <w:sectPr>
          <w:footerReference w:type="even" r:id="rId36"/>
          <w:pgSz w:w="9520" w:h="12920"/>
          <w:pgMar w:footer="0" w:header="0" w:top="1220" w:bottom="280" w:left="1020" w:right="1320"/>
        </w:sectPr>
      </w:pPr>
    </w:p>
    <w:p>
      <w:pPr>
        <w:pStyle w:val="BodyText"/>
        <w:spacing w:line="288" w:lineRule="auto" w:before="42"/>
        <w:ind w:left="124" w:right="114"/>
        <w:jc w:val="both"/>
      </w:pPr>
      <w:r>
        <w:rPr>
          <w:color w:val="231F20"/>
          <w:w w:val="110"/>
        </w:rPr>
        <w:t>disminuyen. Estas transformaciones son consideradas por algunos auto- res como rasgos de la segunda transición demográfica (Quilodrán, 2010). Otros</w:t>
      </w:r>
      <w:r>
        <w:rPr>
          <w:color w:val="231F20"/>
          <w:spacing w:val="-6"/>
          <w:w w:val="110"/>
        </w:rPr>
        <w:t> </w:t>
      </w:r>
      <w:r>
        <w:rPr>
          <w:color w:val="231F20"/>
          <w:w w:val="110"/>
        </w:rPr>
        <w:t>más</w:t>
      </w:r>
      <w:r>
        <w:rPr>
          <w:color w:val="231F20"/>
          <w:spacing w:val="-6"/>
          <w:w w:val="110"/>
        </w:rPr>
        <w:t> </w:t>
      </w:r>
      <w:r>
        <w:rPr>
          <w:color w:val="231F20"/>
          <w:w w:val="110"/>
        </w:rPr>
        <w:t>lo</w:t>
      </w:r>
      <w:r>
        <w:rPr>
          <w:color w:val="231F20"/>
          <w:spacing w:val="-6"/>
          <w:w w:val="110"/>
        </w:rPr>
        <w:t> </w:t>
      </w:r>
      <w:r>
        <w:rPr>
          <w:color w:val="231F20"/>
          <w:w w:val="110"/>
        </w:rPr>
        <w:t>conciben</w:t>
      </w:r>
      <w:r>
        <w:rPr>
          <w:color w:val="231F20"/>
          <w:spacing w:val="-6"/>
          <w:w w:val="110"/>
        </w:rPr>
        <w:t> </w:t>
      </w:r>
      <w:r>
        <w:rPr>
          <w:color w:val="231F20"/>
          <w:w w:val="110"/>
        </w:rPr>
        <w:t>como</w:t>
      </w:r>
      <w:r>
        <w:rPr>
          <w:color w:val="231F20"/>
          <w:spacing w:val="-6"/>
          <w:w w:val="110"/>
        </w:rPr>
        <w:t> </w:t>
      </w:r>
      <w:r>
        <w:rPr>
          <w:color w:val="231F20"/>
          <w:w w:val="110"/>
        </w:rPr>
        <w:t>un</w:t>
      </w:r>
      <w:r>
        <w:rPr>
          <w:color w:val="231F20"/>
          <w:spacing w:val="-6"/>
          <w:w w:val="110"/>
        </w:rPr>
        <w:t> </w:t>
      </w:r>
      <w:r>
        <w:rPr>
          <w:color w:val="231F20"/>
          <w:w w:val="110"/>
        </w:rPr>
        <w:t>regreso</w:t>
      </w:r>
      <w:r>
        <w:rPr>
          <w:color w:val="231F20"/>
          <w:spacing w:val="-6"/>
          <w:w w:val="110"/>
        </w:rPr>
        <w:t> </w:t>
      </w:r>
      <w:r>
        <w:rPr>
          <w:color w:val="231F20"/>
          <w:w w:val="110"/>
        </w:rPr>
        <w:t>al</w:t>
      </w:r>
      <w:r>
        <w:rPr>
          <w:color w:val="231F20"/>
          <w:spacing w:val="-6"/>
          <w:w w:val="110"/>
        </w:rPr>
        <w:t> </w:t>
      </w:r>
      <w:r>
        <w:rPr>
          <w:color w:val="231F20"/>
          <w:w w:val="110"/>
        </w:rPr>
        <w:t>patrón</w:t>
      </w:r>
      <w:r>
        <w:rPr>
          <w:color w:val="231F20"/>
          <w:spacing w:val="-6"/>
          <w:w w:val="110"/>
        </w:rPr>
        <w:t> </w:t>
      </w:r>
      <w:r>
        <w:rPr>
          <w:color w:val="231F20"/>
          <w:w w:val="110"/>
        </w:rPr>
        <w:t>tradicional</w:t>
      </w:r>
      <w:r>
        <w:rPr>
          <w:color w:val="231F20"/>
          <w:spacing w:val="-6"/>
          <w:w w:val="110"/>
        </w:rPr>
        <w:t> </w:t>
      </w:r>
      <w:r>
        <w:rPr>
          <w:color w:val="231F20"/>
          <w:w w:val="110"/>
        </w:rPr>
        <w:t>de</w:t>
      </w:r>
      <w:r>
        <w:rPr>
          <w:color w:val="231F20"/>
          <w:spacing w:val="-6"/>
          <w:w w:val="110"/>
        </w:rPr>
        <w:t> </w:t>
      </w:r>
      <w:r>
        <w:rPr>
          <w:color w:val="231F20"/>
          <w:w w:val="110"/>
        </w:rPr>
        <w:t>unión</w:t>
      </w:r>
      <w:r>
        <w:rPr>
          <w:color w:val="231F20"/>
          <w:spacing w:val="-6"/>
          <w:w w:val="110"/>
        </w:rPr>
        <w:t> </w:t>
      </w:r>
      <w:r>
        <w:rPr>
          <w:color w:val="231F20"/>
          <w:w w:val="110"/>
        </w:rPr>
        <w:t>libre entre personas de bajos recursos con ciertos atributos que los hacen dife- rentes a los anteriormente observados (Solís y Puga,</w:t>
      </w:r>
      <w:r>
        <w:rPr>
          <w:color w:val="231F20"/>
          <w:spacing w:val="-15"/>
          <w:w w:val="110"/>
        </w:rPr>
        <w:t> </w:t>
      </w:r>
      <w:r>
        <w:rPr>
          <w:color w:val="231F20"/>
          <w:w w:val="110"/>
        </w:rPr>
        <w:t>2009).</w:t>
      </w:r>
    </w:p>
    <w:p>
      <w:pPr>
        <w:pStyle w:val="BodyText"/>
        <w:spacing w:line="288" w:lineRule="auto"/>
        <w:ind w:left="124" w:right="112" w:firstLine="360"/>
        <w:jc w:val="both"/>
      </w:pPr>
      <w:r>
        <w:rPr>
          <w:color w:val="231F20"/>
          <w:w w:val="110"/>
        </w:rPr>
        <w:t>El</w:t>
      </w:r>
      <w:r>
        <w:rPr>
          <w:color w:val="231F20"/>
          <w:spacing w:val="-9"/>
          <w:w w:val="110"/>
        </w:rPr>
        <w:t> </w:t>
      </w:r>
      <w:r>
        <w:rPr>
          <w:color w:val="231F20"/>
          <w:w w:val="110"/>
        </w:rPr>
        <w:t>objetivo</w:t>
      </w:r>
      <w:r>
        <w:rPr>
          <w:color w:val="231F20"/>
          <w:spacing w:val="-9"/>
          <w:w w:val="110"/>
        </w:rPr>
        <w:t> </w:t>
      </w:r>
      <w:r>
        <w:rPr>
          <w:color w:val="231F20"/>
          <w:w w:val="110"/>
        </w:rPr>
        <w:t>del</w:t>
      </w:r>
      <w:r>
        <w:rPr>
          <w:color w:val="231F20"/>
          <w:spacing w:val="-9"/>
          <w:w w:val="110"/>
        </w:rPr>
        <w:t> </w:t>
      </w:r>
      <w:r>
        <w:rPr>
          <w:color w:val="231F20"/>
          <w:w w:val="110"/>
        </w:rPr>
        <w:t>presente</w:t>
      </w:r>
      <w:r>
        <w:rPr>
          <w:color w:val="231F20"/>
          <w:spacing w:val="-9"/>
          <w:w w:val="110"/>
        </w:rPr>
        <w:t> </w:t>
      </w:r>
      <w:r>
        <w:rPr>
          <w:color w:val="231F20"/>
          <w:w w:val="110"/>
        </w:rPr>
        <w:t>trabajo</w:t>
      </w:r>
      <w:r>
        <w:rPr>
          <w:color w:val="231F20"/>
          <w:spacing w:val="-9"/>
          <w:w w:val="110"/>
        </w:rPr>
        <w:t> </w:t>
      </w:r>
      <w:r>
        <w:rPr>
          <w:color w:val="231F20"/>
          <w:w w:val="110"/>
        </w:rPr>
        <w:t>es</w:t>
      </w:r>
      <w:r>
        <w:rPr>
          <w:color w:val="231F20"/>
          <w:spacing w:val="-9"/>
          <w:w w:val="110"/>
        </w:rPr>
        <w:t> </w:t>
      </w:r>
      <w:r>
        <w:rPr>
          <w:color w:val="231F20"/>
          <w:w w:val="110"/>
        </w:rPr>
        <w:t>dar</w:t>
      </w:r>
      <w:r>
        <w:rPr>
          <w:color w:val="231F20"/>
          <w:spacing w:val="-9"/>
          <w:w w:val="110"/>
        </w:rPr>
        <w:t> </w:t>
      </w:r>
      <w:r>
        <w:rPr>
          <w:color w:val="231F20"/>
          <w:w w:val="110"/>
        </w:rPr>
        <w:t>cuenta,</w:t>
      </w:r>
      <w:r>
        <w:rPr>
          <w:color w:val="231F20"/>
          <w:spacing w:val="-9"/>
          <w:w w:val="110"/>
        </w:rPr>
        <w:t> </w:t>
      </w:r>
      <w:r>
        <w:rPr>
          <w:color w:val="231F20"/>
          <w:w w:val="110"/>
        </w:rPr>
        <w:t>a</w:t>
      </w:r>
      <w:r>
        <w:rPr>
          <w:color w:val="231F20"/>
          <w:spacing w:val="-9"/>
          <w:w w:val="110"/>
        </w:rPr>
        <w:t> </w:t>
      </w:r>
      <w:r>
        <w:rPr>
          <w:color w:val="231F20"/>
          <w:w w:val="110"/>
        </w:rPr>
        <w:t>nivel</w:t>
      </w:r>
      <w:r>
        <w:rPr>
          <w:color w:val="231F20"/>
          <w:spacing w:val="-9"/>
          <w:w w:val="110"/>
        </w:rPr>
        <w:t> </w:t>
      </w:r>
      <w:r>
        <w:rPr>
          <w:color w:val="231F20"/>
          <w:w w:val="110"/>
        </w:rPr>
        <w:t>descriptivo,</w:t>
      </w:r>
      <w:r>
        <w:rPr>
          <w:color w:val="231F20"/>
          <w:spacing w:val="-9"/>
          <w:w w:val="110"/>
        </w:rPr>
        <w:t> </w:t>
      </w:r>
      <w:r>
        <w:rPr>
          <w:color w:val="231F20"/>
          <w:w w:val="110"/>
        </w:rPr>
        <w:t>de</w:t>
      </w:r>
      <w:r>
        <w:rPr>
          <w:color w:val="231F20"/>
          <w:spacing w:val="-9"/>
          <w:w w:val="110"/>
        </w:rPr>
        <w:t> </w:t>
      </w:r>
      <w:r>
        <w:rPr>
          <w:color w:val="231F20"/>
          <w:w w:val="110"/>
        </w:rPr>
        <w:t>los principales cambios que se han dado en la intensidad y el calendario de la nupcialidad desde finales del siglo </w:t>
      </w:r>
      <w:r>
        <w:rPr>
          <w:rFonts w:ascii="Times New Roman" w:hAnsi="Times New Roman"/>
          <w:color w:val="231F20"/>
          <w:w w:val="110"/>
          <w:sz w:val="16"/>
        </w:rPr>
        <w:t>XX </w:t>
      </w:r>
      <w:r>
        <w:rPr>
          <w:color w:val="231F20"/>
          <w:w w:val="110"/>
        </w:rPr>
        <w:t>y en los primeros años del presente siglo </w:t>
      </w:r>
      <w:r>
        <w:rPr>
          <w:rFonts w:ascii="Times New Roman" w:hAnsi="Times New Roman"/>
          <w:color w:val="231F20"/>
          <w:w w:val="110"/>
          <w:sz w:val="16"/>
        </w:rPr>
        <w:t>XXI</w:t>
      </w:r>
      <w:r>
        <w:rPr>
          <w:rFonts w:ascii="Times New Roman" w:hAnsi="Times New Roman"/>
          <w:color w:val="231F20"/>
          <w:w w:val="110"/>
        </w:rPr>
        <w:t>. </w:t>
      </w:r>
      <w:r>
        <w:rPr>
          <w:color w:val="231F20"/>
          <w:w w:val="110"/>
        </w:rPr>
        <w:t>Se desarrollan tres apartados, </w:t>
      </w:r>
      <w:r>
        <w:rPr>
          <w:i/>
          <w:color w:val="231F20"/>
          <w:w w:val="110"/>
        </w:rPr>
        <w:t>1) </w:t>
      </w:r>
      <w:r>
        <w:rPr>
          <w:color w:val="231F20"/>
          <w:w w:val="110"/>
        </w:rPr>
        <w:t>Evolución de la situación con- yugal, </w:t>
      </w:r>
      <w:r>
        <w:rPr>
          <w:i/>
          <w:color w:val="231F20"/>
          <w:w w:val="110"/>
        </w:rPr>
        <w:t>2) </w:t>
      </w:r>
      <w:r>
        <w:rPr>
          <w:color w:val="231F20"/>
          <w:w w:val="110"/>
        </w:rPr>
        <w:t>La condición de unión por entidad y algunos de sus diferenciales y </w:t>
      </w:r>
      <w:r>
        <w:rPr>
          <w:i/>
          <w:color w:val="231F20"/>
          <w:w w:val="110"/>
        </w:rPr>
        <w:t>3) </w:t>
      </w:r>
      <w:r>
        <w:rPr>
          <w:color w:val="231F20"/>
          <w:w w:val="110"/>
        </w:rPr>
        <w:t>Los cambios en la condición de unión y la formación de  </w:t>
      </w:r>
      <w:r>
        <w:rPr>
          <w:color w:val="231F20"/>
          <w:spacing w:val="31"/>
          <w:w w:val="110"/>
        </w:rPr>
        <w:t> </w:t>
      </w:r>
      <w:r>
        <w:rPr>
          <w:color w:val="231F20"/>
          <w:w w:val="110"/>
        </w:rPr>
        <w:t>hogares.</w:t>
      </w:r>
    </w:p>
    <w:p>
      <w:pPr>
        <w:pStyle w:val="BodyText"/>
      </w:pPr>
    </w:p>
    <w:p>
      <w:pPr>
        <w:pStyle w:val="BodyText"/>
        <w:spacing w:before="10"/>
        <w:rPr>
          <w:sz w:val="24"/>
        </w:rPr>
      </w:pPr>
    </w:p>
    <w:p>
      <w:pPr>
        <w:spacing w:before="0"/>
        <w:ind w:left="124" w:right="0" w:firstLine="0"/>
        <w:jc w:val="both"/>
        <w:rPr>
          <w:rFonts w:ascii="Times New Roman" w:hAnsi="Times New Roman"/>
          <w:i/>
          <w:sz w:val="19"/>
        </w:rPr>
      </w:pPr>
      <w:r>
        <w:rPr>
          <w:rFonts w:ascii="Times New Roman" w:hAnsi="Times New Roman"/>
          <w:i/>
          <w:color w:val="231F20"/>
          <w:w w:val="95"/>
          <w:sz w:val="24"/>
        </w:rPr>
        <w:t>E</w:t>
      </w:r>
      <w:r>
        <w:rPr>
          <w:rFonts w:ascii="Times New Roman" w:hAnsi="Times New Roman"/>
          <w:i/>
          <w:color w:val="231F20"/>
          <w:w w:val="95"/>
          <w:sz w:val="19"/>
        </w:rPr>
        <w:t>VOLUCIÓN DE LA SITUACIÓN  CONYUGAL</w:t>
      </w:r>
    </w:p>
    <w:p>
      <w:pPr>
        <w:pStyle w:val="BodyText"/>
        <w:spacing w:before="9"/>
        <w:rPr>
          <w:rFonts w:ascii="Times New Roman"/>
          <w:i/>
          <w:sz w:val="27"/>
        </w:rPr>
      </w:pPr>
    </w:p>
    <w:p>
      <w:pPr>
        <w:pStyle w:val="BodyText"/>
        <w:spacing w:line="288" w:lineRule="auto"/>
        <w:ind w:left="124" w:right="112"/>
        <w:jc w:val="both"/>
      </w:pPr>
      <w:r>
        <w:rPr>
          <w:color w:val="231F20"/>
          <w:w w:val="110"/>
        </w:rPr>
        <w:t>Los cambios que la estructura de la población ha sufrido como resultado de varias décadas de transición demográfica también han impactado algu- nos otros procesos. Uno de éstos se refiere a la manera en la que los indi- viduos</w:t>
      </w:r>
      <w:r>
        <w:rPr>
          <w:color w:val="231F20"/>
          <w:spacing w:val="-8"/>
          <w:w w:val="110"/>
        </w:rPr>
        <w:t> </w:t>
      </w:r>
      <w:r>
        <w:rPr>
          <w:color w:val="231F20"/>
          <w:w w:val="110"/>
        </w:rPr>
        <w:t>inician</w:t>
      </w:r>
      <w:r>
        <w:rPr>
          <w:color w:val="231F20"/>
          <w:spacing w:val="-8"/>
          <w:w w:val="110"/>
        </w:rPr>
        <w:t> </w:t>
      </w:r>
      <w:r>
        <w:rPr>
          <w:color w:val="231F20"/>
          <w:w w:val="110"/>
        </w:rPr>
        <w:t>su</w:t>
      </w:r>
      <w:r>
        <w:rPr>
          <w:color w:val="231F20"/>
          <w:spacing w:val="-8"/>
          <w:w w:val="110"/>
        </w:rPr>
        <w:t> </w:t>
      </w:r>
      <w:r>
        <w:rPr>
          <w:color w:val="231F20"/>
          <w:w w:val="110"/>
        </w:rPr>
        <w:t>vida</w:t>
      </w:r>
      <w:r>
        <w:rPr>
          <w:color w:val="231F20"/>
          <w:spacing w:val="-8"/>
          <w:w w:val="110"/>
        </w:rPr>
        <w:t> </w:t>
      </w:r>
      <w:r>
        <w:rPr>
          <w:color w:val="231F20"/>
          <w:w w:val="110"/>
        </w:rPr>
        <w:t>en</w:t>
      </w:r>
      <w:r>
        <w:rPr>
          <w:color w:val="231F20"/>
          <w:spacing w:val="-8"/>
          <w:w w:val="110"/>
        </w:rPr>
        <w:t> </w:t>
      </w:r>
      <w:r>
        <w:rPr>
          <w:color w:val="231F20"/>
          <w:w w:val="110"/>
        </w:rPr>
        <w:t>pareja.</w:t>
      </w:r>
      <w:r>
        <w:rPr>
          <w:color w:val="231F20"/>
          <w:spacing w:val="-8"/>
          <w:w w:val="110"/>
        </w:rPr>
        <w:t> </w:t>
      </w:r>
      <w:r>
        <w:rPr>
          <w:color w:val="231F20"/>
          <w:w w:val="110"/>
        </w:rPr>
        <w:t>Estas</w:t>
      </w:r>
      <w:r>
        <w:rPr>
          <w:color w:val="231F20"/>
          <w:spacing w:val="-8"/>
          <w:w w:val="110"/>
        </w:rPr>
        <w:t> </w:t>
      </w:r>
      <w:r>
        <w:rPr>
          <w:color w:val="231F20"/>
          <w:w w:val="110"/>
        </w:rPr>
        <w:t>transformaciones</w:t>
      </w:r>
      <w:r>
        <w:rPr>
          <w:color w:val="231F20"/>
          <w:spacing w:val="-8"/>
          <w:w w:val="110"/>
        </w:rPr>
        <w:t> </w:t>
      </w:r>
      <w:r>
        <w:rPr>
          <w:color w:val="231F20"/>
          <w:w w:val="110"/>
        </w:rPr>
        <w:t>pueden</w:t>
      </w:r>
      <w:r>
        <w:rPr>
          <w:color w:val="231F20"/>
          <w:spacing w:val="-8"/>
          <w:w w:val="110"/>
        </w:rPr>
        <w:t> </w:t>
      </w:r>
      <w:r>
        <w:rPr>
          <w:color w:val="231F20"/>
          <w:w w:val="110"/>
        </w:rPr>
        <w:t>apreciarse en la evolución que ha tenido la situación conyugal de las personas desde finales</w:t>
      </w:r>
      <w:r>
        <w:rPr>
          <w:color w:val="231F20"/>
          <w:spacing w:val="-15"/>
          <w:w w:val="110"/>
        </w:rPr>
        <w:t> </w:t>
      </w:r>
      <w:r>
        <w:rPr>
          <w:color w:val="231F20"/>
          <w:w w:val="110"/>
        </w:rPr>
        <w:t>del</w:t>
      </w:r>
      <w:r>
        <w:rPr>
          <w:color w:val="231F20"/>
          <w:spacing w:val="-15"/>
          <w:w w:val="110"/>
        </w:rPr>
        <w:t> </w:t>
      </w:r>
      <w:r>
        <w:rPr>
          <w:color w:val="231F20"/>
          <w:w w:val="110"/>
        </w:rPr>
        <w:t>siglo</w:t>
      </w:r>
      <w:r>
        <w:rPr>
          <w:color w:val="231F20"/>
          <w:spacing w:val="-15"/>
          <w:w w:val="110"/>
        </w:rPr>
        <w:t> </w:t>
      </w:r>
      <w:r>
        <w:rPr>
          <w:color w:val="231F20"/>
          <w:w w:val="110"/>
        </w:rPr>
        <w:t>pasado</w:t>
      </w:r>
      <w:r>
        <w:rPr>
          <w:color w:val="231F20"/>
          <w:spacing w:val="-15"/>
          <w:w w:val="110"/>
        </w:rPr>
        <w:t> </w:t>
      </w:r>
      <w:r>
        <w:rPr>
          <w:color w:val="231F20"/>
          <w:w w:val="110"/>
        </w:rPr>
        <w:t>hasta</w:t>
      </w:r>
      <w:r>
        <w:rPr>
          <w:color w:val="231F20"/>
          <w:spacing w:val="-15"/>
          <w:w w:val="110"/>
        </w:rPr>
        <w:t> </w:t>
      </w:r>
      <w:r>
        <w:rPr>
          <w:color w:val="231F20"/>
          <w:w w:val="110"/>
        </w:rPr>
        <w:t>inicios</w:t>
      </w:r>
      <w:r>
        <w:rPr>
          <w:color w:val="231F20"/>
          <w:spacing w:val="-15"/>
          <w:w w:val="110"/>
        </w:rPr>
        <w:t> </w:t>
      </w:r>
      <w:r>
        <w:rPr>
          <w:color w:val="231F20"/>
          <w:w w:val="110"/>
        </w:rPr>
        <w:t>del</w:t>
      </w:r>
      <w:r>
        <w:rPr>
          <w:color w:val="231F20"/>
          <w:spacing w:val="-15"/>
          <w:w w:val="110"/>
        </w:rPr>
        <w:t> </w:t>
      </w:r>
      <w:r>
        <w:rPr>
          <w:color w:val="231F20"/>
          <w:w w:val="110"/>
        </w:rPr>
        <w:t>presente</w:t>
      </w:r>
      <w:r>
        <w:rPr>
          <w:color w:val="231F20"/>
          <w:spacing w:val="-15"/>
          <w:w w:val="110"/>
        </w:rPr>
        <w:t> </w:t>
      </w:r>
      <w:r>
        <w:rPr>
          <w:color w:val="231F20"/>
          <w:w w:val="110"/>
        </w:rPr>
        <w:t>(véase</w:t>
      </w:r>
      <w:r>
        <w:rPr>
          <w:color w:val="231F20"/>
          <w:spacing w:val="-15"/>
          <w:w w:val="110"/>
        </w:rPr>
        <w:t> </w:t>
      </w:r>
      <w:r>
        <w:rPr>
          <w:color w:val="231F20"/>
          <w:w w:val="110"/>
        </w:rPr>
        <w:t>gráfica</w:t>
      </w:r>
      <w:r>
        <w:rPr>
          <w:color w:val="231F20"/>
          <w:spacing w:val="-15"/>
          <w:w w:val="110"/>
        </w:rPr>
        <w:t> </w:t>
      </w:r>
      <w:r>
        <w:rPr>
          <w:color w:val="231F20"/>
          <w:w w:val="110"/>
        </w:rPr>
        <w:t>1).</w:t>
      </w:r>
      <w:r>
        <w:rPr>
          <w:color w:val="231F20"/>
          <w:spacing w:val="-15"/>
          <w:w w:val="110"/>
        </w:rPr>
        <w:t> </w:t>
      </w:r>
      <w:r>
        <w:rPr>
          <w:color w:val="231F20"/>
          <w:w w:val="110"/>
        </w:rPr>
        <w:t>A</w:t>
      </w:r>
      <w:r>
        <w:rPr>
          <w:color w:val="231F20"/>
          <w:spacing w:val="-15"/>
          <w:w w:val="110"/>
        </w:rPr>
        <w:t> </w:t>
      </w:r>
      <w:r>
        <w:rPr>
          <w:color w:val="231F20"/>
          <w:w w:val="110"/>
        </w:rPr>
        <w:t>media- dos</w:t>
      </w:r>
      <w:r>
        <w:rPr>
          <w:color w:val="231F20"/>
          <w:spacing w:val="-21"/>
          <w:w w:val="110"/>
        </w:rPr>
        <w:t> </w:t>
      </w:r>
      <w:r>
        <w:rPr>
          <w:color w:val="231F20"/>
          <w:w w:val="110"/>
        </w:rPr>
        <w:t>del</w:t>
      </w:r>
      <w:r>
        <w:rPr>
          <w:color w:val="231F20"/>
          <w:spacing w:val="-21"/>
          <w:w w:val="110"/>
        </w:rPr>
        <w:t> </w:t>
      </w:r>
      <w:r>
        <w:rPr>
          <w:color w:val="231F20"/>
          <w:w w:val="110"/>
        </w:rPr>
        <w:t>siglo</w:t>
      </w:r>
      <w:r>
        <w:rPr>
          <w:color w:val="231F20"/>
          <w:spacing w:val="-21"/>
          <w:w w:val="110"/>
        </w:rPr>
        <w:t> </w:t>
      </w:r>
      <w:r>
        <w:rPr>
          <w:rFonts w:ascii="Times New Roman" w:hAnsi="Times New Roman"/>
          <w:color w:val="231F20"/>
          <w:w w:val="110"/>
          <w:sz w:val="16"/>
        </w:rPr>
        <w:t>XX</w:t>
      </w:r>
      <w:r>
        <w:rPr>
          <w:rFonts w:ascii="Times New Roman" w:hAnsi="Times New Roman"/>
          <w:color w:val="231F20"/>
          <w:spacing w:val="-16"/>
          <w:w w:val="110"/>
          <w:sz w:val="16"/>
        </w:rPr>
        <w:t> </w:t>
      </w:r>
      <w:r>
        <w:rPr>
          <w:color w:val="231F20"/>
          <w:w w:val="110"/>
        </w:rPr>
        <w:t>la</w:t>
      </w:r>
      <w:r>
        <w:rPr>
          <w:color w:val="231F20"/>
          <w:spacing w:val="-21"/>
          <w:w w:val="110"/>
        </w:rPr>
        <w:t> </w:t>
      </w:r>
      <w:r>
        <w:rPr>
          <w:color w:val="231F20"/>
          <w:w w:val="110"/>
        </w:rPr>
        <w:t>población</w:t>
      </w:r>
      <w:r>
        <w:rPr>
          <w:color w:val="231F20"/>
          <w:spacing w:val="-21"/>
          <w:w w:val="110"/>
        </w:rPr>
        <w:t> </w:t>
      </w:r>
      <w:r>
        <w:rPr>
          <w:color w:val="231F20"/>
          <w:w w:val="110"/>
        </w:rPr>
        <w:t>soltera</w:t>
      </w:r>
      <w:r>
        <w:rPr>
          <w:color w:val="231F20"/>
          <w:spacing w:val="-21"/>
          <w:w w:val="110"/>
        </w:rPr>
        <w:t> </w:t>
      </w:r>
      <w:r>
        <w:rPr>
          <w:color w:val="231F20"/>
          <w:w w:val="110"/>
        </w:rPr>
        <w:t>representaba</w:t>
      </w:r>
      <w:r>
        <w:rPr>
          <w:color w:val="231F20"/>
          <w:spacing w:val="-21"/>
          <w:w w:val="110"/>
        </w:rPr>
        <w:t> </w:t>
      </w:r>
      <w:r>
        <w:rPr>
          <w:color w:val="231F20"/>
          <w:w w:val="110"/>
        </w:rPr>
        <w:t>alrededor</w:t>
      </w:r>
      <w:r>
        <w:rPr>
          <w:color w:val="231F20"/>
          <w:spacing w:val="-21"/>
          <w:w w:val="110"/>
        </w:rPr>
        <w:t> </w:t>
      </w:r>
      <w:r>
        <w:rPr>
          <w:color w:val="231F20"/>
          <w:w w:val="110"/>
        </w:rPr>
        <w:t>de</w:t>
      </w:r>
      <w:r>
        <w:rPr>
          <w:color w:val="231F20"/>
          <w:spacing w:val="-21"/>
          <w:w w:val="110"/>
        </w:rPr>
        <w:t> </w:t>
      </w:r>
      <w:r>
        <w:rPr>
          <w:color w:val="231F20"/>
          <w:w w:val="110"/>
        </w:rPr>
        <w:t>27</w:t>
      </w:r>
      <w:r>
        <w:rPr>
          <w:color w:val="231F20"/>
          <w:spacing w:val="-21"/>
          <w:w w:val="110"/>
        </w:rPr>
        <w:t> </w:t>
      </w:r>
      <w:r>
        <w:rPr>
          <w:color w:val="231F20"/>
          <w:w w:val="110"/>
        </w:rPr>
        <w:t>por</w:t>
      </w:r>
      <w:r>
        <w:rPr>
          <w:color w:val="231F20"/>
          <w:spacing w:val="-21"/>
          <w:w w:val="110"/>
        </w:rPr>
        <w:t> </w:t>
      </w:r>
      <w:r>
        <w:rPr>
          <w:color w:val="231F20"/>
          <w:w w:val="110"/>
        </w:rPr>
        <w:t>ciento y en </w:t>
      </w:r>
      <w:r>
        <w:rPr>
          <w:color w:val="231F20"/>
          <w:spacing w:val="-3"/>
          <w:w w:val="110"/>
        </w:rPr>
        <w:t>las </w:t>
      </w:r>
      <w:r>
        <w:rPr>
          <w:color w:val="231F20"/>
          <w:spacing w:val="-4"/>
          <w:w w:val="110"/>
        </w:rPr>
        <w:t>décadas siguientes observamos </w:t>
      </w:r>
      <w:r>
        <w:rPr>
          <w:color w:val="231F20"/>
          <w:w w:val="110"/>
        </w:rPr>
        <w:t>un </w:t>
      </w:r>
      <w:r>
        <w:rPr>
          <w:color w:val="231F20"/>
          <w:spacing w:val="-4"/>
          <w:w w:val="110"/>
        </w:rPr>
        <w:t>aumento importante, pasando </w:t>
      </w:r>
      <w:r>
        <w:rPr>
          <w:color w:val="231F20"/>
          <w:spacing w:val="-1"/>
          <w:w w:val="110"/>
        </w:rPr>
        <w:t> </w:t>
      </w:r>
      <w:r>
        <w:rPr>
          <w:color w:val="231F20"/>
          <w:w w:val="110"/>
        </w:rPr>
        <w:t>de</w:t>
      </w:r>
    </w:p>
    <w:p>
      <w:pPr>
        <w:pStyle w:val="BodyText"/>
        <w:spacing w:line="288" w:lineRule="auto"/>
        <w:ind w:left="124" w:right="115"/>
        <w:jc w:val="both"/>
      </w:pPr>
      <w:r>
        <w:rPr>
          <w:color w:val="231F20"/>
          <w:w w:val="110"/>
        </w:rPr>
        <w:t>40.4 por ciento en 1970, a 40.6 por ciento en 1990 y 34.9 por ciento para 2010, para finalmente descender en los dos últimos años  considerados.</w:t>
      </w:r>
    </w:p>
    <w:p>
      <w:pPr>
        <w:pStyle w:val="BodyText"/>
        <w:spacing w:line="288" w:lineRule="auto"/>
        <w:ind w:left="124" w:right="112" w:firstLine="360"/>
        <w:jc w:val="both"/>
      </w:pPr>
      <w:r>
        <w:rPr>
          <w:color w:val="231F20"/>
          <w:w w:val="110"/>
        </w:rPr>
        <w:t>De manera particular, sumando la proporción de personas casadas, sólo por lo civil, sólo religiosamente y por ambos, vemos que a mediados del siglo pasado éstas representaban casi una de cada dos personas (47.8 por ciento), cifra que permaneció estable durante los últimos cincuenta años del siglo pasado; para la primera década del presente siglo muestra una</w:t>
      </w:r>
      <w:r>
        <w:rPr>
          <w:color w:val="231F20"/>
          <w:spacing w:val="-6"/>
          <w:w w:val="110"/>
        </w:rPr>
        <w:t> </w:t>
      </w:r>
      <w:r>
        <w:rPr>
          <w:color w:val="231F20"/>
          <w:w w:val="110"/>
        </w:rPr>
        <w:t>disminución</w:t>
      </w:r>
      <w:r>
        <w:rPr>
          <w:color w:val="231F20"/>
          <w:spacing w:val="-6"/>
          <w:w w:val="110"/>
        </w:rPr>
        <w:t> </w:t>
      </w:r>
      <w:r>
        <w:rPr>
          <w:color w:val="231F20"/>
          <w:w w:val="110"/>
        </w:rPr>
        <w:t>importante</w:t>
      </w:r>
      <w:r>
        <w:rPr>
          <w:color w:val="231F20"/>
          <w:spacing w:val="-6"/>
          <w:w w:val="110"/>
        </w:rPr>
        <w:t> </w:t>
      </w:r>
      <w:r>
        <w:rPr>
          <w:color w:val="231F20"/>
          <w:w w:val="110"/>
        </w:rPr>
        <w:t>de</w:t>
      </w:r>
      <w:r>
        <w:rPr>
          <w:color w:val="231F20"/>
          <w:spacing w:val="-6"/>
          <w:w w:val="110"/>
        </w:rPr>
        <w:t> </w:t>
      </w:r>
      <w:r>
        <w:rPr>
          <w:color w:val="231F20"/>
          <w:w w:val="110"/>
        </w:rPr>
        <w:t>alrededor</w:t>
      </w:r>
      <w:r>
        <w:rPr>
          <w:color w:val="231F20"/>
          <w:spacing w:val="-6"/>
          <w:w w:val="110"/>
        </w:rPr>
        <w:t> </w:t>
      </w:r>
      <w:r>
        <w:rPr>
          <w:color w:val="231F20"/>
          <w:w w:val="110"/>
        </w:rPr>
        <w:t>de</w:t>
      </w:r>
      <w:r>
        <w:rPr>
          <w:color w:val="231F20"/>
          <w:spacing w:val="-6"/>
          <w:w w:val="110"/>
        </w:rPr>
        <w:t> </w:t>
      </w:r>
      <w:r>
        <w:rPr>
          <w:color w:val="231F20"/>
          <w:w w:val="110"/>
        </w:rPr>
        <w:t>7</w:t>
      </w:r>
      <w:r>
        <w:rPr>
          <w:color w:val="231F20"/>
          <w:spacing w:val="-6"/>
          <w:w w:val="110"/>
        </w:rPr>
        <w:t> </w:t>
      </w:r>
      <w:r>
        <w:rPr>
          <w:color w:val="231F20"/>
          <w:w w:val="110"/>
        </w:rPr>
        <w:t>puntos</w:t>
      </w:r>
      <w:r>
        <w:rPr>
          <w:color w:val="231F20"/>
          <w:spacing w:val="-6"/>
          <w:w w:val="110"/>
        </w:rPr>
        <w:t> </w:t>
      </w:r>
      <w:r>
        <w:rPr>
          <w:color w:val="231F20"/>
          <w:w w:val="110"/>
        </w:rPr>
        <w:t>porcentuales,</w:t>
      </w:r>
      <w:r>
        <w:rPr>
          <w:color w:val="231F20"/>
          <w:spacing w:val="-6"/>
          <w:w w:val="110"/>
        </w:rPr>
        <w:t> </w:t>
      </w:r>
      <w:r>
        <w:rPr>
          <w:color w:val="231F20"/>
          <w:w w:val="110"/>
        </w:rPr>
        <w:t>alcan- zando en 2010 una proporción de casi 40 por ciento que indica que las personas en ese periodo están dejando de formar parejas con sanción re- ligiosa o civil. Por su parte, la unión libre experimentó el declive de su im- portancia</w:t>
      </w:r>
      <w:r>
        <w:rPr>
          <w:color w:val="231F20"/>
          <w:spacing w:val="-5"/>
          <w:w w:val="110"/>
        </w:rPr>
        <w:t> </w:t>
      </w:r>
      <w:r>
        <w:rPr>
          <w:color w:val="231F20"/>
          <w:w w:val="110"/>
        </w:rPr>
        <w:t>relativa</w:t>
      </w:r>
      <w:r>
        <w:rPr>
          <w:color w:val="231F20"/>
          <w:spacing w:val="-5"/>
          <w:w w:val="110"/>
        </w:rPr>
        <w:t> </w:t>
      </w:r>
      <w:r>
        <w:rPr>
          <w:color w:val="231F20"/>
          <w:w w:val="110"/>
        </w:rPr>
        <w:t>entre</w:t>
      </w:r>
      <w:r>
        <w:rPr>
          <w:color w:val="231F20"/>
          <w:spacing w:val="-5"/>
          <w:w w:val="110"/>
        </w:rPr>
        <w:t> </w:t>
      </w:r>
      <w:r>
        <w:rPr>
          <w:color w:val="231F20"/>
          <w:w w:val="110"/>
        </w:rPr>
        <w:t>1950</w:t>
      </w:r>
      <w:r>
        <w:rPr>
          <w:color w:val="231F20"/>
          <w:spacing w:val="-5"/>
          <w:w w:val="110"/>
        </w:rPr>
        <w:t> </w:t>
      </w:r>
      <w:r>
        <w:rPr>
          <w:color w:val="231F20"/>
          <w:w w:val="110"/>
        </w:rPr>
        <w:t>y</w:t>
      </w:r>
      <w:r>
        <w:rPr>
          <w:color w:val="231F20"/>
          <w:spacing w:val="-5"/>
          <w:w w:val="110"/>
        </w:rPr>
        <w:t> </w:t>
      </w:r>
      <w:r>
        <w:rPr>
          <w:color w:val="231F20"/>
          <w:w w:val="110"/>
        </w:rPr>
        <w:t>1990,</w:t>
      </w:r>
      <w:r>
        <w:rPr>
          <w:color w:val="231F20"/>
          <w:spacing w:val="-5"/>
          <w:w w:val="110"/>
        </w:rPr>
        <w:t> </w:t>
      </w:r>
      <w:r>
        <w:rPr>
          <w:color w:val="231F20"/>
          <w:w w:val="110"/>
        </w:rPr>
        <w:t>pero</w:t>
      </w:r>
      <w:r>
        <w:rPr>
          <w:color w:val="231F20"/>
          <w:spacing w:val="-5"/>
          <w:w w:val="110"/>
        </w:rPr>
        <w:t> </w:t>
      </w:r>
      <w:r>
        <w:rPr>
          <w:color w:val="231F20"/>
          <w:w w:val="110"/>
        </w:rPr>
        <w:t>esta</w:t>
      </w:r>
      <w:r>
        <w:rPr>
          <w:color w:val="231F20"/>
          <w:spacing w:val="-5"/>
          <w:w w:val="110"/>
        </w:rPr>
        <w:t> </w:t>
      </w:r>
      <w:r>
        <w:rPr>
          <w:color w:val="231F20"/>
          <w:w w:val="110"/>
        </w:rPr>
        <w:t>tendencia</w:t>
      </w:r>
      <w:r>
        <w:rPr>
          <w:color w:val="231F20"/>
          <w:spacing w:val="-5"/>
          <w:w w:val="110"/>
        </w:rPr>
        <w:t> </w:t>
      </w:r>
      <w:r>
        <w:rPr>
          <w:color w:val="231F20"/>
          <w:w w:val="110"/>
        </w:rPr>
        <w:t>se</w:t>
      </w:r>
      <w:r>
        <w:rPr>
          <w:color w:val="231F20"/>
          <w:spacing w:val="-5"/>
          <w:w w:val="110"/>
        </w:rPr>
        <w:t> </w:t>
      </w:r>
      <w:r>
        <w:rPr>
          <w:color w:val="231F20"/>
          <w:w w:val="110"/>
        </w:rPr>
        <w:t>revirtió</w:t>
      </w:r>
      <w:r>
        <w:rPr>
          <w:color w:val="231F20"/>
          <w:spacing w:val="-5"/>
          <w:w w:val="110"/>
        </w:rPr>
        <w:t> </w:t>
      </w:r>
      <w:r>
        <w:rPr>
          <w:color w:val="231F20"/>
          <w:w w:val="110"/>
        </w:rPr>
        <w:t>desde la última década del siglo pasado hasta 2010. </w:t>
      </w:r>
      <w:r>
        <w:rPr>
          <w:color w:val="231F20"/>
          <w:spacing w:val="-6"/>
          <w:w w:val="110"/>
        </w:rPr>
        <w:t>Vale </w:t>
      </w:r>
      <w:r>
        <w:rPr>
          <w:color w:val="231F20"/>
          <w:w w:val="110"/>
        </w:rPr>
        <w:t>señalar que, entre </w:t>
      </w:r>
      <w:r>
        <w:rPr>
          <w:color w:val="231F20"/>
          <w:spacing w:val="35"/>
          <w:w w:val="110"/>
        </w:rPr>
        <w:t> </w:t>
      </w:r>
      <w:r>
        <w:rPr>
          <w:color w:val="231F20"/>
          <w:w w:val="110"/>
        </w:rPr>
        <w:t>su</w:t>
      </w:r>
    </w:p>
    <w:p>
      <w:pPr>
        <w:spacing w:after="0" w:line="288" w:lineRule="auto"/>
        <w:jc w:val="both"/>
        <w:sectPr>
          <w:footerReference w:type="even" r:id="rId37"/>
          <w:footerReference w:type="default" r:id="rId38"/>
          <w:pgSz w:w="9520" w:h="12920"/>
          <w:pgMar w:footer="1344" w:header="0" w:top="880" w:bottom="1540" w:left="1320" w:right="1000"/>
          <w:pgNumType w:start="60"/>
        </w:sectPr>
      </w:pPr>
    </w:p>
    <w:p>
      <w:pPr>
        <w:spacing w:line="185" w:lineRule="exact" w:before="65"/>
        <w:ind w:left="1389" w:right="1407" w:firstLine="0"/>
        <w:jc w:val="center"/>
        <w:rPr>
          <w:sz w:val="16"/>
        </w:rPr>
      </w:pPr>
      <w:r>
        <w:rPr>
          <w:color w:val="231F20"/>
          <w:w w:val="105"/>
          <w:sz w:val="16"/>
        </w:rPr>
        <w:t>Gráfica 1</w:t>
      </w:r>
    </w:p>
    <w:p>
      <w:pPr>
        <w:spacing w:line="210" w:lineRule="exact" w:before="9"/>
        <w:ind w:left="1633" w:right="1639" w:firstLine="124"/>
        <w:jc w:val="left"/>
        <w:rPr>
          <w:sz w:val="19"/>
        </w:rPr>
      </w:pPr>
      <w:r>
        <w:rPr>
          <w:color w:val="231F20"/>
          <w:w w:val="90"/>
          <w:sz w:val="19"/>
        </w:rPr>
        <w:t>Distribución porcentual de la población de 12 años y</w:t>
      </w:r>
      <w:r>
        <w:rPr>
          <w:color w:val="231F20"/>
          <w:spacing w:val="-7"/>
          <w:w w:val="90"/>
          <w:sz w:val="19"/>
        </w:rPr>
        <w:t> </w:t>
      </w:r>
      <w:r>
        <w:rPr>
          <w:color w:val="231F20"/>
          <w:w w:val="90"/>
          <w:sz w:val="19"/>
        </w:rPr>
        <w:t>más</w:t>
      </w:r>
      <w:r>
        <w:rPr>
          <w:color w:val="231F20"/>
          <w:spacing w:val="-7"/>
          <w:w w:val="90"/>
          <w:sz w:val="19"/>
        </w:rPr>
        <w:t> </w:t>
      </w:r>
      <w:r>
        <w:rPr>
          <w:color w:val="231F20"/>
          <w:w w:val="90"/>
          <w:sz w:val="19"/>
        </w:rPr>
        <w:t>por</w:t>
      </w:r>
      <w:r>
        <w:rPr>
          <w:color w:val="231F20"/>
          <w:spacing w:val="-7"/>
          <w:w w:val="90"/>
          <w:sz w:val="19"/>
        </w:rPr>
        <w:t> </w:t>
      </w:r>
      <w:r>
        <w:rPr>
          <w:color w:val="231F20"/>
          <w:w w:val="90"/>
          <w:sz w:val="19"/>
        </w:rPr>
        <w:t>situación</w:t>
      </w:r>
      <w:r>
        <w:rPr>
          <w:color w:val="231F20"/>
          <w:spacing w:val="-7"/>
          <w:w w:val="90"/>
          <w:sz w:val="19"/>
        </w:rPr>
        <w:t> </w:t>
      </w:r>
      <w:r>
        <w:rPr>
          <w:color w:val="231F20"/>
          <w:w w:val="90"/>
          <w:sz w:val="19"/>
        </w:rPr>
        <w:t>conyugal</w:t>
      </w:r>
      <w:r>
        <w:rPr>
          <w:color w:val="231F20"/>
          <w:spacing w:val="-7"/>
          <w:w w:val="90"/>
          <w:sz w:val="19"/>
        </w:rPr>
        <w:t> </w:t>
      </w:r>
      <w:r>
        <w:rPr>
          <w:color w:val="231F20"/>
          <w:w w:val="90"/>
          <w:sz w:val="19"/>
        </w:rPr>
        <w:t>de</w:t>
      </w:r>
      <w:r>
        <w:rPr>
          <w:color w:val="231F20"/>
          <w:spacing w:val="-7"/>
          <w:w w:val="90"/>
          <w:sz w:val="19"/>
        </w:rPr>
        <w:t> </w:t>
      </w:r>
      <w:r>
        <w:rPr>
          <w:color w:val="231F20"/>
          <w:w w:val="90"/>
          <w:sz w:val="19"/>
        </w:rPr>
        <w:t>1950</w:t>
      </w:r>
      <w:r>
        <w:rPr>
          <w:color w:val="231F20"/>
          <w:spacing w:val="-7"/>
          <w:w w:val="90"/>
          <w:sz w:val="19"/>
        </w:rPr>
        <w:t> </w:t>
      </w:r>
      <w:r>
        <w:rPr>
          <w:color w:val="231F20"/>
          <w:w w:val="90"/>
          <w:sz w:val="19"/>
        </w:rPr>
        <w:t>a</w:t>
      </w:r>
      <w:r>
        <w:rPr>
          <w:color w:val="231F20"/>
          <w:spacing w:val="-7"/>
          <w:w w:val="90"/>
          <w:sz w:val="19"/>
        </w:rPr>
        <w:t> </w:t>
      </w:r>
      <w:r>
        <w:rPr>
          <w:color w:val="231F20"/>
          <w:w w:val="90"/>
          <w:sz w:val="19"/>
        </w:rPr>
        <w:t>2010.</w:t>
      </w:r>
      <w:r>
        <w:rPr>
          <w:color w:val="231F20"/>
          <w:spacing w:val="-7"/>
          <w:w w:val="90"/>
          <w:sz w:val="19"/>
        </w:rPr>
        <w:t> </w:t>
      </w:r>
      <w:r>
        <w:rPr>
          <w:color w:val="231F20"/>
          <w:w w:val="90"/>
          <w:sz w:val="19"/>
        </w:rPr>
        <w:t>México*</w:t>
      </w:r>
    </w:p>
    <w:p>
      <w:pPr>
        <w:pStyle w:val="BodyText"/>
        <w:spacing w:before="8"/>
        <w:rPr>
          <w:sz w:val="12"/>
        </w:rPr>
      </w:pPr>
    </w:p>
    <w:p>
      <w:pPr>
        <w:spacing w:before="83"/>
        <w:ind w:left="776" w:right="0" w:firstLine="0"/>
        <w:jc w:val="left"/>
        <w:rPr>
          <w:sz w:val="12"/>
        </w:rPr>
      </w:pPr>
      <w:r>
        <w:rPr/>
        <w:pict>
          <v:group style="position:absolute;margin-left:97.230003pt;margin-top:8.192301pt;width:270.9pt;height:135.5pt;mso-position-horizontal-relative:page;mso-position-vertical-relative:paragraph;z-index:1096" coordorigin="1945,164" coordsize="5418,2710">
            <v:line style="position:absolute" from="2891,2821" to="2891,2856" stroked="true" strokeweight=".25pt" strokecolor="#231f20"/>
            <v:rect style="position:absolute;left:2893;top:1160;width:148;height:1662" filled="true" fillcolor="#939598" stroked="false">
              <v:fill type="solid"/>
            </v:rect>
            <v:rect style="position:absolute;left:3041;top:855;width:148;height:1966" filled="true" fillcolor="#58595b" stroked="false">
              <v:fill type="solid"/>
            </v:rect>
            <v:rect style="position:absolute;left:3188;top:2451;width:148;height:370" filled="true" fillcolor="#d1d3d4" stroked="false">
              <v:fill type="solid"/>
            </v:rect>
            <v:shape style="position:absolute;left:2596;top:2794;width:148;height:27" type="#_x0000_t75" stroked="false">
              <v:imagedata r:id="rId39" o:title=""/>
            </v:shape>
            <v:rect style="position:absolute;left:2596;top:2794;width:148;height:27" filled="false" stroked="true" strokeweight=".25pt" strokecolor="#231f20"/>
            <v:shape style="position:absolute;left:2743;top:2500;width:148;height:321" type="#_x0000_t75" stroked="false">
              <v:imagedata r:id="rId40" o:title=""/>
            </v:shape>
            <v:shape style="position:absolute;left:2743;top:2500;width:1036;height:357" coordorigin="2743,2500" coordsize="1036,357" path="m2743,2821l2891,2821,2891,2500,2743,2500,2743,2821xm3778,2821l3778,2856e" filled="false" stroked="true" strokeweight=".25pt" strokecolor="#231f20">
              <v:path arrowok="t"/>
            </v:shape>
            <v:rect style="position:absolute;left:3781;top:1034;width:148;height:1787" filled="true" fillcolor="#939598" stroked="false">
              <v:fill type="solid"/>
            </v:rect>
            <v:rect style="position:absolute;left:3928;top:812;width:148;height:2009" filled="true" fillcolor="#58595b" stroked="false">
              <v:fill type="solid"/>
            </v:rect>
            <v:rect style="position:absolute;left:4076;top:2466;width:148;height:355" filled="true" fillcolor="#d1d3d4" stroked="false">
              <v:fill type="solid"/>
            </v:rect>
            <v:shape style="position:absolute;left:3483;top:2794;width:148;height:27" type="#_x0000_t75" stroked="false">
              <v:imagedata r:id="rId41" o:title=""/>
            </v:shape>
            <v:rect style="position:absolute;left:3483;top:2794;width:148;height:27" filled="false" stroked="true" strokeweight=".25pt" strokecolor="#231f20"/>
            <v:shape style="position:absolute;left:3631;top:2564;width:148;height:258" type="#_x0000_t75" stroked="false">
              <v:imagedata r:id="rId42" o:title=""/>
            </v:shape>
            <v:shape style="position:absolute;left:3631;top:2564;width:1043;height:293" coordorigin="3631,2564" coordsize="1043,293" path="m3631,2821l3778,2821,3778,2564,3631,2564,3631,2821xm4674,2821l4674,2856e" filled="false" stroked="true" strokeweight=".25pt" strokecolor="#231f20">
              <v:path arrowok="t"/>
            </v:shape>
            <v:rect style="position:absolute;left:4676;top:1034;width:148;height:1787" filled="true" fillcolor="#939598" stroked="false">
              <v:fill type="solid"/>
            </v:rect>
            <v:rect style="position:absolute;left:4823;top:795;width:148;height:2027" filled="true" fillcolor="#58595b" stroked="false">
              <v:fill type="solid"/>
            </v:rect>
            <v:rect style="position:absolute;left:4971;top:2499;width:148;height:323" filled="true" fillcolor="#d1d3d4" stroked="false">
              <v:fill type="solid"/>
            </v:rect>
            <v:shape style="position:absolute;left:4373;top:2792;width:153;height:27" type="#_x0000_t75" stroked="false">
              <v:imagedata r:id="rId43" o:title=""/>
            </v:shape>
            <v:rect style="position:absolute;left:4373;top:2792;width:153;height:27" filled="false" stroked="true" strokeweight=".25pt" strokecolor="#231f20"/>
            <v:shape style="position:absolute;left:4526;top:2643;width:148;height:176" type="#_x0000_t75" stroked="false">
              <v:imagedata r:id="rId44" o:title=""/>
            </v:shape>
            <v:rect style="position:absolute;left:4526;top:2643;width:148;height:176" filled="false" stroked="true" strokeweight=".25pt" strokecolor="#231f20"/>
            <v:shape style="position:absolute;left:4225;top:2751;width:148;height:69" type="#_x0000_t75" stroked="false">
              <v:imagedata r:id="rId45" o:title=""/>
            </v:shape>
            <v:shape style="position:absolute;left:4225;top:2751;width:1332;height:106" coordorigin="4225,2751" coordsize="1332,106" path="m4225,2821l4373,2821,4373,2751,4225,2751,4225,2821xm5556,2821l5556,2856e" filled="false" stroked="true" strokeweight=".25pt" strokecolor="#231f20">
              <v:path arrowok="t"/>
            </v:shape>
            <v:rect style="position:absolute;left:5558;top:1184;width:148;height:1637" filled="true" fillcolor="#939598" stroked="false">
              <v:fill type="solid"/>
            </v:rect>
            <v:rect style="position:absolute;left:5706;top:855;width:148;height:1966" filled="true" fillcolor="#58595b" stroked="false">
              <v:fill type="solid"/>
            </v:rect>
            <v:rect style="position:absolute;left:5853;top:2367;width:148;height:454" filled="true" fillcolor="#d1d3d4" stroked="false">
              <v:fill type="solid"/>
            </v:rect>
            <v:shape style="position:absolute;left:5264;top:2787;width:149;height:33" type="#_x0000_t75" stroked="false">
              <v:imagedata r:id="rId46" o:title=""/>
            </v:shape>
            <v:rect style="position:absolute;left:5264;top:2787;width:149;height:33" filled="false" stroked="true" strokeweight=".25pt" strokecolor="#231f20"/>
            <v:shape style="position:absolute;left:5413;top:2665;width:143;height:155" type="#_x0000_t75" stroked="false">
              <v:imagedata r:id="rId47" o:title=""/>
            </v:shape>
            <v:rect style="position:absolute;left:5413;top:2665;width:143;height:155" filled="false" stroked="true" strokeweight=".25pt" strokecolor="#231f20"/>
            <v:shape style="position:absolute;left:5121;top:2760;width:143;height:62" type="#_x0000_t75" stroked="false">
              <v:imagedata r:id="rId48" o:title=""/>
            </v:shape>
            <v:shape style="position:absolute;left:5121;top:2760;width:1330;height:97" coordorigin="5121,2760" coordsize="1330,97" path="m5121,2821l5264,2821,5264,2760,5121,2760,5121,2821xm6450,2821l6450,2856e" filled="false" stroked="true" strokeweight=".25pt" strokecolor="#231f20">
              <v:path arrowok="t"/>
            </v:shape>
            <v:rect style="position:absolute;left:6452;top:1282;width:148;height:1539" filled="true" fillcolor="#939598" stroked="false">
              <v:fill type="solid"/>
            </v:rect>
            <v:rect style="position:absolute;left:6600;top:1060;width:148;height:1761" filled="true" fillcolor="#58595b" stroked="false">
              <v:fill type="solid"/>
            </v:rect>
            <v:rect style="position:absolute;left:6747;top:2131;width:148;height:690" filled="true" fillcolor="#d1d3d4" stroked="false">
              <v:fill type="solid"/>
            </v:rect>
            <v:shape style="position:absolute;left:6150;top:2768;width:153;height:52" type="#_x0000_t75" stroked="false">
              <v:imagedata r:id="rId49" o:title=""/>
            </v:shape>
            <v:rect style="position:absolute;left:6150;top:2768;width:153;height:52" filled="false" stroked="true" strokeweight=".25pt" strokecolor="#231f20"/>
            <v:shape style="position:absolute;left:6304;top:2629;width:146;height:191" type="#_x0000_t75" stroked="false">
              <v:imagedata r:id="rId50" o:title=""/>
            </v:shape>
            <v:rect style="position:absolute;left:6304;top:2629;width:146;height:191" filled="false" stroked="true" strokeweight=".25pt" strokecolor="#231f20"/>
            <v:shape style="position:absolute;left:6003;top:2694;width:147;height:127" type="#_x0000_t75" stroked="false">
              <v:imagedata r:id="rId51" o:title=""/>
            </v:shape>
            <v:rect style="position:absolute;left:6003;top:2694;width:147;height:127" filled="false" stroked="true" strokeweight=".25pt" strokecolor="#231f20"/>
            <v:shape style="position:absolute;left:7044;top:2751;width:153;height:68" type="#_x0000_t75" stroked="false">
              <v:imagedata r:id="rId52" o:title=""/>
            </v:shape>
            <v:rect style="position:absolute;left:7044;top:2751;width:153;height:68" filled="false" stroked="true" strokeweight=".25pt" strokecolor="#231f20"/>
            <v:shape style="position:absolute;left:7197;top:2648;width:148;height:171" type="#_x0000_t75" stroked="false">
              <v:imagedata r:id="rId53" o:title=""/>
            </v:shape>
            <v:rect style="position:absolute;left:7197;top:2648;width:148;height:171" filled="false" stroked="true" strokeweight=".25pt" strokecolor="#231f20"/>
            <v:shape style="position:absolute;left:6897;top:2629;width:147;height:192" type="#_x0000_t75" stroked="false">
              <v:imagedata r:id="rId54" o:title=""/>
            </v:shape>
            <v:shape style="position:absolute;left:1962;top:1943;width:5083;height:878" coordorigin="1962,1943" coordsize="5083,878" path="m6897,2821l7044,2821,7044,2629,6897,2629,6897,2821xm2002,2383l1962,2383m2002,1943l1962,1943e" filled="false" stroked="true" strokeweight=".25pt" strokecolor="#231f20">
              <v:path arrowok="t"/>
            </v:shape>
            <v:rect style="position:absolute;left:2002;top:1595;width:148;height:1226" filled="true" fillcolor="#939598" stroked="false">
              <v:fill type="solid"/>
            </v:rect>
            <v:rect style="position:absolute;left:2150;top:707;width:148;height:2114" filled="true" fillcolor="#58595b" stroked="false">
              <v:fill type="solid"/>
            </v:rect>
            <v:rect style="position:absolute;left:2297;top:2294;width:148;height:528" filled="true" fillcolor="#d1d3d4" stroked="false">
              <v:fill type="solid"/>
            </v:rect>
            <v:shape style="position:absolute;left:1962;top:166;width:40;height:2690" coordorigin="1962,166" coordsize="40,2690" path="m2002,1475l1962,1475m2002,1054l1962,1054m2002,609l1962,609m1962,166l2002,166,2002,2856e" filled="false" stroked="true" strokeweight=".25pt" strokecolor="#231f20">
              <v:path arrowok="t"/>
            </v:shape>
            <v:line style="position:absolute" from="1962,2839" to="7345,2839" stroked="true" strokeweight="1.75pt" strokecolor="#231f20"/>
            <v:shape style="position:absolute;left:2116;top:550;width:236;height:120" type="#_x0000_t202" filled="false" stroked="false">
              <v:textbox inset="0,0,0,0">
                <w:txbxContent>
                  <w:p>
                    <w:pPr>
                      <w:spacing w:line="120" w:lineRule="exact" w:before="0"/>
                      <w:ind w:left="0" w:right="-20" w:firstLine="0"/>
                      <w:jc w:val="left"/>
                      <w:rPr>
                        <w:sz w:val="12"/>
                      </w:rPr>
                    </w:pPr>
                    <w:r>
                      <w:rPr>
                        <w:color w:val="231F20"/>
                        <w:w w:val="105"/>
                        <w:sz w:val="12"/>
                      </w:rPr>
                      <w:t>47.8</w:t>
                    </w:r>
                  </w:p>
                </w:txbxContent>
              </v:textbox>
              <w10:wrap type="none"/>
            </v:shape>
            <w10:wrap type="none"/>
          </v:group>
        </w:pict>
      </w:r>
      <w:r>
        <w:rPr>
          <w:color w:val="231F20"/>
          <w:sz w:val="12"/>
        </w:rPr>
        <w:t>60</w:t>
      </w:r>
    </w:p>
    <w:p>
      <w:pPr>
        <w:pStyle w:val="BodyText"/>
        <w:spacing w:before="9"/>
        <w:rPr>
          <w:sz w:val="18"/>
        </w:rPr>
      </w:pPr>
    </w:p>
    <w:p>
      <w:pPr>
        <w:spacing w:before="83"/>
        <w:ind w:left="776" w:right="0" w:firstLine="0"/>
        <w:jc w:val="left"/>
        <w:rPr>
          <w:sz w:val="12"/>
        </w:rPr>
      </w:pPr>
      <w:r>
        <w:rPr>
          <w:color w:val="231F20"/>
          <w:sz w:val="12"/>
        </w:rPr>
        <w:t>50</w:t>
      </w:r>
    </w:p>
    <w:p>
      <w:pPr>
        <w:pStyle w:val="BodyText"/>
        <w:spacing w:before="7"/>
        <w:rPr>
          <w:sz w:val="18"/>
        </w:rPr>
      </w:pPr>
    </w:p>
    <w:p>
      <w:pPr>
        <w:spacing w:before="83"/>
        <w:ind w:left="776" w:right="0" w:firstLine="0"/>
        <w:jc w:val="left"/>
        <w:rPr>
          <w:sz w:val="12"/>
        </w:rPr>
      </w:pPr>
      <w:r>
        <w:rPr>
          <w:color w:val="231F20"/>
          <w:sz w:val="12"/>
        </w:rPr>
        <w:t>40</w:t>
      </w:r>
    </w:p>
    <w:p>
      <w:pPr>
        <w:pStyle w:val="BodyText"/>
        <w:spacing w:before="9"/>
        <w:rPr>
          <w:sz w:val="18"/>
        </w:rPr>
      </w:pPr>
    </w:p>
    <w:p>
      <w:pPr>
        <w:spacing w:before="83"/>
        <w:ind w:left="776" w:right="0" w:firstLine="0"/>
        <w:jc w:val="left"/>
        <w:rPr>
          <w:sz w:val="12"/>
        </w:rPr>
      </w:pPr>
      <w:r>
        <w:rPr>
          <w:color w:val="231F20"/>
          <w:sz w:val="12"/>
        </w:rPr>
        <w:t>30</w:t>
      </w:r>
    </w:p>
    <w:p>
      <w:pPr>
        <w:pStyle w:val="BodyText"/>
      </w:pPr>
    </w:p>
    <w:p>
      <w:pPr>
        <w:spacing w:before="83"/>
        <w:ind w:left="776" w:right="0" w:firstLine="0"/>
        <w:jc w:val="left"/>
        <w:rPr>
          <w:sz w:val="12"/>
        </w:rPr>
      </w:pPr>
      <w:r>
        <w:rPr>
          <w:color w:val="231F20"/>
          <w:sz w:val="12"/>
        </w:rPr>
        <w:t>20</w:t>
      </w:r>
    </w:p>
    <w:p>
      <w:pPr>
        <w:pStyle w:val="BodyText"/>
        <w:spacing w:before="9"/>
        <w:rPr>
          <w:sz w:val="18"/>
        </w:rPr>
      </w:pPr>
    </w:p>
    <w:p>
      <w:pPr>
        <w:spacing w:before="83"/>
        <w:ind w:left="776" w:right="0" w:firstLine="0"/>
        <w:jc w:val="left"/>
        <w:rPr>
          <w:sz w:val="12"/>
        </w:rPr>
      </w:pPr>
      <w:r>
        <w:rPr>
          <w:color w:val="231F20"/>
          <w:sz w:val="12"/>
        </w:rPr>
        <w:t>10</w:t>
      </w:r>
    </w:p>
    <w:p>
      <w:pPr>
        <w:pStyle w:val="BodyText"/>
        <w:spacing w:before="7"/>
        <w:rPr>
          <w:sz w:val="17"/>
        </w:rPr>
      </w:pPr>
    </w:p>
    <w:p>
      <w:pPr>
        <w:spacing w:after="0"/>
        <w:rPr>
          <w:sz w:val="17"/>
        </w:rPr>
        <w:sectPr>
          <w:pgSz w:w="9520" w:h="12920"/>
          <w:pgMar w:header="0" w:footer="1344" w:top="880" w:bottom="1540" w:left="1020" w:right="1320"/>
        </w:sectPr>
      </w:pPr>
    </w:p>
    <w:p>
      <w:pPr>
        <w:spacing w:before="82"/>
        <w:ind w:left="179" w:right="0" w:firstLine="0"/>
        <w:jc w:val="center"/>
        <w:rPr>
          <w:sz w:val="12"/>
        </w:rPr>
      </w:pPr>
      <w:r>
        <w:rPr>
          <w:color w:val="231F20"/>
          <w:w w:val="102"/>
          <w:sz w:val="12"/>
        </w:rPr>
        <w:t>0</w:t>
      </w:r>
    </w:p>
    <w:p>
      <w:pPr>
        <w:spacing w:before="39"/>
        <w:ind w:left="0" w:right="0" w:firstLine="0"/>
        <w:jc w:val="right"/>
        <w:rPr>
          <w:sz w:val="12"/>
        </w:rPr>
      </w:pPr>
      <w:r>
        <w:rPr>
          <w:color w:val="231F20"/>
          <w:sz w:val="12"/>
        </w:rPr>
        <w:t>1950</w:t>
      </w:r>
    </w:p>
    <w:p>
      <w:pPr>
        <w:pStyle w:val="BodyText"/>
        <w:rPr>
          <w:sz w:val="12"/>
        </w:rPr>
      </w:pPr>
      <w:r>
        <w:rPr/>
        <w:br w:type="column"/>
      </w:r>
      <w:r>
        <w:rPr>
          <w:sz w:val="12"/>
        </w:rPr>
      </w:r>
    </w:p>
    <w:p>
      <w:pPr>
        <w:pStyle w:val="BodyText"/>
        <w:spacing w:before="5"/>
        <w:rPr>
          <w:sz w:val="10"/>
        </w:rPr>
      </w:pPr>
    </w:p>
    <w:p>
      <w:pPr>
        <w:spacing w:before="0"/>
        <w:ind w:left="0" w:right="0" w:firstLine="0"/>
        <w:jc w:val="right"/>
        <w:rPr>
          <w:sz w:val="12"/>
        </w:rPr>
      </w:pPr>
      <w:r>
        <w:rPr/>
        <w:pict>
          <v:line style="position:absolute;mso-position-horizontal-relative:page;mso-position-vertical-relative:paragraph;z-index:1144" from="137.356003pt,15.928377pt" to="140.689003pt,15.928377pt" stroked="true" strokeweight="3.3329pt" strokecolor="#58595b">
            <w10:wrap type="none"/>
          </v:line>
        </w:pict>
      </w:r>
      <w:r>
        <w:rPr>
          <w:color w:val="231F20"/>
          <w:sz w:val="12"/>
        </w:rPr>
        <w:t>1960</w:t>
      </w:r>
    </w:p>
    <w:p>
      <w:pPr>
        <w:pStyle w:val="BodyText"/>
        <w:rPr>
          <w:sz w:val="12"/>
        </w:rPr>
      </w:pPr>
      <w:r>
        <w:rPr/>
        <w:br w:type="column"/>
      </w:r>
      <w:r>
        <w:rPr>
          <w:sz w:val="12"/>
        </w:rPr>
      </w:r>
    </w:p>
    <w:p>
      <w:pPr>
        <w:pStyle w:val="BodyText"/>
        <w:spacing w:before="5"/>
        <w:rPr>
          <w:sz w:val="10"/>
        </w:rPr>
      </w:pPr>
    </w:p>
    <w:p>
      <w:pPr>
        <w:spacing w:before="0"/>
        <w:ind w:left="0" w:right="0" w:firstLine="0"/>
        <w:jc w:val="right"/>
        <w:rPr>
          <w:sz w:val="12"/>
        </w:rPr>
      </w:pPr>
      <w:r>
        <w:rPr/>
        <w:pict>
          <v:line style="position:absolute;mso-position-horizontal-relative:page;mso-position-vertical-relative:paragraph;z-index:1168" from="183.856003pt,15.928377pt" to="187.189003pt,15.928377pt" stroked="true" strokeweight="3.3329pt" strokecolor="#d1d3d4">
            <w10:wrap type="none"/>
          </v:line>
        </w:pict>
      </w:r>
      <w:r>
        <w:rPr>
          <w:color w:val="231F20"/>
          <w:sz w:val="12"/>
        </w:rPr>
        <w:t>1970</w:t>
      </w:r>
    </w:p>
    <w:p>
      <w:pPr>
        <w:pStyle w:val="BodyText"/>
        <w:rPr>
          <w:sz w:val="12"/>
        </w:rPr>
      </w:pPr>
      <w:r>
        <w:rPr/>
        <w:br w:type="column"/>
      </w:r>
      <w:r>
        <w:rPr>
          <w:sz w:val="12"/>
        </w:rPr>
      </w:r>
    </w:p>
    <w:p>
      <w:pPr>
        <w:pStyle w:val="BodyText"/>
        <w:spacing w:before="5"/>
        <w:rPr>
          <w:sz w:val="10"/>
        </w:rPr>
      </w:pPr>
    </w:p>
    <w:p>
      <w:pPr>
        <w:spacing w:before="0"/>
        <w:ind w:left="0" w:right="0" w:firstLine="0"/>
        <w:jc w:val="right"/>
        <w:rPr>
          <w:sz w:val="12"/>
        </w:rPr>
      </w:pPr>
      <w:r>
        <w:rPr/>
        <w:pict>
          <v:group style="position:absolute;margin-left:227.522003pt;margin-top:14.137127pt;width:3.6pt;height:3.6pt;mso-position-horizontal-relative:page;mso-position-vertical-relative:paragraph;z-index:1192" coordorigin="4550,283" coordsize="72,72">
            <v:shape style="position:absolute;left:4553;top:285;width:67;height:67" type="#_x0000_t75" stroked="false">
              <v:imagedata r:id="rId55" o:title=""/>
            </v:shape>
            <v:rect style="position:absolute;left:4553;top:285;width:67;height:67" filled="false" stroked="true" strokeweight=".25pt" strokecolor="#231f20"/>
            <w10:wrap type="none"/>
          </v:group>
        </w:pict>
      </w:r>
      <w:r>
        <w:rPr>
          <w:color w:val="231F20"/>
          <w:sz w:val="12"/>
        </w:rPr>
        <w:t>1990</w:t>
      </w:r>
    </w:p>
    <w:p>
      <w:pPr>
        <w:pStyle w:val="BodyText"/>
        <w:rPr>
          <w:sz w:val="12"/>
        </w:rPr>
      </w:pPr>
      <w:r>
        <w:rPr/>
        <w:br w:type="column"/>
      </w:r>
      <w:r>
        <w:rPr>
          <w:sz w:val="12"/>
        </w:rPr>
      </w:r>
    </w:p>
    <w:p>
      <w:pPr>
        <w:pStyle w:val="BodyText"/>
        <w:spacing w:before="5"/>
        <w:rPr>
          <w:sz w:val="10"/>
        </w:rPr>
      </w:pPr>
    </w:p>
    <w:p>
      <w:pPr>
        <w:spacing w:before="0"/>
        <w:ind w:left="0" w:right="0" w:firstLine="0"/>
        <w:jc w:val="right"/>
        <w:rPr>
          <w:sz w:val="12"/>
        </w:rPr>
      </w:pPr>
      <w:r>
        <w:rPr/>
        <w:pict>
          <v:group style="position:absolute;margin-left:275.459503pt;margin-top:14.137127pt;width:3.6pt;height:3.6pt;mso-position-horizontal-relative:page;mso-position-vertical-relative:paragraph;z-index:1216" coordorigin="5509,283" coordsize="72,72">
            <v:shape style="position:absolute;left:5512;top:285;width:67;height:67" type="#_x0000_t75" stroked="false">
              <v:imagedata r:id="rId56" o:title=""/>
            </v:shape>
            <v:rect style="position:absolute;left:5512;top:285;width:67;height:67" filled="false" stroked="true" strokeweight=".25pt" strokecolor="#231f20"/>
            <w10:wrap type="none"/>
          </v:group>
        </w:pict>
      </w:r>
      <w:r>
        <w:rPr>
          <w:color w:val="231F20"/>
          <w:sz w:val="12"/>
        </w:rPr>
        <w:t>2000</w:t>
      </w:r>
    </w:p>
    <w:p>
      <w:pPr>
        <w:pStyle w:val="BodyText"/>
        <w:rPr>
          <w:sz w:val="12"/>
        </w:rPr>
      </w:pPr>
      <w:r>
        <w:rPr/>
        <w:br w:type="column"/>
      </w:r>
      <w:r>
        <w:rPr>
          <w:sz w:val="12"/>
        </w:rPr>
      </w:r>
    </w:p>
    <w:p>
      <w:pPr>
        <w:pStyle w:val="BodyText"/>
        <w:spacing w:before="5"/>
        <w:rPr>
          <w:sz w:val="10"/>
        </w:rPr>
      </w:pPr>
    </w:p>
    <w:p>
      <w:pPr>
        <w:spacing w:before="0"/>
        <w:ind w:left="577" w:right="0" w:firstLine="0"/>
        <w:jc w:val="left"/>
        <w:rPr>
          <w:sz w:val="12"/>
        </w:rPr>
      </w:pPr>
      <w:r>
        <w:rPr/>
        <w:pict>
          <v:group style="position:absolute;margin-left:324.480499pt;margin-top:14.137127pt;width:3.6pt;height:3.6pt;mso-position-horizontal-relative:page;mso-position-vertical-relative:paragraph;z-index:1240" coordorigin="6490,283" coordsize="72,72">
            <v:shape style="position:absolute;left:6492;top:285;width:67;height:67" type="#_x0000_t75" stroked="false">
              <v:imagedata r:id="rId57" o:title=""/>
            </v:shape>
            <v:rect style="position:absolute;left:6492;top:285;width:67;height:67" filled="false" stroked="true" strokeweight=".25pt" strokecolor="#231f20"/>
            <w10:wrap type="none"/>
          </v:group>
        </w:pict>
      </w:r>
      <w:r>
        <w:rPr>
          <w:color w:val="231F20"/>
          <w:sz w:val="12"/>
        </w:rPr>
        <w:t>2010</w:t>
      </w:r>
    </w:p>
    <w:p>
      <w:pPr>
        <w:spacing w:after="0"/>
        <w:jc w:val="left"/>
        <w:rPr>
          <w:sz w:val="12"/>
        </w:rPr>
        <w:sectPr>
          <w:type w:val="continuous"/>
          <w:pgSz w:w="9520" w:h="12920"/>
          <w:pgMar w:top="0" w:bottom="0" w:left="1020" w:right="1320"/>
          <w:cols w:num="6" w:equalWidth="0">
            <w:col w:w="1578" w:space="40"/>
            <w:col w:w="850" w:space="40"/>
            <w:col w:w="850" w:space="40"/>
            <w:col w:w="850" w:space="40"/>
            <w:col w:w="850" w:space="40"/>
            <w:col w:w="2002"/>
          </w:cols>
        </w:sectPr>
      </w:pPr>
    </w:p>
    <w:p>
      <w:pPr>
        <w:spacing w:before="107"/>
        <w:ind w:left="0" w:right="0" w:firstLine="0"/>
        <w:jc w:val="right"/>
        <w:rPr>
          <w:sz w:val="12"/>
        </w:rPr>
      </w:pPr>
      <w:r>
        <w:rPr/>
        <w:pict>
          <v:line style="position:absolute;mso-position-horizontal-relative:page;mso-position-vertical-relative:paragraph;z-index:1120" from="93.245003pt,8.902340pt" to="96.579003pt,8.902340pt" stroked="true" strokeweight="3.3329pt" strokecolor="#939598">
            <w10:wrap type="none"/>
          </v:line>
        </w:pict>
      </w:r>
      <w:r>
        <w:rPr>
          <w:color w:val="231F20"/>
          <w:w w:val="105"/>
          <w:sz w:val="12"/>
        </w:rPr>
        <w:t>Solteros</w:t>
      </w:r>
    </w:p>
    <w:p>
      <w:pPr>
        <w:spacing w:before="107"/>
        <w:ind w:left="379" w:right="-3" w:firstLine="0"/>
        <w:jc w:val="left"/>
        <w:rPr>
          <w:sz w:val="12"/>
        </w:rPr>
      </w:pPr>
      <w:r>
        <w:rPr/>
        <w:br w:type="column"/>
      </w:r>
      <w:r>
        <w:rPr>
          <w:color w:val="231F20"/>
          <w:w w:val="110"/>
          <w:sz w:val="12"/>
        </w:rPr>
        <w:t>Casados</w:t>
      </w:r>
    </w:p>
    <w:p>
      <w:pPr>
        <w:spacing w:before="107"/>
        <w:ind w:left="408" w:right="-11" w:firstLine="0"/>
        <w:jc w:val="left"/>
        <w:rPr>
          <w:sz w:val="12"/>
        </w:rPr>
      </w:pPr>
      <w:r>
        <w:rPr/>
        <w:br w:type="column"/>
      </w:r>
      <w:r>
        <w:rPr>
          <w:color w:val="231F20"/>
          <w:w w:val="110"/>
          <w:sz w:val="12"/>
        </w:rPr>
        <w:t>Unidos</w:t>
      </w:r>
    </w:p>
    <w:p>
      <w:pPr>
        <w:spacing w:before="107"/>
        <w:ind w:left="431" w:right="-20" w:firstLine="0"/>
        <w:jc w:val="left"/>
        <w:rPr>
          <w:sz w:val="12"/>
        </w:rPr>
      </w:pPr>
      <w:r>
        <w:rPr/>
        <w:br w:type="column"/>
      </w:r>
      <w:r>
        <w:rPr>
          <w:color w:val="231F20"/>
          <w:w w:val="110"/>
          <w:sz w:val="12"/>
        </w:rPr>
        <w:t>Separados</w:t>
      </w:r>
    </w:p>
    <w:p>
      <w:pPr>
        <w:spacing w:before="107"/>
        <w:ind w:left="357" w:right="-20" w:firstLine="0"/>
        <w:jc w:val="left"/>
        <w:rPr>
          <w:sz w:val="12"/>
        </w:rPr>
      </w:pPr>
      <w:r>
        <w:rPr/>
        <w:br w:type="column"/>
      </w:r>
      <w:r>
        <w:rPr>
          <w:color w:val="231F20"/>
          <w:w w:val="110"/>
          <w:sz w:val="12"/>
        </w:rPr>
        <w:t>Divorciados</w:t>
      </w:r>
    </w:p>
    <w:p>
      <w:pPr>
        <w:spacing w:before="107"/>
        <w:ind w:left="270" w:right="0" w:firstLine="0"/>
        <w:jc w:val="left"/>
        <w:rPr>
          <w:sz w:val="12"/>
        </w:rPr>
      </w:pPr>
      <w:r>
        <w:rPr/>
        <w:br w:type="column"/>
      </w:r>
      <w:r>
        <w:rPr>
          <w:color w:val="231F20"/>
          <w:w w:val="110"/>
          <w:sz w:val="12"/>
        </w:rPr>
        <w:t>Viudos</w:t>
      </w:r>
    </w:p>
    <w:p>
      <w:pPr>
        <w:spacing w:after="0"/>
        <w:jc w:val="left"/>
        <w:rPr>
          <w:sz w:val="12"/>
        </w:rPr>
        <w:sectPr>
          <w:type w:val="continuous"/>
          <w:pgSz w:w="9520" w:h="12920"/>
          <w:pgMar w:top="0" w:bottom="0" w:left="1020" w:right="1320"/>
          <w:cols w:num="6" w:equalWidth="0">
            <w:col w:w="1417" w:space="40"/>
            <w:col w:w="856" w:space="40"/>
            <w:col w:w="813" w:space="40"/>
            <w:col w:w="1018" w:space="40"/>
            <w:col w:w="1032" w:space="40"/>
            <w:col w:w="1844"/>
          </w:cols>
        </w:sectPr>
      </w:pPr>
    </w:p>
    <w:p>
      <w:pPr>
        <w:spacing w:line="173" w:lineRule="exact" w:before="81"/>
        <w:ind w:left="460" w:right="0" w:firstLine="0"/>
        <w:jc w:val="left"/>
        <w:rPr>
          <w:sz w:val="15"/>
        </w:rPr>
      </w:pPr>
      <w:r>
        <w:rPr>
          <w:color w:val="231F20"/>
          <w:w w:val="110"/>
          <w:sz w:val="15"/>
        </w:rPr>
        <w:t>* En los años de 1950 y 1960 no hay datos disponibles sobre personas  separadas.</w:t>
      </w:r>
    </w:p>
    <w:p>
      <w:pPr>
        <w:spacing w:line="173" w:lineRule="exact" w:before="0"/>
        <w:ind w:left="100" w:right="119" w:firstLine="0"/>
        <w:jc w:val="right"/>
        <w:rPr>
          <w:sz w:val="15"/>
        </w:rPr>
      </w:pPr>
      <w:r>
        <w:rPr>
          <w:color w:val="231F20"/>
          <w:w w:val="110"/>
          <w:sz w:val="15"/>
        </w:rPr>
        <w:t>Fuente: Elaboración propia con base en Censos de Población y Vivienda de 1950 a 2010, </w:t>
      </w:r>
      <w:r>
        <w:rPr>
          <w:rFonts w:ascii="Times New Roman" w:hAnsi="Times New Roman"/>
          <w:color w:val="231F20"/>
          <w:w w:val="110"/>
          <w:sz w:val="12"/>
        </w:rPr>
        <w:t>INEGI</w:t>
      </w:r>
      <w:r>
        <w:rPr>
          <w:color w:val="231F20"/>
          <w:w w:val="110"/>
          <w:sz w:val="15"/>
        </w:rPr>
        <w:t>.</w:t>
      </w:r>
    </w:p>
    <w:p>
      <w:pPr>
        <w:pStyle w:val="BodyText"/>
        <w:rPr>
          <w:sz w:val="14"/>
        </w:rPr>
      </w:pPr>
    </w:p>
    <w:p>
      <w:pPr>
        <w:pStyle w:val="BodyText"/>
        <w:spacing w:before="8"/>
        <w:rPr>
          <w:sz w:val="14"/>
        </w:rPr>
      </w:pPr>
    </w:p>
    <w:p>
      <w:pPr>
        <w:pStyle w:val="BodyText"/>
        <w:spacing w:line="285" w:lineRule="auto"/>
        <w:ind w:left="100" w:right="116"/>
        <w:jc w:val="both"/>
      </w:pPr>
      <w:r>
        <w:rPr>
          <w:color w:val="231F20"/>
          <w:w w:val="110"/>
        </w:rPr>
        <w:t>punto más bajo, en 1990, y el año 2010, la presencia de uniones libres entre la población de 12 años y más, se duplicó, pasando de 7.4 a 15.7 por ciento. Lo anterior podría deberse a una desinstitucionalización del matri- monio, sugiriendo que los individuos o permanecen solteros o se unen en pareja pero sin un acuerdo matrimonial civil o religioso.</w:t>
      </w:r>
    </w:p>
    <w:p>
      <w:pPr>
        <w:pStyle w:val="BodyText"/>
        <w:spacing w:line="285" w:lineRule="auto" w:before="1"/>
        <w:ind w:left="35" w:right="115" w:firstLine="360"/>
        <w:jc w:val="right"/>
      </w:pPr>
      <w:r>
        <w:rPr>
          <w:color w:val="231F20"/>
          <w:w w:val="110"/>
        </w:rPr>
        <w:t>Las uniones libres no son un fenómeno nuevo ni reciente en nuestro</w:t>
      </w:r>
      <w:r>
        <w:rPr>
          <w:color w:val="231F20"/>
          <w:w w:val="109"/>
        </w:rPr>
        <w:t> </w:t>
      </w:r>
      <w:r>
        <w:rPr>
          <w:color w:val="231F20"/>
          <w:w w:val="110"/>
        </w:rPr>
        <w:t>país. Hasta la década de los años noventas se observó que era común y</w:t>
      </w:r>
      <w:r>
        <w:rPr>
          <w:color w:val="231F20"/>
          <w:w w:val="108"/>
        </w:rPr>
        <w:t> </w:t>
      </w:r>
      <w:r>
        <w:rPr>
          <w:color w:val="231F20"/>
          <w:w w:val="110"/>
        </w:rPr>
        <w:t>que en una proporción importante al cabo de unos años quienes se en-</w:t>
      </w:r>
      <w:r>
        <w:rPr>
          <w:color w:val="231F20"/>
          <w:w w:val="93"/>
        </w:rPr>
        <w:t> </w:t>
      </w:r>
      <w:r>
        <w:rPr>
          <w:color w:val="231F20"/>
          <w:w w:val="110"/>
        </w:rPr>
        <w:t>cuentran en unión libre legalizan su unión. Ésta ha sido una manera acep-</w:t>
      </w:r>
      <w:r>
        <w:rPr>
          <w:color w:val="231F20"/>
          <w:w w:val="93"/>
        </w:rPr>
        <w:t> </w:t>
      </w:r>
      <w:r>
        <w:rPr>
          <w:color w:val="231F20"/>
          <w:w w:val="110"/>
        </w:rPr>
        <w:t>table de formar una pareja, sobre todo entre las personas de bajo nivel</w:t>
      </w:r>
      <w:r>
        <w:rPr>
          <w:color w:val="231F20"/>
          <w:w w:val="101"/>
        </w:rPr>
        <w:t> </w:t>
      </w:r>
      <w:r>
        <w:rPr>
          <w:color w:val="231F20"/>
          <w:w w:val="110"/>
        </w:rPr>
        <w:t>socioeconómico (Quilodrán, 2001 y 2010; Solís y Puga, 2009; Ojeda, 2013).</w:t>
      </w:r>
      <w:r>
        <w:rPr>
          <w:color w:val="231F20"/>
          <w:w w:val="101"/>
        </w:rPr>
        <w:t> </w:t>
      </w:r>
      <w:r>
        <w:rPr>
          <w:color w:val="231F20"/>
          <w:w w:val="110"/>
        </w:rPr>
        <w:t>Como muestran los datos antes comentados, desde finales del siglo</w:t>
      </w:r>
      <w:r>
        <w:rPr>
          <w:color w:val="231F20"/>
          <w:w w:val="108"/>
        </w:rPr>
        <w:t> </w:t>
      </w:r>
      <w:r>
        <w:rPr>
          <w:color w:val="231F20"/>
          <w:w w:val="110"/>
        </w:rPr>
        <w:t>pasado y comienzos de éste el incremento de las uniones consensuales ha</w:t>
      </w:r>
      <w:r>
        <w:rPr>
          <w:color w:val="231F20"/>
          <w:w w:val="111"/>
        </w:rPr>
        <w:t> </w:t>
      </w:r>
      <w:r>
        <w:rPr>
          <w:color w:val="231F20"/>
          <w:w w:val="110"/>
        </w:rPr>
        <w:t>sido considerable A consecuencia de ello hay quienes cuestionan si este</w:t>
      </w:r>
      <w:r>
        <w:rPr>
          <w:color w:val="231F20"/>
          <w:w w:val="109"/>
        </w:rPr>
        <w:t> </w:t>
      </w:r>
      <w:r>
        <w:rPr>
          <w:color w:val="231F20"/>
          <w:w w:val="110"/>
        </w:rPr>
        <w:t>aumento es del tipo de unión libre que se ha observado tradicionalmente</w:t>
      </w:r>
      <w:r>
        <w:rPr>
          <w:color w:val="231F20"/>
          <w:w w:val="107"/>
        </w:rPr>
        <w:t> </w:t>
      </w:r>
      <w:r>
        <w:rPr>
          <w:color w:val="231F20"/>
          <w:w w:val="110"/>
        </w:rPr>
        <w:t>en nuestro país o si se trata del surgimiento de un nuevo modelo que res-</w:t>
      </w:r>
      <w:r>
        <w:rPr>
          <w:color w:val="231F20"/>
          <w:w w:val="93"/>
        </w:rPr>
        <w:t> </w:t>
      </w:r>
      <w:r>
        <w:rPr>
          <w:color w:val="231F20"/>
          <w:w w:val="110"/>
        </w:rPr>
        <w:t>ponde a la desinstitucionalización de la unión en un contexto de mayor</w:t>
      </w:r>
      <w:r>
        <w:rPr>
          <w:color w:val="231F20"/>
          <w:w w:val="105"/>
        </w:rPr>
        <w:t> </w:t>
      </w:r>
      <w:r>
        <w:rPr>
          <w:color w:val="231F20"/>
          <w:w w:val="110"/>
        </w:rPr>
        <w:t>individuación de las personas en la toma de decisiones al respecto de</w:t>
      </w:r>
      <w:r>
        <w:rPr>
          <w:color w:val="231F20"/>
          <w:w w:val="109"/>
        </w:rPr>
        <w:t> </w:t>
      </w:r>
      <w:r>
        <w:rPr>
          <w:color w:val="231F20"/>
          <w:w w:val="110"/>
        </w:rPr>
        <w:t>cuestiones como la manera y el momento de unirse, la cantidad de hijos  y</w:t>
      </w:r>
    </w:p>
    <w:p>
      <w:pPr>
        <w:spacing w:after="0" w:line="285" w:lineRule="auto"/>
        <w:jc w:val="right"/>
        <w:sectPr>
          <w:type w:val="continuous"/>
          <w:pgSz w:w="9520" w:h="12920"/>
          <w:pgMar w:top="0" w:bottom="0" w:left="1020" w:right="1320"/>
        </w:sectPr>
      </w:pPr>
    </w:p>
    <w:p>
      <w:pPr>
        <w:pStyle w:val="BodyText"/>
        <w:spacing w:line="288" w:lineRule="auto" w:before="42"/>
        <w:ind w:left="124" w:right="113"/>
        <w:jc w:val="both"/>
      </w:pPr>
      <w:r>
        <w:rPr>
          <w:color w:val="231F20"/>
          <w:w w:val="105"/>
        </w:rPr>
        <w:t>la duración de las uniones. Autores como Solís y Puga (2009), Quilodrán (2010), Ojeda (2013) proponen entender estos cambios como el surgimiento de un modelo “moderno” de formación     familiar.</w:t>
      </w:r>
    </w:p>
    <w:p>
      <w:pPr>
        <w:pStyle w:val="BodyText"/>
        <w:spacing w:line="288" w:lineRule="auto"/>
        <w:ind w:left="124" w:right="113" w:firstLine="360"/>
        <w:jc w:val="both"/>
      </w:pPr>
      <w:r>
        <w:rPr>
          <w:color w:val="231F20"/>
          <w:w w:val="110"/>
        </w:rPr>
        <w:t>El planteamiento de la segunda transición demográfica señala como </w:t>
      </w:r>
      <w:r>
        <w:rPr>
          <w:color w:val="231F20"/>
          <w:spacing w:val="-4"/>
          <w:w w:val="110"/>
        </w:rPr>
        <w:t>rasgos </w:t>
      </w:r>
      <w:r>
        <w:rPr>
          <w:color w:val="231F20"/>
          <w:w w:val="110"/>
        </w:rPr>
        <w:t>de la </w:t>
      </w:r>
      <w:r>
        <w:rPr>
          <w:color w:val="231F20"/>
          <w:spacing w:val="-4"/>
          <w:w w:val="110"/>
        </w:rPr>
        <w:t>misma algunos relacionados </w:t>
      </w:r>
      <w:r>
        <w:rPr>
          <w:color w:val="231F20"/>
          <w:spacing w:val="-3"/>
          <w:w w:val="110"/>
        </w:rPr>
        <w:t>con </w:t>
      </w:r>
      <w:r>
        <w:rPr>
          <w:color w:val="231F20"/>
          <w:w w:val="110"/>
        </w:rPr>
        <w:t>la </w:t>
      </w:r>
      <w:r>
        <w:rPr>
          <w:color w:val="231F20"/>
          <w:spacing w:val="-4"/>
          <w:w w:val="110"/>
        </w:rPr>
        <w:t>formación familiar </w:t>
      </w:r>
      <w:r>
        <w:rPr>
          <w:color w:val="231F20"/>
          <w:spacing w:val="-3"/>
          <w:w w:val="110"/>
        </w:rPr>
        <w:t>como</w:t>
      </w:r>
      <w:r>
        <w:rPr>
          <w:color w:val="231F20"/>
          <w:spacing w:val="-9"/>
          <w:w w:val="110"/>
        </w:rPr>
        <w:t> </w:t>
      </w:r>
      <w:r>
        <w:rPr>
          <w:color w:val="231F20"/>
          <w:spacing w:val="-3"/>
          <w:w w:val="110"/>
        </w:rPr>
        <w:t>son: </w:t>
      </w:r>
      <w:r>
        <w:rPr>
          <w:color w:val="231F20"/>
          <w:w w:val="110"/>
        </w:rPr>
        <w:t>postergación del matrimonio, aumento de la unión libre o cohabitación conyugal, aumento en la disolución voluntaria de uniones (separaciones y divorcios) y elevación de las nuevas nupcias </w:t>
      </w:r>
      <w:r>
        <w:rPr>
          <w:color w:val="231F20"/>
          <w:spacing w:val="-6"/>
          <w:w w:val="110"/>
        </w:rPr>
        <w:t>(Van </w:t>
      </w:r>
      <w:r>
        <w:rPr>
          <w:color w:val="231F20"/>
          <w:w w:val="110"/>
        </w:rPr>
        <w:t>de Kaa, 1987 y Lesthae- gue,</w:t>
      </w:r>
      <w:r>
        <w:rPr>
          <w:color w:val="231F20"/>
          <w:spacing w:val="-27"/>
          <w:w w:val="110"/>
        </w:rPr>
        <w:t> </w:t>
      </w:r>
      <w:r>
        <w:rPr>
          <w:color w:val="231F20"/>
          <w:w w:val="110"/>
        </w:rPr>
        <w:t>1991).</w:t>
      </w:r>
    </w:p>
    <w:p>
      <w:pPr>
        <w:pStyle w:val="BodyText"/>
        <w:spacing w:line="288" w:lineRule="auto"/>
        <w:ind w:left="124" w:right="112" w:firstLine="360"/>
        <w:jc w:val="both"/>
      </w:pPr>
      <w:r>
        <w:rPr>
          <w:color w:val="231F20"/>
          <w:w w:val="110"/>
        </w:rPr>
        <w:t>La ruptura de uniones, por su parte, muestra niveles escasos compa- rados con los de otros países. En Estados Unidos, por ejemplo, uno de</w:t>
      </w:r>
      <w:r>
        <w:rPr>
          <w:color w:val="231F20"/>
          <w:spacing w:val="-12"/>
          <w:w w:val="110"/>
        </w:rPr>
        <w:t> </w:t>
      </w:r>
      <w:r>
        <w:rPr>
          <w:color w:val="231F20"/>
          <w:w w:val="110"/>
        </w:rPr>
        <w:t>cada dos matrimonios termina en divorcio mientras que en México la propor- ción de individuos declarados como divorciados va de 0.5 en 1950 a 1.3 por ciento en el 2010. Este es un aumento sustancial para el periodo en cuestión pero sin llegar a los niveles antes mencionados. Por su parte, las personas que se declaran como separadas han aumentado casi tres veces de</w:t>
      </w:r>
      <w:r>
        <w:rPr>
          <w:color w:val="231F20"/>
          <w:spacing w:val="-6"/>
          <w:w w:val="110"/>
        </w:rPr>
        <w:t> </w:t>
      </w:r>
      <w:r>
        <w:rPr>
          <w:color w:val="231F20"/>
          <w:w w:val="110"/>
        </w:rPr>
        <w:t>1.4</w:t>
      </w:r>
      <w:r>
        <w:rPr>
          <w:color w:val="231F20"/>
          <w:spacing w:val="-6"/>
          <w:w w:val="110"/>
        </w:rPr>
        <w:t> </w:t>
      </w:r>
      <w:r>
        <w:rPr>
          <w:color w:val="231F20"/>
          <w:w w:val="110"/>
        </w:rPr>
        <w:t>en</w:t>
      </w:r>
      <w:r>
        <w:rPr>
          <w:color w:val="231F20"/>
          <w:spacing w:val="-6"/>
          <w:w w:val="110"/>
        </w:rPr>
        <w:t> </w:t>
      </w:r>
      <w:r>
        <w:rPr>
          <w:color w:val="231F20"/>
          <w:w w:val="110"/>
        </w:rPr>
        <w:t>1970</w:t>
      </w:r>
      <w:r>
        <w:rPr>
          <w:color w:val="231F20"/>
          <w:spacing w:val="-6"/>
          <w:w w:val="110"/>
        </w:rPr>
        <w:t> </w:t>
      </w:r>
      <w:r>
        <w:rPr>
          <w:color w:val="231F20"/>
          <w:w w:val="110"/>
        </w:rPr>
        <w:t>al</w:t>
      </w:r>
      <w:r>
        <w:rPr>
          <w:color w:val="231F20"/>
          <w:spacing w:val="-6"/>
          <w:w w:val="110"/>
        </w:rPr>
        <w:t> </w:t>
      </w:r>
      <w:r>
        <w:rPr>
          <w:color w:val="231F20"/>
          <w:w w:val="110"/>
        </w:rPr>
        <w:t>4.1</w:t>
      </w:r>
      <w:r>
        <w:rPr>
          <w:color w:val="231F20"/>
          <w:spacing w:val="-6"/>
          <w:w w:val="110"/>
        </w:rPr>
        <w:t> </w:t>
      </w:r>
      <w:r>
        <w:rPr>
          <w:color w:val="231F20"/>
          <w:w w:val="110"/>
        </w:rPr>
        <w:t>por</w:t>
      </w:r>
      <w:r>
        <w:rPr>
          <w:color w:val="231F20"/>
          <w:spacing w:val="-6"/>
          <w:w w:val="110"/>
        </w:rPr>
        <w:t> </w:t>
      </w:r>
      <w:r>
        <w:rPr>
          <w:color w:val="231F20"/>
          <w:w w:val="110"/>
        </w:rPr>
        <w:t>ciento</w:t>
      </w:r>
      <w:r>
        <w:rPr>
          <w:color w:val="231F20"/>
          <w:spacing w:val="-6"/>
          <w:w w:val="110"/>
        </w:rPr>
        <w:t> </w:t>
      </w:r>
      <w:r>
        <w:rPr>
          <w:color w:val="231F20"/>
          <w:w w:val="110"/>
        </w:rPr>
        <w:t>en</w:t>
      </w:r>
      <w:r>
        <w:rPr>
          <w:color w:val="231F20"/>
          <w:spacing w:val="-6"/>
          <w:w w:val="110"/>
        </w:rPr>
        <w:t> </w:t>
      </w:r>
      <w:r>
        <w:rPr>
          <w:color w:val="231F20"/>
          <w:w w:val="110"/>
        </w:rPr>
        <w:t>2010,</w:t>
      </w:r>
      <w:r>
        <w:rPr>
          <w:color w:val="231F20"/>
          <w:spacing w:val="-6"/>
          <w:w w:val="110"/>
        </w:rPr>
        <w:t> </w:t>
      </w:r>
      <w:r>
        <w:rPr>
          <w:color w:val="231F20"/>
          <w:w w:val="110"/>
        </w:rPr>
        <w:t>situación</w:t>
      </w:r>
      <w:r>
        <w:rPr>
          <w:color w:val="231F20"/>
          <w:spacing w:val="-6"/>
          <w:w w:val="110"/>
        </w:rPr>
        <w:t> </w:t>
      </w:r>
      <w:r>
        <w:rPr>
          <w:color w:val="231F20"/>
          <w:w w:val="110"/>
        </w:rPr>
        <w:t>similar</w:t>
      </w:r>
      <w:r>
        <w:rPr>
          <w:color w:val="231F20"/>
          <w:spacing w:val="-6"/>
          <w:w w:val="110"/>
        </w:rPr>
        <w:t> </w:t>
      </w:r>
      <w:r>
        <w:rPr>
          <w:color w:val="231F20"/>
          <w:w w:val="110"/>
        </w:rPr>
        <w:t>que</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caso</w:t>
      </w:r>
      <w:r>
        <w:rPr>
          <w:color w:val="231F20"/>
          <w:spacing w:val="-6"/>
          <w:w w:val="110"/>
        </w:rPr>
        <w:t> </w:t>
      </w:r>
      <w:r>
        <w:rPr>
          <w:color w:val="231F20"/>
          <w:w w:val="110"/>
        </w:rPr>
        <w:t>de las </w:t>
      </w:r>
      <w:r>
        <w:rPr>
          <w:color w:val="231F20"/>
          <w:spacing w:val="2"/>
          <w:w w:val="110"/>
        </w:rPr>
        <w:t>divorciadas. </w:t>
      </w:r>
      <w:r>
        <w:rPr>
          <w:color w:val="231F20"/>
          <w:spacing w:val="3"/>
          <w:w w:val="110"/>
        </w:rPr>
        <w:t>Las </w:t>
      </w:r>
      <w:r>
        <w:rPr>
          <w:color w:val="231F20"/>
          <w:spacing w:val="2"/>
          <w:w w:val="110"/>
        </w:rPr>
        <w:t>personas viudas disminuyen </w:t>
      </w:r>
      <w:r>
        <w:rPr>
          <w:color w:val="231F20"/>
          <w:w w:val="110"/>
        </w:rPr>
        <w:t>de </w:t>
      </w:r>
      <w:r>
        <w:rPr>
          <w:color w:val="231F20"/>
          <w:spacing w:val="2"/>
          <w:w w:val="110"/>
        </w:rPr>
        <w:t>manera constante </w:t>
      </w:r>
      <w:r>
        <w:rPr>
          <w:color w:val="231F20"/>
          <w:spacing w:val="-4"/>
          <w:w w:val="110"/>
        </w:rPr>
        <w:t>pasando </w:t>
      </w:r>
      <w:r>
        <w:rPr>
          <w:color w:val="231F20"/>
          <w:w w:val="110"/>
        </w:rPr>
        <w:t>de </w:t>
      </w:r>
      <w:r>
        <w:rPr>
          <w:color w:val="231F20"/>
          <w:spacing w:val="-3"/>
          <w:w w:val="110"/>
        </w:rPr>
        <w:t>7.4 </w:t>
      </w:r>
      <w:r>
        <w:rPr>
          <w:color w:val="231F20"/>
          <w:w w:val="110"/>
        </w:rPr>
        <w:t>a 4 </w:t>
      </w:r>
      <w:r>
        <w:rPr>
          <w:color w:val="231F20"/>
          <w:spacing w:val="-3"/>
          <w:w w:val="110"/>
        </w:rPr>
        <w:t>por </w:t>
      </w:r>
      <w:r>
        <w:rPr>
          <w:color w:val="231F20"/>
          <w:spacing w:val="-4"/>
          <w:w w:val="110"/>
        </w:rPr>
        <w:t>ciento, producto </w:t>
      </w:r>
      <w:r>
        <w:rPr>
          <w:color w:val="231F20"/>
          <w:w w:val="110"/>
        </w:rPr>
        <w:t>no </w:t>
      </w:r>
      <w:r>
        <w:rPr>
          <w:color w:val="231F20"/>
          <w:spacing w:val="-3"/>
          <w:w w:val="110"/>
        </w:rPr>
        <w:t>sólo del </w:t>
      </w:r>
      <w:r>
        <w:rPr>
          <w:color w:val="231F20"/>
          <w:spacing w:val="-4"/>
          <w:w w:val="110"/>
        </w:rPr>
        <w:t>aumento </w:t>
      </w:r>
      <w:r>
        <w:rPr>
          <w:color w:val="231F20"/>
          <w:w w:val="110"/>
        </w:rPr>
        <w:t>en la </w:t>
      </w:r>
      <w:r>
        <w:rPr>
          <w:color w:val="231F20"/>
          <w:spacing w:val="-4"/>
          <w:w w:val="110"/>
        </w:rPr>
        <w:t>esperanza </w:t>
      </w:r>
      <w:r>
        <w:rPr>
          <w:color w:val="231F20"/>
          <w:w w:val="110"/>
        </w:rPr>
        <w:t>de vida de las personas, sino también probablemente debido a la</w:t>
      </w:r>
      <w:r>
        <w:rPr>
          <w:color w:val="231F20"/>
          <w:spacing w:val="-16"/>
          <w:w w:val="110"/>
        </w:rPr>
        <w:t> </w:t>
      </w:r>
      <w:r>
        <w:rPr>
          <w:color w:val="231F20"/>
          <w:w w:val="110"/>
        </w:rPr>
        <w:t>inserción en nuevas uniones. Aspecto que redunda en un mayor número de años vividos en pareja, mayor riesgo de ruptura, y probablemente a consecuen- cia de esto tengamos los incrementos que se observan en personas sepa- radas y</w:t>
      </w:r>
      <w:r>
        <w:rPr>
          <w:color w:val="231F20"/>
          <w:spacing w:val="13"/>
          <w:w w:val="110"/>
        </w:rPr>
        <w:t> </w:t>
      </w:r>
      <w:r>
        <w:rPr>
          <w:color w:val="231F20"/>
          <w:w w:val="110"/>
        </w:rPr>
        <w:t>divorciadas.</w:t>
      </w:r>
    </w:p>
    <w:p>
      <w:pPr>
        <w:pStyle w:val="BodyText"/>
        <w:spacing w:line="288" w:lineRule="auto"/>
        <w:ind w:left="124" w:right="114" w:firstLine="360"/>
        <w:jc w:val="both"/>
      </w:pPr>
      <w:r>
        <w:rPr>
          <w:color w:val="231F20"/>
          <w:w w:val="110"/>
        </w:rPr>
        <w:t>Estas modificaciones en la situación marital de las personas tienen implicaciones para algunos otros procesos, como la fecundidad. El hecho de que las personas decidan permanecer más tiempo solteras tiene como consecuencias un menor número de hijos ya sea porque se retrasa la unión o porque no se pretende vivir en pareja ni tener  hijos.</w:t>
      </w:r>
    </w:p>
    <w:p>
      <w:pPr>
        <w:pStyle w:val="BodyText"/>
        <w:spacing w:line="288" w:lineRule="auto"/>
        <w:ind w:left="124" w:right="111" w:firstLine="360"/>
        <w:jc w:val="both"/>
      </w:pPr>
      <w:r>
        <w:rPr>
          <w:color w:val="231F20"/>
          <w:w w:val="110"/>
        </w:rPr>
        <w:t>De acuerdo con el trabajo de campo realizado por Díaz (2014) en la Ciudad de Toluca en 2013, las mujeres mayores de 25 años, con estudios universitarios, con pareja estable y con empleo remunerado parecen estar “esperando el momento ideal” para unirse y para tener hijos, ya que al hacerlo ponen en riesgo sus estudios o sus carreras   profesionales.</w:t>
      </w:r>
    </w:p>
    <w:p>
      <w:pPr>
        <w:pStyle w:val="BodyText"/>
        <w:spacing w:line="288" w:lineRule="auto"/>
        <w:ind w:left="124" w:right="114" w:firstLine="360"/>
        <w:jc w:val="both"/>
      </w:pPr>
      <w:r>
        <w:rPr>
          <w:color w:val="231F20"/>
          <w:w w:val="110"/>
        </w:rPr>
        <w:t>A manera de resumen, tenemos que en el año 2010, la configuración de la situación conyugal de las personas de 12 años y más que  representa</w:t>
      </w:r>
    </w:p>
    <w:p>
      <w:pPr>
        <w:spacing w:after="0" w:line="288" w:lineRule="auto"/>
        <w:jc w:val="both"/>
        <w:sectPr>
          <w:pgSz w:w="9520" w:h="12920"/>
          <w:pgMar w:header="0" w:footer="1344" w:top="880" w:bottom="1540" w:left="1320" w:right="1000"/>
        </w:sectPr>
      </w:pPr>
    </w:p>
    <w:p>
      <w:pPr>
        <w:pStyle w:val="BodyText"/>
        <w:spacing w:line="280" w:lineRule="auto" w:before="42"/>
        <w:ind w:left="100" w:right="117"/>
        <w:jc w:val="both"/>
      </w:pPr>
      <w:r>
        <w:rPr>
          <w:color w:val="231F20"/>
          <w:w w:val="110"/>
        </w:rPr>
        <w:t>la mayor proporción es la de casados con 39.8 (categoría formada por los casados sólo por el civil, sólo religiosamente y por ambos, donde los casa- dos por el civil y la iglesia son los que mayor peso tienen, 25.7 por ciento), le</w:t>
      </w:r>
      <w:r>
        <w:rPr>
          <w:color w:val="231F20"/>
          <w:spacing w:val="-8"/>
          <w:w w:val="110"/>
        </w:rPr>
        <w:t> </w:t>
      </w:r>
      <w:r>
        <w:rPr>
          <w:color w:val="231F20"/>
          <w:w w:val="110"/>
        </w:rPr>
        <w:t>sigue</w:t>
      </w:r>
      <w:r>
        <w:rPr>
          <w:color w:val="231F20"/>
          <w:spacing w:val="-8"/>
          <w:w w:val="110"/>
        </w:rPr>
        <w:t> </w:t>
      </w:r>
      <w:r>
        <w:rPr>
          <w:color w:val="231F20"/>
          <w:w w:val="110"/>
        </w:rPr>
        <w:t>en</w:t>
      </w:r>
      <w:r>
        <w:rPr>
          <w:color w:val="231F20"/>
          <w:spacing w:val="-8"/>
          <w:w w:val="110"/>
        </w:rPr>
        <w:t> </w:t>
      </w:r>
      <w:r>
        <w:rPr>
          <w:color w:val="231F20"/>
          <w:w w:val="110"/>
        </w:rPr>
        <w:t>importancia</w:t>
      </w:r>
      <w:r>
        <w:rPr>
          <w:color w:val="231F20"/>
          <w:spacing w:val="-8"/>
          <w:w w:val="110"/>
        </w:rPr>
        <w:t> </w:t>
      </w:r>
      <w:r>
        <w:rPr>
          <w:color w:val="231F20"/>
          <w:w w:val="110"/>
        </w:rPr>
        <w:t>la</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solteros</w:t>
      </w:r>
      <w:r>
        <w:rPr>
          <w:color w:val="231F20"/>
          <w:spacing w:val="-8"/>
          <w:w w:val="110"/>
        </w:rPr>
        <w:t> </w:t>
      </w:r>
      <w:r>
        <w:rPr>
          <w:color w:val="231F20"/>
          <w:w w:val="110"/>
        </w:rPr>
        <w:t>con</w:t>
      </w:r>
      <w:r>
        <w:rPr>
          <w:color w:val="231F20"/>
          <w:spacing w:val="-8"/>
          <w:w w:val="110"/>
        </w:rPr>
        <w:t> </w:t>
      </w:r>
      <w:r>
        <w:rPr>
          <w:color w:val="231F20"/>
          <w:w w:val="110"/>
        </w:rPr>
        <w:t>34.9</w:t>
      </w:r>
      <w:r>
        <w:rPr>
          <w:color w:val="231F20"/>
          <w:spacing w:val="-8"/>
          <w:w w:val="110"/>
        </w:rPr>
        <w:t> </w:t>
      </w:r>
      <w:r>
        <w:rPr>
          <w:color w:val="231F20"/>
          <w:w w:val="110"/>
        </w:rPr>
        <w:t>por</w:t>
      </w:r>
      <w:r>
        <w:rPr>
          <w:color w:val="231F20"/>
          <w:spacing w:val="-8"/>
          <w:w w:val="110"/>
        </w:rPr>
        <w:t> </w:t>
      </w:r>
      <w:r>
        <w:rPr>
          <w:color w:val="231F20"/>
          <w:w w:val="110"/>
        </w:rPr>
        <w:t>ciento,</w:t>
      </w:r>
      <w:r>
        <w:rPr>
          <w:color w:val="231F20"/>
          <w:spacing w:val="-8"/>
          <w:w w:val="110"/>
        </w:rPr>
        <w:t> </w:t>
      </w:r>
      <w:r>
        <w:rPr>
          <w:color w:val="231F20"/>
          <w:w w:val="110"/>
        </w:rPr>
        <w:t>y</w:t>
      </w:r>
      <w:r>
        <w:rPr>
          <w:color w:val="231F20"/>
          <w:spacing w:val="-8"/>
          <w:w w:val="110"/>
        </w:rPr>
        <w:t> </w:t>
      </w:r>
      <w:r>
        <w:rPr>
          <w:color w:val="231F20"/>
          <w:w w:val="110"/>
        </w:rPr>
        <w:t>la</w:t>
      </w:r>
      <w:r>
        <w:rPr>
          <w:color w:val="231F20"/>
          <w:spacing w:val="-8"/>
          <w:w w:val="110"/>
        </w:rPr>
        <w:t> </w:t>
      </w:r>
      <w:r>
        <w:rPr>
          <w:color w:val="231F20"/>
          <w:w w:val="110"/>
        </w:rPr>
        <w:t>tercera</w:t>
      </w:r>
      <w:r>
        <w:rPr>
          <w:color w:val="231F20"/>
          <w:spacing w:val="-8"/>
          <w:w w:val="110"/>
        </w:rPr>
        <w:t> </w:t>
      </w:r>
      <w:r>
        <w:rPr>
          <w:color w:val="231F20"/>
          <w:w w:val="110"/>
        </w:rPr>
        <w:t>en importancia</w:t>
      </w:r>
      <w:r>
        <w:rPr>
          <w:color w:val="231F20"/>
          <w:spacing w:val="-10"/>
          <w:w w:val="110"/>
        </w:rPr>
        <w:t> </w:t>
      </w:r>
      <w:r>
        <w:rPr>
          <w:color w:val="231F20"/>
          <w:w w:val="110"/>
        </w:rPr>
        <w:t>es</w:t>
      </w:r>
      <w:r>
        <w:rPr>
          <w:color w:val="231F20"/>
          <w:spacing w:val="-10"/>
          <w:w w:val="110"/>
        </w:rPr>
        <w:t> </w:t>
      </w:r>
      <w:r>
        <w:rPr>
          <w:color w:val="231F20"/>
          <w:w w:val="110"/>
        </w:rPr>
        <w:t>la</w:t>
      </w:r>
      <w:r>
        <w:rPr>
          <w:color w:val="231F20"/>
          <w:spacing w:val="-10"/>
          <w:w w:val="110"/>
        </w:rPr>
        <w:t> </w:t>
      </w:r>
      <w:r>
        <w:rPr>
          <w:color w:val="231F20"/>
          <w:w w:val="110"/>
        </w:rPr>
        <w:t>unión</w:t>
      </w:r>
      <w:r>
        <w:rPr>
          <w:color w:val="231F20"/>
          <w:spacing w:val="-10"/>
          <w:w w:val="110"/>
        </w:rPr>
        <w:t> </w:t>
      </w:r>
      <w:r>
        <w:rPr>
          <w:color w:val="231F20"/>
          <w:w w:val="110"/>
        </w:rPr>
        <w:t>libre</w:t>
      </w:r>
      <w:r>
        <w:rPr>
          <w:color w:val="231F20"/>
          <w:spacing w:val="-10"/>
          <w:w w:val="110"/>
        </w:rPr>
        <w:t> </w:t>
      </w:r>
      <w:r>
        <w:rPr>
          <w:color w:val="231F20"/>
          <w:w w:val="110"/>
        </w:rPr>
        <w:t>con</w:t>
      </w:r>
      <w:r>
        <w:rPr>
          <w:color w:val="231F20"/>
          <w:spacing w:val="-10"/>
          <w:w w:val="110"/>
        </w:rPr>
        <w:t> </w:t>
      </w:r>
      <w:r>
        <w:rPr>
          <w:color w:val="231F20"/>
          <w:w w:val="110"/>
        </w:rPr>
        <w:t>15.7</w:t>
      </w:r>
      <w:r>
        <w:rPr>
          <w:color w:val="231F20"/>
          <w:spacing w:val="-10"/>
          <w:w w:val="110"/>
        </w:rPr>
        <w:t> </w:t>
      </w:r>
      <w:r>
        <w:rPr>
          <w:color w:val="231F20"/>
          <w:w w:val="110"/>
        </w:rPr>
        <w:t>por</w:t>
      </w:r>
      <w:r>
        <w:rPr>
          <w:color w:val="231F20"/>
          <w:spacing w:val="-10"/>
          <w:w w:val="110"/>
        </w:rPr>
        <w:t> </w:t>
      </w:r>
      <w:r>
        <w:rPr>
          <w:color w:val="231F20"/>
          <w:w w:val="110"/>
        </w:rPr>
        <w:t>ciento.</w:t>
      </w:r>
      <w:r>
        <w:rPr>
          <w:color w:val="231F20"/>
          <w:spacing w:val="-10"/>
          <w:w w:val="110"/>
        </w:rPr>
        <w:t> </w:t>
      </w:r>
      <w:r>
        <w:rPr>
          <w:color w:val="231F20"/>
          <w:w w:val="110"/>
        </w:rPr>
        <w:t>Esta</w:t>
      </w:r>
      <w:r>
        <w:rPr>
          <w:color w:val="231F20"/>
          <w:spacing w:val="-10"/>
          <w:w w:val="110"/>
        </w:rPr>
        <w:t> </w:t>
      </w:r>
      <w:r>
        <w:rPr>
          <w:color w:val="231F20"/>
          <w:w w:val="110"/>
        </w:rPr>
        <w:t>distribución</w:t>
      </w:r>
      <w:r>
        <w:rPr>
          <w:color w:val="231F20"/>
          <w:spacing w:val="-10"/>
          <w:w w:val="110"/>
        </w:rPr>
        <w:t> </w:t>
      </w:r>
      <w:r>
        <w:rPr>
          <w:color w:val="231F20"/>
          <w:w w:val="110"/>
        </w:rPr>
        <w:t>muestra una configuración distinta a la que había hace dos décadas en donde estas </w:t>
      </w:r>
      <w:r>
        <w:rPr>
          <w:color w:val="231F20"/>
          <w:spacing w:val="-4"/>
          <w:w w:val="110"/>
        </w:rPr>
        <w:t>mismas</w:t>
      </w:r>
      <w:r>
        <w:rPr>
          <w:color w:val="231F20"/>
          <w:spacing w:val="-14"/>
          <w:w w:val="110"/>
        </w:rPr>
        <w:t> </w:t>
      </w:r>
      <w:r>
        <w:rPr>
          <w:color w:val="231F20"/>
          <w:spacing w:val="-4"/>
          <w:w w:val="110"/>
        </w:rPr>
        <w:t>categorías</w:t>
      </w:r>
      <w:r>
        <w:rPr>
          <w:color w:val="231F20"/>
          <w:spacing w:val="-14"/>
          <w:w w:val="110"/>
        </w:rPr>
        <w:t> </w:t>
      </w:r>
      <w:r>
        <w:rPr>
          <w:color w:val="231F20"/>
          <w:spacing w:val="-4"/>
          <w:w w:val="110"/>
        </w:rPr>
        <w:t>representaban</w:t>
      </w:r>
      <w:r>
        <w:rPr>
          <w:color w:val="231F20"/>
          <w:spacing w:val="-14"/>
          <w:w w:val="110"/>
        </w:rPr>
        <w:t> </w:t>
      </w:r>
      <w:r>
        <w:rPr>
          <w:color w:val="231F20"/>
          <w:spacing w:val="-4"/>
          <w:w w:val="110"/>
        </w:rPr>
        <w:t>45.8,</w:t>
      </w:r>
      <w:r>
        <w:rPr>
          <w:color w:val="231F20"/>
          <w:spacing w:val="-14"/>
          <w:w w:val="110"/>
        </w:rPr>
        <w:t> </w:t>
      </w:r>
      <w:r>
        <w:rPr>
          <w:color w:val="231F20"/>
          <w:spacing w:val="-3"/>
          <w:w w:val="110"/>
        </w:rPr>
        <w:t>40.6</w:t>
      </w:r>
      <w:r>
        <w:rPr>
          <w:color w:val="231F20"/>
          <w:spacing w:val="-14"/>
          <w:w w:val="110"/>
        </w:rPr>
        <w:t> </w:t>
      </w:r>
      <w:r>
        <w:rPr>
          <w:color w:val="231F20"/>
          <w:w w:val="110"/>
        </w:rPr>
        <w:t>y</w:t>
      </w:r>
      <w:r>
        <w:rPr>
          <w:color w:val="231F20"/>
          <w:spacing w:val="-14"/>
          <w:w w:val="110"/>
        </w:rPr>
        <w:t> </w:t>
      </w:r>
      <w:r>
        <w:rPr>
          <w:color w:val="231F20"/>
          <w:spacing w:val="-3"/>
          <w:w w:val="110"/>
        </w:rPr>
        <w:t>7.4</w:t>
      </w:r>
      <w:r>
        <w:rPr>
          <w:color w:val="231F20"/>
          <w:spacing w:val="-14"/>
          <w:w w:val="110"/>
        </w:rPr>
        <w:t> </w:t>
      </w:r>
      <w:r>
        <w:rPr>
          <w:color w:val="231F20"/>
          <w:spacing w:val="-3"/>
          <w:w w:val="110"/>
        </w:rPr>
        <w:t>por</w:t>
      </w:r>
      <w:r>
        <w:rPr>
          <w:color w:val="231F20"/>
          <w:spacing w:val="-14"/>
          <w:w w:val="110"/>
        </w:rPr>
        <w:t> </w:t>
      </w:r>
      <w:r>
        <w:rPr>
          <w:color w:val="231F20"/>
          <w:spacing w:val="-4"/>
          <w:w w:val="110"/>
        </w:rPr>
        <w:t>ciento,</w:t>
      </w:r>
      <w:r>
        <w:rPr>
          <w:color w:val="231F20"/>
          <w:spacing w:val="-14"/>
          <w:w w:val="110"/>
        </w:rPr>
        <w:t> </w:t>
      </w:r>
      <w:r>
        <w:rPr>
          <w:color w:val="231F20"/>
          <w:spacing w:val="-4"/>
          <w:w w:val="110"/>
        </w:rPr>
        <w:t>respectivamente. </w:t>
      </w:r>
      <w:r>
        <w:rPr>
          <w:color w:val="231F20"/>
          <w:w w:val="110"/>
        </w:rPr>
        <w:t>Es </w:t>
      </w:r>
      <w:r>
        <w:rPr>
          <w:color w:val="231F20"/>
          <w:spacing w:val="-5"/>
          <w:w w:val="110"/>
        </w:rPr>
        <w:t>decir, </w:t>
      </w:r>
      <w:r>
        <w:rPr>
          <w:color w:val="231F20"/>
          <w:w w:val="110"/>
        </w:rPr>
        <w:t>cambios relevantes: en donde las personas solteras</w:t>
      </w:r>
      <w:r>
        <w:rPr>
          <w:color w:val="231F20"/>
          <w:spacing w:val="-14"/>
          <w:w w:val="110"/>
        </w:rPr>
        <w:t> </w:t>
      </w:r>
      <w:r>
        <w:rPr>
          <w:color w:val="231F20"/>
          <w:w w:val="110"/>
        </w:rPr>
        <w:t>disminuyeron en alrededor de cinco puntos porcentuales, las casadas casi 6 por ciento y la</w:t>
      </w:r>
      <w:r>
        <w:rPr>
          <w:color w:val="231F20"/>
          <w:spacing w:val="-4"/>
          <w:w w:val="110"/>
        </w:rPr>
        <w:t> </w:t>
      </w:r>
      <w:r>
        <w:rPr>
          <w:color w:val="231F20"/>
          <w:w w:val="110"/>
        </w:rPr>
        <w:t>unión</w:t>
      </w:r>
      <w:r>
        <w:rPr>
          <w:color w:val="231F20"/>
          <w:spacing w:val="-4"/>
          <w:w w:val="110"/>
        </w:rPr>
        <w:t> </w:t>
      </w:r>
      <w:r>
        <w:rPr>
          <w:color w:val="231F20"/>
          <w:w w:val="110"/>
        </w:rPr>
        <w:t>libre</w:t>
      </w:r>
      <w:r>
        <w:rPr>
          <w:color w:val="231F20"/>
          <w:spacing w:val="-4"/>
          <w:w w:val="110"/>
        </w:rPr>
        <w:t> </w:t>
      </w:r>
      <w:r>
        <w:rPr>
          <w:color w:val="231F20"/>
          <w:w w:val="110"/>
        </w:rPr>
        <w:t>casi</w:t>
      </w:r>
      <w:r>
        <w:rPr>
          <w:color w:val="231F20"/>
          <w:spacing w:val="-4"/>
          <w:w w:val="110"/>
        </w:rPr>
        <w:t> </w:t>
      </w:r>
      <w:r>
        <w:rPr>
          <w:color w:val="231F20"/>
          <w:w w:val="110"/>
        </w:rPr>
        <w:t>duplica</w:t>
      </w:r>
      <w:r>
        <w:rPr>
          <w:color w:val="231F20"/>
          <w:spacing w:val="-4"/>
          <w:w w:val="110"/>
        </w:rPr>
        <w:t> </w:t>
      </w:r>
      <w:r>
        <w:rPr>
          <w:color w:val="231F20"/>
          <w:w w:val="110"/>
        </w:rPr>
        <w:t>su</w:t>
      </w:r>
      <w:r>
        <w:rPr>
          <w:color w:val="231F20"/>
          <w:spacing w:val="-4"/>
          <w:w w:val="110"/>
        </w:rPr>
        <w:t> </w:t>
      </w:r>
      <w:r>
        <w:rPr>
          <w:color w:val="231F20"/>
          <w:w w:val="110"/>
        </w:rPr>
        <w:t>proporción,</w:t>
      </w:r>
      <w:r>
        <w:rPr>
          <w:color w:val="231F20"/>
          <w:spacing w:val="-4"/>
          <w:w w:val="110"/>
        </w:rPr>
        <w:t> </w:t>
      </w:r>
      <w:r>
        <w:rPr>
          <w:color w:val="231F20"/>
          <w:w w:val="110"/>
        </w:rPr>
        <w:t>los</w:t>
      </w:r>
      <w:r>
        <w:rPr>
          <w:color w:val="231F20"/>
          <w:spacing w:val="-4"/>
          <w:w w:val="110"/>
        </w:rPr>
        <w:t> </w:t>
      </w:r>
      <w:r>
        <w:rPr>
          <w:color w:val="231F20"/>
          <w:w w:val="110"/>
        </w:rPr>
        <w:t>cuales</w:t>
      </w:r>
      <w:r>
        <w:rPr>
          <w:color w:val="231F20"/>
          <w:spacing w:val="-4"/>
          <w:w w:val="110"/>
        </w:rPr>
        <w:t> </w:t>
      </w:r>
      <w:r>
        <w:rPr>
          <w:color w:val="231F20"/>
          <w:w w:val="110"/>
        </w:rPr>
        <w:t>reflejan</w:t>
      </w:r>
      <w:r>
        <w:rPr>
          <w:color w:val="231F20"/>
          <w:spacing w:val="-4"/>
          <w:w w:val="110"/>
        </w:rPr>
        <w:t> </w:t>
      </w:r>
      <w:r>
        <w:rPr>
          <w:color w:val="231F20"/>
          <w:w w:val="110"/>
        </w:rPr>
        <w:t>transformacio- nes sociales de gran</w:t>
      </w:r>
      <w:r>
        <w:rPr>
          <w:color w:val="231F20"/>
          <w:spacing w:val="47"/>
          <w:w w:val="110"/>
        </w:rPr>
        <w:t> </w:t>
      </w:r>
      <w:r>
        <w:rPr>
          <w:color w:val="231F20"/>
          <w:w w:val="110"/>
        </w:rPr>
        <w:t>envergadura.</w:t>
      </w:r>
    </w:p>
    <w:p>
      <w:pPr>
        <w:pStyle w:val="BodyText"/>
        <w:spacing w:line="280" w:lineRule="auto"/>
        <w:ind w:left="100" w:right="114" w:firstLine="360"/>
        <w:jc w:val="both"/>
      </w:pPr>
      <w:r>
        <w:rPr>
          <w:color w:val="231F20"/>
          <w:w w:val="110"/>
        </w:rPr>
        <w:t>El aumento en la esperanza de vida de las personas trae consigo trans- formaciones en la organización de las familias, hecho que se ve reflejado en un mayor número de años vividos en pareja, y mayor coexistencia de varias generaciones en una misma unidad familiar, entre otras. También tenemos que al vivir más tiempo unido hay un mayor riesgo a sufrir una ruptura de unión, y con ello se da generalmente un aumento de jefatura femenina de </w:t>
      </w:r>
      <w:r>
        <w:rPr>
          <w:color w:val="231F20"/>
          <w:spacing w:val="-3"/>
          <w:w w:val="110"/>
        </w:rPr>
        <w:t>hogar. </w:t>
      </w:r>
      <w:r>
        <w:rPr>
          <w:color w:val="231F20"/>
          <w:w w:val="110"/>
        </w:rPr>
        <w:t>Si a ello agregamos el hecho de que cada vez más las parejas tienen edades más próximas (homogamia etaria), y están más es- colarizadas, se generan situaciones que pueden contribuir a una mayor igualdad al interior del matrimonio o quizás mayores fricciones por una toma de decisiones que debe ser compartida (García y Rojas, 2004; Sosa, 2011). De manera sintética, se puede observar este cambio de la situación conyugal de la población mexicana en una pirámide de población. Véanse gráficas 2 y 3 que incluyen los calendarios de cada una de las categorías  de la situación</w:t>
      </w:r>
      <w:r>
        <w:rPr>
          <w:color w:val="231F20"/>
          <w:spacing w:val="30"/>
          <w:w w:val="110"/>
        </w:rPr>
        <w:t> </w:t>
      </w:r>
      <w:r>
        <w:rPr>
          <w:color w:val="231F20"/>
          <w:w w:val="110"/>
        </w:rPr>
        <w:t>conyugal.</w:t>
      </w:r>
    </w:p>
    <w:p>
      <w:pPr>
        <w:pStyle w:val="BodyText"/>
        <w:spacing w:line="280" w:lineRule="auto"/>
        <w:ind w:left="100" w:right="115" w:firstLine="360"/>
        <w:jc w:val="both"/>
      </w:pPr>
      <w:r>
        <w:rPr>
          <w:color w:val="231F20"/>
          <w:w w:val="110"/>
        </w:rPr>
        <w:t>En estas pirámides se observa más claramente el incremento de las categorías</w:t>
      </w:r>
      <w:r>
        <w:rPr>
          <w:color w:val="231F20"/>
          <w:spacing w:val="-12"/>
          <w:w w:val="110"/>
        </w:rPr>
        <w:t> </w:t>
      </w:r>
      <w:r>
        <w:rPr>
          <w:color w:val="231F20"/>
          <w:w w:val="110"/>
        </w:rPr>
        <w:t>unido</w:t>
      </w:r>
      <w:r>
        <w:rPr>
          <w:color w:val="231F20"/>
          <w:spacing w:val="-12"/>
          <w:w w:val="110"/>
        </w:rPr>
        <w:t> </w:t>
      </w:r>
      <w:r>
        <w:rPr>
          <w:color w:val="231F20"/>
          <w:w w:val="110"/>
        </w:rPr>
        <w:t>y</w:t>
      </w:r>
      <w:r>
        <w:rPr>
          <w:color w:val="231F20"/>
          <w:spacing w:val="-12"/>
          <w:w w:val="110"/>
        </w:rPr>
        <w:t> </w:t>
      </w:r>
      <w:r>
        <w:rPr>
          <w:color w:val="231F20"/>
          <w:w w:val="110"/>
        </w:rPr>
        <w:t>alguna</w:t>
      </w:r>
      <w:r>
        <w:rPr>
          <w:color w:val="231F20"/>
          <w:spacing w:val="-12"/>
          <w:w w:val="110"/>
        </w:rPr>
        <w:t> </w:t>
      </w:r>
      <w:r>
        <w:rPr>
          <w:color w:val="231F20"/>
          <w:w w:val="110"/>
        </w:rPr>
        <w:t>vez</w:t>
      </w:r>
      <w:r>
        <w:rPr>
          <w:color w:val="231F20"/>
          <w:spacing w:val="-12"/>
          <w:w w:val="110"/>
        </w:rPr>
        <w:t> </w:t>
      </w:r>
      <w:r>
        <w:rPr>
          <w:color w:val="231F20"/>
          <w:w w:val="110"/>
        </w:rPr>
        <w:t>unido</w:t>
      </w:r>
      <w:r>
        <w:rPr>
          <w:color w:val="231F20"/>
          <w:spacing w:val="-12"/>
          <w:w w:val="110"/>
        </w:rPr>
        <w:t> </w:t>
      </w:r>
      <w:r>
        <w:rPr>
          <w:color w:val="231F20"/>
          <w:w w:val="110"/>
        </w:rPr>
        <w:t>presente</w:t>
      </w:r>
      <w:r>
        <w:rPr>
          <w:color w:val="231F20"/>
          <w:spacing w:val="-12"/>
          <w:w w:val="110"/>
        </w:rPr>
        <w:t> </w:t>
      </w:r>
      <w:r>
        <w:rPr>
          <w:color w:val="231F20"/>
          <w:w w:val="110"/>
        </w:rPr>
        <w:t>desde</w:t>
      </w:r>
      <w:r>
        <w:rPr>
          <w:color w:val="231F20"/>
          <w:spacing w:val="-12"/>
          <w:w w:val="110"/>
        </w:rPr>
        <w:t> </w:t>
      </w:r>
      <w:r>
        <w:rPr>
          <w:color w:val="231F20"/>
          <w:w w:val="110"/>
        </w:rPr>
        <w:t>el</w:t>
      </w:r>
      <w:r>
        <w:rPr>
          <w:color w:val="231F20"/>
          <w:spacing w:val="-12"/>
          <w:w w:val="110"/>
        </w:rPr>
        <w:t> </w:t>
      </w:r>
      <w:r>
        <w:rPr>
          <w:color w:val="231F20"/>
          <w:w w:val="110"/>
        </w:rPr>
        <w:t>grupo</w:t>
      </w:r>
      <w:r>
        <w:rPr>
          <w:color w:val="231F20"/>
          <w:spacing w:val="-12"/>
          <w:w w:val="110"/>
        </w:rPr>
        <w:t> </w:t>
      </w:r>
      <w:r>
        <w:rPr>
          <w:color w:val="231F20"/>
          <w:w w:val="110"/>
        </w:rPr>
        <w:t>de</w:t>
      </w:r>
      <w:r>
        <w:rPr>
          <w:color w:val="231F20"/>
          <w:spacing w:val="-12"/>
          <w:w w:val="110"/>
        </w:rPr>
        <w:t> </w:t>
      </w:r>
      <w:r>
        <w:rPr>
          <w:color w:val="231F20"/>
          <w:w w:val="110"/>
        </w:rPr>
        <w:t>edad</w:t>
      </w:r>
      <w:r>
        <w:rPr>
          <w:color w:val="231F20"/>
          <w:spacing w:val="-12"/>
          <w:w w:val="110"/>
        </w:rPr>
        <w:t> </w:t>
      </w:r>
      <w:r>
        <w:rPr>
          <w:color w:val="231F20"/>
          <w:w w:val="110"/>
        </w:rPr>
        <w:t>15-19. Al analizar la categoría de unidos notamos que las mujeres se encuentran en mayor medida que los hombres en esta situación conyugal, aspecto que relacionamos con la percepción de éstas donde ellas se consideran unidas y</w:t>
      </w:r>
      <w:r>
        <w:rPr>
          <w:color w:val="231F20"/>
          <w:spacing w:val="-13"/>
          <w:w w:val="110"/>
        </w:rPr>
        <w:t> </w:t>
      </w:r>
      <w:r>
        <w:rPr>
          <w:color w:val="231F20"/>
          <w:w w:val="110"/>
        </w:rPr>
        <w:t>quizás</w:t>
      </w:r>
      <w:r>
        <w:rPr>
          <w:color w:val="231F20"/>
          <w:spacing w:val="-13"/>
          <w:w w:val="110"/>
        </w:rPr>
        <w:t> </w:t>
      </w:r>
      <w:r>
        <w:rPr>
          <w:color w:val="231F20"/>
          <w:w w:val="110"/>
        </w:rPr>
        <w:t>los</w:t>
      </w:r>
      <w:r>
        <w:rPr>
          <w:color w:val="231F20"/>
          <w:spacing w:val="-13"/>
          <w:w w:val="110"/>
        </w:rPr>
        <w:t> </w:t>
      </w:r>
      <w:r>
        <w:rPr>
          <w:color w:val="231F20"/>
          <w:w w:val="110"/>
        </w:rPr>
        <w:t>hombres</w:t>
      </w:r>
      <w:r>
        <w:rPr>
          <w:color w:val="231F20"/>
          <w:spacing w:val="-13"/>
          <w:w w:val="110"/>
        </w:rPr>
        <w:t> </w:t>
      </w:r>
      <w:r>
        <w:rPr>
          <w:color w:val="231F20"/>
          <w:w w:val="110"/>
        </w:rPr>
        <w:t>como</w:t>
      </w:r>
      <w:r>
        <w:rPr>
          <w:color w:val="231F20"/>
          <w:spacing w:val="-13"/>
          <w:w w:val="110"/>
        </w:rPr>
        <w:t> </w:t>
      </w:r>
      <w:r>
        <w:rPr>
          <w:color w:val="231F20"/>
          <w:w w:val="110"/>
        </w:rPr>
        <w:t>solteros,</w:t>
      </w:r>
      <w:r>
        <w:rPr>
          <w:color w:val="231F20"/>
          <w:spacing w:val="-13"/>
          <w:w w:val="110"/>
        </w:rPr>
        <w:t> </w:t>
      </w:r>
      <w:r>
        <w:rPr>
          <w:color w:val="231F20"/>
          <w:w w:val="110"/>
        </w:rPr>
        <w:t>principalmente</w:t>
      </w:r>
      <w:r>
        <w:rPr>
          <w:color w:val="231F20"/>
          <w:spacing w:val="-13"/>
          <w:w w:val="110"/>
        </w:rPr>
        <w:t> </w:t>
      </w:r>
      <w:r>
        <w:rPr>
          <w:color w:val="231F20"/>
          <w:w w:val="110"/>
        </w:rPr>
        <w:t>en</w:t>
      </w:r>
      <w:r>
        <w:rPr>
          <w:color w:val="231F20"/>
          <w:spacing w:val="-13"/>
          <w:w w:val="110"/>
        </w:rPr>
        <w:t> </w:t>
      </w:r>
      <w:r>
        <w:rPr>
          <w:color w:val="231F20"/>
          <w:w w:val="110"/>
        </w:rPr>
        <w:t>los</w:t>
      </w:r>
      <w:r>
        <w:rPr>
          <w:color w:val="231F20"/>
          <w:spacing w:val="-13"/>
          <w:w w:val="110"/>
        </w:rPr>
        <w:t> </w:t>
      </w:r>
      <w:r>
        <w:rPr>
          <w:color w:val="231F20"/>
          <w:w w:val="110"/>
        </w:rPr>
        <w:t>primeros</w:t>
      </w:r>
      <w:r>
        <w:rPr>
          <w:color w:val="231F20"/>
          <w:spacing w:val="-13"/>
          <w:w w:val="110"/>
        </w:rPr>
        <w:t> </w:t>
      </w:r>
      <w:r>
        <w:rPr>
          <w:color w:val="231F20"/>
          <w:w w:val="110"/>
        </w:rPr>
        <w:t>grupos de edad donde sí existe un mayor número de hombres solteros. Por otro lado, los alguna vez unidos presentan un crecimiento tanto en hombres como en mujeres, situación más notoria entre hombres jóvenes en con- </w:t>
      </w:r>
      <w:r>
        <w:rPr>
          <w:color w:val="231F20"/>
          <w:spacing w:val="2"/>
          <w:w w:val="110"/>
        </w:rPr>
        <w:t>traste </w:t>
      </w:r>
      <w:r>
        <w:rPr>
          <w:color w:val="231F20"/>
          <w:w w:val="110"/>
        </w:rPr>
        <w:t>con la </w:t>
      </w:r>
      <w:r>
        <w:rPr>
          <w:color w:val="231F20"/>
          <w:spacing w:val="2"/>
          <w:w w:val="110"/>
        </w:rPr>
        <w:t>situación </w:t>
      </w:r>
      <w:r>
        <w:rPr>
          <w:color w:val="231F20"/>
          <w:w w:val="110"/>
        </w:rPr>
        <w:t>de las </w:t>
      </w:r>
      <w:r>
        <w:rPr>
          <w:color w:val="231F20"/>
          <w:spacing w:val="2"/>
          <w:w w:val="110"/>
        </w:rPr>
        <w:t>mujeres donde ellas, conforme avanza </w:t>
      </w:r>
      <w:r>
        <w:rPr>
          <w:color w:val="231F20"/>
          <w:w w:val="110"/>
        </w:rPr>
        <w:t>la edad, aumenta su  número.</w:t>
      </w:r>
    </w:p>
    <w:p>
      <w:pPr>
        <w:spacing w:after="0" w:line="280" w:lineRule="auto"/>
        <w:jc w:val="both"/>
        <w:sectPr>
          <w:pgSz w:w="9520" w:h="12920"/>
          <w:pgMar w:header="0" w:footer="1344" w:top="880" w:bottom="1540" w:left="1020" w:right="1320"/>
        </w:sectPr>
      </w:pPr>
    </w:p>
    <w:p>
      <w:pPr>
        <w:spacing w:line="185" w:lineRule="exact" w:before="65"/>
        <w:ind w:left="465" w:right="457" w:firstLine="0"/>
        <w:jc w:val="center"/>
        <w:rPr>
          <w:sz w:val="16"/>
        </w:rPr>
      </w:pPr>
      <w:r>
        <w:rPr>
          <w:color w:val="231F20"/>
          <w:w w:val="105"/>
          <w:sz w:val="16"/>
        </w:rPr>
        <w:t>Gráfica 2</w:t>
      </w:r>
    </w:p>
    <w:p>
      <w:pPr>
        <w:spacing w:line="220" w:lineRule="exact" w:before="0"/>
        <w:ind w:left="465" w:right="457" w:firstLine="0"/>
        <w:jc w:val="center"/>
        <w:rPr>
          <w:sz w:val="19"/>
        </w:rPr>
      </w:pPr>
      <w:r>
        <w:rPr>
          <w:color w:val="231F20"/>
          <w:w w:val="90"/>
          <w:sz w:val="19"/>
        </w:rPr>
        <w:t>Pirámide de población por situación conyugal por grupos quinquenales. México, 1990</w:t>
      </w:r>
    </w:p>
    <w:p>
      <w:pPr>
        <w:pStyle w:val="BodyText"/>
        <w:spacing w:before="1"/>
        <w:rPr>
          <w:sz w:val="23"/>
        </w:rPr>
      </w:pPr>
    </w:p>
    <w:p>
      <w:pPr>
        <w:spacing w:after="0"/>
        <w:rPr>
          <w:sz w:val="23"/>
        </w:rPr>
        <w:sectPr>
          <w:pgSz w:w="9520" w:h="12920"/>
          <w:pgMar w:header="0" w:footer="1344" w:top="880" w:bottom="1540" w:left="1320" w:right="1000"/>
        </w:sectPr>
      </w:pPr>
    </w:p>
    <w:p>
      <w:pPr>
        <w:spacing w:before="82"/>
        <w:ind w:left="0" w:right="0" w:firstLine="0"/>
        <w:jc w:val="right"/>
        <w:rPr>
          <w:sz w:val="12"/>
        </w:rPr>
      </w:pPr>
      <w:r>
        <w:rPr/>
        <w:pict>
          <v:group style="position:absolute;margin-left:111.820503pt;margin-top:3.131604pt;width:269.1pt;height:176.4pt;mso-position-horizontal-relative:page;mso-position-vertical-relative:paragraph;z-index:-457624" coordorigin="2236,63" coordsize="5382,3528">
            <v:rect style="position:absolute;left:4937;top:994;width:153;height:221" filled="true" fillcolor="#d1d3d4" stroked="false">
              <v:fill type="solid"/>
            </v:rect>
            <v:shape style="position:absolute;left:3143;top:3538;width:3571;height:35" coordorigin="3143,3538" coordsize="3571,35" path="m3143,3538l3143,3572m4030,3538l4030,3572m5816,3538l5816,3572m6713,3538l6713,3572e" filled="false" stroked="true" strokeweight=".285pt" strokecolor="#231f20">
              <v:path arrowok="t"/>
            </v:shape>
            <v:shape style="position:absolute;left:2927;top:2156;width:3841;height:1383" coordorigin="2927,2156" coordsize="3841,1383" path="m4989,2156l4878,2156,4878,2377,4989,2377,4989,2156m5023,2388l4844,2388,4844,2609,5023,2609,5023,2388m5078,2620l4773,2620,4773,2841,5078,2841,5078,2620m5243,2853l4530,2853,4530,3074,5243,3074,5243,2853m5757,3085l3910,3085,3910,3306,5757,3306,5757,3085m6768,3317l2927,3317,2927,3538,6768,3538,6768,3317e" filled="true" fillcolor="#58595b" stroked="false">
              <v:path arrowok="t"/>
              <v:fill type="solid"/>
            </v:shape>
            <v:line style="position:absolute" from="4932,1924" to="4932,2145" stroked="true" strokeweight="3.681pt" strokecolor="#58595b"/>
            <v:line style="position:absolute" from="4936,1691" to="4936,1912" stroked="true" strokeweight="3.209pt" strokecolor="#58595b"/>
            <v:line style="position:absolute" from="4936,1459" to="4936,1680" stroked="true" strokeweight="2.314pt" strokecolor="#58595b"/>
            <v:line style="position:absolute" from="4934,1227" to="4934,1448" stroked="true" strokeweight="2.087pt" strokecolor="#58595b"/>
            <v:line style="position:absolute" from="4931,994" to="4931,1216" stroked="true" strokeweight="1.237pt" strokecolor="#58595b"/>
            <v:rect style="position:absolute;left:4917;top:762;width:30;height:221" filled="true" fillcolor="#58595b" stroked="false">
              <v:fill type="solid"/>
            </v:rect>
            <v:line style="position:absolute" from="2878,3317" to="2878,3538" stroked="true" strokeweight="4.897pt" strokecolor="#d1d3d4"/>
            <v:shape style="position:absolute;left:3301;top:762;width:3789;height:2777" coordorigin="3301,762" coordsize="3789,2777" path="m3910,3085l3301,3085,3301,3306,3910,3306,3910,3085m4530,2853l3605,2853,3605,3074,4530,3074,4530,2853m4773,2620l3814,2620,3814,2841,4773,2841,4773,2620m4844,2388l3980,2388,3980,2609,4844,2609,4844,2388m4878,2156l4199,2156,4199,2377,4878,2377,4878,2156m4895,1924l4311,1924,4311,2145,4895,2145,4895,1924m4904,1691l4454,1691,4454,1912,4904,1912,4904,1691m4913,1459l4553,1459,4553,1680,4913,1680,4913,1459m4919,1227l4628,1227,4628,1448,4919,1448,4919,1227m4919,994l4711,994,4711,1216,4919,1216,4919,994m4919,762l4790,762,4790,983,4919,983,4919,762m5180,1227l4955,1227,4955,1448,5180,1448,5180,1227m5258,1459l4955,1459,4955,1680,5258,1680,5258,1459m5372,1691l4968,1691,4968,1912,5372,1912,5372,1691m5507,1924l4968,1924,4968,2145,5507,2145,5507,1924m5634,2156l4989,2156,4989,2377,5634,2377,5634,2156m5895,2388l5023,2388,5023,2609,5895,2609,5895,2388m6095,2620l5078,2620,5078,2841,6095,2841,6095,2620m6348,2853l5243,2853,5243,3074,6348,3074,6348,2853m6688,3085l5757,3085,5757,3306,6688,3306,6688,3085m7089,3317l6768,3317,6768,3538,7089,3538,7089,3317e" filled="true" fillcolor="#d1d3d4" stroked="false">
              <v:path arrowok="t"/>
              <v:fill type="solid"/>
            </v:shape>
            <v:rect style="position:absolute;left:4943;top:762;width:80;height:221" filled="true" fillcolor="#d1d3d4" stroked="false">
              <v:fill type="solid"/>
            </v:rect>
            <v:shape style="position:absolute;left:4924;top:65;width:13;height:454" coordorigin="4924,65" coordsize="13,454" path="m4937,298l4924,298,4924,519,4937,519,4937,298m4937,65l4924,65,4924,286,4937,286,4937,65e" filled="true" fillcolor="#58595b" stroked="false">
              <v:path arrowok="t"/>
              <v:fill type="solid"/>
            </v:shape>
            <v:shape style="position:absolute;left:4838;top:65;width:152;height:686" coordorigin="4838,65" coordsize="152,686" path="m4919,530l4838,530,4838,751,4919,751,4919,530m4924,298l4871,298,4871,519,4924,519,4924,298m4946,65l4898,65,4898,286,4946,286,4946,65m4963,298l4937,298,4937,519,4963,519,4963,298m4990,530l4937,530,4937,751,4990,751,4990,530e" filled="true" fillcolor="#d1d3d4" stroked="false">
              <v:path arrowok="t"/>
              <v:fill type="solid"/>
            </v:shape>
            <v:shape style="position:absolute;left:4946;top:68;width:134;height:680" coordorigin="4946,68" coordsize="134,680" path="m4999,68l4946,68,4946,284,4999,284,4999,68m5030,300l4963,300,4963,516,5030,516,5030,300m5080,533l4990,533,4990,748,5080,748,5080,533e" filled="true" fillcolor="#939598" stroked="false">
              <v:path arrowok="t"/>
              <v:fill type="solid"/>
            </v:shape>
            <v:shape style="position:absolute;left:5026;top:765;width:582;height:1378" coordorigin="5026,765" coordsize="582,1378" path="m5128,765l5026,765,5026,981,5128,981,5128,765m5210,997l5092,997,5092,1213,5210,1213,5210,997m5312,1230l5180,1230,5180,1445,5312,1445,5312,1230m5364,1462l5258,1462,5258,1677,5364,1677,5364,1462m5479,1694l5372,1694,5372,1909,5479,1909,5479,1694m5607,1927l5507,1927,5507,2142,5607,2142,5607,1927e" filled="true" fillcolor="#939598" stroked="false">
              <v:path arrowok="t"/>
              <v:fill type="solid"/>
            </v:shape>
            <v:line style="position:absolute" from="5684,2158" to="5684,2374" stroked="true" strokeweight="4.940pt" strokecolor="#939598"/>
            <v:line style="position:absolute" from="5940,2391" to="5940,2609" stroked="true" strokeweight="4.526pt" strokecolor="#939598"/>
            <v:line style="position:absolute" from="6140,2623" to="6140,2839" stroked="true" strokeweight="4.294pt" strokecolor="#939598"/>
            <v:line style="position:absolute" from="6385,2855" to="6385,3071" stroked="true" strokeweight="3.767pt" strokecolor="#939598"/>
            <v:line style="position:absolute" from="6719,3088" to="6719,3303" stroked="true" strokeweight="3.048pt" strokecolor="#939598"/>
            <v:line style="position:absolute" from="7101,3320" to="7101,3538" stroked="true" strokeweight="1.136pt" strokecolor="#939598"/>
            <v:line style="position:absolute" from="2822,3320" to="2822,3538" stroked="true" strokeweight=".568pt" strokecolor="#939598"/>
            <v:line style="position:absolute" from="3290,3088" to="3290,3303" stroked="true" strokeweight=".998pt" strokecolor="#939598"/>
            <v:shape style="position:absolute;left:3589;top:1926;width:704;height:1145" coordorigin="3589,1926" coordsize="704,1145" path="m3589,2855l3589,3071m3798,2623l3798,2838m3964,2391l3964,2606m4183,2159l4183,2374m4292,1926l4292,2142e" filled="false" stroked="true" strokeweight="1.654pt" strokecolor="#939598">
              <v:path arrowok="t"/>
            </v:shape>
            <v:line style="position:absolute" from="4429,1694" to="4429,1909" stroked="true" strokeweight="2.461pt" strokecolor="#939598"/>
            <v:line style="position:absolute" from="4537,1462" to="4537,1677" stroked="true" strokeweight="1.654pt" strokecolor="#939598"/>
            <v:line style="position:absolute" from="4604,1230" to="4604,1445" stroked="true" strokeweight="2.245pt" strokecolor="#939598"/>
            <v:shape style="position:absolute;left:4694;top:765;width:80;height:448" coordorigin="4694,765" coordsize="80,448" path="m4694,997l4694,1213m4773,765l4773,980e" filled="false" stroked="true" strokeweight="1.654pt" strokecolor="#939598">
              <v:path arrowok="t"/>
            </v:shape>
            <v:shape style="position:absolute;left:4805;top:68;width:91;height:681" coordorigin="4805,68" coordsize="91,681" path="m4838,533l4805,533,4805,748,4838,748,4838,533m4872,300l4847,300,4847,516,4872,516,4872,300m4896,68l4863,68,4863,284,4896,284,4896,68e" filled="true" fillcolor="#939598" stroked="false">
              <v:path arrowok="t"/>
              <v:fill type="solid"/>
            </v:shape>
            <v:line style="position:absolute" from="2254,3555" to="7601,3555" stroked="true" strokeweight="1.71pt" strokecolor="#231f20"/>
            <v:shape style="position:absolute;left:4917;top:65;width:30;height:686" coordorigin="4917,65" coordsize="30,686" path="m4937,65l4924,65,4924,286,4937,286,4937,65m4946,530l4917,530,4917,751,4946,751,4946,530e" filled="true" fillcolor="#58595b" stroked="false">
              <v:path arrowok="t"/>
              <v:fill type="solid"/>
            </v:shape>
            <v:line style="position:absolute" from="4927,3562" to="4927,66" stroked="true" strokeweight=".285pt" strokecolor="#231f20"/>
            <w10:wrap type="none"/>
          </v:group>
        </w:pict>
      </w:r>
      <w:r>
        <w:rPr>
          <w:color w:val="231F20"/>
          <w:w w:val="115"/>
          <w:sz w:val="12"/>
        </w:rPr>
        <w:t>85+</w:t>
      </w:r>
    </w:p>
    <w:p>
      <w:pPr>
        <w:spacing w:before="93"/>
        <w:ind w:left="0" w:right="0" w:firstLine="0"/>
        <w:jc w:val="right"/>
        <w:rPr>
          <w:sz w:val="12"/>
        </w:rPr>
      </w:pPr>
      <w:r>
        <w:rPr>
          <w:color w:val="231F20"/>
          <w:sz w:val="12"/>
        </w:rPr>
        <w:t>80-84</w:t>
      </w:r>
    </w:p>
    <w:p>
      <w:pPr>
        <w:spacing w:before="93"/>
        <w:ind w:left="0" w:right="0" w:firstLine="0"/>
        <w:jc w:val="right"/>
        <w:rPr>
          <w:sz w:val="12"/>
        </w:rPr>
      </w:pPr>
      <w:r>
        <w:rPr>
          <w:color w:val="231F20"/>
          <w:sz w:val="12"/>
        </w:rPr>
        <w:t>75-79</w:t>
      </w:r>
    </w:p>
    <w:p>
      <w:pPr>
        <w:spacing w:before="93"/>
        <w:ind w:left="0" w:right="0" w:firstLine="0"/>
        <w:jc w:val="right"/>
        <w:rPr>
          <w:sz w:val="12"/>
        </w:rPr>
      </w:pPr>
      <w:r>
        <w:rPr>
          <w:color w:val="231F20"/>
          <w:sz w:val="12"/>
        </w:rPr>
        <w:t>70-74</w:t>
      </w:r>
    </w:p>
    <w:p>
      <w:pPr>
        <w:spacing w:before="93"/>
        <w:ind w:left="0" w:right="0" w:firstLine="0"/>
        <w:jc w:val="right"/>
        <w:rPr>
          <w:sz w:val="12"/>
        </w:rPr>
      </w:pPr>
      <w:r>
        <w:rPr>
          <w:color w:val="231F20"/>
          <w:sz w:val="12"/>
        </w:rPr>
        <w:t>65-69</w:t>
      </w:r>
    </w:p>
    <w:p>
      <w:pPr>
        <w:spacing w:before="93"/>
        <w:ind w:left="0" w:right="0" w:firstLine="0"/>
        <w:jc w:val="right"/>
        <w:rPr>
          <w:sz w:val="12"/>
        </w:rPr>
      </w:pPr>
      <w:r>
        <w:rPr>
          <w:color w:val="231F20"/>
          <w:sz w:val="12"/>
        </w:rPr>
        <w:t>60-64</w:t>
      </w:r>
    </w:p>
    <w:p>
      <w:pPr>
        <w:spacing w:before="93"/>
        <w:ind w:left="0" w:right="0" w:firstLine="0"/>
        <w:jc w:val="right"/>
        <w:rPr>
          <w:sz w:val="12"/>
        </w:rPr>
      </w:pPr>
      <w:r>
        <w:rPr>
          <w:color w:val="231F20"/>
          <w:sz w:val="12"/>
        </w:rPr>
        <w:t>55-59</w:t>
      </w:r>
    </w:p>
    <w:p>
      <w:pPr>
        <w:spacing w:before="93"/>
        <w:ind w:left="0" w:right="0" w:firstLine="0"/>
        <w:jc w:val="right"/>
        <w:rPr>
          <w:sz w:val="12"/>
        </w:rPr>
      </w:pPr>
      <w:r>
        <w:rPr>
          <w:color w:val="231F20"/>
          <w:sz w:val="12"/>
        </w:rPr>
        <w:t>50-54</w:t>
      </w:r>
    </w:p>
    <w:p>
      <w:pPr>
        <w:spacing w:before="93"/>
        <w:ind w:left="0" w:right="0" w:firstLine="0"/>
        <w:jc w:val="right"/>
        <w:rPr>
          <w:sz w:val="12"/>
        </w:rPr>
      </w:pPr>
      <w:r>
        <w:rPr>
          <w:color w:val="231F20"/>
          <w:sz w:val="12"/>
        </w:rPr>
        <w:t>45-49</w:t>
      </w:r>
    </w:p>
    <w:p>
      <w:pPr>
        <w:spacing w:before="93"/>
        <w:ind w:left="0" w:right="0" w:firstLine="0"/>
        <w:jc w:val="right"/>
        <w:rPr>
          <w:sz w:val="12"/>
        </w:rPr>
      </w:pPr>
      <w:r>
        <w:rPr>
          <w:color w:val="231F20"/>
          <w:sz w:val="12"/>
        </w:rPr>
        <w:t>40-44</w:t>
      </w:r>
    </w:p>
    <w:p>
      <w:pPr>
        <w:spacing w:before="93"/>
        <w:ind w:left="0" w:right="0" w:firstLine="0"/>
        <w:jc w:val="right"/>
        <w:rPr>
          <w:sz w:val="12"/>
        </w:rPr>
      </w:pPr>
      <w:r>
        <w:rPr>
          <w:color w:val="231F20"/>
          <w:sz w:val="12"/>
        </w:rPr>
        <w:t>35-39</w:t>
      </w:r>
    </w:p>
    <w:p>
      <w:pPr>
        <w:spacing w:before="93"/>
        <w:ind w:left="0" w:right="0" w:firstLine="0"/>
        <w:jc w:val="right"/>
        <w:rPr>
          <w:sz w:val="12"/>
        </w:rPr>
      </w:pPr>
      <w:r>
        <w:rPr>
          <w:color w:val="231F20"/>
          <w:sz w:val="12"/>
        </w:rPr>
        <w:t>30-34</w:t>
      </w:r>
    </w:p>
    <w:p>
      <w:pPr>
        <w:spacing w:before="93"/>
        <w:ind w:left="0" w:right="0" w:firstLine="0"/>
        <w:jc w:val="right"/>
        <w:rPr>
          <w:sz w:val="12"/>
        </w:rPr>
      </w:pPr>
      <w:r>
        <w:rPr>
          <w:color w:val="231F20"/>
          <w:sz w:val="12"/>
        </w:rPr>
        <w:t>25-29</w:t>
      </w:r>
    </w:p>
    <w:p>
      <w:pPr>
        <w:spacing w:before="93"/>
        <w:ind w:left="0" w:right="0" w:firstLine="0"/>
        <w:jc w:val="right"/>
        <w:rPr>
          <w:sz w:val="12"/>
        </w:rPr>
      </w:pPr>
      <w:r>
        <w:rPr>
          <w:color w:val="231F20"/>
          <w:sz w:val="12"/>
        </w:rPr>
        <w:t>20-24</w:t>
      </w:r>
    </w:p>
    <w:p>
      <w:pPr>
        <w:spacing w:before="93"/>
        <w:ind w:left="0" w:right="0" w:firstLine="0"/>
        <w:jc w:val="right"/>
        <w:rPr>
          <w:sz w:val="12"/>
        </w:rPr>
      </w:pPr>
      <w:r>
        <w:rPr>
          <w:color w:val="231F20"/>
          <w:sz w:val="12"/>
        </w:rPr>
        <w:t>15-19</w:t>
      </w:r>
    </w:p>
    <w:p>
      <w:pPr>
        <w:pStyle w:val="BodyText"/>
        <w:rPr>
          <w:sz w:val="12"/>
        </w:rPr>
      </w:pPr>
      <w:r>
        <w:rPr/>
        <w:br w:type="column"/>
      </w:r>
      <w:r>
        <w:rPr>
          <w:sz w:val="12"/>
        </w:rPr>
      </w:r>
    </w:p>
    <w:p>
      <w:pPr>
        <w:spacing w:before="0"/>
        <w:ind w:left="636" w:right="-12" w:firstLine="0"/>
        <w:jc w:val="left"/>
        <w:rPr>
          <w:sz w:val="12"/>
        </w:rPr>
      </w:pPr>
      <w:r>
        <w:rPr>
          <w:color w:val="231F20"/>
          <w:w w:val="110"/>
          <w:sz w:val="12"/>
        </w:rPr>
        <w:t>Hombres</w:t>
      </w:r>
    </w:p>
    <w:p>
      <w:pPr>
        <w:pStyle w:val="BodyText"/>
        <w:rPr>
          <w:sz w:val="12"/>
        </w:rPr>
      </w:pPr>
      <w:r>
        <w:rPr/>
        <w:br w:type="column"/>
      </w:r>
      <w:r>
        <w:rPr>
          <w:sz w:val="12"/>
        </w:rPr>
      </w:r>
    </w:p>
    <w:p>
      <w:pPr>
        <w:spacing w:before="0"/>
        <w:ind w:left="636" w:right="-15" w:firstLine="0"/>
        <w:jc w:val="left"/>
        <w:rPr>
          <w:sz w:val="12"/>
        </w:rPr>
      </w:pPr>
      <w:r>
        <w:rPr>
          <w:color w:val="231F20"/>
          <w:w w:val="110"/>
          <w:sz w:val="12"/>
        </w:rPr>
        <w:t>Mujeres</w:t>
      </w:r>
    </w:p>
    <w:p>
      <w:pPr>
        <w:pStyle w:val="BodyText"/>
        <w:rPr>
          <w:sz w:val="12"/>
        </w:rPr>
      </w:pPr>
      <w:r>
        <w:rPr/>
        <w:br w:type="column"/>
      </w:r>
      <w:r>
        <w:rPr>
          <w:sz w:val="12"/>
        </w:rPr>
      </w:r>
    </w:p>
    <w:p>
      <w:pPr>
        <w:pStyle w:val="BodyText"/>
        <w:rPr>
          <w:sz w:val="12"/>
        </w:rPr>
      </w:pPr>
    </w:p>
    <w:p>
      <w:pPr>
        <w:pStyle w:val="BodyText"/>
        <w:rPr>
          <w:sz w:val="12"/>
        </w:rPr>
      </w:pPr>
    </w:p>
    <w:p>
      <w:pPr>
        <w:pStyle w:val="BodyText"/>
        <w:rPr>
          <w:sz w:val="12"/>
        </w:rPr>
      </w:pPr>
    </w:p>
    <w:p>
      <w:pPr>
        <w:pStyle w:val="BodyText"/>
        <w:rPr>
          <w:sz w:val="12"/>
        </w:rPr>
      </w:pPr>
    </w:p>
    <w:p>
      <w:pPr>
        <w:spacing w:line="664" w:lineRule="auto" w:before="97"/>
        <w:ind w:left="539" w:right="1229" w:firstLine="0"/>
        <w:jc w:val="left"/>
        <w:rPr>
          <w:sz w:val="12"/>
        </w:rPr>
      </w:pPr>
      <w:r>
        <w:rPr/>
        <w:pict>
          <v:line style="position:absolute;mso-position-horizontal-relative:page;mso-position-vertical-relative:paragraph;z-index:1312" from="336.705994pt,8.575702pt" to="340.885994pt,8.575702pt" stroked="true" strokeweight="3.61pt" strokecolor="#58595b">
            <w10:wrap type="none"/>
          </v:line>
        </w:pict>
      </w:r>
      <w:r>
        <w:rPr/>
        <w:pict>
          <v:line style="position:absolute;mso-position-horizontal-relative:page;mso-position-vertical-relative:paragraph;z-index:1336" from="336.705994pt,27.527702pt" to="340.885994pt,27.527702pt" stroked="true" strokeweight="3.61pt" strokecolor="#939598">
            <w10:wrap type="none"/>
          </v:line>
        </w:pict>
      </w:r>
      <w:r>
        <w:rPr>
          <w:color w:val="231F20"/>
          <w:w w:val="105"/>
          <w:sz w:val="12"/>
        </w:rPr>
        <w:t>Soltero </w:t>
      </w:r>
      <w:r>
        <w:rPr>
          <w:color w:val="231F20"/>
          <w:w w:val="110"/>
          <w:sz w:val="12"/>
        </w:rPr>
        <w:t>Unido</w:t>
      </w:r>
    </w:p>
    <w:p>
      <w:pPr>
        <w:spacing w:line="117" w:lineRule="exact" w:before="0"/>
        <w:ind w:left="539" w:right="0" w:firstLine="0"/>
        <w:jc w:val="left"/>
        <w:rPr>
          <w:sz w:val="12"/>
        </w:rPr>
      </w:pPr>
      <w:r>
        <w:rPr/>
        <w:pict>
          <v:line style="position:absolute;mso-position-horizontal-relative:page;mso-position-vertical-relative:paragraph;z-index:1288" from="336.705994pt,2.645933pt" to="340.885994pt,2.645933pt" stroked="true" strokeweight="3.61pt" strokecolor="#d1d3d4">
            <w10:wrap type="none"/>
          </v:line>
        </w:pict>
      </w:r>
      <w:r>
        <w:rPr>
          <w:color w:val="231F20"/>
          <w:w w:val="110"/>
          <w:sz w:val="12"/>
        </w:rPr>
        <w:t>Alguna vez unido</w:t>
      </w:r>
    </w:p>
    <w:p>
      <w:pPr>
        <w:spacing w:after="0" w:line="117" w:lineRule="exact"/>
        <w:jc w:val="left"/>
        <w:rPr>
          <w:sz w:val="12"/>
        </w:rPr>
        <w:sectPr>
          <w:type w:val="continuous"/>
          <w:pgSz w:w="9520" w:h="12920"/>
          <w:pgMar w:top="0" w:bottom="0" w:left="1320" w:right="1000"/>
          <w:cols w:num="4" w:equalWidth="0">
            <w:col w:w="945" w:space="357"/>
            <w:col w:w="1163" w:space="1423"/>
            <w:col w:w="1097" w:space="40"/>
            <w:col w:w="2175"/>
          </w:cols>
        </w:sectPr>
      </w:pPr>
    </w:p>
    <w:p>
      <w:pPr>
        <w:spacing w:before="85"/>
        <w:ind w:left="668" w:right="0" w:firstLine="0"/>
        <w:jc w:val="left"/>
        <w:rPr>
          <w:sz w:val="12"/>
        </w:rPr>
      </w:pPr>
      <w:r>
        <w:rPr>
          <w:color w:val="231F20"/>
          <w:sz w:val="12"/>
        </w:rPr>
        <w:t>6’000,000</w:t>
      </w:r>
    </w:p>
    <w:p>
      <w:pPr>
        <w:spacing w:before="85"/>
        <w:ind w:left="310" w:right="0" w:firstLine="0"/>
        <w:jc w:val="left"/>
        <w:rPr>
          <w:sz w:val="12"/>
        </w:rPr>
      </w:pPr>
      <w:r>
        <w:rPr/>
        <w:br w:type="column"/>
      </w:r>
      <w:r>
        <w:rPr>
          <w:color w:val="231F20"/>
          <w:sz w:val="12"/>
        </w:rPr>
        <w:t>4’000,000</w:t>
      </w:r>
    </w:p>
    <w:p>
      <w:pPr>
        <w:spacing w:before="85"/>
        <w:ind w:left="261" w:right="0" w:firstLine="0"/>
        <w:jc w:val="left"/>
        <w:rPr>
          <w:sz w:val="12"/>
        </w:rPr>
      </w:pPr>
      <w:r>
        <w:rPr/>
        <w:br w:type="column"/>
      </w:r>
      <w:r>
        <w:rPr>
          <w:color w:val="231F20"/>
          <w:sz w:val="12"/>
        </w:rPr>
        <w:t>2’000,000</w:t>
      </w:r>
    </w:p>
    <w:p>
      <w:pPr>
        <w:tabs>
          <w:tab w:pos="1255" w:val="left" w:leader="none"/>
        </w:tabs>
        <w:spacing w:before="85"/>
        <w:ind w:left="606" w:right="0" w:firstLine="0"/>
        <w:jc w:val="left"/>
        <w:rPr>
          <w:sz w:val="12"/>
        </w:rPr>
      </w:pPr>
      <w:r>
        <w:rPr/>
        <w:br w:type="column"/>
      </w:r>
      <w:r>
        <w:rPr>
          <w:color w:val="231F20"/>
          <w:w w:val="105"/>
          <w:sz w:val="12"/>
        </w:rPr>
        <w:t>0</w:t>
        <w:tab/>
      </w:r>
      <w:r>
        <w:rPr>
          <w:color w:val="231F20"/>
          <w:sz w:val="12"/>
        </w:rPr>
        <w:t>2’000,000</w:t>
      </w:r>
    </w:p>
    <w:p>
      <w:pPr>
        <w:spacing w:before="85"/>
        <w:ind w:left="336" w:right="-1" w:firstLine="0"/>
        <w:jc w:val="left"/>
        <w:rPr>
          <w:sz w:val="12"/>
        </w:rPr>
      </w:pPr>
      <w:r>
        <w:rPr/>
        <w:br w:type="column"/>
      </w:r>
      <w:r>
        <w:rPr>
          <w:color w:val="231F20"/>
          <w:sz w:val="12"/>
        </w:rPr>
        <w:t>4’000,000</w:t>
      </w:r>
    </w:p>
    <w:p>
      <w:pPr>
        <w:spacing w:before="85"/>
        <w:ind w:left="317" w:right="0" w:firstLine="0"/>
        <w:jc w:val="left"/>
        <w:rPr>
          <w:sz w:val="12"/>
        </w:rPr>
      </w:pPr>
      <w:r>
        <w:rPr/>
        <w:br w:type="column"/>
      </w:r>
      <w:r>
        <w:rPr>
          <w:color w:val="231F20"/>
          <w:w w:val="105"/>
          <w:sz w:val="12"/>
        </w:rPr>
        <w:t>6’000,000</w:t>
      </w:r>
    </w:p>
    <w:p>
      <w:pPr>
        <w:spacing w:after="0"/>
        <w:jc w:val="left"/>
        <w:rPr>
          <w:sz w:val="12"/>
        </w:rPr>
        <w:sectPr>
          <w:type w:val="continuous"/>
          <w:pgSz w:w="9520" w:h="12920"/>
          <w:pgMar w:top="0" w:bottom="0" w:left="1320" w:right="1000"/>
          <w:cols w:num="6" w:equalWidth="0">
            <w:col w:w="1205" w:space="39"/>
            <w:col w:w="847" w:space="40"/>
            <w:col w:w="798" w:space="40"/>
            <w:col w:w="1792" w:space="40"/>
            <w:col w:w="872" w:space="40"/>
            <w:col w:w="1487"/>
          </w:cols>
        </w:sectPr>
      </w:pPr>
    </w:p>
    <w:p>
      <w:pPr>
        <w:spacing w:before="73"/>
        <w:ind w:left="484" w:right="0" w:firstLine="0"/>
        <w:jc w:val="left"/>
        <w:rPr>
          <w:sz w:val="15"/>
        </w:rPr>
      </w:pPr>
      <w:r>
        <w:rPr>
          <w:color w:val="231F20"/>
          <w:w w:val="110"/>
          <w:sz w:val="15"/>
        </w:rPr>
        <w:t>Fuente: elaboración propia con datos del Censo de Población y Vivienda de 1990, </w:t>
      </w:r>
      <w:r>
        <w:rPr>
          <w:rFonts w:ascii="Times New Roman" w:hAnsi="Times New Roman"/>
          <w:color w:val="231F20"/>
          <w:w w:val="110"/>
          <w:sz w:val="12"/>
        </w:rPr>
        <w:t>INEGI</w:t>
      </w:r>
      <w:r>
        <w:rPr>
          <w:color w:val="231F20"/>
          <w:w w:val="110"/>
          <w:sz w:val="15"/>
        </w:rPr>
        <w:t>, 2013.</w:t>
      </w:r>
    </w:p>
    <w:p>
      <w:pPr>
        <w:pStyle w:val="BodyText"/>
        <w:rPr>
          <w:sz w:val="14"/>
        </w:rPr>
      </w:pPr>
    </w:p>
    <w:p>
      <w:pPr>
        <w:pStyle w:val="BodyText"/>
        <w:spacing w:before="3"/>
        <w:rPr>
          <w:sz w:val="11"/>
        </w:rPr>
      </w:pPr>
    </w:p>
    <w:p>
      <w:pPr>
        <w:spacing w:line="185" w:lineRule="exact" w:before="0"/>
        <w:ind w:left="465" w:right="457" w:firstLine="0"/>
        <w:jc w:val="center"/>
        <w:rPr>
          <w:sz w:val="16"/>
        </w:rPr>
      </w:pPr>
      <w:r>
        <w:rPr>
          <w:color w:val="231F20"/>
          <w:w w:val="105"/>
          <w:sz w:val="16"/>
        </w:rPr>
        <w:t>Gráfica 3</w:t>
      </w:r>
    </w:p>
    <w:p>
      <w:pPr>
        <w:spacing w:line="220" w:lineRule="exact" w:before="0"/>
        <w:ind w:left="465" w:right="457" w:firstLine="0"/>
        <w:jc w:val="center"/>
        <w:rPr>
          <w:sz w:val="19"/>
        </w:rPr>
      </w:pPr>
      <w:r>
        <w:rPr>
          <w:color w:val="231F20"/>
          <w:w w:val="90"/>
          <w:sz w:val="19"/>
        </w:rPr>
        <w:t>Pirámide de población por situación conyugal por grupos quinquenales. México, 2010</w:t>
      </w:r>
    </w:p>
    <w:p>
      <w:pPr>
        <w:pStyle w:val="BodyText"/>
        <w:spacing w:before="6"/>
      </w:pPr>
    </w:p>
    <w:p>
      <w:pPr>
        <w:spacing w:after="0"/>
        <w:sectPr>
          <w:type w:val="continuous"/>
          <w:pgSz w:w="9520" w:h="12920"/>
          <w:pgMar w:top="0" w:bottom="0" w:left="1320" w:right="1000"/>
        </w:sectPr>
      </w:pPr>
    </w:p>
    <w:p>
      <w:pPr>
        <w:spacing w:before="83"/>
        <w:ind w:left="0" w:right="0" w:firstLine="0"/>
        <w:jc w:val="right"/>
        <w:rPr>
          <w:sz w:val="12"/>
        </w:rPr>
      </w:pPr>
      <w:r>
        <w:rPr>
          <w:color w:val="231F20"/>
          <w:w w:val="115"/>
          <w:sz w:val="12"/>
        </w:rPr>
        <w:t>85+</w:t>
      </w:r>
    </w:p>
    <w:p>
      <w:pPr>
        <w:spacing w:before="93"/>
        <w:ind w:left="0" w:right="0" w:firstLine="0"/>
        <w:jc w:val="right"/>
        <w:rPr>
          <w:sz w:val="12"/>
        </w:rPr>
      </w:pPr>
      <w:r>
        <w:rPr>
          <w:color w:val="231F20"/>
          <w:sz w:val="12"/>
        </w:rPr>
        <w:t>80-84</w:t>
      </w:r>
    </w:p>
    <w:p>
      <w:pPr>
        <w:spacing w:before="93"/>
        <w:ind w:left="0" w:right="0" w:firstLine="0"/>
        <w:jc w:val="right"/>
        <w:rPr>
          <w:sz w:val="12"/>
        </w:rPr>
      </w:pPr>
      <w:r>
        <w:rPr>
          <w:color w:val="231F20"/>
          <w:sz w:val="12"/>
        </w:rPr>
        <w:t>75-79</w:t>
      </w:r>
    </w:p>
    <w:p>
      <w:pPr>
        <w:spacing w:before="93"/>
        <w:ind w:left="0" w:right="0" w:firstLine="0"/>
        <w:jc w:val="right"/>
        <w:rPr>
          <w:sz w:val="12"/>
        </w:rPr>
      </w:pPr>
      <w:r>
        <w:rPr>
          <w:color w:val="231F20"/>
          <w:sz w:val="12"/>
        </w:rPr>
        <w:t>70-74</w:t>
      </w:r>
    </w:p>
    <w:p>
      <w:pPr>
        <w:spacing w:before="93"/>
        <w:ind w:left="0" w:right="0" w:firstLine="0"/>
        <w:jc w:val="right"/>
        <w:rPr>
          <w:sz w:val="12"/>
        </w:rPr>
      </w:pPr>
      <w:r>
        <w:rPr>
          <w:color w:val="231F20"/>
          <w:sz w:val="12"/>
        </w:rPr>
        <w:t>65-69</w:t>
      </w:r>
    </w:p>
    <w:p>
      <w:pPr>
        <w:spacing w:before="93"/>
        <w:ind w:left="0" w:right="0" w:firstLine="0"/>
        <w:jc w:val="right"/>
        <w:rPr>
          <w:sz w:val="12"/>
        </w:rPr>
      </w:pPr>
      <w:r>
        <w:rPr>
          <w:color w:val="231F20"/>
          <w:sz w:val="12"/>
        </w:rPr>
        <w:t>60-64</w:t>
      </w:r>
    </w:p>
    <w:p>
      <w:pPr>
        <w:spacing w:before="93"/>
        <w:ind w:left="0" w:right="0" w:firstLine="0"/>
        <w:jc w:val="right"/>
        <w:rPr>
          <w:sz w:val="12"/>
        </w:rPr>
      </w:pPr>
      <w:r>
        <w:rPr>
          <w:color w:val="231F20"/>
          <w:sz w:val="12"/>
        </w:rPr>
        <w:t>55-59</w:t>
      </w:r>
    </w:p>
    <w:p>
      <w:pPr>
        <w:spacing w:before="93"/>
        <w:ind w:left="0" w:right="0" w:firstLine="0"/>
        <w:jc w:val="right"/>
        <w:rPr>
          <w:sz w:val="12"/>
        </w:rPr>
      </w:pPr>
      <w:r>
        <w:rPr>
          <w:color w:val="231F20"/>
          <w:sz w:val="12"/>
        </w:rPr>
        <w:t>50-54</w:t>
      </w:r>
    </w:p>
    <w:p>
      <w:pPr>
        <w:spacing w:before="93"/>
        <w:ind w:left="0" w:right="0" w:firstLine="0"/>
        <w:jc w:val="right"/>
        <w:rPr>
          <w:sz w:val="12"/>
        </w:rPr>
      </w:pPr>
      <w:r>
        <w:rPr>
          <w:color w:val="231F20"/>
          <w:sz w:val="12"/>
        </w:rPr>
        <w:t>45-49</w:t>
      </w:r>
    </w:p>
    <w:p>
      <w:pPr>
        <w:spacing w:before="93"/>
        <w:ind w:left="0" w:right="0" w:firstLine="0"/>
        <w:jc w:val="right"/>
        <w:rPr>
          <w:sz w:val="12"/>
        </w:rPr>
      </w:pPr>
      <w:r>
        <w:rPr>
          <w:color w:val="231F20"/>
          <w:sz w:val="12"/>
        </w:rPr>
        <w:t>40-44</w:t>
      </w:r>
    </w:p>
    <w:p>
      <w:pPr>
        <w:spacing w:before="93"/>
        <w:ind w:left="0" w:right="0" w:firstLine="0"/>
        <w:jc w:val="right"/>
        <w:rPr>
          <w:sz w:val="12"/>
        </w:rPr>
      </w:pPr>
      <w:r>
        <w:rPr>
          <w:color w:val="231F20"/>
          <w:sz w:val="12"/>
        </w:rPr>
        <w:t>35-39</w:t>
      </w:r>
    </w:p>
    <w:p>
      <w:pPr>
        <w:spacing w:before="93"/>
        <w:ind w:left="0" w:right="0" w:firstLine="0"/>
        <w:jc w:val="right"/>
        <w:rPr>
          <w:sz w:val="12"/>
        </w:rPr>
      </w:pPr>
      <w:r>
        <w:rPr>
          <w:color w:val="231F20"/>
          <w:sz w:val="12"/>
        </w:rPr>
        <w:t>30-34</w:t>
      </w:r>
    </w:p>
    <w:p>
      <w:pPr>
        <w:spacing w:before="93"/>
        <w:ind w:left="0" w:right="0" w:firstLine="0"/>
        <w:jc w:val="right"/>
        <w:rPr>
          <w:sz w:val="12"/>
        </w:rPr>
      </w:pPr>
      <w:r>
        <w:rPr>
          <w:color w:val="231F20"/>
          <w:sz w:val="12"/>
        </w:rPr>
        <w:t>25-29</w:t>
      </w:r>
    </w:p>
    <w:p>
      <w:pPr>
        <w:spacing w:before="93"/>
        <w:ind w:left="0" w:right="0" w:firstLine="0"/>
        <w:jc w:val="right"/>
        <w:rPr>
          <w:sz w:val="12"/>
        </w:rPr>
      </w:pPr>
      <w:r>
        <w:rPr>
          <w:color w:val="231F20"/>
          <w:sz w:val="12"/>
        </w:rPr>
        <w:t>20-24</w:t>
      </w:r>
    </w:p>
    <w:p>
      <w:pPr>
        <w:spacing w:before="93"/>
        <w:ind w:left="0" w:right="0" w:firstLine="0"/>
        <w:jc w:val="right"/>
        <w:rPr>
          <w:sz w:val="12"/>
        </w:rPr>
      </w:pPr>
      <w:r>
        <w:rPr>
          <w:color w:val="231F20"/>
          <w:sz w:val="12"/>
        </w:rPr>
        <w:t>15-19</w:t>
      </w:r>
    </w:p>
    <w:p>
      <w:pPr>
        <w:pStyle w:val="BodyText"/>
        <w:rPr>
          <w:sz w:val="12"/>
        </w:rPr>
      </w:pPr>
      <w:r>
        <w:rPr/>
        <w:br w:type="column"/>
      </w:r>
      <w:r>
        <w:rPr>
          <w:sz w:val="12"/>
        </w:rPr>
      </w:r>
    </w:p>
    <w:p>
      <w:pPr>
        <w:spacing w:before="0"/>
        <w:ind w:left="636" w:right="-12" w:firstLine="0"/>
        <w:jc w:val="left"/>
        <w:rPr>
          <w:sz w:val="12"/>
        </w:rPr>
      </w:pPr>
      <w:r>
        <w:rPr>
          <w:color w:val="231F20"/>
          <w:w w:val="110"/>
          <w:sz w:val="12"/>
        </w:rPr>
        <w:t>Hombres</w:t>
      </w:r>
    </w:p>
    <w:p>
      <w:pPr>
        <w:pStyle w:val="BodyText"/>
        <w:rPr>
          <w:sz w:val="12"/>
        </w:rPr>
      </w:pPr>
      <w:r>
        <w:rPr/>
        <w:br w:type="column"/>
      </w:r>
      <w:r>
        <w:rPr>
          <w:sz w:val="12"/>
        </w:rPr>
      </w:r>
    </w:p>
    <w:p>
      <w:pPr>
        <w:spacing w:before="0"/>
        <w:ind w:left="636" w:right="-15" w:firstLine="0"/>
        <w:jc w:val="left"/>
        <w:rPr>
          <w:sz w:val="12"/>
        </w:rPr>
      </w:pPr>
      <w:r>
        <w:rPr>
          <w:color w:val="231F20"/>
          <w:w w:val="110"/>
          <w:sz w:val="12"/>
        </w:rPr>
        <w:t>Mujeres</w:t>
      </w:r>
    </w:p>
    <w:p>
      <w:pPr>
        <w:pStyle w:val="BodyText"/>
        <w:rPr>
          <w:sz w:val="12"/>
        </w:rPr>
      </w:pPr>
      <w:r>
        <w:rPr/>
        <w:br w:type="column"/>
      </w:r>
      <w:r>
        <w:rPr>
          <w:sz w:val="12"/>
        </w:rPr>
      </w:r>
    </w:p>
    <w:p>
      <w:pPr>
        <w:pStyle w:val="BodyText"/>
        <w:rPr>
          <w:sz w:val="12"/>
        </w:rPr>
      </w:pPr>
    </w:p>
    <w:p>
      <w:pPr>
        <w:pStyle w:val="BodyText"/>
        <w:rPr>
          <w:sz w:val="12"/>
        </w:rPr>
      </w:pPr>
    </w:p>
    <w:p>
      <w:pPr>
        <w:pStyle w:val="BodyText"/>
        <w:rPr>
          <w:sz w:val="12"/>
        </w:rPr>
      </w:pPr>
    </w:p>
    <w:p>
      <w:pPr>
        <w:spacing w:line="388" w:lineRule="auto" w:before="86"/>
        <w:ind w:left="636" w:right="1029" w:firstLine="0"/>
        <w:jc w:val="left"/>
        <w:rPr>
          <w:sz w:val="12"/>
        </w:rPr>
      </w:pPr>
      <w:r>
        <w:rPr/>
        <w:pict>
          <v:line style="position:absolute;mso-position-horizontal-relative:page;mso-position-vertical-relative:paragraph;z-index:1384" from="348.326294pt,18.983238pt" to="352.254594pt,18.983238pt" stroked="true" strokeweight="3.486pt" strokecolor="#d1d3d4">
            <w10:wrap type="none"/>
          </v:line>
        </w:pict>
      </w:r>
      <w:r>
        <w:rPr/>
        <w:pict>
          <v:line style="position:absolute;mso-position-horizontal-relative:page;mso-position-vertical-relative:paragraph;z-index:1408" from="348.326294pt,8.116338pt" to="352.254594pt,8.116338pt" stroked="true" strokeweight="3.486pt" strokecolor="#58595b">
            <w10:wrap type="none"/>
          </v:line>
        </w:pict>
      </w:r>
      <w:r>
        <w:rPr>
          <w:color w:val="231F20"/>
          <w:w w:val="105"/>
          <w:sz w:val="12"/>
        </w:rPr>
        <w:t>Soltero </w:t>
      </w:r>
      <w:r>
        <w:rPr>
          <w:color w:val="231F20"/>
          <w:w w:val="110"/>
          <w:sz w:val="12"/>
        </w:rPr>
        <w:t>Unido</w:t>
      </w:r>
    </w:p>
    <w:p>
      <w:pPr>
        <w:spacing w:line="119" w:lineRule="exact" w:before="0"/>
        <w:ind w:left="636" w:right="0" w:firstLine="0"/>
        <w:jc w:val="left"/>
        <w:rPr>
          <w:sz w:val="12"/>
        </w:rPr>
      </w:pPr>
      <w:r>
        <w:rPr/>
        <w:pict>
          <v:line style="position:absolute;mso-position-horizontal-relative:page;mso-position-vertical-relative:paragraph;z-index:1432" from="348.326294pt,2.754273pt" to="352.254594pt,2.754273pt" stroked="true" strokeweight="3.486pt" strokecolor="#8c8e90">
            <w10:wrap type="none"/>
          </v:line>
        </w:pict>
      </w:r>
      <w:r>
        <w:rPr>
          <w:color w:val="231F20"/>
          <w:w w:val="110"/>
          <w:sz w:val="12"/>
        </w:rPr>
        <w:t>Alguna vez unido</w:t>
      </w:r>
    </w:p>
    <w:p>
      <w:pPr>
        <w:spacing w:after="0" w:line="119" w:lineRule="exact"/>
        <w:jc w:val="left"/>
        <w:rPr>
          <w:sz w:val="12"/>
        </w:rPr>
        <w:sectPr>
          <w:type w:val="continuous"/>
          <w:pgSz w:w="9520" w:h="12920"/>
          <w:pgMar w:top="0" w:bottom="0" w:left="1320" w:right="1000"/>
          <w:cols w:num="4" w:equalWidth="0">
            <w:col w:w="945" w:space="357"/>
            <w:col w:w="1163" w:space="1423"/>
            <w:col w:w="1097" w:space="143"/>
            <w:col w:w="2072"/>
          </w:cols>
        </w:sectPr>
      </w:pPr>
    </w:p>
    <w:p>
      <w:pPr>
        <w:spacing w:before="71"/>
        <w:ind w:left="746" w:right="0" w:firstLine="0"/>
        <w:jc w:val="left"/>
        <w:rPr>
          <w:sz w:val="12"/>
        </w:rPr>
      </w:pPr>
      <w:r>
        <w:rPr/>
        <w:pict>
          <v:group style="position:absolute;margin-left:115.898796pt;margin-top:-172.908783pt;width:261pt;height:175.15pt;mso-position-horizontal-relative:page;mso-position-vertical-relative:paragraph;z-index:-457528" coordorigin="2318,-3458" coordsize="5220,3503">
            <v:rect style="position:absolute;left:4958;top:-2530;width:213;height:219" filled="true" fillcolor="#d1d3d4" stroked="false">
              <v:fill type="solid"/>
            </v:rect>
            <v:shape style="position:absolute;left:-5463;top:-67;width:1266;height:35" coordorigin="-5463,-67" coordsize="1266,35" path="m4286,-6l4286,28m5578,-6l5578,28e" filled="false" stroked="true" strokeweight=".239952pt" strokecolor="#231f20">
              <v:path arrowok="t"/>
            </v:shape>
            <v:shape style="position:absolute;left:3260;top:-1839;width:3156;height:1833" coordorigin="3260,-1839" coordsize="3156,1833" path="m5013,-1839l4874,-1839,4874,-1620,5013,-1620,5013,-1839m5028,-1608l4851,-1608,4851,-1389,5028,-1389,5028,-1608m5055,-1378l4822,-1378,4822,-1159,5055,-1159,5055,-1378m5114,-1148l4759,-1148,4759,-928,5114,-928,5114,-1148m5182,-917l4666,-917,4666,-698,5182,-698,5182,-917m5345,-687l4428,-687,4428,-467,5345,-467,5345,-687m5764,-456l3925,-456,3925,-237,5764,-237,5764,-456m6415,-226l3260,-226,3260,-6,6415,-6,6415,-226e" filled="true" fillcolor="#58595b" stroked="false">
              <v:path arrowok="t"/>
              <v:fill type="solid"/>
            </v:shape>
            <v:line style="position:absolute" from="4944,-2069" to="4944,-1850" stroked="true" strokeweight="4.563889pt" strokecolor="#58595b"/>
            <v:line style="position:absolute" from="4941,-2300" to="4941,-2080" stroked="true" strokeweight="3.501078pt" strokecolor="#58595b"/>
            <v:line style="position:absolute" from="4936,-2530" to="4936,-2311" stroked="true" strokeweight="2.485746pt" strokecolor="#58595b"/>
            <v:line style="position:absolute" from="4932,-2761" to="4932,-2541" stroked="true" strokeweight="2.868946pt" strokecolor="#58595b"/>
            <v:rect style="position:absolute;left:3228;top:-226;width:32;height:219" filled="true" fillcolor="#d1d3d4" stroked="false">
              <v:fill type="solid"/>
            </v:rect>
            <v:shape style="position:absolute;left:3704;top:-2761;width:2996;height:2755" coordorigin="3704,-2761" coordsize="2996,2755" path="m3925,-456l3704,-456,3704,-237,3925,-237,3925,-456m4428,-687l3957,-687,3957,-467,4428,-467,4428,-687m4666,-917l3989,-917,3989,-698,4666,-698,4666,-917m4759,-1148l4009,-1148,4009,-928,4759,-928,4759,-1148m4822,-1378l4110,-1378,4110,-1159,4822,-1159,4822,-1378m4851,-1608l4235,-1608,4235,-1389,4851,-1389,4851,-1608m4874,-1839l4333,-1839,4333,-1620,4874,-1620,4874,-1839m4898,-2069l4466,-2069,4466,-1850,4898,-1850,4898,-2069m4904,-2761l4745,-2761,4745,-2541,4904,-2541,4904,-2761m4906,-2300l4567,-2300,4567,-2080,4906,-2080,4906,-2300m4911,-2530l4664,-2530,4664,-2311,4911,-2311,4911,-2530m5094,-2761l4961,-2761,4961,-2541,5094,-2541,5094,-2761m5294,-2300l4976,-2300,4976,-2080,5294,-2080,5294,-2300m5423,-2069l4990,-2069,4990,-1850,5423,-1850,5423,-2069m5615,-1839l5013,-1839,5013,-1620,5615,-1620,5615,-1839m5768,-1608l5028,-1608,5028,-1389,5768,-1389,5768,-1608m5950,-1378l5055,-1378,5055,-1159,5950,-1159,5950,-1378m6183,-1148l5114,-1148,5114,-928,6183,-928,6183,-1148m6241,-917l5182,-917,5182,-698,6241,-698,6241,-917m6326,-687l5345,-687,5345,-467,6326,-467,6326,-687m6512,-456l5764,-456,5764,-237,6512,-237,6512,-456m6699,-226l6415,-226,6415,-6,6699,-6,6699,-226e" filled="true" fillcolor="#d1d3d4" stroked="false">
              <v:path arrowok="t"/>
              <v:fill type="solid"/>
            </v:shape>
            <v:shape style="position:absolute;left:4931;top:-3452;width:2;height:450" coordorigin="4931,-3452" coordsize="0,450" path="m4931,-3222l4931,-3002m4931,-3452l4931,-3233e" filled="false" stroked="true" strokeweight=".600275pt" strokecolor="#58595b">
              <v:path arrowok="t"/>
            </v:shape>
            <v:shape style="position:absolute;left:4814;top:-3222;width:213;height:450" coordorigin="4814,-3222" coordsize="213,450" path="m4904,-2991l4814,-2991,4814,-2772,4904,-2772,4904,-2991m4925,-3222l4873,-3222,4873,-3002,4925,-3002,4925,-3222m5026,-2991l4946,-2991,4946,-2772,5026,-2772,5026,-2991e" filled="true" fillcolor="#d1d3d4" stroked="false">
              <v:path arrowok="t"/>
              <v:fill type="solid"/>
            </v:shape>
            <v:line style="position:absolute" from="4950,-3222" to="4950,-3002" stroked="true" strokeweight="1.283256pt" strokecolor="#d1d3d4"/>
            <v:rect style="position:absolute;left:4899;top:-3452;width:47;height:219" filled="true" fillcolor="#d1d3d4" stroked="false">
              <v:fill type="solid"/>
            </v:rect>
            <v:shape style="position:absolute;left:4946;top:-3450;width:1482;height:2981" coordorigin="4946,-3450" coordsize="1482,2981" path="m5066,-3450l4946,-3450,4946,-3235,5066,-3235,5066,-3450m5073,-3219l4962,-3219,4962,-3004,5073,-3004,5073,-3219m5149,-2989l5026,-2989,5026,-2774,5149,-2774,5149,-2989m5257,-2759l5096,-2759,5096,-2544,5257,-2544,5257,-2759m5325,-2528l5173,-2528,5173,-2313,5325,-2313,5325,-2528m5468,-2298l5294,-2298,5294,-2083,5468,-2083,5468,-2298m5587,-2067l5423,-2067,5423,-1852,5587,-1852,5587,-2067m5792,-1837l5615,-1837,5615,-1622,5792,-1622,5792,-1837m5939,-1606l5768,-1606,5768,-1392,5939,-1392,5939,-1606m6116,-1376l5950,-1376,5950,-1161,6116,-1161,6116,-1376m6339,-1145l6183,-1145,6183,-930,6339,-930,6339,-1145m6373,-915l6243,-915,6243,-700,6373,-700,6373,-915m6427,-684l6326,-684,6326,-469,6427,-469,6427,-684e" filled="true" fillcolor="#8c8e90" stroked="false">
              <v:path arrowok="t"/>
              <v:fill type="solid"/>
            </v:shape>
            <v:line style="position:absolute" from="6551,-454" to="6551,-237" stroked="true" strokeweight="3.867023pt" strokecolor="#8c8e90"/>
            <v:line style="position:absolute" from="6713,-223" to="6713,-6" stroked="true" strokeweight="1.400983pt" strokecolor="#8c8e90"/>
            <v:rect style="position:absolute;left:3142;top:-223;width:83;height:217" filled="true" fillcolor="#8c8e90" stroked="false">
              <v:fill type="solid"/>
            </v:rect>
            <v:shape style="position:absolute;left:3393;top:-1837;width:941;height:1598" coordorigin="3393,-1837" coordsize="941,1598" path="m3703,-454l3393,-454,3393,-239,3703,-239,3703,-454m3957,-684l3607,-684,3607,-469,3957,-469,3957,-684m3989,-915l3678,-915,3678,-700,3989,-700,3989,-915m4009,-1145l3713,-1145,3713,-930,4009,-930,4009,-1145m4110,-1376l3909,-1376,3909,-1161,4110,-1161,4110,-1376m4233,-1606l4076,-1606,4076,-1392,4233,-1392,4233,-1606m4333,-1837l4214,-1837,4214,-1622,4333,-1622,4333,-1837e" filled="true" fillcolor="#8c8e90" stroked="false">
              <v:path arrowok="t"/>
              <v:fill type="solid"/>
            </v:shape>
            <v:line style="position:absolute" from="4426,-2067" to="4426,-1852" stroked="true" strokeweight="4.050301pt" strokecolor="#8c8e90"/>
            <v:line style="position:absolute" from="4532,-2298" to="4532,-2083" stroked="true" strokeweight="3.304526pt" strokecolor="#8c8e90"/>
            <v:line style="position:absolute" from="4648,-2528" to="4648,-2313" stroked="true" strokeweight="1.604274pt" strokecolor="#8c8e90"/>
            <v:line style="position:absolute" from="4725,-2759" to="4725,-2544" stroked="true" strokeweight="2.035463pt" strokecolor="#8c8e90"/>
            <v:shape style="position:absolute;left:4777;top:-3450;width:121;height:676" coordorigin="4777,-3450" coordsize="121,676" path="m4814,-2989l4777,-2989,4777,-2774,4814,-2774,4814,-2989m4874,-3219l4849,-3219,4849,-3004,4874,-3004,4874,-3219m4897,-3450l4865,-3450,4865,-3235,4897,-3235,4897,-3450e" filled="true" fillcolor="#8c8e90" stroked="false">
              <v:path arrowok="t"/>
              <v:fill type="solid"/>
            </v:shape>
            <v:shape style="position:absolute;left:-6740;top:-67;width:3817;height:35" coordorigin="-6740,-67" coordsize="3817,35" path="m2985,-6l2985,28m6882,-6l6882,28e" filled="false" stroked="true" strokeweight=".239952pt" strokecolor="#231f20">
              <v:path arrowok="t"/>
            </v:shape>
            <v:line style="position:absolute" from="2335,11" to="7520,11" stroked="true" strokeweight="1.696188pt" strokecolor="#231f20"/>
            <v:line style="position:absolute" from="4931,-3452" to="4931,-3233" stroked="true" strokeweight=".600275pt" strokecolor="#58595b"/>
            <v:rect style="position:absolute;left:4904;top:-2991;width:42;height:219" filled="true" fillcolor="#58595b" stroked="false">
              <v:fill type="solid"/>
            </v:rect>
            <v:shape style="position:absolute;left:-6100;top:-3585;width:2540;height:3554" coordorigin="-6100,-3585" coordsize="2540,3554" path="m4928,17l4928,-3452m3635,-6l3635,28m6229,-6l6229,28e" filled="false" stroked="true" strokeweight=".239952pt" strokecolor="#231f20">
              <v:path arrowok="t"/>
            </v:shape>
            <w10:wrap type="none"/>
          </v:group>
        </w:pict>
      </w:r>
      <w:r>
        <w:rPr>
          <w:color w:val="231F20"/>
          <w:sz w:val="12"/>
        </w:rPr>
        <w:t>8’000,000</w:t>
      </w:r>
    </w:p>
    <w:p>
      <w:pPr>
        <w:spacing w:before="85"/>
        <w:ind w:left="73" w:right="-1" w:firstLine="0"/>
        <w:jc w:val="left"/>
        <w:rPr>
          <w:sz w:val="12"/>
        </w:rPr>
      </w:pPr>
      <w:r>
        <w:rPr/>
        <w:br w:type="column"/>
      </w:r>
      <w:r>
        <w:rPr>
          <w:color w:val="231F20"/>
          <w:w w:val="105"/>
          <w:sz w:val="12"/>
        </w:rPr>
        <w:t>6’000,000   4’000,000</w:t>
      </w:r>
    </w:p>
    <w:p>
      <w:pPr>
        <w:tabs>
          <w:tab w:pos="952" w:val="left" w:leader="none"/>
        </w:tabs>
        <w:spacing w:before="85"/>
        <w:ind w:left="73" w:right="0" w:firstLine="0"/>
        <w:jc w:val="left"/>
        <w:rPr>
          <w:sz w:val="12"/>
        </w:rPr>
      </w:pPr>
      <w:r>
        <w:rPr/>
        <w:br w:type="column"/>
      </w:r>
      <w:r>
        <w:rPr>
          <w:color w:val="231F20"/>
          <w:w w:val="105"/>
          <w:sz w:val="12"/>
        </w:rPr>
        <w:t>2’000,000</w:t>
        <w:tab/>
      </w:r>
      <w:r>
        <w:rPr>
          <w:color w:val="231F20"/>
          <w:sz w:val="12"/>
        </w:rPr>
        <w:t>0</w:t>
      </w:r>
    </w:p>
    <w:p>
      <w:pPr>
        <w:spacing w:before="85"/>
        <w:ind w:left="312" w:right="-1" w:firstLine="0"/>
        <w:jc w:val="left"/>
        <w:rPr>
          <w:sz w:val="12"/>
        </w:rPr>
      </w:pPr>
      <w:r>
        <w:rPr/>
        <w:br w:type="column"/>
      </w:r>
      <w:r>
        <w:rPr>
          <w:color w:val="231F20"/>
          <w:sz w:val="12"/>
        </w:rPr>
        <w:t>2’000,000</w:t>
      </w:r>
    </w:p>
    <w:p>
      <w:pPr>
        <w:spacing w:before="85"/>
        <w:ind w:left="71" w:right="0" w:firstLine="0"/>
        <w:jc w:val="left"/>
        <w:rPr>
          <w:sz w:val="12"/>
        </w:rPr>
      </w:pPr>
      <w:r>
        <w:rPr/>
        <w:br w:type="column"/>
      </w:r>
      <w:r>
        <w:rPr>
          <w:color w:val="231F20"/>
          <w:sz w:val="12"/>
        </w:rPr>
        <w:t>4’000,000</w:t>
      </w:r>
    </w:p>
    <w:p>
      <w:pPr>
        <w:spacing w:before="85"/>
        <w:ind w:left="71" w:right="0" w:firstLine="0"/>
        <w:jc w:val="left"/>
        <w:rPr>
          <w:sz w:val="12"/>
        </w:rPr>
      </w:pPr>
      <w:r>
        <w:rPr/>
        <w:br w:type="column"/>
      </w:r>
      <w:r>
        <w:rPr>
          <w:color w:val="231F20"/>
          <w:sz w:val="12"/>
        </w:rPr>
        <w:t>6’000,000</w:t>
      </w:r>
    </w:p>
    <w:p>
      <w:pPr>
        <w:spacing w:before="85"/>
        <w:ind w:left="71" w:right="0" w:firstLine="0"/>
        <w:jc w:val="left"/>
        <w:rPr>
          <w:sz w:val="12"/>
        </w:rPr>
      </w:pPr>
      <w:r>
        <w:rPr/>
        <w:br w:type="column"/>
      </w:r>
      <w:r>
        <w:rPr>
          <w:color w:val="231F20"/>
          <w:w w:val="105"/>
          <w:sz w:val="12"/>
        </w:rPr>
        <w:t>8’000,000</w:t>
      </w:r>
    </w:p>
    <w:p>
      <w:pPr>
        <w:spacing w:after="0"/>
        <w:jc w:val="left"/>
        <w:rPr>
          <w:sz w:val="12"/>
        </w:rPr>
        <w:sectPr>
          <w:type w:val="continuous"/>
          <w:pgSz w:w="9520" w:h="12920"/>
          <w:pgMar w:top="0" w:bottom="0" w:left="1320" w:right="1000"/>
          <w:cols w:num="7" w:equalWidth="0">
            <w:col w:w="1283" w:space="40"/>
            <w:col w:w="1260" w:space="40"/>
            <w:col w:w="1021" w:space="40"/>
            <w:col w:w="848" w:space="40"/>
            <w:col w:w="608" w:space="40"/>
            <w:col w:w="608" w:space="40"/>
            <w:col w:w="1332"/>
          </w:cols>
        </w:sectPr>
      </w:pPr>
    </w:p>
    <w:p>
      <w:pPr>
        <w:spacing w:before="73"/>
        <w:ind w:left="484" w:right="0" w:firstLine="0"/>
        <w:jc w:val="left"/>
        <w:rPr>
          <w:sz w:val="15"/>
        </w:rPr>
      </w:pPr>
      <w:r>
        <w:rPr>
          <w:color w:val="231F20"/>
          <w:w w:val="110"/>
          <w:sz w:val="15"/>
        </w:rPr>
        <w:t>Fuente: Elaboración propia con datos del Censo de Población y Vivienda de 2010, </w:t>
      </w:r>
      <w:r>
        <w:rPr>
          <w:rFonts w:ascii="Times New Roman" w:hAnsi="Times New Roman"/>
          <w:color w:val="231F20"/>
          <w:w w:val="110"/>
          <w:sz w:val="12"/>
        </w:rPr>
        <w:t>INEGI</w:t>
      </w:r>
      <w:r>
        <w:rPr>
          <w:color w:val="231F20"/>
          <w:w w:val="110"/>
          <w:sz w:val="15"/>
        </w:rPr>
        <w:t>, 2013.</w:t>
      </w:r>
    </w:p>
    <w:p>
      <w:pPr>
        <w:spacing w:after="0"/>
        <w:jc w:val="left"/>
        <w:rPr>
          <w:sz w:val="15"/>
        </w:rPr>
        <w:sectPr>
          <w:type w:val="continuous"/>
          <w:pgSz w:w="9520" w:h="12920"/>
          <w:pgMar w:top="0" w:bottom="0" w:left="1320" w:right="1000"/>
        </w:sectPr>
      </w:pPr>
    </w:p>
    <w:p>
      <w:pPr>
        <w:pStyle w:val="BodyText"/>
        <w:spacing w:line="288" w:lineRule="auto" w:before="42"/>
        <w:ind w:left="120" w:right="118" w:firstLine="360"/>
        <w:jc w:val="both"/>
      </w:pPr>
      <w:r>
        <w:rPr>
          <w:color w:val="231F20"/>
          <w:w w:val="110"/>
        </w:rPr>
        <w:t>El análisis de las mujeres casadas o unidas</w:t>
      </w:r>
      <w:r>
        <w:rPr>
          <w:color w:val="231F20"/>
          <w:w w:val="110"/>
          <w:position w:val="6"/>
          <w:sz w:val="11"/>
        </w:rPr>
        <w:t>2 </w:t>
      </w:r>
      <w:r>
        <w:rPr>
          <w:color w:val="231F20"/>
          <w:w w:val="110"/>
        </w:rPr>
        <w:t>de entre 15 y 24 años</w:t>
      </w:r>
      <w:r>
        <w:rPr>
          <w:color w:val="231F20"/>
          <w:w w:val="110"/>
          <w:position w:val="6"/>
          <w:sz w:val="11"/>
        </w:rPr>
        <w:t>3 </w:t>
      </w:r>
      <w:r>
        <w:rPr>
          <w:color w:val="231F20"/>
          <w:w w:val="110"/>
        </w:rPr>
        <w:t>a nivel estatal muestra un panorama heterogéneo en la República Mexicana para el año 2010 (véase mapa 1). Las menores proporciones de mujeres jóvenes casadas o unidas se encuentran en los municipios del centro del país, abarcando casi el total de estos estados —Distrito Federal, Estado de México, Guanajuato, Puebla, Tlaxcala, Hidalgo, Veracruz, Jalisco, Mi- choacán y Colima—. Los porcentajes más altos corresponden básicamente a regiones ubicadas en el norte y sur del país, con alta concentración de población rural, indígena y marginada.</w:t>
      </w:r>
    </w:p>
    <w:p>
      <w:pPr>
        <w:pStyle w:val="BodyText"/>
        <w:spacing w:before="4"/>
      </w:pPr>
    </w:p>
    <w:p>
      <w:pPr>
        <w:spacing w:line="185" w:lineRule="exact" w:before="0"/>
        <w:ind w:left="457" w:right="457" w:firstLine="0"/>
        <w:jc w:val="center"/>
        <w:rPr>
          <w:sz w:val="16"/>
        </w:rPr>
      </w:pPr>
      <w:r>
        <w:rPr>
          <w:color w:val="231F20"/>
          <w:sz w:val="16"/>
        </w:rPr>
        <w:t>Mapa 1</w:t>
      </w:r>
    </w:p>
    <w:p>
      <w:pPr>
        <w:spacing w:line="220" w:lineRule="exact" w:before="0"/>
        <w:ind w:left="457" w:right="457" w:firstLine="0"/>
        <w:jc w:val="center"/>
        <w:rPr>
          <w:sz w:val="19"/>
        </w:rPr>
      </w:pPr>
      <w:r>
        <w:rPr>
          <w:color w:val="231F20"/>
          <w:w w:val="90"/>
          <w:sz w:val="19"/>
        </w:rPr>
        <w:t>Porcentaje de mujeres de 15 a 24 años casadas y unidas, 2010. México</w:t>
      </w:r>
    </w:p>
    <w:p>
      <w:pPr>
        <w:pStyle w:val="BodyText"/>
        <w:spacing w:before="11"/>
        <w:rPr>
          <w:sz w:val="16"/>
        </w:rPr>
      </w:pPr>
      <w:r>
        <w:rPr/>
        <w:drawing>
          <wp:anchor distT="0" distB="0" distL="0" distR="0" allowOverlap="1" layoutInCell="1" locked="0" behindDoc="0" simplePos="0" relativeHeight="1456">
            <wp:simplePos x="0" y="0"/>
            <wp:positionH relativeFrom="page">
              <wp:posOffset>1234683</wp:posOffset>
            </wp:positionH>
            <wp:positionV relativeFrom="paragraph">
              <wp:posOffset>150971</wp:posOffset>
            </wp:positionV>
            <wp:extent cx="3384590" cy="2358866"/>
            <wp:effectExtent l="0" t="0" r="0" b="0"/>
            <wp:wrapTopAndBottom/>
            <wp:docPr id="7" name="image23.jpeg" descr=""/>
            <wp:cNvGraphicFramePr>
              <a:graphicFrameLocks noChangeAspect="1"/>
            </wp:cNvGraphicFramePr>
            <a:graphic>
              <a:graphicData uri="http://schemas.openxmlformats.org/drawingml/2006/picture">
                <pic:pic>
                  <pic:nvPicPr>
                    <pic:cNvPr id="8" name="image23.jpeg"/>
                    <pic:cNvPicPr/>
                  </pic:nvPicPr>
                  <pic:blipFill>
                    <a:blip r:embed="rId58" cstate="print"/>
                    <a:stretch>
                      <a:fillRect/>
                    </a:stretch>
                  </pic:blipFill>
                  <pic:spPr>
                    <a:xfrm>
                      <a:off x="0" y="0"/>
                      <a:ext cx="3384590" cy="2358866"/>
                    </a:xfrm>
                    <a:prstGeom prst="rect">
                      <a:avLst/>
                    </a:prstGeom>
                  </pic:spPr>
                </pic:pic>
              </a:graphicData>
            </a:graphic>
          </wp:anchor>
        </w:drawing>
      </w:r>
    </w:p>
    <w:p>
      <w:pPr>
        <w:spacing w:before="63"/>
        <w:ind w:left="480" w:right="0" w:firstLine="0"/>
        <w:jc w:val="left"/>
        <w:rPr>
          <w:sz w:val="15"/>
        </w:rPr>
      </w:pPr>
      <w:r>
        <w:rPr>
          <w:color w:val="231F20"/>
          <w:w w:val="110"/>
          <w:sz w:val="15"/>
        </w:rPr>
        <w:t>Fuente: Elaboración propia con datos del Censo de Población y Vivienda de 2010, </w:t>
      </w:r>
      <w:r>
        <w:rPr>
          <w:rFonts w:ascii="Times New Roman" w:hAnsi="Times New Roman"/>
          <w:color w:val="231F20"/>
          <w:w w:val="110"/>
          <w:sz w:val="12"/>
        </w:rPr>
        <w:t>INEGI</w:t>
      </w:r>
      <w:r>
        <w:rPr>
          <w:color w:val="231F20"/>
          <w:w w:val="110"/>
          <w:sz w:val="15"/>
        </w:rPr>
        <w:t>, 2013.</w:t>
      </w:r>
    </w:p>
    <w:p>
      <w:pPr>
        <w:pStyle w:val="BodyText"/>
        <w:rPr>
          <w:sz w:val="14"/>
        </w:rPr>
      </w:pPr>
    </w:p>
    <w:p>
      <w:pPr>
        <w:pStyle w:val="BodyText"/>
        <w:rPr>
          <w:sz w:val="15"/>
        </w:rPr>
      </w:pPr>
    </w:p>
    <w:p>
      <w:pPr>
        <w:pStyle w:val="BodyText"/>
        <w:spacing w:line="288" w:lineRule="auto"/>
        <w:ind w:left="120" w:right="116" w:firstLine="360"/>
        <w:jc w:val="both"/>
      </w:pPr>
      <w:r>
        <w:rPr>
          <w:color w:val="231F20"/>
          <w:w w:val="110"/>
        </w:rPr>
        <w:t>Esta situación significa que en los municipios del norte, y algunos del sur del país, el comportamiento en cuanto a formación de uniones es simi- lar y contrastante al mismo tiempo con la mayoría de los municipios del centro; mostrando en estas primeras regiones un patrón de casamiento</w:t>
      </w:r>
    </w:p>
    <w:p>
      <w:pPr>
        <w:pStyle w:val="BodyText"/>
        <w:spacing w:before="2"/>
        <w:rPr>
          <w:sz w:val="25"/>
        </w:rPr>
      </w:pPr>
    </w:p>
    <w:p>
      <w:pPr>
        <w:spacing w:line="256" w:lineRule="auto" w:before="0"/>
        <w:ind w:left="120" w:right="117" w:firstLine="360"/>
        <w:jc w:val="both"/>
        <w:rPr>
          <w:sz w:val="16"/>
        </w:rPr>
      </w:pPr>
      <w:r>
        <w:rPr>
          <w:color w:val="231F20"/>
          <w:w w:val="110"/>
          <w:position w:val="5"/>
          <w:sz w:val="9"/>
        </w:rPr>
        <w:t>2 </w:t>
      </w:r>
      <w:r>
        <w:rPr>
          <w:color w:val="231F20"/>
          <w:w w:val="110"/>
          <w:sz w:val="16"/>
        </w:rPr>
        <w:t>Como casadas y unidas se toma a aquellas mujeres declaradas como casadas sólo por  lo civil, casadas sólo religiosamente, casadas civil y religiosamente, y en unión  </w:t>
      </w:r>
      <w:r>
        <w:rPr>
          <w:color w:val="231F20"/>
          <w:spacing w:val="7"/>
          <w:w w:val="110"/>
          <w:sz w:val="16"/>
        </w:rPr>
        <w:t> </w:t>
      </w:r>
      <w:r>
        <w:rPr>
          <w:color w:val="231F20"/>
          <w:w w:val="110"/>
          <w:sz w:val="16"/>
        </w:rPr>
        <w:t>libre.</w:t>
      </w:r>
    </w:p>
    <w:p>
      <w:pPr>
        <w:spacing w:line="256" w:lineRule="auto" w:before="0"/>
        <w:ind w:left="119" w:right="116" w:firstLine="360"/>
        <w:jc w:val="both"/>
        <w:rPr>
          <w:sz w:val="16"/>
        </w:rPr>
      </w:pPr>
      <w:r>
        <w:rPr>
          <w:color w:val="231F20"/>
          <w:w w:val="110"/>
          <w:position w:val="5"/>
          <w:sz w:val="9"/>
        </w:rPr>
        <w:t>3 </w:t>
      </w:r>
      <w:r>
        <w:rPr>
          <w:color w:val="231F20"/>
          <w:w w:val="110"/>
          <w:sz w:val="16"/>
        </w:rPr>
        <w:t>Se considera este grupo de población porque en México tradicionalmente es en este grupo donde se marca una inflexión en la tendencia de la situación conyugal de las mujeres, sobre todo en aquellas que no permanecen en la educación   formal.</w:t>
      </w:r>
    </w:p>
    <w:p>
      <w:pPr>
        <w:spacing w:after="0" w:line="256" w:lineRule="auto"/>
        <w:jc w:val="both"/>
        <w:rPr>
          <w:sz w:val="16"/>
        </w:rPr>
        <w:sectPr>
          <w:pgSz w:w="9520" w:h="12920"/>
          <w:pgMar w:header="0" w:footer="1344" w:top="880" w:bottom="1540" w:left="1000" w:right="1320"/>
        </w:sectPr>
      </w:pPr>
    </w:p>
    <w:p>
      <w:pPr>
        <w:pStyle w:val="BodyText"/>
        <w:spacing w:line="288" w:lineRule="auto" w:before="42"/>
        <w:ind w:left="124"/>
      </w:pPr>
      <w:r>
        <w:rPr>
          <w:color w:val="231F20"/>
          <w:w w:val="110"/>
        </w:rPr>
        <w:t>temprano que iría de la mano de modelos tradicionales de formación de unión y descendencia temprana.</w:t>
      </w:r>
    </w:p>
    <w:p>
      <w:pPr>
        <w:pStyle w:val="BodyText"/>
        <w:spacing w:line="288" w:lineRule="auto"/>
        <w:ind w:left="124" w:right="110" w:firstLine="360"/>
        <w:jc w:val="both"/>
      </w:pPr>
      <w:r>
        <w:rPr>
          <w:color w:val="231F20"/>
          <w:w w:val="110"/>
        </w:rPr>
        <w:t>Por su parte, en el mapa 2 se presenta el porcentaje de hombres casa- dos o unidos de los 15 a los 24 años recabados en el censo 2010. Estas proporciones muestran patrones similares a los observados para las mu- jeres</w:t>
      </w:r>
      <w:r>
        <w:rPr>
          <w:color w:val="231F20"/>
          <w:spacing w:val="-4"/>
          <w:w w:val="110"/>
        </w:rPr>
        <w:t> </w:t>
      </w:r>
      <w:r>
        <w:rPr>
          <w:color w:val="231F20"/>
          <w:w w:val="110"/>
        </w:rPr>
        <w:t>del</w:t>
      </w:r>
      <w:r>
        <w:rPr>
          <w:color w:val="231F20"/>
          <w:spacing w:val="-4"/>
          <w:w w:val="110"/>
        </w:rPr>
        <w:t> </w:t>
      </w:r>
      <w:r>
        <w:rPr>
          <w:color w:val="231F20"/>
          <w:w w:val="110"/>
        </w:rPr>
        <w:t>mismo</w:t>
      </w:r>
      <w:r>
        <w:rPr>
          <w:color w:val="231F20"/>
          <w:spacing w:val="-4"/>
          <w:w w:val="110"/>
        </w:rPr>
        <w:t> </w:t>
      </w:r>
      <w:r>
        <w:rPr>
          <w:color w:val="231F20"/>
          <w:w w:val="110"/>
        </w:rPr>
        <w:t>grupo</w:t>
      </w:r>
      <w:r>
        <w:rPr>
          <w:color w:val="231F20"/>
          <w:spacing w:val="-4"/>
          <w:w w:val="110"/>
        </w:rPr>
        <w:t> </w:t>
      </w:r>
      <w:r>
        <w:rPr>
          <w:color w:val="231F20"/>
          <w:w w:val="110"/>
        </w:rPr>
        <w:t>de</w:t>
      </w:r>
      <w:r>
        <w:rPr>
          <w:color w:val="231F20"/>
          <w:spacing w:val="-4"/>
          <w:w w:val="110"/>
        </w:rPr>
        <w:t> </w:t>
      </w:r>
      <w:r>
        <w:rPr>
          <w:color w:val="231F20"/>
          <w:w w:val="110"/>
        </w:rPr>
        <w:t>edad,</w:t>
      </w:r>
      <w:r>
        <w:rPr>
          <w:color w:val="231F20"/>
          <w:spacing w:val="-4"/>
          <w:w w:val="110"/>
        </w:rPr>
        <w:t> </w:t>
      </w:r>
      <w:r>
        <w:rPr>
          <w:color w:val="231F20"/>
          <w:w w:val="110"/>
        </w:rPr>
        <w:t>en</w:t>
      </w:r>
      <w:r>
        <w:rPr>
          <w:color w:val="231F20"/>
          <w:spacing w:val="-4"/>
          <w:w w:val="110"/>
        </w:rPr>
        <w:t> </w:t>
      </w:r>
      <w:r>
        <w:rPr>
          <w:color w:val="231F20"/>
          <w:w w:val="110"/>
        </w:rPr>
        <w:t>donde</w:t>
      </w:r>
      <w:r>
        <w:rPr>
          <w:color w:val="231F20"/>
          <w:spacing w:val="-4"/>
          <w:w w:val="110"/>
        </w:rPr>
        <w:t> </w:t>
      </w:r>
      <w:r>
        <w:rPr>
          <w:color w:val="231F20"/>
          <w:w w:val="110"/>
        </w:rPr>
        <w:t>las</w:t>
      </w:r>
      <w:r>
        <w:rPr>
          <w:color w:val="231F20"/>
          <w:spacing w:val="-4"/>
          <w:w w:val="110"/>
        </w:rPr>
        <w:t> </w:t>
      </w:r>
      <w:r>
        <w:rPr>
          <w:color w:val="231F20"/>
          <w:w w:val="110"/>
        </w:rPr>
        <w:t>zonas</w:t>
      </w:r>
      <w:r>
        <w:rPr>
          <w:color w:val="231F20"/>
          <w:spacing w:val="-4"/>
          <w:w w:val="110"/>
        </w:rPr>
        <w:t> </w:t>
      </w:r>
      <w:r>
        <w:rPr>
          <w:color w:val="231F20"/>
          <w:w w:val="110"/>
        </w:rPr>
        <w:t>del</w:t>
      </w:r>
      <w:r>
        <w:rPr>
          <w:color w:val="231F20"/>
          <w:spacing w:val="-4"/>
          <w:w w:val="110"/>
        </w:rPr>
        <w:t> </w:t>
      </w:r>
      <w:r>
        <w:rPr>
          <w:color w:val="231F20"/>
          <w:w w:val="110"/>
        </w:rPr>
        <w:t>centro,</w:t>
      </w:r>
      <w:r>
        <w:rPr>
          <w:color w:val="231F20"/>
          <w:spacing w:val="-4"/>
          <w:w w:val="110"/>
        </w:rPr>
        <w:t> </w:t>
      </w:r>
      <w:r>
        <w:rPr>
          <w:color w:val="231F20"/>
          <w:w w:val="110"/>
        </w:rPr>
        <w:t>en</w:t>
      </w:r>
      <w:r>
        <w:rPr>
          <w:color w:val="231F20"/>
          <w:spacing w:val="-4"/>
          <w:w w:val="110"/>
        </w:rPr>
        <w:t> </w:t>
      </w:r>
      <w:r>
        <w:rPr>
          <w:color w:val="231F20"/>
          <w:w w:val="110"/>
        </w:rPr>
        <w:t>contraste con las de las áreas norte y sur del país, presentan patrones opuestos. Aunque la tendencia es </w:t>
      </w:r>
      <w:r>
        <w:rPr>
          <w:color w:val="231F20"/>
          <w:spacing w:val="-3"/>
          <w:w w:val="110"/>
        </w:rPr>
        <w:t>similar, </w:t>
      </w:r>
      <w:r>
        <w:rPr>
          <w:color w:val="231F20"/>
          <w:w w:val="110"/>
        </w:rPr>
        <w:t>los niveles de casados o unidos varones son considerablemente más bajos, indicando una pauta de unión o matri- monio más tardío que el de las </w:t>
      </w:r>
      <w:r>
        <w:rPr>
          <w:color w:val="231F20"/>
          <w:spacing w:val="16"/>
          <w:w w:val="110"/>
        </w:rPr>
        <w:t> </w:t>
      </w:r>
      <w:r>
        <w:rPr>
          <w:color w:val="231F20"/>
          <w:w w:val="110"/>
        </w:rPr>
        <w:t>mujeres.</w:t>
      </w:r>
    </w:p>
    <w:p>
      <w:pPr>
        <w:pStyle w:val="BodyText"/>
        <w:spacing w:before="4"/>
      </w:pPr>
    </w:p>
    <w:p>
      <w:pPr>
        <w:spacing w:line="185" w:lineRule="exact" w:before="0"/>
        <w:ind w:left="465" w:right="457" w:firstLine="0"/>
        <w:jc w:val="center"/>
        <w:rPr>
          <w:sz w:val="16"/>
        </w:rPr>
      </w:pPr>
      <w:r>
        <w:rPr>
          <w:color w:val="231F20"/>
          <w:sz w:val="16"/>
        </w:rPr>
        <w:t>Mapa 2</w:t>
      </w:r>
    </w:p>
    <w:p>
      <w:pPr>
        <w:spacing w:line="220" w:lineRule="exact" w:before="0"/>
        <w:ind w:left="465" w:right="457" w:firstLine="0"/>
        <w:jc w:val="center"/>
        <w:rPr>
          <w:sz w:val="19"/>
        </w:rPr>
      </w:pPr>
      <w:r>
        <w:rPr>
          <w:color w:val="231F20"/>
          <w:w w:val="90"/>
          <w:sz w:val="19"/>
        </w:rPr>
        <w:t>Porcentaje de hombres de 15 a 24 años casados o unidos, 2010. México</w:t>
      </w:r>
    </w:p>
    <w:p>
      <w:pPr>
        <w:pStyle w:val="BodyText"/>
        <w:spacing w:before="11"/>
        <w:rPr>
          <w:sz w:val="15"/>
        </w:rPr>
      </w:pPr>
      <w:r>
        <w:rPr/>
        <w:drawing>
          <wp:anchor distT="0" distB="0" distL="0" distR="0" allowOverlap="1" layoutInCell="1" locked="0" behindDoc="0" simplePos="0" relativeHeight="1480">
            <wp:simplePos x="0" y="0"/>
            <wp:positionH relativeFrom="page">
              <wp:posOffset>1241491</wp:posOffset>
            </wp:positionH>
            <wp:positionV relativeFrom="paragraph">
              <wp:posOffset>143832</wp:posOffset>
            </wp:positionV>
            <wp:extent cx="3657820" cy="2499360"/>
            <wp:effectExtent l="0" t="0" r="0" b="0"/>
            <wp:wrapTopAndBottom/>
            <wp:docPr id="9" name="image24.jpeg" descr=""/>
            <wp:cNvGraphicFramePr>
              <a:graphicFrameLocks noChangeAspect="1"/>
            </wp:cNvGraphicFramePr>
            <a:graphic>
              <a:graphicData uri="http://schemas.openxmlformats.org/drawingml/2006/picture">
                <pic:pic>
                  <pic:nvPicPr>
                    <pic:cNvPr id="10" name="image24.jpeg"/>
                    <pic:cNvPicPr/>
                  </pic:nvPicPr>
                  <pic:blipFill>
                    <a:blip r:embed="rId59" cstate="print"/>
                    <a:stretch>
                      <a:fillRect/>
                    </a:stretch>
                  </pic:blipFill>
                  <pic:spPr>
                    <a:xfrm>
                      <a:off x="0" y="0"/>
                      <a:ext cx="3657820" cy="2499360"/>
                    </a:xfrm>
                    <a:prstGeom prst="rect">
                      <a:avLst/>
                    </a:prstGeom>
                  </pic:spPr>
                </pic:pic>
              </a:graphicData>
            </a:graphic>
          </wp:anchor>
        </w:drawing>
      </w:r>
    </w:p>
    <w:p>
      <w:pPr>
        <w:spacing w:before="48"/>
        <w:ind w:left="484" w:right="0" w:firstLine="0"/>
        <w:jc w:val="left"/>
        <w:rPr>
          <w:sz w:val="15"/>
        </w:rPr>
      </w:pPr>
      <w:r>
        <w:rPr>
          <w:color w:val="231F20"/>
          <w:w w:val="110"/>
          <w:sz w:val="15"/>
        </w:rPr>
        <w:t>Fuente: Elaboración propia con datos del Censo de Población y Vivienda de 2010, </w:t>
      </w:r>
      <w:r>
        <w:rPr>
          <w:rFonts w:ascii="Times New Roman" w:hAnsi="Times New Roman"/>
          <w:color w:val="231F20"/>
          <w:w w:val="110"/>
          <w:sz w:val="12"/>
        </w:rPr>
        <w:t>INEGI</w:t>
      </w:r>
      <w:r>
        <w:rPr>
          <w:color w:val="231F20"/>
          <w:w w:val="110"/>
          <w:sz w:val="15"/>
        </w:rPr>
        <w:t>, 2013.</w:t>
      </w:r>
    </w:p>
    <w:p>
      <w:pPr>
        <w:pStyle w:val="BodyText"/>
        <w:rPr>
          <w:sz w:val="14"/>
        </w:rPr>
      </w:pPr>
    </w:p>
    <w:p>
      <w:pPr>
        <w:pStyle w:val="BodyText"/>
        <w:rPr>
          <w:sz w:val="15"/>
        </w:rPr>
      </w:pPr>
    </w:p>
    <w:p>
      <w:pPr>
        <w:pStyle w:val="BodyText"/>
        <w:spacing w:line="288" w:lineRule="auto"/>
        <w:ind w:left="124" w:right="113" w:firstLine="360"/>
        <w:jc w:val="both"/>
      </w:pPr>
      <w:r>
        <w:rPr>
          <w:color w:val="231F20"/>
          <w:w w:val="110"/>
        </w:rPr>
        <w:t>En México, la ruptura de las uniones ha cobrado importancia reciente- mente. El aumento en el número de divorcios durante las últimas décadas ha</w:t>
      </w:r>
      <w:r>
        <w:rPr>
          <w:color w:val="231F20"/>
          <w:spacing w:val="-20"/>
          <w:w w:val="110"/>
        </w:rPr>
        <w:t> </w:t>
      </w:r>
      <w:r>
        <w:rPr>
          <w:color w:val="231F20"/>
          <w:w w:val="110"/>
        </w:rPr>
        <w:t>merecido</w:t>
      </w:r>
      <w:r>
        <w:rPr>
          <w:color w:val="231F20"/>
          <w:spacing w:val="-20"/>
          <w:w w:val="110"/>
        </w:rPr>
        <w:t> </w:t>
      </w:r>
      <w:r>
        <w:rPr>
          <w:color w:val="231F20"/>
          <w:w w:val="110"/>
        </w:rPr>
        <w:t>una</w:t>
      </w:r>
      <w:r>
        <w:rPr>
          <w:color w:val="231F20"/>
          <w:spacing w:val="-20"/>
          <w:w w:val="110"/>
        </w:rPr>
        <w:t> </w:t>
      </w:r>
      <w:r>
        <w:rPr>
          <w:color w:val="231F20"/>
          <w:w w:val="110"/>
        </w:rPr>
        <w:t>atención</w:t>
      </w:r>
      <w:r>
        <w:rPr>
          <w:color w:val="231F20"/>
          <w:spacing w:val="-20"/>
          <w:w w:val="110"/>
        </w:rPr>
        <w:t> </w:t>
      </w:r>
      <w:r>
        <w:rPr>
          <w:color w:val="231F20"/>
          <w:w w:val="110"/>
        </w:rPr>
        <w:t>más</w:t>
      </w:r>
      <w:r>
        <w:rPr>
          <w:color w:val="231F20"/>
          <w:spacing w:val="-20"/>
          <w:w w:val="110"/>
        </w:rPr>
        <w:t> </w:t>
      </w:r>
      <w:r>
        <w:rPr>
          <w:color w:val="231F20"/>
          <w:w w:val="110"/>
        </w:rPr>
        <w:t>notable</w:t>
      </w:r>
      <w:r>
        <w:rPr>
          <w:color w:val="231F20"/>
          <w:spacing w:val="-20"/>
          <w:w w:val="110"/>
        </w:rPr>
        <w:t> </w:t>
      </w:r>
      <w:r>
        <w:rPr>
          <w:color w:val="231F20"/>
          <w:w w:val="110"/>
        </w:rPr>
        <w:t>cada</w:t>
      </w:r>
      <w:r>
        <w:rPr>
          <w:color w:val="231F20"/>
          <w:spacing w:val="-20"/>
          <w:w w:val="110"/>
        </w:rPr>
        <w:t> </w:t>
      </w:r>
      <w:r>
        <w:rPr>
          <w:color w:val="231F20"/>
          <w:w w:val="110"/>
        </w:rPr>
        <w:t>vez,</w:t>
      </w:r>
      <w:r>
        <w:rPr>
          <w:color w:val="231F20"/>
          <w:spacing w:val="-20"/>
          <w:w w:val="110"/>
        </w:rPr>
        <w:t> </w:t>
      </w:r>
      <w:r>
        <w:rPr>
          <w:color w:val="231F20"/>
          <w:w w:val="110"/>
        </w:rPr>
        <w:t>tanto</w:t>
      </w:r>
      <w:r>
        <w:rPr>
          <w:color w:val="231F20"/>
          <w:spacing w:val="-20"/>
          <w:w w:val="110"/>
        </w:rPr>
        <w:t> </w:t>
      </w:r>
      <w:r>
        <w:rPr>
          <w:color w:val="231F20"/>
          <w:w w:val="110"/>
        </w:rPr>
        <w:t>por</w:t>
      </w:r>
      <w:r>
        <w:rPr>
          <w:color w:val="231F20"/>
          <w:spacing w:val="-20"/>
          <w:w w:val="110"/>
        </w:rPr>
        <w:t> </w:t>
      </w:r>
      <w:r>
        <w:rPr>
          <w:color w:val="231F20"/>
          <w:w w:val="110"/>
        </w:rPr>
        <w:t>los</w:t>
      </w:r>
      <w:r>
        <w:rPr>
          <w:color w:val="231F20"/>
          <w:spacing w:val="-20"/>
          <w:w w:val="110"/>
        </w:rPr>
        <w:t> </w:t>
      </w:r>
      <w:r>
        <w:rPr>
          <w:color w:val="231F20"/>
          <w:w w:val="110"/>
        </w:rPr>
        <w:t>investigadores de diversas disciplinas como por los medios de comunicación y por dife- rentes actores sociales y políticos. Incluso en la Ciudad de México se esta- bleció</w:t>
      </w:r>
      <w:r>
        <w:rPr>
          <w:color w:val="231F20"/>
          <w:spacing w:val="-16"/>
          <w:w w:val="110"/>
        </w:rPr>
        <w:t> </w:t>
      </w:r>
      <w:r>
        <w:rPr>
          <w:color w:val="231F20"/>
          <w:w w:val="110"/>
        </w:rPr>
        <w:t>la</w:t>
      </w:r>
      <w:r>
        <w:rPr>
          <w:color w:val="231F20"/>
          <w:spacing w:val="-16"/>
          <w:w w:val="110"/>
        </w:rPr>
        <w:t> </w:t>
      </w:r>
      <w:r>
        <w:rPr>
          <w:color w:val="231F20"/>
          <w:w w:val="110"/>
        </w:rPr>
        <w:t>Comisión</w:t>
      </w:r>
      <w:r>
        <w:rPr>
          <w:color w:val="231F20"/>
          <w:spacing w:val="-16"/>
          <w:w w:val="110"/>
        </w:rPr>
        <w:t> </w:t>
      </w:r>
      <w:r>
        <w:rPr>
          <w:color w:val="231F20"/>
          <w:w w:val="110"/>
        </w:rPr>
        <w:t>Ordinaria</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spacing w:val="-4"/>
          <w:w w:val="110"/>
        </w:rPr>
        <w:t>Familia</w:t>
      </w:r>
      <w:r>
        <w:rPr>
          <w:color w:val="231F20"/>
          <w:spacing w:val="-16"/>
          <w:w w:val="110"/>
        </w:rPr>
        <w:t> </w:t>
      </w:r>
      <w:r>
        <w:rPr>
          <w:color w:val="231F20"/>
          <w:w w:val="110"/>
        </w:rPr>
        <w:t>y</w:t>
      </w:r>
      <w:r>
        <w:rPr>
          <w:color w:val="231F20"/>
          <w:spacing w:val="-16"/>
          <w:w w:val="110"/>
        </w:rPr>
        <w:t> </w:t>
      </w:r>
      <w:r>
        <w:rPr>
          <w:color w:val="231F20"/>
          <w:w w:val="110"/>
        </w:rPr>
        <w:t>Desarrollo</w:t>
      </w:r>
      <w:r>
        <w:rPr>
          <w:color w:val="231F20"/>
          <w:spacing w:val="-16"/>
          <w:w w:val="110"/>
        </w:rPr>
        <w:t> </w:t>
      </w:r>
      <w:r>
        <w:rPr>
          <w:color w:val="231F20"/>
          <w:w w:val="110"/>
        </w:rPr>
        <w:t>Humano</w:t>
      </w:r>
      <w:r>
        <w:rPr>
          <w:color w:val="231F20"/>
          <w:spacing w:val="-16"/>
          <w:w w:val="110"/>
        </w:rPr>
        <w:t> </w:t>
      </w:r>
      <w:r>
        <w:rPr>
          <w:color w:val="231F20"/>
          <w:w w:val="110"/>
        </w:rPr>
        <w:t>para</w:t>
      </w:r>
      <w:r>
        <w:rPr>
          <w:color w:val="231F20"/>
          <w:spacing w:val="-16"/>
          <w:w w:val="110"/>
        </w:rPr>
        <w:t> </w:t>
      </w:r>
      <w:r>
        <w:rPr>
          <w:color w:val="231F20"/>
          <w:w w:val="110"/>
        </w:rPr>
        <w:t>“defen- </w:t>
      </w:r>
      <w:r>
        <w:rPr>
          <w:color w:val="231F20"/>
          <w:spacing w:val="2"/>
          <w:w w:val="110"/>
        </w:rPr>
        <w:t>der </w:t>
      </w:r>
      <w:r>
        <w:rPr>
          <w:color w:val="231F20"/>
          <w:w w:val="110"/>
        </w:rPr>
        <w:t>y  </w:t>
      </w:r>
      <w:r>
        <w:rPr>
          <w:color w:val="231F20"/>
          <w:spacing w:val="3"/>
          <w:w w:val="110"/>
        </w:rPr>
        <w:t>hacer efectivos </w:t>
      </w:r>
      <w:r>
        <w:rPr>
          <w:color w:val="231F20"/>
          <w:spacing w:val="2"/>
          <w:w w:val="110"/>
        </w:rPr>
        <w:t>los </w:t>
      </w:r>
      <w:r>
        <w:rPr>
          <w:color w:val="231F20"/>
          <w:spacing w:val="3"/>
          <w:w w:val="110"/>
        </w:rPr>
        <w:t>derechos humanos </w:t>
      </w:r>
      <w:r>
        <w:rPr>
          <w:color w:val="231F20"/>
          <w:w w:val="110"/>
        </w:rPr>
        <w:t>de  </w:t>
      </w:r>
      <w:r>
        <w:rPr>
          <w:color w:val="231F20"/>
          <w:spacing w:val="2"/>
          <w:w w:val="110"/>
        </w:rPr>
        <w:t>los </w:t>
      </w:r>
      <w:r>
        <w:rPr>
          <w:color w:val="231F20"/>
          <w:spacing w:val="3"/>
          <w:w w:val="110"/>
        </w:rPr>
        <w:t>integrantes    </w:t>
      </w:r>
      <w:r>
        <w:rPr>
          <w:color w:val="231F20"/>
          <w:spacing w:val="12"/>
          <w:w w:val="110"/>
        </w:rPr>
        <w:t> </w:t>
      </w:r>
      <w:r>
        <w:rPr>
          <w:color w:val="231F20"/>
          <w:w w:val="110"/>
        </w:rPr>
        <w:t>de  </w:t>
      </w:r>
      <w:r>
        <w:rPr>
          <w:color w:val="231F20"/>
          <w:spacing w:val="2"/>
          <w:w w:val="110"/>
        </w:rPr>
        <w:t>las</w:t>
      </w:r>
    </w:p>
    <w:p>
      <w:pPr>
        <w:spacing w:after="0" w:line="288" w:lineRule="auto"/>
        <w:jc w:val="both"/>
        <w:sectPr>
          <w:pgSz w:w="9520" w:h="12920"/>
          <w:pgMar w:header="0" w:footer="1344" w:top="880" w:bottom="1540" w:left="1320" w:right="1000"/>
        </w:sectPr>
      </w:pPr>
    </w:p>
    <w:p>
      <w:pPr>
        <w:pStyle w:val="BodyText"/>
        <w:spacing w:line="288" w:lineRule="auto" w:before="42"/>
        <w:ind w:left="100" w:right="117"/>
        <w:jc w:val="both"/>
      </w:pPr>
      <w:r>
        <w:rPr>
          <w:color w:val="231F20"/>
          <w:w w:val="110"/>
        </w:rPr>
        <w:t>familias”, quienes en coordinación con instituciones públicas y sociedades civiles</w:t>
      </w:r>
      <w:r>
        <w:rPr>
          <w:color w:val="231F20"/>
          <w:spacing w:val="-6"/>
          <w:w w:val="110"/>
        </w:rPr>
        <w:t> </w:t>
      </w:r>
      <w:r>
        <w:rPr>
          <w:color w:val="231F20"/>
          <w:w w:val="110"/>
        </w:rPr>
        <w:t>buscan</w:t>
      </w:r>
      <w:r>
        <w:rPr>
          <w:color w:val="231F20"/>
          <w:spacing w:val="-6"/>
          <w:w w:val="110"/>
        </w:rPr>
        <w:t> </w:t>
      </w:r>
      <w:r>
        <w:rPr>
          <w:color w:val="231F20"/>
          <w:w w:val="110"/>
        </w:rPr>
        <w:t>frenar</w:t>
      </w:r>
      <w:r>
        <w:rPr>
          <w:color w:val="231F20"/>
          <w:spacing w:val="-6"/>
          <w:w w:val="110"/>
        </w:rPr>
        <w:t> </w:t>
      </w:r>
      <w:r>
        <w:rPr>
          <w:color w:val="231F20"/>
          <w:w w:val="110"/>
        </w:rPr>
        <w:t>lo</w:t>
      </w:r>
      <w:r>
        <w:rPr>
          <w:color w:val="231F20"/>
          <w:spacing w:val="-6"/>
          <w:w w:val="110"/>
        </w:rPr>
        <w:t> </w:t>
      </w:r>
      <w:r>
        <w:rPr>
          <w:color w:val="231F20"/>
          <w:w w:val="110"/>
        </w:rPr>
        <w:t>que</w:t>
      </w:r>
      <w:r>
        <w:rPr>
          <w:color w:val="231F20"/>
          <w:spacing w:val="-6"/>
          <w:w w:val="110"/>
        </w:rPr>
        <w:t> </w:t>
      </w:r>
      <w:r>
        <w:rPr>
          <w:color w:val="231F20"/>
          <w:w w:val="110"/>
        </w:rPr>
        <w:t>los</w:t>
      </w:r>
      <w:r>
        <w:rPr>
          <w:color w:val="231F20"/>
          <w:spacing w:val="-6"/>
          <w:w w:val="110"/>
        </w:rPr>
        <w:t> </w:t>
      </w:r>
      <w:r>
        <w:rPr>
          <w:color w:val="231F20"/>
          <w:w w:val="110"/>
        </w:rPr>
        <w:t>legisladores</w:t>
      </w:r>
      <w:r>
        <w:rPr>
          <w:color w:val="231F20"/>
          <w:spacing w:val="-6"/>
          <w:w w:val="110"/>
        </w:rPr>
        <w:t> </w:t>
      </w:r>
      <w:r>
        <w:rPr>
          <w:color w:val="231F20"/>
          <w:w w:val="110"/>
        </w:rPr>
        <w:t>consideran</w:t>
      </w:r>
      <w:r>
        <w:rPr>
          <w:color w:val="231F20"/>
          <w:spacing w:val="-6"/>
          <w:w w:val="110"/>
        </w:rPr>
        <w:t> </w:t>
      </w:r>
      <w:r>
        <w:rPr>
          <w:color w:val="231F20"/>
          <w:w w:val="110"/>
        </w:rPr>
        <w:t>atenta</w:t>
      </w:r>
      <w:r>
        <w:rPr>
          <w:color w:val="231F20"/>
          <w:spacing w:val="-6"/>
          <w:w w:val="110"/>
        </w:rPr>
        <w:t> </w:t>
      </w:r>
      <w:r>
        <w:rPr>
          <w:color w:val="231F20"/>
          <w:w w:val="110"/>
        </w:rPr>
        <w:t>en</w:t>
      </w:r>
      <w:r>
        <w:rPr>
          <w:color w:val="231F20"/>
          <w:spacing w:val="-6"/>
          <w:w w:val="110"/>
        </w:rPr>
        <w:t> </w:t>
      </w:r>
      <w:r>
        <w:rPr>
          <w:color w:val="231F20"/>
          <w:w w:val="110"/>
        </w:rPr>
        <w:t>contra</w:t>
      </w:r>
      <w:r>
        <w:rPr>
          <w:color w:val="231F20"/>
          <w:spacing w:val="-6"/>
          <w:w w:val="110"/>
        </w:rPr>
        <w:t> </w:t>
      </w:r>
      <w:r>
        <w:rPr>
          <w:color w:val="231F20"/>
          <w:w w:val="110"/>
        </w:rPr>
        <w:t>de la familia</w:t>
      </w:r>
      <w:r>
        <w:rPr>
          <w:color w:val="231F20"/>
          <w:spacing w:val="-24"/>
          <w:w w:val="110"/>
        </w:rPr>
        <w:t> </w:t>
      </w:r>
      <w:r>
        <w:rPr>
          <w:color w:val="231F20"/>
          <w:w w:val="110"/>
        </w:rPr>
        <w:t>tradicional.</w:t>
      </w:r>
    </w:p>
    <w:p>
      <w:pPr>
        <w:pStyle w:val="BodyText"/>
        <w:spacing w:line="288" w:lineRule="auto"/>
        <w:ind w:left="100" w:right="115" w:firstLine="360"/>
        <w:jc w:val="both"/>
      </w:pPr>
      <w:r>
        <w:rPr>
          <w:color w:val="231F20"/>
          <w:w w:val="110"/>
        </w:rPr>
        <w:t>En la gráfica 4 se presenta el índice de divorcialidad</w:t>
      </w:r>
      <w:r>
        <w:rPr>
          <w:color w:val="231F20"/>
          <w:w w:val="110"/>
          <w:position w:val="6"/>
          <w:sz w:val="11"/>
        </w:rPr>
        <w:t>4 </w:t>
      </w:r>
      <w:r>
        <w:rPr>
          <w:color w:val="231F20"/>
          <w:w w:val="110"/>
        </w:rPr>
        <w:t>mostrando su evolución en México a partir de 1930. En esta gráfica es evidente el incre- mento de los divorcios con respecto a los matrimonios, sobre todo en la última década. Este aumento es constante desde 1930 hasta 1970, presen- tando una caída abrupta en el decenio de 1970 a 1980. Posteriormente, vuelve a aumentar de 1980 a 1990 y en la siguiente década este indicador se muestra estable para en el decenio posterior (2000 a 2010), aumentar casi</w:t>
      </w:r>
      <w:r>
        <w:rPr>
          <w:color w:val="231F20"/>
          <w:spacing w:val="-13"/>
          <w:w w:val="110"/>
        </w:rPr>
        <w:t> </w:t>
      </w:r>
      <w:r>
        <w:rPr>
          <w:color w:val="231F20"/>
          <w:w w:val="110"/>
        </w:rPr>
        <w:t>al</w:t>
      </w:r>
      <w:r>
        <w:rPr>
          <w:color w:val="231F20"/>
          <w:spacing w:val="-13"/>
          <w:w w:val="110"/>
        </w:rPr>
        <w:t> </w:t>
      </w:r>
      <w:r>
        <w:rPr>
          <w:color w:val="231F20"/>
          <w:w w:val="110"/>
        </w:rPr>
        <w:t>doble.</w:t>
      </w:r>
      <w:r>
        <w:rPr>
          <w:color w:val="231F20"/>
          <w:spacing w:val="-13"/>
          <w:w w:val="110"/>
        </w:rPr>
        <w:t> </w:t>
      </w:r>
      <w:r>
        <w:rPr>
          <w:color w:val="231F20"/>
          <w:w w:val="110"/>
        </w:rPr>
        <w:t>El</w:t>
      </w:r>
      <w:r>
        <w:rPr>
          <w:color w:val="231F20"/>
          <w:spacing w:val="-13"/>
          <w:w w:val="110"/>
        </w:rPr>
        <w:t> </w:t>
      </w:r>
      <w:r>
        <w:rPr>
          <w:color w:val="231F20"/>
          <w:w w:val="110"/>
        </w:rPr>
        <w:t>pico</w:t>
      </w:r>
      <w:r>
        <w:rPr>
          <w:color w:val="231F20"/>
          <w:spacing w:val="-14"/>
          <w:w w:val="110"/>
        </w:rPr>
        <w:t> </w:t>
      </w:r>
      <w:r>
        <w:rPr>
          <w:color w:val="231F20"/>
          <w:w w:val="110"/>
        </w:rPr>
        <w:t>que</w:t>
      </w:r>
      <w:r>
        <w:rPr>
          <w:color w:val="231F20"/>
          <w:spacing w:val="-13"/>
          <w:w w:val="110"/>
        </w:rPr>
        <w:t> </w:t>
      </w:r>
      <w:r>
        <w:rPr>
          <w:color w:val="231F20"/>
          <w:w w:val="110"/>
        </w:rPr>
        <w:t>se</w:t>
      </w:r>
      <w:r>
        <w:rPr>
          <w:color w:val="231F20"/>
          <w:spacing w:val="-13"/>
          <w:w w:val="110"/>
        </w:rPr>
        <w:t> </w:t>
      </w:r>
      <w:r>
        <w:rPr>
          <w:color w:val="231F20"/>
          <w:w w:val="110"/>
        </w:rPr>
        <w:t>observa</w:t>
      </w:r>
      <w:r>
        <w:rPr>
          <w:color w:val="231F20"/>
          <w:spacing w:val="-13"/>
          <w:w w:val="110"/>
        </w:rPr>
        <w:t> </w:t>
      </w:r>
      <w:r>
        <w:rPr>
          <w:color w:val="231F20"/>
          <w:w w:val="110"/>
        </w:rPr>
        <w:t>en</w:t>
      </w:r>
      <w:r>
        <w:rPr>
          <w:color w:val="231F20"/>
          <w:spacing w:val="-14"/>
          <w:w w:val="110"/>
        </w:rPr>
        <w:t> </w:t>
      </w:r>
      <w:r>
        <w:rPr>
          <w:color w:val="231F20"/>
          <w:w w:val="110"/>
        </w:rPr>
        <w:t>1970,</w:t>
      </w:r>
      <w:r>
        <w:rPr>
          <w:color w:val="231F20"/>
          <w:spacing w:val="-14"/>
          <w:w w:val="110"/>
        </w:rPr>
        <w:t> </w:t>
      </w:r>
      <w:r>
        <w:rPr>
          <w:color w:val="231F20"/>
          <w:w w:val="110"/>
        </w:rPr>
        <w:t>está</w:t>
      </w:r>
      <w:r>
        <w:rPr>
          <w:color w:val="231F20"/>
          <w:spacing w:val="-13"/>
          <w:w w:val="110"/>
        </w:rPr>
        <w:t> </w:t>
      </w:r>
      <w:r>
        <w:rPr>
          <w:color w:val="231F20"/>
          <w:w w:val="110"/>
        </w:rPr>
        <w:t>influenciado</w:t>
      </w:r>
      <w:r>
        <w:rPr>
          <w:color w:val="231F20"/>
          <w:spacing w:val="-14"/>
          <w:w w:val="110"/>
        </w:rPr>
        <w:t> </w:t>
      </w:r>
      <w:r>
        <w:rPr>
          <w:color w:val="231F20"/>
          <w:w w:val="110"/>
        </w:rPr>
        <w:t>por</w:t>
      </w:r>
      <w:r>
        <w:rPr>
          <w:color w:val="231F20"/>
          <w:spacing w:val="-14"/>
          <w:w w:val="110"/>
        </w:rPr>
        <w:t> </w:t>
      </w:r>
      <w:r>
        <w:rPr>
          <w:color w:val="231F20"/>
          <w:w w:val="110"/>
        </w:rPr>
        <w:t>divorcios de extranjeros que venían a México a divorciarse al estado de Chihuahua,</w:t>
      </w:r>
      <w:r>
        <w:rPr>
          <w:color w:val="231F20"/>
          <w:w w:val="110"/>
          <w:position w:val="6"/>
          <w:sz w:val="11"/>
        </w:rPr>
        <w:t>5 </w:t>
      </w:r>
      <w:r>
        <w:rPr>
          <w:color w:val="231F20"/>
          <w:w w:val="110"/>
        </w:rPr>
        <w:t>así como por campañas de legalización (Quilodrán, 2001). La disminución que se observa en 1980 es producto de un descenso importante en el nú- mero de divorcios de ese año, que en conjunto con los datos de 1970 y 1990, en donde hay un aumento importante, ésta se observa más crítica. En algunos casos los registros de divorcios se duplican o generan incon- sistencias, ya que se registran tanto en el Registro Civil como en los juzga- dos familiares (Sosa,</w:t>
      </w:r>
      <w:r>
        <w:rPr>
          <w:color w:val="231F20"/>
          <w:spacing w:val="-29"/>
          <w:w w:val="110"/>
        </w:rPr>
        <w:t> </w:t>
      </w:r>
      <w:r>
        <w:rPr>
          <w:color w:val="231F20"/>
          <w:w w:val="110"/>
        </w:rPr>
        <w:t>2011).</w:t>
      </w:r>
    </w:p>
    <w:p>
      <w:pPr>
        <w:pStyle w:val="BodyText"/>
        <w:spacing w:before="4"/>
      </w:pPr>
    </w:p>
    <w:p>
      <w:pPr>
        <w:spacing w:line="185" w:lineRule="exact" w:before="0"/>
        <w:ind w:left="1389" w:right="1407" w:firstLine="0"/>
        <w:jc w:val="center"/>
        <w:rPr>
          <w:sz w:val="16"/>
        </w:rPr>
      </w:pPr>
      <w:r>
        <w:rPr>
          <w:color w:val="231F20"/>
          <w:w w:val="105"/>
          <w:sz w:val="16"/>
        </w:rPr>
        <w:t>Gráfica 4</w:t>
      </w:r>
    </w:p>
    <w:p>
      <w:pPr>
        <w:spacing w:line="220" w:lineRule="exact" w:before="0"/>
        <w:ind w:left="1389" w:right="1407" w:firstLine="0"/>
        <w:jc w:val="center"/>
        <w:rPr>
          <w:sz w:val="19"/>
        </w:rPr>
      </w:pPr>
      <w:r>
        <w:rPr>
          <w:color w:val="231F20"/>
          <w:w w:val="90"/>
          <w:sz w:val="19"/>
        </w:rPr>
        <w:t>Índice de divorcialidad de 1930 a 2010. México</w:t>
      </w:r>
    </w:p>
    <w:p>
      <w:pPr>
        <w:pStyle w:val="BodyText"/>
        <w:spacing w:before="9"/>
        <w:rPr>
          <w:sz w:val="8"/>
        </w:rPr>
      </w:pPr>
    </w:p>
    <w:p>
      <w:pPr>
        <w:spacing w:before="83"/>
        <w:ind w:left="1260" w:right="0" w:firstLine="0"/>
        <w:jc w:val="left"/>
        <w:rPr>
          <w:sz w:val="12"/>
        </w:rPr>
      </w:pPr>
      <w:r>
        <w:rPr/>
        <w:pict>
          <v:group style="position:absolute;margin-left:122.699097pt;margin-top:7.669942pt;width:224.9pt;height:135pt;mso-position-horizontal-relative:page;mso-position-vertical-relative:paragraph;z-index:-457384" coordorigin="2454,153" coordsize="4498,2700">
            <v:shape style="position:absolute;left:2456;top:155;width:4494;height:2696" coordorigin="2456,155" coordsize="4494,2696" path="m2456,155l2502,155,2502,2851m2456,2810l6949,2810,6949,2851m2993,2810l2993,2851m3491,2810l3491,2851m3987,2810l3987,2851m4476,2810l4476,2851m4972,2810l4972,2851m5469,2810l5469,2851m5958,2810l5958,2851m6454,2810l6454,2851m2502,2476l2456,2476m2502,2147l2456,2147m2502,1813l2456,1813m2502,1484l2456,1484m2502,1150l2456,1150m2502,820l2456,820m2502,484l2456,484e" filled="false" stroked="true" strokeweight=".2pt" strokecolor="#231f20">
              <v:path arrowok="t"/>
            </v:shape>
            <v:shape style="position:absolute;left:2746;top:297;width:3956;height:2248" coordorigin="2746,297" coordsize="3956,2248" path="m2746,2545l3242,2357,3736,2071,4232,1775,4722,1365,5218,2083,5714,1611,6206,1587,6702,297e" filled="false" stroked="true" strokeweight=".4pt" strokecolor="#231f20">
              <v:path arrowok="t"/>
            </v:shape>
            <v:shape style="position:absolute;left:2724;top:297;width:3992;height:2248" coordorigin="2724,297" coordsize="3992,2248" path="m6672,297l6716,297m6182,1587l6226,1587m5694,1609l5738,1609m5198,2081l5242,2081m4702,1368l4746,1368m4216,1773l4260,1773m3720,2069l3764,2069m3220,2357l3264,2357m2724,2545l2768,2545e" filled="false" stroked="true" strokeweight="2.2pt" strokecolor="#231f20">
              <v:path arrowok="t"/>
            </v:shape>
            <w10:wrap type="none"/>
          </v:group>
        </w:pict>
      </w:r>
      <w:r>
        <w:rPr>
          <w:color w:val="231F20"/>
          <w:sz w:val="12"/>
        </w:rPr>
        <w:t>16</w:t>
      </w:r>
    </w:p>
    <w:p>
      <w:pPr>
        <w:pStyle w:val="BodyText"/>
        <w:spacing w:before="2"/>
        <w:rPr>
          <w:sz w:val="9"/>
        </w:rPr>
      </w:pPr>
    </w:p>
    <w:p>
      <w:pPr>
        <w:spacing w:before="83"/>
        <w:ind w:left="1260" w:right="0" w:firstLine="0"/>
        <w:jc w:val="left"/>
        <w:rPr>
          <w:sz w:val="12"/>
        </w:rPr>
      </w:pPr>
      <w:r>
        <w:rPr>
          <w:color w:val="231F20"/>
          <w:sz w:val="12"/>
        </w:rPr>
        <w:t>14</w:t>
      </w:r>
    </w:p>
    <w:p>
      <w:pPr>
        <w:pStyle w:val="BodyText"/>
        <w:spacing w:before="2"/>
        <w:rPr>
          <w:sz w:val="9"/>
        </w:rPr>
      </w:pPr>
    </w:p>
    <w:p>
      <w:pPr>
        <w:spacing w:before="83"/>
        <w:ind w:left="1260" w:right="0" w:firstLine="0"/>
        <w:jc w:val="left"/>
        <w:rPr>
          <w:sz w:val="12"/>
        </w:rPr>
      </w:pPr>
      <w:r>
        <w:rPr>
          <w:color w:val="231F20"/>
          <w:sz w:val="12"/>
        </w:rPr>
        <w:t>12</w:t>
      </w:r>
    </w:p>
    <w:p>
      <w:pPr>
        <w:pStyle w:val="BodyText"/>
        <w:spacing w:before="2"/>
        <w:rPr>
          <w:sz w:val="9"/>
        </w:rPr>
      </w:pPr>
    </w:p>
    <w:p>
      <w:pPr>
        <w:spacing w:before="83"/>
        <w:ind w:left="1260" w:right="0" w:firstLine="0"/>
        <w:jc w:val="left"/>
        <w:rPr>
          <w:sz w:val="12"/>
        </w:rPr>
      </w:pPr>
      <w:r>
        <w:rPr>
          <w:color w:val="231F20"/>
          <w:sz w:val="12"/>
        </w:rPr>
        <w:t>10</w:t>
      </w:r>
    </w:p>
    <w:p>
      <w:pPr>
        <w:pStyle w:val="BodyText"/>
        <w:spacing w:before="2"/>
        <w:rPr>
          <w:sz w:val="9"/>
        </w:rPr>
      </w:pPr>
    </w:p>
    <w:p>
      <w:pPr>
        <w:spacing w:before="83"/>
        <w:ind w:left="1328" w:right="0" w:firstLine="0"/>
        <w:jc w:val="left"/>
        <w:rPr>
          <w:sz w:val="12"/>
        </w:rPr>
      </w:pPr>
      <w:r>
        <w:rPr>
          <w:color w:val="231F20"/>
          <w:w w:val="102"/>
          <w:sz w:val="12"/>
        </w:rPr>
        <w:t>8</w:t>
      </w:r>
    </w:p>
    <w:p>
      <w:pPr>
        <w:pStyle w:val="BodyText"/>
        <w:spacing w:before="2"/>
        <w:rPr>
          <w:sz w:val="9"/>
        </w:rPr>
      </w:pPr>
    </w:p>
    <w:p>
      <w:pPr>
        <w:spacing w:before="83"/>
        <w:ind w:left="1328" w:right="0" w:firstLine="0"/>
        <w:jc w:val="left"/>
        <w:rPr>
          <w:sz w:val="12"/>
        </w:rPr>
      </w:pPr>
      <w:r>
        <w:rPr>
          <w:color w:val="231F20"/>
          <w:w w:val="102"/>
          <w:sz w:val="12"/>
        </w:rPr>
        <w:t>6</w:t>
      </w:r>
    </w:p>
    <w:p>
      <w:pPr>
        <w:pStyle w:val="BodyText"/>
        <w:spacing w:before="2"/>
        <w:rPr>
          <w:sz w:val="9"/>
        </w:rPr>
      </w:pPr>
    </w:p>
    <w:p>
      <w:pPr>
        <w:spacing w:before="83"/>
        <w:ind w:left="1328" w:right="0" w:firstLine="0"/>
        <w:jc w:val="left"/>
        <w:rPr>
          <w:sz w:val="12"/>
        </w:rPr>
      </w:pPr>
      <w:r>
        <w:rPr>
          <w:color w:val="231F20"/>
          <w:w w:val="102"/>
          <w:sz w:val="12"/>
        </w:rPr>
        <w:t>4</w:t>
      </w:r>
    </w:p>
    <w:p>
      <w:pPr>
        <w:pStyle w:val="BodyText"/>
        <w:spacing w:before="2"/>
        <w:rPr>
          <w:sz w:val="9"/>
        </w:rPr>
      </w:pPr>
    </w:p>
    <w:p>
      <w:pPr>
        <w:spacing w:before="83"/>
        <w:ind w:left="1328" w:right="0" w:firstLine="0"/>
        <w:jc w:val="left"/>
        <w:rPr>
          <w:sz w:val="12"/>
        </w:rPr>
      </w:pPr>
      <w:r>
        <w:rPr>
          <w:color w:val="231F20"/>
          <w:w w:val="102"/>
          <w:sz w:val="12"/>
        </w:rPr>
        <w:t>2</w:t>
      </w:r>
    </w:p>
    <w:p>
      <w:pPr>
        <w:pStyle w:val="BodyText"/>
        <w:spacing w:before="2"/>
        <w:rPr>
          <w:sz w:val="9"/>
        </w:rPr>
      </w:pPr>
    </w:p>
    <w:p>
      <w:pPr>
        <w:spacing w:after="0"/>
        <w:rPr>
          <w:sz w:val="9"/>
        </w:rPr>
        <w:sectPr>
          <w:pgSz w:w="9520" w:h="12920"/>
          <w:pgMar w:header="0" w:footer="1344" w:top="880" w:bottom="1540" w:left="1020" w:right="1320"/>
        </w:sectPr>
      </w:pPr>
    </w:p>
    <w:p>
      <w:pPr>
        <w:spacing w:line="127" w:lineRule="exact" w:before="83"/>
        <w:ind w:left="0" w:right="453" w:firstLine="0"/>
        <w:jc w:val="right"/>
        <w:rPr>
          <w:sz w:val="12"/>
        </w:rPr>
      </w:pPr>
      <w:r>
        <w:rPr>
          <w:color w:val="231F20"/>
          <w:w w:val="102"/>
          <w:sz w:val="12"/>
        </w:rPr>
        <w:t>0</w:t>
      </w:r>
    </w:p>
    <w:p>
      <w:pPr>
        <w:spacing w:line="127" w:lineRule="exact" w:before="0"/>
        <w:ind w:left="0" w:right="0" w:firstLine="0"/>
        <w:jc w:val="right"/>
        <w:rPr>
          <w:sz w:val="12"/>
        </w:rPr>
      </w:pPr>
      <w:r>
        <w:rPr>
          <w:color w:val="231F20"/>
          <w:sz w:val="12"/>
        </w:rPr>
        <w:t>1930</w:t>
      </w:r>
    </w:p>
    <w:p>
      <w:pPr>
        <w:pStyle w:val="BodyText"/>
        <w:spacing w:before="8"/>
        <w:rPr>
          <w:sz w:val="16"/>
        </w:rPr>
      </w:pPr>
      <w:r>
        <w:rPr/>
        <w:br w:type="column"/>
      </w:r>
      <w:r>
        <w:rPr>
          <w:sz w:val="16"/>
        </w:rPr>
      </w:r>
    </w:p>
    <w:p>
      <w:pPr>
        <w:spacing w:before="0"/>
        <w:ind w:left="183" w:right="-14" w:firstLine="0"/>
        <w:jc w:val="left"/>
        <w:rPr>
          <w:sz w:val="12"/>
        </w:rPr>
      </w:pPr>
      <w:r>
        <w:rPr>
          <w:color w:val="231F20"/>
          <w:sz w:val="12"/>
        </w:rPr>
        <w:t>1940</w:t>
      </w:r>
    </w:p>
    <w:p>
      <w:pPr>
        <w:pStyle w:val="BodyText"/>
        <w:spacing w:before="8"/>
        <w:rPr>
          <w:sz w:val="16"/>
        </w:rPr>
      </w:pPr>
      <w:r>
        <w:rPr/>
        <w:br w:type="column"/>
      </w:r>
      <w:r>
        <w:rPr>
          <w:sz w:val="16"/>
        </w:rPr>
      </w:r>
    </w:p>
    <w:p>
      <w:pPr>
        <w:spacing w:before="0"/>
        <w:ind w:left="183" w:right="-14" w:firstLine="0"/>
        <w:jc w:val="left"/>
        <w:rPr>
          <w:sz w:val="12"/>
        </w:rPr>
      </w:pPr>
      <w:r>
        <w:rPr>
          <w:color w:val="231F20"/>
          <w:sz w:val="12"/>
        </w:rPr>
        <w:t>1950</w:t>
      </w:r>
    </w:p>
    <w:p>
      <w:pPr>
        <w:pStyle w:val="BodyText"/>
        <w:spacing w:before="8"/>
        <w:rPr>
          <w:sz w:val="16"/>
        </w:rPr>
      </w:pPr>
      <w:r>
        <w:rPr/>
        <w:br w:type="column"/>
      </w:r>
      <w:r>
        <w:rPr>
          <w:sz w:val="16"/>
        </w:rPr>
      </w:r>
    </w:p>
    <w:p>
      <w:pPr>
        <w:spacing w:before="0"/>
        <w:ind w:left="183" w:right="-14" w:firstLine="0"/>
        <w:jc w:val="left"/>
        <w:rPr>
          <w:sz w:val="12"/>
        </w:rPr>
      </w:pPr>
      <w:r>
        <w:rPr>
          <w:color w:val="231F20"/>
          <w:sz w:val="12"/>
        </w:rPr>
        <w:t>1960</w:t>
      </w:r>
    </w:p>
    <w:p>
      <w:pPr>
        <w:pStyle w:val="BodyText"/>
        <w:spacing w:before="8"/>
        <w:rPr>
          <w:sz w:val="16"/>
        </w:rPr>
      </w:pPr>
      <w:r>
        <w:rPr/>
        <w:br w:type="column"/>
      </w:r>
      <w:r>
        <w:rPr>
          <w:sz w:val="16"/>
        </w:rPr>
      </w:r>
    </w:p>
    <w:p>
      <w:pPr>
        <w:spacing w:before="0"/>
        <w:ind w:left="183" w:right="-14" w:firstLine="0"/>
        <w:jc w:val="left"/>
        <w:rPr>
          <w:sz w:val="12"/>
        </w:rPr>
      </w:pPr>
      <w:r>
        <w:rPr>
          <w:color w:val="231F20"/>
          <w:sz w:val="12"/>
        </w:rPr>
        <w:t>1970</w:t>
      </w:r>
    </w:p>
    <w:p>
      <w:pPr>
        <w:pStyle w:val="BodyText"/>
        <w:spacing w:before="8"/>
        <w:rPr>
          <w:sz w:val="16"/>
        </w:rPr>
      </w:pPr>
      <w:r>
        <w:rPr/>
        <w:br w:type="column"/>
      </w:r>
      <w:r>
        <w:rPr>
          <w:sz w:val="16"/>
        </w:rPr>
      </w:r>
    </w:p>
    <w:p>
      <w:pPr>
        <w:spacing w:before="0"/>
        <w:ind w:left="183" w:right="-14" w:firstLine="0"/>
        <w:jc w:val="left"/>
        <w:rPr>
          <w:sz w:val="12"/>
        </w:rPr>
      </w:pPr>
      <w:r>
        <w:rPr>
          <w:color w:val="231F20"/>
          <w:sz w:val="12"/>
        </w:rPr>
        <w:t>1980</w:t>
      </w:r>
    </w:p>
    <w:p>
      <w:pPr>
        <w:pStyle w:val="BodyText"/>
        <w:spacing w:before="8"/>
        <w:rPr>
          <w:sz w:val="16"/>
        </w:rPr>
      </w:pPr>
      <w:r>
        <w:rPr/>
        <w:br w:type="column"/>
      </w:r>
      <w:r>
        <w:rPr>
          <w:sz w:val="16"/>
        </w:rPr>
      </w:r>
    </w:p>
    <w:p>
      <w:pPr>
        <w:spacing w:before="0"/>
        <w:ind w:left="183" w:right="-14" w:firstLine="0"/>
        <w:jc w:val="left"/>
        <w:rPr>
          <w:sz w:val="12"/>
        </w:rPr>
      </w:pPr>
      <w:r>
        <w:rPr>
          <w:color w:val="231F20"/>
          <w:sz w:val="12"/>
        </w:rPr>
        <w:t>1990</w:t>
      </w:r>
    </w:p>
    <w:p>
      <w:pPr>
        <w:pStyle w:val="BodyText"/>
        <w:spacing w:before="8"/>
        <w:rPr>
          <w:sz w:val="16"/>
        </w:rPr>
      </w:pPr>
      <w:r>
        <w:rPr/>
        <w:br w:type="column"/>
      </w:r>
      <w:r>
        <w:rPr>
          <w:sz w:val="16"/>
        </w:rPr>
      </w:r>
    </w:p>
    <w:p>
      <w:pPr>
        <w:tabs>
          <w:tab w:pos="678" w:val="left" w:leader="none"/>
        </w:tabs>
        <w:spacing w:before="0"/>
        <w:ind w:left="183" w:right="0" w:firstLine="0"/>
        <w:jc w:val="left"/>
        <w:rPr>
          <w:sz w:val="12"/>
        </w:rPr>
      </w:pPr>
      <w:r>
        <w:rPr>
          <w:color w:val="231F20"/>
          <w:sz w:val="12"/>
        </w:rPr>
        <w:t>2000</w:t>
        <w:tab/>
        <w:t>2010</w:t>
      </w:r>
    </w:p>
    <w:p>
      <w:pPr>
        <w:spacing w:after="0"/>
        <w:jc w:val="left"/>
        <w:rPr>
          <w:sz w:val="12"/>
        </w:rPr>
        <w:sectPr>
          <w:type w:val="continuous"/>
          <w:pgSz w:w="9520" w:h="12920"/>
          <w:pgMar w:top="0" w:bottom="0" w:left="1020" w:right="1320"/>
          <w:cols w:num="8" w:equalWidth="0">
            <w:col w:w="1852" w:space="40"/>
            <w:col w:w="455" w:space="40"/>
            <w:col w:w="455" w:space="40"/>
            <w:col w:w="455" w:space="40"/>
            <w:col w:w="455" w:space="40"/>
            <w:col w:w="455" w:space="40"/>
            <w:col w:w="455" w:space="40"/>
            <w:col w:w="2318"/>
          </w:cols>
        </w:sectPr>
      </w:pPr>
    </w:p>
    <w:p>
      <w:pPr>
        <w:spacing w:before="97"/>
        <w:ind w:left="460" w:right="0" w:firstLine="0"/>
        <w:jc w:val="left"/>
        <w:rPr>
          <w:sz w:val="15"/>
        </w:rPr>
      </w:pPr>
      <w:r>
        <w:rPr>
          <w:color w:val="231F20"/>
          <w:w w:val="110"/>
          <w:sz w:val="15"/>
        </w:rPr>
        <w:t>Fuente: Elaboración propia con base en datos de estadísticas vitales,  </w:t>
      </w:r>
      <w:r>
        <w:rPr>
          <w:rFonts w:ascii="Times New Roman" w:hAnsi="Times New Roman"/>
          <w:color w:val="231F20"/>
          <w:w w:val="110"/>
          <w:sz w:val="12"/>
        </w:rPr>
        <w:t>INEGI</w:t>
      </w:r>
      <w:r>
        <w:rPr>
          <w:color w:val="231F20"/>
          <w:w w:val="110"/>
          <w:sz w:val="15"/>
        </w:rPr>
        <w:t>.</w:t>
      </w:r>
    </w:p>
    <w:p>
      <w:pPr>
        <w:pStyle w:val="BodyText"/>
        <w:spacing w:before="4"/>
        <w:rPr>
          <w:sz w:val="17"/>
        </w:rPr>
      </w:pPr>
    </w:p>
    <w:p>
      <w:pPr>
        <w:spacing w:line="256" w:lineRule="auto" w:before="0"/>
        <w:ind w:left="100" w:right="0" w:firstLine="360"/>
        <w:jc w:val="left"/>
        <w:rPr>
          <w:sz w:val="16"/>
        </w:rPr>
      </w:pPr>
      <w:r>
        <w:rPr>
          <w:color w:val="231F20"/>
          <w:w w:val="110"/>
          <w:position w:val="5"/>
          <w:sz w:val="9"/>
        </w:rPr>
        <w:t>4 </w:t>
      </w:r>
      <w:r>
        <w:rPr>
          <w:color w:val="231F20"/>
          <w:w w:val="110"/>
          <w:sz w:val="16"/>
        </w:rPr>
        <w:t>El índice de divorcialidad se refiere al número de divorcios por cada 100 matrimonios legales durante el año.</w:t>
      </w:r>
    </w:p>
    <w:p>
      <w:pPr>
        <w:spacing w:line="187" w:lineRule="exact" w:before="0"/>
        <w:ind w:left="460" w:right="0" w:firstLine="0"/>
        <w:jc w:val="left"/>
        <w:rPr>
          <w:sz w:val="16"/>
        </w:rPr>
      </w:pPr>
      <w:r>
        <w:rPr>
          <w:color w:val="231F20"/>
          <w:w w:val="110"/>
          <w:position w:val="5"/>
          <w:sz w:val="9"/>
        </w:rPr>
        <w:t>5 </w:t>
      </w:r>
      <w:r>
        <w:rPr>
          <w:color w:val="231F20"/>
          <w:w w:val="110"/>
          <w:sz w:val="16"/>
        </w:rPr>
        <w:t>La legislación del estado de Chihuahua permitía esta  situación.</w:t>
      </w:r>
    </w:p>
    <w:p>
      <w:pPr>
        <w:spacing w:after="0" w:line="187" w:lineRule="exact"/>
        <w:jc w:val="left"/>
        <w:rPr>
          <w:sz w:val="16"/>
        </w:rPr>
        <w:sectPr>
          <w:type w:val="continuous"/>
          <w:pgSz w:w="9520" w:h="12920"/>
          <w:pgMar w:top="0" w:bottom="0" w:left="1020" w:right="1320"/>
        </w:sectPr>
      </w:pPr>
    </w:p>
    <w:p>
      <w:pPr>
        <w:pStyle w:val="BodyText"/>
        <w:spacing w:line="288" w:lineRule="auto" w:before="42"/>
        <w:ind w:left="124" w:right="112" w:firstLine="360"/>
        <w:jc w:val="both"/>
      </w:pPr>
      <w:r>
        <w:rPr>
          <w:color w:val="231F20"/>
          <w:w w:val="110"/>
        </w:rPr>
        <w:t>Hay</w:t>
      </w:r>
      <w:r>
        <w:rPr>
          <w:color w:val="231F20"/>
          <w:spacing w:val="-10"/>
          <w:w w:val="110"/>
        </w:rPr>
        <w:t> </w:t>
      </w:r>
      <w:r>
        <w:rPr>
          <w:color w:val="231F20"/>
          <w:w w:val="110"/>
        </w:rPr>
        <w:t>que</w:t>
      </w:r>
      <w:r>
        <w:rPr>
          <w:color w:val="231F20"/>
          <w:spacing w:val="-10"/>
          <w:w w:val="110"/>
        </w:rPr>
        <w:t> </w:t>
      </w:r>
      <w:r>
        <w:rPr>
          <w:color w:val="231F20"/>
          <w:w w:val="110"/>
        </w:rPr>
        <w:t>considerar</w:t>
      </w:r>
      <w:r>
        <w:rPr>
          <w:color w:val="231F20"/>
          <w:spacing w:val="-10"/>
          <w:w w:val="110"/>
        </w:rPr>
        <w:t> </w:t>
      </w:r>
      <w:r>
        <w:rPr>
          <w:color w:val="231F20"/>
          <w:w w:val="110"/>
        </w:rPr>
        <w:t>también</w:t>
      </w:r>
      <w:r>
        <w:rPr>
          <w:color w:val="231F20"/>
          <w:spacing w:val="-10"/>
          <w:w w:val="110"/>
        </w:rPr>
        <w:t> </w:t>
      </w:r>
      <w:r>
        <w:rPr>
          <w:color w:val="231F20"/>
          <w:w w:val="110"/>
        </w:rPr>
        <w:t>que</w:t>
      </w:r>
      <w:r>
        <w:rPr>
          <w:color w:val="231F20"/>
          <w:spacing w:val="-10"/>
          <w:w w:val="110"/>
        </w:rPr>
        <w:t> </w:t>
      </w:r>
      <w:r>
        <w:rPr>
          <w:color w:val="231F20"/>
          <w:w w:val="110"/>
        </w:rPr>
        <w:t>este</w:t>
      </w:r>
      <w:r>
        <w:rPr>
          <w:color w:val="231F20"/>
          <w:spacing w:val="-10"/>
          <w:w w:val="110"/>
        </w:rPr>
        <w:t> </w:t>
      </w:r>
      <w:r>
        <w:rPr>
          <w:color w:val="231F20"/>
          <w:w w:val="110"/>
        </w:rPr>
        <w:t>incremento</w:t>
      </w:r>
      <w:r>
        <w:rPr>
          <w:color w:val="231F20"/>
          <w:spacing w:val="-10"/>
          <w:w w:val="110"/>
        </w:rPr>
        <w:t> </w:t>
      </w:r>
      <w:r>
        <w:rPr>
          <w:color w:val="231F20"/>
          <w:w w:val="110"/>
        </w:rPr>
        <w:t>acelerado</w:t>
      </w:r>
      <w:r>
        <w:rPr>
          <w:color w:val="231F20"/>
          <w:spacing w:val="-10"/>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índice de</w:t>
      </w:r>
      <w:r>
        <w:rPr>
          <w:color w:val="231F20"/>
          <w:spacing w:val="-14"/>
          <w:w w:val="110"/>
        </w:rPr>
        <w:t> </w:t>
      </w:r>
      <w:r>
        <w:rPr>
          <w:color w:val="231F20"/>
          <w:w w:val="110"/>
        </w:rPr>
        <w:t>divorcialidad</w:t>
      </w:r>
      <w:r>
        <w:rPr>
          <w:color w:val="231F20"/>
          <w:spacing w:val="-14"/>
          <w:w w:val="110"/>
        </w:rPr>
        <w:t> </w:t>
      </w:r>
      <w:r>
        <w:rPr>
          <w:color w:val="231F20"/>
          <w:w w:val="110"/>
        </w:rPr>
        <w:t>no</w:t>
      </w:r>
      <w:r>
        <w:rPr>
          <w:color w:val="231F20"/>
          <w:spacing w:val="-14"/>
          <w:w w:val="110"/>
        </w:rPr>
        <w:t> </w:t>
      </w:r>
      <w:r>
        <w:rPr>
          <w:color w:val="231F20"/>
          <w:w w:val="110"/>
        </w:rPr>
        <w:t>sólo</w:t>
      </w:r>
      <w:r>
        <w:rPr>
          <w:color w:val="231F20"/>
          <w:spacing w:val="-14"/>
          <w:w w:val="110"/>
        </w:rPr>
        <w:t> </w:t>
      </w:r>
      <w:r>
        <w:rPr>
          <w:color w:val="231F20"/>
          <w:w w:val="110"/>
        </w:rPr>
        <w:t>refleja</w:t>
      </w:r>
      <w:r>
        <w:rPr>
          <w:color w:val="231F20"/>
          <w:spacing w:val="-14"/>
          <w:w w:val="110"/>
        </w:rPr>
        <w:t> </w:t>
      </w:r>
      <w:r>
        <w:rPr>
          <w:color w:val="231F20"/>
          <w:w w:val="110"/>
        </w:rPr>
        <w:t>el</w:t>
      </w:r>
      <w:r>
        <w:rPr>
          <w:color w:val="231F20"/>
          <w:spacing w:val="-14"/>
          <w:w w:val="110"/>
        </w:rPr>
        <w:t> </w:t>
      </w:r>
      <w:r>
        <w:rPr>
          <w:color w:val="231F20"/>
          <w:w w:val="110"/>
        </w:rPr>
        <w:t>aumento</w:t>
      </w:r>
      <w:r>
        <w:rPr>
          <w:color w:val="231F20"/>
          <w:spacing w:val="-14"/>
          <w:w w:val="110"/>
        </w:rPr>
        <w:t> </w:t>
      </w:r>
      <w:r>
        <w:rPr>
          <w:color w:val="231F20"/>
          <w:w w:val="110"/>
        </w:rPr>
        <w:t>en</w:t>
      </w:r>
      <w:r>
        <w:rPr>
          <w:color w:val="231F20"/>
          <w:spacing w:val="-14"/>
          <w:w w:val="110"/>
        </w:rPr>
        <w:t> </w:t>
      </w:r>
      <w:r>
        <w:rPr>
          <w:color w:val="231F20"/>
          <w:w w:val="110"/>
        </w:rPr>
        <w:t>la</w:t>
      </w:r>
      <w:r>
        <w:rPr>
          <w:color w:val="231F20"/>
          <w:spacing w:val="-14"/>
          <w:w w:val="110"/>
        </w:rPr>
        <w:t> </w:t>
      </w:r>
      <w:r>
        <w:rPr>
          <w:color w:val="231F20"/>
          <w:w w:val="110"/>
        </w:rPr>
        <w:t>categoría</w:t>
      </w:r>
      <w:r>
        <w:rPr>
          <w:color w:val="231F20"/>
          <w:spacing w:val="-14"/>
          <w:w w:val="110"/>
        </w:rPr>
        <w:t> </w:t>
      </w:r>
      <w:r>
        <w:rPr>
          <w:color w:val="231F20"/>
          <w:w w:val="110"/>
        </w:rPr>
        <w:t>marital</w:t>
      </w:r>
      <w:r>
        <w:rPr>
          <w:color w:val="231F20"/>
          <w:spacing w:val="-14"/>
          <w:w w:val="110"/>
        </w:rPr>
        <w:t> </w:t>
      </w:r>
      <w:r>
        <w:rPr>
          <w:color w:val="231F20"/>
          <w:w w:val="110"/>
        </w:rPr>
        <w:t>“divorcia- dos”, sino también un efecto de la disminución del matrimonio legal en los últimos años, que hace que al disminuir el denominador y aumentar el numerador el resultado sea más</w:t>
      </w:r>
      <w:r>
        <w:rPr>
          <w:color w:val="231F20"/>
          <w:spacing w:val="32"/>
          <w:w w:val="110"/>
        </w:rPr>
        <w:t> </w:t>
      </w:r>
      <w:r>
        <w:rPr>
          <w:color w:val="231F20"/>
          <w:w w:val="110"/>
        </w:rPr>
        <w:t>evidente.</w:t>
      </w:r>
    </w:p>
    <w:p>
      <w:pPr>
        <w:pStyle w:val="BodyText"/>
        <w:spacing w:line="288" w:lineRule="auto"/>
        <w:ind w:left="124" w:right="114" w:firstLine="360"/>
        <w:jc w:val="both"/>
      </w:pPr>
      <w:r>
        <w:rPr>
          <w:color w:val="231F20"/>
          <w:w w:val="105"/>
        </w:rPr>
        <w:t>El calendario de la nupcialidad es otro de los aspectos importantes al estudiar el patrón de formación familiar. En la gráfica 5 se presenta la evo- lución de las edades promedio al primer matrimonio legal a partir de 1910     y hasta 2010. En la gráfica apreciamos que la tendencia en las primeras décadas es constante con diferencias de  edad  entre  cónyuges  cercanas  a  los tres años que varían apenas en unas décimas con un cierto estrecha- miento en la década de los años cuarenta. Cabe señalar que estas edades corresponden a matrimonios legales, que tradicionalmente son  más  tar-  días que las uniones libres que no se incluyeron en esta gráfica (Quilodrán, 2001:</w:t>
      </w:r>
      <w:r>
        <w:rPr>
          <w:color w:val="231F20"/>
          <w:spacing w:val="-3"/>
          <w:w w:val="105"/>
        </w:rPr>
        <w:t> </w:t>
      </w:r>
      <w:r>
        <w:rPr>
          <w:color w:val="231F20"/>
          <w:w w:val="105"/>
        </w:rPr>
        <w:t>165).</w:t>
      </w:r>
    </w:p>
    <w:p>
      <w:pPr>
        <w:pStyle w:val="BodyText"/>
        <w:spacing w:before="4"/>
      </w:pPr>
    </w:p>
    <w:p>
      <w:pPr>
        <w:spacing w:line="185" w:lineRule="exact" w:before="0"/>
        <w:ind w:left="465" w:right="457" w:firstLine="0"/>
        <w:jc w:val="center"/>
        <w:rPr>
          <w:sz w:val="16"/>
        </w:rPr>
      </w:pPr>
      <w:r>
        <w:rPr>
          <w:color w:val="231F20"/>
          <w:w w:val="105"/>
          <w:sz w:val="16"/>
        </w:rPr>
        <w:t>Gráfica 5</w:t>
      </w:r>
    </w:p>
    <w:p>
      <w:pPr>
        <w:spacing w:line="220" w:lineRule="exact" w:before="0"/>
        <w:ind w:left="465" w:right="457" w:firstLine="0"/>
        <w:jc w:val="center"/>
        <w:rPr>
          <w:sz w:val="19"/>
        </w:rPr>
      </w:pPr>
      <w:r>
        <w:rPr>
          <w:color w:val="231F20"/>
          <w:w w:val="90"/>
          <w:sz w:val="19"/>
        </w:rPr>
        <w:t>Edad promedio al matrimonio legal por sexo de 1910 a 2010. México</w:t>
      </w:r>
    </w:p>
    <w:p>
      <w:pPr>
        <w:pStyle w:val="BodyText"/>
        <w:spacing w:before="10"/>
        <w:rPr>
          <w:sz w:val="12"/>
        </w:rPr>
      </w:pPr>
    </w:p>
    <w:p>
      <w:pPr>
        <w:spacing w:before="82"/>
        <w:ind w:left="416" w:right="0" w:firstLine="0"/>
        <w:jc w:val="left"/>
        <w:rPr>
          <w:sz w:val="12"/>
        </w:rPr>
      </w:pPr>
      <w:r>
        <w:rPr/>
        <w:pict>
          <v:group style="position:absolute;margin-left:95.959229pt;margin-top:8.343325pt;width:298.8pt;height:147.1pt;mso-position-horizontal-relative:page;mso-position-vertical-relative:paragraph;z-index:1528" coordorigin="1919,167" coordsize="5976,2942">
            <v:shape style="position:absolute;left:-8039;top:295;width:6081;height:2882" coordorigin="-8039,295" coordsize="6081,2882" path="m1922,170l1979,170,1979,3105m1922,3039l7891,3039,7891,3105m2962,3039l2962,3105m3944,3039l3944,3105m4935,3039l4935,3105m5922,3039l5922,3105m6904,3039l6904,3105m1979,2751l1922,2751m1979,2468l1922,2468m1979,2178l1922,2178m1979,1889l1922,1889m1979,1598l1922,1598m1979,1317l1922,1317m1979,1028l1922,1028m1979,740l1922,740m1979,455l1922,455e" filled="false" stroked="true" strokeweight=".270046pt" strokecolor="#231f20">
              <v:path arrowok="t"/>
            </v:shape>
            <v:shape style="position:absolute;left:2467;top:472;width:4936;height:1477" coordorigin="2467,472" coordsize="4936,1477" path="m2467,1635l2717,1779,2962,1779,3210,1779,3459,1806,3706,1663,3944,1746,4191,1861,4442,1922,4686,1949,4935,1779,5431,1776,5922,1831,6167,1759,6414,1770,6663,1658,6904,1394,7156,1091,7402,472e" filled="false" stroked="true" strokeweight=".438657pt" strokecolor="#939598">
              <v:path arrowok="t"/>
            </v:shape>
            <v:shape style="position:absolute;left:2467;top:1292;width:4936;height:1460" coordorigin="2467,1292" coordsize="4936,1460" path="m7402,1292l7153,1896,6904,2202,6660,2455,6411,2579,6165,2615,5922,2436,5431,2290,4935,2579,4686,2601,4440,2579,4193,2524,3944,2472,3706,2408,3459,2554,3215,2725,2962,2751,2715,2661,2467,2521e" filled="false" stroked="true" strokeweight=".438686pt" strokecolor="#231f20">
              <v:path arrowok="t"/>
            </v:shape>
            <v:shape style="position:absolute;left:2450;top:1279;width:4974;height:1495" coordorigin="2450,1279" coordsize="4974,1495" path="m2493,2511l2484,2500,2460,2500,2450,2511,2450,2536,2460,2546,2484,2546,2493,2536,2493,2511m2736,2649l2727,2639,2702,2639,2693,2649,2693,2674,2702,2684,2727,2684,2736,2674,2736,2649m2984,2738l2974,2728,2950,2728,2940,2738,2940,2763,2950,2774,2974,2774,2984,2763,2984,2738m3237,2712l3227,2702,3203,2702,3194,2712,3194,2737,3203,2747,3227,2747,3237,2737,3237,2712m3483,2542l3473,2532,3449,2532,3440,2542,3440,2567,3449,2577,3473,2577,3483,2567,3483,2542m3729,2400l3720,2390,3695,2390,3686,2400,3686,2425,3695,2435,3720,2435,3729,2425,3729,2400m3968,2460l3958,2450,3934,2450,3924,2460,3924,2485,3934,2495,3958,2495,3968,2485,3968,2460m4216,2511l4206,2501,4182,2501,4172,2511,4172,2536,4182,2546,4206,2546,4216,2536,4216,2511m4464,2568l4454,2557,4430,2557,4420,2568,4420,2593,4430,2603,4454,2603,4464,2593,4464,2568m4711,2590l4702,2580,4677,2580,4668,2590,4668,2615,4677,2625,4702,2625,4711,2615,4711,2590m4957,2568l4947,2557,4923,2557,4913,2568,4913,2593,4923,2603,4947,2603,4957,2593,4957,2568m5456,2281l5446,2271,5422,2271,5412,2281,5412,2306,5422,2316,5446,2316,5456,2306,5456,2281m5942,2423l5932,2412,5908,2412,5898,2423,5898,2448,5908,2458,5932,2458,5942,2448,5942,2423m6192,2604l6182,2594,6158,2594,6149,2604,6149,2629,6158,2639,6182,2639,6192,2629,6192,2604m6435,2568l6425,2557,6401,2557,6391,2568,6391,2593,6401,2603,6425,2603,6435,2593,6435,2568m6681,2444l6671,2434,6647,2434,6637,2444,6637,2470,6647,2480,6671,2480,6681,2470,6681,2444m6931,2184l6921,2174,6897,2174,6887,2184,6887,2209,6897,2219,6921,2219,6931,2209,6931,2184m7179,1877l7169,1867,7145,1867,7135,1877,7135,1902,7145,1912,7169,1912,7179,1902,7179,1877m7423,1289l7413,1279,7389,1279,7379,1289,7379,1314,7389,1324,7413,1324,7423,1314,7423,1289e" filled="true" fillcolor="#231f20" stroked="false">
              <v:path arrowok="t"/>
              <v:fill type="solid"/>
            </v:shape>
            <v:shape style="position:absolute;left:2445;top:450;width:4979;height:1523" coordorigin="2445,450" coordsize="4979,1523" path="m2489,1624l2479,1614,2455,1614,2445,1624,2445,1649,2455,1659,2479,1659,2489,1649,2489,1624m2743,1769l2733,1759,2709,1759,2699,1769,2699,1794,2709,1804,2733,1804,2743,1794,2743,1769m2987,1769l2977,1759,2953,1759,2943,1769,2943,1794,2953,1804,2977,1804,2987,1794,2987,1769m3233,1769l3223,1759,3199,1759,3189,1769,3189,1794,3199,1804,3223,1804,3233,1794,3233,1769m3482,1792l3473,1782,3448,1782,3439,1792,3439,1817,3448,1827,3473,1827,3482,1817,3482,1792m3729,1654l3720,1644,3695,1644,3686,1654,3686,1679,3695,1689,3720,1689,3729,1679,3729,1654m3970,1735l3960,1725,3936,1725,3926,1735,3926,1760,3936,1770,3960,1770,3970,1760,3970,1735m4216,1851l4207,1841,4183,1841,4173,1851,4173,1876,4183,1886,4207,1886,4216,1876,4216,1851m4463,1906l4454,1896,4429,1896,4420,1906,4420,1931,4429,1942,4454,1942,4463,1931,4463,1906m4711,1937l4701,1926,4677,1926,4667,1937,4667,1962,4677,1972,4701,1972,4711,1962,4711,1937m4957,1766l4947,1755,4923,1755,4913,1766,4913,1791,4923,1801,4947,1801,4957,1791,4957,1766m5456,1765l5446,1755,5422,1755,5412,1765,5412,1790,5422,1800,5446,1800,5456,1790,5456,1765m5947,1817l5938,1807,5914,1807,5904,1817,5904,1842,5914,1852,5938,1852,5947,1842,5947,1817m6188,1746l6178,1736,6154,1736,6144,1746,6144,1771,6154,1781,6178,1781,6188,1771,6188,1746m6437,1759l6428,1749,6404,1749,6394,1759,6394,1784,6404,1794,6428,1794,6437,1784,6437,1759m6685,1643l6675,1633,6651,1633,6641,1643,6641,1669,6651,1679,6675,1679,6685,1669,6685,1643m6929,1381l6919,1371,6895,1371,6885,1381,6885,1406,6895,1416,6919,1416,6929,1406,6929,1381m7180,1073l7170,1063,7146,1063,7136,1073,7136,1098,7146,1108,7170,1108,7180,1098,7180,1073m7424,460l7414,450,7390,450,7381,460,7381,485,7390,495,7414,495,7424,485,7424,460e" filled="true" fillcolor="#939598" stroked="false">
              <v:path arrowok="t"/>
              <v:fill type="solid"/>
            </v:shape>
            <v:line style="position:absolute" from="2800,442" to="2968,442" stroked="true" strokeweight=".439972pt" strokecolor="#939598"/>
            <v:shape style="position:absolute;left:2868;top:419;width:44;height:46" coordorigin="2868,419" coordsize="44,46" path="m2877,419l2901,419,2911,430,2911,455,2901,465,2877,465,2868,455,2868,430,2877,419xe" filled="true" fillcolor="#939598" stroked="false">
              <v:path arrowok="t"/>
              <v:fill type="solid"/>
            </v:shape>
            <v:line style="position:absolute" from="3820,442" to="3988,442" stroked="true" strokeweight=".439972pt" strokecolor="#231f20"/>
            <v:shape style="position:absolute;left:3888;top:419;width:44;height:46" coordorigin="3888,419" coordsize="44,46" path="m3898,419l3922,419,3932,430,3932,455,3922,465,3898,465,3888,455,3888,430,3898,419xe" filled="true" fillcolor="#231f20" stroked="false">
              <v:path arrowok="t"/>
              <v:fill type="solid"/>
            </v:shape>
            <w10:wrap type="none"/>
          </v:group>
        </w:pict>
      </w:r>
      <w:r>
        <w:rPr>
          <w:color w:val="231F20"/>
          <w:sz w:val="12"/>
        </w:rPr>
        <w:t>31</w:t>
      </w:r>
    </w:p>
    <w:p>
      <w:pPr>
        <w:pStyle w:val="BodyText"/>
        <w:spacing w:before="5"/>
        <w:rPr>
          <w:sz w:val="12"/>
        </w:rPr>
      </w:pPr>
    </w:p>
    <w:p>
      <w:pPr>
        <w:spacing w:before="0"/>
        <w:ind w:left="416" w:right="0" w:firstLine="0"/>
        <w:jc w:val="left"/>
        <w:rPr>
          <w:sz w:val="12"/>
        </w:rPr>
      </w:pPr>
      <w:r>
        <w:rPr>
          <w:color w:val="231F20"/>
          <w:sz w:val="12"/>
        </w:rPr>
        <w:t>30</w:t>
      </w:r>
    </w:p>
    <w:p>
      <w:pPr>
        <w:pStyle w:val="BodyText"/>
        <w:spacing w:before="5"/>
        <w:rPr>
          <w:sz w:val="12"/>
        </w:rPr>
      </w:pPr>
    </w:p>
    <w:p>
      <w:pPr>
        <w:spacing w:before="0"/>
        <w:ind w:left="416" w:right="0" w:firstLine="0"/>
        <w:jc w:val="left"/>
        <w:rPr>
          <w:sz w:val="12"/>
        </w:rPr>
      </w:pPr>
      <w:r>
        <w:rPr>
          <w:color w:val="231F20"/>
          <w:sz w:val="12"/>
        </w:rPr>
        <w:t>29</w:t>
      </w:r>
    </w:p>
    <w:p>
      <w:pPr>
        <w:pStyle w:val="BodyText"/>
        <w:spacing w:before="5"/>
        <w:rPr>
          <w:sz w:val="12"/>
        </w:rPr>
      </w:pPr>
    </w:p>
    <w:p>
      <w:pPr>
        <w:spacing w:before="0"/>
        <w:ind w:left="416" w:right="0" w:firstLine="0"/>
        <w:jc w:val="left"/>
        <w:rPr>
          <w:sz w:val="12"/>
        </w:rPr>
      </w:pPr>
      <w:r>
        <w:rPr>
          <w:color w:val="231F20"/>
          <w:sz w:val="12"/>
        </w:rPr>
        <w:t>28</w:t>
      </w:r>
    </w:p>
    <w:p>
      <w:pPr>
        <w:pStyle w:val="BodyText"/>
        <w:spacing w:before="5"/>
        <w:rPr>
          <w:sz w:val="12"/>
        </w:rPr>
      </w:pPr>
    </w:p>
    <w:p>
      <w:pPr>
        <w:spacing w:before="0"/>
        <w:ind w:left="416" w:right="0" w:firstLine="0"/>
        <w:jc w:val="left"/>
        <w:rPr>
          <w:sz w:val="12"/>
        </w:rPr>
      </w:pPr>
      <w:r>
        <w:rPr>
          <w:color w:val="231F20"/>
          <w:sz w:val="12"/>
        </w:rPr>
        <w:t>27</w:t>
      </w:r>
    </w:p>
    <w:p>
      <w:pPr>
        <w:pStyle w:val="BodyText"/>
        <w:spacing w:before="5"/>
        <w:rPr>
          <w:sz w:val="12"/>
        </w:rPr>
      </w:pPr>
    </w:p>
    <w:p>
      <w:pPr>
        <w:spacing w:before="0"/>
        <w:ind w:left="416" w:right="0" w:firstLine="0"/>
        <w:jc w:val="left"/>
        <w:rPr>
          <w:sz w:val="12"/>
        </w:rPr>
      </w:pPr>
      <w:r>
        <w:rPr>
          <w:color w:val="231F20"/>
          <w:sz w:val="12"/>
        </w:rPr>
        <w:t>26</w:t>
      </w:r>
    </w:p>
    <w:p>
      <w:pPr>
        <w:pStyle w:val="BodyText"/>
        <w:spacing w:before="5"/>
        <w:rPr>
          <w:sz w:val="12"/>
        </w:rPr>
      </w:pPr>
    </w:p>
    <w:p>
      <w:pPr>
        <w:spacing w:before="0"/>
        <w:ind w:left="416" w:right="0" w:firstLine="0"/>
        <w:jc w:val="left"/>
        <w:rPr>
          <w:sz w:val="12"/>
        </w:rPr>
      </w:pPr>
      <w:r>
        <w:rPr>
          <w:color w:val="231F20"/>
          <w:sz w:val="12"/>
        </w:rPr>
        <w:t>25</w:t>
      </w:r>
    </w:p>
    <w:p>
      <w:pPr>
        <w:pStyle w:val="BodyText"/>
        <w:spacing w:before="5"/>
        <w:rPr>
          <w:sz w:val="12"/>
        </w:rPr>
      </w:pPr>
    </w:p>
    <w:p>
      <w:pPr>
        <w:spacing w:before="0"/>
        <w:ind w:left="416" w:right="0" w:firstLine="0"/>
        <w:jc w:val="left"/>
        <w:rPr>
          <w:sz w:val="12"/>
        </w:rPr>
      </w:pPr>
      <w:r>
        <w:rPr>
          <w:color w:val="231F20"/>
          <w:sz w:val="12"/>
        </w:rPr>
        <w:t>24</w:t>
      </w:r>
    </w:p>
    <w:p>
      <w:pPr>
        <w:pStyle w:val="BodyText"/>
        <w:spacing w:before="5"/>
        <w:rPr>
          <w:sz w:val="12"/>
        </w:rPr>
      </w:pPr>
    </w:p>
    <w:p>
      <w:pPr>
        <w:spacing w:before="0"/>
        <w:ind w:left="416" w:right="0" w:firstLine="0"/>
        <w:jc w:val="left"/>
        <w:rPr>
          <w:sz w:val="12"/>
        </w:rPr>
      </w:pPr>
      <w:r>
        <w:rPr>
          <w:color w:val="231F20"/>
          <w:sz w:val="12"/>
        </w:rPr>
        <w:t>23</w:t>
      </w:r>
    </w:p>
    <w:p>
      <w:pPr>
        <w:pStyle w:val="BodyText"/>
        <w:spacing w:before="5"/>
        <w:rPr>
          <w:sz w:val="12"/>
        </w:rPr>
      </w:pPr>
    </w:p>
    <w:p>
      <w:pPr>
        <w:spacing w:before="0"/>
        <w:ind w:left="416" w:right="0" w:firstLine="0"/>
        <w:jc w:val="left"/>
        <w:rPr>
          <w:sz w:val="12"/>
        </w:rPr>
      </w:pPr>
      <w:r>
        <w:rPr>
          <w:color w:val="231F20"/>
          <w:sz w:val="12"/>
        </w:rPr>
        <w:t>22</w:t>
      </w:r>
    </w:p>
    <w:p>
      <w:pPr>
        <w:spacing w:after="0"/>
        <w:jc w:val="left"/>
        <w:rPr>
          <w:sz w:val="12"/>
        </w:rPr>
        <w:sectPr>
          <w:pgSz w:w="9520" w:h="12920"/>
          <w:pgMar w:header="0" w:footer="1344" w:top="880" w:bottom="1540" w:left="1320" w:right="1000"/>
        </w:sectPr>
      </w:pPr>
    </w:p>
    <w:p>
      <w:pPr>
        <w:pStyle w:val="BodyText"/>
        <w:spacing w:before="5"/>
        <w:rPr>
          <w:sz w:val="12"/>
        </w:rPr>
      </w:pPr>
    </w:p>
    <w:p>
      <w:pPr>
        <w:spacing w:before="0"/>
        <w:ind w:left="416" w:right="-13" w:firstLine="0"/>
        <w:jc w:val="left"/>
        <w:rPr>
          <w:sz w:val="12"/>
        </w:rPr>
      </w:pPr>
      <w:r>
        <w:rPr>
          <w:color w:val="231F20"/>
          <w:sz w:val="12"/>
        </w:rPr>
        <w:t>21</w:t>
      </w:r>
    </w:p>
    <w:p>
      <w:pPr>
        <w:spacing w:before="61"/>
        <w:ind w:left="532" w:right="-13" w:firstLine="0"/>
        <w:jc w:val="left"/>
        <w:rPr>
          <w:sz w:val="12"/>
        </w:rPr>
      </w:pPr>
      <w:r>
        <w:rPr>
          <w:color w:val="231F20"/>
          <w:sz w:val="12"/>
        </w:rPr>
        <w:t>1900</w:t>
      </w:r>
    </w:p>
    <w:p>
      <w:pPr>
        <w:pStyle w:val="BodyText"/>
        <w:rPr>
          <w:sz w:val="12"/>
        </w:rPr>
      </w:pPr>
      <w:r>
        <w:rPr/>
        <w:br w:type="column"/>
      </w:r>
      <w:r>
        <w:rPr>
          <w:sz w:val="12"/>
        </w:rPr>
      </w:r>
    </w:p>
    <w:p>
      <w:pPr>
        <w:pStyle w:val="BodyText"/>
        <w:spacing w:before="8"/>
        <w:rPr>
          <w:sz w:val="17"/>
        </w:rPr>
      </w:pPr>
    </w:p>
    <w:p>
      <w:pPr>
        <w:spacing w:before="0"/>
        <w:ind w:left="416" w:right="-13" w:firstLine="0"/>
        <w:jc w:val="left"/>
        <w:rPr>
          <w:sz w:val="12"/>
        </w:rPr>
      </w:pPr>
      <w:r>
        <w:rPr>
          <w:color w:val="231F20"/>
          <w:sz w:val="12"/>
        </w:rPr>
        <w:t>1920</w:t>
      </w:r>
    </w:p>
    <w:p>
      <w:pPr>
        <w:pStyle w:val="BodyText"/>
        <w:rPr>
          <w:sz w:val="12"/>
        </w:rPr>
      </w:pPr>
      <w:r>
        <w:rPr/>
        <w:br w:type="column"/>
      </w:r>
      <w:r>
        <w:rPr>
          <w:sz w:val="12"/>
        </w:rPr>
      </w:r>
    </w:p>
    <w:p>
      <w:pPr>
        <w:pStyle w:val="BodyText"/>
        <w:spacing w:before="8"/>
        <w:rPr>
          <w:sz w:val="17"/>
        </w:rPr>
      </w:pPr>
    </w:p>
    <w:p>
      <w:pPr>
        <w:spacing w:before="0"/>
        <w:ind w:left="416" w:right="-13" w:firstLine="0"/>
        <w:jc w:val="left"/>
        <w:rPr>
          <w:sz w:val="12"/>
        </w:rPr>
      </w:pPr>
      <w:r>
        <w:rPr>
          <w:color w:val="231F20"/>
          <w:sz w:val="12"/>
        </w:rPr>
        <w:t>1940</w:t>
      </w:r>
    </w:p>
    <w:p>
      <w:pPr>
        <w:pStyle w:val="BodyText"/>
        <w:rPr>
          <w:sz w:val="12"/>
        </w:rPr>
      </w:pPr>
      <w:r>
        <w:rPr/>
        <w:br w:type="column"/>
      </w:r>
      <w:r>
        <w:rPr>
          <w:sz w:val="12"/>
        </w:rPr>
      </w:r>
    </w:p>
    <w:p>
      <w:pPr>
        <w:pStyle w:val="BodyText"/>
        <w:spacing w:before="8"/>
        <w:rPr>
          <w:sz w:val="17"/>
        </w:rPr>
      </w:pPr>
    </w:p>
    <w:p>
      <w:pPr>
        <w:tabs>
          <w:tab w:pos="1401" w:val="left" w:leader="none"/>
          <w:tab w:pos="2386" w:val="left" w:leader="none"/>
          <w:tab w:pos="3371" w:val="left" w:leader="none"/>
        </w:tabs>
        <w:spacing w:before="0"/>
        <w:ind w:left="416" w:right="0" w:firstLine="0"/>
        <w:jc w:val="left"/>
        <w:rPr>
          <w:sz w:val="12"/>
        </w:rPr>
      </w:pPr>
      <w:r>
        <w:rPr>
          <w:color w:val="231F20"/>
          <w:sz w:val="12"/>
        </w:rPr>
        <w:t>1960</w:t>
        <w:tab/>
        <w:t>1980</w:t>
        <w:tab/>
        <w:t>2000</w:t>
        <w:tab/>
        <w:t>2020</w:t>
      </w:r>
    </w:p>
    <w:p>
      <w:pPr>
        <w:spacing w:after="0"/>
        <w:jc w:val="left"/>
        <w:rPr>
          <w:sz w:val="12"/>
        </w:rPr>
        <w:sectPr>
          <w:type w:val="continuous"/>
          <w:pgSz w:w="9520" w:h="12920"/>
          <w:pgMar w:top="0" w:bottom="0" w:left="1320" w:right="1000"/>
          <w:cols w:num="4" w:equalWidth="0">
            <w:col w:w="805" w:space="296"/>
            <w:col w:w="689" w:space="296"/>
            <w:col w:w="689" w:space="296"/>
            <w:col w:w="4129"/>
          </w:cols>
        </w:sectPr>
      </w:pPr>
    </w:p>
    <w:p>
      <w:pPr>
        <w:pStyle w:val="BodyText"/>
        <w:spacing w:before="4"/>
        <w:rPr>
          <w:sz w:val="10"/>
        </w:rPr>
      </w:pPr>
    </w:p>
    <w:p>
      <w:pPr>
        <w:spacing w:line="170" w:lineRule="exact" w:before="84"/>
        <w:ind w:left="124" w:right="112" w:firstLine="360"/>
        <w:jc w:val="both"/>
        <w:rPr>
          <w:sz w:val="15"/>
        </w:rPr>
      </w:pPr>
      <w:r>
        <w:rPr>
          <w:color w:val="231F20"/>
          <w:w w:val="110"/>
          <w:sz w:val="15"/>
        </w:rPr>
        <w:t>Fuente:</w:t>
      </w:r>
      <w:r>
        <w:rPr>
          <w:color w:val="231F20"/>
          <w:spacing w:val="-5"/>
          <w:w w:val="110"/>
          <w:sz w:val="15"/>
        </w:rPr>
        <w:t> </w:t>
      </w:r>
      <w:r>
        <w:rPr>
          <w:color w:val="231F20"/>
          <w:w w:val="110"/>
          <w:sz w:val="15"/>
        </w:rPr>
        <w:t>Serie</w:t>
      </w:r>
      <w:r>
        <w:rPr>
          <w:color w:val="231F20"/>
          <w:spacing w:val="-5"/>
          <w:w w:val="110"/>
          <w:sz w:val="15"/>
        </w:rPr>
        <w:t> </w:t>
      </w:r>
      <w:r>
        <w:rPr>
          <w:color w:val="231F20"/>
          <w:w w:val="110"/>
          <w:sz w:val="15"/>
        </w:rPr>
        <w:t>de</w:t>
      </w:r>
      <w:r>
        <w:rPr>
          <w:color w:val="231F20"/>
          <w:spacing w:val="-5"/>
          <w:w w:val="110"/>
          <w:sz w:val="15"/>
        </w:rPr>
        <w:t> </w:t>
      </w:r>
      <w:r>
        <w:rPr>
          <w:color w:val="231F20"/>
          <w:w w:val="110"/>
          <w:sz w:val="15"/>
        </w:rPr>
        <w:t>1910</w:t>
      </w:r>
      <w:r>
        <w:rPr>
          <w:color w:val="231F20"/>
          <w:spacing w:val="-5"/>
          <w:w w:val="110"/>
          <w:sz w:val="15"/>
        </w:rPr>
        <w:t> </w:t>
      </w:r>
      <w:r>
        <w:rPr>
          <w:color w:val="231F20"/>
          <w:w w:val="110"/>
          <w:sz w:val="15"/>
        </w:rPr>
        <w:t>a</w:t>
      </w:r>
      <w:r>
        <w:rPr>
          <w:color w:val="231F20"/>
          <w:spacing w:val="-5"/>
          <w:w w:val="110"/>
          <w:sz w:val="15"/>
        </w:rPr>
        <w:t> </w:t>
      </w:r>
      <w:r>
        <w:rPr>
          <w:color w:val="231F20"/>
          <w:w w:val="110"/>
          <w:sz w:val="15"/>
        </w:rPr>
        <w:t>1980,</w:t>
      </w:r>
      <w:r>
        <w:rPr>
          <w:color w:val="231F20"/>
          <w:spacing w:val="-5"/>
          <w:w w:val="110"/>
          <w:sz w:val="15"/>
        </w:rPr>
        <w:t> </w:t>
      </w:r>
      <w:r>
        <w:rPr>
          <w:color w:val="231F20"/>
          <w:w w:val="110"/>
          <w:sz w:val="15"/>
        </w:rPr>
        <w:t>Quilodrán</w:t>
      </w:r>
      <w:r>
        <w:rPr>
          <w:color w:val="231F20"/>
          <w:spacing w:val="-5"/>
          <w:w w:val="110"/>
          <w:sz w:val="15"/>
        </w:rPr>
        <w:t> </w:t>
      </w:r>
      <w:r>
        <w:rPr>
          <w:color w:val="231F20"/>
          <w:w w:val="110"/>
          <w:sz w:val="15"/>
        </w:rPr>
        <w:t>(2001:</w:t>
      </w:r>
      <w:r>
        <w:rPr>
          <w:color w:val="231F20"/>
          <w:spacing w:val="-5"/>
          <w:w w:val="110"/>
          <w:sz w:val="15"/>
        </w:rPr>
        <w:t> </w:t>
      </w:r>
      <w:r>
        <w:rPr>
          <w:color w:val="231F20"/>
          <w:w w:val="110"/>
          <w:sz w:val="15"/>
        </w:rPr>
        <w:t>110-115</w:t>
      </w:r>
      <w:r>
        <w:rPr>
          <w:color w:val="231F20"/>
          <w:spacing w:val="-5"/>
          <w:w w:val="110"/>
          <w:sz w:val="15"/>
        </w:rPr>
        <w:t> </w:t>
      </w:r>
      <w:r>
        <w:rPr>
          <w:color w:val="231F20"/>
          <w:w w:val="110"/>
          <w:sz w:val="15"/>
        </w:rPr>
        <w:t>y</w:t>
      </w:r>
      <w:r>
        <w:rPr>
          <w:color w:val="231F20"/>
          <w:spacing w:val="-5"/>
          <w:w w:val="110"/>
          <w:sz w:val="15"/>
        </w:rPr>
        <w:t> </w:t>
      </w:r>
      <w:r>
        <w:rPr>
          <w:color w:val="231F20"/>
          <w:w w:val="110"/>
          <w:sz w:val="15"/>
        </w:rPr>
        <w:t>116);</w:t>
      </w:r>
      <w:r>
        <w:rPr>
          <w:color w:val="231F20"/>
          <w:spacing w:val="-5"/>
          <w:w w:val="110"/>
          <w:sz w:val="15"/>
        </w:rPr>
        <w:t> </w:t>
      </w:r>
      <w:r>
        <w:rPr>
          <w:color w:val="231F20"/>
          <w:w w:val="110"/>
          <w:sz w:val="15"/>
        </w:rPr>
        <w:t>y</w:t>
      </w:r>
      <w:r>
        <w:rPr>
          <w:color w:val="231F20"/>
          <w:spacing w:val="-5"/>
          <w:w w:val="110"/>
          <w:sz w:val="15"/>
        </w:rPr>
        <w:t> </w:t>
      </w:r>
      <w:r>
        <w:rPr>
          <w:color w:val="231F20"/>
          <w:w w:val="110"/>
          <w:sz w:val="15"/>
        </w:rPr>
        <w:t>de</w:t>
      </w:r>
      <w:r>
        <w:rPr>
          <w:color w:val="231F20"/>
          <w:spacing w:val="-5"/>
          <w:w w:val="110"/>
          <w:sz w:val="15"/>
        </w:rPr>
        <w:t> </w:t>
      </w:r>
      <w:r>
        <w:rPr>
          <w:color w:val="231F20"/>
          <w:w w:val="110"/>
          <w:sz w:val="15"/>
        </w:rPr>
        <w:t>1985</w:t>
      </w:r>
      <w:r>
        <w:rPr>
          <w:color w:val="231F20"/>
          <w:spacing w:val="-5"/>
          <w:w w:val="110"/>
          <w:sz w:val="15"/>
        </w:rPr>
        <w:t> </w:t>
      </w:r>
      <w:r>
        <w:rPr>
          <w:color w:val="231F20"/>
          <w:w w:val="110"/>
          <w:sz w:val="15"/>
        </w:rPr>
        <w:t>a</w:t>
      </w:r>
      <w:r>
        <w:rPr>
          <w:color w:val="231F20"/>
          <w:spacing w:val="-5"/>
          <w:w w:val="110"/>
          <w:sz w:val="15"/>
        </w:rPr>
        <w:t> </w:t>
      </w:r>
      <w:r>
        <w:rPr>
          <w:color w:val="231F20"/>
          <w:w w:val="110"/>
          <w:sz w:val="15"/>
        </w:rPr>
        <w:t>2010,</w:t>
      </w:r>
      <w:r>
        <w:rPr>
          <w:color w:val="231F20"/>
          <w:spacing w:val="-5"/>
          <w:w w:val="110"/>
          <w:sz w:val="15"/>
        </w:rPr>
        <w:t> </w:t>
      </w:r>
      <w:r>
        <w:rPr>
          <w:color w:val="231F20"/>
          <w:w w:val="110"/>
          <w:sz w:val="15"/>
        </w:rPr>
        <w:t>elaboración propia con datos de las estadísticas vitales de matrimonios,</w:t>
      </w:r>
      <w:r>
        <w:rPr>
          <w:color w:val="231F20"/>
          <w:spacing w:val="34"/>
          <w:w w:val="110"/>
          <w:sz w:val="15"/>
        </w:rPr>
        <w:t> </w:t>
      </w:r>
      <w:r>
        <w:rPr>
          <w:rFonts w:ascii="Times New Roman" w:hAnsi="Times New Roman"/>
          <w:color w:val="231F20"/>
          <w:w w:val="110"/>
          <w:sz w:val="12"/>
        </w:rPr>
        <w:t>INEGI</w:t>
      </w:r>
      <w:r>
        <w:rPr>
          <w:color w:val="231F20"/>
          <w:w w:val="110"/>
          <w:sz w:val="15"/>
        </w:rPr>
        <w:t>.</w:t>
      </w:r>
    </w:p>
    <w:p>
      <w:pPr>
        <w:pStyle w:val="BodyText"/>
        <w:rPr>
          <w:sz w:val="14"/>
        </w:rPr>
      </w:pPr>
    </w:p>
    <w:p>
      <w:pPr>
        <w:pStyle w:val="BodyText"/>
        <w:spacing w:before="11"/>
        <w:rPr>
          <w:sz w:val="14"/>
        </w:rPr>
      </w:pPr>
    </w:p>
    <w:p>
      <w:pPr>
        <w:pStyle w:val="BodyText"/>
        <w:spacing w:line="288" w:lineRule="auto"/>
        <w:ind w:left="124" w:right="114" w:firstLine="360"/>
        <w:jc w:val="both"/>
      </w:pPr>
      <w:r>
        <w:rPr>
          <w:color w:val="231F20"/>
          <w:w w:val="110"/>
        </w:rPr>
        <w:t>Esta mayor cercanía de las edades se mantiene hasta la década de los años setenta en donde la edad de las mujeres tiene un aumento de un año (22.6</w:t>
      </w:r>
      <w:r>
        <w:rPr>
          <w:color w:val="231F20"/>
          <w:spacing w:val="-3"/>
          <w:w w:val="110"/>
        </w:rPr>
        <w:t> </w:t>
      </w:r>
      <w:r>
        <w:rPr>
          <w:color w:val="231F20"/>
          <w:w w:val="110"/>
        </w:rPr>
        <w:t>a</w:t>
      </w:r>
      <w:r>
        <w:rPr>
          <w:color w:val="231F20"/>
          <w:spacing w:val="-3"/>
          <w:w w:val="110"/>
        </w:rPr>
        <w:t> </w:t>
      </w:r>
      <w:r>
        <w:rPr>
          <w:color w:val="231F20"/>
          <w:w w:val="110"/>
        </w:rPr>
        <w:t>23.6</w:t>
      </w:r>
      <w:r>
        <w:rPr>
          <w:color w:val="231F20"/>
          <w:spacing w:val="-3"/>
          <w:w w:val="110"/>
        </w:rPr>
        <w:t> </w:t>
      </w:r>
      <w:r>
        <w:rPr>
          <w:color w:val="231F20"/>
          <w:w w:val="110"/>
        </w:rPr>
        <w:t>años)</w:t>
      </w:r>
      <w:r>
        <w:rPr>
          <w:color w:val="231F20"/>
          <w:spacing w:val="-3"/>
          <w:w w:val="110"/>
        </w:rPr>
        <w:t> </w:t>
      </w:r>
      <w:r>
        <w:rPr>
          <w:color w:val="231F20"/>
          <w:w w:val="110"/>
        </w:rPr>
        <w:t>y</w:t>
      </w:r>
      <w:r>
        <w:rPr>
          <w:color w:val="231F20"/>
          <w:spacing w:val="-3"/>
          <w:w w:val="110"/>
        </w:rPr>
        <w:t> </w:t>
      </w:r>
      <w:r>
        <w:rPr>
          <w:color w:val="231F20"/>
          <w:w w:val="110"/>
        </w:rPr>
        <w:t>se</w:t>
      </w:r>
      <w:r>
        <w:rPr>
          <w:color w:val="231F20"/>
          <w:spacing w:val="-3"/>
          <w:w w:val="110"/>
        </w:rPr>
        <w:t> </w:t>
      </w:r>
      <w:r>
        <w:rPr>
          <w:color w:val="231F20"/>
          <w:w w:val="110"/>
        </w:rPr>
        <w:t>acerca</w:t>
      </w:r>
      <w:r>
        <w:rPr>
          <w:color w:val="231F20"/>
          <w:spacing w:val="-3"/>
          <w:w w:val="110"/>
        </w:rPr>
        <w:t> </w:t>
      </w:r>
      <w:r>
        <w:rPr>
          <w:color w:val="231F20"/>
          <w:w w:val="110"/>
        </w:rPr>
        <w:t>un</w:t>
      </w:r>
      <w:r>
        <w:rPr>
          <w:color w:val="231F20"/>
          <w:spacing w:val="-3"/>
          <w:w w:val="110"/>
        </w:rPr>
        <w:t> </w:t>
      </w:r>
      <w:r>
        <w:rPr>
          <w:color w:val="231F20"/>
          <w:w w:val="110"/>
        </w:rPr>
        <w:t>poco</w:t>
      </w:r>
      <w:r>
        <w:rPr>
          <w:color w:val="231F20"/>
          <w:spacing w:val="-3"/>
          <w:w w:val="110"/>
        </w:rPr>
        <w:t> </w:t>
      </w:r>
      <w:r>
        <w:rPr>
          <w:color w:val="231F20"/>
          <w:w w:val="110"/>
        </w:rPr>
        <w:t>más</w:t>
      </w:r>
      <w:r>
        <w:rPr>
          <w:color w:val="231F20"/>
          <w:spacing w:val="-3"/>
          <w:w w:val="110"/>
        </w:rPr>
        <w:t> </w:t>
      </w:r>
      <w:r>
        <w:rPr>
          <w:color w:val="231F20"/>
          <w:w w:val="110"/>
        </w:rPr>
        <w:t>a</w:t>
      </w:r>
      <w:r>
        <w:rPr>
          <w:color w:val="231F20"/>
          <w:spacing w:val="-3"/>
          <w:w w:val="110"/>
        </w:rPr>
        <w:t> </w:t>
      </w:r>
      <w:r>
        <w:rPr>
          <w:color w:val="231F20"/>
          <w:w w:val="110"/>
        </w:rPr>
        <w:t>la</w:t>
      </w:r>
      <w:r>
        <w:rPr>
          <w:color w:val="231F20"/>
          <w:spacing w:val="-3"/>
          <w:w w:val="110"/>
        </w:rPr>
        <w:t> </w:t>
      </w:r>
      <w:r>
        <w:rPr>
          <w:color w:val="231F20"/>
          <w:w w:val="110"/>
        </w:rPr>
        <w:t>de</w:t>
      </w:r>
      <w:r>
        <w:rPr>
          <w:color w:val="231F20"/>
          <w:spacing w:val="-3"/>
          <w:w w:val="110"/>
        </w:rPr>
        <w:t> </w:t>
      </w:r>
      <w:r>
        <w:rPr>
          <w:color w:val="231F20"/>
          <w:w w:val="110"/>
        </w:rPr>
        <w:t>los</w:t>
      </w:r>
      <w:r>
        <w:rPr>
          <w:color w:val="231F20"/>
          <w:spacing w:val="-3"/>
          <w:w w:val="110"/>
        </w:rPr>
        <w:t> </w:t>
      </w:r>
      <w:r>
        <w:rPr>
          <w:color w:val="231F20"/>
          <w:w w:val="110"/>
        </w:rPr>
        <w:t>hombres</w:t>
      </w:r>
      <w:r>
        <w:rPr>
          <w:color w:val="231F20"/>
          <w:spacing w:val="-3"/>
          <w:w w:val="110"/>
        </w:rPr>
        <w:t> </w:t>
      </w:r>
      <w:r>
        <w:rPr>
          <w:color w:val="231F20"/>
          <w:w w:val="110"/>
        </w:rPr>
        <w:t>(25.4</w:t>
      </w:r>
      <w:r>
        <w:rPr>
          <w:color w:val="231F20"/>
          <w:spacing w:val="-3"/>
          <w:w w:val="110"/>
        </w:rPr>
        <w:t> </w:t>
      </w:r>
      <w:r>
        <w:rPr>
          <w:color w:val="231F20"/>
          <w:w w:val="110"/>
        </w:rPr>
        <w:t>años),</w:t>
      </w:r>
    </w:p>
    <w:p>
      <w:pPr>
        <w:spacing w:after="0" w:line="288" w:lineRule="auto"/>
        <w:jc w:val="both"/>
        <w:sectPr>
          <w:type w:val="continuous"/>
          <w:pgSz w:w="9520" w:h="12920"/>
          <w:pgMar w:top="0" w:bottom="0" w:left="1320" w:right="1000"/>
        </w:sectPr>
      </w:pPr>
    </w:p>
    <w:p>
      <w:pPr>
        <w:pStyle w:val="BodyText"/>
        <w:spacing w:line="288" w:lineRule="auto" w:before="42"/>
        <w:ind w:left="100" w:right="118"/>
        <w:jc w:val="both"/>
      </w:pPr>
      <w:r>
        <w:rPr>
          <w:color w:val="231F20"/>
          <w:w w:val="110"/>
        </w:rPr>
        <w:t>cifra que para cambios de este tipo representa un aumento considerable. Es a partir de 1985 cuando las edades a las que las mujeres y los hombres se casan </w:t>
      </w:r>
      <w:r>
        <w:rPr>
          <w:color w:val="231F20"/>
          <w:spacing w:val="-3"/>
          <w:w w:val="110"/>
        </w:rPr>
        <w:t>experimentan </w:t>
      </w:r>
      <w:r>
        <w:rPr>
          <w:color w:val="231F20"/>
          <w:w w:val="110"/>
        </w:rPr>
        <w:t>una notable tendencia a incrementarse, pasando</w:t>
      </w:r>
      <w:r>
        <w:rPr>
          <w:color w:val="231F20"/>
          <w:spacing w:val="-16"/>
          <w:w w:val="110"/>
        </w:rPr>
        <w:t> </w:t>
      </w:r>
      <w:r>
        <w:rPr>
          <w:color w:val="231F20"/>
          <w:w w:val="110"/>
        </w:rPr>
        <w:t>de</w:t>
      </w:r>
    </w:p>
    <w:p>
      <w:pPr>
        <w:pStyle w:val="BodyText"/>
        <w:spacing w:line="288" w:lineRule="auto"/>
        <w:ind w:left="100" w:right="117"/>
        <w:jc w:val="right"/>
      </w:pPr>
      <w:r>
        <w:rPr>
          <w:color w:val="231F20"/>
          <w:w w:val="110"/>
        </w:rPr>
        <w:t>22.5</w:t>
      </w:r>
      <w:r>
        <w:rPr>
          <w:color w:val="231F20"/>
          <w:spacing w:val="-9"/>
          <w:w w:val="110"/>
        </w:rPr>
        <w:t> </w:t>
      </w:r>
      <w:r>
        <w:rPr>
          <w:color w:val="231F20"/>
          <w:w w:val="110"/>
        </w:rPr>
        <w:t>años</w:t>
      </w:r>
      <w:r>
        <w:rPr>
          <w:color w:val="231F20"/>
          <w:spacing w:val="-9"/>
          <w:w w:val="110"/>
        </w:rPr>
        <w:t> </w:t>
      </w:r>
      <w:r>
        <w:rPr>
          <w:color w:val="231F20"/>
          <w:w w:val="110"/>
        </w:rPr>
        <w:t>a</w:t>
      </w:r>
      <w:r>
        <w:rPr>
          <w:color w:val="231F20"/>
          <w:spacing w:val="-9"/>
          <w:w w:val="110"/>
        </w:rPr>
        <w:t> </w:t>
      </w:r>
      <w:r>
        <w:rPr>
          <w:color w:val="231F20"/>
          <w:w w:val="110"/>
        </w:rPr>
        <w:t>27.1</w:t>
      </w:r>
      <w:r>
        <w:rPr>
          <w:color w:val="231F20"/>
          <w:spacing w:val="-9"/>
          <w:w w:val="110"/>
        </w:rPr>
        <w:t> </w:t>
      </w:r>
      <w:r>
        <w:rPr>
          <w:color w:val="231F20"/>
          <w:w w:val="110"/>
        </w:rPr>
        <w:t>entre</w:t>
      </w:r>
      <w:r>
        <w:rPr>
          <w:color w:val="231F20"/>
          <w:spacing w:val="-9"/>
          <w:w w:val="110"/>
        </w:rPr>
        <w:t> </w:t>
      </w:r>
      <w:r>
        <w:rPr>
          <w:color w:val="231F20"/>
          <w:w w:val="110"/>
        </w:rPr>
        <w:t>las</w:t>
      </w:r>
      <w:r>
        <w:rPr>
          <w:color w:val="231F20"/>
          <w:spacing w:val="-9"/>
          <w:w w:val="110"/>
        </w:rPr>
        <w:t> </w:t>
      </w:r>
      <w:r>
        <w:rPr>
          <w:color w:val="231F20"/>
          <w:w w:val="110"/>
        </w:rPr>
        <w:t>mujeres</w:t>
      </w:r>
      <w:r>
        <w:rPr>
          <w:color w:val="231F20"/>
          <w:spacing w:val="-9"/>
          <w:w w:val="110"/>
        </w:rPr>
        <w:t> </w:t>
      </w:r>
      <w:r>
        <w:rPr>
          <w:color w:val="231F20"/>
          <w:w w:val="110"/>
        </w:rPr>
        <w:t>y</w:t>
      </w:r>
      <w:r>
        <w:rPr>
          <w:color w:val="231F20"/>
          <w:spacing w:val="-9"/>
          <w:w w:val="110"/>
        </w:rPr>
        <w:t> </w:t>
      </w:r>
      <w:r>
        <w:rPr>
          <w:color w:val="231F20"/>
          <w:w w:val="110"/>
        </w:rPr>
        <w:t>de</w:t>
      </w:r>
      <w:r>
        <w:rPr>
          <w:color w:val="231F20"/>
          <w:spacing w:val="-9"/>
          <w:w w:val="110"/>
        </w:rPr>
        <w:t> </w:t>
      </w:r>
      <w:r>
        <w:rPr>
          <w:color w:val="231F20"/>
          <w:w w:val="110"/>
        </w:rPr>
        <w:t>25.5</w:t>
      </w:r>
      <w:r>
        <w:rPr>
          <w:color w:val="231F20"/>
          <w:spacing w:val="-9"/>
          <w:w w:val="110"/>
        </w:rPr>
        <w:t> </w:t>
      </w:r>
      <w:r>
        <w:rPr>
          <w:color w:val="231F20"/>
          <w:w w:val="110"/>
        </w:rPr>
        <w:t>a</w:t>
      </w:r>
      <w:r>
        <w:rPr>
          <w:color w:val="231F20"/>
          <w:spacing w:val="-9"/>
          <w:w w:val="110"/>
        </w:rPr>
        <w:t> </w:t>
      </w:r>
      <w:r>
        <w:rPr>
          <w:color w:val="231F20"/>
          <w:w w:val="110"/>
        </w:rPr>
        <w:t>29.9</w:t>
      </w:r>
      <w:r>
        <w:rPr>
          <w:color w:val="231F20"/>
          <w:spacing w:val="-9"/>
          <w:w w:val="110"/>
        </w:rPr>
        <w:t> </w:t>
      </w:r>
      <w:r>
        <w:rPr>
          <w:color w:val="231F20"/>
          <w:w w:val="110"/>
        </w:rPr>
        <w:t>años</w:t>
      </w:r>
      <w:r>
        <w:rPr>
          <w:color w:val="231F20"/>
          <w:spacing w:val="-9"/>
          <w:w w:val="110"/>
        </w:rPr>
        <w:t> </w:t>
      </w:r>
      <w:r>
        <w:rPr>
          <w:color w:val="231F20"/>
          <w:w w:val="110"/>
        </w:rPr>
        <w:t>entre</w:t>
      </w:r>
      <w:r>
        <w:rPr>
          <w:color w:val="231F20"/>
          <w:spacing w:val="-9"/>
          <w:w w:val="110"/>
        </w:rPr>
        <w:t> </w:t>
      </w:r>
      <w:r>
        <w:rPr>
          <w:color w:val="231F20"/>
          <w:w w:val="110"/>
        </w:rPr>
        <w:t>los</w:t>
      </w:r>
      <w:r>
        <w:rPr>
          <w:color w:val="231F20"/>
          <w:spacing w:val="-9"/>
          <w:w w:val="110"/>
        </w:rPr>
        <w:t> </w:t>
      </w:r>
      <w:r>
        <w:rPr>
          <w:color w:val="231F20"/>
          <w:w w:val="110"/>
        </w:rPr>
        <w:t>hombres).</w:t>
      </w:r>
      <w:r>
        <w:rPr>
          <w:color w:val="231F20"/>
          <w:w w:val="108"/>
        </w:rPr>
        <w:t> </w:t>
      </w:r>
      <w:r>
        <w:rPr>
          <w:color w:val="231F20"/>
          <w:w w:val="110"/>
        </w:rPr>
        <w:t>También la diferencia de edad entre los casados ha</w:t>
      </w:r>
      <w:r>
        <w:rPr>
          <w:color w:val="231F20"/>
          <w:spacing w:val="13"/>
          <w:w w:val="110"/>
        </w:rPr>
        <w:t> </w:t>
      </w:r>
      <w:r>
        <w:rPr>
          <w:color w:val="231F20"/>
          <w:w w:val="110"/>
        </w:rPr>
        <w:t>experimentado</w:t>
      </w:r>
      <w:r>
        <w:rPr>
          <w:color w:val="231F20"/>
          <w:spacing w:val="6"/>
          <w:w w:val="110"/>
        </w:rPr>
        <w:t> </w:t>
      </w:r>
      <w:r>
        <w:rPr>
          <w:color w:val="231F20"/>
          <w:w w:val="110"/>
        </w:rPr>
        <w:t>al-</w:t>
      </w:r>
      <w:r>
        <w:rPr>
          <w:color w:val="231F20"/>
          <w:w w:val="93"/>
        </w:rPr>
        <w:t> </w:t>
      </w:r>
      <w:r>
        <w:rPr>
          <w:color w:val="231F20"/>
          <w:w w:val="110"/>
        </w:rPr>
        <w:t>gunas transformaciones durante las últimas décadas (véase gráfica</w:t>
      </w:r>
      <w:r>
        <w:rPr>
          <w:color w:val="231F20"/>
          <w:spacing w:val="8"/>
          <w:w w:val="110"/>
        </w:rPr>
        <w:t> </w:t>
      </w:r>
      <w:r>
        <w:rPr>
          <w:color w:val="231F20"/>
          <w:w w:val="110"/>
        </w:rPr>
        <w:t>6).</w:t>
      </w:r>
      <w:r>
        <w:rPr>
          <w:color w:val="231F20"/>
          <w:spacing w:val="1"/>
          <w:w w:val="110"/>
        </w:rPr>
        <w:t> </w:t>
      </w:r>
      <w:r>
        <w:rPr>
          <w:color w:val="231F20"/>
          <w:w w:val="110"/>
        </w:rPr>
        <w:t>Los</w:t>
      </w:r>
      <w:r>
        <w:rPr>
          <w:color w:val="231F20"/>
          <w:w w:val="113"/>
        </w:rPr>
        <w:t> </w:t>
      </w:r>
      <w:r>
        <w:rPr>
          <w:color w:val="231F20"/>
          <w:spacing w:val="-4"/>
          <w:w w:val="110"/>
        </w:rPr>
        <w:t>datos</w:t>
      </w:r>
      <w:r>
        <w:rPr>
          <w:color w:val="231F20"/>
          <w:spacing w:val="-7"/>
          <w:w w:val="110"/>
        </w:rPr>
        <w:t> </w:t>
      </w:r>
      <w:r>
        <w:rPr>
          <w:color w:val="231F20"/>
          <w:spacing w:val="-4"/>
          <w:w w:val="110"/>
        </w:rPr>
        <w:t>muestran</w:t>
      </w:r>
      <w:r>
        <w:rPr>
          <w:color w:val="231F20"/>
          <w:spacing w:val="-7"/>
          <w:w w:val="110"/>
        </w:rPr>
        <w:t> </w:t>
      </w:r>
      <w:r>
        <w:rPr>
          <w:color w:val="231F20"/>
          <w:spacing w:val="-3"/>
          <w:w w:val="110"/>
        </w:rPr>
        <w:t>una</w:t>
      </w:r>
      <w:r>
        <w:rPr>
          <w:color w:val="231F20"/>
          <w:spacing w:val="-7"/>
          <w:w w:val="110"/>
        </w:rPr>
        <w:t> </w:t>
      </w:r>
      <w:r>
        <w:rPr>
          <w:color w:val="231F20"/>
          <w:spacing w:val="-4"/>
          <w:w w:val="110"/>
        </w:rPr>
        <w:t>tendencia</w:t>
      </w:r>
      <w:r>
        <w:rPr>
          <w:color w:val="231F20"/>
          <w:spacing w:val="-7"/>
          <w:w w:val="110"/>
        </w:rPr>
        <w:t> </w:t>
      </w:r>
      <w:r>
        <w:rPr>
          <w:color w:val="231F20"/>
          <w:spacing w:val="-4"/>
          <w:w w:val="110"/>
        </w:rPr>
        <w:t>general</w:t>
      </w:r>
      <w:r>
        <w:rPr>
          <w:color w:val="231F20"/>
          <w:spacing w:val="-7"/>
          <w:w w:val="110"/>
        </w:rPr>
        <w:t> </w:t>
      </w:r>
      <w:r>
        <w:rPr>
          <w:color w:val="231F20"/>
          <w:w w:val="110"/>
        </w:rPr>
        <w:t>a</w:t>
      </w:r>
      <w:r>
        <w:rPr>
          <w:color w:val="231F20"/>
          <w:spacing w:val="-7"/>
          <w:w w:val="110"/>
        </w:rPr>
        <w:t> </w:t>
      </w:r>
      <w:r>
        <w:rPr>
          <w:color w:val="231F20"/>
          <w:w w:val="110"/>
        </w:rPr>
        <w:t>la</w:t>
      </w:r>
      <w:r>
        <w:rPr>
          <w:color w:val="231F20"/>
          <w:spacing w:val="-7"/>
          <w:w w:val="110"/>
        </w:rPr>
        <w:t> </w:t>
      </w:r>
      <w:r>
        <w:rPr>
          <w:color w:val="231F20"/>
          <w:spacing w:val="-4"/>
          <w:w w:val="110"/>
        </w:rPr>
        <w:t>homogenización</w:t>
      </w:r>
      <w:r>
        <w:rPr>
          <w:color w:val="231F20"/>
          <w:spacing w:val="-7"/>
          <w:w w:val="110"/>
        </w:rPr>
        <w:t> </w:t>
      </w:r>
      <w:r>
        <w:rPr>
          <w:color w:val="231F20"/>
          <w:spacing w:val="-4"/>
          <w:w w:val="110"/>
        </w:rPr>
        <w:t>etárea</w:t>
      </w:r>
      <w:r>
        <w:rPr>
          <w:color w:val="231F20"/>
          <w:spacing w:val="-7"/>
          <w:w w:val="110"/>
        </w:rPr>
        <w:t> </w:t>
      </w:r>
      <w:r>
        <w:rPr>
          <w:color w:val="231F20"/>
          <w:w w:val="110"/>
        </w:rPr>
        <w:t>de</w:t>
      </w:r>
      <w:r>
        <w:rPr>
          <w:color w:val="231F20"/>
          <w:spacing w:val="-7"/>
          <w:w w:val="110"/>
        </w:rPr>
        <w:t> </w:t>
      </w:r>
      <w:r>
        <w:rPr>
          <w:color w:val="231F20"/>
          <w:spacing w:val="-3"/>
          <w:w w:val="110"/>
        </w:rPr>
        <w:t>los</w:t>
      </w:r>
      <w:r>
        <w:rPr>
          <w:color w:val="231F20"/>
          <w:spacing w:val="-7"/>
          <w:w w:val="110"/>
        </w:rPr>
        <w:t> </w:t>
      </w:r>
      <w:r>
        <w:rPr>
          <w:color w:val="231F20"/>
          <w:spacing w:val="-3"/>
          <w:w w:val="110"/>
        </w:rPr>
        <w:t>cón-</w:t>
      </w:r>
      <w:r>
        <w:rPr>
          <w:color w:val="231F20"/>
          <w:w w:val="93"/>
        </w:rPr>
        <w:t> </w:t>
      </w:r>
      <w:r>
        <w:rPr>
          <w:color w:val="231F20"/>
          <w:w w:val="110"/>
        </w:rPr>
        <w:t>yuges, pasando de una diferencia de 3.1 años a principios del</w:t>
      </w:r>
      <w:r>
        <w:rPr>
          <w:color w:val="231F20"/>
          <w:spacing w:val="47"/>
          <w:w w:val="110"/>
        </w:rPr>
        <w:t> </w:t>
      </w:r>
      <w:r>
        <w:rPr>
          <w:color w:val="231F20"/>
          <w:w w:val="110"/>
        </w:rPr>
        <w:t>siglo</w:t>
      </w:r>
      <w:r>
        <w:rPr>
          <w:color w:val="231F20"/>
          <w:spacing w:val="4"/>
          <w:w w:val="110"/>
        </w:rPr>
        <w:t> </w:t>
      </w:r>
      <w:r>
        <w:rPr>
          <w:color w:val="231F20"/>
          <w:w w:val="110"/>
        </w:rPr>
        <w:t>pasado</w:t>
      </w:r>
      <w:r>
        <w:rPr>
          <w:color w:val="231F20"/>
          <w:w w:val="109"/>
        </w:rPr>
        <w:t> </w:t>
      </w:r>
      <w:r>
        <w:rPr>
          <w:color w:val="231F20"/>
          <w:w w:val="110"/>
        </w:rPr>
        <w:t>a una de 2.8 en 2010. Sin embargo, dos descensos</w:t>
      </w:r>
      <w:r>
        <w:rPr>
          <w:color w:val="231F20"/>
          <w:spacing w:val="4"/>
          <w:w w:val="110"/>
        </w:rPr>
        <w:t> </w:t>
      </w:r>
      <w:r>
        <w:rPr>
          <w:color w:val="231F20"/>
          <w:w w:val="110"/>
        </w:rPr>
        <w:t>abruptos</w:t>
      </w:r>
      <w:r>
        <w:rPr>
          <w:color w:val="231F20"/>
          <w:spacing w:val="15"/>
          <w:w w:val="110"/>
        </w:rPr>
        <w:t> </w:t>
      </w:r>
      <w:r>
        <w:rPr>
          <w:color w:val="231F20"/>
          <w:w w:val="110"/>
        </w:rPr>
        <w:t>interrumpen</w:t>
      </w:r>
      <w:r>
        <w:rPr>
          <w:color w:val="231F20"/>
          <w:w w:val="108"/>
        </w:rPr>
        <w:t> </w:t>
      </w:r>
      <w:r>
        <w:rPr>
          <w:color w:val="231F20"/>
          <w:w w:val="110"/>
        </w:rPr>
        <w:t>dicha</w:t>
      </w:r>
      <w:r>
        <w:rPr>
          <w:color w:val="231F20"/>
          <w:spacing w:val="-4"/>
          <w:w w:val="110"/>
        </w:rPr>
        <w:t> </w:t>
      </w:r>
      <w:r>
        <w:rPr>
          <w:color w:val="231F20"/>
          <w:w w:val="110"/>
        </w:rPr>
        <w:t>tendencia.</w:t>
      </w:r>
      <w:r>
        <w:rPr>
          <w:color w:val="231F20"/>
          <w:spacing w:val="-4"/>
          <w:w w:val="110"/>
        </w:rPr>
        <w:t> </w:t>
      </w:r>
      <w:r>
        <w:rPr>
          <w:color w:val="231F20"/>
          <w:w w:val="110"/>
        </w:rPr>
        <w:t>El</w:t>
      </w:r>
      <w:r>
        <w:rPr>
          <w:color w:val="231F20"/>
          <w:spacing w:val="-4"/>
          <w:w w:val="110"/>
        </w:rPr>
        <w:t> </w:t>
      </w:r>
      <w:r>
        <w:rPr>
          <w:color w:val="231F20"/>
          <w:w w:val="110"/>
        </w:rPr>
        <w:t>primero,</w:t>
      </w:r>
      <w:r>
        <w:rPr>
          <w:color w:val="231F20"/>
          <w:spacing w:val="-4"/>
          <w:w w:val="110"/>
        </w:rPr>
        <w:t> </w:t>
      </w:r>
      <w:r>
        <w:rPr>
          <w:color w:val="231F20"/>
          <w:w w:val="110"/>
        </w:rPr>
        <w:t>en</w:t>
      </w:r>
      <w:r>
        <w:rPr>
          <w:color w:val="231F20"/>
          <w:spacing w:val="-4"/>
          <w:w w:val="110"/>
        </w:rPr>
        <w:t> </w:t>
      </w:r>
      <w:r>
        <w:rPr>
          <w:color w:val="231F20"/>
          <w:w w:val="110"/>
        </w:rPr>
        <w:t>1930,</w:t>
      </w:r>
      <w:r>
        <w:rPr>
          <w:color w:val="231F20"/>
          <w:spacing w:val="-4"/>
          <w:w w:val="110"/>
        </w:rPr>
        <w:t> </w:t>
      </w:r>
      <w:r>
        <w:rPr>
          <w:color w:val="231F20"/>
          <w:w w:val="110"/>
        </w:rPr>
        <w:t>podría</w:t>
      </w:r>
      <w:r>
        <w:rPr>
          <w:color w:val="231F20"/>
          <w:spacing w:val="-4"/>
          <w:w w:val="110"/>
        </w:rPr>
        <w:t> </w:t>
      </w:r>
      <w:r>
        <w:rPr>
          <w:color w:val="231F20"/>
          <w:w w:val="110"/>
        </w:rPr>
        <w:t>reflejar</w:t>
      </w:r>
      <w:r>
        <w:rPr>
          <w:color w:val="231F20"/>
          <w:spacing w:val="-4"/>
          <w:w w:val="110"/>
        </w:rPr>
        <w:t> </w:t>
      </w:r>
      <w:r>
        <w:rPr>
          <w:color w:val="231F20"/>
          <w:w w:val="110"/>
        </w:rPr>
        <w:t>el</w:t>
      </w:r>
      <w:r>
        <w:rPr>
          <w:color w:val="231F20"/>
          <w:spacing w:val="-4"/>
          <w:w w:val="110"/>
        </w:rPr>
        <w:t> </w:t>
      </w:r>
      <w:r>
        <w:rPr>
          <w:color w:val="231F20"/>
          <w:w w:val="110"/>
        </w:rPr>
        <w:t>efecto</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Revolu-</w:t>
      </w:r>
      <w:r>
        <w:rPr>
          <w:color w:val="231F20"/>
          <w:w w:val="93"/>
        </w:rPr>
        <w:t> </w:t>
      </w:r>
      <w:r>
        <w:rPr>
          <w:color w:val="231F20"/>
          <w:w w:val="110"/>
        </w:rPr>
        <w:t>ción</w:t>
      </w:r>
      <w:r>
        <w:rPr>
          <w:color w:val="231F20"/>
          <w:spacing w:val="27"/>
          <w:w w:val="110"/>
        </w:rPr>
        <w:t> </w:t>
      </w:r>
      <w:r>
        <w:rPr>
          <w:color w:val="231F20"/>
          <w:w w:val="110"/>
        </w:rPr>
        <w:t>Mexicana</w:t>
      </w:r>
      <w:r>
        <w:rPr>
          <w:color w:val="231F20"/>
          <w:spacing w:val="27"/>
          <w:w w:val="110"/>
        </w:rPr>
        <w:t> </w:t>
      </w:r>
      <w:r>
        <w:rPr>
          <w:color w:val="231F20"/>
          <w:w w:val="110"/>
        </w:rPr>
        <w:t>tanto</w:t>
      </w:r>
      <w:r>
        <w:rPr>
          <w:color w:val="231F20"/>
          <w:spacing w:val="27"/>
          <w:w w:val="110"/>
        </w:rPr>
        <w:t> </w:t>
      </w:r>
      <w:r>
        <w:rPr>
          <w:color w:val="231F20"/>
          <w:w w:val="110"/>
        </w:rPr>
        <w:t>en</w:t>
      </w:r>
      <w:r>
        <w:rPr>
          <w:color w:val="231F20"/>
          <w:spacing w:val="27"/>
          <w:w w:val="110"/>
        </w:rPr>
        <w:t> </w:t>
      </w:r>
      <w:r>
        <w:rPr>
          <w:color w:val="231F20"/>
          <w:w w:val="110"/>
        </w:rPr>
        <w:t>la</w:t>
      </w:r>
      <w:r>
        <w:rPr>
          <w:color w:val="231F20"/>
          <w:spacing w:val="27"/>
          <w:w w:val="110"/>
        </w:rPr>
        <w:t> </w:t>
      </w:r>
      <w:r>
        <w:rPr>
          <w:color w:val="231F20"/>
          <w:w w:val="110"/>
        </w:rPr>
        <w:t>estructura</w:t>
      </w:r>
      <w:r>
        <w:rPr>
          <w:color w:val="231F20"/>
          <w:spacing w:val="27"/>
          <w:w w:val="110"/>
        </w:rPr>
        <w:t> </w:t>
      </w:r>
      <w:r>
        <w:rPr>
          <w:color w:val="231F20"/>
          <w:w w:val="110"/>
        </w:rPr>
        <w:t>de</w:t>
      </w:r>
      <w:r>
        <w:rPr>
          <w:color w:val="231F20"/>
          <w:spacing w:val="27"/>
          <w:w w:val="110"/>
        </w:rPr>
        <w:t> </w:t>
      </w:r>
      <w:r>
        <w:rPr>
          <w:color w:val="231F20"/>
          <w:w w:val="110"/>
        </w:rPr>
        <w:t>la</w:t>
      </w:r>
      <w:r>
        <w:rPr>
          <w:color w:val="231F20"/>
          <w:spacing w:val="27"/>
          <w:w w:val="110"/>
        </w:rPr>
        <w:t> </w:t>
      </w:r>
      <w:r>
        <w:rPr>
          <w:color w:val="231F20"/>
          <w:w w:val="110"/>
        </w:rPr>
        <w:t>población</w:t>
      </w:r>
      <w:r>
        <w:rPr>
          <w:color w:val="231F20"/>
          <w:spacing w:val="27"/>
          <w:w w:val="110"/>
        </w:rPr>
        <w:t> </w:t>
      </w:r>
      <w:r>
        <w:rPr>
          <w:color w:val="231F20"/>
          <w:spacing w:val="-9"/>
          <w:w w:val="110"/>
        </w:rPr>
        <w:t>y,</w:t>
      </w:r>
      <w:r>
        <w:rPr>
          <w:color w:val="231F20"/>
          <w:spacing w:val="27"/>
          <w:w w:val="110"/>
        </w:rPr>
        <w:t> </w:t>
      </w:r>
      <w:r>
        <w:rPr>
          <w:color w:val="231F20"/>
          <w:w w:val="110"/>
        </w:rPr>
        <w:t>por</w:t>
      </w:r>
      <w:r>
        <w:rPr>
          <w:color w:val="231F20"/>
          <w:spacing w:val="27"/>
          <w:w w:val="110"/>
        </w:rPr>
        <w:t> </w:t>
      </w:r>
      <w:r>
        <w:rPr>
          <w:color w:val="231F20"/>
          <w:w w:val="110"/>
        </w:rPr>
        <w:t>ende,</w:t>
      </w:r>
      <w:r>
        <w:rPr>
          <w:color w:val="231F20"/>
          <w:spacing w:val="27"/>
          <w:w w:val="110"/>
        </w:rPr>
        <w:t> </w:t>
      </w:r>
      <w:r>
        <w:rPr>
          <w:color w:val="231F20"/>
          <w:w w:val="110"/>
        </w:rPr>
        <w:t>en</w:t>
      </w:r>
      <w:r>
        <w:rPr>
          <w:color w:val="231F20"/>
          <w:spacing w:val="27"/>
          <w:w w:val="110"/>
        </w:rPr>
        <w:t> </w:t>
      </w:r>
      <w:r>
        <w:rPr>
          <w:color w:val="231F20"/>
          <w:w w:val="110"/>
        </w:rPr>
        <w:t>los</w:t>
      </w:r>
      <w:r>
        <w:rPr>
          <w:color w:val="231F20"/>
          <w:w w:val="118"/>
        </w:rPr>
        <w:t> </w:t>
      </w:r>
      <w:r>
        <w:rPr>
          <w:color w:val="231F20"/>
          <w:w w:val="110"/>
        </w:rPr>
        <w:t>mercados matrimoniales, como en la calidad de los registros de</w:t>
      </w:r>
      <w:r>
        <w:rPr>
          <w:color w:val="231F20"/>
          <w:spacing w:val="32"/>
          <w:w w:val="110"/>
        </w:rPr>
        <w:t> </w:t>
      </w:r>
      <w:r>
        <w:rPr>
          <w:color w:val="231F20"/>
          <w:w w:val="110"/>
        </w:rPr>
        <w:t>los</w:t>
      </w:r>
      <w:r>
        <w:rPr>
          <w:color w:val="231F20"/>
          <w:spacing w:val="12"/>
          <w:w w:val="110"/>
        </w:rPr>
        <w:t> </w:t>
      </w:r>
      <w:r>
        <w:rPr>
          <w:color w:val="231F20"/>
          <w:w w:val="110"/>
        </w:rPr>
        <w:t>even-</w:t>
      </w:r>
      <w:r>
        <w:rPr>
          <w:color w:val="231F20"/>
          <w:w w:val="93"/>
        </w:rPr>
        <w:t> </w:t>
      </w:r>
      <w:r>
        <w:rPr>
          <w:color w:val="231F20"/>
          <w:w w:val="110"/>
        </w:rPr>
        <w:t>tos vitales. El segundo declive se observa en 1970, que nuevamente</w:t>
      </w:r>
      <w:r>
        <w:rPr>
          <w:color w:val="231F20"/>
          <w:spacing w:val="22"/>
          <w:w w:val="110"/>
        </w:rPr>
        <w:t> </w:t>
      </w:r>
      <w:r>
        <w:rPr>
          <w:color w:val="231F20"/>
          <w:w w:val="110"/>
        </w:rPr>
        <w:t>puede</w:t>
      </w:r>
    </w:p>
    <w:p>
      <w:pPr>
        <w:pStyle w:val="BodyText"/>
        <w:ind w:left="100"/>
        <w:jc w:val="both"/>
      </w:pPr>
      <w:r>
        <w:rPr>
          <w:color w:val="231F20"/>
          <w:w w:val="110"/>
        </w:rPr>
        <w:t>estar relacionado con deficiencia de los datos utilizados.</w:t>
      </w:r>
    </w:p>
    <w:p>
      <w:pPr>
        <w:pStyle w:val="BodyText"/>
        <w:spacing w:before="4"/>
        <w:rPr>
          <w:sz w:val="24"/>
        </w:rPr>
      </w:pPr>
    </w:p>
    <w:p>
      <w:pPr>
        <w:spacing w:line="185" w:lineRule="exact" w:before="0"/>
        <w:ind w:left="1389" w:right="1407" w:firstLine="0"/>
        <w:jc w:val="center"/>
        <w:rPr>
          <w:sz w:val="16"/>
        </w:rPr>
      </w:pPr>
      <w:r>
        <w:rPr>
          <w:color w:val="231F20"/>
          <w:w w:val="105"/>
          <w:sz w:val="16"/>
        </w:rPr>
        <w:t>Gráfica 6</w:t>
      </w:r>
    </w:p>
    <w:p>
      <w:pPr>
        <w:spacing w:line="210" w:lineRule="exact" w:before="9"/>
        <w:ind w:left="1389" w:right="1407" w:firstLine="0"/>
        <w:jc w:val="center"/>
        <w:rPr>
          <w:sz w:val="19"/>
        </w:rPr>
      </w:pPr>
      <w:r>
        <w:rPr>
          <w:color w:val="231F20"/>
          <w:w w:val="90"/>
          <w:sz w:val="19"/>
        </w:rPr>
        <w:t>Distribución de los matrimonios según la diferencia de edad</w:t>
      </w:r>
      <w:r>
        <w:rPr>
          <w:color w:val="231F20"/>
          <w:w w:val="86"/>
          <w:sz w:val="19"/>
        </w:rPr>
        <w:t> </w:t>
      </w:r>
      <w:r>
        <w:rPr>
          <w:color w:val="231F20"/>
          <w:w w:val="90"/>
          <w:sz w:val="19"/>
        </w:rPr>
        <w:t>entre los cónyuges de 1905 a 2010. México</w:t>
      </w:r>
    </w:p>
    <w:p>
      <w:pPr>
        <w:pStyle w:val="BodyText"/>
        <w:spacing w:before="4"/>
        <w:rPr>
          <w:sz w:val="11"/>
        </w:rPr>
      </w:pPr>
    </w:p>
    <w:p>
      <w:pPr>
        <w:spacing w:before="82"/>
        <w:ind w:left="322" w:right="0" w:firstLine="0"/>
        <w:jc w:val="left"/>
        <w:rPr>
          <w:sz w:val="12"/>
        </w:rPr>
      </w:pPr>
      <w:r>
        <w:rPr/>
        <w:pict>
          <v:group style="position:absolute;margin-left:77.375pt;margin-top:7.995655pt;width:302.75pt;height:155.950pt;mso-position-horizontal-relative:page;mso-position-vertical-relative:paragraph;z-index:1552" coordorigin="1548,160" coordsize="6055,3119">
            <v:shape style="position:absolute;left:1551;top:163;width:6049;height:3113" coordorigin="1551,163" coordsize="6049,3113" path="m1551,163l1613,163,1613,3276m1551,3213l7599,3213,7599,3276m2469,3213l2469,3276m3322,3213l3322,3276m4179,3213l4179,3276m5033,3213l5033,3276m5887,3213l5887,3276m6739,3213l6739,3276m1613,2709l1551,2709m1613,2204l1551,2204m1613,1703l1551,1703m1613,1182l1551,1182m1613,679l1551,679e" filled="false" stroked="true" strokeweight=".275pt" strokecolor="#231f20">
              <v:path arrowok="t"/>
            </v:shape>
            <v:shape style="position:absolute;left:2682;top:773;width:4484;height:1621" coordorigin="2682,773" coordsize="4484,1621" path="m2682,1080l2899,1080,3111,1080,3326,773,3531,877,3750,1587,3959,1587,4177,1694,4390,1889,4819,1889,5034,1378,5456,2394,5883,2090,6102,1185,6313,1361,6521,1409,6650,1408,6715,1407,6738,1407,6770,1403,6846,1396,6923,1388,6959,1384,7166,1365e" filled="false" stroked="true" strokeweight=".44pt" strokecolor="#231f20">
              <v:path arrowok="t"/>
            </v:shape>
            <v:shape style="position:absolute;left:2658;top:759;width:4531;height:1656" coordorigin="2658,759" coordsize="4531,1656" path="m2706,1068l2695,1058,2669,1058,2658,1068,2658,1094,2669,1105,2695,1105,2706,1094,2706,1068m2918,1068l2907,1058,2881,1058,2871,1068,2871,1094,2881,1105,2907,1105,2918,1094,2918,1068m3134,1068l3123,1058,3097,1058,3086,1068,3086,1094,3097,1105,3123,1105,3134,1094,3134,1068m3353,770l3343,759,3317,759,3306,770,3306,796,3317,806,3343,806,3353,796,3353,770m3548,863l3537,853,3511,853,3500,863,3500,889,3511,900,3537,900,3548,889,3548,863m3777,1570l3766,1560,3740,1560,3730,1570,3730,1596,3740,1607,3766,1607,3777,1596,3777,1570m3982,1575l3972,1565,3946,1565,3935,1575,3935,1601,3946,1612,3972,1612,3982,1601,3982,1575m4197,1681l4187,1670,4160,1670,4150,1681,4150,1707,4160,1717,4187,1717,4197,1707,4197,1681m4419,1875l4408,1865,4382,1865,4372,1875,4372,1901,4382,1912,4408,1912,4419,1901,4419,1875m4628,1875l4618,1865,4592,1865,4581,1875,4581,1901,4592,1912,4618,1912,4628,1901,4628,1875m4841,1875l4831,1865,4805,1865,4794,1875,4794,1901,4805,1912,4831,1912,4841,1901,4841,1875m5057,1371l5047,1361,5021,1361,5010,1371,5010,1397,5021,1408,5047,1408,5057,1397,5057,1371m5481,2378l5470,2367,5444,2367,5434,2378,5434,2404,5444,2415,5470,2415,5481,2404,5481,2378m5906,2076l5896,2066,5870,2066,5859,2076,5859,2103,5870,2113,5896,2113,5906,2103,5906,2076m6127,1175l6116,1165,6090,1165,6080,1175,6080,1202,6090,1212,6116,1212,6127,1202,6127,1175m6337,1348l6326,1337,6300,1337,6290,1348,6290,1374,6300,1385,6326,1385,6337,1374,6337,1348m6548,1398l6537,1388,6511,1388,6500,1398,6500,1424,6511,1435,6537,1435,6548,1424,6548,1398m6766,1394l6756,1383,6730,1383,6719,1394,6719,1420,6730,1430,6756,1430,6766,1420,6766,1394m6980,1370l6970,1360,6943,1360,6933,1370,6933,1396,6943,1407,6970,1407,6980,1396,6980,1370m7189,1349l7179,1339,7152,1339,7142,1349,7142,1375,7152,1386,7179,1386,7189,1375,7189,1349e" filled="true" fillcolor="#231f20" stroked="false">
              <v:path arrowok="t"/>
              <v:fill type="solid"/>
            </v:shape>
            <w10:wrap type="none"/>
          </v:group>
        </w:pict>
      </w:r>
      <w:r>
        <w:rPr>
          <w:color w:val="231F20"/>
          <w:w w:val="105"/>
          <w:sz w:val="12"/>
        </w:rPr>
        <w:t>4.0</w:t>
      </w:r>
    </w:p>
    <w:p>
      <w:pPr>
        <w:pStyle w:val="BodyText"/>
        <w:spacing w:before="4"/>
        <w:rPr>
          <w:sz w:val="24"/>
        </w:rPr>
      </w:pPr>
    </w:p>
    <w:p>
      <w:pPr>
        <w:spacing w:before="83"/>
        <w:ind w:left="322" w:right="0" w:firstLine="0"/>
        <w:jc w:val="left"/>
        <w:rPr>
          <w:sz w:val="12"/>
        </w:rPr>
      </w:pPr>
      <w:r>
        <w:rPr>
          <w:color w:val="231F20"/>
          <w:w w:val="105"/>
          <w:sz w:val="12"/>
        </w:rPr>
        <w:t>3.5</w:t>
      </w:r>
    </w:p>
    <w:p>
      <w:pPr>
        <w:pStyle w:val="BodyText"/>
        <w:spacing w:before="4"/>
        <w:rPr>
          <w:sz w:val="24"/>
        </w:rPr>
      </w:pPr>
    </w:p>
    <w:p>
      <w:pPr>
        <w:spacing w:before="83"/>
        <w:ind w:left="322" w:right="0" w:firstLine="0"/>
        <w:jc w:val="left"/>
        <w:rPr>
          <w:sz w:val="12"/>
        </w:rPr>
      </w:pPr>
      <w:r>
        <w:rPr>
          <w:color w:val="231F20"/>
          <w:w w:val="105"/>
          <w:sz w:val="12"/>
        </w:rPr>
        <w:t>3.0</w:t>
      </w:r>
    </w:p>
    <w:p>
      <w:pPr>
        <w:pStyle w:val="BodyText"/>
        <w:spacing w:before="4"/>
        <w:rPr>
          <w:sz w:val="24"/>
        </w:rPr>
      </w:pPr>
    </w:p>
    <w:p>
      <w:pPr>
        <w:spacing w:before="83"/>
        <w:ind w:left="322" w:right="0" w:firstLine="0"/>
        <w:jc w:val="left"/>
        <w:rPr>
          <w:sz w:val="12"/>
        </w:rPr>
      </w:pPr>
      <w:r>
        <w:rPr>
          <w:color w:val="231F20"/>
          <w:w w:val="105"/>
          <w:sz w:val="12"/>
        </w:rPr>
        <w:t>2.5</w:t>
      </w:r>
    </w:p>
    <w:p>
      <w:pPr>
        <w:pStyle w:val="BodyText"/>
        <w:spacing w:before="4"/>
        <w:rPr>
          <w:sz w:val="24"/>
        </w:rPr>
      </w:pPr>
    </w:p>
    <w:p>
      <w:pPr>
        <w:spacing w:before="83"/>
        <w:ind w:left="322" w:right="0" w:firstLine="0"/>
        <w:jc w:val="left"/>
        <w:rPr>
          <w:sz w:val="12"/>
        </w:rPr>
      </w:pPr>
      <w:r>
        <w:rPr>
          <w:color w:val="231F20"/>
          <w:w w:val="105"/>
          <w:sz w:val="12"/>
        </w:rPr>
        <w:t>2.0</w:t>
      </w:r>
    </w:p>
    <w:p>
      <w:pPr>
        <w:pStyle w:val="BodyText"/>
        <w:spacing w:before="4"/>
        <w:rPr>
          <w:sz w:val="24"/>
        </w:rPr>
      </w:pPr>
    </w:p>
    <w:p>
      <w:pPr>
        <w:spacing w:before="83"/>
        <w:ind w:left="322" w:right="0" w:firstLine="0"/>
        <w:jc w:val="left"/>
        <w:rPr>
          <w:sz w:val="12"/>
        </w:rPr>
      </w:pPr>
      <w:r>
        <w:rPr>
          <w:color w:val="231F20"/>
          <w:w w:val="105"/>
          <w:sz w:val="12"/>
        </w:rPr>
        <w:t>1.5</w:t>
      </w:r>
    </w:p>
    <w:p>
      <w:pPr>
        <w:pStyle w:val="BodyText"/>
        <w:spacing w:before="4"/>
        <w:rPr>
          <w:sz w:val="24"/>
        </w:rPr>
      </w:pPr>
    </w:p>
    <w:p>
      <w:pPr>
        <w:spacing w:after="0"/>
        <w:rPr>
          <w:sz w:val="24"/>
        </w:rPr>
        <w:sectPr>
          <w:pgSz w:w="9520" w:h="12920"/>
          <w:pgMar w:header="0" w:footer="1344" w:top="880" w:bottom="1540" w:left="1020" w:right="1320"/>
        </w:sectPr>
      </w:pPr>
    </w:p>
    <w:p>
      <w:pPr>
        <w:spacing w:before="83"/>
        <w:ind w:left="322" w:right="0" w:firstLine="0"/>
        <w:jc w:val="left"/>
        <w:rPr>
          <w:sz w:val="12"/>
        </w:rPr>
      </w:pPr>
      <w:r>
        <w:rPr>
          <w:color w:val="231F20"/>
          <w:w w:val="105"/>
          <w:sz w:val="12"/>
        </w:rPr>
        <w:t>1.0</w:t>
      </w:r>
    </w:p>
    <w:p>
      <w:pPr>
        <w:tabs>
          <w:tab w:pos="1301" w:val="left" w:leader="none"/>
        </w:tabs>
        <w:spacing w:before="29"/>
        <w:ind w:left="444" w:right="0" w:firstLine="0"/>
        <w:jc w:val="left"/>
        <w:rPr>
          <w:sz w:val="12"/>
        </w:rPr>
      </w:pPr>
      <w:r>
        <w:rPr>
          <w:color w:val="231F20"/>
          <w:sz w:val="12"/>
        </w:rPr>
        <w:t>1880</w:t>
        <w:tab/>
        <w:t>1900</w:t>
      </w:r>
    </w:p>
    <w:p>
      <w:pPr>
        <w:pStyle w:val="BodyText"/>
        <w:rPr>
          <w:sz w:val="12"/>
        </w:rPr>
      </w:pPr>
      <w:r>
        <w:rPr/>
        <w:br w:type="column"/>
      </w:r>
      <w:r>
        <w:rPr>
          <w:sz w:val="12"/>
        </w:rPr>
      </w:r>
    </w:p>
    <w:p>
      <w:pPr>
        <w:pStyle w:val="BodyText"/>
        <w:spacing w:before="6"/>
        <w:rPr>
          <w:sz w:val="9"/>
        </w:rPr>
      </w:pPr>
    </w:p>
    <w:p>
      <w:pPr>
        <w:spacing w:before="0"/>
        <w:ind w:left="322" w:right="-14" w:firstLine="0"/>
        <w:jc w:val="left"/>
        <w:rPr>
          <w:sz w:val="12"/>
        </w:rPr>
      </w:pPr>
      <w:r>
        <w:rPr>
          <w:color w:val="231F20"/>
          <w:sz w:val="12"/>
        </w:rPr>
        <w:t>1920</w:t>
      </w:r>
    </w:p>
    <w:p>
      <w:pPr>
        <w:pStyle w:val="BodyText"/>
        <w:rPr>
          <w:sz w:val="12"/>
        </w:rPr>
      </w:pPr>
      <w:r>
        <w:rPr/>
        <w:br w:type="column"/>
      </w:r>
      <w:r>
        <w:rPr>
          <w:sz w:val="12"/>
        </w:rPr>
      </w:r>
    </w:p>
    <w:p>
      <w:pPr>
        <w:pStyle w:val="BodyText"/>
        <w:spacing w:before="6"/>
        <w:rPr>
          <w:sz w:val="9"/>
        </w:rPr>
      </w:pPr>
    </w:p>
    <w:p>
      <w:pPr>
        <w:spacing w:before="0"/>
        <w:ind w:left="322" w:right="-14" w:firstLine="0"/>
        <w:jc w:val="left"/>
        <w:rPr>
          <w:sz w:val="12"/>
        </w:rPr>
      </w:pPr>
      <w:r>
        <w:rPr>
          <w:color w:val="231F20"/>
          <w:sz w:val="12"/>
        </w:rPr>
        <w:t>1940</w:t>
      </w:r>
    </w:p>
    <w:p>
      <w:pPr>
        <w:pStyle w:val="BodyText"/>
        <w:rPr>
          <w:sz w:val="12"/>
        </w:rPr>
      </w:pPr>
      <w:r>
        <w:rPr/>
        <w:br w:type="column"/>
      </w:r>
      <w:r>
        <w:rPr>
          <w:sz w:val="12"/>
        </w:rPr>
      </w:r>
    </w:p>
    <w:p>
      <w:pPr>
        <w:pStyle w:val="BodyText"/>
        <w:spacing w:before="6"/>
        <w:rPr>
          <w:sz w:val="9"/>
        </w:rPr>
      </w:pPr>
    </w:p>
    <w:p>
      <w:pPr>
        <w:tabs>
          <w:tab w:pos="1180" w:val="left" w:leader="none"/>
          <w:tab w:pos="2037" w:val="left" w:leader="none"/>
          <w:tab w:pos="2894" w:val="left" w:leader="none"/>
        </w:tabs>
        <w:spacing w:before="0"/>
        <w:ind w:left="322" w:right="0" w:firstLine="0"/>
        <w:jc w:val="left"/>
        <w:rPr>
          <w:sz w:val="12"/>
        </w:rPr>
      </w:pPr>
      <w:r>
        <w:rPr>
          <w:color w:val="231F20"/>
          <w:sz w:val="12"/>
        </w:rPr>
        <w:t>1960</w:t>
        <w:tab/>
        <w:t>1980</w:t>
        <w:tab/>
        <w:t>2000</w:t>
        <w:tab/>
        <w:t>2020</w:t>
      </w:r>
    </w:p>
    <w:p>
      <w:pPr>
        <w:spacing w:after="0"/>
        <w:jc w:val="left"/>
        <w:rPr>
          <w:sz w:val="12"/>
        </w:rPr>
        <w:sectPr>
          <w:type w:val="continuous"/>
          <w:pgSz w:w="9520" w:h="12920"/>
          <w:pgMar w:top="0" w:bottom="0" w:left="1020" w:right="1320"/>
          <w:cols w:num="4" w:equalWidth="0">
            <w:col w:w="1574" w:space="263"/>
            <w:col w:w="594" w:space="263"/>
            <w:col w:w="594" w:space="263"/>
            <w:col w:w="3629"/>
          </w:cols>
        </w:sectPr>
      </w:pPr>
    </w:p>
    <w:p>
      <w:pPr>
        <w:spacing w:line="170" w:lineRule="exact" w:before="118"/>
        <w:ind w:left="100" w:right="118" w:firstLine="360"/>
        <w:jc w:val="both"/>
        <w:rPr>
          <w:sz w:val="15"/>
        </w:rPr>
      </w:pPr>
      <w:r>
        <w:rPr>
          <w:color w:val="231F20"/>
          <w:w w:val="110"/>
          <w:sz w:val="15"/>
        </w:rPr>
        <w:t>Fuente:</w:t>
      </w:r>
      <w:r>
        <w:rPr>
          <w:color w:val="231F20"/>
          <w:spacing w:val="-2"/>
          <w:w w:val="110"/>
          <w:sz w:val="15"/>
        </w:rPr>
        <w:t> </w:t>
      </w:r>
      <w:r>
        <w:rPr>
          <w:color w:val="231F20"/>
          <w:w w:val="110"/>
          <w:sz w:val="15"/>
        </w:rPr>
        <w:t>Serie</w:t>
      </w:r>
      <w:r>
        <w:rPr>
          <w:color w:val="231F20"/>
          <w:spacing w:val="-2"/>
          <w:w w:val="110"/>
          <w:sz w:val="15"/>
        </w:rPr>
        <w:t> </w:t>
      </w:r>
      <w:r>
        <w:rPr>
          <w:color w:val="231F20"/>
          <w:w w:val="110"/>
          <w:sz w:val="15"/>
        </w:rPr>
        <w:t>de</w:t>
      </w:r>
      <w:r>
        <w:rPr>
          <w:color w:val="231F20"/>
          <w:spacing w:val="-2"/>
          <w:w w:val="110"/>
          <w:sz w:val="15"/>
        </w:rPr>
        <w:t> </w:t>
      </w:r>
      <w:r>
        <w:rPr>
          <w:color w:val="231F20"/>
          <w:w w:val="110"/>
          <w:sz w:val="15"/>
        </w:rPr>
        <w:t>1910</w:t>
      </w:r>
      <w:r>
        <w:rPr>
          <w:color w:val="231F20"/>
          <w:spacing w:val="-2"/>
          <w:w w:val="110"/>
          <w:sz w:val="15"/>
        </w:rPr>
        <w:t> </w:t>
      </w:r>
      <w:r>
        <w:rPr>
          <w:color w:val="231F20"/>
          <w:w w:val="110"/>
          <w:sz w:val="15"/>
        </w:rPr>
        <w:t>a</w:t>
      </w:r>
      <w:r>
        <w:rPr>
          <w:color w:val="231F20"/>
          <w:spacing w:val="-2"/>
          <w:w w:val="110"/>
          <w:sz w:val="15"/>
        </w:rPr>
        <w:t> </w:t>
      </w:r>
      <w:r>
        <w:rPr>
          <w:color w:val="231F20"/>
          <w:w w:val="110"/>
          <w:sz w:val="15"/>
        </w:rPr>
        <w:t>1980</w:t>
      </w:r>
      <w:r>
        <w:rPr>
          <w:color w:val="231F20"/>
          <w:spacing w:val="-2"/>
          <w:w w:val="110"/>
          <w:sz w:val="15"/>
        </w:rPr>
        <w:t> </w:t>
      </w:r>
      <w:r>
        <w:rPr>
          <w:color w:val="231F20"/>
          <w:w w:val="110"/>
          <w:sz w:val="15"/>
        </w:rPr>
        <w:t>Quilodrán</w:t>
      </w:r>
      <w:r>
        <w:rPr>
          <w:color w:val="231F20"/>
          <w:spacing w:val="-2"/>
          <w:w w:val="110"/>
          <w:sz w:val="15"/>
        </w:rPr>
        <w:t> </w:t>
      </w:r>
      <w:r>
        <w:rPr>
          <w:color w:val="231F20"/>
          <w:w w:val="110"/>
          <w:sz w:val="15"/>
        </w:rPr>
        <w:t>(2001:</w:t>
      </w:r>
      <w:r>
        <w:rPr>
          <w:color w:val="231F20"/>
          <w:spacing w:val="-2"/>
          <w:w w:val="110"/>
          <w:sz w:val="15"/>
        </w:rPr>
        <w:t> </w:t>
      </w:r>
      <w:r>
        <w:rPr>
          <w:color w:val="231F20"/>
          <w:w w:val="110"/>
          <w:sz w:val="15"/>
        </w:rPr>
        <w:t>110-115</w:t>
      </w:r>
      <w:r>
        <w:rPr>
          <w:color w:val="231F20"/>
          <w:spacing w:val="-2"/>
          <w:w w:val="110"/>
          <w:sz w:val="15"/>
        </w:rPr>
        <w:t> </w:t>
      </w:r>
      <w:r>
        <w:rPr>
          <w:color w:val="231F20"/>
          <w:w w:val="110"/>
          <w:sz w:val="15"/>
        </w:rPr>
        <w:t>y</w:t>
      </w:r>
      <w:r>
        <w:rPr>
          <w:color w:val="231F20"/>
          <w:spacing w:val="-2"/>
          <w:w w:val="110"/>
          <w:sz w:val="15"/>
        </w:rPr>
        <w:t> </w:t>
      </w:r>
      <w:r>
        <w:rPr>
          <w:color w:val="231F20"/>
          <w:w w:val="110"/>
          <w:sz w:val="15"/>
        </w:rPr>
        <w:t>116),</w:t>
      </w:r>
      <w:r>
        <w:rPr>
          <w:color w:val="231F20"/>
          <w:spacing w:val="-2"/>
          <w:w w:val="110"/>
          <w:sz w:val="15"/>
        </w:rPr>
        <w:t> </w:t>
      </w:r>
      <w:r>
        <w:rPr>
          <w:color w:val="231F20"/>
          <w:w w:val="110"/>
          <w:sz w:val="15"/>
        </w:rPr>
        <w:t>y</w:t>
      </w:r>
      <w:r>
        <w:rPr>
          <w:color w:val="231F20"/>
          <w:spacing w:val="-2"/>
          <w:w w:val="110"/>
          <w:sz w:val="15"/>
        </w:rPr>
        <w:t> </w:t>
      </w:r>
      <w:r>
        <w:rPr>
          <w:color w:val="231F20"/>
          <w:w w:val="110"/>
          <w:sz w:val="15"/>
        </w:rPr>
        <w:t>de</w:t>
      </w:r>
      <w:r>
        <w:rPr>
          <w:color w:val="231F20"/>
          <w:spacing w:val="-2"/>
          <w:w w:val="110"/>
          <w:sz w:val="15"/>
        </w:rPr>
        <w:t> </w:t>
      </w:r>
      <w:r>
        <w:rPr>
          <w:color w:val="231F20"/>
          <w:w w:val="110"/>
          <w:sz w:val="15"/>
        </w:rPr>
        <w:t>1985</w:t>
      </w:r>
      <w:r>
        <w:rPr>
          <w:color w:val="231F20"/>
          <w:spacing w:val="-2"/>
          <w:w w:val="110"/>
          <w:sz w:val="15"/>
        </w:rPr>
        <w:t> </w:t>
      </w:r>
      <w:r>
        <w:rPr>
          <w:color w:val="231F20"/>
          <w:w w:val="110"/>
          <w:sz w:val="15"/>
        </w:rPr>
        <w:t>a</w:t>
      </w:r>
      <w:r>
        <w:rPr>
          <w:color w:val="231F20"/>
          <w:spacing w:val="-2"/>
          <w:w w:val="110"/>
          <w:sz w:val="15"/>
        </w:rPr>
        <w:t> </w:t>
      </w:r>
      <w:r>
        <w:rPr>
          <w:color w:val="231F20"/>
          <w:w w:val="110"/>
          <w:sz w:val="15"/>
        </w:rPr>
        <w:t>2010,</w:t>
      </w:r>
      <w:r>
        <w:rPr>
          <w:color w:val="231F20"/>
          <w:spacing w:val="-2"/>
          <w:w w:val="110"/>
          <w:sz w:val="15"/>
        </w:rPr>
        <w:t> </w:t>
      </w:r>
      <w:r>
        <w:rPr>
          <w:color w:val="231F20"/>
          <w:w w:val="110"/>
          <w:sz w:val="15"/>
        </w:rPr>
        <w:t>elaboración propia con datos de las estadísticas vitales de matrimonios,</w:t>
      </w:r>
      <w:r>
        <w:rPr>
          <w:color w:val="231F20"/>
          <w:spacing w:val="34"/>
          <w:w w:val="110"/>
          <w:sz w:val="15"/>
        </w:rPr>
        <w:t> </w:t>
      </w:r>
      <w:r>
        <w:rPr>
          <w:rFonts w:ascii="Times New Roman" w:hAnsi="Times New Roman"/>
          <w:color w:val="231F20"/>
          <w:w w:val="110"/>
          <w:sz w:val="12"/>
        </w:rPr>
        <w:t>INEGI</w:t>
      </w:r>
      <w:r>
        <w:rPr>
          <w:color w:val="231F20"/>
          <w:w w:val="110"/>
          <w:sz w:val="15"/>
        </w:rPr>
        <w:t>.</w:t>
      </w:r>
    </w:p>
    <w:p>
      <w:pPr>
        <w:pStyle w:val="BodyText"/>
        <w:rPr>
          <w:sz w:val="14"/>
        </w:rPr>
      </w:pPr>
    </w:p>
    <w:p>
      <w:pPr>
        <w:pStyle w:val="BodyText"/>
        <w:spacing w:before="11"/>
        <w:rPr>
          <w:sz w:val="14"/>
        </w:rPr>
      </w:pPr>
    </w:p>
    <w:p>
      <w:pPr>
        <w:pStyle w:val="BodyText"/>
        <w:spacing w:line="288" w:lineRule="auto"/>
        <w:ind w:left="100" w:right="114" w:firstLine="360"/>
        <w:jc w:val="both"/>
      </w:pPr>
      <w:r>
        <w:rPr>
          <w:color w:val="231F20"/>
          <w:w w:val="110"/>
        </w:rPr>
        <w:t>En el cuadro 1, a continuación, se analiza la edad media a la primera unión, tanto de los casados como de los unidos consensualmente, desagre- gada por entidad federativa. Los datos muestran que existe una notable</w:t>
      </w:r>
    </w:p>
    <w:p>
      <w:pPr>
        <w:spacing w:after="0" w:line="288" w:lineRule="auto"/>
        <w:jc w:val="both"/>
        <w:sectPr>
          <w:type w:val="continuous"/>
          <w:pgSz w:w="9520" w:h="12920"/>
          <w:pgMar w:top="0" w:bottom="0" w:left="1020" w:right="1320"/>
        </w:sectPr>
      </w:pPr>
    </w:p>
    <w:p>
      <w:pPr>
        <w:pStyle w:val="BodyText"/>
        <w:spacing w:line="288" w:lineRule="auto" w:before="42"/>
        <w:ind w:left="124" w:right="112"/>
        <w:jc w:val="both"/>
      </w:pPr>
      <w:r>
        <w:rPr>
          <w:color w:val="231F20"/>
          <w:w w:val="110"/>
        </w:rPr>
        <w:t>heterogeneidad nacional en el calendario de la nupcialidad y en la diferen- cia de edades entre los miembros de la pareja. Es interesante el mosaico de situaciones diversas que se conforma al conjugar la edad media a la primera unión y la diferencia de edades entre los cónyuges, poniendo en evidencia la heterogeneidad existente en el interior evidenciando que las diferencias</w:t>
      </w:r>
      <w:r>
        <w:rPr>
          <w:color w:val="231F20"/>
          <w:spacing w:val="-4"/>
          <w:w w:val="110"/>
        </w:rPr>
        <w:t> </w:t>
      </w:r>
      <w:r>
        <w:rPr>
          <w:color w:val="231F20"/>
          <w:w w:val="110"/>
        </w:rPr>
        <w:t>de</w:t>
      </w:r>
      <w:r>
        <w:rPr>
          <w:color w:val="231F20"/>
          <w:spacing w:val="-4"/>
          <w:w w:val="110"/>
        </w:rPr>
        <w:t> </w:t>
      </w:r>
      <w:r>
        <w:rPr>
          <w:color w:val="231F20"/>
          <w:w w:val="110"/>
        </w:rPr>
        <w:t>edad</w:t>
      </w:r>
      <w:r>
        <w:rPr>
          <w:color w:val="231F20"/>
          <w:spacing w:val="-4"/>
          <w:w w:val="110"/>
        </w:rPr>
        <w:t> </w:t>
      </w:r>
      <w:r>
        <w:rPr>
          <w:color w:val="231F20"/>
          <w:w w:val="110"/>
        </w:rPr>
        <w:t>a</w:t>
      </w:r>
      <w:r>
        <w:rPr>
          <w:color w:val="231F20"/>
          <w:spacing w:val="-4"/>
          <w:w w:val="110"/>
        </w:rPr>
        <w:t> </w:t>
      </w:r>
      <w:r>
        <w:rPr>
          <w:color w:val="231F20"/>
          <w:w w:val="110"/>
        </w:rPr>
        <w:t>la</w:t>
      </w:r>
      <w:r>
        <w:rPr>
          <w:color w:val="231F20"/>
          <w:spacing w:val="-4"/>
          <w:w w:val="110"/>
        </w:rPr>
        <w:t> </w:t>
      </w:r>
      <w:r>
        <w:rPr>
          <w:color w:val="231F20"/>
          <w:w w:val="110"/>
        </w:rPr>
        <w:t>primera</w:t>
      </w:r>
      <w:r>
        <w:rPr>
          <w:color w:val="231F20"/>
          <w:spacing w:val="-4"/>
          <w:w w:val="110"/>
        </w:rPr>
        <w:t> </w:t>
      </w:r>
      <w:r>
        <w:rPr>
          <w:color w:val="231F20"/>
          <w:w w:val="110"/>
        </w:rPr>
        <w:t>unión</w:t>
      </w:r>
      <w:r>
        <w:rPr>
          <w:color w:val="231F20"/>
          <w:spacing w:val="-4"/>
          <w:w w:val="110"/>
        </w:rPr>
        <w:t> </w:t>
      </w:r>
      <w:r>
        <w:rPr>
          <w:color w:val="231F20"/>
          <w:w w:val="110"/>
        </w:rPr>
        <w:t>entre</w:t>
      </w:r>
      <w:r>
        <w:rPr>
          <w:color w:val="231F20"/>
          <w:spacing w:val="-4"/>
          <w:w w:val="110"/>
        </w:rPr>
        <w:t> </w:t>
      </w:r>
      <w:r>
        <w:rPr>
          <w:color w:val="231F20"/>
          <w:w w:val="110"/>
        </w:rPr>
        <w:t>hombres</w:t>
      </w:r>
      <w:r>
        <w:rPr>
          <w:color w:val="231F20"/>
          <w:spacing w:val="-4"/>
          <w:w w:val="110"/>
        </w:rPr>
        <w:t> </w:t>
      </w:r>
      <w:r>
        <w:rPr>
          <w:color w:val="231F20"/>
          <w:w w:val="110"/>
        </w:rPr>
        <w:t>y</w:t>
      </w:r>
      <w:r>
        <w:rPr>
          <w:color w:val="231F20"/>
          <w:spacing w:val="-4"/>
          <w:w w:val="110"/>
        </w:rPr>
        <w:t> </w:t>
      </w:r>
      <w:r>
        <w:rPr>
          <w:color w:val="231F20"/>
          <w:w w:val="110"/>
        </w:rPr>
        <w:t>mujeres</w:t>
      </w:r>
      <w:r>
        <w:rPr>
          <w:color w:val="231F20"/>
          <w:spacing w:val="-4"/>
          <w:w w:val="110"/>
        </w:rPr>
        <w:t> </w:t>
      </w:r>
      <w:r>
        <w:rPr>
          <w:color w:val="231F20"/>
          <w:w w:val="110"/>
        </w:rPr>
        <w:t>van</w:t>
      </w:r>
      <w:r>
        <w:rPr>
          <w:color w:val="231F20"/>
          <w:spacing w:val="-4"/>
          <w:w w:val="110"/>
        </w:rPr>
        <w:t> </w:t>
      </w:r>
      <w:r>
        <w:rPr>
          <w:color w:val="231F20"/>
          <w:w w:val="110"/>
        </w:rPr>
        <w:t>desde</w:t>
      </w:r>
    </w:p>
    <w:p>
      <w:pPr>
        <w:pStyle w:val="BodyText"/>
        <w:ind w:left="124"/>
        <w:jc w:val="both"/>
      </w:pPr>
      <w:r>
        <w:rPr>
          <w:color w:val="231F20"/>
          <w:w w:val="110"/>
        </w:rPr>
        <w:t>1.1 hasta 4 años.</w:t>
      </w:r>
    </w:p>
    <w:p>
      <w:pPr>
        <w:pStyle w:val="BodyText"/>
        <w:spacing w:line="288" w:lineRule="auto" w:before="47"/>
        <w:ind w:left="124" w:right="112" w:firstLine="360"/>
        <w:jc w:val="both"/>
      </w:pPr>
      <w:r>
        <w:rPr>
          <w:color w:val="231F20"/>
          <w:w w:val="110"/>
        </w:rPr>
        <w:t>En cuanto al calendario de la nupcialidad, son los estados de Zacate- cas, Chiapas y Nayarit los que muestran las edades más bajas al unirse por </w:t>
      </w:r>
      <w:r>
        <w:rPr>
          <w:color w:val="231F20"/>
          <w:spacing w:val="2"/>
          <w:w w:val="110"/>
        </w:rPr>
        <w:t>primera </w:t>
      </w:r>
      <w:r>
        <w:rPr>
          <w:color w:val="231F20"/>
          <w:w w:val="110"/>
        </w:rPr>
        <w:t>vez </w:t>
      </w:r>
      <w:r>
        <w:rPr>
          <w:color w:val="231F20"/>
          <w:spacing w:val="2"/>
          <w:w w:val="110"/>
        </w:rPr>
        <w:t>(23.7, 23.8 </w:t>
      </w:r>
      <w:r>
        <w:rPr>
          <w:color w:val="231F20"/>
          <w:w w:val="110"/>
        </w:rPr>
        <w:t>y </w:t>
      </w:r>
      <w:r>
        <w:rPr>
          <w:color w:val="231F20"/>
          <w:spacing w:val="2"/>
          <w:w w:val="110"/>
        </w:rPr>
        <w:t>23.8 respectivamente). </w:t>
      </w:r>
      <w:r>
        <w:rPr>
          <w:color w:val="231F20"/>
          <w:w w:val="110"/>
        </w:rPr>
        <w:t>En el </w:t>
      </w:r>
      <w:r>
        <w:rPr>
          <w:color w:val="231F20"/>
          <w:spacing w:val="2"/>
          <w:w w:val="110"/>
        </w:rPr>
        <w:t>otro extremo </w:t>
      </w:r>
      <w:r>
        <w:rPr>
          <w:color w:val="231F20"/>
          <w:w w:val="110"/>
        </w:rPr>
        <w:t>se ubican</w:t>
      </w:r>
      <w:r>
        <w:rPr>
          <w:color w:val="231F20"/>
          <w:spacing w:val="-8"/>
          <w:w w:val="110"/>
        </w:rPr>
        <w:t> </w:t>
      </w:r>
      <w:r>
        <w:rPr>
          <w:color w:val="231F20"/>
          <w:w w:val="110"/>
        </w:rPr>
        <w:t>Querétaro,</w:t>
      </w:r>
      <w:r>
        <w:rPr>
          <w:color w:val="231F20"/>
          <w:spacing w:val="-8"/>
          <w:w w:val="110"/>
        </w:rPr>
        <w:t> </w:t>
      </w:r>
      <w:r>
        <w:rPr>
          <w:color w:val="231F20"/>
          <w:w w:val="110"/>
        </w:rPr>
        <w:t>Sonora</w:t>
      </w:r>
      <w:r>
        <w:rPr>
          <w:color w:val="231F20"/>
          <w:spacing w:val="-8"/>
          <w:w w:val="110"/>
        </w:rPr>
        <w:t> </w:t>
      </w:r>
      <w:r>
        <w:rPr>
          <w:color w:val="231F20"/>
          <w:w w:val="110"/>
        </w:rPr>
        <w:t>y</w:t>
      </w:r>
      <w:r>
        <w:rPr>
          <w:color w:val="231F20"/>
          <w:spacing w:val="-8"/>
          <w:w w:val="110"/>
        </w:rPr>
        <w:t> </w:t>
      </w:r>
      <w:r>
        <w:rPr>
          <w:color w:val="231F20"/>
          <w:w w:val="110"/>
        </w:rPr>
        <w:t>el</w:t>
      </w:r>
      <w:r>
        <w:rPr>
          <w:color w:val="231F20"/>
          <w:spacing w:val="-8"/>
          <w:w w:val="110"/>
        </w:rPr>
        <w:t> </w:t>
      </w:r>
      <w:r>
        <w:rPr>
          <w:color w:val="231F20"/>
          <w:w w:val="110"/>
        </w:rPr>
        <w:t>Distrito</w:t>
      </w:r>
      <w:r>
        <w:rPr>
          <w:color w:val="231F20"/>
          <w:spacing w:val="-9"/>
          <w:w w:val="110"/>
        </w:rPr>
        <w:t> </w:t>
      </w:r>
      <w:r>
        <w:rPr>
          <w:color w:val="231F20"/>
          <w:spacing w:val="-3"/>
          <w:w w:val="110"/>
        </w:rPr>
        <w:t>Federal</w:t>
      </w:r>
      <w:r>
        <w:rPr>
          <w:color w:val="231F20"/>
          <w:spacing w:val="-9"/>
          <w:w w:val="110"/>
        </w:rPr>
        <w:t> </w:t>
      </w:r>
      <w:r>
        <w:rPr>
          <w:color w:val="231F20"/>
          <w:w w:val="110"/>
        </w:rPr>
        <w:t>(26.1,</w:t>
      </w:r>
      <w:r>
        <w:rPr>
          <w:color w:val="231F20"/>
          <w:spacing w:val="-9"/>
          <w:w w:val="110"/>
        </w:rPr>
        <w:t> </w:t>
      </w:r>
      <w:r>
        <w:rPr>
          <w:color w:val="231F20"/>
          <w:w w:val="110"/>
        </w:rPr>
        <w:t>26.3</w:t>
      </w:r>
      <w:r>
        <w:rPr>
          <w:color w:val="231F20"/>
          <w:spacing w:val="-9"/>
          <w:w w:val="110"/>
        </w:rPr>
        <w:t> </w:t>
      </w:r>
      <w:r>
        <w:rPr>
          <w:color w:val="231F20"/>
          <w:w w:val="110"/>
        </w:rPr>
        <w:t>y</w:t>
      </w:r>
      <w:r>
        <w:rPr>
          <w:color w:val="231F20"/>
          <w:spacing w:val="-8"/>
          <w:w w:val="110"/>
        </w:rPr>
        <w:t> </w:t>
      </w:r>
      <w:r>
        <w:rPr>
          <w:color w:val="231F20"/>
          <w:w w:val="110"/>
        </w:rPr>
        <w:t>27</w:t>
      </w:r>
      <w:r>
        <w:rPr>
          <w:color w:val="231F20"/>
          <w:spacing w:val="-9"/>
          <w:w w:val="110"/>
        </w:rPr>
        <w:t> </w:t>
      </w:r>
      <w:r>
        <w:rPr>
          <w:color w:val="231F20"/>
          <w:w w:val="110"/>
        </w:rPr>
        <w:t>años,</w:t>
      </w:r>
      <w:r>
        <w:rPr>
          <w:color w:val="231F20"/>
          <w:spacing w:val="-9"/>
          <w:w w:val="110"/>
        </w:rPr>
        <w:t> </w:t>
      </w:r>
      <w:r>
        <w:rPr>
          <w:color w:val="231F20"/>
          <w:w w:val="110"/>
        </w:rPr>
        <w:t>respec- tivamente). A nivel particular tenemos entidades con niveles de</w:t>
      </w:r>
      <w:r>
        <w:rPr>
          <w:color w:val="231F20"/>
          <w:spacing w:val="-10"/>
          <w:w w:val="110"/>
        </w:rPr>
        <w:t> </w:t>
      </w:r>
      <w:r>
        <w:rPr>
          <w:color w:val="231F20"/>
          <w:w w:val="110"/>
        </w:rPr>
        <w:t>desarrollo bajo (</w:t>
      </w:r>
      <w:r>
        <w:rPr>
          <w:i/>
          <w:color w:val="231F20"/>
          <w:w w:val="110"/>
        </w:rPr>
        <w:t>i.e</w:t>
      </w:r>
      <w:r>
        <w:rPr>
          <w:color w:val="231F20"/>
          <w:w w:val="110"/>
        </w:rPr>
        <w:t>. Chiapas, Guerrero y Oaxaca) donde las edades a la unión son tempranas (entre 23.7 y 25.2 años) y otros donde las edades son elevadas (entre 25 y 27 años) caracterizadas por altos niveles de modernidad y de- sarrollo, como es el caso del Distrito</w:t>
      </w:r>
      <w:r>
        <w:rPr>
          <w:color w:val="231F20"/>
          <w:spacing w:val="40"/>
          <w:w w:val="110"/>
        </w:rPr>
        <w:t> </w:t>
      </w:r>
      <w:r>
        <w:rPr>
          <w:color w:val="231F20"/>
          <w:w w:val="110"/>
        </w:rPr>
        <w:t>Federal.</w:t>
      </w:r>
    </w:p>
    <w:p>
      <w:pPr>
        <w:pStyle w:val="BodyText"/>
        <w:spacing w:line="288" w:lineRule="auto"/>
        <w:ind w:left="124" w:right="112" w:firstLine="360"/>
        <w:jc w:val="both"/>
      </w:pPr>
      <w:r>
        <w:rPr>
          <w:color w:val="231F20"/>
          <w:w w:val="110"/>
        </w:rPr>
        <w:t>En el Estado de México la edad media a la primera unión es de 25.5 años, ligeramente por encima de los 25.2 años del promedio nacional. Las mujeres mexiquenses tienen un calendario de la nupcialidad un poco más tardío que la media nacional (24.1 años </w:t>
      </w:r>
      <w:r>
        <w:rPr>
          <w:i/>
          <w:color w:val="231F20"/>
          <w:w w:val="110"/>
        </w:rPr>
        <w:t>vs. </w:t>
      </w:r>
      <w:r>
        <w:rPr>
          <w:color w:val="231F20"/>
          <w:w w:val="110"/>
        </w:rPr>
        <w:t>23.8, respectivamente). La diferencia de edad entre ellas y sus parejas es de 2.7 años, un año menos que el promedio del país.</w:t>
      </w:r>
    </w:p>
    <w:p>
      <w:pPr>
        <w:pStyle w:val="BodyText"/>
        <w:spacing w:line="288" w:lineRule="auto"/>
        <w:ind w:left="124" w:right="110" w:firstLine="360"/>
        <w:jc w:val="both"/>
      </w:pPr>
      <w:r>
        <w:rPr>
          <w:color w:val="231F20"/>
          <w:w w:val="110"/>
        </w:rPr>
        <w:t>Las menores diferencias se presentan en los estados de Yucatán, Gua- najuato, Michoacán y San Luis Potosí, y las mayores diferencias en los estados de Chiapas y Quintana Roo, varios de estos estados tienen una larga tradición migrante y a causa de esto las personas disponibles para casarse pudieran tener un desbalance entre hombres y mujeres, es decir, faltante o sobrante de alguno de los sexos en las edades a las que suelen entrar en unión, y por ello estas diferencias de edad entre cónyuges son mayores o menores. Estas diferencias pueden tener algunas implicaciones en cuanto a la toma de decisiones en el interior de las parejas, sugiriendo que en los primeros puede haber relaciones más igualitarias y en los se- gundos el caso contrario (Sosa, 2011).</w:t>
      </w:r>
    </w:p>
    <w:p>
      <w:pPr>
        <w:spacing w:after="0" w:line="288" w:lineRule="auto"/>
        <w:jc w:val="both"/>
        <w:sectPr>
          <w:pgSz w:w="9520" w:h="12920"/>
          <w:pgMar w:header="0" w:footer="1344" w:top="880" w:bottom="1540" w:left="1320" w:right="1000"/>
        </w:sectPr>
      </w:pPr>
    </w:p>
    <w:p>
      <w:pPr>
        <w:spacing w:line="185" w:lineRule="exact" w:before="65"/>
        <w:ind w:left="19" w:right="0" w:firstLine="0"/>
        <w:jc w:val="center"/>
        <w:rPr>
          <w:sz w:val="16"/>
        </w:rPr>
      </w:pPr>
      <w:r>
        <w:rPr>
          <w:color w:val="231F20"/>
          <w:w w:val="105"/>
          <w:sz w:val="16"/>
        </w:rPr>
        <w:t>Cuadro 1</w:t>
      </w:r>
    </w:p>
    <w:p>
      <w:pPr>
        <w:spacing w:line="220" w:lineRule="exact" w:before="0"/>
        <w:ind w:left="19" w:right="0" w:firstLine="0"/>
        <w:jc w:val="center"/>
        <w:rPr>
          <w:sz w:val="19"/>
        </w:rPr>
      </w:pPr>
      <w:r>
        <w:rPr>
          <w:color w:val="231F20"/>
          <w:w w:val="90"/>
          <w:sz w:val="19"/>
        </w:rPr>
        <w:t>Edad media a la primera unión</w:t>
      </w:r>
      <w:r>
        <w:rPr>
          <w:color w:val="231F20"/>
          <w:w w:val="90"/>
          <w:position w:val="6"/>
          <w:sz w:val="11"/>
        </w:rPr>
        <w:t>6 </w:t>
      </w:r>
      <w:r>
        <w:rPr>
          <w:color w:val="231F20"/>
          <w:w w:val="90"/>
          <w:sz w:val="19"/>
        </w:rPr>
        <w:t>de la población de 15 años y más por entidad. 2009</w:t>
      </w:r>
    </w:p>
    <w:p>
      <w:pPr>
        <w:pStyle w:val="BodyText"/>
        <w:spacing w:before="9"/>
        <w:rPr>
          <w:sz w:val="23"/>
        </w:rPr>
      </w:pPr>
      <w:r>
        <w:rPr/>
        <w:pict>
          <v:group style="position:absolute;margin-left:55.799999pt;margin-top:15.889389pt;width:348.4pt;height:.4pt;mso-position-horizontal-relative:page;mso-position-vertical-relative:paragraph;z-index:1576;mso-wrap-distance-left:0;mso-wrap-distance-right:0" coordorigin="1116,318" coordsize="6968,8">
            <v:line style="position:absolute" from="1120,322" to="3036,322" stroked="true" strokeweight=".4pt" strokecolor="#231f20"/>
            <v:line style="position:absolute" from="3036,322" to="4428,322" stroked="true" strokeweight=".4pt" strokecolor="#231f20"/>
            <v:line style="position:absolute" from="4428,322" to="5652,322" stroked="true" strokeweight=".4pt" strokecolor="#231f20"/>
            <v:line style="position:absolute" from="5652,322" to="6996,322" stroked="true" strokeweight=".4pt" strokecolor="#231f20"/>
            <v:line style="position:absolute" from="6996,322" to="8080,322" stroked="true" strokeweight=".4pt" strokecolor="#231f20"/>
            <w10:wrap type="topAndBottom"/>
          </v:group>
        </w:pict>
      </w:r>
    </w:p>
    <w:p>
      <w:pPr>
        <w:tabs>
          <w:tab w:pos="2563" w:val="left" w:leader="none"/>
          <w:tab w:pos="3718" w:val="left" w:leader="none"/>
          <w:tab w:pos="5038" w:val="left" w:leader="none"/>
          <w:tab w:pos="6175" w:val="left" w:leader="none"/>
        </w:tabs>
        <w:spacing w:before="55"/>
        <w:ind w:left="407" w:right="0" w:firstLine="0"/>
        <w:jc w:val="left"/>
        <w:rPr>
          <w:i/>
          <w:sz w:val="17"/>
        </w:rPr>
      </w:pPr>
      <w:r>
        <w:rPr>
          <w:i/>
          <w:color w:val="231F20"/>
          <w:w w:val="105"/>
          <w:sz w:val="17"/>
        </w:rPr>
        <w:t>Entidad</w:t>
      </w:r>
      <w:r>
        <w:rPr>
          <w:i/>
          <w:color w:val="231F20"/>
          <w:spacing w:val="2"/>
          <w:w w:val="105"/>
          <w:sz w:val="17"/>
        </w:rPr>
        <w:t> </w:t>
      </w:r>
      <w:r>
        <w:rPr>
          <w:i/>
          <w:color w:val="231F20"/>
          <w:w w:val="105"/>
          <w:sz w:val="17"/>
        </w:rPr>
        <w:t>federativa</w:t>
        <w:tab/>
        <w:t>Total</w:t>
        <w:tab/>
        <w:t>Hombres</w:t>
        <w:tab/>
        <w:t>Mujeres</w:t>
        <w:tab/>
        <w:t>Diferencia</w:t>
      </w:r>
    </w:p>
    <w:p>
      <w:pPr>
        <w:pStyle w:val="BodyText"/>
        <w:spacing w:before="2"/>
        <w:rPr>
          <w:i/>
          <w:sz w:val="8"/>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07"/>
        <w:gridCol w:w="1294"/>
        <w:gridCol w:w="1296"/>
        <w:gridCol w:w="1273"/>
        <w:gridCol w:w="1125"/>
      </w:tblGrid>
      <w:tr>
        <w:trPr>
          <w:trHeight w:val="303" w:hRule="exact"/>
        </w:trPr>
        <w:tc>
          <w:tcPr>
            <w:tcW w:w="2007" w:type="dxa"/>
            <w:tcBorders>
              <w:top w:val="single" w:sz="3" w:space="0" w:color="231F20"/>
            </w:tcBorders>
          </w:tcPr>
          <w:p>
            <w:pPr>
              <w:pStyle w:val="TableParagraph"/>
              <w:spacing w:line="240" w:lineRule="auto" w:before="84"/>
              <w:ind w:left="35"/>
              <w:jc w:val="left"/>
              <w:rPr>
                <w:sz w:val="17"/>
              </w:rPr>
            </w:pPr>
            <w:r>
              <w:rPr>
                <w:color w:val="231F20"/>
                <w:w w:val="110"/>
                <w:sz w:val="17"/>
              </w:rPr>
              <w:t>Nacional</w:t>
            </w:r>
          </w:p>
        </w:tc>
        <w:tc>
          <w:tcPr>
            <w:tcW w:w="1294" w:type="dxa"/>
            <w:tcBorders>
              <w:top w:val="single" w:sz="3" w:space="0" w:color="231F20"/>
            </w:tcBorders>
          </w:tcPr>
          <w:p>
            <w:pPr>
              <w:pStyle w:val="TableParagraph"/>
              <w:spacing w:line="240" w:lineRule="auto" w:before="84"/>
              <w:ind w:left="455" w:right="466"/>
              <w:rPr>
                <w:sz w:val="17"/>
              </w:rPr>
            </w:pPr>
            <w:r>
              <w:rPr>
                <w:color w:val="231F20"/>
                <w:w w:val="105"/>
                <w:sz w:val="17"/>
              </w:rPr>
              <w:t>25.2</w:t>
            </w:r>
          </w:p>
        </w:tc>
        <w:tc>
          <w:tcPr>
            <w:tcW w:w="1296" w:type="dxa"/>
            <w:tcBorders>
              <w:top w:val="single" w:sz="3" w:space="0" w:color="231F20"/>
            </w:tcBorders>
          </w:tcPr>
          <w:p>
            <w:pPr>
              <w:pStyle w:val="TableParagraph"/>
              <w:spacing w:line="240" w:lineRule="auto" w:before="84"/>
              <w:ind w:left="466" w:right="454"/>
              <w:rPr>
                <w:sz w:val="17"/>
              </w:rPr>
            </w:pPr>
            <w:r>
              <w:rPr>
                <w:color w:val="231F20"/>
                <w:w w:val="105"/>
                <w:sz w:val="17"/>
              </w:rPr>
              <w:t>26.6</w:t>
            </w:r>
          </w:p>
        </w:tc>
        <w:tc>
          <w:tcPr>
            <w:tcW w:w="1273" w:type="dxa"/>
            <w:tcBorders>
              <w:top w:val="single" w:sz="3" w:space="0" w:color="231F20"/>
            </w:tcBorders>
          </w:tcPr>
          <w:p>
            <w:pPr>
              <w:pStyle w:val="TableParagraph"/>
              <w:spacing w:line="240" w:lineRule="auto" w:before="84"/>
              <w:ind w:left="454" w:right="444"/>
              <w:rPr>
                <w:sz w:val="17"/>
              </w:rPr>
            </w:pPr>
            <w:r>
              <w:rPr>
                <w:color w:val="231F20"/>
                <w:w w:val="105"/>
                <w:sz w:val="17"/>
              </w:rPr>
              <w:t>23.8</w:t>
            </w:r>
          </w:p>
        </w:tc>
        <w:tc>
          <w:tcPr>
            <w:tcW w:w="1125" w:type="dxa"/>
            <w:tcBorders>
              <w:top w:val="single" w:sz="3" w:space="0" w:color="231F20"/>
            </w:tcBorders>
          </w:tcPr>
          <w:p>
            <w:pPr>
              <w:pStyle w:val="TableParagraph"/>
              <w:spacing w:line="240" w:lineRule="auto" w:before="84"/>
              <w:ind w:right="421"/>
              <w:jc w:val="right"/>
              <w:rPr>
                <w:sz w:val="17"/>
              </w:rPr>
            </w:pPr>
            <w:r>
              <w:rPr>
                <w:color w:val="231F20"/>
                <w:w w:val="105"/>
                <w:sz w:val="17"/>
              </w:rPr>
              <w:t>2.8</w:t>
            </w:r>
          </w:p>
        </w:tc>
      </w:tr>
      <w:tr>
        <w:trPr>
          <w:trHeight w:val="210" w:hRule="exact"/>
        </w:trPr>
        <w:tc>
          <w:tcPr>
            <w:tcW w:w="2007" w:type="dxa"/>
          </w:tcPr>
          <w:p>
            <w:pPr>
              <w:pStyle w:val="TableParagraph"/>
              <w:ind w:left="35"/>
              <w:jc w:val="left"/>
              <w:rPr>
                <w:sz w:val="17"/>
              </w:rPr>
            </w:pPr>
            <w:r>
              <w:rPr>
                <w:color w:val="231F20"/>
                <w:w w:val="110"/>
                <w:sz w:val="17"/>
              </w:rPr>
              <w:t>Aguascalientes</w:t>
            </w:r>
          </w:p>
        </w:tc>
        <w:tc>
          <w:tcPr>
            <w:tcW w:w="1294" w:type="dxa"/>
          </w:tcPr>
          <w:p>
            <w:pPr>
              <w:pStyle w:val="TableParagraph"/>
              <w:ind w:left="455" w:right="466"/>
              <w:rPr>
                <w:sz w:val="17"/>
              </w:rPr>
            </w:pPr>
            <w:r>
              <w:rPr>
                <w:color w:val="231F20"/>
                <w:w w:val="105"/>
                <w:sz w:val="17"/>
              </w:rPr>
              <w:t>25.4</w:t>
            </w:r>
          </w:p>
        </w:tc>
        <w:tc>
          <w:tcPr>
            <w:tcW w:w="1296" w:type="dxa"/>
          </w:tcPr>
          <w:p>
            <w:pPr>
              <w:pStyle w:val="TableParagraph"/>
              <w:ind w:left="466" w:right="454"/>
              <w:rPr>
                <w:sz w:val="17"/>
              </w:rPr>
            </w:pPr>
            <w:r>
              <w:rPr>
                <w:color w:val="231F20"/>
                <w:w w:val="105"/>
                <w:sz w:val="17"/>
              </w:rPr>
              <w:t>26.7</w:t>
            </w:r>
          </w:p>
        </w:tc>
        <w:tc>
          <w:tcPr>
            <w:tcW w:w="1273" w:type="dxa"/>
          </w:tcPr>
          <w:p>
            <w:pPr>
              <w:pStyle w:val="TableParagraph"/>
              <w:ind w:left="454" w:right="443"/>
              <w:rPr>
                <w:sz w:val="17"/>
              </w:rPr>
            </w:pPr>
            <w:r>
              <w:rPr>
                <w:color w:val="231F20"/>
                <w:w w:val="105"/>
                <w:sz w:val="17"/>
              </w:rPr>
              <w:t>24.0</w:t>
            </w:r>
          </w:p>
        </w:tc>
        <w:tc>
          <w:tcPr>
            <w:tcW w:w="1125" w:type="dxa"/>
          </w:tcPr>
          <w:p>
            <w:pPr>
              <w:pStyle w:val="TableParagraph"/>
              <w:ind w:right="421"/>
              <w:jc w:val="right"/>
              <w:rPr>
                <w:sz w:val="17"/>
              </w:rPr>
            </w:pPr>
            <w:r>
              <w:rPr>
                <w:color w:val="231F20"/>
                <w:w w:val="105"/>
                <w:sz w:val="17"/>
              </w:rPr>
              <w:t>2.7</w:t>
            </w:r>
          </w:p>
        </w:tc>
      </w:tr>
      <w:tr>
        <w:trPr>
          <w:trHeight w:val="210" w:hRule="exact"/>
        </w:trPr>
        <w:tc>
          <w:tcPr>
            <w:tcW w:w="2007" w:type="dxa"/>
          </w:tcPr>
          <w:p>
            <w:pPr>
              <w:pStyle w:val="TableParagraph"/>
              <w:ind w:left="35"/>
              <w:jc w:val="left"/>
              <w:rPr>
                <w:sz w:val="17"/>
              </w:rPr>
            </w:pPr>
            <w:r>
              <w:rPr>
                <w:color w:val="231F20"/>
                <w:w w:val="110"/>
                <w:sz w:val="17"/>
              </w:rPr>
              <w:t>Baja California</w:t>
            </w:r>
          </w:p>
        </w:tc>
        <w:tc>
          <w:tcPr>
            <w:tcW w:w="1294" w:type="dxa"/>
          </w:tcPr>
          <w:p>
            <w:pPr>
              <w:pStyle w:val="TableParagraph"/>
              <w:ind w:left="455" w:right="466"/>
              <w:rPr>
                <w:sz w:val="17"/>
              </w:rPr>
            </w:pPr>
            <w:r>
              <w:rPr>
                <w:color w:val="231F20"/>
                <w:w w:val="105"/>
                <w:sz w:val="17"/>
              </w:rPr>
              <w:t>24.7</w:t>
            </w:r>
          </w:p>
        </w:tc>
        <w:tc>
          <w:tcPr>
            <w:tcW w:w="1296" w:type="dxa"/>
          </w:tcPr>
          <w:p>
            <w:pPr>
              <w:pStyle w:val="TableParagraph"/>
              <w:ind w:left="466" w:right="454"/>
              <w:rPr>
                <w:sz w:val="17"/>
              </w:rPr>
            </w:pPr>
            <w:r>
              <w:rPr>
                <w:color w:val="231F20"/>
                <w:w w:val="105"/>
                <w:sz w:val="17"/>
              </w:rPr>
              <w:t>26.5</w:t>
            </w:r>
          </w:p>
        </w:tc>
        <w:tc>
          <w:tcPr>
            <w:tcW w:w="1273" w:type="dxa"/>
          </w:tcPr>
          <w:p>
            <w:pPr>
              <w:pStyle w:val="TableParagraph"/>
              <w:ind w:left="454" w:right="443"/>
              <w:rPr>
                <w:sz w:val="17"/>
              </w:rPr>
            </w:pPr>
            <w:r>
              <w:rPr>
                <w:color w:val="231F20"/>
                <w:w w:val="105"/>
                <w:sz w:val="17"/>
              </w:rPr>
              <w:t>22.8</w:t>
            </w:r>
          </w:p>
        </w:tc>
        <w:tc>
          <w:tcPr>
            <w:tcW w:w="1125" w:type="dxa"/>
          </w:tcPr>
          <w:p>
            <w:pPr>
              <w:pStyle w:val="TableParagraph"/>
              <w:ind w:right="421"/>
              <w:jc w:val="right"/>
              <w:rPr>
                <w:sz w:val="17"/>
              </w:rPr>
            </w:pPr>
            <w:r>
              <w:rPr>
                <w:color w:val="231F20"/>
                <w:w w:val="105"/>
                <w:sz w:val="17"/>
              </w:rPr>
              <w:t>3.7</w:t>
            </w:r>
          </w:p>
        </w:tc>
      </w:tr>
      <w:tr>
        <w:trPr>
          <w:trHeight w:val="210" w:hRule="exact"/>
        </w:trPr>
        <w:tc>
          <w:tcPr>
            <w:tcW w:w="2007" w:type="dxa"/>
          </w:tcPr>
          <w:p>
            <w:pPr>
              <w:pStyle w:val="TableParagraph"/>
              <w:ind w:left="35"/>
              <w:jc w:val="left"/>
              <w:rPr>
                <w:sz w:val="17"/>
              </w:rPr>
            </w:pPr>
            <w:r>
              <w:rPr>
                <w:color w:val="231F20"/>
                <w:w w:val="110"/>
                <w:sz w:val="17"/>
              </w:rPr>
              <w:t>Baja California Sur</w:t>
            </w:r>
          </w:p>
        </w:tc>
        <w:tc>
          <w:tcPr>
            <w:tcW w:w="1294" w:type="dxa"/>
          </w:tcPr>
          <w:p>
            <w:pPr>
              <w:pStyle w:val="TableParagraph"/>
              <w:ind w:left="455" w:right="466"/>
              <w:rPr>
                <w:sz w:val="17"/>
              </w:rPr>
            </w:pPr>
            <w:r>
              <w:rPr>
                <w:color w:val="231F20"/>
                <w:w w:val="105"/>
                <w:sz w:val="17"/>
              </w:rPr>
              <w:t>24.4</w:t>
            </w:r>
          </w:p>
        </w:tc>
        <w:tc>
          <w:tcPr>
            <w:tcW w:w="1296" w:type="dxa"/>
          </w:tcPr>
          <w:p>
            <w:pPr>
              <w:pStyle w:val="TableParagraph"/>
              <w:ind w:left="466" w:right="454"/>
              <w:rPr>
                <w:sz w:val="17"/>
              </w:rPr>
            </w:pPr>
            <w:r>
              <w:rPr>
                <w:color w:val="231F20"/>
                <w:w w:val="105"/>
                <w:sz w:val="17"/>
              </w:rPr>
              <w:t>25.9</w:t>
            </w:r>
          </w:p>
        </w:tc>
        <w:tc>
          <w:tcPr>
            <w:tcW w:w="1273" w:type="dxa"/>
          </w:tcPr>
          <w:p>
            <w:pPr>
              <w:pStyle w:val="TableParagraph"/>
              <w:ind w:left="454" w:right="443"/>
              <w:rPr>
                <w:sz w:val="17"/>
              </w:rPr>
            </w:pPr>
            <w:r>
              <w:rPr>
                <w:color w:val="231F20"/>
                <w:w w:val="105"/>
                <w:sz w:val="17"/>
              </w:rPr>
              <w:t>22.6</w:t>
            </w:r>
          </w:p>
        </w:tc>
        <w:tc>
          <w:tcPr>
            <w:tcW w:w="1125" w:type="dxa"/>
          </w:tcPr>
          <w:p>
            <w:pPr>
              <w:pStyle w:val="TableParagraph"/>
              <w:ind w:right="421"/>
              <w:jc w:val="right"/>
              <w:rPr>
                <w:sz w:val="17"/>
              </w:rPr>
            </w:pPr>
            <w:r>
              <w:rPr>
                <w:color w:val="231F20"/>
                <w:w w:val="105"/>
                <w:sz w:val="17"/>
              </w:rPr>
              <w:t>3.3</w:t>
            </w:r>
          </w:p>
        </w:tc>
      </w:tr>
      <w:tr>
        <w:trPr>
          <w:trHeight w:val="210" w:hRule="exact"/>
        </w:trPr>
        <w:tc>
          <w:tcPr>
            <w:tcW w:w="2007" w:type="dxa"/>
          </w:tcPr>
          <w:p>
            <w:pPr>
              <w:pStyle w:val="TableParagraph"/>
              <w:ind w:left="35"/>
              <w:jc w:val="left"/>
              <w:rPr>
                <w:sz w:val="17"/>
              </w:rPr>
            </w:pPr>
            <w:r>
              <w:rPr>
                <w:color w:val="231F20"/>
                <w:w w:val="110"/>
                <w:sz w:val="17"/>
              </w:rPr>
              <w:t>Campeche</w:t>
            </w:r>
          </w:p>
        </w:tc>
        <w:tc>
          <w:tcPr>
            <w:tcW w:w="1294" w:type="dxa"/>
          </w:tcPr>
          <w:p>
            <w:pPr>
              <w:pStyle w:val="TableParagraph"/>
              <w:ind w:left="455" w:right="466"/>
              <w:rPr>
                <w:sz w:val="17"/>
              </w:rPr>
            </w:pPr>
            <w:r>
              <w:rPr>
                <w:color w:val="231F20"/>
                <w:w w:val="105"/>
                <w:sz w:val="17"/>
              </w:rPr>
              <w:t>24.4</w:t>
            </w:r>
          </w:p>
        </w:tc>
        <w:tc>
          <w:tcPr>
            <w:tcW w:w="1296" w:type="dxa"/>
          </w:tcPr>
          <w:p>
            <w:pPr>
              <w:pStyle w:val="TableParagraph"/>
              <w:ind w:left="466" w:right="454"/>
              <w:rPr>
                <w:sz w:val="17"/>
              </w:rPr>
            </w:pPr>
            <w:r>
              <w:rPr>
                <w:color w:val="231F20"/>
                <w:w w:val="105"/>
                <w:sz w:val="17"/>
              </w:rPr>
              <w:t>25.7</w:t>
            </w:r>
          </w:p>
        </w:tc>
        <w:tc>
          <w:tcPr>
            <w:tcW w:w="1273" w:type="dxa"/>
          </w:tcPr>
          <w:p>
            <w:pPr>
              <w:pStyle w:val="TableParagraph"/>
              <w:ind w:left="454" w:right="443"/>
              <w:rPr>
                <w:sz w:val="17"/>
              </w:rPr>
            </w:pPr>
            <w:r>
              <w:rPr>
                <w:color w:val="231F20"/>
                <w:w w:val="105"/>
                <w:sz w:val="17"/>
              </w:rPr>
              <w:t>23.2</w:t>
            </w:r>
          </w:p>
        </w:tc>
        <w:tc>
          <w:tcPr>
            <w:tcW w:w="1125" w:type="dxa"/>
          </w:tcPr>
          <w:p>
            <w:pPr>
              <w:pStyle w:val="TableParagraph"/>
              <w:ind w:right="421"/>
              <w:jc w:val="right"/>
              <w:rPr>
                <w:sz w:val="17"/>
              </w:rPr>
            </w:pPr>
            <w:r>
              <w:rPr>
                <w:color w:val="231F20"/>
                <w:w w:val="105"/>
                <w:sz w:val="17"/>
              </w:rPr>
              <w:t>2.5</w:t>
            </w:r>
          </w:p>
        </w:tc>
      </w:tr>
      <w:tr>
        <w:trPr>
          <w:trHeight w:val="210" w:hRule="exact"/>
        </w:trPr>
        <w:tc>
          <w:tcPr>
            <w:tcW w:w="2007" w:type="dxa"/>
          </w:tcPr>
          <w:p>
            <w:pPr>
              <w:pStyle w:val="TableParagraph"/>
              <w:ind w:left="35"/>
              <w:jc w:val="left"/>
              <w:rPr>
                <w:sz w:val="17"/>
              </w:rPr>
            </w:pPr>
            <w:r>
              <w:rPr>
                <w:color w:val="231F20"/>
                <w:w w:val="110"/>
                <w:sz w:val="17"/>
              </w:rPr>
              <w:t>Coahuila</w:t>
            </w:r>
          </w:p>
        </w:tc>
        <w:tc>
          <w:tcPr>
            <w:tcW w:w="1294" w:type="dxa"/>
          </w:tcPr>
          <w:p>
            <w:pPr>
              <w:pStyle w:val="TableParagraph"/>
              <w:ind w:left="455" w:right="466"/>
              <w:rPr>
                <w:sz w:val="17"/>
              </w:rPr>
            </w:pPr>
            <w:r>
              <w:rPr>
                <w:color w:val="231F20"/>
                <w:w w:val="105"/>
                <w:sz w:val="17"/>
              </w:rPr>
              <w:t>24.4</w:t>
            </w:r>
          </w:p>
        </w:tc>
        <w:tc>
          <w:tcPr>
            <w:tcW w:w="1296" w:type="dxa"/>
          </w:tcPr>
          <w:p>
            <w:pPr>
              <w:pStyle w:val="TableParagraph"/>
              <w:ind w:left="466" w:right="454"/>
              <w:rPr>
                <w:sz w:val="17"/>
              </w:rPr>
            </w:pPr>
            <w:r>
              <w:rPr>
                <w:color w:val="231F20"/>
                <w:w w:val="105"/>
                <w:sz w:val="17"/>
              </w:rPr>
              <w:t>26.0</w:t>
            </w:r>
          </w:p>
        </w:tc>
        <w:tc>
          <w:tcPr>
            <w:tcW w:w="1273" w:type="dxa"/>
          </w:tcPr>
          <w:p>
            <w:pPr>
              <w:pStyle w:val="TableParagraph"/>
              <w:ind w:left="454" w:right="443"/>
              <w:rPr>
                <w:sz w:val="17"/>
              </w:rPr>
            </w:pPr>
            <w:r>
              <w:rPr>
                <w:color w:val="231F20"/>
                <w:w w:val="105"/>
                <w:sz w:val="17"/>
              </w:rPr>
              <w:t>22.7</w:t>
            </w:r>
          </w:p>
        </w:tc>
        <w:tc>
          <w:tcPr>
            <w:tcW w:w="1125" w:type="dxa"/>
          </w:tcPr>
          <w:p>
            <w:pPr>
              <w:pStyle w:val="TableParagraph"/>
              <w:ind w:right="421"/>
              <w:jc w:val="right"/>
              <w:rPr>
                <w:sz w:val="17"/>
              </w:rPr>
            </w:pPr>
            <w:r>
              <w:rPr>
                <w:color w:val="231F20"/>
                <w:w w:val="105"/>
                <w:sz w:val="17"/>
              </w:rPr>
              <w:t>3.3</w:t>
            </w:r>
          </w:p>
        </w:tc>
      </w:tr>
      <w:tr>
        <w:trPr>
          <w:trHeight w:val="210" w:hRule="exact"/>
        </w:trPr>
        <w:tc>
          <w:tcPr>
            <w:tcW w:w="2007" w:type="dxa"/>
          </w:tcPr>
          <w:p>
            <w:pPr>
              <w:pStyle w:val="TableParagraph"/>
              <w:ind w:left="35"/>
              <w:jc w:val="left"/>
              <w:rPr>
                <w:sz w:val="17"/>
              </w:rPr>
            </w:pPr>
            <w:r>
              <w:rPr>
                <w:color w:val="231F20"/>
                <w:w w:val="110"/>
                <w:sz w:val="17"/>
              </w:rPr>
              <w:t>Colima</w:t>
            </w:r>
          </w:p>
        </w:tc>
        <w:tc>
          <w:tcPr>
            <w:tcW w:w="1294" w:type="dxa"/>
          </w:tcPr>
          <w:p>
            <w:pPr>
              <w:pStyle w:val="TableParagraph"/>
              <w:ind w:left="455" w:right="466"/>
              <w:rPr>
                <w:sz w:val="17"/>
              </w:rPr>
            </w:pPr>
            <w:r>
              <w:rPr>
                <w:color w:val="231F20"/>
                <w:w w:val="105"/>
                <w:sz w:val="17"/>
              </w:rPr>
              <w:t>25.7</w:t>
            </w:r>
          </w:p>
        </w:tc>
        <w:tc>
          <w:tcPr>
            <w:tcW w:w="1296" w:type="dxa"/>
          </w:tcPr>
          <w:p>
            <w:pPr>
              <w:pStyle w:val="TableParagraph"/>
              <w:ind w:left="466" w:right="454"/>
              <w:rPr>
                <w:sz w:val="17"/>
              </w:rPr>
            </w:pPr>
            <w:r>
              <w:rPr>
                <w:color w:val="231F20"/>
                <w:w w:val="105"/>
                <w:sz w:val="17"/>
              </w:rPr>
              <w:t>27.1</w:t>
            </w:r>
          </w:p>
        </w:tc>
        <w:tc>
          <w:tcPr>
            <w:tcW w:w="1273" w:type="dxa"/>
          </w:tcPr>
          <w:p>
            <w:pPr>
              <w:pStyle w:val="TableParagraph"/>
              <w:ind w:left="454" w:right="443"/>
              <w:rPr>
                <w:sz w:val="17"/>
              </w:rPr>
            </w:pPr>
            <w:r>
              <w:rPr>
                <w:color w:val="231F20"/>
                <w:w w:val="105"/>
                <w:sz w:val="17"/>
              </w:rPr>
              <w:t>24.4</w:t>
            </w:r>
          </w:p>
        </w:tc>
        <w:tc>
          <w:tcPr>
            <w:tcW w:w="1125" w:type="dxa"/>
          </w:tcPr>
          <w:p>
            <w:pPr>
              <w:pStyle w:val="TableParagraph"/>
              <w:ind w:right="421"/>
              <w:jc w:val="right"/>
              <w:rPr>
                <w:sz w:val="17"/>
              </w:rPr>
            </w:pPr>
            <w:r>
              <w:rPr>
                <w:color w:val="231F20"/>
                <w:w w:val="105"/>
                <w:sz w:val="17"/>
              </w:rPr>
              <w:t>2.7</w:t>
            </w:r>
          </w:p>
        </w:tc>
      </w:tr>
      <w:tr>
        <w:trPr>
          <w:trHeight w:val="210" w:hRule="exact"/>
        </w:trPr>
        <w:tc>
          <w:tcPr>
            <w:tcW w:w="2007" w:type="dxa"/>
          </w:tcPr>
          <w:p>
            <w:pPr>
              <w:pStyle w:val="TableParagraph"/>
              <w:ind w:left="35"/>
              <w:jc w:val="left"/>
              <w:rPr>
                <w:sz w:val="17"/>
              </w:rPr>
            </w:pPr>
            <w:r>
              <w:rPr>
                <w:color w:val="231F20"/>
                <w:w w:val="115"/>
                <w:sz w:val="17"/>
              </w:rPr>
              <w:t>Chiapas</w:t>
            </w:r>
          </w:p>
        </w:tc>
        <w:tc>
          <w:tcPr>
            <w:tcW w:w="1294" w:type="dxa"/>
          </w:tcPr>
          <w:p>
            <w:pPr>
              <w:pStyle w:val="TableParagraph"/>
              <w:ind w:left="455" w:right="466"/>
              <w:rPr>
                <w:sz w:val="17"/>
              </w:rPr>
            </w:pPr>
            <w:r>
              <w:rPr>
                <w:color w:val="231F20"/>
                <w:w w:val="105"/>
                <w:sz w:val="17"/>
              </w:rPr>
              <w:t>23.8</w:t>
            </w:r>
          </w:p>
        </w:tc>
        <w:tc>
          <w:tcPr>
            <w:tcW w:w="1296" w:type="dxa"/>
          </w:tcPr>
          <w:p>
            <w:pPr>
              <w:pStyle w:val="TableParagraph"/>
              <w:ind w:left="466" w:right="454"/>
              <w:rPr>
                <w:sz w:val="17"/>
              </w:rPr>
            </w:pPr>
            <w:r>
              <w:rPr>
                <w:color w:val="231F20"/>
                <w:w w:val="105"/>
                <w:sz w:val="17"/>
              </w:rPr>
              <w:t>25.8</w:t>
            </w:r>
          </w:p>
        </w:tc>
        <w:tc>
          <w:tcPr>
            <w:tcW w:w="1273" w:type="dxa"/>
          </w:tcPr>
          <w:p>
            <w:pPr>
              <w:pStyle w:val="TableParagraph"/>
              <w:ind w:left="454" w:right="443"/>
              <w:rPr>
                <w:sz w:val="17"/>
              </w:rPr>
            </w:pPr>
            <w:r>
              <w:rPr>
                <w:color w:val="231F20"/>
                <w:w w:val="105"/>
                <w:sz w:val="17"/>
              </w:rPr>
              <w:t>21.8</w:t>
            </w:r>
          </w:p>
        </w:tc>
        <w:tc>
          <w:tcPr>
            <w:tcW w:w="1125" w:type="dxa"/>
          </w:tcPr>
          <w:p>
            <w:pPr>
              <w:pStyle w:val="TableParagraph"/>
              <w:ind w:right="421"/>
              <w:jc w:val="right"/>
              <w:rPr>
                <w:sz w:val="17"/>
              </w:rPr>
            </w:pPr>
            <w:r>
              <w:rPr>
                <w:color w:val="231F20"/>
                <w:w w:val="105"/>
                <w:sz w:val="17"/>
              </w:rPr>
              <w:t>4.0</w:t>
            </w:r>
          </w:p>
        </w:tc>
      </w:tr>
      <w:tr>
        <w:trPr>
          <w:trHeight w:val="210" w:hRule="exact"/>
        </w:trPr>
        <w:tc>
          <w:tcPr>
            <w:tcW w:w="2007" w:type="dxa"/>
          </w:tcPr>
          <w:p>
            <w:pPr>
              <w:pStyle w:val="TableParagraph"/>
              <w:ind w:left="35"/>
              <w:jc w:val="left"/>
              <w:rPr>
                <w:sz w:val="17"/>
              </w:rPr>
            </w:pPr>
            <w:r>
              <w:rPr>
                <w:color w:val="231F20"/>
                <w:w w:val="115"/>
                <w:sz w:val="17"/>
              </w:rPr>
              <w:t>Chihuahua</w:t>
            </w:r>
          </w:p>
        </w:tc>
        <w:tc>
          <w:tcPr>
            <w:tcW w:w="1294" w:type="dxa"/>
          </w:tcPr>
          <w:p>
            <w:pPr>
              <w:pStyle w:val="TableParagraph"/>
              <w:ind w:left="455" w:right="466"/>
              <w:rPr>
                <w:sz w:val="17"/>
              </w:rPr>
            </w:pPr>
            <w:r>
              <w:rPr>
                <w:color w:val="231F20"/>
                <w:w w:val="105"/>
                <w:sz w:val="17"/>
              </w:rPr>
              <w:t>25.0</w:t>
            </w:r>
          </w:p>
        </w:tc>
        <w:tc>
          <w:tcPr>
            <w:tcW w:w="1296" w:type="dxa"/>
          </w:tcPr>
          <w:p>
            <w:pPr>
              <w:pStyle w:val="TableParagraph"/>
              <w:ind w:left="466" w:right="454"/>
              <w:rPr>
                <w:sz w:val="17"/>
              </w:rPr>
            </w:pPr>
            <w:r>
              <w:rPr>
                <w:color w:val="231F20"/>
                <w:w w:val="105"/>
                <w:sz w:val="17"/>
              </w:rPr>
              <w:t>26.3</w:t>
            </w:r>
          </w:p>
        </w:tc>
        <w:tc>
          <w:tcPr>
            <w:tcW w:w="1273" w:type="dxa"/>
          </w:tcPr>
          <w:p>
            <w:pPr>
              <w:pStyle w:val="TableParagraph"/>
              <w:ind w:left="454" w:right="443"/>
              <w:rPr>
                <w:sz w:val="17"/>
              </w:rPr>
            </w:pPr>
            <w:r>
              <w:rPr>
                <w:color w:val="231F20"/>
                <w:w w:val="105"/>
                <w:sz w:val="17"/>
              </w:rPr>
              <w:t>23.8</w:t>
            </w:r>
          </w:p>
        </w:tc>
        <w:tc>
          <w:tcPr>
            <w:tcW w:w="1125" w:type="dxa"/>
          </w:tcPr>
          <w:p>
            <w:pPr>
              <w:pStyle w:val="TableParagraph"/>
              <w:ind w:right="421"/>
              <w:jc w:val="right"/>
              <w:rPr>
                <w:sz w:val="17"/>
              </w:rPr>
            </w:pPr>
            <w:r>
              <w:rPr>
                <w:color w:val="231F20"/>
                <w:w w:val="105"/>
                <w:sz w:val="17"/>
              </w:rPr>
              <w:t>2.5</w:t>
            </w:r>
          </w:p>
        </w:tc>
      </w:tr>
      <w:tr>
        <w:trPr>
          <w:trHeight w:val="210" w:hRule="exact"/>
        </w:trPr>
        <w:tc>
          <w:tcPr>
            <w:tcW w:w="2007" w:type="dxa"/>
          </w:tcPr>
          <w:p>
            <w:pPr>
              <w:pStyle w:val="TableParagraph"/>
              <w:ind w:left="35"/>
              <w:jc w:val="left"/>
              <w:rPr>
                <w:sz w:val="17"/>
              </w:rPr>
            </w:pPr>
            <w:r>
              <w:rPr>
                <w:color w:val="231F20"/>
                <w:w w:val="105"/>
                <w:sz w:val="17"/>
              </w:rPr>
              <w:t>Distrito Federal</w:t>
            </w:r>
          </w:p>
        </w:tc>
        <w:tc>
          <w:tcPr>
            <w:tcW w:w="1294" w:type="dxa"/>
          </w:tcPr>
          <w:p>
            <w:pPr>
              <w:pStyle w:val="TableParagraph"/>
              <w:ind w:left="455" w:right="466"/>
              <w:rPr>
                <w:sz w:val="17"/>
              </w:rPr>
            </w:pPr>
            <w:r>
              <w:rPr>
                <w:color w:val="231F20"/>
                <w:w w:val="105"/>
                <w:sz w:val="17"/>
              </w:rPr>
              <w:t>27.0</w:t>
            </w:r>
          </w:p>
        </w:tc>
        <w:tc>
          <w:tcPr>
            <w:tcW w:w="1296" w:type="dxa"/>
          </w:tcPr>
          <w:p>
            <w:pPr>
              <w:pStyle w:val="TableParagraph"/>
              <w:ind w:left="466" w:right="454"/>
              <w:rPr>
                <w:sz w:val="17"/>
              </w:rPr>
            </w:pPr>
            <w:r>
              <w:rPr>
                <w:color w:val="231F20"/>
                <w:w w:val="105"/>
                <w:sz w:val="17"/>
              </w:rPr>
              <w:t>28.5</w:t>
            </w:r>
          </w:p>
        </w:tc>
        <w:tc>
          <w:tcPr>
            <w:tcW w:w="1273" w:type="dxa"/>
          </w:tcPr>
          <w:p>
            <w:pPr>
              <w:pStyle w:val="TableParagraph"/>
              <w:ind w:left="454" w:right="443"/>
              <w:rPr>
                <w:sz w:val="17"/>
              </w:rPr>
            </w:pPr>
            <w:r>
              <w:rPr>
                <w:color w:val="231F20"/>
                <w:w w:val="105"/>
                <w:sz w:val="17"/>
              </w:rPr>
              <w:t>25.5</w:t>
            </w:r>
          </w:p>
        </w:tc>
        <w:tc>
          <w:tcPr>
            <w:tcW w:w="1125" w:type="dxa"/>
          </w:tcPr>
          <w:p>
            <w:pPr>
              <w:pStyle w:val="TableParagraph"/>
              <w:ind w:right="421"/>
              <w:jc w:val="right"/>
              <w:rPr>
                <w:sz w:val="17"/>
              </w:rPr>
            </w:pPr>
            <w:r>
              <w:rPr>
                <w:color w:val="231F20"/>
                <w:w w:val="105"/>
                <w:sz w:val="17"/>
              </w:rPr>
              <w:t>3.0</w:t>
            </w:r>
          </w:p>
        </w:tc>
      </w:tr>
      <w:tr>
        <w:trPr>
          <w:trHeight w:val="210" w:hRule="exact"/>
        </w:trPr>
        <w:tc>
          <w:tcPr>
            <w:tcW w:w="2007" w:type="dxa"/>
          </w:tcPr>
          <w:p>
            <w:pPr>
              <w:pStyle w:val="TableParagraph"/>
              <w:ind w:left="35"/>
              <w:jc w:val="left"/>
              <w:rPr>
                <w:sz w:val="17"/>
              </w:rPr>
            </w:pPr>
            <w:r>
              <w:rPr>
                <w:color w:val="231F20"/>
                <w:w w:val="110"/>
                <w:sz w:val="17"/>
              </w:rPr>
              <w:t>Durango</w:t>
            </w:r>
          </w:p>
        </w:tc>
        <w:tc>
          <w:tcPr>
            <w:tcW w:w="1294" w:type="dxa"/>
          </w:tcPr>
          <w:p>
            <w:pPr>
              <w:pStyle w:val="TableParagraph"/>
              <w:ind w:left="455" w:right="466"/>
              <w:rPr>
                <w:sz w:val="17"/>
              </w:rPr>
            </w:pPr>
            <w:r>
              <w:rPr>
                <w:color w:val="231F20"/>
                <w:w w:val="105"/>
                <w:sz w:val="17"/>
              </w:rPr>
              <w:t>24.4</w:t>
            </w:r>
          </w:p>
        </w:tc>
        <w:tc>
          <w:tcPr>
            <w:tcW w:w="1296" w:type="dxa"/>
          </w:tcPr>
          <w:p>
            <w:pPr>
              <w:pStyle w:val="TableParagraph"/>
              <w:ind w:left="466" w:right="454"/>
              <w:rPr>
                <w:sz w:val="17"/>
              </w:rPr>
            </w:pPr>
            <w:r>
              <w:rPr>
                <w:color w:val="231F20"/>
                <w:w w:val="105"/>
                <w:sz w:val="17"/>
              </w:rPr>
              <w:t>25.4</w:t>
            </w:r>
          </w:p>
        </w:tc>
        <w:tc>
          <w:tcPr>
            <w:tcW w:w="1273" w:type="dxa"/>
          </w:tcPr>
          <w:p>
            <w:pPr>
              <w:pStyle w:val="TableParagraph"/>
              <w:ind w:left="454" w:right="443"/>
              <w:rPr>
                <w:sz w:val="17"/>
              </w:rPr>
            </w:pPr>
            <w:r>
              <w:rPr>
                <w:color w:val="231F20"/>
                <w:w w:val="105"/>
                <w:sz w:val="17"/>
              </w:rPr>
              <w:t>23.4</w:t>
            </w:r>
          </w:p>
        </w:tc>
        <w:tc>
          <w:tcPr>
            <w:tcW w:w="1125" w:type="dxa"/>
          </w:tcPr>
          <w:p>
            <w:pPr>
              <w:pStyle w:val="TableParagraph"/>
              <w:ind w:right="421"/>
              <w:jc w:val="right"/>
              <w:rPr>
                <w:sz w:val="17"/>
              </w:rPr>
            </w:pPr>
            <w:r>
              <w:rPr>
                <w:color w:val="231F20"/>
                <w:w w:val="105"/>
                <w:sz w:val="17"/>
              </w:rPr>
              <w:t>2.0</w:t>
            </w:r>
          </w:p>
        </w:tc>
      </w:tr>
      <w:tr>
        <w:trPr>
          <w:trHeight w:val="210" w:hRule="exact"/>
        </w:trPr>
        <w:tc>
          <w:tcPr>
            <w:tcW w:w="2007" w:type="dxa"/>
          </w:tcPr>
          <w:p>
            <w:pPr>
              <w:pStyle w:val="TableParagraph"/>
              <w:ind w:left="35"/>
              <w:jc w:val="left"/>
              <w:rPr>
                <w:sz w:val="17"/>
              </w:rPr>
            </w:pPr>
            <w:r>
              <w:rPr>
                <w:color w:val="231F20"/>
                <w:w w:val="110"/>
                <w:sz w:val="17"/>
              </w:rPr>
              <w:t>Guanajuato</w:t>
            </w:r>
          </w:p>
        </w:tc>
        <w:tc>
          <w:tcPr>
            <w:tcW w:w="1294" w:type="dxa"/>
          </w:tcPr>
          <w:p>
            <w:pPr>
              <w:pStyle w:val="TableParagraph"/>
              <w:ind w:left="455" w:right="466"/>
              <w:rPr>
                <w:sz w:val="17"/>
              </w:rPr>
            </w:pPr>
            <w:r>
              <w:rPr>
                <w:color w:val="231F20"/>
                <w:w w:val="105"/>
                <w:sz w:val="17"/>
              </w:rPr>
              <w:t>25.2</w:t>
            </w:r>
          </w:p>
        </w:tc>
        <w:tc>
          <w:tcPr>
            <w:tcW w:w="1296" w:type="dxa"/>
          </w:tcPr>
          <w:p>
            <w:pPr>
              <w:pStyle w:val="TableParagraph"/>
              <w:ind w:left="466" w:right="454"/>
              <w:rPr>
                <w:sz w:val="17"/>
              </w:rPr>
            </w:pPr>
            <w:r>
              <w:rPr>
                <w:color w:val="231F20"/>
                <w:w w:val="105"/>
                <w:sz w:val="17"/>
              </w:rPr>
              <w:t>25.8</w:t>
            </w:r>
          </w:p>
        </w:tc>
        <w:tc>
          <w:tcPr>
            <w:tcW w:w="1273" w:type="dxa"/>
          </w:tcPr>
          <w:p>
            <w:pPr>
              <w:pStyle w:val="TableParagraph"/>
              <w:ind w:left="454" w:right="443"/>
              <w:rPr>
                <w:sz w:val="17"/>
              </w:rPr>
            </w:pPr>
            <w:r>
              <w:rPr>
                <w:color w:val="231F20"/>
                <w:w w:val="105"/>
                <w:sz w:val="17"/>
              </w:rPr>
              <w:t>24.6</w:t>
            </w:r>
          </w:p>
        </w:tc>
        <w:tc>
          <w:tcPr>
            <w:tcW w:w="1125" w:type="dxa"/>
          </w:tcPr>
          <w:p>
            <w:pPr>
              <w:pStyle w:val="TableParagraph"/>
              <w:ind w:right="421"/>
              <w:jc w:val="right"/>
              <w:rPr>
                <w:sz w:val="17"/>
              </w:rPr>
            </w:pPr>
            <w:r>
              <w:rPr>
                <w:color w:val="231F20"/>
                <w:w w:val="105"/>
                <w:sz w:val="17"/>
              </w:rPr>
              <w:t>1.2</w:t>
            </w:r>
          </w:p>
        </w:tc>
      </w:tr>
      <w:tr>
        <w:trPr>
          <w:trHeight w:val="210" w:hRule="exact"/>
        </w:trPr>
        <w:tc>
          <w:tcPr>
            <w:tcW w:w="2007" w:type="dxa"/>
          </w:tcPr>
          <w:p>
            <w:pPr>
              <w:pStyle w:val="TableParagraph"/>
              <w:ind w:left="35"/>
              <w:jc w:val="left"/>
              <w:rPr>
                <w:sz w:val="17"/>
              </w:rPr>
            </w:pPr>
            <w:r>
              <w:rPr>
                <w:color w:val="231F20"/>
                <w:w w:val="110"/>
                <w:sz w:val="17"/>
              </w:rPr>
              <w:t>Guerrero</w:t>
            </w:r>
          </w:p>
        </w:tc>
        <w:tc>
          <w:tcPr>
            <w:tcW w:w="1294" w:type="dxa"/>
          </w:tcPr>
          <w:p>
            <w:pPr>
              <w:pStyle w:val="TableParagraph"/>
              <w:ind w:left="455" w:right="466"/>
              <w:rPr>
                <w:sz w:val="17"/>
              </w:rPr>
            </w:pPr>
            <w:r>
              <w:rPr>
                <w:color w:val="231F20"/>
                <w:w w:val="105"/>
                <w:sz w:val="17"/>
              </w:rPr>
              <w:t>24.6</w:t>
            </w:r>
          </w:p>
        </w:tc>
        <w:tc>
          <w:tcPr>
            <w:tcW w:w="1296" w:type="dxa"/>
          </w:tcPr>
          <w:p>
            <w:pPr>
              <w:pStyle w:val="TableParagraph"/>
              <w:ind w:left="466" w:right="454"/>
              <w:rPr>
                <w:sz w:val="17"/>
              </w:rPr>
            </w:pPr>
            <w:r>
              <w:rPr>
                <w:color w:val="231F20"/>
                <w:w w:val="105"/>
                <w:sz w:val="17"/>
              </w:rPr>
              <w:t>25.9</w:t>
            </w:r>
          </w:p>
        </w:tc>
        <w:tc>
          <w:tcPr>
            <w:tcW w:w="1273" w:type="dxa"/>
          </w:tcPr>
          <w:p>
            <w:pPr>
              <w:pStyle w:val="TableParagraph"/>
              <w:ind w:left="454" w:right="443"/>
              <w:rPr>
                <w:sz w:val="17"/>
              </w:rPr>
            </w:pPr>
            <w:r>
              <w:rPr>
                <w:color w:val="231F20"/>
                <w:w w:val="105"/>
                <w:sz w:val="17"/>
              </w:rPr>
              <w:t>23.5</w:t>
            </w:r>
          </w:p>
        </w:tc>
        <w:tc>
          <w:tcPr>
            <w:tcW w:w="1125" w:type="dxa"/>
          </w:tcPr>
          <w:p>
            <w:pPr>
              <w:pStyle w:val="TableParagraph"/>
              <w:ind w:right="421"/>
              <w:jc w:val="right"/>
              <w:rPr>
                <w:sz w:val="17"/>
              </w:rPr>
            </w:pPr>
            <w:r>
              <w:rPr>
                <w:color w:val="231F20"/>
                <w:w w:val="105"/>
                <w:sz w:val="17"/>
              </w:rPr>
              <w:t>2.4</w:t>
            </w:r>
          </w:p>
        </w:tc>
      </w:tr>
      <w:tr>
        <w:trPr>
          <w:trHeight w:val="210" w:hRule="exact"/>
        </w:trPr>
        <w:tc>
          <w:tcPr>
            <w:tcW w:w="2007" w:type="dxa"/>
          </w:tcPr>
          <w:p>
            <w:pPr>
              <w:pStyle w:val="TableParagraph"/>
              <w:ind w:left="35"/>
              <w:jc w:val="left"/>
              <w:rPr>
                <w:sz w:val="17"/>
              </w:rPr>
            </w:pPr>
            <w:r>
              <w:rPr>
                <w:color w:val="231F20"/>
                <w:w w:val="110"/>
                <w:sz w:val="17"/>
              </w:rPr>
              <w:t>Hidalgo</w:t>
            </w:r>
          </w:p>
        </w:tc>
        <w:tc>
          <w:tcPr>
            <w:tcW w:w="1294" w:type="dxa"/>
          </w:tcPr>
          <w:p>
            <w:pPr>
              <w:pStyle w:val="TableParagraph"/>
              <w:ind w:left="455" w:right="466"/>
              <w:rPr>
                <w:sz w:val="17"/>
              </w:rPr>
            </w:pPr>
            <w:r>
              <w:rPr>
                <w:color w:val="231F20"/>
                <w:w w:val="105"/>
                <w:sz w:val="17"/>
              </w:rPr>
              <w:t>24.9</w:t>
            </w:r>
          </w:p>
        </w:tc>
        <w:tc>
          <w:tcPr>
            <w:tcW w:w="1296" w:type="dxa"/>
          </w:tcPr>
          <w:p>
            <w:pPr>
              <w:pStyle w:val="TableParagraph"/>
              <w:ind w:left="466" w:right="454"/>
              <w:rPr>
                <w:sz w:val="17"/>
              </w:rPr>
            </w:pPr>
            <w:r>
              <w:rPr>
                <w:color w:val="231F20"/>
                <w:w w:val="105"/>
                <w:sz w:val="17"/>
              </w:rPr>
              <w:t>26.7</w:t>
            </w:r>
          </w:p>
        </w:tc>
        <w:tc>
          <w:tcPr>
            <w:tcW w:w="1273" w:type="dxa"/>
          </w:tcPr>
          <w:p>
            <w:pPr>
              <w:pStyle w:val="TableParagraph"/>
              <w:ind w:left="454" w:right="443"/>
              <w:rPr>
                <w:sz w:val="17"/>
              </w:rPr>
            </w:pPr>
            <w:r>
              <w:rPr>
                <w:color w:val="231F20"/>
                <w:w w:val="105"/>
                <w:sz w:val="17"/>
              </w:rPr>
              <w:t>23.2</w:t>
            </w:r>
          </w:p>
        </w:tc>
        <w:tc>
          <w:tcPr>
            <w:tcW w:w="1125" w:type="dxa"/>
          </w:tcPr>
          <w:p>
            <w:pPr>
              <w:pStyle w:val="TableParagraph"/>
              <w:ind w:right="421"/>
              <w:jc w:val="right"/>
              <w:rPr>
                <w:sz w:val="17"/>
              </w:rPr>
            </w:pPr>
            <w:r>
              <w:rPr>
                <w:color w:val="231F20"/>
                <w:w w:val="105"/>
                <w:sz w:val="17"/>
              </w:rPr>
              <w:t>3.5</w:t>
            </w:r>
          </w:p>
        </w:tc>
      </w:tr>
      <w:tr>
        <w:trPr>
          <w:trHeight w:val="210" w:hRule="exact"/>
        </w:trPr>
        <w:tc>
          <w:tcPr>
            <w:tcW w:w="2007" w:type="dxa"/>
          </w:tcPr>
          <w:p>
            <w:pPr>
              <w:pStyle w:val="TableParagraph"/>
              <w:ind w:left="35"/>
              <w:jc w:val="left"/>
              <w:rPr>
                <w:sz w:val="17"/>
              </w:rPr>
            </w:pPr>
            <w:r>
              <w:rPr>
                <w:color w:val="231F20"/>
                <w:w w:val="115"/>
                <w:sz w:val="17"/>
              </w:rPr>
              <w:t>Jalisco</w:t>
            </w:r>
          </w:p>
        </w:tc>
        <w:tc>
          <w:tcPr>
            <w:tcW w:w="1294" w:type="dxa"/>
          </w:tcPr>
          <w:p>
            <w:pPr>
              <w:pStyle w:val="TableParagraph"/>
              <w:ind w:left="455" w:right="466"/>
              <w:rPr>
                <w:sz w:val="17"/>
              </w:rPr>
            </w:pPr>
            <w:r>
              <w:rPr>
                <w:color w:val="231F20"/>
                <w:w w:val="105"/>
                <w:sz w:val="17"/>
              </w:rPr>
              <w:t>25.0</w:t>
            </w:r>
          </w:p>
        </w:tc>
        <w:tc>
          <w:tcPr>
            <w:tcW w:w="1296" w:type="dxa"/>
          </w:tcPr>
          <w:p>
            <w:pPr>
              <w:pStyle w:val="TableParagraph"/>
              <w:ind w:left="466" w:right="454"/>
              <w:rPr>
                <w:sz w:val="17"/>
              </w:rPr>
            </w:pPr>
            <w:r>
              <w:rPr>
                <w:color w:val="231F20"/>
                <w:w w:val="105"/>
                <w:sz w:val="17"/>
              </w:rPr>
              <w:t>26.7</w:t>
            </w:r>
          </w:p>
        </w:tc>
        <w:tc>
          <w:tcPr>
            <w:tcW w:w="1273" w:type="dxa"/>
          </w:tcPr>
          <w:p>
            <w:pPr>
              <w:pStyle w:val="TableParagraph"/>
              <w:ind w:left="454" w:right="443"/>
              <w:rPr>
                <w:sz w:val="17"/>
              </w:rPr>
            </w:pPr>
            <w:r>
              <w:rPr>
                <w:color w:val="231F20"/>
                <w:w w:val="105"/>
                <w:sz w:val="17"/>
              </w:rPr>
              <w:t>23.3</w:t>
            </w:r>
          </w:p>
        </w:tc>
        <w:tc>
          <w:tcPr>
            <w:tcW w:w="1125" w:type="dxa"/>
          </w:tcPr>
          <w:p>
            <w:pPr>
              <w:pStyle w:val="TableParagraph"/>
              <w:ind w:right="421"/>
              <w:jc w:val="right"/>
              <w:rPr>
                <w:sz w:val="17"/>
              </w:rPr>
            </w:pPr>
            <w:r>
              <w:rPr>
                <w:color w:val="231F20"/>
                <w:w w:val="105"/>
                <w:sz w:val="17"/>
              </w:rPr>
              <w:t>3.4</w:t>
            </w:r>
          </w:p>
        </w:tc>
      </w:tr>
      <w:tr>
        <w:trPr>
          <w:trHeight w:val="210" w:hRule="exact"/>
        </w:trPr>
        <w:tc>
          <w:tcPr>
            <w:tcW w:w="2007" w:type="dxa"/>
          </w:tcPr>
          <w:p>
            <w:pPr>
              <w:pStyle w:val="TableParagraph"/>
              <w:ind w:left="35"/>
              <w:jc w:val="left"/>
              <w:rPr>
                <w:sz w:val="17"/>
              </w:rPr>
            </w:pPr>
            <w:r>
              <w:rPr>
                <w:color w:val="231F20"/>
                <w:w w:val="110"/>
                <w:sz w:val="17"/>
              </w:rPr>
              <w:t>México</w:t>
            </w:r>
          </w:p>
        </w:tc>
        <w:tc>
          <w:tcPr>
            <w:tcW w:w="1294" w:type="dxa"/>
          </w:tcPr>
          <w:p>
            <w:pPr>
              <w:pStyle w:val="TableParagraph"/>
              <w:ind w:left="455" w:right="466"/>
              <w:rPr>
                <w:sz w:val="17"/>
              </w:rPr>
            </w:pPr>
            <w:r>
              <w:rPr>
                <w:color w:val="231F20"/>
                <w:w w:val="105"/>
                <w:sz w:val="17"/>
              </w:rPr>
              <w:t>25.5</w:t>
            </w:r>
          </w:p>
        </w:tc>
        <w:tc>
          <w:tcPr>
            <w:tcW w:w="1296" w:type="dxa"/>
          </w:tcPr>
          <w:p>
            <w:pPr>
              <w:pStyle w:val="TableParagraph"/>
              <w:ind w:left="466" w:right="454"/>
              <w:rPr>
                <w:sz w:val="17"/>
              </w:rPr>
            </w:pPr>
            <w:r>
              <w:rPr>
                <w:color w:val="231F20"/>
                <w:w w:val="105"/>
                <w:sz w:val="17"/>
              </w:rPr>
              <w:t>26.8</w:t>
            </w:r>
          </w:p>
        </w:tc>
        <w:tc>
          <w:tcPr>
            <w:tcW w:w="1273" w:type="dxa"/>
          </w:tcPr>
          <w:p>
            <w:pPr>
              <w:pStyle w:val="TableParagraph"/>
              <w:ind w:left="454" w:right="443"/>
              <w:rPr>
                <w:sz w:val="17"/>
              </w:rPr>
            </w:pPr>
            <w:r>
              <w:rPr>
                <w:color w:val="231F20"/>
                <w:w w:val="105"/>
                <w:sz w:val="17"/>
              </w:rPr>
              <w:t>24.1</w:t>
            </w:r>
          </w:p>
        </w:tc>
        <w:tc>
          <w:tcPr>
            <w:tcW w:w="1125" w:type="dxa"/>
          </w:tcPr>
          <w:p>
            <w:pPr>
              <w:pStyle w:val="TableParagraph"/>
              <w:ind w:right="421"/>
              <w:jc w:val="right"/>
              <w:rPr>
                <w:sz w:val="17"/>
              </w:rPr>
            </w:pPr>
            <w:r>
              <w:rPr>
                <w:color w:val="231F20"/>
                <w:w w:val="105"/>
                <w:sz w:val="17"/>
              </w:rPr>
              <w:t>2.7</w:t>
            </w:r>
          </w:p>
        </w:tc>
      </w:tr>
      <w:tr>
        <w:trPr>
          <w:trHeight w:val="210" w:hRule="exact"/>
        </w:trPr>
        <w:tc>
          <w:tcPr>
            <w:tcW w:w="2007" w:type="dxa"/>
          </w:tcPr>
          <w:p>
            <w:pPr>
              <w:pStyle w:val="TableParagraph"/>
              <w:ind w:left="35"/>
              <w:jc w:val="left"/>
              <w:rPr>
                <w:sz w:val="17"/>
              </w:rPr>
            </w:pPr>
            <w:r>
              <w:rPr>
                <w:color w:val="231F20"/>
                <w:w w:val="110"/>
                <w:sz w:val="17"/>
              </w:rPr>
              <w:t>Michoacán</w:t>
            </w:r>
          </w:p>
        </w:tc>
        <w:tc>
          <w:tcPr>
            <w:tcW w:w="1294" w:type="dxa"/>
          </w:tcPr>
          <w:p>
            <w:pPr>
              <w:pStyle w:val="TableParagraph"/>
              <w:ind w:left="455" w:right="466"/>
              <w:rPr>
                <w:sz w:val="17"/>
              </w:rPr>
            </w:pPr>
            <w:r>
              <w:rPr>
                <w:color w:val="231F20"/>
                <w:w w:val="105"/>
                <w:sz w:val="17"/>
              </w:rPr>
              <w:t>25.3</w:t>
            </w:r>
          </w:p>
        </w:tc>
        <w:tc>
          <w:tcPr>
            <w:tcW w:w="1296" w:type="dxa"/>
          </w:tcPr>
          <w:p>
            <w:pPr>
              <w:pStyle w:val="TableParagraph"/>
              <w:ind w:left="466" w:right="454"/>
              <w:rPr>
                <w:sz w:val="17"/>
              </w:rPr>
            </w:pPr>
            <w:r>
              <w:rPr>
                <w:color w:val="231F20"/>
                <w:w w:val="105"/>
                <w:sz w:val="17"/>
              </w:rPr>
              <w:t>26.3</w:t>
            </w:r>
          </w:p>
        </w:tc>
        <w:tc>
          <w:tcPr>
            <w:tcW w:w="1273" w:type="dxa"/>
          </w:tcPr>
          <w:p>
            <w:pPr>
              <w:pStyle w:val="TableParagraph"/>
              <w:ind w:left="454" w:right="443"/>
              <w:rPr>
                <w:sz w:val="17"/>
              </w:rPr>
            </w:pPr>
            <w:r>
              <w:rPr>
                <w:color w:val="231F20"/>
                <w:w w:val="105"/>
                <w:sz w:val="17"/>
              </w:rPr>
              <w:t>24.5</w:t>
            </w:r>
          </w:p>
        </w:tc>
        <w:tc>
          <w:tcPr>
            <w:tcW w:w="1125" w:type="dxa"/>
          </w:tcPr>
          <w:p>
            <w:pPr>
              <w:pStyle w:val="TableParagraph"/>
              <w:ind w:right="421"/>
              <w:jc w:val="right"/>
              <w:rPr>
                <w:sz w:val="17"/>
              </w:rPr>
            </w:pPr>
            <w:r>
              <w:rPr>
                <w:color w:val="231F20"/>
                <w:w w:val="105"/>
                <w:sz w:val="17"/>
              </w:rPr>
              <w:t>1.8</w:t>
            </w:r>
          </w:p>
        </w:tc>
      </w:tr>
      <w:tr>
        <w:trPr>
          <w:trHeight w:val="210" w:hRule="exact"/>
        </w:trPr>
        <w:tc>
          <w:tcPr>
            <w:tcW w:w="2007" w:type="dxa"/>
          </w:tcPr>
          <w:p>
            <w:pPr>
              <w:pStyle w:val="TableParagraph"/>
              <w:ind w:left="35"/>
              <w:jc w:val="left"/>
              <w:rPr>
                <w:sz w:val="17"/>
              </w:rPr>
            </w:pPr>
            <w:r>
              <w:rPr>
                <w:color w:val="231F20"/>
                <w:w w:val="110"/>
                <w:sz w:val="17"/>
              </w:rPr>
              <w:t>Morelos</w:t>
            </w:r>
          </w:p>
        </w:tc>
        <w:tc>
          <w:tcPr>
            <w:tcW w:w="1294" w:type="dxa"/>
          </w:tcPr>
          <w:p>
            <w:pPr>
              <w:pStyle w:val="TableParagraph"/>
              <w:ind w:left="455" w:right="466"/>
              <w:rPr>
                <w:sz w:val="17"/>
              </w:rPr>
            </w:pPr>
            <w:r>
              <w:rPr>
                <w:color w:val="231F20"/>
                <w:w w:val="105"/>
                <w:sz w:val="17"/>
              </w:rPr>
              <w:t>25.2</w:t>
            </w:r>
          </w:p>
        </w:tc>
        <w:tc>
          <w:tcPr>
            <w:tcW w:w="1296" w:type="dxa"/>
          </w:tcPr>
          <w:p>
            <w:pPr>
              <w:pStyle w:val="TableParagraph"/>
              <w:ind w:left="466" w:right="454"/>
              <w:rPr>
                <w:sz w:val="17"/>
              </w:rPr>
            </w:pPr>
            <w:r>
              <w:rPr>
                <w:color w:val="231F20"/>
                <w:w w:val="105"/>
                <w:sz w:val="17"/>
              </w:rPr>
              <w:t>26.8</w:t>
            </w:r>
          </w:p>
        </w:tc>
        <w:tc>
          <w:tcPr>
            <w:tcW w:w="1273" w:type="dxa"/>
          </w:tcPr>
          <w:p>
            <w:pPr>
              <w:pStyle w:val="TableParagraph"/>
              <w:ind w:left="454" w:right="443"/>
              <w:rPr>
                <w:sz w:val="17"/>
              </w:rPr>
            </w:pPr>
            <w:r>
              <w:rPr>
                <w:color w:val="231F20"/>
                <w:w w:val="105"/>
                <w:sz w:val="17"/>
              </w:rPr>
              <w:t>23.6</w:t>
            </w:r>
          </w:p>
        </w:tc>
        <w:tc>
          <w:tcPr>
            <w:tcW w:w="1125" w:type="dxa"/>
          </w:tcPr>
          <w:p>
            <w:pPr>
              <w:pStyle w:val="TableParagraph"/>
              <w:ind w:right="421"/>
              <w:jc w:val="right"/>
              <w:rPr>
                <w:sz w:val="17"/>
              </w:rPr>
            </w:pPr>
            <w:r>
              <w:rPr>
                <w:color w:val="231F20"/>
                <w:w w:val="105"/>
                <w:sz w:val="17"/>
              </w:rPr>
              <w:t>3.2</w:t>
            </w:r>
          </w:p>
        </w:tc>
      </w:tr>
      <w:tr>
        <w:trPr>
          <w:trHeight w:val="210" w:hRule="exact"/>
        </w:trPr>
        <w:tc>
          <w:tcPr>
            <w:tcW w:w="2007" w:type="dxa"/>
          </w:tcPr>
          <w:p>
            <w:pPr>
              <w:pStyle w:val="TableParagraph"/>
              <w:ind w:left="35"/>
              <w:jc w:val="left"/>
              <w:rPr>
                <w:sz w:val="17"/>
              </w:rPr>
            </w:pPr>
            <w:r>
              <w:rPr>
                <w:color w:val="231F20"/>
                <w:w w:val="110"/>
                <w:sz w:val="17"/>
              </w:rPr>
              <w:t>Nayarit</w:t>
            </w:r>
          </w:p>
        </w:tc>
        <w:tc>
          <w:tcPr>
            <w:tcW w:w="1294" w:type="dxa"/>
          </w:tcPr>
          <w:p>
            <w:pPr>
              <w:pStyle w:val="TableParagraph"/>
              <w:ind w:left="455" w:right="466"/>
              <w:rPr>
                <w:sz w:val="17"/>
              </w:rPr>
            </w:pPr>
            <w:r>
              <w:rPr>
                <w:color w:val="231F20"/>
                <w:w w:val="105"/>
                <w:sz w:val="17"/>
              </w:rPr>
              <w:t>23.8</w:t>
            </w:r>
          </w:p>
        </w:tc>
        <w:tc>
          <w:tcPr>
            <w:tcW w:w="1296" w:type="dxa"/>
          </w:tcPr>
          <w:p>
            <w:pPr>
              <w:pStyle w:val="TableParagraph"/>
              <w:ind w:left="466" w:right="454"/>
              <w:rPr>
                <w:sz w:val="17"/>
              </w:rPr>
            </w:pPr>
            <w:r>
              <w:rPr>
                <w:color w:val="231F20"/>
                <w:w w:val="105"/>
                <w:sz w:val="17"/>
              </w:rPr>
              <w:t>24.8</w:t>
            </w:r>
          </w:p>
        </w:tc>
        <w:tc>
          <w:tcPr>
            <w:tcW w:w="1273" w:type="dxa"/>
          </w:tcPr>
          <w:p>
            <w:pPr>
              <w:pStyle w:val="TableParagraph"/>
              <w:ind w:left="454" w:right="443"/>
              <w:rPr>
                <w:sz w:val="17"/>
              </w:rPr>
            </w:pPr>
            <w:r>
              <w:rPr>
                <w:color w:val="231F20"/>
                <w:w w:val="105"/>
                <w:sz w:val="17"/>
              </w:rPr>
              <w:t>23.0</w:t>
            </w:r>
          </w:p>
        </w:tc>
        <w:tc>
          <w:tcPr>
            <w:tcW w:w="1125" w:type="dxa"/>
          </w:tcPr>
          <w:p>
            <w:pPr>
              <w:pStyle w:val="TableParagraph"/>
              <w:ind w:right="421"/>
              <w:jc w:val="right"/>
              <w:rPr>
                <w:sz w:val="17"/>
              </w:rPr>
            </w:pPr>
            <w:r>
              <w:rPr>
                <w:color w:val="231F20"/>
                <w:w w:val="105"/>
                <w:sz w:val="17"/>
              </w:rPr>
              <w:t>1.8</w:t>
            </w:r>
          </w:p>
        </w:tc>
      </w:tr>
      <w:tr>
        <w:trPr>
          <w:trHeight w:val="210" w:hRule="exact"/>
        </w:trPr>
        <w:tc>
          <w:tcPr>
            <w:tcW w:w="2007" w:type="dxa"/>
          </w:tcPr>
          <w:p>
            <w:pPr>
              <w:pStyle w:val="TableParagraph"/>
              <w:ind w:left="35"/>
              <w:jc w:val="left"/>
              <w:rPr>
                <w:sz w:val="17"/>
              </w:rPr>
            </w:pPr>
            <w:r>
              <w:rPr>
                <w:color w:val="231F20"/>
                <w:w w:val="110"/>
                <w:sz w:val="17"/>
              </w:rPr>
              <w:t>Nuevo León</w:t>
            </w:r>
          </w:p>
        </w:tc>
        <w:tc>
          <w:tcPr>
            <w:tcW w:w="1294" w:type="dxa"/>
          </w:tcPr>
          <w:p>
            <w:pPr>
              <w:pStyle w:val="TableParagraph"/>
              <w:ind w:left="455" w:right="466"/>
              <w:rPr>
                <w:sz w:val="17"/>
              </w:rPr>
            </w:pPr>
            <w:r>
              <w:rPr>
                <w:color w:val="231F20"/>
                <w:w w:val="105"/>
                <w:sz w:val="17"/>
              </w:rPr>
              <w:t>25.3</w:t>
            </w:r>
          </w:p>
        </w:tc>
        <w:tc>
          <w:tcPr>
            <w:tcW w:w="1296" w:type="dxa"/>
          </w:tcPr>
          <w:p>
            <w:pPr>
              <w:pStyle w:val="TableParagraph"/>
              <w:ind w:left="466" w:right="454"/>
              <w:rPr>
                <w:sz w:val="17"/>
              </w:rPr>
            </w:pPr>
            <w:r>
              <w:rPr>
                <w:color w:val="231F20"/>
                <w:w w:val="105"/>
                <w:sz w:val="17"/>
              </w:rPr>
              <w:t>26.4</w:t>
            </w:r>
          </w:p>
        </w:tc>
        <w:tc>
          <w:tcPr>
            <w:tcW w:w="1273" w:type="dxa"/>
          </w:tcPr>
          <w:p>
            <w:pPr>
              <w:pStyle w:val="TableParagraph"/>
              <w:ind w:left="454" w:right="443"/>
              <w:rPr>
                <w:sz w:val="17"/>
              </w:rPr>
            </w:pPr>
            <w:r>
              <w:rPr>
                <w:color w:val="231F20"/>
                <w:w w:val="105"/>
                <w:sz w:val="17"/>
              </w:rPr>
              <w:t>24.1</w:t>
            </w:r>
          </w:p>
        </w:tc>
        <w:tc>
          <w:tcPr>
            <w:tcW w:w="1125" w:type="dxa"/>
          </w:tcPr>
          <w:p>
            <w:pPr>
              <w:pStyle w:val="TableParagraph"/>
              <w:ind w:right="421"/>
              <w:jc w:val="right"/>
              <w:rPr>
                <w:sz w:val="17"/>
              </w:rPr>
            </w:pPr>
            <w:r>
              <w:rPr>
                <w:color w:val="231F20"/>
                <w:w w:val="105"/>
                <w:sz w:val="17"/>
              </w:rPr>
              <w:t>2.3</w:t>
            </w:r>
          </w:p>
        </w:tc>
      </w:tr>
      <w:tr>
        <w:trPr>
          <w:trHeight w:val="210" w:hRule="exact"/>
        </w:trPr>
        <w:tc>
          <w:tcPr>
            <w:tcW w:w="2007" w:type="dxa"/>
          </w:tcPr>
          <w:p>
            <w:pPr>
              <w:pStyle w:val="TableParagraph"/>
              <w:ind w:left="35"/>
              <w:jc w:val="left"/>
              <w:rPr>
                <w:sz w:val="17"/>
              </w:rPr>
            </w:pPr>
            <w:r>
              <w:rPr>
                <w:color w:val="231F20"/>
                <w:w w:val="115"/>
                <w:sz w:val="17"/>
              </w:rPr>
              <w:t>Oaxaca</w:t>
            </w:r>
          </w:p>
        </w:tc>
        <w:tc>
          <w:tcPr>
            <w:tcW w:w="1294" w:type="dxa"/>
          </w:tcPr>
          <w:p>
            <w:pPr>
              <w:pStyle w:val="TableParagraph"/>
              <w:ind w:left="455" w:right="466"/>
              <w:rPr>
                <w:sz w:val="17"/>
              </w:rPr>
            </w:pPr>
            <w:r>
              <w:rPr>
                <w:color w:val="231F20"/>
                <w:w w:val="105"/>
                <w:sz w:val="17"/>
              </w:rPr>
              <w:t>25.2</w:t>
            </w:r>
          </w:p>
        </w:tc>
        <w:tc>
          <w:tcPr>
            <w:tcW w:w="1296" w:type="dxa"/>
          </w:tcPr>
          <w:p>
            <w:pPr>
              <w:pStyle w:val="TableParagraph"/>
              <w:ind w:left="466" w:right="454"/>
              <w:rPr>
                <w:sz w:val="17"/>
              </w:rPr>
            </w:pPr>
            <w:r>
              <w:rPr>
                <w:color w:val="231F20"/>
                <w:w w:val="105"/>
                <w:sz w:val="17"/>
              </w:rPr>
              <w:t>26.2</w:t>
            </w:r>
          </w:p>
        </w:tc>
        <w:tc>
          <w:tcPr>
            <w:tcW w:w="1273" w:type="dxa"/>
          </w:tcPr>
          <w:p>
            <w:pPr>
              <w:pStyle w:val="TableParagraph"/>
              <w:ind w:left="454" w:right="443"/>
              <w:rPr>
                <w:sz w:val="17"/>
              </w:rPr>
            </w:pPr>
            <w:r>
              <w:rPr>
                <w:color w:val="231F20"/>
                <w:w w:val="105"/>
                <w:sz w:val="17"/>
              </w:rPr>
              <w:t>24.2</w:t>
            </w:r>
          </w:p>
        </w:tc>
        <w:tc>
          <w:tcPr>
            <w:tcW w:w="1125" w:type="dxa"/>
          </w:tcPr>
          <w:p>
            <w:pPr>
              <w:pStyle w:val="TableParagraph"/>
              <w:ind w:right="421"/>
              <w:jc w:val="right"/>
              <w:rPr>
                <w:sz w:val="17"/>
              </w:rPr>
            </w:pPr>
            <w:r>
              <w:rPr>
                <w:color w:val="231F20"/>
                <w:w w:val="105"/>
                <w:sz w:val="17"/>
              </w:rPr>
              <w:t>2.0</w:t>
            </w:r>
          </w:p>
        </w:tc>
      </w:tr>
      <w:tr>
        <w:trPr>
          <w:trHeight w:val="210" w:hRule="exact"/>
        </w:trPr>
        <w:tc>
          <w:tcPr>
            <w:tcW w:w="2007" w:type="dxa"/>
          </w:tcPr>
          <w:p>
            <w:pPr>
              <w:pStyle w:val="TableParagraph"/>
              <w:ind w:left="35"/>
              <w:jc w:val="left"/>
              <w:rPr>
                <w:sz w:val="17"/>
              </w:rPr>
            </w:pPr>
            <w:r>
              <w:rPr>
                <w:color w:val="231F20"/>
                <w:w w:val="105"/>
                <w:sz w:val="17"/>
              </w:rPr>
              <w:t>Puebla</w:t>
            </w:r>
          </w:p>
        </w:tc>
        <w:tc>
          <w:tcPr>
            <w:tcW w:w="1294" w:type="dxa"/>
          </w:tcPr>
          <w:p>
            <w:pPr>
              <w:pStyle w:val="TableParagraph"/>
              <w:ind w:left="455" w:right="466"/>
              <w:rPr>
                <w:sz w:val="17"/>
              </w:rPr>
            </w:pPr>
            <w:r>
              <w:rPr>
                <w:color w:val="231F20"/>
                <w:w w:val="105"/>
                <w:sz w:val="17"/>
              </w:rPr>
              <w:t>25.5</w:t>
            </w:r>
          </w:p>
        </w:tc>
        <w:tc>
          <w:tcPr>
            <w:tcW w:w="1296" w:type="dxa"/>
          </w:tcPr>
          <w:p>
            <w:pPr>
              <w:pStyle w:val="TableParagraph"/>
              <w:ind w:left="466" w:right="454"/>
              <w:rPr>
                <w:sz w:val="17"/>
              </w:rPr>
            </w:pPr>
            <w:r>
              <w:rPr>
                <w:color w:val="231F20"/>
                <w:w w:val="105"/>
                <w:sz w:val="17"/>
              </w:rPr>
              <w:t>26.6</w:t>
            </w:r>
          </w:p>
        </w:tc>
        <w:tc>
          <w:tcPr>
            <w:tcW w:w="1273" w:type="dxa"/>
          </w:tcPr>
          <w:p>
            <w:pPr>
              <w:pStyle w:val="TableParagraph"/>
              <w:ind w:left="454" w:right="443"/>
              <w:rPr>
                <w:sz w:val="17"/>
              </w:rPr>
            </w:pPr>
            <w:r>
              <w:rPr>
                <w:color w:val="231F20"/>
                <w:w w:val="105"/>
                <w:sz w:val="17"/>
              </w:rPr>
              <w:t>24.3</w:t>
            </w:r>
          </w:p>
        </w:tc>
        <w:tc>
          <w:tcPr>
            <w:tcW w:w="1125" w:type="dxa"/>
          </w:tcPr>
          <w:p>
            <w:pPr>
              <w:pStyle w:val="TableParagraph"/>
              <w:ind w:right="421"/>
              <w:jc w:val="right"/>
              <w:rPr>
                <w:sz w:val="17"/>
              </w:rPr>
            </w:pPr>
            <w:r>
              <w:rPr>
                <w:color w:val="231F20"/>
                <w:w w:val="105"/>
                <w:sz w:val="17"/>
              </w:rPr>
              <w:t>2.3</w:t>
            </w:r>
          </w:p>
        </w:tc>
      </w:tr>
      <w:tr>
        <w:trPr>
          <w:trHeight w:val="210" w:hRule="exact"/>
        </w:trPr>
        <w:tc>
          <w:tcPr>
            <w:tcW w:w="2007" w:type="dxa"/>
          </w:tcPr>
          <w:p>
            <w:pPr>
              <w:pStyle w:val="TableParagraph"/>
              <w:ind w:left="35"/>
              <w:jc w:val="left"/>
              <w:rPr>
                <w:sz w:val="17"/>
              </w:rPr>
            </w:pPr>
            <w:r>
              <w:rPr>
                <w:color w:val="231F20"/>
                <w:w w:val="110"/>
                <w:sz w:val="17"/>
              </w:rPr>
              <w:t>Querétaro</w:t>
            </w:r>
          </w:p>
        </w:tc>
        <w:tc>
          <w:tcPr>
            <w:tcW w:w="1294" w:type="dxa"/>
          </w:tcPr>
          <w:p>
            <w:pPr>
              <w:pStyle w:val="TableParagraph"/>
              <w:ind w:left="455" w:right="466"/>
              <w:rPr>
                <w:sz w:val="17"/>
              </w:rPr>
            </w:pPr>
            <w:r>
              <w:rPr>
                <w:color w:val="231F20"/>
                <w:w w:val="105"/>
                <w:sz w:val="17"/>
              </w:rPr>
              <w:t>26.1</w:t>
            </w:r>
          </w:p>
        </w:tc>
        <w:tc>
          <w:tcPr>
            <w:tcW w:w="1296" w:type="dxa"/>
          </w:tcPr>
          <w:p>
            <w:pPr>
              <w:pStyle w:val="TableParagraph"/>
              <w:ind w:left="466" w:right="454"/>
              <w:rPr>
                <w:sz w:val="17"/>
              </w:rPr>
            </w:pPr>
            <w:r>
              <w:rPr>
                <w:color w:val="231F20"/>
                <w:w w:val="105"/>
                <w:sz w:val="17"/>
              </w:rPr>
              <w:t>27.6</w:t>
            </w:r>
          </w:p>
        </w:tc>
        <w:tc>
          <w:tcPr>
            <w:tcW w:w="1273" w:type="dxa"/>
          </w:tcPr>
          <w:p>
            <w:pPr>
              <w:pStyle w:val="TableParagraph"/>
              <w:ind w:left="454" w:right="443"/>
              <w:rPr>
                <w:sz w:val="17"/>
              </w:rPr>
            </w:pPr>
            <w:r>
              <w:rPr>
                <w:color w:val="231F20"/>
                <w:w w:val="105"/>
                <w:sz w:val="17"/>
              </w:rPr>
              <w:t>24.6</w:t>
            </w:r>
          </w:p>
        </w:tc>
        <w:tc>
          <w:tcPr>
            <w:tcW w:w="1125" w:type="dxa"/>
          </w:tcPr>
          <w:p>
            <w:pPr>
              <w:pStyle w:val="TableParagraph"/>
              <w:ind w:right="421"/>
              <w:jc w:val="right"/>
              <w:rPr>
                <w:sz w:val="17"/>
              </w:rPr>
            </w:pPr>
            <w:r>
              <w:rPr>
                <w:color w:val="231F20"/>
                <w:w w:val="105"/>
                <w:sz w:val="17"/>
              </w:rPr>
              <w:t>3.0</w:t>
            </w:r>
          </w:p>
        </w:tc>
      </w:tr>
      <w:tr>
        <w:trPr>
          <w:trHeight w:val="210" w:hRule="exact"/>
        </w:trPr>
        <w:tc>
          <w:tcPr>
            <w:tcW w:w="2007" w:type="dxa"/>
          </w:tcPr>
          <w:p>
            <w:pPr>
              <w:pStyle w:val="TableParagraph"/>
              <w:ind w:left="35"/>
              <w:jc w:val="left"/>
              <w:rPr>
                <w:sz w:val="17"/>
              </w:rPr>
            </w:pPr>
            <w:r>
              <w:rPr>
                <w:color w:val="231F20"/>
                <w:w w:val="110"/>
                <w:sz w:val="17"/>
              </w:rPr>
              <w:t>Quintana Roo</w:t>
            </w:r>
          </w:p>
        </w:tc>
        <w:tc>
          <w:tcPr>
            <w:tcW w:w="1294" w:type="dxa"/>
          </w:tcPr>
          <w:p>
            <w:pPr>
              <w:pStyle w:val="TableParagraph"/>
              <w:ind w:left="455" w:right="466"/>
              <w:rPr>
                <w:sz w:val="17"/>
              </w:rPr>
            </w:pPr>
            <w:r>
              <w:rPr>
                <w:color w:val="231F20"/>
                <w:w w:val="105"/>
                <w:sz w:val="17"/>
              </w:rPr>
              <w:t>24.4</w:t>
            </w:r>
          </w:p>
        </w:tc>
        <w:tc>
          <w:tcPr>
            <w:tcW w:w="1296" w:type="dxa"/>
          </w:tcPr>
          <w:p>
            <w:pPr>
              <w:pStyle w:val="TableParagraph"/>
              <w:ind w:left="466" w:right="454"/>
              <w:rPr>
                <w:sz w:val="17"/>
              </w:rPr>
            </w:pPr>
            <w:r>
              <w:rPr>
                <w:color w:val="231F20"/>
                <w:w w:val="105"/>
                <w:sz w:val="17"/>
              </w:rPr>
              <w:t>26.1</w:t>
            </w:r>
          </w:p>
        </w:tc>
        <w:tc>
          <w:tcPr>
            <w:tcW w:w="1273" w:type="dxa"/>
          </w:tcPr>
          <w:p>
            <w:pPr>
              <w:pStyle w:val="TableParagraph"/>
              <w:ind w:left="454" w:right="443"/>
              <w:rPr>
                <w:sz w:val="17"/>
              </w:rPr>
            </w:pPr>
            <w:r>
              <w:rPr>
                <w:color w:val="231F20"/>
                <w:w w:val="105"/>
                <w:sz w:val="17"/>
              </w:rPr>
              <w:t>22.5</w:t>
            </w:r>
          </w:p>
        </w:tc>
        <w:tc>
          <w:tcPr>
            <w:tcW w:w="1125" w:type="dxa"/>
          </w:tcPr>
          <w:p>
            <w:pPr>
              <w:pStyle w:val="TableParagraph"/>
              <w:ind w:right="421"/>
              <w:jc w:val="right"/>
              <w:rPr>
                <w:sz w:val="17"/>
              </w:rPr>
            </w:pPr>
            <w:r>
              <w:rPr>
                <w:color w:val="231F20"/>
                <w:w w:val="105"/>
                <w:sz w:val="17"/>
              </w:rPr>
              <w:t>3.6</w:t>
            </w:r>
          </w:p>
        </w:tc>
      </w:tr>
      <w:tr>
        <w:trPr>
          <w:trHeight w:val="210" w:hRule="exact"/>
        </w:trPr>
        <w:tc>
          <w:tcPr>
            <w:tcW w:w="2007" w:type="dxa"/>
          </w:tcPr>
          <w:p>
            <w:pPr>
              <w:pStyle w:val="TableParagraph"/>
              <w:ind w:left="35"/>
              <w:jc w:val="left"/>
              <w:rPr>
                <w:sz w:val="17"/>
              </w:rPr>
            </w:pPr>
            <w:r>
              <w:rPr>
                <w:color w:val="231F20"/>
                <w:w w:val="110"/>
                <w:sz w:val="17"/>
              </w:rPr>
              <w:t>San Luís Potosí</w:t>
            </w:r>
          </w:p>
        </w:tc>
        <w:tc>
          <w:tcPr>
            <w:tcW w:w="1294" w:type="dxa"/>
          </w:tcPr>
          <w:p>
            <w:pPr>
              <w:pStyle w:val="TableParagraph"/>
              <w:ind w:left="455" w:right="466"/>
              <w:rPr>
                <w:sz w:val="17"/>
              </w:rPr>
            </w:pPr>
            <w:r>
              <w:rPr>
                <w:color w:val="231F20"/>
                <w:w w:val="105"/>
                <w:sz w:val="17"/>
              </w:rPr>
              <w:t>24.9</w:t>
            </w:r>
          </w:p>
        </w:tc>
        <w:tc>
          <w:tcPr>
            <w:tcW w:w="1296" w:type="dxa"/>
          </w:tcPr>
          <w:p>
            <w:pPr>
              <w:pStyle w:val="TableParagraph"/>
              <w:ind w:left="466" w:right="454"/>
              <w:rPr>
                <w:sz w:val="17"/>
              </w:rPr>
            </w:pPr>
            <w:r>
              <w:rPr>
                <w:color w:val="231F20"/>
                <w:w w:val="105"/>
                <w:sz w:val="17"/>
              </w:rPr>
              <w:t>26.1</w:t>
            </w:r>
          </w:p>
        </w:tc>
        <w:tc>
          <w:tcPr>
            <w:tcW w:w="1273" w:type="dxa"/>
          </w:tcPr>
          <w:p>
            <w:pPr>
              <w:pStyle w:val="TableParagraph"/>
              <w:ind w:left="454" w:right="443"/>
              <w:rPr>
                <w:sz w:val="17"/>
              </w:rPr>
            </w:pPr>
            <w:r>
              <w:rPr>
                <w:color w:val="231F20"/>
                <w:w w:val="105"/>
                <w:sz w:val="17"/>
              </w:rPr>
              <w:t>23.9</w:t>
            </w:r>
          </w:p>
        </w:tc>
        <w:tc>
          <w:tcPr>
            <w:tcW w:w="1125" w:type="dxa"/>
          </w:tcPr>
          <w:p>
            <w:pPr>
              <w:pStyle w:val="TableParagraph"/>
              <w:ind w:right="421"/>
              <w:jc w:val="right"/>
              <w:rPr>
                <w:sz w:val="17"/>
              </w:rPr>
            </w:pPr>
            <w:r>
              <w:rPr>
                <w:color w:val="231F20"/>
                <w:w w:val="105"/>
                <w:sz w:val="17"/>
              </w:rPr>
              <w:t>2.2</w:t>
            </w:r>
          </w:p>
        </w:tc>
      </w:tr>
      <w:tr>
        <w:trPr>
          <w:trHeight w:val="210" w:hRule="exact"/>
        </w:trPr>
        <w:tc>
          <w:tcPr>
            <w:tcW w:w="2007" w:type="dxa"/>
          </w:tcPr>
          <w:p>
            <w:pPr>
              <w:pStyle w:val="TableParagraph"/>
              <w:ind w:left="35"/>
              <w:jc w:val="left"/>
              <w:rPr>
                <w:sz w:val="17"/>
              </w:rPr>
            </w:pPr>
            <w:r>
              <w:rPr>
                <w:color w:val="231F20"/>
                <w:w w:val="110"/>
                <w:sz w:val="17"/>
              </w:rPr>
              <w:t>Sinaloa</w:t>
            </w:r>
          </w:p>
        </w:tc>
        <w:tc>
          <w:tcPr>
            <w:tcW w:w="1294" w:type="dxa"/>
          </w:tcPr>
          <w:p>
            <w:pPr>
              <w:pStyle w:val="TableParagraph"/>
              <w:ind w:left="455" w:right="466"/>
              <w:rPr>
                <w:sz w:val="17"/>
              </w:rPr>
            </w:pPr>
            <w:r>
              <w:rPr>
                <w:color w:val="231F20"/>
                <w:w w:val="105"/>
                <w:sz w:val="17"/>
              </w:rPr>
              <w:t>25.0</w:t>
            </w:r>
          </w:p>
        </w:tc>
        <w:tc>
          <w:tcPr>
            <w:tcW w:w="1296" w:type="dxa"/>
          </w:tcPr>
          <w:p>
            <w:pPr>
              <w:pStyle w:val="TableParagraph"/>
              <w:ind w:left="466" w:right="454"/>
              <w:rPr>
                <w:sz w:val="17"/>
              </w:rPr>
            </w:pPr>
            <w:r>
              <w:rPr>
                <w:color w:val="231F20"/>
                <w:w w:val="105"/>
                <w:sz w:val="17"/>
              </w:rPr>
              <w:t>26.7</w:t>
            </w:r>
          </w:p>
        </w:tc>
        <w:tc>
          <w:tcPr>
            <w:tcW w:w="1273" w:type="dxa"/>
          </w:tcPr>
          <w:p>
            <w:pPr>
              <w:pStyle w:val="TableParagraph"/>
              <w:ind w:left="454" w:right="443"/>
              <w:rPr>
                <w:sz w:val="17"/>
              </w:rPr>
            </w:pPr>
            <w:r>
              <w:rPr>
                <w:color w:val="231F20"/>
                <w:w w:val="105"/>
                <w:sz w:val="17"/>
              </w:rPr>
              <w:t>23.3</w:t>
            </w:r>
          </w:p>
        </w:tc>
        <w:tc>
          <w:tcPr>
            <w:tcW w:w="1125" w:type="dxa"/>
          </w:tcPr>
          <w:p>
            <w:pPr>
              <w:pStyle w:val="TableParagraph"/>
              <w:ind w:right="421"/>
              <w:jc w:val="right"/>
              <w:rPr>
                <w:sz w:val="17"/>
              </w:rPr>
            </w:pPr>
            <w:r>
              <w:rPr>
                <w:color w:val="231F20"/>
                <w:w w:val="105"/>
                <w:sz w:val="17"/>
              </w:rPr>
              <w:t>3.4</w:t>
            </w:r>
          </w:p>
        </w:tc>
      </w:tr>
      <w:tr>
        <w:trPr>
          <w:trHeight w:val="210" w:hRule="exact"/>
        </w:trPr>
        <w:tc>
          <w:tcPr>
            <w:tcW w:w="2007" w:type="dxa"/>
          </w:tcPr>
          <w:p>
            <w:pPr>
              <w:pStyle w:val="TableParagraph"/>
              <w:ind w:left="35"/>
              <w:jc w:val="left"/>
              <w:rPr>
                <w:sz w:val="17"/>
              </w:rPr>
            </w:pPr>
            <w:r>
              <w:rPr>
                <w:color w:val="231F20"/>
                <w:w w:val="110"/>
                <w:sz w:val="17"/>
              </w:rPr>
              <w:t>Sonora</w:t>
            </w:r>
          </w:p>
        </w:tc>
        <w:tc>
          <w:tcPr>
            <w:tcW w:w="1294" w:type="dxa"/>
          </w:tcPr>
          <w:p>
            <w:pPr>
              <w:pStyle w:val="TableParagraph"/>
              <w:ind w:left="455" w:right="466"/>
              <w:rPr>
                <w:sz w:val="17"/>
              </w:rPr>
            </w:pPr>
            <w:r>
              <w:rPr>
                <w:color w:val="231F20"/>
                <w:w w:val="105"/>
                <w:sz w:val="17"/>
              </w:rPr>
              <w:t>26.3</w:t>
            </w:r>
          </w:p>
        </w:tc>
        <w:tc>
          <w:tcPr>
            <w:tcW w:w="1296" w:type="dxa"/>
          </w:tcPr>
          <w:p>
            <w:pPr>
              <w:pStyle w:val="TableParagraph"/>
              <w:ind w:left="466" w:right="454"/>
              <w:rPr>
                <w:sz w:val="17"/>
              </w:rPr>
            </w:pPr>
            <w:r>
              <w:rPr>
                <w:color w:val="231F20"/>
                <w:w w:val="105"/>
                <w:sz w:val="17"/>
              </w:rPr>
              <w:t>28.0</w:t>
            </w:r>
          </w:p>
        </w:tc>
        <w:tc>
          <w:tcPr>
            <w:tcW w:w="1273" w:type="dxa"/>
          </w:tcPr>
          <w:p>
            <w:pPr>
              <w:pStyle w:val="TableParagraph"/>
              <w:ind w:left="454" w:right="443"/>
              <w:rPr>
                <w:sz w:val="17"/>
              </w:rPr>
            </w:pPr>
            <w:r>
              <w:rPr>
                <w:color w:val="231F20"/>
                <w:w w:val="105"/>
                <w:sz w:val="17"/>
              </w:rPr>
              <w:t>24.7</w:t>
            </w:r>
          </w:p>
        </w:tc>
        <w:tc>
          <w:tcPr>
            <w:tcW w:w="1125" w:type="dxa"/>
          </w:tcPr>
          <w:p>
            <w:pPr>
              <w:pStyle w:val="TableParagraph"/>
              <w:ind w:right="421"/>
              <w:jc w:val="right"/>
              <w:rPr>
                <w:sz w:val="17"/>
              </w:rPr>
            </w:pPr>
            <w:r>
              <w:rPr>
                <w:color w:val="231F20"/>
                <w:w w:val="105"/>
                <w:sz w:val="17"/>
              </w:rPr>
              <w:t>3.3</w:t>
            </w:r>
          </w:p>
        </w:tc>
      </w:tr>
      <w:tr>
        <w:trPr>
          <w:trHeight w:val="210" w:hRule="exact"/>
        </w:trPr>
        <w:tc>
          <w:tcPr>
            <w:tcW w:w="2007" w:type="dxa"/>
          </w:tcPr>
          <w:p>
            <w:pPr>
              <w:pStyle w:val="TableParagraph"/>
              <w:ind w:left="35"/>
              <w:jc w:val="left"/>
              <w:rPr>
                <w:sz w:val="17"/>
              </w:rPr>
            </w:pPr>
            <w:r>
              <w:rPr>
                <w:color w:val="231F20"/>
                <w:w w:val="110"/>
                <w:sz w:val="17"/>
              </w:rPr>
              <w:t>Tabasco</w:t>
            </w:r>
          </w:p>
        </w:tc>
        <w:tc>
          <w:tcPr>
            <w:tcW w:w="1294" w:type="dxa"/>
          </w:tcPr>
          <w:p>
            <w:pPr>
              <w:pStyle w:val="TableParagraph"/>
              <w:ind w:left="455" w:right="466"/>
              <w:rPr>
                <w:sz w:val="17"/>
              </w:rPr>
            </w:pPr>
            <w:r>
              <w:rPr>
                <w:color w:val="231F20"/>
                <w:w w:val="105"/>
                <w:sz w:val="17"/>
              </w:rPr>
              <w:t>24.3</w:t>
            </w:r>
          </w:p>
        </w:tc>
        <w:tc>
          <w:tcPr>
            <w:tcW w:w="1296" w:type="dxa"/>
          </w:tcPr>
          <w:p>
            <w:pPr>
              <w:pStyle w:val="TableParagraph"/>
              <w:ind w:left="466" w:right="454"/>
              <w:rPr>
                <w:sz w:val="17"/>
              </w:rPr>
            </w:pPr>
            <w:r>
              <w:rPr>
                <w:color w:val="231F20"/>
                <w:w w:val="105"/>
                <w:sz w:val="17"/>
              </w:rPr>
              <w:t>26.1</w:t>
            </w:r>
          </w:p>
        </w:tc>
        <w:tc>
          <w:tcPr>
            <w:tcW w:w="1273" w:type="dxa"/>
          </w:tcPr>
          <w:p>
            <w:pPr>
              <w:pStyle w:val="TableParagraph"/>
              <w:ind w:left="454" w:right="443"/>
              <w:rPr>
                <w:sz w:val="17"/>
              </w:rPr>
            </w:pPr>
            <w:r>
              <w:rPr>
                <w:color w:val="231F20"/>
                <w:w w:val="105"/>
                <w:sz w:val="17"/>
              </w:rPr>
              <w:t>22.6</w:t>
            </w:r>
          </w:p>
        </w:tc>
        <w:tc>
          <w:tcPr>
            <w:tcW w:w="1125" w:type="dxa"/>
          </w:tcPr>
          <w:p>
            <w:pPr>
              <w:pStyle w:val="TableParagraph"/>
              <w:ind w:right="421"/>
              <w:jc w:val="right"/>
              <w:rPr>
                <w:sz w:val="17"/>
              </w:rPr>
            </w:pPr>
            <w:r>
              <w:rPr>
                <w:color w:val="231F20"/>
                <w:w w:val="105"/>
                <w:sz w:val="17"/>
              </w:rPr>
              <w:t>3.5</w:t>
            </w:r>
          </w:p>
        </w:tc>
      </w:tr>
      <w:tr>
        <w:trPr>
          <w:trHeight w:val="210" w:hRule="exact"/>
        </w:trPr>
        <w:tc>
          <w:tcPr>
            <w:tcW w:w="2007" w:type="dxa"/>
          </w:tcPr>
          <w:p>
            <w:pPr>
              <w:pStyle w:val="TableParagraph"/>
              <w:ind w:left="35"/>
              <w:jc w:val="left"/>
              <w:rPr>
                <w:sz w:val="17"/>
              </w:rPr>
            </w:pPr>
            <w:r>
              <w:rPr>
                <w:color w:val="231F20"/>
                <w:w w:val="110"/>
                <w:sz w:val="17"/>
              </w:rPr>
              <w:t>Tamaulipas</w:t>
            </w:r>
          </w:p>
        </w:tc>
        <w:tc>
          <w:tcPr>
            <w:tcW w:w="1294" w:type="dxa"/>
          </w:tcPr>
          <w:p>
            <w:pPr>
              <w:pStyle w:val="TableParagraph"/>
              <w:ind w:left="455" w:right="466"/>
              <w:rPr>
                <w:sz w:val="17"/>
              </w:rPr>
            </w:pPr>
            <w:r>
              <w:rPr>
                <w:color w:val="231F20"/>
                <w:w w:val="105"/>
                <w:sz w:val="17"/>
              </w:rPr>
              <w:t>25.4</w:t>
            </w:r>
          </w:p>
        </w:tc>
        <w:tc>
          <w:tcPr>
            <w:tcW w:w="1296" w:type="dxa"/>
          </w:tcPr>
          <w:p>
            <w:pPr>
              <w:pStyle w:val="TableParagraph"/>
              <w:ind w:left="466" w:right="454"/>
              <w:rPr>
                <w:sz w:val="17"/>
              </w:rPr>
            </w:pPr>
            <w:r>
              <w:rPr>
                <w:color w:val="231F20"/>
                <w:w w:val="105"/>
                <w:sz w:val="17"/>
              </w:rPr>
              <w:t>27.1</w:t>
            </w:r>
          </w:p>
        </w:tc>
        <w:tc>
          <w:tcPr>
            <w:tcW w:w="1273" w:type="dxa"/>
          </w:tcPr>
          <w:p>
            <w:pPr>
              <w:pStyle w:val="TableParagraph"/>
              <w:ind w:left="454" w:right="443"/>
              <w:rPr>
                <w:sz w:val="17"/>
              </w:rPr>
            </w:pPr>
            <w:r>
              <w:rPr>
                <w:color w:val="231F20"/>
                <w:w w:val="105"/>
                <w:sz w:val="17"/>
              </w:rPr>
              <w:t>23.7</w:t>
            </w:r>
          </w:p>
        </w:tc>
        <w:tc>
          <w:tcPr>
            <w:tcW w:w="1125" w:type="dxa"/>
          </w:tcPr>
          <w:p>
            <w:pPr>
              <w:pStyle w:val="TableParagraph"/>
              <w:ind w:right="421"/>
              <w:jc w:val="right"/>
              <w:rPr>
                <w:sz w:val="17"/>
              </w:rPr>
            </w:pPr>
            <w:r>
              <w:rPr>
                <w:color w:val="231F20"/>
                <w:w w:val="105"/>
                <w:sz w:val="17"/>
              </w:rPr>
              <w:t>3.4</w:t>
            </w:r>
          </w:p>
        </w:tc>
      </w:tr>
      <w:tr>
        <w:trPr>
          <w:trHeight w:val="210" w:hRule="exact"/>
        </w:trPr>
        <w:tc>
          <w:tcPr>
            <w:tcW w:w="2007" w:type="dxa"/>
          </w:tcPr>
          <w:p>
            <w:pPr>
              <w:pStyle w:val="TableParagraph"/>
              <w:ind w:left="35"/>
              <w:jc w:val="left"/>
              <w:rPr>
                <w:sz w:val="17"/>
              </w:rPr>
            </w:pPr>
            <w:r>
              <w:rPr>
                <w:color w:val="231F20"/>
                <w:w w:val="110"/>
                <w:sz w:val="17"/>
              </w:rPr>
              <w:t>Tlaxcala</w:t>
            </w:r>
          </w:p>
        </w:tc>
        <w:tc>
          <w:tcPr>
            <w:tcW w:w="1294" w:type="dxa"/>
          </w:tcPr>
          <w:p>
            <w:pPr>
              <w:pStyle w:val="TableParagraph"/>
              <w:ind w:left="455" w:right="466"/>
              <w:rPr>
                <w:sz w:val="17"/>
              </w:rPr>
            </w:pPr>
            <w:r>
              <w:rPr>
                <w:color w:val="231F20"/>
                <w:w w:val="105"/>
                <w:sz w:val="17"/>
              </w:rPr>
              <w:t>24.9</w:t>
            </w:r>
          </w:p>
        </w:tc>
        <w:tc>
          <w:tcPr>
            <w:tcW w:w="1296" w:type="dxa"/>
          </w:tcPr>
          <w:p>
            <w:pPr>
              <w:pStyle w:val="TableParagraph"/>
              <w:ind w:left="466" w:right="454"/>
              <w:rPr>
                <w:sz w:val="17"/>
              </w:rPr>
            </w:pPr>
            <w:r>
              <w:rPr>
                <w:color w:val="231F20"/>
                <w:w w:val="105"/>
                <w:sz w:val="17"/>
              </w:rPr>
              <w:t>26.2</w:t>
            </w:r>
          </w:p>
        </w:tc>
        <w:tc>
          <w:tcPr>
            <w:tcW w:w="1273" w:type="dxa"/>
          </w:tcPr>
          <w:p>
            <w:pPr>
              <w:pStyle w:val="TableParagraph"/>
              <w:ind w:left="454" w:right="444"/>
              <w:rPr>
                <w:sz w:val="17"/>
              </w:rPr>
            </w:pPr>
            <w:r>
              <w:rPr>
                <w:color w:val="231F20"/>
                <w:w w:val="105"/>
                <w:sz w:val="17"/>
              </w:rPr>
              <w:t>23.7</w:t>
            </w:r>
          </w:p>
        </w:tc>
        <w:tc>
          <w:tcPr>
            <w:tcW w:w="1125" w:type="dxa"/>
          </w:tcPr>
          <w:p>
            <w:pPr>
              <w:pStyle w:val="TableParagraph"/>
              <w:ind w:right="421"/>
              <w:jc w:val="right"/>
              <w:rPr>
                <w:sz w:val="17"/>
              </w:rPr>
            </w:pPr>
            <w:r>
              <w:rPr>
                <w:color w:val="231F20"/>
                <w:w w:val="105"/>
                <w:sz w:val="17"/>
              </w:rPr>
              <w:t>2.5</w:t>
            </w:r>
          </w:p>
        </w:tc>
      </w:tr>
      <w:tr>
        <w:trPr>
          <w:trHeight w:val="210" w:hRule="exact"/>
        </w:trPr>
        <w:tc>
          <w:tcPr>
            <w:tcW w:w="2007" w:type="dxa"/>
          </w:tcPr>
          <w:p>
            <w:pPr>
              <w:pStyle w:val="TableParagraph"/>
              <w:ind w:left="35"/>
              <w:jc w:val="left"/>
              <w:rPr>
                <w:sz w:val="17"/>
              </w:rPr>
            </w:pPr>
            <w:r>
              <w:rPr>
                <w:color w:val="231F20"/>
                <w:w w:val="110"/>
                <w:sz w:val="17"/>
              </w:rPr>
              <w:t>Veracruz</w:t>
            </w:r>
          </w:p>
        </w:tc>
        <w:tc>
          <w:tcPr>
            <w:tcW w:w="1294" w:type="dxa"/>
          </w:tcPr>
          <w:p>
            <w:pPr>
              <w:pStyle w:val="TableParagraph"/>
              <w:ind w:left="455" w:right="466"/>
              <w:rPr>
                <w:sz w:val="17"/>
              </w:rPr>
            </w:pPr>
            <w:r>
              <w:rPr>
                <w:color w:val="231F20"/>
                <w:w w:val="105"/>
                <w:sz w:val="17"/>
              </w:rPr>
              <w:t>24.7</w:t>
            </w:r>
          </w:p>
        </w:tc>
        <w:tc>
          <w:tcPr>
            <w:tcW w:w="1296" w:type="dxa"/>
          </w:tcPr>
          <w:p>
            <w:pPr>
              <w:pStyle w:val="TableParagraph"/>
              <w:ind w:left="466" w:right="455"/>
              <w:rPr>
                <w:sz w:val="17"/>
              </w:rPr>
            </w:pPr>
            <w:r>
              <w:rPr>
                <w:color w:val="231F20"/>
                <w:w w:val="105"/>
                <w:sz w:val="17"/>
              </w:rPr>
              <w:t>26.1</w:t>
            </w:r>
          </w:p>
        </w:tc>
        <w:tc>
          <w:tcPr>
            <w:tcW w:w="1273" w:type="dxa"/>
          </w:tcPr>
          <w:p>
            <w:pPr>
              <w:pStyle w:val="TableParagraph"/>
              <w:ind w:left="454" w:right="444"/>
              <w:rPr>
                <w:sz w:val="17"/>
              </w:rPr>
            </w:pPr>
            <w:r>
              <w:rPr>
                <w:color w:val="231F20"/>
                <w:w w:val="105"/>
                <w:sz w:val="17"/>
              </w:rPr>
              <w:t>23.3</w:t>
            </w:r>
          </w:p>
        </w:tc>
        <w:tc>
          <w:tcPr>
            <w:tcW w:w="1125" w:type="dxa"/>
          </w:tcPr>
          <w:p>
            <w:pPr>
              <w:pStyle w:val="TableParagraph"/>
              <w:ind w:right="421"/>
              <w:jc w:val="right"/>
              <w:rPr>
                <w:sz w:val="17"/>
              </w:rPr>
            </w:pPr>
            <w:r>
              <w:rPr>
                <w:color w:val="231F20"/>
                <w:w w:val="105"/>
                <w:sz w:val="17"/>
              </w:rPr>
              <w:t>2.8</w:t>
            </w:r>
          </w:p>
        </w:tc>
      </w:tr>
      <w:tr>
        <w:trPr>
          <w:trHeight w:val="210" w:hRule="exact"/>
        </w:trPr>
        <w:tc>
          <w:tcPr>
            <w:tcW w:w="2007" w:type="dxa"/>
          </w:tcPr>
          <w:p>
            <w:pPr>
              <w:pStyle w:val="TableParagraph"/>
              <w:ind w:left="35"/>
              <w:jc w:val="left"/>
              <w:rPr>
                <w:sz w:val="17"/>
              </w:rPr>
            </w:pPr>
            <w:r>
              <w:rPr>
                <w:color w:val="231F20"/>
                <w:w w:val="110"/>
                <w:sz w:val="17"/>
              </w:rPr>
              <w:t>Yucatán</w:t>
            </w:r>
          </w:p>
        </w:tc>
        <w:tc>
          <w:tcPr>
            <w:tcW w:w="1294" w:type="dxa"/>
          </w:tcPr>
          <w:p>
            <w:pPr>
              <w:pStyle w:val="TableParagraph"/>
              <w:ind w:left="455" w:right="466"/>
              <w:rPr>
                <w:sz w:val="17"/>
              </w:rPr>
            </w:pPr>
            <w:r>
              <w:rPr>
                <w:color w:val="231F20"/>
                <w:w w:val="105"/>
                <w:sz w:val="17"/>
              </w:rPr>
              <w:t>25.5</w:t>
            </w:r>
          </w:p>
        </w:tc>
        <w:tc>
          <w:tcPr>
            <w:tcW w:w="1296" w:type="dxa"/>
          </w:tcPr>
          <w:p>
            <w:pPr>
              <w:pStyle w:val="TableParagraph"/>
              <w:ind w:left="466" w:right="455"/>
              <w:rPr>
                <w:sz w:val="17"/>
              </w:rPr>
            </w:pPr>
            <w:r>
              <w:rPr>
                <w:color w:val="231F20"/>
                <w:w w:val="105"/>
                <w:sz w:val="17"/>
              </w:rPr>
              <w:t>26.1</w:t>
            </w:r>
          </w:p>
        </w:tc>
        <w:tc>
          <w:tcPr>
            <w:tcW w:w="1273" w:type="dxa"/>
          </w:tcPr>
          <w:p>
            <w:pPr>
              <w:pStyle w:val="TableParagraph"/>
              <w:ind w:left="454" w:right="444"/>
              <w:rPr>
                <w:sz w:val="17"/>
              </w:rPr>
            </w:pPr>
            <w:r>
              <w:rPr>
                <w:color w:val="231F20"/>
                <w:w w:val="105"/>
                <w:sz w:val="17"/>
              </w:rPr>
              <w:t>25.0</w:t>
            </w:r>
          </w:p>
        </w:tc>
        <w:tc>
          <w:tcPr>
            <w:tcW w:w="1125" w:type="dxa"/>
          </w:tcPr>
          <w:p>
            <w:pPr>
              <w:pStyle w:val="TableParagraph"/>
              <w:ind w:right="421"/>
              <w:jc w:val="right"/>
              <w:rPr>
                <w:sz w:val="17"/>
              </w:rPr>
            </w:pPr>
            <w:r>
              <w:rPr>
                <w:color w:val="231F20"/>
                <w:w w:val="105"/>
                <w:sz w:val="17"/>
              </w:rPr>
              <w:t>1.1</w:t>
            </w:r>
          </w:p>
        </w:tc>
      </w:tr>
      <w:tr>
        <w:trPr>
          <w:trHeight w:val="276" w:hRule="exact"/>
        </w:trPr>
        <w:tc>
          <w:tcPr>
            <w:tcW w:w="2007" w:type="dxa"/>
            <w:tcBorders>
              <w:bottom w:val="single" w:sz="3" w:space="0" w:color="231F20"/>
            </w:tcBorders>
          </w:tcPr>
          <w:p>
            <w:pPr>
              <w:pStyle w:val="TableParagraph"/>
              <w:ind w:left="35"/>
              <w:jc w:val="left"/>
              <w:rPr>
                <w:sz w:val="17"/>
              </w:rPr>
            </w:pPr>
            <w:r>
              <w:rPr>
                <w:color w:val="231F20"/>
                <w:w w:val="110"/>
                <w:sz w:val="17"/>
              </w:rPr>
              <w:t>Zacatecas</w:t>
            </w:r>
          </w:p>
        </w:tc>
        <w:tc>
          <w:tcPr>
            <w:tcW w:w="1294" w:type="dxa"/>
            <w:tcBorders>
              <w:bottom w:val="single" w:sz="3" w:space="0" w:color="231F20"/>
            </w:tcBorders>
          </w:tcPr>
          <w:p>
            <w:pPr>
              <w:pStyle w:val="TableParagraph"/>
              <w:ind w:left="455" w:right="466"/>
              <w:rPr>
                <w:sz w:val="17"/>
              </w:rPr>
            </w:pPr>
            <w:r>
              <w:rPr>
                <w:color w:val="231F20"/>
                <w:w w:val="105"/>
                <w:sz w:val="17"/>
              </w:rPr>
              <w:t>23.7</w:t>
            </w:r>
          </w:p>
        </w:tc>
        <w:tc>
          <w:tcPr>
            <w:tcW w:w="1296" w:type="dxa"/>
            <w:tcBorders>
              <w:bottom w:val="single" w:sz="3" w:space="0" w:color="231F20"/>
            </w:tcBorders>
          </w:tcPr>
          <w:p>
            <w:pPr>
              <w:pStyle w:val="TableParagraph"/>
              <w:ind w:left="466" w:right="455"/>
              <w:rPr>
                <w:sz w:val="17"/>
              </w:rPr>
            </w:pPr>
            <w:r>
              <w:rPr>
                <w:color w:val="231F20"/>
                <w:w w:val="105"/>
                <w:sz w:val="17"/>
              </w:rPr>
              <w:t>25.3</w:t>
            </w:r>
          </w:p>
        </w:tc>
        <w:tc>
          <w:tcPr>
            <w:tcW w:w="1273" w:type="dxa"/>
            <w:tcBorders>
              <w:bottom w:val="single" w:sz="3" w:space="0" w:color="231F20"/>
            </w:tcBorders>
          </w:tcPr>
          <w:p>
            <w:pPr>
              <w:pStyle w:val="TableParagraph"/>
              <w:ind w:left="454" w:right="444"/>
              <w:rPr>
                <w:sz w:val="17"/>
              </w:rPr>
            </w:pPr>
            <w:r>
              <w:rPr>
                <w:color w:val="231F20"/>
                <w:w w:val="105"/>
                <w:sz w:val="17"/>
              </w:rPr>
              <w:t>22.1</w:t>
            </w:r>
          </w:p>
        </w:tc>
        <w:tc>
          <w:tcPr>
            <w:tcW w:w="1125" w:type="dxa"/>
            <w:tcBorders>
              <w:bottom w:val="single" w:sz="3" w:space="0" w:color="231F20"/>
            </w:tcBorders>
          </w:tcPr>
          <w:p>
            <w:pPr>
              <w:pStyle w:val="TableParagraph"/>
              <w:ind w:right="421"/>
              <w:jc w:val="right"/>
              <w:rPr>
                <w:sz w:val="17"/>
              </w:rPr>
            </w:pPr>
            <w:r>
              <w:rPr>
                <w:color w:val="231F20"/>
                <w:w w:val="105"/>
                <w:sz w:val="17"/>
              </w:rPr>
              <w:t>3.2</w:t>
            </w:r>
          </w:p>
        </w:tc>
      </w:tr>
    </w:tbl>
    <w:p>
      <w:pPr>
        <w:spacing w:line="170" w:lineRule="exact" w:before="70"/>
        <w:ind w:left="140" w:right="0" w:firstLine="360"/>
        <w:jc w:val="left"/>
        <w:rPr>
          <w:sz w:val="15"/>
        </w:rPr>
      </w:pPr>
      <w:r>
        <w:rPr>
          <w:color w:val="231F20"/>
          <w:w w:val="110"/>
          <w:sz w:val="15"/>
        </w:rPr>
        <w:t>Fuente: Elaboración propia con datos de la Encuesta Nacional de la Dinámica Demográfica, 2009, </w:t>
      </w:r>
      <w:r>
        <w:rPr>
          <w:rFonts w:ascii="Times New Roman" w:hAnsi="Times New Roman"/>
          <w:color w:val="231F20"/>
          <w:w w:val="110"/>
          <w:sz w:val="12"/>
        </w:rPr>
        <w:t>INEGI</w:t>
      </w:r>
      <w:r>
        <w:rPr>
          <w:color w:val="231F20"/>
          <w:w w:val="110"/>
          <w:sz w:val="15"/>
        </w:rPr>
        <w:t>.</w:t>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3"/>
        <w:rPr>
          <w:sz w:val="15"/>
        </w:rPr>
      </w:pPr>
    </w:p>
    <w:p>
      <w:pPr>
        <w:spacing w:before="0"/>
        <w:ind w:left="500" w:right="0" w:firstLine="0"/>
        <w:jc w:val="left"/>
        <w:rPr>
          <w:sz w:val="16"/>
        </w:rPr>
      </w:pPr>
      <w:r>
        <w:rPr>
          <w:color w:val="231F20"/>
          <w:w w:val="110"/>
          <w:position w:val="5"/>
          <w:sz w:val="9"/>
        </w:rPr>
        <w:t>6 </w:t>
      </w:r>
      <w:r>
        <w:rPr>
          <w:color w:val="231F20"/>
          <w:w w:val="110"/>
          <w:sz w:val="16"/>
        </w:rPr>
        <w:t>Incluye casados y en unión  libre.</w:t>
      </w:r>
    </w:p>
    <w:p>
      <w:pPr>
        <w:spacing w:after="0"/>
        <w:jc w:val="left"/>
        <w:rPr>
          <w:sz w:val="16"/>
        </w:rPr>
        <w:sectPr>
          <w:footerReference w:type="even" r:id="rId60"/>
          <w:footerReference w:type="default" r:id="rId61"/>
          <w:pgSz w:w="9520" w:h="12920"/>
          <w:pgMar w:footer="1344" w:header="0" w:top="880" w:bottom="1540" w:left="980" w:right="1320"/>
        </w:sectPr>
      </w:pPr>
    </w:p>
    <w:p>
      <w:pPr>
        <w:spacing w:line="285" w:lineRule="auto" w:before="39"/>
        <w:ind w:left="124" w:right="3507" w:firstLine="0"/>
        <w:jc w:val="left"/>
        <w:rPr>
          <w:rFonts w:ascii="Times New Roman" w:hAnsi="Times New Roman"/>
          <w:i/>
          <w:sz w:val="19"/>
        </w:rPr>
      </w:pPr>
      <w:r>
        <w:rPr>
          <w:rFonts w:ascii="Times New Roman" w:hAnsi="Times New Roman"/>
          <w:i/>
          <w:color w:val="231F20"/>
          <w:sz w:val="24"/>
        </w:rPr>
        <w:t>L</w:t>
      </w:r>
      <w:r>
        <w:rPr>
          <w:rFonts w:ascii="Times New Roman" w:hAnsi="Times New Roman"/>
          <w:i/>
          <w:color w:val="231F20"/>
          <w:sz w:val="19"/>
        </w:rPr>
        <w:t>A CONDICIÓN DE UNIÓN POR ENTIDAD </w:t>
      </w:r>
      <w:r>
        <w:rPr>
          <w:rFonts w:ascii="Times New Roman" w:hAnsi="Times New Roman"/>
          <w:i/>
          <w:color w:val="231F20"/>
          <w:w w:val="95"/>
          <w:sz w:val="19"/>
        </w:rPr>
        <w:t>Y ALGUNOS DE SUS DIFERENCIALES</w:t>
      </w:r>
    </w:p>
    <w:p>
      <w:pPr>
        <w:pStyle w:val="BodyText"/>
        <w:spacing w:before="3"/>
        <w:rPr>
          <w:rFonts w:ascii="Times New Roman"/>
          <w:i/>
          <w:sz w:val="25"/>
        </w:rPr>
      </w:pPr>
    </w:p>
    <w:p>
      <w:pPr>
        <w:pStyle w:val="BodyText"/>
        <w:spacing w:line="288" w:lineRule="auto"/>
        <w:ind w:left="124" w:right="111"/>
        <w:jc w:val="both"/>
      </w:pPr>
      <w:r>
        <w:rPr>
          <w:color w:val="231F20"/>
          <w:w w:val="110"/>
        </w:rPr>
        <w:t>La condición de unión presenta marcados diferenciales por sexo, genera- ción y entidad federativa. La pluralidad del mosaico nacional exige</w:t>
      </w:r>
      <w:r>
        <w:rPr>
          <w:color w:val="231F20"/>
          <w:spacing w:val="-32"/>
          <w:w w:val="110"/>
        </w:rPr>
        <w:t> </w:t>
      </w:r>
      <w:r>
        <w:rPr>
          <w:color w:val="231F20"/>
          <w:w w:val="110"/>
        </w:rPr>
        <w:t>recono- cer los grandes cambios que </w:t>
      </w:r>
      <w:r>
        <w:rPr>
          <w:color w:val="231F20"/>
          <w:spacing w:val="-3"/>
          <w:w w:val="110"/>
        </w:rPr>
        <w:t>existen </w:t>
      </w:r>
      <w:r>
        <w:rPr>
          <w:color w:val="231F20"/>
          <w:w w:val="110"/>
        </w:rPr>
        <w:t>en la toma de decisiones con respecto a la unión o la separación. En esto no sólo se conjugan elementos econó- </w:t>
      </w:r>
      <w:r>
        <w:rPr>
          <w:color w:val="231F20"/>
          <w:spacing w:val="2"/>
          <w:w w:val="110"/>
        </w:rPr>
        <w:t>micos, también algunos elementos culturales </w:t>
      </w:r>
      <w:r>
        <w:rPr>
          <w:color w:val="231F20"/>
          <w:w w:val="110"/>
        </w:rPr>
        <w:t>que han </w:t>
      </w:r>
      <w:r>
        <w:rPr>
          <w:color w:val="231F20"/>
          <w:spacing w:val="2"/>
          <w:w w:val="110"/>
        </w:rPr>
        <w:t>ganado </w:t>
      </w:r>
      <w:r>
        <w:rPr>
          <w:color w:val="231F20"/>
          <w:w w:val="110"/>
        </w:rPr>
        <w:t>un </w:t>
      </w:r>
      <w:r>
        <w:rPr>
          <w:color w:val="231F20"/>
          <w:spacing w:val="2"/>
          <w:w w:val="110"/>
        </w:rPr>
        <w:t>peso </w:t>
      </w:r>
      <w:r>
        <w:rPr>
          <w:color w:val="231F20"/>
          <w:w w:val="110"/>
        </w:rPr>
        <w:t>particular. Así, la prolongación de la juventud es uno de los fenómenos más evidentes en México. Las edades para casarse o unirse, la reproduc- ción y la sexualidad coital se han separado abruptamente, mientras que la formación para el trabajo remunerado extradoméstico ha crecido acelera- damente.</w:t>
      </w:r>
    </w:p>
    <w:p>
      <w:pPr>
        <w:pStyle w:val="BodyText"/>
        <w:spacing w:line="288" w:lineRule="auto"/>
        <w:ind w:left="124" w:right="112" w:firstLine="360"/>
        <w:jc w:val="both"/>
      </w:pPr>
      <w:r>
        <w:rPr>
          <w:color w:val="231F20"/>
          <w:w w:val="110"/>
        </w:rPr>
        <w:t>A continuación se presentan algunas tablas comparativas que se orga- nizan para su presentación por grupos de edad 20-24, 30-34 y 50-54 años. Consideramos que estos grupos de edad marcan diferencias importantes en el comportamiento de los individuos que nos interesa mostrar de ma- nera específica. Los primeros dos grupos reflejan edades de transición en donde se podrá apreciar si las personas ya atravesaron o no por la etapa, en este caso, iniciar una vida en pareja. El último grupo de edad es consi- derado como un límite para haber transitado o no por esta etapa de vida. Pero también se hace una lectura comparativa por sexo, grupos de edad y </w:t>
      </w:r>
      <w:r>
        <w:rPr>
          <w:color w:val="231F20"/>
          <w:w w:val="105"/>
        </w:rPr>
        <w:t>entidad  federativa.</w:t>
      </w:r>
    </w:p>
    <w:p>
      <w:pPr>
        <w:pStyle w:val="BodyText"/>
        <w:spacing w:before="3"/>
        <w:rPr>
          <w:sz w:val="23"/>
        </w:rPr>
      </w:pPr>
    </w:p>
    <w:p>
      <w:pPr>
        <w:pStyle w:val="Heading3"/>
        <w:rPr>
          <w:i/>
        </w:rPr>
      </w:pPr>
      <w:r>
        <w:rPr>
          <w:i/>
          <w:color w:val="231F20"/>
          <w:w w:val="105"/>
        </w:rPr>
        <w:t>El grupo de edad 20-24</w:t>
      </w:r>
    </w:p>
    <w:p>
      <w:pPr>
        <w:pStyle w:val="BodyText"/>
        <w:spacing w:before="4"/>
        <w:rPr>
          <w:rFonts w:ascii="Calibri"/>
          <w:i/>
          <w:sz w:val="22"/>
        </w:rPr>
      </w:pPr>
    </w:p>
    <w:p>
      <w:pPr>
        <w:pStyle w:val="BodyText"/>
        <w:spacing w:line="288" w:lineRule="auto"/>
        <w:ind w:left="124" w:right="112"/>
        <w:jc w:val="both"/>
      </w:pPr>
      <w:r>
        <w:rPr>
          <w:color w:val="231F20"/>
          <w:w w:val="110"/>
        </w:rPr>
        <w:t>Las personas más jóvenes han alterado de manera importante sus decisio- nes respecto a la unión. Lo anterior no sólo significa un cambio en su si- tuación conyugal, sino que también simboliza una transformación en la percepción de lo que debería ser su vida. Uno de los cambios más eviden- tes y relevantes es el aumento de la soltería y de las uniones libres. En algunos grupos sociales, sobre todo en las entidades que podríamos deno- minar como más desarrolladas, tanto hombres como mujeres han resigni- ficado el matrimonio. En los cuadros 2 y 3 se compara la distribución porcentual de los hombres y de las mujeres de entre 20 y 24 años en función de su situación conyugal para los años 1990 y  2010.</w:t>
      </w:r>
    </w:p>
    <w:p>
      <w:pPr>
        <w:spacing w:after="0" w:line="288" w:lineRule="auto"/>
        <w:jc w:val="both"/>
        <w:sectPr>
          <w:pgSz w:w="9520" w:h="12920"/>
          <w:pgMar w:header="0" w:footer="1344" w:top="880" w:bottom="1540" w:left="1320" w:right="100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6"/>
        </w:rPr>
      </w:pPr>
    </w:p>
    <w:p>
      <w:pPr>
        <w:spacing w:line="185" w:lineRule="exact" w:before="78"/>
        <w:ind w:left="1353" w:right="1297" w:firstLine="0"/>
        <w:jc w:val="center"/>
        <w:rPr>
          <w:sz w:val="16"/>
        </w:rPr>
      </w:pPr>
      <w:r>
        <w:rPr>
          <w:color w:val="231F20"/>
          <w:w w:val="105"/>
          <w:sz w:val="16"/>
        </w:rPr>
        <w:t>Cuadro 2</w:t>
      </w:r>
    </w:p>
    <w:p>
      <w:pPr>
        <w:spacing w:line="220" w:lineRule="exact" w:before="0"/>
        <w:ind w:left="1353" w:right="1297" w:firstLine="0"/>
        <w:jc w:val="center"/>
        <w:rPr>
          <w:sz w:val="19"/>
        </w:rPr>
      </w:pPr>
      <w:r>
        <w:rPr>
          <w:color w:val="231F20"/>
          <w:w w:val="90"/>
          <w:sz w:val="19"/>
        </w:rPr>
        <w:t>Distribución porcentual de hombres de 20-24 años por condición de unión, por entidad federativa, 1990 y 2010</w:t>
      </w:r>
    </w:p>
    <w:p>
      <w:pPr>
        <w:pStyle w:val="BodyText"/>
        <w:spacing w:before="6"/>
        <w:rPr>
          <w:sz w:val="13"/>
        </w:rPr>
      </w:pPr>
      <w:r>
        <w:rPr/>
        <w:pict>
          <v:group style="position:absolute;margin-left:69.223801pt;margin-top:9.889404pt;width:528.1pt;height:.4pt;mso-position-horizontal-relative:page;mso-position-vertical-relative:paragraph;z-index:1600;mso-wrap-distance-left:0;mso-wrap-distance-right:0" coordorigin="1384,198" coordsize="10562,8">
            <v:line style="position:absolute" from="1388,202" to="3017,202" stroked="true" strokeweight=".4pt" strokecolor="#231f20"/>
            <v:line style="position:absolute" from="3017,202" to="3784,202" stroked="true" strokeweight=".4pt" strokecolor="#231f20"/>
            <v:line style="position:absolute" from="3785,202" to="4661,202" stroked="true" strokeweight=".4pt" strokecolor="#231f20"/>
            <v:line style="position:absolute" from="4661,202" to="5696,202" stroked="true" strokeweight=".4pt" strokecolor="#231f20"/>
            <v:line style="position:absolute" from="5696,202" to="6781,202" stroked="true" strokeweight=".4pt" strokecolor="#231f20"/>
            <v:line style="position:absolute" from="6781,202" to="7553,202" stroked="true" strokeweight=".4pt" strokecolor="#231f20"/>
            <v:line style="position:absolute" from="7553,202" to="8378,202" stroked="true" strokeweight=".4pt" strokecolor="#231f20"/>
            <v:line style="position:absolute" from="8378,202" to="9172,202" stroked="true" strokeweight=".4pt" strokecolor="#231f20"/>
            <v:line style="position:absolute" from="9172,202" to="10243,202" stroked="true" strokeweight=".4pt" strokecolor="#231f20"/>
            <v:line style="position:absolute" from="10244,202" to="11222,202" stroked="true" strokeweight=".4pt" strokecolor="#231f20"/>
            <v:line style="position:absolute" from="11222,202" to="11942,202" stroked="true" strokeweight=".4pt" strokecolor="#231f20"/>
            <w10:wrap type="topAndBottom"/>
          </v:group>
        </w:pict>
      </w:r>
    </w:p>
    <w:p>
      <w:pPr>
        <w:pStyle w:val="BodyText"/>
        <w:spacing w:before="8"/>
        <w:rPr>
          <w:sz w:val="6"/>
        </w:rPr>
      </w:pPr>
    </w:p>
    <w:p>
      <w:pPr>
        <w:pStyle w:val="BodyText"/>
        <w:ind w:left="1773"/>
      </w:pPr>
      <w:r>
        <w:rPr/>
        <w:pict>
          <v:group style="width:446.65pt;height:19.650pt;mso-position-horizontal-relative:char;mso-position-vertical-relative:line" coordorigin="0,0" coordsize="8933,393">
            <v:line style="position:absolute" from="4,288" to="772,288" stroked="true" strokeweight=".4pt" strokecolor="#231f20"/>
            <v:line style="position:absolute" from="772,288" to="1648,288" stroked="true" strokeweight=".4pt" strokecolor="#231f20"/>
            <v:line style="position:absolute" from="1648,288" to="2683,288" stroked="true" strokeweight=".4pt" strokecolor="#231f20"/>
            <v:line style="position:absolute" from="2683,288" to="3768,288" stroked="true" strokeweight=".4pt" strokecolor="#231f20"/>
            <v:line style="position:absolute" from="3768,288" to="4540,288" stroked="true" strokeweight=".4pt" strokecolor="#231f20"/>
            <v:line style="position:absolute" from="4540,288" to="5365,288" stroked="true" strokeweight=".4pt" strokecolor="#231f20"/>
            <v:line style="position:absolute" from="5365,288" to="6159,288" stroked="true" strokeweight=".4pt" strokecolor="#231f20"/>
            <v:line style="position:absolute" from="6159,288" to="7231,288" stroked="true" strokeweight=".4pt" strokecolor="#231f20"/>
            <v:line style="position:absolute" from="7231,288" to="8209,288" stroked="true" strokeweight=".4pt" strokecolor="#231f20"/>
            <v:line style="position:absolute" from="8209,288" to="8929,288" stroked="true" strokeweight=".4pt" strokecolor="#231f20"/>
            <v:line style="position:absolute" from="4523,96" to="4523,360" stroked="true" strokeweight="3.3pt" strokecolor="#ffffff"/>
            <v:shape style="position:absolute;left:2096;top:0;width:347;height:170" type="#_x0000_t202" filled="false" stroked="false">
              <v:textbox inset="0,0,0,0">
                <w:txbxContent>
                  <w:p>
                    <w:pPr>
                      <w:spacing w:line="170" w:lineRule="exact" w:before="0"/>
                      <w:ind w:left="0" w:right="-15" w:firstLine="0"/>
                      <w:jc w:val="left"/>
                      <w:rPr>
                        <w:i/>
                        <w:sz w:val="17"/>
                      </w:rPr>
                    </w:pPr>
                    <w:r>
                      <w:rPr>
                        <w:i/>
                        <w:color w:val="231F20"/>
                        <w:w w:val="95"/>
                        <w:sz w:val="17"/>
                      </w:rPr>
                      <w:t>1990</w:t>
                    </w:r>
                  </w:p>
                </w:txbxContent>
              </v:textbox>
              <w10:wrap type="none"/>
            </v:shape>
            <v:shape style="position:absolute;left:6565;top:0;width:347;height:170" type="#_x0000_t202" filled="false" stroked="false">
              <v:textbox inset="0,0,0,0">
                <w:txbxContent>
                  <w:p>
                    <w:pPr>
                      <w:spacing w:line="170" w:lineRule="exact" w:before="0"/>
                      <w:ind w:left="0" w:right="-15" w:firstLine="0"/>
                      <w:jc w:val="left"/>
                      <w:rPr>
                        <w:i/>
                        <w:sz w:val="17"/>
                      </w:rPr>
                    </w:pPr>
                    <w:r>
                      <w:rPr>
                        <w:i/>
                        <w:color w:val="231F20"/>
                        <w:w w:val="95"/>
                        <w:sz w:val="17"/>
                      </w:rPr>
                      <w:t>2010</w:t>
                    </w:r>
                  </w:p>
                </w:txbxContent>
              </v:textbox>
              <w10:wrap type="none"/>
            </v:shape>
          </v:group>
        </w:pict>
      </w:r>
      <w:r>
        <w:rPr/>
      </w:r>
    </w:p>
    <w:p>
      <w:pPr>
        <w:spacing w:after="0"/>
        <w:sectPr>
          <w:footerReference w:type="even" r:id="rId62"/>
          <w:pgSz w:w="12920" w:h="9520" w:orient="landscape"/>
          <w:pgMar w:footer="2596" w:header="0" w:top="880" w:bottom="2780" w:left="1240" w:right="860"/>
          <w:pgNumType w:start="2"/>
        </w:sectPr>
      </w:pPr>
    </w:p>
    <w:p>
      <w:pPr>
        <w:pStyle w:val="BodyText"/>
        <w:spacing w:before="5"/>
        <w:rPr>
          <w:sz w:val="12"/>
        </w:rPr>
      </w:pPr>
    </w:p>
    <w:p>
      <w:pPr>
        <w:tabs>
          <w:tab w:pos="1859" w:val="left" w:leader="none"/>
          <w:tab w:pos="2667" w:val="left" w:leader="none"/>
          <w:tab w:pos="3516" w:val="left" w:leader="none"/>
        </w:tabs>
        <w:spacing w:before="0"/>
        <w:ind w:left="665" w:right="0" w:firstLine="0"/>
        <w:jc w:val="left"/>
        <w:rPr>
          <w:i/>
          <w:sz w:val="17"/>
        </w:rPr>
      </w:pPr>
      <w:r>
        <w:rPr>
          <w:i/>
          <w:color w:val="231F20"/>
          <w:w w:val="105"/>
          <w:sz w:val="17"/>
        </w:rPr>
        <w:t>Entidad</w:t>
        <w:tab/>
        <w:t>Solteros</w:t>
        <w:tab/>
        <w:t>Casados</w:t>
        <w:tab/>
        <w:t>Unión</w:t>
      </w:r>
      <w:r>
        <w:rPr>
          <w:i/>
          <w:color w:val="231F20"/>
          <w:spacing w:val="18"/>
          <w:w w:val="105"/>
          <w:sz w:val="17"/>
        </w:rPr>
        <w:t> </w:t>
      </w:r>
      <w:r>
        <w:rPr>
          <w:i/>
          <w:color w:val="231F20"/>
          <w:w w:val="105"/>
          <w:sz w:val="17"/>
        </w:rPr>
        <w:t>libre</w:t>
      </w:r>
    </w:p>
    <w:p>
      <w:pPr>
        <w:spacing w:line="151" w:lineRule="exact" w:before="0"/>
        <w:ind w:left="323" w:right="0" w:firstLine="0"/>
        <w:jc w:val="left"/>
        <w:rPr>
          <w:i/>
          <w:sz w:val="17"/>
        </w:rPr>
      </w:pPr>
      <w:r>
        <w:rPr/>
        <w:br w:type="column"/>
      </w:r>
      <w:r>
        <w:rPr>
          <w:i/>
          <w:color w:val="231F20"/>
          <w:w w:val="110"/>
          <w:sz w:val="17"/>
        </w:rPr>
        <w:t>Alguna</w:t>
      </w:r>
    </w:p>
    <w:p>
      <w:pPr>
        <w:tabs>
          <w:tab w:pos="1338" w:val="left" w:leader="none"/>
          <w:tab w:pos="2023" w:val="left" w:leader="none"/>
        </w:tabs>
        <w:spacing w:line="195" w:lineRule="exact" w:before="0"/>
        <w:ind w:left="193" w:right="0" w:firstLine="0"/>
        <w:jc w:val="left"/>
        <w:rPr>
          <w:i/>
          <w:sz w:val="17"/>
        </w:rPr>
      </w:pPr>
      <w:r>
        <w:rPr>
          <w:i/>
          <w:color w:val="231F20"/>
          <w:w w:val="105"/>
          <w:sz w:val="17"/>
        </w:rPr>
        <w:t>vez</w:t>
      </w:r>
      <w:r>
        <w:rPr>
          <w:i/>
          <w:color w:val="231F20"/>
          <w:spacing w:val="16"/>
          <w:w w:val="105"/>
          <w:sz w:val="17"/>
        </w:rPr>
        <w:t> </w:t>
      </w:r>
      <w:r>
        <w:rPr>
          <w:i/>
          <w:color w:val="231F20"/>
          <w:w w:val="105"/>
          <w:sz w:val="17"/>
        </w:rPr>
        <w:t>unidos</w:t>
        <w:tab/>
        <w:t>Total</w:t>
        <w:tab/>
        <w:t>Solteros     Casados     Unión </w:t>
      </w:r>
      <w:r>
        <w:rPr>
          <w:i/>
          <w:color w:val="231F20"/>
          <w:spacing w:val="4"/>
          <w:w w:val="105"/>
          <w:sz w:val="17"/>
        </w:rPr>
        <w:t> </w:t>
      </w:r>
      <w:r>
        <w:rPr>
          <w:i/>
          <w:color w:val="231F20"/>
          <w:w w:val="105"/>
          <w:sz w:val="17"/>
        </w:rPr>
        <w:t>libre</w:t>
      </w:r>
    </w:p>
    <w:p>
      <w:pPr>
        <w:spacing w:line="151" w:lineRule="exact" w:before="0"/>
        <w:ind w:left="137" w:right="0" w:firstLine="0"/>
        <w:jc w:val="left"/>
        <w:rPr>
          <w:i/>
          <w:sz w:val="17"/>
        </w:rPr>
      </w:pPr>
      <w:r>
        <w:rPr/>
        <w:br w:type="column"/>
      </w:r>
      <w:r>
        <w:rPr>
          <w:i/>
          <w:color w:val="231F20"/>
          <w:w w:val="110"/>
          <w:sz w:val="17"/>
        </w:rPr>
        <w:t>Alguna vez</w:t>
      </w:r>
    </w:p>
    <w:p>
      <w:pPr>
        <w:tabs>
          <w:tab w:pos="1224" w:val="left" w:leader="none"/>
        </w:tabs>
        <w:spacing w:line="195" w:lineRule="exact" w:before="0"/>
        <w:ind w:left="309" w:right="0" w:firstLine="0"/>
        <w:jc w:val="left"/>
        <w:rPr>
          <w:i/>
          <w:sz w:val="17"/>
        </w:rPr>
      </w:pPr>
      <w:r>
        <w:rPr>
          <w:i/>
          <w:color w:val="231F20"/>
          <w:w w:val="105"/>
          <w:sz w:val="17"/>
        </w:rPr>
        <w:t>unidos</w:t>
        <w:tab/>
        <w:t>Total</w:t>
      </w:r>
    </w:p>
    <w:p>
      <w:pPr>
        <w:spacing w:after="0" w:line="195" w:lineRule="exact"/>
        <w:jc w:val="left"/>
        <w:rPr>
          <w:sz w:val="17"/>
        </w:rPr>
        <w:sectPr>
          <w:type w:val="continuous"/>
          <w:pgSz w:w="12920" w:h="9520" w:orient="landscape"/>
          <w:pgMar w:top="0" w:bottom="0" w:left="1240" w:right="860"/>
          <w:cols w:num="3" w:equalWidth="0">
            <w:col w:w="4361" w:space="40"/>
            <w:col w:w="4490" w:space="40"/>
            <w:col w:w="1889"/>
          </w:cols>
        </w:sectPr>
      </w:pPr>
    </w:p>
    <w:p>
      <w:pPr>
        <w:pStyle w:val="BodyText"/>
        <w:rPr>
          <w:i/>
          <w:sz w:val="7"/>
        </w:r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07"/>
        <w:gridCol w:w="751"/>
        <w:gridCol w:w="885"/>
        <w:gridCol w:w="1032"/>
        <w:gridCol w:w="962"/>
        <w:gridCol w:w="865"/>
        <w:gridCol w:w="815"/>
        <w:gridCol w:w="871"/>
        <w:gridCol w:w="1003"/>
        <w:gridCol w:w="900"/>
        <w:gridCol w:w="797"/>
      </w:tblGrid>
      <w:tr>
        <w:trPr>
          <w:trHeight w:val="303" w:hRule="exact"/>
        </w:trPr>
        <w:tc>
          <w:tcPr>
            <w:tcW w:w="1707" w:type="dxa"/>
            <w:tcBorders>
              <w:top w:val="single" w:sz="3" w:space="0" w:color="231F20"/>
            </w:tcBorders>
          </w:tcPr>
          <w:p>
            <w:pPr>
              <w:pStyle w:val="TableParagraph"/>
              <w:spacing w:line="240" w:lineRule="auto" w:before="84"/>
              <w:ind w:left="35"/>
              <w:jc w:val="left"/>
              <w:rPr>
                <w:sz w:val="17"/>
              </w:rPr>
            </w:pPr>
            <w:r>
              <w:rPr>
                <w:color w:val="231F20"/>
                <w:w w:val="110"/>
                <w:sz w:val="17"/>
              </w:rPr>
              <w:t>Nacional</w:t>
            </w:r>
          </w:p>
        </w:tc>
        <w:tc>
          <w:tcPr>
            <w:tcW w:w="751" w:type="dxa"/>
            <w:tcBorders>
              <w:top w:val="single" w:sz="3" w:space="0" w:color="231F20"/>
            </w:tcBorders>
          </w:tcPr>
          <w:p>
            <w:pPr>
              <w:pStyle w:val="TableParagraph"/>
              <w:spacing w:line="240" w:lineRule="auto" w:before="84"/>
              <w:ind w:left="173"/>
              <w:jc w:val="left"/>
              <w:rPr>
                <w:sz w:val="17"/>
              </w:rPr>
            </w:pPr>
            <w:r>
              <w:rPr>
                <w:color w:val="231F20"/>
                <w:w w:val="105"/>
                <w:sz w:val="17"/>
              </w:rPr>
              <w:t>61.6</w:t>
            </w:r>
          </w:p>
        </w:tc>
        <w:tc>
          <w:tcPr>
            <w:tcW w:w="885" w:type="dxa"/>
            <w:tcBorders>
              <w:top w:val="single" w:sz="3" w:space="0" w:color="231F20"/>
            </w:tcBorders>
          </w:tcPr>
          <w:p>
            <w:pPr>
              <w:pStyle w:val="TableParagraph"/>
              <w:spacing w:line="240" w:lineRule="auto" w:before="84"/>
              <w:ind w:left="244"/>
              <w:jc w:val="left"/>
              <w:rPr>
                <w:sz w:val="17"/>
              </w:rPr>
            </w:pPr>
            <w:r>
              <w:rPr>
                <w:color w:val="231F20"/>
                <w:w w:val="105"/>
                <w:sz w:val="17"/>
              </w:rPr>
              <w:t>28.6</w:t>
            </w:r>
          </w:p>
        </w:tc>
        <w:tc>
          <w:tcPr>
            <w:tcW w:w="1032" w:type="dxa"/>
            <w:tcBorders>
              <w:top w:val="single" w:sz="3" w:space="0" w:color="231F20"/>
            </w:tcBorders>
          </w:tcPr>
          <w:p>
            <w:pPr>
              <w:pStyle w:val="TableParagraph"/>
              <w:spacing w:line="240" w:lineRule="auto" w:before="84"/>
              <w:ind w:right="390"/>
              <w:jc w:val="right"/>
              <w:rPr>
                <w:sz w:val="17"/>
              </w:rPr>
            </w:pPr>
            <w:r>
              <w:rPr>
                <w:color w:val="231F20"/>
                <w:w w:val="105"/>
                <w:sz w:val="17"/>
              </w:rPr>
              <w:t>9.1</w:t>
            </w:r>
          </w:p>
        </w:tc>
        <w:tc>
          <w:tcPr>
            <w:tcW w:w="962" w:type="dxa"/>
            <w:tcBorders>
              <w:top w:val="single" w:sz="3" w:space="0" w:color="231F20"/>
            </w:tcBorders>
          </w:tcPr>
          <w:p>
            <w:pPr>
              <w:pStyle w:val="TableParagraph"/>
              <w:spacing w:line="240" w:lineRule="auto" w:before="84"/>
              <w:ind w:left="373" w:right="314"/>
              <w:rPr>
                <w:sz w:val="17"/>
              </w:rPr>
            </w:pPr>
            <w:r>
              <w:rPr>
                <w:color w:val="231F20"/>
                <w:w w:val="105"/>
                <w:sz w:val="17"/>
              </w:rPr>
              <w:t>0.7</w:t>
            </w:r>
          </w:p>
        </w:tc>
        <w:tc>
          <w:tcPr>
            <w:tcW w:w="865" w:type="dxa"/>
            <w:tcBorders>
              <w:top w:val="single" w:sz="3" w:space="0" w:color="231F20"/>
            </w:tcBorders>
          </w:tcPr>
          <w:p>
            <w:pPr>
              <w:pStyle w:val="TableParagraph"/>
              <w:spacing w:line="240" w:lineRule="auto" w:before="84"/>
              <w:ind w:right="241"/>
              <w:jc w:val="right"/>
              <w:rPr>
                <w:sz w:val="17"/>
              </w:rPr>
            </w:pPr>
            <w:r>
              <w:rPr>
                <w:color w:val="231F20"/>
                <w:sz w:val="17"/>
              </w:rPr>
              <w:t>100</w:t>
            </w:r>
          </w:p>
        </w:tc>
        <w:tc>
          <w:tcPr>
            <w:tcW w:w="815" w:type="dxa"/>
            <w:tcBorders>
              <w:top w:val="single" w:sz="3" w:space="0" w:color="231F20"/>
            </w:tcBorders>
          </w:tcPr>
          <w:p>
            <w:pPr>
              <w:pStyle w:val="TableParagraph"/>
              <w:spacing w:line="240" w:lineRule="auto" w:before="84"/>
              <w:ind w:left="223" w:right="218"/>
              <w:rPr>
                <w:sz w:val="17"/>
              </w:rPr>
            </w:pPr>
            <w:r>
              <w:rPr>
                <w:color w:val="231F20"/>
                <w:w w:val="105"/>
                <w:sz w:val="17"/>
              </w:rPr>
              <w:t>64.4</w:t>
            </w:r>
          </w:p>
        </w:tc>
        <w:tc>
          <w:tcPr>
            <w:tcW w:w="871" w:type="dxa"/>
            <w:tcBorders>
              <w:top w:val="single" w:sz="3" w:space="0" w:color="231F20"/>
            </w:tcBorders>
          </w:tcPr>
          <w:p>
            <w:pPr>
              <w:pStyle w:val="TableParagraph"/>
              <w:spacing w:line="240" w:lineRule="auto" w:before="84"/>
              <w:ind w:left="238"/>
              <w:jc w:val="left"/>
              <w:rPr>
                <w:sz w:val="17"/>
              </w:rPr>
            </w:pPr>
            <w:r>
              <w:rPr>
                <w:color w:val="231F20"/>
                <w:w w:val="105"/>
                <w:sz w:val="17"/>
              </w:rPr>
              <w:t>14.5</w:t>
            </w:r>
          </w:p>
        </w:tc>
        <w:tc>
          <w:tcPr>
            <w:tcW w:w="1003" w:type="dxa"/>
            <w:tcBorders>
              <w:top w:val="single" w:sz="3" w:space="0" w:color="231F20"/>
            </w:tcBorders>
          </w:tcPr>
          <w:p>
            <w:pPr>
              <w:pStyle w:val="TableParagraph"/>
              <w:spacing w:line="240" w:lineRule="auto" w:before="84"/>
              <w:ind w:left="299"/>
              <w:jc w:val="left"/>
              <w:rPr>
                <w:sz w:val="17"/>
              </w:rPr>
            </w:pPr>
            <w:r>
              <w:rPr>
                <w:color w:val="231F20"/>
                <w:w w:val="105"/>
                <w:sz w:val="17"/>
              </w:rPr>
              <w:t>19.7</w:t>
            </w:r>
          </w:p>
        </w:tc>
        <w:tc>
          <w:tcPr>
            <w:tcW w:w="900" w:type="dxa"/>
            <w:tcBorders>
              <w:top w:val="single" w:sz="3" w:space="0" w:color="231F20"/>
            </w:tcBorders>
          </w:tcPr>
          <w:p>
            <w:pPr>
              <w:pStyle w:val="TableParagraph"/>
              <w:spacing w:line="240" w:lineRule="auto" w:before="84"/>
              <w:ind w:right="291"/>
              <w:jc w:val="right"/>
              <w:rPr>
                <w:sz w:val="17"/>
              </w:rPr>
            </w:pPr>
            <w:r>
              <w:rPr>
                <w:color w:val="231F20"/>
                <w:w w:val="105"/>
                <w:sz w:val="17"/>
              </w:rPr>
              <w:t>1.4</w:t>
            </w:r>
          </w:p>
        </w:tc>
        <w:tc>
          <w:tcPr>
            <w:tcW w:w="797" w:type="dxa"/>
            <w:tcBorders>
              <w:top w:val="single" w:sz="3" w:space="0" w:color="231F20"/>
            </w:tcBorders>
          </w:tcPr>
          <w:p>
            <w:pPr>
              <w:pStyle w:val="TableParagraph"/>
              <w:spacing w:line="240" w:lineRule="auto" w:before="84"/>
              <w:ind w:right="213"/>
              <w:jc w:val="right"/>
              <w:rPr>
                <w:sz w:val="17"/>
              </w:rPr>
            </w:pPr>
            <w:r>
              <w:rPr>
                <w:color w:val="231F20"/>
                <w:sz w:val="17"/>
              </w:rPr>
              <w:t>100</w:t>
            </w:r>
          </w:p>
        </w:tc>
      </w:tr>
      <w:tr>
        <w:trPr>
          <w:trHeight w:val="210" w:hRule="exact"/>
        </w:trPr>
        <w:tc>
          <w:tcPr>
            <w:tcW w:w="1707" w:type="dxa"/>
          </w:tcPr>
          <w:p>
            <w:pPr>
              <w:pStyle w:val="TableParagraph"/>
              <w:ind w:left="35"/>
              <w:jc w:val="left"/>
              <w:rPr>
                <w:sz w:val="17"/>
              </w:rPr>
            </w:pPr>
            <w:r>
              <w:rPr>
                <w:color w:val="231F20"/>
                <w:w w:val="110"/>
                <w:sz w:val="17"/>
              </w:rPr>
              <w:t>Aguascalientes</w:t>
            </w:r>
          </w:p>
        </w:tc>
        <w:tc>
          <w:tcPr>
            <w:tcW w:w="751" w:type="dxa"/>
          </w:tcPr>
          <w:p>
            <w:pPr>
              <w:pStyle w:val="TableParagraph"/>
              <w:ind w:left="173"/>
              <w:jc w:val="left"/>
              <w:rPr>
                <w:sz w:val="17"/>
              </w:rPr>
            </w:pPr>
            <w:r>
              <w:rPr>
                <w:color w:val="231F20"/>
                <w:w w:val="105"/>
                <w:sz w:val="17"/>
              </w:rPr>
              <w:t>62.2</w:t>
            </w:r>
          </w:p>
        </w:tc>
        <w:tc>
          <w:tcPr>
            <w:tcW w:w="885" w:type="dxa"/>
          </w:tcPr>
          <w:p>
            <w:pPr>
              <w:pStyle w:val="TableParagraph"/>
              <w:ind w:left="244"/>
              <w:jc w:val="left"/>
              <w:rPr>
                <w:sz w:val="17"/>
              </w:rPr>
            </w:pPr>
            <w:r>
              <w:rPr>
                <w:color w:val="231F20"/>
                <w:w w:val="105"/>
                <w:sz w:val="17"/>
              </w:rPr>
              <w:t>34.8</w:t>
            </w:r>
          </w:p>
        </w:tc>
        <w:tc>
          <w:tcPr>
            <w:tcW w:w="1032" w:type="dxa"/>
          </w:tcPr>
          <w:p>
            <w:pPr>
              <w:pStyle w:val="TableParagraph"/>
              <w:ind w:right="390"/>
              <w:jc w:val="right"/>
              <w:rPr>
                <w:sz w:val="17"/>
              </w:rPr>
            </w:pPr>
            <w:r>
              <w:rPr>
                <w:color w:val="231F20"/>
                <w:w w:val="105"/>
                <w:sz w:val="17"/>
              </w:rPr>
              <w:t>2.5</w:t>
            </w:r>
          </w:p>
        </w:tc>
        <w:tc>
          <w:tcPr>
            <w:tcW w:w="962" w:type="dxa"/>
          </w:tcPr>
          <w:p>
            <w:pPr>
              <w:pStyle w:val="TableParagraph"/>
              <w:ind w:left="373" w:right="314"/>
              <w:rPr>
                <w:sz w:val="17"/>
              </w:rPr>
            </w:pPr>
            <w:r>
              <w:rPr>
                <w:color w:val="231F20"/>
                <w:w w:val="105"/>
                <w:sz w:val="17"/>
              </w:rPr>
              <w:t>0.5</w:t>
            </w:r>
          </w:p>
        </w:tc>
        <w:tc>
          <w:tcPr>
            <w:tcW w:w="865" w:type="dxa"/>
          </w:tcPr>
          <w:p>
            <w:pPr>
              <w:pStyle w:val="TableParagraph"/>
              <w:ind w:right="241"/>
              <w:jc w:val="right"/>
              <w:rPr>
                <w:sz w:val="17"/>
              </w:rPr>
            </w:pPr>
            <w:r>
              <w:rPr>
                <w:color w:val="231F20"/>
                <w:sz w:val="17"/>
              </w:rPr>
              <w:t>100</w:t>
            </w:r>
          </w:p>
        </w:tc>
        <w:tc>
          <w:tcPr>
            <w:tcW w:w="815" w:type="dxa"/>
          </w:tcPr>
          <w:p>
            <w:pPr>
              <w:pStyle w:val="TableParagraph"/>
              <w:ind w:left="223" w:right="218"/>
              <w:rPr>
                <w:sz w:val="17"/>
              </w:rPr>
            </w:pPr>
            <w:r>
              <w:rPr>
                <w:color w:val="231F20"/>
                <w:w w:val="105"/>
                <w:sz w:val="17"/>
              </w:rPr>
              <w:t>63.4</w:t>
            </w:r>
          </w:p>
        </w:tc>
        <w:tc>
          <w:tcPr>
            <w:tcW w:w="871" w:type="dxa"/>
          </w:tcPr>
          <w:p>
            <w:pPr>
              <w:pStyle w:val="TableParagraph"/>
              <w:ind w:left="238"/>
              <w:jc w:val="left"/>
              <w:rPr>
                <w:sz w:val="17"/>
              </w:rPr>
            </w:pPr>
            <w:r>
              <w:rPr>
                <w:color w:val="231F20"/>
                <w:w w:val="105"/>
                <w:sz w:val="17"/>
              </w:rPr>
              <w:t>18.5</w:t>
            </w:r>
          </w:p>
        </w:tc>
        <w:tc>
          <w:tcPr>
            <w:tcW w:w="1003" w:type="dxa"/>
          </w:tcPr>
          <w:p>
            <w:pPr>
              <w:pStyle w:val="TableParagraph"/>
              <w:ind w:left="299"/>
              <w:jc w:val="left"/>
              <w:rPr>
                <w:sz w:val="17"/>
              </w:rPr>
            </w:pPr>
            <w:r>
              <w:rPr>
                <w:color w:val="231F20"/>
                <w:w w:val="105"/>
                <w:sz w:val="17"/>
              </w:rPr>
              <w:t>16.8</w:t>
            </w:r>
          </w:p>
        </w:tc>
        <w:tc>
          <w:tcPr>
            <w:tcW w:w="900" w:type="dxa"/>
          </w:tcPr>
          <w:p>
            <w:pPr>
              <w:pStyle w:val="TableParagraph"/>
              <w:ind w:right="291"/>
              <w:jc w:val="right"/>
              <w:rPr>
                <w:sz w:val="17"/>
              </w:rPr>
            </w:pPr>
            <w:r>
              <w:rPr>
                <w:color w:val="231F20"/>
                <w:w w:val="105"/>
                <w:sz w:val="17"/>
              </w:rPr>
              <w:t>1.4</w:t>
            </w:r>
          </w:p>
        </w:tc>
        <w:tc>
          <w:tcPr>
            <w:tcW w:w="797" w:type="dxa"/>
          </w:tcPr>
          <w:p>
            <w:pPr>
              <w:pStyle w:val="TableParagraph"/>
              <w:ind w:right="213"/>
              <w:jc w:val="right"/>
              <w:rPr>
                <w:sz w:val="17"/>
              </w:rPr>
            </w:pPr>
            <w:r>
              <w:rPr>
                <w:color w:val="231F20"/>
                <w:sz w:val="17"/>
              </w:rPr>
              <w:t>100</w:t>
            </w:r>
          </w:p>
        </w:tc>
      </w:tr>
      <w:tr>
        <w:trPr>
          <w:trHeight w:val="210" w:hRule="exact"/>
        </w:trPr>
        <w:tc>
          <w:tcPr>
            <w:tcW w:w="1707" w:type="dxa"/>
          </w:tcPr>
          <w:p>
            <w:pPr>
              <w:pStyle w:val="TableParagraph"/>
              <w:ind w:left="35"/>
              <w:jc w:val="left"/>
              <w:rPr>
                <w:sz w:val="17"/>
              </w:rPr>
            </w:pPr>
            <w:r>
              <w:rPr>
                <w:color w:val="231F20"/>
                <w:w w:val="110"/>
                <w:sz w:val="17"/>
              </w:rPr>
              <w:t>Baja California</w:t>
            </w:r>
          </w:p>
        </w:tc>
        <w:tc>
          <w:tcPr>
            <w:tcW w:w="751" w:type="dxa"/>
          </w:tcPr>
          <w:p>
            <w:pPr>
              <w:pStyle w:val="TableParagraph"/>
              <w:ind w:left="173"/>
              <w:jc w:val="left"/>
              <w:rPr>
                <w:sz w:val="17"/>
              </w:rPr>
            </w:pPr>
            <w:r>
              <w:rPr>
                <w:color w:val="231F20"/>
                <w:w w:val="105"/>
                <w:sz w:val="17"/>
              </w:rPr>
              <w:t>61.6</w:t>
            </w:r>
          </w:p>
        </w:tc>
        <w:tc>
          <w:tcPr>
            <w:tcW w:w="885" w:type="dxa"/>
          </w:tcPr>
          <w:p>
            <w:pPr>
              <w:pStyle w:val="TableParagraph"/>
              <w:ind w:left="244"/>
              <w:jc w:val="left"/>
              <w:rPr>
                <w:sz w:val="17"/>
              </w:rPr>
            </w:pPr>
            <w:r>
              <w:rPr>
                <w:color w:val="231F20"/>
                <w:w w:val="105"/>
                <w:sz w:val="17"/>
              </w:rPr>
              <w:t>25.8</w:t>
            </w:r>
          </w:p>
        </w:tc>
        <w:tc>
          <w:tcPr>
            <w:tcW w:w="1032" w:type="dxa"/>
          </w:tcPr>
          <w:p>
            <w:pPr>
              <w:pStyle w:val="TableParagraph"/>
              <w:ind w:right="390"/>
              <w:jc w:val="right"/>
              <w:rPr>
                <w:sz w:val="17"/>
              </w:rPr>
            </w:pPr>
            <w:r>
              <w:rPr>
                <w:color w:val="231F20"/>
                <w:sz w:val="17"/>
              </w:rPr>
              <w:t>11.9</w:t>
            </w:r>
          </w:p>
        </w:tc>
        <w:tc>
          <w:tcPr>
            <w:tcW w:w="962" w:type="dxa"/>
          </w:tcPr>
          <w:p>
            <w:pPr>
              <w:pStyle w:val="TableParagraph"/>
              <w:ind w:left="373" w:right="314"/>
              <w:rPr>
                <w:sz w:val="17"/>
              </w:rPr>
            </w:pPr>
            <w:r>
              <w:rPr>
                <w:color w:val="231F20"/>
                <w:w w:val="105"/>
                <w:sz w:val="17"/>
              </w:rPr>
              <w:t>0.7</w:t>
            </w:r>
          </w:p>
        </w:tc>
        <w:tc>
          <w:tcPr>
            <w:tcW w:w="865" w:type="dxa"/>
          </w:tcPr>
          <w:p>
            <w:pPr>
              <w:pStyle w:val="TableParagraph"/>
              <w:ind w:right="241"/>
              <w:jc w:val="right"/>
              <w:rPr>
                <w:sz w:val="17"/>
              </w:rPr>
            </w:pPr>
            <w:r>
              <w:rPr>
                <w:color w:val="231F20"/>
                <w:sz w:val="17"/>
              </w:rPr>
              <w:t>100</w:t>
            </w:r>
          </w:p>
        </w:tc>
        <w:tc>
          <w:tcPr>
            <w:tcW w:w="815" w:type="dxa"/>
          </w:tcPr>
          <w:p>
            <w:pPr>
              <w:pStyle w:val="TableParagraph"/>
              <w:ind w:left="223" w:right="218"/>
              <w:rPr>
                <w:sz w:val="17"/>
              </w:rPr>
            </w:pPr>
            <w:r>
              <w:rPr>
                <w:color w:val="231F20"/>
                <w:w w:val="105"/>
                <w:sz w:val="17"/>
              </w:rPr>
              <w:t>63.8</w:t>
            </w:r>
          </w:p>
        </w:tc>
        <w:tc>
          <w:tcPr>
            <w:tcW w:w="871" w:type="dxa"/>
          </w:tcPr>
          <w:p>
            <w:pPr>
              <w:pStyle w:val="TableParagraph"/>
              <w:ind w:left="238"/>
              <w:jc w:val="left"/>
              <w:rPr>
                <w:sz w:val="17"/>
              </w:rPr>
            </w:pPr>
            <w:r>
              <w:rPr>
                <w:color w:val="231F20"/>
                <w:w w:val="105"/>
                <w:sz w:val="17"/>
              </w:rPr>
              <w:t>10.3</w:t>
            </w:r>
          </w:p>
        </w:tc>
        <w:tc>
          <w:tcPr>
            <w:tcW w:w="1003" w:type="dxa"/>
          </w:tcPr>
          <w:p>
            <w:pPr>
              <w:pStyle w:val="TableParagraph"/>
              <w:ind w:left="299"/>
              <w:jc w:val="left"/>
              <w:rPr>
                <w:sz w:val="17"/>
              </w:rPr>
            </w:pPr>
            <w:r>
              <w:rPr>
                <w:color w:val="231F20"/>
                <w:w w:val="105"/>
                <w:sz w:val="17"/>
              </w:rPr>
              <w:t>23.9</w:t>
            </w:r>
          </w:p>
        </w:tc>
        <w:tc>
          <w:tcPr>
            <w:tcW w:w="900" w:type="dxa"/>
          </w:tcPr>
          <w:p>
            <w:pPr>
              <w:pStyle w:val="TableParagraph"/>
              <w:ind w:right="291"/>
              <w:jc w:val="right"/>
              <w:rPr>
                <w:sz w:val="17"/>
              </w:rPr>
            </w:pPr>
            <w:r>
              <w:rPr>
                <w:color w:val="231F20"/>
                <w:w w:val="105"/>
                <w:sz w:val="17"/>
              </w:rPr>
              <w:t>1.9</w:t>
            </w:r>
          </w:p>
        </w:tc>
        <w:tc>
          <w:tcPr>
            <w:tcW w:w="797" w:type="dxa"/>
          </w:tcPr>
          <w:p>
            <w:pPr>
              <w:pStyle w:val="TableParagraph"/>
              <w:ind w:right="213"/>
              <w:jc w:val="right"/>
              <w:rPr>
                <w:sz w:val="17"/>
              </w:rPr>
            </w:pPr>
            <w:r>
              <w:rPr>
                <w:color w:val="231F20"/>
                <w:sz w:val="17"/>
              </w:rPr>
              <w:t>100</w:t>
            </w:r>
          </w:p>
        </w:tc>
      </w:tr>
      <w:tr>
        <w:trPr>
          <w:trHeight w:val="210" w:hRule="exact"/>
        </w:trPr>
        <w:tc>
          <w:tcPr>
            <w:tcW w:w="1707" w:type="dxa"/>
          </w:tcPr>
          <w:p>
            <w:pPr>
              <w:pStyle w:val="TableParagraph"/>
              <w:ind w:left="35"/>
              <w:jc w:val="left"/>
              <w:rPr>
                <w:sz w:val="17"/>
              </w:rPr>
            </w:pPr>
            <w:r>
              <w:rPr>
                <w:color w:val="231F20"/>
                <w:w w:val="110"/>
                <w:sz w:val="17"/>
              </w:rPr>
              <w:t>Baja California Sur</w:t>
            </w:r>
          </w:p>
        </w:tc>
        <w:tc>
          <w:tcPr>
            <w:tcW w:w="751" w:type="dxa"/>
          </w:tcPr>
          <w:p>
            <w:pPr>
              <w:pStyle w:val="TableParagraph"/>
              <w:ind w:left="173"/>
              <w:jc w:val="left"/>
              <w:rPr>
                <w:sz w:val="17"/>
              </w:rPr>
            </w:pPr>
            <w:r>
              <w:rPr>
                <w:color w:val="231F20"/>
                <w:w w:val="105"/>
                <w:sz w:val="17"/>
              </w:rPr>
              <w:t>63.6</w:t>
            </w:r>
          </w:p>
        </w:tc>
        <w:tc>
          <w:tcPr>
            <w:tcW w:w="885" w:type="dxa"/>
          </w:tcPr>
          <w:p>
            <w:pPr>
              <w:pStyle w:val="TableParagraph"/>
              <w:ind w:left="244"/>
              <w:jc w:val="left"/>
              <w:rPr>
                <w:sz w:val="17"/>
              </w:rPr>
            </w:pPr>
            <w:r>
              <w:rPr>
                <w:color w:val="231F20"/>
                <w:w w:val="105"/>
                <w:sz w:val="17"/>
              </w:rPr>
              <w:t>24.4</w:t>
            </w:r>
          </w:p>
        </w:tc>
        <w:tc>
          <w:tcPr>
            <w:tcW w:w="1032" w:type="dxa"/>
          </w:tcPr>
          <w:p>
            <w:pPr>
              <w:pStyle w:val="TableParagraph"/>
              <w:ind w:right="390"/>
              <w:jc w:val="right"/>
              <w:rPr>
                <w:sz w:val="17"/>
              </w:rPr>
            </w:pPr>
            <w:r>
              <w:rPr>
                <w:color w:val="231F20"/>
                <w:sz w:val="17"/>
              </w:rPr>
              <w:t>11.5</w:t>
            </w:r>
          </w:p>
        </w:tc>
        <w:tc>
          <w:tcPr>
            <w:tcW w:w="962" w:type="dxa"/>
          </w:tcPr>
          <w:p>
            <w:pPr>
              <w:pStyle w:val="TableParagraph"/>
              <w:ind w:left="373" w:right="314"/>
              <w:rPr>
                <w:sz w:val="17"/>
              </w:rPr>
            </w:pPr>
            <w:r>
              <w:rPr>
                <w:color w:val="231F20"/>
                <w:w w:val="105"/>
                <w:sz w:val="17"/>
              </w:rPr>
              <w:t>0.5</w:t>
            </w:r>
          </w:p>
        </w:tc>
        <w:tc>
          <w:tcPr>
            <w:tcW w:w="865" w:type="dxa"/>
          </w:tcPr>
          <w:p>
            <w:pPr>
              <w:pStyle w:val="TableParagraph"/>
              <w:ind w:right="241"/>
              <w:jc w:val="right"/>
              <w:rPr>
                <w:sz w:val="17"/>
              </w:rPr>
            </w:pPr>
            <w:r>
              <w:rPr>
                <w:color w:val="231F20"/>
                <w:sz w:val="17"/>
              </w:rPr>
              <w:t>100</w:t>
            </w:r>
          </w:p>
        </w:tc>
        <w:tc>
          <w:tcPr>
            <w:tcW w:w="815" w:type="dxa"/>
          </w:tcPr>
          <w:p>
            <w:pPr>
              <w:pStyle w:val="TableParagraph"/>
              <w:ind w:left="223" w:right="218"/>
              <w:rPr>
                <w:sz w:val="17"/>
              </w:rPr>
            </w:pPr>
            <w:r>
              <w:rPr>
                <w:color w:val="231F20"/>
                <w:w w:val="105"/>
                <w:sz w:val="17"/>
              </w:rPr>
              <w:t>61.9</w:t>
            </w:r>
          </w:p>
        </w:tc>
        <w:tc>
          <w:tcPr>
            <w:tcW w:w="871" w:type="dxa"/>
          </w:tcPr>
          <w:p>
            <w:pPr>
              <w:pStyle w:val="TableParagraph"/>
              <w:ind w:left="238"/>
              <w:jc w:val="left"/>
              <w:rPr>
                <w:sz w:val="17"/>
              </w:rPr>
            </w:pPr>
            <w:r>
              <w:rPr>
                <w:color w:val="231F20"/>
                <w:w w:val="105"/>
                <w:sz w:val="17"/>
              </w:rPr>
              <w:t>11.6</w:t>
            </w:r>
          </w:p>
        </w:tc>
        <w:tc>
          <w:tcPr>
            <w:tcW w:w="1003" w:type="dxa"/>
          </w:tcPr>
          <w:p>
            <w:pPr>
              <w:pStyle w:val="TableParagraph"/>
              <w:ind w:left="299"/>
              <w:jc w:val="left"/>
              <w:rPr>
                <w:sz w:val="17"/>
              </w:rPr>
            </w:pPr>
            <w:r>
              <w:rPr>
                <w:color w:val="231F20"/>
                <w:w w:val="105"/>
                <w:sz w:val="17"/>
              </w:rPr>
              <w:t>24.7</w:t>
            </w:r>
          </w:p>
        </w:tc>
        <w:tc>
          <w:tcPr>
            <w:tcW w:w="900" w:type="dxa"/>
          </w:tcPr>
          <w:p>
            <w:pPr>
              <w:pStyle w:val="TableParagraph"/>
              <w:ind w:right="291"/>
              <w:jc w:val="right"/>
              <w:rPr>
                <w:sz w:val="17"/>
              </w:rPr>
            </w:pPr>
            <w:r>
              <w:rPr>
                <w:color w:val="231F20"/>
                <w:w w:val="105"/>
                <w:sz w:val="17"/>
              </w:rPr>
              <w:t>1.7</w:t>
            </w:r>
          </w:p>
        </w:tc>
        <w:tc>
          <w:tcPr>
            <w:tcW w:w="797" w:type="dxa"/>
          </w:tcPr>
          <w:p>
            <w:pPr>
              <w:pStyle w:val="TableParagraph"/>
              <w:ind w:right="213"/>
              <w:jc w:val="right"/>
              <w:rPr>
                <w:sz w:val="17"/>
              </w:rPr>
            </w:pPr>
            <w:r>
              <w:rPr>
                <w:color w:val="231F20"/>
                <w:sz w:val="17"/>
              </w:rPr>
              <w:t>100</w:t>
            </w:r>
          </w:p>
        </w:tc>
      </w:tr>
      <w:tr>
        <w:trPr>
          <w:trHeight w:val="210" w:hRule="exact"/>
        </w:trPr>
        <w:tc>
          <w:tcPr>
            <w:tcW w:w="1707" w:type="dxa"/>
          </w:tcPr>
          <w:p>
            <w:pPr>
              <w:pStyle w:val="TableParagraph"/>
              <w:ind w:left="35"/>
              <w:jc w:val="left"/>
              <w:rPr>
                <w:sz w:val="17"/>
              </w:rPr>
            </w:pPr>
            <w:r>
              <w:rPr>
                <w:color w:val="231F20"/>
                <w:w w:val="110"/>
                <w:sz w:val="17"/>
              </w:rPr>
              <w:t>Campeche</w:t>
            </w:r>
          </w:p>
        </w:tc>
        <w:tc>
          <w:tcPr>
            <w:tcW w:w="751" w:type="dxa"/>
          </w:tcPr>
          <w:p>
            <w:pPr>
              <w:pStyle w:val="TableParagraph"/>
              <w:ind w:left="173"/>
              <w:jc w:val="left"/>
              <w:rPr>
                <w:sz w:val="17"/>
              </w:rPr>
            </w:pPr>
            <w:r>
              <w:rPr>
                <w:color w:val="231F20"/>
                <w:w w:val="105"/>
                <w:sz w:val="17"/>
              </w:rPr>
              <w:t>52.2</w:t>
            </w:r>
          </w:p>
        </w:tc>
        <w:tc>
          <w:tcPr>
            <w:tcW w:w="885" w:type="dxa"/>
          </w:tcPr>
          <w:p>
            <w:pPr>
              <w:pStyle w:val="TableParagraph"/>
              <w:ind w:left="244"/>
              <w:jc w:val="left"/>
              <w:rPr>
                <w:sz w:val="17"/>
              </w:rPr>
            </w:pPr>
            <w:r>
              <w:rPr>
                <w:color w:val="231F20"/>
                <w:w w:val="105"/>
                <w:sz w:val="17"/>
              </w:rPr>
              <w:t>39.7</w:t>
            </w:r>
          </w:p>
        </w:tc>
        <w:tc>
          <w:tcPr>
            <w:tcW w:w="1032" w:type="dxa"/>
          </w:tcPr>
          <w:p>
            <w:pPr>
              <w:pStyle w:val="TableParagraph"/>
              <w:ind w:right="390"/>
              <w:jc w:val="right"/>
              <w:rPr>
                <w:sz w:val="17"/>
              </w:rPr>
            </w:pPr>
            <w:r>
              <w:rPr>
                <w:color w:val="231F20"/>
                <w:w w:val="105"/>
                <w:sz w:val="17"/>
              </w:rPr>
              <w:t>6.9</w:t>
            </w:r>
          </w:p>
        </w:tc>
        <w:tc>
          <w:tcPr>
            <w:tcW w:w="962" w:type="dxa"/>
          </w:tcPr>
          <w:p>
            <w:pPr>
              <w:pStyle w:val="TableParagraph"/>
              <w:ind w:left="373" w:right="314"/>
              <w:rPr>
                <w:sz w:val="17"/>
              </w:rPr>
            </w:pPr>
            <w:r>
              <w:rPr>
                <w:color w:val="231F20"/>
                <w:w w:val="105"/>
                <w:sz w:val="17"/>
              </w:rPr>
              <w:t>1.1</w:t>
            </w:r>
          </w:p>
        </w:tc>
        <w:tc>
          <w:tcPr>
            <w:tcW w:w="865" w:type="dxa"/>
          </w:tcPr>
          <w:p>
            <w:pPr>
              <w:pStyle w:val="TableParagraph"/>
              <w:ind w:right="241"/>
              <w:jc w:val="right"/>
              <w:rPr>
                <w:sz w:val="17"/>
              </w:rPr>
            </w:pPr>
            <w:r>
              <w:rPr>
                <w:color w:val="231F20"/>
                <w:sz w:val="17"/>
              </w:rPr>
              <w:t>100</w:t>
            </w:r>
          </w:p>
        </w:tc>
        <w:tc>
          <w:tcPr>
            <w:tcW w:w="815" w:type="dxa"/>
          </w:tcPr>
          <w:p>
            <w:pPr>
              <w:pStyle w:val="TableParagraph"/>
              <w:ind w:left="223" w:right="218"/>
              <w:rPr>
                <w:sz w:val="17"/>
              </w:rPr>
            </w:pPr>
            <w:r>
              <w:rPr>
                <w:color w:val="231F20"/>
                <w:w w:val="105"/>
                <w:sz w:val="17"/>
              </w:rPr>
              <w:t>62.2</w:t>
            </w:r>
          </w:p>
        </w:tc>
        <w:tc>
          <w:tcPr>
            <w:tcW w:w="871" w:type="dxa"/>
          </w:tcPr>
          <w:p>
            <w:pPr>
              <w:pStyle w:val="TableParagraph"/>
              <w:ind w:left="238"/>
              <w:jc w:val="left"/>
              <w:rPr>
                <w:sz w:val="17"/>
              </w:rPr>
            </w:pPr>
            <w:r>
              <w:rPr>
                <w:color w:val="231F20"/>
                <w:w w:val="105"/>
                <w:sz w:val="17"/>
              </w:rPr>
              <w:t>20.3</w:t>
            </w:r>
          </w:p>
        </w:tc>
        <w:tc>
          <w:tcPr>
            <w:tcW w:w="1003" w:type="dxa"/>
          </w:tcPr>
          <w:p>
            <w:pPr>
              <w:pStyle w:val="TableParagraph"/>
              <w:ind w:left="299"/>
              <w:jc w:val="left"/>
              <w:rPr>
                <w:sz w:val="17"/>
              </w:rPr>
            </w:pPr>
            <w:r>
              <w:rPr>
                <w:color w:val="231F20"/>
                <w:w w:val="105"/>
                <w:sz w:val="17"/>
              </w:rPr>
              <w:t>16.2</w:t>
            </w:r>
          </w:p>
        </w:tc>
        <w:tc>
          <w:tcPr>
            <w:tcW w:w="900" w:type="dxa"/>
          </w:tcPr>
          <w:p>
            <w:pPr>
              <w:pStyle w:val="TableParagraph"/>
              <w:ind w:right="291"/>
              <w:jc w:val="right"/>
              <w:rPr>
                <w:sz w:val="17"/>
              </w:rPr>
            </w:pPr>
            <w:r>
              <w:rPr>
                <w:color w:val="231F20"/>
                <w:w w:val="105"/>
                <w:sz w:val="17"/>
              </w:rPr>
              <w:t>1.3</w:t>
            </w:r>
          </w:p>
        </w:tc>
        <w:tc>
          <w:tcPr>
            <w:tcW w:w="797" w:type="dxa"/>
          </w:tcPr>
          <w:p>
            <w:pPr>
              <w:pStyle w:val="TableParagraph"/>
              <w:ind w:right="213"/>
              <w:jc w:val="right"/>
              <w:rPr>
                <w:sz w:val="17"/>
              </w:rPr>
            </w:pPr>
            <w:r>
              <w:rPr>
                <w:color w:val="231F20"/>
                <w:sz w:val="17"/>
              </w:rPr>
              <w:t>100</w:t>
            </w:r>
          </w:p>
        </w:tc>
      </w:tr>
      <w:tr>
        <w:trPr>
          <w:trHeight w:val="210" w:hRule="exact"/>
        </w:trPr>
        <w:tc>
          <w:tcPr>
            <w:tcW w:w="1707" w:type="dxa"/>
          </w:tcPr>
          <w:p>
            <w:pPr>
              <w:pStyle w:val="TableParagraph"/>
              <w:ind w:left="35"/>
              <w:jc w:val="left"/>
              <w:rPr>
                <w:sz w:val="17"/>
              </w:rPr>
            </w:pPr>
            <w:r>
              <w:rPr>
                <w:color w:val="231F20"/>
                <w:w w:val="110"/>
                <w:sz w:val="17"/>
              </w:rPr>
              <w:t>Coahuila</w:t>
            </w:r>
          </w:p>
        </w:tc>
        <w:tc>
          <w:tcPr>
            <w:tcW w:w="751" w:type="dxa"/>
          </w:tcPr>
          <w:p>
            <w:pPr>
              <w:pStyle w:val="TableParagraph"/>
              <w:ind w:left="173"/>
              <w:jc w:val="left"/>
              <w:rPr>
                <w:sz w:val="17"/>
              </w:rPr>
            </w:pPr>
            <w:r>
              <w:rPr>
                <w:color w:val="231F20"/>
                <w:w w:val="105"/>
                <w:sz w:val="17"/>
              </w:rPr>
              <w:t>59.4</w:t>
            </w:r>
          </w:p>
        </w:tc>
        <w:tc>
          <w:tcPr>
            <w:tcW w:w="885" w:type="dxa"/>
          </w:tcPr>
          <w:p>
            <w:pPr>
              <w:pStyle w:val="TableParagraph"/>
              <w:ind w:left="244"/>
              <w:jc w:val="left"/>
              <w:rPr>
                <w:sz w:val="17"/>
              </w:rPr>
            </w:pPr>
            <w:r>
              <w:rPr>
                <w:color w:val="231F20"/>
                <w:w w:val="105"/>
                <w:sz w:val="17"/>
              </w:rPr>
              <w:t>36.0</w:t>
            </w:r>
          </w:p>
        </w:tc>
        <w:tc>
          <w:tcPr>
            <w:tcW w:w="1032" w:type="dxa"/>
          </w:tcPr>
          <w:p>
            <w:pPr>
              <w:pStyle w:val="TableParagraph"/>
              <w:ind w:right="390"/>
              <w:jc w:val="right"/>
              <w:rPr>
                <w:sz w:val="17"/>
              </w:rPr>
            </w:pPr>
            <w:r>
              <w:rPr>
                <w:color w:val="231F20"/>
                <w:w w:val="105"/>
                <w:sz w:val="17"/>
              </w:rPr>
              <w:t>3.5</w:t>
            </w:r>
          </w:p>
        </w:tc>
        <w:tc>
          <w:tcPr>
            <w:tcW w:w="962" w:type="dxa"/>
          </w:tcPr>
          <w:p>
            <w:pPr>
              <w:pStyle w:val="TableParagraph"/>
              <w:ind w:left="373" w:right="314"/>
              <w:rPr>
                <w:sz w:val="17"/>
              </w:rPr>
            </w:pPr>
            <w:r>
              <w:rPr>
                <w:color w:val="231F20"/>
                <w:w w:val="105"/>
                <w:sz w:val="17"/>
              </w:rPr>
              <w:t>1.1</w:t>
            </w:r>
          </w:p>
        </w:tc>
        <w:tc>
          <w:tcPr>
            <w:tcW w:w="865" w:type="dxa"/>
          </w:tcPr>
          <w:p>
            <w:pPr>
              <w:pStyle w:val="TableParagraph"/>
              <w:ind w:right="241"/>
              <w:jc w:val="right"/>
              <w:rPr>
                <w:sz w:val="17"/>
              </w:rPr>
            </w:pPr>
            <w:r>
              <w:rPr>
                <w:color w:val="231F20"/>
                <w:sz w:val="17"/>
              </w:rPr>
              <w:t>100</w:t>
            </w:r>
          </w:p>
        </w:tc>
        <w:tc>
          <w:tcPr>
            <w:tcW w:w="815" w:type="dxa"/>
          </w:tcPr>
          <w:p>
            <w:pPr>
              <w:pStyle w:val="TableParagraph"/>
              <w:ind w:left="223" w:right="218"/>
              <w:rPr>
                <w:sz w:val="17"/>
              </w:rPr>
            </w:pPr>
            <w:r>
              <w:rPr>
                <w:color w:val="231F20"/>
                <w:w w:val="105"/>
                <w:sz w:val="17"/>
              </w:rPr>
              <w:t>60.8</w:t>
            </w:r>
          </w:p>
        </w:tc>
        <w:tc>
          <w:tcPr>
            <w:tcW w:w="871" w:type="dxa"/>
          </w:tcPr>
          <w:p>
            <w:pPr>
              <w:pStyle w:val="TableParagraph"/>
              <w:ind w:left="238"/>
              <w:jc w:val="left"/>
              <w:rPr>
                <w:sz w:val="17"/>
              </w:rPr>
            </w:pPr>
            <w:r>
              <w:rPr>
                <w:color w:val="231F20"/>
                <w:w w:val="105"/>
                <w:sz w:val="17"/>
              </w:rPr>
              <w:t>22.4</w:t>
            </w:r>
          </w:p>
        </w:tc>
        <w:tc>
          <w:tcPr>
            <w:tcW w:w="1003" w:type="dxa"/>
          </w:tcPr>
          <w:p>
            <w:pPr>
              <w:pStyle w:val="TableParagraph"/>
              <w:ind w:left="299"/>
              <w:jc w:val="left"/>
              <w:rPr>
                <w:sz w:val="17"/>
              </w:rPr>
            </w:pPr>
            <w:r>
              <w:rPr>
                <w:color w:val="231F20"/>
                <w:w w:val="105"/>
                <w:sz w:val="17"/>
              </w:rPr>
              <w:t>14.5</w:t>
            </w:r>
          </w:p>
        </w:tc>
        <w:tc>
          <w:tcPr>
            <w:tcW w:w="900" w:type="dxa"/>
          </w:tcPr>
          <w:p>
            <w:pPr>
              <w:pStyle w:val="TableParagraph"/>
              <w:ind w:right="291"/>
              <w:jc w:val="right"/>
              <w:rPr>
                <w:sz w:val="17"/>
              </w:rPr>
            </w:pPr>
            <w:r>
              <w:rPr>
                <w:color w:val="231F20"/>
                <w:w w:val="105"/>
                <w:sz w:val="17"/>
              </w:rPr>
              <w:t>2.3</w:t>
            </w:r>
          </w:p>
        </w:tc>
        <w:tc>
          <w:tcPr>
            <w:tcW w:w="797" w:type="dxa"/>
          </w:tcPr>
          <w:p>
            <w:pPr>
              <w:pStyle w:val="TableParagraph"/>
              <w:ind w:right="213"/>
              <w:jc w:val="right"/>
              <w:rPr>
                <w:sz w:val="17"/>
              </w:rPr>
            </w:pPr>
            <w:r>
              <w:rPr>
                <w:color w:val="231F20"/>
                <w:sz w:val="17"/>
              </w:rPr>
              <w:t>100</w:t>
            </w:r>
          </w:p>
        </w:tc>
      </w:tr>
      <w:tr>
        <w:trPr>
          <w:trHeight w:val="210" w:hRule="exact"/>
        </w:trPr>
        <w:tc>
          <w:tcPr>
            <w:tcW w:w="1707" w:type="dxa"/>
          </w:tcPr>
          <w:p>
            <w:pPr>
              <w:pStyle w:val="TableParagraph"/>
              <w:ind w:left="35"/>
              <w:jc w:val="left"/>
              <w:rPr>
                <w:sz w:val="17"/>
              </w:rPr>
            </w:pPr>
            <w:r>
              <w:rPr>
                <w:color w:val="231F20"/>
                <w:w w:val="110"/>
                <w:sz w:val="17"/>
              </w:rPr>
              <w:t>Colima</w:t>
            </w:r>
          </w:p>
        </w:tc>
        <w:tc>
          <w:tcPr>
            <w:tcW w:w="751" w:type="dxa"/>
          </w:tcPr>
          <w:p>
            <w:pPr>
              <w:pStyle w:val="TableParagraph"/>
              <w:ind w:left="173"/>
              <w:jc w:val="left"/>
              <w:rPr>
                <w:sz w:val="17"/>
              </w:rPr>
            </w:pPr>
            <w:r>
              <w:rPr>
                <w:color w:val="231F20"/>
                <w:w w:val="105"/>
                <w:sz w:val="17"/>
              </w:rPr>
              <w:t>64.4</w:t>
            </w:r>
          </w:p>
        </w:tc>
        <w:tc>
          <w:tcPr>
            <w:tcW w:w="885" w:type="dxa"/>
          </w:tcPr>
          <w:p>
            <w:pPr>
              <w:pStyle w:val="TableParagraph"/>
              <w:ind w:left="244"/>
              <w:jc w:val="left"/>
              <w:rPr>
                <w:sz w:val="17"/>
              </w:rPr>
            </w:pPr>
            <w:r>
              <w:rPr>
                <w:color w:val="231F20"/>
                <w:w w:val="105"/>
                <w:sz w:val="17"/>
              </w:rPr>
              <w:t>26.0</w:t>
            </w:r>
          </w:p>
        </w:tc>
        <w:tc>
          <w:tcPr>
            <w:tcW w:w="1032" w:type="dxa"/>
          </w:tcPr>
          <w:p>
            <w:pPr>
              <w:pStyle w:val="TableParagraph"/>
              <w:ind w:right="391"/>
              <w:jc w:val="right"/>
              <w:rPr>
                <w:sz w:val="17"/>
              </w:rPr>
            </w:pPr>
            <w:r>
              <w:rPr>
                <w:color w:val="231F20"/>
                <w:w w:val="105"/>
                <w:sz w:val="17"/>
              </w:rPr>
              <w:t>8.9</w:t>
            </w:r>
          </w:p>
        </w:tc>
        <w:tc>
          <w:tcPr>
            <w:tcW w:w="962" w:type="dxa"/>
          </w:tcPr>
          <w:p>
            <w:pPr>
              <w:pStyle w:val="TableParagraph"/>
              <w:ind w:left="373" w:right="314"/>
              <w:rPr>
                <w:sz w:val="17"/>
              </w:rPr>
            </w:pPr>
            <w:r>
              <w:rPr>
                <w:color w:val="231F20"/>
                <w:w w:val="105"/>
                <w:sz w:val="17"/>
              </w:rPr>
              <w:t>0.6</w:t>
            </w:r>
          </w:p>
        </w:tc>
        <w:tc>
          <w:tcPr>
            <w:tcW w:w="865" w:type="dxa"/>
          </w:tcPr>
          <w:p>
            <w:pPr>
              <w:pStyle w:val="TableParagraph"/>
              <w:ind w:right="241"/>
              <w:jc w:val="right"/>
              <w:rPr>
                <w:sz w:val="17"/>
              </w:rPr>
            </w:pPr>
            <w:r>
              <w:rPr>
                <w:color w:val="231F20"/>
                <w:sz w:val="17"/>
              </w:rPr>
              <w:t>100</w:t>
            </w:r>
          </w:p>
        </w:tc>
        <w:tc>
          <w:tcPr>
            <w:tcW w:w="815" w:type="dxa"/>
          </w:tcPr>
          <w:p>
            <w:pPr>
              <w:pStyle w:val="TableParagraph"/>
              <w:ind w:left="223" w:right="218"/>
              <w:rPr>
                <w:sz w:val="17"/>
              </w:rPr>
            </w:pPr>
            <w:r>
              <w:rPr>
                <w:color w:val="231F20"/>
                <w:w w:val="105"/>
                <w:sz w:val="17"/>
              </w:rPr>
              <w:t>67.5</w:t>
            </w:r>
          </w:p>
        </w:tc>
        <w:tc>
          <w:tcPr>
            <w:tcW w:w="871" w:type="dxa"/>
          </w:tcPr>
          <w:p>
            <w:pPr>
              <w:pStyle w:val="TableParagraph"/>
              <w:ind w:left="238"/>
              <w:jc w:val="left"/>
              <w:rPr>
                <w:sz w:val="17"/>
              </w:rPr>
            </w:pPr>
            <w:r>
              <w:rPr>
                <w:color w:val="231F20"/>
                <w:w w:val="105"/>
                <w:sz w:val="17"/>
              </w:rPr>
              <w:t>11.9</w:t>
            </w:r>
          </w:p>
        </w:tc>
        <w:tc>
          <w:tcPr>
            <w:tcW w:w="1003" w:type="dxa"/>
          </w:tcPr>
          <w:p>
            <w:pPr>
              <w:pStyle w:val="TableParagraph"/>
              <w:ind w:left="299"/>
              <w:jc w:val="left"/>
              <w:rPr>
                <w:sz w:val="17"/>
              </w:rPr>
            </w:pPr>
            <w:r>
              <w:rPr>
                <w:color w:val="231F20"/>
                <w:w w:val="105"/>
                <w:sz w:val="17"/>
              </w:rPr>
              <w:t>19.1</w:t>
            </w:r>
          </w:p>
        </w:tc>
        <w:tc>
          <w:tcPr>
            <w:tcW w:w="900" w:type="dxa"/>
          </w:tcPr>
          <w:p>
            <w:pPr>
              <w:pStyle w:val="TableParagraph"/>
              <w:ind w:right="291"/>
              <w:jc w:val="right"/>
              <w:rPr>
                <w:sz w:val="17"/>
              </w:rPr>
            </w:pPr>
            <w:r>
              <w:rPr>
                <w:color w:val="231F20"/>
                <w:w w:val="105"/>
                <w:sz w:val="17"/>
              </w:rPr>
              <w:t>1.5</w:t>
            </w:r>
          </w:p>
        </w:tc>
        <w:tc>
          <w:tcPr>
            <w:tcW w:w="797" w:type="dxa"/>
          </w:tcPr>
          <w:p>
            <w:pPr>
              <w:pStyle w:val="TableParagraph"/>
              <w:ind w:right="213"/>
              <w:jc w:val="right"/>
              <w:rPr>
                <w:sz w:val="17"/>
              </w:rPr>
            </w:pPr>
            <w:r>
              <w:rPr>
                <w:color w:val="231F20"/>
                <w:sz w:val="17"/>
              </w:rPr>
              <w:t>100</w:t>
            </w:r>
          </w:p>
        </w:tc>
      </w:tr>
      <w:tr>
        <w:trPr>
          <w:trHeight w:val="210" w:hRule="exact"/>
        </w:trPr>
        <w:tc>
          <w:tcPr>
            <w:tcW w:w="1707" w:type="dxa"/>
          </w:tcPr>
          <w:p>
            <w:pPr>
              <w:pStyle w:val="TableParagraph"/>
              <w:ind w:left="35"/>
              <w:jc w:val="left"/>
              <w:rPr>
                <w:sz w:val="17"/>
              </w:rPr>
            </w:pPr>
            <w:r>
              <w:rPr>
                <w:color w:val="231F20"/>
                <w:w w:val="115"/>
                <w:sz w:val="17"/>
              </w:rPr>
              <w:t>Chiapas</w:t>
            </w:r>
          </w:p>
        </w:tc>
        <w:tc>
          <w:tcPr>
            <w:tcW w:w="751" w:type="dxa"/>
          </w:tcPr>
          <w:p>
            <w:pPr>
              <w:pStyle w:val="TableParagraph"/>
              <w:ind w:left="173"/>
              <w:jc w:val="left"/>
              <w:rPr>
                <w:sz w:val="17"/>
              </w:rPr>
            </w:pPr>
            <w:r>
              <w:rPr>
                <w:color w:val="231F20"/>
                <w:w w:val="105"/>
                <w:sz w:val="17"/>
              </w:rPr>
              <w:t>50.5</w:t>
            </w:r>
          </w:p>
        </w:tc>
        <w:tc>
          <w:tcPr>
            <w:tcW w:w="885" w:type="dxa"/>
          </w:tcPr>
          <w:p>
            <w:pPr>
              <w:pStyle w:val="TableParagraph"/>
              <w:ind w:left="244"/>
              <w:jc w:val="left"/>
              <w:rPr>
                <w:sz w:val="17"/>
              </w:rPr>
            </w:pPr>
            <w:r>
              <w:rPr>
                <w:color w:val="231F20"/>
                <w:w w:val="105"/>
                <w:sz w:val="17"/>
              </w:rPr>
              <w:t>31.2</w:t>
            </w:r>
          </w:p>
        </w:tc>
        <w:tc>
          <w:tcPr>
            <w:tcW w:w="1032" w:type="dxa"/>
          </w:tcPr>
          <w:p>
            <w:pPr>
              <w:pStyle w:val="TableParagraph"/>
              <w:ind w:right="391"/>
              <w:jc w:val="right"/>
              <w:rPr>
                <w:sz w:val="17"/>
              </w:rPr>
            </w:pPr>
            <w:r>
              <w:rPr>
                <w:color w:val="231F20"/>
                <w:sz w:val="17"/>
              </w:rPr>
              <w:t>17.2</w:t>
            </w:r>
          </w:p>
        </w:tc>
        <w:tc>
          <w:tcPr>
            <w:tcW w:w="962" w:type="dxa"/>
          </w:tcPr>
          <w:p>
            <w:pPr>
              <w:pStyle w:val="TableParagraph"/>
              <w:ind w:left="373" w:right="314"/>
              <w:rPr>
                <w:sz w:val="17"/>
              </w:rPr>
            </w:pPr>
            <w:r>
              <w:rPr>
                <w:color w:val="231F20"/>
                <w:w w:val="105"/>
                <w:sz w:val="17"/>
              </w:rPr>
              <w:t>1.1</w:t>
            </w:r>
          </w:p>
        </w:tc>
        <w:tc>
          <w:tcPr>
            <w:tcW w:w="865" w:type="dxa"/>
          </w:tcPr>
          <w:p>
            <w:pPr>
              <w:pStyle w:val="TableParagraph"/>
              <w:ind w:right="241"/>
              <w:jc w:val="right"/>
              <w:rPr>
                <w:sz w:val="17"/>
              </w:rPr>
            </w:pPr>
            <w:r>
              <w:rPr>
                <w:color w:val="231F20"/>
                <w:sz w:val="17"/>
              </w:rPr>
              <w:t>100</w:t>
            </w:r>
          </w:p>
        </w:tc>
        <w:tc>
          <w:tcPr>
            <w:tcW w:w="815" w:type="dxa"/>
          </w:tcPr>
          <w:p>
            <w:pPr>
              <w:pStyle w:val="TableParagraph"/>
              <w:ind w:left="223" w:right="218"/>
              <w:rPr>
                <w:sz w:val="17"/>
              </w:rPr>
            </w:pPr>
            <w:r>
              <w:rPr>
                <w:color w:val="231F20"/>
                <w:w w:val="105"/>
                <w:sz w:val="17"/>
              </w:rPr>
              <w:t>58.7</w:t>
            </w:r>
          </w:p>
        </w:tc>
        <w:tc>
          <w:tcPr>
            <w:tcW w:w="871" w:type="dxa"/>
          </w:tcPr>
          <w:p>
            <w:pPr>
              <w:pStyle w:val="TableParagraph"/>
              <w:ind w:left="238"/>
              <w:jc w:val="left"/>
              <w:rPr>
                <w:sz w:val="17"/>
              </w:rPr>
            </w:pPr>
            <w:r>
              <w:rPr>
                <w:color w:val="231F20"/>
                <w:w w:val="105"/>
                <w:sz w:val="17"/>
              </w:rPr>
              <w:t>16.1</w:t>
            </w:r>
          </w:p>
        </w:tc>
        <w:tc>
          <w:tcPr>
            <w:tcW w:w="1003" w:type="dxa"/>
          </w:tcPr>
          <w:p>
            <w:pPr>
              <w:pStyle w:val="TableParagraph"/>
              <w:ind w:left="299"/>
              <w:jc w:val="left"/>
              <w:rPr>
                <w:sz w:val="17"/>
              </w:rPr>
            </w:pPr>
            <w:r>
              <w:rPr>
                <w:color w:val="231F20"/>
                <w:w w:val="105"/>
                <w:sz w:val="17"/>
              </w:rPr>
              <w:t>24.1</w:t>
            </w:r>
          </w:p>
        </w:tc>
        <w:tc>
          <w:tcPr>
            <w:tcW w:w="900" w:type="dxa"/>
          </w:tcPr>
          <w:p>
            <w:pPr>
              <w:pStyle w:val="TableParagraph"/>
              <w:ind w:right="291"/>
              <w:jc w:val="right"/>
              <w:rPr>
                <w:sz w:val="17"/>
              </w:rPr>
            </w:pPr>
            <w:r>
              <w:rPr>
                <w:color w:val="231F20"/>
                <w:w w:val="105"/>
                <w:sz w:val="17"/>
              </w:rPr>
              <w:t>1.0</w:t>
            </w:r>
          </w:p>
        </w:tc>
        <w:tc>
          <w:tcPr>
            <w:tcW w:w="797" w:type="dxa"/>
          </w:tcPr>
          <w:p>
            <w:pPr>
              <w:pStyle w:val="TableParagraph"/>
              <w:ind w:right="213"/>
              <w:jc w:val="right"/>
              <w:rPr>
                <w:sz w:val="17"/>
              </w:rPr>
            </w:pPr>
            <w:r>
              <w:rPr>
                <w:color w:val="231F20"/>
                <w:sz w:val="17"/>
              </w:rPr>
              <w:t>100</w:t>
            </w:r>
          </w:p>
        </w:tc>
      </w:tr>
      <w:tr>
        <w:trPr>
          <w:trHeight w:val="210" w:hRule="exact"/>
        </w:trPr>
        <w:tc>
          <w:tcPr>
            <w:tcW w:w="1707" w:type="dxa"/>
          </w:tcPr>
          <w:p>
            <w:pPr>
              <w:pStyle w:val="TableParagraph"/>
              <w:ind w:left="35"/>
              <w:jc w:val="left"/>
              <w:rPr>
                <w:sz w:val="17"/>
              </w:rPr>
            </w:pPr>
            <w:r>
              <w:rPr>
                <w:color w:val="231F20"/>
                <w:w w:val="115"/>
                <w:sz w:val="17"/>
              </w:rPr>
              <w:t>Chihuahua</w:t>
            </w:r>
          </w:p>
        </w:tc>
        <w:tc>
          <w:tcPr>
            <w:tcW w:w="751" w:type="dxa"/>
          </w:tcPr>
          <w:p>
            <w:pPr>
              <w:pStyle w:val="TableParagraph"/>
              <w:ind w:left="173"/>
              <w:jc w:val="left"/>
              <w:rPr>
                <w:sz w:val="17"/>
              </w:rPr>
            </w:pPr>
            <w:r>
              <w:rPr>
                <w:color w:val="231F20"/>
                <w:w w:val="105"/>
                <w:sz w:val="17"/>
              </w:rPr>
              <w:t>58.7</w:t>
            </w:r>
          </w:p>
        </w:tc>
        <w:tc>
          <w:tcPr>
            <w:tcW w:w="885" w:type="dxa"/>
          </w:tcPr>
          <w:p>
            <w:pPr>
              <w:pStyle w:val="TableParagraph"/>
              <w:ind w:left="244"/>
              <w:jc w:val="left"/>
              <w:rPr>
                <w:sz w:val="17"/>
              </w:rPr>
            </w:pPr>
            <w:r>
              <w:rPr>
                <w:color w:val="231F20"/>
                <w:w w:val="105"/>
                <w:sz w:val="17"/>
              </w:rPr>
              <w:t>30.1</w:t>
            </w:r>
          </w:p>
        </w:tc>
        <w:tc>
          <w:tcPr>
            <w:tcW w:w="1032" w:type="dxa"/>
          </w:tcPr>
          <w:p>
            <w:pPr>
              <w:pStyle w:val="TableParagraph"/>
              <w:ind w:right="391"/>
              <w:jc w:val="right"/>
              <w:rPr>
                <w:sz w:val="17"/>
              </w:rPr>
            </w:pPr>
            <w:r>
              <w:rPr>
                <w:color w:val="231F20"/>
                <w:sz w:val="17"/>
              </w:rPr>
              <w:t>10.2</w:t>
            </w:r>
          </w:p>
        </w:tc>
        <w:tc>
          <w:tcPr>
            <w:tcW w:w="962" w:type="dxa"/>
          </w:tcPr>
          <w:p>
            <w:pPr>
              <w:pStyle w:val="TableParagraph"/>
              <w:ind w:left="373" w:right="314"/>
              <w:rPr>
                <w:sz w:val="17"/>
              </w:rPr>
            </w:pPr>
            <w:r>
              <w:rPr>
                <w:color w:val="231F20"/>
                <w:w w:val="105"/>
                <w:sz w:val="17"/>
              </w:rPr>
              <w:t>0.9</w:t>
            </w:r>
          </w:p>
        </w:tc>
        <w:tc>
          <w:tcPr>
            <w:tcW w:w="865" w:type="dxa"/>
          </w:tcPr>
          <w:p>
            <w:pPr>
              <w:pStyle w:val="TableParagraph"/>
              <w:ind w:right="241"/>
              <w:jc w:val="right"/>
              <w:rPr>
                <w:sz w:val="17"/>
              </w:rPr>
            </w:pPr>
            <w:r>
              <w:rPr>
                <w:color w:val="231F20"/>
                <w:sz w:val="17"/>
              </w:rPr>
              <w:t>100</w:t>
            </w:r>
          </w:p>
        </w:tc>
        <w:tc>
          <w:tcPr>
            <w:tcW w:w="815" w:type="dxa"/>
          </w:tcPr>
          <w:p>
            <w:pPr>
              <w:pStyle w:val="TableParagraph"/>
              <w:ind w:left="223" w:right="218"/>
              <w:rPr>
                <w:sz w:val="17"/>
              </w:rPr>
            </w:pPr>
            <w:r>
              <w:rPr>
                <w:color w:val="231F20"/>
                <w:w w:val="105"/>
                <w:sz w:val="17"/>
              </w:rPr>
              <w:t>61.6</w:t>
            </w:r>
          </w:p>
        </w:tc>
        <w:tc>
          <w:tcPr>
            <w:tcW w:w="871" w:type="dxa"/>
          </w:tcPr>
          <w:p>
            <w:pPr>
              <w:pStyle w:val="TableParagraph"/>
              <w:ind w:left="238"/>
              <w:jc w:val="left"/>
              <w:rPr>
                <w:sz w:val="17"/>
              </w:rPr>
            </w:pPr>
            <w:r>
              <w:rPr>
                <w:color w:val="231F20"/>
                <w:w w:val="105"/>
                <w:sz w:val="17"/>
              </w:rPr>
              <w:t>12.5</w:t>
            </w:r>
          </w:p>
        </w:tc>
        <w:tc>
          <w:tcPr>
            <w:tcW w:w="1003" w:type="dxa"/>
          </w:tcPr>
          <w:p>
            <w:pPr>
              <w:pStyle w:val="TableParagraph"/>
              <w:ind w:left="299"/>
              <w:jc w:val="left"/>
              <w:rPr>
                <w:sz w:val="17"/>
              </w:rPr>
            </w:pPr>
            <w:r>
              <w:rPr>
                <w:color w:val="231F20"/>
                <w:w w:val="105"/>
                <w:sz w:val="17"/>
              </w:rPr>
              <w:t>24.0</w:t>
            </w:r>
          </w:p>
        </w:tc>
        <w:tc>
          <w:tcPr>
            <w:tcW w:w="900" w:type="dxa"/>
          </w:tcPr>
          <w:p>
            <w:pPr>
              <w:pStyle w:val="TableParagraph"/>
              <w:ind w:right="291"/>
              <w:jc w:val="right"/>
              <w:rPr>
                <w:sz w:val="17"/>
              </w:rPr>
            </w:pPr>
            <w:r>
              <w:rPr>
                <w:color w:val="231F20"/>
                <w:w w:val="105"/>
                <w:sz w:val="17"/>
              </w:rPr>
              <w:t>1.9</w:t>
            </w:r>
          </w:p>
        </w:tc>
        <w:tc>
          <w:tcPr>
            <w:tcW w:w="797" w:type="dxa"/>
          </w:tcPr>
          <w:p>
            <w:pPr>
              <w:pStyle w:val="TableParagraph"/>
              <w:ind w:right="213"/>
              <w:jc w:val="right"/>
              <w:rPr>
                <w:sz w:val="17"/>
              </w:rPr>
            </w:pPr>
            <w:r>
              <w:rPr>
                <w:color w:val="231F20"/>
                <w:sz w:val="17"/>
              </w:rPr>
              <w:t>100</w:t>
            </w:r>
          </w:p>
        </w:tc>
      </w:tr>
      <w:tr>
        <w:trPr>
          <w:trHeight w:val="243" w:hRule="exact"/>
        </w:trPr>
        <w:tc>
          <w:tcPr>
            <w:tcW w:w="1707" w:type="dxa"/>
          </w:tcPr>
          <w:p>
            <w:pPr>
              <w:pStyle w:val="TableParagraph"/>
              <w:ind w:left="35"/>
              <w:jc w:val="left"/>
              <w:rPr>
                <w:sz w:val="17"/>
              </w:rPr>
            </w:pPr>
            <w:r>
              <w:rPr>
                <w:color w:val="231F20"/>
                <w:w w:val="105"/>
                <w:sz w:val="17"/>
              </w:rPr>
              <w:t>Distrito Federal</w:t>
            </w:r>
          </w:p>
        </w:tc>
        <w:tc>
          <w:tcPr>
            <w:tcW w:w="751" w:type="dxa"/>
          </w:tcPr>
          <w:p>
            <w:pPr>
              <w:pStyle w:val="TableParagraph"/>
              <w:ind w:left="173"/>
              <w:jc w:val="left"/>
              <w:rPr>
                <w:sz w:val="17"/>
              </w:rPr>
            </w:pPr>
            <w:r>
              <w:rPr>
                <w:color w:val="231F20"/>
                <w:w w:val="105"/>
                <w:sz w:val="17"/>
              </w:rPr>
              <w:t>71.2</w:t>
            </w:r>
          </w:p>
        </w:tc>
        <w:tc>
          <w:tcPr>
            <w:tcW w:w="885" w:type="dxa"/>
          </w:tcPr>
          <w:p>
            <w:pPr>
              <w:pStyle w:val="TableParagraph"/>
              <w:ind w:left="244"/>
              <w:jc w:val="left"/>
              <w:rPr>
                <w:sz w:val="17"/>
              </w:rPr>
            </w:pPr>
            <w:r>
              <w:rPr>
                <w:color w:val="231F20"/>
                <w:w w:val="105"/>
                <w:sz w:val="17"/>
              </w:rPr>
              <w:t>20.2</w:t>
            </w:r>
          </w:p>
        </w:tc>
        <w:tc>
          <w:tcPr>
            <w:tcW w:w="1032" w:type="dxa"/>
          </w:tcPr>
          <w:p>
            <w:pPr>
              <w:pStyle w:val="TableParagraph"/>
              <w:ind w:right="391"/>
              <w:jc w:val="right"/>
              <w:rPr>
                <w:sz w:val="17"/>
              </w:rPr>
            </w:pPr>
            <w:r>
              <w:rPr>
                <w:color w:val="231F20"/>
                <w:w w:val="105"/>
                <w:sz w:val="17"/>
              </w:rPr>
              <w:t>8.0</w:t>
            </w:r>
          </w:p>
        </w:tc>
        <w:tc>
          <w:tcPr>
            <w:tcW w:w="962" w:type="dxa"/>
          </w:tcPr>
          <w:p>
            <w:pPr>
              <w:pStyle w:val="TableParagraph"/>
              <w:ind w:left="373" w:right="314"/>
              <w:rPr>
                <w:sz w:val="17"/>
              </w:rPr>
            </w:pPr>
            <w:r>
              <w:rPr>
                <w:color w:val="231F20"/>
                <w:w w:val="105"/>
                <w:sz w:val="17"/>
              </w:rPr>
              <w:t>0.5</w:t>
            </w:r>
          </w:p>
        </w:tc>
        <w:tc>
          <w:tcPr>
            <w:tcW w:w="865" w:type="dxa"/>
          </w:tcPr>
          <w:p>
            <w:pPr>
              <w:pStyle w:val="TableParagraph"/>
              <w:ind w:right="241"/>
              <w:jc w:val="right"/>
              <w:rPr>
                <w:sz w:val="17"/>
              </w:rPr>
            </w:pPr>
            <w:r>
              <w:rPr>
                <w:color w:val="231F20"/>
                <w:sz w:val="17"/>
              </w:rPr>
              <w:t>100</w:t>
            </w:r>
          </w:p>
        </w:tc>
        <w:tc>
          <w:tcPr>
            <w:tcW w:w="815" w:type="dxa"/>
          </w:tcPr>
          <w:p>
            <w:pPr>
              <w:pStyle w:val="TableParagraph"/>
              <w:ind w:left="223" w:right="218"/>
              <w:rPr>
                <w:sz w:val="17"/>
              </w:rPr>
            </w:pPr>
            <w:r>
              <w:rPr>
                <w:color w:val="231F20"/>
                <w:w w:val="105"/>
                <w:sz w:val="17"/>
              </w:rPr>
              <w:t>75.2</w:t>
            </w:r>
          </w:p>
        </w:tc>
        <w:tc>
          <w:tcPr>
            <w:tcW w:w="871" w:type="dxa"/>
          </w:tcPr>
          <w:p>
            <w:pPr>
              <w:pStyle w:val="TableParagraph"/>
              <w:ind w:left="286"/>
              <w:jc w:val="left"/>
              <w:rPr>
                <w:sz w:val="17"/>
              </w:rPr>
            </w:pPr>
            <w:r>
              <w:rPr>
                <w:color w:val="231F20"/>
                <w:w w:val="105"/>
                <w:sz w:val="17"/>
              </w:rPr>
              <w:t>6.7</w:t>
            </w:r>
          </w:p>
        </w:tc>
        <w:tc>
          <w:tcPr>
            <w:tcW w:w="1003" w:type="dxa"/>
          </w:tcPr>
          <w:p>
            <w:pPr>
              <w:pStyle w:val="TableParagraph"/>
              <w:ind w:left="299"/>
              <w:jc w:val="left"/>
              <w:rPr>
                <w:sz w:val="17"/>
              </w:rPr>
            </w:pPr>
            <w:r>
              <w:rPr>
                <w:color w:val="231F20"/>
                <w:w w:val="105"/>
                <w:sz w:val="17"/>
              </w:rPr>
              <w:t>16.7</w:t>
            </w:r>
          </w:p>
        </w:tc>
        <w:tc>
          <w:tcPr>
            <w:tcW w:w="900" w:type="dxa"/>
          </w:tcPr>
          <w:p>
            <w:pPr>
              <w:pStyle w:val="TableParagraph"/>
              <w:ind w:right="291"/>
              <w:jc w:val="right"/>
              <w:rPr>
                <w:sz w:val="17"/>
              </w:rPr>
            </w:pPr>
            <w:r>
              <w:rPr>
                <w:color w:val="231F20"/>
                <w:w w:val="105"/>
                <w:sz w:val="17"/>
              </w:rPr>
              <w:t>1.4</w:t>
            </w:r>
          </w:p>
        </w:tc>
        <w:tc>
          <w:tcPr>
            <w:tcW w:w="797" w:type="dxa"/>
          </w:tcPr>
          <w:p>
            <w:pPr>
              <w:pStyle w:val="TableParagraph"/>
              <w:ind w:right="213"/>
              <w:jc w:val="right"/>
              <w:rPr>
                <w:sz w:val="17"/>
              </w:rPr>
            </w:pPr>
            <w:r>
              <w:rPr>
                <w:color w:val="231F20"/>
                <w:sz w:val="17"/>
              </w:rPr>
              <w:t>100</w:t>
            </w:r>
          </w:p>
        </w:tc>
      </w:tr>
    </w:tbl>
    <w:p>
      <w:pPr>
        <w:spacing w:after="0"/>
        <w:jc w:val="right"/>
        <w:rPr>
          <w:sz w:val="17"/>
        </w:rPr>
        <w:sectPr>
          <w:type w:val="continuous"/>
          <w:pgSz w:w="12920" w:h="9520" w:orient="landscape"/>
          <w:pgMar w:top="0" w:bottom="0" w:left="1240" w:right="860"/>
        </w:sectPr>
      </w:pPr>
    </w:p>
    <w:p>
      <w:pPr>
        <w:pStyle w:val="BodyText"/>
        <w:rPr>
          <w:i/>
        </w:rPr>
      </w:pPr>
    </w:p>
    <w:p>
      <w:pPr>
        <w:pStyle w:val="BodyText"/>
        <w:spacing w:before="2" w:after="1"/>
        <w:rPr>
          <w:i/>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47"/>
        <w:gridCol w:w="707"/>
        <w:gridCol w:w="842"/>
        <w:gridCol w:w="1070"/>
        <w:gridCol w:w="1094"/>
        <w:gridCol w:w="742"/>
        <w:gridCol w:w="810"/>
        <w:gridCol w:w="824"/>
        <w:gridCol w:w="1030"/>
        <w:gridCol w:w="1065"/>
        <w:gridCol w:w="684"/>
      </w:tblGrid>
      <w:tr>
        <w:trPr>
          <w:trHeight w:val="596" w:hRule="exact"/>
        </w:trPr>
        <w:tc>
          <w:tcPr>
            <w:tcW w:w="1747" w:type="dxa"/>
            <w:tcBorders>
              <w:bottom w:val="single" w:sz="3" w:space="0" w:color="231F20"/>
            </w:tcBorders>
          </w:tcPr>
          <w:p>
            <w:pPr>
              <w:pStyle w:val="TableParagraph"/>
              <w:spacing w:line="240" w:lineRule="auto" w:before="78"/>
              <w:ind w:left="35" w:right="-22"/>
              <w:jc w:val="left"/>
              <w:rPr>
                <w:sz w:val="16"/>
              </w:rPr>
            </w:pPr>
            <w:r>
              <w:rPr>
                <w:color w:val="231F20"/>
                <w:sz w:val="16"/>
              </w:rPr>
              <w:t>Cuadro  2</w:t>
            </w:r>
            <w:r>
              <w:rPr>
                <w:color w:val="231F20"/>
                <w:spacing w:val="14"/>
                <w:sz w:val="16"/>
              </w:rPr>
              <w:t> </w:t>
            </w:r>
            <w:r>
              <w:rPr>
                <w:color w:val="231F20"/>
                <w:sz w:val="16"/>
              </w:rPr>
              <w:t>(</w:t>
            </w:r>
            <w:r>
              <w:rPr>
                <w:i/>
                <w:color w:val="231F20"/>
                <w:sz w:val="16"/>
              </w:rPr>
              <w:t>Continuación</w:t>
            </w:r>
            <w:r>
              <w:rPr>
                <w:color w:val="231F20"/>
                <w:sz w:val="16"/>
              </w:rPr>
              <w:t>)</w:t>
            </w:r>
          </w:p>
        </w:tc>
        <w:tc>
          <w:tcPr>
            <w:tcW w:w="8868" w:type="dxa"/>
            <w:gridSpan w:val="10"/>
            <w:tcBorders>
              <w:bottom w:val="single" w:sz="3" w:space="0" w:color="231F20"/>
            </w:tcBorders>
          </w:tcPr>
          <w:p>
            <w:pPr/>
          </w:p>
        </w:tc>
      </w:tr>
      <w:tr>
        <w:trPr>
          <w:trHeight w:val="400" w:hRule="exact"/>
        </w:trPr>
        <w:tc>
          <w:tcPr>
            <w:tcW w:w="1747" w:type="dxa"/>
            <w:tcBorders>
              <w:top w:val="single" w:sz="3" w:space="0" w:color="231F20"/>
            </w:tcBorders>
          </w:tcPr>
          <w:p>
            <w:pPr/>
          </w:p>
        </w:tc>
        <w:tc>
          <w:tcPr>
            <w:tcW w:w="707" w:type="dxa"/>
            <w:tcBorders>
              <w:top w:val="single" w:sz="3" w:space="0" w:color="231F20"/>
              <w:bottom w:val="single" w:sz="3" w:space="0" w:color="231F20"/>
            </w:tcBorders>
          </w:tcPr>
          <w:p>
            <w:pPr/>
          </w:p>
        </w:tc>
        <w:tc>
          <w:tcPr>
            <w:tcW w:w="842" w:type="dxa"/>
            <w:tcBorders>
              <w:top w:val="single" w:sz="3" w:space="0" w:color="231F20"/>
              <w:bottom w:val="single" w:sz="3" w:space="0" w:color="231F20"/>
            </w:tcBorders>
          </w:tcPr>
          <w:p>
            <w:pPr/>
          </w:p>
        </w:tc>
        <w:tc>
          <w:tcPr>
            <w:tcW w:w="1070" w:type="dxa"/>
            <w:tcBorders>
              <w:top w:val="single" w:sz="3" w:space="0" w:color="231F20"/>
              <w:bottom w:val="single" w:sz="3" w:space="0" w:color="231F20"/>
            </w:tcBorders>
          </w:tcPr>
          <w:p>
            <w:pPr>
              <w:pStyle w:val="TableParagraph"/>
              <w:spacing w:line="240" w:lineRule="auto" w:before="102"/>
              <w:ind w:left="285" w:right="105"/>
              <w:rPr>
                <w:i/>
                <w:sz w:val="17"/>
              </w:rPr>
            </w:pPr>
            <w:r>
              <w:rPr>
                <w:i/>
                <w:color w:val="231F20"/>
                <w:sz w:val="17"/>
              </w:rPr>
              <w:t>1990</w:t>
            </w:r>
          </w:p>
        </w:tc>
        <w:tc>
          <w:tcPr>
            <w:tcW w:w="1094" w:type="dxa"/>
            <w:tcBorders>
              <w:top w:val="single" w:sz="3" w:space="0" w:color="231F20"/>
              <w:bottom w:val="single" w:sz="3" w:space="0" w:color="231F20"/>
            </w:tcBorders>
          </w:tcPr>
          <w:p>
            <w:pPr/>
          </w:p>
        </w:tc>
        <w:tc>
          <w:tcPr>
            <w:tcW w:w="742" w:type="dxa"/>
            <w:tcBorders>
              <w:top w:val="single" w:sz="3" w:space="0" w:color="231F20"/>
              <w:bottom w:val="single" w:sz="3" w:space="0" w:color="231F20"/>
              <w:right w:val="single" w:sz="26" w:space="0" w:color="FFFFFF"/>
            </w:tcBorders>
          </w:tcPr>
          <w:p>
            <w:pPr/>
          </w:p>
        </w:tc>
        <w:tc>
          <w:tcPr>
            <w:tcW w:w="810" w:type="dxa"/>
            <w:tcBorders>
              <w:top w:val="single" w:sz="3" w:space="0" w:color="231F20"/>
              <w:left w:val="single" w:sz="26" w:space="0" w:color="FFFFFF"/>
              <w:bottom w:val="single" w:sz="3" w:space="0" w:color="231F20"/>
            </w:tcBorders>
          </w:tcPr>
          <w:p>
            <w:pPr/>
          </w:p>
        </w:tc>
        <w:tc>
          <w:tcPr>
            <w:tcW w:w="824" w:type="dxa"/>
            <w:tcBorders>
              <w:top w:val="single" w:sz="3" w:space="0" w:color="231F20"/>
              <w:bottom w:val="single" w:sz="3" w:space="0" w:color="231F20"/>
            </w:tcBorders>
          </w:tcPr>
          <w:p>
            <w:pPr/>
          </w:p>
        </w:tc>
        <w:tc>
          <w:tcPr>
            <w:tcW w:w="1030" w:type="dxa"/>
            <w:tcBorders>
              <w:top w:val="single" w:sz="3" w:space="0" w:color="231F20"/>
              <w:bottom w:val="single" w:sz="3" w:space="0" w:color="231F20"/>
            </w:tcBorders>
          </w:tcPr>
          <w:p>
            <w:pPr>
              <w:pStyle w:val="TableParagraph"/>
              <w:spacing w:line="240" w:lineRule="auto" w:before="105"/>
              <w:ind w:left="191" w:right="78"/>
              <w:rPr>
                <w:i/>
                <w:sz w:val="17"/>
              </w:rPr>
            </w:pPr>
            <w:r>
              <w:rPr>
                <w:i/>
                <w:color w:val="231F20"/>
                <w:sz w:val="17"/>
              </w:rPr>
              <w:t>2010</w:t>
            </w:r>
          </w:p>
        </w:tc>
        <w:tc>
          <w:tcPr>
            <w:tcW w:w="1065" w:type="dxa"/>
            <w:tcBorders>
              <w:top w:val="single" w:sz="3" w:space="0" w:color="231F20"/>
              <w:bottom w:val="single" w:sz="3" w:space="0" w:color="231F20"/>
            </w:tcBorders>
          </w:tcPr>
          <w:p>
            <w:pPr/>
          </w:p>
        </w:tc>
        <w:tc>
          <w:tcPr>
            <w:tcW w:w="684" w:type="dxa"/>
            <w:tcBorders>
              <w:top w:val="single" w:sz="3" w:space="0" w:color="231F20"/>
              <w:bottom w:val="single" w:sz="3" w:space="0" w:color="231F20"/>
            </w:tcBorders>
          </w:tcPr>
          <w:p>
            <w:pPr/>
          </w:p>
        </w:tc>
      </w:tr>
      <w:tr>
        <w:trPr>
          <w:trHeight w:val="560" w:hRule="exact"/>
        </w:trPr>
        <w:tc>
          <w:tcPr>
            <w:tcW w:w="1747" w:type="dxa"/>
            <w:tcBorders>
              <w:bottom w:val="single" w:sz="3" w:space="0" w:color="231F20"/>
            </w:tcBorders>
          </w:tcPr>
          <w:p>
            <w:pPr>
              <w:pStyle w:val="TableParagraph"/>
              <w:spacing w:line="240" w:lineRule="auto" w:before="8"/>
              <w:jc w:val="left"/>
              <w:rPr>
                <w:i/>
                <w:sz w:val="23"/>
              </w:rPr>
            </w:pPr>
          </w:p>
          <w:p>
            <w:pPr>
              <w:pStyle w:val="TableParagraph"/>
              <w:spacing w:line="240" w:lineRule="auto"/>
              <w:ind w:left="552" w:right="-22"/>
              <w:jc w:val="left"/>
              <w:rPr>
                <w:i/>
                <w:sz w:val="17"/>
              </w:rPr>
            </w:pPr>
            <w:r>
              <w:rPr>
                <w:i/>
                <w:color w:val="231F20"/>
                <w:w w:val="105"/>
                <w:sz w:val="17"/>
              </w:rPr>
              <w:t>Entidad</w:t>
            </w:r>
          </w:p>
        </w:tc>
        <w:tc>
          <w:tcPr>
            <w:tcW w:w="707" w:type="dxa"/>
            <w:tcBorders>
              <w:top w:val="single" w:sz="3" w:space="0" w:color="231F20"/>
              <w:bottom w:val="single" w:sz="3" w:space="0" w:color="231F20"/>
            </w:tcBorders>
          </w:tcPr>
          <w:p>
            <w:pPr>
              <w:pStyle w:val="TableParagraph"/>
              <w:spacing w:line="240" w:lineRule="auto" w:before="4"/>
              <w:jc w:val="left"/>
              <w:rPr>
                <w:i/>
                <w:sz w:val="23"/>
              </w:rPr>
            </w:pPr>
          </w:p>
          <w:p>
            <w:pPr>
              <w:pStyle w:val="TableParagraph"/>
              <w:spacing w:line="240" w:lineRule="auto"/>
              <w:ind w:right="101"/>
              <w:rPr>
                <w:i/>
                <w:sz w:val="17"/>
              </w:rPr>
            </w:pPr>
            <w:r>
              <w:rPr>
                <w:i/>
                <w:color w:val="231F20"/>
                <w:w w:val="105"/>
                <w:sz w:val="17"/>
              </w:rPr>
              <w:t>Solteros</w:t>
            </w:r>
          </w:p>
        </w:tc>
        <w:tc>
          <w:tcPr>
            <w:tcW w:w="842" w:type="dxa"/>
            <w:tcBorders>
              <w:top w:val="single" w:sz="3" w:space="0" w:color="231F20"/>
              <w:bottom w:val="single" w:sz="3" w:space="0" w:color="231F20"/>
            </w:tcBorders>
          </w:tcPr>
          <w:p>
            <w:pPr>
              <w:pStyle w:val="TableParagraph"/>
              <w:spacing w:line="240" w:lineRule="auto" w:before="4"/>
              <w:jc w:val="left"/>
              <w:rPr>
                <w:i/>
                <w:sz w:val="23"/>
              </w:rPr>
            </w:pPr>
          </w:p>
          <w:p>
            <w:pPr>
              <w:pStyle w:val="TableParagraph"/>
              <w:spacing w:line="240" w:lineRule="auto"/>
              <w:ind w:left="82" w:right="86"/>
              <w:rPr>
                <w:i/>
                <w:sz w:val="17"/>
              </w:rPr>
            </w:pPr>
            <w:r>
              <w:rPr>
                <w:i/>
                <w:color w:val="231F20"/>
                <w:w w:val="110"/>
                <w:sz w:val="17"/>
              </w:rPr>
              <w:t>Casados</w:t>
            </w:r>
          </w:p>
        </w:tc>
        <w:tc>
          <w:tcPr>
            <w:tcW w:w="1070" w:type="dxa"/>
            <w:tcBorders>
              <w:top w:val="single" w:sz="3" w:space="0" w:color="231F20"/>
              <w:bottom w:val="single" w:sz="3" w:space="0" w:color="231F20"/>
            </w:tcBorders>
          </w:tcPr>
          <w:p>
            <w:pPr>
              <w:pStyle w:val="TableParagraph"/>
              <w:spacing w:line="240" w:lineRule="auto" w:before="4"/>
              <w:jc w:val="left"/>
              <w:rPr>
                <w:i/>
                <w:sz w:val="23"/>
              </w:rPr>
            </w:pPr>
          </w:p>
          <w:p>
            <w:pPr>
              <w:pStyle w:val="TableParagraph"/>
              <w:spacing w:line="240" w:lineRule="auto"/>
              <w:ind w:left="100" w:right="105"/>
              <w:rPr>
                <w:i/>
                <w:sz w:val="17"/>
              </w:rPr>
            </w:pPr>
            <w:r>
              <w:rPr>
                <w:i/>
                <w:color w:val="231F20"/>
                <w:w w:val="105"/>
                <w:sz w:val="17"/>
              </w:rPr>
              <w:t>Unión libre</w:t>
            </w:r>
          </w:p>
        </w:tc>
        <w:tc>
          <w:tcPr>
            <w:tcW w:w="1094" w:type="dxa"/>
            <w:tcBorders>
              <w:top w:val="single" w:sz="3" w:space="0" w:color="231F20"/>
              <w:bottom w:val="single" w:sz="3" w:space="0" w:color="231F20"/>
            </w:tcBorders>
          </w:tcPr>
          <w:p>
            <w:pPr>
              <w:pStyle w:val="TableParagraph"/>
              <w:spacing w:line="190" w:lineRule="exact" w:before="94"/>
              <w:ind w:left="116" w:right="146" w:firstLine="129"/>
              <w:jc w:val="left"/>
              <w:rPr>
                <w:i/>
                <w:sz w:val="17"/>
              </w:rPr>
            </w:pPr>
            <w:r>
              <w:rPr>
                <w:i/>
                <w:color w:val="231F20"/>
                <w:w w:val="110"/>
                <w:sz w:val="17"/>
              </w:rPr>
              <w:t>Alguna </w:t>
            </w:r>
            <w:r>
              <w:rPr>
                <w:i/>
                <w:color w:val="231F20"/>
                <w:w w:val="110"/>
                <w:sz w:val="17"/>
              </w:rPr>
              <w:t>vez unidos</w:t>
            </w:r>
          </w:p>
        </w:tc>
        <w:tc>
          <w:tcPr>
            <w:tcW w:w="742" w:type="dxa"/>
            <w:tcBorders>
              <w:top w:val="single" w:sz="3" w:space="0" w:color="231F20"/>
              <w:bottom w:val="single" w:sz="3" w:space="0" w:color="231F20"/>
            </w:tcBorders>
          </w:tcPr>
          <w:p>
            <w:pPr>
              <w:pStyle w:val="TableParagraph"/>
              <w:spacing w:line="240" w:lineRule="auto" w:before="4"/>
              <w:jc w:val="left"/>
              <w:rPr>
                <w:i/>
                <w:sz w:val="23"/>
              </w:rPr>
            </w:pPr>
          </w:p>
          <w:p>
            <w:pPr>
              <w:pStyle w:val="TableParagraph"/>
              <w:spacing w:line="240" w:lineRule="auto"/>
              <w:ind w:left="167"/>
              <w:jc w:val="left"/>
              <w:rPr>
                <w:i/>
                <w:sz w:val="17"/>
              </w:rPr>
            </w:pPr>
            <w:r>
              <w:rPr>
                <w:i/>
                <w:color w:val="231F20"/>
                <w:sz w:val="17"/>
              </w:rPr>
              <w:t>Total</w:t>
            </w:r>
          </w:p>
        </w:tc>
        <w:tc>
          <w:tcPr>
            <w:tcW w:w="810" w:type="dxa"/>
            <w:tcBorders>
              <w:top w:val="single" w:sz="3" w:space="0" w:color="231F20"/>
              <w:bottom w:val="single" w:sz="3" w:space="0" w:color="231F20"/>
            </w:tcBorders>
          </w:tcPr>
          <w:p>
            <w:pPr>
              <w:pStyle w:val="TableParagraph"/>
              <w:spacing w:line="240" w:lineRule="auto" w:before="4"/>
              <w:jc w:val="left"/>
              <w:rPr>
                <w:i/>
                <w:sz w:val="23"/>
              </w:rPr>
            </w:pPr>
          </w:p>
          <w:p>
            <w:pPr>
              <w:pStyle w:val="TableParagraph"/>
              <w:spacing w:line="240" w:lineRule="auto"/>
              <w:ind w:left="92" w:right="79"/>
              <w:rPr>
                <w:i/>
                <w:sz w:val="17"/>
              </w:rPr>
            </w:pPr>
            <w:r>
              <w:rPr>
                <w:i/>
                <w:color w:val="231F20"/>
                <w:w w:val="105"/>
                <w:sz w:val="17"/>
              </w:rPr>
              <w:t>Solteros</w:t>
            </w:r>
          </w:p>
        </w:tc>
        <w:tc>
          <w:tcPr>
            <w:tcW w:w="824" w:type="dxa"/>
            <w:tcBorders>
              <w:top w:val="single" w:sz="3" w:space="0" w:color="231F20"/>
              <w:bottom w:val="single" w:sz="3" w:space="0" w:color="231F20"/>
            </w:tcBorders>
          </w:tcPr>
          <w:p>
            <w:pPr>
              <w:pStyle w:val="TableParagraph"/>
              <w:spacing w:line="240" w:lineRule="auto" w:before="4"/>
              <w:jc w:val="left"/>
              <w:rPr>
                <w:i/>
                <w:sz w:val="23"/>
              </w:rPr>
            </w:pPr>
          </w:p>
          <w:p>
            <w:pPr>
              <w:pStyle w:val="TableParagraph"/>
              <w:spacing w:line="240" w:lineRule="auto"/>
              <w:ind w:left="74" w:right="75"/>
              <w:rPr>
                <w:i/>
                <w:sz w:val="17"/>
              </w:rPr>
            </w:pPr>
            <w:r>
              <w:rPr>
                <w:i/>
                <w:color w:val="231F20"/>
                <w:w w:val="110"/>
                <w:sz w:val="17"/>
              </w:rPr>
              <w:t>Casados</w:t>
            </w:r>
          </w:p>
        </w:tc>
        <w:tc>
          <w:tcPr>
            <w:tcW w:w="1030" w:type="dxa"/>
            <w:tcBorders>
              <w:top w:val="single" w:sz="3" w:space="0" w:color="231F20"/>
              <w:bottom w:val="single" w:sz="3" w:space="0" w:color="231F20"/>
            </w:tcBorders>
          </w:tcPr>
          <w:p>
            <w:pPr>
              <w:pStyle w:val="TableParagraph"/>
              <w:spacing w:line="240" w:lineRule="auto" w:before="4"/>
              <w:jc w:val="left"/>
              <w:rPr>
                <w:i/>
                <w:sz w:val="23"/>
              </w:rPr>
            </w:pPr>
          </w:p>
          <w:p>
            <w:pPr>
              <w:pStyle w:val="TableParagraph"/>
              <w:spacing w:line="240" w:lineRule="auto"/>
              <w:ind w:left="87" w:right="78"/>
              <w:rPr>
                <w:i/>
                <w:sz w:val="17"/>
              </w:rPr>
            </w:pPr>
            <w:r>
              <w:rPr>
                <w:i/>
                <w:color w:val="231F20"/>
                <w:w w:val="105"/>
                <w:sz w:val="17"/>
              </w:rPr>
              <w:t>Unión libre</w:t>
            </w:r>
          </w:p>
        </w:tc>
        <w:tc>
          <w:tcPr>
            <w:tcW w:w="1065" w:type="dxa"/>
            <w:tcBorders>
              <w:top w:val="single" w:sz="3" w:space="0" w:color="231F20"/>
              <w:bottom w:val="single" w:sz="3" w:space="0" w:color="231F20"/>
            </w:tcBorders>
          </w:tcPr>
          <w:p>
            <w:pPr>
              <w:pStyle w:val="TableParagraph"/>
              <w:spacing w:line="190" w:lineRule="exact" w:before="94"/>
              <w:ind w:left="261" w:right="103" w:hanging="173"/>
              <w:jc w:val="left"/>
              <w:rPr>
                <w:i/>
                <w:sz w:val="17"/>
              </w:rPr>
            </w:pPr>
            <w:r>
              <w:rPr>
                <w:i/>
                <w:color w:val="231F20"/>
                <w:w w:val="110"/>
                <w:sz w:val="17"/>
              </w:rPr>
              <w:t>Alguna vez </w:t>
            </w:r>
            <w:r>
              <w:rPr>
                <w:i/>
                <w:color w:val="231F20"/>
                <w:w w:val="110"/>
                <w:sz w:val="17"/>
              </w:rPr>
              <w:t>unidos</w:t>
            </w:r>
          </w:p>
        </w:tc>
        <w:tc>
          <w:tcPr>
            <w:tcW w:w="684" w:type="dxa"/>
            <w:tcBorders>
              <w:top w:val="single" w:sz="3" w:space="0" w:color="231F20"/>
              <w:bottom w:val="single" w:sz="3" w:space="0" w:color="231F20"/>
            </w:tcBorders>
          </w:tcPr>
          <w:p>
            <w:pPr>
              <w:pStyle w:val="TableParagraph"/>
              <w:spacing w:line="240" w:lineRule="auto" w:before="4"/>
              <w:jc w:val="left"/>
              <w:rPr>
                <w:i/>
                <w:sz w:val="23"/>
              </w:rPr>
            </w:pPr>
          </w:p>
          <w:p>
            <w:pPr>
              <w:pStyle w:val="TableParagraph"/>
              <w:spacing w:line="240" w:lineRule="auto"/>
              <w:ind w:left="123"/>
              <w:jc w:val="left"/>
              <w:rPr>
                <w:i/>
                <w:sz w:val="17"/>
              </w:rPr>
            </w:pPr>
            <w:r>
              <w:rPr>
                <w:i/>
                <w:color w:val="231F20"/>
                <w:sz w:val="17"/>
              </w:rPr>
              <w:t>Total</w:t>
            </w:r>
          </w:p>
        </w:tc>
      </w:tr>
      <w:tr>
        <w:trPr>
          <w:trHeight w:val="303" w:hRule="exact"/>
        </w:trPr>
        <w:tc>
          <w:tcPr>
            <w:tcW w:w="1747" w:type="dxa"/>
            <w:tcBorders>
              <w:top w:val="single" w:sz="3" w:space="0" w:color="231F20"/>
            </w:tcBorders>
          </w:tcPr>
          <w:p>
            <w:pPr>
              <w:pStyle w:val="TableParagraph"/>
              <w:spacing w:line="240" w:lineRule="auto" w:before="84"/>
              <w:ind w:left="35" w:right="-22"/>
              <w:jc w:val="left"/>
              <w:rPr>
                <w:sz w:val="17"/>
              </w:rPr>
            </w:pPr>
            <w:r>
              <w:rPr>
                <w:color w:val="231F20"/>
                <w:w w:val="110"/>
                <w:sz w:val="17"/>
              </w:rPr>
              <w:t>Morelos</w:t>
            </w:r>
          </w:p>
        </w:tc>
        <w:tc>
          <w:tcPr>
            <w:tcW w:w="707" w:type="dxa"/>
            <w:tcBorders>
              <w:top w:val="single" w:sz="3" w:space="0" w:color="231F20"/>
            </w:tcBorders>
          </w:tcPr>
          <w:p>
            <w:pPr>
              <w:pStyle w:val="TableParagraph"/>
              <w:spacing w:line="240" w:lineRule="auto" w:before="84"/>
              <w:ind w:right="101"/>
              <w:rPr>
                <w:sz w:val="17"/>
              </w:rPr>
            </w:pPr>
            <w:r>
              <w:rPr>
                <w:color w:val="231F20"/>
                <w:w w:val="105"/>
                <w:sz w:val="17"/>
              </w:rPr>
              <w:t>60.5</w:t>
            </w:r>
          </w:p>
        </w:tc>
        <w:tc>
          <w:tcPr>
            <w:tcW w:w="842" w:type="dxa"/>
            <w:tcBorders>
              <w:top w:val="single" w:sz="3" w:space="0" w:color="231F20"/>
            </w:tcBorders>
          </w:tcPr>
          <w:p>
            <w:pPr>
              <w:pStyle w:val="TableParagraph"/>
              <w:spacing w:line="240" w:lineRule="auto" w:before="84"/>
              <w:ind w:left="82" w:right="86"/>
              <w:rPr>
                <w:sz w:val="17"/>
              </w:rPr>
            </w:pPr>
            <w:r>
              <w:rPr>
                <w:color w:val="231F20"/>
                <w:w w:val="105"/>
                <w:sz w:val="17"/>
              </w:rPr>
              <w:t>26.7</w:t>
            </w:r>
          </w:p>
        </w:tc>
        <w:tc>
          <w:tcPr>
            <w:tcW w:w="1070" w:type="dxa"/>
            <w:tcBorders>
              <w:top w:val="single" w:sz="3" w:space="0" w:color="231F20"/>
            </w:tcBorders>
          </w:tcPr>
          <w:p>
            <w:pPr>
              <w:pStyle w:val="TableParagraph"/>
              <w:spacing w:line="240" w:lineRule="auto" w:before="84"/>
              <w:ind w:left="83" w:right="105"/>
              <w:rPr>
                <w:sz w:val="17"/>
              </w:rPr>
            </w:pPr>
            <w:r>
              <w:rPr>
                <w:color w:val="231F20"/>
                <w:w w:val="105"/>
                <w:sz w:val="17"/>
              </w:rPr>
              <w:t>12.2</w:t>
            </w:r>
          </w:p>
        </w:tc>
        <w:tc>
          <w:tcPr>
            <w:tcW w:w="1094" w:type="dxa"/>
            <w:tcBorders>
              <w:top w:val="single" w:sz="3" w:space="0" w:color="231F20"/>
            </w:tcBorders>
          </w:tcPr>
          <w:p>
            <w:pPr>
              <w:pStyle w:val="TableParagraph"/>
              <w:spacing w:line="240" w:lineRule="auto" w:before="84"/>
              <w:ind w:left="385" w:right="433"/>
              <w:rPr>
                <w:sz w:val="17"/>
              </w:rPr>
            </w:pPr>
            <w:r>
              <w:rPr>
                <w:color w:val="231F20"/>
                <w:w w:val="105"/>
                <w:sz w:val="17"/>
              </w:rPr>
              <w:t>0.6</w:t>
            </w:r>
          </w:p>
        </w:tc>
        <w:tc>
          <w:tcPr>
            <w:tcW w:w="742" w:type="dxa"/>
            <w:tcBorders>
              <w:top w:val="single" w:sz="3" w:space="0" w:color="231F20"/>
            </w:tcBorders>
          </w:tcPr>
          <w:p>
            <w:pPr>
              <w:pStyle w:val="TableParagraph"/>
              <w:spacing w:line="240" w:lineRule="auto" w:before="84"/>
              <w:ind w:left="211"/>
              <w:jc w:val="left"/>
              <w:rPr>
                <w:sz w:val="17"/>
              </w:rPr>
            </w:pPr>
            <w:r>
              <w:rPr>
                <w:color w:val="231F20"/>
                <w:sz w:val="17"/>
              </w:rPr>
              <w:t>100</w:t>
            </w:r>
          </w:p>
        </w:tc>
        <w:tc>
          <w:tcPr>
            <w:tcW w:w="810" w:type="dxa"/>
            <w:tcBorders>
              <w:top w:val="single" w:sz="3" w:space="0" w:color="231F20"/>
            </w:tcBorders>
          </w:tcPr>
          <w:p>
            <w:pPr>
              <w:pStyle w:val="TableParagraph"/>
              <w:spacing w:line="240" w:lineRule="auto" w:before="84"/>
              <w:ind w:left="92" w:right="79"/>
              <w:rPr>
                <w:sz w:val="17"/>
              </w:rPr>
            </w:pPr>
            <w:r>
              <w:rPr>
                <w:color w:val="231F20"/>
                <w:w w:val="105"/>
                <w:sz w:val="17"/>
              </w:rPr>
              <w:t>64.2</w:t>
            </w:r>
          </w:p>
        </w:tc>
        <w:tc>
          <w:tcPr>
            <w:tcW w:w="824" w:type="dxa"/>
            <w:tcBorders>
              <w:top w:val="single" w:sz="3" w:space="0" w:color="231F20"/>
            </w:tcBorders>
          </w:tcPr>
          <w:p>
            <w:pPr>
              <w:pStyle w:val="TableParagraph"/>
              <w:spacing w:line="240" w:lineRule="auto" w:before="84"/>
              <w:ind w:left="74" w:right="75"/>
              <w:rPr>
                <w:sz w:val="17"/>
              </w:rPr>
            </w:pPr>
            <w:r>
              <w:rPr>
                <w:color w:val="231F20"/>
                <w:w w:val="105"/>
                <w:sz w:val="17"/>
              </w:rPr>
              <w:t>11.8</w:t>
            </w:r>
          </w:p>
        </w:tc>
        <w:tc>
          <w:tcPr>
            <w:tcW w:w="1030" w:type="dxa"/>
            <w:tcBorders>
              <w:top w:val="single" w:sz="3" w:space="0" w:color="231F20"/>
            </w:tcBorders>
          </w:tcPr>
          <w:p>
            <w:pPr>
              <w:pStyle w:val="TableParagraph"/>
              <w:spacing w:line="240" w:lineRule="auto" w:before="84"/>
              <w:ind w:left="87" w:right="78"/>
              <w:rPr>
                <w:sz w:val="17"/>
              </w:rPr>
            </w:pPr>
            <w:r>
              <w:rPr>
                <w:color w:val="231F20"/>
                <w:w w:val="105"/>
                <w:sz w:val="17"/>
              </w:rPr>
              <w:t>22.5</w:t>
            </w:r>
          </w:p>
        </w:tc>
        <w:tc>
          <w:tcPr>
            <w:tcW w:w="1065" w:type="dxa"/>
            <w:tcBorders>
              <w:top w:val="single" w:sz="3" w:space="0" w:color="231F20"/>
            </w:tcBorders>
          </w:tcPr>
          <w:p>
            <w:pPr>
              <w:pStyle w:val="TableParagraph"/>
              <w:spacing w:line="240" w:lineRule="auto" w:before="84"/>
              <w:ind w:left="379" w:right="411"/>
              <w:rPr>
                <w:sz w:val="17"/>
              </w:rPr>
            </w:pPr>
            <w:r>
              <w:rPr>
                <w:color w:val="231F20"/>
                <w:w w:val="105"/>
                <w:sz w:val="17"/>
              </w:rPr>
              <w:t>1.5</w:t>
            </w:r>
          </w:p>
        </w:tc>
        <w:tc>
          <w:tcPr>
            <w:tcW w:w="684" w:type="dxa"/>
            <w:tcBorders>
              <w:top w:val="single" w:sz="3" w:space="0" w:color="231F20"/>
            </w:tcBorders>
          </w:tcPr>
          <w:p>
            <w:pPr>
              <w:pStyle w:val="TableParagraph"/>
              <w:spacing w:line="240" w:lineRule="auto" w:before="84"/>
              <w:ind w:left="167"/>
              <w:jc w:val="left"/>
              <w:rPr>
                <w:sz w:val="17"/>
              </w:rPr>
            </w:pPr>
            <w:r>
              <w:rPr>
                <w:color w:val="231F20"/>
                <w:sz w:val="17"/>
              </w:rPr>
              <w:t>100</w:t>
            </w:r>
          </w:p>
        </w:tc>
      </w:tr>
      <w:tr>
        <w:trPr>
          <w:trHeight w:val="210" w:hRule="exact"/>
        </w:trPr>
        <w:tc>
          <w:tcPr>
            <w:tcW w:w="1747" w:type="dxa"/>
          </w:tcPr>
          <w:p>
            <w:pPr>
              <w:pStyle w:val="TableParagraph"/>
              <w:ind w:left="35" w:right="-22"/>
              <w:jc w:val="left"/>
              <w:rPr>
                <w:sz w:val="17"/>
              </w:rPr>
            </w:pPr>
            <w:r>
              <w:rPr>
                <w:color w:val="231F20"/>
                <w:w w:val="110"/>
                <w:sz w:val="17"/>
              </w:rPr>
              <w:t>Nayarit</w:t>
            </w:r>
          </w:p>
        </w:tc>
        <w:tc>
          <w:tcPr>
            <w:tcW w:w="707" w:type="dxa"/>
          </w:tcPr>
          <w:p>
            <w:pPr>
              <w:pStyle w:val="TableParagraph"/>
              <w:ind w:right="101"/>
              <w:rPr>
                <w:sz w:val="17"/>
              </w:rPr>
            </w:pPr>
            <w:r>
              <w:rPr>
                <w:color w:val="231F20"/>
                <w:w w:val="105"/>
                <w:sz w:val="17"/>
              </w:rPr>
              <w:t>60.4</w:t>
            </w:r>
          </w:p>
        </w:tc>
        <w:tc>
          <w:tcPr>
            <w:tcW w:w="842" w:type="dxa"/>
          </w:tcPr>
          <w:p>
            <w:pPr>
              <w:pStyle w:val="TableParagraph"/>
              <w:ind w:left="82" w:right="86"/>
              <w:rPr>
                <w:sz w:val="17"/>
              </w:rPr>
            </w:pPr>
            <w:r>
              <w:rPr>
                <w:color w:val="231F20"/>
                <w:w w:val="105"/>
                <w:sz w:val="17"/>
              </w:rPr>
              <w:t>22.5</w:t>
            </w:r>
          </w:p>
        </w:tc>
        <w:tc>
          <w:tcPr>
            <w:tcW w:w="1070" w:type="dxa"/>
          </w:tcPr>
          <w:p>
            <w:pPr>
              <w:pStyle w:val="TableParagraph"/>
              <w:ind w:left="83" w:right="105"/>
              <w:rPr>
                <w:sz w:val="17"/>
              </w:rPr>
            </w:pPr>
            <w:r>
              <w:rPr>
                <w:color w:val="231F20"/>
                <w:w w:val="105"/>
                <w:sz w:val="17"/>
              </w:rPr>
              <w:t>16.3</w:t>
            </w:r>
          </w:p>
        </w:tc>
        <w:tc>
          <w:tcPr>
            <w:tcW w:w="1094" w:type="dxa"/>
          </w:tcPr>
          <w:p>
            <w:pPr>
              <w:pStyle w:val="TableParagraph"/>
              <w:ind w:left="385" w:right="433"/>
              <w:rPr>
                <w:sz w:val="17"/>
              </w:rPr>
            </w:pPr>
            <w:r>
              <w:rPr>
                <w:color w:val="231F20"/>
                <w:w w:val="105"/>
                <w:sz w:val="17"/>
              </w:rPr>
              <w:t>0.9</w:t>
            </w:r>
          </w:p>
        </w:tc>
        <w:tc>
          <w:tcPr>
            <w:tcW w:w="742" w:type="dxa"/>
          </w:tcPr>
          <w:p>
            <w:pPr>
              <w:pStyle w:val="TableParagraph"/>
              <w:ind w:left="211"/>
              <w:jc w:val="left"/>
              <w:rPr>
                <w:sz w:val="17"/>
              </w:rPr>
            </w:pPr>
            <w:r>
              <w:rPr>
                <w:color w:val="231F20"/>
                <w:sz w:val="17"/>
              </w:rPr>
              <w:t>100</w:t>
            </w:r>
          </w:p>
        </w:tc>
        <w:tc>
          <w:tcPr>
            <w:tcW w:w="810" w:type="dxa"/>
          </w:tcPr>
          <w:p>
            <w:pPr>
              <w:pStyle w:val="TableParagraph"/>
              <w:ind w:left="92" w:right="79"/>
              <w:rPr>
                <w:sz w:val="17"/>
              </w:rPr>
            </w:pPr>
            <w:r>
              <w:rPr>
                <w:color w:val="231F20"/>
                <w:w w:val="105"/>
                <w:sz w:val="17"/>
              </w:rPr>
              <w:t>61.3</w:t>
            </w:r>
          </w:p>
        </w:tc>
        <w:tc>
          <w:tcPr>
            <w:tcW w:w="824" w:type="dxa"/>
          </w:tcPr>
          <w:p>
            <w:pPr>
              <w:pStyle w:val="TableParagraph"/>
              <w:ind w:left="74" w:right="75"/>
              <w:rPr>
                <w:sz w:val="17"/>
              </w:rPr>
            </w:pPr>
            <w:r>
              <w:rPr>
                <w:color w:val="231F20"/>
                <w:w w:val="105"/>
                <w:sz w:val="17"/>
              </w:rPr>
              <w:t>12.1</w:t>
            </w:r>
          </w:p>
        </w:tc>
        <w:tc>
          <w:tcPr>
            <w:tcW w:w="1030" w:type="dxa"/>
          </w:tcPr>
          <w:p>
            <w:pPr>
              <w:pStyle w:val="TableParagraph"/>
              <w:ind w:left="87" w:right="78"/>
              <w:rPr>
                <w:sz w:val="17"/>
              </w:rPr>
            </w:pPr>
            <w:r>
              <w:rPr>
                <w:color w:val="231F20"/>
                <w:w w:val="105"/>
                <w:sz w:val="17"/>
              </w:rPr>
              <w:t>25.0</w:t>
            </w:r>
          </w:p>
        </w:tc>
        <w:tc>
          <w:tcPr>
            <w:tcW w:w="1065" w:type="dxa"/>
          </w:tcPr>
          <w:p>
            <w:pPr>
              <w:pStyle w:val="TableParagraph"/>
              <w:ind w:left="379" w:right="411"/>
              <w:rPr>
                <w:sz w:val="17"/>
              </w:rPr>
            </w:pPr>
            <w:r>
              <w:rPr>
                <w:color w:val="231F20"/>
                <w:w w:val="105"/>
                <w:sz w:val="17"/>
              </w:rPr>
              <w:t>1.7</w:t>
            </w:r>
          </w:p>
        </w:tc>
        <w:tc>
          <w:tcPr>
            <w:tcW w:w="684" w:type="dxa"/>
          </w:tcPr>
          <w:p>
            <w:pPr>
              <w:pStyle w:val="TableParagraph"/>
              <w:ind w:left="167"/>
              <w:jc w:val="left"/>
              <w:rPr>
                <w:sz w:val="17"/>
              </w:rPr>
            </w:pPr>
            <w:r>
              <w:rPr>
                <w:color w:val="231F20"/>
                <w:sz w:val="17"/>
              </w:rPr>
              <w:t>100</w:t>
            </w:r>
          </w:p>
        </w:tc>
      </w:tr>
      <w:tr>
        <w:trPr>
          <w:trHeight w:val="210" w:hRule="exact"/>
        </w:trPr>
        <w:tc>
          <w:tcPr>
            <w:tcW w:w="1747" w:type="dxa"/>
          </w:tcPr>
          <w:p>
            <w:pPr>
              <w:pStyle w:val="TableParagraph"/>
              <w:ind w:left="35" w:right="-22"/>
              <w:jc w:val="left"/>
              <w:rPr>
                <w:sz w:val="17"/>
              </w:rPr>
            </w:pPr>
            <w:r>
              <w:rPr>
                <w:color w:val="231F20"/>
                <w:w w:val="110"/>
                <w:sz w:val="17"/>
              </w:rPr>
              <w:t>Nuevo León</w:t>
            </w:r>
          </w:p>
        </w:tc>
        <w:tc>
          <w:tcPr>
            <w:tcW w:w="707" w:type="dxa"/>
          </w:tcPr>
          <w:p>
            <w:pPr>
              <w:pStyle w:val="TableParagraph"/>
              <w:ind w:right="101"/>
              <w:rPr>
                <w:sz w:val="17"/>
              </w:rPr>
            </w:pPr>
            <w:r>
              <w:rPr>
                <w:color w:val="231F20"/>
                <w:w w:val="105"/>
                <w:sz w:val="17"/>
              </w:rPr>
              <w:t>69.1</w:t>
            </w:r>
          </w:p>
        </w:tc>
        <w:tc>
          <w:tcPr>
            <w:tcW w:w="842" w:type="dxa"/>
          </w:tcPr>
          <w:p>
            <w:pPr>
              <w:pStyle w:val="TableParagraph"/>
              <w:ind w:left="82" w:right="86"/>
              <w:rPr>
                <w:sz w:val="17"/>
              </w:rPr>
            </w:pPr>
            <w:r>
              <w:rPr>
                <w:color w:val="231F20"/>
                <w:w w:val="105"/>
                <w:sz w:val="17"/>
              </w:rPr>
              <w:t>27.8</w:t>
            </w:r>
          </w:p>
        </w:tc>
        <w:tc>
          <w:tcPr>
            <w:tcW w:w="1070" w:type="dxa"/>
          </w:tcPr>
          <w:p>
            <w:pPr>
              <w:pStyle w:val="TableParagraph"/>
              <w:ind w:left="176" w:right="105"/>
              <w:rPr>
                <w:sz w:val="17"/>
              </w:rPr>
            </w:pPr>
            <w:r>
              <w:rPr>
                <w:color w:val="231F20"/>
                <w:w w:val="105"/>
                <w:sz w:val="17"/>
              </w:rPr>
              <w:t>2.4</w:t>
            </w:r>
          </w:p>
        </w:tc>
        <w:tc>
          <w:tcPr>
            <w:tcW w:w="1094" w:type="dxa"/>
          </w:tcPr>
          <w:p>
            <w:pPr>
              <w:pStyle w:val="TableParagraph"/>
              <w:ind w:left="385" w:right="433"/>
              <w:rPr>
                <w:sz w:val="17"/>
              </w:rPr>
            </w:pPr>
            <w:r>
              <w:rPr>
                <w:color w:val="231F20"/>
                <w:w w:val="105"/>
                <w:sz w:val="17"/>
              </w:rPr>
              <w:t>0.7</w:t>
            </w:r>
          </w:p>
        </w:tc>
        <w:tc>
          <w:tcPr>
            <w:tcW w:w="742" w:type="dxa"/>
          </w:tcPr>
          <w:p>
            <w:pPr>
              <w:pStyle w:val="TableParagraph"/>
              <w:ind w:left="211"/>
              <w:jc w:val="left"/>
              <w:rPr>
                <w:sz w:val="17"/>
              </w:rPr>
            </w:pPr>
            <w:r>
              <w:rPr>
                <w:color w:val="231F20"/>
                <w:sz w:val="17"/>
              </w:rPr>
              <w:t>100</w:t>
            </w:r>
          </w:p>
        </w:tc>
        <w:tc>
          <w:tcPr>
            <w:tcW w:w="810" w:type="dxa"/>
          </w:tcPr>
          <w:p>
            <w:pPr>
              <w:pStyle w:val="TableParagraph"/>
              <w:ind w:left="92" w:right="79"/>
              <w:rPr>
                <w:sz w:val="17"/>
              </w:rPr>
            </w:pPr>
            <w:r>
              <w:rPr>
                <w:color w:val="231F20"/>
                <w:w w:val="105"/>
                <w:sz w:val="17"/>
              </w:rPr>
              <w:t>66.8</w:t>
            </w:r>
          </w:p>
        </w:tc>
        <w:tc>
          <w:tcPr>
            <w:tcW w:w="824" w:type="dxa"/>
          </w:tcPr>
          <w:p>
            <w:pPr>
              <w:pStyle w:val="TableParagraph"/>
              <w:ind w:left="74" w:right="75"/>
              <w:rPr>
                <w:sz w:val="17"/>
              </w:rPr>
            </w:pPr>
            <w:r>
              <w:rPr>
                <w:color w:val="231F20"/>
                <w:w w:val="105"/>
                <w:sz w:val="17"/>
              </w:rPr>
              <w:t>17.9</w:t>
            </w:r>
          </w:p>
        </w:tc>
        <w:tc>
          <w:tcPr>
            <w:tcW w:w="1030" w:type="dxa"/>
          </w:tcPr>
          <w:p>
            <w:pPr>
              <w:pStyle w:val="TableParagraph"/>
              <w:ind w:left="87" w:right="78"/>
              <w:rPr>
                <w:sz w:val="17"/>
              </w:rPr>
            </w:pPr>
            <w:r>
              <w:rPr>
                <w:color w:val="231F20"/>
                <w:w w:val="105"/>
                <w:sz w:val="17"/>
              </w:rPr>
              <w:t>13.5</w:t>
            </w:r>
          </w:p>
        </w:tc>
        <w:tc>
          <w:tcPr>
            <w:tcW w:w="1065" w:type="dxa"/>
          </w:tcPr>
          <w:p>
            <w:pPr>
              <w:pStyle w:val="TableParagraph"/>
              <w:ind w:left="379" w:right="411"/>
              <w:rPr>
                <w:sz w:val="17"/>
              </w:rPr>
            </w:pPr>
            <w:r>
              <w:rPr>
                <w:color w:val="231F20"/>
                <w:w w:val="105"/>
                <w:sz w:val="17"/>
              </w:rPr>
              <w:t>1.8</w:t>
            </w:r>
          </w:p>
        </w:tc>
        <w:tc>
          <w:tcPr>
            <w:tcW w:w="684" w:type="dxa"/>
          </w:tcPr>
          <w:p>
            <w:pPr>
              <w:pStyle w:val="TableParagraph"/>
              <w:ind w:left="167"/>
              <w:jc w:val="left"/>
              <w:rPr>
                <w:sz w:val="17"/>
              </w:rPr>
            </w:pPr>
            <w:r>
              <w:rPr>
                <w:color w:val="231F20"/>
                <w:sz w:val="17"/>
              </w:rPr>
              <w:t>100</w:t>
            </w:r>
          </w:p>
        </w:tc>
      </w:tr>
      <w:tr>
        <w:trPr>
          <w:trHeight w:val="210" w:hRule="exact"/>
        </w:trPr>
        <w:tc>
          <w:tcPr>
            <w:tcW w:w="1747" w:type="dxa"/>
          </w:tcPr>
          <w:p>
            <w:pPr>
              <w:pStyle w:val="TableParagraph"/>
              <w:ind w:left="35" w:right="-22"/>
              <w:jc w:val="left"/>
              <w:rPr>
                <w:sz w:val="17"/>
              </w:rPr>
            </w:pPr>
            <w:r>
              <w:rPr>
                <w:color w:val="231F20"/>
                <w:w w:val="115"/>
                <w:sz w:val="17"/>
              </w:rPr>
              <w:t>Oaxaca</w:t>
            </w:r>
          </w:p>
        </w:tc>
        <w:tc>
          <w:tcPr>
            <w:tcW w:w="707" w:type="dxa"/>
          </w:tcPr>
          <w:p>
            <w:pPr>
              <w:pStyle w:val="TableParagraph"/>
              <w:ind w:right="101"/>
              <w:rPr>
                <w:sz w:val="17"/>
              </w:rPr>
            </w:pPr>
            <w:r>
              <w:rPr>
                <w:color w:val="231F20"/>
                <w:w w:val="105"/>
                <w:sz w:val="17"/>
              </w:rPr>
              <w:t>56.7</w:t>
            </w:r>
          </w:p>
        </w:tc>
        <w:tc>
          <w:tcPr>
            <w:tcW w:w="842" w:type="dxa"/>
          </w:tcPr>
          <w:p>
            <w:pPr>
              <w:pStyle w:val="TableParagraph"/>
              <w:ind w:left="82" w:right="86"/>
              <w:rPr>
                <w:sz w:val="17"/>
              </w:rPr>
            </w:pPr>
            <w:r>
              <w:rPr>
                <w:color w:val="231F20"/>
                <w:w w:val="105"/>
                <w:sz w:val="17"/>
              </w:rPr>
              <w:t>30.5</w:t>
            </w:r>
          </w:p>
        </w:tc>
        <w:tc>
          <w:tcPr>
            <w:tcW w:w="1070" w:type="dxa"/>
          </w:tcPr>
          <w:p>
            <w:pPr>
              <w:pStyle w:val="TableParagraph"/>
              <w:ind w:left="83" w:right="105"/>
              <w:rPr>
                <w:sz w:val="17"/>
              </w:rPr>
            </w:pPr>
            <w:r>
              <w:rPr>
                <w:color w:val="231F20"/>
                <w:w w:val="105"/>
                <w:sz w:val="17"/>
              </w:rPr>
              <w:t>12.0</w:t>
            </w:r>
          </w:p>
        </w:tc>
        <w:tc>
          <w:tcPr>
            <w:tcW w:w="1094" w:type="dxa"/>
          </w:tcPr>
          <w:p>
            <w:pPr>
              <w:pStyle w:val="TableParagraph"/>
              <w:ind w:left="385" w:right="433"/>
              <w:rPr>
                <w:sz w:val="17"/>
              </w:rPr>
            </w:pPr>
            <w:r>
              <w:rPr>
                <w:color w:val="231F20"/>
                <w:w w:val="105"/>
                <w:sz w:val="17"/>
              </w:rPr>
              <w:t>0.8</w:t>
            </w:r>
          </w:p>
        </w:tc>
        <w:tc>
          <w:tcPr>
            <w:tcW w:w="742" w:type="dxa"/>
          </w:tcPr>
          <w:p>
            <w:pPr>
              <w:pStyle w:val="TableParagraph"/>
              <w:ind w:left="211"/>
              <w:jc w:val="left"/>
              <w:rPr>
                <w:sz w:val="17"/>
              </w:rPr>
            </w:pPr>
            <w:r>
              <w:rPr>
                <w:color w:val="231F20"/>
                <w:sz w:val="17"/>
              </w:rPr>
              <w:t>100</w:t>
            </w:r>
          </w:p>
        </w:tc>
        <w:tc>
          <w:tcPr>
            <w:tcW w:w="810" w:type="dxa"/>
          </w:tcPr>
          <w:p>
            <w:pPr>
              <w:pStyle w:val="TableParagraph"/>
              <w:ind w:left="92" w:right="79"/>
              <w:rPr>
                <w:sz w:val="17"/>
              </w:rPr>
            </w:pPr>
            <w:r>
              <w:rPr>
                <w:color w:val="231F20"/>
                <w:w w:val="105"/>
                <w:sz w:val="17"/>
              </w:rPr>
              <w:t>64.2</w:t>
            </w:r>
          </w:p>
        </w:tc>
        <w:tc>
          <w:tcPr>
            <w:tcW w:w="824" w:type="dxa"/>
          </w:tcPr>
          <w:p>
            <w:pPr>
              <w:pStyle w:val="TableParagraph"/>
              <w:ind w:left="74" w:right="75"/>
              <w:rPr>
                <w:sz w:val="17"/>
              </w:rPr>
            </w:pPr>
            <w:r>
              <w:rPr>
                <w:color w:val="231F20"/>
                <w:w w:val="105"/>
                <w:sz w:val="17"/>
              </w:rPr>
              <w:t>17.1</w:t>
            </w:r>
          </w:p>
        </w:tc>
        <w:tc>
          <w:tcPr>
            <w:tcW w:w="1030" w:type="dxa"/>
          </w:tcPr>
          <w:p>
            <w:pPr>
              <w:pStyle w:val="TableParagraph"/>
              <w:ind w:left="87" w:right="78"/>
              <w:rPr>
                <w:sz w:val="17"/>
              </w:rPr>
            </w:pPr>
            <w:r>
              <w:rPr>
                <w:color w:val="231F20"/>
                <w:w w:val="105"/>
                <w:sz w:val="17"/>
              </w:rPr>
              <w:t>17.9</w:t>
            </w:r>
          </w:p>
        </w:tc>
        <w:tc>
          <w:tcPr>
            <w:tcW w:w="1065" w:type="dxa"/>
          </w:tcPr>
          <w:p>
            <w:pPr>
              <w:pStyle w:val="TableParagraph"/>
              <w:ind w:left="379" w:right="411"/>
              <w:rPr>
                <w:sz w:val="17"/>
              </w:rPr>
            </w:pPr>
            <w:r>
              <w:rPr>
                <w:color w:val="231F20"/>
                <w:w w:val="105"/>
                <w:sz w:val="17"/>
              </w:rPr>
              <w:t>0.8</w:t>
            </w:r>
          </w:p>
        </w:tc>
        <w:tc>
          <w:tcPr>
            <w:tcW w:w="684" w:type="dxa"/>
          </w:tcPr>
          <w:p>
            <w:pPr>
              <w:pStyle w:val="TableParagraph"/>
              <w:ind w:left="167"/>
              <w:jc w:val="left"/>
              <w:rPr>
                <w:sz w:val="17"/>
              </w:rPr>
            </w:pPr>
            <w:r>
              <w:rPr>
                <w:color w:val="231F20"/>
                <w:sz w:val="17"/>
              </w:rPr>
              <w:t>100</w:t>
            </w:r>
          </w:p>
        </w:tc>
      </w:tr>
      <w:tr>
        <w:trPr>
          <w:trHeight w:val="210" w:hRule="exact"/>
        </w:trPr>
        <w:tc>
          <w:tcPr>
            <w:tcW w:w="1747" w:type="dxa"/>
          </w:tcPr>
          <w:p>
            <w:pPr>
              <w:pStyle w:val="TableParagraph"/>
              <w:ind w:left="35" w:right="-22"/>
              <w:jc w:val="left"/>
              <w:rPr>
                <w:sz w:val="17"/>
              </w:rPr>
            </w:pPr>
            <w:r>
              <w:rPr>
                <w:color w:val="231F20"/>
                <w:w w:val="105"/>
                <w:sz w:val="17"/>
              </w:rPr>
              <w:t>Puebla</w:t>
            </w:r>
          </w:p>
        </w:tc>
        <w:tc>
          <w:tcPr>
            <w:tcW w:w="707" w:type="dxa"/>
          </w:tcPr>
          <w:p>
            <w:pPr>
              <w:pStyle w:val="TableParagraph"/>
              <w:ind w:right="101"/>
              <w:rPr>
                <w:sz w:val="17"/>
              </w:rPr>
            </w:pPr>
            <w:r>
              <w:rPr>
                <w:color w:val="231F20"/>
                <w:w w:val="105"/>
                <w:sz w:val="17"/>
              </w:rPr>
              <w:t>59.7</w:t>
            </w:r>
          </w:p>
        </w:tc>
        <w:tc>
          <w:tcPr>
            <w:tcW w:w="842" w:type="dxa"/>
          </w:tcPr>
          <w:p>
            <w:pPr>
              <w:pStyle w:val="TableParagraph"/>
              <w:ind w:left="82" w:right="86"/>
              <w:rPr>
                <w:sz w:val="17"/>
              </w:rPr>
            </w:pPr>
            <w:r>
              <w:rPr>
                <w:color w:val="231F20"/>
                <w:w w:val="105"/>
                <w:sz w:val="17"/>
              </w:rPr>
              <w:t>25.8</w:t>
            </w:r>
          </w:p>
        </w:tc>
        <w:tc>
          <w:tcPr>
            <w:tcW w:w="1070" w:type="dxa"/>
          </w:tcPr>
          <w:p>
            <w:pPr>
              <w:pStyle w:val="TableParagraph"/>
              <w:ind w:left="83" w:right="105"/>
              <w:rPr>
                <w:sz w:val="17"/>
              </w:rPr>
            </w:pPr>
            <w:r>
              <w:rPr>
                <w:color w:val="231F20"/>
                <w:w w:val="105"/>
                <w:sz w:val="17"/>
              </w:rPr>
              <w:t>13.9</w:t>
            </w:r>
          </w:p>
        </w:tc>
        <w:tc>
          <w:tcPr>
            <w:tcW w:w="1094" w:type="dxa"/>
          </w:tcPr>
          <w:p>
            <w:pPr>
              <w:pStyle w:val="TableParagraph"/>
              <w:ind w:left="385" w:right="433"/>
              <w:rPr>
                <w:sz w:val="17"/>
              </w:rPr>
            </w:pPr>
            <w:r>
              <w:rPr>
                <w:color w:val="231F20"/>
                <w:w w:val="105"/>
                <w:sz w:val="17"/>
              </w:rPr>
              <w:t>0.5</w:t>
            </w:r>
          </w:p>
        </w:tc>
        <w:tc>
          <w:tcPr>
            <w:tcW w:w="742" w:type="dxa"/>
          </w:tcPr>
          <w:p>
            <w:pPr>
              <w:pStyle w:val="TableParagraph"/>
              <w:ind w:left="211"/>
              <w:jc w:val="left"/>
              <w:rPr>
                <w:sz w:val="17"/>
              </w:rPr>
            </w:pPr>
            <w:r>
              <w:rPr>
                <w:color w:val="231F20"/>
                <w:sz w:val="17"/>
              </w:rPr>
              <w:t>100</w:t>
            </w:r>
          </w:p>
        </w:tc>
        <w:tc>
          <w:tcPr>
            <w:tcW w:w="810" w:type="dxa"/>
          </w:tcPr>
          <w:p>
            <w:pPr>
              <w:pStyle w:val="TableParagraph"/>
              <w:ind w:left="92" w:right="79"/>
              <w:rPr>
                <w:sz w:val="17"/>
              </w:rPr>
            </w:pPr>
            <w:r>
              <w:rPr>
                <w:color w:val="231F20"/>
                <w:w w:val="105"/>
                <w:sz w:val="17"/>
              </w:rPr>
              <w:t>63.0</w:t>
            </w:r>
          </w:p>
        </w:tc>
        <w:tc>
          <w:tcPr>
            <w:tcW w:w="824" w:type="dxa"/>
          </w:tcPr>
          <w:p>
            <w:pPr>
              <w:pStyle w:val="TableParagraph"/>
              <w:ind w:left="74" w:right="75"/>
              <w:rPr>
                <w:sz w:val="17"/>
              </w:rPr>
            </w:pPr>
            <w:r>
              <w:rPr>
                <w:color w:val="231F20"/>
                <w:w w:val="105"/>
                <w:sz w:val="17"/>
              </w:rPr>
              <w:t>10.1</w:t>
            </w:r>
          </w:p>
        </w:tc>
        <w:tc>
          <w:tcPr>
            <w:tcW w:w="1030" w:type="dxa"/>
          </w:tcPr>
          <w:p>
            <w:pPr>
              <w:pStyle w:val="TableParagraph"/>
              <w:ind w:left="87" w:right="78"/>
              <w:rPr>
                <w:sz w:val="17"/>
              </w:rPr>
            </w:pPr>
            <w:r>
              <w:rPr>
                <w:color w:val="231F20"/>
                <w:w w:val="105"/>
                <w:sz w:val="17"/>
              </w:rPr>
              <w:t>26.0</w:t>
            </w:r>
          </w:p>
        </w:tc>
        <w:tc>
          <w:tcPr>
            <w:tcW w:w="1065" w:type="dxa"/>
          </w:tcPr>
          <w:p>
            <w:pPr>
              <w:pStyle w:val="TableParagraph"/>
              <w:ind w:left="379" w:right="411"/>
              <w:rPr>
                <w:sz w:val="17"/>
              </w:rPr>
            </w:pPr>
            <w:r>
              <w:rPr>
                <w:color w:val="231F20"/>
                <w:w w:val="105"/>
                <w:sz w:val="17"/>
              </w:rPr>
              <w:t>0.9</w:t>
            </w:r>
          </w:p>
        </w:tc>
        <w:tc>
          <w:tcPr>
            <w:tcW w:w="684" w:type="dxa"/>
          </w:tcPr>
          <w:p>
            <w:pPr>
              <w:pStyle w:val="TableParagraph"/>
              <w:ind w:left="167"/>
              <w:jc w:val="left"/>
              <w:rPr>
                <w:sz w:val="17"/>
              </w:rPr>
            </w:pPr>
            <w:r>
              <w:rPr>
                <w:color w:val="231F20"/>
                <w:sz w:val="17"/>
              </w:rPr>
              <w:t>100</w:t>
            </w:r>
          </w:p>
        </w:tc>
      </w:tr>
      <w:tr>
        <w:trPr>
          <w:trHeight w:val="210" w:hRule="exact"/>
        </w:trPr>
        <w:tc>
          <w:tcPr>
            <w:tcW w:w="1747" w:type="dxa"/>
          </w:tcPr>
          <w:p>
            <w:pPr>
              <w:pStyle w:val="TableParagraph"/>
              <w:ind w:left="35" w:right="-22"/>
              <w:jc w:val="left"/>
              <w:rPr>
                <w:sz w:val="17"/>
              </w:rPr>
            </w:pPr>
            <w:r>
              <w:rPr>
                <w:color w:val="231F20"/>
                <w:w w:val="110"/>
                <w:sz w:val="17"/>
              </w:rPr>
              <w:t>Querétaro</w:t>
            </w:r>
          </w:p>
        </w:tc>
        <w:tc>
          <w:tcPr>
            <w:tcW w:w="707" w:type="dxa"/>
          </w:tcPr>
          <w:p>
            <w:pPr>
              <w:pStyle w:val="TableParagraph"/>
              <w:ind w:right="101"/>
              <w:rPr>
                <w:sz w:val="17"/>
              </w:rPr>
            </w:pPr>
            <w:r>
              <w:rPr>
                <w:color w:val="231F20"/>
                <w:w w:val="105"/>
                <w:sz w:val="17"/>
              </w:rPr>
              <w:t>63.0</w:t>
            </w:r>
          </w:p>
        </w:tc>
        <w:tc>
          <w:tcPr>
            <w:tcW w:w="842" w:type="dxa"/>
          </w:tcPr>
          <w:p>
            <w:pPr>
              <w:pStyle w:val="TableParagraph"/>
              <w:ind w:left="82" w:right="86"/>
              <w:rPr>
                <w:sz w:val="17"/>
              </w:rPr>
            </w:pPr>
            <w:r>
              <w:rPr>
                <w:color w:val="231F20"/>
                <w:w w:val="105"/>
                <w:sz w:val="17"/>
              </w:rPr>
              <w:t>30.2</w:t>
            </w:r>
          </w:p>
        </w:tc>
        <w:tc>
          <w:tcPr>
            <w:tcW w:w="1070" w:type="dxa"/>
          </w:tcPr>
          <w:p>
            <w:pPr>
              <w:pStyle w:val="TableParagraph"/>
              <w:ind w:left="176" w:right="105"/>
              <w:rPr>
                <w:sz w:val="17"/>
              </w:rPr>
            </w:pPr>
            <w:r>
              <w:rPr>
                <w:color w:val="231F20"/>
                <w:w w:val="105"/>
                <w:sz w:val="17"/>
              </w:rPr>
              <w:t>6.4</w:t>
            </w:r>
          </w:p>
        </w:tc>
        <w:tc>
          <w:tcPr>
            <w:tcW w:w="1094" w:type="dxa"/>
          </w:tcPr>
          <w:p>
            <w:pPr>
              <w:pStyle w:val="TableParagraph"/>
              <w:ind w:left="385" w:right="433"/>
              <w:rPr>
                <w:sz w:val="17"/>
              </w:rPr>
            </w:pPr>
            <w:r>
              <w:rPr>
                <w:color w:val="231F20"/>
                <w:w w:val="105"/>
                <w:sz w:val="17"/>
              </w:rPr>
              <w:t>0.4</w:t>
            </w:r>
          </w:p>
        </w:tc>
        <w:tc>
          <w:tcPr>
            <w:tcW w:w="742" w:type="dxa"/>
          </w:tcPr>
          <w:p>
            <w:pPr>
              <w:pStyle w:val="TableParagraph"/>
              <w:ind w:left="211"/>
              <w:jc w:val="left"/>
              <w:rPr>
                <w:sz w:val="17"/>
              </w:rPr>
            </w:pPr>
            <w:r>
              <w:rPr>
                <w:color w:val="231F20"/>
                <w:sz w:val="17"/>
              </w:rPr>
              <w:t>100</w:t>
            </w:r>
          </w:p>
        </w:tc>
        <w:tc>
          <w:tcPr>
            <w:tcW w:w="810" w:type="dxa"/>
          </w:tcPr>
          <w:p>
            <w:pPr>
              <w:pStyle w:val="TableParagraph"/>
              <w:ind w:left="92" w:right="79"/>
              <w:rPr>
                <w:sz w:val="17"/>
              </w:rPr>
            </w:pPr>
            <w:r>
              <w:rPr>
                <w:color w:val="231F20"/>
                <w:w w:val="105"/>
                <w:sz w:val="17"/>
              </w:rPr>
              <w:t>67.5</w:t>
            </w:r>
          </w:p>
        </w:tc>
        <w:tc>
          <w:tcPr>
            <w:tcW w:w="824" w:type="dxa"/>
          </w:tcPr>
          <w:p>
            <w:pPr>
              <w:pStyle w:val="TableParagraph"/>
              <w:ind w:left="74" w:right="75"/>
              <w:rPr>
                <w:sz w:val="17"/>
              </w:rPr>
            </w:pPr>
            <w:r>
              <w:rPr>
                <w:color w:val="231F20"/>
                <w:w w:val="105"/>
                <w:sz w:val="17"/>
              </w:rPr>
              <w:t>11.8</w:t>
            </w:r>
          </w:p>
        </w:tc>
        <w:tc>
          <w:tcPr>
            <w:tcW w:w="1030" w:type="dxa"/>
          </w:tcPr>
          <w:p>
            <w:pPr>
              <w:pStyle w:val="TableParagraph"/>
              <w:ind w:left="87" w:right="78"/>
              <w:rPr>
                <w:sz w:val="17"/>
              </w:rPr>
            </w:pPr>
            <w:r>
              <w:rPr>
                <w:color w:val="231F20"/>
                <w:w w:val="105"/>
                <w:sz w:val="17"/>
              </w:rPr>
              <w:t>19.8</w:t>
            </w:r>
          </w:p>
        </w:tc>
        <w:tc>
          <w:tcPr>
            <w:tcW w:w="1065" w:type="dxa"/>
          </w:tcPr>
          <w:p>
            <w:pPr>
              <w:pStyle w:val="TableParagraph"/>
              <w:ind w:left="379" w:right="411"/>
              <w:rPr>
                <w:sz w:val="17"/>
              </w:rPr>
            </w:pPr>
            <w:r>
              <w:rPr>
                <w:color w:val="231F20"/>
                <w:w w:val="105"/>
                <w:sz w:val="17"/>
              </w:rPr>
              <w:t>1.0</w:t>
            </w:r>
          </w:p>
        </w:tc>
        <w:tc>
          <w:tcPr>
            <w:tcW w:w="684" w:type="dxa"/>
          </w:tcPr>
          <w:p>
            <w:pPr>
              <w:pStyle w:val="TableParagraph"/>
              <w:ind w:left="167"/>
              <w:jc w:val="left"/>
              <w:rPr>
                <w:sz w:val="17"/>
              </w:rPr>
            </w:pPr>
            <w:r>
              <w:rPr>
                <w:color w:val="231F20"/>
                <w:sz w:val="17"/>
              </w:rPr>
              <w:t>100</w:t>
            </w:r>
          </w:p>
        </w:tc>
      </w:tr>
      <w:tr>
        <w:trPr>
          <w:trHeight w:val="210" w:hRule="exact"/>
        </w:trPr>
        <w:tc>
          <w:tcPr>
            <w:tcW w:w="1747" w:type="dxa"/>
          </w:tcPr>
          <w:p>
            <w:pPr>
              <w:pStyle w:val="TableParagraph"/>
              <w:ind w:left="35" w:right="-22"/>
              <w:jc w:val="left"/>
              <w:rPr>
                <w:sz w:val="17"/>
              </w:rPr>
            </w:pPr>
            <w:r>
              <w:rPr>
                <w:color w:val="231F20"/>
                <w:w w:val="110"/>
                <w:sz w:val="17"/>
              </w:rPr>
              <w:t>Quintana Roo</w:t>
            </w:r>
          </w:p>
        </w:tc>
        <w:tc>
          <w:tcPr>
            <w:tcW w:w="707" w:type="dxa"/>
          </w:tcPr>
          <w:p>
            <w:pPr>
              <w:pStyle w:val="TableParagraph"/>
              <w:ind w:right="101"/>
              <w:rPr>
                <w:sz w:val="17"/>
              </w:rPr>
            </w:pPr>
            <w:r>
              <w:rPr>
                <w:color w:val="231F20"/>
                <w:w w:val="105"/>
                <w:sz w:val="17"/>
              </w:rPr>
              <w:t>51.5</w:t>
            </w:r>
          </w:p>
        </w:tc>
        <w:tc>
          <w:tcPr>
            <w:tcW w:w="842" w:type="dxa"/>
          </w:tcPr>
          <w:p>
            <w:pPr>
              <w:pStyle w:val="TableParagraph"/>
              <w:ind w:left="82" w:right="86"/>
              <w:rPr>
                <w:sz w:val="17"/>
              </w:rPr>
            </w:pPr>
            <w:r>
              <w:rPr>
                <w:color w:val="231F20"/>
                <w:w w:val="105"/>
                <w:sz w:val="17"/>
              </w:rPr>
              <w:t>37.3</w:t>
            </w:r>
          </w:p>
        </w:tc>
        <w:tc>
          <w:tcPr>
            <w:tcW w:w="1070" w:type="dxa"/>
          </w:tcPr>
          <w:p>
            <w:pPr>
              <w:pStyle w:val="TableParagraph"/>
              <w:ind w:left="83" w:right="105"/>
              <w:rPr>
                <w:sz w:val="17"/>
              </w:rPr>
            </w:pPr>
            <w:r>
              <w:rPr>
                <w:color w:val="231F20"/>
                <w:w w:val="105"/>
                <w:sz w:val="17"/>
              </w:rPr>
              <w:t>10.5</w:t>
            </w:r>
          </w:p>
        </w:tc>
        <w:tc>
          <w:tcPr>
            <w:tcW w:w="1094" w:type="dxa"/>
          </w:tcPr>
          <w:p>
            <w:pPr>
              <w:pStyle w:val="TableParagraph"/>
              <w:ind w:left="385" w:right="433"/>
              <w:rPr>
                <w:sz w:val="17"/>
              </w:rPr>
            </w:pPr>
            <w:r>
              <w:rPr>
                <w:color w:val="231F20"/>
                <w:w w:val="105"/>
                <w:sz w:val="17"/>
              </w:rPr>
              <w:t>0.6</w:t>
            </w:r>
          </w:p>
        </w:tc>
        <w:tc>
          <w:tcPr>
            <w:tcW w:w="742" w:type="dxa"/>
          </w:tcPr>
          <w:p>
            <w:pPr>
              <w:pStyle w:val="TableParagraph"/>
              <w:ind w:left="211"/>
              <w:jc w:val="left"/>
              <w:rPr>
                <w:sz w:val="17"/>
              </w:rPr>
            </w:pPr>
            <w:r>
              <w:rPr>
                <w:color w:val="231F20"/>
                <w:sz w:val="17"/>
              </w:rPr>
              <w:t>100</w:t>
            </w:r>
          </w:p>
        </w:tc>
        <w:tc>
          <w:tcPr>
            <w:tcW w:w="810" w:type="dxa"/>
          </w:tcPr>
          <w:p>
            <w:pPr>
              <w:pStyle w:val="TableParagraph"/>
              <w:ind w:left="92" w:right="79"/>
              <w:rPr>
                <w:sz w:val="17"/>
              </w:rPr>
            </w:pPr>
            <w:r>
              <w:rPr>
                <w:color w:val="231F20"/>
                <w:w w:val="105"/>
                <w:sz w:val="17"/>
              </w:rPr>
              <w:t>58.8</w:t>
            </w:r>
          </w:p>
        </w:tc>
        <w:tc>
          <w:tcPr>
            <w:tcW w:w="824" w:type="dxa"/>
          </w:tcPr>
          <w:p>
            <w:pPr>
              <w:pStyle w:val="TableParagraph"/>
              <w:ind w:left="74" w:right="75"/>
              <w:rPr>
                <w:sz w:val="17"/>
              </w:rPr>
            </w:pPr>
            <w:r>
              <w:rPr>
                <w:color w:val="231F20"/>
                <w:w w:val="105"/>
                <w:sz w:val="17"/>
              </w:rPr>
              <w:t>15.6</w:t>
            </w:r>
          </w:p>
        </w:tc>
        <w:tc>
          <w:tcPr>
            <w:tcW w:w="1030" w:type="dxa"/>
          </w:tcPr>
          <w:p>
            <w:pPr>
              <w:pStyle w:val="TableParagraph"/>
              <w:ind w:left="87" w:right="78"/>
              <w:rPr>
                <w:sz w:val="17"/>
              </w:rPr>
            </w:pPr>
            <w:r>
              <w:rPr>
                <w:color w:val="231F20"/>
                <w:w w:val="105"/>
                <w:sz w:val="17"/>
              </w:rPr>
              <w:t>24.1</w:t>
            </w:r>
          </w:p>
        </w:tc>
        <w:tc>
          <w:tcPr>
            <w:tcW w:w="1065" w:type="dxa"/>
          </w:tcPr>
          <w:p>
            <w:pPr>
              <w:pStyle w:val="TableParagraph"/>
              <w:ind w:left="379" w:right="411"/>
              <w:rPr>
                <w:sz w:val="17"/>
              </w:rPr>
            </w:pPr>
            <w:r>
              <w:rPr>
                <w:color w:val="231F20"/>
                <w:w w:val="105"/>
                <w:sz w:val="17"/>
              </w:rPr>
              <w:t>1.5</w:t>
            </w:r>
          </w:p>
        </w:tc>
        <w:tc>
          <w:tcPr>
            <w:tcW w:w="684" w:type="dxa"/>
          </w:tcPr>
          <w:p>
            <w:pPr>
              <w:pStyle w:val="TableParagraph"/>
              <w:ind w:left="167"/>
              <w:jc w:val="left"/>
              <w:rPr>
                <w:sz w:val="17"/>
              </w:rPr>
            </w:pPr>
            <w:r>
              <w:rPr>
                <w:color w:val="231F20"/>
                <w:sz w:val="17"/>
              </w:rPr>
              <w:t>100</w:t>
            </w:r>
          </w:p>
        </w:tc>
      </w:tr>
      <w:tr>
        <w:trPr>
          <w:trHeight w:val="210" w:hRule="exact"/>
        </w:trPr>
        <w:tc>
          <w:tcPr>
            <w:tcW w:w="1747" w:type="dxa"/>
          </w:tcPr>
          <w:p>
            <w:pPr>
              <w:pStyle w:val="TableParagraph"/>
              <w:ind w:left="35" w:right="-22"/>
              <w:jc w:val="left"/>
              <w:rPr>
                <w:sz w:val="17"/>
              </w:rPr>
            </w:pPr>
            <w:r>
              <w:rPr>
                <w:color w:val="231F20"/>
                <w:w w:val="110"/>
                <w:sz w:val="17"/>
              </w:rPr>
              <w:t>San Luis Potosí</w:t>
            </w:r>
          </w:p>
        </w:tc>
        <w:tc>
          <w:tcPr>
            <w:tcW w:w="707" w:type="dxa"/>
          </w:tcPr>
          <w:p>
            <w:pPr>
              <w:pStyle w:val="TableParagraph"/>
              <w:ind w:right="101"/>
              <w:rPr>
                <w:sz w:val="17"/>
              </w:rPr>
            </w:pPr>
            <w:r>
              <w:rPr>
                <w:color w:val="231F20"/>
                <w:w w:val="105"/>
                <w:sz w:val="17"/>
              </w:rPr>
              <w:t>61.2</w:t>
            </w:r>
          </w:p>
        </w:tc>
        <w:tc>
          <w:tcPr>
            <w:tcW w:w="842" w:type="dxa"/>
          </w:tcPr>
          <w:p>
            <w:pPr>
              <w:pStyle w:val="TableParagraph"/>
              <w:ind w:left="82" w:right="86"/>
              <w:rPr>
                <w:sz w:val="17"/>
              </w:rPr>
            </w:pPr>
            <w:r>
              <w:rPr>
                <w:color w:val="231F20"/>
                <w:w w:val="105"/>
                <w:sz w:val="17"/>
              </w:rPr>
              <w:t>31.5</w:t>
            </w:r>
          </w:p>
        </w:tc>
        <w:tc>
          <w:tcPr>
            <w:tcW w:w="1070" w:type="dxa"/>
          </w:tcPr>
          <w:p>
            <w:pPr>
              <w:pStyle w:val="TableParagraph"/>
              <w:ind w:left="177" w:right="105"/>
              <w:rPr>
                <w:sz w:val="17"/>
              </w:rPr>
            </w:pPr>
            <w:r>
              <w:rPr>
                <w:color w:val="231F20"/>
                <w:w w:val="105"/>
                <w:sz w:val="17"/>
              </w:rPr>
              <w:t>6.7</w:t>
            </w:r>
          </w:p>
        </w:tc>
        <w:tc>
          <w:tcPr>
            <w:tcW w:w="1094" w:type="dxa"/>
          </w:tcPr>
          <w:p>
            <w:pPr>
              <w:pStyle w:val="TableParagraph"/>
              <w:ind w:left="385" w:right="433"/>
              <w:rPr>
                <w:sz w:val="17"/>
              </w:rPr>
            </w:pPr>
            <w:r>
              <w:rPr>
                <w:color w:val="231F20"/>
                <w:w w:val="105"/>
                <w:sz w:val="17"/>
              </w:rPr>
              <w:t>0.6</w:t>
            </w:r>
          </w:p>
        </w:tc>
        <w:tc>
          <w:tcPr>
            <w:tcW w:w="742" w:type="dxa"/>
          </w:tcPr>
          <w:p>
            <w:pPr>
              <w:pStyle w:val="TableParagraph"/>
              <w:ind w:left="211"/>
              <w:jc w:val="left"/>
              <w:rPr>
                <w:sz w:val="17"/>
              </w:rPr>
            </w:pPr>
            <w:r>
              <w:rPr>
                <w:color w:val="231F20"/>
                <w:sz w:val="17"/>
              </w:rPr>
              <w:t>100</w:t>
            </w:r>
          </w:p>
        </w:tc>
        <w:tc>
          <w:tcPr>
            <w:tcW w:w="810" w:type="dxa"/>
          </w:tcPr>
          <w:p>
            <w:pPr>
              <w:pStyle w:val="TableParagraph"/>
              <w:ind w:left="92" w:right="79"/>
              <w:rPr>
                <w:sz w:val="17"/>
              </w:rPr>
            </w:pPr>
            <w:r>
              <w:rPr>
                <w:color w:val="231F20"/>
                <w:w w:val="105"/>
                <w:sz w:val="17"/>
              </w:rPr>
              <w:t>64.1</w:t>
            </w:r>
          </w:p>
        </w:tc>
        <w:tc>
          <w:tcPr>
            <w:tcW w:w="824" w:type="dxa"/>
          </w:tcPr>
          <w:p>
            <w:pPr>
              <w:pStyle w:val="TableParagraph"/>
              <w:ind w:left="74" w:right="75"/>
              <w:rPr>
                <w:sz w:val="17"/>
              </w:rPr>
            </w:pPr>
            <w:r>
              <w:rPr>
                <w:color w:val="231F20"/>
                <w:w w:val="105"/>
                <w:sz w:val="17"/>
              </w:rPr>
              <w:t>15.3</w:t>
            </w:r>
          </w:p>
        </w:tc>
        <w:tc>
          <w:tcPr>
            <w:tcW w:w="1030" w:type="dxa"/>
          </w:tcPr>
          <w:p>
            <w:pPr>
              <w:pStyle w:val="TableParagraph"/>
              <w:ind w:left="87" w:right="78"/>
              <w:rPr>
                <w:sz w:val="17"/>
              </w:rPr>
            </w:pPr>
            <w:r>
              <w:rPr>
                <w:color w:val="231F20"/>
                <w:w w:val="105"/>
                <w:sz w:val="17"/>
              </w:rPr>
              <w:t>19.5</w:t>
            </w:r>
          </w:p>
        </w:tc>
        <w:tc>
          <w:tcPr>
            <w:tcW w:w="1065" w:type="dxa"/>
          </w:tcPr>
          <w:p>
            <w:pPr>
              <w:pStyle w:val="TableParagraph"/>
              <w:ind w:left="379" w:right="411"/>
              <w:rPr>
                <w:sz w:val="17"/>
              </w:rPr>
            </w:pPr>
            <w:r>
              <w:rPr>
                <w:color w:val="231F20"/>
                <w:w w:val="105"/>
                <w:sz w:val="17"/>
              </w:rPr>
              <w:t>1.1</w:t>
            </w:r>
          </w:p>
        </w:tc>
        <w:tc>
          <w:tcPr>
            <w:tcW w:w="684" w:type="dxa"/>
          </w:tcPr>
          <w:p>
            <w:pPr>
              <w:pStyle w:val="TableParagraph"/>
              <w:ind w:left="167"/>
              <w:jc w:val="left"/>
              <w:rPr>
                <w:sz w:val="17"/>
              </w:rPr>
            </w:pPr>
            <w:r>
              <w:rPr>
                <w:color w:val="231F20"/>
                <w:sz w:val="17"/>
              </w:rPr>
              <w:t>100</w:t>
            </w:r>
          </w:p>
        </w:tc>
      </w:tr>
      <w:tr>
        <w:trPr>
          <w:trHeight w:val="210" w:hRule="exact"/>
        </w:trPr>
        <w:tc>
          <w:tcPr>
            <w:tcW w:w="1747" w:type="dxa"/>
          </w:tcPr>
          <w:p>
            <w:pPr>
              <w:pStyle w:val="TableParagraph"/>
              <w:ind w:left="35" w:right="-22"/>
              <w:jc w:val="left"/>
              <w:rPr>
                <w:sz w:val="17"/>
              </w:rPr>
            </w:pPr>
            <w:r>
              <w:rPr>
                <w:color w:val="231F20"/>
                <w:w w:val="110"/>
                <w:sz w:val="17"/>
              </w:rPr>
              <w:t>Sinaloa</w:t>
            </w:r>
          </w:p>
        </w:tc>
        <w:tc>
          <w:tcPr>
            <w:tcW w:w="707" w:type="dxa"/>
          </w:tcPr>
          <w:p>
            <w:pPr>
              <w:pStyle w:val="TableParagraph"/>
              <w:ind w:right="101"/>
              <w:rPr>
                <w:sz w:val="17"/>
              </w:rPr>
            </w:pPr>
            <w:r>
              <w:rPr>
                <w:color w:val="231F20"/>
                <w:w w:val="105"/>
                <w:sz w:val="17"/>
              </w:rPr>
              <w:t>64.7</w:t>
            </w:r>
          </w:p>
        </w:tc>
        <w:tc>
          <w:tcPr>
            <w:tcW w:w="842" w:type="dxa"/>
          </w:tcPr>
          <w:p>
            <w:pPr>
              <w:pStyle w:val="TableParagraph"/>
              <w:ind w:left="82" w:right="86"/>
              <w:rPr>
                <w:sz w:val="17"/>
              </w:rPr>
            </w:pPr>
            <w:r>
              <w:rPr>
                <w:color w:val="231F20"/>
                <w:w w:val="105"/>
                <w:sz w:val="17"/>
              </w:rPr>
              <w:t>21.6</w:t>
            </w:r>
          </w:p>
        </w:tc>
        <w:tc>
          <w:tcPr>
            <w:tcW w:w="1070" w:type="dxa"/>
          </w:tcPr>
          <w:p>
            <w:pPr>
              <w:pStyle w:val="TableParagraph"/>
              <w:ind w:left="83" w:right="105"/>
              <w:rPr>
                <w:sz w:val="17"/>
              </w:rPr>
            </w:pPr>
            <w:r>
              <w:rPr>
                <w:color w:val="231F20"/>
                <w:w w:val="105"/>
                <w:sz w:val="17"/>
              </w:rPr>
              <w:t>12.9</w:t>
            </w:r>
          </w:p>
        </w:tc>
        <w:tc>
          <w:tcPr>
            <w:tcW w:w="1094" w:type="dxa"/>
          </w:tcPr>
          <w:p>
            <w:pPr>
              <w:pStyle w:val="TableParagraph"/>
              <w:ind w:left="385" w:right="433"/>
              <w:rPr>
                <w:sz w:val="17"/>
              </w:rPr>
            </w:pPr>
            <w:r>
              <w:rPr>
                <w:color w:val="231F20"/>
                <w:w w:val="105"/>
                <w:sz w:val="17"/>
              </w:rPr>
              <w:t>0.8</w:t>
            </w:r>
          </w:p>
        </w:tc>
        <w:tc>
          <w:tcPr>
            <w:tcW w:w="742" w:type="dxa"/>
          </w:tcPr>
          <w:p>
            <w:pPr>
              <w:pStyle w:val="TableParagraph"/>
              <w:ind w:left="211"/>
              <w:jc w:val="left"/>
              <w:rPr>
                <w:sz w:val="17"/>
              </w:rPr>
            </w:pPr>
            <w:r>
              <w:rPr>
                <w:color w:val="231F20"/>
                <w:sz w:val="17"/>
              </w:rPr>
              <w:t>100</w:t>
            </w:r>
          </w:p>
        </w:tc>
        <w:tc>
          <w:tcPr>
            <w:tcW w:w="810" w:type="dxa"/>
          </w:tcPr>
          <w:p>
            <w:pPr>
              <w:pStyle w:val="TableParagraph"/>
              <w:ind w:left="92" w:right="79"/>
              <w:rPr>
                <w:sz w:val="17"/>
              </w:rPr>
            </w:pPr>
            <w:r>
              <w:rPr>
                <w:color w:val="231F20"/>
                <w:w w:val="105"/>
                <w:sz w:val="17"/>
              </w:rPr>
              <w:t>65.8</w:t>
            </w:r>
          </w:p>
        </w:tc>
        <w:tc>
          <w:tcPr>
            <w:tcW w:w="824" w:type="dxa"/>
          </w:tcPr>
          <w:p>
            <w:pPr>
              <w:pStyle w:val="TableParagraph"/>
              <w:ind w:left="74" w:right="75"/>
              <w:rPr>
                <w:sz w:val="17"/>
              </w:rPr>
            </w:pPr>
            <w:r>
              <w:rPr>
                <w:color w:val="231F20"/>
                <w:w w:val="105"/>
                <w:sz w:val="17"/>
              </w:rPr>
              <w:t>14.1</w:t>
            </w:r>
          </w:p>
        </w:tc>
        <w:tc>
          <w:tcPr>
            <w:tcW w:w="1030" w:type="dxa"/>
          </w:tcPr>
          <w:p>
            <w:pPr>
              <w:pStyle w:val="TableParagraph"/>
              <w:ind w:left="87" w:right="78"/>
              <w:rPr>
                <w:sz w:val="17"/>
              </w:rPr>
            </w:pPr>
            <w:r>
              <w:rPr>
                <w:color w:val="231F20"/>
                <w:w w:val="105"/>
                <w:sz w:val="17"/>
              </w:rPr>
              <w:t>18.3</w:t>
            </w:r>
          </w:p>
        </w:tc>
        <w:tc>
          <w:tcPr>
            <w:tcW w:w="1065" w:type="dxa"/>
          </w:tcPr>
          <w:p>
            <w:pPr>
              <w:pStyle w:val="TableParagraph"/>
              <w:ind w:left="379" w:right="411"/>
              <w:rPr>
                <w:sz w:val="17"/>
              </w:rPr>
            </w:pPr>
            <w:r>
              <w:rPr>
                <w:color w:val="231F20"/>
                <w:w w:val="105"/>
                <w:sz w:val="17"/>
              </w:rPr>
              <w:t>1.8</w:t>
            </w:r>
          </w:p>
        </w:tc>
        <w:tc>
          <w:tcPr>
            <w:tcW w:w="684" w:type="dxa"/>
          </w:tcPr>
          <w:p>
            <w:pPr>
              <w:pStyle w:val="TableParagraph"/>
              <w:ind w:left="167"/>
              <w:jc w:val="left"/>
              <w:rPr>
                <w:sz w:val="17"/>
              </w:rPr>
            </w:pPr>
            <w:r>
              <w:rPr>
                <w:color w:val="231F20"/>
                <w:sz w:val="17"/>
              </w:rPr>
              <w:t>100</w:t>
            </w:r>
          </w:p>
        </w:tc>
      </w:tr>
      <w:tr>
        <w:trPr>
          <w:trHeight w:val="210" w:hRule="exact"/>
        </w:trPr>
        <w:tc>
          <w:tcPr>
            <w:tcW w:w="1747" w:type="dxa"/>
          </w:tcPr>
          <w:p>
            <w:pPr>
              <w:pStyle w:val="TableParagraph"/>
              <w:ind w:left="35" w:right="-22"/>
              <w:jc w:val="left"/>
              <w:rPr>
                <w:sz w:val="17"/>
              </w:rPr>
            </w:pPr>
            <w:r>
              <w:rPr>
                <w:color w:val="231F20"/>
                <w:w w:val="110"/>
                <w:sz w:val="17"/>
              </w:rPr>
              <w:t>Sonora</w:t>
            </w:r>
          </w:p>
        </w:tc>
        <w:tc>
          <w:tcPr>
            <w:tcW w:w="707" w:type="dxa"/>
          </w:tcPr>
          <w:p>
            <w:pPr>
              <w:pStyle w:val="TableParagraph"/>
              <w:ind w:right="101"/>
              <w:rPr>
                <w:sz w:val="17"/>
              </w:rPr>
            </w:pPr>
            <w:r>
              <w:rPr>
                <w:color w:val="231F20"/>
                <w:w w:val="105"/>
                <w:sz w:val="17"/>
              </w:rPr>
              <w:t>67.0</w:t>
            </w:r>
          </w:p>
        </w:tc>
        <w:tc>
          <w:tcPr>
            <w:tcW w:w="842" w:type="dxa"/>
          </w:tcPr>
          <w:p>
            <w:pPr>
              <w:pStyle w:val="TableParagraph"/>
              <w:ind w:left="82" w:right="86"/>
              <w:rPr>
                <w:sz w:val="17"/>
              </w:rPr>
            </w:pPr>
            <w:r>
              <w:rPr>
                <w:color w:val="231F20"/>
                <w:w w:val="105"/>
                <w:sz w:val="17"/>
              </w:rPr>
              <w:t>20.6</w:t>
            </w:r>
          </w:p>
        </w:tc>
        <w:tc>
          <w:tcPr>
            <w:tcW w:w="1070" w:type="dxa"/>
          </w:tcPr>
          <w:p>
            <w:pPr>
              <w:pStyle w:val="TableParagraph"/>
              <w:ind w:left="83" w:right="105"/>
              <w:rPr>
                <w:sz w:val="17"/>
              </w:rPr>
            </w:pPr>
            <w:r>
              <w:rPr>
                <w:color w:val="231F20"/>
                <w:w w:val="105"/>
                <w:sz w:val="17"/>
              </w:rPr>
              <w:t>11.7</w:t>
            </w:r>
          </w:p>
        </w:tc>
        <w:tc>
          <w:tcPr>
            <w:tcW w:w="1094" w:type="dxa"/>
          </w:tcPr>
          <w:p>
            <w:pPr>
              <w:pStyle w:val="TableParagraph"/>
              <w:ind w:left="385" w:right="433"/>
              <w:rPr>
                <w:sz w:val="17"/>
              </w:rPr>
            </w:pPr>
            <w:r>
              <w:rPr>
                <w:color w:val="231F20"/>
                <w:w w:val="105"/>
                <w:sz w:val="17"/>
              </w:rPr>
              <w:t>0.7</w:t>
            </w:r>
          </w:p>
        </w:tc>
        <w:tc>
          <w:tcPr>
            <w:tcW w:w="742" w:type="dxa"/>
          </w:tcPr>
          <w:p>
            <w:pPr>
              <w:pStyle w:val="TableParagraph"/>
              <w:ind w:left="211"/>
              <w:jc w:val="left"/>
              <w:rPr>
                <w:sz w:val="17"/>
              </w:rPr>
            </w:pPr>
            <w:r>
              <w:rPr>
                <w:color w:val="231F20"/>
                <w:sz w:val="17"/>
              </w:rPr>
              <w:t>100</w:t>
            </w:r>
          </w:p>
        </w:tc>
        <w:tc>
          <w:tcPr>
            <w:tcW w:w="810" w:type="dxa"/>
          </w:tcPr>
          <w:p>
            <w:pPr>
              <w:pStyle w:val="TableParagraph"/>
              <w:ind w:left="92" w:right="79"/>
              <w:rPr>
                <w:sz w:val="17"/>
              </w:rPr>
            </w:pPr>
            <w:r>
              <w:rPr>
                <w:color w:val="231F20"/>
                <w:w w:val="105"/>
                <w:sz w:val="17"/>
              </w:rPr>
              <w:t>67.1</w:t>
            </w:r>
          </w:p>
        </w:tc>
        <w:tc>
          <w:tcPr>
            <w:tcW w:w="824" w:type="dxa"/>
          </w:tcPr>
          <w:p>
            <w:pPr>
              <w:pStyle w:val="TableParagraph"/>
              <w:ind w:left="74" w:right="75"/>
              <w:rPr>
                <w:sz w:val="17"/>
              </w:rPr>
            </w:pPr>
            <w:r>
              <w:rPr>
                <w:color w:val="231F20"/>
                <w:w w:val="105"/>
                <w:sz w:val="17"/>
              </w:rPr>
              <w:t>10.3</w:t>
            </w:r>
          </w:p>
        </w:tc>
        <w:tc>
          <w:tcPr>
            <w:tcW w:w="1030" w:type="dxa"/>
          </w:tcPr>
          <w:p>
            <w:pPr>
              <w:pStyle w:val="TableParagraph"/>
              <w:ind w:left="87" w:right="78"/>
              <w:rPr>
                <w:sz w:val="17"/>
              </w:rPr>
            </w:pPr>
            <w:r>
              <w:rPr>
                <w:color w:val="231F20"/>
                <w:w w:val="105"/>
                <w:sz w:val="17"/>
              </w:rPr>
              <w:t>20.5</w:t>
            </w:r>
          </w:p>
        </w:tc>
        <w:tc>
          <w:tcPr>
            <w:tcW w:w="1065" w:type="dxa"/>
          </w:tcPr>
          <w:p>
            <w:pPr>
              <w:pStyle w:val="TableParagraph"/>
              <w:ind w:left="379" w:right="411"/>
              <w:rPr>
                <w:sz w:val="17"/>
              </w:rPr>
            </w:pPr>
            <w:r>
              <w:rPr>
                <w:color w:val="231F20"/>
                <w:w w:val="105"/>
                <w:sz w:val="17"/>
              </w:rPr>
              <w:t>2.1</w:t>
            </w:r>
          </w:p>
        </w:tc>
        <w:tc>
          <w:tcPr>
            <w:tcW w:w="684" w:type="dxa"/>
          </w:tcPr>
          <w:p>
            <w:pPr>
              <w:pStyle w:val="TableParagraph"/>
              <w:ind w:left="167"/>
              <w:jc w:val="left"/>
              <w:rPr>
                <w:sz w:val="17"/>
              </w:rPr>
            </w:pPr>
            <w:r>
              <w:rPr>
                <w:color w:val="231F20"/>
                <w:sz w:val="17"/>
              </w:rPr>
              <w:t>100</w:t>
            </w:r>
          </w:p>
        </w:tc>
      </w:tr>
      <w:tr>
        <w:trPr>
          <w:trHeight w:val="210" w:hRule="exact"/>
        </w:trPr>
        <w:tc>
          <w:tcPr>
            <w:tcW w:w="1747" w:type="dxa"/>
          </w:tcPr>
          <w:p>
            <w:pPr>
              <w:pStyle w:val="TableParagraph"/>
              <w:ind w:left="35" w:right="-22"/>
              <w:jc w:val="left"/>
              <w:rPr>
                <w:sz w:val="17"/>
              </w:rPr>
            </w:pPr>
            <w:r>
              <w:rPr>
                <w:color w:val="231F20"/>
                <w:w w:val="110"/>
                <w:sz w:val="17"/>
              </w:rPr>
              <w:t>Tabasco</w:t>
            </w:r>
          </w:p>
        </w:tc>
        <w:tc>
          <w:tcPr>
            <w:tcW w:w="707" w:type="dxa"/>
          </w:tcPr>
          <w:p>
            <w:pPr>
              <w:pStyle w:val="TableParagraph"/>
              <w:ind w:right="101"/>
              <w:rPr>
                <w:sz w:val="17"/>
              </w:rPr>
            </w:pPr>
            <w:r>
              <w:rPr>
                <w:color w:val="231F20"/>
                <w:w w:val="105"/>
                <w:sz w:val="17"/>
              </w:rPr>
              <w:t>56.4</w:t>
            </w:r>
          </w:p>
        </w:tc>
        <w:tc>
          <w:tcPr>
            <w:tcW w:w="842" w:type="dxa"/>
          </w:tcPr>
          <w:p>
            <w:pPr>
              <w:pStyle w:val="TableParagraph"/>
              <w:ind w:left="82" w:right="86"/>
              <w:rPr>
                <w:sz w:val="17"/>
              </w:rPr>
            </w:pPr>
            <w:r>
              <w:rPr>
                <w:color w:val="231F20"/>
                <w:w w:val="105"/>
                <w:sz w:val="17"/>
              </w:rPr>
              <w:t>30.2</w:t>
            </w:r>
          </w:p>
        </w:tc>
        <w:tc>
          <w:tcPr>
            <w:tcW w:w="1070" w:type="dxa"/>
          </w:tcPr>
          <w:p>
            <w:pPr>
              <w:pStyle w:val="TableParagraph"/>
              <w:ind w:left="82" w:right="105"/>
              <w:rPr>
                <w:sz w:val="17"/>
              </w:rPr>
            </w:pPr>
            <w:r>
              <w:rPr>
                <w:color w:val="231F20"/>
                <w:w w:val="105"/>
                <w:sz w:val="17"/>
              </w:rPr>
              <w:t>12.5</w:t>
            </w:r>
          </w:p>
        </w:tc>
        <w:tc>
          <w:tcPr>
            <w:tcW w:w="1094" w:type="dxa"/>
          </w:tcPr>
          <w:p>
            <w:pPr>
              <w:pStyle w:val="TableParagraph"/>
              <w:ind w:left="385" w:right="433"/>
              <w:rPr>
                <w:sz w:val="17"/>
              </w:rPr>
            </w:pPr>
            <w:r>
              <w:rPr>
                <w:color w:val="231F20"/>
                <w:w w:val="105"/>
                <w:sz w:val="17"/>
              </w:rPr>
              <w:t>0.9</w:t>
            </w:r>
          </w:p>
        </w:tc>
        <w:tc>
          <w:tcPr>
            <w:tcW w:w="742" w:type="dxa"/>
          </w:tcPr>
          <w:p>
            <w:pPr>
              <w:pStyle w:val="TableParagraph"/>
              <w:ind w:left="211"/>
              <w:jc w:val="left"/>
              <w:rPr>
                <w:sz w:val="17"/>
              </w:rPr>
            </w:pPr>
            <w:r>
              <w:rPr>
                <w:color w:val="231F20"/>
                <w:sz w:val="17"/>
              </w:rPr>
              <w:t>100</w:t>
            </w:r>
          </w:p>
        </w:tc>
        <w:tc>
          <w:tcPr>
            <w:tcW w:w="810" w:type="dxa"/>
          </w:tcPr>
          <w:p>
            <w:pPr>
              <w:pStyle w:val="TableParagraph"/>
              <w:ind w:left="92" w:right="79"/>
              <w:rPr>
                <w:sz w:val="17"/>
              </w:rPr>
            </w:pPr>
            <w:r>
              <w:rPr>
                <w:color w:val="231F20"/>
                <w:w w:val="105"/>
                <w:sz w:val="17"/>
              </w:rPr>
              <w:t>61.7</w:t>
            </w:r>
          </w:p>
        </w:tc>
        <w:tc>
          <w:tcPr>
            <w:tcW w:w="824" w:type="dxa"/>
          </w:tcPr>
          <w:p>
            <w:pPr>
              <w:pStyle w:val="TableParagraph"/>
              <w:ind w:left="74" w:right="75"/>
              <w:rPr>
                <w:sz w:val="17"/>
              </w:rPr>
            </w:pPr>
            <w:r>
              <w:rPr>
                <w:color w:val="231F20"/>
                <w:w w:val="105"/>
                <w:sz w:val="17"/>
              </w:rPr>
              <w:t>14.0</w:t>
            </w:r>
          </w:p>
        </w:tc>
        <w:tc>
          <w:tcPr>
            <w:tcW w:w="1030" w:type="dxa"/>
          </w:tcPr>
          <w:p>
            <w:pPr>
              <w:pStyle w:val="TableParagraph"/>
              <w:ind w:left="87" w:right="78"/>
              <w:rPr>
                <w:sz w:val="17"/>
              </w:rPr>
            </w:pPr>
            <w:r>
              <w:rPr>
                <w:color w:val="231F20"/>
                <w:w w:val="105"/>
                <w:sz w:val="17"/>
              </w:rPr>
              <w:t>22.9</w:t>
            </w:r>
          </w:p>
        </w:tc>
        <w:tc>
          <w:tcPr>
            <w:tcW w:w="1065" w:type="dxa"/>
          </w:tcPr>
          <w:p>
            <w:pPr>
              <w:pStyle w:val="TableParagraph"/>
              <w:ind w:left="379" w:right="411"/>
              <w:rPr>
                <w:sz w:val="17"/>
              </w:rPr>
            </w:pPr>
            <w:r>
              <w:rPr>
                <w:color w:val="231F20"/>
                <w:w w:val="105"/>
                <w:sz w:val="17"/>
              </w:rPr>
              <w:t>1.3</w:t>
            </w:r>
          </w:p>
        </w:tc>
        <w:tc>
          <w:tcPr>
            <w:tcW w:w="684" w:type="dxa"/>
          </w:tcPr>
          <w:p>
            <w:pPr>
              <w:pStyle w:val="TableParagraph"/>
              <w:ind w:left="167"/>
              <w:jc w:val="left"/>
              <w:rPr>
                <w:sz w:val="17"/>
              </w:rPr>
            </w:pPr>
            <w:r>
              <w:rPr>
                <w:color w:val="231F20"/>
                <w:sz w:val="17"/>
              </w:rPr>
              <w:t>100</w:t>
            </w:r>
          </w:p>
        </w:tc>
      </w:tr>
      <w:tr>
        <w:trPr>
          <w:trHeight w:val="210" w:hRule="exact"/>
        </w:trPr>
        <w:tc>
          <w:tcPr>
            <w:tcW w:w="1747" w:type="dxa"/>
          </w:tcPr>
          <w:p>
            <w:pPr>
              <w:pStyle w:val="TableParagraph"/>
              <w:ind w:left="35" w:right="-22"/>
              <w:jc w:val="left"/>
              <w:rPr>
                <w:sz w:val="17"/>
              </w:rPr>
            </w:pPr>
            <w:r>
              <w:rPr>
                <w:color w:val="231F20"/>
                <w:w w:val="110"/>
                <w:sz w:val="17"/>
              </w:rPr>
              <w:t>Tamaulipas</w:t>
            </w:r>
          </w:p>
        </w:tc>
        <w:tc>
          <w:tcPr>
            <w:tcW w:w="707" w:type="dxa"/>
          </w:tcPr>
          <w:p>
            <w:pPr>
              <w:pStyle w:val="TableParagraph"/>
              <w:ind w:right="101"/>
              <w:rPr>
                <w:sz w:val="17"/>
              </w:rPr>
            </w:pPr>
            <w:r>
              <w:rPr>
                <w:color w:val="231F20"/>
                <w:w w:val="105"/>
                <w:sz w:val="17"/>
              </w:rPr>
              <w:t>64.9</w:t>
            </w:r>
          </w:p>
        </w:tc>
        <w:tc>
          <w:tcPr>
            <w:tcW w:w="842" w:type="dxa"/>
          </w:tcPr>
          <w:p>
            <w:pPr>
              <w:pStyle w:val="TableParagraph"/>
              <w:ind w:left="82" w:right="86"/>
              <w:rPr>
                <w:sz w:val="17"/>
              </w:rPr>
            </w:pPr>
            <w:r>
              <w:rPr>
                <w:color w:val="231F20"/>
                <w:w w:val="105"/>
                <w:sz w:val="17"/>
              </w:rPr>
              <w:t>27.1</w:t>
            </w:r>
          </w:p>
        </w:tc>
        <w:tc>
          <w:tcPr>
            <w:tcW w:w="1070" w:type="dxa"/>
          </w:tcPr>
          <w:p>
            <w:pPr>
              <w:pStyle w:val="TableParagraph"/>
              <w:ind w:left="177" w:right="105"/>
              <w:rPr>
                <w:sz w:val="17"/>
              </w:rPr>
            </w:pPr>
            <w:r>
              <w:rPr>
                <w:color w:val="231F20"/>
                <w:w w:val="105"/>
                <w:sz w:val="17"/>
              </w:rPr>
              <w:t>7.3</w:t>
            </w:r>
          </w:p>
        </w:tc>
        <w:tc>
          <w:tcPr>
            <w:tcW w:w="1094" w:type="dxa"/>
          </w:tcPr>
          <w:p>
            <w:pPr>
              <w:pStyle w:val="TableParagraph"/>
              <w:ind w:left="385" w:right="433"/>
              <w:rPr>
                <w:sz w:val="17"/>
              </w:rPr>
            </w:pPr>
            <w:r>
              <w:rPr>
                <w:color w:val="231F20"/>
                <w:w w:val="105"/>
                <w:sz w:val="17"/>
              </w:rPr>
              <w:t>0.8</w:t>
            </w:r>
          </w:p>
        </w:tc>
        <w:tc>
          <w:tcPr>
            <w:tcW w:w="742" w:type="dxa"/>
          </w:tcPr>
          <w:p>
            <w:pPr>
              <w:pStyle w:val="TableParagraph"/>
              <w:ind w:left="211"/>
              <w:jc w:val="left"/>
              <w:rPr>
                <w:sz w:val="17"/>
              </w:rPr>
            </w:pPr>
            <w:r>
              <w:rPr>
                <w:color w:val="231F20"/>
                <w:sz w:val="17"/>
              </w:rPr>
              <w:t>100</w:t>
            </w:r>
          </w:p>
        </w:tc>
        <w:tc>
          <w:tcPr>
            <w:tcW w:w="810" w:type="dxa"/>
          </w:tcPr>
          <w:p>
            <w:pPr>
              <w:pStyle w:val="TableParagraph"/>
              <w:ind w:left="92" w:right="79"/>
              <w:rPr>
                <w:sz w:val="17"/>
              </w:rPr>
            </w:pPr>
            <w:r>
              <w:rPr>
                <w:color w:val="231F20"/>
                <w:w w:val="105"/>
                <w:sz w:val="17"/>
              </w:rPr>
              <w:t>63.8</w:t>
            </w:r>
          </w:p>
        </w:tc>
        <w:tc>
          <w:tcPr>
            <w:tcW w:w="824" w:type="dxa"/>
          </w:tcPr>
          <w:p>
            <w:pPr>
              <w:pStyle w:val="TableParagraph"/>
              <w:ind w:left="74" w:right="75"/>
              <w:rPr>
                <w:sz w:val="17"/>
              </w:rPr>
            </w:pPr>
            <w:r>
              <w:rPr>
                <w:color w:val="231F20"/>
                <w:w w:val="105"/>
                <w:sz w:val="17"/>
              </w:rPr>
              <w:t>14.3</w:t>
            </w:r>
          </w:p>
        </w:tc>
        <w:tc>
          <w:tcPr>
            <w:tcW w:w="1030" w:type="dxa"/>
          </w:tcPr>
          <w:p>
            <w:pPr>
              <w:pStyle w:val="TableParagraph"/>
              <w:ind w:left="87" w:right="78"/>
              <w:rPr>
                <w:sz w:val="17"/>
              </w:rPr>
            </w:pPr>
            <w:r>
              <w:rPr>
                <w:color w:val="231F20"/>
                <w:w w:val="105"/>
                <w:sz w:val="17"/>
              </w:rPr>
              <w:t>20.5</w:t>
            </w:r>
          </w:p>
        </w:tc>
        <w:tc>
          <w:tcPr>
            <w:tcW w:w="1065" w:type="dxa"/>
          </w:tcPr>
          <w:p>
            <w:pPr>
              <w:pStyle w:val="TableParagraph"/>
              <w:ind w:left="379" w:right="411"/>
              <w:rPr>
                <w:sz w:val="17"/>
              </w:rPr>
            </w:pPr>
            <w:r>
              <w:rPr>
                <w:color w:val="231F20"/>
                <w:w w:val="105"/>
                <w:sz w:val="17"/>
              </w:rPr>
              <w:t>1.4</w:t>
            </w:r>
          </w:p>
        </w:tc>
        <w:tc>
          <w:tcPr>
            <w:tcW w:w="684" w:type="dxa"/>
          </w:tcPr>
          <w:p>
            <w:pPr>
              <w:pStyle w:val="TableParagraph"/>
              <w:ind w:left="167"/>
              <w:jc w:val="left"/>
              <w:rPr>
                <w:sz w:val="17"/>
              </w:rPr>
            </w:pPr>
            <w:r>
              <w:rPr>
                <w:color w:val="231F20"/>
                <w:sz w:val="17"/>
              </w:rPr>
              <w:t>100</w:t>
            </w:r>
          </w:p>
        </w:tc>
      </w:tr>
      <w:tr>
        <w:trPr>
          <w:trHeight w:val="210" w:hRule="exact"/>
        </w:trPr>
        <w:tc>
          <w:tcPr>
            <w:tcW w:w="1747" w:type="dxa"/>
          </w:tcPr>
          <w:p>
            <w:pPr>
              <w:pStyle w:val="TableParagraph"/>
              <w:ind w:left="35" w:right="-22"/>
              <w:jc w:val="left"/>
              <w:rPr>
                <w:sz w:val="17"/>
              </w:rPr>
            </w:pPr>
            <w:r>
              <w:rPr>
                <w:color w:val="231F20"/>
                <w:w w:val="110"/>
                <w:sz w:val="17"/>
              </w:rPr>
              <w:t>Tlaxcala</w:t>
            </w:r>
          </w:p>
        </w:tc>
        <w:tc>
          <w:tcPr>
            <w:tcW w:w="707" w:type="dxa"/>
          </w:tcPr>
          <w:p>
            <w:pPr>
              <w:pStyle w:val="TableParagraph"/>
              <w:ind w:right="101"/>
              <w:rPr>
                <w:sz w:val="17"/>
              </w:rPr>
            </w:pPr>
            <w:r>
              <w:rPr>
                <w:color w:val="231F20"/>
                <w:w w:val="105"/>
                <w:sz w:val="17"/>
              </w:rPr>
              <w:t>59.9</w:t>
            </w:r>
          </w:p>
        </w:tc>
        <w:tc>
          <w:tcPr>
            <w:tcW w:w="842" w:type="dxa"/>
          </w:tcPr>
          <w:p>
            <w:pPr>
              <w:pStyle w:val="TableParagraph"/>
              <w:ind w:left="82" w:right="86"/>
              <w:rPr>
                <w:sz w:val="17"/>
              </w:rPr>
            </w:pPr>
            <w:r>
              <w:rPr>
                <w:color w:val="231F20"/>
                <w:w w:val="105"/>
                <w:sz w:val="17"/>
              </w:rPr>
              <w:t>30.0</w:t>
            </w:r>
          </w:p>
        </w:tc>
        <w:tc>
          <w:tcPr>
            <w:tcW w:w="1070" w:type="dxa"/>
          </w:tcPr>
          <w:p>
            <w:pPr>
              <w:pStyle w:val="TableParagraph"/>
              <w:ind w:left="177" w:right="105"/>
              <w:rPr>
                <w:sz w:val="17"/>
              </w:rPr>
            </w:pPr>
            <w:r>
              <w:rPr>
                <w:color w:val="231F20"/>
                <w:w w:val="105"/>
                <w:sz w:val="17"/>
              </w:rPr>
              <w:t>9.6</w:t>
            </w:r>
          </w:p>
        </w:tc>
        <w:tc>
          <w:tcPr>
            <w:tcW w:w="1094" w:type="dxa"/>
          </w:tcPr>
          <w:p>
            <w:pPr>
              <w:pStyle w:val="TableParagraph"/>
              <w:ind w:left="385" w:right="433"/>
              <w:rPr>
                <w:sz w:val="17"/>
              </w:rPr>
            </w:pPr>
            <w:r>
              <w:rPr>
                <w:color w:val="231F20"/>
                <w:w w:val="105"/>
                <w:sz w:val="17"/>
              </w:rPr>
              <w:t>0.5</w:t>
            </w:r>
          </w:p>
        </w:tc>
        <w:tc>
          <w:tcPr>
            <w:tcW w:w="742" w:type="dxa"/>
          </w:tcPr>
          <w:p>
            <w:pPr>
              <w:pStyle w:val="TableParagraph"/>
              <w:ind w:left="211"/>
              <w:jc w:val="left"/>
              <w:rPr>
                <w:sz w:val="17"/>
              </w:rPr>
            </w:pPr>
            <w:r>
              <w:rPr>
                <w:color w:val="231F20"/>
                <w:sz w:val="17"/>
              </w:rPr>
              <w:t>100</w:t>
            </w:r>
          </w:p>
        </w:tc>
        <w:tc>
          <w:tcPr>
            <w:tcW w:w="810" w:type="dxa"/>
          </w:tcPr>
          <w:p>
            <w:pPr>
              <w:pStyle w:val="TableParagraph"/>
              <w:ind w:left="92" w:right="79"/>
              <w:rPr>
                <w:sz w:val="17"/>
              </w:rPr>
            </w:pPr>
            <w:r>
              <w:rPr>
                <w:color w:val="231F20"/>
                <w:w w:val="105"/>
                <w:sz w:val="17"/>
              </w:rPr>
              <w:t>62.6</w:t>
            </w:r>
          </w:p>
        </w:tc>
        <w:tc>
          <w:tcPr>
            <w:tcW w:w="824" w:type="dxa"/>
          </w:tcPr>
          <w:p>
            <w:pPr>
              <w:pStyle w:val="TableParagraph"/>
              <w:ind w:left="74" w:right="75"/>
              <w:rPr>
                <w:sz w:val="17"/>
              </w:rPr>
            </w:pPr>
            <w:r>
              <w:rPr>
                <w:color w:val="231F20"/>
                <w:w w:val="105"/>
                <w:sz w:val="17"/>
              </w:rPr>
              <w:t>12.1</w:t>
            </w:r>
          </w:p>
        </w:tc>
        <w:tc>
          <w:tcPr>
            <w:tcW w:w="1030" w:type="dxa"/>
          </w:tcPr>
          <w:p>
            <w:pPr>
              <w:pStyle w:val="TableParagraph"/>
              <w:ind w:left="87" w:right="78"/>
              <w:rPr>
                <w:sz w:val="17"/>
              </w:rPr>
            </w:pPr>
            <w:r>
              <w:rPr>
                <w:color w:val="231F20"/>
                <w:w w:val="105"/>
                <w:sz w:val="17"/>
              </w:rPr>
              <w:t>24.3</w:t>
            </w:r>
          </w:p>
        </w:tc>
        <w:tc>
          <w:tcPr>
            <w:tcW w:w="1065" w:type="dxa"/>
          </w:tcPr>
          <w:p>
            <w:pPr>
              <w:pStyle w:val="TableParagraph"/>
              <w:ind w:left="379" w:right="411"/>
              <w:rPr>
                <w:sz w:val="17"/>
              </w:rPr>
            </w:pPr>
            <w:r>
              <w:rPr>
                <w:color w:val="231F20"/>
                <w:w w:val="105"/>
                <w:sz w:val="17"/>
              </w:rPr>
              <w:t>1.1</w:t>
            </w:r>
          </w:p>
        </w:tc>
        <w:tc>
          <w:tcPr>
            <w:tcW w:w="684" w:type="dxa"/>
          </w:tcPr>
          <w:p>
            <w:pPr>
              <w:pStyle w:val="TableParagraph"/>
              <w:ind w:left="167"/>
              <w:jc w:val="left"/>
              <w:rPr>
                <w:sz w:val="17"/>
              </w:rPr>
            </w:pPr>
            <w:r>
              <w:rPr>
                <w:color w:val="231F20"/>
                <w:sz w:val="17"/>
              </w:rPr>
              <w:t>100</w:t>
            </w:r>
          </w:p>
        </w:tc>
      </w:tr>
      <w:tr>
        <w:trPr>
          <w:trHeight w:val="210" w:hRule="exact"/>
        </w:trPr>
        <w:tc>
          <w:tcPr>
            <w:tcW w:w="1747" w:type="dxa"/>
          </w:tcPr>
          <w:p>
            <w:pPr>
              <w:pStyle w:val="TableParagraph"/>
              <w:ind w:left="35" w:right="-22"/>
              <w:jc w:val="left"/>
              <w:rPr>
                <w:sz w:val="17"/>
              </w:rPr>
            </w:pPr>
            <w:r>
              <w:rPr>
                <w:color w:val="231F20"/>
                <w:w w:val="110"/>
                <w:sz w:val="17"/>
              </w:rPr>
              <w:t>Veracruz</w:t>
            </w:r>
          </w:p>
        </w:tc>
        <w:tc>
          <w:tcPr>
            <w:tcW w:w="707" w:type="dxa"/>
          </w:tcPr>
          <w:p>
            <w:pPr>
              <w:pStyle w:val="TableParagraph"/>
              <w:ind w:right="101"/>
              <w:rPr>
                <w:sz w:val="17"/>
              </w:rPr>
            </w:pPr>
            <w:r>
              <w:rPr>
                <w:color w:val="231F20"/>
                <w:w w:val="105"/>
                <w:sz w:val="17"/>
              </w:rPr>
              <w:t>61.1</w:t>
            </w:r>
          </w:p>
        </w:tc>
        <w:tc>
          <w:tcPr>
            <w:tcW w:w="842" w:type="dxa"/>
          </w:tcPr>
          <w:p>
            <w:pPr>
              <w:pStyle w:val="TableParagraph"/>
              <w:ind w:left="82" w:right="86"/>
              <w:rPr>
                <w:sz w:val="17"/>
              </w:rPr>
            </w:pPr>
            <w:r>
              <w:rPr>
                <w:color w:val="231F20"/>
                <w:w w:val="105"/>
                <w:sz w:val="17"/>
              </w:rPr>
              <w:t>22.0</w:t>
            </w:r>
          </w:p>
        </w:tc>
        <w:tc>
          <w:tcPr>
            <w:tcW w:w="1070" w:type="dxa"/>
          </w:tcPr>
          <w:p>
            <w:pPr>
              <w:pStyle w:val="TableParagraph"/>
              <w:ind w:left="82" w:right="105"/>
              <w:rPr>
                <w:sz w:val="17"/>
              </w:rPr>
            </w:pPr>
            <w:r>
              <w:rPr>
                <w:color w:val="231F20"/>
                <w:w w:val="105"/>
                <w:sz w:val="17"/>
              </w:rPr>
              <w:t>16.2</w:t>
            </w:r>
          </w:p>
        </w:tc>
        <w:tc>
          <w:tcPr>
            <w:tcW w:w="1094" w:type="dxa"/>
          </w:tcPr>
          <w:p>
            <w:pPr>
              <w:pStyle w:val="TableParagraph"/>
              <w:ind w:left="385" w:right="433"/>
              <w:rPr>
                <w:sz w:val="17"/>
              </w:rPr>
            </w:pPr>
            <w:r>
              <w:rPr>
                <w:color w:val="231F20"/>
                <w:w w:val="105"/>
                <w:sz w:val="17"/>
              </w:rPr>
              <w:t>0.7</w:t>
            </w:r>
          </w:p>
        </w:tc>
        <w:tc>
          <w:tcPr>
            <w:tcW w:w="742" w:type="dxa"/>
          </w:tcPr>
          <w:p>
            <w:pPr>
              <w:pStyle w:val="TableParagraph"/>
              <w:ind w:left="211"/>
              <w:jc w:val="left"/>
              <w:rPr>
                <w:sz w:val="17"/>
              </w:rPr>
            </w:pPr>
            <w:r>
              <w:rPr>
                <w:color w:val="231F20"/>
                <w:sz w:val="17"/>
              </w:rPr>
              <w:t>100</w:t>
            </w:r>
          </w:p>
        </w:tc>
        <w:tc>
          <w:tcPr>
            <w:tcW w:w="810" w:type="dxa"/>
          </w:tcPr>
          <w:p>
            <w:pPr>
              <w:pStyle w:val="TableParagraph"/>
              <w:ind w:left="92" w:right="79"/>
              <w:rPr>
                <w:sz w:val="17"/>
              </w:rPr>
            </w:pPr>
            <w:r>
              <w:rPr>
                <w:color w:val="231F20"/>
                <w:w w:val="105"/>
                <w:sz w:val="17"/>
              </w:rPr>
              <w:t>64.0</w:t>
            </w:r>
          </w:p>
        </w:tc>
        <w:tc>
          <w:tcPr>
            <w:tcW w:w="824" w:type="dxa"/>
          </w:tcPr>
          <w:p>
            <w:pPr>
              <w:pStyle w:val="TableParagraph"/>
              <w:ind w:left="74" w:right="75"/>
              <w:rPr>
                <w:sz w:val="17"/>
              </w:rPr>
            </w:pPr>
            <w:r>
              <w:rPr>
                <w:color w:val="231F20"/>
                <w:w w:val="105"/>
                <w:sz w:val="17"/>
              </w:rPr>
              <w:t>11.6</w:t>
            </w:r>
          </w:p>
        </w:tc>
        <w:tc>
          <w:tcPr>
            <w:tcW w:w="1030" w:type="dxa"/>
          </w:tcPr>
          <w:p>
            <w:pPr>
              <w:pStyle w:val="TableParagraph"/>
              <w:ind w:left="87" w:right="78"/>
              <w:rPr>
                <w:sz w:val="17"/>
              </w:rPr>
            </w:pPr>
            <w:r>
              <w:rPr>
                <w:color w:val="231F20"/>
                <w:w w:val="105"/>
                <w:sz w:val="17"/>
              </w:rPr>
              <w:t>23.2</w:t>
            </w:r>
          </w:p>
        </w:tc>
        <w:tc>
          <w:tcPr>
            <w:tcW w:w="1065" w:type="dxa"/>
          </w:tcPr>
          <w:p>
            <w:pPr>
              <w:pStyle w:val="TableParagraph"/>
              <w:ind w:left="379" w:right="411"/>
              <w:rPr>
                <w:sz w:val="17"/>
              </w:rPr>
            </w:pPr>
            <w:r>
              <w:rPr>
                <w:color w:val="231F20"/>
                <w:w w:val="105"/>
                <w:sz w:val="17"/>
              </w:rPr>
              <w:t>1.1</w:t>
            </w:r>
          </w:p>
        </w:tc>
        <w:tc>
          <w:tcPr>
            <w:tcW w:w="684" w:type="dxa"/>
          </w:tcPr>
          <w:p>
            <w:pPr>
              <w:pStyle w:val="TableParagraph"/>
              <w:ind w:left="167"/>
              <w:jc w:val="left"/>
              <w:rPr>
                <w:sz w:val="17"/>
              </w:rPr>
            </w:pPr>
            <w:r>
              <w:rPr>
                <w:color w:val="231F20"/>
                <w:sz w:val="17"/>
              </w:rPr>
              <w:t>100</w:t>
            </w:r>
          </w:p>
        </w:tc>
      </w:tr>
      <w:tr>
        <w:trPr>
          <w:trHeight w:val="210" w:hRule="exact"/>
        </w:trPr>
        <w:tc>
          <w:tcPr>
            <w:tcW w:w="1747" w:type="dxa"/>
          </w:tcPr>
          <w:p>
            <w:pPr>
              <w:pStyle w:val="TableParagraph"/>
              <w:ind w:left="35" w:right="-22"/>
              <w:jc w:val="left"/>
              <w:rPr>
                <w:sz w:val="17"/>
              </w:rPr>
            </w:pPr>
            <w:r>
              <w:rPr>
                <w:color w:val="231F20"/>
                <w:w w:val="110"/>
                <w:sz w:val="17"/>
              </w:rPr>
              <w:t>Yucatán</w:t>
            </w:r>
          </w:p>
        </w:tc>
        <w:tc>
          <w:tcPr>
            <w:tcW w:w="707" w:type="dxa"/>
          </w:tcPr>
          <w:p>
            <w:pPr>
              <w:pStyle w:val="TableParagraph"/>
              <w:ind w:right="101"/>
              <w:rPr>
                <w:sz w:val="17"/>
              </w:rPr>
            </w:pPr>
            <w:r>
              <w:rPr>
                <w:color w:val="231F20"/>
                <w:w w:val="105"/>
                <w:sz w:val="17"/>
              </w:rPr>
              <w:t>57.7</w:t>
            </w:r>
          </w:p>
        </w:tc>
        <w:tc>
          <w:tcPr>
            <w:tcW w:w="842" w:type="dxa"/>
          </w:tcPr>
          <w:p>
            <w:pPr>
              <w:pStyle w:val="TableParagraph"/>
              <w:ind w:left="82" w:right="86"/>
              <w:rPr>
                <w:sz w:val="17"/>
              </w:rPr>
            </w:pPr>
            <w:r>
              <w:rPr>
                <w:color w:val="231F20"/>
                <w:w w:val="105"/>
                <w:sz w:val="17"/>
              </w:rPr>
              <w:t>39.4</w:t>
            </w:r>
          </w:p>
        </w:tc>
        <w:tc>
          <w:tcPr>
            <w:tcW w:w="1070" w:type="dxa"/>
          </w:tcPr>
          <w:p>
            <w:pPr>
              <w:pStyle w:val="TableParagraph"/>
              <w:ind w:left="177" w:right="105"/>
              <w:rPr>
                <w:sz w:val="17"/>
              </w:rPr>
            </w:pPr>
            <w:r>
              <w:rPr>
                <w:color w:val="231F20"/>
                <w:w w:val="105"/>
                <w:sz w:val="17"/>
              </w:rPr>
              <w:t>2.2</w:t>
            </w:r>
          </w:p>
        </w:tc>
        <w:tc>
          <w:tcPr>
            <w:tcW w:w="1094" w:type="dxa"/>
          </w:tcPr>
          <w:p>
            <w:pPr>
              <w:pStyle w:val="TableParagraph"/>
              <w:ind w:left="385" w:right="433"/>
              <w:rPr>
                <w:sz w:val="17"/>
              </w:rPr>
            </w:pPr>
            <w:r>
              <w:rPr>
                <w:color w:val="231F20"/>
                <w:w w:val="105"/>
                <w:sz w:val="17"/>
              </w:rPr>
              <w:t>0.7</w:t>
            </w:r>
          </w:p>
        </w:tc>
        <w:tc>
          <w:tcPr>
            <w:tcW w:w="742" w:type="dxa"/>
          </w:tcPr>
          <w:p>
            <w:pPr>
              <w:pStyle w:val="TableParagraph"/>
              <w:ind w:left="211"/>
              <w:jc w:val="left"/>
              <w:rPr>
                <w:sz w:val="17"/>
              </w:rPr>
            </w:pPr>
            <w:r>
              <w:rPr>
                <w:color w:val="231F20"/>
                <w:sz w:val="17"/>
              </w:rPr>
              <w:t>100</w:t>
            </w:r>
          </w:p>
        </w:tc>
        <w:tc>
          <w:tcPr>
            <w:tcW w:w="810" w:type="dxa"/>
          </w:tcPr>
          <w:p>
            <w:pPr>
              <w:pStyle w:val="TableParagraph"/>
              <w:ind w:left="92" w:right="79"/>
              <w:rPr>
                <w:sz w:val="17"/>
              </w:rPr>
            </w:pPr>
            <w:r>
              <w:rPr>
                <w:color w:val="231F20"/>
                <w:w w:val="105"/>
                <w:sz w:val="17"/>
              </w:rPr>
              <w:t>65.4</w:t>
            </w:r>
          </w:p>
        </w:tc>
        <w:tc>
          <w:tcPr>
            <w:tcW w:w="824" w:type="dxa"/>
          </w:tcPr>
          <w:p>
            <w:pPr>
              <w:pStyle w:val="TableParagraph"/>
              <w:ind w:left="74" w:right="75"/>
              <w:rPr>
                <w:sz w:val="17"/>
              </w:rPr>
            </w:pPr>
            <w:r>
              <w:rPr>
                <w:color w:val="231F20"/>
                <w:w w:val="105"/>
                <w:sz w:val="17"/>
              </w:rPr>
              <w:t>22.9</w:t>
            </w:r>
          </w:p>
        </w:tc>
        <w:tc>
          <w:tcPr>
            <w:tcW w:w="1030" w:type="dxa"/>
          </w:tcPr>
          <w:p>
            <w:pPr>
              <w:pStyle w:val="TableParagraph"/>
              <w:ind w:left="87" w:right="78"/>
              <w:rPr>
                <w:sz w:val="17"/>
              </w:rPr>
            </w:pPr>
            <w:r>
              <w:rPr>
                <w:color w:val="231F20"/>
                <w:w w:val="105"/>
                <w:sz w:val="17"/>
              </w:rPr>
              <w:t>10.6</w:t>
            </w:r>
          </w:p>
        </w:tc>
        <w:tc>
          <w:tcPr>
            <w:tcW w:w="1065" w:type="dxa"/>
          </w:tcPr>
          <w:p>
            <w:pPr>
              <w:pStyle w:val="TableParagraph"/>
              <w:ind w:left="379" w:right="411"/>
              <w:rPr>
                <w:sz w:val="17"/>
              </w:rPr>
            </w:pPr>
            <w:r>
              <w:rPr>
                <w:color w:val="231F20"/>
                <w:w w:val="105"/>
                <w:sz w:val="17"/>
              </w:rPr>
              <w:t>1.1</w:t>
            </w:r>
          </w:p>
        </w:tc>
        <w:tc>
          <w:tcPr>
            <w:tcW w:w="684" w:type="dxa"/>
          </w:tcPr>
          <w:p>
            <w:pPr>
              <w:pStyle w:val="TableParagraph"/>
              <w:ind w:left="167"/>
              <w:jc w:val="left"/>
              <w:rPr>
                <w:sz w:val="17"/>
              </w:rPr>
            </w:pPr>
            <w:r>
              <w:rPr>
                <w:color w:val="231F20"/>
                <w:sz w:val="17"/>
              </w:rPr>
              <w:t>100</w:t>
            </w:r>
          </w:p>
        </w:tc>
      </w:tr>
      <w:tr>
        <w:trPr>
          <w:trHeight w:val="276" w:hRule="exact"/>
        </w:trPr>
        <w:tc>
          <w:tcPr>
            <w:tcW w:w="1747" w:type="dxa"/>
            <w:tcBorders>
              <w:bottom w:val="single" w:sz="3" w:space="0" w:color="231F20"/>
            </w:tcBorders>
          </w:tcPr>
          <w:p>
            <w:pPr>
              <w:pStyle w:val="TableParagraph"/>
              <w:ind w:left="35" w:right="-22"/>
              <w:jc w:val="left"/>
              <w:rPr>
                <w:sz w:val="17"/>
              </w:rPr>
            </w:pPr>
            <w:r>
              <w:rPr>
                <w:color w:val="231F20"/>
                <w:w w:val="110"/>
                <w:sz w:val="17"/>
              </w:rPr>
              <w:t>Zacatecas</w:t>
            </w:r>
          </w:p>
        </w:tc>
        <w:tc>
          <w:tcPr>
            <w:tcW w:w="707" w:type="dxa"/>
            <w:tcBorders>
              <w:bottom w:val="single" w:sz="3" w:space="0" w:color="231F20"/>
            </w:tcBorders>
          </w:tcPr>
          <w:p>
            <w:pPr>
              <w:pStyle w:val="TableParagraph"/>
              <w:ind w:right="101"/>
              <w:rPr>
                <w:sz w:val="17"/>
              </w:rPr>
            </w:pPr>
            <w:r>
              <w:rPr>
                <w:color w:val="231F20"/>
                <w:w w:val="105"/>
                <w:sz w:val="17"/>
              </w:rPr>
              <w:t>58.8</w:t>
            </w:r>
          </w:p>
        </w:tc>
        <w:tc>
          <w:tcPr>
            <w:tcW w:w="842" w:type="dxa"/>
            <w:tcBorders>
              <w:bottom w:val="single" w:sz="3" w:space="0" w:color="231F20"/>
            </w:tcBorders>
          </w:tcPr>
          <w:p>
            <w:pPr>
              <w:pStyle w:val="TableParagraph"/>
              <w:ind w:left="82" w:right="86"/>
              <w:rPr>
                <w:sz w:val="17"/>
              </w:rPr>
            </w:pPr>
            <w:r>
              <w:rPr>
                <w:color w:val="231F20"/>
                <w:w w:val="105"/>
                <w:sz w:val="17"/>
              </w:rPr>
              <w:t>37.5</w:t>
            </w:r>
          </w:p>
        </w:tc>
        <w:tc>
          <w:tcPr>
            <w:tcW w:w="1070" w:type="dxa"/>
            <w:tcBorders>
              <w:bottom w:val="single" w:sz="3" w:space="0" w:color="231F20"/>
            </w:tcBorders>
          </w:tcPr>
          <w:p>
            <w:pPr>
              <w:pStyle w:val="TableParagraph"/>
              <w:ind w:left="177" w:right="105"/>
              <w:rPr>
                <w:sz w:val="17"/>
              </w:rPr>
            </w:pPr>
            <w:r>
              <w:rPr>
                <w:color w:val="231F20"/>
                <w:w w:val="105"/>
                <w:sz w:val="17"/>
              </w:rPr>
              <w:t>3.0</w:t>
            </w:r>
          </w:p>
        </w:tc>
        <w:tc>
          <w:tcPr>
            <w:tcW w:w="1094" w:type="dxa"/>
            <w:tcBorders>
              <w:bottom w:val="single" w:sz="3" w:space="0" w:color="231F20"/>
            </w:tcBorders>
          </w:tcPr>
          <w:p>
            <w:pPr>
              <w:pStyle w:val="TableParagraph"/>
              <w:ind w:left="385" w:right="433"/>
              <w:rPr>
                <w:sz w:val="17"/>
              </w:rPr>
            </w:pPr>
            <w:r>
              <w:rPr>
                <w:color w:val="231F20"/>
                <w:w w:val="105"/>
                <w:sz w:val="17"/>
              </w:rPr>
              <w:t>0.7</w:t>
            </w:r>
          </w:p>
        </w:tc>
        <w:tc>
          <w:tcPr>
            <w:tcW w:w="742" w:type="dxa"/>
            <w:tcBorders>
              <w:bottom w:val="single" w:sz="3" w:space="0" w:color="231F20"/>
            </w:tcBorders>
          </w:tcPr>
          <w:p>
            <w:pPr>
              <w:pStyle w:val="TableParagraph"/>
              <w:ind w:left="211"/>
              <w:jc w:val="left"/>
              <w:rPr>
                <w:sz w:val="17"/>
              </w:rPr>
            </w:pPr>
            <w:r>
              <w:rPr>
                <w:color w:val="231F20"/>
                <w:sz w:val="17"/>
              </w:rPr>
              <w:t>100</w:t>
            </w:r>
          </w:p>
        </w:tc>
        <w:tc>
          <w:tcPr>
            <w:tcW w:w="810" w:type="dxa"/>
            <w:tcBorders>
              <w:bottom w:val="single" w:sz="3" w:space="0" w:color="231F20"/>
            </w:tcBorders>
          </w:tcPr>
          <w:p>
            <w:pPr>
              <w:pStyle w:val="TableParagraph"/>
              <w:ind w:left="92" w:right="79"/>
              <w:rPr>
                <w:sz w:val="17"/>
              </w:rPr>
            </w:pPr>
            <w:r>
              <w:rPr>
                <w:color w:val="231F20"/>
                <w:w w:val="105"/>
                <w:sz w:val="17"/>
              </w:rPr>
              <w:t>58.8</w:t>
            </w:r>
          </w:p>
        </w:tc>
        <w:tc>
          <w:tcPr>
            <w:tcW w:w="824" w:type="dxa"/>
            <w:tcBorders>
              <w:bottom w:val="single" w:sz="3" w:space="0" w:color="231F20"/>
            </w:tcBorders>
          </w:tcPr>
          <w:p>
            <w:pPr>
              <w:pStyle w:val="TableParagraph"/>
              <w:ind w:left="74" w:right="75"/>
              <w:rPr>
                <w:sz w:val="17"/>
              </w:rPr>
            </w:pPr>
            <w:r>
              <w:rPr>
                <w:color w:val="231F20"/>
                <w:w w:val="105"/>
                <w:sz w:val="17"/>
              </w:rPr>
              <w:t>23.6</w:t>
            </w:r>
          </w:p>
        </w:tc>
        <w:tc>
          <w:tcPr>
            <w:tcW w:w="1030" w:type="dxa"/>
            <w:tcBorders>
              <w:bottom w:val="single" w:sz="3" w:space="0" w:color="231F20"/>
            </w:tcBorders>
          </w:tcPr>
          <w:p>
            <w:pPr>
              <w:pStyle w:val="TableParagraph"/>
              <w:ind w:left="87" w:right="78"/>
              <w:rPr>
                <w:sz w:val="17"/>
              </w:rPr>
            </w:pPr>
            <w:r>
              <w:rPr>
                <w:color w:val="231F20"/>
                <w:w w:val="105"/>
                <w:sz w:val="17"/>
              </w:rPr>
              <w:t>16.3</w:t>
            </w:r>
          </w:p>
        </w:tc>
        <w:tc>
          <w:tcPr>
            <w:tcW w:w="1065" w:type="dxa"/>
            <w:tcBorders>
              <w:bottom w:val="single" w:sz="3" w:space="0" w:color="231F20"/>
            </w:tcBorders>
          </w:tcPr>
          <w:p>
            <w:pPr>
              <w:pStyle w:val="TableParagraph"/>
              <w:ind w:left="379" w:right="411"/>
              <w:rPr>
                <w:sz w:val="17"/>
              </w:rPr>
            </w:pPr>
            <w:r>
              <w:rPr>
                <w:color w:val="231F20"/>
                <w:w w:val="105"/>
                <w:sz w:val="17"/>
              </w:rPr>
              <w:t>1.3</w:t>
            </w:r>
          </w:p>
        </w:tc>
        <w:tc>
          <w:tcPr>
            <w:tcW w:w="684" w:type="dxa"/>
            <w:tcBorders>
              <w:bottom w:val="single" w:sz="3" w:space="0" w:color="231F20"/>
            </w:tcBorders>
          </w:tcPr>
          <w:p>
            <w:pPr>
              <w:pStyle w:val="TableParagraph"/>
              <w:ind w:left="167"/>
              <w:jc w:val="left"/>
              <w:rPr>
                <w:sz w:val="17"/>
              </w:rPr>
            </w:pPr>
            <w:r>
              <w:rPr>
                <w:color w:val="231F20"/>
                <w:sz w:val="17"/>
              </w:rPr>
              <w:t>100</w:t>
            </w:r>
          </w:p>
        </w:tc>
      </w:tr>
    </w:tbl>
    <w:p>
      <w:pPr>
        <w:spacing w:before="63"/>
        <w:ind w:left="505" w:right="0" w:firstLine="0"/>
        <w:jc w:val="left"/>
        <w:rPr>
          <w:sz w:val="15"/>
        </w:rPr>
      </w:pPr>
      <w:r>
        <w:rPr>
          <w:color w:val="231F20"/>
          <w:w w:val="110"/>
          <w:sz w:val="15"/>
        </w:rPr>
        <w:t>Fuente: Elaboración propia con datos del Censo de Población y Vivienda de 2010, </w:t>
      </w:r>
      <w:r>
        <w:rPr>
          <w:rFonts w:ascii="Times New Roman" w:hAnsi="Times New Roman"/>
          <w:color w:val="231F20"/>
          <w:w w:val="110"/>
          <w:sz w:val="12"/>
        </w:rPr>
        <w:t>INEGI</w:t>
      </w:r>
      <w:r>
        <w:rPr>
          <w:color w:val="231F20"/>
          <w:w w:val="110"/>
          <w:sz w:val="15"/>
        </w:rPr>
        <w:t>,  2013.</w:t>
      </w:r>
    </w:p>
    <w:p>
      <w:pPr>
        <w:spacing w:after="0"/>
        <w:jc w:val="left"/>
        <w:rPr>
          <w:sz w:val="15"/>
        </w:rPr>
        <w:sectPr>
          <w:footerReference w:type="default" r:id="rId63"/>
          <w:pgSz w:w="12920" w:h="9520" w:orient="landscape"/>
          <w:pgMar w:footer="0" w:header="0" w:top="880" w:bottom="280" w:left="1240" w:right="84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9"/>
        </w:rPr>
      </w:pPr>
    </w:p>
    <w:p>
      <w:pPr>
        <w:spacing w:line="185" w:lineRule="exact" w:before="79"/>
        <w:ind w:left="1315" w:right="1297" w:firstLine="0"/>
        <w:jc w:val="center"/>
        <w:rPr>
          <w:sz w:val="16"/>
        </w:rPr>
      </w:pPr>
      <w:r>
        <w:rPr>
          <w:color w:val="231F20"/>
          <w:w w:val="105"/>
          <w:sz w:val="16"/>
        </w:rPr>
        <w:t>Cuadro 3</w:t>
      </w:r>
    </w:p>
    <w:p>
      <w:pPr>
        <w:spacing w:line="220" w:lineRule="exact" w:before="0"/>
        <w:ind w:left="1315" w:right="1297" w:firstLine="0"/>
        <w:jc w:val="center"/>
        <w:rPr>
          <w:sz w:val="19"/>
        </w:rPr>
      </w:pPr>
      <w:r>
        <w:rPr>
          <w:color w:val="231F20"/>
          <w:w w:val="90"/>
          <w:sz w:val="19"/>
        </w:rPr>
        <w:t>Distribución porcentual de mujeres de 20-24 años por condición de unión, por entidad federativa, 1990 y 2010</w:t>
      </w:r>
    </w:p>
    <w:p>
      <w:pPr>
        <w:pStyle w:val="BodyText"/>
        <w:spacing w:before="6"/>
        <w:rPr>
          <w:sz w:val="13"/>
        </w:rPr>
      </w:pPr>
      <w:r>
        <w:rPr/>
        <w:pict>
          <v:group style="position:absolute;margin-left:69.723pt;margin-top:9.889404pt;width:528.5pt;height:.4pt;mso-position-horizontal-relative:page;mso-position-vertical-relative:paragraph;z-index:1696;mso-wrap-distance-left:0;mso-wrap-distance-right:0" coordorigin="1394,198" coordsize="10570,8">
            <v:line style="position:absolute" from="1398,202" to="3064,202" stroked="true" strokeweight=".4pt" strokecolor="#231f20"/>
            <v:line style="position:absolute" from="3065,202" to="3850,202" stroked="true" strokeweight=".4pt" strokecolor="#231f20"/>
            <v:line style="position:absolute" from="3850,202" to="4685,202" stroked="true" strokeweight=".4pt" strokecolor="#231f20"/>
            <v:line style="position:absolute" from="4685,202" to="5727,202" stroked="true" strokeweight=".4pt" strokecolor="#231f20"/>
            <v:line style="position:absolute" from="5727,202" to="6770,202" stroked="true" strokeweight=".4pt" strokecolor="#231f20"/>
            <v:line style="position:absolute" from="6770,202" to="7527,202" stroked="true" strokeweight=".4pt" strokecolor="#231f20"/>
            <v:line style="position:absolute" from="7527,202" to="8307,202" stroked="true" strokeweight=".4pt" strokecolor="#231f20"/>
            <v:line style="position:absolute" from="8307,202" to="9106,202" stroked="true" strokeweight=".4pt" strokecolor="#231f20"/>
            <v:line style="position:absolute" from="9106,202" to="10149,202" stroked="true" strokeweight=".4pt" strokecolor="#231f20"/>
            <v:line style="position:absolute" from="10149,202" to="11191,202" stroked="true" strokeweight=".4pt" strokecolor="#231f20"/>
            <v:line style="position:absolute" from="11191,202" to="11960,202" stroked="true" strokeweight=".4pt" strokecolor="#231f20"/>
            <w10:wrap type="topAndBottom"/>
          </v:group>
        </w:pict>
      </w:r>
    </w:p>
    <w:p>
      <w:pPr>
        <w:pStyle w:val="BodyText"/>
        <w:spacing w:before="11"/>
        <w:rPr>
          <w:sz w:val="7"/>
        </w:rPr>
      </w:pPr>
    </w:p>
    <w:p>
      <w:pPr>
        <w:pStyle w:val="BodyText"/>
        <w:ind w:left="1800"/>
      </w:pPr>
      <w:r>
        <w:rPr/>
        <w:pict>
          <v:group style="width:445.2pt;height:19.95pt;mso-position-horizontal-relative:char;mso-position-vertical-relative:line" coordorigin="0,0" coordsize="8904,399">
            <v:line style="position:absolute" from="4,274" to="790,274" stroked="true" strokeweight=".4pt" strokecolor="#231f20"/>
            <v:line style="position:absolute" from="790,274" to="1624,274" stroked="true" strokeweight=".4pt" strokecolor="#231f20"/>
            <v:line style="position:absolute" from="1624,274" to="2666,274" stroked="true" strokeweight=".4pt" strokecolor="#231f20"/>
            <v:line style="position:absolute" from="2666,274" to="3709,274" stroked="true" strokeweight=".4pt" strokecolor="#231f20"/>
            <v:line style="position:absolute" from="3709,274" to="4466,274" stroked="true" strokeweight=".4pt" strokecolor="#231f20"/>
            <v:line style="position:absolute" from="4466,274" to="5246,274" stroked="true" strokeweight=".4pt" strokecolor="#231f20"/>
            <v:line style="position:absolute" from="5247,274" to="6046,274" stroked="true" strokeweight=".4pt" strokecolor="#231f20"/>
            <v:line style="position:absolute" from="6046,274" to="7088,274" stroked="true" strokeweight=".4pt" strokecolor="#231f20"/>
            <v:line style="position:absolute" from="7088,274" to="8131,274" stroked="true" strokeweight=".4pt" strokecolor="#231f20"/>
            <v:line style="position:absolute" from="8131,274" to="8899,274" stroked="true" strokeweight=".4pt" strokecolor="#231f20"/>
            <v:line style="position:absolute" from="4457,102" to="4457,366" stroked="true" strokeweight="3.3pt" strokecolor="#ffffff"/>
            <v:shape style="position:absolute;left:2069;top:0;width:347;height:170" type="#_x0000_t202" filled="false" stroked="false">
              <v:textbox inset="0,0,0,0">
                <w:txbxContent>
                  <w:p>
                    <w:pPr>
                      <w:spacing w:line="170" w:lineRule="exact" w:before="0"/>
                      <w:ind w:left="0" w:right="-15" w:firstLine="0"/>
                      <w:jc w:val="left"/>
                      <w:rPr>
                        <w:i/>
                        <w:sz w:val="17"/>
                      </w:rPr>
                    </w:pPr>
                    <w:r>
                      <w:rPr>
                        <w:i/>
                        <w:color w:val="231F20"/>
                        <w:w w:val="95"/>
                        <w:sz w:val="17"/>
                      </w:rPr>
                      <w:t>1990</w:t>
                    </w:r>
                  </w:p>
                </w:txbxContent>
              </v:textbox>
              <w10:wrap type="none"/>
            </v:shape>
            <v:shape style="position:absolute;left:6556;top:24;width:347;height:170" type="#_x0000_t202" filled="false" stroked="false">
              <v:textbox inset="0,0,0,0">
                <w:txbxContent>
                  <w:p>
                    <w:pPr>
                      <w:spacing w:line="170" w:lineRule="exact" w:before="0"/>
                      <w:ind w:left="0" w:right="-15" w:firstLine="0"/>
                      <w:jc w:val="left"/>
                      <w:rPr>
                        <w:i/>
                        <w:sz w:val="17"/>
                      </w:rPr>
                    </w:pPr>
                    <w:r>
                      <w:rPr>
                        <w:i/>
                        <w:color w:val="231F20"/>
                        <w:w w:val="95"/>
                        <w:sz w:val="17"/>
                      </w:rPr>
                      <w:t>2010</w:t>
                    </w:r>
                  </w:p>
                </w:txbxContent>
              </v:textbox>
              <w10:wrap type="none"/>
            </v:shape>
          </v:group>
        </w:pict>
      </w:r>
      <w:r>
        <w:rPr/>
      </w:r>
    </w:p>
    <w:p>
      <w:pPr>
        <w:spacing w:after="0"/>
        <w:sectPr>
          <w:footerReference w:type="even" r:id="rId64"/>
          <w:pgSz w:w="12920" w:h="9520" w:orient="landscape"/>
          <w:pgMar w:footer="2596" w:header="0" w:top="880" w:bottom="2780" w:left="1260" w:right="840"/>
          <w:pgNumType w:start="4"/>
        </w:sectPr>
      </w:pPr>
    </w:p>
    <w:p>
      <w:pPr>
        <w:tabs>
          <w:tab w:pos="1894" w:val="left" w:leader="none"/>
          <w:tab w:pos="3523" w:val="left" w:leader="none"/>
        </w:tabs>
        <w:spacing w:before="132"/>
        <w:ind w:left="674" w:right="0" w:firstLine="0"/>
        <w:jc w:val="left"/>
        <w:rPr>
          <w:i/>
          <w:sz w:val="17"/>
        </w:rPr>
      </w:pPr>
      <w:r>
        <w:rPr>
          <w:i/>
          <w:color w:val="231F20"/>
          <w:w w:val="105"/>
          <w:sz w:val="17"/>
        </w:rPr>
        <w:t>Entidad</w:t>
        <w:tab/>
        <w:t>Solteras    </w:t>
      </w:r>
      <w:r>
        <w:rPr>
          <w:i/>
          <w:color w:val="231F20"/>
          <w:spacing w:val="12"/>
          <w:w w:val="105"/>
          <w:sz w:val="17"/>
        </w:rPr>
        <w:t> </w:t>
      </w:r>
      <w:r>
        <w:rPr>
          <w:i/>
          <w:color w:val="231F20"/>
          <w:w w:val="105"/>
          <w:sz w:val="17"/>
        </w:rPr>
        <w:t>Casadas</w:t>
        <w:tab/>
        <w:t>Unión</w:t>
      </w:r>
      <w:r>
        <w:rPr>
          <w:i/>
          <w:color w:val="231F20"/>
          <w:spacing w:val="18"/>
          <w:w w:val="105"/>
          <w:sz w:val="17"/>
        </w:rPr>
        <w:t> </w:t>
      </w:r>
      <w:r>
        <w:rPr>
          <w:i/>
          <w:color w:val="231F20"/>
          <w:w w:val="105"/>
          <w:sz w:val="17"/>
        </w:rPr>
        <w:t>libre</w:t>
      </w:r>
    </w:p>
    <w:p>
      <w:pPr>
        <w:spacing w:line="137" w:lineRule="exact" w:before="0"/>
        <w:ind w:left="154" w:right="0" w:firstLine="0"/>
        <w:jc w:val="left"/>
        <w:rPr>
          <w:i/>
          <w:sz w:val="17"/>
        </w:rPr>
      </w:pPr>
      <w:r>
        <w:rPr/>
        <w:br w:type="column"/>
      </w:r>
      <w:r>
        <w:rPr>
          <w:i/>
          <w:color w:val="231F20"/>
          <w:w w:val="110"/>
          <w:sz w:val="17"/>
        </w:rPr>
        <w:t>Alguna vez</w:t>
      </w:r>
    </w:p>
    <w:p>
      <w:pPr>
        <w:tabs>
          <w:tab w:pos="1292" w:val="left" w:leader="none"/>
          <w:tab w:pos="1946" w:val="left" w:leader="none"/>
        </w:tabs>
        <w:spacing w:line="195" w:lineRule="exact" w:before="0"/>
        <w:ind w:left="325" w:right="0" w:firstLine="0"/>
        <w:jc w:val="left"/>
        <w:rPr>
          <w:i/>
          <w:sz w:val="17"/>
        </w:rPr>
      </w:pPr>
      <w:r>
        <w:rPr>
          <w:i/>
          <w:color w:val="231F20"/>
          <w:w w:val="105"/>
          <w:sz w:val="17"/>
        </w:rPr>
        <w:t>unidas</w:t>
        <w:tab/>
        <w:t>Total</w:t>
        <w:tab/>
        <w:t>Solteras     Casadas     Unión</w:t>
      </w:r>
      <w:r>
        <w:rPr>
          <w:i/>
          <w:color w:val="231F20"/>
          <w:spacing w:val="6"/>
          <w:w w:val="105"/>
          <w:sz w:val="17"/>
        </w:rPr>
        <w:t> </w:t>
      </w:r>
      <w:r>
        <w:rPr>
          <w:i/>
          <w:color w:val="231F20"/>
          <w:w w:val="105"/>
          <w:sz w:val="17"/>
        </w:rPr>
        <w:t>libre</w:t>
      </w:r>
    </w:p>
    <w:p>
      <w:pPr>
        <w:spacing w:line="137" w:lineRule="exact" w:before="0"/>
        <w:ind w:left="154" w:right="0" w:firstLine="0"/>
        <w:jc w:val="left"/>
        <w:rPr>
          <w:i/>
          <w:sz w:val="17"/>
        </w:rPr>
      </w:pPr>
      <w:r>
        <w:rPr/>
        <w:br w:type="column"/>
      </w:r>
      <w:r>
        <w:rPr>
          <w:i/>
          <w:color w:val="231F20"/>
          <w:w w:val="110"/>
          <w:sz w:val="17"/>
        </w:rPr>
        <w:t>Alguna vez</w:t>
      </w:r>
    </w:p>
    <w:p>
      <w:pPr>
        <w:tabs>
          <w:tab w:pos="1297" w:val="left" w:leader="none"/>
        </w:tabs>
        <w:spacing w:line="195" w:lineRule="exact" w:before="0"/>
        <w:ind w:left="325" w:right="0" w:firstLine="0"/>
        <w:jc w:val="left"/>
        <w:rPr>
          <w:i/>
          <w:sz w:val="17"/>
        </w:rPr>
      </w:pPr>
      <w:r>
        <w:rPr>
          <w:i/>
          <w:color w:val="231F20"/>
          <w:w w:val="105"/>
          <w:sz w:val="17"/>
        </w:rPr>
        <w:t>unidas</w:t>
        <w:tab/>
        <w:t>Total</w:t>
      </w:r>
    </w:p>
    <w:p>
      <w:pPr>
        <w:spacing w:after="0" w:line="195" w:lineRule="exact"/>
        <w:jc w:val="left"/>
        <w:rPr>
          <w:sz w:val="17"/>
        </w:rPr>
        <w:sectPr>
          <w:type w:val="continuous"/>
          <w:pgSz w:w="12920" w:h="9520" w:orient="landscape"/>
          <w:pgMar w:top="0" w:bottom="0" w:left="1260" w:right="840"/>
          <w:cols w:num="3" w:equalWidth="0">
            <w:col w:w="4368" w:space="40"/>
            <w:col w:w="4382" w:space="40"/>
            <w:col w:w="1990"/>
          </w:cols>
        </w:sectPr>
      </w:pPr>
    </w:p>
    <w:p>
      <w:pPr>
        <w:pStyle w:val="BodyText"/>
        <w:rPr>
          <w:i/>
          <w:sz w:val="7"/>
        </w:r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30"/>
        <w:gridCol w:w="769"/>
        <w:gridCol w:w="892"/>
        <w:gridCol w:w="1014"/>
        <w:gridCol w:w="917"/>
        <w:gridCol w:w="836"/>
        <w:gridCol w:w="790"/>
        <w:gridCol w:w="855"/>
        <w:gridCol w:w="1006"/>
        <w:gridCol w:w="937"/>
        <w:gridCol w:w="850"/>
      </w:tblGrid>
      <w:tr>
        <w:trPr>
          <w:trHeight w:val="263" w:hRule="exact"/>
        </w:trPr>
        <w:tc>
          <w:tcPr>
            <w:tcW w:w="1730" w:type="dxa"/>
            <w:tcBorders>
              <w:top w:val="single" w:sz="3" w:space="0" w:color="231F20"/>
            </w:tcBorders>
          </w:tcPr>
          <w:p>
            <w:pPr>
              <w:pStyle w:val="TableParagraph"/>
              <w:spacing w:line="240" w:lineRule="auto" w:before="44"/>
              <w:ind w:left="35"/>
              <w:jc w:val="left"/>
              <w:rPr>
                <w:sz w:val="17"/>
              </w:rPr>
            </w:pPr>
            <w:r>
              <w:rPr>
                <w:color w:val="231F20"/>
                <w:w w:val="110"/>
                <w:sz w:val="17"/>
              </w:rPr>
              <w:t>Nacional</w:t>
            </w:r>
          </w:p>
        </w:tc>
        <w:tc>
          <w:tcPr>
            <w:tcW w:w="769" w:type="dxa"/>
            <w:tcBorders>
              <w:top w:val="single" w:sz="3" w:space="0" w:color="231F20"/>
            </w:tcBorders>
          </w:tcPr>
          <w:p>
            <w:pPr>
              <w:pStyle w:val="TableParagraph"/>
              <w:spacing w:line="240" w:lineRule="auto" w:before="44"/>
              <w:ind w:left="197"/>
              <w:jc w:val="left"/>
              <w:rPr>
                <w:sz w:val="17"/>
              </w:rPr>
            </w:pPr>
            <w:r>
              <w:rPr>
                <w:color w:val="231F20"/>
                <w:w w:val="105"/>
                <w:sz w:val="17"/>
              </w:rPr>
              <w:t>45.4</w:t>
            </w:r>
          </w:p>
        </w:tc>
        <w:tc>
          <w:tcPr>
            <w:tcW w:w="892" w:type="dxa"/>
            <w:tcBorders>
              <w:top w:val="single" w:sz="3" w:space="0" w:color="231F20"/>
            </w:tcBorders>
          </w:tcPr>
          <w:p>
            <w:pPr>
              <w:pStyle w:val="TableParagraph"/>
              <w:spacing w:line="240" w:lineRule="auto" w:before="44"/>
              <w:ind w:left="238"/>
              <w:jc w:val="left"/>
              <w:rPr>
                <w:sz w:val="17"/>
              </w:rPr>
            </w:pPr>
            <w:r>
              <w:rPr>
                <w:color w:val="231F20"/>
                <w:w w:val="105"/>
                <w:sz w:val="17"/>
              </w:rPr>
              <w:t>41.3</w:t>
            </w:r>
          </w:p>
        </w:tc>
        <w:tc>
          <w:tcPr>
            <w:tcW w:w="1014" w:type="dxa"/>
            <w:tcBorders>
              <w:top w:val="single" w:sz="3" w:space="0" w:color="231F20"/>
            </w:tcBorders>
          </w:tcPr>
          <w:p>
            <w:pPr>
              <w:pStyle w:val="TableParagraph"/>
              <w:spacing w:line="240" w:lineRule="auto" w:before="44"/>
              <w:ind w:left="301" w:right="340"/>
              <w:rPr>
                <w:sz w:val="17"/>
              </w:rPr>
            </w:pPr>
            <w:r>
              <w:rPr>
                <w:color w:val="231F20"/>
                <w:w w:val="105"/>
                <w:sz w:val="17"/>
              </w:rPr>
              <w:t>10.8</w:t>
            </w:r>
          </w:p>
        </w:tc>
        <w:tc>
          <w:tcPr>
            <w:tcW w:w="917" w:type="dxa"/>
            <w:tcBorders>
              <w:top w:val="single" w:sz="3" w:space="0" w:color="231F20"/>
            </w:tcBorders>
          </w:tcPr>
          <w:p>
            <w:pPr>
              <w:pStyle w:val="TableParagraph"/>
              <w:spacing w:line="240" w:lineRule="auto" w:before="44"/>
              <w:ind w:right="316"/>
              <w:jc w:val="right"/>
              <w:rPr>
                <w:sz w:val="17"/>
              </w:rPr>
            </w:pPr>
            <w:r>
              <w:rPr>
                <w:color w:val="231F20"/>
                <w:w w:val="105"/>
                <w:sz w:val="17"/>
              </w:rPr>
              <w:t>2.4</w:t>
            </w:r>
          </w:p>
        </w:tc>
        <w:tc>
          <w:tcPr>
            <w:tcW w:w="836" w:type="dxa"/>
            <w:tcBorders>
              <w:top w:val="single" w:sz="3" w:space="0" w:color="231F20"/>
            </w:tcBorders>
          </w:tcPr>
          <w:p>
            <w:pPr>
              <w:pStyle w:val="TableParagraph"/>
              <w:spacing w:line="240" w:lineRule="auto" w:before="44"/>
              <w:ind w:right="227"/>
              <w:jc w:val="right"/>
              <w:rPr>
                <w:sz w:val="17"/>
              </w:rPr>
            </w:pPr>
            <w:r>
              <w:rPr>
                <w:color w:val="231F20"/>
                <w:sz w:val="17"/>
              </w:rPr>
              <w:t>100</w:t>
            </w:r>
          </w:p>
        </w:tc>
        <w:tc>
          <w:tcPr>
            <w:tcW w:w="790" w:type="dxa"/>
            <w:tcBorders>
              <w:top w:val="single" w:sz="3" w:space="0" w:color="231F20"/>
            </w:tcBorders>
          </w:tcPr>
          <w:p>
            <w:pPr>
              <w:pStyle w:val="TableParagraph"/>
              <w:spacing w:line="240" w:lineRule="auto" w:before="44"/>
              <w:ind w:left="208" w:right="208"/>
              <w:rPr>
                <w:sz w:val="17"/>
              </w:rPr>
            </w:pPr>
            <w:r>
              <w:rPr>
                <w:color w:val="231F20"/>
                <w:w w:val="105"/>
                <w:sz w:val="17"/>
              </w:rPr>
              <w:t>50.4</w:t>
            </w:r>
          </w:p>
        </w:tc>
        <w:tc>
          <w:tcPr>
            <w:tcW w:w="855" w:type="dxa"/>
            <w:tcBorders>
              <w:top w:val="single" w:sz="3" w:space="0" w:color="231F20"/>
            </w:tcBorders>
          </w:tcPr>
          <w:p>
            <w:pPr>
              <w:pStyle w:val="TableParagraph"/>
              <w:spacing w:line="240" w:lineRule="auto" w:before="44"/>
              <w:ind w:left="228"/>
              <w:jc w:val="left"/>
              <w:rPr>
                <w:sz w:val="17"/>
              </w:rPr>
            </w:pPr>
            <w:r>
              <w:rPr>
                <w:color w:val="231F20"/>
                <w:w w:val="105"/>
                <w:sz w:val="17"/>
              </w:rPr>
              <w:t>22.2</w:t>
            </w:r>
          </w:p>
        </w:tc>
        <w:tc>
          <w:tcPr>
            <w:tcW w:w="1006" w:type="dxa"/>
            <w:tcBorders>
              <w:top w:val="single" w:sz="3" w:space="0" w:color="231F20"/>
            </w:tcBorders>
          </w:tcPr>
          <w:p>
            <w:pPr>
              <w:pStyle w:val="TableParagraph"/>
              <w:spacing w:line="240" w:lineRule="auto" w:before="44"/>
              <w:ind w:left="293"/>
              <w:jc w:val="left"/>
              <w:rPr>
                <w:sz w:val="17"/>
              </w:rPr>
            </w:pPr>
            <w:r>
              <w:rPr>
                <w:color w:val="231F20"/>
                <w:w w:val="105"/>
                <w:sz w:val="17"/>
              </w:rPr>
              <w:t>23.5</w:t>
            </w:r>
          </w:p>
        </w:tc>
        <w:tc>
          <w:tcPr>
            <w:tcW w:w="937" w:type="dxa"/>
            <w:tcBorders>
              <w:top w:val="single" w:sz="3" w:space="0" w:color="231F20"/>
            </w:tcBorders>
          </w:tcPr>
          <w:p>
            <w:pPr>
              <w:pStyle w:val="TableParagraph"/>
              <w:spacing w:line="240" w:lineRule="auto" w:before="44"/>
              <w:ind w:right="319"/>
              <w:jc w:val="right"/>
              <w:rPr>
                <w:sz w:val="17"/>
              </w:rPr>
            </w:pPr>
            <w:r>
              <w:rPr>
                <w:color w:val="231F20"/>
                <w:w w:val="105"/>
                <w:sz w:val="17"/>
              </w:rPr>
              <w:t>3.9</w:t>
            </w:r>
          </w:p>
        </w:tc>
        <w:tc>
          <w:tcPr>
            <w:tcW w:w="850" w:type="dxa"/>
            <w:tcBorders>
              <w:top w:val="single" w:sz="3" w:space="0" w:color="231F20"/>
            </w:tcBorders>
          </w:tcPr>
          <w:p>
            <w:pPr>
              <w:pStyle w:val="TableParagraph"/>
              <w:spacing w:line="240" w:lineRule="auto" w:before="44"/>
              <w:ind w:left="304" w:right="223"/>
              <w:rPr>
                <w:sz w:val="17"/>
              </w:rPr>
            </w:pPr>
            <w:r>
              <w:rPr>
                <w:color w:val="231F20"/>
                <w:sz w:val="17"/>
              </w:rPr>
              <w:t>100</w:t>
            </w:r>
          </w:p>
        </w:tc>
      </w:tr>
      <w:tr>
        <w:trPr>
          <w:trHeight w:val="210" w:hRule="exact"/>
        </w:trPr>
        <w:tc>
          <w:tcPr>
            <w:tcW w:w="1730" w:type="dxa"/>
          </w:tcPr>
          <w:p>
            <w:pPr>
              <w:pStyle w:val="TableParagraph"/>
              <w:ind w:left="35"/>
              <w:jc w:val="left"/>
              <w:rPr>
                <w:sz w:val="17"/>
              </w:rPr>
            </w:pPr>
            <w:r>
              <w:rPr>
                <w:color w:val="231F20"/>
                <w:w w:val="110"/>
                <w:sz w:val="17"/>
              </w:rPr>
              <w:t>Aguascalientes</w:t>
            </w:r>
          </w:p>
        </w:tc>
        <w:tc>
          <w:tcPr>
            <w:tcW w:w="769" w:type="dxa"/>
          </w:tcPr>
          <w:p>
            <w:pPr>
              <w:pStyle w:val="TableParagraph"/>
              <w:ind w:left="197"/>
              <w:jc w:val="left"/>
              <w:rPr>
                <w:sz w:val="17"/>
              </w:rPr>
            </w:pPr>
            <w:r>
              <w:rPr>
                <w:color w:val="231F20"/>
                <w:w w:val="105"/>
                <w:sz w:val="17"/>
              </w:rPr>
              <w:t>52.0</w:t>
            </w:r>
          </w:p>
        </w:tc>
        <w:tc>
          <w:tcPr>
            <w:tcW w:w="892" w:type="dxa"/>
          </w:tcPr>
          <w:p>
            <w:pPr>
              <w:pStyle w:val="TableParagraph"/>
              <w:ind w:left="238"/>
              <w:jc w:val="left"/>
              <w:rPr>
                <w:sz w:val="17"/>
              </w:rPr>
            </w:pPr>
            <w:r>
              <w:rPr>
                <w:color w:val="231F20"/>
                <w:w w:val="105"/>
                <w:sz w:val="17"/>
              </w:rPr>
              <w:t>44.0</w:t>
            </w:r>
          </w:p>
        </w:tc>
        <w:tc>
          <w:tcPr>
            <w:tcW w:w="1014" w:type="dxa"/>
          </w:tcPr>
          <w:p>
            <w:pPr>
              <w:pStyle w:val="TableParagraph"/>
              <w:ind w:left="301" w:right="247"/>
              <w:rPr>
                <w:sz w:val="17"/>
              </w:rPr>
            </w:pPr>
            <w:r>
              <w:rPr>
                <w:color w:val="231F20"/>
                <w:w w:val="105"/>
                <w:sz w:val="17"/>
              </w:rPr>
              <w:t>2.8</w:t>
            </w:r>
          </w:p>
        </w:tc>
        <w:tc>
          <w:tcPr>
            <w:tcW w:w="917" w:type="dxa"/>
          </w:tcPr>
          <w:p>
            <w:pPr>
              <w:pStyle w:val="TableParagraph"/>
              <w:ind w:right="316"/>
              <w:jc w:val="right"/>
              <w:rPr>
                <w:sz w:val="17"/>
              </w:rPr>
            </w:pPr>
            <w:r>
              <w:rPr>
                <w:color w:val="231F20"/>
                <w:w w:val="105"/>
                <w:sz w:val="17"/>
              </w:rPr>
              <w:t>1.1</w:t>
            </w:r>
          </w:p>
        </w:tc>
        <w:tc>
          <w:tcPr>
            <w:tcW w:w="836" w:type="dxa"/>
          </w:tcPr>
          <w:p>
            <w:pPr>
              <w:pStyle w:val="TableParagraph"/>
              <w:ind w:right="227"/>
              <w:jc w:val="right"/>
              <w:rPr>
                <w:sz w:val="17"/>
              </w:rPr>
            </w:pPr>
            <w:r>
              <w:rPr>
                <w:color w:val="231F20"/>
                <w:sz w:val="17"/>
              </w:rPr>
              <w:t>100</w:t>
            </w:r>
          </w:p>
        </w:tc>
        <w:tc>
          <w:tcPr>
            <w:tcW w:w="790" w:type="dxa"/>
          </w:tcPr>
          <w:p>
            <w:pPr>
              <w:pStyle w:val="TableParagraph"/>
              <w:ind w:left="208" w:right="208"/>
              <w:rPr>
                <w:sz w:val="17"/>
              </w:rPr>
            </w:pPr>
            <w:r>
              <w:rPr>
                <w:color w:val="231F20"/>
                <w:w w:val="105"/>
                <w:sz w:val="17"/>
              </w:rPr>
              <w:t>53.1</w:t>
            </w:r>
          </w:p>
        </w:tc>
        <w:tc>
          <w:tcPr>
            <w:tcW w:w="855" w:type="dxa"/>
          </w:tcPr>
          <w:p>
            <w:pPr>
              <w:pStyle w:val="TableParagraph"/>
              <w:ind w:left="228"/>
              <w:jc w:val="left"/>
              <w:rPr>
                <w:sz w:val="17"/>
              </w:rPr>
            </w:pPr>
            <w:r>
              <w:rPr>
                <w:color w:val="231F20"/>
                <w:w w:val="105"/>
                <w:sz w:val="17"/>
              </w:rPr>
              <w:t>26.4</w:t>
            </w:r>
          </w:p>
        </w:tc>
        <w:tc>
          <w:tcPr>
            <w:tcW w:w="1006" w:type="dxa"/>
          </w:tcPr>
          <w:p>
            <w:pPr>
              <w:pStyle w:val="TableParagraph"/>
              <w:ind w:left="293"/>
              <w:jc w:val="left"/>
              <w:rPr>
                <w:sz w:val="17"/>
              </w:rPr>
            </w:pPr>
            <w:r>
              <w:rPr>
                <w:color w:val="231F20"/>
                <w:w w:val="105"/>
                <w:sz w:val="17"/>
              </w:rPr>
              <w:t>17.4</w:t>
            </w:r>
          </w:p>
        </w:tc>
        <w:tc>
          <w:tcPr>
            <w:tcW w:w="937" w:type="dxa"/>
          </w:tcPr>
          <w:p>
            <w:pPr>
              <w:pStyle w:val="TableParagraph"/>
              <w:ind w:right="319"/>
              <w:jc w:val="right"/>
              <w:rPr>
                <w:sz w:val="17"/>
              </w:rPr>
            </w:pPr>
            <w:r>
              <w:rPr>
                <w:color w:val="231F20"/>
                <w:w w:val="105"/>
                <w:sz w:val="17"/>
              </w:rPr>
              <w:t>3.1</w:t>
            </w:r>
          </w:p>
        </w:tc>
        <w:tc>
          <w:tcPr>
            <w:tcW w:w="850" w:type="dxa"/>
          </w:tcPr>
          <w:p>
            <w:pPr>
              <w:pStyle w:val="TableParagraph"/>
              <w:ind w:left="304" w:right="223"/>
              <w:rPr>
                <w:sz w:val="17"/>
              </w:rPr>
            </w:pPr>
            <w:r>
              <w:rPr>
                <w:color w:val="231F20"/>
                <w:sz w:val="17"/>
              </w:rPr>
              <w:t>100</w:t>
            </w:r>
          </w:p>
        </w:tc>
      </w:tr>
      <w:tr>
        <w:trPr>
          <w:trHeight w:val="210" w:hRule="exact"/>
        </w:trPr>
        <w:tc>
          <w:tcPr>
            <w:tcW w:w="1730" w:type="dxa"/>
          </w:tcPr>
          <w:p>
            <w:pPr>
              <w:pStyle w:val="TableParagraph"/>
              <w:ind w:left="35"/>
              <w:jc w:val="left"/>
              <w:rPr>
                <w:sz w:val="17"/>
              </w:rPr>
            </w:pPr>
            <w:r>
              <w:rPr>
                <w:color w:val="231F20"/>
                <w:w w:val="110"/>
                <w:sz w:val="17"/>
              </w:rPr>
              <w:t>Baja California</w:t>
            </w:r>
          </w:p>
        </w:tc>
        <w:tc>
          <w:tcPr>
            <w:tcW w:w="769" w:type="dxa"/>
          </w:tcPr>
          <w:p>
            <w:pPr>
              <w:pStyle w:val="TableParagraph"/>
              <w:ind w:left="197"/>
              <w:jc w:val="left"/>
              <w:rPr>
                <w:sz w:val="17"/>
              </w:rPr>
            </w:pPr>
            <w:r>
              <w:rPr>
                <w:color w:val="231F20"/>
                <w:w w:val="105"/>
                <w:sz w:val="17"/>
              </w:rPr>
              <w:t>43.3</w:t>
            </w:r>
          </w:p>
        </w:tc>
        <w:tc>
          <w:tcPr>
            <w:tcW w:w="892" w:type="dxa"/>
          </w:tcPr>
          <w:p>
            <w:pPr>
              <w:pStyle w:val="TableParagraph"/>
              <w:ind w:left="238"/>
              <w:jc w:val="left"/>
              <w:rPr>
                <w:sz w:val="17"/>
              </w:rPr>
            </w:pPr>
            <w:r>
              <w:rPr>
                <w:color w:val="231F20"/>
                <w:w w:val="105"/>
                <w:sz w:val="17"/>
              </w:rPr>
              <w:t>40.0</w:t>
            </w:r>
          </w:p>
        </w:tc>
        <w:tc>
          <w:tcPr>
            <w:tcW w:w="1014" w:type="dxa"/>
          </w:tcPr>
          <w:p>
            <w:pPr>
              <w:pStyle w:val="TableParagraph"/>
              <w:ind w:left="301" w:right="340"/>
              <w:rPr>
                <w:sz w:val="17"/>
              </w:rPr>
            </w:pPr>
            <w:r>
              <w:rPr>
                <w:color w:val="231F20"/>
                <w:w w:val="105"/>
                <w:sz w:val="17"/>
              </w:rPr>
              <w:t>14.4</w:t>
            </w:r>
          </w:p>
        </w:tc>
        <w:tc>
          <w:tcPr>
            <w:tcW w:w="917" w:type="dxa"/>
          </w:tcPr>
          <w:p>
            <w:pPr>
              <w:pStyle w:val="TableParagraph"/>
              <w:ind w:right="316"/>
              <w:jc w:val="right"/>
              <w:rPr>
                <w:sz w:val="17"/>
              </w:rPr>
            </w:pPr>
            <w:r>
              <w:rPr>
                <w:color w:val="231F20"/>
                <w:w w:val="105"/>
                <w:sz w:val="17"/>
              </w:rPr>
              <w:t>2.3</w:t>
            </w:r>
          </w:p>
        </w:tc>
        <w:tc>
          <w:tcPr>
            <w:tcW w:w="836" w:type="dxa"/>
          </w:tcPr>
          <w:p>
            <w:pPr>
              <w:pStyle w:val="TableParagraph"/>
              <w:ind w:right="227"/>
              <w:jc w:val="right"/>
              <w:rPr>
                <w:sz w:val="17"/>
              </w:rPr>
            </w:pPr>
            <w:r>
              <w:rPr>
                <w:color w:val="231F20"/>
                <w:sz w:val="17"/>
              </w:rPr>
              <w:t>100</w:t>
            </w:r>
          </w:p>
        </w:tc>
        <w:tc>
          <w:tcPr>
            <w:tcW w:w="790" w:type="dxa"/>
          </w:tcPr>
          <w:p>
            <w:pPr>
              <w:pStyle w:val="TableParagraph"/>
              <w:ind w:left="208" w:right="208"/>
              <w:rPr>
                <w:sz w:val="17"/>
              </w:rPr>
            </w:pPr>
            <w:r>
              <w:rPr>
                <w:color w:val="231F20"/>
                <w:w w:val="105"/>
                <w:sz w:val="17"/>
              </w:rPr>
              <w:t>46.2</w:t>
            </w:r>
          </w:p>
        </w:tc>
        <w:tc>
          <w:tcPr>
            <w:tcW w:w="855" w:type="dxa"/>
          </w:tcPr>
          <w:p>
            <w:pPr>
              <w:pStyle w:val="TableParagraph"/>
              <w:ind w:left="228"/>
              <w:jc w:val="left"/>
              <w:rPr>
                <w:sz w:val="17"/>
              </w:rPr>
            </w:pPr>
            <w:r>
              <w:rPr>
                <w:color w:val="231F20"/>
                <w:w w:val="105"/>
                <w:sz w:val="17"/>
              </w:rPr>
              <w:t>18.2</w:t>
            </w:r>
          </w:p>
        </w:tc>
        <w:tc>
          <w:tcPr>
            <w:tcW w:w="1006" w:type="dxa"/>
          </w:tcPr>
          <w:p>
            <w:pPr>
              <w:pStyle w:val="TableParagraph"/>
              <w:ind w:left="293"/>
              <w:jc w:val="left"/>
              <w:rPr>
                <w:sz w:val="17"/>
              </w:rPr>
            </w:pPr>
            <w:r>
              <w:rPr>
                <w:color w:val="231F20"/>
                <w:w w:val="105"/>
                <w:sz w:val="17"/>
              </w:rPr>
              <w:t>30.7</w:t>
            </w:r>
          </w:p>
        </w:tc>
        <w:tc>
          <w:tcPr>
            <w:tcW w:w="937" w:type="dxa"/>
          </w:tcPr>
          <w:p>
            <w:pPr>
              <w:pStyle w:val="TableParagraph"/>
              <w:ind w:right="319"/>
              <w:jc w:val="right"/>
              <w:rPr>
                <w:sz w:val="17"/>
              </w:rPr>
            </w:pPr>
            <w:r>
              <w:rPr>
                <w:color w:val="231F20"/>
                <w:w w:val="105"/>
                <w:sz w:val="17"/>
              </w:rPr>
              <w:t>4.9</w:t>
            </w:r>
          </w:p>
        </w:tc>
        <w:tc>
          <w:tcPr>
            <w:tcW w:w="850" w:type="dxa"/>
          </w:tcPr>
          <w:p>
            <w:pPr>
              <w:pStyle w:val="TableParagraph"/>
              <w:ind w:left="304" w:right="223"/>
              <w:rPr>
                <w:sz w:val="17"/>
              </w:rPr>
            </w:pPr>
            <w:r>
              <w:rPr>
                <w:color w:val="231F20"/>
                <w:sz w:val="17"/>
              </w:rPr>
              <w:t>100</w:t>
            </w:r>
          </w:p>
        </w:tc>
      </w:tr>
      <w:tr>
        <w:trPr>
          <w:trHeight w:val="210" w:hRule="exact"/>
        </w:trPr>
        <w:tc>
          <w:tcPr>
            <w:tcW w:w="1730" w:type="dxa"/>
          </w:tcPr>
          <w:p>
            <w:pPr>
              <w:pStyle w:val="TableParagraph"/>
              <w:ind w:left="35"/>
              <w:jc w:val="left"/>
              <w:rPr>
                <w:sz w:val="17"/>
              </w:rPr>
            </w:pPr>
            <w:r>
              <w:rPr>
                <w:color w:val="231F20"/>
                <w:w w:val="110"/>
                <w:sz w:val="17"/>
              </w:rPr>
              <w:t>Baja California Sur</w:t>
            </w:r>
          </w:p>
        </w:tc>
        <w:tc>
          <w:tcPr>
            <w:tcW w:w="769" w:type="dxa"/>
          </w:tcPr>
          <w:p>
            <w:pPr>
              <w:pStyle w:val="TableParagraph"/>
              <w:ind w:left="197"/>
              <w:jc w:val="left"/>
              <w:rPr>
                <w:sz w:val="17"/>
              </w:rPr>
            </w:pPr>
            <w:r>
              <w:rPr>
                <w:color w:val="231F20"/>
                <w:w w:val="105"/>
                <w:sz w:val="17"/>
              </w:rPr>
              <w:t>41.0</w:t>
            </w:r>
          </w:p>
        </w:tc>
        <w:tc>
          <w:tcPr>
            <w:tcW w:w="892" w:type="dxa"/>
          </w:tcPr>
          <w:p>
            <w:pPr>
              <w:pStyle w:val="TableParagraph"/>
              <w:ind w:left="238"/>
              <w:jc w:val="left"/>
              <w:rPr>
                <w:sz w:val="17"/>
              </w:rPr>
            </w:pPr>
            <w:r>
              <w:rPr>
                <w:color w:val="231F20"/>
                <w:w w:val="105"/>
                <w:sz w:val="17"/>
              </w:rPr>
              <w:t>42.2</w:t>
            </w:r>
          </w:p>
        </w:tc>
        <w:tc>
          <w:tcPr>
            <w:tcW w:w="1014" w:type="dxa"/>
          </w:tcPr>
          <w:p>
            <w:pPr>
              <w:pStyle w:val="TableParagraph"/>
              <w:ind w:left="301" w:right="340"/>
              <w:rPr>
                <w:sz w:val="17"/>
              </w:rPr>
            </w:pPr>
            <w:r>
              <w:rPr>
                <w:color w:val="231F20"/>
                <w:w w:val="105"/>
                <w:sz w:val="17"/>
              </w:rPr>
              <w:t>14.7</w:t>
            </w:r>
          </w:p>
        </w:tc>
        <w:tc>
          <w:tcPr>
            <w:tcW w:w="917" w:type="dxa"/>
          </w:tcPr>
          <w:p>
            <w:pPr>
              <w:pStyle w:val="TableParagraph"/>
              <w:ind w:right="316"/>
              <w:jc w:val="right"/>
              <w:rPr>
                <w:sz w:val="17"/>
              </w:rPr>
            </w:pPr>
            <w:r>
              <w:rPr>
                <w:color w:val="231F20"/>
                <w:w w:val="105"/>
                <w:sz w:val="17"/>
              </w:rPr>
              <w:t>2.1</w:t>
            </w:r>
          </w:p>
        </w:tc>
        <w:tc>
          <w:tcPr>
            <w:tcW w:w="836" w:type="dxa"/>
          </w:tcPr>
          <w:p>
            <w:pPr>
              <w:pStyle w:val="TableParagraph"/>
              <w:ind w:right="227"/>
              <w:jc w:val="right"/>
              <w:rPr>
                <w:sz w:val="17"/>
              </w:rPr>
            </w:pPr>
            <w:r>
              <w:rPr>
                <w:color w:val="231F20"/>
                <w:sz w:val="17"/>
              </w:rPr>
              <w:t>100</w:t>
            </w:r>
          </w:p>
        </w:tc>
        <w:tc>
          <w:tcPr>
            <w:tcW w:w="790" w:type="dxa"/>
          </w:tcPr>
          <w:p>
            <w:pPr>
              <w:pStyle w:val="TableParagraph"/>
              <w:ind w:left="208" w:right="208"/>
              <w:rPr>
                <w:sz w:val="17"/>
              </w:rPr>
            </w:pPr>
            <w:r>
              <w:rPr>
                <w:color w:val="231F20"/>
                <w:w w:val="105"/>
                <w:sz w:val="17"/>
              </w:rPr>
              <w:t>42.9</w:t>
            </w:r>
          </w:p>
        </w:tc>
        <w:tc>
          <w:tcPr>
            <w:tcW w:w="855" w:type="dxa"/>
          </w:tcPr>
          <w:p>
            <w:pPr>
              <w:pStyle w:val="TableParagraph"/>
              <w:ind w:left="228"/>
              <w:jc w:val="left"/>
              <w:rPr>
                <w:sz w:val="17"/>
              </w:rPr>
            </w:pPr>
            <w:r>
              <w:rPr>
                <w:color w:val="231F20"/>
                <w:w w:val="105"/>
                <w:sz w:val="17"/>
              </w:rPr>
              <w:t>20.6</w:t>
            </w:r>
          </w:p>
        </w:tc>
        <w:tc>
          <w:tcPr>
            <w:tcW w:w="1006" w:type="dxa"/>
          </w:tcPr>
          <w:p>
            <w:pPr>
              <w:pStyle w:val="TableParagraph"/>
              <w:ind w:left="293"/>
              <w:jc w:val="left"/>
              <w:rPr>
                <w:sz w:val="17"/>
              </w:rPr>
            </w:pPr>
            <w:r>
              <w:rPr>
                <w:color w:val="231F20"/>
                <w:w w:val="105"/>
                <w:sz w:val="17"/>
              </w:rPr>
              <w:t>32.4</w:t>
            </w:r>
          </w:p>
        </w:tc>
        <w:tc>
          <w:tcPr>
            <w:tcW w:w="937" w:type="dxa"/>
          </w:tcPr>
          <w:p>
            <w:pPr>
              <w:pStyle w:val="TableParagraph"/>
              <w:ind w:right="319"/>
              <w:jc w:val="right"/>
              <w:rPr>
                <w:sz w:val="17"/>
              </w:rPr>
            </w:pPr>
            <w:r>
              <w:rPr>
                <w:color w:val="231F20"/>
                <w:w w:val="105"/>
                <w:sz w:val="17"/>
              </w:rPr>
              <w:t>4.0</w:t>
            </w:r>
          </w:p>
        </w:tc>
        <w:tc>
          <w:tcPr>
            <w:tcW w:w="850" w:type="dxa"/>
          </w:tcPr>
          <w:p>
            <w:pPr>
              <w:pStyle w:val="TableParagraph"/>
              <w:ind w:left="304" w:right="223"/>
              <w:rPr>
                <w:sz w:val="17"/>
              </w:rPr>
            </w:pPr>
            <w:r>
              <w:rPr>
                <w:color w:val="231F20"/>
                <w:sz w:val="17"/>
              </w:rPr>
              <w:t>100</w:t>
            </w:r>
          </w:p>
        </w:tc>
      </w:tr>
      <w:tr>
        <w:trPr>
          <w:trHeight w:val="210" w:hRule="exact"/>
        </w:trPr>
        <w:tc>
          <w:tcPr>
            <w:tcW w:w="1730" w:type="dxa"/>
          </w:tcPr>
          <w:p>
            <w:pPr>
              <w:pStyle w:val="TableParagraph"/>
              <w:ind w:left="35"/>
              <w:jc w:val="left"/>
              <w:rPr>
                <w:sz w:val="17"/>
              </w:rPr>
            </w:pPr>
            <w:r>
              <w:rPr>
                <w:color w:val="231F20"/>
                <w:w w:val="110"/>
                <w:sz w:val="17"/>
              </w:rPr>
              <w:t>Campeche</w:t>
            </w:r>
          </w:p>
        </w:tc>
        <w:tc>
          <w:tcPr>
            <w:tcW w:w="769" w:type="dxa"/>
          </w:tcPr>
          <w:p>
            <w:pPr>
              <w:pStyle w:val="TableParagraph"/>
              <w:ind w:left="197"/>
              <w:jc w:val="left"/>
              <w:rPr>
                <w:sz w:val="17"/>
              </w:rPr>
            </w:pPr>
            <w:r>
              <w:rPr>
                <w:color w:val="231F20"/>
                <w:w w:val="105"/>
                <w:sz w:val="17"/>
              </w:rPr>
              <w:t>33.7</w:t>
            </w:r>
          </w:p>
        </w:tc>
        <w:tc>
          <w:tcPr>
            <w:tcW w:w="892" w:type="dxa"/>
          </w:tcPr>
          <w:p>
            <w:pPr>
              <w:pStyle w:val="TableParagraph"/>
              <w:ind w:left="238"/>
              <w:jc w:val="left"/>
              <w:rPr>
                <w:sz w:val="17"/>
              </w:rPr>
            </w:pPr>
            <w:r>
              <w:rPr>
                <w:color w:val="231F20"/>
                <w:w w:val="105"/>
                <w:sz w:val="17"/>
              </w:rPr>
              <w:t>55.4</w:t>
            </w:r>
          </w:p>
        </w:tc>
        <w:tc>
          <w:tcPr>
            <w:tcW w:w="1014" w:type="dxa"/>
          </w:tcPr>
          <w:p>
            <w:pPr>
              <w:pStyle w:val="TableParagraph"/>
              <w:ind w:left="301" w:right="247"/>
              <w:rPr>
                <w:sz w:val="17"/>
              </w:rPr>
            </w:pPr>
            <w:r>
              <w:rPr>
                <w:color w:val="231F20"/>
                <w:w w:val="105"/>
                <w:sz w:val="17"/>
              </w:rPr>
              <w:t>8.1</w:t>
            </w:r>
          </w:p>
        </w:tc>
        <w:tc>
          <w:tcPr>
            <w:tcW w:w="917" w:type="dxa"/>
          </w:tcPr>
          <w:p>
            <w:pPr>
              <w:pStyle w:val="TableParagraph"/>
              <w:ind w:right="316"/>
              <w:jc w:val="right"/>
              <w:rPr>
                <w:sz w:val="17"/>
              </w:rPr>
            </w:pPr>
            <w:r>
              <w:rPr>
                <w:color w:val="231F20"/>
                <w:w w:val="105"/>
                <w:sz w:val="17"/>
              </w:rPr>
              <w:t>2.8</w:t>
            </w:r>
          </w:p>
        </w:tc>
        <w:tc>
          <w:tcPr>
            <w:tcW w:w="836" w:type="dxa"/>
          </w:tcPr>
          <w:p>
            <w:pPr>
              <w:pStyle w:val="TableParagraph"/>
              <w:ind w:right="227"/>
              <w:jc w:val="right"/>
              <w:rPr>
                <w:sz w:val="17"/>
              </w:rPr>
            </w:pPr>
            <w:r>
              <w:rPr>
                <w:color w:val="231F20"/>
                <w:sz w:val="17"/>
              </w:rPr>
              <w:t>100</w:t>
            </w:r>
          </w:p>
        </w:tc>
        <w:tc>
          <w:tcPr>
            <w:tcW w:w="790" w:type="dxa"/>
          </w:tcPr>
          <w:p>
            <w:pPr>
              <w:pStyle w:val="TableParagraph"/>
              <w:ind w:left="208" w:right="208"/>
              <w:rPr>
                <w:sz w:val="17"/>
              </w:rPr>
            </w:pPr>
            <w:r>
              <w:rPr>
                <w:color w:val="231F20"/>
                <w:w w:val="105"/>
                <w:sz w:val="17"/>
              </w:rPr>
              <w:t>45.9</w:t>
            </w:r>
          </w:p>
        </w:tc>
        <w:tc>
          <w:tcPr>
            <w:tcW w:w="855" w:type="dxa"/>
          </w:tcPr>
          <w:p>
            <w:pPr>
              <w:pStyle w:val="TableParagraph"/>
              <w:ind w:left="228"/>
              <w:jc w:val="left"/>
              <w:rPr>
                <w:sz w:val="17"/>
              </w:rPr>
            </w:pPr>
            <w:r>
              <w:rPr>
                <w:color w:val="231F20"/>
                <w:w w:val="105"/>
                <w:sz w:val="17"/>
              </w:rPr>
              <w:t>30.8</w:t>
            </w:r>
          </w:p>
        </w:tc>
        <w:tc>
          <w:tcPr>
            <w:tcW w:w="1006" w:type="dxa"/>
          </w:tcPr>
          <w:p>
            <w:pPr>
              <w:pStyle w:val="TableParagraph"/>
              <w:ind w:left="293"/>
              <w:jc w:val="left"/>
              <w:rPr>
                <w:sz w:val="17"/>
              </w:rPr>
            </w:pPr>
            <w:r>
              <w:rPr>
                <w:color w:val="231F20"/>
                <w:w w:val="105"/>
                <w:sz w:val="17"/>
              </w:rPr>
              <w:t>19.8</w:t>
            </w:r>
          </w:p>
        </w:tc>
        <w:tc>
          <w:tcPr>
            <w:tcW w:w="937" w:type="dxa"/>
          </w:tcPr>
          <w:p>
            <w:pPr>
              <w:pStyle w:val="TableParagraph"/>
              <w:ind w:right="319"/>
              <w:jc w:val="right"/>
              <w:rPr>
                <w:sz w:val="17"/>
              </w:rPr>
            </w:pPr>
            <w:r>
              <w:rPr>
                <w:color w:val="231F20"/>
                <w:w w:val="105"/>
                <w:sz w:val="17"/>
              </w:rPr>
              <w:t>3.5</w:t>
            </w:r>
          </w:p>
        </w:tc>
        <w:tc>
          <w:tcPr>
            <w:tcW w:w="850" w:type="dxa"/>
          </w:tcPr>
          <w:p>
            <w:pPr>
              <w:pStyle w:val="TableParagraph"/>
              <w:ind w:left="304" w:right="223"/>
              <w:rPr>
                <w:sz w:val="17"/>
              </w:rPr>
            </w:pPr>
            <w:r>
              <w:rPr>
                <w:color w:val="231F20"/>
                <w:sz w:val="17"/>
              </w:rPr>
              <w:t>100</w:t>
            </w:r>
          </w:p>
        </w:tc>
      </w:tr>
      <w:tr>
        <w:trPr>
          <w:trHeight w:val="210" w:hRule="exact"/>
        </w:trPr>
        <w:tc>
          <w:tcPr>
            <w:tcW w:w="1730" w:type="dxa"/>
          </w:tcPr>
          <w:p>
            <w:pPr>
              <w:pStyle w:val="TableParagraph"/>
              <w:ind w:left="35"/>
              <w:jc w:val="left"/>
              <w:rPr>
                <w:sz w:val="17"/>
              </w:rPr>
            </w:pPr>
            <w:r>
              <w:rPr>
                <w:color w:val="231F20"/>
                <w:w w:val="110"/>
                <w:sz w:val="17"/>
              </w:rPr>
              <w:t>Coahuila</w:t>
            </w:r>
          </w:p>
        </w:tc>
        <w:tc>
          <w:tcPr>
            <w:tcW w:w="769" w:type="dxa"/>
          </w:tcPr>
          <w:p>
            <w:pPr>
              <w:pStyle w:val="TableParagraph"/>
              <w:ind w:left="197"/>
              <w:jc w:val="left"/>
              <w:rPr>
                <w:sz w:val="17"/>
              </w:rPr>
            </w:pPr>
            <w:r>
              <w:rPr>
                <w:color w:val="231F20"/>
                <w:w w:val="105"/>
                <w:sz w:val="17"/>
              </w:rPr>
              <w:t>44.1</w:t>
            </w:r>
          </w:p>
        </w:tc>
        <w:tc>
          <w:tcPr>
            <w:tcW w:w="892" w:type="dxa"/>
          </w:tcPr>
          <w:p>
            <w:pPr>
              <w:pStyle w:val="TableParagraph"/>
              <w:ind w:left="238"/>
              <w:jc w:val="left"/>
              <w:rPr>
                <w:sz w:val="17"/>
              </w:rPr>
            </w:pPr>
            <w:r>
              <w:rPr>
                <w:color w:val="231F20"/>
                <w:w w:val="105"/>
                <w:sz w:val="17"/>
              </w:rPr>
              <w:t>49.1</w:t>
            </w:r>
          </w:p>
        </w:tc>
        <w:tc>
          <w:tcPr>
            <w:tcW w:w="1014" w:type="dxa"/>
          </w:tcPr>
          <w:p>
            <w:pPr>
              <w:pStyle w:val="TableParagraph"/>
              <w:ind w:left="301" w:right="247"/>
              <w:rPr>
                <w:sz w:val="17"/>
              </w:rPr>
            </w:pPr>
            <w:r>
              <w:rPr>
                <w:color w:val="231F20"/>
                <w:w w:val="105"/>
                <w:sz w:val="17"/>
              </w:rPr>
              <w:t>4.4</w:t>
            </w:r>
          </w:p>
        </w:tc>
        <w:tc>
          <w:tcPr>
            <w:tcW w:w="917" w:type="dxa"/>
          </w:tcPr>
          <w:p>
            <w:pPr>
              <w:pStyle w:val="TableParagraph"/>
              <w:ind w:right="316"/>
              <w:jc w:val="right"/>
              <w:rPr>
                <w:sz w:val="17"/>
              </w:rPr>
            </w:pPr>
            <w:r>
              <w:rPr>
                <w:color w:val="231F20"/>
                <w:w w:val="105"/>
                <w:sz w:val="17"/>
              </w:rPr>
              <w:t>2.5</w:t>
            </w:r>
          </w:p>
        </w:tc>
        <w:tc>
          <w:tcPr>
            <w:tcW w:w="836" w:type="dxa"/>
          </w:tcPr>
          <w:p>
            <w:pPr>
              <w:pStyle w:val="TableParagraph"/>
              <w:ind w:right="227"/>
              <w:jc w:val="right"/>
              <w:rPr>
                <w:sz w:val="17"/>
              </w:rPr>
            </w:pPr>
            <w:r>
              <w:rPr>
                <w:color w:val="231F20"/>
                <w:sz w:val="17"/>
              </w:rPr>
              <w:t>100</w:t>
            </w:r>
          </w:p>
        </w:tc>
        <w:tc>
          <w:tcPr>
            <w:tcW w:w="790" w:type="dxa"/>
          </w:tcPr>
          <w:p>
            <w:pPr>
              <w:pStyle w:val="TableParagraph"/>
              <w:ind w:left="208" w:right="208"/>
              <w:rPr>
                <w:sz w:val="17"/>
              </w:rPr>
            </w:pPr>
            <w:r>
              <w:rPr>
                <w:color w:val="231F20"/>
                <w:w w:val="105"/>
                <w:sz w:val="17"/>
              </w:rPr>
              <w:t>46.7</w:t>
            </w:r>
          </w:p>
        </w:tc>
        <w:tc>
          <w:tcPr>
            <w:tcW w:w="855" w:type="dxa"/>
          </w:tcPr>
          <w:p>
            <w:pPr>
              <w:pStyle w:val="TableParagraph"/>
              <w:ind w:left="228"/>
              <w:jc w:val="left"/>
              <w:rPr>
                <w:sz w:val="17"/>
              </w:rPr>
            </w:pPr>
            <w:r>
              <w:rPr>
                <w:color w:val="231F20"/>
                <w:w w:val="105"/>
                <w:sz w:val="17"/>
              </w:rPr>
              <w:t>32.3</w:t>
            </w:r>
          </w:p>
        </w:tc>
        <w:tc>
          <w:tcPr>
            <w:tcW w:w="1006" w:type="dxa"/>
          </w:tcPr>
          <w:p>
            <w:pPr>
              <w:pStyle w:val="TableParagraph"/>
              <w:ind w:left="293"/>
              <w:jc w:val="left"/>
              <w:rPr>
                <w:sz w:val="17"/>
              </w:rPr>
            </w:pPr>
            <w:r>
              <w:rPr>
                <w:color w:val="231F20"/>
                <w:w w:val="105"/>
                <w:sz w:val="17"/>
              </w:rPr>
              <w:t>16.6</w:t>
            </w:r>
          </w:p>
        </w:tc>
        <w:tc>
          <w:tcPr>
            <w:tcW w:w="937" w:type="dxa"/>
          </w:tcPr>
          <w:p>
            <w:pPr>
              <w:pStyle w:val="TableParagraph"/>
              <w:ind w:right="319"/>
              <w:jc w:val="right"/>
              <w:rPr>
                <w:sz w:val="17"/>
              </w:rPr>
            </w:pPr>
            <w:r>
              <w:rPr>
                <w:color w:val="231F20"/>
                <w:w w:val="105"/>
                <w:sz w:val="17"/>
              </w:rPr>
              <w:t>4.4</w:t>
            </w:r>
          </w:p>
        </w:tc>
        <w:tc>
          <w:tcPr>
            <w:tcW w:w="850" w:type="dxa"/>
          </w:tcPr>
          <w:p>
            <w:pPr>
              <w:pStyle w:val="TableParagraph"/>
              <w:ind w:left="304" w:right="223"/>
              <w:rPr>
                <w:sz w:val="17"/>
              </w:rPr>
            </w:pPr>
            <w:r>
              <w:rPr>
                <w:color w:val="231F20"/>
                <w:sz w:val="17"/>
              </w:rPr>
              <w:t>100</w:t>
            </w:r>
          </w:p>
        </w:tc>
      </w:tr>
      <w:tr>
        <w:trPr>
          <w:trHeight w:val="210" w:hRule="exact"/>
        </w:trPr>
        <w:tc>
          <w:tcPr>
            <w:tcW w:w="1730" w:type="dxa"/>
          </w:tcPr>
          <w:p>
            <w:pPr>
              <w:pStyle w:val="TableParagraph"/>
              <w:ind w:left="35"/>
              <w:jc w:val="left"/>
              <w:rPr>
                <w:sz w:val="17"/>
              </w:rPr>
            </w:pPr>
            <w:r>
              <w:rPr>
                <w:color w:val="231F20"/>
                <w:w w:val="110"/>
                <w:sz w:val="17"/>
              </w:rPr>
              <w:t>Colima</w:t>
            </w:r>
          </w:p>
        </w:tc>
        <w:tc>
          <w:tcPr>
            <w:tcW w:w="769" w:type="dxa"/>
          </w:tcPr>
          <w:p>
            <w:pPr>
              <w:pStyle w:val="TableParagraph"/>
              <w:ind w:left="197"/>
              <w:jc w:val="left"/>
              <w:rPr>
                <w:sz w:val="17"/>
              </w:rPr>
            </w:pPr>
            <w:r>
              <w:rPr>
                <w:color w:val="231F20"/>
                <w:w w:val="105"/>
                <w:sz w:val="17"/>
              </w:rPr>
              <w:t>45.8</w:t>
            </w:r>
          </w:p>
        </w:tc>
        <w:tc>
          <w:tcPr>
            <w:tcW w:w="892" w:type="dxa"/>
          </w:tcPr>
          <w:p>
            <w:pPr>
              <w:pStyle w:val="TableParagraph"/>
              <w:ind w:left="238"/>
              <w:jc w:val="left"/>
              <w:rPr>
                <w:sz w:val="17"/>
              </w:rPr>
            </w:pPr>
            <w:r>
              <w:rPr>
                <w:color w:val="231F20"/>
                <w:w w:val="105"/>
                <w:sz w:val="17"/>
              </w:rPr>
              <w:t>41.0</w:t>
            </w:r>
          </w:p>
        </w:tc>
        <w:tc>
          <w:tcPr>
            <w:tcW w:w="1014" w:type="dxa"/>
          </w:tcPr>
          <w:p>
            <w:pPr>
              <w:pStyle w:val="TableParagraph"/>
              <w:ind w:left="301" w:right="340"/>
              <w:rPr>
                <w:sz w:val="17"/>
              </w:rPr>
            </w:pPr>
            <w:r>
              <w:rPr>
                <w:color w:val="231F20"/>
                <w:w w:val="105"/>
                <w:sz w:val="17"/>
              </w:rPr>
              <w:t>11.0</w:t>
            </w:r>
          </w:p>
        </w:tc>
        <w:tc>
          <w:tcPr>
            <w:tcW w:w="917" w:type="dxa"/>
          </w:tcPr>
          <w:p>
            <w:pPr>
              <w:pStyle w:val="TableParagraph"/>
              <w:ind w:right="316"/>
              <w:jc w:val="right"/>
              <w:rPr>
                <w:sz w:val="17"/>
              </w:rPr>
            </w:pPr>
            <w:r>
              <w:rPr>
                <w:color w:val="231F20"/>
                <w:w w:val="105"/>
                <w:sz w:val="17"/>
              </w:rPr>
              <w:t>2.2</w:t>
            </w:r>
          </w:p>
        </w:tc>
        <w:tc>
          <w:tcPr>
            <w:tcW w:w="836" w:type="dxa"/>
          </w:tcPr>
          <w:p>
            <w:pPr>
              <w:pStyle w:val="TableParagraph"/>
              <w:ind w:right="227"/>
              <w:jc w:val="right"/>
              <w:rPr>
                <w:sz w:val="17"/>
              </w:rPr>
            </w:pPr>
            <w:r>
              <w:rPr>
                <w:color w:val="231F20"/>
                <w:sz w:val="17"/>
              </w:rPr>
              <w:t>100</w:t>
            </w:r>
          </w:p>
        </w:tc>
        <w:tc>
          <w:tcPr>
            <w:tcW w:w="790" w:type="dxa"/>
          </w:tcPr>
          <w:p>
            <w:pPr>
              <w:pStyle w:val="TableParagraph"/>
              <w:ind w:left="208" w:right="208"/>
              <w:rPr>
                <w:sz w:val="17"/>
              </w:rPr>
            </w:pPr>
            <w:r>
              <w:rPr>
                <w:color w:val="231F20"/>
                <w:w w:val="105"/>
                <w:sz w:val="17"/>
              </w:rPr>
              <w:t>51.5</w:t>
            </w:r>
          </w:p>
        </w:tc>
        <w:tc>
          <w:tcPr>
            <w:tcW w:w="855" w:type="dxa"/>
          </w:tcPr>
          <w:p>
            <w:pPr>
              <w:pStyle w:val="TableParagraph"/>
              <w:ind w:left="228"/>
              <w:jc w:val="left"/>
              <w:rPr>
                <w:sz w:val="17"/>
              </w:rPr>
            </w:pPr>
            <w:r>
              <w:rPr>
                <w:color w:val="231F20"/>
                <w:w w:val="105"/>
                <w:sz w:val="17"/>
              </w:rPr>
              <w:t>20.7</w:t>
            </w:r>
          </w:p>
        </w:tc>
        <w:tc>
          <w:tcPr>
            <w:tcW w:w="1006" w:type="dxa"/>
          </w:tcPr>
          <w:p>
            <w:pPr>
              <w:pStyle w:val="TableParagraph"/>
              <w:ind w:left="293"/>
              <w:jc w:val="left"/>
              <w:rPr>
                <w:sz w:val="17"/>
              </w:rPr>
            </w:pPr>
            <w:r>
              <w:rPr>
                <w:color w:val="231F20"/>
                <w:w w:val="105"/>
                <w:sz w:val="17"/>
              </w:rPr>
              <w:t>24.3</w:t>
            </w:r>
          </w:p>
        </w:tc>
        <w:tc>
          <w:tcPr>
            <w:tcW w:w="937" w:type="dxa"/>
          </w:tcPr>
          <w:p>
            <w:pPr>
              <w:pStyle w:val="TableParagraph"/>
              <w:ind w:right="319"/>
              <w:jc w:val="right"/>
              <w:rPr>
                <w:sz w:val="17"/>
              </w:rPr>
            </w:pPr>
            <w:r>
              <w:rPr>
                <w:color w:val="231F20"/>
                <w:w w:val="105"/>
                <w:sz w:val="17"/>
              </w:rPr>
              <w:t>3.5</w:t>
            </w:r>
          </w:p>
        </w:tc>
        <w:tc>
          <w:tcPr>
            <w:tcW w:w="850" w:type="dxa"/>
          </w:tcPr>
          <w:p>
            <w:pPr>
              <w:pStyle w:val="TableParagraph"/>
              <w:ind w:left="304" w:right="223"/>
              <w:rPr>
                <w:sz w:val="17"/>
              </w:rPr>
            </w:pPr>
            <w:r>
              <w:rPr>
                <w:color w:val="231F20"/>
                <w:sz w:val="17"/>
              </w:rPr>
              <w:t>100</w:t>
            </w:r>
          </w:p>
        </w:tc>
      </w:tr>
      <w:tr>
        <w:trPr>
          <w:trHeight w:val="210" w:hRule="exact"/>
        </w:trPr>
        <w:tc>
          <w:tcPr>
            <w:tcW w:w="1730" w:type="dxa"/>
          </w:tcPr>
          <w:p>
            <w:pPr>
              <w:pStyle w:val="TableParagraph"/>
              <w:ind w:left="35"/>
              <w:jc w:val="left"/>
              <w:rPr>
                <w:sz w:val="17"/>
              </w:rPr>
            </w:pPr>
            <w:r>
              <w:rPr>
                <w:color w:val="231F20"/>
                <w:w w:val="115"/>
                <w:sz w:val="17"/>
              </w:rPr>
              <w:t>Chiapas</w:t>
            </w:r>
          </w:p>
        </w:tc>
        <w:tc>
          <w:tcPr>
            <w:tcW w:w="769" w:type="dxa"/>
          </w:tcPr>
          <w:p>
            <w:pPr>
              <w:pStyle w:val="TableParagraph"/>
              <w:ind w:left="197"/>
              <w:jc w:val="left"/>
              <w:rPr>
                <w:sz w:val="17"/>
              </w:rPr>
            </w:pPr>
            <w:r>
              <w:rPr>
                <w:color w:val="231F20"/>
                <w:w w:val="105"/>
                <w:sz w:val="17"/>
              </w:rPr>
              <w:t>30.1</w:t>
            </w:r>
          </w:p>
        </w:tc>
        <w:tc>
          <w:tcPr>
            <w:tcW w:w="892" w:type="dxa"/>
          </w:tcPr>
          <w:p>
            <w:pPr>
              <w:pStyle w:val="TableParagraph"/>
              <w:ind w:left="238"/>
              <w:jc w:val="left"/>
              <w:rPr>
                <w:sz w:val="17"/>
              </w:rPr>
            </w:pPr>
            <w:r>
              <w:rPr>
                <w:color w:val="231F20"/>
                <w:w w:val="105"/>
                <w:sz w:val="17"/>
              </w:rPr>
              <w:t>44.8</w:t>
            </w:r>
          </w:p>
        </w:tc>
        <w:tc>
          <w:tcPr>
            <w:tcW w:w="1014" w:type="dxa"/>
          </w:tcPr>
          <w:p>
            <w:pPr>
              <w:pStyle w:val="TableParagraph"/>
              <w:ind w:left="301" w:right="340"/>
              <w:rPr>
                <w:sz w:val="17"/>
              </w:rPr>
            </w:pPr>
            <w:r>
              <w:rPr>
                <w:color w:val="231F20"/>
                <w:w w:val="105"/>
                <w:sz w:val="17"/>
              </w:rPr>
              <w:t>21.2</w:t>
            </w:r>
          </w:p>
        </w:tc>
        <w:tc>
          <w:tcPr>
            <w:tcW w:w="917" w:type="dxa"/>
          </w:tcPr>
          <w:p>
            <w:pPr>
              <w:pStyle w:val="TableParagraph"/>
              <w:ind w:right="316"/>
              <w:jc w:val="right"/>
              <w:rPr>
                <w:sz w:val="17"/>
              </w:rPr>
            </w:pPr>
            <w:r>
              <w:rPr>
                <w:color w:val="231F20"/>
                <w:w w:val="105"/>
                <w:sz w:val="17"/>
              </w:rPr>
              <w:t>3.9</w:t>
            </w:r>
          </w:p>
        </w:tc>
        <w:tc>
          <w:tcPr>
            <w:tcW w:w="836" w:type="dxa"/>
          </w:tcPr>
          <w:p>
            <w:pPr>
              <w:pStyle w:val="TableParagraph"/>
              <w:ind w:right="227"/>
              <w:jc w:val="right"/>
              <w:rPr>
                <w:sz w:val="17"/>
              </w:rPr>
            </w:pPr>
            <w:r>
              <w:rPr>
                <w:color w:val="231F20"/>
                <w:sz w:val="17"/>
              </w:rPr>
              <w:t>100</w:t>
            </w:r>
          </w:p>
        </w:tc>
        <w:tc>
          <w:tcPr>
            <w:tcW w:w="790" w:type="dxa"/>
          </w:tcPr>
          <w:p>
            <w:pPr>
              <w:pStyle w:val="TableParagraph"/>
              <w:ind w:left="208" w:right="208"/>
              <w:rPr>
                <w:sz w:val="17"/>
              </w:rPr>
            </w:pPr>
            <w:r>
              <w:rPr>
                <w:color w:val="231F20"/>
                <w:w w:val="105"/>
                <w:sz w:val="17"/>
              </w:rPr>
              <w:t>41.6</w:t>
            </w:r>
          </w:p>
        </w:tc>
        <w:tc>
          <w:tcPr>
            <w:tcW w:w="855" w:type="dxa"/>
          </w:tcPr>
          <w:p>
            <w:pPr>
              <w:pStyle w:val="TableParagraph"/>
              <w:ind w:left="228"/>
              <w:jc w:val="left"/>
              <w:rPr>
                <w:sz w:val="17"/>
              </w:rPr>
            </w:pPr>
            <w:r>
              <w:rPr>
                <w:color w:val="231F20"/>
                <w:w w:val="105"/>
                <w:sz w:val="17"/>
              </w:rPr>
              <w:t>24.1</w:t>
            </w:r>
          </w:p>
        </w:tc>
        <w:tc>
          <w:tcPr>
            <w:tcW w:w="1006" w:type="dxa"/>
          </w:tcPr>
          <w:p>
            <w:pPr>
              <w:pStyle w:val="TableParagraph"/>
              <w:ind w:left="293"/>
              <w:jc w:val="left"/>
              <w:rPr>
                <w:sz w:val="17"/>
              </w:rPr>
            </w:pPr>
            <w:r>
              <w:rPr>
                <w:color w:val="231F20"/>
                <w:w w:val="105"/>
                <w:sz w:val="17"/>
              </w:rPr>
              <w:t>29.0</w:t>
            </w:r>
          </w:p>
        </w:tc>
        <w:tc>
          <w:tcPr>
            <w:tcW w:w="937" w:type="dxa"/>
          </w:tcPr>
          <w:p>
            <w:pPr>
              <w:pStyle w:val="TableParagraph"/>
              <w:ind w:right="319"/>
              <w:jc w:val="right"/>
              <w:rPr>
                <w:sz w:val="17"/>
              </w:rPr>
            </w:pPr>
            <w:r>
              <w:rPr>
                <w:color w:val="231F20"/>
                <w:w w:val="105"/>
                <w:sz w:val="17"/>
              </w:rPr>
              <w:t>5.3</w:t>
            </w:r>
          </w:p>
        </w:tc>
        <w:tc>
          <w:tcPr>
            <w:tcW w:w="850" w:type="dxa"/>
          </w:tcPr>
          <w:p>
            <w:pPr>
              <w:pStyle w:val="TableParagraph"/>
              <w:ind w:left="304" w:right="223"/>
              <w:rPr>
                <w:sz w:val="17"/>
              </w:rPr>
            </w:pPr>
            <w:r>
              <w:rPr>
                <w:color w:val="231F20"/>
                <w:sz w:val="17"/>
              </w:rPr>
              <w:t>100</w:t>
            </w:r>
          </w:p>
        </w:tc>
      </w:tr>
      <w:tr>
        <w:trPr>
          <w:trHeight w:val="210" w:hRule="exact"/>
        </w:trPr>
        <w:tc>
          <w:tcPr>
            <w:tcW w:w="1730" w:type="dxa"/>
          </w:tcPr>
          <w:p>
            <w:pPr>
              <w:pStyle w:val="TableParagraph"/>
              <w:ind w:left="35"/>
              <w:jc w:val="left"/>
              <w:rPr>
                <w:sz w:val="17"/>
              </w:rPr>
            </w:pPr>
            <w:r>
              <w:rPr>
                <w:color w:val="231F20"/>
                <w:w w:val="115"/>
                <w:sz w:val="17"/>
              </w:rPr>
              <w:t>Chihuahua</w:t>
            </w:r>
          </w:p>
        </w:tc>
        <w:tc>
          <w:tcPr>
            <w:tcW w:w="769" w:type="dxa"/>
          </w:tcPr>
          <w:p>
            <w:pPr>
              <w:pStyle w:val="TableParagraph"/>
              <w:ind w:left="197"/>
              <w:jc w:val="left"/>
              <w:rPr>
                <w:sz w:val="17"/>
              </w:rPr>
            </w:pPr>
            <w:r>
              <w:rPr>
                <w:color w:val="231F20"/>
                <w:w w:val="105"/>
                <w:sz w:val="17"/>
              </w:rPr>
              <w:t>43.0</w:t>
            </w:r>
          </w:p>
        </w:tc>
        <w:tc>
          <w:tcPr>
            <w:tcW w:w="892" w:type="dxa"/>
          </w:tcPr>
          <w:p>
            <w:pPr>
              <w:pStyle w:val="TableParagraph"/>
              <w:ind w:left="238"/>
              <w:jc w:val="left"/>
              <w:rPr>
                <w:sz w:val="17"/>
              </w:rPr>
            </w:pPr>
            <w:r>
              <w:rPr>
                <w:color w:val="231F20"/>
                <w:w w:val="105"/>
                <w:sz w:val="17"/>
              </w:rPr>
              <w:t>43.0</w:t>
            </w:r>
          </w:p>
        </w:tc>
        <w:tc>
          <w:tcPr>
            <w:tcW w:w="1014" w:type="dxa"/>
          </w:tcPr>
          <w:p>
            <w:pPr>
              <w:pStyle w:val="TableParagraph"/>
              <w:ind w:left="301" w:right="340"/>
              <w:rPr>
                <w:sz w:val="17"/>
              </w:rPr>
            </w:pPr>
            <w:r>
              <w:rPr>
                <w:color w:val="231F20"/>
                <w:w w:val="105"/>
                <w:sz w:val="17"/>
              </w:rPr>
              <w:t>11.1</w:t>
            </w:r>
          </w:p>
        </w:tc>
        <w:tc>
          <w:tcPr>
            <w:tcW w:w="917" w:type="dxa"/>
          </w:tcPr>
          <w:p>
            <w:pPr>
              <w:pStyle w:val="TableParagraph"/>
              <w:ind w:right="316"/>
              <w:jc w:val="right"/>
              <w:rPr>
                <w:sz w:val="17"/>
              </w:rPr>
            </w:pPr>
            <w:r>
              <w:rPr>
                <w:color w:val="231F20"/>
                <w:w w:val="105"/>
                <w:sz w:val="17"/>
              </w:rPr>
              <w:t>3.0</w:t>
            </w:r>
          </w:p>
        </w:tc>
        <w:tc>
          <w:tcPr>
            <w:tcW w:w="836" w:type="dxa"/>
          </w:tcPr>
          <w:p>
            <w:pPr>
              <w:pStyle w:val="TableParagraph"/>
              <w:ind w:right="227"/>
              <w:jc w:val="right"/>
              <w:rPr>
                <w:sz w:val="17"/>
              </w:rPr>
            </w:pPr>
            <w:r>
              <w:rPr>
                <w:color w:val="231F20"/>
                <w:sz w:val="17"/>
              </w:rPr>
              <w:t>100</w:t>
            </w:r>
          </w:p>
        </w:tc>
        <w:tc>
          <w:tcPr>
            <w:tcW w:w="790" w:type="dxa"/>
          </w:tcPr>
          <w:p>
            <w:pPr>
              <w:pStyle w:val="TableParagraph"/>
              <w:ind w:left="208" w:right="208"/>
              <w:rPr>
                <w:sz w:val="17"/>
              </w:rPr>
            </w:pPr>
            <w:r>
              <w:rPr>
                <w:color w:val="231F20"/>
                <w:w w:val="105"/>
                <w:sz w:val="17"/>
              </w:rPr>
              <w:t>45.8</w:t>
            </w:r>
          </w:p>
        </w:tc>
        <w:tc>
          <w:tcPr>
            <w:tcW w:w="855" w:type="dxa"/>
          </w:tcPr>
          <w:p>
            <w:pPr>
              <w:pStyle w:val="TableParagraph"/>
              <w:ind w:left="228"/>
              <w:jc w:val="left"/>
              <w:rPr>
                <w:sz w:val="17"/>
              </w:rPr>
            </w:pPr>
            <w:r>
              <w:rPr>
                <w:color w:val="231F20"/>
                <w:w w:val="105"/>
                <w:sz w:val="17"/>
              </w:rPr>
              <w:t>20.3</w:t>
            </w:r>
          </w:p>
        </w:tc>
        <w:tc>
          <w:tcPr>
            <w:tcW w:w="1006" w:type="dxa"/>
          </w:tcPr>
          <w:p>
            <w:pPr>
              <w:pStyle w:val="TableParagraph"/>
              <w:ind w:left="293"/>
              <w:jc w:val="left"/>
              <w:rPr>
                <w:sz w:val="17"/>
              </w:rPr>
            </w:pPr>
            <w:r>
              <w:rPr>
                <w:color w:val="231F20"/>
                <w:w w:val="105"/>
                <w:sz w:val="17"/>
              </w:rPr>
              <w:t>29.3</w:t>
            </w:r>
          </w:p>
        </w:tc>
        <w:tc>
          <w:tcPr>
            <w:tcW w:w="937" w:type="dxa"/>
          </w:tcPr>
          <w:p>
            <w:pPr>
              <w:pStyle w:val="TableParagraph"/>
              <w:ind w:right="319"/>
              <w:jc w:val="right"/>
              <w:rPr>
                <w:sz w:val="17"/>
              </w:rPr>
            </w:pPr>
            <w:r>
              <w:rPr>
                <w:color w:val="231F20"/>
                <w:w w:val="105"/>
                <w:sz w:val="17"/>
              </w:rPr>
              <w:t>4.6</w:t>
            </w:r>
          </w:p>
        </w:tc>
        <w:tc>
          <w:tcPr>
            <w:tcW w:w="850" w:type="dxa"/>
          </w:tcPr>
          <w:p>
            <w:pPr>
              <w:pStyle w:val="TableParagraph"/>
              <w:ind w:left="304" w:right="223"/>
              <w:rPr>
                <w:sz w:val="17"/>
              </w:rPr>
            </w:pPr>
            <w:r>
              <w:rPr>
                <w:color w:val="231F20"/>
                <w:sz w:val="17"/>
              </w:rPr>
              <w:t>100</w:t>
            </w:r>
          </w:p>
        </w:tc>
      </w:tr>
      <w:tr>
        <w:trPr>
          <w:trHeight w:val="243" w:hRule="exact"/>
        </w:trPr>
        <w:tc>
          <w:tcPr>
            <w:tcW w:w="1730" w:type="dxa"/>
          </w:tcPr>
          <w:p>
            <w:pPr>
              <w:pStyle w:val="TableParagraph"/>
              <w:ind w:left="35"/>
              <w:jc w:val="left"/>
              <w:rPr>
                <w:sz w:val="17"/>
              </w:rPr>
            </w:pPr>
            <w:r>
              <w:rPr>
                <w:color w:val="231F20"/>
                <w:w w:val="105"/>
                <w:sz w:val="17"/>
              </w:rPr>
              <w:t>Distrito Federal</w:t>
            </w:r>
          </w:p>
        </w:tc>
        <w:tc>
          <w:tcPr>
            <w:tcW w:w="769" w:type="dxa"/>
          </w:tcPr>
          <w:p>
            <w:pPr>
              <w:pStyle w:val="TableParagraph"/>
              <w:ind w:left="197"/>
              <w:jc w:val="left"/>
              <w:rPr>
                <w:sz w:val="17"/>
              </w:rPr>
            </w:pPr>
            <w:r>
              <w:rPr>
                <w:color w:val="231F20"/>
                <w:w w:val="105"/>
                <w:sz w:val="17"/>
              </w:rPr>
              <w:t>57.9</w:t>
            </w:r>
          </w:p>
        </w:tc>
        <w:tc>
          <w:tcPr>
            <w:tcW w:w="892" w:type="dxa"/>
          </w:tcPr>
          <w:p>
            <w:pPr>
              <w:pStyle w:val="TableParagraph"/>
              <w:ind w:left="238"/>
              <w:jc w:val="left"/>
              <w:rPr>
                <w:sz w:val="17"/>
              </w:rPr>
            </w:pPr>
            <w:r>
              <w:rPr>
                <w:color w:val="231F20"/>
                <w:w w:val="105"/>
                <w:sz w:val="17"/>
              </w:rPr>
              <w:t>30.3</w:t>
            </w:r>
          </w:p>
        </w:tc>
        <w:tc>
          <w:tcPr>
            <w:tcW w:w="1014" w:type="dxa"/>
          </w:tcPr>
          <w:p>
            <w:pPr>
              <w:pStyle w:val="TableParagraph"/>
              <w:ind w:left="301" w:right="247"/>
              <w:rPr>
                <w:sz w:val="17"/>
              </w:rPr>
            </w:pPr>
            <w:r>
              <w:rPr>
                <w:color w:val="231F20"/>
                <w:w w:val="105"/>
                <w:sz w:val="17"/>
              </w:rPr>
              <w:t>9.6</w:t>
            </w:r>
          </w:p>
        </w:tc>
        <w:tc>
          <w:tcPr>
            <w:tcW w:w="917" w:type="dxa"/>
          </w:tcPr>
          <w:p>
            <w:pPr>
              <w:pStyle w:val="TableParagraph"/>
              <w:ind w:right="316"/>
              <w:jc w:val="right"/>
              <w:rPr>
                <w:sz w:val="17"/>
              </w:rPr>
            </w:pPr>
            <w:r>
              <w:rPr>
                <w:color w:val="231F20"/>
                <w:w w:val="105"/>
                <w:sz w:val="17"/>
              </w:rPr>
              <w:t>2.2</w:t>
            </w:r>
          </w:p>
        </w:tc>
        <w:tc>
          <w:tcPr>
            <w:tcW w:w="836" w:type="dxa"/>
          </w:tcPr>
          <w:p>
            <w:pPr>
              <w:pStyle w:val="TableParagraph"/>
              <w:ind w:right="227"/>
              <w:jc w:val="right"/>
              <w:rPr>
                <w:sz w:val="17"/>
              </w:rPr>
            </w:pPr>
            <w:r>
              <w:rPr>
                <w:color w:val="231F20"/>
                <w:sz w:val="17"/>
              </w:rPr>
              <w:t>100</w:t>
            </w:r>
          </w:p>
        </w:tc>
        <w:tc>
          <w:tcPr>
            <w:tcW w:w="790" w:type="dxa"/>
          </w:tcPr>
          <w:p>
            <w:pPr>
              <w:pStyle w:val="TableParagraph"/>
              <w:ind w:left="208" w:right="208"/>
              <w:rPr>
                <w:sz w:val="17"/>
              </w:rPr>
            </w:pPr>
            <w:r>
              <w:rPr>
                <w:color w:val="231F20"/>
                <w:w w:val="105"/>
                <w:sz w:val="17"/>
              </w:rPr>
              <w:t>64.6</w:t>
            </w:r>
          </w:p>
        </w:tc>
        <w:tc>
          <w:tcPr>
            <w:tcW w:w="855" w:type="dxa"/>
          </w:tcPr>
          <w:p>
            <w:pPr>
              <w:pStyle w:val="TableParagraph"/>
              <w:ind w:left="228"/>
              <w:jc w:val="left"/>
              <w:rPr>
                <w:sz w:val="17"/>
              </w:rPr>
            </w:pPr>
            <w:r>
              <w:rPr>
                <w:color w:val="231F20"/>
                <w:w w:val="105"/>
                <w:sz w:val="17"/>
              </w:rPr>
              <w:t>11.1</w:t>
            </w:r>
          </w:p>
        </w:tc>
        <w:tc>
          <w:tcPr>
            <w:tcW w:w="1006" w:type="dxa"/>
          </w:tcPr>
          <w:p>
            <w:pPr>
              <w:pStyle w:val="TableParagraph"/>
              <w:ind w:left="293"/>
              <w:jc w:val="left"/>
              <w:rPr>
                <w:sz w:val="17"/>
              </w:rPr>
            </w:pPr>
            <w:r>
              <w:rPr>
                <w:color w:val="231F20"/>
                <w:w w:val="105"/>
                <w:sz w:val="17"/>
              </w:rPr>
              <w:t>20.7</w:t>
            </w:r>
          </w:p>
        </w:tc>
        <w:tc>
          <w:tcPr>
            <w:tcW w:w="937" w:type="dxa"/>
          </w:tcPr>
          <w:p>
            <w:pPr>
              <w:pStyle w:val="TableParagraph"/>
              <w:ind w:right="319"/>
              <w:jc w:val="right"/>
              <w:rPr>
                <w:sz w:val="17"/>
              </w:rPr>
            </w:pPr>
            <w:r>
              <w:rPr>
                <w:color w:val="231F20"/>
                <w:w w:val="105"/>
                <w:sz w:val="17"/>
              </w:rPr>
              <w:t>3.7</w:t>
            </w:r>
          </w:p>
        </w:tc>
        <w:tc>
          <w:tcPr>
            <w:tcW w:w="850" w:type="dxa"/>
          </w:tcPr>
          <w:p>
            <w:pPr>
              <w:pStyle w:val="TableParagraph"/>
              <w:ind w:left="304" w:right="223"/>
              <w:rPr>
                <w:sz w:val="17"/>
              </w:rPr>
            </w:pPr>
            <w:r>
              <w:rPr>
                <w:color w:val="231F20"/>
                <w:sz w:val="17"/>
              </w:rPr>
              <w:t>100</w:t>
            </w:r>
          </w:p>
        </w:tc>
      </w:tr>
    </w:tbl>
    <w:p>
      <w:pPr>
        <w:spacing w:after="0"/>
        <w:rPr>
          <w:sz w:val="17"/>
        </w:rPr>
        <w:sectPr>
          <w:type w:val="continuous"/>
          <w:pgSz w:w="12920" w:h="9520" w:orient="landscape"/>
          <w:pgMar w:top="0" w:bottom="0" w:left="1260" w:right="840"/>
        </w:sectPr>
      </w:pPr>
    </w:p>
    <w:p>
      <w:pPr>
        <w:pStyle w:val="BodyText"/>
        <w:rPr>
          <w:i/>
        </w:rPr>
      </w:pPr>
    </w:p>
    <w:p>
      <w:pPr>
        <w:pStyle w:val="BodyText"/>
        <w:spacing w:before="2" w:after="1"/>
        <w:rPr>
          <w:i/>
        </w:r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49"/>
        <w:gridCol w:w="743"/>
        <w:gridCol w:w="828"/>
        <w:gridCol w:w="1041"/>
        <w:gridCol w:w="1093"/>
        <w:gridCol w:w="693"/>
        <w:gridCol w:w="795"/>
        <w:gridCol w:w="809"/>
        <w:gridCol w:w="1032"/>
        <w:gridCol w:w="1095"/>
        <w:gridCol w:w="718"/>
      </w:tblGrid>
      <w:tr>
        <w:trPr>
          <w:trHeight w:val="514" w:hRule="exact"/>
        </w:trPr>
        <w:tc>
          <w:tcPr>
            <w:tcW w:w="1749" w:type="dxa"/>
            <w:tcBorders>
              <w:bottom w:val="single" w:sz="3" w:space="0" w:color="231F20"/>
            </w:tcBorders>
          </w:tcPr>
          <w:p>
            <w:pPr>
              <w:pStyle w:val="TableParagraph"/>
              <w:spacing w:line="240" w:lineRule="auto" w:before="78"/>
              <w:ind w:left="35" w:right="-6"/>
              <w:jc w:val="left"/>
              <w:rPr>
                <w:sz w:val="16"/>
              </w:rPr>
            </w:pPr>
            <w:r>
              <w:rPr>
                <w:color w:val="231F20"/>
                <w:sz w:val="16"/>
              </w:rPr>
              <w:t>Cuadro  3 (</w:t>
            </w:r>
            <w:r>
              <w:rPr>
                <w:i/>
                <w:color w:val="231F20"/>
                <w:sz w:val="16"/>
              </w:rPr>
              <w:t>Continuación</w:t>
            </w:r>
            <w:r>
              <w:rPr>
                <w:color w:val="231F20"/>
                <w:sz w:val="16"/>
              </w:rPr>
              <w:t>)</w:t>
            </w:r>
          </w:p>
        </w:tc>
        <w:tc>
          <w:tcPr>
            <w:tcW w:w="8847" w:type="dxa"/>
            <w:gridSpan w:val="10"/>
            <w:tcBorders>
              <w:bottom w:val="single" w:sz="3" w:space="0" w:color="231F20"/>
            </w:tcBorders>
          </w:tcPr>
          <w:p>
            <w:pPr/>
          </w:p>
        </w:tc>
      </w:tr>
      <w:tr>
        <w:trPr>
          <w:trHeight w:val="400" w:hRule="exact"/>
        </w:trPr>
        <w:tc>
          <w:tcPr>
            <w:tcW w:w="1749" w:type="dxa"/>
            <w:tcBorders>
              <w:top w:val="single" w:sz="3" w:space="0" w:color="231F20"/>
            </w:tcBorders>
          </w:tcPr>
          <w:p>
            <w:pPr/>
          </w:p>
        </w:tc>
        <w:tc>
          <w:tcPr>
            <w:tcW w:w="743" w:type="dxa"/>
            <w:tcBorders>
              <w:top w:val="single" w:sz="3" w:space="0" w:color="231F20"/>
              <w:bottom w:val="single" w:sz="3" w:space="0" w:color="231F20"/>
            </w:tcBorders>
          </w:tcPr>
          <w:p>
            <w:pPr/>
          </w:p>
        </w:tc>
        <w:tc>
          <w:tcPr>
            <w:tcW w:w="828" w:type="dxa"/>
            <w:tcBorders>
              <w:top w:val="single" w:sz="3" w:space="0" w:color="231F20"/>
              <w:bottom w:val="single" w:sz="3" w:space="0" w:color="231F20"/>
            </w:tcBorders>
          </w:tcPr>
          <w:p>
            <w:pPr/>
          </w:p>
        </w:tc>
        <w:tc>
          <w:tcPr>
            <w:tcW w:w="1041" w:type="dxa"/>
            <w:tcBorders>
              <w:top w:val="single" w:sz="3" w:space="0" w:color="231F20"/>
              <w:bottom w:val="single" w:sz="3" w:space="0" w:color="231F20"/>
            </w:tcBorders>
          </w:tcPr>
          <w:p>
            <w:pPr>
              <w:pStyle w:val="TableParagraph"/>
              <w:spacing w:line="240" w:lineRule="auto" w:before="100"/>
              <w:ind w:left="434"/>
              <w:jc w:val="left"/>
              <w:rPr>
                <w:i/>
                <w:sz w:val="17"/>
              </w:rPr>
            </w:pPr>
            <w:r>
              <w:rPr>
                <w:i/>
                <w:color w:val="231F20"/>
                <w:sz w:val="17"/>
              </w:rPr>
              <w:t>1990</w:t>
            </w:r>
          </w:p>
        </w:tc>
        <w:tc>
          <w:tcPr>
            <w:tcW w:w="1093" w:type="dxa"/>
            <w:tcBorders>
              <w:top w:val="single" w:sz="3" w:space="0" w:color="231F20"/>
              <w:bottom w:val="single" w:sz="3" w:space="0" w:color="231F20"/>
            </w:tcBorders>
          </w:tcPr>
          <w:p>
            <w:pPr/>
          </w:p>
        </w:tc>
        <w:tc>
          <w:tcPr>
            <w:tcW w:w="693" w:type="dxa"/>
            <w:tcBorders>
              <w:top w:val="single" w:sz="3" w:space="0" w:color="231F20"/>
              <w:bottom w:val="single" w:sz="3" w:space="0" w:color="231F20"/>
              <w:right w:val="single" w:sz="26" w:space="0" w:color="FFFFFF"/>
            </w:tcBorders>
          </w:tcPr>
          <w:p>
            <w:pPr/>
          </w:p>
        </w:tc>
        <w:tc>
          <w:tcPr>
            <w:tcW w:w="795" w:type="dxa"/>
            <w:tcBorders>
              <w:top w:val="single" w:sz="3" w:space="0" w:color="231F20"/>
              <w:left w:val="single" w:sz="26" w:space="0" w:color="FFFFFF"/>
              <w:bottom w:val="single" w:sz="3" w:space="0" w:color="231F20"/>
            </w:tcBorders>
          </w:tcPr>
          <w:p>
            <w:pPr/>
          </w:p>
        </w:tc>
        <w:tc>
          <w:tcPr>
            <w:tcW w:w="809" w:type="dxa"/>
            <w:tcBorders>
              <w:top w:val="single" w:sz="3" w:space="0" w:color="231F20"/>
              <w:bottom w:val="single" w:sz="3" w:space="0" w:color="231F20"/>
            </w:tcBorders>
          </w:tcPr>
          <w:p>
            <w:pPr/>
          </w:p>
        </w:tc>
        <w:tc>
          <w:tcPr>
            <w:tcW w:w="1032" w:type="dxa"/>
            <w:tcBorders>
              <w:top w:val="single" w:sz="3" w:space="0" w:color="231F20"/>
              <w:bottom w:val="single" w:sz="3" w:space="0" w:color="231F20"/>
            </w:tcBorders>
          </w:tcPr>
          <w:p>
            <w:pPr>
              <w:pStyle w:val="TableParagraph"/>
              <w:spacing w:line="240" w:lineRule="auto" w:before="100"/>
              <w:ind w:left="460"/>
              <w:jc w:val="left"/>
              <w:rPr>
                <w:i/>
                <w:sz w:val="17"/>
              </w:rPr>
            </w:pPr>
            <w:r>
              <w:rPr>
                <w:i/>
                <w:color w:val="231F20"/>
                <w:sz w:val="17"/>
              </w:rPr>
              <w:t>2010</w:t>
            </w:r>
          </w:p>
        </w:tc>
        <w:tc>
          <w:tcPr>
            <w:tcW w:w="1095" w:type="dxa"/>
            <w:tcBorders>
              <w:top w:val="single" w:sz="3" w:space="0" w:color="231F20"/>
              <w:bottom w:val="single" w:sz="3" w:space="0" w:color="231F20"/>
            </w:tcBorders>
          </w:tcPr>
          <w:p>
            <w:pPr/>
          </w:p>
        </w:tc>
        <w:tc>
          <w:tcPr>
            <w:tcW w:w="718" w:type="dxa"/>
            <w:tcBorders>
              <w:top w:val="single" w:sz="3" w:space="0" w:color="231F20"/>
              <w:bottom w:val="single" w:sz="3" w:space="0" w:color="231F20"/>
            </w:tcBorders>
          </w:tcPr>
          <w:p>
            <w:pPr/>
          </w:p>
        </w:tc>
      </w:tr>
      <w:tr>
        <w:trPr>
          <w:trHeight w:val="560" w:hRule="exact"/>
        </w:trPr>
        <w:tc>
          <w:tcPr>
            <w:tcW w:w="1749" w:type="dxa"/>
            <w:tcBorders>
              <w:bottom w:val="single" w:sz="3" w:space="0" w:color="231F20"/>
            </w:tcBorders>
          </w:tcPr>
          <w:p>
            <w:pPr>
              <w:pStyle w:val="TableParagraph"/>
              <w:spacing w:line="240" w:lineRule="auto" w:before="8"/>
              <w:jc w:val="left"/>
              <w:rPr>
                <w:i/>
                <w:sz w:val="23"/>
              </w:rPr>
            </w:pPr>
          </w:p>
          <w:p>
            <w:pPr>
              <w:pStyle w:val="TableParagraph"/>
              <w:spacing w:line="240" w:lineRule="auto"/>
              <w:ind w:left="570" w:right="-6"/>
              <w:jc w:val="left"/>
              <w:rPr>
                <w:i/>
                <w:sz w:val="17"/>
              </w:rPr>
            </w:pPr>
            <w:r>
              <w:rPr>
                <w:i/>
                <w:color w:val="231F20"/>
                <w:w w:val="105"/>
                <w:sz w:val="17"/>
              </w:rPr>
              <w:t>Entidad</w:t>
            </w:r>
          </w:p>
        </w:tc>
        <w:tc>
          <w:tcPr>
            <w:tcW w:w="743" w:type="dxa"/>
            <w:tcBorders>
              <w:top w:val="single" w:sz="3" w:space="0" w:color="231F20"/>
              <w:bottom w:val="single" w:sz="3" w:space="0" w:color="231F20"/>
            </w:tcBorders>
          </w:tcPr>
          <w:p>
            <w:pPr>
              <w:pStyle w:val="TableParagraph"/>
              <w:spacing w:line="240" w:lineRule="auto" w:before="4"/>
              <w:jc w:val="left"/>
              <w:rPr>
                <w:i/>
                <w:sz w:val="23"/>
              </w:rPr>
            </w:pPr>
          </w:p>
          <w:p>
            <w:pPr>
              <w:pStyle w:val="TableParagraph"/>
              <w:spacing w:line="240" w:lineRule="auto"/>
              <w:ind w:left="25" w:right="76"/>
              <w:rPr>
                <w:i/>
                <w:sz w:val="17"/>
              </w:rPr>
            </w:pPr>
            <w:r>
              <w:rPr>
                <w:i/>
                <w:color w:val="231F20"/>
                <w:w w:val="105"/>
                <w:sz w:val="17"/>
              </w:rPr>
              <w:t>Solteras</w:t>
            </w:r>
          </w:p>
        </w:tc>
        <w:tc>
          <w:tcPr>
            <w:tcW w:w="828" w:type="dxa"/>
            <w:tcBorders>
              <w:top w:val="single" w:sz="3" w:space="0" w:color="231F20"/>
              <w:bottom w:val="single" w:sz="3" w:space="0" w:color="231F20"/>
            </w:tcBorders>
          </w:tcPr>
          <w:p>
            <w:pPr>
              <w:pStyle w:val="TableParagraph"/>
              <w:spacing w:line="240" w:lineRule="auto" w:before="4"/>
              <w:jc w:val="left"/>
              <w:rPr>
                <w:i/>
                <w:sz w:val="23"/>
              </w:rPr>
            </w:pPr>
          </w:p>
          <w:p>
            <w:pPr>
              <w:pStyle w:val="TableParagraph"/>
              <w:spacing w:line="240" w:lineRule="auto"/>
              <w:ind w:left="74" w:right="76"/>
              <w:rPr>
                <w:i/>
                <w:sz w:val="17"/>
              </w:rPr>
            </w:pPr>
            <w:r>
              <w:rPr>
                <w:i/>
                <w:color w:val="231F20"/>
                <w:w w:val="110"/>
                <w:sz w:val="17"/>
              </w:rPr>
              <w:t>Casadas</w:t>
            </w:r>
          </w:p>
        </w:tc>
        <w:tc>
          <w:tcPr>
            <w:tcW w:w="1041" w:type="dxa"/>
            <w:tcBorders>
              <w:top w:val="single" w:sz="3" w:space="0" w:color="231F20"/>
              <w:bottom w:val="single" w:sz="3" w:space="0" w:color="231F20"/>
            </w:tcBorders>
          </w:tcPr>
          <w:p>
            <w:pPr>
              <w:pStyle w:val="TableParagraph"/>
              <w:spacing w:line="240" w:lineRule="auto" w:before="4"/>
              <w:jc w:val="left"/>
              <w:rPr>
                <w:i/>
                <w:sz w:val="23"/>
              </w:rPr>
            </w:pPr>
          </w:p>
          <w:p>
            <w:pPr>
              <w:pStyle w:val="TableParagraph"/>
              <w:spacing w:line="240" w:lineRule="auto"/>
              <w:ind w:left="100"/>
              <w:jc w:val="left"/>
              <w:rPr>
                <w:i/>
                <w:sz w:val="17"/>
              </w:rPr>
            </w:pPr>
            <w:r>
              <w:rPr>
                <w:i/>
                <w:color w:val="231F20"/>
                <w:w w:val="105"/>
                <w:sz w:val="17"/>
              </w:rPr>
              <w:t>Unión libre</w:t>
            </w:r>
          </w:p>
        </w:tc>
        <w:tc>
          <w:tcPr>
            <w:tcW w:w="1093" w:type="dxa"/>
            <w:tcBorders>
              <w:top w:val="single" w:sz="3" w:space="0" w:color="231F20"/>
              <w:bottom w:val="single" w:sz="3" w:space="0" w:color="231F20"/>
            </w:tcBorders>
          </w:tcPr>
          <w:p>
            <w:pPr>
              <w:pStyle w:val="TableParagraph"/>
              <w:spacing w:line="190" w:lineRule="exact" w:before="94"/>
              <w:ind w:left="268" w:right="123" w:hanging="172"/>
              <w:jc w:val="left"/>
              <w:rPr>
                <w:i/>
                <w:sz w:val="17"/>
              </w:rPr>
            </w:pPr>
            <w:r>
              <w:rPr>
                <w:i/>
                <w:color w:val="231F20"/>
                <w:w w:val="110"/>
                <w:sz w:val="17"/>
              </w:rPr>
              <w:t>Alguna vez </w:t>
            </w:r>
            <w:r>
              <w:rPr>
                <w:i/>
                <w:color w:val="231F20"/>
                <w:w w:val="110"/>
                <w:sz w:val="17"/>
              </w:rPr>
              <w:t>unidas</w:t>
            </w:r>
          </w:p>
        </w:tc>
        <w:tc>
          <w:tcPr>
            <w:tcW w:w="693" w:type="dxa"/>
            <w:tcBorders>
              <w:top w:val="single" w:sz="3" w:space="0" w:color="231F20"/>
              <w:bottom w:val="single" w:sz="3" w:space="0" w:color="231F20"/>
            </w:tcBorders>
          </w:tcPr>
          <w:p>
            <w:pPr>
              <w:pStyle w:val="TableParagraph"/>
              <w:spacing w:line="240" w:lineRule="auto" w:before="4"/>
              <w:jc w:val="left"/>
              <w:rPr>
                <w:i/>
                <w:sz w:val="23"/>
              </w:rPr>
            </w:pPr>
          </w:p>
          <w:p>
            <w:pPr>
              <w:pStyle w:val="TableParagraph"/>
              <w:spacing w:line="240" w:lineRule="auto"/>
              <w:ind w:left="142"/>
              <w:jc w:val="left"/>
              <w:rPr>
                <w:i/>
                <w:sz w:val="17"/>
              </w:rPr>
            </w:pPr>
            <w:r>
              <w:rPr>
                <w:i/>
                <w:color w:val="231F20"/>
                <w:sz w:val="17"/>
              </w:rPr>
              <w:t>Total</w:t>
            </w:r>
          </w:p>
        </w:tc>
        <w:tc>
          <w:tcPr>
            <w:tcW w:w="795" w:type="dxa"/>
            <w:tcBorders>
              <w:top w:val="single" w:sz="3" w:space="0" w:color="231F20"/>
              <w:bottom w:val="single" w:sz="3" w:space="0" w:color="231F20"/>
            </w:tcBorders>
          </w:tcPr>
          <w:p>
            <w:pPr>
              <w:pStyle w:val="TableParagraph"/>
              <w:spacing w:line="240" w:lineRule="auto" w:before="4"/>
              <w:jc w:val="left"/>
              <w:rPr>
                <w:i/>
                <w:sz w:val="23"/>
              </w:rPr>
            </w:pPr>
          </w:p>
          <w:p>
            <w:pPr>
              <w:pStyle w:val="TableParagraph"/>
              <w:spacing w:line="240" w:lineRule="auto"/>
              <w:ind w:left="85" w:right="67"/>
              <w:rPr>
                <w:i/>
                <w:sz w:val="17"/>
              </w:rPr>
            </w:pPr>
            <w:r>
              <w:rPr>
                <w:i/>
                <w:color w:val="231F20"/>
                <w:w w:val="105"/>
                <w:sz w:val="17"/>
              </w:rPr>
              <w:t>Solteras</w:t>
            </w:r>
          </w:p>
        </w:tc>
        <w:tc>
          <w:tcPr>
            <w:tcW w:w="809" w:type="dxa"/>
            <w:tcBorders>
              <w:top w:val="single" w:sz="3" w:space="0" w:color="231F20"/>
              <w:bottom w:val="single" w:sz="3" w:space="0" w:color="231F20"/>
            </w:tcBorders>
          </w:tcPr>
          <w:p>
            <w:pPr>
              <w:pStyle w:val="TableParagraph"/>
              <w:spacing w:line="240" w:lineRule="auto" w:before="4"/>
              <w:jc w:val="left"/>
              <w:rPr>
                <w:i/>
                <w:sz w:val="23"/>
              </w:rPr>
            </w:pPr>
          </w:p>
          <w:p>
            <w:pPr>
              <w:pStyle w:val="TableParagraph"/>
              <w:spacing w:line="240" w:lineRule="auto"/>
              <w:ind w:left="64" w:right="68"/>
              <w:rPr>
                <w:i/>
                <w:sz w:val="17"/>
              </w:rPr>
            </w:pPr>
            <w:r>
              <w:rPr>
                <w:i/>
                <w:color w:val="231F20"/>
                <w:w w:val="110"/>
                <w:sz w:val="17"/>
              </w:rPr>
              <w:t>Casadas</w:t>
            </w:r>
          </w:p>
        </w:tc>
        <w:tc>
          <w:tcPr>
            <w:tcW w:w="1032" w:type="dxa"/>
            <w:tcBorders>
              <w:top w:val="single" w:sz="3" w:space="0" w:color="231F20"/>
              <w:bottom w:val="single" w:sz="3" w:space="0" w:color="231F20"/>
            </w:tcBorders>
          </w:tcPr>
          <w:p>
            <w:pPr>
              <w:pStyle w:val="TableParagraph"/>
              <w:spacing w:line="240" w:lineRule="auto" w:before="4"/>
              <w:jc w:val="left"/>
              <w:rPr>
                <w:i/>
                <w:sz w:val="23"/>
              </w:rPr>
            </w:pPr>
          </w:p>
          <w:p>
            <w:pPr>
              <w:pStyle w:val="TableParagraph"/>
              <w:spacing w:line="240" w:lineRule="auto"/>
              <w:ind w:left="91"/>
              <w:jc w:val="left"/>
              <w:rPr>
                <w:i/>
                <w:sz w:val="17"/>
              </w:rPr>
            </w:pPr>
            <w:r>
              <w:rPr>
                <w:i/>
                <w:color w:val="231F20"/>
                <w:w w:val="105"/>
                <w:sz w:val="17"/>
              </w:rPr>
              <w:t>Unión libre</w:t>
            </w:r>
          </w:p>
        </w:tc>
        <w:tc>
          <w:tcPr>
            <w:tcW w:w="1095" w:type="dxa"/>
            <w:tcBorders>
              <w:top w:val="single" w:sz="3" w:space="0" w:color="231F20"/>
              <w:bottom w:val="single" w:sz="3" w:space="0" w:color="231F20"/>
            </w:tcBorders>
          </w:tcPr>
          <w:p>
            <w:pPr>
              <w:pStyle w:val="TableParagraph"/>
              <w:spacing w:line="190" w:lineRule="exact" w:before="94"/>
              <w:ind w:left="268" w:right="126" w:hanging="172"/>
              <w:jc w:val="left"/>
              <w:rPr>
                <w:i/>
                <w:sz w:val="17"/>
              </w:rPr>
            </w:pPr>
            <w:r>
              <w:rPr>
                <w:i/>
                <w:color w:val="231F20"/>
                <w:w w:val="110"/>
                <w:sz w:val="17"/>
              </w:rPr>
              <w:t>Alguna vez </w:t>
            </w:r>
            <w:r>
              <w:rPr>
                <w:i/>
                <w:color w:val="231F20"/>
                <w:w w:val="110"/>
                <w:sz w:val="17"/>
              </w:rPr>
              <w:t>unidas</w:t>
            </w:r>
          </w:p>
        </w:tc>
        <w:tc>
          <w:tcPr>
            <w:tcW w:w="718" w:type="dxa"/>
            <w:tcBorders>
              <w:top w:val="single" w:sz="3" w:space="0" w:color="231F20"/>
              <w:bottom w:val="single" w:sz="3" w:space="0" w:color="231F20"/>
            </w:tcBorders>
          </w:tcPr>
          <w:p>
            <w:pPr>
              <w:pStyle w:val="TableParagraph"/>
              <w:spacing w:line="240" w:lineRule="auto" w:before="4"/>
              <w:jc w:val="left"/>
              <w:rPr>
                <w:i/>
                <w:sz w:val="23"/>
              </w:rPr>
            </w:pPr>
          </w:p>
          <w:p>
            <w:pPr>
              <w:pStyle w:val="TableParagraph"/>
              <w:spacing w:line="240" w:lineRule="auto"/>
              <w:ind w:left="145"/>
              <w:jc w:val="left"/>
              <w:rPr>
                <w:i/>
                <w:sz w:val="17"/>
              </w:rPr>
            </w:pPr>
            <w:r>
              <w:rPr>
                <w:i/>
                <w:color w:val="231F20"/>
                <w:sz w:val="17"/>
              </w:rPr>
              <w:t>Total</w:t>
            </w:r>
          </w:p>
        </w:tc>
      </w:tr>
      <w:tr>
        <w:trPr>
          <w:trHeight w:val="263" w:hRule="exact"/>
        </w:trPr>
        <w:tc>
          <w:tcPr>
            <w:tcW w:w="1749" w:type="dxa"/>
            <w:tcBorders>
              <w:top w:val="single" w:sz="3" w:space="0" w:color="231F20"/>
            </w:tcBorders>
          </w:tcPr>
          <w:p>
            <w:pPr>
              <w:pStyle w:val="TableParagraph"/>
              <w:spacing w:line="240" w:lineRule="auto" w:before="44"/>
              <w:ind w:left="35" w:right="-6"/>
              <w:jc w:val="left"/>
              <w:rPr>
                <w:sz w:val="17"/>
              </w:rPr>
            </w:pPr>
            <w:r>
              <w:rPr>
                <w:color w:val="231F20"/>
                <w:w w:val="110"/>
                <w:sz w:val="17"/>
              </w:rPr>
              <w:t>Morelos</w:t>
            </w:r>
          </w:p>
        </w:tc>
        <w:tc>
          <w:tcPr>
            <w:tcW w:w="743" w:type="dxa"/>
            <w:tcBorders>
              <w:top w:val="single" w:sz="3" w:space="0" w:color="231F20"/>
            </w:tcBorders>
          </w:tcPr>
          <w:p>
            <w:pPr>
              <w:pStyle w:val="TableParagraph"/>
              <w:spacing w:line="240" w:lineRule="auto" w:before="44"/>
              <w:ind w:left="25" w:right="76"/>
              <w:rPr>
                <w:sz w:val="17"/>
              </w:rPr>
            </w:pPr>
            <w:r>
              <w:rPr>
                <w:color w:val="231F20"/>
                <w:w w:val="105"/>
                <w:sz w:val="17"/>
              </w:rPr>
              <w:t>43.5</w:t>
            </w:r>
          </w:p>
        </w:tc>
        <w:tc>
          <w:tcPr>
            <w:tcW w:w="828" w:type="dxa"/>
            <w:tcBorders>
              <w:top w:val="single" w:sz="3" w:space="0" w:color="231F20"/>
            </w:tcBorders>
          </w:tcPr>
          <w:p>
            <w:pPr>
              <w:pStyle w:val="TableParagraph"/>
              <w:spacing w:line="240" w:lineRule="auto" w:before="44"/>
              <w:ind w:left="74" w:right="76"/>
              <w:rPr>
                <w:sz w:val="17"/>
              </w:rPr>
            </w:pPr>
            <w:r>
              <w:rPr>
                <w:color w:val="231F20"/>
                <w:w w:val="105"/>
                <w:sz w:val="17"/>
              </w:rPr>
              <w:t>38.8</w:t>
            </w:r>
          </w:p>
        </w:tc>
        <w:tc>
          <w:tcPr>
            <w:tcW w:w="1041" w:type="dxa"/>
            <w:tcBorders>
              <w:top w:val="single" w:sz="3" w:space="0" w:color="231F20"/>
            </w:tcBorders>
          </w:tcPr>
          <w:p>
            <w:pPr>
              <w:pStyle w:val="TableParagraph"/>
              <w:spacing w:line="240" w:lineRule="auto" w:before="44"/>
              <w:ind w:left="390"/>
              <w:jc w:val="left"/>
              <w:rPr>
                <w:sz w:val="17"/>
              </w:rPr>
            </w:pPr>
            <w:r>
              <w:rPr>
                <w:color w:val="231F20"/>
                <w:w w:val="105"/>
                <w:sz w:val="17"/>
              </w:rPr>
              <w:t>14.7</w:t>
            </w:r>
          </w:p>
        </w:tc>
        <w:tc>
          <w:tcPr>
            <w:tcW w:w="1093" w:type="dxa"/>
            <w:tcBorders>
              <w:top w:val="single" w:sz="3" w:space="0" w:color="231F20"/>
            </w:tcBorders>
          </w:tcPr>
          <w:p>
            <w:pPr>
              <w:pStyle w:val="TableParagraph"/>
              <w:spacing w:line="240" w:lineRule="auto" w:before="44"/>
              <w:ind w:left="387" w:right="430"/>
              <w:rPr>
                <w:sz w:val="17"/>
              </w:rPr>
            </w:pPr>
            <w:r>
              <w:rPr>
                <w:color w:val="231F20"/>
                <w:w w:val="105"/>
                <w:sz w:val="17"/>
              </w:rPr>
              <w:t>2.9</w:t>
            </w:r>
          </w:p>
        </w:tc>
        <w:tc>
          <w:tcPr>
            <w:tcW w:w="693" w:type="dxa"/>
            <w:tcBorders>
              <w:top w:val="single" w:sz="3" w:space="0" w:color="231F20"/>
            </w:tcBorders>
          </w:tcPr>
          <w:p>
            <w:pPr>
              <w:pStyle w:val="TableParagraph"/>
              <w:spacing w:line="240" w:lineRule="auto" w:before="44"/>
              <w:ind w:left="186"/>
              <w:jc w:val="left"/>
              <w:rPr>
                <w:sz w:val="17"/>
              </w:rPr>
            </w:pPr>
            <w:r>
              <w:rPr>
                <w:color w:val="231F20"/>
                <w:sz w:val="17"/>
              </w:rPr>
              <w:t>100</w:t>
            </w:r>
          </w:p>
        </w:tc>
        <w:tc>
          <w:tcPr>
            <w:tcW w:w="795" w:type="dxa"/>
            <w:tcBorders>
              <w:top w:val="single" w:sz="3" w:space="0" w:color="231F20"/>
            </w:tcBorders>
          </w:tcPr>
          <w:p>
            <w:pPr>
              <w:pStyle w:val="TableParagraph"/>
              <w:spacing w:line="240" w:lineRule="auto" w:before="44"/>
              <w:ind w:left="85" w:right="67"/>
              <w:rPr>
                <w:sz w:val="17"/>
              </w:rPr>
            </w:pPr>
            <w:r>
              <w:rPr>
                <w:color w:val="231F20"/>
                <w:w w:val="105"/>
                <w:sz w:val="17"/>
              </w:rPr>
              <w:t>50.7</w:t>
            </w:r>
          </w:p>
        </w:tc>
        <w:tc>
          <w:tcPr>
            <w:tcW w:w="809" w:type="dxa"/>
            <w:tcBorders>
              <w:top w:val="single" w:sz="3" w:space="0" w:color="231F20"/>
            </w:tcBorders>
          </w:tcPr>
          <w:p>
            <w:pPr>
              <w:pStyle w:val="TableParagraph"/>
              <w:spacing w:line="240" w:lineRule="auto" w:before="44"/>
              <w:ind w:left="64" w:right="68"/>
              <w:rPr>
                <w:sz w:val="17"/>
              </w:rPr>
            </w:pPr>
            <w:r>
              <w:rPr>
                <w:color w:val="231F20"/>
                <w:w w:val="105"/>
                <w:sz w:val="17"/>
              </w:rPr>
              <w:t>17.9</w:t>
            </w:r>
          </w:p>
        </w:tc>
        <w:tc>
          <w:tcPr>
            <w:tcW w:w="1032" w:type="dxa"/>
            <w:tcBorders>
              <w:top w:val="single" w:sz="3" w:space="0" w:color="231F20"/>
            </w:tcBorders>
          </w:tcPr>
          <w:p>
            <w:pPr>
              <w:pStyle w:val="TableParagraph"/>
              <w:spacing w:line="240" w:lineRule="auto" w:before="44"/>
              <w:ind w:left="328" w:right="331"/>
              <w:rPr>
                <w:sz w:val="17"/>
              </w:rPr>
            </w:pPr>
            <w:r>
              <w:rPr>
                <w:color w:val="231F20"/>
                <w:w w:val="105"/>
                <w:sz w:val="17"/>
              </w:rPr>
              <w:t>26.9</w:t>
            </w:r>
          </w:p>
        </w:tc>
        <w:tc>
          <w:tcPr>
            <w:tcW w:w="1095" w:type="dxa"/>
            <w:tcBorders>
              <w:top w:val="single" w:sz="3" w:space="0" w:color="231F20"/>
            </w:tcBorders>
          </w:tcPr>
          <w:p>
            <w:pPr>
              <w:pStyle w:val="TableParagraph"/>
              <w:spacing w:line="240" w:lineRule="auto" w:before="44"/>
              <w:ind w:left="405" w:right="126"/>
              <w:jc w:val="left"/>
              <w:rPr>
                <w:sz w:val="17"/>
              </w:rPr>
            </w:pPr>
            <w:r>
              <w:rPr>
                <w:color w:val="231F20"/>
                <w:w w:val="105"/>
                <w:sz w:val="17"/>
              </w:rPr>
              <w:t>4.5</w:t>
            </w:r>
          </w:p>
        </w:tc>
        <w:tc>
          <w:tcPr>
            <w:tcW w:w="718" w:type="dxa"/>
            <w:tcBorders>
              <w:top w:val="single" w:sz="3" w:space="0" w:color="231F20"/>
            </w:tcBorders>
          </w:tcPr>
          <w:p>
            <w:pPr>
              <w:pStyle w:val="TableParagraph"/>
              <w:spacing w:line="240" w:lineRule="auto" w:before="44"/>
              <w:ind w:left="189"/>
              <w:jc w:val="left"/>
              <w:rPr>
                <w:sz w:val="17"/>
              </w:rPr>
            </w:pPr>
            <w:r>
              <w:rPr>
                <w:color w:val="231F20"/>
                <w:sz w:val="17"/>
              </w:rPr>
              <w:t>100</w:t>
            </w:r>
          </w:p>
        </w:tc>
      </w:tr>
      <w:tr>
        <w:trPr>
          <w:trHeight w:val="210" w:hRule="exact"/>
        </w:trPr>
        <w:tc>
          <w:tcPr>
            <w:tcW w:w="1749" w:type="dxa"/>
          </w:tcPr>
          <w:p>
            <w:pPr>
              <w:pStyle w:val="TableParagraph"/>
              <w:ind w:left="35" w:right="-6"/>
              <w:jc w:val="left"/>
              <w:rPr>
                <w:sz w:val="17"/>
              </w:rPr>
            </w:pPr>
            <w:r>
              <w:rPr>
                <w:color w:val="231F20"/>
                <w:w w:val="110"/>
                <w:sz w:val="17"/>
              </w:rPr>
              <w:t>Nayarit</w:t>
            </w:r>
          </w:p>
        </w:tc>
        <w:tc>
          <w:tcPr>
            <w:tcW w:w="743" w:type="dxa"/>
          </w:tcPr>
          <w:p>
            <w:pPr>
              <w:pStyle w:val="TableParagraph"/>
              <w:ind w:left="25" w:right="76"/>
              <w:rPr>
                <w:sz w:val="17"/>
              </w:rPr>
            </w:pPr>
            <w:r>
              <w:rPr>
                <w:color w:val="231F20"/>
                <w:w w:val="105"/>
                <w:sz w:val="17"/>
              </w:rPr>
              <w:t>40.2</w:t>
            </w:r>
          </w:p>
        </w:tc>
        <w:tc>
          <w:tcPr>
            <w:tcW w:w="828" w:type="dxa"/>
          </w:tcPr>
          <w:p>
            <w:pPr>
              <w:pStyle w:val="TableParagraph"/>
              <w:ind w:left="74" w:right="76"/>
              <w:rPr>
                <w:sz w:val="17"/>
              </w:rPr>
            </w:pPr>
            <w:r>
              <w:rPr>
                <w:color w:val="231F20"/>
                <w:w w:val="105"/>
                <w:sz w:val="17"/>
              </w:rPr>
              <w:t>35.5</w:t>
            </w:r>
          </w:p>
        </w:tc>
        <w:tc>
          <w:tcPr>
            <w:tcW w:w="1041" w:type="dxa"/>
          </w:tcPr>
          <w:p>
            <w:pPr>
              <w:pStyle w:val="TableParagraph"/>
              <w:ind w:left="390"/>
              <w:jc w:val="left"/>
              <w:rPr>
                <w:sz w:val="17"/>
              </w:rPr>
            </w:pPr>
            <w:r>
              <w:rPr>
                <w:color w:val="231F20"/>
                <w:w w:val="105"/>
                <w:sz w:val="17"/>
              </w:rPr>
              <w:t>21.2</w:t>
            </w:r>
          </w:p>
        </w:tc>
        <w:tc>
          <w:tcPr>
            <w:tcW w:w="1093" w:type="dxa"/>
          </w:tcPr>
          <w:p>
            <w:pPr>
              <w:pStyle w:val="TableParagraph"/>
              <w:ind w:left="387" w:right="430"/>
              <w:rPr>
                <w:sz w:val="17"/>
              </w:rPr>
            </w:pPr>
            <w:r>
              <w:rPr>
                <w:color w:val="231F20"/>
                <w:w w:val="105"/>
                <w:sz w:val="17"/>
              </w:rPr>
              <w:t>3.1</w:t>
            </w:r>
          </w:p>
        </w:tc>
        <w:tc>
          <w:tcPr>
            <w:tcW w:w="693" w:type="dxa"/>
          </w:tcPr>
          <w:p>
            <w:pPr>
              <w:pStyle w:val="TableParagraph"/>
              <w:ind w:left="186"/>
              <w:jc w:val="left"/>
              <w:rPr>
                <w:sz w:val="17"/>
              </w:rPr>
            </w:pPr>
            <w:r>
              <w:rPr>
                <w:color w:val="231F20"/>
                <w:sz w:val="17"/>
              </w:rPr>
              <w:t>100</w:t>
            </w:r>
          </w:p>
        </w:tc>
        <w:tc>
          <w:tcPr>
            <w:tcW w:w="795" w:type="dxa"/>
          </w:tcPr>
          <w:p>
            <w:pPr>
              <w:pStyle w:val="TableParagraph"/>
              <w:ind w:left="85" w:right="67"/>
              <w:rPr>
                <w:sz w:val="17"/>
              </w:rPr>
            </w:pPr>
            <w:r>
              <w:rPr>
                <w:color w:val="231F20"/>
                <w:w w:val="105"/>
                <w:sz w:val="17"/>
              </w:rPr>
              <w:t>44.4</w:t>
            </w:r>
          </w:p>
        </w:tc>
        <w:tc>
          <w:tcPr>
            <w:tcW w:w="809" w:type="dxa"/>
          </w:tcPr>
          <w:p>
            <w:pPr>
              <w:pStyle w:val="TableParagraph"/>
              <w:ind w:left="64" w:right="68"/>
              <w:rPr>
                <w:sz w:val="17"/>
              </w:rPr>
            </w:pPr>
            <w:r>
              <w:rPr>
                <w:color w:val="231F20"/>
                <w:w w:val="105"/>
                <w:sz w:val="17"/>
              </w:rPr>
              <w:t>20.2</w:t>
            </w:r>
          </w:p>
        </w:tc>
        <w:tc>
          <w:tcPr>
            <w:tcW w:w="1032" w:type="dxa"/>
          </w:tcPr>
          <w:p>
            <w:pPr>
              <w:pStyle w:val="TableParagraph"/>
              <w:ind w:left="328" w:right="331"/>
              <w:rPr>
                <w:sz w:val="17"/>
              </w:rPr>
            </w:pPr>
            <w:r>
              <w:rPr>
                <w:color w:val="231F20"/>
                <w:w w:val="105"/>
                <w:sz w:val="17"/>
              </w:rPr>
              <w:t>31.1</w:t>
            </w:r>
          </w:p>
        </w:tc>
        <w:tc>
          <w:tcPr>
            <w:tcW w:w="1095" w:type="dxa"/>
          </w:tcPr>
          <w:p>
            <w:pPr>
              <w:pStyle w:val="TableParagraph"/>
              <w:ind w:left="405" w:right="126"/>
              <w:jc w:val="left"/>
              <w:rPr>
                <w:sz w:val="17"/>
              </w:rPr>
            </w:pPr>
            <w:r>
              <w:rPr>
                <w:color w:val="231F20"/>
                <w:w w:val="105"/>
                <w:sz w:val="17"/>
              </w:rPr>
              <w:t>4.3</w:t>
            </w:r>
          </w:p>
        </w:tc>
        <w:tc>
          <w:tcPr>
            <w:tcW w:w="718" w:type="dxa"/>
          </w:tcPr>
          <w:p>
            <w:pPr>
              <w:pStyle w:val="TableParagraph"/>
              <w:ind w:left="189"/>
              <w:jc w:val="left"/>
              <w:rPr>
                <w:sz w:val="17"/>
              </w:rPr>
            </w:pPr>
            <w:r>
              <w:rPr>
                <w:color w:val="231F20"/>
                <w:sz w:val="17"/>
              </w:rPr>
              <w:t>100</w:t>
            </w:r>
          </w:p>
        </w:tc>
      </w:tr>
      <w:tr>
        <w:trPr>
          <w:trHeight w:val="210" w:hRule="exact"/>
        </w:trPr>
        <w:tc>
          <w:tcPr>
            <w:tcW w:w="1749" w:type="dxa"/>
          </w:tcPr>
          <w:p>
            <w:pPr>
              <w:pStyle w:val="TableParagraph"/>
              <w:ind w:left="35" w:right="-6"/>
              <w:jc w:val="left"/>
              <w:rPr>
                <w:sz w:val="17"/>
              </w:rPr>
            </w:pPr>
            <w:r>
              <w:rPr>
                <w:color w:val="231F20"/>
                <w:w w:val="110"/>
                <w:sz w:val="17"/>
              </w:rPr>
              <w:t>Nuevo León</w:t>
            </w:r>
          </w:p>
        </w:tc>
        <w:tc>
          <w:tcPr>
            <w:tcW w:w="743" w:type="dxa"/>
          </w:tcPr>
          <w:p>
            <w:pPr>
              <w:pStyle w:val="TableParagraph"/>
              <w:ind w:left="25" w:right="76"/>
              <w:rPr>
                <w:sz w:val="17"/>
              </w:rPr>
            </w:pPr>
            <w:r>
              <w:rPr>
                <w:color w:val="231F20"/>
                <w:w w:val="105"/>
                <w:sz w:val="17"/>
              </w:rPr>
              <w:t>52.8</w:t>
            </w:r>
          </w:p>
        </w:tc>
        <w:tc>
          <w:tcPr>
            <w:tcW w:w="828" w:type="dxa"/>
          </w:tcPr>
          <w:p>
            <w:pPr>
              <w:pStyle w:val="TableParagraph"/>
              <w:ind w:left="74" w:right="76"/>
              <w:rPr>
                <w:sz w:val="17"/>
              </w:rPr>
            </w:pPr>
            <w:r>
              <w:rPr>
                <w:color w:val="231F20"/>
                <w:w w:val="105"/>
                <w:sz w:val="17"/>
              </w:rPr>
              <w:t>42.4</w:t>
            </w:r>
          </w:p>
        </w:tc>
        <w:tc>
          <w:tcPr>
            <w:tcW w:w="1041" w:type="dxa"/>
          </w:tcPr>
          <w:p>
            <w:pPr>
              <w:pStyle w:val="TableParagraph"/>
              <w:ind w:left="486"/>
              <w:jc w:val="left"/>
              <w:rPr>
                <w:sz w:val="17"/>
              </w:rPr>
            </w:pPr>
            <w:r>
              <w:rPr>
                <w:color w:val="231F20"/>
                <w:w w:val="105"/>
                <w:sz w:val="17"/>
              </w:rPr>
              <w:t>3.1</w:t>
            </w:r>
          </w:p>
        </w:tc>
        <w:tc>
          <w:tcPr>
            <w:tcW w:w="1093" w:type="dxa"/>
          </w:tcPr>
          <w:p>
            <w:pPr>
              <w:pStyle w:val="TableParagraph"/>
              <w:ind w:left="387" w:right="430"/>
              <w:rPr>
                <w:sz w:val="17"/>
              </w:rPr>
            </w:pPr>
            <w:r>
              <w:rPr>
                <w:color w:val="231F20"/>
                <w:w w:val="105"/>
                <w:sz w:val="17"/>
              </w:rPr>
              <w:t>1.7</w:t>
            </w:r>
          </w:p>
        </w:tc>
        <w:tc>
          <w:tcPr>
            <w:tcW w:w="693" w:type="dxa"/>
          </w:tcPr>
          <w:p>
            <w:pPr>
              <w:pStyle w:val="TableParagraph"/>
              <w:ind w:left="186"/>
              <w:jc w:val="left"/>
              <w:rPr>
                <w:sz w:val="17"/>
              </w:rPr>
            </w:pPr>
            <w:r>
              <w:rPr>
                <w:color w:val="231F20"/>
                <w:sz w:val="17"/>
              </w:rPr>
              <w:t>100</w:t>
            </w:r>
          </w:p>
        </w:tc>
        <w:tc>
          <w:tcPr>
            <w:tcW w:w="795" w:type="dxa"/>
          </w:tcPr>
          <w:p>
            <w:pPr>
              <w:pStyle w:val="TableParagraph"/>
              <w:ind w:left="85" w:right="67"/>
              <w:rPr>
                <w:sz w:val="17"/>
              </w:rPr>
            </w:pPr>
            <w:r>
              <w:rPr>
                <w:color w:val="231F20"/>
                <w:w w:val="105"/>
                <w:sz w:val="17"/>
              </w:rPr>
              <w:t>52.7</w:t>
            </w:r>
          </w:p>
        </w:tc>
        <w:tc>
          <w:tcPr>
            <w:tcW w:w="809" w:type="dxa"/>
          </w:tcPr>
          <w:p>
            <w:pPr>
              <w:pStyle w:val="TableParagraph"/>
              <w:ind w:left="64" w:right="68"/>
              <w:rPr>
                <w:sz w:val="17"/>
              </w:rPr>
            </w:pPr>
            <w:r>
              <w:rPr>
                <w:color w:val="231F20"/>
                <w:w w:val="105"/>
                <w:sz w:val="17"/>
              </w:rPr>
              <w:t>27.8</w:t>
            </w:r>
          </w:p>
        </w:tc>
        <w:tc>
          <w:tcPr>
            <w:tcW w:w="1032" w:type="dxa"/>
          </w:tcPr>
          <w:p>
            <w:pPr>
              <w:pStyle w:val="TableParagraph"/>
              <w:ind w:left="328" w:right="331"/>
              <w:rPr>
                <w:sz w:val="17"/>
              </w:rPr>
            </w:pPr>
            <w:r>
              <w:rPr>
                <w:color w:val="231F20"/>
                <w:w w:val="105"/>
                <w:sz w:val="17"/>
              </w:rPr>
              <w:t>16.0</w:t>
            </w:r>
          </w:p>
        </w:tc>
        <w:tc>
          <w:tcPr>
            <w:tcW w:w="1095" w:type="dxa"/>
          </w:tcPr>
          <w:p>
            <w:pPr>
              <w:pStyle w:val="TableParagraph"/>
              <w:ind w:left="405" w:right="126"/>
              <w:jc w:val="left"/>
              <w:rPr>
                <w:sz w:val="17"/>
              </w:rPr>
            </w:pPr>
            <w:r>
              <w:rPr>
                <w:color w:val="231F20"/>
                <w:w w:val="105"/>
                <w:sz w:val="17"/>
              </w:rPr>
              <w:t>3.5</w:t>
            </w:r>
          </w:p>
        </w:tc>
        <w:tc>
          <w:tcPr>
            <w:tcW w:w="718" w:type="dxa"/>
          </w:tcPr>
          <w:p>
            <w:pPr>
              <w:pStyle w:val="TableParagraph"/>
              <w:ind w:left="189"/>
              <w:jc w:val="left"/>
              <w:rPr>
                <w:sz w:val="17"/>
              </w:rPr>
            </w:pPr>
            <w:r>
              <w:rPr>
                <w:color w:val="231F20"/>
                <w:sz w:val="17"/>
              </w:rPr>
              <w:t>100</w:t>
            </w:r>
          </w:p>
        </w:tc>
      </w:tr>
      <w:tr>
        <w:trPr>
          <w:trHeight w:val="210" w:hRule="exact"/>
        </w:trPr>
        <w:tc>
          <w:tcPr>
            <w:tcW w:w="1749" w:type="dxa"/>
          </w:tcPr>
          <w:p>
            <w:pPr>
              <w:pStyle w:val="TableParagraph"/>
              <w:ind w:left="35" w:right="-6"/>
              <w:jc w:val="left"/>
              <w:rPr>
                <w:sz w:val="17"/>
              </w:rPr>
            </w:pPr>
            <w:r>
              <w:rPr>
                <w:color w:val="231F20"/>
                <w:w w:val="115"/>
                <w:sz w:val="17"/>
              </w:rPr>
              <w:t>Oaxaca</w:t>
            </w:r>
          </w:p>
        </w:tc>
        <w:tc>
          <w:tcPr>
            <w:tcW w:w="743" w:type="dxa"/>
          </w:tcPr>
          <w:p>
            <w:pPr>
              <w:pStyle w:val="TableParagraph"/>
              <w:ind w:left="25" w:right="76"/>
              <w:rPr>
                <w:sz w:val="17"/>
              </w:rPr>
            </w:pPr>
            <w:r>
              <w:rPr>
                <w:color w:val="231F20"/>
                <w:w w:val="105"/>
                <w:sz w:val="17"/>
              </w:rPr>
              <w:t>38.2</w:t>
            </w:r>
          </w:p>
        </w:tc>
        <w:tc>
          <w:tcPr>
            <w:tcW w:w="828" w:type="dxa"/>
          </w:tcPr>
          <w:p>
            <w:pPr>
              <w:pStyle w:val="TableParagraph"/>
              <w:ind w:left="74" w:right="76"/>
              <w:rPr>
                <w:sz w:val="17"/>
              </w:rPr>
            </w:pPr>
            <w:r>
              <w:rPr>
                <w:color w:val="231F20"/>
                <w:w w:val="105"/>
                <w:sz w:val="17"/>
              </w:rPr>
              <w:t>44.8</w:t>
            </w:r>
          </w:p>
        </w:tc>
        <w:tc>
          <w:tcPr>
            <w:tcW w:w="1041" w:type="dxa"/>
          </w:tcPr>
          <w:p>
            <w:pPr>
              <w:pStyle w:val="TableParagraph"/>
              <w:ind w:left="390"/>
              <w:jc w:val="left"/>
              <w:rPr>
                <w:sz w:val="17"/>
              </w:rPr>
            </w:pPr>
            <w:r>
              <w:rPr>
                <w:color w:val="231F20"/>
                <w:w w:val="105"/>
                <w:sz w:val="17"/>
              </w:rPr>
              <w:t>13.8</w:t>
            </w:r>
          </w:p>
        </w:tc>
        <w:tc>
          <w:tcPr>
            <w:tcW w:w="1093" w:type="dxa"/>
          </w:tcPr>
          <w:p>
            <w:pPr>
              <w:pStyle w:val="TableParagraph"/>
              <w:ind w:left="387" w:right="430"/>
              <w:rPr>
                <w:sz w:val="17"/>
              </w:rPr>
            </w:pPr>
            <w:r>
              <w:rPr>
                <w:color w:val="231F20"/>
                <w:w w:val="105"/>
                <w:sz w:val="17"/>
              </w:rPr>
              <w:t>3.3</w:t>
            </w:r>
          </w:p>
        </w:tc>
        <w:tc>
          <w:tcPr>
            <w:tcW w:w="693" w:type="dxa"/>
          </w:tcPr>
          <w:p>
            <w:pPr>
              <w:pStyle w:val="TableParagraph"/>
              <w:ind w:left="186"/>
              <w:jc w:val="left"/>
              <w:rPr>
                <w:sz w:val="17"/>
              </w:rPr>
            </w:pPr>
            <w:r>
              <w:rPr>
                <w:color w:val="231F20"/>
                <w:sz w:val="17"/>
              </w:rPr>
              <w:t>100</w:t>
            </w:r>
          </w:p>
        </w:tc>
        <w:tc>
          <w:tcPr>
            <w:tcW w:w="795" w:type="dxa"/>
          </w:tcPr>
          <w:p>
            <w:pPr>
              <w:pStyle w:val="TableParagraph"/>
              <w:ind w:left="85" w:right="67"/>
              <w:rPr>
                <w:sz w:val="17"/>
              </w:rPr>
            </w:pPr>
            <w:r>
              <w:rPr>
                <w:color w:val="231F20"/>
                <w:w w:val="105"/>
                <w:sz w:val="17"/>
              </w:rPr>
              <w:t>49.3</w:t>
            </w:r>
          </w:p>
        </w:tc>
        <w:tc>
          <w:tcPr>
            <w:tcW w:w="809" w:type="dxa"/>
          </w:tcPr>
          <w:p>
            <w:pPr>
              <w:pStyle w:val="TableParagraph"/>
              <w:ind w:left="64" w:right="68"/>
              <w:rPr>
                <w:sz w:val="17"/>
              </w:rPr>
            </w:pPr>
            <w:r>
              <w:rPr>
                <w:color w:val="231F20"/>
                <w:w w:val="105"/>
                <w:sz w:val="17"/>
              </w:rPr>
              <w:t>25.3</w:t>
            </w:r>
          </w:p>
        </w:tc>
        <w:tc>
          <w:tcPr>
            <w:tcW w:w="1032" w:type="dxa"/>
          </w:tcPr>
          <w:p>
            <w:pPr>
              <w:pStyle w:val="TableParagraph"/>
              <w:ind w:left="328" w:right="331"/>
              <w:rPr>
                <w:sz w:val="17"/>
              </w:rPr>
            </w:pPr>
            <w:r>
              <w:rPr>
                <w:color w:val="231F20"/>
                <w:w w:val="105"/>
                <w:sz w:val="17"/>
              </w:rPr>
              <w:t>21.8</w:t>
            </w:r>
          </w:p>
        </w:tc>
        <w:tc>
          <w:tcPr>
            <w:tcW w:w="1095" w:type="dxa"/>
          </w:tcPr>
          <w:p>
            <w:pPr>
              <w:pStyle w:val="TableParagraph"/>
              <w:ind w:left="405" w:right="126"/>
              <w:jc w:val="left"/>
              <w:rPr>
                <w:sz w:val="17"/>
              </w:rPr>
            </w:pPr>
            <w:r>
              <w:rPr>
                <w:color w:val="231F20"/>
                <w:w w:val="105"/>
                <w:sz w:val="17"/>
              </w:rPr>
              <w:t>3.6</w:t>
            </w:r>
          </w:p>
        </w:tc>
        <w:tc>
          <w:tcPr>
            <w:tcW w:w="718" w:type="dxa"/>
          </w:tcPr>
          <w:p>
            <w:pPr>
              <w:pStyle w:val="TableParagraph"/>
              <w:ind w:left="189"/>
              <w:jc w:val="left"/>
              <w:rPr>
                <w:sz w:val="17"/>
              </w:rPr>
            </w:pPr>
            <w:r>
              <w:rPr>
                <w:color w:val="231F20"/>
                <w:sz w:val="17"/>
              </w:rPr>
              <w:t>100</w:t>
            </w:r>
          </w:p>
        </w:tc>
      </w:tr>
      <w:tr>
        <w:trPr>
          <w:trHeight w:val="210" w:hRule="exact"/>
        </w:trPr>
        <w:tc>
          <w:tcPr>
            <w:tcW w:w="1749" w:type="dxa"/>
          </w:tcPr>
          <w:p>
            <w:pPr>
              <w:pStyle w:val="TableParagraph"/>
              <w:ind w:left="35" w:right="-6"/>
              <w:jc w:val="left"/>
              <w:rPr>
                <w:sz w:val="17"/>
              </w:rPr>
            </w:pPr>
            <w:r>
              <w:rPr>
                <w:color w:val="231F20"/>
                <w:w w:val="105"/>
                <w:sz w:val="17"/>
              </w:rPr>
              <w:t>Puebla</w:t>
            </w:r>
          </w:p>
        </w:tc>
        <w:tc>
          <w:tcPr>
            <w:tcW w:w="743" w:type="dxa"/>
          </w:tcPr>
          <w:p>
            <w:pPr>
              <w:pStyle w:val="TableParagraph"/>
              <w:ind w:left="25" w:right="76"/>
              <w:rPr>
                <w:sz w:val="17"/>
              </w:rPr>
            </w:pPr>
            <w:r>
              <w:rPr>
                <w:color w:val="231F20"/>
                <w:w w:val="105"/>
                <w:sz w:val="17"/>
              </w:rPr>
              <w:t>44.1</w:t>
            </w:r>
          </w:p>
        </w:tc>
        <w:tc>
          <w:tcPr>
            <w:tcW w:w="828" w:type="dxa"/>
          </w:tcPr>
          <w:p>
            <w:pPr>
              <w:pStyle w:val="TableParagraph"/>
              <w:ind w:left="74" w:right="76"/>
              <w:rPr>
                <w:sz w:val="17"/>
              </w:rPr>
            </w:pPr>
            <w:r>
              <w:rPr>
                <w:color w:val="231F20"/>
                <w:w w:val="105"/>
                <w:sz w:val="17"/>
              </w:rPr>
              <w:t>37.3</w:t>
            </w:r>
          </w:p>
        </w:tc>
        <w:tc>
          <w:tcPr>
            <w:tcW w:w="1041" w:type="dxa"/>
          </w:tcPr>
          <w:p>
            <w:pPr>
              <w:pStyle w:val="TableParagraph"/>
              <w:ind w:left="390"/>
              <w:jc w:val="left"/>
              <w:rPr>
                <w:sz w:val="17"/>
              </w:rPr>
            </w:pPr>
            <w:r>
              <w:rPr>
                <w:color w:val="231F20"/>
                <w:w w:val="105"/>
                <w:sz w:val="17"/>
              </w:rPr>
              <w:t>15.8</w:t>
            </w:r>
          </w:p>
        </w:tc>
        <w:tc>
          <w:tcPr>
            <w:tcW w:w="1093" w:type="dxa"/>
          </w:tcPr>
          <w:p>
            <w:pPr>
              <w:pStyle w:val="TableParagraph"/>
              <w:ind w:left="387" w:right="430"/>
              <w:rPr>
                <w:sz w:val="17"/>
              </w:rPr>
            </w:pPr>
            <w:r>
              <w:rPr>
                <w:color w:val="231F20"/>
                <w:w w:val="105"/>
                <w:sz w:val="17"/>
              </w:rPr>
              <w:t>2.8</w:t>
            </w:r>
          </w:p>
        </w:tc>
        <w:tc>
          <w:tcPr>
            <w:tcW w:w="693" w:type="dxa"/>
          </w:tcPr>
          <w:p>
            <w:pPr>
              <w:pStyle w:val="TableParagraph"/>
              <w:ind w:left="186"/>
              <w:jc w:val="left"/>
              <w:rPr>
                <w:sz w:val="17"/>
              </w:rPr>
            </w:pPr>
            <w:r>
              <w:rPr>
                <w:color w:val="231F20"/>
                <w:sz w:val="17"/>
              </w:rPr>
              <w:t>100</w:t>
            </w:r>
          </w:p>
        </w:tc>
        <w:tc>
          <w:tcPr>
            <w:tcW w:w="795" w:type="dxa"/>
          </w:tcPr>
          <w:p>
            <w:pPr>
              <w:pStyle w:val="TableParagraph"/>
              <w:ind w:left="85" w:right="67"/>
              <w:rPr>
                <w:sz w:val="17"/>
              </w:rPr>
            </w:pPr>
            <w:r>
              <w:rPr>
                <w:color w:val="231F20"/>
                <w:w w:val="105"/>
                <w:sz w:val="17"/>
              </w:rPr>
              <w:t>50.3</w:t>
            </w:r>
          </w:p>
        </w:tc>
        <w:tc>
          <w:tcPr>
            <w:tcW w:w="809" w:type="dxa"/>
          </w:tcPr>
          <w:p>
            <w:pPr>
              <w:pStyle w:val="TableParagraph"/>
              <w:ind w:left="64" w:right="68"/>
              <w:rPr>
                <w:sz w:val="17"/>
              </w:rPr>
            </w:pPr>
            <w:r>
              <w:rPr>
                <w:color w:val="231F20"/>
                <w:w w:val="105"/>
                <w:sz w:val="17"/>
              </w:rPr>
              <w:t>15.3</w:t>
            </w:r>
          </w:p>
        </w:tc>
        <w:tc>
          <w:tcPr>
            <w:tcW w:w="1032" w:type="dxa"/>
          </w:tcPr>
          <w:p>
            <w:pPr>
              <w:pStyle w:val="TableParagraph"/>
              <w:ind w:left="328" w:right="331"/>
              <w:rPr>
                <w:sz w:val="17"/>
              </w:rPr>
            </w:pPr>
            <w:r>
              <w:rPr>
                <w:color w:val="231F20"/>
                <w:w w:val="105"/>
                <w:sz w:val="17"/>
              </w:rPr>
              <w:t>30.3</w:t>
            </w:r>
          </w:p>
        </w:tc>
        <w:tc>
          <w:tcPr>
            <w:tcW w:w="1095" w:type="dxa"/>
          </w:tcPr>
          <w:p>
            <w:pPr>
              <w:pStyle w:val="TableParagraph"/>
              <w:ind w:left="405" w:right="126"/>
              <w:jc w:val="left"/>
              <w:rPr>
                <w:sz w:val="17"/>
              </w:rPr>
            </w:pPr>
            <w:r>
              <w:rPr>
                <w:color w:val="231F20"/>
                <w:w w:val="105"/>
                <w:sz w:val="17"/>
              </w:rPr>
              <w:t>4.1</w:t>
            </w:r>
          </w:p>
        </w:tc>
        <w:tc>
          <w:tcPr>
            <w:tcW w:w="718" w:type="dxa"/>
          </w:tcPr>
          <w:p>
            <w:pPr>
              <w:pStyle w:val="TableParagraph"/>
              <w:ind w:left="189"/>
              <w:jc w:val="left"/>
              <w:rPr>
                <w:sz w:val="17"/>
              </w:rPr>
            </w:pPr>
            <w:r>
              <w:rPr>
                <w:color w:val="231F20"/>
                <w:sz w:val="17"/>
              </w:rPr>
              <w:t>100</w:t>
            </w:r>
          </w:p>
        </w:tc>
      </w:tr>
      <w:tr>
        <w:trPr>
          <w:trHeight w:val="210" w:hRule="exact"/>
        </w:trPr>
        <w:tc>
          <w:tcPr>
            <w:tcW w:w="1749" w:type="dxa"/>
          </w:tcPr>
          <w:p>
            <w:pPr>
              <w:pStyle w:val="TableParagraph"/>
              <w:ind w:left="35" w:right="-6"/>
              <w:jc w:val="left"/>
              <w:rPr>
                <w:sz w:val="17"/>
              </w:rPr>
            </w:pPr>
            <w:r>
              <w:rPr>
                <w:color w:val="231F20"/>
                <w:w w:val="110"/>
                <w:sz w:val="17"/>
              </w:rPr>
              <w:t>Querétaro</w:t>
            </w:r>
          </w:p>
        </w:tc>
        <w:tc>
          <w:tcPr>
            <w:tcW w:w="743" w:type="dxa"/>
          </w:tcPr>
          <w:p>
            <w:pPr>
              <w:pStyle w:val="TableParagraph"/>
              <w:ind w:left="25" w:right="76"/>
              <w:rPr>
                <w:sz w:val="17"/>
              </w:rPr>
            </w:pPr>
            <w:r>
              <w:rPr>
                <w:color w:val="231F20"/>
                <w:w w:val="105"/>
                <w:sz w:val="17"/>
              </w:rPr>
              <w:t>47.9</w:t>
            </w:r>
          </w:p>
        </w:tc>
        <w:tc>
          <w:tcPr>
            <w:tcW w:w="828" w:type="dxa"/>
          </w:tcPr>
          <w:p>
            <w:pPr>
              <w:pStyle w:val="TableParagraph"/>
              <w:ind w:left="74" w:right="76"/>
              <w:rPr>
                <w:sz w:val="17"/>
              </w:rPr>
            </w:pPr>
            <w:r>
              <w:rPr>
                <w:color w:val="231F20"/>
                <w:w w:val="105"/>
                <w:sz w:val="17"/>
              </w:rPr>
              <w:t>43.9</w:t>
            </w:r>
          </w:p>
        </w:tc>
        <w:tc>
          <w:tcPr>
            <w:tcW w:w="1041" w:type="dxa"/>
          </w:tcPr>
          <w:p>
            <w:pPr>
              <w:pStyle w:val="TableParagraph"/>
              <w:ind w:left="486"/>
              <w:jc w:val="left"/>
              <w:rPr>
                <w:sz w:val="17"/>
              </w:rPr>
            </w:pPr>
            <w:r>
              <w:rPr>
                <w:color w:val="231F20"/>
                <w:w w:val="105"/>
                <w:sz w:val="17"/>
              </w:rPr>
              <w:t>6.5</w:t>
            </w:r>
          </w:p>
        </w:tc>
        <w:tc>
          <w:tcPr>
            <w:tcW w:w="1093" w:type="dxa"/>
          </w:tcPr>
          <w:p>
            <w:pPr>
              <w:pStyle w:val="TableParagraph"/>
              <w:ind w:left="387" w:right="430"/>
              <w:rPr>
                <w:sz w:val="17"/>
              </w:rPr>
            </w:pPr>
            <w:r>
              <w:rPr>
                <w:color w:val="231F20"/>
                <w:w w:val="105"/>
                <w:sz w:val="17"/>
              </w:rPr>
              <w:t>1.6</w:t>
            </w:r>
          </w:p>
        </w:tc>
        <w:tc>
          <w:tcPr>
            <w:tcW w:w="693" w:type="dxa"/>
          </w:tcPr>
          <w:p>
            <w:pPr>
              <w:pStyle w:val="TableParagraph"/>
              <w:ind w:left="186"/>
              <w:jc w:val="left"/>
              <w:rPr>
                <w:sz w:val="17"/>
              </w:rPr>
            </w:pPr>
            <w:r>
              <w:rPr>
                <w:color w:val="231F20"/>
                <w:sz w:val="17"/>
              </w:rPr>
              <w:t>100</w:t>
            </w:r>
          </w:p>
        </w:tc>
        <w:tc>
          <w:tcPr>
            <w:tcW w:w="795" w:type="dxa"/>
          </w:tcPr>
          <w:p>
            <w:pPr>
              <w:pStyle w:val="TableParagraph"/>
              <w:ind w:left="85" w:right="67"/>
              <w:rPr>
                <w:sz w:val="17"/>
              </w:rPr>
            </w:pPr>
            <w:r>
              <w:rPr>
                <w:color w:val="231F20"/>
                <w:w w:val="105"/>
                <w:sz w:val="17"/>
              </w:rPr>
              <w:t>55.7</w:t>
            </w:r>
          </w:p>
        </w:tc>
        <w:tc>
          <w:tcPr>
            <w:tcW w:w="809" w:type="dxa"/>
          </w:tcPr>
          <w:p>
            <w:pPr>
              <w:pStyle w:val="TableParagraph"/>
              <w:ind w:left="64" w:right="68"/>
              <w:rPr>
                <w:sz w:val="17"/>
              </w:rPr>
            </w:pPr>
            <w:r>
              <w:rPr>
                <w:color w:val="231F20"/>
                <w:w w:val="105"/>
                <w:sz w:val="17"/>
              </w:rPr>
              <w:t>18.7</w:t>
            </w:r>
          </w:p>
        </w:tc>
        <w:tc>
          <w:tcPr>
            <w:tcW w:w="1032" w:type="dxa"/>
          </w:tcPr>
          <w:p>
            <w:pPr>
              <w:pStyle w:val="TableParagraph"/>
              <w:ind w:left="328" w:right="331"/>
              <w:rPr>
                <w:sz w:val="17"/>
              </w:rPr>
            </w:pPr>
            <w:r>
              <w:rPr>
                <w:color w:val="231F20"/>
                <w:w w:val="105"/>
                <w:sz w:val="17"/>
              </w:rPr>
              <w:t>23.2</w:t>
            </w:r>
          </w:p>
        </w:tc>
        <w:tc>
          <w:tcPr>
            <w:tcW w:w="1095" w:type="dxa"/>
          </w:tcPr>
          <w:p>
            <w:pPr>
              <w:pStyle w:val="TableParagraph"/>
              <w:ind w:left="405" w:right="126"/>
              <w:jc w:val="left"/>
              <w:rPr>
                <w:sz w:val="17"/>
              </w:rPr>
            </w:pPr>
            <w:r>
              <w:rPr>
                <w:color w:val="231F20"/>
                <w:w w:val="105"/>
                <w:sz w:val="17"/>
              </w:rPr>
              <w:t>2.5</w:t>
            </w:r>
          </w:p>
        </w:tc>
        <w:tc>
          <w:tcPr>
            <w:tcW w:w="718" w:type="dxa"/>
          </w:tcPr>
          <w:p>
            <w:pPr>
              <w:pStyle w:val="TableParagraph"/>
              <w:ind w:left="189"/>
              <w:jc w:val="left"/>
              <w:rPr>
                <w:sz w:val="17"/>
              </w:rPr>
            </w:pPr>
            <w:r>
              <w:rPr>
                <w:color w:val="231F20"/>
                <w:sz w:val="17"/>
              </w:rPr>
              <w:t>100</w:t>
            </w:r>
          </w:p>
        </w:tc>
      </w:tr>
      <w:tr>
        <w:trPr>
          <w:trHeight w:val="210" w:hRule="exact"/>
        </w:trPr>
        <w:tc>
          <w:tcPr>
            <w:tcW w:w="1749" w:type="dxa"/>
          </w:tcPr>
          <w:p>
            <w:pPr>
              <w:pStyle w:val="TableParagraph"/>
              <w:ind w:left="35" w:right="-6"/>
              <w:jc w:val="left"/>
              <w:rPr>
                <w:sz w:val="17"/>
              </w:rPr>
            </w:pPr>
            <w:r>
              <w:rPr>
                <w:color w:val="231F20"/>
                <w:w w:val="110"/>
                <w:sz w:val="17"/>
              </w:rPr>
              <w:t>Quintana Roo</w:t>
            </w:r>
          </w:p>
        </w:tc>
        <w:tc>
          <w:tcPr>
            <w:tcW w:w="743" w:type="dxa"/>
          </w:tcPr>
          <w:p>
            <w:pPr>
              <w:pStyle w:val="TableParagraph"/>
              <w:ind w:left="25" w:right="76"/>
              <w:rPr>
                <w:sz w:val="17"/>
              </w:rPr>
            </w:pPr>
            <w:r>
              <w:rPr>
                <w:color w:val="231F20"/>
                <w:w w:val="105"/>
                <w:sz w:val="17"/>
              </w:rPr>
              <w:t>28.8</w:t>
            </w:r>
          </w:p>
        </w:tc>
        <w:tc>
          <w:tcPr>
            <w:tcW w:w="828" w:type="dxa"/>
          </w:tcPr>
          <w:p>
            <w:pPr>
              <w:pStyle w:val="TableParagraph"/>
              <w:ind w:left="74" w:right="76"/>
              <w:rPr>
                <w:sz w:val="17"/>
              </w:rPr>
            </w:pPr>
            <w:r>
              <w:rPr>
                <w:color w:val="231F20"/>
                <w:w w:val="105"/>
                <w:sz w:val="17"/>
              </w:rPr>
              <w:t>55.8</w:t>
            </w:r>
          </w:p>
        </w:tc>
        <w:tc>
          <w:tcPr>
            <w:tcW w:w="1041" w:type="dxa"/>
          </w:tcPr>
          <w:p>
            <w:pPr>
              <w:pStyle w:val="TableParagraph"/>
              <w:ind w:left="390"/>
              <w:jc w:val="left"/>
              <w:rPr>
                <w:sz w:val="17"/>
              </w:rPr>
            </w:pPr>
            <w:r>
              <w:rPr>
                <w:color w:val="231F20"/>
                <w:w w:val="105"/>
                <w:sz w:val="17"/>
              </w:rPr>
              <w:t>13.1</w:t>
            </w:r>
          </w:p>
        </w:tc>
        <w:tc>
          <w:tcPr>
            <w:tcW w:w="1093" w:type="dxa"/>
          </w:tcPr>
          <w:p>
            <w:pPr>
              <w:pStyle w:val="TableParagraph"/>
              <w:ind w:left="387" w:right="430"/>
              <w:rPr>
                <w:sz w:val="17"/>
              </w:rPr>
            </w:pPr>
            <w:r>
              <w:rPr>
                <w:color w:val="231F20"/>
                <w:w w:val="105"/>
                <w:sz w:val="17"/>
              </w:rPr>
              <w:t>2.3</w:t>
            </w:r>
          </w:p>
        </w:tc>
        <w:tc>
          <w:tcPr>
            <w:tcW w:w="693" w:type="dxa"/>
          </w:tcPr>
          <w:p>
            <w:pPr>
              <w:pStyle w:val="TableParagraph"/>
              <w:ind w:left="186"/>
              <w:jc w:val="left"/>
              <w:rPr>
                <w:sz w:val="17"/>
              </w:rPr>
            </w:pPr>
            <w:r>
              <w:rPr>
                <w:color w:val="231F20"/>
                <w:sz w:val="17"/>
              </w:rPr>
              <w:t>100</w:t>
            </w:r>
          </w:p>
        </w:tc>
        <w:tc>
          <w:tcPr>
            <w:tcW w:w="795" w:type="dxa"/>
          </w:tcPr>
          <w:p>
            <w:pPr>
              <w:pStyle w:val="TableParagraph"/>
              <w:ind w:left="85" w:right="67"/>
              <w:rPr>
                <w:sz w:val="17"/>
              </w:rPr>
            </w:pPr>
            <w:r>
              <w:rPr>
                <w:color w:val="231F20"/>
                <w:w w:val="105"/>
                <w:sz w:val="17"/>
              </w:rPr>
              <w:t>40.4</w:t>
            </w:r>
          </w:p>
        </w:tc>
        <w:tc>
          <w:tcPr>
            <w:tcW w:w="809" w:type="dxa"/>
          </w:tcPr>
          <w:p>
            <w:pPr>
              <w:pStyle w:val="TableParagraph"/>
              <w:ind w:left="64" w:right="68"/>
              <w:rPr>
                <w:sz w:val="17"/>
              </w:rPr>
            </w:pPr>
            <w:r>
              <w:rPr>
                <w:color w:val="231F20"/>
                <w:w w:val="105"/>
                <w:sz w:val="17"/>
              </w:rPr>
              <w:t>24.5</w:t>
            </w:r>
          </w:p>
        </w:tc>
        <w:tc>
          <w:tcPr>
            <w:tcW w:w="1032" w:type="dxa"/>
          </w:tcPr>
          <w:p>
            <w:pPr>
              <w:pStyle w:val="TableParagraph"/>
              <w:ind w:left="328" w:right="331"/>
              <w:rPr>
                <w:sz w:val="17"/>
              </w:rPr>
            </w:pPr>
            <w:r>
              <w:rPr>
                <w:color w:val="231F20"/>
                <w:w w:val="105"/>
                <w:sz w:val="17"/>
              </w:rPr>
              <w:t>31.1</w:t>
            </w:r>
          </w:p>
        </w:tc>
        <w:tc>
          <w:tcPr>
            <w:tcW w:w="1095" w:type="dxa"/>
          </w:tcPr>
          <w:p>
            <w:pPr>
              <w:pStyle w:val="TableParagraph"/>
              <w:ind w:left="405" w:right="126"/>
              <w:jc w:val="left"/>
              <w:rPr>
                <w:sz w:val="17"/>
              </w:rPr>
            </w:pPr>
            <w:r>
              <w:rPr>
                <w:color w:val="231F20"/>
                <w:w w:val="105"/>
                <w:sz w:val="17"/>
              </w:rPr>
              <w:t>4.0</w:t>
            </w:r>
          </w:p>
        </w:tc>
        <w:tc>
          <w:tcPr>
            <w:tcW w:w="718" w:type="dxa"/>
          </w:tcPr>
          <w:p>
            <w:pPr>
              <w:pStyle w:val="TableParagraph"/>
              <w:ind w:left="189"/>
              <w:jc w:val="left"/>
              <w:rPr>
                <w:sz w:val="17"/>
              </w:rPr>
            </w:pPr>
            <w:r>
              <w:rPr>
                <w:color w:val="231F20"/>
                <w:sz w:val="17"/>
              </w:rPr>
              <w:t>100</w:t>
            </w:r>
          </w:p>
        </w:tc>
      </w:tr>
      <w:tr>
        <w:trPr>
          <w:trHeight w:val="210" w:hRule="exact"/>
        </w:trPr>
        <w:tc>
          <w:tcPr>
            <w:tcW w:w="1749" w:type="dxa"/>
          </w:tcPr>
          <w:p>
            <w:pPr>
              <w:pStyle w:val="TableParagraph"/>
              <w:ind w:left="35" w:right="-6"/>
              <w:jc w:val="left"/>
              <w:rPr>
                <w:sz w:val="17"/>
              </w:rPr>
            </w:pPr>
            <w:r>
              <w:rPr>
                <w:color w:val="231F20"/>
                <w:w w:val="110"/>
                <w:sz w:val="17"/>
              </w:rPr>
              <w:t>San Luis Potosí</w:t>
            </w:r>
          </w:p>
        </w:tc>
        <w:tc>
          <w:tcPr>
            <w:tcW w:w="743" w:type="dxa"/>
          </w:tcPr>
          <w:p>
            <w:pPr>
              <w:pStyle w:val="TableParagraph"/>
              <w:ind w:left="25" w:right="76"/>
              <w:rPr>
                <w:sz w:val="17"/>
              </w:rPr>
            </w:pPr>
            <w:r>
              <w:rPr>
                <w:color w:val="231F20"/>
                <w:w w:val="105"/>
                <w:sz w:val="17"/>
              </w:rPr>
              <w:t>44.9</w:t>
            </w:r>
          </w:p>
        </w:tc>
        <w:tc>
          <w:tcPr>
            <w:tcW w:w="828" w:type="dxa"/>
          </w:tcPr>
          <w:p>
            <w:pPr>
              <w:pStyle w:val="TableParagraph"/>
              <w:ind w:left="74" w:right="76"/>
              <w:rPr>
                <w:sz w:val="17"/>
              </w:rPr>
            </w:pPr>
            <w:r>
              <w:rPr>
                <w:color w:val="231F20"/>
                <w:w w:val="105"/>
                <w:sz w:val="17"/>
              </w:rPr>
              <w:t>45.7</w:t>
            </w:r>
          </w:p>
        </w:tc>
        <w:tc>
          <w:tcPr>
            <w:tcW w:w="1041" w:type="dxa"/>
          </w:tcPr>
          <w:p>
            <w:pPr>
              <w:pStyle w:val="TableParagraph"/>
              <w:ind w:left="486"/>
              <w:jc w:val="left"/>
              <w:rPr>
                <w:sz w:val="17"/>
              </w:rPr>
            </w:pPr>
            <w:r>
              <w:rPr>
                <w:color w:val="231F20"/>
                <w:w w:val="105"/>
                <w:sz w:val="17"/>
              </w:rPr>
              <w:t>7.5</w:t>
            </w:r>
          </w:p>
        </w:tc>
        <w:tc>
          <w:tcPr>
            <w:tcW w:w="1093" w:type="dxa"/>
          </w:tcPr>
          <w:p>
            <w:pPr>
              <w:pStyle w:val="TableParagraph"/>
              <w:ind w:left="387" w:right="430"/>
              <w:rPr>
                <w:sz w:val="17"/>
              </w:rPr>
            </w:pPr>
            <w:r>
              <w:rPr>
                <w:color w:val="231F20"/>
                <w:w w:val="105"/>
                <w:sz w:val="17"/>
              </w:rPr>
              <w:t>1.9</w:t>
            </w:r>
          </w:p>
        </w:tc>
        <w:tc>
          <w:tcPr>
            <w:tcW w:w="693" w:type="dxa"/>
          </w:tcPr>
          <w:p>
            <w:pPr>
              <w:pStyle w:val="TableParagraph"/>
              <w:ind w:left="186"/>
              <w:jc w:val="left"/>
              <w:rPr>
                <w:sz w:val="17"/>
              </w:rPr>
            </w:pPr>
            <w:r>
              <w:rPr>
                <w:color w:val="231F20"/>
                <w:sz w:val="17"/>
              </w:rPr>
              <w:t>100</w:t>
            </w:r>
          </w:p>
        </w:tc>
        <w:tc>
          <w:tcPr>
            <w:tcW w:w="795" w:type="dxa"/>
          </w:tcPr>
          <w:p>
            <w:pPr>
              <w:pStyle w:val="TableParagraph"/>
              <w:ind w:left="85" w:right="67"/>
              <w:rPr>
                <w:sz w:val="17"/>
              </w:rPr>
            </w:pPr>
            <w:r>
              <w:rPr>
                <w:color w:val="231F20"/>
                <w:w w:val="105"/>
                <w:sz w:val="17"/>
              </w:rPr>
              <w:t>50.9</w:t>
            </w:r>
          </w:p>
        </w:tc>
        <w:tc>
          <w:tcPr>
            <w:tcW w:w="809" w:type="dxa"/>
          </w:tcPr>
          <w:p>
            <w:pPr>
              <w:pStyle w:val="TableParagraph"/>
              <w:ind w:left="64" w:right="68"/>
              <w:rPr>
                <w:sz w:val="17"/>
              </w:rPr>
            </w:pPr>
            <w:r>
              <w:rPr>
                <w:color w:val="231F20"/>
                <w:w w:val="105"/>
                <w:sz w:val="17"/>
              </w:rPr>
              <w:t>23.0</w:t>
            </w:r>
          </w:p>
        </w:tc>
        <w:tc>
          <w:tcPr>
            <w:tcW w:w="1032" w:type="dxa"/>
          </w:tcPr>
          <w:p>
            <w:pPr>
              <w:pStyle w:val="TableParagraph"/>
              <w:ind w:left="328" w:right="331"/>
              <w:rPr>
                <w:sz w:val="17"/>
              </w:rPr>
            </w:pPr>
            <w:r>
              <w:rPr>
                <w:color w:val="231F20"/>
                <w:w w:val="105"/>
                <w:sz w:val="17"/>
              </w:rPr>
              <w:t>22.8</w:t>
            </w:r>
          </w:p>
        </w:tc>
        <w:tc>
          <w:tcPr>
            <w:tcW w:w="1095" w:type="dxa"/>
          </w:tcPr>
          <w:p>
            <w:pPr>
              <w:pStyle w:val="TableParagraph"/>
              <w:ind w:left="405" w:right="126"/>
              <w:jc w:val="left"/>
              <w:rPr>
                <w:sz w:val="17"/>
              </w:rPr>
            </w:pPr>
            <w:r>
              <w:rPr>
                <w:color w:val="231F20"/>
                <w:w w:val="105"/>
                <w:sz w:val="17"/>
              </w:rPr>
              <w:t>3.3</w:t>
            </w:r>
          </w:p>
        </w:tc>
        <w:tc>
          <w:tcPr>
            <w:tcW w:w="718" w:type="dxa"/>
          </w:tcPr>
          <w:p>
            <w:pPr>
              <w:pStyle w:val="TableParagraph"/>
              <w:ind w:left="189"/>
              <w:jc w:val="left"/>
              <w:rPr>
                <w:sz w:val="17"/>
              </w:rPr>
            </w:pPr>
            <w:r>
              <w:rPr>
                <w:color w:val="231F20"/>
                <w:sz w:val="17"/>
              </w:rPr>
              <w:t>100</w:t>
            </w:r>
          </w:p>
        </w:tc>
      </w:tr>
      <w:tr>
        <w:trPr>
          <w:trHeight w:val="210" w:hRule="exact"/>
        </w:trPr>
        <w:tc>
          <w:tcPr>
            <w:tcW w:w="1749" w:type="dxa"/>
          </w:tcPr>
          <w:p>
            <w:pPr>
              <w:pStyle w:val="TableParagraph"/>
              <w:ind w:left="35" w:right="-6"/>
              <w:jc w:val="left"/>
              <w:rPr>
                <w:sz w:val="17"/>
              </w:rPr>
            </w:pPr>
            <w:r>
              <w:rPr>
                <w:color w:val="231F20"/>
                <w:w w:val="110"/>
                <w:sz w:val="17"/>
              </w:rPr>
              <w:t>Sinaloa</w:t>
            </w:r>
          </w:p>
        </w:tc>
        <w:tc>
          <w:tcPr>
            <w:tcW w:w="743" w:type="dxa"/>
          </w:tcPr>
          <w:p>
            <w:pPr>
              <w:pStyle w:val="TableParagraph"/>
              <w:ind w:left="25" w:right="76"/>
              <w:rPr>
                <w:sz w:val="17"/>
              </w:rPr>
            </w:pPr>
            <w:r>
              <w:rPr>
                <w:color w:val="231F20"/>
                <w:w w:val="105"/>
                <w:sz w:val="17"/>
              </w:rPr>
              <w:t>43.9</w:t>
            </w:r>
          </w:p>
        </w:tc>
        <w:tc>
          <w:tcPr>
            <w:tcW w:w="828" w:type="dxa"/>
          </w:tcPr>
          <w:p>
            <w:pPr>
              <w:pStyle w:val="TableParagraph"/>
              <w:ind w:left="74" w:right="76"/>
              <w:rPr>
                <w:sz w:val="17"/>
              </w:rPr>
            </w:pPr>
            <w:r>
              <w:rPr>
                <w:color w:val="231F20"/>
                <w:w w:val="105"/>
                <w:sz w:val="17"/>
              </w:rPr>
              <w:t>35.8</w:t>
            </w:r>
          </w:p>
        </w:tc>
        <w:tc>
          <w:tcPr>
            <w:tcW w:w="1041" w:type="dxa"/>
          </w:tcPr>
          <w:p>
            <w:pPr>
              <w:pStyle w:val="TableParagraph"/>
              <w:ind w:left="390"/>
              <w:jc w:val="left"/>
              <w:rPr>
                <w:sz w:val="17"/>
              </w:rPr>
            </w:pPr>
            <w:r>
              <w:rPr>
                <w:color w:val="231F20"/>
                <w:w w:val="105"/>
                <w:sz w:val="17"/>
              </w:rPr>
              <w:t>16.9</w:t>
            </w:r>
          </w:p>
        </w:tc>
        <w:tc>
          <w:tcPr>
            <w:tcW w:w="1093" w:type="dxa"/>
          </w:tcPr>
          <w:p>
            <w:pPr>
              <w:pStyle w:val="TableParagraph"/>
              <w:ind w:left="387" w:right="430"/>
              <w:rPr>
                <w:sz w:val="17"/>
              </w:rPr>
            </w:pPr>
            <w:r>
              <w:rPr>
                <w:color w:val="231F20"/>
                <w:w w:val="105"/>
                <w:sz w:val="17"/>
              </w:rPr>
              <w:t>3.4</w:t>
            </w:r>
          </w:p>
        </w:tc>
        <w:tc>
          <w:tcPr>
            <w:tcW w:w="693" w:type="dxa"/>
          </w:tcPr>
          <w:p>
            <w:pPr>
              <w:pStyle w:val="TableParagraph"/>
              <w:ind w:left="186"/>
              <w:jc w:val="left"/>
              <w:rPr>
                <w:sz w:val="17"/>
              </w:rPr>
            </w:pPr>
            <w:r>
              <w:rPr>
                <w:color w:val="231F20"/>
                <w:sz w:val="17"/>
              </w:rPr>
              <w:t>100</w:t>
            </w:r>
          </w:p>
        </w:tc>
        <w:tc>
          <w:tcPr>
            <w:tcW w:w="795" w:type="dxa"/>
          </w:tcPr>
          <w:p>
            <w:pPr>
              <w:pStyle w:val="TableParagraph"/>
              <w:ind w:left="85" w:right="67"/>
              <w:rPr>
                <w:sz w:val="17"/>
              </w:rPr>
            </w:pPr>
            <w:r>
              <w:rPr>
                <w:color w:val="231F20"/>
                <w:w w:val="105"/>
                <w:sz w:val="17"/>
              </w:rPr>
              <w:t>48.3</w:t>
            </w:r>
          </w:p>
        </w:tc>
        <w:tc>
          <w:tcPr>
            <w:tcW w:w="809" w:type="dxa"/>
          </w:tcPr>
          <w:p>
            <w:pPr>
              <w:pStyle w:val="TableParagraph"/>
              <w:ind w:left="64" w:right="68"/>
              <w:rPr>
                <w:sz w:val="17"/>
              </w:rPr>
            </w:pPr>
            <w:r>
              <w:rPr>
                <w:color w:val="231F20"/>
                <w:w w:val="105"/>
                <w:sz w:val="17"/>
              </w:rPr>
              <w:t>24.1</w:t>
            </w:r>
          </w:p>
        </w:tc>
        <w:tc>
          <w:tcPr>
            <w:tcW w:w="1032" w:type="dxa"/>
          </w:tcPr>
          <w:p>
            <w:pPr>
              <w:pStyle w:val="TableParagraph"/>
              <w:ind w:left="328" w:right="331"/>
              <w:rPr>
                <w:sz w:val="17"/>
              </w:rPr>
            </w:pPr>
            <w:r>
              <w:rPr>
                <w:color w:val="231F20"/>
                <w:w w:val="105"/>
                <w:sz w:val="17"/>
              </w:rPr>
              <w:t>22.5</w:t>
            </w:r>
          </w:p>
        </w:tc>
        <w:tc>
          <w:tcPr>
            <w:tcW w:w="1095" w:type="dxa"/>
          </w:tcPr>
          <w:p>
            <w:pPr>
              <w:pStyle w:val="TableParagraph"/>
              <w:ind w:left="405" w:right="126"/>
              <w:jc w:val="left"/>
              <w:rPr>
                <w:sz w:val="17"/>
              </w:rPr>
            </w:pPr>
            <w:r>
              <w:rPr>
                <w:color w:val="231F20"/>
                <w:w w:val="105"/>
                <w:sz w:val="17"/>
              </w:rPr>
              <w:t>5.1</w:t>
            </w:r>
          </w:p>
        </w:tc>
        <w:tc>
          <w:tcPr>
            <w:tcW w:w="718" w:type="dxa"/>
          </w:tcPr>
          <w:p>
            <w:pPr>
              <w:pStyle w:val="TableParagraph"/>
              <w:ind w:left="189"/>
              <w:jc w:val="left"/>
              <w:rPr>
                <w:sz w:val="17"/>
              </w:rPr>
            </w:pPr>
            <w:r>
              <w:rPr>
                <w:color w:val="231F20"/>
                <w:sz w:val="17"/>
              </w:rPr>
              <w:t>100</w:t>
            </w:r>
          </w:p>
        </w:tc>
      </w:tr>
      <w:tr>
        <w:trPr>
          <w:trHeight w:val="210" w:hRule="exact"/>
        </w:trPr>
        <w:tc>
          <w:tcPr>
            <w:tcW w:w="1749" w:type="dxa"/>
          </w:tcPr>
          <w:p>
            <w:pPr>
              <w:pStyle w:val="TableParagraph"/>
              <w:ind w:left="35" w:right="-6"/>
              <w:jc w:val="left"/>
              <w:rPr>
                <w:sz w:val="17"/>
              </w:rPr>
            </w:pPr>
            <w:r>
              <w:rPr>
                <w:color w:val="231F20"/>
                <w:w w:val="110"/>
                <w:sz w:val="17"/>
              </w:rPr>
              <w:t>Sonora</w:t>
            </w:r>
          </w:p>
        </w:tc>
        <w:tc>
          <w:tcPr>
            <w:tcW w:w="743" w:type="dxa"/>
          </w:tcPr>
          <w:p>
            <w:pPr>
              <w:pStyle w:val="TableParagraph"/>
              <w:ind w:left="25" w:right="76"/>
              <w:rPr>
                <w:sz w:val="17"/>
              </w:rPr>
            </w:pPr>
            <w:r>
              <w:rPr>
                <w:color w:val="231F20"/>
                <w:w w:val="105"/>
                <w:sz w:val="17"/>
              </w:rPr>
              <w:t>47.7</w:t>
            </w:r>
          </w:p>
        </w:tc>
        <w:tc>
          <w:tcPr>
            <w:tcW w:w="828" w:type="dxa"/>
          </w:tcPr>
          <w:p>
            <w:pPr>
              <w:pStyle w:val="TableParagraph"/>
              <w:ind w:left="74" w:right="76"/>
              <w:rPr>
                <w:sz w:val="17"/>
              </w:rPr>
            </w:pPr>
            <w:r>
              <w:rPr>
                <w:color w:val="231F20"/>
                <w:w w:val="105"/>
                <w:sz w:val="17"/>
              </w:rPr>
              <w:t>35.1</w:t>
            </w:r>
          </w:p>
        </w:tc>
        <w:tc>
          <w:tcPr>
            <w:tcW w:w="1041" w:type="dxa"/>
          </w:tcPr>
          <w:p>
            <w:pPr>
              <w:pStyle w:val="TableParagraph"/>
              <w:ind w:left="390"/>
              <w:jc w:val="left"/>
              <w:rPr>
                <w:sz w:val="17"/>
              </w:rPr>
            </w:pPr>
            <w:r>
              <w:rPr>
                <w:color w:val="231F20"/>
                <w:w w:val="105"/>
                <w:sz w:val="17"/>
              </w:rPr>
              <w:t>14.5</w:t>
            </w:r>
          </w:p>
        </w:tc>
        <w:tc>
          <w:tcPr>
            <w:tcW w:w="1093" w:type="dxa"/>
          </w:tcPr>
          <w:p>
            <w:pPr>
              <w:pStyle w:val="TableParagraph"/>
              <w:ind w:left="387" w:right="430"/>
              <w:rPr>
                <w:sz w:val="17"/>
              </w:rPr>
            </w:pPr>
            <w:r>
              <w:rPr>
                <w:color w:val="231F20"/>
                <w:w w:val="105"/>
                <w:sz w:val="17"/>
              </w:rPr>
              <w:t>2.7</w:t>
            </w:r>
          </w:p>
        </w:tc>
        <w:tc>
          <w:tcPr>
            <w:tcW w:w="693" w:type="dxa"/>
          </w:tcPr>
          <w:p>
            <w:pPr>
              <w:pStyle w:val="TableParagraph"/>
              <w:ind w:left="186"/>
              <w:jc w:val="left"/>
              <w:rPr>
                <w:sz w:val="17"/>
              </w:rPr>
            </w:pPr>
            <w:r>
              <w:rPr>
                <w:color w:val="231F20"/>
                <w:sz w:val="17"/>
              </w:rPr>
              <w:t>100</w:t>
            </w:r>
          </w:p>
        </w:tc>
        <w:tc>
          <w:tcPr>
            <w:tcW w:w="795" w:type="dxa"/>
          </w:tcPr>
          <w:p>
            <w:pPr>
              <w:pStyle w:val="TableParagraph"/>
              <w:ind w:left="85" w:right="67"/>
              <w:rPr>
                <w:sz w:val="17"/>
              </w:rPr>
            </w:pPr>
            <w:r>
              <w:rPr>
                <w:color w:val="231F20"/>
                <w:w w:val="105"/>
                <w:sz w:val="17"/>
              </w:rPr>
              <w:t>49.6</w:t>
            </w:r>
          </w:p>
        </w:tc>
        <w:tc>
          <w:tcPr>
            <w:tcW w:w="809" w:type="dxa"/>
          </w:tcPr>
          <w:p>
            <w:pPr>
              <w:pStyle w:val="TableParagraph"/>
              <w:ind w:left="64" w:right="68"/>
              <w:rPr>
                <w:sz w:val="17"/>
              </w:rPr>
            </w:pPr>
            <w:r>
              <w:rPr>
                <w:color w:val="231F20"/>
                <w:w w:val="105"/>
                <w:sz w:val="17"/>
              </w:rPr>
              <w:t>18.6</w:t>
            </w:r>
          </w:p>
        </w:tc>
        <w:tc>
          <w:tcPr>
            <w:tcW w:w="1032" w:type="dxa"/>
          </w:tcPr>
          <w:p>
            <w:pPr>
              <w:pStyle w:val="TableParagraph"/>
              <w:ind w:left="328" w:right="331"/>
              <w:rPr>
                <w:sz w:val="17"/>
              </w:rPr>
            </w:pPr>
            <w:r>
              <w:rPr>
                <w:color w:val="231F20"/>
                <w:w w:val="105"/>
                <w:sz w:val="17"/>
              </w:rPr>
              <w:t>26.7</w:t>
            </w:r>
          </w:p>
        </w:tc>
        <w:tc>
          <w:tcPr>
            <w:tcW w:w="1095" w:type="dxa"/>
          </w:tcPr>
          <w:p>
            <w:pPr>
              <w:pStyle w:val="TableParagraph"/>
              <w:ind w:left="405" w:right="126"/>
              <w:jc w:val="left"/>
              <w:rPr>
                <w:sz w:val="17"/>
              </w:rPr>
            </w:pPr>
            <w:r>
              <w:rPr>
                <w:color w:val="231F20"/>
                <w:w w:val="105"/>
                <w:sz w:val="17"/>
              </w:rPr>
              <w:t>5.1</w:t>
            </w:r>
          </w:p>
        </w:tc>
        <w:tc>
          <w:tcPr>
            <w:tcW w:w="718" w:type="dxa"/>
          </w:tcPr>
          <w:p>
            <w:pPr>
              <w:pStyle w:val="TableParagraph"/>
              <w:ind w:left="189"/>
              <w:jc w:val="left"/>
              <w:rPr>
                <w:sz w:val="17"/>
              </w:rPr>
            </w:pPr>
            <w:r>
              <w:rPr>
                <w:color w:val="231F20"/>
                <w:sz w:val="17"/>
              </w:rPr>
              <w:t>100</w:t>
            </w:r>
          </w:p>
        </w:tc>
      </w:tr>
      <w:tr>
        <w:trPr>
          <w:trHeight w:val="210" w:hRule="exact"/>
        </w:trPr>
        <w:tc>
          <w:tcPr>
            <w:tcW w:w="1749" w:type="dxa"/>
          </w:tcPr>
          <w:p>
            <w:pPr>
              <w:pStyle w:val="TableParagraph"/>
              <w:ind w:left="35" w:right="-6"/>
              <w:jc w:val="left"/>
              <w:rPr>
                <w:sz w:val="17"/>
              </w:rPr>
            </w:pPr>
            <w:r>
              <w:rPr>
                <w:color w:val="231F20"/>
                <w:w w:val="110"/>
                <w:sz w:val="17"/>
              </w:rPr>
              <w:t>Tabasco</w:t>
            </w:r>
          </w:p>
        </w:tc>
        <w:tc>
          <w:tcPr>
            <w:tcW w:w="743" w:type="dxa"/>
          </w:tcPr>
          <w:p>
            <w:pPr>
              <w:pStyle w:val="TableParagraph"/>
              <w:ind w:left="25" w:right="76"/>
              <w:rPr>
                <w:sz w:val="17"/>
              </w:rPr>
            </w:pPr>
            <w:r>
              <w:rPr>
                <w:color w:val="231F20"/>
                <w:w w:val="105"/>
                <w:sz w:val="17"/>
              </w:rPr>
              <w:t>35.2</w:t>
            </w:r>
          </w:p>
        </w:tc>
        <w:tc>
          <w:tcPr>
            <w:tcW w:w="828" w:type="dxa"/>
          </w:tcPr>
          <w:p>
            <w:pPr>
              <w:pStyle w:val="TableParagraph"/>
              <w:ind w:left="74" w:right="76"/>
              <w:rPr>
                <w:sz w:val="17"/>
              </w:rPr>
            </w:pPr>
            <w:r>
              <w:rPr>
                <w:color w:val="231F20"/>
                <w:w w:val="105"/>
                <w:sz w:val="17"/>
              </w:rPr>
              <w:t>46.4</w:t>
            </w:r>
          </w:p>
        </w:tc>
        <w:tc>
          <w:tcPr>
            <w:tcW w:w="1041" w:type="dxa"/>
          </w:tcPr>
          <w:p>
            <w:pPr>
              <w:pStyle w:val="TableParagraph"/>
              <w:ind w:left="390"/>
              <w:jc w:val="left"/>
              <w:rPr>
                <w:sz w:val="17"/>
              </w:rPr>
            </w:pPr>
            <w:r>
              <w:rPr>
                <w:color w:val="231F20"/>
                <w:w w:val="105"/>
                <w:sz w:val="17"/>
              </w:rPr>
              <w:t>15.0</w:t>
            </w:r>
          </w:p>
        </w:tc>
        <w:tc>
          <w:tcPr>
            <w:tcW w:w="1093" w:type="dxa"/>
          </w:tcPr>
          <w:p>
            <w:pPr>
              <w:pStyle w:val="TableParagraph"/>
              <w:ind w:left="387" w:right="430"/>
              <w:rPr>
                <w:sz w:val="17"/>
              </w:rPr>
            </w:pPr>
            <w:r>
              <w:rPr>
                <w:color w:val="231F20"/>
                <w:w w:val="105"/>
                <w:sz w:val="17"/>
              </w:rPr>
              <w:t>3.5</w:t>
            </w:r>
          </w:p>
        </w:tc>
        <w:tc>
          <w:tcPr>
            <w:tcW w:w="693" w:type="dxa"/>
          </w:tcPr>
          <w:p>
            <w:pPr>
              <w:pStyle w:val="TableParagraph"/>
              <w:ind w:left="186"/>
              <w:jc w:val="left"/>
              <w:rPr>
                <w:sz w:val="17"/>
              </w:rPr>
            </w:pPr>
            <w:r>
              <w:rPr>
                <w:color w:val="231F20"/>
                <w:sz w:val="17"/>
              </w:rPr>
              <w:t>100</w:t>
            </w:r>
          </w:p>
        </w:tc>
        <w:tc>
          <w:tcPr>
            <w:tcW w:w="795" w:type="dxa"/>
          </w:tcPr>
          <w:p>
            <w:pPr>
              <w:pStyle w:val="TableParagraph"/>
              <w:ind w:left="85" w:right="67"/>
              <w:rPr>
                <w:sz w:val="17"/>
              </w:rPr>
            </w:pPr>
            <w:r>
              <w:rPr>
                <w:color w:val="231F20"/>
                <w:w w:val="105"/>
                <w:sz w:val="17"/>
              </w:rPr>
              <w:t>44.3</w:t>
            </w:r>
          </w:p>
        </w:tc>
        <w:tc>
          <w:tcPr>
            <w:tcW w:w="809" w:type="dxa"/>
          </w:tcPr>
          <w:p>
            <w:pPr>
              <w:pStyle w:val="TableParagraph"/>
              <w:ind w:left="64" w:right="68"/>
              <w:rPr>
                <w:sz w:val="17"/>
              </w:rPr>
            </w:pPr>
            <w:r>
              <w:rPr>
                <w:color w:val="231F20"/>
                <w:w w:val="105"/>
                <w:sz w:val="17"/>
              </w:rPr>
              <w:t>23.3</w:t>
            </w:r>
          </w:p>
        </w:tc>
        <w:tc>
          <w:tcPr>
            <w:tcW w:w="1032" w:type="dxa"/>
          </w:tcPr>
          <w:p>
            <w:pPr>
              <w:pStyle w:val="TableParagraph"/>
              <w:ind w:left="328" w:right="331"/>
              <w:rPr>
                <w:sz w:val="17"/>
              </w:rPr>
            </w:pPr>
            <w:r>
              <w:rPr>
                <w:color w:val="231F20"/>
                <w:w w:val="105"/>
                <w:sz w:val="17"/>
              </w:rPr>
              <w:t>27.5</w:t>
            </w:r>
          </w:p>
        </w:tc>
        <w:tc>
          <w:tcPr>
            <w:tcW w:w="1095" w:type="dxa"/>
          </w:tcPr>
          <w:p>
            <w:pPr>
              <w:pStyle w:val="TableParagraph"/>
              <w:ind w:left="405" w:right="126"/>
              <w:jc w:val="left"/>
              <w:rPr>
                <w:sz w:val="17"/>
              </w:rPr>
            </w:pPr>
            <w:r>
              <w:rPr>
                <w:color w:val="231F20"/>
                <w:w w:val="105"/>
                <w:sz w:val="17"/>
              </w:rPr>
              <w:t>4.9</w:t>
            </w:r>
          </w:p>
        </w:tc>
        <w:tc>
          <w:tcPr>
            <w:tcW w:w="718" w:type="dxa"/>
          </w:tcPr>
          <w:p>
            <w:pPr>
              <w:pStyle w:val="TableParagraph"/>
              <w:ind w:left="189"/>
              <w:jc w:val="left"/>
              <w:rPr>
                <w:sz w:val="17"/>
              </w:rPr>
            </w:pPr>
            <w:r>
              <w:rPr>
                <w:color w:val="231F20"/>
                <w:sz w:val="17"/>
              </w:rPr>
              <w:t>100</w:t>
            </w:r>
          </w:p>
        </w:tc>
      </w:tr>
      <w:tr>
        <w:trPr>
          <w:trHeight w:val="210" w:hRule="exact"/>
        </w:trPr>
        <w:tc>
          <w:tcPr>
            <w:tcW w:w="1749" w:type="dxa"/>
          </w:tcPr>
          <w:p>
            <w:pPr>
              <w:pStyle w:val="TableParagraph"/>
              <w:ind w:left="35" w:right="-6"/>
              <w:jc w:val="left"/>
              <w:rPr>
                <w:sz w:val="17"/>
              </w:rPr>
            </w:pPr>
            <w:r>
              <w:rPr>
                <w:color w:val="231F20"/>
                <w:w w:val="110"/>
                <w:sz w:val="17"/>
              </w:rPr>
              <w:t>Tamaulipas</w:t>
            </w:r>
          </w:p>
        </w:tc>
        <w:tc>
          <w:tcPr>
            <w:tcW w:w="743" w:type="dxa"/>
          </w:tcPr>
          <w:p>
            <w:pPr>
              <w:pStyle w:val="TableParagraph"/>
              <w:ind w:left="25" w:right="76"/>
              <w:rPr>
                <w:sz w:val="17"/>
              </w:rPr>
            </w:pPr>
            <w:r>
              <w:rPr>
                <w:color w:val="231F20"/>
                <w:w w:val="105"/>
                <w:sz w:val="17"/>
              </w:rPr>
              <w:t>47.2</w:t>
            </w:r>
          </w:p>
        </w:tc>
        <w:tc>
          <w:tcPr>
            <w:tcW w:w="828" w:type="dxa"/>
          </w:tcPr>
          <w:p>
            <w:pPr>
              <w:pStyle w:val="TableParagraph"/>
              <w:ind w:left="74" w:right="76"/>
              <w:rPr>
                <w:sz w:val="17"/>
              </w:rPr>
            </w:pPr>
            <w:r>
              <w:rPr>
                <w:color w:val="231F20"/>
                <w:w w:val="105"/>
                <w:sz w:val="17"/>
              </w:rPr>
              <w:t>41.4</w:t>
            </w:r>
          </w:p>
        </w:tc>
        <w:tc>
          <w:tcPr>
            <w:tcW w:w="1041" w:type="dxa"/>
          </w:tcPr>
          <w:p>
            <w:pPr>
              <w:pStyle w:val="TableParagraph"/>
              <w:ind w:left="486"/>
              <w:jc w:val="left"/>
              <w:rPr>
                <w:sz w:val="17"/>
              </w:rPr>
            </w:pPr>
            <w:r>
              <w:rPr>
                <w:color w:val="231F20"/>
                <w:w w:val="105"/>
                <w:sz w:val="17"/>
              </w:rPr>
              <w:t>9.0</w:t>
            </w:r>
          </w:p>
        </w:tc>
        <w:tc>
          <w:tcPr>
            <w:tcW w:w="1093" w:type="dxa"/>
          </w:tcPr>
          <w:p>
            <w:pPr>
              <w:pStyle w:val="TableParagraph"/>
              <w:ind w:left="387" w:right="430"/>
              <w:rPr>
                <w:sz w:val="17"/>
              </w:rPr>
            </w:pPr>
            <w:r>
              <w:rPr>
                <w:color w:val="231F20"/>
                <w:w w:val="105"/>
                <w:sz w:val="17"/>
              </w:rPr>
              <w:t>2.4</w:t>
            </w:r>
          </w:p>
        </w:tc>
        <w:tc>
          <w:tcPr>
            <w:tcW w:w="693" w:type="dxa"/>
          </w:tcPr>
          <w:p>
            <w:pPr>
              <w:pStyle w:val="TableParagraph"/>
              <w:ind w:left="186"/>
              <w:jc w:val="left"/>
              <w:rPr>
                <w:sz w:val="17"/>
              </w:rPr>
            </w:pPr>
            <w:r>
              <w:rPr>
                <w:color w:val="231F20"/>
                <w:sz w:val="17"/>
              </w:rPr>
              <w:t>100</w:t>
            </w:r>
          </w:p>
        </w:tc>
        <w:tc>
          <w:tcPr>
            <w:tcW w:w="795" w:type="dxa"/>
          </w:tcPr>
          <w:p>
            <w:pPr>
              <w:pStyle w:val="TableParagraph"/>
              <w:ind w:left="85" w:right="67"/>
              <w:rPr>
                <w:sz w:val="17"/>
              </w:rPr>
            </w:pPr>
            <w:r>
              <w:rPr>
                <w:color w:val="231F20"/>
                <w:w w:val="105"/>
                <w:sz w:val="17"/>
              </w:rPr>
              <w:t>47.4</w:t>
            </w:r>
          </w:p>
        </w:tc>
        <w:tc>
          <w:tcPr>
            <w:tcW w:w="809" w:type="dxa"/>
          </w:tcPr>
          <w:p>
            <w:pPr>
              <w:pStyle w:val="TableParagraph"/>
              <w:ind w:left="64" w:right="68"/>
              <w:rPr>
                <w:sz w:val="17"/>
              </w:rPr>
            </w:pPr>
            <w:r>
              <w:rPr>
                <w:color w:val="231F20"/>
                <w:w w:val="105"/>
                <w:sz w:val="17"/>
              </w:rPr>
              <w:t>23.6</w:t>
            </w:r>
          </w:p>
        </w:tc>
        <w:tc>
          <w:tcPr>
            <w:tcW w:w="1032" w:type="dxa"/>
          </w:tcPr>
          <w:p>
            <w:pPr>
              <w:pStyle w:val="TableParagraph"/>
              <w:ind w:left="328" w:right="331"/>
              <w:rPr>
                <w:sz w:val="17"/>
              </w:rPr>
            </w:pPr>
            <w:r>
              <w:rPr>
                <w:color w:val="231F20"/>
                <w:w w:val="105"/>
                <w:sz w:val="17"/>
              </w:rPr>
              <w:t>25.3</w:t>
            </w:r>
          </w:p>
        </w:tc>
        <w:tc>
          <w:tcPr>
            <w:tcW w:w="1095" w:type="dxa"/>
          </w:tcPr>
          <w:p>
            <w:pPr>
              <w:pStyle w:val="TableParagraph"/>
              <w:ind w:left="405" w:right="126"/>
              <w:jc w:val="left"/>
              <w:rPr>
                <w:sz w:val="17"/>
              </w:rPr>
            </w:pPr>
            <w:r>
              <w:rPr>
                <w:color w:val="231F20"/>
                <w:w w:val="105"/>
                <w:sz w:val="17"/>
              </w:rPr>
              <w:t>3.7</w:t>
            </w:r>
          </w:p>
        </w:tc>
        <w:tc>
          <w:tcPr>
            <w:tcW w:w="718" w:type="dxa"/>
          </w:tcPr>
          <w:p>
            <w:pPr>
              <w:pStyle w:val="TableParagraph"/>
              <w:ind w:left="189"/>
              <w:jc w:val="left"/>
              <w:rPr>
                <w:sz w:val="17"/>
              </w:rPr>
            </w:pPr>
            <w:r>
              <w:rPr>
                <w:color w:val="231F20"/>
                <w:sz w:val="17"/>
              </w:rPr>
              <w:t>100</w:t>
            </w:r>
          </w:p>
        </w:tc>
      </w:tr>
      <w:tr>
        <w:trPr>
          <w:trHeight w:val="210" w:hRule="exact"/>
        </w:trPr>
        <w:tc>
          <w:tcPr>
            <w:tcW w:w="1749" w:type="dxa"/>
          </w:tcPr>
          <w:p>
            <w:pPr>
              <w:pStyle w:val="TableParagraph"/>
              <w:ind w:left="35" w:right="-6"/>
              <w:jc w:val="left"/>
              <w:rPr>
                <w:sz w:val="17"/>
              </w:rPr>
            </w:pPr>
            <w:r>
              <w:rPr>
                <w:color w:val="231F20"/>
                <w:w w:val="110"/>
                <w:sz w:val="17"/>
              </w:rPr>
              <w:t>Tlaxcala</w:t>
            </w:r>
          </w:p>
        </w:tc>
        <w:tc>
          <w:tcPr>
            <w:tcW w:w="743" w:type="dxa"/>
          </w:tcPr>
          <w:p>
            <w:pPr>
              <w:pStyle w:val="TableParagraph"/>
              <w:ind w:left="25" w:right="76"/>
              <w:rPr>
                <w:sz w:val="17"/>
              </w:rPr>
            </w:pPr>
            <w:r>
              <w:rPr>
                <w:color w:val="231F20"/>
                <w:w w:val="105"/>
                <w:sz w:val="17"/>
              </w:rPr>
              <w:t>43.7</w:t>
            </w:r>
          </w:p>
        </w:tc>
        <w:tc>
          <w:tcPr>
            <w:tcW w:w="828" w:type="dxa"/>
          </w:tcPr>
          <w:p>
            <w:pPr>
              <w:pStyle w:val="TableParagraph"/>
              <w:ind w:left="74" w:right="76"/>
              <w:rPr>
                <w:sz w:val="17"/>
              </w:rPr>
            </w:pPr>
            <w:r>
              <w:rPr>
                <w:color w:val="231F20"/>
                <w:w w:val="105"/>
                <w:sz w:val="17"/>
              </w:rPr>
              <w:t>42.4</w:t>
            </w:r>
          </w:p>
        </w:tc>
        <w:tc>
          <w:tcPr>
            <w:tcW w:w="1041" w:type="dxa"/>
          </w:tcPr>
          <w:p>
            <w:pPr>
              <w:pStyle w:val="TableParagraph"/>
              <w:ind w:left="390"/>
              <w:jc w:val="left"/>
              <w:rPr>
                <w:sz w:val="17"/>
              </w:rPr>
            </w:pPr>
            <w:r>
              <w:rPr>
                <w:color w:val="231F20"/>
                <w:w w:val="105"/>
                <w:sz w:val="17"/>
              </w:rPr>
              <w:t>11.2</w:t>
            </w:r>
          </w:p>
        </w:tc>
        <w:tc>
          <w:tcPr>
            <w:tcW w:w="1093" w:type="dxa"/>
          </w:tcPr>
          <w:p>
            <w:pPr>
              <w:pStyle w:val="TableParagraph"/>
              <w:ind w:left="387" w:right="430"/>
              <w:rPr>
                <w:sz w:val="17"/>
              </w:rPr>
            </w:pPr>
            <w:r>
              <w:rPr>
                <w:color w:val="231F20"/>
                <w:w w:val="105"/>
                <w:sz w:val="17"/>
              </w:rPr>
              <w:t>2.7</w:t>
            </w:r>
          </w:p>
        </w:tc>
        <w:tc>
          <w:tcPr>
            <w:tcW w:w="693" w:type="dxa"/>
          </w:tcPr>
          <w:p>
            <w:pPr>
              <w:pStyle w:val="TableParagraph"/>
              <w:ind w:left="186"/>
              <w:jc w:val="left"/>
              <w:rPr>
                <w:sz w:val="17"/>
              </w:rPr>
            </w:pPr>
            <w:r>
              <w:rPr>
                <w:color w:val="231F20"/>
                <w:sz w:val="17"/>
              </w:rPr>
              <w:t>100</w:t>
            </w:r>
          </w:p>
        </w:tc>
        <w:tc>
          <w:tcPr>
            <w:tcW w:w="795" w:type="dxa"/>
          </w:tcPr>
          <w:p>
            <w:pPr>
              <w:pStyle w:val="TableParagraph"/>
              <w:ind w:left="85" w:right="67"/>
              <w:rPr>
                <w:sz w:val="17"/>
              </w:rPr>
            </w:pPr>
            <w:r>
              <w:rPr>
                <w:color w:val="231F20"/>
                <w:w w:val="105"/>
                <w:sz w:val="17"/>
              </w:rPr>
              <w:t>49.5</w:t>
            </w:r>
          </w:p>
        </w:tc>
        <w:tc>
          <w:tcPr>
            <w:tcW w:w="809" w:type="dxa"/>
          </w:tcPr>
          <w:p>
            <w:pPr>
              <w:pStyle w:val="TableParagraph"/>
              <w:ind w:left="64" w:right="68"/>
              <w:rPr>
                <w:sz w:val="17"/>
              </w:rPr>
            </w:pPr>
            <w:r>
              <w:rPr>
                <w:color w:val="231F20"/>
                <w:w w:val="105"/>
                <w:sz w:val="17"/>
              </w:rPr>
              <w:t>18.3</w:t>
            </w:r>
          </w:p>
        </w:tc>
        <w:tc>
          <w:tcPr>
            <w:tcW w:w="1032" w:type="dxa"/>
          </w:tcPr>
          <w:p>
            <w:pPr>
              <w:pStyle w:val="TableParagraph"/>
              <w:ind w:left="328" w:right="331"/>
              <w:rPr>
                <w:sz w:val="17"/>
              </w:rPr>
            </w:pPr>
            <w:r>
              <w:rPr>
                <w:color w:val="231F20"/>
                <w:w w:val="105"/>
                <w:sz w:val="17"/>
              </w:rPr>
              <w:t>28.3</w:t>
            </w:r>
          </w:p>
        </w:tc>
        <w:tc>
          <w:tcPr>
            <w:tcW w:w="1095" w:type="dxa"/>
          </w:tcPr>
          <w:p>
            <w:pPr>
              <w:pStyle w:val="TableParagraph"/>
              <w:ind w:left="405" w:right="126"/>
              <w:jc w:val="left"/>
              <w:rPr>
                <w:sz w:val="17"/>
              </w:rPr>
            </w:pPr>
            <w:r>
              <w:rPr>
                <w:color w:val="231F20"/>
                <w:w w:val="105"/>
                <w:sz w:val="17"/>
              </w:rPr>
              <w:t>4.0</w:t>
            </w:r>
          </w:p>
        </w:tc>
        <w:tc>
          <w:tcPr>
            <w:tcW w:w="718" w:type="dxa"/>
          </w:tcPr>
          <w:p>
            <w:pPr>
              <w:pStyle w:val="TableParagraph"/>
              <w:ind w:left="189"/>
              <w:jc w:val="left"/>
              <w:rPr>
                <w:sz w:val="17"/>
              </w:rPr>
            </w:pPr>
            <w:r>
              <w:rPr>
                <w:color w:val="231F20"/>
                <w:sz w:val="17"/>
              </w:rPr>
              <w:t>100</w:t>
            </w:r>
          </w:p>
        </w:tc>
      </w:tr>
      <w:tr>
        <w:trPr>
          <w:trHeight w:val="210" w:hRule="exact"/>
        </w:trPr>
        <w:tc>
          <w:tcPr>
            <w:tcW w:w="1749" w:type="dxa"/>
          </w:tcPr>
          <w:p>
            <w:pPr>
              <w:pStyle w:val="TableParagraph"/>
              <w:ind w:left="35" w:right="-6"/>
              <w:jc w:val="left"/>
              <w:rPr>
                <w:sz w:val="17"/>
              </w:rPr>
            </w:pPr>
            <w:r>
              <w:rPr>
                <w:color w:val="231F20"/>
                <w:w w:val="110"/>
                <w:sz w:val="17"/>
              </w:rPr>
              <w:t>Veracruz</w:t>
            </w:r>
          </w:p>
        </w:tc>
        <w:tc>
          <w:tcPr>
            <w:tcW w:w="743" w:type="dxa"/>
          </w:tcPr>
          <w:p>
            <w:pPr>
              <w:pStyle w:val="TableParagraph"/>
              <w:ind w:left="25" w:right="76"/>
              <w:rPr>
                <w:sz w:val="17"/>
              </w:rPr>
            </w:pPr>
            <w:r>
              <w:rPr>
                <w:color w:val="231F20"/>
                <w:w w:val="105"/>
                <w:sz w:val="17"/>
              </w:rPr>
              <w:t>41.1</w:t>
            </w:r>
          </w:p>
        </w:tc>
        <w:tc>
          <w:tcPr>
            <w:tcW w:w="828" w:type="dxa"/>
          </w:tcPr>
          <w:p>
            <w:pPr>
              <w:pStyle w:val="TableParagraph"/>
              <w:ind w:left="74" w:right="76"/>
              <w:rPr>
                <w:sz w:val="17"/>
              </w:rPr>
            </w:pPr>
            <w:r>
              <w:rPr>
                <w:color w:val="231F20"/>
                <w:w w:val="105"/>
                <w:sz w:val="17"/>
              </w:rPr>
              <w:t>35.4</w:t>
            </w:r>
          </w:p>
        </w:tc>
        <w:tc>
          <w:tcPr>
            <w:tcW w:w="1041" w:type="dxa"/>
          </w:tcPr>
          <w:p>
            <w:pPr>
              <w:pStyle w:val="TableParagraph"/>
              <w:ind w:left="390"/>
              <w:jc w:val="left"/>
              <w:rPr>
                <w:sz w:val="17"/>
              </w:rPr>
            </w:pPr>
            <w:r>
              <w:rPr>
                <w:color w:val="231F20"/>
                <w:w w:val="105"/>
                <w:sz w:val="17"/>
              </w:rPr>
              <w:t>20.4</w:t>
            </w:r>
          </w:p>
        </w:tc>
        <w:tc>
          <w:tcPr>
            <w:tcW w:w="1093" w:type="dxa"/>
          </w:tcPr>
          <w:p>
            <w:pPr>
              <w:pStyle w:val="TableParagraph"/>
              <w:ind w:left="387" w:right="430"/>
              <w:rPr>
                <w:sz w:val="17"/>
              </w:rPr>
            </w:pPr>
            <w:r>
              <w:rPr>
                <w:color w:val="231F20"/>
                <w:w w:val="105"/>
                <w:sz w:val="17"/>
              </w:rPr>
              <w:t>3.2</w:t>
            </w:r>
          </w:p>
        </w:tc>
        <w:tc>
          <w:tcPr>
            <w:tcW w:w="693" w:type="dxa"/>
          </w:tcPr>
          <w:p>
            <w:pPr>
              <w:pStyle w:val="TableParagraph"/>
              <w:ind w:left="186"/>
              <w:jc w:val="left"/>
              <w:rPr>
                <w:sz w:val="17"/>
              </w:rPr>
            </w:pPr>
            <w:r>
              <w:rPr>
                <w:color w:val="231F20"/>
                <w:sz w:val="17"/>
              </w:rPr>
              <w:t>100</w:t>
            </w:r>
          </w:p>
        </w:tc>
        <w:tc>
          <w:tcPr>
            <w:tcW w:w="795" w:type="dxa"/>
          </w:tcPr>
          <w:p>
            <w:pPr>
              <w:pStyle w:val="TableParagraph"/>
              <w:ind w:left="85" w:right="67"/>
              <w:rPr>
                <w:sz w:val="17"/>
              </w:rPr>
            </w:pPr>
            <w:r>
              <w:rPr>
                <w:color w:val="231F20"/>
                <w:w w:val="105"/>
                <w:sz w:val="17"/>
              </w:rPr>
              <w:t>48.2</w:t>
            </w:r>
          </w:p>
        </w:tc>
        <w:tc>
          <w:tcPr>
            <w:tcW w:w="809" w:type="dxa"/>
          </w:tcPr>
          <w:p>
            <w:pPr>
              <w:pStyle w:val="TableParagraph"/>
              <w:ind w:left="64" w:right="68"/>
              <w:rPr>
                <w:sz w:val="17"/>
              </w:rPr>
            </w:pPr>
            <w:r>
              <w:rPr>
                <w:color w:val="231F20"/>
                <w:w w:val="105"/>
                <w:sz w:val="17"/>
              </w:rPr>
              <w:t>18.8</w:t>
            </w:r>
          </w:p>
        </w:tc>
        <w:tc>
          <w:tcPr>
            <w:tcW w:w="1032" w:type="dxa"/>
          </w:tcPr>
          <w:p>
            <w:pPr>
              <w:pStyle w:val="TableParagraph"/>
              <w:ind w:left="328" w:right="331"/>
              <w:rPr>
                <w:sz w:val="17"/>
              </w:rPr>
            </w:pPr>
            <w:r>
              <w:rPr>
                <w:color w:val="231F20"/>
                <w:w w:val="105"/>
                <w:sz w:val="17"/>
              </w:rPr>
              <w:t>29.0</w:t>
            </w:r>
          </w:p>
        </w:tc>
        <w:tc>
          <w:tcPr>
            <w:tcW w:w="1095" w:type="dxa"/>
          </w:tcPr>
          <w:p>
            <w:pPr>
              <w:pStyle w:val="TableParagraph"/>
              <w:ind w:left="405" w:right="126"/>
              <w:jc w:val="left"/>
              <w:rPr>
                <w:sz w:val="17"/>
              </w:rPr>
            </w:pPr>
            <w:r>
              <w:rPr>
                <w:color w:val="231F20"/>
                <w:w w:val="105"/>
                <w:sz w:val="17"/>
              </w:rPr>
              <w:t>4.1</w:t>
            </w:r>
          </w:p>
        </w:tc>
        <w:tc>
          <w:tcPr>
            <w:tcW w:w="718" w:type="dxa"/>
          </w:tcPr>
          <w:p>
            <w:pPr>
              <w:pStyle w:val="TableParagraph"/>
              <w:ind w:left="189"/>
              <w:jc w:val="left"/>
              <w:rPr>
                <w:sz w:val="17"/>
              </w:rPr>
            </w:pPr>
            <w:r>
              <w:rPr>
                <w:color w:val="231F20"/>
                <w:sz w:val="17"/>
              </w:rPr>
              <w:t>100</w:t>
            </w:r>
          </w:p>
        </w:tc>
      </w:tr>
      <w:tr>
        <w:trPr>
          <w:trHeight w:val="210" w:hRule="exact"/>
        </w:trPr>
        <w:tc>
          <w:tcPr>
            <w:tcW w:w="1749" w:type="dxa"/>
          </w:tcPr>
          <w:p>
            <w:pPr>
              <w:pStyle w:val="TableParagraph"/>
              <w:ind w:left="35" w:right="-6"/>
              <w:jc w:val="left"/>
              <w:rPr>
                <w:sz w:val="17"/>
              </w:rPr>
            </w:pPr>
            <w:r>
              <w:rPr>
                <w:color w:val="231F20"/>
                <w:w w:val="110"/>
                <w:sz w:val="17"/>
              </w:rPr>
              <w:t>Yucatán</w:t>
            </w:r>
          </w:p>
        </w:tc>
        <w:tc>
          <w:tcPr>
            <w:tcW w:w="743" w:type="dxa"/>
          </w:tcPr>
          <w:p>
            <w:pPr>
              <w:pStyle w:val="TableParagraph"/>
              <w:ind w:left="25" w:right="76"/>
              <w:rPr>
                <w:sz w:val="17"/>
              </w:rPr>
            </w:pPr>
            <w:r>
              <w:rPr>
                <w:color w:val="231F20"/>
                <w:w w:val="105"/>
                <w:sz w:val="17"/>
              </w:rPr>
              <w:t>42.6</w:t>
            </w:r>
          </w:p>
        </w:tc>
        <w:tc>
          <w:tcPr>
            <w:tcW w:w="828" w:type="dxa"/>
          </w:tcPr>
          <w:p>
            <w:pPr>
              <w:pStyle w:val="TableParagraph"/>
              <w:ind w:left="74" w:right="76"/>
              <w:rPr>
                <w:sz w:val="17"/>
              </w:rPr>
            </w:pPr>
            <w:r>
              <w:rPr>
                <w:color w:val="231F20"/>
                <w:w w:val="105"/>
                <w:sz w:val="17"/>
              </w:rPr>
              <w:t>52.9</w:t>
            </w:r>
          </w:p>
        </w:tc>
        <w:tc>
          <w:tcPr>
            <w:tcW w:w="1041" w:type="dxa"/>
          </w:tcPr>
          <w:p>
            <w:pPr>
              <w:pStyle w:val="TableParagraph"/>
              <w:ind w:left="486"/>
              <w:jc w:val="left"/>
              <w:rPr>
                <w:sz w:val="17"/>
              </w:rPr>
            </w:pPr>
            <w:r>
              <w:rPr>
                <w:color w:val="231F20"/>
                <w:w w:val="105"/>
                <w:sz w:val="17"/>
              </w:rPr>
              <w:t>2.9</w:t>
            </w:r>
          </w:p>
        </w:tc>
        <w:tc>
          <w:tcPr>
            <w:tcW w:w="1093" w:type="dxa"/>
          </w:tcPr>
          <w:p>
            <w:pPr>
              <w:pStyle w:val="TableParagraph"/>
              <w:ind w:left="387" w:right="430"/>
              <w:rPr>
                <w:sz w:val="17"/>
              </w:rPr>
            </w:pPr>
            <w:r>
              <w:rPr>
                <w:color w:val="231F20"/>
                <w:w w:val="105"/>
                <w:sz w:val="17"/>
              </w:rPr>
              <w:t>1.6</w:t>
            </w:r>
          </w:p>
        </w:tc>
        <w:tc>
          <w:tcPr>
            <w:tcW w:w="693" w:type="dxa"/>
          </w:tcPr>
          <w:p>
            <w:pPr>
              <w:pStyle w:val="TableParagraph"/>
              <w:ind w:left="186"/>
              <w:jc w:val="left"/>
              <w:rPr>
                <w:sz w:val="17"/>
              </w:rPr>
            </w:pPr>
            <w:r>
              <w:rPr>
                <w:color w:val="231F20"/>
                <w:sz w:val="17"/>
              </w:rPr>
              <w:t>100</w:t>
            </w:r>
          </w:p>
        </w:tc>
        <w:tc>
          <w:tcPr>
            <w:tcW w:w="795" w:type="dxa"/>
          </w:tcPr>
          <w:p>
            <w:pPr>
              <w:pStyle w:val="TableParagraph"/>
              <w:ind w:left="85" w:right="67"/>
              <w:rPr>
                <w:sz w:val="17"/>
              </w:rPr>
            </w:pPr>
            <w:r>
              <w:rPr>
                <w:color w:val="231F20"/>
                <w:w w:val="105"/>
                <w:sz w:val="17"/>
              </w:rPr>
              <w:t>52.9</w:t>
            </w:r>
          </w:p>
        </w:tc>
        <w:tc>
          <w:tcPr>
            <w:tcW w:w="809" w:type="dxa"/>
          </w:tcPr>
          <w:p>
            <w:pPr>
              <w:pStyle w:val="TableParagraph"/>
              <w:ind w:left="64" w:right="68"/>
              <w:rPr>
                <w:sz w:val="17"/>
              </w:rPr>
            </w:pPr>
            <w:r>
              <w:rPr>
                <w:color w:val="231F20"/>
                <w:w w:val="105"/>
                <w:sz w:val="17"/>
              </w:rPr>
              <w:t>32.3</w:t>
            </w:r>
          </w:p>
        </w:tc>
        <w:tc>
          <w:tcPr>
            <w:tcW w:w="1032" w:type="dxa"/>
          </w:tcPr>
          <w:p>
            <w:pPr>
              <w:pStyle w:val="TableParagraph"/>
              <w:ind w:left="328" w:right="331"/>
              <w:rPr>
                <w:sz w:val="17"/>
              </w:rPr>
            </w:pPr>
            <w:r>
              <w:rPr>
                <w:color w:val="231F20"/>
                <w:w w:val="105"/>
                <w:sz w:val="17"/>
              </w:rPr>
              <w:t>12.2</w:t>
            </w:r>
          </w:p>
        </w:tc>
        <w:tc>
          <w:tcPr>
            <w:tcW w:w="1095" w:type="dxa"/>
          </w:tcPr>
          <w:p>
            <w:pPr>
              <w:pStyle w:val="TableParagraph"/>
              <w:ind w:left="405" w:right="126"/>
              <w:jc w:val="left"/>
              <w:rPr>
                <w:sz w:val="17"/>
              </w:rPr>
            </w:pPr>
            <w:r>
              <w:rPr>
                <w:color w:val="231F20"/>
                <w:w w:val="105"/>
                <w:sz w:val="17"/>
              </w:rPr>
              <w:t>2.5</w:t>
            </w:r>
          </w:p>
        </w:tc>
        <w:tc>
          <w:tcPr>
            <w:tcW w:w="718" w:type="dxa"/>
          </w:tcPr>
          <w:p>
            <w:pPr>
              <w:pStyle w:val="TableParagraph"/>
              <w:ind w:left="189"/>
              <w:jc w:val="left"/>
              <w:rPr>
                <w:sz w:val="17"/>
              </w:rPr>
            </w:pPr>
            <w:r>
              <w:rPr>
                <w:color w:val="231F20"/>
                <w:sz w:val="17"/>
              </w:rPr>
              <w:t>100</w:t>
            </w:r>
          </w:p>
        </w:tc>
      </w:tr>
      <w:tr>
        <w:trPr>
          <w:trHeight w:val="276" w:hRule="exact"/>
        </w:trPr>
        <w:tc>
          <w:tcPr>
            <w:tcW w:w="1749" w:type="dxa"/>
            <w:tcBorders>
              <w:bottom w:val="single" w:sz="3" w:space="0" w:color="231F20"/>
            </w:tcBorders>
          </w:tcPr>
          <w:p>
            <w:pPr>
              <w:pStyle w:val="TableParagraph"/>
              <w:ind w:left="35" w:right="-6"/>
              <w:jc w:val="left"/>
              <w:rPr>
                <w:sz w:val="17"/>
              </w:rPr>
            </w:pPr>
            <w:r>
              <w:rPr>
                <w:color w:val="231F20"/>
                <w:w w:val="110"/>
                <w:sz w:val="17"/>
              </w:rPr>
              <w:t>Zacatecas</w:t>
            </w:r>
          </w:p>
        </w:tc>
        <w:tc>
          <w:tcPr>
            <w:tcW w:w="743" w:type="dxa"/>
            <w:tcBorders>
              <w:bottom w:val="single" w:sz="3" w:space="0" w:color="231F20"/>
            </w:tcBorders>
          </w:tcPr>
          <w:p>
            <w:pPr>
              <w:pStyle w:val="TableParagraph"/>
              <w:ind w:left="25" w:right="76"/>
              <w:rPr>
                <w:sz w:val="17"/>
              </w:rPr>
            </w:pPr>
            <w:r>
              <w:rPr>
                <w:color w:val="231F20"/>
                <w:w w:val="105"/>
                <w:sz w:val="17"/>
              </w:rPr>
              <w:t>46.8</w:t>
            </w:r>
          </w:p>
        </w:tc>
        <w:tc>
          <w:tcPr>
            <w:tcW w:w="828" w:type="dxa"/>
            <w:tcBorders>
              <w:bottom w:val="single" w:sz="3" w:space="0" w:color="231F20"/>
            </w:tcBorders>
          </w:tcPr>
          <w:p>
            <w:pPr>
              <w:pStyle w:val="TableParagraph"/>
              <w:ind w:left="74" w:right="76"/>
              <w:rPr>
                <w:sz w:val="17"/>
              </w:rPr>
            </w:pPr>
            <w:r>
              <w:rPr>
                <w:color w:val="231F20"/>
                <w:w w:val="105"/>
                <w:sz w:val="17"/>
              </w:rPr>
              <w:t>48.3</w:t>
            </w:r>
          </w:p>
        </w:tc>
        <w:tc>
          <w:tcPr>
            <w:tcW w:w="1041" w:type="dxa"/>
            <w:tcBorders>
              <w:bottom w:val="single" w:sz="3" w:space="0" w:color="231F20"/>
            </w:tcBorders>
          </w:tcPr>
          <w:p>
            <w:pPr>
              <w:pStyle w:val="TableParagraph"/>
              <w:ind w:left="486"/>
              <w:jc w:val="left"/>
              <w:rPr>
                <w:sz w:val="17"/>
              </w:rPr>
            </w:pPr>
            <w:r>
              <w:rPr>
                <w:color w:val="231F20"/>
                <w:w w:val="105"/>
                <w:sz w:val="17"/>
              </w:rPr>
              <w:t>3.3</w:t>
            </w:r>
          </w:p>
        </w:tc>
        <w:tc>
          <w:tcPr>
            <w:tcW w:w="1093" w:type="dxa"/>
            <w:tcBorders>
              <w:bottom w:val="single" w:sz="3" w:space="0" w:color="231F20"/>
            </w:tcBorders>
          </w:tcPr>
          <w:p>
            <w:pPr>
              <w:pStyle w:val="TableParagraph"/>
              <w:ind w:left="387" w:right="430"/>
              <w:rPr>
                <w:sz w:val="17"/>
              </w:rPr>
            </w:pPr>
            <w:r>
              <w:rPr>
                <w:color w:val="231F20"/>
                <w:w w:val="105"/>
                <w:sz w:val="17"/>
              </w:rPr>
              <w:t>1.6</w:t>
            </w:r>
          </w:p>
        </w:tc>
        <w:tc>
          <w:tcPr>
            <w:tcW w:w="693" w:type="dxa"/>
            <w:tcBorders>
              <w:bottom w:val="single" w:sz="3" w:space="0" w:color="231F20"/>
            </w:tcBorders>
          </w:tcPr>
          <w:p>
            <w:pPr>
              <w:pStyle w:val="TableParagraph"/>
              <w:ind w:left="186"/>
              <w:jc w:val="left"/>
              <w:rPr>
                <w:sz w:val="17"/>
              </w:rPr>
            </w:pPr>
            <w:r>
              <w:rPr>
                <w:color w:val="231F20"/>
                <w:sz w:val="17"/>
              </w:rPr>
              <w:t>100</w:t>
            </w:r>
          </w:p>
        </w:tc>
        <w:tc>
          <w:tcPr>
            <w:tcW w:w="795" w:type="dxa"/>
            <w:tcBorders>
              <w:bottom w:val="single" w:sz="3" w:space="0" w:color="231F20"/>
            </w:tcBorders>
          </w:tcPr>
          <w:p>
            <w:pPr>
              <w:pStyle w:val="TableParagraph"/>
              <w:ind w:left="85" w:right="67"/>
              <w:rPr>
                <w:sz w:val="17"/>
              </w:rPr>
            </w:pPr>
            <w:r>
              <w:rPr>
                <w:color w:val="231F20"/>
                <w:w w:val="105"/>
                <w:sz w:val="17"/>
              </w:rPr>
              <w:t>47.1</w:t>
            </w:r>
          </w:p>
        </w:tc>
        <w:tc>
          <w:tcPr>
            <w:tcW w:w="809" w:type="dxa"/>
            <w:tcBorders>
              <w:bottom w:val="single" w:sz="3" w:space="0" w:color="231F20"/>
            </w:tcBorders>
          </w:tcPr>
          <w:p>
            <w:pPr>
              <w:pStyle w:val="TableParagraph"/>
              <w:ind w:left="64" w:right="68"/>
              <w:rPr>
                <w:sz w:val="17"/>
              </w:rPr>
            </w:pPr>
            <w:r>
              <w:rPr>
                <w:color w:val="231F20"/>
                <w:w w:val="105"/>
                <w:sz w:val="17"/>
              </w:rPr>
              <w:t>32.0</w:t>
            </w:r>
          </w:p>
        </w:tc>
        <w:tc>
          <w:tcPr>
            <w:tcW w:w="1032" w:type="dxa"/>
            <w:tcBorders>
              <w:bottom w:val="single" w:sz="3" w:space="0" w:color="231F20"/>
            </w:tcBorders>
          </w:tcPr>
          <w:p>
            <w:pPr>
              <w:pStyle w:val="TableParagraph"/>
              <w:ind w:left="328" w:right="331"/>
              <w:rPr>
                <w:sz w:val="17"/>
              </w:rPr>
            </w:pPr>
            <w:r>
              <w:rPr>
                <w:color w:val="231F20"/>
                <w:w w:val="105"/>
                <w:sz w:val="17"/>
              </w:rPr>
              <w:t>17.7</w:t>
            </w:r>
          </w:p>
        </w:tc>
        <w:tc>
          <w:tcPr>
            <w:tcW w:w="1095" w:type="dxa"/>
            <w:tcBorders>
              <w:bottom w:val="single" w:sz="3" w:space="0" w:color="231F20"/>
            </w:tcBorders>
          </w:tcPr>
          <w:p>
            <w:pPr>
              <w:pStyle w:val="TableParagraph"/>
              <w:ind w:left="405" w:right="126"/>
              <w:jc w:val="left"/>
              <w:rPr>
                <w:sz w:val="17"/>
              </w:rPr>
            </w:pPr>
            <w:r>
              <w:rPr>
                <w:color w:val="231F20"/>
                <w:w w:val="105"/>
                <w:sz w:val="17"/>
              </w:rPr>
              <w:t>3.2</w:t>
            </w:r>
          </w:p>
        </w:tc>
        <w:tc>
          <w:tcPr>
            <w:tcW w:w="718" w:type="dxa"/>
            <w:tcBorders>
              <w:bottom w:val="single" w:sz="3" w:space="0" w:color="231F20"/>
            </w:tcBorders>
          </w:tcPr>
          <w:p>
            <w:pPr>
              <w:pStyle w:val="TableParagraph"/>
              <w:ind w:left="189"/>
              <w:jc w:val="left"/>
              <w:rPr>
                <w:sz w:val="17"/>
              </w:rPr>
            </w:pPr>
            <w:r>
              <w:rPr>
                <w:color w:val="231F20"/>
                <w:sz w:val="17"/>
              </w:rPr>
              <w:t>100</w:t>
            </w:r>
          </w:p>
        </w:tc>
      </w:tr>
    </w:tbl>
    <w:p>
      <w:pPr>
        <w:spacing w:before="63"/>
        <w:ind w:left="498" w:right="0" w:firstLine="0"/>
        <w:jc w:val="left"/>
        <w:rPr>
          <w:sz w:val="15"/>
        </w:rPr>
      </w:pPr>
      <w:r>
        <w:rPr>
          <w:color w:val="231F20"/>
          <w:w w:val="110"/>
          <w:sz w:val="15"/>
        </w:rPr>
        <w:t>Fuente: Elaboración propia con datos del Censo de Población y Vivienda de 2010, </w:t>
      </w:r>
      <w:r>
        <w:rPr>
          <w:rFonts w:ascii="Times New Roman" w:hAnsi="Times New Roman"/>
          <w:color w:val="231F20"/>
          <w:w w:val="110"/>
          <w:sz w:val="12"/>
        </w:rPr>
        <w:t>INEGI</w:t>
      </w:r>
      <w:r>
        <w:rPr>
          <w:color w:val="231F20"/>
          <w:w w:val="110"/>
          <w:sz w:val="15"/>
        </w:rPr>
        <w:t>,  2013.</w:t>
      </w:r>
    </w:p>
    <w:p>
      <w:pPr>
        <w:spacing w:after="0"/>
        <w:jc w:val="left"/>
        <w:rPr>
          <w:sz w:val="15"/>
        </w:rPr>
        <w:sectPr>
          <w:footerReference w:type="default" r:id="rId65"/>
          <w:pgSz w:w="12920" w:h="9520" w:orient="landscape"/>
          <w:pgMar w:footer="0" w:header="0" w:top="880" w:bottom="280" w:left="1260" w:right="860"/>
        </w:sectPr>
      </w:pPr>
    </w:p>
    <w:p>
      <w:pPr>
        <w:pStyle w:val="BodyText"/>
        <w:spacing w:line="288" w:lineRule="auto" w:before="42"/>
        <w:ind w:left="100" w:right="116" w:firstLine="360"/>
        <w:jc w:val="both"/>
      </w:pPr>
      <w:r>
        <w:rPr>
          <w:color w:val="231F20"/>
          <w:w w:val="110"/>
        </w:rPr>
        <w:t>Para</w:t>
      </w:r>
      <w:r>
        <w:rPr>
          <w:color w:val="231F20"/>
          <w:spacing w:val="-4"/>
          <w:w w:val="110"/>
        </w:rPr>
        <w:t> </w:t>
      </w:r>
      <w:r>
        <w:rPr>
          <w:color w:val="231F20"/>
          <w:w w:val="110"/>
        </w:rPr>
        <w:t>una</w:t>
      </w:r>
      <w:r>
        <w:rPr>
          <w:color w:val="231F20"/>
          <w:spacing w:val="-4"/>
          <w:w w:val="110"/>
        </w:rPr>
        <w:t> </w:t>
      </w:r>
      <w:r>
        <w:rPr>
          <w:color w:val="231F20"/>
          <w:w w:val="110"/>
        </w:rPr>
        <w:t>proporción</w:t>
      </w:r>
      <w:r>
        <w:rPr>
          <w:color w:val="231F20"/>
          <w:spacing w:val="-4"/>
          <w:w w:val="110"/>
        </w:rPr>
        <w:t> </w:t>
      </w:r>
      <w:r>
        <w:rPr>
          <w:color w:val="231F20"/>
          <w:w w:val="110"/>
        </w:rPr>
        <w:t>importante</w:t>
      </w:r>
      <w:r>
        <w:rPr>
          <w:color w:val="231F20"/>
          <w:spacing w:val="-4"/>
          <w:w w:val="110"/>
        </w:rPr>
        <w:t> </w:t>
      </w:r>
      <w:r>
        <w:rPr>
          <w:color w:val="231F20"/>
          <w:w w:val="110"/>
        </w:rPr>
        <w:t>de</w:t>
      </w:r>
      <w:r>
        <w:rPr>
          <w:color w:val="231F20"/>
          <w:spacing w:val="-4"/>
          <w:w w:val="110"/>
        </w:rPr>
        <w:t> </w:t>
      </w:r>
      <w:r>
        <w:rPr>
          <w:color w:val="231F20"/>
          <w:w w:val="110"/>
        </w:rPr>
        <w:t>menores</w:t>
      </w:r>
      <w:r>
        <w:rPr>
          <w:color w:val="231F20"/>
          <w:spacing w:val="-4"/>
          <w:w w:val="110"/>
        </w:rPr>
        <w:t> </w:t>
      </w:r>
      <w:r>
        <w:rPr>
          <w:color w:val="231F20"/>
          <w:w w:val="110"/>
        </w:rPr>
        <w:t>de</w:t>
      </w:r>
      <w:r>
        <w:rPr>
          <w:color w:val="231F20"/>
          <w:spacing w:val="-4"/>
          <w:w w:val="110"/>
        </w:rPr>
        <w:t> </w:t>
      </w:r>
      <w:r>
        <w:rPr>
          <w:color w:val="231F20"/>
          <w:w w:val="110"/>
        </w:rPr>
        <w:t>25</w:t>
      </w:r>
      <w:r>
        <w:rPr>
          <w:color w:val="231F20"/>
          <w:spacing w:val="-4"/>
          <w:w w:val="110"/>
        </w:rPr>
        <w:t> </w:t>
      </w:r>
      <w:r>
        <w:rPr>
          <w:color w:val="231F20"/>
          <w:w w:val="110"/>
        </w:rPr>
        <w:t>años</w:t>
      </w:r>
      <w:r>
        <w:rPr>
          <w:color w:val="231F20"/>
          <w:spacing w:val="-4"/>
          <w:w w:val="110"/>
        </w:rPr>
        <w:t> </w:t>
      </w:r>
      <w:r>
        <w:rPr>
          <w:color w:val="231F20"/>
          <w:w w:val="110"/>
        </w:rPr>
        <w:t>el</w:t>
      </w:r>
      <w:r>
        <w:rPr>
          <w:color w:val="231F20"/>
          <w:spacing w:val="-4"/>
          <w:w w:val="110"/>
        </w:rPr>
        <w:t> </w:t>
      </w:r>
      <w:r>
        <w:rPr>
          <w:color w:val="231F20"/>
          <w:w w:val="110"/>
        </w:rPr>
        <w:t>matrimonio no es una prioridad, aspecto que se aprecia en las considerables propor- ciones de personas solteras que van desde 54.4 y 56.3 por ciento, para el caso de las mujeres y de 67.0 y 68.8 por ciento, para el de los hombres en Jalisco; de 52.8 y 52.7 por ciento para las mujeres y de 69.1 y 66.8 por ciento para los hombres en Nuevo León; hasta 57.9 y 64.6 por ciento para el caso de las mujeres y de 71.2 y 75.2 por ciento para el caso de los hom- bres en el Distrito Federal.</w:t>
      </w:r>
    </w:p>
    <w:p>
      <w:pPr>
        <w:pStyle w:val="BodyText"/>
        <w:spacing w:line="288" w:lineRule="auto"/>
        <w:ind w:left="100" w:right="117" w:firstLine="360"/>
        <w:jc w:val="both"/>
      </w:pPr>
      <w:r>
        <w:rPr>
          <w:color w:val="231F20"/>
          <w:w w:val="110"/>
        </w:rPr>
        <w:t>En cambio, en las generaciones más jóvenes se favorece el compromi- so</w:t>
      </w:r>
      <w:r>
        <w:rPr>
          <w:color w:val="231F20"/>
          <w:spacing w:val="-4"/>
          <w:w w:val="110"/>
        </w:rPr>
        <w:t> </w:t>
      </w:r>
      <w:r>
        <w:rPr>
          <w:color w:val="231F20"/>
          <w:w w:val="110"/>
        </w:rPr>
        <w:t>moderado,</w:t>
      </w:r>
      <w:r>
        <w:rPr>
          <w:color w:val="231F20"/>
          <w:spacing w:val="-4"/>
          <w:w w:val="110"/>
        </w:rPr>
        <w:t> </w:t>
      </w:r>
      <w:r>
        <w:rPr>
          <w:color w:val="231F20"/>
          <w:w w:val="110"/>
        </w:rPr>
        <w:t>la</w:t>
      </w:r>
      <w:r>
        <w:rPr>
          <w:color w:val="231F20"/>
          <w:spacing w:val="-4"/>
          <w:w w:val="110"/>
        </w:rPr>
        <w:t> </w:t>
      </w:r>
      <w:r>
        <w:rPr>
          <w:color w:val="231F20"/>
          <w:w w:val="110"/>
        </w:rPr>
        <w:t>prueba</w:t>
      </w:r>
      <w:r>
        <w:rPr>
          <w:color w:val="231F20"/>
          <w:spacing w:val="-4"/>
          <w:w w:val="110"/>
        </w:rPr>
        <w:t> </w:t>
      </w:r>
      <w:r>
        <w:rPr>
          <w:color w:val="231F20"/>
          <w:w w:val="110"/>
        </w:rPr>
        <w:t>o</w:t>
      </w:r>
      <w:r>
        <w:rPr>
          <w:color w:val="231F20"/>
          <w:spacing w:val="-4"/>
          <w:w w:val="110"/>
        </w:rPr>
        <w:t> </w:t>
      </w:r>
      <w:r>
        <w:rPr>
          <w:color w:val="231F20"/>
          <w:w w:val="110"/>
        </w:rPr>
        <w:t>el</w:t>
      </w:r>
      <w:r>
        <w:rPr>
          <w:color w:val="231F20"/>
          <w:spacing w:val="-4"/>
          <w:w w:val="110"/>
        </w:rPr>
        <w:t> </w:t>
      </w:r>
      <w:r>
        <w:rPr>
          <w:color w:val="231F20"/>
          <w:w w:val="110"/>
        </w:rPr>
        <w:t>intento</w:t>
      </w:r>
      <w:r>
        <w:rPr>
          <w:color w:val="231F20"/>
          <w:spacing w:val="-4"/>
          <w:w w:val="110"/>
        </w:rPr>
        <w:t> </w:t>
      </w:r>
      <w:r>
        <w:rPr>
          <w:color w:val="231F20"/>
          <w:w w:val="110"/>
        </w:rPr>
        <w:t>de</w:t>
      </w:r>
      <w:r>
        <w:rPr>
          <w:color w:val="231F20"/>
          <w:spacing w:val="-4"/>
          <w:w w:val="110"/>
        </w:rPr>
        <w:t> </w:t>
      </w:r>
      <w:r>
        <w:rPr>
          <w:color w:val="231F20"/>
          <w:w w:val="110"/>
        </w:rPr>
        <w:t>antemano</w:t>
      </w:r>
      <w:r>
        <w:rPr>
          <w:color w:val="231F20"/>
          <w:spacing w:val="-4"/>
          <w:w w:val="110"/>
        </w:rPr>
        <w:t> </w:t>
      </w:r>
      <w:r>
        <w:rPr>
          <w:color w:val="231F20"/>
          <w:w w:val="110"/>
        </w:rPr>
        <w:t>fallido.</w:t>
      </w:r>
      <w:r>
        <w:rPr>
          <w:color w:val="231F20"/>
          <w:spacing w:val="-4"/>
          <w:w w:val="110"/>
        </w:rPr>
        <w:t> </w:t>
      </w:r>
      <w:r>
        <w:rPr>
          <w:color w:val="231F20"/>
          <w:w w:val="110"/>
        </w:rPr>
        <w:t>Así,</w:t>
      </w:r>
      <w:r>
        <w:rPr>
          <w:color w:val="231F20"/>
          <w:spacing w:val="-4"/>
          <w:w w:val="110"/>
        </w:rPr>
        <w:t> </w:t>
      </w:r>
      <w:r>
        <w:rPr>
          <w:color w:val="231F20"/>
          <w:w w:val="110"/>
        </w:rPr>
        <w:t>en</w:t>
      </w:r>
      <w:r>
        <w:rPr>
          <w:color w:val="231F20"/>
          <w:spacing w:val="-4"/>
          <w:w w:val="110"/>
        </w:rPr>
        <w:t> </w:t>
      </w:r>
      <w:r>
        <w:rPr>
          <w:color w:val="231F20"/>
          <w:w w:val="110"/>
        </w:rPr>
        <w:t>las</w:t>
      </w:r>
      <w:r>
        <w:rPr>
          <w:color w:val="231F20"/>
          <w:spacing w:val="-4"/>
          <w:w w:val="110"/>
        </w:rPr>
        <w:t> </w:t>
      </w:r>
      <w:r>
        <w:rPr>
          <w:color w:val="231F20"/>
          <w:w w:val="110"/>
        </w:rPr>
        <w:t>últimas décadas</w:t>
      </w:r>
      <w:r>
        <w:rPr>
          <w:color w:val="231F20"/>
          <w:spacing w:val="-8"/>
          <w:w w:val="110"/>
        </w:rPr>
        <w:t> </w:t>
      </w:r>
      <w:r>
        <w:rPr>
          <w:color w:val="231F20"/>
          <w:w w:val="110"/>
        </w:rPr>
        <w:t>entre</w:t>
      </w:r>
      <w:r>
        <w:rPr>
          <w:color w:val="231F20"/>
          <w:spacing w:val="-7"/>
          <w:w w:val="110"/>
        </w:rPr>
        <w:t> </w:t>
      </w:r>
      <w:r>
        <w:rPr>
          <w:color w:val="231F20"/>
          <w:w w:val="110"/>
        </w:rPr>
        <w:t>los</w:t>
      </w:r>
      <w:r>
        <w:rPr>
          <w:color w:val="231F20"/>
          <w:spacing w:val="-7"/>
          <w:w w:val="110"/>
        </w:rPr>
        <w:t> </w:t>
      </w:r>
      <w:r>
        <w:rPr>
          <w:color w:val="231F20"/>
          <w:w w:val="110"/>
        </w:rPr>
        <w:t>menores</w:t>
      </w:r>
      <w:r>
        <w:rPr>
          <w:color w:val="231F20"/>
          <w:spacing w:val="-8"/>
          <w:w w:val="110"/>
        </w:rPr>
        <w:t> </w:t>
      </w:r>
      <w:r>
        <w:rPr>
          <w:color w:val="231F20"/>
          <w:w w:val="110"/>
        </w:rPr>
        <w:t>de</w:t>
      </w:r>
      <w:r>
        <w:rPr>
          <w:color w:val="231F20"/>
          <w:spacing w:val="-7"/>
          <w:w w:val="110"/>
        </w:rPr>
        <w:t> </w:t>
      </w:r>
      <w:r>
        <w:rPr>
          <w:color w:val="231F20"/>
          <w:w w:val="110"/>
        </w:rPr>
        <w:t>25</w:t>
      </w:r>
      <w:r>
        <w:rPr>
          <w:color w:val="231F20"/>
          <w:spacing w:val="-7"/>
          <w:w w:val="110"/>
        </w:rPr>
        <w:t> </w:t>
      </w:r>
      <w:r>
        <w:rPr>
          <w:color w:val="231F20"/>
          <w:w w:val="110"/>
        </w:rPr>
        <w:t>años</w:t>
      </w:r>
      <w:r>
        <w:rPr>
          <w:color w:val="231F20"/>
          <w:spacing w:val="-8"/>
          <w:w w:val="110"/>
        </w:rPr>
        <w:t> </w:t>
      </w:r>
      <w:r>
        <w:rPr>
          <w:color w:val="231F20"/>
          <w:w w:val="110"/>
        </w:rPr>
        <w:t>está</w:t>
      </w:r>
      <w:r>
        <w:rPr>
          <w:color w:val="231F20"/>
          <w:spacing w:val="-7"/>
          <w:w w:val="110"/>
        </w:rPr>
        <w:t> </w:t>
      </w:r>
      <w:r>
        <w:rPr>
          <w:color w:val="231F20"/>
          <w:w w:val="110"/>
        </w:rPr>
        <w:t>presente</w:t>
      </w:r>
      <w:r>
        <w:rPr>
          <w:color w:val="231F20"/>
          <w:spacing w:val="-8"/>
          <w:w w:val="110"/>
        </w:rPr>
        <w:t> </w:t>
      </w:r>
      <w:r>
        <w:rPr>
          <w:color w:val="231F20"/>
          <w:w w:val="110"/>
        </w:rPr>
        <w:t>el</w:t>
      </w:r>
      <w:r>
        <w:rPr>
          <w:color w:val="231F20"/>
          <w:spacing w:val="-8"/>
          <w:w w:val="110"/>
        </w:rPr>
        <w:t> </w:t>
      </w:r>
      <w:r>
        <w:rPr>
          <w:color w:val="231F20"/>
          <w:w w:val="110"/>
        </w:rPr>
        <w:t>crecimiento</w:t>
      </w:r>
      <w:r>
        <w:rPr>
          <w:color w:val="231F20"/>
          <w:spacing w:val="-8"/>
          <w:w w:val="110"/>
        </w:rPr>
        <w:t> </w:t>
      </w:r>
      <w:r>
        <w:rPr>
          <w:color w:val="231F20"/>
          <w:w w:val="110"/>
        </w:rPr>
        <w:t>porcen- tual de la unión libre y la relativa disminución porcentual del matrimonio. Este aumento es más evidente en los estados centrales de la República como Aguascalientes, Jalisco, México, Puebla, Querétaro, San Luis Potosí, Tlaxcala y Querétaro con aumentos de alrededor de 12 y hasta 15 puntos porcentuales (véanse cuadros 2 y</w:t>
      </w:r>
      <w:r>
        <w:rPr>
          <w:color w:val="231F20"/>
          <w:spacing w:val="8"/>
          <w:w w:val="110"/>
        </w:rPr>
        <w:t> </w:t>
      </w:r>
      <w:r>
        <w:rPr>
          <w:color w:val="231F20"/>
          <w:w w:val="110"/>
        </w:rPr>
        <w:t>3).</w:t>
      </w:r>
    </w:p>
    <w:p>
      <w:pPr>
        <w:pStyle w:val="BodyText"/>
        <w:spacing w:before="3"/>
        <w:rPr>
          <w:sz w:val="23"/>
        </w:rPr>
      </w:pPr>
    </w:p>
    <w:p>
      <w:pPr>
        <w:pStyle w:val="Heading3"/>
        <w:ind w:left="100"/>
        <w:rPr>
          <w:i/>
        </w:rPr>
      </w:pPr>
      <w:r>
        <w:rPr>
          <w:i/>
          <w:color w:val="231F20"/>
          <w:w w:val="105"/>
        </w:rPr>
        <w:t>El grupo de edad 30-34</w:t>
      </w:r>
    </w:p>
    <w:p>
      <w:pPr>
        <w:pStyle w:val="BodyText"/>
        <w:spacing w:before="4"/>
        <w:rPr>
          <w:rFonts w:ascii="Calibri"/>
          <w:i/>
          <w:sz w:val="22"/>
        </w:rPr>
      </w:pPr>
    </w:p>
    <w:p>
      <w:pPr>
        <w:pStyle w:val="BodyText"/>
        <w:spacing w:line="288" w:lineRule="auto"/>
        <w:ind w:left="100" w:right="116"/>
        <w:jc w:val="both"/>
      </w:pPr>
      <w:r>
        <w:rPr>
          <w:color w:val="231F20"/>
          <w:w w:val="110"/>
        </w:rPr>
        <w:t>Las</w:t>
      </w:r>
      <w:r>
        <w:rPr>
          <w:color w:val="231F20"/>
          <w:spacing w:val="-7"/>
          <w:w w:val="110"/>
        </w:rPr>
        <w:t> </w:t>
      </w:r>
      <w:r>
        <w:rPr>
          <w:color w:val="231F20"/>
          <w:w w:val="110"/>
        </w:rPr>
        <w:t>personas</w:t>
      </w:r>
      <w:r>
        <w:rPr>
          <w:color w:val="231F20"/>
          <w:spacing w:val="-7"/>
          <w:w w:val="110"/>
        </w:rPr>
        <w:t> </w:t>
      </w:r>
      <w:r>
        <w:rPr>
          <w:color w:val="231F20"/>
          <w:w w:val="110"/>
        </w:rPr>
        <w:t>de</w:t>
      </w:r>
      <w:r>
        <w:rPr>
          <w:color w:val="231F20"/>
          <w:spacing w:val="-7"/>
          <w:w w:val="110"/>
        </w:rPr>
        <w:t> </w:t>
      </w:r>
      <w:r>
        <w:rPr>
          <w:color w:val="231F20"/>
          <w:w w:val="110"/>
        </w:rPr>
        <w:t>edad</w:t>
      </w:r>
      <w:r>
        <w:rPr>
          <w:color w:val="231F20"/>
          <w:spacing w:val="-7"/>
          <w:w w:val="110"/>
        </w:rPr>
        <w:t> </w:t>
      </w:r>
      <w:r>
        <w:rPr>
          <w:color w:val="231F20"/>
          <w:w w:val="110"/>
        </w:rPr>
        <w:t>intermedia</w:t>
      </w:r>
      <w:r>
        <w:rPr>
          <w:color w:val="231F20"/>
          <w:spacing w:val="-7"/>
          <w:w w:val="110"/>
        </w:rPr>
        <w:t> </w:t>
      </w:r>
      <w:r>
        <w:rPr>
          <w:color w:val="231F20"/>
          <w:w w:val="110"/>
        </w:rPr>
        <w:t>también</w:t>
      </w:r>
      <w:r>
        <w:rPr>
          <w:color w:val="231F20"/>
          <w:spacing w:val="-7"/>
          <w:w w:val="110"/>
        </w:rPr>
        <w:t> </w:t>
      </w:r>
      <w:r>
        <w:rPr>
          <w:color w:val="231F20"/>
          <w:w w:val="110"/>
        </w:rPr>
        <w:t>han</w:t>
      </w:r>
      <w:r>
        <w:rPr>
          <w:color w:val="231F20"/>
          <w:spacing w:val="-7"/>
          <w:w w:val="110"/>
        </w:rPr>
        <w:t> </w:t>
      </w:r>
      <w:r>
        <w:rPr>
          <w:color w:val="231F20"/>
          <w:w w:val="110"/>
        </w:rPr>
        <w:t>cambiado</w:t>
      </w:r>
      <w:r>
        <w:rPr>
          <w:color w:val="231F20"/>
          <w:spacing w:val="-7"/>
          <w:w w:val="110"/>
        </w:rPr>
        <w:t> </w:t>
      </w:r>
      <w:r>
        <w:rPr>
          <w:color w:val="231F20"/>
          <w:w w:val="110"/>
        </w:rPr>
        <w:t>de</w:t>
      </w:r>
      <w:r>
        <w:rPr>
          <w:color w:val="231F20"/>
          <w:spacing w:val="-7"/>
          <w:w w:val="110"/>
        </w:rPr>
        <w:t> </w:t>
      </w:r>
      <w:r>
        <w:rPr>
          <w:color w:val="231F20"/>
          <w:w w:val="110"/>
        </w:rPr>
        <w:t>manera</w:t>
      </w:r>
      <w:r>
        <w:rPr>
          <w:color w:val="231F20"/>
          <w:spacing w:val="-7"/>
          <w:w w:val="110"/>
        </w:rPr>
        <w:t> </w:t>
      </w:r>
      <w:r>
        <w:rPr>
          <w:color w:val="231F20"/>
          <w:w w:val="110"/>
        </w:rPr>
        <w:t>impor- tante sus decisiones respecto a la unión. Este hecho se puede apreciar, sobre todo, en el incremento de mujeres en unión libre, cifra que ha cam- biado entre 1990 y 2010, en donde las proporciones casi se duplican en este periodo. Las entidades que presentan un mayor crecimiento son el Distrito</w:t>
      </w:r>
      <w:r>
        <w:rPr>
          <w:color w:val="231F20"/>
          <w:spacing w:val="-7"/>
          <w:w w:val="110"/>
        </w:rPr>
        <w:t> </w:t>
      </w:r>
      <w:r>
        <w:rPr>
          <w:color w:val="231F20"/>
          <w:spacing w:val="-3"/>
          <w:w w:val="110"/>
        </w:rPr>
        <w:t>Federal</w:t>
      </w:r>
      <w:r>
        <w:rPr>
          <w:color w:val="231F20"/>
          <w:spacing w:val="-7"/>
          <w:w w:val="110"/>
        </w:rPr>
        <w:t> </w:t>
      </w:r>
      <w:r>
        <w:rPr>
          <w:color w:val="231F20"/>
          <w:w w:val="110"/>
        </w:rPr>
        <w:t>(de</w:t>
      </w:r>
      <w:r>
        <w:rPr>
          <w:color w:val="231F20"/>
          <w:spacing w:val="-7"/>
          <w:w w:val="110"/>
        </w:rPr>
        <w:t> </w:t>
      </w:r>
      <w:r>
        <w:rPr>
          <w:color w:val="231F20"/>
          <w:w w:val="110"/>
        </w:rPr>
        <w:t>9.4</w:t>
      </w:r>
      <w:r>
        <w:rPr>
          <w:color w:val="231F20"/>
          <w:spacing w:val="-7"/>
          <w:w w:val="110"/>
        </w:rPr>
        <w:t> </w:t>
      </w:r>
      <w:r>
        <w:rPr>
          <w:color w:val="231F20"/>
          <w:w w:val="110"/>
        </w:rPr>
        <w:t>a</w:t>
      </w:r>
      <w:r>
        <w:rPr>
          <w:color w:val="231F20"/>
          <w:spacing w:val="-7"/>
          <w:w w:val="110"/>
        </w:rPr>
        <w:t> </w:t>
      </w:r>
      <w:r>
        <w:rPr>
          <w:color w:val="231F20"/>
          <w:w w:val="110"/>
        </w:rPr>
        <w:t>22.0</w:t>
      </w:r>
      <w:r>
        <w:rPr>
          <w:color w:val="231F20"/>
          <w:spacing w:val="-7"/>
          <w:w w:val="110"/>
        </w:rPr>
        <w:t> </w:t>
      </w:r>
      <w:r>
        <w:rPr>
          <w:color w:val="231F20"/>
          <w:w w:val="110"/>
        </w:rPr>
        <w:t>por</w:t>
      </w:r>
      <w:r>
        <w:rPr>
          <w:color w:val="231F20"/>
          <w:spacing w:val="-7"/>
          <w:w w:val="110"/>
        </w:rPr>
        <w:t> </w:t>
      </w:r>
      <w:r>
        <w:rPr>
          <w:color w:val="231F20"/>
          <w:w w:val="110"/>
        </w:rPr>
        <w:t>ciento),</w:t>
      </w:r>
      <w:r>
        <w:rPr>
          <w:color w:val="231F20"/>
          <w:spacing w:val="-7"/>
          <w:w w:val="110"/>
        </w:rPr>
        <w:t> </w:t>
      </w:r>
      <w:r>
        <w:rPr>
          <w:color w:val="231F20"/>
          <w:w w:val="110"/>
        </w:rPr>
        <w:t>Quintana</w:t>
      </w:r>
      <w:r>
        <w:rPr>
          <w:color w:val="231F20"/>
          <w:spacing w:val="-7"/>
          <w:w w:val="110"/>
        </w:rPr>
        <w:t> </w:t>
      </w:r>
      <w:r>
        <w:rPr>
          <w:color w:val="231F20"/>
          <w:w w:val="110"/>
        </w:rPr>
        <w:t>Roo</w:t>
      </w:r>
      <w:r>
        <w:rPr>
          <w:color w:val="231F20"/>
          <w:spacing w:val="-7"/>
          <w:w w:val="110"/>
        </w:rPr>
        <w:t> </w:t>
      </w:r>
      <w:r>
        <w:rPr>
          <w:color w:val="231F20"/>
          <w:w w:val="110"/>
        </w:rPr>
        <w:t>(de</w:t>
      </w:r>
      <w:r>
        <w:rPr>
          <w:color w:val="231F20"/>
          <w:spacing w:val="-7"/>
          <w:w w:val="110"/>
        </w:rPr>
        <w:t> </w:t>
      </w:r>
      <w:r>
        <w:rPr>
          <w:color w:val="231F20"/>
          <w:w w:val="110"/>
        </w:rPr>
        <w:t>12.5</w:t>
      </w:r>
      <w:r>
        <w:rPr>
          <w:color w:val="231F20"/>
          <w:spacing w:val="-7"/>
          <w:w w:val="110"/>
        </w:rPr>
        <w:t> </w:t>
      </w:r>
      <w:r>
        <w:rPr>
          <w:color w:val="231F20"/>
          <w:w w:val="110"/>
        </w:rPr>
        <w:t>a</w:t>
      </w:r>
      <w:r>
        <w:rPr>
          <w:color w:val="231F20"/>
          <w:spacing w:val="-7"/>
          <w:w w:val="110"/>
        </w:rPr>
        <w:t> </w:t>
      </w:r>
      <w:r>
        <w:rPr>
          <w:color w:val="231F20"/>
          <w:w w:val="110"/>
        </w:rPr>
        <w:t>26.7</w:t>
      </w:r>
      <w:r>
        <w:rPr>
          <w:color w:val="231F20"/>
          <w:spacing w:val="-7"/>
          <w:w w:val="110"/>
        </w:rPr>
        <w:t> </w:t>
      </w:r>
      <w:r>
        <w:rPr>
          <w:color w:val="231F20"/>
          <w:w w:val="110"/>
        </w:rPr>
        <w:t>por ciento), Puebla (de 12.4 a 27.9 por ciento) y Baja California (de 13.8 a 27.6 por ciento). En el caso de los hombres, este aspecto es notable sobre todo en</w:t>
      </w:r>
      <w:r>
        <w:rPr>
          <w:color w:val="231F20"/>
          <w:spacing w:val="-5"/>
          <w:w w:val="110"/>
        </w:rPr>
        <w:t> </w:t>
      </w:r>
      <w:r>
        <w:rPr>
          <w:color w:val="231F20"/>
          <w:w w:val="110"/>
        </w:rPr>
        <w:t>el</w:t>
      </w:r>
      <w:r>
        <w:rPr>
          <w:color w:val="231F20"/>
          <w:spacing w:val="-5"/>
          <w:w w:val="110"/>
        </w:rPr>
        <w:t> </w:t>
      </w:r>
      <w:r>
        <w:rPr>
          <w:color w:val="231F20"/>
          <w:w w:val="110"/>
        </w:rPr>
        <w:t>Distrito</w:t>
      </w:r>
      <w:r>
        <w:rPr>
          <w:color w:val="231F20"/>
          <w:spacing w:val="-5"/>
          <w:w w:val="110"/>
        </w:rPr>
        <w:t> </w:t>
      </w:r>
      <w:r>
        <w:rPr>
          <w:color w:val="231F20"/>
          <w:spacing w:val="-3"/>
          <w:w w:val="110"/>
        </w:rPr>
        <w:t>Federal</w:t>
      </w:r>
      <w:r>
        <w:rPr>
          <w:color w:val="231F20"/>
          <w:spacing w:val="-5"/>
          <w:w w:val="110"/>
        </w:rPr>
        <w:t> </w:t>
      </w:r>
      <w:r>
        <w:rPr>
          <w:color w:val="231F20"/>
          <w:w w:val="110"/>
        </w:rPr>
        <w:t>(de</w:t>
      </w:r>
      <w:r>
        <w:rPr>
          <w:color w:val="231F20"/>
          <w:spacing w:val="-5"/>
          <w:w w:val="110"/>
        </w:rPr>
        <w:t> </w:t>
      </w:r>
      <w:r>
        <w:rPr>
          <w:color w:val="231F20"/>
          <w:w w:val="110"/>
        </w:rPr>
        <w:t>10.1</w:t>
      </w:r>
      <w:r>
        <w:rPr>
          <w:color w:val="231F20"/>
          <w:spacing w:val="-5"/>
          <w:w w:val="110"/>
        </w:rPr>
        <w:t> </w:t>
      </w:r>
      <w:r>
        <w:rPr>
          <w:color w:val="231F20"/>
          <w:w w:val="110"/>
        </w:rPr>
        <w:t>a</w:t>
      </w:r>
      <w:r>
        <w:rPr>
          <w:color w:val="231F20"/>
          <w:spacing w:val="-5"/>
          <w:w w:val="110"/>
        </w:rPr>
        <w:t> </w:t>
      </w:r>
      <w:r>
        <w:rPr>
          <w:color w:val="231F20"/>
          <w:w w:val="110"/>
        </w:rPr>
        <w:t>24.3</w:t>
      </w:r>
      <w:r>
        <w:rPr>
          <w:color w:val="231F20"/>
          <w:spacing w:val="-5"/>
          <w:w w:val="110"/>
        </w:rPr>
        <w:t> </w:t>
      </w:r>
      <w:r>
        <w:rPr>
          <w:color w:val="231F20"/>
          <w:w w:val="110"/>
        </w:rPr>
        <w:t>por</w:t>
      </w:r>
      <w:r>
        <w:rPr>
          <w:color w:val="231F20"/>
          <w:spacing w:val="-5"/>
          <w:w w:val="110"/>
        </w:rPr>
        <w:t> </w:t>
      </w:r>
      <w:r>
        <w:rPr>
          <w:color w:val="231F20"/>
          <w:w w:val="110"/>
        </w:rPr>
        <w:t>ciento),</w:t>
      </w:r>
      <w:r>
        <w:rPr>
          <w:color w:val="231F20"/>
          <w:spacing w:val="-5"/>
          <w:w w:val="110"/>
        </w:rPr>
        <w:t> </w:t>
      </w:r>
      <w:r>
        <w:rPr>
          <w:color w:val="231F20"/>
          <w:w w:val="110"/>
        </w:rPr>
        <w:t>Puebla</w:t>
      </w:r>
      <w:r>
        <w:rPr>
          <w:color w:val="231F20"/>
          <w:spacing w:val="-5"/>
          <w:w w:val="110"/>
        </w:rPr>
        <w:t> </w:t>
      </w:r>
      <w:r>
        <w:rPr>
          <w:color w:val="231F20"/>
          <w:w w:val="110"/>
        </w:rPr>
        <w:t>(de</w:t>
      </w:r>
      <w:r>
        <w:rPr>
          <w:color w:val="231F20"/>
          <w:spacing w:val="-5"/>
          <w:w w:val="110"/>
        </w:rPr>
        <w:t> </w:t>
      </w:r>
      <w:r>
        <w:rPr>
          <w:color w:val="231F20"/>
          <w:w w:val="110"/>
        </w:rPr>
        <w:t>13.2</w:t>
      </w:r>
      <w:r>
        <w:rPr>
          <w:color w:val="231F20"/>
          <w:spacing w:val="-5"/>
          <w:w w:val="110"/>
        </w:rPr>
        <w:t> </w:t>
      </w:r>
      <w:r>
        <w:rPr>
          <w:color w:val="231F20"/>
          <w:w w:val="110"/>
        </w:rPr>
        <w:t>a</w:t>
      </w:r>
      <w:r>
        <w:rPr>
          <w:color w:val="231F20"/>
          <w:spacing w:val="-5"/>
          <w:w w:val="110"/>
        </w:rPr>
        <w:t> </w:t>
      </w:r>
      <w:r>
        <w:rPr>
          <w:color w:val="231F20"/>
          <w:w w:val="110"/>
        </w:rPr>
        <w:t>32.5</w:t>
      </w:r>
      <w:r>
        <w:rPr>
          <w:color w:val="231F20"/>
          <w:spacing w:val="-5"/>
          <w:w w:val="110"/>
        </w:rPr>
        <w:t> </w:t>
      </w:r>
      <w:r>
        <w:rPr>
          <w:color w:val="231F20"/>
          <w:w w:val="110"/>
        </w:rPr>
        <w:t>por </w:t>
      </w:r>
      <w:r>
        <w:rPr>
          <w:color w:val="231F20"/>
          <w:spacing w:val="3"/>
          <w:w w:val="110"/>
        </w:rPr>
        <w:t>ciento), Baja California </w:t>
      </w:r>
      <w:r>
        <w:rPr>
          <w:color w:val="231F20"/>
          <w:spacing w:val="2"/>
          <w:w w:val="110"/>
        </w:rPr>
        <w:t>(de </w:t>
      </w:r>
      <w:r>
        <w:rPr>
          <w:color w:val="231F20"/>
          <w:w w:val="110"/>
        </w:rPr>
        <w:t>14 a 29 </w:t>
      </w:r>
      <w:r>
        <w:rPr>
          <w:color w:val="231F20"/>
          <w:spacing w:val="2"/>
          <w:w w:val="110"/>
        </w:rPr>
        <w:t>por </w:t>
      </w:r>
      <w:r>
        <w:rPr>
          <w:color w:val="231F20"/>
          <w:spacing w:val="3"/>
          <w:w w:val="110"/>
        </w:rPr>
        <w:t>ciento) </w:t>
      </w:r>
      <w:r>
        <w:rPr>
          <w:color w:val="231F20"/>
          <w:w w:val="110"/>
        </w:rPr>
        <w:t>y </w:t>
      </w:r>
      <w:r>
        <w:rPr>
          <w:color w:val="231F20"/>
          <w:spacing w:val="3"/>
          <w:w w:val="110"/>
        </w:rPr>
        <w:t>Tlaxcala </w:t>
      </w:r>
      <w:r>
        <w:rPr>
          <w:color w:val="231F20"/>
          <w:spacing w:val="2"/>
          <w:w w:val="110"/>
        </w:rPr>
        <w:t>(de 9.7 </w:t>
      </w:r>
      <w:r>
        <w:rPr>
          <w:color w:val="231F20"/>
          <w:w w:val="110"/>
        </w:rPr>
        <w:t>a </w:t>
      </w:r>
      <w:r>
        <w:rPr>
          <w:color w:val="231F20"/>
          <w:spacing w:val="3"/>
          <w:w w:val="110"/>
        </w:rPr>
        <w:t>27.4 </w:t>
      </w:r>
      <w:r>
        <w:rPr>
          <w:color w:val="231F20"/>
          <w:spacing w:val="2"/>
          <w:w w:val="110"/>
        </w:rPr>
        <w:t>por </w:t>
      </w:r>
      <w:r>
        <w:rPr>
          <w:color w:val="231F20"/>
          <w:w w:val="110"/>
        </w:rPr>
        <w:t>ciento). Lo cual también se asocia con la maternidad, la seguridad de ingresos</w:t>
      </w:r>
      <w:r>
        <w:rPr>
          <w:color w:val="231F20"/>
          <w:spacing w:val="-13"/>
          <w:w w:val="110"/>
        </w:rPr>
        <w:t> </w:t>
      </w:r>
      <w:r>
        <w:rPr>
          <w:color w:val="231F20"/>
          <w:w w:val="110"/>
        </w:rPr>
        <w:t>y</w:t>
      </w:r>
      <w:r>
        <w:rPr>
          <w:color w:val="231F20"/>
          <w:spacing w:val="-13"/>
          <w:w w:val="110"/>
        </w:rPr>
        <w:t> </w:t>
      </w:r>
      <w:r>
        <w:rPr>
          <w:color w:val="231F20"/>
          <w:w w:val="110"/>
        </w:rPr>
        <w:t>apoyos</w:t>
      </w:r>
      <w:r>
        <w:rPr>
          <w:color w:val="231F20"/>
          <w:spacing w:val="-13"/>
          <w:w w:val="110"/>
        </w:rPr>
        <w:t> </w:t>
      </w:r>
      <w:r>
        <w:rPr>
          <w:color w:val="231F20"/>
          <w:w w:val="110"/>
        </w:rPr>
        <w:t>necesarios</w:t>
      </w:r>
      <w:r>
        <w:rPr>
          <w:color w:val="231F20"/>
          <w:spacing w:val="-13"/>
          <w:w w:val="110"/>
        </w:rPr>
        <w:t> </w:t>
      </w:r>
      <w:r>
        <w:rPr>
          <w:color w:val="231F20"/>
          <w:w w:val="110"/>
        </w:rPr>
        <w:t>que</w:t>
      </w:r>
      <w:r>
        <w:rPr>
          <w:color w:val="231F20"/>
          <w:spacing w:val="-13"/>
          <w:w w:val="110"/>
        </w:rPr>
        <w:t> </w:t>
      </w:r>
      <w:r>
        <w:rPr>
          <w:color w:val="231F20"/>
          <w:w w:val="110"/>
        </w:rPr>
        <w:t>demanda</w:t>
      </w:r>
      <w:r>
        <w:rPr>
          <w:color w:val="231F20"/>
          <w:spacing w:val="-13"/>
          <w:w w:val="110"/>
        </w:rPr>
        <w:t> </w:t>
      </w:r>
      <w:r>
        <w:rPr>
          <w:color w:val="231F20"/>
          <w:w w:val="110"/>
        </w:rPr>
        <w:t>la</w:t>
      </w:r>
      <w:r>
        <w:rPr>
          <w:color w:val="231F20"/>
          <w:spacing w:val="-13"/>
          <w:w w:val="110"/>
        </w:rPr>
        <w:t> </w:t>
      </w:r>
      <w:r>
        <w:rPr>
          <w:color w:val="231F20"/>
          <w:w w:val="110"/>
        </w:rPr>
        <w:t>crianza</w:t>
      </w:r>
      <w:r>
        <w:rPr>
          <w:color w:val="231F20"/>
          <w:spacing w:val="-13"/>
          <w:w w:val="110"/>
        </w:rPr>
        <w:t> </w:t>
      </w:r>
      <w:r>
        <w:rPr>
          <w:color w:val="231F20"/>
          <w:w w:val="110"/>
        </w:rPr>
        <w:t>(véanse</w:t>
      </w:r>
      <w:r>
        <w:rPr>
          <w:color w:val="231F20"/>
          <w:spacing w:val="-13"/>
          <w:w w:val="110"/>
        </w:rPr>
        <w:t> </w:t>
      </w:r>
      <w:r>
        <w:rPr>
          <w:color w:val="231F20"/>
          <w:w w:val="110"/>
        </w:rPr>
        <w:t>cuadro</w:t>
      </w:r>
      <w:r>
        <w:rPr>
          <w:color w:val="231F20"/>
          <w:spacing w:val="-13"/>
          <w:w w:val="110"/>
        </w:rPr>
        <w:t> </w:t>
      </w:r>
      <w:r>
        <w:rPr>
          <w:color w:val="231F20"/>
          <w:w w:val="110"/>
        </w:rPr>
        <w:t>4</w:t>
      </w:r>
      <w:r>
        <w:rPr>
          <w:color w:val="231F20"/>
          <w:spacing w:val="-13"/>
          <w:w w:val="110"/>
        </w:rPr>
        <w:t> </w:t>
      </w:r>
      <w:r>
        <w:rPr>
          <w:color w:val="231F20"/>
          <w:w w:val="110"/>
        </w:rPr>
        <w:t>y</w:t>
      </w:r>
      <w:r>
        <w:rPr>
          <w:color w:val="231F20"/>
          <w:spacing w:val="-13"/>
          <w:w w:val="110"/>
        </w:rPr>
        <w:t> </w:t>
      </w:r>
      <w:r>
        <w:rPr>
          <w:color w:val="231F20"/>
          <w:w w:val="110"/>
        </w:rPr>
        <w:t>5).</w:t>
      </w:r>
    </w:p>
    <w:p>
      <w:pPr>
        <w:pStyle w:val="BodyText"/>
      </w:pPr>
    </w:p>
    <w:p>
      <w:pPr>
        <w:pStyle w:val="BodyText"/>
      </w:pPr>
    </w:p>
    <w:p>
      <w:pPr>
        <w:pStyle w:val="BodyText"/>
      </w:pPr>
    </w:p>
    <w:p>
      <w:pPr>
        <w:pStyle w:val="BodyText"/>
      </w:pPr>
    </w:p>
    <w:p>
      <w:pPr>
        <w:pStyle w:val="BodyText"/>
      </w:pPr>
    </w:p>
    <w:p>
      <w:pPr>
        <w:pStyle w:val="BodyText"/>
      </w:pPr>
    </w:p>
    <w:p>
      <w:pPr>
        <w:pStyle w:val="BodyText"/>
        <w:spacing w:before="2"/>
      </w:pPr>
    </w:p>
    <w:p>
      <w:pPr>
        <w:spacing w:before="72"/>
        <w:ind w:left="3484" w:right="0" w:firstLine="0"/>
        <w:jc w:val="left"/>
        <w:rPr>
          <w:rFonts w:ascii="Calibri" w:hAnsi="Calibri"/>
          <w:i/>
          <w:sz w:val="18"/>
        </w:rPr>
      </w:pPr>
      <w:r>
        <w:rPr>
          <w:rFonts w:ascii="Calibri" w:hAnsi="Calibri"/>
          <w:i/>
          <w:color w:val="231F20"/>
          <w:w w:val="90"/>
          <w:sz w:val="18"/>
        </w:rPr>
        <w:t>Cambios</w:t>
      </w:r>
      <w:r>
        <w:rPr>
          <w:rFonts w:ascii="Calibri" w:hAnsi="Calibri"/>
          <w:i/>
          <w:color w:val="231F20"/>
          <w:spacing w:val="-21"/>
          <w:w w:val="90"/>
          <w:sz w:val="18"/>
        </w:rPr>
        <w:t> </w:t>
      </w:r>
      <w:r>
        <w:rPr>
          <w:rFonts w:ascii="Calibri" w:hAnsi="Calibri"/>
          <w:i/>
          <w:color w:val="231F20"/>
          <w:w w:val="90"/>
          <w:sz w:val="18"/>
        </w:rPr>
        <w:t>en</w:t>
      </w:r>
      <w:r>
        <w:rPr>
          <w:rFonts w:ascii="Calibri" w:hAnsi="Calibri"/>
          <w:i/>
          <w:color w:val="231F20"/>
          <w:spacing w:val="-21"/>
          <w:w w:val="90"/>
          <w:sz w:val="18"/>
        </w:rPr>
        <w:t> </w:t>
      </w:r>
      <w:r>
        <w:rPr>
          <w:rFonts w:ascii="Calibri" w:hAnsi="Calibri"/>
          <w:i/>
          <w:color w:val="231F20"/>
          <w:w w:val="90"/>
          <w:sz w:val="18"/>
        </w:rPr>
        <w:t>la</w:t>
      </w:r>
      <w:r>
        <w:rPr>
          <w:rFonts w:ascii="Calibri" w:hAnsi="Calibri"/>
          <w:i/>
          <w:color w:val="231F20"/>
          <w:spacing w:val="-21"/>
          <w:w w:val="90"/>
          <w:sz w:val="18"/>
        </w:rPr>
        <w:t> </w:t>
      </w:r>
      <w:r>
        <w:rPr>
          <w:rFonts w:ascii="Calibri" w:hAnsi="Calibri"/>
          <w:i/>
          <w:color w:val="231F20"/>
          <w:w w:val="90"/>
          <w:sz w:val="18"/>
        </w:rPr>
        <w:t>formación</w:t>
      </w:r>
      <w:r>
        <w:rPr>
          <w:rFonts w:ascii="Calibri" w:hAnsi="Calibri"/>
          <w:i/>
          <w:color w:val="231F20"/>
          <w:spacing w:val="-21"/>
          <w:w w:val="90"/>
          <w:sz w:val="18"/>
        </w:rPr>
        <w:t> </w:t>
      </w:r>
      <w:r>
        <w:rPr>
          <w:rFonts w:ascii="Calibri" w:hAnsi="Calibri"/>
          <w:i/>
          <w:color w:val="231F20"/>
          <w:w w:val="90"/>
          <w:sz w:val="18"/>
        </w:rPr>
        <w:t>familiar</w:t>
      </w:r>
      <w:r>
        <w:rPr>
          <w:rFonts w:ascii="Calibri" w:hAnsi="Calibri"/>
          <w:i/>
          <w:color w:val="231F20"/>
          <w:spacing w:val="-21"/>
          <w:w w:val="90"/>
          <w:sz w:val="18"/>
        </w:rPr>
        <w:t> </w:t>
      </w:r>
      <w:r>
        <w:rPr>
          <w:rFonts w:ascii="Calibri" w:hAnsi="Calibri"/>
          <w:i/>
          <w:color w:val="231F20"/>
          <w:w w:val="90"/>
          <w:sz w:val="18"/>
        </w:rPr>
        <w:t>a</w:t>
      </w:r>
      <w:r>
        <w:rPr>
          <w:rFonts w:ascii="Calibri" w:hAnsi="Calibri"/>
          <w:i/>
          <w:color w:val="231F20"/>
          <w:spacing w:val="-21"/>
          <w:w w:val="90"/>
          <w:sz w:val="18"/>
        </w:rPr>
        <w:t> </w:t>
      </w:r>
      <w:r>
        <w:rPr>
          <w:rFonts w:ascii="Calibri" w:hAnsi="Calibri"/>
          <w:i/>
          <w:color w:val="231F20"/>
          <w:w w:val="90"/>
          <w:sz w:val="18"/>
        </w:rPr>
        <w:t>inicos</w:t>
      </w:r>
      <w:r>
        <w:rPr>
          <w:rFonts w:ascii="Calibri" w:hAnsi="Calibri"/>
          <w:i/>
          <w:color w:val="231F20"/>
          <w:spacing w:val="-21"/>
          <w:w w:val="90"/>
          <w:sz w:val="18"/>
        </w:rPr>
        <w:t> </w:t>
      </w:r>
      <w:r>
        <w:rPr>
          <w:rFonts w:ascii="Calibri" w:hAnsi="Calibri"/>
          <w:i/>
          <w:color w:val="231F20"/>
          <w:w w:val="90"/>
          <w:sz w:val="18"/>
        </w:rPr>
        <w:t>del</w:t>
      </w:r>
      <w:r>
        <w:rPr>
          <w:rFonts w:ascii="Calibri" w:hAnsi="Calibri"/>
          <w:i/>
          <w:color w:val="231F20"/>
          <w:spacing w:val="-21"/>
          <w:w w:val="90"/>
          <w:sz w:val="18"/>
        </w:rPr>
        <w:t> </w:t>
      </w:r>
      <w:r>
        <w:rPr>
          <w:rFonts w:ascii="Calibri" w:hAnsi="Calibri"/>
          <w:i/>
          <w:color w:val="231F20"/>
          <w:w w:val="90"/>
          <w:sz w:val="18"/>
        </w:rPr>
        <w:t>siglo</w:t>
      </w:r>
      <w:r>
        <w:rPr>
          <w:rFonts w:ascii="Calibri" w:hAnsi="Calibri"/>
          <w:i/>
          <w:color w:val="231F20"/>
          <w:spacing w:val="-21"/>
          <w:w w:val="90"/>
          <w:sz w:val="18"/>
        </w:rPr>
        <w:t> </w:t>
      </w:r>
      <w:r>
        <w:rPr>
          <w:i/>
          <w:color w:val="231F20"/>
          <w:w w:val="90"/>
          <w:sz w:val="14"/>
        </w:rPr>
        <w:t>XXI</w:t>
      </w:r>
      <w:r>
        <w:rPr>
          <w:i/>
          <w:color w:val="231F20"/>
          <w:spacing w:val="-12"/>
          <w:w w:val="90"/>
          <w:sz w:val="14"/>
        </w:rPr>
        <w:t> </w:t>
      </w:r>
      <w:r>
        <w:rPr>
          <w:i/>
          <w:color w:val="231F20"/>
          <w:w w:val="90"/>
          <w:sz w:val="18"/>
        </w:rPr>
        <w:t>•</w:t>
      </w:r>
      <w:r>
        <w:rPr>
          <w:i/>
          <w:color w:val="231F20"/>
          <w:spacing w:val="-20"/>
          <w:w w:val="90"/>
          <w:sz w:val="18"/>
        </w:rPr>
        <w:t> </w:t>
      </w:r>
      <w:r>
        <w:rPr>
          <w:rFonts w:ascii="Calibri" w:hAnsi="Calibri"/>
          <w:i/>
          <w:color w:val="231F20"/>
          <w:w w:val="90"/>
          <w:sz w:val="18"/>
        </w:rPr>
        <w:t>77</w:t>
      </w:r>
    </w:p>
    <w:p>
      <w:pPr>
        <w:spacing w:after="0"/>
        <w:jc w:val="left"/>
        <w:rPr>
          <w:rFonts w:ascii="Calibri" w:hAnsi="Calibri"/>
          <w:sz w:val="18"/>
        </w:rPr>
        <w:sectPr>
          <w:footerReference w:type="even" r:id="rId66"/>
          <w:pgSz w:w="9520" w:h="12920"/>
          <w:pgMar w:footer="0" w:header="0" w:top="880" w:bottom="280" w:left="1020" w:right="1320"/>
        </w:sect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spacing w:before="7"/>
        <w:rPr>
          <w:rFonts w:ascii="Calibri"/>
          <w:i/>
          <w:sz w:val="19"/>
        </w:rPr>
      </w:pPr>
    </w:p>
    <w:p>
      <w:pPr>
        <w:spacing w:line="185" w:lineRule="exact" w:before="0"/>
        <w:ind w:left="1347" w:right="1313" w:firstLine="0"/>
        <w:jc w:val="center"/>
        <w:rPr>
          <w:sz w:val="16"/>
        </w:rPr>
      </w:pPr>
      <w:r>
        <w:rPr>
          <w:color w:val="231F20"/>
          <w:w w:val="105"/>
          <w:sz w:val="16"/>
        </w:rPr>
        <w:t>Cuadro 4</w:t>
      </w:r>
    </w:p>
    <w:p>
      <w:pPr>
        <w:spacing w:line="220" w:lineRule="exact" w:before="0"/>
        <w:ind w:left="1347" w:right="1313" w:firstLine="0"/>
        <w:jc w:val="center"/>
        <w:rPr>
          <w:sz w:val="19"/>
        </w:rPr>
      </w:pPr>
      <w:r>
        <w:rPr>
          <w:color w:val="231F20"/>
          <w:w w:val="90"/>
          <w:sz w:val="19"/>
        </w:rPr>
        <w:t>Distribución porcentual de hombres de 30-34 años por condición de unión, por entidad federativa, 1990 y 2010</w:t>
      </w:r>
    </w:p>
    <w:p>
      <w:pPr>
        <w:pStyle w:val="BodyText"/>
        <w:spacing w:before="6"/>
        <w:rPr>
          <w:sz w:val="13"/>
        </w:rPr>
      </w:pPr>
      <w:r>
        <w:rPr/>
        <w:pict>
          <v:group style="position:absolute;margin-left:69.5214pt;margin-top:9.88942pt;width:529.4pt;height:.4pt;mso-position-horizontal-relative:page;mso-position-vertical-relative:paragraph;z-index:1792;mso-wrap-distance-left:0;mso-wrap-distance-right:0" coordorigin="1390,198" coordsize="10588,8">
            <v:line style="position:absolute" from="1394,202" to="3065,202" stroked="true" strokeweight=".4pt" strokecolor="#231f20"/>
            <v:line style="position:absolute" from="3065,202" to="3845,202" stroked="true" strokeweight=".4pt" strokecolor="#231f20"/>
            <v:line style="position:absolute" from="3845,202" to="4685,202" stroked="true" strokeweight=".4pt" strokecolor="#231f20"/>
            <v:line style="position:absolute" from="4685,202" to="5647,202" stroked="true" strokeweight=".4pt" strokecolor="#231f20"/>
            <v:line style="position:absolute" from="5647,202" to="6722,202" stroked="true" strokeweight=".4pt" strokecolor="#231f20"/>
            <v:line style="position:absolute" from="6722,202" to="7450,202" stroked="true" strokeweight=".4pt" strokecolor="#231f20"/>
            <v:line style="position:absolute" from="7450,202" to="8276,202" stroked="true" strokeweight=".4pt" strokecolor="#231f20"/>
            <v:line style="position:absolute" from="8276,202" to="9094,202" stroked="true" strokeweight=".4pt" strokecolor="#231f20"/>
            <v:line style="position:absolute" from="9094,202" to="10174,202" stroked="true" strokeweight=".4pt" strokecolor="#231f20"/>
            <v:line style="position:absolute" from="10174,202" to="11194,202" stroked="true" strokeweight=".4pt" strokecolor="#231f20"/>
            <v:line style="position:absolute" from="11194,202" to="11974,202" stroked="true" strokeweight=".4pt" strokecolor="#231f20"/>
            <w10:wrap type="topAndBottom"/>
          </v:group>
        </w:pict>
      </w:r>
    </w:p>
    <w:p>
      <w:pPr>
        <w:pStyle w:val="BodyText"/>
        <w:spacing w:before="10"/>
        <w:rPr>
          <w:sz w:val="29"/>
        </w:rPr>
      </w:pPr>
    </w:p>
    <w:p>
      <w:pPr>
        <w:spacing w:after="0"/>
        <w:rPr>
          <w:sz w:val="29"/>
        </w:rPr>
        <w:sectPr>
          <w:footerReference w:type="even" r:id="rId67"/>
          <w:pgSz w:w="12920" w:h="9520" w:orient="landscape"/>
          <w:pgMar w:footer="2596" w:header="0" w:top="880" w:bottom="2780" w:left="1240" w:right="840"/>
          <w:pgNumType w:start="4"/>
        </w:sectPr>
      </w:pPr>
    </w:p>
    <w:p>
      <w:pPr>
        <w:pStyle w:val="BodyText"/>
        <w:spacing w:before="7"/>
        <w:rPr>
          <w:sz w:val="22"/>
        </w:rPr>
      </w:pPr>
    </w:p>
    <w:p>
      <w:pPr>
        <w:tabs>
          <w:tab w:pos="1912" w:val="left" w:leader="none"/>
        </w:tabs>
        <w:spacing w:before="0"/>
        <w:ind w:left="692" w:right="0" w:firstLine="0"/>
        <w:jc w:val="left"/>
        <w:rPr>
          <w:i/>
          <w:sz w:val="17"/>
        </w:rPr>
      </w:pPr>
      <w:r>
        <w:rPr>
          <w:i/>
          <w:color w:val="231F20"/>
          <w:w w:val="105"/>
          <w:sz w:val="17"/>
        </w:rPr>
        <w:t>Entidad</w:t>
        <w:tab/>
        <w:t>Solteros     Casados     Unión</w:t>
      </w:r>
      <w:r>
        <w:rPr>
          <w:i/>
          <w:color w:val="231F20"/>
          <w:spacing w:val="11"/>
          <w:w w:val="105"/>
          <w:sz w:val="17"/>
        </w:rPr>
        <w:t> </w:t>
      </w:r>
      <w:r>
        <w:rPr>
          <w:i/>
          <w:color w:val="231F20"/>
          <w:w w:val="105"/>
          <w:sz w:val="17"/>
        </w:rPr>
        <w:t>libre</w:t>
      </w:r>
    </w:p>
    <w:p>
      <w:pPr>
        <w:spacing w:line="195" w:lineRule="exact" w:before="75"/>
        <w:ind w:left="130" w:right="0" w:firstLine="0"/>
        <w:jc w:val="left"/>
        <w:rPr>
          <w:i/>
          <w:sz w:val="17"/>
        </w:rPr>
      </w:pPr>
      <w:r>
        <w:rPr/>
        <w:br w:type="column"/>
      </w:r>
      <w:r>
        <w:rPr>
          <w:i/>
          <w:color w:val="231F20"/>
          <w:w w:val="110"/>
          <w:sz w:val="17"/>
        </w:rPr>
        <w:t>Alguna vez</w:t>
      </w:r>
    </w:p>
    <w:p>
      <w:pPr>
        <w:tabs>
          <w:tab w:pos="1270" w:val="left" w:leader="none"/>
          <w:tab w:pos="1934" w:val="left" w:leader="none"/>
          <w:tab w:pos="2743" w:val="left" w:leader="none"/>
          <w:tab w:pos="3584" w:val="left" w:leader="none"/>
        </w:tabs>
        <w:spacing w:line="195" w:lineRule="exact" w:before="0"/>
        <w:ind w:left="303" w:right="0" w:firstLine="0"/>
        <w:jc w:val="left"/>
        <w:rPr>
          <w:i/>
          <w:sz w:val="17"/>
        </w:rPr>
      </w:pPr>
      <w:r>
        <w:rPr/>
        <w:pict>
          <v:group style="position:absolute;margin-left:153.025406pt;margin-top:-27.235449pt;width:445.9pt;height:20.75pt;mso-position-horizontal-relative:page;mso-position-vertical-relative:paragraph;z-index:-457024" coordorigin="3061,-545" coordsize="8918,415">
            <v:shape style="position:absolute;left:4293;top:-7030;width:2;height:8910" coordorigin="4293,-7030" coordsize="0,8910" path="m3065,-283l3845,-283m3845,-283l4685,-283m4685,-283l5647,-283m5647,-283l6722,-283m6722,-283l7450,-283m7450,-283l8276,-283m8276,-283l9094,-283m9094,-283l10174,-283m10174,-283l11194,-283m11194,-283l11974,-283e" filled="false" stroked="true" strokeweight=".4pt" strokecolor="#231f20">
              <v:path arrowok="t"/>
            </v:shape>
            <v:line style="position:absolute" from="7456,-427" to="7456,-163" stroked="true" strokeweight="3.3pt" strokecolor="#ffffff"/>
            <v:shape style="position:absolute;left:5158;top:-545;width:347;height:170" type="#_x0000_t202" filled="false" stroked="false">
              <v:textbox inset="0,0,0,0">
                <w:txbxContent>
                  <w:p>
                    <w:pPr>
                      <w:spacing w:line="170" w:lineRule="exact" w:before="0"/>
                      <w:ind w:left="0" w:right="-15" w:firstLine="0"/>
                      <w:jc w:val="left"/>
                      <w:rPr>
                        <w:i/>
                        <w:sz w:val="17"/>
                      </w:rPr>
                    </w:pPr>
                    <w:r>
                      <w:rPr>
                        <w:i/>
                        <w:color w:val="231F20"/>
                        <w:w w:val="95"/>
                        <w:sz w:val="17"/>
                      </w:rPr>
                      <w:t>1990</w:t>
                    </w:r>
                  </w:p>
                </w:txbxContent>
              </v:textbox>
              <w10:wrap type="none"/>
            </v:shape>
            <v:shape style="position:absolute;left:9616;top:-543;width:347;height:170" type="#_x0000_t202" filled="false" stroked="false">
              <v:textbox inset="0,0,0,0">
                <w:txbxContent>
                  <w:p>
                    <w:pPr>
                      <w:spacing w:line="170" w:lineRule="exact" w:before="0"/>
                      <w:ind w:left="0" w:right="-15" w:firstLine="0"/>
                      <w:jc w:val="left"/>
                      <w:rPr>
                        <w:i/>
                        <w:sz w:val="17"/>
                      </w:rPr>
                    </w:pPr>
                    <w:r>
                      <w:rPr>
                        <w:i/>
                        <w:color w:val="231F20"/>
                        <w:w w:val="95"/>
                        <w:sz w:val="17"/>
                      </w:rPr>
                      <w:t>2010</w:t>
                    </w:r>
                  </w:p>
                </w:txbxContent>
              </v:textbox>
              <w10:wrap type="none"/>
            </v:shape>
            <w10:wrap type="none"/>
          </v:group>
        </w:pict>
      </w:r>
      <w:r>
        <w:rPr>
          <w:i/>
          <w:color w:val="231F20"/>
          <w:w w:val="105"/>
          <w:sz w:val="17"/>
        </w:rPr>
        <w:t>unidos</w:t>
        <w:tab/>
        <w:t>Total</w:t>
        <w:tab/>
        <w:t>Solteros</w:t>
        <w:tab/>
        <w:t>Casados</w:t>
        <w:tab/>
        <w:t>Unión</w:t>
      </w:r>
      <w:r>
        <w:rPr>
          <w:i/>
          <w:color w:val="231F20"/>
          <w:spacing w:val="18"/>
          <w:w w:val="105"/>
          <w:sz w:val="17"/>
        </w:rPr>
        <w:t> </w:t>
      </w:r>
      <w:r>
        <w:rPr>
          <w:i/>
          <w:color w:val="231F20"/>
          <w:w w:val="105"/>
          <w:sz w:val="17"/>
        </w:rPr>
        <w:t>libre</w:t>
      </w:r>
    </w:p>
    <w:p>
      <w:pPr>
        <w:spacing w:line="195" w:lineRule="exact" w:before="75"/>
        <w:ind w:left="161" w:right="0" w:firstLine="0"/>
        <w:jc w:val="left"/>
        <w:rPr>
          <w:i/>
          <w:sz w:val="17"/>
        </w:rPr>
      </w:pPr>
      <w:r>
        <w:rPr/>
        <w:br w:type="column"/>
      </w:r>
      <w:r>
        <w:rPr>
          <w:i/>
          <w:color w:val="231F20"/>
          <w:w w:val="110"/>
          <w:sz w:val="17"/>
        </w:rPr>
        <w:t>Alguna vez</w:t>
      </w:r>
    </w:p>
    <w:p>
      <w:pPr>
        <w:tabs>
          <w:tab w:pos="1299" w:val="left" w:leader="none"/>
        </w:tabs>
        <w:spacing w:line="195" w:lineRule="exact" w:before="0"/>
        <w:ind w:left="334" w:right="0" w:firstLine="0"/>
        <w:jc w:val="left"/>
        <w:rPr>
          <w:i/>
          <w:sz w:val="17"/>
        </w:rPr>
      </w:pPr>
      <w:r>
        <w:rPr>
          <w:i/>
          <w:color w:val="231F20"/>
          <w:w w:val="105"/>
          <w:sz w:val="17"/>
        </w:rPr>
        <w:t>unidos</w:t>
        <w:tab/>
        <w:t>Total</w:t>
      </w:r>
    </w:p>
    <w:p>
      <w:pPr>
        <w:spacing w:after="0" w:line="195" w:lineRule="exact"/>
        <w:jc w:val="left"/>
        <w:rPr>
          <w:sz w:val="17"/>
        </w:rPr>
        <w:sectPr>
          <w:type w:val="continuous"/>
          <w:pgSz w:w="12920" w:h="9520" w:orient="landscape"/>
          <w:pgMar w:top="0" w:bottom="0" w:left="1240" w:right="840"/>
          <w:cols w:num="3" w:equalWidth="0">
            <w:col w:w="4348" w:space="40"/>
            <w:col w:w="4429" w:space="40"/>
            <w:col w:w="1983"/>
          </w:cols>
        </w:sectPr>
      </w:pPr>
    </w:p>
    <w:p>
      <w:pPr>
        <w:pStyle w:val="BodyText"/>
        <w:rPr>
          <w:i/>
          <w:sz w:val="7"/>
        </w:rPr>
      </w:pP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31"/>
        <w:gridCol w:w="769"/>
        <w:gridCol w:w="853"/>
        <w:gridCol w:w="984"/>
        <w:gridCol w:w="926"/>
        <w:gridCol w:w="841"/>
        <w:gridCol w:w="811"/>
        <w:gridCol w:w="886"/>
        <w:gridCol w:w="1024"/>
        <w:gridCol w:w="938"/>
        <w:gridCol w:w="853"/>
      </w:tblGrid>
      <w:tr>
        <w:trPr>
          <w:trHeight w:val="303" w:hRule="exact"/>
        </w:trPr>
        <w:tc>
          <w:tcPr>
            <w:tcW w:w="1731" w:type="dxa"/>
            <w:tcBorders>
              <w:top w:val="single" w:sz="3" w:space="0" w:color="231F20"/>
            </w:tcBorders>
          </w:tcPr>
          <w:p>
            <w:pPr>
              <w:pStyle w:val="TableParagraph"/>
              <w:spacing w:line="240" w:lineRule="auto" w:before="84"/>
              <w:ind w:left="35"/>
              <w:jc w:val="left"/>
              <w:rPr>
                <w:sz w:val="17"/>
              </w:rPr>
            </w:pPr>
            <w:r>
              <w:rPr>
                <w:color w:val="231F20"/>
                <w:w w:val="110"/>
                <w:sz w:val="17"/>
              </w:rPr>
              <w:t>Nacional</w:t>
            </w:r>
          </w:p>
        </w:tc>
        <w:tc>
          <w:tcPr>
            <w:tcW w:w="769" w:type="dxa"/>
            <w:tcBorders>
              <w:top w:val="single" w:sz="3" w:space="0" w:color="231F20"/>
            </w:tcBorders>
          </w:tcPr>
          <w:p>
            <w:pPr>
              <w:pStyle w:val="TableParagraph"/>
              <w:spacing w:line="240" w:lineRule="auto" w:before="84"/>
              <w:ind w:left="197"/>
              <w:jc w:val="left"/>
              <w:rPr>
                <w:sz w:val="17"/>
              </w:rPr>
            </w:pPr>
            <w:r>
              <w:rPr>
                <w:color w:val="231F20"/>
                <w:w w:val="105"/>
                <w:sz w:val="17"/>
              </w:rPr>
              <w:t>14.0</w:t>
            </w:r>
          </w:p>
        </w:tc>
        <w:tc>
          <w:tcPr>
            <w:tcW w:w="853" w:type="dxa"/>
            <w:tcBorders>
              <w:top w:val="single" w:sz="3" w:space="0" w:color="231F20"/>
            </w:tcBorders>
          </w:tcPr>
          <w:p>
            <w:pPr>
              <w:pStyle w:val="TableParagraph"/>
              <w:spacing w:line="240" w:lineRule="auto" w:before="84"/>
              <w:ind w:left="238"/>
              <w:jc w:val="left"/>
              <w:rPr>
                <w:sz w:val="17"/>
              </w:rPr>
            </w:pPr>
            <w:r>
              <w:rPr>
                <w:color w:val="231F20"/>
                <w:w w:val="105"/>
                <w:sz w:val="17"/>
              </w:rPr>
              <w:t>73.7</w:t>
            </w:r>
          </w:p>
        </w:tc>
        <w:tc>
          <w:tcPr>
            <w:tcW w:w="984" w:type="dxa"/>
            <w:tcBorders>
              <w:top w:val="single" w:sz="3" w:space="0" w:color="231F20"/>
            </w:tcBorders>
          </w:tcPr>
          <w:p>
            <w:pPr>
              <w:pStyle w:val="TableParagraph"/>
              <w:spacing w:line="240" w:lineRule="auto" w:before="84"/>
              <w:ind w:right="367"/>
              <w:jc w:val="right"/>
              <w:rPr>
                <w:sz w:val="17"/>
              </w:rPr>
            </w:pPr>
            <w:r>
              <w:rPr>
                <w:color w:val="231F20"/>
                <w:sz w:val="17"/>
              </w:rPr>
              <w:t>10.7</w:t>
            </w:r>
          </w:p>
        </w:tc>
        <w:tc>
          <w:tcPr>
            <w:tcW w:w="926" w:type="dxa"/>
            <w:tcBorders>
              <w:top w:val="single" w:sz="3" w:space="0" w:color="231F20"/>
            </w:tcBorders>
          </w:tcPr>
          <w:p>
            <w:pPr>
              <w:pStyle w:val="TableParagraph"/>
              <w:spacing w:line="240" w:lineRule="auto" w:before="84"/>
              <w:ind w:right="317"/>
              <w:jc w:val="right"/>
              <w:rPr>
                <w:sz w:val="17"/>
              </w:rPr>
            </w:pPr>
            <w:r>
              <w:rPr>
                <w:color w:val="231F20"/>
                <w:w w:val="105"/>
                <w:sz w:val="17"/>
              </w:rPr>
              <w:t>1.6</w:t>
            </w:r>
          </w:p>
        </w:tc>
        <w:tc>
          <w:tcPr>
            <w:tcW w:w="841" w:type="dxa"/>
            <w:tcBorders>
              <w:top w:val="single" w:sz="3" w:space="0" w:color="231F20"/>
            </w:tcBorders>
          </w:tcPr>
          <w:p>
            <w:pPr>
              <w:pStyle w:val="TableParagraph"/>
              <w:spacing w:line="240" w:lineRule="auto" w:before="84"/>
              <w:ind w:right="231"/>
              <w:jc w:val="right"/>
              <w:rPr>
                <w:sz w:val="17"/>
              </w:rPr>
            </w:pPr>
            <w:r>
              <w:rPr>
                <w:color w:val="231F20"/>
                <w:sz w:val="17"/>
              </w:rPr>
              <w:t>100</w:t>
            </w:r>
          </w:p>
        </w:tc>
        <w:tc>
          <w:tcPr>
            <w:tcW w:w="811" w:type="dxa"/>
            <w:tcBorders>
              <w:top w:val="single" w:sz="3" w:space="0" w:color="231F20"/>
            </w:tcBorders>
          </w:tcPr>
          <w:p>
            <w:pPr>
              <w:pStyle w:val="TableParagraph"/>
              <w:spacing w:line="240" w:lineRule="auto" w:before="84"/>
              <w:ind w:left="214" w:right="223"/>
              <w:rPr>
                <w:sz w:val="17"/>
              </w:rPr>
            </w:pPr>
            <w:r>
              <w:rPr>
                <w:color w:val="231F20"/>
                <w:w w:val="105"/>
                <w:sz w:val="17"/>
              </w:rPr>
              <w:t>20.4</w:t>
            </w:r>
          </w:p>
        </w:tc>
        <w:tc>
          <w:tcPr>
            <w:tcW w:w="886" w:type="dxa"/>
            <w:tcBorders>
              <w:top w:val="single" w:sz="3" w:space="0" w:color="231F20"/>
            </w:tcBorders>
          </w:tcPr>
          <w:p>
            <w:pPr>
              <w:pStyle w:val="TableParagraph"/>
              <w:spacing w:line="240" w:lineRule="auto" w:before="84"/>
              <w:ind w:left="225" w:right="286"/>
              <w:rPr>
                <w:sz w:val="17"/>
              </w:rPr>
            </w:pPr>
            <w:r>
              <w:rPr>
                <w:color w:val="231F20"/>
                <w:w w:val="105"/>
                <w:sz w:val="17"/>
              </w:rPr>
              <w:t>52.2</w:t>
            </w:r>
          </w:p>
        </w:tc>
        <w:tc>
          <w:tcPr>
            <w:tcW w:w="1024" w:type="dxa"/>
            <w:tcBorders>
              <w:top w:val="single" w:sz="3" w:space="0" w:color="231F20"/>
            </w:tcBorders>
          </w:tcPr>
          <w:p>
            <w:pPr>
              <w:pStyle w:val="TableParagraph"/>
              <w:spacing w:line="240" w:lineRule="auto" w:before="84"/>
              <w:ind w:left="289" w:right="361"/>
              <w:rPr>
                <w:sz w:val="17"/>
              </w:rPr>
            </w:pPr>
            <w:r>
              <w:rPr>
                <w:color w:val="231F20"/>
                <w:w w:val="105"/>
                <w:sz w:val="17"/>
              </w:rPr>
              <w:t>23.3</w:t>
            </w:r>
          </w:p>
        </w:tc>
        <w:tc>
          <w:tcPr>
            <w:tcW w:w="938" w:type="dxa"/>
            <w:tcBorders>
              <w:top w:val="single" w:sz="3" w:space="0" w:color="231F20"/>
            </w:tcBorders>
          </w:tcPr>
          <w:p>
            <w:pPr>
              <w:pStyle w:val="TableParagraph"/>
              <w:spacing w:line="240" w:lineRule="auto" w:before="84"/>
              <w:ind w:right="316"/>
              <w:jc w:val="right"/>
              <w:rPr>
                <w:sz w:val="17"/>
              </w:rPr>
            </w:pPr>
            <w:r>
              <w:rPr>
                <w:color w:val="231F20"/>
                <w:w w:val="105"/>
                <w:sz w:val="17"/>
              </w:rPr>
              <w:t>4.1</w:t>
            </w:r>
          </w:p>
        </w:tc>
        <w:tc>
          <w:tcPr>
            <w:tcW w:w="853" w:type="dxa"/>
            <w:tcBorders>
              <w:top w:val="single" w:sz="3" w:space="0" w:color="231F20"/>
            </w:tcBorders>
          </w:tcPr>
          <w:p>
            <w:pPr>
              <w:pStyle w:val="TableParagraph"/>
              <w:spacing w:line="240" w:lineRule="auto" w:before="84"/>
              <w:ind w:right="243"/>
              <w:jc w:val="right"/>
              <w:rPr>
                <w:sz w:val="17"/>
              </w:rPr>
            </w:pPr>
            <w:r>
              <w:rPr>
                <w:color w:val="231F20"/>
                <w:sz w:val="17"/>
              </w:rPr>
              <w:t>100</w:t>
            </w:r>
          </w:p>
        </w:tc>
      </w:tr>
      <w:tr>
        <w:trPr>
          <w:trHeight w:val="218" w:hRule="exact"/>
        </w:trPr>
        <w:tc>
          <w:tcPr>
            <w:tcW w:w="1731" w:type="dxa"/>
          </w:tcPr>
          <w:p>
            <w:pPr>
              <w:pStyle w:val="TableParagraph"/>
              <w:ind w:left="35"/>
              <w:jc w:val="left"/>
              <w:rPr>
                <w:sz w:val="17"/>
              </w:rPr>
            </w:pPr>
            <w:r>
              <w:rPr>
                <w:color w:val="231F20"/>
                <w:w w:val="110"/>
                <w:sz w:val="17"/>
              </w:rPr>
              <w:t>Aguascalientes</w:t>
            </w:r>
          </w:p>
        </w:tc>
        <w:tc>
          <w:tcPr>
            <w:tcW w:w="769" w:type="dxa"/>
          </w:tcPr>
          <w:p>
            <w:pPr>
              <w:pStyle w:val="TableParagraph"/>
              <w:ind w:left="197"/>
              <w:jc w:val="left"/>
              <w:rPr>
                <w:sz w:val="17"/>
              </w:rPr>
            </w:pPr>
            <w:r>
              <w:rPr>
                <w:color w:val="231F20"/>
                <w:w w:val="105"/>
                <w:sz w:val="17"/>
              </w:rPr>
              <w:t>12.8</w:t>
            </w:r>
          </w:p>
        </w:tc>
        <w:tc>
          <w:tcPr>
            <w:tcW w:w="853" w:type="dxa"/>
          </w:tcPr>
          <w:p>
            <w:pPr>
              <w:pStyle w:val="TableParagraph"/>
              <w:ind w:left="238"/>
              <w:jc w:val="left"/>
              <w:rPr>
                <w:sz w:val="17"/>
              </w:rPr>
            </w:pPr>
            <w:r>
              <w:rPr>
                <w:color w:val="231F20"/>
                <w:w w:val="105"/>
                <w:sz w:val="17"/>
              </w:rPr>
              <w:t>83.3</w:t>
            </w:r>
          </w:p>
        </w:tc>
        <w:tc>
          <w:tcPr>
            <w:tcW w:w="984" w:type="dxa"/>
          </w:tcPr>
          <w:p>
            <w:pPr>
              <w:pStyle w:val="TableParagraph"/>
              <w:ind w:right="367"/>
              <w:jc w:val="right"/>
              <w:rPr>
                <w:sz w:val="17"/>
              </w:rPr>
            </w:pPr>
            <w:r>
              <w:rPr>
                <w:color w:val="231F20"/>
                <w:w w:val="105"/>
                <w:sz w:val="17"/>
              </w:rPr>
              <w:t>2.9</w:t>
            </w:r>
          </w:p>
        </w:tc>
        <w:tc>
          <w:tcPr>
            <w:tcW w:w="926" w:type="dxa"/>
          </w:tcPr>
          <w:p>
            <w:pPr>
              <w:pStyle w:val="TableParagraph"/>
              <w:ind w:right="317"/>
              <w:jc w:val="right"/>
              <w:rPr>
                <w:sz w:val="17"/>
              </w:rPr>
            </w:pPr>
            <w:r>
              <w:rPr>
                <w:color w:val="231F20"/>
                <w:w w:val="105"/>
                <w:sz w:val="17"/>
              </w:rPr>
              <w:t>1.0</w:t>
            </w:r>
          </w:p>
        </w:tc>
        <w:tc>
          <w:tcPr>
            <w:tcW w:w="841" w:type="dxa"/>
          </w:tcPr>
          <w:p>
            <w:pPr>
              <w:pStyle w:val="TableParagraph"/>
              <w:ind w:right="231"/>
              <w:jc w:val="right"/>
              <w:rPr>
                <w:sz w:val="17"/>
              </w:rPr>
            </w:pPr>
            <w:r>
              <w:rPr>
                <w:color w:val="231F20"/>
                <w:sz w:val="17"/>
              </w:rPr>
              <w:t>100</w:t>
            </w:r>
          </w:p>
        </w:tc>
        <w:tc>
          <w:tcPr>
            <w:tcW w:w="811" w:type="dxa"/>
          </w:tcPr>
          <w:p>
            <w:pPr>
              <w:pStyle w:val="TableParagraph"/>
              <w:ind w:left="214" w:right="223"/>
              <w:rPr>
                <w:sz w:val="17"/>
              </w:rPr>
            </w:pPr>
            <w:r>
              <w:rPr>
                <w:color w:val="231F20"/>
                <w:w w:val="105"/>
                <w:sz w:val="17"/>
              </w:rPr>
              <w:t>17.9</w:t>
            </w:r>
          </w:p>
        </w:tc>
        <w:tc>
          <w:tcPr>
            <w:tcW w:w="886" w:type="dxa"/>
          </w:tcPr>
          <w:p>
            <w:pPr>
              <w:pStyle w:val="TableParagraph"/>
              <w:ind w:left="225" w:right="286"/>
              <w:rPr>
                <w:sz w:val="17"/>
              </w:rPr>
            </w:pPr>
            <w:r>
              <w:rPr>
                <w:color w:val="231F20"/>
                <w:w w:val="105"/>
                <w:sz w:val="17"/>
              </w:rPr>
              <w:t>65.3</w:t>
            </w:r>
          </w:p>
        </w:tc>
        <w:tc>
          <w:tcPr>
            <w:tcW w:w="1024" w:type="dxa"/>
          </w:tcPr>
          <w:p>
            <w:pPr>
              <w:pStyle w:val="TableParagraph"/>
              <w:ind w:left="289" w:right="361"/>
              <w:rPr>
                <w:sz w:val="17"/>
              </w:rPr>
            </w:pPr>
            <w:r>
              <w:rPr>
                <w:color w:val="231F20"/>
                <w:w w:val="105"/>
                <w:sz w:val="17"/>
              </w:rPr>
              <w:t>12.9</w:t>
            </w:r>
          </w:p>
        </w:tc>
        <w:tc>
          <w:tcPr>
            <w:tcW w:w="938" w:type="dxa"/>
          </w:tcPr>
          <w:p>
            <w:pPr>
              <w:pStyle w:val="TableParagraph"/>
              <w:ind w:right="316"/>
              <w:jc w:val="right"/>
              <w:rPr>
                <w:sz w:val="17"/>
              </w:rPr>
            </w:pPr>
            <w:r>
              <w:rPr>
                <w:color w:val="231F20"/>
                <w:w w:val="105"/>
                <w:sz w:val="17"/>
              </w:rPr>
              <w:t>4.0</w:t>
            </w:r>
          </w:p>
        </w:tc>
        <w:tc>
          <w:tcPr>
            <w:tcW w:w="853" w:type="dxa"/>
          </w:tcPr>
          <w:p>
            <w:pPr>
              <w:pStyle w:val="TableParagraph"/>
              <w:ind w:right="243"/>
              <w:jc w:val="right"/>
              <w:rPr>
                <w:sz w:val="17"/>
              </w:rPr>
            </w:pPr>
            <w:r>
              <w:rPr>
                <w:color w:val="231F20"/>
                <w:sz w:val="17"/>
              </w:rPr>
              <w:t>100</w:t>
            </w:r>
          </w:p>
        </w:tc>
      </w:tr>
      <w:tr>
        <w:trPr>
          <w:trHeight w:val="218" w:hRule="exact"/>
        </w:trPr>
        <w:tc>
          <w:tcPr>
            <w:tcW w:w="1731" w:type="dxa"/>
          </w:tcPr>
          <w:p>
            <w:pPr>
              <w:pStyle w:val="TableParagraph"/>
              <w:spacing w:line="240" w:lineRule="auto" w:before="3"/>
              <w:ind w:left="35"/>
              <w:jc w:val="left"/>
              <w:rPr>
                <w:sz w:val="17"/>
              </w:rPr>
            </w:pPr>
            <w:r>
              <w:rPr>
                <w:color w:val="231F20"/>
                <w:w w:val="110"/>
                <w:sz w:val="17"/>
              </w:rPr>
              <w:t>Baja California</w:t>
            </w:r>
          </w:p>
        </w:tc>
        <w:tc>
          <w:tcPr>
            <w:tcW w:w="769" w:type="dxa"/>
          </w:tcPr>
          <w:p>
            <w:pPr>
              <w:pStyle w:val="TableParagraph"/>
              <w:spacing w:line="240" w:lineRule="auto" w:before="3"/>
              <w:ind w:left="197"/>
              <w:jc w:val="left"/>
              <w:rPr>
                <w:sz w:val="17"/>
              </w:rPr>
            </w:pPr>
            <w:r>
              <w:rPr>
                <w:color w:val="231F20"/>
                <w:w w:val="105"/>
                <w:sz w:val="17"/>
              </w:rPr>
              <w:t>16.0</w:t>
            </w:r>
          </w:p>
        </w:tc>
        <w:tc>
          <w:tcPr>
            <w:tcW w:w="853" w:type="dxa"/>
          </w:tcPr>
          <w:p>
            <w:pPr>
              <w:pStyle w:val="TableParagraph"/>
              <w:spacing w:line="240" w:lineRule="auto" w:before="3"/>
              <w:ind w:left="238"/>
              <w:jc w:val="left"/>
              <w:rPr>
                <w:sz w:val="17"/>
              </w:rPr>
            </w:pPr>
            <w:r>
              <w:rPr>
                <w:color w:val="231F20"/>
                <w:w w:val="105"/>
                <w:sz w:val="17"/>
              </w:rPr>
              <w:t>67.6</w:t>
            </w:r>
          </w:p>
        </w:tc>
        <w:tc>
          <w:tcPr>
            <w:tcW w:w="984" w:type="dxa"/>
          </w:tcPr>
          <w:p>
            <w:pPr>
              <w:pStyle w:val="TableParagraph"/>
              <w:spacing w:line="240" w:lineRule="auto" w:before="3"/>
              <w:ind w:right="367"/>
              <w:jc w:val="right"/>
              <w:rPr>
                <w:sz w:val="17"/>
              </w:rPr>
            </w:pPr>
            <w:r>
              <w:rPr>
                <w:color w:val="231F20"/>
                <w:sz w:val="17"/>
              </w:rPr>
              <w:t>14.4</w:t>
            </w:r>
          </w:p>
        </w:tc>
        <w:tc>
          <w:tcPr>
            <w:tcW w:w="926" w:type="dxa"/>
          </w:tcPr>
          <w:p>
            <w:pPr>
              <w:pStyle w:val="TableParagraph"/>
              <w:spacing w:line="240" w:lineRule="auto" w:before="3"/>
              <w:ind w:right="317"/>
              <w:jc w:val="right"/>
              <w:rPr>
                <w:sz w:val="17"/>
              </w:rPr>
            </w:pPr>
            <w:r>
              <w:rPr>
                <w:color w:val="231F20"/>
                <w:w w:val="105"/>
                <w:sz w:val="17"/>
              </w:rPr>
              <w:t>2.0</w:t>
            </w:r>
          </w:p>
        </w:tc>
        <w:tc>
          <w:tcPr>
            <w:tcW w:w="841" w:type="dxa"/>
          </w:tcPr>
          <w:p>
            <w:pPr>
              <w:pStyle w:val="TableParagraph"/>
              <w:spacing w:line="240" w:lineRule="auto" w:before="3"/>
              <w:ind w:right="231"/>
              <w:jc w:val="right"/>
              <w:rPr>
                <w:sz w:val="17"/>
              </w:rPr>
            </w:pPr>
            <w:r>
              <w:rPr>
                <w:color w:val="231F20"/>
                <w:sz w:val="17"/>
              </w:rPr>
              <w:t>100</w:t>
            </w:r>
          </w:p>
        </w:tc>
        <w:tc>
          <w:tcPr>
            <w:tcW w:w="811" w:type="dxa"/>
          </w:tcPr>
          <w:p>
            <w:pPr>
              <w:pStyle w:val="TableParagraph"/>
              <w:spacing w:line="240" w:lineRule="auto" w:before="3"/>
              <w:ind w:left="214" w:right="223"/>
              <w:rPr>
                <w:sz w:val="17"/>
              </w:rPr>
            </w:pPr>
            <w:r>
              <w:rPr>
                <w:color w:val="231F20"/>
                <w:w w:val="105"/>
                <w:sz w:val="17"/>
              </w:rPr>
              <w:t>21.9</w:t>
            </w:r>
          </w:p>
        </w:tc>
        <w:tc>
          <w:tcPr>
            <w:tcW w:w="886" w:type="dxa"/>
          </w:tcPr>
          <w:p>
            <w:pPr>
              <w:pStyle w:val="TableParagraph"/>
              <w:spacing w:line="240" w:lineRule="auto" w:before="3"/>
              <w:ind w:left="225" w:right="286"/>
              <w:rPr>
                <w:sz w:val="17"/>
              </w:rPr>
            </w:pPr>
            <w:r>
              <w:rPr>
                <w:color w:val="231F20"/>
                <w:w w:val="105"/>
                <w:sz w:val="17"/>
              </w:rPr>
              <w:t>42.8</w:t>
            </w:r>
          </w:p>
        </w:tc>
        <w:tc>
          <w:tcPr>
            <w:tcW w:w="1024" w:type="dxa"/>
          </w:tcPr>
          <w:p>
            <w:pPr>
              <w:pStyle w:val="TableParagraph"/>
              <w:spacing w:line="240" w:lineRule="auto" w:before="3"/>
              <w:ind w:left="289" w:right="361"/>
              <w:rPr>
                <w:sz w:val="17"/>
              </w:rPr>
            </w:pPr>
            <w:r>
              <w:rPr>
                <w:color w:val="231F20"/>
                <w:w w:val="105"/>
                <w:sz w:val="17"/>
              </w:rPr>
              <w:t>29.3</w:t>
            </w:r>
          </w:p>
        </w:tc>
        <w:tc>
          <w:tcPr>
            <w:tcW w:w="938" w:type="dxa"/>
          </w:tcPr>
          <w:p>
            <w:pPr>
              <w:pStyle w:val="TableParagraph"/>
              <w:spacing w:line="240" w:lineRule="auto" w:before="3"/>
              <w:ind w:right="316"/>
              <w:jc w:val="right"/>
              <w:rPr>
                <w:sz w:val="17"/>
              </w:rPr>
            </w:pPr>
            <w:r>
              <w:rPr>
                <w:color w:val="231F20"/>
                <w:w w:val="105"/>
                <w:sz w:val="17"/>
              </w:rPr>
              <w:t>6.1</w:t>
            </w:r>
          </w:p>
        </w:tc>
        <w:tc>
          <w:tcPr>
            <w:tcW w:w="853" w:type="dxa"/>
          </w:tcPr>
          <w:p>
            <w:pPr>
              <w:pStyle w:val="TableParagraph"/>
              <w:spacing w:line="240" w:lineRule="auto" w:before="3"/>
              <w:ind w:right="243"/>
              <w:jc w:val="right"/>
              <w:rPr>
                <w:sz w:val="17"/>
              </w:rPr>
            </w:pPr>
            <w:r>
              <w:rPr>
                <w:color w:val="231F20"/>
                <w:sz w:val="17"/>
              </w:rPr>
              <w:t>100</w:t>
            </w:r>
          </w:p>
        </w:tc>
      </w:tr>
      <w:tr>
        <w:trPr>
          <w:trHeight w:val="210" w:hRule="exact"/>
        </w:trPr>
        <w:tc>
          <w:tcPr>
            <w:tcW w:w="1731" w:type="dxa"/>
          </w:tcPr>
          <w:p>
            <w:pPr>
              <w:pStyle w:val="TableParagraph"/>
              <w:ind w:left="35"/>
              <w:jc w:val="left"/>
              <w:rPr>
                <w:sz w:val="17"/>
              </w:rPr>
            </w:pPr>
            <w:r>
              <w:rPr>
                <w:color w:val="231F20"/>
                <w:w w:val="110"/>
                <w:sz w:val="17"/>
              </w:rPr>
              <w:t>Baja California Sur</w:t>
            </w:r>
          </w:p>
        </w:tc>
        <w:tc>
          <w:tcPr>
            <w:tcW w:w="769" w:type="dxa"/>
          </w:tcPr>
          <w:p>
            <w:pPr>
              <w:pStyle w:val="TableParagraph"/>
              <w:ind w:left="197"/>
              <w:jc w:val="left"/>
              <w:rPr>
                <w:sz w:val="17"/>
              </w:rPr>
            </w:pPr>
            <w:r>
              <w:rPr>
                <w:color w:val="231F20"/>
                <w:w w:val="105"/>
                <w:sz w:val="17"/>
              </w:rPr>
              <w:t>16.0</w:t>
            </w:r>
          </w:p>
        </w:tc>
        <w:tc>
          <w:tcPr>
            <w:tcW w:w="853" w:type="dxa"/>
          </w:tcPr>
          <w:p>
            <w:pPr>
              <w:pStyle w:val="TableParagraph"/>
              <w:ind w:left="238"/>
              <w:jc w:val="left"/>
              <w:rPr>
                <w:sz w:val="17"/>
              </w:rPr>
            </w:pPr>
            <w:r>
              <w:rPr>
                <w:color w:val="231F20"/>
                <w:w w:val="105"/>
                <w:sz w:val="17"/>
              </w:rPr>
              <w:t>69.3</w:t>
            </w:r>
          </w:p>
        </w:tc>
        <w:tc>
          <w:tcPr>
            <w:tcW w:w="984" w:type="dxa"/>
          </w:tcPr>
          <w:p>
            <w:pPr>
              <w:pStyle w:val="TableParagraph"/>
              <w:ind w:right="367"/>
              <w:jc w:val="right"/>
              <w:rPr>
                <w:sz w:val="17"/>
              </w:rPr>
            </w:pPr>
            <w:r>
              <w:rPr>
                <w:color w:val="231F20"/>
                <w:sz w:val="17"/>
              </w:rPr>
              <w:t>13.0</w:t>
            </w:r>
          </w:p>
        </w:tc>
        <w:tc>
          <w:tcPr>
            <w:tcW w:w="926" w:type="dxa"/>
          </w:tcPr>
          <w:p>
            <w:pPr>
              <w:pStyle w:val="TableParagraph"/>
              <w:ind w:right="317"/>
              <w:jc w:val="right"/>
              <w:rPr>
                <w:sz w:val="17"/>
              </w:rPr>
            </w:pPr>
            <w:r>
              <w:rPr>
                <w:color w:val="231F20"/>
                <w:w w:val="105"/>
                <w:sz w:val="17"/>
              </w:rPr>
              <w:t>1.7</w:t>
            </w:r>
          </w:p>
        </w:tc>
        <w:tc>
          <w:tcPr>
            <w:tcW w:w="841" w:type="dxa"/>
          </w:tcPr>
          <w:p>
            <w:pPr>
              <w:pStyle w:val="TableParagraph"/>
              <w:ind w:right="231"/>
              <w:jc w:val="right"/>
              <w:rPr>
                <w:sz w:val="17"/>
              </w:rPr>
            </w:pPr>
            <w:r>
              <w:rPr>
                <w:color w:val="231F20"/>
                <w:sz w:val="17"/>
              </w:rPr>
              <w:t>100</w:t>
            </w:r>
          </w:p>
        </w:tc>
        <w:tc>
          <w:tcPr>
            <w:tcW w:w="811" w:type="dxa"/>
          </w:tcPr>
          <w:p>
            <w:pPr>
              <w:pStyle w:val="TableParagraph"/>
              <w:ind w:left="214" w:right="223"/>
              <w:rPr>
                <w:sz w:val="17"/>
              </w:rPr>
            </w:pPr>
            <w:r>
              <w:rPr>
                <w:color w:val="231F20"/>
                <w:w w:val="105"/>
                <w:sz w:val="17"/>
              </w:rPr>
              <w:t>20.6</w:t>
            </w:r>
          </w:p>
        </w:tc>
        <w:tc>
          <w:tcPr>
            <w:tcW w:w="886" w:type="dxa"/>
          </w:tcPr>
          <w:p>
            <w:pPr>
              <w:pStyle w:val="TableParagraph"/>
              <w:ind w:left="225" w:right="286"/>
              <w:rPr>
                <w:sz w:val="17"/>
              </w:rPr>
            </w:pPr>
            <w:r>
              <w:rPr>
                <w:color w:val="231F20"/>
                <w:w w:val="105"/>
                <w:sz w:val="17"/>
              </w:rPr>
              <w:t>45.1</w:t>
            </w:r>
          </w:p>
        </w:tc>
        <w:tc>
          <w:tcPr>
            <w:tcW w:w="1024" w:type="dxa"/>
          </w:tcPr>
          <w:p>
            <w:pPr>
              <w:pStyle w:val="TableParagraph"/>
              <w:ind w:left="289" w:right="361"/>
              <w:rPr>
                <w:sz w:val="17"/>
              </w:rPr>
            </w:pPr>
            <w:r>
              <w:rPr>
                <w:color w:val="231F20"/>
                <w:w w:val="105"/>
                <w:sz w:val="17"/>
              </w:rPr>
              <w:t>28.6</w:t>
            </w:r>
          </w:p>
        </w:tc>
        <w:tc>
          <w:tcPr>
            <w:tcW w:w="938" w:type="dxa"/>
          </w:tcPr>
          <w:p>
            <w:pPr>
              <w:pStyle w:val="TableParagraph"/>
              <w:ind w:right="316"/>
              <w:jc w:val="right"/>
              <w:rPr>
                <w:sz w:val="17"/>
              </w:rPr>
            </w:pPr>
            <w:r>
              <w:rPr>
                <w:color w:val="231F20"/>
                <w:w w:val="105"/>
                <w:sz w:val="17"/>
              </w:rPr>
              <w:t>5.7</w:t>
            </w:r>
          </w:p>
        </w:tc>
        <w:tc>
          <w:tcPr>
            <w:tcW w:w="853" w:type="dxa"/>
          </w:tcPr>
          <w:p>
            <w:pPr>
              <w:pStyle w:val="TableParagraph"/>
              <w:ind w:right="243"/>
              <w:jc w:val="right"/>
              <w:rPr>
                <w:sz w:val="17"/>
              </w:rPr>
            </w:pPr>
            <w:r>
              <w:rPr>
                <w:color w:val="231F20"/>
                <w:sz w:val="17"/>
              </w:rPr>
              <w:t>100</w:t>
            </w:r>
          </w:p>
        </w:tc>
      </w:tr>
      <w:tr>
        <w:trPr>
          <w:trHeight w:val="210" w:hRule="exact"/>
        </w:trPr>
        <w:tc>
          <w:tcPr>
            <w:tcW w:w="1731" w:type="dxa"/>
          </w:tcPr>
          <w:p>
            <w:pPr>
              <w:pStyle w:val="TableParagraph"/>
              <w:ind w:left="35"/>
              <w:jc w:val="left"/>
              <w:rPr>
                <w:sz w:val="17"/>
              </w:rPr>
            </w:pPr>
            <w:r>
              <w:rPr>
                <w:color w:val="231F20"/>
                <w:w w:val="110"/>
                <w:sz w:val="17"/>
              </w:rPr>
              <w:t>Campeche</w:t>
            </w:r>
          </w:p>
        </w:tc>
        <w:tc>
          <w:tcPr>
            <w:tcW w:w="769" w:type="dxa"/>
          </w:tcPr>
          <w:p>
            <w:pPr>
              <w:pStyle w:val="TableParagraph"/>
              <w:ind w:left="197"/>
              <w:jc w:val="left"/>
              <w:rPr>
                <w:sz w:val="17"/>
              </w:rPr>
            </w:pPr>
            <w:r>
              <w:rPr>
                <w:color w:val="231F20"/>
                <w:w w:val="105"/>
                <w:sz w:val="17"/>
              </w:rPr>
              <w:t>10.6</w:t>
            </w:r>
          </w:p>
        </w:tc>
        <w:tc>
          <w:tcPr>
            <w:tcW w:w="853" w:type="dxa"/>
          </w:tcPr>
          <w:p>
            <w:pPr>
              <w:pStyle w:val="TableParagraph"/>
              <w:ind w:left="238"/>
              <w:jc w:val="left"/>
              <w:rPr>
                <w:sz w:val="17"/>
              </w:rPr>
            </w:pPr>
            <w:r>
              <w:rPr>
                <w:color w:val="231F20"/>
                <w:w w:val="105"/>
                <w:sz w:val="17"/>
              </w:rPr>
              <w:t>78.9</w:t>
            </w:r>
          </w:p>
        </w:tc>
        <w:tc>
          <w:tcPr>
            <w:tcW w:w="984" w:type="dxa"/>
          </w:tcPr>
          <w:p>
            <w:pPr>
              <w:pStyle w:val="TableParagraph"/>
              <w:ind w:right="367"/>
              <w:jc w:val="right"/>
              <w:rPr>
                <w:sz w:val="17"/>
              </w:rPr>
            </w:pPr>
            <w:r>
              <w:rPr>
                <w:color w:val="231F20"/>
                <w:w w:val="105"/>
                <w:sz w:val="17"/>
              </w:rPr>
              <w:t>8.5</w:t>
            </w:r>
          </w:p>
        </w:tc>
        <w:tc>
          <w:tcPr>
            <w:tcW w:w="926" w:type="dxa"/>
          </w:tcPr>
          <w:p>
            <w:pPr>
              <w:pStyle w:val="TableParagraph"/>
              <w:ind w:right="317"/>
              <w:jc w:val="right"/>
              <w:rPr>
                <w:sz w:val="17"/>
              </w:rPr>
            </w:pPr>
            <w:r>
              <w:rPr>
                <w:color w:val="231F20"/>
                <w:w w:val="105"/>
                <w:sz w:val="17"/>
              </w:rPr>
              <w:t>2.0</w:t>
            </w:r>
          </w:p>
        </w:tc>
        <w:tc>
          <w:tcPr>
            <w:tcW w:w="841" w:type="dxa"/>
          </w:tcPr>
          <w:p>
            <w:pPr>
              <w:pStyle w:val="TableParagraph"/>
              <w:ind w:right="231"/>
              <w:jc w:val="right"/>
              <w:rPr>
                <w:sz w:val="17"/>
              </w:rPr>
            </w:pPr>
            <w:r>
              <w:rPr>
                <w:color w:val="231F20"/>
                <w:sz w:val="17"/>
              </w:rPr>
              <w:t>100</w:t>
            </w:r>
          </w:p>
        </w:tc>
        <w:tc>
          <w:tcPr>
            <w:tcW w:w="811" w:type="dxa"/>
          </w:tcPr>
          <w:p>
            <w:pPr>
              <w:pStyle w:val="TableParagraph"/>
              <w:ind w:left="214" w:right="223"/>
              <w:rPr>
                <w:sz w:val="17"/>
              </w:rPr>
            </w:pPr>
            <w:r>
              <w:rPr>
                <w:color w:val="231F20"/>
                <w:w w:val="105"/>
                <w:sz w:val="17"/>
              </w:rPr>
              <w:t>16.9</w:t>
            </w:r>
          </w:p>
        </w:tc>
        <w:tc>
          <w:tcPr>
            <w:tcW w:w="886" w:type="dxa"/>
          </w:tcPr>
          <w:p>
            <w:pPr>
              <w:pStyle w:val="TableParagraph"/>
              <w:ind w:left="225" w:right="286"/>
              <w:rPr>
                <w:sz w:val="17"/>
              </w:rPr>
            </w:pPr>
            <w:r>
              <w:rPr>
                <w:color w:val="231F20"/>
                <w:w w:val="105"/>
                <w:sz w:val="17"/>
              </w:rPr>
              <w:t>60.0</w:t>
            </w:r>
          </w:p>
        </w:tc>
        <w:tc>
          <w:tcPr>
            <w:tcW w:w="1024" w:type="dxa"/>
          </w:tcPr>
          <w:p>
            <w:pPr>
              <w:pStyle w:val="TableParagraph"/>
              <w:ind w:left="289" w:right="361"/>
              <w:rPr>
                <w:sz w:val="17"/>
              </w:rPr>
            </w:pPr>
            <w:r>
              <w:rPr>
                <w:color w:val="231F20"/>
                <w:w w:val="105"/>
                <w:sz w:val="17"/>
              </w:rPr>
              <w:t>19.3</w:t>
            </w:r>
          </w:p>
        </w:tc>
        <w:tc>
          <w:tcPr>
            <w:tcW w:w="938" w:type="dxa"/>
          </w:tcPr>
          <w:p>
            <w:pPr>
              <w:pStyle w:val="TableParagraph"/>
              <w:ind w:right="316"/>
              <w:jc w:val="right"/>
              <w:rPr>
                <w:sz w:val="17"/>
              </w:rPr>
            </w:pPr>
            <w:r>
              <w:rPr>
                <w:color w:val="231F20"/>
                <w:w w:val="105"/>
                <w:sz w:val="17"/>
              </w:rPr>
              <w:t>3.8</w:t>
            </w:r>
          </w:p>
        </w:tc>
        <w:tc>
          <w:tcPr>
            <w:tcW w:w="853" w:type="dxa"/>
          </w:tcPr>
          <w:p>
            <w:pPr>
              <w:pStyle w:val="TableParagraph"/>
              <w:ind w:right="243"/>
              <w:jc w:val="right"/>
              <w:rPr>
                <w:sz w:val="17"/>
              </w:rPr>
            </w:pPr>
            <w:r>
              <w:rPr>
                <w:color w:val="231F20"/>
                <w:sz w:val="17"/>
              </w:rPr>
              <w:t>100</w:t>
            </w:r>
          </w:p>
        </w:tc>
      </w:tr>
      <w:tr>
        <w:trPr>
          <w:trHeight w:val="210" w:hRule="exact"/>
        </w:trPr>
        <w:tc>
          <w:tcPr>
            <w:tcW w:w="1731" w:type="dxa"/>
          </w:tcPr>
          <w:p>
            <w:pPr>
              <w:pStyle w:val="TableParagraph"/>
              <w:ind w:left="35"/>
              <w:jc w:val="left"/>
              <w:rPr>
                <w:sz w:val="17"/>
              </w:rPr>
            </w:pPr>
            <w:r>
              <w:rPr>
                <w:color w:val="231F20"/>
                <w:w w:val="110"/>
                <w:sz w:val="17"/>
              </w:rPr>
              <w:t>Coahuila</w:t>
            </w:r>
          </w:p>
        </w:tc>
        <w:tc>
          <w:tcPr>
            <w:tcW w:w="769" w:type="dxa"/>
          </w:tcPr>
          <w:p>
            <w:pPr>
              <w:pStyle w:val="TableParagraph"/>
              <w:ind w:left="197"/>
              <w:jc w:val="left"/>
              <w:rPr>
                <w:sz w:val="17"/>
              </w:rPr>
            </w:pPr>
            <w:r>
              <w:rPr>
                <w:color w:val="231F20"/>
                <w:w w:val="105"/>
                <w:sz w:val="17"/>
              </w:rPr>
              <w:t>12.7</w:t>
            </w:r>
          </w:p>
        </w:tc>
        <w:tc>
          <w:tcPr>
            <w:tcW w:w="853" w:type="dxa"/>
          </w:tcPr>
          <w:p>
            <w:pPr>
              <w:pStyle w:val="TableParagraph"/>
              <w:ind w:left="238"/>
              <w:jc w:val="left"/>
              <w:rPr>
                <w:sz w:val="17"/>
              </w:rPr>
            </w:pPr>
            <w:r>
              <w:rPr>
                <w:color w:val="231F20"/>
                <w:w w:val="105"/>
                <w:sz w:val="17"/>
              </w:rPr>
              <w:t>80.6</w:t>
            </w:r>
          </w:p>
        </w:tc>
        <w:tc>
          <w:tcPr>
            <w:tcW w:w="984" w:type="dxa"/>
          </w:tcPr>
          <w:p>
            <w:pPr>
              <w:pStyle w:val="TableParagraph"/>
              <w:ind w:right="367"/>
              <w:jc w:val="right"/>
              <w:rPr>
                <w:sz w:val="17"/>
              </w:rPr>
            </w:pPr>
            <w:r>
              <w:rPr>
                <w:color w:val="231F20"/>
                <w:w w:val="105"/>
                <w:sz w:val="17"/>
              </w:rPr>
              <w:t>5.0</w:t>
            </w:r>
          </w:p>
        </w:tc>
        <w:tc>
          <w:tcPr>
            <w:tcW w:w="926" w:type="dxa"/>
          </w:tcPr>
          <w:p>
            <w:pPr>
              <w:pStyle w:val="TableParagraph"/>
              <w:ind w:right="317"/>
              <w:jc w:val="right"/>
              <w:rPr>
                <w:sz w:val="17"/>
              </w:rPr>
            </w:pPr>
            <w:r>
              <w:rPr>
                <w:color w:val="231F20"/>
                <w:w w:val="105"/>
                <w:sz w:val="17"/>
              </w:rPr>
              <w:t>1.7</w:t>
            </w:r>
          </w:p>
        </w:tc>
        <w:tc>
          <w:tcPr>
            <w:tcW w:w="841" w:type="dxa"/>
          </w:tcPr>
          <w:p>
            <w:pPr>
              <w:pStyle w:val="TableParagraph"/>
              <w:ind w:right="231"/>
              <w:jc w:val="right"/>
              <w:rPr>
                <w:sz w:val="17"/>
              </w:rPr>
            </w:pPr>
            <w:r>
              <w:rPr>
                <w:color w:val="231F20"/>
                <w:sz w:val="17"/>
              </w:rPr>
              <w:t>100</w:t>
            </w:r>
          </w:p>
        </w:tc>
        <w:tc>
          <w:tcPr>
            <w:tcW w:w="811" w:type="dxa"/>
          </w:tcPr>
          <w:p>
            <w:pPr>
              <w:pStyle w:val="TableParagraph"/>
              <w:ind w:left="214" w:right="223"/>
              <w:rPr>
                <w:sz w:val="17"/>
              </w:rPr>
            </w:pPr>
            <w:r>
              <w:rPr>
                <w:color w:val="231F20"/>
                <w:w w:val="105"/>
                <w:sz w:val="17"/>
              </w:rPr>
              <w:t>17.2</w:t>
            </w:r>
          </w:p>
        </w:tc>
        <w:tc>
          <w:tcPr>
            <w:tcW w:w="886" w:type="dxa"/>
          </w:tcPr>
          <w:p>
            <w:pPr>
              <w:pStyle w:val="TableParagraph"/>
              <w:ind w:left="225" w:right="286"/>
              <w:rPr>
                <w:sz w:val="17"/>
              </w:rPr>
            </w:pPr>
            <w:r>
              <w:rPr>
                <w:color w:val="231F20"/>
                <w:w w:val="105"/>
                <w:sz w:val="17"/>
              </w:rPr>
              <w:t>61.2</w:t>
            </w:r>
          </w:p>
        </w:tc>
        <w:tc>
          <w:tcPr>
            <w:tcW w:w="1024" w:type="dxa"/>
          </w:tcPr>
          <w:p>
            <w:pPr>
              <w:pStyle w:val="TableParagraph"/>
              <w:ind w:left="289" w:right="361"/>
              <w:rPr>
                <w:sz w:val="17"/>
              </w:rPr>
            </w:pPr>
            <w:r>
              <w:rPr>
                <w:color w:val="231F20"/>
                <w:w w:val="105"/>
                <w:sz w:val="17"/>
              </w:rPr>
              <w:t>16.4</w:t>
            </w:r>
          </w:p>
        </w:tc>
        <w:tc>
          <w:tcPr>
            <w:tcW w:w="938" w:type="dxa"/>
          </w:tcPr>
          <w:p>
            <w:pPr>
              <w:pStyle w:val="TableParagraph"/>
              <w:ind w:right="316"/>
              <w:jc w:val="right"/>
              <w:rPr>
                <w:sz w:val="17"/>
              </w:rPr>
            </w:pPr>
            <w:r>
              <w:rPr>
                <w:color w:val="231F20"/>
                <w:w w:val="105"/>
                <w:sz w:val="17"/>
              </w:rPr>
              <w:t>5.2</w:t>
            </w:r>
          </w:p>
        </w:tc>
        <w:tc>
          <w:tcPr>
            <w:tcW w:w="853" w:type="dxa"/>
          </w:tcPr>
          <w:p>
            <w:pPr>
              <w:pStyle w:val="TableParagraph"/>
              <w:ind w:right="243"/>
              <w:jc w:val="right"/>
              <w:rPr>
                <w:sz w:val="17"/>
              </w:rPr>
            </w:pPr>
            <w:r>
              <w:rPr>
                <w:color w:val="231F20"/>
                <w:sz w:val="17"/>
              </w:rPr>
              <w:t>100</w:t>
            </w:r>
          </w:p>
        </w:tc>
      </w:tr>
      <w:tr>
        <w:trPr>
          <w:trHeight w:val="210" w:hRule="exact"/>
        </w:trPr>
        <w:tc>
          <w:tcPr>
            <w:tcW w:w="1731" w:type="dxa"/>
          </w:tcPr>
          <w:p>
            <w:pPr>
              <w:pStyle w:val="TableParagraph"/>
              <w:ind w:left="35"/>
              <w:jc w:val="left"/>
              <w:rPr>
                <w:sz w:val="17"/>
              </w:rPr>
            </w:pPr>
            <w:r>
              <w:rPr>
                <w:color w:val="231F20"/>
                <w:w w:val="110"/>
                <w:sz w:val="17"/>
              </w:rPr>
              <w:t>Colima</w:t>
            </w:r>
          </w:p>
        </w:tc>
        <w:tc>
          <w:tcPr>
            <w:tcW w:w="769" w:type="dxa"/>
          </w:tcPr>
          <w:p>
            <w:pPr>
              <w:pStyle w:val="TableParagraph"/>
              <w:ind w:left="197"/>
              <w:jc w:val="left"/>
              <w:rPr>
                <w:sz w:val="17"/>
              </w:rPr>
            </w:pPr>
            <w:r>
              <w:rPr>
                <w:color w:val="231F20"/>
                <w:w w:val="105"/>
                <w:sz w:val="17"/>
              </w:rPr>
              <w:t>14.6</w:t>
            </w:r>
          </w:p>
        </w:tc>
        <w:tc>
          <w:tcPr>
            <w:tcW w:w="853" w:type="dxa"/>
          </w:tcPr>
          <w:p>
            <w:pPr>
              <w:pStyle w:val="TableParagraph"/>
              <w:ind w:left="238"/>
              <w:jc w:val="left"/>
              <w:rPr>
                <w:sz w:val="17"/>
              </w:rPr>
            </w:pPr>
            <w:r>
              <w:rPr>
                <w:color w:val="231F20"/>
                <w:w w:val="105"/>
                <w:sz w:val="17"/>
              </w:rPr>
              <w:t>72.4</w:t>
            </w:r>
          </w:p>
        </w:tc>
        <w:tc>
          <w:tcPr>
            <w:tcW w:w="984" w:type="dxa"/>
          </w:tcPr>
          <w:p>
            <w:pPr>
              <w:pStyle w:val="TableParagraph"/>
              <w:ind w:right="367"/>
              <w:jc w:val="right"/>
              <w:rPr>
                <w:sz w:val="17"/>
              </w:rPr>
            </w:pPr>
            <w:r>
              <w:rPr>
                <w:color w:val="231F20"/>
                <w:sz w:val="17"/>
              </w:rPr>
              <w:t>11.6</w:t>
            </w:r>
          </w:p>
        </w:tc>
        <w:tc>
          <w:tcPr>
            <w:tcW w:w="926" w:type="dxa"/>
          </w:tcPr>
          <w:p>
            <w:pPr>
              <w:pStyle w:val="TableParagraph"/>
              <w:ind w:right="317"/>
              <w:jc w:val="right"/>
              <w:rPr>
                <w:sz w:val="17"/>
              </w:rPr>
            </w:pPr>
            <w:r>
              <w:rPr>
                <w:color w:val="231F20"/>
                <w:w w:val="105"/>
                <w:sz w:val="17"/>
              </w:rPr>
              <w:t>1.5</w:t>
            </w:r>
          </w:p>
        </w:tc>
        <w:tc>
          <w:tcPr>
            <w:tcW w:w="841" w:type="dxa"/>
          </w:tcPr>
          <w:p>
            <w:pPr>
              <w:pStyle w:val="TableParagraph"/>
              <w:ind w:right="231"/>
              <w:jc w:val="right"/>
              <w:rPr>
                <w:sz w:val="17"/>
              </w:rPr>
            </w:pPr>
            <w:r>
              <w:rPr>
                <w:color w:val="231F20"/>
                <w:sz w:val="17"/>
              </w:rPr>
              <w:t>100</w:t>
            </w:r>
          </w:p>
        </w:tc>
        <w:tc>
          <w:tcPr>
            <w:tcW w:w="811" w:type="dxa"/>
          </w:tcPr>
          <w:p>
            <w:pPr>
              <w:pStyle w:val="TableParagraph"/>
              <w:ind w:left="214" w:right="223"/>
              <w:rPr>
                <w:sz w:val="17"/>
              </w:rPr>
            </w:pPr>
            <w:r>
              <w:rPr>
                <w:color w:val="231F20"/>
                <w:w w:val="105"/>
                <w:sz w:val="17"/>
              </w:rPr>
              <w:t>22.2</w:t>
            </w:r>
          </w:p>
        </w:tc>
        <w:tc>
          <w:tcPr>
            <w:tcW w:w="886" w:type="dxa"/>
          </w:tcPr>
          <w:p>
            <w:pPr>
              <w:pStyle w:val="TableParagraph"/>
              <w:ind w:left="225" w:right="286"/>
              <w:rPr>
                <w:sz w:val="17"/>
              </w:rPr>
            </w:pPr>
            <w:r>
              <w:rPr>
                <w:color w:val="231F20"/>
                <w:w w:val="105"/>
                <w:sz w:val="17"/>
              </w:rPr>
              <w:t>49.2</w:t>
            </w:r>
          </w:p>
        </w:tc>
        <w:tc>
          <w:tcPr>
            <w:tcW w:w="1024" w:type="dxa"/>
          </w:tcPr>
          <w:p>
            <w:pPr>
              <w:pStyle w:val="TableParagraph"/>
              <w:ind w:left="289" w:right="361"/>
              <w:rPr>
                <w:sz w:val="17"/>
              </w:rPr>
            </w:pPr>
            <w:r>
              <w:rPr>
                <w:color w:val="231F20"/>
                <w:w w:val="105"/>
                <w:sz w:val="17"/>
              </w:rPr>
              <w:t>23.7</w:t>
            </w:r>
          </w:p>
        </w:tc>
        <w:tc>
          <w:tcPr>
            <w:tcW w:w="938" w:type="dxa"/>
          </w:tcPr>
          <w:p>
            <w:pPr>
              <w:pStyle w:val="TableParagraph"/>
              <w:ind w:right="316"/>
              <w:jc w:val="right"/>
              <w:rPr>
                <w:sz w:val="17"/>
              </w:rPr>
            </w:pPr>
            <w:r>
              <w:rPr>
                <w:color w:val="231F20"/>
                <w:w w:val="105"/>
                <w:sz w:val="17"/>
              </w:rPr>
              <w:t>4.9</w:t>
            </w:r>
          </w:p>
        </w:tc>
        <w:tc>
          <w:tcPr>
            <w:tcW w:w="853" w:type="dxa"/>
          </w:tcPr>
          <w:p>
            <w:pPr>
              <w:pStyle w:val="TableParagraph"/>
              <w:ind w:right="243"/>
              <w:jc w:val="right"/>
              <w:rPr>
                <w:sz w:val="17"/>
              </w:rPr>
            </w:pPr>
            <w:r>
              <w:rPr>
                <w:color w:val="231F20"/>
                <w:sz w:val="17"/>
              </w:rPr>
              <w:t>100</w:t>
            </w:r>
          </w:p>
        </w:tc>
      </w:tr>
      <w:tr>
        <w:trPr>
          <w:trHeight w:val="266" w:hRule="exact"/>
        </w:trPr>
        <w:tc>
          <w:tcPr>
            <w:tcW w:w="1731" w:type="dxa"/>
          </w:tcPr>
          <w:p>
            <w:pPr>
              <w:pStyle w:val="TableParagraph"/>
              <w:ind w:left="35"/>
              <w:jc w:val="left"/>
              <w:rPr>
                <w:sz w:val="17"/>
              </w:rPr>
            </w:pPr>
            <w:r>
              <w:rPr>
                <w:color w:val="231F20"/>
                <w:w w:val="115"/>
                <w:sz w:val="17"/>
              </w:rPr>
              <w:t>Chiapas</w:t>
            </w:r>
          </w:p>
        </w:tc>
        <w:tc>
          <w:tcPr>
            <w:tcW w:w="769" w:type="dxa"/>
          </w:tcPr>
          <w:p>
            <w:pPr>
              <w:pStyle w:val="TableParagraph"/>
              <w:ind w:left="197"/>
              <w:jc w:val="left"/>
              <w:rPr>
                <w:sz w:val="17"/>
              </w:rPr>
            </w:pPr>
            <w:r>
              <w:rPr>
                <w:color w:val="231F20"/>
                <w:w w:val="105"/>
                <w:sz w:val="17"/>
              </w:rPr>
              <w:t>10.2</w:t>
            </w:r>
          </w:p>
        </w:tc>
        <w:tc>
          <w:tcPr>
            <w:tcW w:w="853" w:type="dxa"/>
          </w:tcPr>
          <w:p>
            <w:pPr>
              <w:pStyle w:val="TableParagraph"/>
              <w:ind w:left="238"/>
              <w:jc w:val="left"/>
              <w:rPr>
                <w:sz w:val="17"/>
              </w:rPr>
            </w:pPr>
            <w:r>
              <w:rPr>
                <w:color w:val="231F20"/>
                <w:w w:val="105"/>
                <w:sz w:val="17"/>
              </w:rPr>
              <w:t>65.4</w:t>
            </w:r>
          </w:p>
        </w:tc>
        <w:tc>
          <w:tcPr>
            <w:tcW w:w="984" w:type="dxa"/>
          </w:tcPr>
          <w:p>
            <w:pPr>
              <w:pStyle w:val="TableParagraph"/>
              <w:ind w:right="367"/>
              <w:jc w:val="right"/>
              <w:rPr>
                <w:sz w:val="17"/>
              </w:rPr>
            </w:pPr>
            <w:r>
              <w:rPr>
                <w:color w:val="231F20"/>
                <w:sz w:val="17"/>
              </w:rPr>
              <w:t>22.6</w:t>
            </w:r>
          </w:p>
        </w:tc>
        <w:tc>
          <w:tcPr>
            <w:tcW w:w="926" w:type="dxa"/>
          </w:tcPr>
          <w:p>
            <w:pPr>
              <w:pStyle w:val="TableParagraph"/>
              <w:ind w:right="317"/>
              <w:jc w:val="right"/>
              <w:rPr>
                <w:sz w:val="17"/>
              </w:rPr>
            </w:pPr>
            <w:r>
              <w:rPr>
                <w:color w:val="231F20"/>
                <w:w w:val="105"/>
                <w:sz w:val="17"/>
              </w:rPr>
              <w:t>1.8</w:t>
            </w:r>
          </w:p>
        </w:tc>
        <w:tc>
          <w:tcPr>
            <w:tcW w:w="841" w:type="dxa"/>
          </w:tcPr>
          <w:p>
            <w:pPr>
              <w:pStyle w:val="TableParagraph"/>
              <w:ind w:right="231"/>
              <w:jc w:val="right"/>
              <w:rPr>
                <w:sz w:val="17"/>
              </w:rPr>
            </w:pPr>
            <w:r>
              <w:rPr>
                <w:color w:val="231F20"/>
                <w:sz w:val="17"/>
              </w:rPr>
              <w:t>100</w:t>
            </w:r>
          </w:p>
        </w:tc>
        <w:tc>
          <w:tcPr>
            <w:tcW w:w="811" w:type="dxa"/>
          </w:tcPr>
          <w:p>
            <w:pPr>
              <w:pStyle w:val="TableParagraph"/>
              <w:ind w:left="214" w:right="223"/>
              <w:rPr>
                <w:sz w:val="17"/>
              </w:rPr>
            </w:pPr>
            <w:r>
              <w:rPr>
                <w:color w:val="231F20"/>
                <w:w w:val="105"/>
                <w:sz w:val="17"/>
              </w:rPr>
              <w:t>14.6</w:t>
            </w:r>
          </w:p>
        </w:tc>
        <w:tc>
          <w:tcPr>
            <w:tcW w:w="886" w:type="dxa"/>
          </w:tcPr>
          <w:p>
            <w:pPr>
              <w:pStyle w:val="TableParagraph"/>
              <w:ind w:left="225" w:right="286"/>
              <w:rPr>
                <w:sz w:val="17"/>
              </w:rPr>
            </w:pPr>
            <w:r>
              <w:rPr>
                <w:color w:val="231F20"/>
                <w:w w:val="105"/>
                <w:sz w:val="17"/>
              </w:rPr>
              <w:t>47.8</w:t>
            </w:r>
          </w:p>
        </w:tc>
        <w:tc>
          <w:tcPr>
            <w:tcW w:w="1024" w:type="dxa"/>
          </w:tcPr>
          <w:p>
            <w:pPr>
              <w:pStyle w:val="TableParagraph"/>
              <w:ind w:left="289" w:right="361"/>
              <w:rPr>
                <w:sz w:val="17"/>
              </w:rPr>
            </w:pPr>
            <w:r>
              <w:rPr>
                <w:color w:val="231F20"/>
                <w:w w:val="105"/>
                <w:sz w:val="17"/>
              </w:rPr>
              <w:t>35.0</w:t>
            </w:r>
          </w:p>
        </w:tc>
        <w:tc>
          <w:tcPr>
            <w:tcW w:w="938" w:type="dxa"/>
          </w:tcPr>
          <w:p>
            <w:pPr>
              <w:pStyle w:val="TableParagraph"/>
              <w:ind w:right="316"/>
              <w:jc w:val="right"/>
              <w:rPr>
                <w:sz w:val="17"/>
              </w:rPr>
            </w:pPr>
            <w:r>
              <w:rPr>
                <w:color w:val="231F20"/>
                <w:w w:val="105"/>
                <w:sz w:val="17"/>
              </w:rPr>
              <w:t>2.6</w:t>
            </w:r>
          </w:p>
        </w:tc>
        <w:tc>
          <w:tcPr>
            <w:tcW w:w="853" w:type="dxa"/>
          </w:tcPr>
          <w:p>
            <w:pPr>
              <w:pStyle w:val="TableParagraph"/>
              <w:ind w:right="243"/>
              <w:jc w:val="right"/>
              <w:rPr>
                <w:sz w:val="17"/>
              </w:rPr>
            </w:pPr>
            <w:r>
              <w:rPr>
                <w:color w:val="231F20"/>
                <w:sz w:val="17"/>
              </w:rPr>
              <w:t>100</w:t>
            </w:r>
          </w:p>
        </w:tc>
      </w:tr>
    </w:tbl>
    <w:p>
      <w:pPr>
        <w:spacing w:after="0"/>
        <w:jc w:val="right"/>
        <w:rPr>
          <w:sz w:val="17"/>
        </w:rPr>
        <w:sectPr>
          <w:type w:val="continuous"/>
          <w:pgSz w:w="12920" w:h="9520" w:orient="landscape"/>
          <w:pgMar w:top="0" w:bottom="0" w:left="1240" w:right="840"/>
        </w:sectPr>
      </w:pPr>
    </w:p>
    <w:p>
      <w:pPr>
        <w:pStyle w:val="BodyText"/>
        <w:spacing w:before="2"/>
        <w:rPr>
          <w:i/>
          <w:sz w:val="18"/>
        </w:rPr>
      </w:pP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90"/>
        <w:gridCol w:w="910"/>
        <w:gridCol w:w="853"/>
        <w:gridCol w:w="984"/>
        <w:gridCol w:w="926"/>
        <w:gridCol w:w="841"/>
        <w:gridCol w:w="811"/>
        <w:gridCol w:w="886"/>
        <w:gridCol w:w="1024"/>
        <w:gridCol w:w="938"/>
        <w:gridCol w:w="853"/>
      </w:tblGrid>
      <w:tr>
        <w:trPr>
          <w:trHeight w:val="290" w:hRule="exact"/>
        </w:trPr>
        <w:tc>
          <w:tcPr>
            <w:tcW w:w="1590" w:type="dxa"/>
          </w:tcPr>
          <w:p>
            <w:pPr>
              <w:pStyle w:val="TableParagraph"/>
              <w:spacing w:line="240" w:lineRule="auto" w:before="75"/>
              <w:ind w:left="35"/>
              <w:jc w:val="left"/>
              <w:rPr>
                <w:sz w:val="17"/>
              </w:rPr>
            </w:pPr>
            <w:r>
              <w:rPr>
                <w:color w:val="231F20"/>
                <w:w w:val="110"/>
                <w:sz w:val="17"/>
              </w:rPr>
              <w:t>Michoacán</w:t>
            </w:r>
          </w:p>
        </w:tc>
        <w:tc>
          <w:tcPr>
            <w:tcW w:w="910" w:type="dxa"/>
          </w:tcPr>
          <w:p>
            <w:pPr>
              <w:pStyle w:val="TableParagraph"/>
              <w:spacing w:line="240" w:lineRule="auto" w:before="75"/>
              <w:ind w:right="236"/>
              <w:jc w:val="right"/>
              <w:rPr>
                <w:sz w:val="17"/>
              </w:rPr>
            </w:pPr>
            <w:r>
              <w:rPr>
                <w:color w:val="231F20"/>
                <w:sz w:val="17"/>
              </w:rPr>
              <w:t>11.9</w:t>
            </w:r>
          </w:p>
        </w:tc>
        <w:tc>
          <w:tcPr>
            <w:tcW w:w="853" w:type="dxa"/>
          </w:tcPr>
          <w:p>
            <w:pPr>
              <w:pStyle w:val="TableParagraph"/>
              <w:spacing w:line="240" w:lineRule="auto" w:before="75"/>
              <w:ind w:left="238"/>
              <w:jc w:val="left"/>
              <w:rPr>
                <w:sz w:val="17"/>
              </w:rPr>
            </w:pPr>
            <w:r>
              <w:rPr>
                <w:color w:val="231F20"/>
                <w:w w:val="105"/>
                <w:sz w:val="17"/>
              </w:rPr>
              <w:t>82.3</w:t>
            </w:r>
          </w:p>
        </w:tc>
        <w:tc>
          <w:tcPr>
            <w:tcW w:w="984" w:type="dxa"/>
          </w:tcPr>
          <w:p>
            <w:pPr>
              <w:pStyle w:val="TableParagraph"/>
              <w:spacing w:line="240" w:lineRule="auto" w:before="75"/>
              <w:ind w:right="367"/>
              <w:jc w:val="right"/>
              <w:rPr>
                <w:sz w:val="17"/>
              </w:rPr>
            </w:pPr>
            <w:r>
              <w:rPr>
                <w:color w:val="231F20"/>
                <w:w w:val="105"/>
                <w:sz w:val="17"/>
              </w:rPr>
              <w:t>4.8</w:t>
            </w:r>
          </w:p>
        </w:tc>
        <w:tc>
          <w:tcPr>
            <w:tcW w:w="926" w:type="dxa"/>
          </w:tcPr>
          <w:p>
            <w:pPr>
              <w:pStyle w:val="TableParagraph"/>
              <w:spacing w:line="240" w:lineRule="auto" w:before="75"/>
              <w:ind w:right="317"/>
              <w:jc w:val="right"/>
              <w:rPr>
                <w:sz w:val="17"/>
              </w:rPr>
            </w:pPr>
            <w:r>
              <w:rPr>
                <w:color w:val="231F20"/>
                <w:w w:val="105"/>
                <w:sz w:val="17"/>
              </w:rPr>
              <w:t>1.0</w:t>
            </w:r>
          </w:p>
        </w:tc>
        <w:tc>
          <w:tcPr>
            <w:tcW w:w="841" w:type="dxa"/>
          </w:tcPr>
          <w:p>
            <w:pPr>
              <w:pStyle w:val="TableParagraph"/>
              <w:spacing w:line="240" w:lineRule="auto" w:before="75"/>
              <w:ind w:right="231"/>
              <w:jc w:val="right"/>
              <w:rPr>
                <w:sz w:val="17"/>
              </w:rPr>
            </w:pPr>
            <w:r>
              <w:rPr>
                <w:color w:val="231F20"/>
                <w:sz w:val="17"/>
              </w:rPr>
              <w:t>100</w:t>
            </w:r>
          </w:p>
        </w:tc>
        <w:tc>
          <w:tcPr>
            <w:tcW w:w="811" w:type="dxa"/>
          </w:tcPr>
          <w:p>
            <w:pPr>
              <w:pStyle w:val="TableParagraph"/>
              <w:spacing w:line="240" w:lineRule="auto" w:before="75"/>
              <w:ind w:left="214" w:right="223"/>
              <w:rPr>
                <w:sz w:val="17"/>
              </w:rPr>
            </w:pPr>
            <w:r>
              <w:rPr>
                <w:color w:val="231F20"/>
                <w:w w:val="105"/>
                <w:sz w:val="17"/>
              </w:rPr>
              <w:t>17.3</w:t>
            </w:r>
          </w:p>
        </w:tc>
        <w:tc>
          <w:tcPr>
            <w:tcW w:w="886" w:type="dxa"/>
          </w:tcPr>
          <w:p>
            <w:pPr>
              <w:pStyle w:val="TableParagraph"/>
              <w:spacing w:line="240" w:lineRule="auto" w:before="75"/>
              <w:ind w:left="225" w:right="286"/>
              <w:rPr>
                <w:sz w:val="17"/>
              </w:rPr>
            </w:pPr>
            <w:r>
              <w:rPr>
                <w:color w:val="231F20"/>
                <w:w w:val="105"/>
                <w:sz w:val="17"/>
              </w:rPr>
              <w:t>65.3</w:t>
            </w:r>
          </w:p>
        </w:tc>
        <w:tc>
          <w:tcPr>
            <w:tcW w:w="1024" w:type="dxa"/>
          </w:tcPr>
          <w:p>
            <w:pPr>
              <w:pStyle w:val="TableParagraph"/>
              <w:spacing w:line="240" w:lineRule="auto" w:before="75"/>
              <w:ind w:left="289" w:right="361"/>
              <w:rPr>
                <w:sz w:val="17"/>
              </w:rPr>
            </w:pPr>
            <w:r>
              <w:rPr>
                <w:color w:val="231F20"/>
                <w:w w:val="105"/>
                <w:sz w:val="17"/>
              </w:rPr>
              <w:t>14.0</w:t>
            </w:r>
          </w:p>
        </w:tc>
        <w:tc>
          <w:tcPr>
            <w:tcW w:w="938" w:type="dxa"/>
          </w:tcPr>
          <w:p>
            <w:pPr>
              <w:pStyle w:val="TableParagraph"/>
              <w:spacing w:line="240" w:lineRule="auto" w:before="75"/>
              <w:ind w:right="316"/>
              <w:jc w:val="right"/>
              <w:rPr>
                <w:sz w:val="17"/>
              </w:rPr>
            </w:pPr>
            <w:r>
              <w:rPr>
                <w:color w:val="231F20"/>
                <w:w w:val="105"/>
                <w:sz w:val="17"/>
              </w:rPr>
              <w:t>3.4</w:t>
            </w:r>
          </w:p>
        </w:tc>
        <w:tc>
          <w:tcPr>
            <w:tcW w:w="853" w:type="dxa"/>
          </w:tcPr>
          <w:p>
            <w:pPr>
              <w:pStyle w:val="TableParagraph"/>
              <w:spacing w:line="240" w:lineRule="auto" w:before="75"/>
              <w:ind w:right="243"/>
              <w:jc w:val="right"/>
              <w:rPr>
                <w:sz w:val="17"/>
              </w:rPr>
            </w:pPr>
            <w:r>
              <w:rPr>
                <w:color w:val="231F20"/>
                <w:sz w:val="17"/>
              </w:rPr>
              <w:t>100</w:t>
            </w:r>
          </w:p>
        </w:tc>
      </w:tr>
      <w:tr>
        <w:trPr>
          <w:trHeight w:val="210" w:hRule="exact"/>
        </w:trPr>
        <w:tc>
          <w:tcPr>
            <w:tcW w:w="1590" w:type="dxa"/>
          </w:tcPr>
          <w:p>
            <w:pPr>
              <w:pStyle w:val="TableParagraph"/>
              <w:ind w:left="35"/>
              <w:jc w:val="left"/>
              <w:rPr>
                <w:sz w:val="17"/>
              </w:rPr>
            </w:pPr>
            <w:r>
              <w:rPr>
                <w:color w:val="231F20"/>
                <w:w w:val="110"/>
                <w:sz w:val="17"/>
              </w:rPr>
              <w:t>Morelos</w:t>
            </w:r>
          </w:p>
        </w:tc>
        <w:tc>
          <w:tcPr>
            <w:tcW w:w="910" w:type="dxa"/>
          </w:tcPr>
          <w:p>
            <w:pPr>
              <w:pStyle w:val="TableParagraph"/>
              <w:ind w:right="236"/>
              <w:jc w:val="right"/>
              <w:rPr>
                <w:sz w:val="17"/>
              </w:rPr>
            </w:pPr>
            <w:r>
              <w:rPr>
                <w:color w:val="231F20"/>
                <w:sz w:val="17"/>
              </w:rPr>
              <w:t>13.9</w:t>
            </w:r>
          </w:p>
        </w:tc>
        <w:tc>
          <w:tcPr>
            <w:tcW w:w="853" w:type="dxa"/>
          </w:tcPr>
          <w:p>
            <w:pPr>
              <w:pStyle w:val="TableParagraph"/>
              <w:ind w:left="238"/>
              <w:jc w:val="left"/>
              <w:rPr>
                <w:sz w:val="17"/>
              </w:rPr>
            </w:pPr>
            <w:r>
              <w:rPr>
                <w:color w:val="231F20"/>
                <w:w w:val="105"/>
                <w:sz w:val="17"/>
              </w:rPr>
              <w:t>69.2</w:t>
            </w:r>
          </w:p>
        </w:tc>
        <w:tc>
          <w:tcPr>
            <w:tcW w:w="984" w:type="dxa"/>
          </w:tcPr>
          <w:p>
            <w:pPr>
              <w:pStyle w:val="TableParagraph"/>
              <w:ind w:right="367"/>
              <w:jc w:val="right"/>
              <w:rPr>
                <w:sz w:val="17"/>
              </w:rPr>
            </w:pPr>
            <w:r>
              <w:rPr>
                <w:color w:val="231F20"/>
                <w:sz w:val="17"/>
              </w:rPr>
              <w:t>15.2</w:t>
            </w:r>
          </w:p>
        </w:tc>
        <w:tc>
          <w:tcPr>
            <w:tcW w:w="926" w:type="dxa"/>
          </w:tcPr>
          <w:p>
            <w:pPr>
              <w:pStyle w:val="TableParagraph"/>
              <w:ind w:right="317"/>
              <w:jc w:val="right"/>
              <w:rPr>
                <w:sz w:val="17"/>
              </w:rPr>
            </w:pPr>
            <w:r>
              <w:rPr>
                <w:color w:val="231F20"/>
                <w:w w:val="105"/>
                <w:sz w:val="17"/>
              </w:rPr>
              <w:t>1.7</w:t>
            </w:r>
          </w:p>
        </w:tc>
        <w:tc>
          <w:tcPr>
            <w:tcW w:w="841" w:type="dxa"/>
          </w:tcPr>
          <w:p>
            <w:pPr>
              <w:pStyle w:val="TableParagraph"/>
              <w:ind w:right="231"/>
              <w:jc w:val="right"/>
              <w:rPr>
                <w:sz w:val="17"/>
              </w:rPr>
            </w:pPr>
            <w:r>
              <w:rPr>
                <w:color w:val="231F20"/>
                <w:sz w:val="17"/>
              </w:rPr>
              <w:t>100</w:t>
            </w:r>
          </w:p>
        </w:tc>
        <w:tc>
          <w:tcPr>
            <w:tcW w:w="811" w:type="dxa"/>
          </w:tcPr>
          <w:p>
            <w:pPr>
              <w:pStyle w:val="TableParagraph"/>
              <w:ind w:left="214" w:right="223"/>
              <w:rPr>
                <w:sz w:val="17"/>
              </w:rPr>
            </w:pPr>
            <w:r>
              <w:rPr>
                <w:color w:val="231F20"/>
                <w:w w:val="105"/>
                <w:sz w:val="17"/>
              </w:rPr>
              <w:t>21.0</w:t>
            </w:r>
          </w:p>
        </w:tc>
        <w:tc>
          <w:tcPr>
            <w:tcW w:w="886" w:type="dxa"/>
          </w:tcPr>
          <w:p>
            <w:pPr>
              <w:pStyle w:val="TableParagraph"/>
              <w:ind w:left="225" w:right="286"/>
              <w:rPr>
                <w:sz w:val="17"/>
              </w:rPr>
            </w:pPr>
            <w:r>
              <w:rPr>
                <w:color w:val="231F20"/>
                <w:w w:val="105"/>
                <w:sz w:val="17"/>
              </w:rPr>
              <w:t>45.6</w:t>
            </w:r>
          </w:p>
        </w:tc>
        <w:tc>
          <w:tcPr>
            <w:tcW w:w="1024" w:type="dxa"/>
          </w:tcPr>
          <w:p>
            <w:pPr>
              <w:pStyle w:val="TableParagraph"/>
              <w:ind w:left="289" w:right="361"/>
              <w:rPr>
                <w:sz w:val="17"/>
              </w:rPr>
            </w:pPr>
            <w:r>
              <w:rPr>
                <w:color w:val="231F20"/>
                <w:w w:val="105"/>
                <w:sz w:val="17"/>
              </w:rPr>
              <w:t>29.1</w:t>
            </w:r>
          </w:p>
        </w:tc>
        <w:tc>
          <w:tcPr>
            <w:tcW w:w="938" w:type="dxa"/>
          </w:tcPr>
          <w:p>
            <w:pPr>
              <w:pStyle w:val="TableParagraph"/>
              <w:ind w:right="316"/>
              <w:jc w:val="right"/>
              <w:rPr>
                <w:sz w:val="17"/>
              </w:rPr>
            </w:pPr>
            <w:r>
              <w:rPr>
                <w:color w:val="231F20"/>
                <w:w w:val="105"/>
                <w:sz w:val="17"/>
              </w:rPr>
              <w:t>4.4</w:t>
            </w:r>
          </w:p>
        </w:tc>
        <w:tc>
          <w:tcPr>
            <w:tcW w:w="853" w:type="dxa"/>
          </w:tcPr>
          <w:p>
            <w:pPr>
              <w:pStyle w:val="TableParagraph"/>
              <w:ind w:right="243"/>
              <w:jc w:val="right"/>
              <w:rPr>
                <w:sz w:val="17"/>
              </w:rPr>
            </w:pPr>
            <w:r>
              <w:rPr>
                <w:color w:val="231F20"/>
                <w:sz w:val="17"/>
              </w:rPr>
              <w:t>100</w:t>
            </w:r>
          </w:p>
        </w:tc>
      </w:tr>
      <w:tr>
        <w:trPr>
          <w:trHeight w:val="210" w:hRule="exact"/>
        </w:trPr>
        <w:tc>
          <w:tcPr>
            <w:tcW w:w="1590" w:type="dxa"/>
          </w:tcPr>
          <w:p>
            <w:pPr>
              <w:pStyle w:val="TableParagraph"/>
              <w:ind w:left="35"/>
              <w:jc w:val="left"/>
              <w:rPr>
                <w:sz w:val="17"/>
              </w:rPr>
            </w:pPr>
            <w:r>
              <w:rPr>
                <w:color w:val="231F20"/>
                <w:w w:val="110"/>
                <w:sz w:val="17"/>
              </w:rPr>
              <w:t>Nayarit</w:t>
            </w:r>
          </w:p>
        </w:tc>
        <w:tc>
          <w:tcPr>
            <w:tcW w:w="910" w:type="dxa"/>
          </w:tcPr>
          <w:p>
            <w:pPr>
              <w:pStyle w:val="TableParagraph"/>
              <w:ind w:right="236"/>
              <w:jc w:val="right"/>
              <w:rPr>
                <w:sz w:val="17"/>
              </w:rPr>
            </w:pPr>
            <w:r>
              <w:rPr>
                <w:color w:val="231F20"/>
                <w:sz w:val="17"/>
              </w:rPr>
              <w:t>15.3</w:t>
            </w:r>
          </w:p>
        </w:tc>
        <w:tc>
          <w:tcPr>
            <w:tcW w:w="853" w:type="dxa"/>
          </w:tcPr>
          <w:p>
            <w:pPr>
              <w:pStyle w:val="TableParagraph"/>
              <w:ind w:left="238"/>
              <w:jc w:val="left"/>
              <w:rPr>
                <w:sz w:val="17"/>
              </w:rPr>
            </w:pPr>
            <w:r>
              <w:rPr>
                <w:color w:val="231F20"/>
                <w:w w:val="105"/>
                <w:sz w:val="17"/>
              </w:rPr>
              <w:t>61.4</w:t>
            </w:r>
          </w:p>
        </w:tc>
        <w:tc>
          <w:tcPr>
            <w:tcW w:w="984" w:type="dxa"/>
          </w:tcPr>
          <w:p>
            <w:pPr>
              <w:pStyle w:val="TableParagraph"/>
              <w:ind w:right="367"/>
              <w:jc w:val="right"/>
              <w:rPr>
                <w:sz w:val="17"/>
              </w:rPr>
            </w:pPr>
            <w:r>
              <w:rPr>
                <w:color w:val="231F20"/>
                <w:sz w:val="17"/>
              </w:rPr>
              <w:t>21.9</w:t>
            </w:r>
          </w:p>
        </w:tc>
        <w:tc>
          <w:tcPr>
            <w:tcW w:w="926" w:type="dxa"/>
          </w:tcPr>
          <w:p>
            <w:pPr>
              <w:pStyle w:val="TableParagraph"/>
              <w:ind w:right="317"/>
              <w:jc w:val="right"/>
              <w:rPr>
                <w:sz w:val="17"/>
              </w:rPr>
            </w:pPr>
            <w:r>
              <w:rPr>
                <w:color w:val="231F20"/>
                <w:w w:val="105"/>
                <w:sz w:val="17"/>
              </w:rPr>
              <w:t>1.5</w:t>
            </w:r>
          </w:p>
        </w:tc>
        <w:tc>
          <w:tcPr>
            <w:tcW w:w="841" w:type="dxa"/>
          </w:tcPr>
          <w:p>
            <w:pPr>
              <w:pStyle w:val="TableParagraph"/>
              <w:ind w:right="231"/>
              <w:jc w:val="right"/>
              <w:rPr>
                <w:sz w:val="17"/>
              </w:rPr>
            </w:pPr>
            <w:r>
              <w:rPr>
                <w:color w:val="231F20"/>
                <w:sz w:val="17"/>
              </w:rPr>
              <w:t>100</w:t>
            </w:r>
          </w:p>
        </w:tc>
        <w:tc>
          <w:tcPr>
            <w:tcW w:w="811" w:type="dxa"/>
          </w:tcPr>
          <w:p>
            <w:pPr>
              <w:pStyle w:val="TableParagraph"/>
              <w:ind w:left="214" w:right="223"/>
              <w:rPr>
                <w:sz w:val="17"/>
              </w:rPr>
            </w:pPr>
            <w:r>
              <w:rPr>
                <w:color w:val="231F20"/>
                <w:w w:val="105"/>
                <w:sz w:val="17"/>
              </w:rPr>
              <w:t>19.0</w:t>
            </w:r>
          </w:p>
        </w:tc>
        <w:tc>
          <w:tcPr>
            <w:tcW w:w="886" w:type="dxa"/>
          </w:tcPr>
          <w:p>
            <w:pPr>
              <w:pStyle w:val="TableParagraph"/>
              <w:ind w:left="225" w:right="286"/>
              <w:rPr>
                <w:sz w:val="17"/>
              </w:rPr>
            </w:pPr>
            <w:r>
              <w:rPr>
                <w:color w:val="231F20"/>
                <w:w w:val="105"/>
                <w:sz w:val="17"/>
              </w:rPr>
              <w:t>46.8</w:t>
            </w:r>
          </w:p>
        </w:tc>
        <w:tc>
          <w:tcPr>
            <w:tcW w:w="1024" w:type="dxa"/>
          </w:tcPr>
          <w:p>
            <w:pPr>
              <w:pStyle w:val="TableParagraph"/>
              <w:ind w:left="289" w:right="361"/>
              <w:rPr>
                <w:sz w:val="17"/>
              </w:rPr>
            </w:pPr>
            <w:r>
              <w:rPr>
                <w:color w:val="231F20"/>
                <w:w w:val="105"/>
                <w:sz w:val="17"/>
              </w:rPr>
              <w:t>29.6</w:t>
            </w:r>
          </w:p>
        </w:tc>
        <w:tc>
          <w:tcPr>
            <w:tcW w:w="938" w:type="dxa"/>
          </w:tcPr>
          <w:p>
            <w:pPr>
              <w:pStyle w:val="TableParagraph"/>
              <w:ind w:right="316"/>
              <w:jc w:val="right"/>
              <w:rPr>
                <w:sz w:val="17"/>
              </w:rPr>
            </w:pPr>
            <w:r>
              <w:rPr>
                <w:color w:val="231F20"/>
                <w:w w:val="105"/>
                <w:sz w:val="17"/>
              </w:rPr>
              <w:t>4.6</w:t>
            </w:r>
          </w:p>
        </w:tc>
        <w:tc>
          <w:tcPr>
            <w:tcW w:w="853" w:type="dxa"/>
          </w:tcPr>
          <w:p>
            <w:pPr>
              <w:pStyle w:val="TableParagraph"/>
              <w:ind w:right="243"/>
              <w:jc w:val="right"/>
              <w:rPr>
                <w:sz w:val="17"/>
              </w:rPr>
            </w:pPr>
            <w:r>
              <w:rPr>
                <w:color w:val="231F20"/>
                <w:sz w:val="17"/>
              </w:rPr>
              <w:t>100</w:t>
            </w:r>
          </w:p>
        </w:tc>
      </w:tr>
      <w:tr>
        <w:trPr>
          <w:trHeight w:val="214" w:hRule="exact"/>
        </w:trPr>
        <w:tc>
          <w:tcPr>
            <w:tcW w:w="1590" w:type="dxa"/>
          </w:tcPr>
          <w:p>
            <w:pPr>
              <w:pStyle w:val="TableParagraph"/>
              <w:ind w:left="35"/>
              <w:jc w:val="left"/>
              <w:rPr>
                <w:sz w:val="17"/>
              </w:rPr>
            </w:pPr>
            <w:r>
              <w:rPr>
                <w:color w:val="231F20"/>
                <w:w w:val="110"/>
                <w:sz w:val="17"/>
              </w:rPr>
              <w:t>Nuevo León</w:t>
            </w:r>
          </w:p>
        </w:tc>
        <w:tc>
          <w:tcPr>
            <w:tcW w:w="910" w:type="dxa"/>
          </w:tcPr>
          <w:p>
            <w:pPr>
              <w:pStyle w:val="TableParagraph"/>
              <w:ind w:right="236"/>
              <w:jc w:val="right"/>
              <w:rPr>
                <w:sz w:val="17"/>
              </w:rPr>
            </w:pPr>
            <w:r>
              <w:rPr>
                <w:color w:val="231F20"/>
                <w:sz w:val="17"/>
              </w:rPr>
              <w:t>14.6</w:t>
            </w:r>
          </w:p>
        </w:tc>
        <w:tc>
          <w:tcPr>
            <w:tcW w:w="853" w:type="dxa"/>
          </w:tcPr>
          <w:p>
            <w:pPr>
              <w:pStyle w:val="TableParagraph"/>
              <w:ind w:left="238"/>
              <w:jc w:val="left"/>
              <w:rPr>
                <w:sz w:val="17"/>
              </w:rPr>
            </w:pPr>
            <w:r>
              <w:rPr>
                <w:color w:val="231F20"/>
                <w:w w:val="105"/>
                <w:sz w:val="17"/>
              </w:rPr>
              <w:t>80.7</w:t>
            </w:r>
          </w:p>
        </w:tc>
        <w:tc>
          <w:tcPr>
            <w:tcW w:w="984" w:type="dxa"/>
          </w:tcPr>
          <w:p>
            <w:pPr>
              <w:pStyle w:val="TableParagraph"/>
              <w:ind w:right="367"/>
              <w:jc w:val="right"/>
              <w:rPr>
                <w:sz w:val="17"/>
              </w:rPr>
            </w:pPr>
            <w:r>
              <w:rPr>
                <w:color w:val="231F20"/>
                <w:w w:val="105"/>
                <w:sz w:val="17"/>
              </w:rPr>
              <w:t>3.3</w:t>
            </w:r>
          </w:p>
        </w:tc>
        <w:tc>
          <w:tcPr>
            <w:tcW w:w="926" w:type="dxa"/>
          </w:tcPr>
          <w:p>
            <w:pPr>
              <w:pStyle w:val="TableParagraph"/>
              <w:ind w:right="317"/>
              <w:jc w:val="right"/>
              <w:rPr>
                <w:sz w:val="17"/>
              </w:rPr>
            </w:pPr>
            <w:r>
              <w:rPr>
                <w:color w:val="231F20"/>
                <w:w w:val="105"/>
                <w:sz w:val="17"/>
              </w:rPr>
              <w:t>1.4</w:t>
            </w:r>
          </w:p>
        </w:tc>
        <w:tc>
          <w:tcPr>
            <w:tcW w:w="841" w:type="dxa"/>
          </w:tcPr>
          <w:p>
            <w:pPr>
              <w:pStyle w:val="TableParagraph"/>
              <w:ind w:right="231"/>
              <w:jc w:val="right"/>
              <w:rPr>
                <w:sz w:val="17"/>
              </w:rPr>
            </w:pPr>
            <w:r>
              <w:rPr>
                <w:color w:val="231F20"/>
                <w:sz w:val="17"/>
              </w:rPr>
              <w:t>100</w:t>
            </w:r>
          </w:p>
        </w:tc>
        <w:tc>
          <w:tcPr>
            <w:tcW w:w="811" w:type="dxa"/>
          </w:tcPr>
          <w:p>
            <w:pPr>
              <w:pStyle w:val="TableParagraph"/>
              <w:ind w:left="214" w:right="223"/>
              <w:rPr>
                <w:sz w:val="17"/>
              </w:rPr>
            </w:pPr>
            <w:r>
              <w:rPr>
                <w:color w:val="231F20"/>
                <w:w w:val="105"/>
                <w:sz w:val="17"/>
              </w:rPr>
              <w:t>21.6</w:t>
            </w:r>
          </w:p>
        </w:tc>
        <w:tc>
          <w:tcPr>
            <w:tcW w:w="886" w:type="dxa"/>
          </w:tcPr>
          <w:p>
            <w:pPr>
              <w:pStyle w:val="TableParagraph"/>
              <w:ind w:left="225" w:right="286"/>
              <w:rPr>
                <w:sz w:val="17"/>
              </w:rPr>
            </w:pPr>
            <w:r>
              <w:rPr>
                <w:color w:val="231F20"/>
                <w:w w:val="105"/>
                <w:sz w:val="17"/>
              </w:rPr>
              <w:t>60.1</w:t>
            </w:r>
          </w:p>
        </w:tc>
        <w:tc>
          <w:tcPr>
            <w:tcW w:w="1024" w:type="dxa"/>
          </w:tcPr>
          <w:p>
            <w:pPr>
              <w:pStyle w:val="TableParagraph"/>
              <w:ind w:left="289" w:right="361"/>
              <w:rPr>
                <w:sz w:val="17"/>
              </w:rPr>
            </w:pPr>
            <w:r>
              <w:rPr>
                <w:color w:val="231F20"/>
                <w:w w:val="105"/>
                <w:sz w:val="17"/>
              </w:rPr>
              <w:t>13.4</w:t>
            </w:r>
          </w:p>
        </w:tc>
        <w:tc>
          <w:tcPr>
            <w:tcW w:w="938" w:type="dxa"/>
          </w:tcPr>
          <w:p>
            <w:pPr>
              <w:pStyle w:val="TableParagraph"/>
              <w:ind w:right="316"/>
              <w:jc w:val="right"/>
              <w:rPr>
                <w:sz w:val="17"/>
              </w:rPr>
            </w:pPr>
            <w:r>
              <w:rPr>
                <w:color w:val="231F20"/>
                <w:w w:val="105"/>
                <w:sz w:val="17"/>
              </w:rPr>
              <w:t>4.8</w:t>
            </w:r>
          </w:p>
        </w:tc>
        <w:tc>
          <w:tcPr>
            <w:tcW w:w="853" w:type="dxa"/>
          </w:tcPr>
          <w:p>
            <w:pPr>
              <w:pStyle w:val="TableParagraph"/>
              <w:ind w:right="245"/>
              <w:jc w:val="right"/>
              <w:rPr>
                <w:sz w:val="17"/>
              </w:rPr>
            </w:pPr>
            <w:r>
              <w:rPr>
                <w:color w:val="231F20"/>
                <w:sz w:val="17"/>
              </w:rPr>
              <w:t>100</w:t>
            </w:r>
          </w:p>
        </w:tc>
      </w:tr>
      <w:tr>
        <w:trPr>
          <w:trHeight w:val="214" w:hRule="exact"/>
        </w:trPr>
        <w:tc>
          <w:tcPr>
            <w:tcW w:w="1590" w:type="dxa"/>
          </w:tcPr>
          <w:p>
            <w:pPr>
              <w:pStyle w:val="TableParagraph"/>
              <w:spacing w:line="198" w:lineRule="exact"/>
              <w:ind w:left="35"/>
              <w:jc w:val="left"/>
              <w:rPr>
                <w:sz w:val="17"/>
              </w:rPr>
            </w:pPr>
            <w:r>
              <w:rPr>
                <w:color w:val="231F20"/>
                <w:w w:val="115"/>
                <w:sz w:val="17"/>
              </w:rPr>
              <w:t>Oaxaca</w:t>
            </w:r>
          </w:p>
        </w:tc>
        <w:tc>
          <w:tcPr>
            <w:tcW w:w="910" w:type="dxa"/>
          </w:tcPr>
          <w:p>
            <w:pPr>
              <w:pStyle w:val="TableParagraph"/>
              <w:spacing w:line="198" w:lineRule="exact"/>
              <w:ind w:right="236"/>
              <w:jc w:val="right"/>
              <w:rPr>
                <w:sz w:val="17"/>
              </w:rPr>
            </w:pPr>
            <w:r>
              <w:rPr>
                <w:color w:val="231F20"/>
                <w:sz w:val="17"/>
              </w:rPr>
              <w:t>12.2</w:t>
            </w:r>
          </w:p>
        </w:tc>
        <w:tc>
          <w:tcPr>
            <w:tcW w:w="853" w:type="dxa"/>
          </w:tcPr>
          <w:p>
            <w:pPr>
              <w:pStyle w:val="TableParagraph"/>
              <w:spacing w:line="198" w:lineRule="exact"/>
              <w:ind w:left="238"/>
              <w:jc w:val="left"/>
              <w:rPr>
                <w:sz w:val="17"/>
              </w:rPr>
            </w:pPr>
            <w:r>
              <w:rPr>
                <w:color w:val="231F20"/>
                <w:w w:val="105"/>
                <w:sz w:val="17"/>
              </w:rPr>
              <w:t>73.1</w:t>
            </w:r>
          </w:p>
        </w:tc>
        <w:tc>
          <w:tcPr>
            <w:tcW w:w="984" w:type="dxa"/>
          </w:tcPr>
          <w:p>
            <w:pPr>
              <w:pStyle w:val="TableParagraph"/>
              <w:spacing w:line="198" w:lineRule="exact"/>
              <w:ind w:right="367"/>
              <w:jc w:val="right"/>
              <w:rPr>
                <w:sz w:val="17"/>
              </w:rPr>
            </w:pPr>
            <w:r>
              <w:rPr>
                <w:color w:val="231F20"/>
                <w:sz w:val="17"/>
              </w:rPr>
              <w:t>13.2</w:t>
            </w:r>
          </w:p>
        </w:tc>
        <w:tc>
          <w:tcPr>
            <w:tcW w:w="926" w:type="dxa"/>
          </w:tcPr>
          <w:p>
            <w:pPr>
              <w:pStyle w:val="TableParagraph"/>
              <w:spacing w:line="198" w:lineRule="exact"/>
              <w:ind w:right="317"/>
              <w:jc w:val="right"/>
              <w:rPr>
                <w:sz w:val="17"/>
              </w:rPr>
            </w:pPr>
            <w:r>
              <w:rPr>
                <w:color w:val="231F20"/>
                <w:w w:val="105"/>
                <w:sz w:val="17"/>
              </w:rPr>
              <w:t>1.5</w:t>
            </w:r>
          </w:p>
        </w:tc>
        <w:tc>
          <w:tcPr>
            <w:tcW w:w="841" w:type="dxa"/>
          </w:tcPr>
          <w:p>
            <w:pPr>
              <w:pStyle w:val="TableParagraph"/>
              <w:spacing w:line="198" w:lineRule="exact"/>
              <w:ind w:right="231"/>
              <w:jc w:val="right"/>
              <w:rPr>
                <w:sz w:val="17"/>
              </w:rPr>
            </w:pPr>
            <w:r>
              <w:rPr>
                <w:color w:val="231F20"/>
                <w:sz w:val="17"/>
              </w:rPr>
              <w:t>100</w:t>
            </w:r>
          </w:p>
        </w:tc>
        <w:tc>
          <w:tcPr>
            <w:tcW w:w="811" w:type="dxa"/>
          </w:tcPr>
          <w:p>
            <w:pPr>
              <w:pStyle w:val="TableParagraph"/>
              <w:spacing w:line="198" w:lineRule="exact"/>
              <w:ind w:left="214" w:right="223"/>
              <w:rPr>
                <w:sz w:val="17"/>
              </w:rPr>
            </w:pPr>
            <w:r>
              <w:rPr>
                <w:color w:val="231F20"/>
                <w:w w:val="105"/>
                <w:sz w:val="17"/>
              </w:rPr>
              <w:t>18.7</w:t>
            </w:r>
          </w:p>
        </w:tc>
        <w:tc>
          <w:tcPr>
            <w:tcW w:w="886" w:type="dxa"/>
          </w:tcPr>
          <w:p>
            <w:pPr>
              <w:pStyle w:val="TableParagraph"/>
              <w:spacing w:line="198" w:lineRule="exact"/>
              <w:ind w:left="225" w:right="286"/>
              <w:rPr>
                <w:sz w:val="17"/>
              </w:rPr>
            </w:pPr>
            <w:r>
              <w:rPr>
                <w:color w:val="231F20"/>
                <w:w w:val="105"/>
                <w:sz w:val="17"/>
              </w:rPr>
              <w:t>55.3</w:t>
            </w:r>
          </w:p>
        </w:tc>
        <w:tc>
          <w:tcPr>
            <w:tcW w:w="1024" w:type="dxa"/>
          </w:tcPr>
          <w:p>
            <w:pPr>
              <w:pStyle w:val="TableParagraph"/>
              <w:spacing w:line="198" w:lineRule="exact"/>
              <w:ind w:left="289" w:right="361"/>
              <w:rPr>
                <w:sz w:val="17"/>
              </w:rPr>
            </w:pPr>
            <w:r>
              <w:rPr>
                <w:color w:val="231F20"/>
                <w:w w:val="105"/>
                <w:sz w:val="17"/>
              </w:rPr>
              <w:t>23.7</w:t>
            </w:r>
          </w:p>
        </w:tc>
        <w:tc>
          <w:tcPr>
            <w:tcW w:w="938" w:type="dxa"/>
          </w:tcPr>
          <w:p>
            <w:pPr>
              <w:pStyle w:val="TableParagraph"/>
              <w:spacing w:line="198" w:lineRule="exact"/>
              <w:ind w:right="316"/>
              <w:jc w:val="right"/>
              <w:rPr>
                <w:sz w:val="17"/>
              </w:rPr>
            </w:pPr>
            <w:r>
              <w:rPr>
                <w:color w:val="231F20"/>
                <w:w w:val="105"/>
                <w:sz w:val="17"/>
              </w:rPr>
              <w:t>2.3</w:t>
            </w:r>
          </w:p>
        </w:tc>
        <w:tc>
          <w:tcPr>
            <w:tcW w:w="853" w:type="dxa"/>
          </w:tcPr>
          <w:p>
            <w:pPr>
              <w:pStyle w:val="TableParagraph"/>
              <w:spacing w:line="198" w:lineRule="exact"/>
              <w:ind w:right="244"/>
              <w:jc w:val="right"/>
              <w:rPr>
                <w:sz w:val="17"/>
              </w:rPr>
            </w:pPr>
            <w:r>
              <w:rPr>
                <w:color w:val="231F20"/>
                <w:sz w:val="17"/>
              </w:rPr>
              <w:t>100</w:t>
            </w:r>
          </w:p>
        </w:tc>
      </w:tr>
      <w:tr>
        <w:trPr>
          <w:trHeight w:val="210" w:hRule="exact"/>
        </w:trPr>
        <w:tc>
          <w:tcPr>
            <w:tcW w:w="1590" w:type="dxa"/>
          </w:tcPr>
          <w:p>
            <w:pPr>
              <w:pStyle w:val="TableParagraph"/>
              <w:ind w:left="35"/>
              <w:jc w:val="left"/>
              <w:rPr>
                <w:sz w:val="17"/>
              </w:rPr>
            </w:pPr>
            <w:r>
              <w:rPr>
                <w:color w:val="231F20"/>
                <w:w w:val="105"/>
                <w:sz w:val="17"/>
              </w:rPr>
              <w:t>Puebla</w:t>
            </w:r>
          </w:p>
        </w:tc>
        <w:tc>
          <w:tcPr>
            <w:tcW w:w="910" w:type="dxa"/>
          </w:tcPr>
          <w:p>
            <w:pPr>
              <w:pStyle w:val="TableParagraph"/>
              <w:ind w:right="236"/>
              <w:jc w:val="right"/>
              <w:rPr>
                <w:sz w:val="17"/>
              </w:rPr>
            </w:pPr>
            <w:r>
              <w:rPr>
                <w:color w:val="231F20"/>
                <w:sz w:val="17"/>
              </w:rPr>
              <w:t>12.7</w:t>
            </w:r>
          </w:p>
        </w:tc>
        <w:tc>
          <w:tcPr>
            <w:tcW w:w="853" w:type="dxa"/>
          </w:tcPr>
          <w:p>
            <w:pPr>
              <w:pStyle w:val="TableParagraph"/>
              <w:ind w:left="238"/>
              <w:jc w:val="left"/>
              <w:rPr>
                <w:sz w:val="17"/>
              </w:rPr>
            </w:pPr>
            <w:r>
              <w:rPr>
                <w:color w:val="231F20"/>
                <w:w w:val="105"/>
                <w:sz w:val="17"/>
              </w:rPr>
              <w:t>72.7</w:t>
            </w:r>
          </w:p>
        </w:tc>
        <w:tc>
          <w:tcPr>
            <w:tcW w:w="984" w:type="dxa"/>
          </w:tcPr>
          <w:p>
            <w:pPr>
              <w:pStyle w:val="TableParagraph"/>
              <w:ind w:right="367"/>
              <w:jc w:val="right"/>
              <w:rPr>
                <w:sz w:val="17"/>
              </w:rPr>
            </w:pPr>
            <w:r>
              <w:rPr>
                <w:color w:val="231F20"/>
                <w:sz w:val="17"/>
              </w:rPr>
              <w:t>13.2</w:t>
            </w:r>
          </w:p>
        </w:tc>
        <w:tc>
          <w:tcPr>
            <w:tcW w:w="926" w:type="dxa"/>
          </w:tcPr>
          <w:p>
            <w:pPr>
              <w:pStyle w:val="TableParagraph"/>
              <w:ind w:right="317"/>
              <w:jc w:val="right"/>
              <w:rPr>
                <w:sz w:val="17"/>
              </w:rPr>
            </w:pPr>
            <w:r>
              <w:rPr>
                <w:color w:val="231F20"/>
                <w:w w:val="105"/>
                <w:sz w:val="17"/>
              </w:rPr>
              <w:t>1.4</w:t>
            </w:r>
          </w:p>
        </w:tc>
        <w:tc>
          <w:tcPr>
            <w:tcW w:w="841" w:type="dxa"/>
          </w:tcPr>
          <w:p>
            <w:pPr>
              <w:pStyle w:val="TableParagraph"/>
              <w:ind w:right="231"/>
              <w:jc w:val="right"/>
              <w:rPr>
                <w:sz w:val="17"/>
              </w:rPr>
            </w:pPr>
            <w:r>
              <w:rPr>
                <w:color w:val="231F20"/>
                <w:sz w:val="17"/>
              </w:rPr>
              <w:t>100</w:t>
            </w:r>
          </w:p>
        </w:tc>
        <w:tc>
          <w:tcPr>
            <w:tcW w:w="811" w:type="dxa"/>
          </w:tcPr>
          <w:p>
            <w:pPr>
              <w:pStyle w:val="TableParagraph"/>
              <w:ind w:left="214" w:right="223"/>
              <w:rPr>
                <w:sz w:val="17"/>
              </w:rPr>
            </w:pPr>
            <w:r>
              <w:rPr>
                <w:color w:val="231F20"/>
                <w:w w:val="105"/>
                <w:sz w:val="17"/>
              </w:rPr>
              <w:t>18.4</w:t>
            </w:r>
          </w:p>
        </w:tc>
        <w:tc>
          <w:tcPr>
            <w:tcW w:w="886" w:type="dxa"/>
          </w:tcPr>
          <w:p>
            <w:pPr>
              <w:pStyle w:val="TableParagraph"/>
              <w:ind w:left="225" w:right="286"/>
              <w:rPr>
                <w:sz w:val="17"/>
              </w:rPr>
            </w:pPr>
            <w:r>
              <w:rPr>
                <w:color w:val="231F20"/>
                <w:w w:val="105"/>
                <w:sz w:val="17"/>
              </w:rPr>
              <w:t>46.3</w:t>
            </w:r>
          </w:p>
        </w:tc>
        <w:tc>
          <w:tcPr>
            <w:tcW w:w="1024" w:type="dxa"/>
          </w:tcPr>
          <w:p>
            <w:pPr>
              <w:pStyle w:val="TableParagraph"/>
              <w:ind w:left="289" w:right="361"/>
              <w:rPr>
                <w:sz w:val="17"/>
              </w:rPr>
            </w:pPr>
            <w:r>
              <w:rPr>
                <w:color w:val="231F20"/>
                <w:w w:val="105"/>
                <w:sz w:val="17"/>
              </w:rPr>
              <w:t>32.5</w:t>
            </w:r>
          </w:p>
        </w:tc>
        <w:tc>
          <w:tcPr>
            <w:tcW w:w="938" w:type="dxa"/>
          </w:tcPr>
          <w:p>
            <w:pPr>
              <w:pStyle w:val="TableParagraph"/>
              <w:ind w:right="316"/>
              <w:jc w:val="right"/>
              <w:rPr>
                <w:sz w:val="17"/>
              </w:rPr>
            </w:pPr>
            <w:r>
              <w:rPr>
                <w:color w:val="231F20"/>
                <w:w w:val="105"/>
                <w:sz w:val="17"/>
              </w:rPr>
              <w:t>2.8</w:t>
            </w:r>
          </w:p>
        </w:tc>
        <w:tc>
          <w:tcPr>
            <w:tcW w:w="853" w:type="dxa"/>
          </w:tcPr>
          <w:p>
            <w:pPr>
              <w:pStyle w:val="TableParagraph"/>
              <w:ind w:right="244"/>
              <w:jc w:val="right"/>
              <w:rPr>
                <w:sz w:val="17"/>
              </w:rPr>
            </w:pPr>
            <w:r>
              <w:rPr>
                <w:color w:val="231F20"/>
                <w:sz w:val="17"/>
              </w:rPr>
              <w:t>100</w:t>
            </w:r>
          </w:p>
        </w:tc>
      </w:tr>
      <w:tr>
        <w:trPr>
          <w:trHeight w:val="210" w:hRule="exact"/>
        </w:trPr>
        <w:tc>
          <w:tcPr>
            <w:tcW w:w="1590" w:type="dxa"/>
          </w:tcPr>
          <w:p>
            <w:pPr>
              <w:pStyle w:val="TableParagraph"/>
              <w:ind w:left="35"/>
              <w:jc w:val="left"/>
              <w:rPr>
                <w:sz w:val="17"/>
              </w:rPr>
            </w:pPr>
            <w:r>
              <w:rPr>
                <w:color w:val="231F20"/>
                <w:w w:val="110"/>
                <w:sz w:val="17"/>
              </w:rPr>
              <w:t>Querétaro</w:t>
            </w:r>
          </w:p>
        </w:tc>
        <w:tc>
          <w:tcPr>
            <w:tcW w:w="910" w:type="dxa"/>
          </w:tcPr>
          <w:p>
            <w:pPr>
              <w:pStyle w:val="TableParagraph"/>
              <w:ind w:right="236"/>
              <w:jc w:val="right"/>
              <w:rPr>
                <w:sz w:val="17"/>
              </w:rPr>
            </w:pPr>
            <w:r>
              <w:rPr>
                <w:color w:val="231F20"/>
                <w:sz w:val="17"/>
              </w:rPr>
              <w:t>12.7</w:t>
            </w:r>
          </w:p>
        </w:tc>
        <w:tc>
          <w:tcPr>
            <w:tcW w:w="853" w:type="dxa"/>
          </w:tcPr>
          <w:p>
            <w:pPr>
              <w:pStyle w:val="TableParagraph"/>
              <w:ind w:left="238"/>
              <w:jc w:val="left"/>
              <w:rPr>
                <w:sz w:val="17"/>
              </w:rPr>
            </w:pPr>
            <w:r>
              <w:rPr>
                <w:color w:val="231F20"/>
                <w:w w:val="105"/>
                <w:sz w:val="17"/>
              </w:rPr>
              <w:t>81.7</w:t>
            </w:r>
          </w:p>
        </w:tc>
        <w:tc>
          <w:tcPr>
            <w:tcW w:w="984" w:type="dxa"/>
          </w:tcPr>
          <w:p>
            <w:pPr>
              <w:pStyle w:val="TableParagraph"/>
              <w:ind w:right="367"/>
              <w:jc w:val="right"/>
              <w:rPr>
                <w:sz w:val="17"/>
              </w:rPr>
            </w:pPr>
            <w:r>
              <w:rPr>
                <w:color w:val="231F20"/>
                <w:w w:val="105"/>
                <w:sz w:val="17"/>
              </w:rPr>
              <w:t>4.5</w:t>
            </w:r>
          </w:p>
        </w:tc>
        <w:tc>
          <w:tcPr>
            <w:tcW w:w="926" w:type="dxa"/>
          </w:tcPr>
          <w:p>
            <w:pPr>
              <w:pStyle w:val="TableParagraph"/>
              <w:ind w:right="317"/>
              <w:jc w:val="right"/>
              <w:rPr>
                <w:sz w:val="17"/>
              </w:rPr>
            </w:pPr>
            <w:r>
              <w:rPr>
                <w:color w:val="231F20"/>
                <w:w w:val="105"/>
                <w:sz w:val="17"/>
              </w:rPr>
              <w:t>1.0</w:t>
            </w:r>
          </w:p>
        </w:tc>
        <w:tc>
          <w:tcPr>
            <w:tcW w:w="841" w:type="dxa"/>
          </w:tcPr>
          <w:p>
            <w:pPr>
              <w:pStyle w:val="TableParagraph"/>
              <w:ind w:right="231"/>
              <w:jc w:val="right"/>
              <w:rPr>
                <w:sz w:val="17"/>
              </w:rPr>
            </w:pPr>
            <w:r>
              <w:rPr>
                <w:color w:val="231F20"/>
                <w:sz w:val="17"/>
              </w:rPr>
              <w:t>100</w:t>
            </w:r>
          </w:p>
        </w:tc>
        <w:tc>
          <w:tcPr>
            <w:tcW w:w="811" w:type="dxa"/>
          </w:tcPr>
          <w:p>
            <w:pPr>
              <w:pStyle w:val="TableParagraph"/>
              <w:ind w:left="214" w:right="223"/>
              <w:rPr>
                <w:sz w:val="17"/>
              </w:rPr>
            </w:pPr>
            <w:r>
              <w:rPr>
                <w:color w:val="231F20"/>
                <w:w w:val="105"/>
                <w:sz w:val="17"/>
              </w:rPr>
              <w:t>20.0</w:t>
            </w:r>
          </w:p>
        </w:tc>
        <w:tc>
          <w:tcPr>
            <w:tcW w:w="886" w:type="dxa"/>
          </w:tcPr>
          <w:p>
            <w:pPr>
              <w:pStyle w:val="TableParagraph"/>
              <w:ind w:left="225" w:right="286"/>
              <w:rPr>
                <w:sz w:val="17"/>
              </w:rPr>
            </w:pPr>
            <w:r>
              <w:rPr>
                <w:color w:val="231F20"/>
                <w:w w:val="105"/>
                <w:sz w:val="17"/>
              </w:rPr>
              <w:t>57.8</w:t>
            </w:r>
          </w:p>
        </w:tc>
        <w:tc>
          <w:tcPr>
            <w:tcW w:w="1024" w:type="dxa"/>
          </w:tcPr>
          <w:p>
            <w:pPr>
              <w:pStyle w:val="TableParagraph"/>
              <w:ind w:left="289" w:right="361"/>
              <w:rPr>
                <w:sz w:val="17"/>
              </w:rPr>
            </w:pPr>
            <w:r>
              <w:rPr>
                <w:color w:val="231F20"/>
                <w:w w:val="105"/>
                <w:sz w:val="17"/>
              </w:rPr>
              <w:t>19.2</w:t>
            </w:r>
          </w:p>
        </w:tc>
        <w:tc>
          <w:tcPr>
            <w:tcW w:w="938" w:type="dxa"/>
          </w:tcPr>
          <w:p>
            <w:pPr>
              <w:pStyle w:val="TableParagraph"/>
              <w:ind w:right="316"/>
              <w:jc w:val="right"/>
              <w:rPr>
                <w:sz w:val="17"/>
              </w:rPr>
            </w:pPr>
            <w:r>
              <w:rPr>
                <w:color w:val="231F20"/>
                <w:w w:val="105"/>
                <w:sz w:val="17"/>
              </w:rPr>
              <w:t>3.0</w:t>
            </w:r>
          </w:p>
        </w:tc>
        <w:tc>
          <w:tcPr>
            <w:tcW w:w="853" w:type="dxa"/>
          </w:tcPr>
          <w:p>
            <w:pPr>
              <w:pStyle w:val="TableParagraph"/>
              <w:ind w:right="244"/>
              <w:jc w:val="right"/>
              <w:rPr>
                <w:sz w:val="17"/>
              </w:rPr>
            </w:pPr>
            <w:r>
              <w:rPr>
                <w:color w:val="231F20"/>
                <w:sz w:val="17"/>
              </w:rPr>
              <w:t>100</w:t>
            </w:r>
          </w:p>
        </w:tc>
      </w:tr>
      <w:tr>
        <w:trPr>
          <w:trHeight w:val="210" w:hRule="exact"/>
        </w:trPr>
        <w:tc>
          <w:tcPr>
            <w:tcW w:w="1590" w:type="dxa"/>
          </w:tcPr>
          <w:p>
            <w:pPr>
              <w:pStyle w:val="TableParagraph"/>
              <w:ind w:left="35"/>
              <w:jc w:val="left"/>
              <w:rPr>
                <w:sz w:val="17"/>
              </w:rPr>
            </w:pPr>
            <w:r>
              <w:rPr>
                <w:color w:val="231F20"/>
                <w:w w:val="110"/>
                <w:sz w:val="17"/>
              </w:rPr>
              <w:t>Quintana Roo</w:t>
            </w:r>
          </w:p>
        </w:tc>
        <w:tc>
          <w:tcPr>
            <w:tcW w:w="910" w:type="dxa"/>
          </w:tcPr>
          <w:p>
            <w:pPr>
              <w:pStyle w:val="TableParagraph"/>
              <w:ind w:right="236"/>
              <w:jc w:val="right"/>
              <w:rPr>
                <w:sz w:val="17"/>
              </w:rPr>
            </w:pPr>
            <w:r>
              <w:rPr>
                <w:color w:val="231F20"/>
                <w:sz w:val="17"/>
              </w:rPr>
              <w:t>11.4</w:t>
            </w:r>
          </w:p>
        </w:tc>
        <w:tc>
          <w:tcPr>
            <w:tcW w:w="853" w:type="dxa"/>
          </w:tcPr>
          <w:p>
            <w:pPr>
              <w:pStyle w:val="TableParagraph"/>
              <w:ind w:left="238"/>
              <w:jc w:val="left"/>
              <w:rPr>
                <w:sz w:val="17"/>
              </w:rPr>
            </w:pPr>
            <w:r>
              <w:rPr>
                <w:color w:val="231F20"/>
                <w:w w:val="105"/>
                <w:sz w:val="17"/>
              </w:rPr>
              <w:t>74.2</w:t>
            </w:r>
          </w:p>
        </w:tc>
        <w:tc>
          <w:tcPr>
            <w:tcW w:w="984" w:type="dxa"/>
          </w:tcPr>
          <w:p>
            <w:pPr>
              <w:pStyle w:val="TableParagraph"/>
              <w:ind w:right="367"/>
              <w:jc w:val="right"/>
              <w:rPr>
                <w:sz w:val="17"/>
              </w:rPr>
            </w:pPr>
            <w:r>
              <w:rPr>
                <w:color w:val="231F20"/>
                <w:sz w:val="17"/>
              </w:rPr>
              <w:t>12.7</w:t>
            </w:r>
          </w:p>
        </w:tc>
        <w:tc>
          <w:tcPr>
            <w:tcW w:w="926" w:type="dxa"/>
          </w:tcPr>
          <w:p>
            <w:pPr>
              <w:pStyle w:val="TableParagraph"/>
              <w:ind w:right="317"/>
              <w:jc w:val="right"/>
              <w:rPr>
                <w:sz w:val="17"/>
              </w:rPr>
            </w:pPr>
            <w:r>
              <w:rPr>
                <w:color w:val="231F20"/>
                <w:w w:val="105"/>
                <w:sz w:val="17"/>
              </w:rPr>
              <w:t>1.8</w:t>
            </w:r>
          </w:p>
        </w:tc>
        <w:tc>
          <w:tcPr>
            <w:tcW w:w="841" w:type="dxa"/>
          </w:tcPr>
          <w:p>
            <w:pPr>
              <w:pStyle w:val="TableParagraph"/>
              <w:ind w:right="231"/>
              <w:jc w:val="right"/>
              <w:rPr>
                <w:sz w:val="17"/>
              </w:rPr>
            </w:pPr>
            <w:r>
              <w:rPr>
                <w:color w:val="231F20"/>
                <w:sz w:val="17"/>
              </w:rPr>
              <w:t>100</w:t>
            </w:r>
          </w:p>
        </w:tc>
        <w:tc>
          <w:tcPr>
            <w:tcW w:w="811" w:type="dxa"/>
          </w:tcPr>
          <w:p>
            <w:pPr>
              <w:pStyle w:val="TableParagraph"/>
              <w:ind w:left="214" w:right="223"/>
              <w:rPr>
                <w:sz w:val="17"/>
              </w:rPr>
            </w:pPr>
            <w:r>
              <w:rPr>
                <w:color w:val="231F20"/>
                <w:w w:val="105"/>
                <w:sz w:val="17"/>
              </w:rPr>
              <w:t>18.9</w:t>
            </w:r>
          </w:p>
        </w:tc>
        <w:tc>
          <w:tcPr>
            <w:tcW w:w="886" w:type="dxa"/>
          </w:tcPr>
          <w:p>
            <w:pPr>
              <w:pStyle w:val="TableParagraph"/>
              <w:ind w:left="225" w:right="286"/>
              <w:rPr>
                <w:sz w:val="17"/>
              </w:rPr>
            </w:pPr>
            <w:r>
              <w:rPr>
                <w:color w:val="231F20"/>
                <w:w w:val="105"/>
                <w:sz w:val="17"/>
              </w:rPr>
              <w:t>47.8</w:t>
            </w:r>
          </w:p>
        </w:tc>
        <w:tc>
          <w:tcPr>
            <w:tcW w:w="1024" w:type="dxa"/>
          </w:tcPr>
          <w:p>
            <w:pPr>
              <w:pStyle w:val="TableParagraph"/>
              <w:ind w:left="289" w:right="361"/>
              <w:rPr>
                <w:sz w:val="17"/>
              </w:rPr>
            </w:pPr>
            <w:r>
              <w:rPr>
                <w:color w:val="231F20"/>
                <w:w w:val="105"/>
                <w:sz w:val="17"/>
              </w:rPr>
              <w:t>28.5</w:t>
            </w:r>
          </w:p>
        </w:tc>
        <w:tc>
          <w:tcPr>
            <w:tcW w:w="938" w:type="dxa"/>
          </w:tcPr>
          <w:p>
            <w:pPr>
              <w:pStyle w:val="TableParagraph"/>
              <w:ind w:right="316"/>
              <w:jc w:val="right"/>
              <w:rPr>
                <w:sz w:val="17"/>
              </w:rPr>
            </w:pPr>
            <w:r>
              <w:rPr>
                <w:color w:val="231F20"/>
                <w:w w:val="105"/>
                <w:sz w:val="17"/>
              </w:rPr>
              <w:t>4.8</w:t>
            </w:r>
          </w:p>
        </w:tc>
        <w:tc>
          <w:tcPr>
            <w:tcW w:w="853" w:type="dxa"/>
          </w:tcPr>
          <w:p>
            <w:pPr>
              <w:pStyle w:val="TableParagraph"/>
              <w:ind w:right="244"/>
              <w:jc w:val="right"/>
              <w:rPr>
                <w:sz w:val="17"/>
              </w:rPr>
            </w:pPr>
            <w:r>
              <w:rPr>
                <w:color w:val="231F20"/>
                <w:sz w:val="17"/>
              </w:rPr>
              <w:t>100</w:t>
            </w:r>
          </w:p>
        </w:tc>
      </w:tr>
      <w:tr>
        <w:trPr>
          <w:trHeight w:val="210" w:hRule="exact"/>
        </w:trPr>
        <w:tc>
          <w:tcPr>
            <w:tcW w:w="1590" w:type="dxa"/>
          </w:tcPr>
          <w:p>
            <w:pPr>
              <w:pStyle w:val="TableParagraph"/>
              <w:ind w:left="35"/>
              <w:jc w:val="left"/>
              <w:rPr>
                <w:sz w:val="17"/>
              </w:rPr>
            </w:pPr>
            <w:r>
              <w:rPr>
                <w:color w:val="231F20"/>
                <w:w w:val="110"/>
                <w:sz w:val="17"/>
              </w:rPr>
              <w:t>San Luis Potosí</w:t>
            </w:r>
          </w:p>
        </w:tc>
        <w:tc>
          <w:tcPr>
            <w:tcW w:w="910" w:type="dxa"/>
          </w:tcPr>
          <w:p>
            <w:pPr>
              <w:pStyle w:val="TableParagraph"/>
              <w:ind w:right="236"/>
              <w:jc w:val="right"/>
              <w:rPr>
                <w:sz w:val="17"/>
              </w:rPr>
            </w:pPr>
            <w:r>
              <w:rPr>
                <w:color w:val="231F20"/>
                <w:sz w:val="17"/>
              </w:rPr>
              <w:t>14.1</w:t>
            </w:r>
          </w:p>
        </w:tc>
        <w:tc>
          <w:tcPr>
            <w:tcW w:w="853" w:type="dxa"/>
          </w:tcPr>
          <w:p>
            <w:pPr>
              <w:pStyle w:val="TableParagraph"/>
              <w:ind w:left="238"/>
              <w:jc w:val="left"/>
              <w:rPr>
                <w:sz w:val="17"/>
              </w:rPr>
            </w:pPr>
            <w:r>
              <w:rPr>
                <w:color w:val="231F20"/>
                <w:w w:val="105"/>
                <w:sz w:val="17"/>
              </w:rPr>
              <w:t>78.1</w:t>
            </w:r>
          </w:p>
        </w:tc>
        <w:tc>
          <w:tcPr>
            <w:tcW w:w="984" w:type="dxa"/>
          </w:tcPr>
          <w:p>
            <w:pPr>
              <w:pStyle w:val="TableParagraph"/>
              <w:ind w:right="367"/>
              <w:jc w:val="right"/>
              <w:rPr>
                <w:sz w:val="17"/>
              </w:rPr>
            </w:pPr>
            <w:r>
              <w:rPr>
                <w:color w:val="231F20"/>
                <w:w w:val="105"/>
                <w:sz w:val="17"/>
              </w:rPr>
              <w:t>6.5</w:t>
            </w:r>
          </w:p>
        </w:tc>
        <w:tc>
          <w:tcPr>
            <w:tcW w:w="926" w:type="dxa"/>
          </w:tcPr>
          <w:p>
            <w:pPr>
              <w:pStyle w:val="TableParagraph"/>
              <w:ind w:right="317"/>
              <w:jc w:val="right"/>
              <w:rPr>
                <w:sz w:val="17"/>
              </w:rPr>
            </w:pPr>
            <w:r>
              <w:rPr>
                <w:color w:val="231F20"/>
                <w:w w:val="105"/>
                <w:sz w:val="17"/>
              </w:rPr>
              <w:t>1.3</w:t>
            </w:r>
          </w:p>
        </w:tc>
        <w:tc>
          <w:tcPr>
            <w:tcW w:w="841" w:type="dxa"/>
          </w:tcPr>
          <w:p>
            <w:pPr>
              <w:pStyle w:val="TableParagraph"/>
              <w:ind w:right="231"/>
              <w:jc w:val="right"/>
              <w:rPr>
                <w:sz w:val="17"/>
              </w:rPr>
            </w:pPr>
            <w:r>
              <w:rPr>
                <w:color w:val="231F20"/>
                <w:sz w:val="17"/>
              </w:rPr>
              <w:t>100</w:t>
            </w:r>
          </w:p>
        </w:tc>
        <w:tc>
          <w:tcPr>
            <w:tcW w:w="811" w:type="dxa"/>
          </w:tcPr>
          <w:p>
            <w:pPr>
              <w:pStyle w:val="TableParagraph"/>
              <w:ind w:left="214" w:right="223"/>
              <w:rPr>
                <w:sz w:val="17"/>
              </w:rPr>
            </w:pPr>
            <w:r>
              <w:rPr>
                <w:color w:val="231F20"/>
                <w:w w:val="105"/>
                <w:sz w:val="17"/>
              </w:rPr>
              <w:t>19.3</w:t>
            </w:r>
          </w:p>
        </w:tc>
        <w:tc>
          <w:tcPr>
            <w:tcW w:w="886" w:type="dxa"/>
          </w:tcPr>
          <w:p>
            <w:pPr>
              <w:pStyle w:val="TableParagraph"/>
              <w:ind w:left="225" w:right="286"/>
              <w:rPr>
                <w:sz w:val="17"/>
              </w:rPr>
            </w:pPr>
            <w:r>
              <w:rPr>
                <w:color w:val="231F20"/>
                <w:w w:val="105"/>
                <w:sz w:val="17"/>
              </w:rPr>
              <w:t>57.9</w:t>
            </w:r>
          </w:p>
        </w:tc>
        <w:tc>
          <w:tcPr>
            <w:tcW w:w="1024" w:type="dxa"/>
          </w:tcPr>
          <w:p>
            <w:pPr>
              <w:pStyle w:val="TableParagraph"/>
              <w:ind w:left="289" w:right="361"/>
              <w:rPr>
                <w:sz w:val="17"/>
              </w:rPr>
            </w:pPr>
            <w:r>
              <w:rPr>
                <w:color w:val="231F20"/>
                <w:w w:val="105"/>
                <w:sz w:val="17"/>
              </w:rPr>
              <w:t>19.5</w:t>
            </w:r>
          </w:p>
        </w:tc>
        <w:tc>
          <w:tcPr>
            <w:tcW w:w="938" w:type="dxa"/>
          </w:tcPr>
          <w:p>
            <w:pPr>
              <w:pStyle w:val="TableParagraph"/>
              <w:ind w:right="316"/>
              <w:jc w:val="right"/>
              <w:rPr>
                <w:sz w:val="17"/>
              </w:rPr>
            </w:pPr>
            <w:r>
              <w:rPr>
                <w:color w:val="231F20"/>
                <w:w w:val="105"/>
                <w:sz w:val="17"/>
              </w:rPr>
              <w:t>3.3</w:t>
            </w:r>
          </w:p>
        </w:tc>
        <w:tc>
          <w:tcPr>
            <w:tcW w:w="853" w:type="dxa"/>
          </w:tcPr>
          <w:p>
            <w:pPr>
              <w:pStyle w:val="TableParagraph"/>
              <w:ind w:right="244"/>
              <w:jc w:val="right"/>
              <w:rPr>
                <w:sz w:val="17"/>
              </w:rPr>
            </w:pPr>
            <w:r>
              <w:rPr>
                <w:color w:val="231F20"/>
                <w:sz w:val="17"/>
              </w:rPr>
              <w:t>100</w:t>
            </w:r>
          </w:p>
        </w:tc>
      </w:tr>
      <w:tr>
        <w:trPr>
          <w:trHeight w:val="210" w:hRule="exact"/>
        </w:trPr>
        <w:tc>
          <w:tcPr>
            <w:tcW w:w="1590" w:type="dxa"/>
          </w:tcPr>
          <w:p>
            <w:pPr>
              <w:pStyle w:val="TableParagraph"/>
              <w:ind w:left="35"/>
              <w:jc w:val="left"/>
              <w:rPr>
                <w:sz w:val="17"/>
              </w:rPr>
            </w:pPr>
            <w:r>
              <w:rPr>
                <w:color w:val="231F20"/>
                <w:w w:val="110"/>
                <w:sz w:val="17"/>
              </w:rPr>
              <w:t>Sinaloa</w:t>
            </w:r>
          </w:p>
        </w:tc>
        <w:tc>
          <w:tcPr>
            <w:tcW w:w="910" w:type="dxa"/>
          </w:tcPr>
          <w:p>
            <w:pPr>
              <w:pStyle w:val="TableParagraph"/>
              <w:ind w:right="236"/>
              <w:jc w:val="right"/>
              <w:rPr>
                <w:sz w:val="17"/>
              </w:rPr>
            </w:pPr>
            <w:r>
              <w:rPr>
                <w:color w:val="231F20"/>
                <w:sz w:val="17"/>
              </w:rPr>
              <w:t>15.7</w:t>
            </w:r>
          </w:p>
        </w:tc>
        <w:tc>
          <w:tcPr>
            <w:tcW w:w="853" w:type="dxa"/>
          </w:tcPr>
          <w:p>
            <w:pPr>
              <w:pStyle w:val="TableParagraph"/>
              <w:ind w:left="238"/>
              <w:jc w:val="left"/>
              <w:rPr>
                <w:sz w:val="17"/>
              </w:rPr>
            </w:pPr>
            <w:r>
              <w:rPr>
                <w:color w:val="231F20"/>
                <w:w w:val="105"/>
                <w:sz w:val="17"/>
              </w:rPr>
              <w:t>65.5</w:t>
            </w:r>
          </w:p>
        </w:tc>
        <w:tc>
          <w:tcPr>
            <w:tcW w:w="984" w:type="dxa"/>
          </w:tcPr>
          <w:p>
            <w:pPr>
              <w:pStyle w:val="TableParagraph"/>
              <w:ind w:right="367"/>
              <w:jc w:val="right"/>
              <w:rPr>
                <w:sz w:val="17"/>
              </w:rPr>
            </w:pPr>
            <w:r>
              <w:rPr>
                <w:color w:val="231F20"/>
                <w:sz w:val="17"/>
              </w:rPr>
              <w:t>17.3</w:t>
            </w:r>
          </w:p>
        </w:tc>
        <w:tc>
          <w:tcPr>
            <w:tcW w:w="926" w:type="dxa"/>
          </w:tcPr>
          <w:p>
            <w:pPr>
              <w:pStyle w:val="TableParagraph"/>
              <w:ind w:right="317"/>
              <w:jc w:val="right"/>
              <w:rPr>
                <w:sz w:val="17"/>
              </w:rPr>
            </w:pPr>
            <w:r>
              <w:rPr>
                <w:color w:val="231F20"/>
                <w:w w:val="105"/>
                <w:sz w:val="17"/>
              </w:rPr>
              <w:t>1.5</w:t>
            </w:r>
          </w:p>
        </w:tc>
        <w:tc>
          <w:tcPr>
            <w:tcW w:w="841" w:type="dxa"/>
          </w:tcPr>
          <w:p>
            <w:pPr>
              <w:pStyle w:val="TableParagraph"/>
              <w:ind w:right="231"/>
              <w:jc w:val="right"/>
              <w:rPr>
                <w:sz w:val="17"/>
              </w:rPr>
            </w:pPr>
            <w:r>
              <w:rPr>
                <w:color w:val="231F20"/>
                <w:sz w:val="17"/>
              </w:rPr>
              <w:t>100</w:t>
            </w:r>
          </w:p>
        </w:tc>
        <w:tc>
          <w:tcPr>
            <w:tcW w:w="811" w:type="dxa"/>
          </w:tcPr>
          <w:p>
            <w:pPr>
              <w:pStyle w:val="TableParagraph"/>
              <w:ind w:left="214" w:right="223"/>
              <w:rPr>
                <w:sz w:val="17"/>
              </w:rPr>
            </w:pPr>
            <w:r>
              <w:rPr>
                <w:color w:val="231F20"/>
                <w:w w:val="105"/>
                <w:sz w:val="17"/>
              </w:rPr>
              <w:t>19.6</w:t>
            </w:r>
          </w:p>
        </w:tc>
        <w:tc>
          <w:tcPr>
            <w:tcW w:w="886" w:type="dxa"/>
          </w:tcPr>
          <w:p>
            <w:pPr>
              <w:pStyle w:val="TableParagraph"/>
              <w:ind w:left="225" w:right="286"/>
              <w:rPr>
                <w:sz w:val="17"/>
              </w:rPr>
            </w:pPr>
            <w:r>
              <w:rPr>
                <w:color w:val="231F20"/>
                <w:w w:val="105"/>
                <w:sz w:val="17"/>
              </w:rPr>
              <w:t>54.3</w:t>
            </w:r>
          </w:p>
        </w:tc>
        <w:tc>
          <w:tcPr>
            <w:tcW w:w="1024" w:type="dxa"/>
          </w:tcPr>
          <w:p>
            <w:pPr>
              <w:pStyle w:val="TableParagraph"/>
              <w:ind w:left="289" w:right="361"/>
              <w:rPr>
                <w:sz w:val="17"/>
              </w:rPr>
            </w:pPr>
            <w:r>
              <w:rPr>
                <w:color w:val="231F20"/>
                <w:w w:val="105"/>
                <w:sz w:val="17"/>
              </w:rPr>
              <w:t>21.3</w:t>
            </w:r>
          </w:p>
        </w:tc>
        <w:tc>
          <w:tcPr>
            <w:tcW w:w="938" w:type="dxa"/>
          </w:tcPr>
          <w:p>
            <w:pPr>
              <w:pStyle w:val="TableParagraph"/>
              <w:ind w:right="316"/>
              <w:jc w:val="right"/>
              <w:rPr>
                <w:sz w:val="17"/>
              </w:rPr>
            </w:pPr>
            <w:r>
              <w:rPr>
                <w:color w:val="231F20"/>
                <w:w w:val="105"/>
                <w:sz w:val="17"/>
              </w:rPr>
              <w:t>4.9</w:t>
            </w:r>
          </w:p>
        </w:tc>
        <w:tc>
          <w:tcPr>
            <w:tcW w:w="853" w:type="dxa"/>
          </w:tcPr>
          <w:p>
            <w:pPr>
              <w:pStyle w:val="TableParagraph"/>
              <w:ind w:right="244"/>
              <w:jc w:val="right"/>
              <w:rPr>
                <w:sz w:val="17"/>
              </w:rPr>
            </w:pPr>
            <w:r>
              <w:rPr>
                <w:color w:val="231F20"/>
                <w:sz w:val="17"/>
              </w:rPr>
              <w:t>100</w:t>
            </w:r>
          </w:p>
        </w:tc>
      </w:tr>
      <w:tr>
        <w:trPr>
          <w:trHeight w:val="210" w:hRule="exact"/>
        </w:trPr>
        <w:tc>
          <w:tcPr>
            <w:tcW w:w="1590" w:type="dxa"/>
          </w:tcPr>
          <w:p>
            <w:pPr>
              <w:pStyle w:val="TableParagraph"/>
              <w:ind w:left="35"/>
              <w:jc w:val="left"/>
              <w:rPr>
                <w:sz w:val="17"/>
              </w:rPr>
            </w:pPr>
            <w:r>
              <w:rPr>
                <w:color w:val="231F20"/>
                <w:w w:val="110"/>
                <w:sz w:val="17"/>
              </w:rPr>
              <w:t>Sonora</w:t>
            </w:r>
          </w:p>
        </w:tc>
        <w:tc>
          <w:tcPr>
            <w:tcW w:w="910" w:type="dxa"/>
          </w:tcPr>
          <w:p>
            <w:pPr>
              <w:pStyle w:val="TableParagraph"/>
              <w:ind w:right="236"/>
              <w:jc w:val="right"/>
              <w:rPr>
                <w:sz w:val="17"/>
              </w:rPr>
            </w:pPr>
            <w:r>
              <w:rPr>
                <w:color w:val="231F20"/>
                <w:sz w:val="17"/>
              </w:rPr>
              <w:t>17.3</w:t>
            </w:r>
          </w:p>
        </w:tc>
        <w:tc>
          <w:tcPr>
            <w:tcW w:w="853" w:type="dxa"/>
          </w:tcPr>
          <w:p>
            <w:pPr>
              <w:pStyle w:val="TableParagraph"/>
              <w:ind w:left="238"/>
              <w:jc w:val="left"/>
              <w:rPr>
                <w:sz w:val="17"/>
              </w:rPr>
            </w:pPr>
            <w:r>
              <w:rPr>
                <w:color w:val="231F20"/>
                <w:w w:val="105"/>
                <w:sz w:val="17"/>
              </w:rPr>
              <w:t>67.8</w:t>
            </w:r>
          </w:p>
        </w:tc>
        <w:tc>
          <w:tcPr>
            <w:tcW w:w="984" w:type="dxa"/>
          </w:tcPr>
          <w:p>
            <w:pPr>
              <w:pStyle w:val="TableParagraph"/>
              <w:ind w:right="367"/>
              <w:jc w:val="right"/>
              <w:rPr>
                <w:sz w:val="17"/>
              </w:rPr>
            </w:pPr>
            <w:r>
              <w:rPr>
                <w:color w:val="231F20"/>
                <w:sz w:val="17"/>
              </w:rPr>
              <w:t>13.1</w:t>
            </w:r>
          </w:p>
        </w:tc>
        <w:tc>
          <w:tcPr>
            <w:tcW w:w="926" w:type="dxa"/>
          </w:tcPr>
          <w:p>
            <w:pPr>
              <w:pStyle w:val="TableParagraph"/>
              <w:ind w:right="317"/>
              <w:jc w:val="right"/>
              <w:rPr>
                <w:sz w:val="17"/>
              </w:rPr>
            </w:pPr>
            <w:r>
              <w:rPr>
                <w:color w:val="231F20"/>
                <w:w w:val="105"/>
                <w:sz w:val="17"/>
              </w:rPr>
              <w:t>1.9</w:t>
            </w:r>
          </w:p>
        </w:tc>
        <w:tc>
          <w:tcPr>
            <w:tcW w:w="841" w:type="dxa"/>
          </w:tcPr>
          <w:p>
            <w:pPr>
              <w:pStyle w:val="TableParagraph"/>
              <w:ind w:right="231"/>
              <w:jc w:val="right"/>
              <w:rPr>
                <w:sz w:val="17"/>
              </w:rPr>
            </w:pPr>
            <w:r>
              <w:rPr>
                <w:color w:val="231F20"/>
                <w:sz w:val="17"/>
              </w:rPr>
              <w:t>100</w:t>
            </w:r>
          </w:p>
        </w:tc>
        <w:tc>
          <w:tcPr>
            <w:tcW w:w="811" w:type="dxa"/>
          </w:tcPr>
          <w:p>
            <w:pPr>
              <w:pStyle w:val="TableParagraph"/>
              <w:ind w:left="214" w:right="223"/>
              <w:rPr>
                <w:sz w:val="17"/>
              </w:rPr>
            </w:pPr>
            <w:r>
              <w:rPr>
                <w:color w:val="231F20"/>
                <w:w w:val="105"/>
                <w:sz w:val="17"/>
              </w:rPr>
              <w:t>21.2</w:t>
            </w:r>
          </w:p>
        </w:tc>
        <w:tc>
          <w:tcPr>
            <w:tcW w:w="886" w:type="dxa"/>
          </w:tcPr>
          <w:p>
            <w:pPr>
              <w:pStyle w:val="TableParagraph"/>
              <w:ind w:left="225" w:right="286"/>
              <w:rPr>
                <w:sz w:val="17"/>
              </w:rPr>
            </w:pPr>
            <w:r>
              <w:rPr>
                <w:color w:val="231F20"/>
                <w:w w:val="105"/>
                <w:sz w:val="17"/>
              </w:rPr>
              <w:t>46.9</w:t>
            </w:r>
          </w:p>
        </w:tc>
        <w:tc>
          <w:tcPr>
            <w:tcW w:w="1024" w:type="dxa"/>
          </w:tcPr>
          <w:p>
            <w:pPr>
              <w:pStyle w:val="TableParagraph"/>
              <w:ind w:left="289" w:right="361"/>
              <w:rPr>
                <w:sz w:val="17"/>
              </w:rPr>
            </w:pPr>
            <w:r>
              <w:rPr>
                <w:color w:val="231F20"/>
                <w:w w:val="105"/>
                <w:sz w:val="17"/>
              </w:rPr>
              <w:t>25.8</w:t>
            </w:r>
          </w:p>
        </w:tc>
        <w:tc>
          <w:tcPr>
            <w:tcW w:w="938" w:type="dxa"/>
          </w:tcPr>
          <w:p>
            <w:pPr>
              <w:pStyle w:val="TableParagraph"/>
              <w:ind w:right="316"/>
              <w:jc w:val="right"/>
              <w:rPr>
                <w:sz w:val="17"/>
              </w:rPr>
            </w:pPr>
            <w:r>
              <w:rPr>
                <w:color w:val="231F20"/>
                <w:w w:val="105"/>
                <w:sz w:val="17"/>
              </w:rPr>
              <w:t>6.0</w:t>
            </w:r>
          </w:p>
        </w:tc>
        <w:tc>
          <w:tcPr>
            <w:tcW w:w="853" w:type="dxa"/>
          </w:tcPr>
          <w:p>
            <w:pPr>
              <w:pStyle w:val="TableParagraph"/>
              <w:ind w:right="244"/>
              <w:jc w:val="right"/>
              <w:rPr>
                <w:sz w:val="17"/>
              </w:rPr>
            </w:pPr>
            <w:r>
              <w:rPr>
                <w:color w:val="231F20"/>
                <w:sz w:val="17"/>
              </w:rPr>
              <w:t>100</w:t>
            </w:r>
          </w:p>
        </w:tc>
      </w:tr>
      <w:tr>
        <w:trPr>
          <w:trHeight w:val="210" w:hRule="exact"/>
        </w:trPr>
        <w:tc>
          <w:tcPr>
            <w:tcW w:w="1590" w:type="dxa"/>
          </w:tcPr>
          <w:p>
            <w:pPr>
              <w:pStyle w:val="TableParagraph"/>
              <w:ind w:left="35"/>
              <w:jc w:val="left"/>
              <w:rPr>
                <w:sz w:val="17"/>
              </w:rPr>
            </w:pPr>
            <w:r>
              <w:rPr>
                <w:color w:val="231F20"/>
                <w:w w:val="110"/>
                <w:sz w:val="17"/>
              </w:rPr>
              <w:t>Tabasco</w:t>
            </w:r>
          </w:p>
        </w:tc>
        <w:tc>
          <w:tcPr>
            <w:tcW w:w="910" w:type="dxa"/>
          </w:tcPr>
          <w:p>
            <w:pPr>
              <w:pStyle w:val="TableParagraph"/>
              <w:ind w:right="236"/>
              <w:jc w:val="right"/>
              <w:rPr>
                <w:sz w:val="17"/>
              </w:rPr>
            </w:pPr>
            <w:r>
              <w:rPr>
                <w:color w:val="231F20"/>
                <w:sz w:val="17"/>
              </w:rPr>
              <w:t>11.3</w:t>
            </w:r>
          </w:p>
        </w:tc>
        <w:tc>
          <w:tcPr>
            <w:tcW w:w="853" w:type="dxa"/>
          </w:tcPr>
          <w:p>
            <w:pPr>
              <w:pStyle w:val="TableParagraph"/>
              <w:ind w:left="238"/>
              <w:jc w:val="left"/>
              <w:rPr>
                <w:sz w:val="17"/>
              </w:rPr>
            </w:pPr>
            <w:r>
              <w:rPr>
                <w:color w:val="231F20"/>
                <w:w w:val="105"/>
                <w:sz w:val="17"/>
              </w:rPr>
              <w:t>73.3</w:t>
            </w:r>
          </w:p>
        </w:tc>
        <w:tc>
          <w:tcPr>
            <w:tcW w:w="984" w:type="dxa"/>
          </w:tcPr>
          <w:p>
            <w:pPr>
              <w:pStyle w:val="TableParagraph"/>
              <w:ind w:right="367"/>
              <w:jc w:val="right"/>
              <w:rPr>
                <w:sz w:val="17"/>
              </w:rPr>
            </w:pPr>
            <w:r>
              <w:rPr>
                <w:color w:val="231F20"/>
                <w:sz w:val="17"/>
              </w:rPr>
              <w:t>13.5</w:t>
            </w:r>
          </w:p>
        </w:tc>
        <w:tc>
          <w:tcPr>
            <w:tcW w:w="926" w:type="dxa"/>
          </w:tcPr>
          <w:p>
            <w:pPr>
              <w:pStyle w:val="TableParagraph"/>
              <w:ind w:right="317"/>
              <w:jc w:val="right"/>
              <w:rPr>
                <w:sz w:val="17"/>
              </w:rPr>
            </w:pPr>
            <w:r>
              <w:rPr>
                <w:color w:val="231F20"/>
                <w:w w:val="105"/>
                <w:sz w:val="17"/>
              </w:rPr>
              <w:t>1.9</w:t>
            </w:r>
          </w:p>
        </w:tc>
        <w:tc>
          <w:tcPr>
            <w:tcW w:w="841" w:type="dxa"/>
          </w:tcPr>
          <w:p>
            <w:pPr>
              <w:pStyle w:val="TableParagraph"/>
              <w:ind w:right="231"/>
              <w:jc w:val="right"/>
              <w:rPr>
                <w:sz w:val="17"/>
              </w:rPr>
            </w:pPr>
            <w:r>
              <w:rPr>
                <w:color w:val="231F20"/>
                <w:sz w:val="17"/>
              </w:rPr>
              <w:t>100</w:t>
            </w:r>
          </w:p>
        </w:tc>
        <w:tc>
          <w:tcPr>
            <w:tcW w:w="811" w:type="dxa"/>
          </w:tcPr>
          <w:p>
            <w:pPr>
              <w:pStyle w:val="TableParagraph"/>
              <w:ind w:left="214" w:right="223"/>
              <w:rPr>
                <w:sz w:val="17"/>
              </w:rPr>
            </w:pPr>
            <w:r>
              <w:rPr>
                <w:color w:val="231F20"/>
                <w:w w:val="105"/>
                <w:sz w:val="17"/>
              </w:rPr>
              <w:t>18.0</w:t>
            </w:r>
          </w:p>
        </w:tc>
        <w:tc>
          <w:tcPr>
            <w:tcW w:w="886" w:type="dxa"/>
          </w:tcPr>
          <w:p>
            <w:pPr>
              <w:pStyle w:val="TableParagraph"/>
              <w:ind w:left="225" w:right="286"/>
              <w:rPr>
                <w:sz w:val="17"/>
              </w:rPr>
            </w:pPr>
            <w:r>
              <w:rPr>
                <w:color w:val="231F20"/>
                <w:w w:val="105"/>
                <w:sz w:val="17"/>
              </w:rPr>
              <w:t>52.3</w:t>
            </w:r>
          </w:p>
        </w:tc>
        <w:tc>
          <w:tcPr>
            <w:tcW w:w="1024" w:type="dxa"/>
          </w:tcPr>
          <w:p>
            <w:pPr>
              <w:pStyle w:val="TableParagraph"/>
              <w:ind w:left="289" w:right="361"/>
              <w:rPr>
                <w:sz w:val="17"/>
              </w:rPr>
            </w:pPr>
            <w:r>
              <w:rPr>
                <w:color w:val="231F20"/>
                <w:w w:val="105"/>
                <w:sz w:val="17"/>
              </w:rPr>
              <w:t>26.0</w:t>
            </w:r>
          </w:p>
        </w:tc>
        <w:tc>
          <w:tcPr>
            <w:tcW w:w="938" w:type="dxa"/>
          </w:tcPr>
          <w:p>
            <w:pPr>
              <w:pStyle w:val="TableParagraph"/>
              <w:ind w:right="316"/>
              <w:jc w:val="right"/>
              <w:rPr>
                <w:sz w:val="17"/>
              </w:rPr>
            </w:pPr>
            <w:r>
              <w:rPr>
                <w:color w:val="231F20"/>
                <w:w w:val="105"/>
                <w:sz w:val="17"/>
              </w:rPr>
              <w:t>3.7</w:t>
            </w:r>
          </w:p>
        </w:tc>
        <w:tc>
          <w:tcPr>
            <w:tcW w:w="853" w:type="dxa"/>
          </w:tcPr>
          <w:p>
            <w:pPr>
              <w:pStyle w:val="TableParagraph"/>
              <w:ind w:right="244"/>
              <w:jc w:val="right"/>
              <w:rPr>
                <w:sz w:val="17"/>
              </w:rPr>
            </w:pPr>
            <w:r>
              <w:rPr>
                <w:color w:val="231F20"/>
                <w:sz w:val="17"/>
              </w:rPr>
              <w:t>100</w:t>
            </w:r>
          </w:p>
        </w:tc>
      </w:tr>
      <w:tr>
        <w:trPr>
          <w:trHeight w:val="210" w:hRule="exact"/>
        </w:trPr>
        <w:tc>
          <w:tcPr>
            <w:tcW w:w="1590" w:type="dxa"/>
          </w:tcPr>
          <w:p>
            <w:pPr>
              <w:pStyle w:val="TableParagraph"/>
              <w:ind w:left="35"/>
              <w:jc w:val="left"/>
              <w:rPr>
                <w:sz w:val="17"/>
              </w:rPr>
            </w:pPr>
            <w:r>
              <w:rPr>
                <w:color w:val="231F20"/>
                <w:w w:val="110"/>
                <w:sz w:val="17"/>
              </w:rPr>
              <w:t>Tamaulipas</w:t>
            </w:r>
          </w:p>
        </w:tc>
        <w:tc>
          <w:tcPr>
            <w:tcW w:w="910" w:type="dxa"/>
          </w:tcPr>
          <w:p>
            <w:pPr>
              <w:pStyle w:val="TableParagraph"/>
              <w:ind w:right="236"/>
              <w:jc w:val="right"/>
              <w:rPr>
                <w:sz w:val="17"/>
              </w:rPr>
            </w:pPr>
            <w:r>
              <w:rPr>
                <w:color w:val="231F20"/>
                <w:sz w:val="17"/>
              </w:rPr>
              <w:t>14.4</w:t>
            </w:r>
          </w:p>
        </w:tc>
        <w:tc>
          <w:tcPr>
            <w:tcW w:w="853" w:type="dxa"/>
          </w:tcPr>
          <w:p>
            <w:pPr>
              <w:pStyle w:val="TableParagraph"/>
              <w:ind w:left="238"/>
              <w:jc w:val="left"/>
              <w:rPr>
                <w:sz w:val="17"/>
              </w:rPr>
            </w:pPr>
            <w:r>
              <w:rPr>
                <w:color w:val="231F20"/>
                <w:w w:val="105"/>
                <w:sz w:val="17"/>
              </w:rPr>
              <w:t>74.4</w:t>
            </w:r>
          </w:p>
        </w:tc>
        <w:tc>
          <w:tcPr>
            <w:tcW w:w="984" w:type="dxa"/>
          </w:tcPr>
          <w:p>
            <w:pPr>
              <w:pStyle w:val="TableParagraph"/>
              <w:ind w:right="367"/>
              <w:jc w:val="right"/>
              <w:rPr>
                <w:sz w:val="17"/>
              </w:rPr>
            </w:pPr>
            <w:r>
              <w:rPr>
                <w:color w:val="231F20"/>
                <w:w w:val="105"/>
                <w:sz w:val="17"/>
              </w:rPr>
              <w:t>9.6</w:t>
            </w:r>
          </w:p>
        </w:tc>
        <w:tc>
          <w:tcPr>
            <w:tcW w:w="926" w:type="dxa"/>
          </w:tcPr>
          <w:p>
            <w:pPr>
              <w:pStyle w:val="TableParagraph"/>
              <w:ind w:right="317"/>
              <w:jc w:val="right"/>
              <w:rPr>
                <w:sz w:val="17"/>
              </w:rPr>
            </w:pPr>
            <w:r>
              <w:rPr>
                <w:color w:val="231F20"/>
                <w:w w:val="105"/>
                <w:sz w:val="17"/>
              </w:rPr>
              <w:t>1.6</w:t>
            </w:r>
          </w:p>
        </w:tc>
        <w:tc>
          <w:tcPr>
            <w:tcW w:w="841" w:type="dxa"/>
          </w:tcPr>
          <w:p>
            <w:pPr>
              <w:pStyle w:val="TableParagraph"/>
              <w:ind w:right="231"/>
              <w:jc w:val="right"/>
              <w:rPr>
                <w:sz w:val="17"/>
              </w:rPr>
            </w:pPr>
            <w:r>
              <w:rPr>
                <w:color w:val="231F20"/>
                <w:sz w:val="17"/>
              </w:rPr>
              <w:t>100</w:t>
            </w:r>
          </w:p>
        </w:tc>
        <w:tc>
          <w:tcPr>
            <w:tcW w:w="811" w:type="dxa"/>
          </w:tcPr>
          <w:p>
            <w:pPr>
              <w:pStyle w:val="TableParagraph"/>
              <w:ind w:left="214" w:right="223"/>
              <w:rPr>
                <w:sz w:val="17"/>
              </w:rPr>
            </w:pPr>
            <w:r>
              <w:rPr>
                <w:color w:val="231F20"/>
                <w:w w:val="105"/>
                <w:sz w:val="17"/>
              </w:rPr>
              <w:t>19.4</w:t>
            </w:r>
          </w:p>
        </w:tc>
        <w:tc>
          <w:tcPr>
            <w:tcW w:w="886" w:type="dxa"/>
          </w:tcPr>
          <w:p>
            <w:pPr>
              <w:pStyle w:val="TableParagraph"/>
              <w:ind w:left="225" w:right="286"/>
              <w:rPr>
                <w:sz w:val="17"/>
              </w:rPr>
            </w:pPr>
            <w:r>
              <w:rPr>
                <w:color w:val="231F20"/>
                <w:w w:val="105"/>
                <w:sz w:val="17"/>
              </w:rPr>
              <w:t>52.4</w:t>
            </w:r>
          </w:p>
        </w:tc>
        <w:tc>
          <w:tcPr>
            <w:tcW w:w="1024" w:type="dxa"/>
          </w:tcPr>
          <w:p>
            <w:pPr>
              <w:pStyle w:val="TableParagraph"/>
              <w:ind w:left="289" w:right="361"/>
              <w:rPr>
                <w:sz w:val="17"/>
              </w:rPr>
            </w:pPr>
            <w:r>
              <w:rPr>
                <w:color w:val="231F20"/>
                <w:w w:val="105"/>
                <w:sz w:val="17"/>
              </w:rPr>
              <w:t>24.0</w:t>
            </w:r>
          </w:p>
        </w:tc>
        <w:tc>
          <w:tcPr>
            <w:tcW w:w="938" w:type="dxa"/>
          </w:tcPr>
          <w:p>
            <w:pPr>
              <w:pStyle w:val="TableParagraph"/>
              <w:ind w:right="316"/>
              <w:jc w:val="right"/>
              <w:rPr>
                <w:sz w:val="17"/>
              </w:rPr>
            </w:pPr>
            <w:r>
              <w:rPr>
                <w:color w:val="231F20"/>
                <w:w w:val="105"/>
                <w:sz w:val="17"/>
              </w:rPr>
              <w:t>4.2</w:t>
            </w:r>
          </w:p>
        </w:tc>
        <w:tc>
          <w:tcPr>
            <w:tcW w:w="853" w:type="dxa"/>
          </w:tcPr>
          <w:p>
            <w:pPr>
              <w:pStyle w:val="TableParagraph"/>
              <w:ind w:right="244"/>
              <w:jc w:val="right"/>
              <w:rPr>
                <w:sz w:val="17"/>
              </w:rPr>
            </w:pPr>
            <w:r>
              <w:rPr>
                <w:color w:val="231F20"/>
                <w:sz w:val="17"/>
              </w:rPr>
              <w:t>100</w:t>
            </w:r>
          </w:p>
        </w:tc>
      </w:tr>
      <w:tr>
        <w:trPr>
          <w:trHeight w:val="210" w:hRule="exact"/>
        </w:trPr>
        <w:tc>
          <w:tcPr>
            <w:tcW w:w="1590" w:type="dxa"/>
          </w:tcPr>
          <w:p>
            <w:pPr>
              <w:pStyle w:val="TableParagraph"/>
              <w:ind w:left="35"/>
              <w:jc w:val="left"/>
              <w:rPr>
                <w:sz w:val="17"/>
              </w:rPr>
            </w:pPr>
            <w:r>
              <w:rPr>
                <w:color w:val="231F20"/>
                <w:w w:val="110"/>
                <w:sz w:val="17"/>
              </w:rPr>
              <w:t>Tlaxcala</w:t>
            </w:r>
          </w:p>
        </w:tc>
        <w:tc>
          <w:tcPr>
            <w:tcW w:w="910" w:type="dxa"/>
          </w:tcPr>
          <w:p>
            <w:pPr>
              <w:pStyle w:val="TableParagraph"/>
              <w:ind w:right="236"/>
              <w:jc w:val="right"/>
              <w:rPr>
                <w:sz w:val="17"/>
              </w:rPr>
            </w:pPr>
            <w:r>
              <w:rPr>
                <w:color w:val="231F20"/>
                <w:sz w:val="17"/>
              </w:rPr>
              <w:t>10.9</w:t>
            </w:r>
          </w:p>
        </w:tc>
        <w:tc>
          <w:tcPr>
            <w:tcW w:w="853" w:type="dxa"/>
          </w:tcPr>
          <w:p>
            <w:pPr>
              <w:pStyle w:val="TableParagraph"/>
              <w:ind w:left="238"/>
              <w:jc w:val="left"/>
              <w:rPr>
                <w:sz w:val="17"/>
              </w:rPr>
            </w:pPr>
            <w:r>
              <w:rPr>
                <w:color w:val="231F20"/>
                <w:w w:val="105"/>
                <w:sz w:val="17"/>
              </w:rPr>
              <w:t>78.2</w:t>
            </w:r>
          </w:p>
        </w:tc>
        <w:tc>
          <w:tcPr>
            <w:tcW w:w="984" w:type="dxa"/>
          </w:tcPr>
          <w:p>
            <w:pPr>
              <w:pStyle w:val="TableParagraph"/>
              <w:ind w:right="367"/>
              <w:jc w:val="right"/>
              <w:rPr>
                <w:sz w:val="17"/>
              </w:rPr>
            </w:pPr>
            <w:r>
              <w:rPr>
                <w:color w:val="231F20"/>
                <w:w w:val="105"/>
                <w:sz w:val="17"/>
              </w:rPr>
              <w:t>9.7</w:t>
            </w:r>
          </w:p>
        </w:tc>
        <w:tc>
          <w:tcPr>
            <w:tcW w:w="926" w:type="dxa"/>
          </w:tcPr>
          <w:p>
            <w:pPr>
              <w:pStyle w:val="TableParagraph"/>
              <w:ind w:right="317"/>
              <w:jc w:val="right"/>
              <w:rPr>
                <w:sz w:val="17"/>
              </w:rPr>
            </w:pPr>
            <w:r>
              <w:rPr>
                <w:color w:val="231F20"/>
                <w:w w:val="105"/>
                <w:sz w:val="17"/>
              </w:rPr>
              <w:t>1.2</w:t>
            </w:r>
          </w:p>
        </w:tc>
        <w:tc>
          <w:tcPr>
            <w:tcW w:w="841" w:type="dxa"/>
          </w:tcPr>
          <w:p>
            <w:pPr>
              <w:pStyle w:val="TableParagraph"/>
              <w:ind w:right="231"/>
              <w:jc w:val="right"/>
              <w:rPr>
                <w:sz w:val="17"/>
              </w:rPr>
            </w:pPr>
            <w:r>
              <w:rPr>
                <w:color w:val="231F20"/>
                <w:sz w:val="17"/>
              </w:rPr>
              <w:t>100</w:t>
            </w:r>
          </w:p>
        </w:tc>
        <w:tc>
          <w:tcPr>
            <w:tcW w:w="811" w:type="dxa"/>
          </w:tcPr>
          <w:p>
            <w:pPr>
              <w:pStyle w:val="TableParagraph"/>
              <w:ind w:left="214" w:right="223"/>
              <w:rPr>
                <w:sz w:val="17"/>
              </w:rPr>
            </w:pPr>
            <w:r>
              <w:rPr>
                <w:color w:val="231F20"/>
                <w:w w:val="105"/>
                <w:sz w:val="17"/>
              </w:rPr>
              <w:t>16.7</w:t>
            </w:r>
          </w:p>
        </w:tc>
        <w:tc>
          <w:tcPr>
            <w:tcW w:w="886" w:type="dxa"/>
          </w:tcPr>
          <w:p>
            <w:pPr>
              <w:pStyle w:val="TableParagraph"/>
              <w:ind w:left="225" w:right="286"/>
              <w:rPr>
                <w:sz w:val="17"/>
              </w:rPr>
            </w:pPr>
            <w:r>
              <w:rPr>
                <w:color w:val="231F20"/>
                <w:w w:val="105"/>
                <w:sz w:val="17"/>
              </w:rPr>
              <w:t>53.3</w:t>
            </w:r>
          </w:p>
        </w:tc>
        <w:tc>
          <w:tcPr>
            <w:tcW w:w="1024" w:type="dxa"/>
          </w:tcPr>
          <w:p>
            <w:pPr>
              <w:pStyle w:val="TableParagraph"/>
              <w:ind w:left="289" w:right="361"/>
              <w:rPr>
                <w:sz w:val="17"/>
              </w:rPr>
            </w:pPr>
            <w:r>
              <w:rPr>
                <w:color w:val="231F20"/>
                <w:w w:val="105"/>
                <w:sz w:val="17"/>
              </w:rPr>
              <w:t>27.4</w:t>
            </w:r>
          </w:p>
        </w:tc>
        <w:tc>
          <w:tcPr>
            <w:tcW w:w="938" w:type="dxa"/>
          </w:tcPr>
          <w:p>
            <w:pPr>
              <w:pStyle w:val="TableParagraph"/>
              <w:ind w:right="316"/>
              <w:jc w:val="right"/>
              <w:rPr>
                <w:sz w:val="17"/>
              </w:rPr>
            </w:pPr>
            <w:r>
              <w:rPr>
                <w:color w:val="231F20"/>
                <w:w w:val="105"/>
                <w:sz w:val="17"/>
              </w:rPr>
              <w:t>2.6</w:t>
            </w:r>
          </w:p>
        </w:tc>
        <w:tc>
          <w:tcPr>
            <w:tcW w:w="853" w:type="dxa"/>
          </w:tcPr>
          <w:p>
            <w:pPr>
              <w:pStyle w:val="TableParagraph"/>
              <w:ind w:right="244"/>
              <w:jc w:val="right"/>
              <w:rPr>
                <w:sz w:val="17"/>
              </w:rPr>
            </w:pPr>
            <w:r>
              <w:rPr>
                <w:color w:val="231F20"/>
                <w:sz w:val="17"/>
              </w:rPr>
              <w:t>100</w:t>
            </w:r>
          </w:p>
        </w:tc>
      </w:tr>
      <w:tr>
        <w:trPr>
          <w:trHeight w:val="210" w:hRule="exact"/>
        </w:trPr>
        <w:tc>
          <w:tcPr>
            <w:tcW w:w="1590" w:type="dxa"/>
          </w:tcPr>
          <w:p>
            <w:pPr>
              <w:pStyle w:val="TableParagraph"/>
              <w:ind w:left="35"/>
              <w:jc w:val="left"/>
              <w:rPr>
                <w:sz w:val="17"/>
              </w:rPr>
            </w:pPr>
            <w:r>
              <w:rPr>
                <w:color w:val="231F20"/>
                <w:w w:val="110"/>
                <w:sz w:val="17"/>
              </w:rPr>
              <w:t>Veracruz</w:t>
            </w:r>
          </w:p>
        </w:tc>
        <w:tc>
          <w:tcPr>
            <w:tcW w:w="910" w:type="dxa"/>
          </w:tcPr>
          <w:p>
            <w:pPr>
              <w:pStyle w:val="TableParagraph"/>
              <w:ind w:right="236"/>
              <w:jc w:val="right"/>
              <w:rPr>
                <w:sz w:val="17"/>
              </w:rPr>
            </w:pPr>
            <w:r>
              <w:rPr>
                <w:color w:val="231F20"/>
                <w:sz w:val="17"/>
              </w:rPr>
              <w:t>15.1</w:t>
            </w:r>
          </w:p>
        </w:tc>
        <w:tc>
          <w:tcPr>
            <w:tcW w:w="853" w:type="dxa"/>
          </w:tcPr>
          <w:p>
            <w:pPr>
              <w:pStyle w:val="TableParagraph"/>
              <w:ind w:left="238"/>
              <w:jc w:val="left"/>
              <w:rPr>
                <w:sz w:val="17"/>
              </w:rPr>
            </w:pPr>
            <w:r>
              <w:rPr>
                <w:color w:val="231F20"/>
                <w:w w:val="105"/>
                <w:sz w:val="17"/>
              </w:rPr>
              <w:t>62.3</w:t>
            </w:r>
          </w:p>
        </w:tc>
        <w:tc>
          <w:tcPr>
            <w:tcW w:w="984" w:type="dxa"/>
          </w:tcPr>
          <w:p>
            <w:pPr>
              <w:pStyle w:val="TableParagraph"/>
              <w:ind w:right="367"/>
              <w:jc w:val="right"/>
              <w:rPr>
                <w:sz w:val="17"/>
              </w:rPr>
            </w:pPr>
            <w:r>
              <w:rPr>
                <w:color w:val="231F20"/>
                <w:sz w:val="17"/>
              </w:rPr>
              <w:t>20.8</w:t>
            </w:r>
          </w:p>
        </w:tc>
        <w:tc>
          <w:tcPr>
            <w:tcW w:w="926" w:type="dxa"/>
          </w:tcPr>
          <w:p>
            <w:pPr>
              <w:pStyle w:val="TableParagraph"/>
              <w:ind w:right="317"/>
              <w:jc w:val="right"/>
              <w:rPr>
                <w:sz w:val="17"/>
              </w:rPr>
            </w:pPr>
            <w:r>
              <w:rPr>
                <w:color w:val="231F20"/>
                <w:w w:val="105"/>
                <w:sz w:val="17"/>
              </w:rPr>
              <w:t>1.8</w:t>
            </w:r>
          </w:p>
        </w:tc>
        <w:tc>
          <w:tcPr>
            <w:tcW w:w="841" w:type="dxa"/>
          </w:tcPr>
          <w:p>
            <w:pPr>
              <w:pStyle w:val="TableParagraph"/>
              <w:ind w:right="231"/>
              <w:jc w:val="right"/>
              <w:rPr>
                <w:sz w:val="17"/>
              </w:rPr>
            </w:pPr>
            <w:r>
              <w:rPr>
                <w:color w:val="231F20"/>
                <w:sz w:val="17"/>
              </w:rPr>
              <w:t>100</w:t>
            </w:r>
          </w:p>
        </w:tc>
        <w:tc>
          <w:tcPr>
            <w:tcW w:w="811" w:type="dxa"/>
          </w:tcPr>
          <w:p>
            <w:pPr>
              <w:pStyle w:val="TableParagraph"/>
              <w:ind w:left="214" w:right="223"/>
              <w:rPr>
                <w:sz w:val="17"/>
              </w:rPr>
            </w:pPr>
            <w:r>
              <w:rPr>
                <w:color w:val="231F20"/>
                <w:w w:val="105"/>
                <w:sz w:val="17"/>
              </w:rPr>
              <w:t>20.5</w:t>
            </w:r>
          </w:p>
        </w:tc>
        <w:tc>
          <w:tcPr>
            <w:tcW w:w="886" w:type="dxa"/>
          </w:tcPr>
          <w:p>
            <w:pPr>
              <w:pStyle w:val="TableParagraph"/>
              <w:ind w:left="225" w:right="286"/>
              <w:rPr>
                <w:sz w:val="17"/>
              </w:rPr>
            </w:pPr>
            <w:r>
              <w:rPr>
                <w:color w:val="231F20"/>
                <w:w w:val="105"/>
                <w:sz w:val="17"/>
              </w:rPr>
              <w:t>45.7</w:t>
            </w:r>
          </w:p>
        </w:tc>
        <w:tc>
          <w:tcPr>
            <w:tcW w:w="1024" w:type="dxa"/>
          </w:tcPr>
          <w:p>
            <w:pPr>
              <w:pStyle w:val="TableParagraph"/>
              <w:ind w:left="289" w:right="361"/>
              <w:rPr>
                <w:sz w:val="17"/>
              </w:rPr>
            </w:pPr>
            <w:r>
              <w:rPr>
                <w:color w:val="231F20"/>
                <w:w w:val="105"/>
                <w:sz w:val="17"/>
              </w:rPr>
              <w:t>30.4</w:t>
            </w:r>
          </w:p>
        </w:tc>
        <w:tc>
          <w:tcPr>
            <w:tcW w:w="938" w:type="dxa"/>
          </w:tcPr>
          <w:p>
            <w:pPr>
              <w:pStyle w:val="TableParagraph"/>
              <w:ind w:right="316"/>
              <w:jc w:val="right"/>
              <w:rPr>
                <w:sz w:val="17"/>
              </w:rPr>
            </w:pPr>
            <w:r>
              <w:rPr>
                <w:color w:val="231F20"/>
                <w:w w:val="105"/>
                <w:sz w:val="17"/>
              </w:rPr>
              <w:t>3.4</w:t>
            </w:r>
          </w:p>
        </w:tc>
        <w:tc>
          <w:tcPr>
            <w:tcW w:w="853" w:type="dxa"/>
          </w:tcPr>
          <w:p>
            <w:pPr>
              <w:pStyle w:val="TableParagraph"/>
              <w:ind w:right="244"/>
              <w:jc w:val="right"/>
              <w:rPr>
                <w:sz w:val="17"/>
              </w:rPr>
            </w:pPr>
            <w:r>
              <w:rPr>
                <w:color w:val="231F20"/>
                <w:sz w:val="17"/>
              </w:rPr>
              <w:t>100</w:t>
            </w:r>
          </w:p>
        </w:tc>
      </w:tr>
      <w:tr>
        <w:trPr>
          <w:trHeight w:val="210" w:hRule="exact"/>
        </w:trPr>
        <w:tc>
          <w:tcPr>
            <w:tcW w:w="1590" w:type="dxa"/>
          </w:tcPr>
          <w:p>
            <w:pPr>
              <w:pStyle w:val="TableParagraph"/>
              <w:ind w:left="35"/>
              <w:jc w:val="left"/>
              <w:rPr>
                <w:sz w:val="17"/>
              </w:rPr>
            </w:pPr>
            <w:r>
              <w:rPr>
                <w:color w:val="231F20"/>
                <w:w w:val="110"/>
                <w:sz w:val="17"/>
              </w:rPr>
              <w:t>Yucatán</w:t>
            </w:r>
          </w:p>
        </w:tc>
        <w:tc>
          <w:tcPr>
            <w:tcW w:w="910" w:type="dxa"/>
          </w:tcPr>
          <w:p>
            <w:pPr>
              <w:pStyle w:val="TableParagraph"/>
              <w:ind w:right="236"/>
              <w:jc w:val="right"/>
              <w:rPr>
                <w:sz w:val="17"/>
              </w:rPr>
            </w:pPr>
            <w:r>
              <w:rPr>
                <w:color w:val="231F20"/>
                <w:sz w:val="17"/>
              </w:rPr>
              <w:t>13.2</w:t>
            </w:r>
          </w:p>
        </w:tc>
        <w:tc>
          <w:tcPr>
            <w:tcW w:w="853" w:type="dxa"/>
          </w:tcPr>
          <w:p>
            <w:pPr>
              <w:pStyle w:val="TableParagraph"/>
              <w:ind w:left="238"/>
              <w:jc w:val="left"/>
              <w:rPr>
                <w:sz w:val="17"/>
              </w:rPr>
            </w:pPr>
            <w:r>
              <w:rPr>
                <w:color w:val="231F20"/>
                <w:w w:val="105"/>
                <w:sz w:val="17"/>
              </w:rPr>
              <w:t>81.7</w:t>
            </w:r>
          </w:p>
        </w:tc>
        <w:tc>
          <w:tcPr>
            <w:tcW w:w="984" w:type="dxa"/>
          </w:tcPr>
          <w:p>
            <w:pPr>
              <w:pStyle w:val="TableParagraph"/>
              <w:ind w:right="367"/>
              <w:jc w:val="right"/>
              <w:rPr>
                <w:sz w:val="17"/>
              </w:rPr>
            </w:pPr>
            <w:r>
              <w:rPr>
                <w:color w:val="231F20"/>
                <w:w w:val="105"/>
                <w:sz w:val="17"/>
              </w:rPr>
              <w:t>3.5</w:t>
            </w:r>
          </w:p>
        </w:tc>
        <w:tc>
          <w:tcPr>
            <w:tcW w:w="926" w:type="dxa"/>
          </w:tcPr>
          <w:p>
            <w:pPr>
              <w:pStyle w:val="TableParagraph"/>
              <w:ind w:right="317"/>
              <w:jc w:val="right"/>
              <w:rPr>
                <w:sz w:val="17"/>
              </w:rPr>
            </w:pPr>
            <w:r>
              <w:rPr>
                <w:color w:val="231F20"/>
                <w:w w:val="105"/>
                <w:sz w:val="17"/>
              </w:rPr>
              <w:t>1.6</w:t>
            </w:r>
          </w:p>
        </w:tc>
        <w:tc>
          <w:tcPr>
            <w:tcW w:w="841" w:type="dxa"/>
          </w:tcPr>
          <w:p>
            <w:pPr>
              <w:pStyle w:val="TableParagraph"/>
              <w:ind w:right="231"/>
              <w:jc w:val="right"/>
              <w:rPr>
                <w:sz w:val="17"/>
              </w:rPr>
            </w:pPr>
            <w:r>
              <w:rPr>
                <w:color w:val="231F20"/>
                <w:sz w:val="17"/>
              </w:rPr>
              <w:t>100</w:t>
            </w:r>
          </w:p>
        </w:tc>
        <w:tc>
          <w:tcPr>
            <w:tcW w:w="811" w:type="dxa"/>
          </w:tcPr>
          <w:p>
            <w:pPr>
              <w:pStyle w:val="TableParagraph"/>
              <w:ind w:left="214" w:right="223"/>
              <w:rPr>
                <w:sz w:val="17"/>
              </w:rPr>
            </w:pPr>
            <w:r>
              <w:rPr>
                <w:color w:val="231F20"/>
                <w:w w:val="105"/>
                <w:sz w:val="17"/>
              </w:rPr>
              <w:t>19.6</w:t>
            </w:r>
          </w:p>
        </w:tc>
        <w:tc>
          <w:tcPr>
            <w:tcW w:w="886" w:type="dxa"/>
          </w:tcPr>
          <w:p>
            <w:pPr>
              <w:pStyle w:val="TableParagraph"/>
              <w:ind w:left="225" w:right="286"/>
              <w:rPr>
                <w:sz w:val="17"/>
              </w:rPr>
            </w:pPr>
            <w:r>
              <w:rPr>
                <w:color w:val="231F20"/>
                <w:w w:val="105"/>
                <w:sz w:val="17"/>
              </w:rPr>
              <w:t>65.3</w:t>
            </w:r>
          </w:p>
        </w:tc>
        <w:tc>
          <w:tcPr>
            <w:tcW w:w="1024" w:type="dxa"/>
          </w:tcPr>
          <w:p>
            <w:pPr>
              <w:pStyle w:val="TableParagraph"/>
              <w:ind w:left="289" w:right="361"/>
              <w:rPr>
                <w:sz w:val="17"/>
              </w:rPr>
            </w:pPr>
            <w:r>
              <w:rPr>
                <w:color w:val="231F20"/>
                <w:w w:val="105"/>
                <w:sz w:val="17"/>
              </w:rPr>
              <w:t>11.5</w:t>
            </w:r>
          </w:p>
        </w:tc>
        <w:tc>
          <w:tcPr>
            <w:tcW w:w="938" w:type="dxa"/>
          </w:tcPr>
          <w:p>
            <w:pPr>
              <w:pStyle w:val="TableParagraph"/>
              <w:ind w:right="316"/>
              <w:jc w:val="right"/>
              <w:rPr>
                <w:sz w:val="17"/>
              </w:rPr>
            </w:pPr>
            <w:r>
              <w:rPr>
                <w:color w:val="231F20"/>
                <w:w w:val="105"/>
                <w:sz w:val="17"/>
              </w:rPr>
              <w:t>3.7</w:t>
            </w:r>
          </w:p>
        </w:tc>
        <w:tc>
          <w:tcPr>
            <w:tcW w:w="853" w:type="dxa"/>
          </w:tcPr>
          <w:p>
            <w:pPr>
              <w:pStyle w:val="TableParagraph"/>
              <w:ind w:right="244"/>
              <w:jc w:val="right"/>
              <w:rPr>
                <w:sz w:val="17"/>
              </w:rPr>
            </w:pPr>
            <w:r>
              <w:rPr>
                <w:color w:val="231F20"/>
                <w:sz w:val="17"/>
              </w:rPr>
              <w:t>100</w:t>
            </w:r>
          </w:p>
        </w:tc>
      </w:tr>
      <w:tr>
        <w:trPr>
          <w:trHeight w:val="276" w:hRule="exact"/>
        </w:trPr>
        <w:tc>
          <w:tcPr>
            <w:tcW w:w="1590" w:type="dxa"/>
            <w:tcBorders>
              <w:bottom w:val="single" w:sz="3" w:space="0" w:color="231F20"/>
            </w:tcBorders>
          </w:tcPr>
          <w:p>
            <w:pPr>
              <w:pStyle w:val="TableParagraph"/>
              <w:ind w:left="35"/>
              <w:jc w:val="left"/>
              <w:rPr>
                <w:sz w:val="17"/>
              </w:rPr>
            </w:pPr>
            <w:r>
              <w:rPr>
                <w:color w:val="231F20"/>
                <w:w w:val="110"/>
                <w:sz w:val="17"/>
              </w:rPr>
              <w:t>Zacatecas</w:t>
            </w:r>
          </w:p>
        </w:tc>
        <w:tc>
          <w:tcPr>
            <w:tcW w:w="910" w:type="dxa"/>
            <w:tcBorders>
              <w:bottom w:val="single" w:sz="3" w:space="0" w:color="231F20"/>
            </w:tcBorders>
          </w:tcPr>
          <w:p>
            <w:pPr>
              <w:pStyle w:val="TableParagraph"/>
              <w:ind w:right="236"/>
              <w:jc w:val="right"/>
              <w:rPr>
                <w:sz w:val="17"/>
              </w:rPr>
            </w:pPr>
            <w:r>
              <w:rPr>
                <w:color w:val="231F20"/>
                <w:sz w:val="17"/>
              </w:rPr>
              <w:t>11.4</w:t>
            </w:r>
          </w:p>
        </w:tc>
        <w:tc>
          <w:tcPr>
            <w:tcW w:w="853" w:type="dxa"/>
            <w:tcBorders>
              <w:bottom w:val="single" w:sz="3" w:space="0" w:color="231F20"/>
            </w:tcBorders>
          </w:tcPr>
          <w:p>
            <w:pPr>
              <w:pStyle w:val="TableParagraph"/>
              <w:ind w:left="238"/>
              <w:jc w:val="left"/>
              <w:rPr>
                <w:sz w:val="17"/>
              </w:rPr>
            </w:pPr>
            <w:r>
              <w:rPr>
                <w:color w:val="231F20"/>
                <w:w w:val="105"/>
                <w:sz w:val="17"/>
              </w:rPr>
              <w:t>84.1</w:t>
            </w:r>
          </w:p>
        </w:tc>
        <w:tc>
          <w:tcPr>
            <w:tcW w:w="984" w:type="dxa"/>
            <w:tcBorders>
              <w:bottom w:val="single" w:sz="3" w:space="0" w:color="231F20"/>
            </w:tcBorders>
          </w:tcPr>
          <w:p>
            <w:pPr>
              <w:pStyle w:val="TableParagraph"/>
              <w:ind w:right="367"/>
              <w:jc w:val="right"/>
              <w:rPr>
                <w:sz w:val="17"/>
              </w:rPr>
            </w:pPr>
            <w:r>
              <w:rPr>
                <w:color w:val="231F20"/>
                <w:w w:val="105"/>
                <w:sz w:val="17"/>
              </w:rPr>
              <w:t>3.4</w:t>
            </w:r>
          </w:p>
        </w:tc>
        <w:tc>
          <w:tcPr>
            <w:tcW w:w="926" w:type="dxa"/>
            <w:tcBorders>
              <w:bottom w:val="single" w:sz="3" w:space="0" w:color="231F20"/>
            </w:tcBorders>
          </w:tcPr>
          <w:p>
            <w:pPr>
              <w:pStyle w:val="TableParagraph"/>
              <w:ind w:right="317"/>
              <w:jc w:val="right"/>
              <w:rPr>
                <w:sz w:val="17"/>
              </w:rPr>
            </w:pPr>
            <w:r>
              <w:rPr>
                <w:color w:val="231F20"/>
                <w:w w:val="105"/>
                <w:sz w:val="17"/>
              </w:rPr>
              <w:t>1.1</w:t>
            </w:r>
          </w:p>
        </w:tc>
        <w:tc>
          <w:tcPr>
            <w:tcW w:w="841" w:type="dxa"/>
            <w:tcBorders>
              <w:bottom w:val="single" w:sz="3" w:space="0" w:color="231F20"/>
            </w:tcBorders>
          </w:tcPr>
          <w:p>
            <w:pPr>
              <w:pStyle w:val="TableParagraph"/>
              <w:ind w:right="231"/>
              <w:jc w:val="right"/>
              <w:rPr>
                <w:sz w:val="17"/>
              </w:rPr>
            </w:pPr>
            <w:r>
              <w:rPr>
                <w:color w:val="231F20"/>
                <w:sz w:val="17"/>
              </w:rPr>
              <w:t>100</w:t>
            </w:r>
          </w:p>
        </w:tc>
        <w:tc>
          <w:tcPr>
            <w:tcW w:w="811" w:type="dxa"/>
            <w:tcBorders>
              <w:bottom w:val="single" w:sz="3" w:space="0" w:color="231F20"/>
            </w:tcBorders>
          </w:tcPr>
          <w:p>
            <w:pPr>
              <w:pStyle w:val="TableParagraph"/>
              <w:ind w:left="214" w:right="223"/>
              <w:rPr>
                <w:sz w:val="17"/>
              </w:rPr>
            </w:pPr>
            <w:r>
              <w:rPr>
                <w:color w:val="231F20"/>
                <w:w w:val="105"/>
                <w:sz w:val="17"/>
              </w:rPr>
              <w:t>16.4</w:t>
            </w:r>
          </w:p>
        </w:tc>
        <w:tc>
          <w:tcPr>
            <w:tcW w:w="886" w:type="dxa"/>
            <w:tcBorders>
              <w:bottom w:val="single" w:sz="3" w:space="0" w:color="231F20"/>
            </w:tcBorders>
          </w:tcPr>
          <w:p>
            <w:pPr>
              <w:pStyle w:val="TableParagraph"/>
              <w:ind w:left="225" w:right="286"/>
              <w:rPr>
                <w:sz w:val="17"/>
              </w:rPr>
            </w:pPr>
            <w:r>
              <w:rPr>
                <w:color w:val="231F20"/>
                <w:w w:val="105"/>
                <w:sz w:val="17"/>
              </w:rPr>
              <w:t>67.0</w:t>
            </w:r>
          </w:p>
        </w:tc>
        <w:tc>
          <w:tcPr>
            <w:tcW w:w="1024" w:type="dxa"/>
            <w:tcBorders>
              <w:bottom w:val="single" w:sz="3" w:space="0" w:color="231F20"/>
            </w:tcBorders>
          </w:tcPr>
          <w:p>
            <w:pPr>
              <w:pStyle w:val="TableParagraph"/>
              <w:ind w:left="289" w:right="361"/>
              <w:rPr>
                <w:sz w:val="17"/>
              </w:rPr>
            </w:pPr>
            <w:r>
              <w:rPr>
                <w:color w:val="231F20"/>
                <w:w w:val="105"/>
                <w:sz w:val="17"/>
              </w:rPr>
              <w:t>13.7</w:t>
            </w:r>
          </w:p>
        </w:tc>
        <w:tc>
          <w:tcPr>
            <w:tcW w:w="938" w:type="dxa"/>
            <w:tcBorders>
              <w:bottom w:val="single" w:sz="3" w:space="0" w:color="231F20"/>
            </w:tcBorders>
          </w:tcPr>
          <w:p>
            <w:pPr>
              <w:pStyle w:val="TableParagraph"/>
              <w:ind w:right="316"/>
              <w:jc w:val="right"/>
              <w:rPr>
                <w:sz w:val="17"/>
              </w:rPr>
            </w:pPr>
            <w:r>
              <w:rPr>
                <w:color w:val="231F20"/>
                <w:w w:val="105"/>
                <w:sz w:val="17"/>
              </w:rPr>
              <w:t>2.9</w:t>
            </w:r>
          </w:p>
        </w:tc>
        <w:tc>
          <w:tcPr>
            <w:tcW w:w="853" w:type="dxa"/>
            <w:tcBorders>
              <w:bottom w:val="single" w:sz="3" w:space="0" w:color="231F20"/>
            </w:tcBorders>
          </w:tcPr>
          <w:p>
            <w:pPr>
              <w:pStyle w:val="TableParagraph"/>
              <w:ind w:right="244"/>
              <w:jc w:val="right"/>
              <w:rPr>
                <w:sz w:val="17"/>
              </w:rPr>
            </w:pPr>
            <w:r>
              <w:rPr>
                <w:color w:val="231F20"/>
                <w:sz w:val="17"/>
              </w:rPr>
              <w:t>100</w:t>
            </w:r>
          </w:p>
        </w:tc>
      </w:tr>
    </w:tbl>
    <w:p>
      <w:pPr>
        <w:spacing w:before="63"/>
        <w:ind w:left="514" w:right="0" w:firstLine="0"/>
        <w:jc w:val="left"/>
        <w:rPr>
          <w:sz w:val="15"/>
        </w:rPr>
      </w:pPr>
      <w:r>
        <w:rPr>
          <w:color w:val="231F20"/>
          <w:w w:val="110"/>
          <w:sz w:val="15"/>
        </w:rPr>
        <w:t>Fuente: Elaboración propia con datos del Censo de Población y Vivienda de 2010, </w:t>
      </w:r>
      <w:r>
        <w:rPr>
          <w:rFonts w:ascii="Times New Roman" w:hAnsi="Times New Roman"/>
          <w:color w:val="231F20"/>
          <w:w w:val="110"/>
          <w:sz w:val="12"/>
        </w:rPr>
        <w:t>INEGI</w:t>
      </w:r>
      <w:r>
        <w:rPr>
          <w:color w:val="231F20"/>
          <w:w w:val="110"/>
          <w:sz w:val="15"/>
        </w:rPr>
        <w:t>,  2013.</w:t>
      </w:r>
    </w:p>
    <w:p>
      <w:pPr>
        <w:spacing w:after="0"/>
        <w:jc w:val="left"/>
        <w:rPr>
          <w:sz w:val="15"/>
        </w:rPr>
        <w:sectPr>
          <w:footerReference w:type="even" r:id="rId68"/>
          <w:pgSz w:w="12920" w:h="9520" w:orient="landscape"/>
          <w:pgMar w:footer="0" w:header="0" w:top="880" w:bottom="280" w:left="1240" w:right="84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pPr>
    </w:p>
    <w:p>
      <w:pPr>
        <w:spacing w:line="185" w:lineRule="exact" w:before="0"/>
        <w:ind w:left="1342" w:right="1318" w:firstLine="0"/>
        <w:jc w:val="center"/>
        <w:rPr>
          <w:sz w:val="16"/>
        </w:rPr>
      </w:pPr>
      <w:r>
        <w:rPr>
          <w:color w:val="231F20"/>
          <w:w w:val="105"/>
          <w:sz w:val="16"/>
        </w:rPr>
        <w:t>Cuadro 5</w:t>
      </w:r>
    </w:p>
    <w:p>
      <w:pPr>
        <w:spacing w:line="220" w:lineRule="exact" w:before="0"/>
        <w:ind w:left="1342" w:right="1318" w:firstLine="0"/>
        <w:jc w:val="center"/>
        <w:rPr>
          <w:sz w:val="19"/>
        </w:rPr>
      </w:pPr>
      <w:r>
        <w:rPr/>
        <w:pict>
          <v:group style="position:absolute;margin-left:153.025406pt;margin-top:32.015469pt;width:445.2pt;height:16.5pt;mso-position-horizontal-relative:page;mso-position-vertical-relative:paragraph;z-index:-456976" coordorigin="3061,640" coordsize="8904,330">
            <v:shape style="position:absolute;left:4446;top:-6095;width:2;height:8896" coordorigin="4446,-6095" coordsize="0,8896" path="m3065,791l3892,791m3892,791l4774,791m4774,791l5790,791m5790,791l6765,791m6765,791l7511,791m7511,791l8276,791m8276,791l9120,791m9120,791l10146,791m10146,791l11111,791m11111,791l11960,791e" filled="false" stroked="true" strokeweight=".4pt" strokecolor="#231f20">
              <v:path arrowok="t"/>
            </v:shape>
            <v:line style="position:absolute" from="7482,673" to="7482,937" stroked="true" strokeweight="3.3pt" strokecolor="#ffffff"/>
            <w10:wrap type="none"/>
          </v:group>
        </w:pict>
      </w:r>
      <w:r>
        <w:rPr>
          <w:color w:val="231F20"/>
          <w:w w:val="90"/>
          <w:sz w:val="19"/>
        </w:rPr>
        <w:t>Distribución porcentual de mujeres de 30-34 años por condición de unión, por entidad federativa, 1990 y 2010</w:t>
      </w:r>
    </w:p>
    <w:p>
      <w:pPr>
        <w:pStyle w:val="BodyText"/>
        <w:spacing w:before="6"/>
        <w:rPr>
          <w:sz w:val="13"/>
        </w:rPr>
      </w:pPr>
      <w:r>
        <w:rPr/>
        <w:pict>
          <v:group style="position:absolute;margin-left:69.025398pt;margin-top:9.889416pt;width:529.2pt;height:.4pt;mso-position-horizontal-relative:page;mso-position-vertical-relative:paragraph;z-index:1888;mso-wrap-distance-left:0;mso-wrap-distance-right:0" coordorigin="1381,198" coordsize="10584,8">
            <v:line style="position:absolute" from="1385,202" to="3065,202" stroked="true" strokeweight=".4pt" strokecolor="#231f20"/>
            <v:line style="position:absolute" from="3065,202" to="3892,202" stroked="true" strokeweight=".4pt" strokecolor="#231f20"/>
            <v:line style="position:absolute" from="3892,202" to="4774,202" stroked="true" strokeweight=".4pt" strokecolor="#231f20"/>
            <v:line style="position:absolute" from="4774,202" to="5790,202" stroked="true" strokeweight=".4pt" strokecolor="#231f20"/>
            <v:line style="position:absolute" from="5790,202" to="6765,202" stroked="true" strokeweight=".4pt" strokecolor="#231f20"/>
            <v:line style="position:absolute" from="6765,202" to="7511,202" stroked="true" strokeweight=".4pt" strokecolor="#231f20"/>
            <v:line style="position:absolute" from="7511,202" to="8276,202" stroked="true" strokeweight=".4pt" strokecolor="#231f20"/>
            <v:line style="position:absolute" from="8276,202" to="9120,202" stroked="true" strokeweight=".4pt" strokecolor="#231f20"/>
            <v:line style="position:absolute" from="9120,202" to="10146,202" stroked="true" strokeweight=".4pt" strokecolor="#231f20"/>
            <v:line style="position:absolute" from="10146,202" to="11111,202" stroked="true" strokeweight=".4pt" strokecolor="#231f20"/>
            <v:line style="position:absolute" from="11111,202" to="11960,202" stroked="true" strokeweight=".4pt" strokecolor="#231f20"/>
            <w10:wrap type="topAndBottom"/>
          </v:group>
        </w:pict>
      </w:r>
    </w:p>
    <w:p>
      <w:pPr>
        <w:tabs>
          <w:tab w:pos="8319" w:val="left" w:leader="none"/>
        </w:tabs>
        <w:spacing w:before="62"/>
        <w:ind w:left="3870" w:right="0" w:firstLine="0"/>
        <w:jc w:val="left"/>
        <w:rPr>
          <w:i/>
          <w:sz w:val="17"/>
        </w:rPr>
      </w:pPr>
      <w:r>
        <w:rPr>
          <w:i/>
          <w:color w:val="231F20"/>
          <w:sz w:val="17"/>
        </w:rPr>
        <w:t>1990</w:t>
        <w:tab/>
        <w:t>2010</w:t>
      </w:r>
    </w:p>
    <w:p>
      <w:pPr>
        <w:pStyle w:val="BodyText"/>
        <w:spacing w:before="6"/>
        <w:rPr>
          <w:i/>
          <w:sz w:val="7"/>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48"/>
        <w:gridCol w:w="802"/>
        <w:gridCol w:w="855"/>
        <w:gridCol w:w="1023"/>
        <w:gridCol w:w="1049"/>
        <w:gridCol w:w="632"/>
        <w:gridCol w:w="831"/>
        <w:gridCol w:w="823"/>
        <w:gridCol w:w="1016"/>
        <w:gridCol w:w="1073"/>
        <w:gridCol w:w="759"/>
      </w:tblGrid>
      <w:tr>
        <w:trPr>
          <w:trHeight w:val="547" w:hRule="exact"/>
        </w:trPr>
        <w:tc>
          <w:tcPr>
            <w:tcW w:w="2550" w:type="dxa"/>
            <w:gridSpan w:val="2"/>
            <w:tcBorders>
              <w:bottom w:val="single" w:sz="3" w:space="0" w:color="231F20"/>
            </w:tcBorders>
          </w:tcPr>
          <w:p>
            <w:pPr>
              <w:pStyle w:val="TableParagraph"/>
              <w:spacing w:line="240" w:lineRule="auto" w:before="7"/>
              <w:jc w:val="left"/>
              <w:rPr>
                <w:i/>
                <w:sz w:val="22"/>
              </w:rPr>
            </w:pPr>
          </w:p>
          <w:p>
            <w:pPr>
              <w:pStyle w:val="TableParagraph"/>
              <w:tabs>
                <w:tab w:pos="1825" w:val="left" w:leader="none"/>
              </w:tabs>
              <w:spacing w:line="240" w:lineRule="auto"/>
              <w:ind w:left="577"/>
              <w:jc w:val="left"/>
              <w:rPr>
                <w:i/>
                <w:sz w:val="17"/>
              </w:rPr>
            </w:pPr>
            <w:r>
              <w:rPr>
                <w:i/>
                <w:color w:val="231F20"/>
                <w:w w:val="105"/>
                <w:sz w:val="17"/>
              </w:rPr>
              <w:t>Entidad</w:t>
              <w:tab/>
              <w:t>Solteras</w:t>
            </w:r>
          </w:p>
        </w:tc>
        <w:tc>
          <w:tcPr>
            <w:tcW w:w="855" w:type="dxa"/>
            <w:tcBorders>
              <w:bottom w:val="single" w:sz="3" w:space="0" w:color="231F20"/>
            </w:tcBorders>
          </w:tcPr>
          <w:p>
            <w:pPr>
              <w:pStyle w:val="TableParagraph"/>
              <w:spacing w:line="240" w:lineRule="auto" w:before="7"/>
              <w:jc w:val="left"/>
              <w:rPr>
                <w:i/>
                <w:sz w:val="22"/>
              </w:rPr>
            </w:pPr>
          </w:p>
          <w:p>
            <w:pPr>
              <w:pStyle w:val="TableParagraph"/>
              <w:spacing w:line="240" w:lineRule="auto"/>
              <w:ind w:left="95" w:right="83"/>
              <w:rPr>
                <w:i/>
                <w:sz w:val="17"/>
              </w:rPr>
            </w:pPr>
            <w:r>
              <w:rPr>
                <w:i/>
                <w:color w:val="231F20"/>
                <w:w w:val="110"/>
                <w:sz w:val="17"/>
              </w:rPr>
              <w:t>Casadas</w:t>
            </w:r>
          </w:p>
        </w:tc>
        <w:tc>
          <w:tcPr>
            <w:tcW w:w="1023" w:type="dxa"/>
            <w:tcBorders>
              <w:bottom w:val="single" w:sz="3" w:space="0" w:color="231F20"/>
            </w:tcBorders>
          </w:tcPr>
          <w:p>
            <w:pPr>
              <w:pStyle w:val="TableParagraph"/>
              <w:spacing w:line="240" w:lineRule="auto" w:before="7"/>
              <w:jc w:val="left"/>
              <w:rPr>
                <w:i/>
                <w:sz w:val="22"/>
              </w:rPr>
            </w:pPr>
          </w:p>
          <w:p>
            <w:pPr>
              <w:pStyle w:val="TableParagraph"/>
              <w:spacing w:line="240" w:lineRule="auto"/>
              <w:ind w:left="94" w:right="63"/>
              <w:rPr>
                <w:i/>
                <w:sz w:val="17"/>
              </w:rPr>
            </w:pPr>
            <w:r>
              <w:rPr>
                <w:i/>
                <w:color w:val="231F20"/>
                <w:w w:val="105"/>
                <w:sz w:val="17"/>
              </w:rPr>
              <w:t>Unión libre</w:t>
            </w:r>
          </w:p>
        </w:tc>
        <w:tc>
          <w:tcPr>
            <w:tcW w:w="1049" w:type="dxa"/>
            <w:tcBorders>
              <w:bottom w:val="single" w:sz="3" w:space="0" w:color="231F20"/>
            </w:tcBorders>
          </w:tcPr>
          <w:p>
            <w:pPr>
              <w:pStyle w:val="TableParagraph"/>
              <w:spacing w:line="190" w:lineRule="exact" w:before="84"/>
              <w:ind w:left="244" w:right="104" w:hanging="172"/>
              <w:jc w:val="left"/>
              <w:rPr>
                <w:i/>
                <w:sz w:val="17"/>
              </w:rPr>
            </w:pPr>
            <w:r>
              <w:rPr>
                <w:i/>
                <w:color w:val="231F20"/>
                <w:w w:val="110"/>
                <w:sz w:val="17"/>
              </w:rPr>
              <w:t>Alguna vez </w:t>
            </w:r>
            <w:r>
              <w:rPr>
                <w:i/>
                <w:color w:val="231F20"/>
                <w:w w:val="110"/>
                <w:sz w:val="17"/>
              </w:rPr>
              <w:t>unidas</w:t>
            </w:r>
          </w:p>
        </w:tc>
        <w:tc>
          <w:tcPr>
            <w:tcW w:w="632" w:type="dxa"/>
            <w:tcBorders>
              <w:bottom w:val="single" w:sz="3" w:space="0" w:color="231F20"/>
            </w:tcBorders>
          </w:tcPr>
          <w:p>
            <w:pPr>
              <w:pStyle w:val="TableParagraph"/>
              <w:spacing w:line="240" w:lineRule="auto" w:before="7"/>
              <w:jc w:val="left"/>
              <w:rPr>
                <w:i/>
                <w:sz w:val="22"/>
              </w:rPr>
            </w:pPr>
          </w:p>
          <w:p>
            <w:pPr>
              <w:pStyle w:val="TableParagraph"/>
              <w:spacing w:line="240" w:lineRule="auto"/>
              <w:ind w:left="103" w:right="110"/>
              <w:rPr>
                <w:i/>
                <w:sz w:val="17"/>
              </w:rPr>
            </w:pPr>
            <w:r>
              <w:rPr>
                <w:i/>
                <w:color w:val="231F20"/>
                <w:sz w:val="17"/>
              </w:rPr>
              <w:t>Total</w:t>
            </w:r>
          </w:p>
        </w:tc>
        <w:tc>
          <w:tcPr>
            <w:tcW w:w="831" w:type="dxa"/>
            <w:tcBorders>
              <w:bottom w:val="single" w:sz="3" w:space="0" w:color="231F20"/>
            </w:tcBorders>
          </w:tcPr>
          <w:p>
            <w:pPr>
              <w:pStyle w:val="TableParagraph"/>
              <w:spacing w:line="240" w:lineRule="auto" w:before="7"/>
              <w:jc w:val="left"/>
              <w:rPr>
                <w:i/>
                <w:sz w:val="22"/>
              </w:rPr>
            </w:pPr>
          </w:p>
          <w:p>
            <w:pPr>
              <w:pStyle w:val="TableParagraph"/>
              <w:spacing w:line="240" w:lineRule="auto"/>
              <w:ind w:left="114" w:right="75"/>
              <w:rPr>
                <w:i/>
                <w:sz w:val="17"/>
              </w:rPr>
            </w:pPr>
            <w:r>
              <w:rPr>
                <w:i/>
                <w:color w:val="231F20"/>
                <w:w w:val="105"/>
                <w:sz w:val="17"/>
              </w:rPr>
              <w:t>Solteras</w:t>
            </w:r>
          </w:p>
        </w:tc>
        <w:tc>
          <w:tcPr>
            <w:tcW w:w="823" w:type="dxa"/>
            <w:tcBorders>
              <w:bottom w:val="single" w:sz="3" w:space="0" w:color="231F20"/>
            </w:tcBorders>
          </w:tcPr>
          <w:p>
            <w:pPr>
              <w:pStyle w:val="TableParagraph"/>
              <w:spacing w:line="240" w:lineRule="auto" w:before="7"/>
              <w:jc w:val="left"/>
              <w:rPr>
                <w:i/>
                <w:sz w:val="22"/>
              </w:rPr>
            </w:pPr>
          </w:p>
          <w:p>
            <w:pPr>
              <w:pStyle w:val="TableParagraph"/>
              <w:spacing w:line="240" w:lineRule="auto"/>
              <w:ind w:left="71" w:right="74"/>
              <w:rPr>
                <w:i/>
                <w:sz w:val="17"/>
              </w:rPr>
            </w:pPr>
            <w:r>
              <w:rPr>
                <w:i/>
                <w:color w:val="231F20"/>
                <w:w w:val="110"/>
                <w:sz w:val="17"/>
              </w:rPr>
              <w:t>Casadas</w:t>
            </w:r>
          </w:p>
        </w:tc>
        <w:tc>
          <w:tcPr>
            <w:tcW w:w="1016" w:type="dxa"/>
            <w:tcBorders>
              <w:bottom w:val="single" w:sz="3" w:space="0" w:color="231F20"/>
            </w:tcBorders>
          </w:tcPr>
          <w:p>
            <w:pPr>
              <w:pStyle w:val="TableParagraph"/>
              <w:spacing w:line="240" w:lineRule="auto" w:before="7"/>
              <w:jc w:val="left"/>
              <w:rPr>
                <w:i/>
                <w:sz w:val="22"/>
              </w:rPr>
            </w:pPr>
          </w:p>
          <w:p>
            <w:pPr>
              <w:pStyle w:val="TableParagraph"/>
              <w:spacing w:line="240" w:lineRule="auto"/>
              <w:ind w:left="87" w:right="63"/>
              <w:rPr>
                <w:i/>
                <w:sz w:val="17"/>
              </w:rPr>
            </w:pPr>
            <w:r>
              <w:rPr>
                <w:i/>
                <w:color w:val="231F20"/>
                <w:w w:val="105"/>
                <w:sz w:val="17"/>
              </w:rPr>
              <w:t>Unión libre</w:t>
            </w:r>
          </w:p>
        </w:tc>
        <w:tc>
          <w:tcPr>
            <w:tcW w:w="1073" w:type="dxa"/>
            <w:tcBorders>
              <w:bottom w:val="single" w:sz="3" w:space="0" w:color="231F20"/>
            </w:tcBorders>
          </w:tcPr>
          <w:p>
            <w:pPr>
              <w:pStyle w:val="TableParagraph"/>
              <w:spacing w:line="190" w:lineRule="exact" w:before="84"/>
              <w:ind w:left="244" w:right="127" w:hanging="172"/>
              <w:jc w:val="left"/>
              <w:rPr>
                <w:i/>
                <w:sz w:val="17"/>
              </w:rPr>
            </w:pPr>
            <w:r>
              <w:rPr>
                <w:i/>
                <w:color w:val="231F20"/>
                <w:w w:val="110"/>
                <w:sz w:val="17"/>
              </w:rPr>
              <w:t>Alguna vez </w:t>
            </w:r>
            <w:r>
              <w:rPr>
                <w:i/>
                <w:color w:val="231F20"/>
                <w:w w:val="110"/>
                <w:sz w:val="17"/>
              </w:rPr>
              <w:t>unidas</w:t>
            </w:r>
          </w:p>
        </w:tc>
        <w:tc>
          <w:tcPr>
            <w:tcW w:w="759" w:type="dxa"/>
            <w:tcBorders>
              <w:bottom w:val="single" w:sz="3" w:space="0" w:color="231F20"/>
            </w:tcBorders>
          </w:tcPr>
          <w:p>
            <w:pPr>
              <w:pStyle w:val="TableParagraph"/>
              <w:spacing w:line="240" w:lineRule="auto" w:before="7"/>
              <w:jc w:val="left"/>
              <w:rPr>
                <w:i/>
                <w:sz w:val="22"/>
              </w:rPr>
            </w:pPr>
          </w:p>
          <w:p>
            <w:pPr>
              <w:pStyle w:val="TableParagraph"/>
              <w:spacing w:line="240" w:lineRule="auto"/>
              <w:ind w:left="146"/>
              <w:jc w:val="left"/>
              <w:rPr>
                <w:i/>
                <w:sz w:val="17"/>
              </w:rPr>
            </w:pPr>
            <w:r>
              <w:rPr>
                <w:i/>
                <w:color w:val="231F20"/>
                <w:sz w:val="17"/>
              </w:rPr>
              <w:t>Total</w:t>
            </w:r>
          </w:p>
        </w:tc>
      </w:tr>
      <w:tr>
        <w:trPr>
          <w:trHeight w:val="303" w:hRule="exact"/>
        </w:trPr>
        <w:tc>
          <w:tcPr>
            <w:tcW w:w="1748" w:type="dxa"/>
          </w:tcPr>
          <w:p>
            <w:pPr>
              <w:pStyle w:val="TableParagraph"/>
              <w:spacing w:line="240" w:lineRule="auto" w:before="84"/>
              <w:ind w:left="35"/>
              <w:jc w:val="left"/>
              <w:rPr>
                <w:sz w:val="17"/>
              </w:rPr>
            </w:pPr>
            <w:r>
              <w:rPr>
                <w:color w:val="231F20"/>
                <w:w w:val="110"/>
                <w:sz w:val="17"/>
              </w:rPr>
              <w:t>Nacional</w:t>
            </w:r>
          </w:p>
        </w:tc>
        <w:tc>
          <w:tcPr>
            <w:tcW w:w="802" w:type="dxa"/>
          </w:tcPr>
          <w:p>
            <w:pPr>
              <w:pStyle w:val="TableParagraph"/>
              <w:spacing w:line="240" w:lineRule="auto" w:before="84"/>
              <w:ind w:left="214"/>
              <w:jc w:val="left"/>
              <w:rPr>
                <w:sz w:val="17"/>
              </w:rPr>
            </w:pPr>
            <w:r>
              <w:rPr>
                <w:color w:val="231F20"/>
                <w:w w:val="105"/>
                <w:sz w:val="17"/>
              </w:rPr>
              <w:t>12.0</w:t>
            </w:r>
          </w:p>
        </w:tc>
        <w:tc>
          <w:tcPr>
            <w:tcW w:w="855" w:type="dxa"/>
          </w:tcPr>
          <w:p>
            <w:pPr>
              <w:pStyle w:val="TableParagraph"/>
              <w:spacing w:line="240" w:lineRule="auto" w:before="84"/>
              <w:ind w:left="95" w:right="83"/>
              <w:rPr>
                <w:sz w:val="17"/>
              </w:rPr>
            </w:pPr>
            <w:r>
              <w:rPr>
                <w:color w:val="231F20"/>
                <w:w w:val="105"/>
                <w:sz w:val="17"/>
              </w:rPr>
              <w:t>72.1</w:t>
            </w:r>
          </w:p>
        </w:tc>
        <w:tc>
          <w:tcPr>
            <w:tcW w:w="1023" w:type="dxa"/>
          </w:tcPr>
          <w:p>
            <w:pPr>
              <w:pStyle w:val="TableParagraph"/>
              <w:spacing w:line="240" w:lineRule="auto" w:before="84"/>
              <w:ind w:left="94" w:right="20"/>
              <w:rPr>
                <w:sz w:val="17"/>
              </w:rPr>
            </w:pPr>
            <w:r>
              <w:rPr>
                <w:color w:val="231F20"/>
                <w:w w:val="105"/>
                <w:sz w:val="17"/>
              </w:rPr>
              <w:t>10.3</w:t>
            </w:r>
          </w:p>
        </w:tc>
        <w:tc>
          <w:tcPr>
            <w:tcW w:w="1049" w:type="dxa"/>
          </w:tcPr>
          <w:p>
            <w:pPr>
              <w:pStyle w:val="TableParagraph"/>
              <w:spacing w:line="240" w:lineRule="auto" w:before="84"/>
              <w:ind w:left="314" w:right="361"/>
              <w:rPr>
                <w:sz w:val="17"/>
              </w:rPr>
            </w:pPr>
            <w:r>
              <w:rPr>
                <w:color w:val="231F20"/>
                <w:w w:val="105"/>
                <w:sz w:val="17"/>
              </w:rPr>
              <w:t>5.6</w:t>
            </w:r>
          </w:p>
        </w:tc>
        <w:tc>
          <w:tcPr>
            <w:tcW w:w="632" w:type="dxa"/>
          </w:tcPr>
          <w:p>
            <w:pPr>
              <w:pStyle w:val="TableParagraph"/>
              <w:spacing w:line="240" w:lineRule="auto" w:before="84"/>
              <w:ind w:left="103" w:right="110"/>
              <w:rPr>
                <w:sz w:val="17"/>
              </w:rPr>
            </w:pPr>
            <w:r>
              <w:rPr>
                <w:color w:val="231F20"/>
                <w:sz w:val="17"/>
              </w:rPr>
              <w:t>100</w:t>
            </w:r>
          </w:p>
        </w:tc>
        <w:tc>
          <w:tcPr>
            <w:tcW w:w="831" w:type="dxa"/>
          </w:tcPr>
          <w:p>
            <w:pPr>
              <w:pStyle w:val="TableParagraph"/>
              <w:spacing w:line="240" w:lineRule="auto" w:before="84"/>
              <w:ind w:left="106" w:right="75"/>
              <w:rPr>
                <w:sz w:val="17"/>
              </w:rPr>
            </w:pPr>
            <w:r>
              <w:rPr>
                <w:color w:val="231F20"/>
                <w:w w:val="105"/>
                <w:sz w:val="17"/>
              </w:rPr>
              <w:t>17.1</w:t>
            </w:r>
          </w:p>
        </w:tc>
        <w:tc>
          <w:tcPr>
            <w:tcW w:w="823" w:type="dxa"/>
          </w:tcPr>
          <w:p>
            <w:pPr>
              <w:pStyle w:val="TableParagraph"/>
              <w:spacing w:line="240" w:lineRule="auto" w:before="84"/>
              <w:ind w:left="71" w:right="74"/>
              <w:rPr>
                <w:sz w:val="17"/>
              </w:rPr>
            </w:pPr>
            <w:r>
              <w:rPr>
                <w:color w:val="231F20"/>
                <w:w w:val="105"/>
                <w:sz w:val="17"/>
              </w:rPr>
              <w:t>53.4</w:t>
            </w:r>
          </w:p>
        </w:tc>
        <w:tc>
          <w:tcPr>
            <w:tcW w:w="1016" w:type="dxa"/>
          </w:tcPr>
          <w:p>
            <w:pPr>
              <w:pStyle w:val="TableParagraph"/>
              <w:spacing w:line="240" w:lineRule="auto" w:before="84"/>
              <w:ind w:left="87" w:right="50"/>
              <w:rPr>
                <w:sz w:val="17"/>
              </w:rPr>
            </w:pPr>
            <w:r>
              <w:rPr>
                <w:color w:val="231F20"/>
                <w:w w:val="105"/>
                <w:sz w:val="17"/>
              </w:rPr>
              <w:t>20.8</w:t>
            </w:r>
          </w:p>
        </w:tc>
        <w:tc>
          <w:tcPr>
            <w:tcW w:w="1073" w:type="dxa"/>
          </w:tcPr>
          <w:p>
            <w:pPr>
              <w:pStyle w:val="TableParagraph"/>
              <w:spacing w:line="240" w:lineRule="auto" w:before="84"/>
              <w:ind w:left="381" w:right="127"/>
              <w:jc w:val="left"/>
              <w:rPr>
                <w:sz w:val="17"/>
              </w:rPr>
            </w:pPr>
            <w:r>
              <w:rPr>
                <w:color w:val="231F20"/>
                <w:w w:val="105"/>
                <w:sz w:val="17"/>
              </w:rPr>
              <w:t>8.7</w:t>
            </w:r>
          </w:p>
        </w:tc>
        <w:tc>
          <w:tcPr>
            <w:tcW w:w="759" w:type="dxa"/>
          </w:tcPr>
          <w:p>
            <w:pPr>
              <w:pStyle w:val="TableParagraph"/>
              <w:spacing w:line="240" w:lineRule="auto" w:before="84"/>
              <w:ind w:left="190"/>
              <w:jc w:val="left"/>
              <w:rPr>
                <w:sz w:val="17"/>
              </w:rPr>
            </w:pPr>
            <w:r>
              <w:rPr>
                <w:color w:val="231F20"/>
                <w:sz w:val="17"/>
              </w:rPr>
              <w:t>100</w:t>
            </w:r>
          </w:p>
        </w:tc>
      </w:tr>
      <w:tr>
        <w:trPr>
          <w:trHeight w:val="210" w:hRule="exact"/>
        </w:trPr>
        <w:tc>
          <w:tcPr>
            <w:tcW w:w="1748" w:type="dxa"/>
          </w:tcPr>
          <w:p>
            <w:pPr>
              <w:pStyle w:val="TableParagraph"/>
              <w:ind w:left="35"/>
              <w:jc w:val="left"/>
              <w:rPr>
                <w:sz w:val="17"/>
              </w:rPr>
            </w:pPr>
            <w:r>
              <w:rPr>
                <w:color w:val="231F20"/>
                <w:w w:val="110"/>
                <w:sz w:val="17"/>
              </w:rPr>
              <w:t>Aguascalientes</w:t>
            </w:r>
          </w:p>
        </w:tc>
        <w:tc>
          <w:tcPr>
            <w:tcW w:w="802" w:type="dxa"/>
          </w:tcPr>
          <w:p>
            <w:pPr>
              <w:pStyle w:val="TableParagraph"/>
              <w:ind w:left="214"/>
              <w:jc w:val="left"/>
              <w:rPr>
                <w:sz w:val="17"/>
              </w:rPr>
            </w:pPr>
            <w:r>
              <w:rPr>
                <w:color w:val="231F20"/>
                <w:w w:val="105"/>
                <w:sz w:val="17"/>
              </w:rPr>
              <w:t>15.2</w:t>
            </w:r>
          </w:p>
        </w:tc>
        <w:tc>
          <w:tcPr>
            <w:tcW w:w="855" w:type="dxa"/>
          </w:tcPr>
          <w:p>
            <w:pPr>
              <w:pStyle w:val="TableParagraph"/>
              <w:ind w:left="95" w:right="83"/>
              <w:rPr>
                <w:sz w:val="17"/>
              </w:rPr>
            </w:pPr>
            <w:r>
              <w:rPr>
                <w:color w:val="231F20"/>
                <w:w w:val="105"/>
                <w:sz w:val="17"/>
              </w:rPr>
              <w:t>77.9</w:t>
            </w:r>
          </w:p>
        </w:tc>
        <w:tc>
          <w:tcPr>
            <w:tcW w:w="1023" w:type="dxa"/>
          </w:tcPr>
          <w:p>
            <w:pPr>
              <w:pStyle w:val="TableParagraph"/>
              <w:ind w:left="233" w:right="63"/>
              <w:rPr>
                <w:sz w:val="17"/>
              </w:rPr>
            </w:pPr>
            <w:r>
              <w:rPr>
                <w:color w:val="231F20"/>
                <w:w w:val="105"/>
                <w:sz w:val="17"/>
              </w:rPr>
              <w:t>3.0</w:t>
            </w:r>
          </w:p>
        </w:tc>
        <w:tc>
          <w:tcPr>
            <w:tcW w:w="1049" w:type="dxa"/>
          </w:tcPr>
          <w:p>
            <w:pPr>
              <w:pStyle w:val="TableParagraph"/>
              <w:ind w:left="314" w:right="361"/>
              <w:rPr>
                <w:sz w:val="17"/>
              </w:rPr>
            </w:pPr>
            <w:r>
              <w:rPr>
                <w:color w:val="231F20"/>
                <w:w w:val="105"/>
                <w:sz w:val="17"/>
              </w:rPr>
              <w:t>3.9</w:t>
            </w:r>
          </w:p>
        </w:tc>
        <w:tc>
          <w:tcPr>
            <w:tcW w:w="632" w:type="dxa"/>
          </w:tcPr>
          <w:p>
            <w:pPr>
              <w:pStyle w:val="TableParagraph"/>
              <w:ind w:left="103" w:right="110"/>
              <w:rPr>
                <w:sz w:val="17"/>
              </w:rPr>
            </w:pPr>
            <w:r>
              <w:rPr>
                <w:color w:val="231F20"/>
                <w:sz w:val="17"/>
              </w:rPr>
              <w:t>100</w:t>
            </w:r>
          </w:p>
        </w:tc>
        <w:tc>
          <w:tcPr>
            <w:tcW w:w="831" w:type="dxa"/>
          </w:tcPr>
          <w:p>
            <w:pPr>
              <w:pStyle w:val="TableParagraph"/>
              <w:ind w:left="106" w:right="75"/>
              <w:rPr>
                <w:sz w:val="17"/>
              </w:rPr>
            </w:pPr>
            <w:r>
              <w:rPr>
                <w:color w:val="231F20"/>
                <w:w w:val="105"/>
                <w:sz w:val="17"/>
              </w:rPr>
              <w:t>17.5</w:t>
            </w:r>
          </w:p>
        </w:tc>
        <w:tc>
          <w:tcPr>
            <w:tcW w:w="823" w:type="dxa"/>
          </w:tcPr>
          <w:p>
            <w:pPr>
              <w:pStyle w:val="TableParagraph"/>
              <w:ind w:left="71" w:right="74"/>
              <w:rPr>
                <w:sz w:val="17"/>
              </w:rPr>
            </w:pPr>
            <w:r>
              <w:rPr>
                <w:color w:val="231F20"/>
                <w:w w:val="105"/>
                <w:sz w:val="17"/>
              </w:rPr>
              <w:t>64.2</w:t>
            </w:r>
          </w:p>
        </w:tc>
        <w:tc>
          <w:tcPr>
            <w:tcW w:w="1016" w:type="dxa"/>
          </w:tcPr>
          <w:p>
            <w:pPr>
              <w:pStyle w:val="TableParagraph"/>
              <w:ind w:left="87" w:right="50"/>
              <w:rPr>
                <w:sz w:val="17"/>
              </w:rPr>
            </w:pPr>
            <w:r>
              <w:rPr>
                <w:color w:val="231F20"/>
                <w:w w:val="105"/>
                <w:sz w:val="17"/>
              </w:rPr>
              <w:t>11.0</w:t>
            </w:r>
          </w:p>
        </w:tc>
        <w:tc>
          <w:tcPr>
            <w:tcW w:w="1073" w:type="dxa"/>
          </w:tcPr>
          <w:p>
            <w:pPr>
              <w:pStyle w:val="TableParagraph"/>
              <w:ind w:left="381" w:right="127"/>
              <w:jc w:val="left"/>
              <w:rPr>
                <w:sz w:val="17"/>
              </w:rPr>
            </w:pPr>
            <w:r>
              <w:rPr>
                <w:color w:val="231F20"/>
                <w:w w:val="105"/>
                <w:sz w:val="17"/>
              </w:rPr>
              <w:t>7.3</w:t>
            </w:r>
          </w:p>
        </w:tc>
        <w:tc>
          <w:tcPr>
            <w:tcW w:w="759" w:type="dxa"/>
          </w:tcPr>
          <w:p>
            <w:pPr>
              <w:pStyle w:val="TableParagraph"/>
              <w:ind w:left="190"/>
              <w:jc w:val="left"/>
              <w:rPr>
                <w:sz w:val="17"/>
              </w:rPr>
            </w:pPr>
            <w:r>
              <w:rPr>
                <w:color w:val="231F20"/>
                <w:sz w:val="17"/>
              </w:rPr>
              <w:t>100</w:t>
            </w:r>
          </w:p>
        </w:tc>
      </w:tr>
      <w:tr>
        <w:trPr>
          <w:trHeight w:val="210" w:hRule="exact"/>
        </w:trPr>
        <w:tc>
          <w:tcPr>
            <w:tcW w:w="1748" w:type="dxa"/>
          </w:tcPr>
          <w:p>
            <w:pPr>
              <w:pStyle w:val="TableParagraph"/>
              <w:ind w:left="35"/>
              <w:jc w:val="left"/>
              <w:rPr>
                <w:sz w:val="17"/>
              </w:rPr>
            </w:pPr>
            <w:r>
              <w:rPr>
                <w:color w:val="231F20"/>
                <w:w w:val="110"/>
                <w:sz w:val="17"/>
              </w:rPr>
              <w:t>Baja California</w:t>
            </w:r>
          </w:p>
        </w:tc>
        <w:tc>
          <w:tcPr>
            <w:tcW w:w="802" w:type="dxa"/>
          </w:tcPr>
          <w:p>
            <w:pPr>
              <w:pStyle w:val="TableParagraph"/>
              <w:ind w:left="214"/>
              <w:jc w:val="left"/>
              <w:rPr>
                <w:sz w:val="17"/>
              </w:rPr>
            </w:pPr>
            <w:r>
              <w:rPr>
                <w:color w:val="231F20"/>
                <w:w w:val="105"/>
                <w:sz w:val="17"/>
              </w:rPr>
              <w:t>12.1</w:t>
            </w:r>
          </w:p>
        </w:tc>
        <w:tc>
          <w:tcPr>
            <w:tcW w:w="855" w:type="dxa"/>
          </w:tcPr>
          <w:p>
            <w:pPr>
              <w:pStyle w:val="TableParagraph"/>
              <w:ind w:left="95" w:right="83"/>
              <w:rPr>
                <w:sz w:val="17"/>
              </w:rPr>
            </w:pPr>
            <w:r>
              <w:rPr>
                <w:color w:val="231F20"/>
                <w:w w:val="105"/>
                <w:sz w:val="17"/>
              </w:rPr>
              <w:t>68.3</w:t>
            </w:r>
          </w:p>
        </w:tc>
        <w:tc>
          <w:tcPr>
            <w:tcW w:w="1023" w:type="dxa"/>
          </w:tcPr>
          <w:p>
            <w:pPr>
              <w:pStyle w:val="TableParagraph"/>
              <w:ind w:left="94" w:right="20"/>
              <w:rPr>
                <w:sz w:val="17"/>
              </w:rPr>
            </w:pPr>
            <w:r>
              <w:rPr>
                <w:color w:val="231F20"/>
                <w:w w:val="105"/>
                <w:sz w:val="17"/>
              </w:rPr>
              <w:t>13.8</w:t>
            </w:r>
          </w:p>
        </w:tc>
        <w:tc>
          <w:tcPr>
            <w:tcW w:w="1049" w:type="dxa"/>
          </w:tcPr>
          <w:p>
            <w:pPr>
              <w:pStyle w:val="TableParagraph"/>
              <w:ind w:left="314" w:right="361"/>
              <w:rPr>
                <w:sz w:val="17"/>
              </w:rPr>
            </w:pPr>
            <w:r>
              <w:rPr>
                <w:color w:val="231F20"/>
                <w:w w:val="105"/>
                <w:sz w:val="17"/>
              </w:rPr>
              <w:t>5.8</w:t>
            </w:r>
          </w:p>
        </w:tc>
        <w:tc>
          <w:tcPr>
            <w:tcW w:w="632" w:type="dxa"/>
          </w:tcPr>
          <w:p>
            <w:pPr>
              <w:pStyle w:val="TableParagraph"/>
              <w:ind w:left="103" w:right="110"/>
              <w:rPr>
                <w:sz w:val="17"/>
              </w:rPr>
            </w:pPr>
            <w:r>
              <w:rPr>
                <w:color w:val="231F20"/>
                <w:sz w:val="17"/>
              </w:rPr>
              <w:t>100</w:t>
            </w:r>
          </w:p>
        </w:tc>
        <w:tc>
          <w:tcPr>
            <w:tcW w:w="831" w:type="dxa"/>
          </w:tcPr>
          <w:p>
            <w:pPr>
              <w:pStyle w:val="TableParagraph"/>
              <w:ind w:left="106" w:right="75"/>
              <w:rPr>
                <w:sz w:val="17"/>
              </w:rPr>
            </w:pPr>
            <w:r>
              <w:rPr>
                <w:color w:val="231F20"/>
                <w:w w:val="105"/>
                <w:sz w:val="17"/>
              </w:rPr>
              <w:t>13.9</w:t>
            </w:r>
          </w:p>
        </w:tc>
        <w:tc>
          <w:tcPr>
            <w:tcW w:w="823" w:type="dxa"/>
          </w:tcPr>
          <w:p>
            <w:pPr>
              <w:pStyle w:val="TableParagraph"/>
              <w:ind w:left="71" w:right="74"/>
              <w:rPr>
                <w:sz w:val="17"/>
              </w:rPr>
            </w:pPr>
            <w:r>
              <w:rPr>
                <w:color w:val="231F20"/>
                <w:w w:val="105"/>
                <w:sz w:val="17"/>
              </w:rPr>
              <w:t>48.1</w:t>
            </w:r>
          </w:p>
        </w:tc>
        <w:tc>
          <w:tcPr>
            <w:tcW w:w="1016" w:type="dxa"/>
          </w:tcPr>
          <w:p>
            <w:pPr>
              <w:pStyle w:val="TableParagraph"/>
              <w:ind w:left="87" w:right="50"/>
              <w:rPr>
                <w:sz w:val="17"/>
              </w:rPr>
            </w:pPr>
            <w:r>
              <w:rPr>
                <w:color w:val="231F20"/>
                <w:w w:val="105"/>
                <w:sz w:val="17"/>
              </w:rPr>
              <w:t>27.6</w:t>
            </w:r>
          </w:p>
        </w:tc>
        <w:tc>
          <w:tcPr>
            <w:tcW w:w="1073" w:type="dxa"/>
          </w:tcPr>
          <w:p>
            <w:pPr>
              <w:pStyle w:val="TableParagraph"/>
              <w:ind w:left="333" w:right="127"/>
              <w:jc w:val="left"/>
              <w:rPr>
                <w:sz w:val="17"/>
              </w:rPr>
            </w:pPr>
            <w:r>
              <w:rPr>
                <w:color w:val="231F20"/>
                <w:w w:val="105"/>
                <w:sz w:val="17"/>
              </w:rPr>
              <w:t>10.4</w:t>
            </w:r>
          </w:p>
        </w:tc>
        <w:tc>
          <w:tcPr>
            <w:tcW w:w="759" w:type="dxa"/>
          </w:tcPr>
          <w:p>
            <w:pPr>
              <w:pStyle w:val="TableParagraph"/>
              <w:ind w:left="190"/>
              <w:jc w:val="left"/>
              <w:rPr>
                <w:sz w:val="17"/>
              </w:rPr>
            </w:pPr>
            <w:r>
              <w:rPr>
                <w:color w:val="231F20"/>
                <w:sz w:val="17"/>
              </w:rPr>
              <w:t>100</w:t>
            </w:r>
          </w:p>
        </w:tc>
      </w:tr>
      <w:tr>
        <w:trPr>
          <w:trHeight w:val="210" w:hRule="exact"/>
        </w:trPr>
        <w:tc>
          <w:tcPr>
            <w:tcW w:w="1748" w:type="dxa"/>
          </w:tcPr>
          <w:p>
            <w:pPr>
              <w:pStyle w:val="TableParagraph"/>
              <w:ind w:left="35"/>
              <w:jc w:val="left"/>
              <w:rPr>
                <w:sz w:val="17"/>
              </w:rPr>
            </w:pPr>
            <w:r>
              <w:rPr>
                <w:color w:val="231F20"/>
                <w:w w:val="110"/>
                <w:sz w:val="17"/>
              </w:rPr>
              <w:t>Baja California Sur</w:t>
            </w:r>
          </w:p>
        </w:tc>
        <w:tc>
          <w:tcPr>
            <w:tcW w:w="802" w:type="dxa"/>
          </w:tcPr>
          <w:p>
            <w:pPr>
              <w:pStyle w:val="TableParagraph"/>
              <w:ind w:left="214"/>
              <w:jc w:val="left"/>
              <w:rPr>
                <w:sz w:val="17"/>
              </w:rPr>
            </w:pPr>
            <w:r>
              <w:rPr>
                <w:color w:val="231F20"/>
                <w:w w:val="105"/>
                <w:sz w:val="17"/>
              </w:rPr>
              <w:t>10.6</w:t>
            </w:r>
          </w:p>
        </w:tc>
        <w:tc>
          <w:tcPr>
            <w:tcW w:w="855" w:type="dxa"/>
          </w:tcPr>
          <w:p>
            <w:pPr>
              <w:pStyle w:val="TableParagraph"/>
              <w:ind w:left="95" w:right="83"/>
              <w:rPr>
                <w:sz w:val="17"/>
              </w:rPr>
            </w:pPr>
            <w:r>
              <w:rPr>
                <w:color w:val="231F20"/>
                <w:w w:val="105"/>
                <w:sz w:val="17"/>
              </w:rPr>
              <w:t>72.3</w:t>
            </w:r>
          </w:p>
        </w:tc>
        <w:tc>
          <w:tcPr>
            <w:tcW w:w="1023" w:type="dxa"/>
          </w:tcPr>
          <w:p>
            <w:pPr>
              <w:pStyle w:val="TableParagraph"/>
              <w:ind w:left="94" w:right="20"/>
              <w:rPr>
                <w:sz w:val="17"/>
              </w:rPr>
            </w:pPr>
            <w:r>
              <w:rPr>
                <w:color w:val="231F20"/>
                <w:w w:val="105"/>
                <w:sz w:val="17"/>
              </w:rPr>
              <w:t>11.9</w:t>
            </w:r>
          </w:p>
        </w:tc>
        <w:tc>
          <w:tcPr>
            <w:tcW w:w="1049" w:type="dxa"/>
          </w:tcPr>
          <w:p>
            <w:pPr>
              <w:pStyle w:val="TableParagraph"/>
              <w:ind w:left="314" w:right="361"/>
              <w:rPr>
                <w:sz w:val="17"/>
              </w:rPr>
            </w:pPr>
            <w:r>
              <w:rPr>
                <w:color w:val="231F20"/>
                <w:w w:val="105"/>
                <w:sz w:val="17"/>
              </w:rPr>
              <w:t>5.2</w:t>
            </w:r>
          </w:p>
        </w:tc>
        <w:tc>
          <w:tcPr>
            <w:tcW w:w="632" w:type="dxa"/>
          </w:tcPr>
          <w:p>
            <w:pPr>
              <w:pStyle w:val="TableParagraph"/>
              <w:ind w:left="103" w:right="110"/>
              <w:rPr>
                <w:sz w:val="17"/>
              </w:rPr>
            </w:pPr>
            <w:r>
              <w:rPr>
                <w:color w:val="231F20"/>
                <w:sz w:val="17"/>
              </w:rPr>
              <w:t>100</w:t>
            </w:r>
          </w:p>
        </w:tc>
        <w:tc>
          <w:tcPr>
            <w:tcW w:w="831" w:type="dxa"/>
          </w:tcPr>
          <w:p>
            <w:pPr>
              <w:pStyle w:val="TableParagraph"/>
              <w:ind w:left="106" w:right="75"/>
              <w:rPr>
                <w:sz w:val="17"/>
              </w:rPr>
            </w:pPr>
            <w:r>
              <w:rPr>
                <w:color w:val="231F20"/>
                <w:w w:val="105"/>
                <w:sz w:val="17"/>
              </w:rPr>
              <w:t>13.6</w:t>
            </w:r>
          </w:p>
        </w:tc>
        <w:tc>
          <w:tcPr>
            <w:tcW w:w="823" w:type="dxa"/>
          </w:tcPr>
          <w:p>
            <w:pPr>
              <w:pStyle w:val="TableParagraph"/>
              <w:ind w:left="71" w:right="74"/>
              <w:rPr>
                <w:sz w:val="17"/>
              </w:rPr>
            </w:pPr>
            <w:r>
              <w:rPr>
                <w:color w:val="231F20"/>
                <w:w w:val="105"/>
                <w:sz w:val="17"/>
              </w:rPr>
              <w:t>50.6</w:t>
            </w:r>
          </w:p>
        </w:tc>
        <w:tc>
          <w:tcPr>
            <w:tcW w:w="1016" w:type="dxa"/>
          </w:tcPr>
          <w:p>
            <w:pPr>
              <w:pStyle w:val="TableParagraph"/>
              <w:ind w:left="87" w:right="50"/>
              <w:rPr>
                <w:sz w:val="17"/>
              </w:rPr>
            </w:pPr>
            <w:r>
              <w:rPr>
                <w:color w:val="231F20"/>
                <w:w w:val="105"/>
                <w:sz w:val="17"/>
              </w:rPr>
              <w:t>26.9</w:t>
            </w:r>
          </w:p>
        </w:tc>
        <w:tc>
          <w:tcPr>
            <w:tcW w:w="1073" w:type="dxa"/>
          </w:tcPr>
          <w:p>
            <w:pPr>
              <w:pStyle w:val="TableParagraph"/>
              <w:ind w:left="381" w:right="127"/>
              <w:jc w:val="left"/>
              <w:rPr>
                <w:sz w:val="17"/>
              </w:rPr>
            </w:pPr>
            <w:r>
              <w:rPr>
                <w:color w:val="231F20"/>
                <w:w w:val="105"/>
                <w:sz w:val="17"/>
              </w:rPr>
              <w:t>8.9</w:t>
            </w:r>
          </w:p>
        </w:tc>
        <w:tc>
          <w:tcPr>
            <w:tcW w:w="759" w:type="dxa"/>
          </w:tcPr>
          <w:p>
            <w:pPr>
              <w:pStyle w:val="TableParagraph"/>
              <w:ind w:left="190"/>
              <w:jc w:val="left"/>
              <w:rPr>
                <w:sz w:val="17"/>
              </w:rPr>
            </w:pPr>
            <w:r>
              <w:rPr>
                <w:color w:val="231F20"/>
                <w:sz w:val="17"/>
              </w:rPr>
              <w:t>100</w:t>
            </w:r>
          </w:p>
        </w:tc>
      </w:tr>
      <w:tr>
        <w:trPr>
          <w:trHeight w:val="210" w:hRule="exact"/>
        </w:trPr>
        <w:tc>
          <w:tcPr>
            <w:tcW w:w="1748" w:type="dxa"/>
          </w:tcPr>
          <w:p>
            <w:pPr>
              <w:pStyle w:val="TableParagraph"/>
              <w:ind w:left="35"/>
              <w:jc w:val="left"/>
              <w:rPr>
                <w:sz w:val="17"/>
              </w:rPr>
            </w:pPr>
            <w:r>
              <w:rPr>
                <w:color w:val="231F20"/>
                <w:w w:val="110"/>
                <w:sz w:val="17"/>
              </w:rPr>
              <w:t>Campeche</w:t>
            </w:r>
          </w:p>
        </w:tc>
        <w:tc>
          <w:tcPr>
            <w:tcW w:w="802" w:type="dxa"/>
          </w:tcPr>
          <w:p>
            <w:pPr>
              <w:pStyle w:val="TableParagraph"/>
              <w:ind w:left="262"/>
              <w:jc w:val="left"/>
              <w:rPr>
                <w:sz w:val="17"/>
              </w:rPr>
            </w:pPr>
            <w:r>
              <w:rPr>
                <w:color w:val="231F20"/>
                <w:w w:val="105"/>
                <w:sz w:val="17"/>
              </w:rPr>
              <w:t>8.1</w:t>
            </w:r>
          </w:p>
        </w:tc>
        <w:tc>
          <w:tcPr>
            <w:tcW w:w="855" w:type="dxa"/>
          </w:tcPr>
          <w:p>
            <w:pPr>
              <w:pStyle w:val="TableParagraph"/>
              <w:ind w:left="95" w:right="83"/>
              <w:rPr>
                <w:sz w:val="17"/>
              </w:rPr>
            </w:pPr>
            <w:r>
              <w:rPr>
                <w:color w:val="231F20"/>
                <w:w w:val="105"/>
                <w:sz w:val="17"/>
              </w:rPr>
              <w:t>78.0</w:t>
            </w:r>
          </w:p>
        </w:tc>
        <w:tc>
          <w:tcPr>
            <w:tcW w:w="1023" w:type="dxa"/>
          </w:tcPr>
          <w:p>
            <w:pPr>
              <w:pStyle w:val="TableParagraph"/>
              <w:ind w:left="233" w:right="63"/>
              <w:rPr>
                <w:sz w:val="17"/>
              </w:rPr>
            </w:pPr>
            <w:r>
              <w:rPr>
                <w:color w:val="231F20"/>
                <w:w w:val="105"/>
                <w:sz w:val="17"/>
              </w:rPr>
              <w:t>8.8</w:t>
            </w:r>
          </w:p>
        </w:tc>
        <w:tc>
          <w:tcPr>
            <w:tcW w:w="1049" w:type="dxa"/>
          </w:tcPr>
          <w:p>
            <w:pPr>
              <w:pStyle w:val="TableParagraph"/>
              <w:ind w:left="314" w:right="361"/>
              <w:rPr>
                <w:sz w:val="17"/>
              </w:rPr>
            </w:pPr>
            <w:r>
              <w:rPr>
                <w:color w:val="231F20"/>
                <w:w w:val="105"/>
                <w:sz w:val="17"/>
              </w:rPr>
              <w:t>5.1</w:t>
            </w:r>
          </w:p>
        </w:tc>
        <w:tc>
          <w:tcPr>
            <w:tcW w:w="632" w:type="dxa"/>
          </w:tcPr>
          <w:p>
            <w:pPr>
              <w:pStyle w:val="TableParagraph"/>
              <w:ind w:left="103" w:right="110"/>
              <w:rPr>
                <w:sz w:val="17"/>
              </w:rPr>
            </w:pPr>
            <w:r>
              <w:rPr>
                <w:color w:val="231F20"/>
                <w:sz w:val="17"/>
              </w:rPr>
              <w:t>100</w:t>
            </w:r>
          </w:p>
        </w:tc>
        <w:tc>
          <w:tcPr>
            <w:tcW w:w="831" w:type="dxa"/>
          </w:tcPr>
          <w:p>
            <w:pPr>
              <w:pStyle w:val="TableParagraph"/>
              <w:ind w:left="106" w:right="75"/>
              <w:rPr>
                <w:sz w:val="17"/>
              </w:rPr>
            </w:pPr>
            <w:r>
              <w:rPr>
                <w:color w:val="231F20"/>
                <w:w w:val="105"/>
                <w:sz w:val="17"/>
              </w:rPr>
              <w:t>13.5</w:t>
            </w:r>
          </w:p>
        </w:tc>
        <w:tc>
          <w:tcPr>
            <w:tcW w:w="823" w:type="dxa"/>
          </w:tcPr>
          <w:p>
            <w:pPr>
              <w:pStyle w:val="TableParagraph"/>
              <w:ind w:left="71" w:right="74"/>
              <w:rPr>
                <w:sz w:val="17"/>
              </w:rPr>
            </w:pPr>
            <w:r>
              <w:rPr>
                <w:color w:val="231F20"/>
                <w:w w:val="105"/>
                <w:sz w:val="17"/>
              </w:rPr>
              <w:t>59.5</w:t>
            </w:r>
          </w:p>
        </w:tc>
        <w:tc>
          <w:tcPr>
            <w:tcW w:w="1016" w:type="dxa"/>
          </w:tcPr>
          <w:p>
            <w:pPr>
              <w:pStyle w:val="TableParagraph"/>
              <w:ind w:left="87" w:right="50"/>
              <w:rPr>
                <w:sz w:val="17"/>
              </w:rPr>
            </w:pPr>
            <w:r>
              <w:rPr>
                <w:color w:val="231F20"/>
                <w:w w:val="105"/>
                <w:sz w:val="17"/>
              </w:rPr>
              <w:t>18.1</w:t>
            </w:r>
          </w:p>
        </w:tc>
        <w:tc>
          <w:tcPr>
            <w:tcW w:w="1073" w:type="dxa"/>
          </w:tcPr>
          <w:p>
            <w:pPr>
              <w:pStyle w:val="TableParagraph"/>
              <w:ind w:left="381" w:right="127"/>
              <w:jc w:val="left"/>
              <w:rPr>
                <w:sz w:val="17"/>
              </w:rPr>
            </w:pPr>
            <w:r>
              <w:rPr>
                <w:color w:val="231F20"/>
                <w:w w:val="105"/>
                <w:sz w:val="17"/>
              </w:rPr>
              <w:t>8.9</w:t>
            </w:r>
          </w:p>
        </w:tc>
        <w:tc>
          <w:tcPr>
            <w:tcW w:w="759" w:type="dxa"/>
          </w:tcPr>
          <w:p>
            <w:pPr>
              <w:pStyle w:val="TableParagraph"/>
              <w:ind w:left="190"/>
              <w:jc w:val="left"/>
              <w:rPr>
                <w:sz w:val="17"/>
              </w:rPr>
            </w:pPr>
            <w:r>
              <w:rPr>
                <w:color w:val="231F20"/>
                <w:sz w:val="17"/>
              </w:rPr>
              <w:t>100</w:t>
            </w:r>
          </w:p>
        </w:tc>
      </w:tr>
      <w:tr>
        <w:trPr>
          <w:trHeight w:val="210" w:hRule="exact"/>
        </w:trPr>
        <w:tc>
          <w:tcPr>
            <w:tcW w:w="1748" w:type="dxa"/>
          </w:tcPr>
          <w:p>
            <w:pPr>
              <w:pStyle w:val="TableParagraph"/>
              <w:ind w:left="35"/>
              <w:jc w:val="left"/>
              <w:rPr>
                <w:sz w:val="17"/>
              </w:rPr>
            </w:pPr>
            <w:r>
              <w:rPr>
                <w:color w:val="231F20"/>
                <w:w w:val="110"/>
                <w:sz w:val="17"/>
              </w:rPr>
              <w:t>Coahuila</w:t>
            </w:r>
          </w:p>
        </w:tc>
        <w:tc>
          <w:tcPr>
            <w:tcW w:w="802" w:type="dxa"/>
          </w:tcPr>
          <w:p>
            <w:pPr>
              <w:pStyle w:val="TableParagraph"/>
              <w:ind w:left="214"/>
              <w:jc w:val="left"/>
              <w:rPr>
                <w:sz w:val="17"/>
              </w:rPr>
            </w:pPr>
            <w:r>
              <w:rPr>
                <w:color w:val="231F20"/>
                <w:w w:val="105"/>
                <w:sz w:val="17"/>
              </w:rPr>
              <w:t>10.6</w:t>
            </w:r>
          </w:p>
        </w:tc>
        <w:tc>
          <w:tcPr>
            <w:tcW w:w="855" w:type="dxa"/>
          </w:tcPr>
          <w:p>
            <w:pPr>
              <w:pStyle w:val="TableParagraph"/>
              <w:ind w:left="95" w:right="83"/>
              <w:rPr>
                <w:sz w:val="17"/>
              </w:rPr>
            </w:pPr>
            <w:r>
              <w:rPr>
                <w:color w:val="231F20"/>
                <w:w w:val="105"/>
                <w:sz w:val="17"/>
              </w:rPr>
              <w:t>78.9</w:t>
            </w:r>
          </w:p>
        </w:tc>
        <w:tc>
          <w:tcPr>
            <w:tcW w:w="1023" w:type="dxa"/>
          </w:tcPr>
          <w:p>
            <w:pPr>
              <w:pStyle w:val="TableParagraph"/>
              <w:ind w:left="233" w:right="63"/>
              <w:rPr>
                <w:sz w:val="17"/>
              </w:rPr>
            </w:pPr>
            <w:r>
              <w:rPr>
                <w:color w:val="231F20"/>
                <w:w w:val="105"/>
                <w:sz w:val="17"/>
              </w:rPr>
              <w:t>5.4</w:t>
            </w:r>
          </w:p>
        </w:tc>
        <w:tc>
          <w:tcPr>
            <w:tcW w:w="1049" w:type="dxa"/>
          </w:tcPr>
          <w:p>
            <w:pPr>
              <w:pStyle w:val="TableParagraph"/>
              <w:ind w:left="314" w:right="361"/>
              <w:rPr>
                <w:sz w:val="17"/>
              </w:rPr>
            </w:pPr>
            <w:r>
              <w:rPr>
                <w:color w:val="231F20"/>
                <w:w w:val="105"/>
                <w:sz w:val="17"/>
              </w:rPr>
              <w:t>5.1</w:t>
            </w:r>
          </w:p>
        </w:tc>
        <w:tc>
          <w:tcPr>
            <w:tcW w:w="632" w:type="dxa"/>
          </w:tcPr>
          <w:p>
            <w:pPr>
              <w:pStyle w:val="TableParagraph"/>
              <w:ind w:left="103" w:right="110"/>
              <w:rPr>
                <w:sz w:val="17"/>
              </w:rPr>
            </w:pPr>
            <w:r>
              <w:rPr>
                <w:color w:val="231F20"/>
                <w:sz w:val="17"/>
              </w:rPr>
              <w:t>100</w:t>
            </w:r>
          </w:p>
        </w:tc>
        <w:tc>
          <w:tcPr>
            <w:tcW w:w="831" w:type="dxa"/>
          </w:tcPr>
          <w:p>
            <w:pPr>
              <w:pStyle w:val="TableParagraph"/>
              <w:ind w:left="106" w:right="75"/>
              <w:rPr>
                <w:sz w:val="17"/>
              </w:rPr>
            </w:pPr>
            <w:r>
              <w:rPr>
                <w:color w:val="231F20"/>
                <w:w w:val="105"/>
                <w:sz w:val="17"/>
              </w:rPr>
              <w:t>13.2</w:t>
            </w:r>
          </w:p>
        </w:tc>
        <w:tc>
          <w:tcPr>
            <w:tcW w:w="823" w:type="dxa"/>
          </w:tcPr>
          <w:p>
            <w:pPr>
              <w:pStyle w:val="TableParagraph"/>
              <w:ind w:left="71" w:right="74"/>
              <w:rPr>
                <w:sz w:val="17"/>
              </w:rPr>
            </w:pPr>
            <w:r>
              <w:rPr>
                <w:color w:val="231F20"/>
                <w:w w:val="105"/>
                <w:sz w:val="17"/>
              </w:rPr>
              <w:t>62.7</w:t>
            </w:r>
          </w:p>
        </w:tc>
        <w:tc>
          <w:tcPr>
            <w:tcW w:w="1016" w:type="dxa"/>
          </w:tcPr>
          <w:p>
            <w:pPr>
              <w:pStyle w:val="TableParagraph"/>
              <w:ind w:left="87" w:right="50"/>
              <w:rPr>
                <w:sz w:val="17"/>
              </w:rPr>
            </w:pPr>
            <w:r>
              <w:rPr>
                <w:color w:val="231F20"/>
                <w:w w:val="105"/>
                <w:sz w:val="17"/>
              </w:rPr>
              <w:t>15.6</w:t>
            </w:r>
          </w:p>
        </w:tc>
        <w:tc>
          <w:tcPr>
            <w:tcW w:w="1073" w:type="dxa"/>
          </w:tcPr>
          <w:p>
            <w:pPr>
              <w:pStyle w:val="TableParagraph"/>
              <w:ind w:left="381" w:right="127"/>
              <w:jc w:val="left"/>
              <w:rPr>
                <w:sz w:val="17"/>
              </w:rPr>
            </w:pPr>
            <w:r>
              <w:rPr>
                <w:color w:val="231F20"/>
                <w:w w:val="105"/>
                <w:sz w:val="17"/>
              </w:rPr>
              <w:t>8.5</w:t>
            </w:r>
          </w:p>
        </w:tc>
        <w:tc>
          <w:tcPr>
            <w:tcW w:w="759" w:type="dxa"/>
          </w:tcPr>
          <w:p>
            <w:pPr>
              <w:pStyle w:val="TableParagraph"/>
              <w:ind w:left="190"/>
              <w:jc w:val="left"/>
              <w:rPr>
                <w:sz w:val="17"/>
              </w:rPr>
            </w:pPr>
            <w:r>
              <w:rPr>
                <w:color w:val="231F20"/>
                <w:sz w:val="17"/>
              </w:rPr>
              <w:t>100</w:t>
            </w:r>
          </w:p>
        </w:tc>
      </w:tr>
      <w:tr>
        <w:trPr>
          <w:trHeight w:val="210" w:hRule="exact"/>
        </w:trPr>
        <w:tc>
          <w:tcPr>
            <w:tcW w:w="1748" w:type="dxa"/>
          </w:tcPr>
          <w:p>
            <w:pPr>
              <w:pStyle w:val="TableParagraph"/>
              <w:ind w:left="35"/>
              <w:jc w:val="left"/>
              <w:rPr>
                <w:sz w:val="17"/>
              </w:rPr>
            </w:pPr>
            <w:r>
              <w:rPr>
                <w:color w:val="231F20"/>
                <w:w w:val="110"/>
                <w:sz w:val="17"/>
              </w:rPr>
              <w:t>Colima</w:t>
            </w:r>
          </w:p>
        </w:tc>
        <w:tc>
          <w:tcPr>
            <w:tcW w:w="802" w:type="dxa"/>
          </w:tcPr>
          <w:p>
            <w:pPr>
              <w:pStyle w:val="TableParagraph"/>
              <w:ind w:left="214"/>
              <w:jc w:val="left"/>
              <w:rPr>
                <w:sz w:val="17"/>
              </w:rPr>
            </w:pPr>
            <w:r>
              <w:rPr>
                <w:color w:val="231F20"/>
                <w:w w:val="105"/>
                <w:sz w:val="17"/>
              </w:rPr>
              <w:t>11.2</w:t>
            </w:r>
          </w:p>
        </w:tc>
        <w:tc>
          <w:tcPr>
            <w:tcW w:w="855" w:type="dxa"/>
          </w:tcPr>
          <w:p>
            <w:pPr>
              <w:pStyle w:val="TableParagraph"/>
              <w:ind w:left="95" w:right="83"/>
              <w:rPr>
                <w:sz w:val="17"/>
              </w:rPr>
            </w:pPr>
            <w:r>
              <w:rPr>
                <w:color w:val="231F20"/>
                <w:w w:val="105"/>
                <w:sz w:val="17"/>
              </w:rPr>
              <w:t>73.3</w:t>
            </w:r>
          </w:p>
        </w:tc>
        <w:tc>
          <w:tcPr>
            <w:tcW w:w="1023" w:type="dxa"/>
          </w:tcPr>
          <w:p>
            <w:pPr>
              <w:pStyle w:val="TableParagraph"/>
              <w:ind w:left="94" w:right="20"/>
              <w:rPr>
                <w:sz w:val="17"/>
              </w:rPr>
            </w:pPr>
            <w:r>
              <w:rPr>
                <w:color w:val="231F20"/>
                <w:w w:val="105"/>
                <w:sz w:val="17"/>
              </w:rPr>
              <w:t>10.8</w:t>
            </w:r>
          </w:p>
        </w:tc>
        <w:tc>
          <w:tcPr>
            <w:tcW w:w="1049" w:type="dxa"/>
          </w:tcPr>
          <w:p>
            <w:pPr>
              <w:pStyle w:val="TableParagraph"/>
              <w:ind w:left="314" w:right="361"/>
              <w:rPr>
                <w:sz w:val="17"/>
              </w:rPr>
            </w:pPr>
            <w:r>
              <w:rPr>
                <w:color w:val="231F20"/>
                <w:w w:val="105"/>
                <w:sz w:val="17"/>
              </w:rPr>
              <w:t>4.7</w:t>
            </w:r>
          </w:p>
        </w:tc>
        <w:tc>
          <w:tcPr>
            <w:tcW w:w="632" w:type="dxa"/>
          </w:tcPr>
          <w:p>
            <w:pPr>
              <w:pStyle w:val="TableParagraph"/>
              <w:ind w:left="103" w:right="110"/>
              <w:rPr>
                <w:sz w:val="17"/>
              </w:rPr>
            </w:pPr>
            <w:r>
              <w:rPr>
                <w:color w:val="231F20"/>
                <w:sz w:val="17"/>
              </w:rPr>
              <w:t>100</w:t>
            </w:r>
          </w:p>
        </w:tc>
        <w:tc>
          <w:tcPr>
            <w:tcW w:w="831" w:type="dxa"/>
          </w:tcPr>
          <w:p>
            <w:pPr>
              <w:pStyle w:val="TableParagraph"/>
              <w:ind w:left="106" w:right="75"/>
              <w:rPr>
                <w:sz w:val="17"/>
              </w:rPr>
            </w:pPr>
            <w:r>
              <w:rPr>
                <w:color w:val="231F20"/>
                <w:w w:val="105"/>
                <w:sz w:val="17"/>
              </w:rPr>
              <w:t>16.7</w:t>
            </w:r>
          </w:p>
        </w:tc>
        <w:tc>
          <w:tcPr>
            <w:tcW w:w="823" w:type="dxa"/>
          </w:tcPr>
          <w:p>
            <w:pPr>
              <w:pStyle w:val="TableParagraph"/>
              <w:ind w:left="71" w:right="74"/>
              <w:rPr>
                <w:sz w:val="17"/>
              </w:rPr>
            </w:pPr>
            <w:r>
              <w:rPr>
                <w:color w:val="231F20"/>
                <w:w w:val="105"/>
                <w:sz w:val="17"/>
              </w:rPr>
              <w:t>52.5</w:t>
            </w:r>
          </w:p>
        </w:tc>
        <w:tc>
          <w:tcPr>
            <w:tcW w:w="1016" w:type="dxa"/>
          </w:tcPr>
          <w:p>
            <w:pPr>
              <w:pStyle w:val="TableParagraph"/>
              <w:ind w:left="87" w:right="50"/>
              <w:rPr>
                <w:sz w:val="17"/>
              </w:rPr>
            </w:pPr>
            <w:r>
              <w:rPr>
                <w:color w:val="231F20"/>
                <w:w w:val="105"/>
                <w:sz w:val="17"/>
              </w:rPr>
              <w:t>21.7</w:t>
            </w:r>
          </w:p>
        </w:tc>
        <w:tc>
          <w:tcPr>
            <w:tcW w:w="1073" w:type="dxa"/>
          </w:tcPr>
          <w:p>
            <w:pPr>
              <w:pStyle w:val="TableParagraph"/>
              <w:ind w:left="381" w:right="127"/>
              <w:jc w:val="left"/>
              <w:rPr>
                <w:sz w:val="17"/>
              </w:rPr>
            </w:pPr>
            <w:r>
              <w:rPr>
                <w:color w:val="231F20"/>
                <w:w w:val="105"/>
                <w:sz w:val="17"/>
              </w:rPr>
              <w:t>9.1</w:t>
            </w:r>
          </w:p>
        </w:tc>
        <w:tc>
          <w:tcPr>
            <w:tcW w:w="759" w:type="dxa"/>
          </w:tcPr>
          <w:p>
            <w:pPr>
              <w:pStyle w:val="TableParagraph"/>
              <w:ind w:left="190"/>
              <w:jc w:val="left"/>
              <w:rPr>
                <w:sz w:val="17"/>
              </w:rPr>
            </w:pPr>
            <w:r>
              <w:rPr>
                <w:color w:val="231F20"/>
                <w:sz w:val="17"/>
              </w:rPr>
              <w:t>100</w:t>
            </w:r>
          </w:p>
        </w:tc>
      </w:tr>
      <w:tr>
        <w:trPr>
          <w:trHeight w:val="223" w:hRule="exact"/>
        </w:trPr>
        <w:tc>
          <w:tcPr>
            <w:tcW w:w="1748" w:type="dxa"/>
          </w:tcPr>
          <w:p>
            <w:pPr>
              <w:pStyle w:val="TableParagraph"/>
              <w:ind w:left="35"/>
              <w:jc w:val="left"/>
              <w:rPr>
                <w:sz w:val="17"/>
              </w:rPr>
            </w:pPr>
            <w:r>
              <w:rPr>
                <w:color w:val="231F20"/>
                <w:w w:val="115"/>
                <w:sz w:val="17"/>
              </w:rPr>
              <w:t>Chiapas</w:t>
            </w:r>
          </w:p>
        </w:tc>
        <w:tc>
          <w:tcPr>
            <w:tcW w:w="802" w:type="dxa"/>
          </w:tcPr>
          <w:p>
            <w:pPr>
              <w:pStyle w:val="TableParagraph"/>
              <w:ind w:left="262"/>
              <w:jc w:val="left"/>
              <w:rPr>
                <w:sz w:val="17"/>
              </w:rPr>
            </w:pPr>
            <w:r>
              <w:rPr>
                <w:color w:val="231F20"/>
                <w:w w:val="105"/>
                <w:sz w:val="17"/>
              </w:rPr>
              <w:t>7.4</w:t>
            </w:r>
          </w:p>
        </w:tc>
        <w:tc>
          <w:tcPr>
            <w:tcW w:w="855" w:type="dxa"/>
          </w:tcPr>
          <w:p>
            <w:pPr>
              <w:pStyle w:val="TableParagraph"/>
              <w:ind w:left="95" w:right="83"/>
              <w:rPr>
                <w:sz w:val="17"/>
              </w:rPr>
            </w:pPr>
            <w:r>
              <w:rPr>
                <w:color w:val="231F20"/>
                <w:w w:val="105"/>
                <w:sz w:val="17"/>
              </w:rPr>
              <w:t>64.0</w:t>
            </w:r>
          </w:p>
        </w:tc>
        <w:tc>
          <w:tcPr>
            <w:tcW w:w="1023" w:type="dxa"/>
          </w:tcPr>
          <w:p>
            <w:pPr>
              <w:pStyle w:val="TableParagraph"/>
              <w:ind w:left="94" w:right="20"/>
              <w:rPr>
                <w:sz w:val="17"/>
              </w:rPr>
            </w:pPr>
            <w:r>
              <w:rPr>
                <w:color w:val="231F20"/>
                <w:w w:val="105"/>
                <w:sz w:val="17"/>
              </w:rPr>
              <w:t>22.1</w:t>
            </w:r>
          </w:p>
        </w:tc>
        <w:tc>
          <w:tcPr>
            <w:tcW w:w="1049" w:type="dxa"/>
          </w:tcPr>
          <w:p>
            <w:pPr>
              <w:pStyle w:val="TableParagraph"/>
              <w:ind w:left="314" w:right="361"/>
              <w:rPr>
                <w:sz w:val="17"/>
              </w:rPr>
            </w:pPr>
            <w:r>
              <w:rPr>
                <w:color w:val="231F20"/>
                <w:w w:val="105"/>
                <w:sz w:val="17"/>
              </w:rPr>
              <w:t>6.6</w:t>
            </w:r>
          </w:p>
        </w:tc>
        <w:tc>
          <w:tcPr>
            <w:tcW w:w="632" w:type="dxa"/>
          </w:tcPr>
          <w:p>
            <w:pPr>
              <w:pStyle w:val="TableParagraph"/>
              <w:ind w:left="103" w:right="110"/>
              <w:rPr>
                <w:sz w:val="17"/>
              </w:rPr>
            </w:pPr>
            <w:r>
              <w:rPr>
                <w:color w:val="231F20"/>
                <w:sz w:val="17"/>
              </w:rPr>
              <w:t>100</w:t>
            </w:r>
          </w:p>
        </w:tc>
        <w:tc>
          <w:tcPr>
            <w:tcW w:w="831" w:type="dxa"/>
          </w:tcPr>
          <w:p>
            <w:pPr>
              <w:pStyle w:val="TableParagraph"/>
              <w:ind w:left="106" w:right="75"/>
              <w:rPr>
                <w:sz w:val="17"/>
              </w:rPr>
            </w:pPr>
            <w:r>
              <w:rPr>
                <w:color w:val="231F20"/>
                <w:w w:val="105"/>
                <w:sz w:val="17"/>
              </w:rPr>
              <w:t>12.6</w:t>
            </w:r>
          </w:p>
        </w:tc>
        <w:tc>
          <w:tcPr>
            <w:tcW w:w="823" w:type="dxa"/>
          </w:tcPr>
          <w:p>
            <w:pPr>
              <w:pStyle w:val="TableParagraph"/>
              <w:ind w:left="71" w:right="74"/>
              <w:rPr>
                <w:sz w:val="17"/>
              </w:rPr>
            </w:pPr>
            <w:r>
              <w:rPr>
                <w:color w:val="231F20"/>
                <w:w w:val="105"/>
                <w:sz w:val="17"/>
              </w:rPr>
              <w:t>46.6</w:t>
            </w:r>
          </w:p>
        </w:tc>
        <w:tc>
          <w:tcPr>
            <w:tcW w:w="1016" w:type="dxa"/>
          </w:tcPr>
          <w:p>
            <w:pPr>
              <w:pStyle w:val="TableParagraph"/>
              <w:ind w:left="87" w:right="50"/>
              <w:rPr>
                <w:sz w:val="17"/>
              </w:rPr>
            </w:pPr>
            <w:r>
              <w:rPr>
                <w:color w:val="231F20"/>
                <w:w w:val="105"/>
                <w:sz w:val="17"/>
              </w:rPr>
              <w:t>30.9</w:t>
            </w:r>
          </w:p>
        </w:tc>
        <w:tc>
          <w:tcPr>
            <w:tcW w:w="1073" w:type="dxa"/>
          </w:tcPr>
          <w:p>
            <w:pPr>
              <w:pStyle w:val="TableParagraph"/>
              <w:ind w:left="333" w:right="127"/>
              <w:jc w:val="left"/>
              <w:rPr>
                <w:sz w:val="17"/>
              </w:rPr>
            </w:pPr>
            <w:r>
              <w:rPr>
                <w:color w:val="231F20"/>
                <w:w w:val="105"/>
                <w:sz w:val="17"/>
              </w:rPr>
              <w:t>10.0</w:t>
            </w:r>
          </w:p>
        </w:tc>
        <w:tc>
          <w:tcPr>
            <w:tcW w:w="759" w:type="dxa"/>
          </w:tcPr>
          <w:p>
            <w:pPr>
              <w:pStyle w:val="TableParagraph"/>
              <w:ind w:left="190"/>
              <w:jc w:val="left"/>
              <w:rPr>
                <w:sz w:val="17"/>
              </w:rPr>
            </w:pPr>
            <w:r>
              <w:rPr>
                <w:color w:val="231F20"/>
                <w:sz w:val="17"/>
              </w:rPr>
              <w:t>100</w:t>
            </w:r>
          </w:p>
        </w:tc>
      </w:tr>
    </w:tbl>
    <w:p>
      <w:pPr>
        <w:spacing w:after="0"/>
        <w:jc w:val="left"/>
        <w:rPr>
          <w:sz w:val="17"/>
        </w:rPr>
        <w:sectPr>
          <w:footerReference w:type="even" r:id="rId69"/>
          <w:pgSz w:w="12920" w:h="9520" w:orient="landscape"/>
          <w:pgMar w:footer="2501" w:header="0" w:top="880" w:bottom="2700" w:left="1240" w:right="840"/>
          <w:pgNumType w:start="6"/>
        </w:sectPr>
      </w:pPr>
    </w:p>
    <w:p>
      <w:pPr>
        <w:pStyle w:val="BodyText"/>
        <w:spacing w:before="2"/>
        <w:rPr>
          <w:i/>
          <w:sz w:val="18"/>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07"/>
        <w:gridCol w:w="949"/>
        <w:gridCol w:w="912"/>
        <w:gridCol w:w="996"/>
        <w:gridCol w:w="880"/>
        <w:gridCol w:w="808"/>
        <w:gridCol w:w="791"/>
        <w:gridCol w:w="875"/>
        <w:gridCol w:w="965"/>
        <w:gridCol w:w="959"/>
        <w:gridCol w:w="867"/>
      </w:tblGrid>
      <w:tr>
        <w:trPr>
          <w:trHeight w:val="290" w:hRule="exact"/>
        </w:trPr>
        <w:tc>
          <w:tcPr>
            <w:tcW w:w="1607" w:type="dxa"/>
          </w:tcPr>
          <w:p>
            <w:pPr>
              <w:pStyle w:val="TableParagraph"/>
              <w:spacing w:line="240" w:lineRule="auto" w:before="75"/>
              <w:ind w:left="35"/>
              <w:jc w:val="left"/>
              <w:rPr>
                <w:sz w:val="17"/>
              </w:rPr>
            </w:pPr>
            <w:r>
              <w:rPr>
                <w:color w:val="231F20"/>
                <w:w w:val="110"/>
                <w:sz w:val="17"/>
              </w:rPr>
              <w:t>Michoacán</w:t>
            </w:r>
          </w:p>
        </w:tc>
        <w:tc>
          <w:tcPr>
            <w:tcW w:w="949" w:type="dxa"/>
          </w:tcPr>
          <w:p>
            <w:pPr>
              <w:pStyle w:val="TableParagraph"/>
              <w:spacing w:line="240" w:lineRule="auto" w:before="75"/>
              <w:ind w:left="355"/>
              <w:jc w:val="left"/>
              <w:rPr>
                <w:sz w:val="17"/>
              </w:rPr>
            </w:pPr>
            <w:r>
              <w:rPr>
                <w:color w:val="231F20"/>
                <w:w w:val="105"/>
                <w:sz w:val="17"/>
              </w:rPr>
              <w:t>12.1</w:t>
            </w:r>
          </w:p>
        </w:tc>
        <w:tc>
          <w:tcPr>
            <w:tcW w:w="912" w:type="dxa"/>
          </w:tcPr>
          <w:p>
            <w:pPr>
              <w:pStyle w:val="TableParagraph"/>
              <w:spacing w:line="240" w:lineRule="auto" w:before="75"/>
              <w:ind w:left="260"/>
              <w:jc w:val="left"/>
              <w:rPr>
                <w:sz w:val="17"/>
              </w:rPr>
            </w:pPr>
            <w:r>
              <w:rPr>
                <w:color w:val="231F20"/>
                <w:w w:val="105"/>
                <w:sz w:val="17"/>
              </w:rPr>
              <w:t>78.8</w:t>
            </w:r>
          </w:p>
        </w:tc>
        <w:tc>
          <w:tcPr>
            <w:tcW w:w="996" w:type="dxa"/>
          </w:tcPr>
          <w:p>
            <w:pPr>
              <w:pStyle w:val="TableParagraph"/>
              <w:spacing w:line="240" w:lineRule="auto" w:before="75"/>
              <w:ind w:right="342"/>
              <w:jc w:val="right"/>
              <w:rPr>
                <w:sz w:val="17"/>
              </w:rPr>
            </w:pPr>
            <w:r>
              <w:rPr>
                <w:color w:val="231F20"/>
                <w:w w:val="105"/>
                <w:sz w:val="17"/>
              </w:rPr>
              <w:t>5.0</w:t>
            </w:r>
          </w:p>
        </w:tc>
        <w:tc>
          <w:tcPr>
            <w:tcW w:w="880" w:type="dxa"/>
          </w:tcPr>
          <w:p>
            <w:pPr>
              <w:pStyle w:val="TableParagraph"/>
              <w:spacing w:line="240" w:lineRule="auto" w:before="75"/>
              <w:ind w:left="325" w:right="280"/>
              <w:rPr>
                <w:sz w:val="17"/>
              </w:rPr>
            </w:pPr>
            <w:r>
              <w:rPr>
                <w:color w:val="231F20"/>
                <w:w w:val="105"/>
                <w:sz w:val="17"/>
              </w:rPr>
              <w:t>4.1</w:t>
            </w:r>
          </w:p>
        </w:tc>
        <w:tc>
          <w:tcPr>
            <w:tcW w:w="808" w:type="dxa"/>
          </w:tcPr>
          <w:p>
            <w:pPr>
              <w:pStyle w:val="TableParagraph"/>
              <w:spacing w:line="240" w:lineRule="auto" w:before="75"/>
              <w:ind w:left="281" w:right="203"/>
              <w:rPr>
                <w:sz w:val="17"/>
              </w:rPr>
            </w:pPr>
            <w:r>
              <w:rPr>
                <w:color w:val="231F20"/>
                <w:sz w:val="17"/>
              </w:rPr>
              <w:t>100</w:t>
            </w:r>
          </w:p>
        </w:tc>
        <w:tc>
          <w:tcPr>
            <w:tcW w:w="791" w:type="dxa"/>
          </w:tcPr>
          <w:p>
            <w:pPr>
              <w:pStyle w:val="TableParagraph"/>
              <w:spacing w:line="240" w:lineRule="auto" w:before="75"/>
              <w:ind w:left="201" w:right="216"/>
              <w:rPr>
                <w:sz w:val="17"/>
              </w:rPr>
            </w:pPr>
            <w:r>
              <w:rPr>
                <w:color w:val="231F20"/>
                <w:w w:val="105"/>
                <w:sz w:val="17"/>
              </w:rPr>
              <w:t>16.5</w:t>
            </w:r>
          </w:p>
        </w:tc>
        <w:tc>
          <w:tcPr>
            <w:tcW w:w="875" w:type="dxa"/>
          </w:tcPr>
          <w:p>
            <w:pPr>
              <w:pStyle w:val="TableParagraph"/>
              <w:spacing w:line="240" w:lineRule="auto" w:before="75"/>
              <w:ind w:left="237"/>
              <w:jc w:val="left"/>
              <w:rPr>
                <w:sz w:val="17"/>
              </w:rPr>
            </w:pPr>
            <w:r>
              <w:rPr>
                <w:color w:val="231F20"/>
                <w:w w:val="105"/>
                <w:sz w:val="17"/>
              </w:rPr>
              <w:t>63.8</w:t>
            </w:r>
          </w:p>
        </w:tc>
        <w:tc>
          <w:tcPr>
            <w:tcW w:w="965" w:type="dxa"/>
          </w:tcPr>
          <w:p>
            <w:pPr>
              <w:pStyle w:val="TableParagraph"/>
              <w:spacing w:line="240" w:lineRule="auto" w:before="75"/>
              <w:ind w:left="303"/>
              <w:jc w:val="left"/>
              <w:rPr>
                <w:sz w:val="17"/>
              </w:rPr>
            </w:pPr>
            <w:r>
              <w:rPr>
                <w:color w:val="231F20"/>
                <w:w w:val="105"/>
                <w:sz w:val="17"/>
              </w:rPr>
              <w:t>12.1</w:t>
            </w:r>
          </w:p>
        </w:tc>
        <w:tc>
          <w:tcPr>
            <w:tcW w:w="959" w:type="dxa"/>
          </w:tcPr>
          <w:p>
            <w:pPr>
              <w:pStyle w:val="TableParagraph"/>
              <w:spacing w:line="240" w:lineRule="auto" w:before="75"/>
              <w:ind w:left="375"/>
              <w:jc w:val="left"/>
              <w:rPr>
                <w:sz w:val="17"/>
              </w:rPr>
            </w:pPr>
            <w:r>
              <w:rPr>
                <w:color w:val="231F20"/>
                <w:w w:val="105"/>
                <w:sz w:val="17"/>
              </w:rPr>
              <w:t>7.5</w:t>
            </w:r>
          </w:p>
        </w:tc>
        <w:tc>
          <w:tcPr>
            <w:tcW w:w="867" w:type="dxa"/>
          </w:tcPr>
          <w:p>
            <w:pPr>
              <w:pStyle w:val="TableParagraph"/>
              <w:spacing w:line="240" w:lineRule="auto" w:before="75"/>
              <w:ind w:left="298"/>
              <w:jc w:val="left"/>
              <w:rPr>
                <w:sz w:val="17"/>
              </w:rPr>
            </w:pPr>
            <w:r>
              <w:rPr>
                <w:color w:val="231F20"/>
                <w:sz w:val="17"/>
              </w:rPr>
              <w:t>100</w:t>
            </w:r>
          </w:p>
        </w:tc>
      </w:tr>
      <w:tr>
        <w:trPr>
          <w:trHeight w:val="210" w:hRule="exact"/>
        </w:trPr>
        <w:tc>
          <w:tcPr>
            <w:tcW w:w="1607" w:type="dxa"/>
          </w:tcPr>
          <w:p>
            <w:pPr>
              <w:pStyle w:val="TableParagraph"/>
              <w:ind w:left="35"/>
              <w:jc w:val="left"/>
              <w:rPr>
                <w:sz w:val="17"/>
              </w:rPr>
            </w:pPr>
            <w:r>
              <w:rPr>
                <w:color w:val="231F20"/>
                <w:w w:val="110"/>
                <w:sz w:val="17"/>
              </w:rPr>
              <w:t>Morelos</w:t>
            </w:r>
          </w:p>
        </w:tc>
        <w:tc>
          <w:tcPr>
            <w:tcW w:w="949" w:type="dxa"/>
          </w:tcPr>
          <w:p>
            <w:pPr>
              <w:pStyle w:val="TableParagraph"/>
              <w:ind w:left="403"/>
              <w:jc w:val="left"/>
              <w:rPr>
                <w:sz w:val="17"/>
              </w:rPr>
            </w:pPr>
            <w:r>
              <w:rPr>
                <w:color w:val="231F20"/>
                <w:w w:val="105"/>
                <w:sz w:val="17"/>
              </w:rPr>
              <w:t>9.8</w:t>
            </w:r>
          </w:p>
        </w:tc>
        <w:tc>
          <w:tcPr>
            <w:tcW w:w="912" w:type="dxa"/>
          </w:tcPr>
          <w:p>
            <w:pPr>
              <w:pStyle w:val="TableParagraph"/>
              <w:ind w:left="260"/>
              <w:jc w:val="left"/>
              <w:rPr>
                <w:sz w:val="17"/>
              </w:rPr>
            </w:pPr>
            <w:r>
              <w:rPr>
                <w:color w:val="231F20"/>
                <w:w w:val="105"/>
                <w:sz w:val="17"/>
              </w:rPr>
              <w:t>69.0</w:t>
            </w:r>
          </w:p>
        </w:tc>
        <w:tc>
          <w:tcPr>
            <w:tcW w:w="996" w:type="dxa"/>
          </w:tcPr>
          <w:p>
            <w:pPr>
              <w:pStyle w:val="TableParagraph"/>
              <w:ind w:right="342"/>
              <w:jc w:val="right"/>
              <w:rPr>
                <w:sz w:val="17"/>
              </w:rPr>
            </w:pPr>
            <w:r>
              <w:rPr>
                <w:color w:val="231F20"/>
                <w:sz w:val="17"/>
              </w:rPr>
              <w:t>14.6</w:t>
            </w:r>
          </w:p>
        </w:tc>
        <w:tc>
          <w:tcPr>
            <w:tcW w:w="880" w:type="dxa"/>
          </w:tcPr>
          <w:p>
            <w:pPr>
              <w:pStyle w:val="TableParagraph"/>
              <w:ind w:left="325" w:right="280"/>
              <w:rPr>
                <w:sz w:val="17"/>
              </w:rPr>
            </w:pPr>
            <w:r>
              <w:rPr>
                <w:color w:val="231F20"/>
                <w:w w:val="105"/>
                <w:sz w:val="17"/>
              </w:rPr>
              <w:t>6.5</w:t>
            </w:r>
          </w:p>
        </w:tc>
        <w:tc>
          <w:tcPr>
            <w:tcW w:w="808" w:type="dxa"/>
          </w:tcPr>
          <w:p>
            <w:pPr>
              <w:pStyle w:val="TableParagraph"/>
              <w:ind w:left="281" w:right="203"/>
              <w:rPr>
                <w:sz w:val="17"/>
              </w:rPr>
            </w:pPr>
            <w:r>
              <w:rPr>
                <w:color w:val="231F20"/>
                <w:sz w:val="17"/>
              </w:rPr>
              <w:t>100</w:t>
            </w:r>
          </w:p>
        </w:tc>
        <w:tc>
          <w:tcPr>
            <w:tcW w:w="791" w:type="dxa"/>
          </w:tcPr>
          <w:p>
            <w:pPr>
              <w:pStyle w:val="TableParagraph"/>
              <w:ind w:left="201" w:right="216"/>
              <w:rPr>
                <w:sz w:val="17"/>
              </w:rPr>
            </w:pPr>
            <w:r>
              <w:rPr>
                <w:color w:val="231F20"/>
                <w:w w:val="105"/>
                <w:sz w:val="17"/>
              </w:rPr>
              <w:t>17.0</w:t>
            </w:r>
          </w:p>
        </w:tc>
        <w:tc>
          <w:tcPr>
            <w:tcW w:w="875" w:type="dxa"/>
          </w:tcPr>
          <w:p>
            <w:pPr>
              <w:pStyle w:val="TableParagraph"/>
              <w:ind w:left="237"/>
              <w:jc w:val="left"/>
              <w:rPr>
                <w:sz w:val="17"/>
              </w:rPr>
            </w:pPr>
            <w:r>
              <w:rPr>
                <w:color w:val="231F20"/>
                <w:w w:val="105"/>
                <w:sz w:val="17"/>
              </w:rPr>
              <w:t>46.4</w:t>
            </w:r>
          </w:p>
        </w:tc>
        <w:tc>
          <w:tcPr>
            <w:tcW w:w="965" w:type="dxa"/>
          </w:tcPr>
          <w:p>
            <w:pPr>
              <w:pStyle w:val="TableParagraph"/>
              <w:ind w:left="303"/>
              <w:jc w:val="left"/>
              <w:rPr>
                <w:sz w:val="17"/>
              </w:rPr>
            </w:pPr>
            <w:r>
              <w:rPr>
                <w:color w:val="231F20"/>
                <w:w w:val="105"/>
                <w:sz w:val="17"/>
              </w:rPr>
              <w:t>26.4</w:t>
            </w:r>
          </w:p>
        </w:tc>
        <w:tc>
          <w:tcPr>
            <w:tcW w:w="959" w:type="dxa"/>
          </w:tcPr>
          <w:p>
            <w:pPr>
              <w:pStyle w:val="TableParagraph"/>
              <w:ind w:left="327"/>
              <w:jc w:val="left"/>
              <w:rPr>
                <w:sz w:val="17"/>
              </w:rPr>
            </w:pPr>
            <w:r>
              <w:rPr>
                <w:color w:val="231F20"/>
                <w:w w:val="105"/>
                <w:sz w:val="17"/>
              </w:rPr>
              <w:t>10.2</w:t>
            </w:r>
          </w:p>
        </w:tc>
        <w:tc>
          <w:tcPr>
            <w:tcW w:w="867" w:type="dxa"/>
          </w:tcPr>
          <w:p>
            <w:pPr>
              <w:pStyle w:val="TableParagraph"/>
              <w:ind w:left="298"/>
              <w:jc w:val="left"/>
              <w:rPr>
                <w:sz w:val="17"/>
              </w:rPr>
            </w:pPr>
            <w:r>
              <w:rPr>
                <w:color w:val="231F20"/>
                <w:sz w:val="17"/>
              </w:rPr>
              <w:t>100</w:t>
            </w:r>
          </w:p>
        </w:tc>
      </w:tr>
      <w:tr>
        <w:trPr>
          <w:trHeight w:val="210" w:hRule="exact"/>
        </w:trPr>
        <w:tc>
          <w:tcPr>
            <w:tcW w:w="1607" w:type="dxa"/>
          </w:tcPr>
          <w:p>
            <w:pPr>
              <w:pStyle w:val="TableParagraph"/>
              <w:ind w:left="35"/>
              <w:jc w:val="left"/>
              <w:rPr>
                <w:sz w:val="17"/>
              </w:rPr>
            </w:pPr>
            <w:r>
              <w:rPr>
                <w:color w:val="231F20"/>
                <w:w w:val="110"/>
                <w:sz w:val="17"/>
              </w:rPr>
              <w:t>Nayarit</w:t>
            </w:r>
          </w:p>
        </w:tc>
        <w:tc>
          <w:tcPr>
            <w:tcW w:w="949" w:type="dxa"/>
          </w:tcPr>
          <w:p>
            <w:pPr>
              <w:pStyle w:val="TableParagraph"/>
              <w:ind w:left="355"/>
              <w:jc w:val="left"/>
              <w:rPr>
                <w:sz w:val="17"/>
              </w:rPr>
            </w:pPr>
            <w:r>
              <w:rPr>
                <w:color w:val="231F20"/>
                <w:w w:val="105"/>
                <w:sz w:val="17"/>
              </w:rPr>
              <w:t>10.5</w:t>
            </w:r>
          </w:p>
        </w:tc>
        <w:tc>
          <w:tcPr>
            <w:tcW w:w="912" w:type="dxa"/>
          </w:tcPr>
          <w:p>
            <w:pPr>
              <w:pStyle w:val="TableParagraph"/>
              <w:ind w:left="260"/>
              <w:jc w:val="left"/>
              <w:rPr>
                <w:sz w:val="17"/>
              </w:rPr>
            </w:pPr>
            <w:r>
              <w:rPr>
                <w:color w:val="231F20"/>
                <w:w w:val="105"/>
                <w:sz w:val="17"/>
              </w:rPr>
              <w:t>63.6</w:t>
            </w:r>
          </w:p>
        </w:tc>
        <w:tc>
          <w:tcPr>
            <w:tcW w:w="996" w:type="dxa"/>
          </w:tcPr>
          <w:p>
            <w:pPr>
              <w:pStyle w:val="TableParagraph"/>
              <w:ind w:right="342"/>
              <w:jc w:val="right"/>
              <w:rPr>
                <w:sz w:val="17"/>
              </w:rPr>
            </w:pPr>
            <w:r>
              <w:rPr>
                <w:color w:val="231F20"/>
                <w:sz w:val="17"/>
              </w:rPr>
              <w:t>20.9</w:t>
            </w:r>
          </w:p>
        </w:tc>
        <w:tc>
          <w:tcPr>
            <w:tcW w:w="880" w:type="dxa"/>
          </w:tcPr>
          <w:p>
            <w:pPr>
              <w:pStyle w:val="TableParagraph"/>
              <w:ind w:left="325" w:right="280"/>
              <w:rPr>
                <w:sz w:val="17"/>
              </w:rPr>
            </w:pPr>
            <w:r>
              <w:rPr>
                <w:color w:val="231F20"/>
                <w:w w:val="105"/>
                <w:sz w:val="17"/>
              </w:rPr>
              <w:t>5.0</w:t>
            </w:r>
          </w:p>
        </w:tc>
        <w:tc>
          <w:tcPr>
            <w:tcW w:w="808" w:type="dxa"/>
          </w:tcPr>
          <w:p>
            <w:pPr>
              <w:pStyle w:val="TableParagraph"/>
              <w:ind w:left="281" w:right="203"/>
              <w:rPr>
                <w:sz w:val="17"/>
              </w:rPr>
            </w:pPr>
            <w:r>
              <w:rPr>
                <w:color w:val="231F20"/>
                <w:sz w:val="17"/>
              </w:rPr>
              <w:t>100</w:t>
            </w:r>
          </w:p>
        </w:tc>
        <w:tc>
          <w:tcPr>
            <w:tcW w:w="791" w:type="dxa"/>
          </w:tcPr>
          <w:p>
            <w:pPr>
              <w:pStyle w:val="TableParagraph"/>
              <w:ind w:left="201" w:right="216"/>
              <w:rPr>
                <w:sz w:val="17"/>
              </w:rPr>
            </w:pPr>
            <w:r>
              <w:rPr>
                <w:color w:val="231F20"/>
                <w:w w:val="105"/>
                <w:sz w:val="17"/>
              </w:rPr>
              <w:t>13.6</w:t>
            </w:r>
          </w:p>
        </w:tc>
        <w:tc>
          <w:tcPr>
            <w:tcW w:w="875" w:type="dxa"/>
          </w:tcPr>
          <w:p>
            <w:pPr>
              <w:pStyle w:val="TableParagraph"/>
              <w:ind w:left="237"/>
              <w:jc w:val="left"/>
              <w:rPr>
                <w:sz w:val="17"/>
              </w:rPr>
            </w:pPr>
            <w:r>
              <w:rPr>
                <w:color w:val="231F20"/>
                <w:w w:val="105"/>
                <w:sz w:val="17"/>
              </w:rPr>
              <w:t>50.0</w:t>
            </w:r>
          </w:p>
        </w:tc>
        <w:tc>
          <w:tcPr>
            <w:tcW w:w="965" w:type="dxa"/>
          </w:tcPr>
          <w:p>
            <w:pPr>
              <w:pStyle w:val="TableParagraph"/>
              <w:ind w:left="303"/>
              <w:jc w:val="left"/>
              <w:rPr>
                <w:sz w:val="17"/>
              </w:rPr>
            </w:pPr>
            <w:r>
              <w:rPr>
                <w:color w:val="231F20"/>
                <w:w w:val="105"/>
                <w:sz w:val="17"/>
              </w:rPr>
              <w:t>27.6</w:t>
            </w:r>
          </w:p>
        </w:tc>
        <w:tc>
          <w:tcPr>
            <w:tcW w:w="959" w:type="dxa"/>
          </w:tcPr>
          <w:p>
            <w:pPr>
              <w:pStyle w:val="TableParagraph"/>
              <w:ind w:left="375"/>
              <w:jc w:val="left"/>
              <w:rPr>
                <w:sz w:val="17"/>
              </w:rPr>
            </w:pPr>
            <w:r>
              <w:rPr>
                <w:color w:val="231F20"/>
                <w:w w:val="105"/>
                <w:sz w:val="17"/>
              </w:rPr>
              <w:t>8.8</w:t>
            </w:r>
          </w:p>
        </w:tc>
        <w:tc>
          <w:tcPr>
            <w:tcW w:w="867" w:type="dxa"/>
          </w:tcPr>
          <w:p>
            <w:pPr>
              <w:pStyle w:val="TableParagraph"/>
              <w:ind w:left="298"/>
              <w:jc w:val="left"/>
              <w:rPr>
                <w:sz w:val="17"/>
              </w:rPr>
            </w:pPr>
            <w:r>
              <w:rPr>
                <w:color w:val="231F20"/>
                <w:sz w:val="17"/>
              </w:rPr>
              <w:t>100</w:t>
            </w:r>
          </w:p>
        </w:tc>
      </w:tr>
      <w:tr>
        <w:trPr>
          <w:trHeight w:val="210" w:hRule="exact"/>
        </w:trPr>
        <w:tc>
          <w:tcPr>
            <w:tcW w:w="1607" w:type="dxa"/>
          </w:tcPr>
          <w:p>
            <w:pPr>
              <w:pStyle w:val="TableParagraph"/>
              <w:ind w:left="35"/>
              <w:jc w:val="left"/>
              <w:rPr>
                <w:sz w:val="17"/>
              </w:rPr>
            </w:pPr>
            <w:r>
              <w:rPr>
                <w:color w:val="231F20"/>
                <w:w w:val="110"/>
                <w:sz w:val="17"/>
              </w:rPr>
              <w:t>Nuevo León</w:t>
            </w:r>
          </w:p>
        </w:tc>
        <w:tc>
          <w:tcPr>
            <w:tcW w:w="949" w:type="dxa"/>
          </w:tcPr>
          <w:p>
            <w:pPr>
              <w:pStyle w:val="TableParagraph"/>
              <w:ind w:left="355"/>
              <w:jc w:val="left"/>
              <w:rPr>
                <w:sz w:val="17"/>
              </w:rPr>
            </w:pPr>
            <w:r>
              <w:rPr>
                <w:color w:val="231F20"/>
                <w:w w:val="105"/>
                <w:sz w:val="17"/>
              </w:rPr>
              <w:t>12.5</w:t>
            </w:r>
          </w:p>
        </w:tc>
        <w:tc>
          <w:tcPr>
            <w:tcW w:w="912" w:type="dxa"/>
          </w:tcPr>
          <w:p>
            <w:pPr>
              <w:pStyle w:val="TableParagraph"/>
              <w:ind w:left="260"/>
              <w:jc w:val="left"/>
              <w:rPr>
                <w:sz w:val="17"/>
              </w:rPr>
            </w:pPr>
            <w:r>
              <w:rPr>
                <w:color w:val="231F20"/>
                <w:w w:val="105"/>
                <w:sz w:val="17"/>
              </w:rPr>
              <w:t>79.7</w:t>
            </w:r>
          </w:p>
        </w:tc>
        <w:tc>
          <w:tcPr>
            <w:tcW w:w="996" w:type="dxa"/>
          </w:tcPr>
          <w:p>
            <w:pPr>
              <w:pStyle w:val="TableParagraph"/>
              <w:ind w:right="342"/>
              <w:jc w:val="right"/>
              <w:rPr>
                <w:sz w:val="17"/>
              </w:rPr>
            </w:pPr>
            <w:r>
              <w:rPr>
                <w:color w:val="231F20"/>
                <w:w w:val="105"/>
                <w:sz w:val="17"/>
              </w:rPr>
              <w:t>3.6</w:t>
            </w:r>
          </w:p>
        </w:tc>
        <w:tc>
          <w:tcPr>
            <w:tcW w:w="880" w:type="dxa"/>
          </w:tcPr>
          <w:p>
            <w:pPr>
              <w:pStyle w:val="TableParagraph"/>
              <w:ind w:left="325" w:right="280"/>
              <w:rPr>
                <w:sz w:val="17"/>
              </w:rPr>
            </w:pPr>
            <w:r>
              <w:rPr>
                <w:color w:val="231F20"/>
                <w:w w:val="105"/>
                <w:sz w:val="17"/>
              </w:rPr>
              <w:t>4.2</w:t>
            </w:r>
          </w:p>
        </w:tc>
        <w:tc>
          <w:tcPr>
            <w:tcW w:w="808" w:type="dxa"/>
          </w:tcPr>
          <w:p>
            <w:pPr>
              <w:pStyle w:val="TableParagraph"/>
              <w:ind w:left="281" w:right="203"/>
              <w:rPr>
                <w:sz w:val="17"/>
              </w:rPr>
            </w:pPr>
            <w:r>
              <w:rPr>
                <w:color w:val="231F20"/>
                <w:sz w:val="17"/>
              </w:rPr>
              <w:t>100</w:t>
            </w:r>
          </w:p>
        </w:tc>
        <w:tc>
          <w:tcPr>
            <w:tcW w:w="791" w:type="dxa"/>
          </w:tcPr>
          <w:p>
            <w:pPr>
              <w:pStyle w:val="TableParagraph"/>
              <w:ind w:left="201" w:right="216"/>
              <w:rPr>
                <w:sz w:val="17"/>
              </w:rPr>
            </w:pPr>
            <w:r>
              <w:rPr>
                <w:color w:val="231F20"/>
                <w:w w:val="105"/>
                <w:sz w:val="17"/>
              </w:rPr>
              <w:t>15.0</w:t>
            </w:r>
          </w:p>
        </w:tc>
        <w:tc>
          <w:tcPr>
            <w:tcW w:w="875" w:type="dxa"/>
          </w:tcPr>
          <w:p>
            <w:pPr>
              <w:pStyle w:val="TableParagraph"/>
              <w:ind w:left="237"/>
              <w:jc w:val="left"/>
              <w:rPr>
                <w:sz w:val="17"/>
              </w:rPr>
            </w:pPr>
            <w:r>
              <w:rPr>
                <w:color w:val="231F20"/>
                <w:w w:val="105"/>
                <w:sz w:val="17"/>
              </w:rPr>
              <w:t>65.0</w:t>
            </w:r>
          </w:p>
        </w:tc>
        <w:tc>
          <w:tcPr>
            <w:tcW w:w="965" w:type="dxa"/>
          </w:tcPr>
          <w:p>
            <w:pPr>
              <w:pStyle w:val="TableParagraph"/>
              <w:ind w:left="303"/>
              <w:jc w:val="left"/>
              <w:rPr>
                <w:sz w:val="17"/>
              </w:rPr>
            </w:pPr>
            <w:r>
              <w:rPr>
                <w:color w:val="231F20"/>
                <w:w w:val="105"/>
                <w:sz w:val="17"/>
              </w:rPr>
              <w:t>12.6</w:t>
            </w:r>
          </w:p>
        </w:tc>
        <w:tc>
          <w:tcPr>
            <w:tcW w:w="959" w:type="dxa"/>
          </w:tcPr>
          <w:p>
            <w:pPr>
              <w:pStyle w:val="TableParagraph"/>
              <w:ind w:left="375"/>
              <w:jc w:val="left"/>
              <w:rPr>
                <w:sz w:val="17"/>
              </w:rPr>
            </w:pPr>
            <w:r>
              <w:rPr>
                <w:color w:val="231F20"/>
                <w:w w:val="105"/>
                <w:sz w:val="17"/>
              </w:rPr>
              <w:t>7.4</w:t>
            </w:r>
          </w:p>
        </w:tc>
        <w:tc>
          <w:tcPr>
            <w:tcW w:w="867" w:type="dxa"/>
          </w:tcPr>
          <w:p>
            <w:pPr>
              <w:pStyle w:val="TableParagraph"/>
              <w:ind w:left="298"/>
              <w:jc w:val="left"/>
              <w:rPr>
                <w:sz w:val="17"/>
              </w:rPr>
            </w:pPr>
            <w:r>
              <w:rPr>
                <w:color w:val="231F20"/>
                <w:sz w:val="17"/>
              </w:rPr>
              <w:t>100</w:t>
            </w:r>
          </w:p>
        </w:tc>
      </w:tr>
      <w:tr>
        <w:trPr>
          <w:trHeight w:val="210" w:hRule="exact"/>
        </w:trPr>
        <w:tc>
          <w:tcPr>
            <w:tcW w:w="1607" w:type="dxa"/>
          </w:tcPr>
          <w:p>
            <w:pPr>
              <w:pStyle w:val="TableParagraph"/>
              <w:ind w:left="35"/>
              <w:jc w:val="left"/>
              <w:rPr>
                <w:sz w:val="17"/>
              </w:rPr>
            </w:pPr>
            <w:r>
              <w:rPr>
                <w:color w:val="231F20"/>
                <w:w w:val="115"/>
                <w:sz w:val="17"/>
              </w:rPr>
              <w:t>Oaxaca</w:t>
            </w:r>
          </w:p>
        </w:tc>
        <w:tc>
          <w:tcPr>
            <w:tcW w:w="949" w:type="dxa"/>
          </w:tcPr>
          <w:p>
            <w:pPr>
              <w:pStyle w:val="TableParagraph"/>
              <w:ind w:left="355"/>
              <w:jc w:val="left"/>
              <w:rPr>
                <w:sz w:val="17"/>
              </w:rPr>
            </w:pPr>
            <w:r>
              <w:rPr>
                <w:color w:val="231F20"/>
                <w:w w:val="105"/>
                <w:sz w:val="17"/>
              </w:rPr>
              <w:t>10.8</w:t>
            </w:r>
          </w:p>
        </w:tc>
        <w:tc>
          <w:tcPr>
            <w:tcW w:w="912" w:type="dxa"/>
          </w:tcPr>
          <w:p>
            <w:pPr>
              <w:pStyle w:val="TableParagraph"/>
              <w:ind w:left="260"/>
              <w:jc w:val="left"/>
              <w:rPr>
                <w:sz w:val="17"/>
              </w:rPr>
            </w:pPr>
            <w:r>
              <w:rPr>
                <w:color w:val="231F20"/>
                <w:w w:val="105"/>
                <w:sz w:val="17"/>
              </w:rPr>
              <w:t>70.6</w:t>
            </w:r>
          </w:p>
        </w:tc>
        <w:tc>
          <w:tcPr>
            <w:tcW w:w="996" w:type="dxa"/>
          </w:tcPr>
          <w:p>
            <w:pPr>
              <w:pStyle w:val="TableParagraph"/>
              <w:ind w:right="342"/>
              <w:jc w:val="right"/>
              <w:rPr>
                <w:sz w:val="17"/>
              </w:rPr>
            </w:pPr>
            <w:r>
              <w:rPr>
                <w:color w:val="231F20"/>
                <w:sz w:val="17"/>
              </w:rPr>
              <w:t>12.6</w:t>
            </w:r>
          </w:p>
        </w:tc>
        <w:tc>
          <w:tcPr>
            <w:tcW w:w="880" w:type="dxa"/>
          </w:tcPr>
          <w:p>
            <w:pPr>
              <w:pStyle w:val="TableParagraph"/>
              <w:ind w:left="325" w:right="280"/>
              <w:rPr>
                <w:sz w:val="17"/>
              </w:rPr>
            </w:pPr>
            <w:r>
              <w:rPr>
                <w:color w:val="231F20"/>
                <w:w w:val="105"/>
                <w:sz w:val="17"/>
              </w:rPr>
              <w:t>6.1</w:t>
            </w:r>
          </w:p>
        </w:tc>
        <w:tc>
          <w:tcPr>
            <w:tcW w:w="808" w:type="dxa"/>
          </w:tcPr>
          <w:p>
            <w:pPr>
              <w:pStyle w:val="TableParagraph"/>
              <w:ind w:left="281" w:right="203"/>
              <w:rPr>
                <w:sz w:val="17"/>
              </w:rPr>
            </w:pPr>
            <w:r>
              <w:rPr>
                <w:color w:val="231F20"/>
                <w:sz w:val="17"/>
              </w:rPr>
              <w:t>100</w:t>
            </w:r>
          </w:p>
        </w:tc>
        <w:tc>
          <w:tcPr>
            <w:tcW w:w="791" w:type="dxa"/>
          </w:tcPr>
          <w:p>
            <w:pPr>
              <w:pStyle w:val="TableParagraph"/>
              <w:ind w:left="201" w:right="216"/>
              <w:rPr>
                <w:sz w:val="17"/>
              </w:rPr>
            </w:pPr>
            <w:r>
              <w:rPr>
                <w:color w:val="231F20"/>
                <w:w w:val="105"/>
                <w:sz w:val="17"/>
              </w:rPr>
              <w:t>17.3</w:t>
            </w:r>
          </w:p>
        </w:tc>
        <w:tc>
          <w:tcPr>
            <w:tcW w:w="875" w:type="dxa"/>
          </w:tcPr>
          <w:p>
            <w:pPr>
              <w:pStyle w:val="TableParagraph"/>
              <w:ind w:left="237"/>
              <w:jc w:val="left"/>
              <w:rPr>
                <w:sz w:val="17"/>
              </w:rPr>
            </w:pPr>
            <w:r>
              <w:rPr>
                <w:color w:val="231F20"/>
                <w:w w:val="105"/>
                <w:sz w:val="17"/>
              </w:rPr>
              <w:t>54.1</w:t>
            </w:r>
          </w:p>
        </w:tc>
        <w:tc>
          <w:tcPr>
            <w:tcW w:w="965" w:type="dxa"/>
          </w:tcPr>
          <w:p>
            <w:pPr>
              <w:pStyle w:val="TableParagraph"/>
              <w:ind w:left="303"/>
              <w:jc w:val="left"/>
              <w:rPr>
                <w:sz w:val="17"/>
              </w:rPr>
            </w:pPr>
            <w:r>
              <w:rPr>
                <w:color w:val="231F20"/>
                <w:w w:val="105"/>
                <w:sz w:val="17"/>
              </w:rPr>
              <w:t>20.6</w:t>
            </w:r>
          </w:p>
        </w:tc>
        <w:tc>
          <w:tcPr>
            <w:tcW w:w="959" w:type="dxa"/>
          </w:tcPr>
          <w:p>
            <w:pPr>
              <w:pStyle w:val="TableParagraph"/>
              <w:ind w:left="375"/>
              <w:jc w:val="left"/>
              <w:rPr>
                <w:sz w:val="17"/>
              </w:rPr>
            </w:pPr>
            <w:r>
              <w:rPr>
                <w:color w:val="231F20"/>
                <w:w w:val="105"/>
                <w:sz w:val="17"/>
              </w:rPr>
              <w:t>8.0</w:t>
            </w:r>
          </w:p>
        </w:tc>
        <w:tc>
          <w:tcPr>
            <w:tcW w:w="867" w:type="dxa"/>
          </w:tcPr>
          <w:p>
            <w:pPr>
              <w:pStyle w:val="TableParagraph"/>
              <w:ind w:left="298"/>
              <w:jc w:val="left"/>
              <w:rPr>
                <w:sz w:val="17"/>
              </w:rPr>
            </w:pPr>
            <w:r>
              <w:rPr>
                <w:color w:val="231F20"/>
                <w:sz w:val="17"/>
              </w:rPr>
              <w:t>100</w:t>
            </w:r>
          </w:p>
        </w:tc>
      </w:tr>
      <w:tr>
        <w:trPr>
          <w:trHeight w:val="210" w:hRule="exact"/>
        </w:trPr>
        <w:tc>
          <w:tcPr>
            <w:tcW w:w="1607" w:type="dxa"/>
          </w:tcPr>
          <w:p>
            <w:pPr>
              <w:pStyle w:val="TableParagraph"/>
              <w:ind w:left="35"/>
              <w:jc w:val="left"/>
              <w:rPr>
                <w:sz w:val="17"/>
              </w:rPr>
            </w:pPr>
            <w:r>
              <w:rPr>
                <w:color w:val="231F20"/>
                <w:w w:val="105"/>
                <w:sz w:val="17"/>
              </w:rPr>
              <w:t>Puebla</w:t>
            </w:r>
          </w:p>
        </w:tc>
        <w:tc>
          <w:tcPr>
            <w:tcW w:w="949" w:type="dxa"/>
          </w:tcPr>
          <w:p>
            <w:pPr>
              <w:pStyle w:val="TableParagraph"/>
              <w:ind w:left="355"/>
              <w:jc w:val="left"/>
              <w:rPr>
                <w:sz w:val="17"/>
              </w:rPr>
            </w:pPr>
            <w:r>
              <w:rPr>
                <w:color w:val="231F20"/>
                <w:w w:val="105"/>
                <w:sz w:val="17"/>
              </w:rPr>
              <w:t>11.4</w:t>
            </w:r>
          </w:p>
        </w:tc>
        <w:tc>
          <w:tcPr>
            <w:tcW w:w="912" w:type="dxa"/>
          </w:tcPr>
          <w:p>
            <w:pPr>
              <w:pStyle w:val="TableParagraph"/>
              <w:ind w:left="260"/>
              <w:jc w:val="left"/>
              <w:rPr>
                <w:sz w:val="17"/>
              </w:rPr>
            </w:pPr>
            <w:r>
              <w:rPr>
                <w:color w:val="231F20"/>
                <w:w w:val="105"/>
                <w:sz w:val="17"/>
              </w:rPr>
              <w:t>70.2</w:t>
            </w:r>
          </w:p>
        </w:tc>
        <w:tc>
          <w:tcPr>
            <w:tcW w:w="996" w:type="dxa"/>
          </w:tcPr>
          <w:p>
            <w:pPr>
              <w:pStyle w:val="TableParagraph"/>
              <w:ind w:right="342"/>
              <w:jc w:val="right"/>
              <w:rPr>
                <w:sz w:val="17"/>
              </w:rPr>
            </w:pPr>
            <w:r>
              <w:rPr>
                <w:color w:val="231F20"/>
                <w:sz w:val="17"/>
              </w:rPr>
              <w:t>12.4</w:t>
            </w:r>
          </w:p>
        </w:tc>
        <w:tc>
          <w:tcPr>
            <w:tcW w:w="880" w:type="dxa"/>
          </w:tcPr>
          <w:p>
            <w:pPr>
              <w:pStyle w:val="TableParagraph"/>
              <w:ind w:left="325" w:right="280"/>
              <w:rPr>
                <w:sz w:val="17"/>
              </w:rPr>
            </w:pPr>
            <w:r>
              <w:rPr>
                <w:color w:val="231F20"/>
                <w:w w:val="105"/>
                <w:sz w:val="17"/>
              </w:rPr>
              <w:t>5.9</w:t>
            </w:r>
          </w:p>
        </w:tc>
        <w:tc>
          <w:tcPr>
            <w:tcW w:w="808" w:type="dxa"/>
          </w:tcPr>
          <w:p>
            <w:pPr>
              <w:pStyle w:val="TableParagraph"/>
              <w:ind w:left="281" w:right="203"/>
              <w:rPr>
                <w:sz w:val="17"/>
              </w:rPr>
            </w:pPr>
            <w:r>
              <w:rPr>
                <w:color w:val="231F20"/>
                <w:sz w:val="17"/>
              </w:rPr>
              <w:t>100</w:t>
            </w:r>
          </w:p>
        </w:tc>
        <w:tc>
          <w:tcPr>
            <w:tcW w:w="791" w:type="dxa"/>
          </w:tcPr>
          <w:p>
            <w:pPr>
              <w:pStyle w:val="TableParagraph"/>
              <w:ind w:left="201" w:right="216"/>
              <w:rPr>
                <w:sz w:val="17"/>
              </w:rPr>
            </w:pPr>
            <w:r>
              <w:rPr>
                <w:color w:val="231F20"/>
                <w:w w:val="105"/>
                <w:sz w:val="17"/>
              </w:rPr>
              <w:t>17.5</w:t>
            </w:r>
          </w:p>
        </w:tc>
        <w:tc>
          <w:tcPr>
            <w:tcW w:w="875" w:type="dxa"/>
          </w:tcPr>
          <w:p>
            <w:pPr>
              <w:pStyle w:val="TableParagraph"/>
              <w:ind w:left="237"/>
              <w:jc w:val="left"/>
              <w:rPr>
                <w:sz w:val="17"/>
              </w:rPr>
            </w:pPr>
            <w:r>
              <w:rPr>
                <w:color w:val="231F20"/>
                <w:w w:val="105"/>
                <w:sz w:val="17"/>
              </w:rPr>
              <w:t>46.0</w:t>
            </w:r>
          </w:p>
        </w:tc>
        <w:tc>
          <w:tcPr>
            <w:tcW w:w="965" w:type="dxa"/>
          </w:tcPr>
          <w:p>
            <w:pPr>
              <w:pStyle w:val="TableParagraph"/>
              <w:ind w:left="303"/>
              <w:jc w:val="left"/>
              <w:rPr>
                <w:sz w:val="17"/>
              </w:rPr>
            </w:pPr>
            <w:r>
              <w:rPr>
                <w:color w:val="231F20"/>
                <w:w w:val="105"/>
                <w:sz w:val="17"/>
              </w:rPr>
              <w:t>27.9</w:t>
            </w:r>
          </w:p>
        </w:tc>
        <w:tc>
          <w:tcPr>
            <w:tcW w:w="959" w:type="dxa"/>
          </w:tcPr>
          <w:p>
            <w:pPr>
              <w:pStyle w:val="TableParagraph"/>
              <w:ind w:left="375"/>
              <w:jc w:val="left"/>
              <w:rPr>
                <w:sz w:val="17"/>
              </w:rPr>
            </w:pPr>
            <w:r>
              <w:rPr>
                <w:color w:val="231F20"/>
                <w:w w:val="105"/>
                <w:sz w:val="17"/>
              </w:rPr>
              <w:t>8.7</w:t>
            </w:r>
          </w:p>
        </w:tc>
        <w:tc>
          <w:tcPr>
            <w:tcW w:w="867" w:type="dxa"/>
          </w:tcPr>
          <w:p>
            <w:pPr>
              <w:pStyle w:val="TableParagraph"/>
              <w:ind w:left="298"/>
              <w:jc w:val="left"/>
              <w:rPr>
                <w:sz w:val="17"/>
              </w:rPr>
            </w:pPr>
            <w:r>
              <w:rPr>
                <w:color w:val="231F20"/>
                <w:sz w:val="17"/>
              </w:rPr>
              <w:t>100</w:t>
            </w:r>
          </w:p>
        </w:tc>
      </w:tr>
      <w:tr>
        <w:trPr>
          <w:trHeight w:val="210" w:hRule="exact"/>
        </w:trPr>
        <w:tc>
          <w:tcPr>
            <w:tcW w:w="1607" w:type="dxa"/>
          </w:tcPr>
          <w:p>
            <w:pPr>
              <w:pStyle w:val="TableParagraph"/>
              <w:ind w:left="35"/>
              <w:jc w:val="left"/>
              <w:rPr>
                <w:sz w:val="17"/>
              </w:rPr>
            </w:pPr>
            <w:r>
              <w:rPr>
                <w:color w:val="231F20"/>
                <w:w w:val="110"/>
                <w:sz w:val="17"/>
              </w:rPr>
              <w:t>Querétaro</w:t>
            </w:r>
          </w:p>
        </w:tc>
        <w:tc>
          <w:tcPr>
            <w:tcW w:w="949" w:type="dxa"/>
          </w:tcPr>
          <w:p>
            <w:pPr>
              <w:pStyle w:val="TableParagraph"/>
              <w:ind w:left="355"/>
              <w:jc w:val="left"/>
              <w:rPr>
                <w:sz w:val="17"/>
              </w:rPr>
            </w:pPr>
            <w:r>
              <w:rPr>
                <w:color w:val="231F20"/>
                <w:w w:val="105"/>
                <w:sz w:val="17"/>
              </w:rPr>
              <w:t>12.3</w:t>
            </w:r>
          </w:p>
        </w:tc>
        <w:tc>
          <w:tcPr>
            <w:tcW w:w="912" w:type="dxa"/>
          </w:tcPr>
          <w:p>
            <w:pPr>
              <w:pStyle w:val="TableParagraph"/>
              <w:ind w:left="260"/>
              <w:jc w:val="left"/>
              <w:rPr>
                <w:sz w:val="17"/>
              </w:rPr>
            </w:pPr>
            <w:r>
              <w:rPr>
                <w:color w:val="231F20"/>
                <w:w w:val="105"/>
                <w:sz w:val="17"/>
              </w:rPr>
              <w:t>78.9</w:t>
            </w:r>
          </w:p>
        </w:tc>
        <w:tc>
          <w:tcPr>
            <w:tcW w:w="996" w:type="dxa"/>
          </w:tcPr>
          <w:p>
            <w:pPr>
              <w:pStyle w:val="TableParagraph"/>
              <w:ind w:right="342"/>
              <w:jc w:val="right"/>
              <w:rPr>
                <w:sz w:val="17"/>
              </w:rPr>
            </w:pPr>
            <w:r>
              <w:rPr>
                <w:color w:val="231F20"/>
                <w:w w:val="105"/>
                <w:sz w:val="17"/>
              </w:rPr>
              <w:t>4.6</w:t>
            </w:r>
          </w:p>
        </w:tc>
        <w:tc>
          <w:tcPr>
            <w:tcW w:w="880" w:type="dxa"/>
          </w:tcPr>
          <w:p>
            <w:pPr>
              <w:pStyle w:val="TableParagraph"/>
              <w:ind w:left="325" w:right="280"/>
              <w:rPr>
                <w:sz w:val="17"/>
              </w:rPr>
            </w:pPr>
            <w:r>
              <w:rPr>
                <w:color w:val="231F20"/>
                <w:w w:val="105"/>
                <w:sz w:val="17"/>
              </w:rPr>
              <w:t>4.3</w:t>
            </w:r>
          </w:p>
        </w:tc>
        <w:tc>
          <w:tcPr>
            <w:tcW w:w="808" w:type="dxa"/>
          </w:tcPr>
          <w:p>
            <w:pPr>
              <w:pStyle w:val="TableParagraph"/>
              <w:ind w:left="281" w:right="203"/>
              <w:rPr>
                <w:sz w:val="17"/>
              </w:rPr>
            </w:pPr>
            <w:r>
              <w:rPr>
                <w:color w:val="231F20"/>
                <w:sz w:val="17"/>
              </w:rPr>
              <w:t>100</w:t>
            </w:r>
          </w:p>
        </w:tc>
        <w:tc>
          <w:tcPr>
            <w:tcW w:w="791" w:type="dxa"/>
          </w:tcPr>
          <w:p>
            <w:pPr>
              <w:pStyle w:val="TableParagraph"/>
              <w:ind w:left="201" w:right="216"/>
              <w:rPr>
                <w:sz w:val="17"/>
              </w:rPr>
            </w:pPr>
            <w:r>
              <w:rPr>
                <w:color w:val="231F20"/>
                <w:w w:val="105"/>
                <w:sz w:val="17"/>
              </w:rPr>
              <w:t>19.5</w:t>
            </w:r>
          </w:p>
        </w:tc>
        <w:tc>
          <w:tcPr>
            <w:tcW w:w="875" w:type="dxa"/>
          </w:tcPr>
          <w:p>
            <w:pPr>
              <w:pStyle w:val="TableParagraph"/>
              <w:ind w:left="237"/>
              <w:jc w:val="left"/>
              <w:rPr>
                <w:sz w:val="17"/>
              </w:rPr>
            </w:pPr>
            <w:r>
              <w:rPr>
                <w:color w:val="231F20"/>
                <w:w w:val="105"/>
                <w:sz w:val="17"/>
              </w:rPr>
              <w:t>58.1</w:t>
            </w:r>
          </w:p>
        </w:tc>
        <w:tc>
          <w:tcPr>
            <w:tcW w:w="965" w:type="dxa"/>
          </w:tcPr>
          <w:p>
            <w:pPr>
              <w:pStyle w:val="TableParagraph"/>
              <w:ind w:left="303"/>
              <w:jc w:val="left"/>
              <w:rPr>
                <w:sz w:val="17"/>
              </w:rPr>
            </w:pPr>
            <w:r>
              <w:rPr>
                <w:color w:val="231F20"/>
                <w:w w:val="105"/>
                <w:sz w:val="17"/>
              </w:rPr>
              <w:t>15.9</w:t>
            </w:r>
          </w:p>
        </w:tc>
        <w:tc>
          <w:tcPr>
            <w:tcW w:w="959" w:type="dxa"/>
          </w:tcPr>
          <w:p>
            <w:pPr>
              <w:pStyle w:val="TableParagraph"/>
              <w:ind w:left="375"/>
              <w:jc w:val="left"/>
              <w:rPr>
                <w:sz w:val="17"/>
              </w:rPr>
            </w:pPr>
            <w:r>
              <w:rPr>
                <w:color w:val="231F20"/>
                <w:w w:val="105"/>
                <w:sz w:val="17"/>
              </w:rPr>
              <w:t>6.5</w:t>
            </w:r>
          </w:p>
        </w:tc>
        <w:tc>
          <w:tcPr>
            <w:tcW w:w="867" w:type="dxa"/>
          </w:tcPr>
          <w:p>
            <w:pPr>
              <w:pStyle w:val="TableParagraph"/>
              <w:ind w:left="298"/>
              <w:jc w:val="left"/>
              <w:rPr>
                <w:sz w:val="17"/>
              </w:rPr>
            </w:pPr>
            <w:r>
              <w:rPr>
                <w:color w:val="231F20"/>
                <w:sz w:val="17"/>
              </w:rPr>
              <w:t>100</w:t>
            </w:r>
          </w:p>
        </w:tc>
      </w:tr>
      <w:tr>
        <w:trPr>
          <w:trHeight w:val="210" w:hRule="exact"/>
        </w:trPr>
        <w:tc>
          <w:tcPr>
            <w:tcW w:w="1607" w:type="dxa"/>
          </w:tcPr>
          <w:p>
            <w:pPr>
              <w:pStyle w:val="TableParagraph"/>
              <w:ind w:left="35"/>
              <w:jc w:val="left"/>
              <w:rPr>
                <w:sz w:val="17"/>
              </w:rPr>
            </w:pPr>
            <w:r>
              <w:rPr>
                <w:color w:val="231F20"/>
                <w:w w:val="110"/>
                <w:sz w:val="17"/>
              </w:rPr>
              <w:t>Quintana Roo</w:t>
            </w:r>
          </w:p>
        </w:tc>
        <w:tc>
          <w:tcPr>
            <w:tcW w:w="949" w:type="dxa"/>
          </w:tcPr>
          <w:p>
            <w:pPr>
              <w:pStyle w:val="TableParagraph"/>
              <w:ind w:left="403"/>
              <w:jc w:val="left"/>
              <w:rPr>
                <w:sz w:val="17"/>
              </w:rPr>
            </w:pPr>
            <w:r>
              <w:rPr>
                <w:color w:val="231F20"/>
                <w:w w:val="105"/>
                <w:sz w:val="17"/>
              </w:rPr>
              <w:t>6.6</w:t>
            </w:r>
          </w:p>
        </w:tc>
        <w:tc>
          <w:tcPr>
            <w:tcW w:w="912" w:type="dxa"/>
          </w:tcPr>
          <w:p>
            <w:pPr>
              <w:pStyle w:val="TableParagraph"/>
              <w:ind w:left="260"/>
              <w:jc w:val="left"/>
              <w:rPr>
                <w:sz w:val="17"/>
              </w:rPr>
            </w:pPr>
            <w:r>
              <w:rPr>
                <w:color w:val="231F20"/>
                <w:w w:val="105"/>
                <w:sz w:val="17"/>
              </w:rPr>
              <w:t>75.6</w:t>
            </w:r>
          </w:p>
        </w:tc>
        <w:tc>
          <w:tcPr>
            <w:tcW w:w="996" w:type="dxa"/>
          </w:tcPr>
          <w:p>
            <w:pPr>
              <w:pStyle w:val="TableParagraph"/>
              <w:ind w:right="342"/>
              <w:jc w:val="right"/>
              <w:rPr>
                <w:sz w:val="17"/>
              </w:rPr>
            </w:pPr>
            <w:r>
              <w:rPr>
                <w:color w:val="231F20"/>
                <w:sz w:val="17"/>
              </w:rPr>
              <w:t>12.5</w:t>
            </w:r>
          </w:p>
        </w:tc>
        <w:tc>
          <w:tcPr>
            <w:tcW w:w="880" w:type="dxa"/>
          </w:tcPr>
          <w:p>
            <w:pPr>
              <w:pStyle w:val="TableParagraph"/>
              <w:ind w:left="325" w:right="280"/>
              <w:rPr>
                <w:sz w:val="17"/>
              </w:rPr>
            </w:pPr>
            <w:r>
              <w:rPr>
                <w:color w:val="231F20"/>
                <w:w w:val="105"/>
                <w:sz w:val="17"/>
              </w:rPr>
              <w:t>5.3</w:t>
            </w:r>
          </w:p>
        </w:tc>
        <w:tc>
          <w:tcPr>
            <w:tcW w:w="808" w:type="dxa"/>
          </w:tcPr>
          <w:p>
            <w:pPr>
              <w:pStyle w:val="TableParagraph"/>
              <w:ind w:left="281" w:right="203"/>
              <w:rPr>
                <w:sz w:val="17"/>
              </w:rPr>
            </w:pPr>
            <w:r>
              <w:rPr>
                <w:color w:val="231F20"/>
                <w:sz w:val="17"/>
              </w:rPr>
              <w:t>100</w:t>
            </w:r>
          </w:p>
        </w:tc>
        <w:tc>
          <w:tcPr>
            <w:tcW w:w="791" w:type="dxa"/>
          </w:tcPr>
          <w:p>
            <w:pPr>
              <w:pStyle w:val="TableParagraph"/>
              <w:ind w:left="201" w:right="216"/>
              <w:rPr>
                <w:sz w:val="17"/>
              </w:rPr>
            </w:pPr>
            <w:r>
              <w:rPr>
                <w:color w:val="231F20"/>
                <w:w w:val="105"/>
                <w:sz w:val="17"/>
              </w:rPr>
              <w:t>13.0</w:t>
            </w:r>
          </w:p>
        </w:tc>
        <w:tc>
          <w:tcPr>
            <w:tcW w:w="875" w:type="dxa"/>
          </w:tcPr>
          <w:p>
            <w:pPr>
              <w:pStyle w:val="TableParagraph"/>
              <w:ind w:left="237"/>
              <w:jc w:val="left"/>
              <w:rPr>
                <w:sz w:val="17"/>
              </w:rPr>
            </w:pPr>
            <w:r>
              <w:rPr>
                <w:color w:val="231F20"/>
                <w:w w:val="105"/>
                <w:sz w:val="17"/>
              </w:rPr>
              <w:t>51.3</w:t>
            </w:r>
          </w:p>
        </w:tc>
        <w:tc>
          <w:tcPr>
            <w:tcW w:w="965" w:type="dxa"/>
          </w:tcPr>
          <w:p>
            <w:pPr>
              <w:pStyle w:val="TableParagraph"/>
              <w:ind w:left="303"/>
              <w:jc w:val="left"/>
              <w:rPr>
                <w:sz w:val="17"/>
              </w:rPr>
            </w:pPr>
            <w:r>
              <w:rPr>
                <w:color w:val="231F20"/>
                <w:w w:val="105"/>
                <w:sz w:val="17"/>
              </w:rPr>
              <w:t>26.7</w:t>
            </w:r>
          </w:p>
        </w:tc>
        <w:tc>
          <w:tcPr>
            <w:tcW w:w="959" w:type="dxa"/>
          </w:tcPr>
          <w:p>
            <w:pPr>
              <w:pStyle w:val="TableParagraph"/>
              <w:ind w:left="375"/>
              <w:jc w:val="left"/>
              <w:rPr>
                <w:sz w:val="17"/>
              </w:rPr>
            </w:pPr>
            <w:r>
              <w:rPr>
                <w:color w:val="231F20"/>
                <w:w w:val="105"/>
                <w:sz w:val="17"/>
              </w:rPr>
              <w:t>8.9</w:t>
            </w:r>
          </w:p>
        </w:tc>
        <w:tc>
          <w:tcPr>
            <w:tcW w:w="867" w:type="dxa"/>
          </w:tcPr>
          <w:p>
            <w:pPr>
              <w:pStyle w:val="TableParagraph"/>
              <w:ind w:left="298"/>
              <w:jc w:val="left"/>
              <w:rPr>
                <w:sz w:val="17"/>
              </w:rPr>
            </w:pPr>
            <w:r>
              <w:rPr>
                <w:color w:val="231F20"/>
                <w:sz w:val="17"/>
              </w:rPr>
              <w:t>100</w:t>
            </w:r>
          </w:p>
        </w:tc>
      </w:tr>
      <w:tr>
        <w:trPr>
          <w:trHeight w:val="210" w:hRule="exact"/>
        </w:trPr>
        <w:tc>
          <w:tcPr>
            <w:tcW w:w="1607" w:type="dxa"/>
          </w:tcPr>
          <w:p>
            <w:pPr>
              <w:pStyle w:val="TableParagraph"/>
              <w:ind w:left="35"/>
              <w:jc w:val="left"/>
              <w:rPr>
                <w:sz w:val="17"/>
              </w:rPr>
            </w:pPr>
            <w:r>
              <w:rPr>
                <w:color w:val="231F20"/>
                <w:w w:val="110"/>
                <w:sz w:val="17"/>
              </w:rPr>
              <w:t>San Luis Potosí</w:t>
            </w:r>
          </w:p>
        </w:tc>
        <w:tc>
          <w:tcPr>
            <w:tcW w:w="949" w:type="dxa"/>
          </w:tcPr>
          <w:p>
            <w:pPr>
              <w:pStyle w:val="TableParagraph"/>
              <w:ind w:left="355"/>
              <w:jc w:val="left"/>
              <w:rPr>
                <w:sz w:val="17"/>
              </w:rPr>
            </w:pPr>
            <w:r>
              <w:rPr>
                <w:color w:val="231F20"/>
                <w:w w:val="105"/>
                <w:sz w:val="17"/>
              </w:rPr>
              <w:t>12.0</w:t>
            </w:r>
          </w:p>
        </w:tc>
        <w:tc>
          <w:tcPr>
            <w:tcW w:w="912" w:type="dxa"/>
          </w:tcPr>
          <w:p>
            <w:pPr>
              <w:pStyle w:val="TableParagraph"/>
              <w:ind w:left="260"/>
              <w:jc w:val="left"/>
              <w:rPr>
                <w:sz w:val="17"/>
              </w:rPr>
            </w:pPr>
            <w:r>
              <w:rPr>
                <w:color w:val="231F20"/>
                <w:w w:val="105"/>
                <w:sz w:val="17"/>
              </w:rPr>
              <w:t>76.9</w:t>
            </w:r>
          </w:p>
        </w:tc>
        <w:tc>
          <w:tcPr>
            <w:tcW w:w="996" w:type="dxa"/>
          </w:tcPr>
          <w:p>
            <w:pPr>
              <w:pStyle w:val="TableParagraph"/>
              <w:ind w:right="342"/>
              <w:jc w:val="right"/>
              <w:rPr>
                <w:sz w:val="17"/>
              </w:rPr>
            </w:pPr>
            <w:r>
              <w:rPr>
                <w:color w:val="231F20"/>
                <w:w w:val="105"/>
                <w:sz w:val="17"/>
              </w:rPr>
              <w:t>6.9</w:t>
            </w:r>
          </w:p>
        </w:tc>
        <w:tc>
          <w:tcPr>
            <w:tcW w:w="880" w:type="dxa"/>
          </w:tcPr>
          <w:p>
            <w:pPr>
              <w:pStyle w:val="TableParagraph"/>
              <w:ind w:left="325" w:right="280"/>
              <w:rPr>
                <w:sz w:val="17"/>
              </w:rPr>
            </w:pPr>
            <w:r>
              <w:rPr>
                <w:color w:val="231F20"/>
                <w:w w:val="105"/>
                <w:sz w:val="17"/>
              </w:rPr>
              <w:t>4.3</w:t>
            </w:r>
          </w:p>
        </w:tc>
        <w:tc>
          <w:tcPr>
            <w:tcW w:w="808" w:type="dxa"/>
          </w:tcPr>
          <w:p>
            <w:pPr>
              <w:pStyle w:val="TableParagraph"/>
              <w:ind w:left="281" w:right="203"/>
              <w:rPr>
                <w:sz w:val="17"/>
              </w:rPr>
            </w:pPr>
            <w:r>
              <w:rPr>
                <w:color w:val="231F20"/>
                <w:sz w:val="17"/>
              </w:rPr>
              <w:t>100</w:t>
            </w:r>
          </w:p>
        </w:tc>
        <w:tc>
          <w:tcPr>
            <w:tcW w:w="791" w:type="dxa"/>
          </w:tcPr>
          <w:p>
            <w:pPr>
              <w:pStyle w:val="TableParagraph"/>
              <w:ind w:left="201" w:right="216"/>
              <w:rPr>
                <w:sz w:val="17"/>
              </w:rPr>
            </w:pPr>
            <w:r>
              <w:rPr>
                <w:color w:val="231F20"/>
                <w:w w:val="105"/>
                <w:sz w:val="17"/>
              </w:rPr>
              <w:t>17.0</w:t>
            </w:r>
          </w:p>
        </w:tc>
        <w:tc>
          <w:tcPr>
            <w:tcW w:w="875" w:type="dxa"/>
          </w:tcPr>
          <w:p>
            <w:pPr>
              <w:pStyle w:val="TableParagraph"/>
              <w:ind w:left="237"/>
              <w:jc w:val="left"/>
              <w:rPr>
                <w:sz w:val="17"/>
              </w:rPr>
            </w:pPr>
            <w:r>
              <w:rPr>
                <w:color w:val="231F20"/>
                <w:w w:val="105"/>
                <w:sz w:val="17"/>
              </w:rPr>
              <w:t>59.1</w:t>
            </w:r>
          </w:p>
        </w:tc>
        <w:tc>
          <w:tcPr>
            <w:tcW w:w="965" w:type="dxa"/>
          </w:tcPr>
          <w:p>
            <w:pPr>
              <w:pStyle w:val="TableParagraph"/>
              <w:ind w:left="303"/>
              <w:jc w:val="left"/>
              <w:rPr>
                <w:sz w:val="17"/>
              </w:rPr>
            </w:pPr>
            <w:r>
              <w:rPr>
                <w:color w:val="231F20"/>
                <w:w w:val="105"/>
                <w:sz w:val="17"/>
              </w:rPr>
              <w:t>16.6</w:t>
            </w:r>
          </w:p>
        </w:tc>
        <w:tc>
          <w:tcPr>
            <w:tcW w:w="959" w:type="dxa"/>
          </w:tcPr>
          <w:p>
            <w:pPr>
              <w:pStyle w:val="TableParagraph"/>
              <w:ind w:left="375"/>
              <w:jc w:val="left"/>
              <w:rPr>
                <w:sz w:val="17"/>
              </w:rPr>
            </w:pPr>
            <w:r>
              <w:rPr>
                <w:color w:val="231F20"/>
                <w:w w:val="105"/>
                <w:sz w:val="17"/>
              </w:rPr>
              <w:t>7.3</w:t>
            </w:r>
          </w:p>
        </w:tc>
        <w:tc>
          <w:tcPr>
            <w:tcW w:w="867" w:type="dxa"/>
          </w:tcPr>
          <w:p>
            <w:pPr>
              <w:pStyle w:val="TableParagraph"/>
              <w:ind w:left="298"/>
              <w:jc w:val="left"/>
              <w:rPr>
                <w:sz w:val="17"/>
              </w:rPr>
            </w:pPr>
            <w:r>
              <w:rPr>
                <w:color w:val="231F20"/>
                <w:sz w:val="17"/>
              </w:rPr>
              <w:t>100</w:t>
            </w:r>
          </w:p>
        </w:tc>
      </w:tr>
      <w:tr>
        <w:trPr>
          <w:trHeight w:val="210" w:hRule="exact"/>
        </w:trPr>
        <w:tc>
          <w:tcPr>
            <w:tcW w:w="1607" w:type="dxa"/>
          </w:tcPr>
          <w:p>
            <w:pPr>
              <w:pStyle w:val="TableParagraph"/>
              <w:ind w:left="35"/>
              <w:jc w:val="left"/>
              <w:rPr>
                <w:sz w:val="17"/>
              </w:rPr>
            </w:pPr>
            <w:r>
              <w:rPr>
                <w:color w:val="231F20"/>
                <w:w w:val="110"/>
                <w:sz w:val="17"/>
              </w:rPr>
              <w:t>Sinaloa</w:t>
            </w:r>
          </w:p>
        </w:tc>
        <w:tc>
          <w:tcPr>
            <w:tcW w:w="949" w:type="dxa"/>
          </w:tcPr>
          <w:p>
            <w:pPr>
              <w:pStyle w:val="TableParagraph"/>
              <w:ind w:left="403"/>
              <w:jc w:val="left"/>
              <w:rPr>
                <w:sz w:val="17"/>
              </w:rPr>
            </w:pPr>
            <w:r>
              <w:rPr>
                <w:color w:val="231F20"/>
                <w:w w:val="105"/>
                <w:sz w:val="17"/>
              </w:rPr>
              <w:t>9.0</w:t>
            </w:r>
          </w:p>
        </w:tc>
        <w:tc>
          <w:tcPr>
            <w:tcW w:w="912" w:type="dxa"/>
          </w:tcPr>
          <w:p>
            <w:pPr>
              <w:pStyle w:val="TableParagraph"/>
              <w:ind w:left="260"/>
              <w:jc w:val="left"/>
              <w:rPr>
                <w:sz w:val="17"/>
              </w:rPr>
            </w:pPr>
            <w:r>
              <w:rPr>
                <w:color w:val="231F20"/>
                <w:w w:val="105"/>
                <w:sz w:val="17"/>
              </w:rPr>
              <w:t>67.6</w:t>
            </w:r>
          </w:p>
        </w:tc>
        <w:tc>
          <w:tcPr>
            <w:tcW w:w="996" w:type="dxa"/>
          </w:tcPr>
          <w:p>
            <w:pPr>
              <w:pStyle w:val="TableParagraph"/>
              <w:ind w:right="342"/>
              <w:jc w:val="right"/>
              <w:rPr>
                <w:sz w:val="17"/>
              </w:rPr>
            </w:pPr>
            <w:r>
              <w:rPr>
                <w:color w:val="231F20"/>
                <w:sz w:val="17"/>
              </w:rPr>
              <w:t>17.4</w:t>
            </w:r>
          </w:p>
        </w:tc>
        <w:tc>
          <w:tcPr>
            <w:tcW w:w="880" w:type="dxa"/>
          </w:tcPr>
          <w:p>
            <w:pPr>
              <w:pStyle w:val="TableParagraph"/>
              <w:ind w:left="325" w:right="280"/>
              <w:rPr>
                <w:sz w:val="17"/>
              </w:rPr>
            </w:pPr>
            <w:r>
              <w:rPr>
                <w:color w:val="231F20"/>
                <w:w w:val="105"/>
                <w:sz w:val="17"/>
              </w:rPr>
              <w:t>6.0</w:t>
            </w:r>
          </w:p>
        </w:tc>
        <w:tc>
          <w:tcPr>
            <w:tcW w:w="808" w:type="dxa"/>
          </w:tcPr>
          <w:p>
            <w:pPr>
              <w:pStyle w:val="TableParagraph"/>
              <w:ind w:left="281" w:right="203"/>
              <w:rPr>
                <w:sz w:val="17"/>
              </w:rPr>
            </w:pPr>
            <w:r>
              <w:rPr>
                <w:color w:val="231F20"/>
                <w:sz w:val="17"/>
              </w:rPr>
              <w:t>100</w:t>
            </w:r>
          </w:p>
        </w:tc>
        <w:tc>
          <w:tcPr>
            <w:tcW w:w="791" w:type="dxa"/>
          </w:tcPr>
          <w:p>
            <w:pPr>
              <w:pStyle w:val="TableParagraph"/>
              <w:ind w:left="201" w:right="216"/>
              <w:rPr>
                <w:sz w:val="17"/>
              </w:rPr>
            </w:pPr>
            <w:r>
              <w:rPr>
                <w:color w:val="231F20"/>
                <w:w w:val="105"/>
                <w:sz w:val="17"/>
              </w:rPr>
              <w:t>12.3</w:t>
            </w:r>
          </w:p>
        </w:tc>
        <w:tc>
          <w:tcPr>
            <w:tcW w:w="875" w:type="dxa"/>
          </w:tcPr>
          <w:p>
            <w:pPr>
              <w:pStyle w:val="TableParagraph"/>
              <w:ind w:left="237"/>
              <w:jc w:val="left"/>
              <w:rPr>
                <w:sz w:val="17"/>
              </w:rPr>
            </w:pPr>
            <w:r>
              <w:rPr>
                <w:color w:val="231F20"/>
                <w:w w:val="105"/>
                <w:sz w:val="17"/>
              </w:rPr>
              <w:t>57.4</w:t>
            </w:r>
          </w:p>
        </w:tc>
        <w:tc>
          <w:tcPr>
            <w:tcW w:w="965" w:type="dxa"/>
          </w:tcPr>
          <w:p>
            <w:pPr>
              <w:pStyle w:val="TableParagraph"/>
              <w:ind w:left="303"/>
              <w:jc w:val="left"/>
              <w:rPr>
                <w:sz w:val="17"/>
              </w:rPr>
            </w:pPr>
            <w:r>
              <w:rPr>
                <w:color w:val="231F20"/>
                <w:w w:val="105"/>
                <w:sz w:val="17"/>
              </w:rPr>
              <w:t>20.3</w:t>
            </w:r>
          </w:p>
        </w:tc>
        <w:tc>
          <w:tcPr>
            <w:tcW w:w="959" w:type="dxa"/>
          </w:tcPr>
          <w:p>
            <w:pPr>
              <w:pStyle w:val="TableParagraph"/>
              <w:ind w:left="327"/>
              <w:jc w:val="left"/>
              <w:rPr>
                <w:sz w:val="17"/>
              </w:rPr>
            </w:pPr>
            <w:r>
              <w:rPr>
                <w:color w:val="231F20"/>
                <w:w w:val="105"/>
                <w:sz w:val="17"/>
              </w:rPr>
              <w:t>10.0</w:t>
            </w:r>
          </w:p>
        </w:tc>
        <w:tc>
          <w:tcPr>
            <w:tcW w:w="867" w:type="dxa"/>
          </w:tcPr>
          <w:p>
            <w:pPr>
              <w:pStyle w:val="TableParagraph"/>
              <w:ind w:left="298"/>
              <w:jc w:val="left"/>
              <w:rPr>
                <w:sz w:val="17"/>
              </w:rPr>
            </w:pPr>
            <w:r>
              <w:rPr>
                <w:color w:val="231F20"/>
                <w:sz w:val="17"/>
              </w:rPr>
              <w:t>100</w:t>
            </w:r>
          </w:p>
        </w:tc>
      </w:tr>
      <w:tr>
        <w:trPr>
          <w:trHeight w:val="210" w:hRule="exact"/>
        </w:trPr>
        <w:tc>
          <w:tcPr>
            <w:tcW w:w="1607" w:type="dxa"/>
          </w:tcPr>
          <w:p>
            <w:pPr>
              <w:pStyle w:val="TableParagraph"/>
              <w:ind w:left="35"/>
              <w:jc w:val="left"/>
              <w:rPr>
                <w:sz w:val="17"/>
              </w:rPr>
            </w:pPr>
            <w:r>
              <w:rPr>
                <w:color w:val="231F20"/>
                <w:w w:val="110"/>
                <w:sz w:val="17"/>
              </w:rPr>
              <w:t>Sonora</w:t>
            </w:r>
          </w:p>
        </w:tc>
        <w:tc>
          <w:tcPr>
            <w:tcW w:w="949" w:type="dxa"/>
          </w:tcPr>
          <w:p>
            <w:pPr>
              <w:pStyle w:val="TableParagraph"/>
              <w:ind w:left="355"/>
              <w:jc w:val="left"/>
              <w:rPr>
                <w:sz w:val="17"/>
              </w:rPr>
            </w:pPr>
            <w:r>
              <w:rPr>
                <w:color w:val="231F20"/>
                <w:w w:val="105"/>
                <w:sz w:val="17"/>
              </w:rPr>
              <w:t>11.7</w:t>
            </w:r>
          </w:p>
        </w:tc>
        <w:tc>
          <w:tcPr>
            <w:tcW w:w="912" w:type="dxa"/>
          </w:tcPr>
          <w:p>
            <w:pPr>
              <w:pStyle w:val="TableParagraph"/>
              <w:ind w:left="260"/>
              <w:jc w:val="left"/>
              <w:rPr>
                <w:sz w:val="17"/>
              </w:rPr>
            </w:pPr>
            <w:r>
              <w:rPr>
                <w:color w:val="231F20"/>
                <w:w w:val="105"/>
                <w:sz w:val="17"/>
              </w:rPr>
              <w:t>70.2</w:t>
            </w:r>
          </w:p>
        </w:tc>
        <w:tc>
          <w:tcPr>
            <w:tcW w:w="996" w:type="dxa"/>
          </w:tcPr>
          <w:p>
            <w:pPr>
              <w:pStyle w:val="TableParagraph"/>
              <w:ind w:right="342"/>
              <w:jc w:val="right"/>
              <w:rPr>
                <w:sz w:val="17"/>
              </w:rPr>
            </w:pPr>
            <w:r>
              <w:rPr>
                <w:color w:val="231F20"/>
                <w:sz w:val="17"/>
              </w:rPr>
              <w:t>12.4</w:t>
            </w:r>
          </w:p>
        </w:tc>
        <w:tc>
          <w:tcPr>
            <w:tcW w:w="880" w:type="dxa"/>
          </w:tcPr>
          <w:p>
            <w:pPr>
              <w:pStyle w:val="TableParagraph"/>
              <w:ind w:left="325" w:right="280"/>
              <w:rPr>
                <w:sz w:val="17"/>
              </w:rPr>
            </w:pPr>
            <w:r>
              <w:rPr>
                <w:color w:val="231F20"/>
                <w:w w:val="105"/>
                <w:sz w:val="17"/>
              </w:rPr>
              <w:t>5.7</w:t>
            </w:r>
          </w:p>
        </w:tc>
        <w:tc>
          <w:tcPr>
            <w:tcW w:w="808" w:type="dxa"/>
          </w:tcPr>
          <w:p>
            <w:pPr>
              <w:pStyle w:val="TableParagraph"/>
              <w:ind w:left="281" w:right="203"/>
              <w:rPr>
                <w:sz w:val="17"/>
              </w:rPr>
            </w:pPr>
            <w:r>
              <w:rPr>
                <w:color w:val="231F20"/>
                <w:sz w:val="17"/>
              </w:rPr>
              <w:t>100</w:t>
            </w:r>
          </w:p>
        </w:tc>
        <w:tc>
          <w:tcPr>
            <w:tcW w:w="791" w:type="dxa"/>
          </w:tcPr>
          <w:p>
            <w:pPr>
              <w:pStyle w:val="TableParagraph"/>
              <w:ind w:left="201" w:right="216"/>
              <w:rPr>
                <w:sz w:val="17"/>
              </w:rPr>
            </w:pPr>
            <w:r>
              <w:rPr>
                <w:color w:val="231F20"/>
                <w:w w:val="105"/>
                <w:sz w:val="17"/>
              </w:rPr>
              <w:t>13.6</w:t>
            </w:r>
          </w:p>
        </w:tc>
        <w:tc>
          <w:tcPr>
            <w:tcW w:w="875" w:type="dxa"/>
          </w:tcPr>
          <w:p>
            <w:pPr>
              <w:pStyle w:val="TableParagraph"/>
              <w:ind w:left="237"/>
              <w:jc w:val="left"/>
              <w:rPr>
                <w:sz w:val="17"/>
              </w:rPr>
            </w:pPr>
            <w:r>
              <w:rPr>
                <w:color w:val="231F20"/>
                <w:w w:val="105"/>
                <w:sz w:val="17"/>
              </w:rPr>
              <w:t>52.0</w:t>
            </w:r>
          </w:p>
        </w:tc>
        <w:tc>
          <w:tcPr>
            <w:tcW w:w="965" w:type="dxa"/>
          </w:tcPr>
          <w:p>
            <w:pPr>
              <w:pStyle w:val="TableParagraph"/>
              <w:ind w:left="303"/>
              <w:jc w:val="left"/>
              <w:rPr>
                <w:sz w:val="17"/>
              </w:rPr>
            </w:pPr>
            <w:r>
              <w:rPr>
                <w:color w:val="231F20"/>
                <w:w w:val="105"/>
                <w:sz w:val="17"/>
              </w:rPr>
              <w:t>24.3</w:t>
            </w:r>
          </w:p>
        </w:tc>
        <w:tc>
          <w:tcPr>
            <w:tcW w:w="959" w:type="dxa"/>
          </w:tcPr>
          <w:p>
            <w:pPr>
              <w:pStyle w:val="TableParagraph"/>
              <w:ind w:left="327"/>
              <w:jc w:val="left"/>
              <w:rPr>
                <w:sz w:val="17"/>
              </w:rPr>
            </w:pPr>
            <w:r>
              <w:rPr>
                <w:color w:val="231F20"/>
                <w:w w:val="105"/>
                <w:sz w:val="17"/>
              </w:rPr>
              <w:t>10.1</w:t>
            </w:r>
          </w:p>
        </w:tc>
        <w:tc>
          <w:tcPr>
            <w:tcW w:w="867" w:type="dxa"/>
          </w:tcPr>
          <w:p>
            <w:pPr>
              <w:pStyle w:val="TableParagraph"/>
              <w:ind w:left="298"/>
              <w:jc w:val="left"/>
              <w:rPr>
                <w:sz w:val="17"/>
              </w:rPr>
            </w:pPr>
            <w:r>
              <w:rPr>
                <w:color w:val="231F20"/>
                <w:sz w:val="17"/>
              </w:rPr>
              <w:t>100</w:t>
            </w:r>
          </w:p>
        </w:tc>
      </w:tr>
      <w:tr>
        <w:trPr>
          <w:trHeight w:val="210" w:hRule="exact"/>
        </w:trPr>
        <w:tc>
          <w:tcPr>
            <w:tcW w:w="1607" w:type="dxa"/>
          </w:tcPr>
          <w:p>
            <w:pPr>
              <w:pStyle w:val="TableParagraph"/>
              <w:ind w:left="35"/>
              <w:jc w:val="left"/>
              <w:rPr>
                <w:sz w:val="17"/>
              </w:rPr>
            </w:pPr>
            <w:r>
              <w:rPr>
                <w:color w:val="231F20"/>
                <w:w w:val="110"/>
                <w:sz w:val="17"/>
              </w:rPr>
              <w:t>Tabasco</w:t>
            </w:r>
          </w:p>
        </w:tc>
        <w:tc>
          <w:tcPr>
            <w:tcW w:w="949" w:type="dxa"/>
          </w:tcPr>
          <w:p>
            <w:pPr>
              <w:pStyle w:val="TableParagraph"/>
              <w:ind w:left="403"/>
              <w:jc w:val="left"/>
              <w:rPr>
                <w:sz w:val="17"/>
              </w:rPr>
            </w:pPr>
            <w:r>
              <w:rPr>
                <w:color w:val="231F20"/>
                <w:w w:val="105"/>
                <w:sz w:val="17"/>
              </w:rPr>
              <w:t>7.8</w:t>
            </w:r>
          </w:p>
        </w:tc>
        <w:tc>
          <w:tcPr>
            <w:tcW w:w="912" w:type="dxa"/>
          </w:tcPr>
          <w:p>
            <w:pPr>
              <w:pStyle w:val="TableParagraph"/>
              <w:ind w:left="260"/>
              <w:jc w:val="left"/>
              <w:rPr>
                <w:sz w:val="17"/>
              </w:rPr>
            </w:pPr>
            <w:r>
              <w:rPr>
                <w:color w:val="231F20"/>
                <w:w w:val="105"/>
                <w:sz w:val="17"/>
              </w:rPr>
              <w:t>72.6</w:t>
            </w:r>
          </w:p>
        </w:tc>
        <w:tc>
          <w:tcPr>
            <w:tcW w:w="996" w:type="dxa"/>
          </w:tcPr>
          <w:p>
            <w:pPr>
              <w:pStyle w:val="TableParagraph"/>
              <w:ind w:right="342"/>
              <w:jc w:val="right"/>
              <w:rPr>
                <w:sz w:val="17"/>
              </w:rPr>
            </w:pPr>
            <w:r>
              <w:rPr>
                <w:color w:val="231F20"/>
                <w:sz w:val="17"/>
              </w:rPr>
              <w:t>13.2</w:t>
            </w:r>
          </w:p>
        </w:tc>
        <w:tc>
          <w:tcPr>
            <w:tcW w:w="880" w:type="dxa"/>
          </w:tcPr>
          <w:p>
            <w:pPr>
              <w:pStyle w:val="TableParagraph"/>
              <w:ind w:left="325" w:right="280"/>
              <w:rPr>
                <w:sz w:val="17"/>
              </w:rPr>
            </w:pPr>
            <w:r>
              <w:rPr>
                <w:color w:val="231F20"/>
                <w:w w:val="105"/>
                <w:sz w:val="17"/>
              </w:rPr>
              <w:t>6.4</w:t>
            </w:r>
          </w:p>
        </w:tc>
        <w:tc>
          <w:tcPr>
            <w:tcW w:w="808" w:type="dxa"/>
          </w:tcPr>
          <w:p>
            <w:pPr>
              <w:pStyle w:val="TableParagraph"/>
              <w:ind w:left="281" w:right="203"/>
              <w:rPr>
                <w:sz w:val="17"/>
              </w:rPr>
            </w:pPr>
            <w:r>
              <w:rPr>
                <w:color w:val="231F20"/>
                <w:sz w:val="17"/>
              </w:rPr>
              <w:t>100</w:t>
            </w:r>
          </w:p>
        </w:tc>
        <w:tc>
          <w:tcPr>
            <w:tcW w:w="791" w:type="dxa"/>
          </w:tcPr>
          <w:p>
            <w:pPr>
              <w:pStyle w:val="TableParagraph"/>
              <w:ind w:left="201" w:right="216"/>
              <w:rPr>
                <w:sz w:val="17"/>
              </w:rPr>
            </w:pPr>
            <w:r>
              <w:rPr>
                <w:color w:val="231F20"/>
                <w:w w:val="105"/>
                <w:sz w:val="17"/>
              </w:rPr>
              <w:t>13.7</w:t>
            </w:r>
          </w:p>
        </w:tc>
        <w:tc>
          <w:tcPr>
            <w:tcW w:w="875" w:type="dxa"/>
          </w:tcPr>
          <w:p>
            <w:pPr>
              <w:pStyle w:val="TableParagraph"/>
              <w:ind w:left="237"/>
              <w:jc w:val="left"/>
              <w:rPr>
                <w:sz w:val="17"/>
              </w:rPr>
            </w:pPr>
            <w:r>
              <w:rPr>
                <w:color w:val="231F20"/>
                <w:w w:val="105"/>
                <w:sz w:val="17"/>
              </w:rPr>
              <w:t>52.6</w:t>
            </w:r>
          </w:p>
        </w:tc>
        <w:tc>
          <w:tcPr>
            <w:tcW w:w="965" w:type="dxa"/>
          </w:tcPr>
          <w:p>
            <w:pPr>
              <w:pStyle w:val="TableParagraph"/>
              <w:ind w:left="304"/>
              <w:jc w:val="left"/>
              <w:rPr>
                <w:sz w:val="17"/>
              </w:rPr>
            </w:pPr>
            <w:r>
              <w:rPr>
                <w:color w:val="231F20"/>
                <w:w w:val="105"/>
                <w:sz w:val="17"/>
              </w:rPr>
              <w:t>23.2</w:t>
            </w:r>
          </w:p>
        </w:tc>
        <w:tc>
          <w:tcPr>
            <w:tcW w:w="959" w:type="dxa"/>
          </w:tcPr>
          <w:p>
            <w:pPr>
              <w:pStyle w:val="TableParagraph"/>
              <w:ind w:left="327"/>
              <w:jc w:val="left"/>
              <w:rPr>
                <w:sz w:val="17"/>
              </w:rPr>
            </w:pPr>
            <w:r>
              <w:rPr>
                <w:color w:val="231F20"/>
                <w:w w:val="105"/>
                <w:sz w:val="17"/>
              </w:rPr>
              <w:t>10.4</w:t>
            </w:r>
          </w:p>
        </w:tc>
        <w:tc>
          <w:tcPr>
            <w:tcW w:w="867" w:type="dxa"/>
          </w:tcPr>
          <w:p>
            <w:pPr>
              <w:pStyle w:val="TableParagraph"/>
              <w:ind w:left="298"/>
              <w:jc w:val="left"/>
              <w:rPr>
                <w:sz w:val="17"/>
              </w:rPr>
            </w:pPr>
            <w:r>
              <w:rPr>
                <w:color w:val="231F20"/>
                <w:sz w:val="17"/>
              </w:rPr>
              <w:t>100</w:t>
            </w:r>
          </w:p>
        </w:tc>
      </w:tr>
      <w:tr>
        <w:trPr>
          <w:trHeight w:val="210" w:hRule="exact"/>
        </w:trPr>
        <w:tc>
          <w:tcPr>
            <w:tcW w:w="1607" w:type="dxa"/>
          </w:tcPr>
          <w:p>
            <w:pPr>
              <w:pStyle w:val="TableParagraph"/>
              <w:ind w:left="35"/>
              <w:jc w:val="left"/>
              <w:rPr>
                <w:sz w:val="17"/>
              </w:rPr>
            </w:pPr>
            <w:r>
              <w:rPr>
                <w:color w:val="231F20"/>
                <w:w w:val="110"/>
                <w:sz w:val="17"/>
              </w:rPr>
              <w:t>Tamaulipas</w:t>
            </w:r>
          </w:p>
        </w:tc>
        <w:tc>
          <w:tcPr>
            <w:tcW w:w="949" w:type="dxa"/>
          </w:tcPr>
          <w:p>
            <w:pPr>
              <w:pStyle w:val="TableParagraph"/>
              <w:ind w:left="355"/>
              <w:jc w:val="left"/>
              <w:rPr>
                <w:sz w:val="17"/>
              </w:rPr>
            </w:pPr>
            <w:r>
              <w:rPr>
                <w:color w:val="231F20"/>
                <w:w w:val="105"/>
                <w:sz w:val="17"/>
              </w:rPr>
              <w:t>12.5</w:t>
            </w:r>
          </w:p>
        </w:tc>
        <w:tc>
          <w:tcPr>
            <w:tcW w:w="912" w:type="dxa"/>
          </w:tcPr>
          <w:p>
            <w:pPr>
              <w:pStyle w:val="TableParagraph"/>
              <w:ind w:left="260"/>
              <w:jc w:val="left"/>
              <w:rPr>
                <w:sz w:val="17"/>
              </w:rPr>
            </w:pPr>
            <w:r>
              <w:rPr>
                <w:color w:val="231F20"/>
                <w:w w:val="105"/>
                <w:sz w:val="17"/>
              </w:rPr>
              <w:t>72.1</w:t>
            </w:r>
          </w:p>
        </w:tc>
        <w:tc>
          <w:tcPr>
            <w:tcW w:w="996" w:type="dxa"/>
          </w:tcPr>
          <w:p>
            <w:pPr>
              <w:pStyle w:val="TableParagraph"/>
              <w:ind w:right="342"/>
              <w:jc w:val="right"/>
              <w:rPr>
                <w:sz w:val="17"/>
              </w:rPr>
            </w:pPr>
            <w:r>
              <w:rPr>
                <w:color w:val="231F20"/>
                <w:w w:val="105"/>
                <w:sz w:val="17"/>
              </w:rPr>
              <w:t>9.9</w:t>
            </w:r>
          </w:p>
        </w:tc>
        <w:tc>
          <w:tcPr>
            <w:tcW w:w="880" w:type="dxa"/>
          </w:tcPr>
          <w:p>
            <w:pPr>
              <w:pStyle w:val="TableParagraph"/>
              <w:ind w:left="325" w:right="280"/>
              <w:rPr>
                <w:sz w:val="17"/>
              </w:rPr>
            </w:pPr>
            <w:r>
              <w:rPr>
                <w:color w:val="231F20"/>
                <w:w w:val="105"/>
                <w:sz w:val="17"/>
              </w:rPr>
              <w:t>5.5</w:t>
            </w:r>
          </w:p>
        </w:tc>
        <w:tc>
          <w:tcPr>
            <w:tcW w:w="808" w:type="dxa"/>
          </w:tcPr>
          <w:p>
            <w:pPr>
              <w:pStyle w:val="TableParagraph"/>
              <w:ind w:left="281" w:right="203"/>
              <w:rPr>
                <w:sz w:val="17"/>
              </w:rPr>
            </w:pPr>
            <w:r>
              <w:rPr>
                <w:color w:val="231F20"/>
                <w:sz w:val="17"/>
              </w:rPr>
              <w:t>100</w:t>
            </w:r>
          </w:p>
        </w:tc>
        <w:tc>
          <w:tcPr>
            <w:tcW w:w="791" w:type="dxa"/>
          </w:tcPr>
          <w:p>
            <w:pPr>
              <w:pStyle w:val="TableParagraph"/>
              <w:ind w:left="201" w:right="216"/>
              <w:rPr>
                <w:sz w:val="17"/>
              </w:rPr>
            </w:pPr>
            <w:r>
              <w:rPr>
                <w:color w:val="231F20"/>
                <w:w w:val="105"/>
                <w:sz w:val="17"/>
              </w:rPr>
              <w:t>14.3</w:t>
            </w:r>
          </w:p>
        </w:tc>
        <w:tc>
          <w:tcPr>
            <w:tcW w:w="875" w:type="dxa"/>
          </w:tcPr>
          <w:p>
            <w:pPr>
              <w:pStyle w:val="TableParagraph"/>
              <w:ind w:left="237"/>
              <w:jc w:val="left"/>
              <w:rPr>
                <w:sz w:val="17"/>
              </w:rPr>
            </w:pPr>
            <w:r>
              <w:rPr>
                <w:color w:val="231F20"/>
                <w:w w:val="105"/>
                <w:sz w:val="17"/>
              </w:rPr>
              <w:t>55.2</w:t>
            </w:r>
          </w:p>
        </w:tc>
        <w:tc>
          <w:tcPr>
            <w:tcW w:w="965" w:type="dxa"/>
          </w:tcPr>
          <w:p>
            <w:pPr>
              <w:pStyle w:val="TableParagraph"/>
              <w:ind w:left="303"/>
              <w:jc w:val="left"/>
              <w:rPr>
                <w:sz w:val="17"/>
              </w:rPr>
            </w:pPr>
            <w:r>
              <w:rPr>
                <w:color w:val="231F20"/>
                <w:w w:val="105"/>
                <w:sz w:val="17"/>
              </w:rPr>
              <w:t>22.0</w:t>
            </w:r>
          </w:p>
        </w:tc>
        <w:tc>
          <w:tcPr>
            <w:tcW w:w="959" w:type="dxa"/>
          </w:tcPr>
          <w:p>
            <w:pPr>
              <w:pStyle w:val="TableParagraph"/>
              <w:ind w:left="375"/>
              <w:jc w:val="left"/>
              <w:rPr>
                <w:sz w:val="17"/>
              </w:rPr>
            </w:pPr>
            <w:r>
              <w:rPr>
                <w:color w:val="231F20"/>
                <w:w w:val="105"/>
                <w:sz w:val="17"/>
              </w:rPr>
              <w:t>8.5</w:t>
            </w:r>
          </w:p>
        </w:tc>
        <w:tc>
          <w:tcPr>
            <w:tcW w:w="867" w:type="dxa"/>
          </w:tcPr>
          <w:p>
            <w:pPr>
              <w:pStyle w:val="TableParagraph"/>
              <w:ind w:left="298"/>
              <w:jc w:val="left"/>
              <w:rPr>
                <w:sz w:val="17"/>
              </w:rPr>
            </w:pPr>
            <w:r>
              <w:rPr>
                <w:color w:val="231F20"/>
                <w:sz w:val="17"/>
              </w:rPr>
              <w:t>100</w:t>
            </w:r>
          </w:p>
        </w:tc>
      </w:tr>
      <w:tr>
        <w:trPr>
          <w:trHeight w:val="210" w:hRule="exact"/>
        </w:trPr>
        <w:tc>
          <w:tcPr>
            <w:tcW w:w="1607" w:type="dxa"/>
          </w:tcPr>
          <w:p>
            <w:pPr>
              <w:pStyle w:val="TableParagraph"/>
              <w:ind w:left="35"/>
              <w:jc w:val="left"/>
              <w:rPr>
                <w:sz w:val="17"/>
              </w:rPr>
            </w:pPr>
            <w:r>
              <w:rPr>
                <w:color w:val="231F20"/>
                <w:w w:val="110"/>
                <w:sz w:val="17"/>
              </w:rPr>
              <w:t>Tlaxcala</w:t>
            </w:r>
          </w:p>
        </w:tc>
        <w:tc>
          <w:tcPr>
            <w:tcW w:w="949" w:type="dxa"/>
          </w:tcPr>
          <w:p>
            <w:pPr>
              <w:pStyle w:val="TableParagraph"/>
              <w:ind w:left="355"/>
              <w:jc w:val="left"/>
              <w:rPr>
                <w:sz w:val="17"/>
              </w:rPr>
            </w:pPr>
            <w:r>
              <w:rPr>
                <w:color w:val="231F20"/>
                <w:w w:val="105"/>
                <w:sz w:val="17"/>
              </w:rPr>
              <w:t>10.1</w:t>
            </w:r>
          </w:p>
        </w:tc>
        <w:tc>
          <w:tcPr>
            <w:tcW w:w="912" w:type="dxa"/>
          </w:tcPr>
          <w:p>
            <w:pPr>
              <w:pStyle w:val="TableParagraph"/>
              <w:ind w:left="260"/>
              <w:jc w:val="left"/>
              <w:rPr>
                <w:sz w:val="17"/>
              </w:rPr>
            </w:pPr>
            <w:r>
              <w:rPr>
                <w:color w:val="231F20"/>
                <w:w w:val="105"/>
                <w:sz w:val="17"/>
              </w:rPr>
              <w:t>74.2</w:t>
            </w:r>
          </w:p>
        </w:tc>
        <w:tc>
          <w:tcPr>
            <w:tcW w:w="996" w:type="dxa"/>
          </w:tcPr>
          <w:p>
            <w:pPr>
              <w:pStyle w:val="TableParagraph"/>
              <w:ind w:right="342"/>
              <w:jc w:val="right"/>
              <w:rPr>
                <w:sz w:val="17"/>
              </w:rPr>
            </w:pPr>
            <w:r>
              <w:rPr>
                <w:color w:val="231F20"/>
                <w:sz w:val="17"/>
              </w:rPr>
              <w:t>10.2</w:t>
            </w:r>
          </w:p>
        </w:tc>
        <w:tc>
          <w:tcPr>
            <w:tcW w:w="880" w:type="dxa"/>
          </w:tcPr>
          <w:p>
            <w:pPr>
              <w:pStyle w:val="TableParagraph"/>
              <w:ind w:left="325" w:right="280"/>
              <w:rPr>
                <w:sz w:val="17"/>
              </w:rPr>
            </w:pPr>
            <w:r>
              <w:rPr>
                <w:color w:val="231F20"/>
                <w:w w:val="105"/>
                <w:sz w:val="17"/>
              </w:rPr>
              <w:t>5.5</w:t>
            </w:r>
          </w:p>
        </w:tc>
        <w:tc>
          <w:tcPr>
            <w:tcW w:w="808" w:type="dxa"/>
          </w:tcPr>
          <w:p>
            <w:pPr>
              <w:pStyle w:val="TableParagraph"/>
              <w:ind w:left="281" w:right="203"/>
              <w:rPr>
                <w:sz w:val="17"/>
              </w:rPr>
            </w:pPr>
            <w:r>
              <w:rPr>
                <w:color w:val="231F20"/>
                <w:sz w:val="17"/>
              </w:rPr>
              <w:t>100</w:t>
            </w:r>
          </w:p>
        </w:tc>
        <w:tc>
          <w:tcPr>
            <w:tcW w:w="791" w:type="dxa"/>
          </w:tcPr>
          <w:p>
            <w:pPr>
              <w:pStyle w:val="TableParagraph"/>
              <w:ind w:left="201" w:right="216"/>
              <w:rPr>
                <w:sz w:val="17"/>
              </w:rPr>
            </w:pPr>
            <w:r>
              <w:rPr>
                <w:color w:val="231F20"/>
                <w:w w:val="105"/>
                <w:sz w:val="17"/>
              </w:rPr>
              <w:t>16.7</w:t>
            </w:r>
          </w:p>
        </w:tc>
        <w:tc>
          <w:tcPr>
            <w:tcW w:w="875" w:type="dxa"/>
          </w:tcPr>
          <w:p>
            <w:pPr>
              <w:pStyle w:val="TableParagraph"/>
              <w:ind w:left="237"/>
              <w:jc w:val="left"/>
              <w:rPr>
                <w:sz w:val="17"/>
              </w:rPr>
            </w:pPr>
            <w:r>
              <w:rPr>
                <w:color w:val="231F20"/>
                <w:w w:val="105"/>
                <w:sz w:val="17"/>
              </w:rPr>
              <w:t>52.0</w:t>
            </w:r>
          </w:p>
        </w:tc>
        <w:tc>
          <w:tcPr>
            <w:tcW w:w="965" w:type="dxa"/>
          </w:tcPr>
          <w:p>
            <w:pPr>
              <w:pStyle w:val="TableParagraph"/>
              <w:ind w:left="303"/>
              <w:jc w:val="left"/>
              <w:rPr>
                <w:sz w:val="17"/>
              </w:rPr>
            </w:pPr>
            <w:r>
              <w:rPr>
                <w:color w:val="231F20"/>
                <w:w w:val="105"/>
                <w:sz w:val="17"/>
              </w:rPr>
              <w:t>23.0</w:t>
            </w:r>
          </w:p>
        </w:tc>
        <w:tc>
          <w:tcPr>
            <w:tcW w:w="959" w:type="dxa"/>
          </w:tcPr>
          <w:p>
            <w:pPr>
              <w:pStyle w:val="TableParagraph"/>
              <w:ind w:left="375"/>
              <w:jc w:val="left"/>
              <w:rPr>
                <w:sz w:val="17"/>
              </w:rPr>
            </w:pPr>
            <w:r>
              <w:rPr>
                <w:color w:val="231F20"/>
                <w:w w:val="105"/>
                <w:sz w:val="17"/>
              </w:rPr>
              <w:t>8.3</w:t>
            </w:r>
          </w:p>
        </w:tc>
        <w:tc>
          <w:tcPr>
            <w:tcW w:w="867" w:type="dxa"/>
          </w:tcPr>
          <w:p>
            <w:pPr>
              <w:pStyle w:val="TableParagraph"/>
              <w:ind w:left="298"/>
              <w:jc w:val="left"/>
              <w:rPr>
                <w:sz w:val="17"/>
              </w:rPr>
            </w:pPr>
            <w:r>
              <w:rPr>
                <w:color w:val="231F20"/>
                <w:sz w:val="17"/>
              </w:rPr>
              <w:t>100</w:t>
            </w:r>
          </w:p>
        </w:tc>
      </w:tr>
      <w:tr>
        <w:trPr>
          <w:trHeight w:val="210" w:hRule="exact"/>
        </w:trPr>
        <w:tc>
          <w:tcPr>
            <w:tcW w:w="1607" w:type="dxa"/>
          </w:tcPr>
          <w:p>
            <w:pPr>
              <w:pStyle w:val="TableParagraph"/>
              <w:ind w:left="35"/>
              <w:jc w:val="left"/>
              <w:rPr>
                <w:sz w:val="17"/>
              </w:rPr>
            </w:pPr>
            <w:r>
              <w:rPr>
                <w:color w:val="231F20"/>
                <w:w w:val="110"/>
                <w:sz w:val="17"/>
              </w:rPr>
              <w:t>Veracruz</w:t>
            </w:r>
          </w:p>
        </w:tc>
        <w:tc>
          <w:tcPr>
            <w:tcW w:w="949" w:type="dxa"/>
          </w:tcPr>
          <w:p>
            <w:pPr>
              <w:pStyle w:val="TableParagraph"/>
              <w:ind w:left="355"/>
              <w:jc w:val="left"/>
              <w:rPr>
                <w:sz w:val="17"/>
              </w:rPr>
            </w:pPr>
            <w:r>
              <w:rPr>
                <w:color w:val="231F20"/>
                <w:w w:val="105"/>
                <w:sz w:val="17"/>
              </w:rPr>
              <w:t>11.6</w:t>
            </w:r>
          </w:p>
        </w:tc>
        <w:tc>
          <w:tcPr>
            <w:tcW w:w="912" w:type="dxa"/>
          </w:tcPr>
          <w:p>
            <w:pPr>
              <w:pStyle w:val="TableParagraph"/>
              <w:ind w:left="260"/>
              <w:jc w:val="left"/>
              <w:rPr>
                <w:sz w:val="17"/>
              </w:rPr>
            </w:pPr>
            <w:r>
              <w:rPr>
                <w:color w:val="231F20"/>
                <w:w w:val="105"/>
                <w:sz w:val="17"/>
              </w:rPr>
              <w:t>61.9</w:t>
            </w:r>
          </w:p>
        </w:tc>
        <w:tc>
          <w:tcPr>
            <w:tcW w:w="996" w:type="dxa"/>
          </w:tcPr>
          <w:p>
            <w:pPr>
              <w:pStyle w:val="TableParagraph"/>
              <w:ind w:right="342"/>
              <w:jc w:val="right"/>
              <w:rPr>
                <w:sz w:val="17"/>
              </w:rPr>
            </w:pPr>
            <w:r>
              <w:rPr>
                <w:color w:val="231F20"/>
                <w:sz w:val="17"/>
              </w:rPr>
              <w:t>20.2</w:t>
            </w:r>
          </w:p>
        </w:tc>
        <w:tc>
          <w:tcPr>
            <w:tcW w:w="880" w:type="dxa"/>
          </w:tcPr>
          <w:p>
            <w:pPr>
              <w:pStyle w:val="TableParagraph"/>
              <w:ind w:left="325" w:right="280"/>
              <w:rPr>
                <w:sz w:val="17"/>
              </w:rPr>
            </w:pPr>
            <w:r>
              <w:rPr>
                <w:color w:val="231F20"/>
                <w:w w:val="105"/>
                <w:sz w:val="17"/>
              </w:rPr>
              <w:t>6.3</w:t>
            </w:r>
          </w:p>
        </w:tc>
        <w:tc>
          <w:tcPr>
            <w:tcW w:w="808" w:type="dxa"/>
          </w:tcPr>
          <w:p>
            <w:pPr>
              <w:pStyle w:val="TableParagraph"/>
              <w:ind w:left="281" w:right="203"/>
              <w:rPr>
                <w:sz w:val="17"/>
              </w:rPr>
            </w:pPr>
            <w:r>
              <w:rPr>
                <w:color w:val="231F20"/>
                <w:sz w:val="17"/>
              </w:rPr>
              <w:t>100</w:t>
            </w:r>
          </w:p>
        </w:tc>
        <w:tc>
          <w:tcPr>
            <w:tcW w:w="791" w:type="dxa"/>
          </w:tcPr>
          <w:p>
            <w:pPr>
              <w:pStyle w:val="TableParagraph"/>
              <w:ind w:left="201" w:right="216"/>
              <w:rPr>
                <w:sz w:val="17"/>
              </w:rPr>
            </w:pPr>
            <w:r>
              <w:rPr>
                <w:color w:val="231F20"/>
                <w:w w:val="105"/>
                <w:sz w:val="17"/>
              </w:rPr>
              <w:t>16.6</w:t>
            </w:r>
          </w:p>
        </w:tc>
        <w:tc>
          <w:tcPr>
            <w:tcW w:w="875" w:type="dxa"/>
          </w:tcPr>
          <w:p>
            <w:pPr>
              <w:pStyle w:val="TableParagraph"/>
              <w:ind w:left="237"/>
              <w:jc w:val="left"/>
              <w:rPr>
                <w:sz w:val="17"/>
              </w:rPr>
            </w:pPr>
            <w:r>
              <w:rPr>
                <w:color w:val="231F20"/>
                <w:w w:val="105"/>
                <w:sz w:val="17"/>
              </w:rPr>
              <w:t>47.0</w:t>
            </w:r>
          </w:p>
        </w:tc>
        <w:tc>
          <w:tcPr>
            <w:tcW w:w="965" w:type="dxa"/>
          </w:tcPr>
          <w:p>
            <w:pPr>
              <w:pStyle w:val="TableParagraph"/>
              <w:ind w:left="303"/>
              <w:jc w:val="left"/>
              <w:rPr>
                <w:sz w:val="17"/>
              </w:rPr>
            </w:pPr>
            <w:r>
              <w:rPr>
                <w:color w:val="231F20"/>
                <w:w w:val="105"/>
                <w:sz w:val="17"/>
              </w:rPr>
              <w:t>27.4</w:t>
            </w:r>
          </w:p>
        </w:tc>
        <w:tc>
          <w:tcPr>
            <w:tcW w:w="959" w:type="dxa"/>
          </w:tcPr>
          <w:p>
            <w:pPr>
              <w:pStyle w:val="TableParagraph"/>
              <w:ind w:left="375"/>
              <w:jc w:val="left"/>
              <w:rPr>
                <w:sz w:val="17"/>
              </w:rPr>
            </w:pPr>
            <w:r>
              <w:rPr>
                <w:color w:val="231F20"/>
                <w:w w:val="105"/>
                <w:sz w:val="17"/>
              </w:rPr>
              <w:t>9.0</w:t>
            </w:r>
          </w:p>
        </w:tc>
        <w:tc>
          <w:tcPr>
            <w:tcW w:w="867" w:type="dxa"/>
          </w:tcPr>
          <w:p>
            <w:pPr>
              <w:pStyle w:val="TableParagraph"/>
              <w:ind w:left="298"/>
              <w:jc w:val="left"/>
              <w:rPr>
                <w:sz w:val="17"/>
              </w:rPr>
            </w:pPr>
            <w:r>
              <w:rPr>
                <w:color w:val="231F20"/>
                <w:sz w:val="17"/>
              </w:rPr>
              <w:t>100</w:t>
            </w:r>
          </w:p>
        </w:tc>
      </w:tr>
      <w:tr>
        <w:trPr>
          <w:trHeight w:val="210" w:hRule="exact"/>
        </w:trPr>
        <w:tc>
          <w:tcPr>
            <w:tcW w:w="1607" w:type="dxa"/>
          </w:tcPr>
          <w:p>
            <w:pPr>
              <w:pStyle w:val="TableParagraph"/>
              <w:ind w:left="35"/>
              <w:jc w:val="left"/>
              <w:rPr>
                <w:sz w:val="17"/>
              </w:rPr>
            </w:pPr>
            <w:r>
              <w:rPr>
                <w:color w:val="231F20"/>
                <w:w w:val="110"/>
                <w:sz w:val="17"/>
              </w:rPr>
              <w:t>Yucatán</w:t>
            </w:r>
          </w:p>
        </w:tc>
        <w:tc>
          <w:tcPr>
            <w:tcW w:w="949" w:type="dxa"/>
          </w:tcPr>
          <w:p>
            <w:pPr>
              <w:pStyle w:val="TableParagraph"/>
              <w:ind w:left="355"/>
              <w:jc w:val="left"/>
              <w:rPr>
                <w:sz w:val="17"/>
              </w:rPr>
            </w:pPr>
            <w:r>
              <w:rPr>
                <w:color w:val="231F20"/>
                <w:w w:val="105"/>
                <w:sz w:val="17"/>
              </w:rPr>
              <w:t>10.6</w:t>
            </w:r>
          </w:p>
        </w:tc>
        <w:tc>
          <w:tcPr>
            <w:tcW w:w="912" w:type="dxa"/>
          </w:tcPr>
          <w:p>
            <w:pPr>
              <w:pStyle w:val="TableParagraph"/>
              <w:ind w:left="260"/>
              <w:jc w:val="left"/>
              <w:rPr>
                <w:sz w:val="17"/>
              </w:rPr>
            </w:pPr>
            <w:r>
              <w:rPr>
                <w:color w:val="231F20"/>
                <w:w w:val="105"/>
                <w:sz w:val="17"/>
              </w:rPr>
              <w:t>80.9</w:t>
            </w:r>
          </w:p>
        </w:tc>
        <w:tc>
          <w:tcPr>
            <w:tcW w:w="996" w:type="dxa"/>
          </w:tcPr>
          <w:p>
            <w:pPr>
              <w:pStyle w:val="TableParagraph"/>
              <w:ind w:right="342"/>
              <w:jc w:val="right"/>
              <w:rPr>
                <w:sz w:val="17"/>
              </w:rPr>
            </w:pPr>
            <w:r>
              <w:rPr>
                <w:color w:val="231F20"/>
                <w:w w:val="105"/>
                <w:sz w:val="17"/>
              </w:rPr>
              <w:t>4.2</w:t>
            </w:r>
          </w:p>
        </w:tc>
        <w:tc>
          <w:tcPr>
            <w:tcW w:w="880" w:type="dxa"/>
          </w:tcPr>
          <w:p>
            <w:pPr>
              <w:pStyle w:val="TableParagraph"/>
              <w:ind w:left="325" w:right="280"/>
              <w:rPr>
                <w:sz w:val="17"/>
              </w:rPr>
            </w:pPr>
            <w:r>
              <w:rPr>
                <w:color w:val="231F20"/>
                <w:w w:val="105"/>
                <w:sz w:val="17"/>
              </w:rPr>
              <w:t>4.3</w:t>
            </w:r>
          </w:p>
        </w:tc>
        <w:tc>
          <w:tcPr>
            <w:tcW w:w="808" w:type="dxa"/>
          </w:tcPr>
          <w:p>
            <w:pPr>
              <w:pStyle w:val="TableParagraph"/>
              <w:ind w:left="281" w:right="203"/>
              <w:rPr>
                <w:sz w:val="17"/>
              </w:rPr>
            </w:pPr>
            <w:r>
              <w:rPr>
                <w:color w:val="231F20"/>
                <w:sz w:val="17"/>
              </w:rPr>
              <w:t>100</w:t>
            </w:r>
          </w:p>
        </w:tc>
        <w:tc>
          <w:tcPr>
            <w:tcW w:w="791" w:type="dxa"/>
          </w:tcPr>
          <w:p>
            <w:pPr>
              <w:pStyle w:val="TableParagraph"/>
              <w:ind w:left="201" w:right="216"/>
              <w:rPr>
                <w:sz w:val="17"/>
              </w:rPr>
            </w:pPr>
            <w:r>
              <w:rPr>
                <w:color w:val="231F20"/>
                <w:w w:val="105"/>
                <w:sz w:val="17"/>
              </w:rPr>
              <w:t>16.5</w:t>
            </w:r>
          </w:p>
        </w:tc>
        <w:tc>
          <w:tcPr>
            <w:tcW w:w="875" w:type="dxa"/>
          </w:tcPr>
          <w:p>
            <w:pPr>
              <w:pStyle w:val="TableParagraph"/>
              <w:ind w:left="237"/>
              <w:jc w:val="left"/>
              <w:rPr>
                <w:sz w:val="17"/>
              </w:rPr>
            </w:pPr>
            <w:r>
              <w:rPr>
                <w:color w:val="231F20"/>
                <w:w w:val="105"/>
                <w:sz w:val="17"/>
              </w:rPr>
              <w:t>65.2</w:t>
            </w:r>
          </w:p>
        </w:tc>
        <w:tc>
          <w:tcPr>
            <w:tcW w:w="965" w:type="dxa"/>
          </w:tcPr>
          <w:p>
            <w:pPr>
              <w:pStyle w:val="TableParagraph"/>
              <w:ind w:left="303"/>
              <w:jc w:val="left"/>
              <w:rPr>
                <w:sz w:val="17"/>
              </w:rPr>
            </w:pPr>
            <w:r>
              <w:rPr>
                <w:color w:val="231F20"/>
                <w:w w:val="105"/>
                <w:sz w:val="17"/>
              </w:rPr>
              <w:t>10.9</w:t>
            </w:r>
          </w:p>
        </w:tc>
        <w:tc>
          <w:tcPr>
            <w:tcW w:w="959" w:type="dxa"/>
          </w:tcPr>
          <w:p>
            <w:pPr>
              <w:pStyle w:val="TableParagraph"/>
              <w:ind w:left="375"/>
              <w:jc w:val="left"/>
              <w:rPr>
                <w:sz w:val="17"/>
              </w:rPr>
            </w:pPr>
            <w:r>
              <w:rPr>
                <w:color w:val="231F20"/>
                <w:w w:val="105"/>
                <w:sz w:val="17"/>
              </w:rPr>
              <w:t>7.3</w:t>
            </w:r>
          </w:p>
        </w:tc>
        <w:tc>
          <w:tcPr>
            <w:tcW w:w="867" w:type="dxa"/>
          </w:tcPr>
          <w:p>
            <w:pPr>
              <w:pStyle w:val="TableParagraph"/>
              <w:ind w:left="298"/>
              <w:jc w:val="left"/>
              <w:rPr>
                <w:sz w:val="17"/>
              </w:rPr>
            </w:pPr>
            <w:r>
              <w:rPr>
                <w:color w:val="231F20"/>
                <w:sz w:val="17"/>
              </w:rPr>
              <w:t>100</w:t>
            </w:r>
          </w:p>
        </w:tc>
      </w:tr>
      <w:tr>
        <w:trPr>
          <w:trHeight w:val="276" w:hRule="exact"/>
        </w:trPr>
        <w:tc>
          <w:tcPr>
            <w:tcW w:w="1607" w:type="dxa"/>
            <w:tcBorders>
              <w:bottom w:val="single" w:sz="3" w:space="0" w:color="231F20"/>
            </w:tcBorders>
          </w:tcPr>
          <w:p>
            <w:pPr>
              <w:pStyle w:val="TableParagraph"/>
              <w:ind w:left="35"/>
              <w:jc w:val="left"/>
              <w:rPr>
                <w:sz w:val="17"/>
              </w:rPr>
            </w:pPr>
            <w:r>
              <w:rPr>
                <w:color w:val="231F20"/>
                <w:w w:val="110"/>
                <w:sz w:val="17"/>
              </w:rPr>
              <w:t>Zacatecas</w:t>
            </w:r>
          </w:p>
        </w:tc>
        <w:tc>
          <w:tcPr>
            <w:tcW w:w="949" w:type="dxa"/>
            <w:tcBorders>
              <w:bottom w:val="single" w:sz="3" w:space="0" w:color="231F20"/>
            </w:tcBorders>
          </w:tcPr>
          <w:p>
            <w:pPr>
              <w:pStyle w:val="TableParagraph"/>
              <w:ind w:left="355"/>
              <w:jc w:val="left"/>
              <w:rPr>
                <w:sz w:val="17"/>
              </w:rPr>
            </w:pPr>
            <w:r>
              <w:rPr>
                <w:color w:val="231F20"/>
                <w:w w:val="105"/>
                <w:sz w:val="17"/>
              </w:rPr>
              <w:t>11.9</w:t>
            </w:r>
          </w:p>
        </w:tc>
        <w:tc>
          <w:tcPr>
            <w:tcW w:w="912" w:type="dxa"/>
            <w:tcBorders>
              <w:bottom w:val="single" w:sz="3" w:space="0" w:color="231F20"/>
            </w:tcBorders>
          </w:tcPr>
          <w:p>
            <w:pPr>
              <w:pStyle w:val="TableParagraph"/>
              <w:ind w:left="260"/>
              <w:jc w:val="left"/>
              <w:rPr>
                <w:sz w:val="17"/>
              </w:rPr>
            </w:pPr>
            <w:r>
              <w:rPr>
                <w:color w:val="231F20"/>
                <w:w w:val="105"/>
                <w:sz w:val="17"/>
              </w:rPr>
              <w:t>80.5</w:t>
            </w:r>
          </w:p>
        </w:tc>
        <w:tc>
          <w:tcPr>
            <w:tcW w:w="996" w:type="dxa"/>
            <w:tcBorders>
              <w:bottom w:val="single" w:sz="3" w:space="0" w:color="231F20"/>
            </w:tcBorders>
          </w:tcPr>
          <w:p>
            <w:pPr>
              <w:pStyle w:val="TableParagraph"/>
              <w:ind w:right="342"/>
              <w:jc w:val="right"/>
              <w:rPr>
                <w:sz w:val="17"/>
              </w:rPr>
            </w:pPr>
            <w:r>
              <w:rPr>
                <w:color w:val="231F20"/>
                <w:w w:val="105"/>
                <w:sz w:val="17"/>
              </w:rPr>
              <w:t>3.9</w:t>
            </w:r>
          </w:p>
        </w:tc>
        <w:tc>
          <w:tcPr>
            <w:tcW w:w="880" w:type="dxa"/>
            <w:tcBorders>
              <w:bottom w:val="single" w:sz="3" w:space="0" w:color="231F20"/>
            </w:tcBorders>
          </w:tcPr>
          <w:p>
            <w:pPr>
              <w:pStyle w:val="TableParagraph"/>
              <w:ind w:left="325" w:right="280"/>
              <w:rPr>
                <w:sz w:val="17"/>
              </w:rPr>
            </w:pPr>
            <w:r>
              <w:rPr>
                <w:color w:val="231F20"/>
                <w:w w:val="105"/>
                <w:sz w:val="17"/>
              </w:rPr>
              <w:t>3.7</w:t>
            </w:r>
          </w:p>
        </w:tc>
        <w:tc>
          <w:tcPr>
            <w:tcW w:w="808" w:type="dxa"/>
            <w:tcBorders>
              <w:bottom w:val="single" w:sz="3" w:space="0" w:color="231F20"/>
            </w:tcBorders>
          </w:tcPr>
          <w:p>
            <w:pPr>
              <w:pStyle w:val="TableParagraph"/>
              <w:ind w:left="281" w:right="203"/>
              <w:rPr>
                <w:sz w:val="17"/>
              </w:rPr>
            </w:pPr>
            <w:r>
              <w:rPr>
                <w:color w:val="231F20"/>
                <w:sz w:val="17"/>
              </w:rPr>
              <w:t>100</w:t>
            </w:r>
          </w:p>
        </w:tc>
        <w:tc>
          <w:tcPr>
            <w:tcW w:w="791" w:type="dxa"/>
            <w:tcBorders>
              <w:bottom w:val="single" w:sz="3" w:space="0" w:color="231F20"/>
            </w:tcBorders>
          </w:tcPr>
          <w:p>
            <w:pPr>
              <w:pStyle w:val="TableParagraph"/>
              <w:ind w:left="201" w:right="216"/>
              <w:rPr>
                <w:sz w:val="17"/>
              </w:rPr>
            </w:pPr>
            <w:r>
              <w:rPr>
                <w:color w:val="231F20"/>
                <w:w w:val="105"/>
                <w:sz w:val="17"/>
              </w:rPr>
              <w:t>15.6</w:t>
            </w:r>
          </w:p>
        </w:tc>
        <w:tc>
          <w:tcPr>
            <w:tcW w:w="875" w:type="dxa"/>
            <w:tcBorders>
              <w:bottom w:val="single" w:sz="3" w:space="0" w:color="231F20"/>
            </w:tcBorders>
          </w:tcPr>
          <w:p>
            <w:pPr>
              <w:pStyle w:val="TableParagraph"/>
              <w:ind w:left="237"/>
              <w:jc w:val="left"/>
              <w:rPr>
                <w:sz w:val="17"/>
              </w:rPr>
            </w:pPr>
            <w:r>
              <w:rPr>
                <w:color w:val="231F20"/>
                <w:w w:val="105"/>
                <w:sz w:val="17"/>
              </w:rPr>
              <w:t>66.0</w:t>
            </w:r>
          </w:p>
        </w:tc>
        <w:tc>
          <w:tcPr>
            <w:tcW w:w="965" w:type="dxa"/>
            <w:tcBorders>
              <w:bottom w:val="single" w:sz="3" w:space="0" w:color="231F20"/>
            </w:tcBorders>
          </w:tcPr>
          <w:p>
            <w:pPr>
              <w:pStyle w:val="TableParagraph"/>
              <w:ind w:left="303"/>
              <w:jc w:val="left"/>
              <w:rPr>
                <w:sz w:val="17"/>
              </w:rPr>
            </w:pPr>
            <w:r>
              <w:rPr>
                <w:color w:val="231F20"/>
                <w:w w:val="105"/>
                <w:sz w:val="17"/>
              </w:rPr>
              <w:t>11.7</w:t>
            </w:r>
          </w:p>
        </w:tc>
        <w:tc>
          <w:tcPr>
            <w:tcW w:w="959" w:type="dxa"/>
            <w:tcBorders>
              <w:bottom w:val="single" w:sz="3" w:space="0" w:color="231F20"/>
            </w:tcBorders>
          </w:tcPr>
          <w:p>
            <w:pPr>
              <w:pStyle w:val="TableParagraph"/>
              <w:ind w:left="375"/>
              <w:jc w:val="left"/>
              <w:rPr>
                <w:sz w:val="17"/>
              </w:rPr>
            </w:pPr>
            <w:r>
              <w:rPr>
                <w:color w:val="231F20"/>
                <w:w w:val="105"/>
                <w:sz w:val="17"/>
              </w:rPr>
              <w:t>6.7</w:t>
            </w:r>
          </w:p>
        </w:tc>
        <w:tc>
          <w:tcPr>
            <w:tcW w:w="867" w:type="dxa"/>
            <w:tcBorders>
              <w:bottom w:val="single" w:sz="3" w:space="0" w:color="231F20"/>
            </w:tcBorders>
          </w:tcPr>
          <w:p>
            <w:pPr>
              <w:pStyle w:val="TableParagraph"/>
              <w:ind w:left="298"/>
              <w:jc w:val="left"/>
              <w:rPr>
                <w:sz w:val="17"/>
              </w:rPr>
            </w:pPr>
            <w:r>
              <w:rPr>
                <w:color w:val="231F20"/>
                <w:sz w:val="17"/>
              </w:rPr>
              <w:t>100</w:t>
            </w:r>
          </w:p>
        </w:tc>
      </w:tr>
    </w:tbl>
    <w:p>
      <w:pPr>
        <w:spacing w:before="63"/>
        <w:ind w:left="504" w:right="0" w:firstLine="0"/>
        <w:jc w:val="left"/>
        <w:rPr>
          <w:sz w:val="15"/>
        </w:rPr>
      </w:pPr>
      <w:r>
        <w:rPr>
          <w:color w:val="231F20"/>
          <w:w w:val="110"/>
          <w:sz w:val="15"/>
        </w:rPr>
        <w:t>Fuente: Elaboración propia con datos del Censo de Población y Vivienda de 2010, </w:t>
      </w:r>
      <w:r>
        <w:rPr>
          <w:rFonts w:ascii="Times New Roman" w:hAnsi="Times New Roman"/>
          <w:color w:val="231F20"/>
          <w:w w:val="110"/>
          <w:sz w:val="12"/>
        </w:rPr>
        <w:t>INEGI</w:t>
      </w:r>
      <w:r>
        <w:rPr>
          <w:color w:val="231F20"/>
          <w:w w:val="110"/>
          <w:sz w:val="15"/>
        </w:rPr>
        <w:t>,  2013.</w:t>
      </w:r>
    </w:p>
    <w:p>
      <w:pPr>
        <w:spacing w:after="0"/>
        <w:jc w:val="left"/>
        <w:rPr>
          <w:sz w:val="15"/>
        </w:rPr>
        <w:sectPr>
          <w:footerReference w:type="even" r:id="rId70"/>
          <w:pgSz w:w="12920" w:h="9520" w:orient="landscape"/>
          <w:pgMar w:footer="0" w:header="0" w:top="880" w:bottom="280" w:left="1240" w:right="840"/>
        </w:sectPr>
      </w:pPr>
    </w:p>
    <w:p>
      <w:pPr>
        <w:pStyle w:val="BodyText"/>
        <w:spacing w:line="283" w:lineRule="auto" w:before="42"/>
        <w:ind w:left="124" w:right="113" w:firstLine="360"/>
        <w:jc w:val="both"/>
      </w:pPr>
      <w:r>
        <w:rPr>
          <w:color w:val="231F20"/>
          <w:w w:val="110"/>
        </w:rPr>
        <w:t>Es importante destacar que en algunas entidades la unión libre no</w:t>
      </w:r>
      <w:r>
        <w:rPr>
          <w:color w:val="231F20"/>
          <w:spacing w:val="-21"/>
          <w:w w:val="110"/>
        </w:rPr>
        <w:t> </w:t>
      </w:r>
      <w:r>
        <w:rPr>
          <w:color w:val="231F20"/>
          <w:w w:val="110"/>
        </w:rPr>
        <w:t>sólo se relaciona con conductas modernas e innovadoras en la unión.</w:t>
      </w:r>
      <w:r>
        <w:rPr>
          <w:color w:val="231F20"/>
          <w:w w:val="110"/>
          <w:position w:val="6"/>
          <w:sz w:val="11"/>
        </w:rPr>
        <w:t>7 </w:t>
      </w:r>
      <w:r>
        <w:rPr>
          <w:color w:val="231F20"/>
          <w:w w:val="110"/>
        </w:rPr>
        <w:t>Por el contrario, en las entidades más rurales y con mayor población indígena la unión</w:t>
      </w:r>
      <w:r>
        <w:rPr>
          <w:color w:val="231F20"/>
          <w:spacing w:val="-7"/>
          <w:w w:val="110"/>
        </w:rPr>
        <w:t> </w:t>
      </w:r>
      <w:r>
        <w:rPr>
          <w:color w:val="231F20"/>
          <w:w w:val="110"/>
        </w:rPr>
        <w:t>libre</w:t>
      </w:r>
      <w:r>
        <w:rPr>
          <w:color w:val="231F20"/>
          <w:spacing w:val="-7"/>
          <w:w w:val="110"/>
        </w:rPr>
        <w:t> </w:t>
      </w:r>
      <w:r>
        <w:rPr>
          <w:color w:val="231F20"/>
          <w:w w:val="110"/>
        </w:rPr>
        <w:t>es</w:t>
      </w:r>
      <w:r>
        <w:rPr>
          <w:color w:val="231F20"/>
          <w:spacing w:val="-7"/>
          <w:w w:val="110"/>
        </w:rPr>
        <w:t> </w:t>
      </w:r>
      <w:r>
        <w:rPr>
          <w:color w:val="231F20"/>
          <w:w w:val="110"/>
        </w:rPr>
        <w:t>la</w:t>
      </w:r>
      <w:r>
        <w:rPr>
          <w:color w:val="231F20"/>
          <w:spacing w:val="-7"/>
          <w:w w:val="110"/>
        </w:rPr>
        <w:t> </w:t>
      </w:r>
      <w:r>
        <w:rPr>
          <w:color w:val="231F20"/>
          <w:w w:val="110"/>
        </w:rPr>
        <w:t>forma</w:t>
      </w:r>
      <w:r>
        <w:rPr>
          <w:color w:val="231F20"/>
          <w:spacing w:val="-7"/>
          <w:w w:val="110"/>
        </w:rPr>
        <w:t> </w:t>
      </w:r>
      <w:r>
        <w:rPr>
          <w:color w:val="231F20"/>
          <w:w w:val="110"/>
        </w:rPr>
        <w:t>tradicional</w:t>
      </w:r>
      <w:r>
        <w:rPr>
          <w:color w:val="231F20"/>
          <w:spacing w:val="-7"/>
          <w:w w:val="110"/>
        </w:rPr>
        <w:t> </w:t>
      </w:r>
      <w:r>
        <w:rPr>
          <w:color w:val="231F20"/>
          <w:w w:val="110"/>
        </w:rPr>
        <w:t>de</w:t>
      </w:r>
      <w:r>
        <w:rPr>
          <w:color w:val="231F20"/>
          <w:spacing w:val="-7"/>
          <w:w w:val="110"/>
        </w:rPr>
        <w:t> </w:t>
      </w:r>
      <w:r>
        <w:rPr>
          <w:color w:val="231F20"/>
          <w:w w:val="110"/>
        </w:rPr>
        <w:t>unión,</w:t>
      </w:r>
      <w:r>
        <w:rPr>
          <w:color w:val="231F20"/>
          <w:spacing w:val="-7"/>
          <w:w w:val="110"/>
        </w:rPr>
        <w:t> </w:t>
      </w:r>
      <w:r>
        <w:rPr>
          <w:color w:val="231F20"/>
          <w:w w:val="110"/>
        </w:rPr>
        <w:t>establecida</w:t>
      </w:r>
      <w:r>
        <w:rPr>
          <w:color w:val="231F20"/>
          <w:spacing w:val="-7"/>
          <w:w w:val="110"/>
        </w:rPr>
        <w:t> </w:t>
      </w:r>
      <w:r>
        <w:rPr>
          <w:color w:val="231F20"/>
          <w:w w:val="110"/>
        </w:rPr>
        <w:t>por</w:t>
      </w:r>
      <w:r>
        <w:rPr>
          <w:color w:val="231F20"/>
          <w:spacing w:val="-7"/>
          <w:w w:val="110"/>
        </w:rPr>
        <w:t> </w:t>
      </w:r>
      <w:r>
        <w:rPr>
          <w:color w:val="231F20"/>
          <w:w w:val="110"/>
        </w:rPr>
        <w:t>usos</w:t>
      </w:r>
      <w:r>
        <w:rPr>
          <w:color w:val="231F20"/>
          <w:spacing w:val="-7"/>
          <w:w w:val="110"/>
        </w:rPr>
        <w:t> </w:t>
      </w:r>
      <w:r>
        <w:rPr>
          <w:color w:val="231F20"/>
          <w:w w:val="110"/>
        </w:rPr>
        <w:t>y</w:t>
      </w:r>
      <w:r>
        <w:rPr>
          <w:color w:val="231F20"/>
          <w:spacing w:val="-7"/>
          <w:w w:val="110"/>
        </w:rPr>
        <w:t> </w:t>
      </w:r>
      <w:r>
        <w:rPr>
          <w:color w:val="231F20"/>
          <w:w w:val="110"/>
        </w:rPr>
        <w:t>costum- bres, sumamente bien definida y estable. Ésta se inicia con el “robo” de la </w:t>
      </w:r>
      <w:r>
        <w:rPr>
          <w:color w:val="231F20"/>
          <w:spacing w:val="-4"/>
          <w:w w:val="110"/>
        </w:rPr>
        <w:t>novia</w:t>
      </w:r>
      <w:r>
        <w:rPr>
          <w:color w:val="231F20"/>
          <w:spacing w:val="-6"/>
          <w:w w:val="110"/>
        </w:rPr>
        <w:t> </w:t>
      </w:r>
      <w:r>
        <w:rPr>
          <w:color w:val="231F20"/>
          <w:w w:val="110"/>
        </w:rPr>
        <w:t>y</w:t>
      </w:r>
      <w:r>
        <w:rPr>
          <w:color w:val="231F20"/>
          <w:spacing w:val="-6"/>
          <w:w w:val="110"/>
        </w:rPr>
        <w:t> </w:t>
      </w:r>
      <w:r>
        <w:rPr>
          <w:color w:val="231F20"/>
          <w:w w:val="110"/>
        </w:rPr>
        <w:t>lo</w:t>
      </w:r>
      <w:r>
        <w:rPr>
          <w:color w:val="231F20"/>
          <w:spacing w:val="-6"/>
          <w:w w:val="110"/>
        </w:rPr>
        <w:t> </w:t>
      </w:r>
      <w:r>
        <w:rPr>
          <w:color w:val="231F20"/>
          <w:spacing w:val="-3"/>
          <w:w w:val="110"/>
        </w:rPr>
        <w:t>más</w:t>
      </w:r>
      <w:r>
        <w:rPr>
          <w:color w:val="231F20"/>
          <w:spacing w:val="-6"/>
          <w:w w:val="110"/>
        </w:rPr>
        <w:t> </w:t>
      </w:r>
      <w:r>
        <w:rPr>
          <w:color w:val="231F20"/>
          <w:spacing w:val="-4"/>
          <w:w w:val="110"/>
        </w:rPr>
        <w:t>común</w:t>
      </w:r>
      <w:r>
        <w:rPr>
          <w:color w:val="231F20"/>
          <w:spacing w:val="-6"/>
          <w:w w:val="110"/>
        </w:rPr>
        <w:t> </w:t>
      </w:r>
      <w:r>
        <w:rPr>
          <w:color w:val="231F20"/>
          <w:w w:val="110"/>
        </w:rPr>
        <w:t>es</w:t>
      </w:r>
      <w:r>
        <w:rPr>
          <w:color w:val="231F20"/>
          <w:spacing w:val="-6"/>
          <w:w w:val="110"/>
        </w:rPr>
        <w:t> </w:t>
      </w:r>
      <w:r>
        <w:rPr>
          <w:color w:val="231F20"/>
          <w:spacing w:val="-3"/>
          <w:w w:val="110"/>
        </w:rPr>
        <w:t>que</w:t>
      </w:r>
      <w:r>
        <w:rPr>
          <w:color w:val="231F20"/>
          <w:spacing w:val="-6"/>
          <w:w w:val="110"/>
        </w:rPr>
        <w:t> </w:t>
      </w:r>
      <w:r>
        <w:rPr>
          <w:color w:val="231F20"/>
          <w:w w:val="110"/>
        </w:rPr>
        <w:t>la</w:t>
      </w:r>
      <w:r>
        <w:rPr>
          <w:color w:val="231F20"/>
          <w:spacing w:val="-6"/>
          <w:w w:val="110"/>
        </w:rPr>
        <w:t> </w:t>
      </w:r>
      <w:r>
        <w:rPr>
          <w:color w:val="231F20"/>
          <w:spacing w:val="-4"/>
          <w:w w:val="110"/>
        </w:rPr>
        <w:t>pareja</w:t>
      </w:r>
      <w:r>
        <w:rPr>
          <w:color w:val="231F20"/>
          <w:spacing w:val="-6"/>
          <w:w w:val="110"/>
        </w:rPr>
        <w:t> </w:t>
      </w:r>
      <w:r>
        <w:rPr>
          <w:color w:val="231F20"/>
          <w:spacing w:val="-3"/>
          <w:w w:val="110"/>
        </w:rPr>
        <w:t>viva</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spacing w:val="-4"/>
          <w:w w:val="110"/>
        </w:rPr>
        <w:t>hogar</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spacing w:val="-4"/>
          <w:w w:val="110"/>
        </w:rPr>
        <w:t>familia</w:t>
      </w:r>
      <w:r>
        <w:rPr>
          <w:color w:val="231F20"/>
          <w:spacing w:val="-6"/>
          <w:w w:val="110"/>
        </w:rPr>
        <w:t> </w:t>
      </w:r>
      <w:r>
        <w:rPr>
          <w:color w:val="231F20"/>
          <w:spacing w:val="-3"/>
          <w:w w:val="110"/>
        </w:rPr>
        <w:t>del</w:t>
      </w:r>
      <w:r>
        <w:rPr>
          <w:color w:val="231F20"/>
          <w:spacing w:val="-6"/>
          <w:w w:val="110"/>
        </w:rPr>
        <w:t> </w:t>
      </w:r>
      <w:r>
        <w:rPr>
          <w:color w:val="231F20"/>
          <w:spacing w:val="-4"/>
          <w:w w:val="110"/>
        </w:rPr>
        <w:t>novio; </w:t>
      </w:r>
      <w:r>
        <w:rPr>
          <w:color w:val="231F20"/>
          <w:w w:val="110"/>
        </w:rPr>
        <w:t>lo cual representa un compromiso sumamente serio, probablemente más serio para ellos que sólo lo legal. Una explicación alternativa y/o comple- mentaria es que en las entidades rurales no es la modernidad, sino el dis- tanciamiento con el registro civil lo que</w:t>
      </w:r>
      <w:r>
        <w:rPr>
          <w:color w:val="231F20"/>
          <w:spacing w:val="16"/>
          <w:w w:val="110"/>
        </w:rPr>
        <w:t> </w:t>
      </w:r>
      <w:r>
        <w:rPr>
          <w:color w:val="231F20"/>
          <w:w w:val="110"/>
        </w:rPr>
        <w:t>prevalece.</w:t>
      </w:r>
    </w:p>
    <w:p>
      <w:pPr>
        <w:pStyle w:val="BodyText"/>
        <w:spacing w:line="283" w:lineRule="auto"/>
        <w:ind w:left="124" w:right="112" w:firstLine="360"/>
        <w:jc w:val="both"/>
      </w:pPr>
      <w:r>
        <w:rPr>
          <w:color w:val="231F20"/>
          <w:w w:val="110"/>
        </w:rPr>
        <w:t>Aquí queda pendiente ir más allá de estas cifras obtenidas. Esto es, </w:t>
      </w:r>
      <w:r>
        <w:rPr>
          <w:color w:val="231F20"/>
          <w:spacing w:val="3"/>
          <w:w w:val="110"/>
        </w:rPr>
        <w:t>aproximarnos </w:t>
      </w:r>
      <w:r>
        <w:rPr>
          <w:color w:val="231F20"/>
          <w:w w:val="110"/>
        </w:rPr>
        <w:t>a </w:t>
      </w:r>
      <w:r>
        <w:rPr>
          <w:color w:val="231F20"/>
          <w:spacing w:val="2"/>
          <w:w w:val="110"/>
        </w:rPr>
        <w:t>las </w:t>
      </w:r>
      <w:r>
        <w:rPr>
          <w:color w:val="231F20"/>
          <w:spacing w:val="3"/>
          <w:w w:val="110"/>
        </w:rPr>
        <w:t>características </w:t>
      </w:r>
      <w:r>
        <w:rPr>
          <w:color w:val="231F20"/>
          <w:w w:val="110"/>
        </w:rPr>
        <w:t>de </w:t>
      </w:r>
      <w:r>
        <w:rPr>
          <w:color w:val="231F20"/>
          <w:spacing w:val="2"/>
          <w:w w:val="110"/>
        </w:rPr>
        <w:t>las </w:t>
      </w:r>
      <w:r>
        <w:rPr>
          <w:color w:val="231F20"/>
          <w:spacing w:val="3"/>
          <w:w w:val="110"/>
        </w:rPr>
        <w:t>personas </w:t>
      </w:r>
      <w:r>
        <w:rPr>
          <w:color w:val="231F20"/>
          <w:spacing w:val="2"/>
          <w:w w:val="110"/>
        </w:rPr>
        <w:t>que </w:t>
      </w:r>
      <w:r>
        <w:rPr>
          <w:color w:val="231F20"/>
          <w:spacing w:val="3"/>
          <w:w w:val="110"/>
        </w:rPr>
        <w:t>entran </w:t>
      </w:r>
      <w:r>
        <w:rPr>
          <w:color w:val="231F20"/>
          <w:w w:val="110"/>
        </w:rPr>
        <w:t>en </w:t>
      </w:r>
      <w:r>
        <w:rPr>
          <w:color w:val="231F20"/>
          <w:spacing w:val="2"/>
          <w:w w:val="110"/>
        </w:rPr>
        <w:t>una </w:t>
      </w:r>
      <w:r>
        <w:rPr>
          <w:color w:val="231F20"/>
          <w:spacing w:val="-4"/>
          <w:w w:val="110"/>
        </w:rPr>
        <w:t>unión</w:t>
      </w:r>
      <w:r>
        <w:rPr>
          <w:color w:val="231F20"/>
          <w:spacing w:val="-9"/>
          <w:w w:val="110"/>
        </w:rPr>
        <w:t> </w:t>
      </w:r>
      <w:r>
        <w:rPr>
          <w:color w:val="231F20"/>
          <w:spacing w:val="-4"/>
          <w:w w:val="110"/>
        </w:rPr>
        <w:t>libre</w:t>
      </w:r>
      <w:r>
        <w:rPr>
          <w:color w:val="231F20"/>
          <w:spacing w:val="-9"/>
          <w:w w:val="110"/>
        </w:rPr>
        <w:t> </w:t>
      </w:r>
      <w:r>
        <w:rPr>
          <w:color w:val="231F20"/>
          <w:w w:val="110"/>
        </w:rPr>
        <w:t>a</w:t>
      </w:r>
      <w:r>
        <w:rPr>
          <w:color w:val="231F20"/>
          <w:spacing w:val="-9"/>
          <w:w w:val="110"/>
        </w:rPr>
        <w:t> </w:t>
      </w:r>
      <w:r>
        <w:rPr>
          <w:color w:val="231F20"/>
          <w:spacing w:val="-4"/>
          <w:w w:val="110"/>
        </w:rPr>
        <w:t>nivel</w:t>
      </w:r>
      <w:r>
        <w:rPr>
          <w:color w:val="231F20"/>
          <w:spacing w:val="-9"/>
          <w:w w:val="110"/>
        </w:rPr>
        <w:t> </w:t>
      </w:r>
      <w:r>
        <w:rPr>
          <w:color w:val="231F20"/>
          <w:spacing w:val="-4"/>
          <w:w w:val="110"/>
        </w:rPr>
        <w:t>entidad</w:t>
      </w:r>
      <w:r>
        <w:rPr>
          <w:color w:val="231F20"/>
          <w:spacing w:val="-9"/>
          <w:w w:val="110"/>
        </w:rPr>
        <w:t> </w:t>
      </w:r>
      <w:r>
        <w:rPr>
          <w:color w:val="231F20"/>
          <w:spacing w:val="-4"/>
          <w:w w:val="110"/>
        </w:rPr>
        <w:t>federativa,</w:t>
      </w:r>
      <w:r>
        <w:rPr>
          <w:color w:val="231F20"/>
          <w:spacing w:val="-9"/>
          <w:w w:val="110"/>
        </w:rPr>
        <w:t> </w:t>
      </w:r>
      <w:r>
        <w:rPr>
          <w:color w:val="231F20"/>
          <w:spacing w:val="-3"/>
          <w:w w:val="110"/>
        </w:rPr>
        <w:t>bajo</w:t>
      </w:r>
      <w:r>
        <w:rPr>
          <w:color w:val="231F20"/>
          <w:spacing w:val="-9"/>
          <w:w w:val="110"/>
        </w:rPr>
        <w:t> </w:t>
      </w:r>
      <w:r>
        <w:rPr>
          <w:color w:val="231F20"/>
          <w:w w:val="110"/>
        </w:rPr>
        <w:t>el</w:t>
      </w:r>
      <w:r>
        <w:rPr>
          <w:color w:val="231F20"/>
          <w:spacing w:val="-9"/>
          <w:w w:val="110"/>
        </w:rPr>
        <w:t> </w:t>
      </w:r>
      <w:r>
        <w:rPr>
          <w:color w:val="231F20"/>
          <w:spacing w:val="-4"/>
          <w:w w:val="110"/>
        </w:rPr>
        <w:t>supuesto</w:t>
      </w:r>
      <w:r>
        <w:rPr>
          <w:color w:val="231F20"/>
          <w:spacing w:val="-9"/>
          <w:w w:val="110"/>
        </w:rPr>
        <w:t> </w:t>
      </w:r>
      <w:r>
        <w:rPr>
          <w:color w:val="231F20"/>
          <w:w w:val="110"/>
        </w:rPr>
        <w:t>de</w:t>
      </w:r>
      <w:r>
        <w:rPr>
          <w:color w:val="231F20"/>
          <w:spacing w:val="-9"/>
          <w:w w:val="110"/>
        </w:rPr>
        <w:t> </w:t>
      </w:r>
      <w:r>
        <w:rPr>
          <w:color w:val="231F20"/>
          <w:spacing w:val="-3"/>
          <w:w w:val="110"/>
        </w:rPr>
        <w:t>que</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spacing w:val="-4"/>
          <w:w w:val="110"/>
        </w:rPr>
        <w:t>actualidad </w:t>
      </w:r>
      <w:r>
        <w:rPr>
          <w:color w:val="231F20"/>
          <w:w w:val="110"/>
        </w:rPr>
        <w:t>coexisten</w:t>
      </w:r>
      <w:r>
        <w:rPr>
          <w:color w:val="231F20"/>
          <w:spacing w:val="-10"/>
          <w:w w:val="110"/>
        </w:rPr>
        <w:t> </w:t>
      </w:r>
      <w:r>
        <w:rPr>
          <w:color w:val="231F20"/>
          <w:w w:val="110"/>
        </w:rPr>
        <w:t>dos</w:t>
      </w:r>
      <w:r>
        <w:rPr>
          <w:color w:val="231F20"/>
          <w:spacing w:val="-10"/>
          <w:w w:val="110"/>
        </w:rPr>
        <w:t> </w:t>
      </w:r>
      <w:r>
        <w:rPr>
          <w:color w:val="231F20"/>
          <w:w w:val="110"/>
        </w:rPr>
        <w:t>formas</w:t>
      </w:r>
      <w:r>
        <w:rPr>
          <w:color w:val="231F20"/>
          <w:spacing w:val="-10"/>
          <w:w w:val="110"/>
        </w:rPr>
        <w:t> </w:t>
      </w:r>
      <w:r>
        <w:rPr>
          <w:color w:val="231F20"/>
          <w:w w:val="110"/>
        </w:rPr>
        <w:t>de</w:t>
      </w:r>
      <w:r>
        <w:rPr>
          <w:color w:val="231F20"/>
          <w:spacing w:val="-10"/>
          <w:w w:val="110"/>
        </w:rPr>
        <w:t> </w:t>
      </w:r>
      <w:r>
        <w:rPr>
          <w:color w:val="231F20"/>
          <w:w w:val="110"/>
        </w:rPr>
        <w:t>unión</w:t>
      </w:r>
      <w:r>
        <w:rPr>
          <w:color w:val="231F20"/>
          <w:spacing w:val="-10"/>
          <w:w w:val="110"/>
        </w:rPr>
        <w:t> </w:t>
      </w:r>
      <w:r>
        <w:rPr>
          <w:color w:val="231F20"/>
          <w:w w:val="110"/>
        </w:rPr>
        <w:t>libre:</w:t>
      </w:r>
      <w:r>
        <w:rPr>
          <w:color w:val="231F20"/>
          <w:spacing w:val="-10"/>
          <w:w w:val="110"/>
        </w:rPr>
        <w:t> </w:t>
      </w:r>
      <w:r>
        <w:rPr>
          <w:color w:val="231F20"/>
          <w:w w:val="110"/>
        </w:rPr>
        <w:t>una</w:t>
      </w:r>
      <w:r>
        <w:rPr>
          <w:color w:val="231F20"/>
          <w:spacing w:val="-10"/>
          <w:w w:val="110"/>
        </w:rPr>
        <w:t> </w:t>
      </w:r>
      <w:r>
        <w:rPr>
          <w:color w:val="231F20"/>
          <w:w w:val="110"/>
        </w:rPr>
        <w:t>tradicional</w:t>
      </w:r>
      <w:r>
        <w:rPr>
          <w:color w:val="231F20"/>
          <w:spacing w:val="-10"/>
          <w:w w:val="110"/>
        </w:rPr>
        <w:t> </w:t>
      </w:r>
      <w:r>
        <w:rPr>
          <w:color w:val="231F20"/>
          <w:w w:val="110"/>
        </w:rPr>
        <w:t>y</w:t>
      </w:r>
      <w:r>
        <w:rPr>
          <w:color w:val="231F20"/>
          <w:spacing w:val="-10"/>
          <w:w w:val="110"/>
        </w:rPr>
        <w:t> </w:t>
      </w:r>
      <w:r>
        <w:rPr>
          <w:color w:val="231F20"/>
          <w:w w:val="110"/>
        </w:rPr>
        <w:t>otra</w:t>
      </w:r>
      <w:r>
        <w:rPr>
          <w:color w:val="231F20"/>
          <w:spacing w:val="-10"/>
          <w:w w:val="110"/>
        </w:rPr>
        <w:t> </w:t>
      </w:r>
      <w:r>
        <w:rPr>
          <w:color w:val="231F20"/>
          <w:w w:val="110"/>
        </w:rPr>
        <w:t>“moderna”</w:t>
      </w:r>
      <w:r>
        <w:rPr>
          <w:color w:val="231F20"/>
          <w:spacing w:val="-10"/>
          <w:w w:val="110"/>
        </w:rPr>
        <w:t> </w:t>
      </w:r>
      <w:r>
        <w:rPr>
          <w:color w:val="231F20"/>
          <w:w w:val="110"/>
        </w:rPr>
        <w:t>(Qui- lodrán,</w:t>
      </w:r>
      <w:r>
        <w:rPr>
          <w:color w:val="231F20"/>
          <w:spacing w:val="-8"/>
          <w:w w:val="110"/>
        </w:rPr>
        <w:t> </w:t>
      </w:r>
      <w:r>
        <w:rPr>
          <w:color w:val="231F20"/>
          <w:w w:val="110"/>
        </w:rPr>
        <w:t>2010).</w:t>
      </w:r>
      <w:r>
        <w:rPr>
          <w:color w:val="231F20"/>
          <w:spacing w:val="-8"/>
          <w:w w:val="110"/>
        </w:rPr>
        <w:t> </w:t>
      </w:r>
      <w:r>
        <w:rPr>
          <w:color w:val="231F20"/>
          <w:w w:val="110"/>
        </w:rPr>
        <w:t>Por</w:t>
      </w:r>
      <w:r>
        <w:rPr>
          <w:color w:val="231F20"/>
          <w:spacing w:val="-8"/>
          <w:w w:val="110"/>
        </w:rPr>
        <w:t> </w:t>
      </w:r>
      <w:r>
        <w:rPr>
          <w:color w:val="231F20"/>
          <w:w w:val="110"/>
        </w:rPr>
        <w:t>ejemplo,</w:t>
      </w:r>
      <w:r>
        <w:rPr>
          <w:color w:val="231F20"/>
          <w:spacing w:val="-8"/>
          <w:w w:val="110"/>
        </w:rPr>
        <w:t> </w:t>
      </w:r>
      <w:r>
        <w:rPr>
          <w:color w:val="231F20"/>
          <w:w w:val="110"/>
        </w:rPr>
        <w:t>los</w:t>
      </w:r>
      <w:r>
        <w:rPr>
          <w:color w:val="231F20"/>
          <w:spacing w:val="-8"/>
          <w:w w:val="110"/>
        </w:rPr>
        <w:t> </w:t>
      </w:r>
      <w:r>
        <w:rPr>
          <w:color w:val="231F20"/>
          <w:w w:val="110"/>
        </w:rPr>
        <w:t>altos</w:t>
      </w:r>
      <w:r>
        <w:rPr>
          <w:color w:val="231F20"/>
          <w:spacing w:val="-8"/>
          <w:w w:val="110"/>
        </w:rPr>
        <w:t> </w:t>
      </w:r>
      <w:r>
        <w:rPr>
          <w:color w:val="231F20"/>
          <w:w w:val="110"/>
        </w:rPr>
        <w:t>niveles</w:t>
      </w:r>
      <w:r>
        <w:rPr>
          <w:color w:val="231F20"/>
          <w:spacing w:val="-8"/>
          <w:w w:val="110"/>
        </w:rPr>
        <w:t> </w:t>
      </w:r>
      <w:r>
        <w:rPr>
          <w:color w:val="231F20"/>
          <w:w w:val="110"/>
        </w:rPr>
        <w:t>de</w:t>
      </w:r>
      <w:r>
        <w:rPr>
          <w:color w:val="231F20"/>
          <w:spacing w:val="-8"/>
          <w:w w:val="110"/>
        </w:rPr>
        <w:t> </w:t>
      </w:r>
      <w:r>
        <w:rPr>
          <w:color w:val="231F20"/>
          <w:w w:val="110"/>
        </w:rPr>
        <w:t>unión</w:t>
      </w:r>
      <w:r>
        <w:rPr>
          <w:color w:val="231F20"/>
          <w:spacing w:val="-8"/>
          <w:w w:val="110"/>
        </w:rPr>
        <w:t> </w:t>
      </w:r>
      <w:r>
        <w:rPr>
          <w:color w:val="231F20"/>
          <w:w w:val="110"/>
        </w:rPr>
        <w:t>libre</w:t>
      </w:r>
      <w:r>
        <w:rPr>
          <w:color w:val="231F20"/>
          <w:spacing w:val="-8"/>
          <w:w w:val="110"/>
        </w:rPr>
        <w:t> </w:t>
      </w:r>
      <w:r>
        <w:rPr>
          <w:color w:val="231F20"/>
          <w:w w:val="110"/>
        </w:rPr>
        <w:t>que</w:t>
      </w:r>
      <w:r>
        <w:rPr>
          <w:color w:val="231F20"/>
          <w:spacing w:val="-8"/>
          <w:w w:val="110"/>
        </w:rPr>
        <w:t> </w:t>
      </w:r>
      <w:r>
        <w:rPr>
          <w:color w:val="231F20"/>
          <w:w w:val="110"/>
        </w:rPr>
        <w:t>observamos en </w:t>
      </w:r>
      <w:r>
        <w:rPr>
          <w:color w:val="231F20"/>
          <w:spacing w:val="-3"/>
          <w:w w:val="110"/>
        </w:rPr>
        <w:t>Veracruz </w:t>
      </w:r>
      <w:r>
        <w:rPr>
          <w:color w:val="231F20"/>
          <w:w w:val="110"/>
        </w:rPr>
        <w:t>o en Chiapas sabemos que tienen larga tradición mientras que desconocemos el caso del Distrito </w:t>
      </w:r>
      <w:r>
        <w:rPr>
          <w:color w:val="231F20"/>
          <w:spacing w:val="-3"/>
          <w:w w:val="110"/>
        </w:rPr>
        <w:t>Federal </w:t>
      </w:r>
      <w:r>
        <w:rPr>
          <w:color w:val="231F20"/>
          <w:w w:val="110"/>
        </w:rPr>
        <w:t>o  </w:t>
      </w:r>
      <w:r>
        <w:rPr>
          <w:color w:val="231F20"/>
          <w:spacing w:val="9"/>
          <w:w w:val="110"/>
        </w:rPr>
        <w:t> </w:t>
      </w:r>
      <w:r>
        <w:rPr>
          <w:color w:val="231F20"/>
          <w:w w:val="110"/>
        </w:rPr>
        <w:t>Chihuahua.</w:t>
      </w:r>
    </w:p>
    <w:p>
      <w:pPr>
        <w:pStyle w:val="BodyText"/>
        <w:spacing w:line="283" w:lineRule="auto"/>
        <w:ind w:left="124" w:right="112" w:firstLine="360"/>
        <w:jc w:val="both"/>
      </w:pPr>
      <w:r>
        <w:rPr>
          <w:color w:val="231F20"/>
          <w:w w:val="110"/>
        </w:rPr>
        <w:t>Ahora bien, al comparar los niveles de unión libre de las personas de 30-34 años con respecto a las de 20-24 años observamos que en la gene- ración más joven éstos son más altos, lo que pone en evidencia que este tipo de unión se prefiere entre los más  jóvenes.</w:t>
      </w:r>
    </w:p>
    <w:p>
      <w:pPr>
        <w:pStyle w:val="BodyText"/>
        <w:spacing w:line="283" w:lineRule="auto"/>
        <w:ind w:left="124" w:right="113" w:firstLine="360"/>
        <w:jc w:val="both"/>
      </w:pPr>
      <w:r>
        <w:rPr>
          <w:color w:val="231F20"/>
          <w:w w:val="110"/>
        </w:rPr>
        <w:t>También observamos cómo aumentan drásticamente las proporciones de solteros entre el primer grupo (20-24) y el segundo grupo de edad ana- lizado</w:t>
      </w:r>
      <w:r>
        <w:rPr>
          <w:color w:val="231F20"/>
          <w:spacing w:val="-17"/>
          <w:w w:val="110"/>
        </w:rPr>
        <w:t> </w:t>
      </w:r>
      <w:r>
        <w:rPr>
          <w:color w:val="231F20"/>
          <w:w w:val="110"/>
        </w:rPr>
        <w:t>(30-34).</w:t>
      </w:r>
      <w:r>
        <w:rPr>
          <w:color w:val="231F20"/>
          <w:spacing w:val="-17"/>
          <w:w w:val="110"/>
        </w:rPr>
        <w:t> </w:t>
      </w:r>
      <w:r>
        <w:rPr>
          <w:color w:val="231F20"/>
          <w:w w:val="110"/>
        </w:rPr>
        <w:t>Esta</w:t>
      </w:r>
      <w:r>
        <w:rPr>
          <w:color w:val="231F20"/>
          <w:spacing w:val="-17"/>
          <w:w w:val="110"/>
        </w:rPr>
        <w:t> </w:t>
      </w:r>
      <w:r>
        <w:rPr>
          <w:color w:val="231F20"/>
          <w:w w:val="110"/>
        </w:rPr>
        <w:t>situación</w:t>
      </w:r>
      <w:r>
        <w:rPr>
          <w:color w:val="231F20"/>
          <w:spacing w:val="-17"/>
          <w:w w:val="110"/>
        </w:rPr>
        <w:t> </w:t>
      </w:r>
      <w:r>
        <w:rPr>
          <w:color w:val="231F20"/>
          <w:w w:val="110"/>
        </w:rPr>
        <w:t>podría</w:t>
      </w:r>
      <w:r>
        <w:rPr>
          <w:color w:val="231F20"/>
          <w:spacing w:val="-17"/>
          <w:w w:val="110"/>
        </w:rPr>
        <w:t> </w:t>
      </w:r>
      <w:r>
        <w:rPr>
          <w:color w:val="231F20"/>
          <w:w w:val="110"/>
        </w:rPr>
        <w:t>estar</w:t>
      </w:r>
      <w:r>
        <w:rPr>
          <w:color w:val="231F20"/>
          <w:spacing w:val="-17"/>
          <w:w w:val="110"/>
        </w:rPr>
        <w:t> </w:t>
      </w:r>
      <w:r>
        <w:rPr>
          <w:color w:val="231F20"/>
          <w:w w:val="110"/>
        </w:rPr>
        <w:t>dando</w:t>
      </w:r>
      <w:r>
        <w:rPr>
          <w:color w:val="231F20"/>
          <w:spacing w:val="-17"/>
          <w:w w:val="110"/>
        </w:rPr>
        <w:t> </w:t>
      </w:r>
      <w:r>
        <w:rPr>
          <w:color w:val="231F20"/>
          <w:w w:val="110"/>
        </w:rPr>
        <w:t>simplemente</w:t>
      </w:r>
      <w:r>
        <w:rPr>
          <w:color w:val="231F20"/>
          <w:spacing w:val="-17"/>
          <w:w w:val="110"/>
        </w:rPr>
        <w:t> </w:t>
      </w:r>
      <w:r>
        <w:rPr>
          <w:color w:val="231F20"/>
          <w:w w:val="110"/>
        </w:rPr>
        <w:t>cuenta</w:t>
      </w:r>
      <w:r>
        <w:rPr>
          <w:color w:val="231F20"/>
          <w:spacing w:val="-17"/>
          <w:w w:val="110"/>
        </w:rPr>
        <w:t> </w:t>
      </w:r>
      <w:r>
        <w:rPr>
          <w:color w:val="231F20"/>
          <w:w w:val="110"/>
        </w:rPr>
        <w:t>de</w:t>
      </w:r>
      <w:r>
        <w:rPr>
          <w:color w:val="231F20"/>
          <w:spacing w:val="-17"/>
          <w:w w:val="110"/>
        </w:rPr>
        <w:t> </w:t>
      </w:r>
      <w:r>
        <w:rPr>
          <w:color w:val="231F20"/>
          <w:w w:val="110"/>
        </w:rPr>
        <w:t>los ciclos de vida de las personas al pasar de solteros a casados o unidos, al tiempo que las proporciones de alguna vez unidos también </w:t>
      </w:r>
      <w:r>
        <w:rPr>
          <w:color w:val="231F20"/>
          <w:spacing w:val="14"/>
          <w:w w:val="110"/>
        </w:rPr>
        <w:t> </w:t>
      </w:r>
      <w:r>
        <w:rPr>
          <w:color w:val="231F20"/>
          <w:w w:val="110"/>
        </w:rPr>
        <w:t>aumentan.</w:t>
      </w:r>
    </w:p>
    <w:p>
      <w:pPr>
        <w:pStyle w:val="BodyText"/>
        <w:spacing w:before="2"/>
        <w:rPr>
          <w:sz w:val="23"/>
        </w:rPr>
      </w:pPr>
    </w:p>
    <w:p>
      <w:pPr>
        <w:pStyle w:val="Heading3"/>
        <w:jc w:val="left"/>
        <w:rPr>
          <w:i/>
        </w:rPr>
      </w:pPr>
      <w:r>
        <w:rPr>
          <w:i/>
          <w:color w:val="231F20"/>
          <w:w w:val="105"/>
        </w:rPr>
        <w:t>El grupo de edad 50-54</w:t>
      </w:r>
    </w:p>
    <w:p>
      <w:pPr>
        <w:pStyle w:val="BodyText"/>
        <w:spacing w:before="10"/>
        <w:rPr>
          <w:rFonts w:ascii="Calibri"/>
          <w:i/>
          <w:sz w:val="21"/>
        </w:rPr>
      </w:pPr>
    </w:p>
    <w:p>
      <w:pPr>
        <w:pStyle w:val="BodyText"/>
        <w:spacing w:line="285" w:lineRule="auto"/>
        <w:ind w:left="98" w:right="114"/>
        <w:jc w:val="right"/>
      </w:pPr>
      <w:r>
        <w:rPr>
          <w:color w:val="231F20"/>
          <w:w w:val="110"/>
        </w:rPr>
        <w:t>El grupo de personas entre 50 y 54 años muestra a las personas solteras,</w:t>
      </w:r>
      <w:r>
        <w:rPr>
          <w:color w:val="231F20"/>
          <w:w w:val="109"/>
        </w:rPr>
        <w:t> </w:t>
      </w:r>
      <w:r>
        <w:rPr>
          <w:color w:val="231F20"/>
          <w:w w:val="110"/>
        </w:rPr>
        <w:t>consideradas como solteras definitivas, proporción que aumenta de 1990</w:t>
      </w:r>
      <w:r>
        <w:rPr>
          <w:color w:val="231F20"/>
          <w:w w:val="102"/>
        </w:rPr>
        <w:t> </w:t>
      </w:r>
      <w:r>
        <w:rPr>
          <w:color w:val="231F20"/>
          <w:w w:val="110"/>
        </w:rPr>
        <w:t>a 2010. Sería importante poder ahondar en la razón de este incremento en</w:t>
      </w:r>
      <w:r>
        <w:rPr>
          <w:color w:val="231F20"/>
          <w:w w:val="110"/>
        </w:rPr>
        <w:t> </w:t>
      </w:r>
      <w:r>
        <w:rPr>
          <w:color w:val="231F20"/>
          <w:w w:val="110"/>
        </w:rPr>
        <w:t>donde se pudiera dilucidar si esta situación es una opción razonada de las</w:t>
      </w:r>
      <w:r>
        <w:rPr>
          <w:color w:val="231F20"/>
          <w:w w:val="113"/>
        </w:rPr>
        <w:t> </w:t>
      </w:r>
      <w:r>
        <w:rPr>
          <w:color w:val="231F20"/>
          <w:w w:val="110"/>
        </w:rPr>
        <w:t>personas o si es una consecuencia de la estructura de los mercados matri-</w:t>
      </w:r>
    </w:p>
    <w:p>
      <w:pPr>
        <w:pStyle w:val="BodyText"/>
        <w:spacing w:before="10"/>
        <w:rPr>
          <w:sz w:val="15"/>
        </w:rPr>
      </w:pPr>
    </w:p>
    <w:p>
      <w:pPr>
        <w:spacing w:line="256" w:lineRule="auto" w:before="0"/>
        <w:ind w:left="124" w:right="113" w:firstLine="360"/>
        <w:jc w:val="both"/>
        <w:rPr>
          <w:sz w:val="16"/>
        </w:rPr>
      </w:pPr>
      <w:r>
        <w:rPr>
          <w:color w:val="231F20"/>
          <w:w w:val="110"/>
          <w:position w:val="5"/>
          <w:sz w:val="9"/>
        </w:rPr>
        <w:t>7 </w:t>
      </w:r>
      <w:r>
        <w:rPr>
          <w:color w:val="231F20"/>
          <w:w w:val="110"/>
          <w:sz w:val="16"/>
        </w:rPr>
        <w:t>En este estudio nos referimos a conductas modernas con respecto a la unión a aquellas en</w:t>
      </w:r>
      <w:r>
        <w:rPr>
          <w:color w:val="231F20"/>
          <w:spacing w:val="-7"/>
          <w:w w:val="110"/>
          <w:sz w:val="16"/>
        </w:rPr>
        <w:t> </w:t>
      </w:r>
      <w:r>
        <w:rPr>
          <w:color w:val="231F20"/>
          <w:w w:val="110"/>
          <w:sz w:val="16"/>
        </w:rPr>
        <w:t>donde</w:t>
      </w:r>
      <w:r>
        <w:rPr>
          <w:color w:val="231F20"/>
          <w:spacing w:val="-7"/>
          <w:w w:val="110"/>
          <w:sz w:val="16"/>
        </w:rPr>
        <w:t> </w:t>
      </w:r>
      <w:r>
        <w:rPr>
          <w:color w:val="231F20"/>
          <w:w w:val="110"/>
          <w:sz w:val="16"/>
        </w:rPr>
        <w:t>se</w:t>
      </w:r>
      <w:r>
        <w:rPr>
          <w:color w:val="231F20"/>
          <w:spacing w:val="-7"/>
          <w:w w:val="110"/>
          <w:sz w:val="16"/>
        </w:rPr>
        <w:t> </w:t>
      </w:r>
      <w:r>
        <w:rPr>
          <w:color w:val="231F20"/>
          <w:w w:val="110"/>
          <w:sz w:val="16"/>
        </w:rPr>
        <w:t>prioriza</w:t>
      </w:r>
      <w:r>
        <w:rPr>
          <w:color w:val="231F20"/>
          <w:spacing w:val="-7"/>
          <w:w w:val="110"/>
          <w:sz w:val="16"/>
        </w:rPr>
        <w:t> </w:t>
      </w:r>
      <w:r>
        <w:rPr>
          <w:color w:val="231F20"/>
          <w:w w:val="110"/>
          <w:sz w:val="16"/>
        </w:rPr>
        <w:t>la</w:t>
      </w:r>
      <w:r>
        <w:rPr>
          <w:color w:val="231F20"/>
          <w:spacing w:val="-7"/>
          <w:w w:val="110"/>
          <w:sz w:val="16"/>
        </w:rPr>
        <w:t> </w:t>
      </w:r>
      <w:r>
        <w:rPr>
          <w:color w:val="231F20"/>
          <w:w w:val="110"/>
          <w:sz w:val="16"/>
        </w:rPr>
        <w:t>decisión</w:t>
      </w:r>
      <w:r>
        <w:rPr>
          <w:color w:val="231F20"/>
          <w:spacing w:val="-7"/>
          <w:w w:val="110"/>
          <w:sz w:val="16"/>
        </w:rPr>
        <w:t> </w:t>
      </w:r>
      <w:r>
        <w:rPr>
          <w:color w:val="231F20"/>
          <w:w w:val="110"/>
          <w:sz w:val="16"/>
        </w:rPr>
        <w:t>personal</w:t>
      </w:r>
      <w:r>
        <w:rPr>
          <w:color w:val="231F20"/>
          <w:spacing w:val="-7"/>
          <w:w w:val="110"/>
          <w:sz w:val="16"/>
        </w:rPr>
        <w:t> </w:t>
      </w:r>
      <w:r>
        <w:rPr>
          <w:color w:val="231F20"/>
          <w:w w:val="110"/>
          <w:sz w:val="16"/>
        </w:rPr>
        <w:t>sobre</w:t>
      </w:r>
      <w:r>
        <w:rPr>
          <w:color w:val="231F20"/>
          <w:spacing w:val="-7"/>
          <w:w w:val="110"/>
          <w:sz w:val="16"/>
        </w:rPr>
        <w:t> </w:t>
      </w:r>
      <w:r>
        <w:rPr>
          <w:color w:val="231F20"/>
          <w:w w:val="110"/>
          <w:sz w:val="16"/>
        </w:rPr>
        <w:t>las</w:t>
      </w:r>
      <w:r>
        <w:rPr>
          <w:color w:val="231F20"/>
          <w:spacing w:val="-7"/>
          <w:w w:val="110"/>
          <w:sz w:val="16"/>
        </w:rPr>
        <w:t> </w:t>
      </w:r>
      <w:r>
        <w:rPr>
          <w:color w:val="231F20"/>
          <w:w w:val="110"/>
          <w:sz w:val="16"/>
        </w:rPr>
        <w:t>estructuras</w:t>
      </w:r>
      <w:r>
        <w:rPr>
          <w:color w:val="231F20"/>
          <w:spacing w:val="-7"/>
          <w:w w:val="110"/>
          <w:sz w:val="16"/>
        </w:rPr>
        <w:t> </w:t>
      </w:r>
      <w:r>
        <w:rPr>
          <w:color w:val="231F20"/>
          <w:w w:val="110"/>
          <w:sz w:val="16"/>
        </w:rPr>
        <w:t>institucionales</w:t>
      </w:r>
      <w:r>
        <w:rPr>
          <w:color w:val="231F20"/>
          <w:spacing w:val="-7"/>
          <w:w w:val="110"/>
          <w:sz w:val="16"/>
        </w:rPr>
        <w:t> </w:t>
      </w:r>
      <w:r>
        <w:rPr>
          <w:color w:val="231F20"/>
          <w:w w:val="110"/>
          <w:sz w:val="16"/>
        </w:rPr>
        <w:t>(Iglesia,</w:t>
      </w:r>
      <w:r>
        <w:rPr>
          <w:color w:val="231F20"/>
          <w:spacing w:val="-7"/>
          <w:w w:val="110"/>
          <w:sz w:val="16"/>
        </w:rPr>
        <w:t> </w:t>
      </w:r>
      <w:r>
        <w:rPr>
          <w:color w:val="231F20"/>
          <w:w w:val="110"/>
          <w:sz w:val="16"/>
        </w:rPr>
        <w:t>familia, Estado).</w:t>
      </w:r>
    </w:p>
    <w:p>
      <w:pPr>
        <w:pStyle w:val="BodyText"/>
        <w:rPr>
          <w:sz w:val="16"/>
        </w:rPr>
      </w:pPr>
    </w:p>
    <w:p>
      <w:pPr>
        <w:spacing w:before="72"/>
        <w:ind w:left="124" w:right="0" w:firstLine="0"/>
        <w:jc w:val="left"/>
        <w:rPr>
          <w:rFonts w:ascii="Calibri" w:hAnsi="Calibri"/>
          <w:i/>
          <w:sz w:val="18"/>
        </w:rPr>
      </w:pPr>
      <w:r>
        <w:rPr>
          <w:rFonts w:ascii="Calibri" w:hAnsi="Calibri"/>
          <w:i/>
          <w:color w:val="231F20"/>
          <w:w w:val="90"/>
          <w:sz w:val="18"/>
        </w:rPr>
        <w:t>82 </w:t>
      </w:r>
      <w:r>
        <w:rPr>
          <w:i/>
          <w:color w:val="231F20"/>
          <w:w w:val="90"/>
          <w:sz w:val="18"/>
        </w:rPr>
        <w:t>• </w:t>
      </w:r>
      <w:r>
        <w:rPr>
          <w:rFonts w:ascii="Calibri" w:hAnsi="Calibri"/>
          <w:i/>
          <w:color w:val="231F20"/>
          <w:w w:val="90"/>
          <w:sz w:val="18"/>
        </w:rPr>
        <w:t>R. P. Sosa Marquéz, A. Mejía Modesto, J. A. Soberón Mora</w:t>
      </w:r>
    </w:p>
    <w:p>
      <w:pPr>
        <w:spacing w:after="0"/>
        <w:jc w:val="left"/>
        <w:rPr>
          <w:rFonts w:ascii="Calibri" w:hAnsi="Calibri"/>
          <w:sz w:val="18"/>
        </w:rPr>
        <w:sectPr>
          <w:footerReference w:type="default" r:id="rId71"/>
          <w:pgSz w:w="9520" w:h="12920"/>
          <w:pgMar w:footer="0" w:header="0" w:top="880" w:bottom="280" w:left="1320" w:right="1000"/>
        </w:sectPr>
      </w:pPr>
    </w:p>
    <w:p>
      <w:pPr>
        <w:pStyle w:val="BodyText"/>
        <w:spacing w:line="288" w:lineRule="auto" w:before="42"/>
        <w:ind w:left="120" w:right="117"/>
        <w:jc w:val="both"/>
      </w:pPr>
      <w:r>
        <w:rPr>
          <w:color w:val="231F20"/>
          <w:w w:val="110"/>
        </w:rPr>
        <w:t>moniales, es decir, no se encontró “la pareja ideal con quien formar una familia”. También se aprecia un importante crecimiento de las alguna vez unidas —separadas, divorciadas y viudas— en detrimento de las casadas vistas antes. En esta proporción existe un claro efecto de la mortalidad, esto es, de la viudez, sin embargo, consideramos que ésta es menor. En realidad los cambios que se observan se deben al aumento en la categoría de personas separadas y divorciadas que cada vez son más comunes (véanse cuadros 6 y 7).</w:t>
      </w:r>
    </w:p>
    <w:p>
      <w:pPr>
        <w:pStyle w:val="BodyText"/>
        <w:spacing w:line="288" w:lineRule="auto"/>
        <w:ind w:left="120" w:right="117" w:firstLine="360"/>
        <w:jc w:val="both"/>
      </w:pPr>
      <w:r>
        <w:rPr>
          <w:color w:val="231F20"/>
          <w:w w:val="110"/>
        </w:rPr>
        <w:t>Este grupo de edad muestra proporciones importantes de hombres y mujeres en la categoría de casados y unidos, mayores entre los hombres. Aspecto que nos muestra que en muchas ocasiones las proporciones de hombres de 50 a 54 años en matrimonio o unión libre pueden correspon- der</w:t>
      </w:r>
      <w:r>
        <w:rPr>
          <w:color w:val="231F20"/>
          <w:spacing w:val="-3"/>
          <w:w w:val="110"/>
        </w:rPr>
        <w:t> </w:t>
      </w:r>
      <w:r>
        <w:rPr>
          <w:color w:val="231F20"/>
          <w:w w:val="110"/>
        </w:rPr>
        <w:t>a</w:t>
      </w:r>
      <w:r>
        <w:rPr>
          <w:color w:val="231F20"/>
          <w:spacing w:val="-3"/>
          <w:w w:val="110"/>
        </w:rPr>
        <w:t> </w:t>
      </w:r>
      <w:r>
        <w:rPr>
          <w:color w:val="231F20"/>
          <w:w w:val="110"/>
        </w:rPr>
        <w:t>un</w:t>
      </w:r>
      <w:r>
        <w:rPr>
          <w:color w:val="231F20"/>
          <w:spacing w:val="-3"/>
          <w:w w:val="110"/>
        </w:rPr>
        <w:t> </w:t>
      </w:r>
      <w:r>
        <w:rPr>
          <w:color w:val="231F20"/>
          <w:w w:val="110"/>
        </w:rPr>
        <w:t>segundo</w:t>
      </w:r>
      <w:r>
        <w:rPr>
          <w:color w:val="231F20"/>
          <w:spacing w:val="-3"/>
          <w:w w:val="110"/>
        </w:rPr>
        <w:t> </w:t>
      </w:r>
      <w:r>
        <w:rPr>
          <w:color w:val="231F20"/>
          <w:w w:val="110"/>
        </w:rPr>
        <w:t>intento</w:t>
      </w:r>
      <w:r>
        <w:rPr>
          <w:color w:val="231F20"/>
          <w:spacing w:val="-3"/>
          <w:w w:val="110"/>
        </w:rPr>
        <w:t> </w:t>
      </w:r>
      <w:r>
        <w:rPr>
          <w:color w:val="231F20"/>
          <w:w w:val="110"/>
        </w:rPr>
        <w:t>de</w:t>
      </w:r>
      <w:r>
        <w:rPr>
          <w:color w:val="231F20"/>
          <w:spacing w:val="-3"/>
          <w:w w:val="110"/>
        </w:rPr>
        <w:t> </w:t>
      </w:r>
      <w:r>
        <w:rPr>
          <w:color w:val="231F20"/>
          <w:w w:val="110"/>
        </w:rPr>
        <w:t>mantener</w:t>
      </w:r>
      <w:r>
        <w:rPr>
          <w:color w:val="231F20"/>
          <w:spacing w:val="-3"/>
          <w:w w:val="110"/>
        </w:rPr>
        <w:t> </w:t>
      </w:r>
      <w:r>
        <w:rPr>
          <w:color w:val="231F20"/>
          <w:w w:val="110"/>
        </w:rPr>
        <w:t>una</w:t>
      </w:r>
      <w:r>
        <w:rPr>
          <w:color w:val="231F20"/>
          <w:spacing w:val="-3"/>
          <w:w w:val="110"/>
        </w:rPr>
        <w:t> </w:t>
      </w:r>
      <w:r>
        <w:rPr>
          <w:color w:val="231F20"/>
          <w:w w:val="110"/>
        </w:rPr>
        <w:t>vida</w:t>
      </w:r>
      <w:r>
        <w:rPr>
          <w:color w:val="231F20"/>
          <w:spacing w:val="-3"/>
          <w:w w:val="110"/>
        </w:rPr>
        <w:t> </w:t>
      </w:r>
      <w:r>
        <w:rPr>
          <w:color w:val="231F20"/>
          <w:w w:val="110"/>
        </w:rPr>
        <w:t>en</w:t>
      </w:r>
      <w:r>
        <w:rPr>
          <w:color w:val="231F20"/>
          <w:spacing w:val="-3"/>
          <w:w w:val="110"/>
        </w:rPr>
        <w:t> </w:t>
      </w:r>
      <w:r>
        <w:rPr>
          <w:color w:val="231F20"/>
          <w:w w:val="110"/>
        </w:rPr>
        <w:t>pareja,</w:t>
      </w:r>
      <w:r>
        <w:rPr>
          <w:color w:val="231F20"/>
          <w:spacing w:val="-3"/>
          <w:w w:val="110"/>
        </w:rPr>
        <w:t> </w:t>
      </w:r>
      <w:r>
        <w:rPr>
          <w:color w:val="231F20"/>
          <w:w w:val="110"/>
        </w:rPr>
        <w:t>mientras</w:t>
      </w:r>
      <w:r>
        <w:rPr>
          <w:color w:val="231F20"/>
          <w:spacing w:val="-3"/>
          <w:w w:val="110"/>
        </w:rPr>
        <w:t> </w:t>
      </w:r>
      <w:r>
        <w:rPr>
          <w:color w:val="231F20"/>
          <w:w w:val="110"/>
        </w:rPr>
        <w:t>que</w:t>
      </w:r>
      <w:r>
        <w:rPr>
          <w:color w:val="231F20"/>
          <w:spacing w:val="-3"/>
          <w:w w:val="110"/>
        </w:rPr>
        <w:t> </w:t>
      </w:r>
      <w:r>
        <w:rPr>
          <w:color w:val="231F20"/>
          <w:w w:val="110"/>
        </w:rPr>
        <w:t>las mujeres, una vez rota la unión, permanecen en mayor medida en esta si- tuación. Socialmente, se aprecia que gran parte de estas mujeres se sepa- ran o divorcian cuando los hijos son ya mayores de edad y ellas tienen ingresos propios que les permiten tener independencia económica y auto- nomía de decisiones respecto a sus </w:t>
      </w:r>
      <w:r>
        <w:rPr>
          <w:color w:val="231F20"/>
          <w:spacing w:val="28"/>
          <w:w w:val="110"/>
        </w:rPr>
        <w:t> </w:t>
      </w:r>
      <w:r>
        <w:rPr>
          <w:color w:val="231F20"/>
          <w:w w:val="110"/>
        </w:rPr>
        <w:t>parejas.</w:t>
      </w:r>
    </w:p>
    <w:p>
      <w:pPr>
        <w:pStyle w:val="BodyText"/>
        <w:spacing w:line="288" w:lineRule="auto"/>
        <w:ind w:left="120" w:right="114" w:firstLine="360"/>
        <w:jc w:val="both"/>
      </w:pPr>
      <w:r>
        <w:rPr>
          <w:color w:val="231F20"/>
          <w:w w:val="110"/>
        </w:rPr>
        <w:t>Nuevamente son los estados en zonas centrales —Aguascalientes, Ja- lisco, Distrito Federal, Querétaro— los que presentan mayores proporcio- nes de mujeres solteras definitivas y alguna vez unidas, que podríamos considerar como un patrón de comportamiento “moderno”, sobre todo en el año 2010.</w:t>
      </w:r>
    </w:p>
    <w:p>
      <w:pPr>
        <w:pStyle w:val="BodyText"/>
        <w:spacing w:line="288" w:lineRule="auto"/>
        <w:ind w:left="119" w:right="115" w:firstLine="360"/>
        <w:jc w:val="both"/>
      </w:pPr>
      <w:r>
        <w:rPr>
          <w:color w:val="231F20"/>
          <w:w w:val="110"/>
        </w:rPr>
        <w:t>En resumen, podemos decir que la evolución de la situación conyugal por grupos de edad y sexo presenta a los hombres del grupo de edad más joven</w:t>
      </w:r>
      <w:r>
        <w:rPr>
          <w:color w:val="231F20"/>
          <w:spacing w:val="-11"/>
          <w:w w:val="110"/>
        </w:rPr>
        <w:t> </w:t>
      </w:r>
      <w:r>
        <w:rPr>
          <w:color w:val="231F20"/>
          <w:w w:val="110"/>
        </w:rPr>
        <w:t>(20-24)</w:t>
      </w:r>
      <w:r>
        <w:rPr>
          <w:color w:val="231F20"/>
          <w:spacing w:val="-11"/>
          <w:w w:val="110"/>
        </w:rPr>
        <w:t> </w:t>
      </w:r>
      <w:r>
        <w:rPr>
          <w:color w:val="231F20"/>
          <w:w w:val="110"/>
        </w:rPr>
        <w:t>como</w:t>
      </w:r>
      <w:r>
        <w:rPr>
          <w:color w:val="231F20"/>
          <w:spacing w:val="-11"/>
          <w:w w:val="110"/>
        </w:rPr>
        <w:t> </w:t>
      </w:r>
      <w:r>
        <w:rPr>
          <w:color w:val="231F20"/>
          <w:w w:val="110"/>
        </w:rPr>
        <w:t>que</w:t>
      </w:r>
      <w:r>
        <w:rPr>
          <w:color w:val="231F20"/>
          <w:spacing w:val="-11"/>
          <w:w w:val="110"/>
        </w:rPr>
        <w:t> </w:t>
      </w:r>
      <w:r>
        <w:rPr>
          <w:color w:val="231F20"/>
          <w:w w:val="110"/>
        </w:rPr>
        <w:t>permanecen</w:t>
      </w:r>
      <w:r>
        <w:rPr>
          <w:color w:val="231F20"/>
          <w:spacing w:val="-11"/>
          <w:w w:val="110"/>
        </w:rPr>
        <w:t> </w:t>
      </w:r>
      <w:r>
        <w:rPr>
          <w:color w:val="231F20"/>
          <w:w w:val="110"/>
        </w:rPr>
        <w:t>solteros</w:t>
      </w:r>
      <w:r>
        <w:rPr>
          <w:color w:val="231F20"/>
          <w:spacing w:val="-11"/>
          <w:w w:val="110"/>
        </w:rPr>
        <w:t> </w:t>
      </w:r>
      <w:r>
        <w:rPr>
          <w:color w:val="231F20"/>
          <w:w w:val="110"/>
        </w:rPr>
        <w:t>hasta</w:t>
      </w:r>
      <w:r>
        <w:rPr>
          <w:color w:val="231F20"/>
          <w:spacing w:val="-11"/>
          <w:w w:val="110"/>
        </w:rPr>
        <w:t> </w:t>
      </w:r>
      <w:r>
        <w:rPr>
          <w:color w:val="231F20"/>
          <w:w w:val="110"/>
        </w:rPr>
        <w:t>edades</w:t>
      </w:r>
      <w:r>
        <w:rPr>
          <w:color w:val="231F20"/>
          <w:spacing w:val="-11"/>
          <w:w w:val="110"/>
        </w:rPr>
        <w:t> </w:t>
      </w:r>
      <w:r>
        <w:rPr>
          <w:color w:val="231F20"/>
          <w:w w:val="110"/>
        </w:rPr>
        <w:t>más</w:t>
      </w:r>
      <w:r>
        <w:rPr>
          <w:color w:val="231F20"/>
          <w:spacing w:val="-11"/>
          <w:w w:val="110"/>
        </w:rPr>
        <w:t> </w:t>
      </w:r>
      <w:r>
        <w:rPr>
          <w:color w:val="231F20"/>
          <w:w w:val="110"/>
        </w:rPr>
        <w:t>tardías</w:t>
      </w:r>
      <w:r>
        <w:rPr>
          <w:color w:val="231F20"/>
          <w:spacing w:val="-11"/>
          <w:w w:val="110"/>
        </w:rPr>
        <w:t> </w:t>
      </w:r>
      <w:r>
        <w:rPr>
          <w:color w:val="231F20"/>
          <w:w w:val="110"/>
        </w:rPr>
        <w:t>con respecto a las mujeres, lo cual puede deberse a las construcciones de gé- nero dominante en donde ellas buscan hombres de mayor edad para ca- sarse</w:t>
      </w:r>
      <w:r>
        <w:rPr>
          <w:color w:val="231F20"/>
          <w:spacing w:val="-5"/>
          <w:w w:val="110"/>
        </w:rPr>
        <w:t> </w:t>
      </w:r>
      <w:r>
        <w:rPr>
          <w:color w:val="231F20"/>
          <w:w w:val="110"/>
        </w:rPr>
        <w:t>o</w:t>
      </w:r>
      <w:r>
        <w:rPr>
          <w:color w:val="231F20"/>
          <w:spacing w:val="-5"/>
          <w:w w:val="110"/>
        </w:rPr>
        <w:t> </w:t>
      </w:r>
      <w:r>
        <w:rPr>
          <w:color w:val="231F20"/>
          <w:w w:val="110"/>
        </w:rPr>
        <w:t>entrar</w:t>
      </w:r>
      <w:r>
        <w:rPr>
          <w:color w:val="231F20"/>
          <w:spacing w:val="-5"/>
          <w:w w:val="110"/>
        </w:rPr>
        <w:t> </w:t>
      </w:r>
      <w:r>
        <w:rPr>
          <w:color w:val="231F20"/>
          <w:w w:val="110"/>
        </w:rPr>
        <w:t>en</w:t>
      </w:r>
      <w:r>
        <w:rPr>
          <w:color w:val="231F20"/>
          <w:spacing w:val="-5"/>
          <w:w w:val="110"/>
        </w:rPr>
        <w:t> </w:t>
      </w:r>
      <w:r>
        <w:rPr>
          <w:color w:val="231F20"/>
          <w:w w:val="110"/>
        </w:rPr>
        <w:t>unión.</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grupo</w:t>
      </w:r>
      <w:r>
        <w:rPr>
          <w:color w:val="231F20"/>
          <w:spacing w:val="-5"/>
          <w:w w:val="110"/>
        </w:rPr>
        <w:t> </w:t>
      </w:r>
      <w:r>
        <w:rPr>
          <w:color w:val="231F20"/>
          <w:w w:val="110"/>
        </w:rPr>
        <w:t>de</w:t>
      </w:r>
      <w:r>
        <w:rPr>
          <w:color w:val="231F20"/>
          <w:spacing w:val="-5"/>
          <w:w w:val="110"/>
        </w:rPr>
        <w:t> </w:t>
      </w:r>
      <w:r>
        <w:rPr>
          <w:color w:val="231F20"/>
          <w:w w:val="110"/>
        </w:rPr>
        <w:t>edad</w:t>
      </w:r>
      <w:r>
        <w:rPr>
          <w:color w:val="231F20"/>
          <w:spacing w:val="-5"/>
          <w:w w:val="110"/>
        </w:rPr>
        <w:t> </w:t>
      </w:r>
      <w:r>
        <w:rPr>
          <w:color w:val="231F20"/>
          <w:w w:val="110"/>
        </w:rPr>
        <w:t>intermedio</w:t>
      </w:r>
      <w:r>
        <w:rPr>
          <w:color w:val="231F20"/>
          <w:spacing w:val="-5"/>
          <w:w w:val="110"/>
        </w:rPr>
        <w:t> </w:t>
      </w:r>
      <w:r>
        <w:rPr>
          <w:color w:val="231F20"/>
          <w:w w:val="110"/>
        </w:rPr>
        <w:t>(30-34)</w:t>
      </w:r>
      <w:r>
        <w:rPr>
          <w:color w:val="231F20"/>
          <w:spacing w:val="-5"/>
          <w:w w:val="110"/>
        </w:rPr>
        <w:t> </w:t>
      </w:r>
      <w:r>
        <w:rPr>
          <w:color w:val="231F20"/>
          <w:w w:val="110"/>
        </w:rPr>
        <w:t>se</w:t>
      </w:r>
      <w:r>
        <w:rPr>
          <w:color w:val="231F20"/>
          <w:spacing w:val="-5"/>
          <w:w w:val="110"/>
        </w:rPr>
        <w:t> </w:t>
      </w:r>
      <w:r>
        <w:rPr>
          <w:color w:val="231F20"/>
          <w:w w:val="110"/>
        </w:rPr>
        <w:t>presen- tan de manera equitativa tanto hombres como mujeres en la categoría de casados o en unión libre, y se </w:t>
      </w:r>
      <w:r>
        <w:rPr>
          <w:color w:val="231F20"/>
          <w:spacing w:val="2"/>
          <w:w w:val="110"/>
        </w:rPr>
        <w:t>observa </w:t>
      </w:r>
      <w:r>
        <w:rPr>
          <w:color w:val="231F20"/>
          <w:w w:val="110"/>
        </w:rPr>
        <w:t>un porcentaje ligeramente mayor de hombres alguna vez unidos. Finalmente, en el último grupo de edad (50-54)</w:t>
      </w:r>
      <w:r>
        <w:rPr>
          <w:color w:val="231F20"/>
          <w:spacing w:val="-10"/>
          <w:w w:val="110"/>
        </w:rPr>
        <w:t> </w:t>
      </w:r>
      <w:r>
        <w:rPr>
          <w:color w:val="231F20"/>
          <w:w w:val="110"/>
        </w:rPr>
        <w:t>mientras</w:t>
      </w:r>
      <w:r>
        <w:rPr>
          <w:color w:val="231F20"/>
          <w:spacing w:val="-10"/>
          <w:w w:val="110"/>
        </w:rPr>
        <w:t> </w:t>
      </w:r>
      <w:r>
        <w:rPr>
          <w:color w:val="231F20"/>
          <w:w w:val="110"/>
        </w:rPr>
        <w:t>que</w:t>
      </w:r>
      <w:r>
        <w:rPr>
          <w:color w:val="231F20"/>
          <w:spacing w:val="-10"/>
          <w:w w:val="110"/>
        </w:rPr>
        <w:t> </w:t>
      </w:r>
      <w:r>
        <w:rPr>
          <w:color w:val="231F20"/>
          <w:w w:val="110"/>
        </w:rPr>
        <w:t>las</w:t>
      </w:r>
      <w:r>
        <w:rPr>
          <w:color w:val="231F20"/>
          <w:spacing w:val="-10"/>
          <w:w w:val="110"/>
        </w:rPr>
        <w:t> </w:t>
      </w:r>
      <w:r>
        <w:rPr>
          <w:color w:val="231F20"/>
          <w:w w:val="110"/>
        </w:rPr>
        <w:t>mujeres</w:t>
      </w:r>
      <w:r>
        <w:rPr>
          <w:color w:val="231F20"/>
          <w:spacing w:val="-10"/>
          <w:w w:val="110"/>
        </w:rPr>
        <w:t> </w:t>
      </w:r>
      <w:r>
        <w:rPr>
          <w:color w:val="231F20"/>
          <w:w w:val="110"/>
        </w:rPr>
        <w:t>se</w:t>
      </w:r>
      <w:r>
        <w:rPr>
          <w:color w:val="231F20"/>
          <w:spacing w:val="-10"/>
          <w:w w:val="110"/>
        </w:rPr>
        <w:t> </w:t>
      </w:r>
      <w:r>
        <w:rPr>
          <w:color w:val="231F20"/>
          <w:w w:val="110"/>
        </w:rPr>
        <w:t>mantienen</w:t>
      </w:r>
      <w:r>
        <w:rPr>
          <w:color w:val="231F20"/>
          <w:spacing w:val="-10"/>
          <w:w w:val="110"/>
        </w:rPr>
        <w:t> </w:t>
      </w:r>
      <w:r>
        <w:rPr>
          <w:color w:val="231F20"/>
          <w:w w:val="110"/>
        </w:rPr>
        <w:t>en</w:t>
      </w:r>
      <w:r>
        <w:rPr>
          <w:color w:val="231F20"/>
          <w:spacing w:val="-10"/>
          <w:w w:val="110"/>
        </w:rPr>
        <w:t> </w:t>
      </w:r>
      <w:r>
        <w:rPr>
          <w:color w:val="231F20"/>
          <w:w w:val="110"/>
        </w:rPr>
        <w:t>mayor</w:t>
      </w:r>
      <w:r>
        <w:rPr>
          <w:color w:val="231F20"/>
          <w:spacing w:val="-10"/>
          <w:w w:val="110"/>
        </w:rPr>
        <w:t> </w:t>
      </w:r>
      <w:r>
        <w:rPr>
          <w:color w:val="231F20"/>
          <w:w w:val="110"/>
        </w:rPr>
        <w:t>proporción</w:t>
      </w:r>
      <w:r>
        <w:rPr>
          <w:color w:val="231F20"/>
          <w:spacing w:val="-10"/>
          <w:w w:val="110"/>
        </w:rPr>
        <w:t> </w:t>
      </w:r>
      <w:r>
        <w:rPr>
          <w:color w:val="231F20"/>
          <w:w w:val="110"/>
        </w:rPr>
        <w:t>como casadas o unidas, la categoría de alguna vez unidas presenta un aumento importante con respecto a los hombres. Situación que pone en evidencia la</w:t>
      </w:r>
      <w:r>
        <w:rPr>
          <w:color w:val="231F20"/>
          <w:spacing w:val="-8"/>
          <w:w w:val="110"/>
        </w:rPr>
        <w:t> </w:t>
      </w:r>
      <w:r>
        <w:rPr>
          <w:color w:val="231F20"/>
          <w:w w:val="110"/>
        </w:rPr>
        <w:t>mayor</w:t>
      </w:r>
      <w:r>
        <w:rPr>
          <w:color w:val="231F20"/>
          <w:spacing w:val="-8"/>
          <w:w w:val="110"/>
        </w:rPr>
        <w:t> </w:t>
      </w:r>
      <w:r>
        <w:rPr>
          <w:color w:val="231F20"/>
          <w:w w:val="110"/>
        </w:rPr>
        <w:t>frecuencia</w:t>
      </w:r>
      <w:r>
        <w:rPr>
          <w:color w:val="231F20"/>
          <w:spacing w:val="-8"/>
          <w:w w:val="110"/>
        </w:rPr>
        <w:t> </w:t>
      </w:r>
      <w:r>
        <w:rPr>
          <w:color w:val="231F20"/>
          <w:w w:val="110"/>
        </w:rPr>
        <w:t>de</w:t>
      </w:r>
      <w:r>
        <w:rPr>
          <w:color w:val="231F20"/>
          <w:spacing w:val="-8"/>
          <w:w w:val="110"/>
        </w:rPr>
        <w:t> </w:t>
      </w:r>
      <w:r>
        <w:rPr>
          <w:color w:val="231F20"/>
          <w:w w:val="110"/>
        </w:rPr>
        <w:t>re-matrimonio</w:t>
      </w:r>
      <w:r>
        <w:rPr>
          <w:color w:val="231F20"/>
          <w:spacing w:val="-8"/>
          <w:w w:val="110"/>
        </w:rPr>
        <w:t> </w:t>
      </w:r>
      <w:r>
        <w:rPr>
          <w:color w:val="231F20"/>
          <w:w w:val="110"/>
        </w:rPr>
        <w:t>masculino</w:t>
      </w:r>
      <w:r>
        <w:rPr>
          <w:color w:val="231F20"/>
          <w:spacing w:val="-8"/>
          <w:w w:val="110"/>
        </w:rPr>
        <w:t> </w:t>
      </w:r>
      <w:r>
        <w:rPr>
          <w:color w:val="231F20"/>
          <w:w w:val="110"/>
        </w:rPr>
        <w:t>con</w:t>
      </w:r>
      <w:r>
        <w:rPr>
          <w:color w:val="231F20"/>
          <w:spacing w:val="-8"/>
          <w:w w:val="110"/>
        </w:rPr>
        <w:t> </w:t>
      </w:r>
      <w:r>
        <w:rPr>
          <w:color w:val="231F20"/>
          <w:w w:val="110"/>
        </w:rPr>
        <w:t>respecto</w:t>
      </w:r>
      <w:r>
        <w:rPr>
          <w:color w:val="231F20"/>
          <w:spacing w:val="-8"/>
          <w:w w:val="110"/>
        </w:rPr>
        <w:t> </w:t>
      </w:r>
      <w:r>
        <w:rPr>
          <w:color w:val="231F20"/>
          <w:w w:val="110"/>
        </w:rPr>
        <w:t>al</w:t>
      </w:r>
      <w:r>
        <w:rPr>
          <w:color w:val="231F20"/>
          <w:spacing w:val="-8"/>
          <w:w w:val="110"/>
        </w:rPr>
        <w:t> </w:t>
      </w:r>
      <w:r>
        <w:rPr>
          <w:color w:val="231F20"/>
          <w:w w:val="110"/>
        </w:rPr>
        <w:t>femenino.</w:t>
      </w:r>
    </w:p>
    <w:p>
      <w:pPr>
        <w:pStyle w:val="BodyText"/>
        <w:spacing w:before="2"/>
        <w:rPr>
          <w:sz w:val="17"/>
        </w:rPr>
      </w:pPr>
    </w:p>
    <w:p>
      <w:pPr>
        <w:spacing w:before="72"/>
        <w:ind w:left="3504" w:right="0" w:firstLine="0"/>
        <w:jc w:val="left"/>
        <w:rPr>
          <w:rFonts w:ascii="Calibri" w:hAnsi="Calibri"/>
          <w:i/>
          <w:sz w:val="18"/>
        </w:rPr>
      </w:pPr>
      <w:r>
        <w:rPr>
          <w:rFonts w:ascii="Calibri" w:hAnsi="Calibri"/>
          <w:i/>
          <w:color w:val="231F20"/>
          <w:w w:val="90"/>
          <w:sz w:val="18"/>
        </w:rPr>
        <w:t>Cambios</w:t>
      </w:r>
      <w:r>
        <w:rPr>
          <w:rFonts w:ascii="Calibri" w:hAnsi="Calibri"/>
          <w:i/>
          <w:color w:val="231F20"/>
          <w:spacing w:val="-21"/>
          <w:w w:val="90"/>
          <w:sz w:val="18"/>
        </w:rPr>
        <w:t> </w:t>
      </w:r>
      <w:r>
        <w:rPr>
          <w:rFonts w:ascii="Calibri" w:hAnsi="Calibri"/>
          <w:i/>
          <w:color w:val="231F20"/>
          <w:w w:val="90"/>
          <w:sz w:val="18"/>
        </w:rPr>
        <w:t>en</w:t>
      </w:r>
      <w:r>
        <w:rPr>
          <w:rFonts w:ascii="Calibri" w:hAnsi="Calibri"/>
          <w:i/>
          <w:color w:val="231F20"/>
          <w:spacing w:val="-21"/>
          <w:w w:val="90"/>
          <w:sz w:val="18"/>
        </w:rPr>
        <w:t> </w:t>
      </w:r>
      <w:r>
        <w:rPr>
          <w:rFonts w:ascii="Calibri" w:hAnsi="Calibri"/>
          <w:i/>
          <w:color w:val="231F20"/>
          <w:w w:val="90"/>
          <w:sz w:val="18"/>
        </w:rPr>
        <w:t>la</w:t>
      </w:r>
      <w:r>
        <w:rPr>
          <w:rFonts w:ascii="Calibri" w:hAnsi="Calibri"/>
          <w:i/>
          <w:color w:val="231F20"/>
          <w:spacing w:val="-21"/>
          <w:w w:val="90"/>
          <w:sz w:val="18"/>
        </w:rPr>
        <w:t> </w:t>
      </w:r>
      <w:r>
        <w:rPr>
          <w:rFonts w:ascii="Calibri" w:hAnsi="Calibri"/>
          <w:i/>
          <w:color w:val="231F20"/>
          <w:w w:val="90"/>
          <w:sz w:val="18"/>
        </w:rPr>
        <w:t>formación</w:t>
      </w:r>
      <w:r>
        <w:rPr>
          <w:rFonts w:ascii="Calibri" w:hAnsi="Calibri"/>
          <w:i/>
          <w:color w:val="231F20"/>
          <w:spacing w:val="-21"/>
          <w:w w:val="90"/>
          <w:sz w:val="18"/>
        </w:rPr>
        <w:t> </w:t>
      </w:r>
      <w:r>
        <w:rPr>
          <w:rFonts w:ascii="Calibri" w:hAnsi="Calibri"/>
          <w:i/>
          <w:color w:val="231F20"/>
          <w:w w:val="90"/>
          <w:sz w:val="18"/>
        </w:rPr>
        <w:t>familiar</w:t>
      </w:r>
      <w:r>
        <w:rPr>
          <w:rFonts w:ascii="Calibri" w:hAnsi="Calibri"/>
          <w:i/>
          <w:color w:val="231F20"/>
          <w:spacing w:val="-21"/>
          <w:w w:val="90"/>
          <w:sz w:val="18"/>
        </w:rPr>
        <w:t> </w:t>
      </w:r>
      <w:r>
        <w:rPr>
          <w:rFonts w:ascii="Calibri" w:hAnsi="Calibri"/>
          <w:i/>
          <w:color w:val="231F20"/>
          <w:w w:val="90"/>
          <w:sz w:val="18"/>
        </w:rPr>
        <w:t>a</w:t>
      </w:r>
      <w:r>
        <w:rPr>
          <w:rFonts w:ascii="Calibri" w:hAnsi="Calibri"/>
          <w:i/>
          <w:color w:val="231F20"/>
          <w:spacing w:val="-21"/>
          <w:w w:val="90"/>
          <w:sz w:val="18"/>
        </w:rPr>
        <w:t> </w:t>
      </w:r>
      <w:r>
        <w:rPr>
          <w:rFonts w:ascii="Calibri" w:hAnsi="Calibri"/>
          <w:i/>
          <w:color w:val="231F20"/>
          <w:w w:val="90"/>
          <w:sz w:val="18"/>
        </w:rPr>
        <w:t>inicos</w:t>
      </w:r>
      <w:r>
        <w:rPr>
          <w:rFonts w:ascii="Calibri" w:hAnsi="Calibri"/>
          <w:i/>
          <w:color w:val="231F20"/>
          <w:spacing w:val="-21"/>
          <w:w w:val="90"/>
          <w:sz w:val="18"/>
        </w:rPr>
        <w:t> </w:t>
      </w:r>
      <w:r>
        <w:rPr>
          <w:rFonts w:ascii="Calibri" w:hAnsi="Calibri"/>
          <w:i/>
          <w:color w:val="231F20"/>
          <w:w w:val="90"/>
          <w:sz w:val="18"/>
        </w:rPr>
        <w:t>del</w:t>
      </w:r>
      <w:r>
        <w:rPr>
          <w:rFonts w:ascii="Calibri" w:hAnsi="Calibri"/>
          <w:i/>
          <w:color w:val="231F20"/>
          <w:spacing w:val="-21"/>
          <w:w w:val="90"/>
          <w:sz w:val="18"/>
        </w:rPr>
        <w:t> </w:t>
      </w:r>
      <w:r>
        <w:rPr>
          <w:rFonts w:ascii="Calibri" w:hAnsi="Calibri"/>
          <w:i/>
          <w:color w:val="231F20"/>
          <w:w w:val="90"/>
          <w:sz w:val="18"/>
        </w:rPr>
        <w:t>siglo</w:t>
      </w:r>
      <w:r>
        <w:rPr>
          <w:rFonts w:ascii="Calibri" w:hAnsi="Calibri"/>
          <w:i/>
          <w:color w:val="231F20"/>
          <w:spacing w:val="-21"/>
          <w:w w:val="90"/>
          <w:sz w:val="18"/>
        </w:rPr>
        <w:t> </w:t>
      </w:r>
      <w:r>
        <w:rPr>
          <w:i/>
          <w:color w:val="231F20"/>
          <w:w w:val="90"/>
          <w:sz w:val="14"/>
        </w:rPr>
        <w:t>XXI</w:t>
      </w:r>
      <w:r>
        <w:rPr>
          <w:i/>
          <w:color w:val="231F20"/>
          <w:spacing w:val="-12"/>
          <w:w w:val="90"/>
          <w:sz w:val="14"/>
        </w:rPr>
        <w:t> </w:t>
      </w:r>
      <w:r>
        <w:rPr>
          <w:i/>
          <w:color w:val="231F20"/>
          <w:w w:val="90"/>
          <w:sz w:val="18"/>
        </w:rPr>
        <w:t>•</w:t>
      </w:r>
      <w:r>
        <w:rPr>
          <w:i/>
          <w:color w:val="231F20"/>
          <w:spacing w:val="-20"/>
          <w:w w:val="90"/>
          <w:sz w:val="18"/>
        </w:rPr>
        <w:t> </w:t>
      </w:r>
      <w:r>
        <w:rPr>
          <w:rFonts w:ascii="Calibri" w:hAnsi="Calibri"/>
          <w:i/>
          <w:color w:val="231F20"/>
          <w:w w:val="90"/>
          <w:sz w:val="18"/>
        </w:rPr>
        <w:t>83</w:t>
      </w:r>
    </w:p>
    <w:p>
      <w:pPr>
        <w:spacing w:after="0"/>
        <w:jc w:val="left"/>
        <w:rPr>
          <w:rFonts w:ascii="Calibri" w:hAnsi="Calibri"/>
          <w:sz w:val="18"/>
        </w:rPr>
        <w:sectPr>
          <w:footerReference w:type="even" r:id="rId72"/>
          <w:pgSz w:w="9520" w:h="12920"/>
          <w:pgMar w:footer="0" w:header="0" w:top="880" w:bottom="280" w:left="1000" w:right="1320"/>
        </w:sect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rPr>
          <w:rFonts w:ascii="Calibri"/>
          <w:i/>
        </w:rPr>
      </w:pPr>
    </w:p>
    <w:p>
      <w:pPr>
        <w:pStyle w:val="BodyText"/>
        <w:spacing w:before="10"/>
        <w:rPr>
          <w:rFonts w:ascii="Calibri"/>
          <w:i/>
          <w:sz w:val="25"/>
        </w:rPr>
      </w:pPr>
    </w:p>
    <w:p>
      <w:pPr>
        <w:spacing w:line="185" w:lineRule="exact" w:before="78"/>
        <w:ind w:left="1342" w:right="1318" w:firstLine="0"/>
        <w:jc w:val="center"/>
        <w:rPr>
          <w:sz w:val="16"/>
        </w:rPr>
      </w:pPr>
      <w:r>
        <w:rPr>
          <w:color w:val="231F20"/>
          <w:w w:val="105"/>
          <w:sz w:val="16"/>
        </w:rPr>
        <w:t>Cuadro 6</w:t>
      </w:r>
    </w:p>
    <w:p>
      <w:pPr>
        <w:spacing w:line="220" w:lineRule="exact" w:before="0"/>
        <w:ind w:left="1342" w:right="1318" w:firstLine="0"/>
        <w:jc w:val="center"/>
        <w:rPr>
          <w:sz w:val="19"/>
        </w:rPr>
      </w:pPr>
      <w:r>
        <w:rPr/>
        <w:pict>
          <v:group style="position:absolute;margin-left:153.025406pt;margin-top:26.487839pt;width:445.2pt;height:19.6pt;mso-position-horizontal-relative:page;mso-position-vertical-relative:paragraph;z-index:-456880" coordorigin="3061,530" coordsize="8904,392">
            <v:shape style="position:absolute;left:4446;top:-6095;width:2;height:8896" coordorigin="4446,-6095" coordsize="0,8896" path="m3065,791l3892,791m3892,791l4774,791m4774,791l5790,791m5790,791l6765,791m6765,791l7511,791m7511,791l8276,791m8276,791l9120,791m9120,791l10146,791m10146,791l11111,791m11111,791l11960,791e" filled="false" stroked="true" strokeweight=".4pt" strokecolor="#231f20">
              <v:path arrowok="t"/>
            </v:shape>
            <v:line style="position:absolute" from="7476,625" to="7476,889" stroked="true" strokeweight="3.3pt" strokecolor="#ffffff"/>
            <v:shape style="position:absolute;left:5110;top:530;width:347;height:170" type="#_x0000_t202" filled="false" stroked="false">
              <v:textbox inset="0,0,0,0">
                <w:txbxContent>
                  <w:p>
                    <w:pPr>
                      <w:spacing w:line="170" w:lineRule="exact" w:before="0"/>
                      <w:ind w:left="0" w:right="-15" w:firstLine="0"/>
                      <w:jc w:val="left"/>
                      <w:rPr>
                        <w:i/>
                        <w:sz w:val="17"/>
                      </w:rPr>
                    </w:pPr>
                    <w:r>
                      <w:rPr>
                        <w:i/>
                        <w:color w:val="231F20"/>
                        <w:w w:val="95"/>
                        <w:sz w:val="17"/>
                      </w:rPr>
                      <w:t>1990</w:t>
                    </w:r>
                  </w:p>
                </w:txbxContent>
              </v:textbox>
              <w10:wrap type="none"/>
            </v:shape>
            <v:shape style="position:absolute;left:9568;top:530;width:347;height:170" type="#_x0000_t202" filled="false" stroked="false">
              <v:textbox inset="0,0,0,0">
                <w:txbxContent>
                  <w:p>
                    <w:pPr>
                      <w:spacing w:line="170" w:lineRule="exact" w:before="0"/>
                      <w:ind w:left="0" w:right="-15" w:firstLine="0"/>
                      <w:jc w:val="left"/>
                      <w:rPr>
                        <w:i/>
                        <w:sz w:val="17"/>
                      </w:rPr>
                    </w:pPr>
                    <w:r>
                      <w:rPr>
                        <w:i/>
                        <w:color w:val="231F20"/>
                        <w:w w:val="95"/>
                        <w:sz w:val="17"/>
                      </w:rPr>
                      <w:t>2010</w:t>
                    </w:r>
                  </w:p>
                </w:txbxContent>
              </v:textbox>
              <w10:wrap type="none"/>
            </v:shape>
            <w10:wrap type="none"/>
          </v:group>
        </w:pict>
      </w:r>
      <w:r>
        <w:rPr>
          <w:color w:val="231F20"/>
          <w:w w:val="90"/>
          <w:sz w:val="19"/>
        </w:rPr>
        <w:t>Distribución porcentual de hombres de 50-54 años por condición de unión, por entidad federativa, 1990 y 2010</w:t>
      </w:r>
    </w:p>
    <w:p>
      <w:pPr>
        <w:pStyle w:val="BodyText"/>
        <w:spacing w:before="6"/>
        <w:rPr>
          <w:sz w:val="13"/>
        </w:rPr>
      </w:pPr>
      <w:r>
        <w:rPr/>
        <w:pict>
          <v:group style="position:absolute;margin-left:69.025398pt;margin-top:9.889416pt;width:529.2pt;height:.4pt;mso-position-horizontal-relative:page;mso-position-vertical-relative:paragraph;z-index:1936;mso-wrap-distance-left:0;mso-wrap-distance-right:0" coordorigin="1381,198" coordsize="10584,8">
            <v:line style="position:absolute" from="1385,202" to="3065,202" stroked="true" strokeweight=".4pt" strokecolor="#231f20"/>
            <v:line style="position:absolute" from="3065,202" to="3892,202" stroked="true" strokeweight=".4pt" strokecolor="#231f20"/>
            <v:line style="position:absolute" from="3892,202" to="4774,202" stroked="true" strokeweight=".4pt" strokecolor="#231f20"/>
            <v:line style="position:absolute" from="4774,202" to="5790,202" stroked="true" strokeweight=".4pt" strokecolor="#231f20"/>
            <v:line style="position:absolute" from="5790,202" to="6765,202" stroked="true" strokeweight=".4pt" strokecolor="#231f20"/>
            <v:line style="position:absolute" from="6765,202" to="7511,202" stroked="true" strokeweight=".4pt" strokecolor="#231f20"/>
            <v:line style="position:absolute" from="7511,202" to="8276,202" stroked="true" strokeweight=".4pt" strokecolor="#231f20"/>
            <v:line style="position:absolute" from="8276,202" to="9120,202" stroked="true" strokeweight=".4pt" strokecolor="#231f20"/>
            <v:line style="position:absolute" from="9120,202" to="10146,202" stroked="true" strokeweight=".4pt" strokecolor="#231f20"/>
            <v:line style="position:absolute" from="10146,202" to="11111,202" stroked="true" strokeweight=".4pt" strokecolor="#231f20"/>
            <v:line style="position:absolute" from="11111,202" to="11960,202" stroked="true" strokeweight=".4pt" strokecolor="#231f20"/>
            <w10:wrap type="topAndBottom"/>
          </v:group>
        </w:pict>
      </w:r>
    </w:p>
    <w:p>
      <w:pPr>
        <w:pStyle w:val="BodyText"/>
        <w:spacing w:before="10"/>
        <w:rPr>
          <w:sz w:val="29"/>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72"/>
        <w:gridCol w:w="778"/>
        <w:gridCol w:w="854"/>
        <w:gridCol w:w="1023"/>
        <w:gridCol w:w="1049"/>
        <w:gridCol w:w="633"/>
        <w:gridCol w:w="830"/>
        <w:gridCol w:w="822"/>
        <w:gridCol w:w="1016"/>
        <w:gridCol w:w="1073"/>
        <w:gridCol w:w="759"/>
      </w:tblGrid>
      <w:tr>
        <w:trPr>
          <w:trHeight w:val="547" w:hRule="exact"/>
        </w:trPr>
        <w:tc>
          <w:tcPr>
            <w:tcW w:w="2550" w:type="dxa"/>
            <w:gridSpan w:val="2"/>
            <w:tcBorders>
              <w:bottom w:val="single" w:sz="3" w:space="0" w:color="231F20"/>
            </w:tcBorders>
          </w:tcPr>
          <w:p>
            <w:pPr>
              <w:pStyle w:val="TableParagraph"/>
              <w:spacing w:line="240" w:lineRule="auto" w:before="7"/>
              <w:jc w:val="left"/>
              <w:rPr>
                <w:sz w:val="22"/>
              </w:rPr>
            </w:pPr>
          </w:p>
          <w:p>
            <w:pPr>
              <w:pStyle w:val="TableParagraph"/>
              <w:tabs>
                <w:tab w:pos="1827" w:val="left" w:leader="none"/>
              </w:tabs>
              <w:spacing w:line="240" w:lineRule="auto"/>
              <w:ind w:left="577"/>
              <w:jc w:val="left"/>
              <w:rPr>
                <w:i/>
                <w:sz w:val="17"/>
              </w:rPr>
            </w:pPr>
            <w:r>
              <w:rPr>
                <w:i/>
                <w:color w:val="231F20"/>
                <w:w w:val="105"/>
                <w:sz w:val="17"/>
              </w:rPr>
              <w:t>Entidad</w:t>
              <w:tab/>
              <w:t>Solteros</w:t>
            </w:r>
          </w:p>
        </w:tc>
        <w:tc>
          <w:tcPr>
            <w:tcW w:w="854" w:type="dxa"/>
            <w:tcBorders>
              <w:bottom w:val="single" w:sz="3" w:space="0" w:color="231F20"/>
            </w:tcBorders>
          </w:tcPr>
          <w:p>
            <w:pPr>
              <w:pStyle w:val="TableParagraph"/>
              <w:spacing w:line="240" w:lineRule="auto" w:before="7"/>
              <w:jc w:val="left"/>
              <w:rPr>
                <w:sz w:val="22"/>
              </w:rPr>
            </w:pPr>
          </w:p>
          <w:p>
            <w:pPr>
              <w:pStyle w:val="TableParagraph"/>
              <w:spacing w:line="240" w:lineRule="auto"/>
              <w:ind w:left="97" w:right="84"/>
              <w:rPr>
                <w:i/>
                <w:sz w:val="17"/>
              </w:rPr>
            </w:pPr>
            <w:r>
              <w:rPr>
                <w:i/>
                <w:color w:val="231F20"/>
                <w:w w:val="110"/>
                <w:sz w:val="17"/>
              </w:rPr>
              <w:t>Casados</w:t>
            </w:r>
          </w:p>
        </w:tc>
        <w:tc>
          <w:tcPr>
            <w:tcW w:w="1023" w:type="dxa"/>
            <w:tcBorders>
              <w:bottom w:val="single" w:sz="3" w:space="0" w:color="231F20"/>
            </w:tcBorders>
          </w:tcPr>
          <w:p>
            <w:pPr>
              <w:pStyle w:val="TableParagraph"/>
              <w:spacing w:line="240" w:lineRule="auto" w:before="7"/>
              <w:jc w:val="left"/>
              <w:rPr>
                <w:sz w:val="22"/>
              </w:rPr>
            </w:pPr>
          </w:p>
          <w:p>
            <w:pPr>
              <w:pStyle w:val="TableParagraph"/>
              <w:spacing w:line="240" w:lineRule="auto"/>
              <w:ind w:left="95" w:right="63"/>
              <w:rPr>
                <w:i/>
                <w:sz w:val="17"/>
              </w:rPr>
            </w:pPr>
            <w:r>
              <w:rPr>
                <w:i/>
                <w:color w:val="231F20"/>
                <w:w w:val="105"/>
                <w:sz w:val="17"/>
              </w:rPr>
              <w:t>Unión libre</w:t>
            </w:r>
          </w:p>
        </w:tc>
        <w:tc>
          <w:tcPr>
            <w:tcW w:w="1049" w:type="dxa"/>
            <w:tcBorders>
              <w:bottom w:val="single" w:sz="3" w:space="0" w:color="231F20"/>
            </w:tcBorders>
          </w:tcPr>
          <w:p>
            <w:pPr>
              <w:pStyle w:val="TableParagraph"/>
              <w:spacing w:line="190" w:lineRule="exact" w:before="84"/>
              <w:ind w:left="244" w:right="104" w:hanging="172"/>
              <w:jc w:val="left"/>
              <w:rPr>
                <w:i/>
                <w:sz w:val="17"/>
              </w:rPr>
            </w:pPr>
            <w:r>
              <w:rPr>
                <w:i/>
                <w:color w:val="231F20"/>
                <w:w w:val="110"/>
                <w:sz w:val="17"/>
              </w:rPr>
              <w:t>Alguna vez </w:t>
            </w:r>
            <w:r>
              <w:rPr>
                <w:i/>
                <w:color w:val="231F20"/>
                <w:w w:val="110"/>
                <w:sz w:val="17"/>
              </w:rPr>
              <w:t>unidas</w:t>
            </w:r>
          </w:p>
        </w:tc>
        <w:tc>
          <w:tcPr>
            <w:tcW w:w="633" w:type="dxa"/>
            <w:tcBorders>
              <w:bottom w:val="single" w:sz="3" w:space="0" w:color="231F20"/>
            </w:tcBorders>
          </w:tcPr>
          <w:p>
            <w:pPr>
              <w:pStyle w:val="TableParagraph"/>
              <w:spacing w:line="240" w:lineRule="auto" w:before="7"/>
              <w:jc w:val="left"/>
              <w:rPr>
                <w:sz w:val="22"/>
              </w:rPr>
            </w:pPr>
          </w:p>
          <w:p>
            <w:pPr>
              <w:pStyle w:val="TableParagraph"/>
              <w:spacing w:line="240" w:lineRule="auto"/>
              <w:ind w:left="104" w:right="111"/>
              <w:rPr>
                <w:i/>
                <w:sz w:val="17"/>
              </w:rPr>
            </w:pPr>
            <w:r>
              <w:rPr>
                <w:i/>
                <w:color w:val="231F20"/>
                <w:sz w:val="17"/>
              </w:rPr>
              <w:t>Total</w:t>
            </w:r>
          </w:p>
        </w:tc>
        <w:tc>
          <w:tcPr>
            <w:tcW w:w="830" w:type="dxa"/>
            <w:tcBorders>
              <w:bottom w:val="single" w:sz="3" w:space="0" w:color="231F20"/>
            </w:tcBorders>
          </w:tcPr>
          <w:p>
            <w:pPr>
              <w:pStyle w:val="TableParagraph"/>
              <w:spacing w:line="240" w:lineRule="auto" w:before="7"/>
              <w:jc w:val="left"/>
              <w:rPr>
                <w:sz w:val="22"/>
              </w:rPr>
            </w:pPr>
          </w:p>
          <w:p>
            <w:pPr>
              <w:pStyle w:val="TableParagraph"/>
              <w:spacing w:line="240" w:lineRule="auto"/>
              <w:ind w:left="114" w:right="76"/>
              <w:rPr>
                <w:i/>
                <w:sz w:val="17"/>
              </w:rPr>
            </w:pPr>
            <w:r>
              <w:rPr>
                <w:i/>
                <w:color w:val="231F20"/>
                <w:w w:val="105"/>
                <w:sz w:val="17"/>
              </w:rPr>
              <w:t>Solteros</w:t>
            </w:r>
          </w:p>
        </w:tc>
        <w:tc>
          <w:tcPr>
            <w:tcW w:w="822" w:type="dxa"/>
            <w:tcBorders>
              <w:bottom w:val="single" w:sz="3" w:space="0" w:color="231F20"/>
            </w:tcBorders>
          </w:tcPr>
          <w:p>
            <w:pPr>
              <w:pStyle w:val="TableParagraph"/>
              <w:spacing w:line="240" w:lineRule="auto" w:before="7"/>
              <w:jc w:val="left"/>
              <w:rPr>
                <w:sz w:val="22"/>
              </w:rPr>
            </w:pPr>
          </w:p>
          <w:p>
            <w:pPr>
              <w:pStyle w:val="TableParagraph"/>
              <w:spacing w:line="240" w:lineRule="auto"/>
              <w:ind w:left="72" w:right="76"/>
              <w:rPr>
                <w:i/>
                <w:sz w:val="17"/>
              </w:rPr>
            </w:pPr>
            <w:r>
              <w:rPr>
                <w:i/>
                <w:color w:val="231F20"/>
                <w:w w:val="110"/>
                <w:sz w:val="17"/>
              </w:rPr>
              <w:t>Casados</w:t>
            </w:r>
          </w:p>
        </w:tc>
        <w:tc>
          <w:tcPr>
            <w:tcW w:w="1016" w:type="dxa"/>
            <w:tcBorders>
              <w:bottom w:val="single" w:sz="3" w:space="0" w:color="231F20"/>
            </w:tcBorders>
          </w:tcPr>
          <w:p>
            <w:pPr>
              <w:pStyle w:val="TableParagraph"/>
              <w:spacing w:line="240" w:lineRule="auto" w:before="7"/>
              <w:jc w:val="left"/>
              <w:rPr>
                <w:sz w:val="22"/>
              </w:rPr>
            </w:pPr>
          </w:p>
          <w:p>
            <w:pPr>
              <w:pStyle w:val="TableParagraph"/>
              <w:spacing w:line="240" w:lineRule="auto"/>
              <w:ind w:left="99"/>
              <w:jc w:val="left"/>
              <w:rPr>
                <w:i/>
                <w:sz w:val="17"/>
              </w:rPr>
            </w:pPr>
            <w:r>
              <w:rPr>
                <w:i/>
                <w:color w:val="231F20"/>
                <w:w w:val="105"/>
                <w:sz w:val="17"/>
              </w:rPr>
              <w:t>Unión libre</w:t>
            </w:r>
          </w:p>
        </w:tc>
        <w:tc>
          <w:tcPr>
            <w:tcW w:w="1073" w:type="dxa"/>
            <w:tcBorders>
              <w:bottom w:val="single" w:sz="3" w:space="0" w:color="231F20"/>
            </w:tcBorders>
          </w:tcPr>
          <w:p>
            <w:pPr>
              <w:pStyle w:val="TableParagraph"/>
              <w:spacing w:line="190" w:lineRule="exact" w:before="84"/>
              <w:ind w:left="244" w:right="127" w:hanging="172"/>
              <w:jc w:val="left"/>
              <w:rPr>
                <w:i/>
                <w:sz w:val="17"/>
              </w:rPr>
            </w:pPr>
            <w:r>
              <w:rPr>
                <w:i/>
                <w:color w:val="231F20"/>
                <w:w w:val="110"/>
                <w:sz w:val="17"/>
              </w:rPr>
              <w:t>Alguna vez </w:t>
            </w:r>
            <w:r>
              <w:rPr>
                <w:i/>
                <w:color w:val="231F20"/>
                <w:w w:val="110"/>
                <w:sz w:val="17"/>
              </w:rPr>
              <w:t>unidas</w:t>
            </w:r>
          </w:p>
        </w:tc>
        <w:tc>
          <w:tcPr>
            <w:tcW w:w="759" w:type="dxa"/>
            <w:tcBorders>
              <w:bottom w:val="single" w:sz="3" w:space="0" w:color="231F20"/>
            </w:tcBorders>
          </w:tcPr>
          <w:p>
            <w:pPr>
              <w:pStyle w:val="TableParagraph"/>
              <w:spacing w:line="240" w:lineRule="auto" w:before="7"/>
              <w:jc w:val="left"/>
              <w:rPr>
                <w:sz w:val="22"/>
              </w:rPr>
            </w:pPr>
          </w:p>
          <w:p>
            <w:pPr>
              <w:pStyle w:val="TableParagraph"/>
              <w:spacing w:line="240" w:lineRule="auto"/>
              <w:ind w:left="146"/>
              <w:jc w:val="left"/>
              <w:rPr>
                <w:i/>
                <w:sz w:val="17"/>
              </w:rPr>
            </w:pPr>
            <w:r>
              <w:rPr>
                <w:i/>
                <w:color w:val="231F20"/>
                <w:sz w:val="17"/>
              </w:rPr>
              <w:t>Total</w:t>
            </w:r>
          </w:p>
        </w:tc>
      </w:tr>
      <w:tr>
        <w:trPr>
          <w:trHeight w:val="303" w:hRule="exact"/>
        </w:trPr>
        <w:tc>
          <w:tcPr>
            <w:tcW w:w="1772" w:type="dxa"/>
          </w:tcPr>
          <w:p>
            <w:pPr>
              <w:pStyle w:val="TableParagraph"/>
              <w:spacing w:line="240" w:lineRule="auto" w:before="84"/>
              <w:ind w:left="35"/>
              <w:jc w:val="left"/>
              <w:rPr>
                <w:sz w:val="17"/>
              </w:rPr>
            </w:pPr>
            <w:r>
              <w:rPr>
                <w:color w:val="231F20"/>
                <w:w w:val="110"/>
                <w:sz w:val="17"/>
              </w:rPr>
              <w:t>Nacional</w:t>
            </w:r>
          </w:p>
        </w:tc>
        <w:tc>
          <w:tcPr>
            <w:tcW w:w="778" w:type="dxa"/>
          </w:tcPr>
          <w:p>
            <w:pPr>
              <w:pStyle w:val="TableParagraph"/>
              <w:spacing w:line="240" w:lineRule="auto" w:before="84"/>
              <w:ind w:left="238"/>
              <w:jc w:val="left"/>
              <w:rPr>
                <w:sz w:val="17"/>
              </w:rPr>
            </w:pPr>
            <w:r>
              <w:rPr>
                <w:color w:val="231F20"/>
                <w:w w:val="105"/>
                <w:sz w:val="17"/>
              </w:rPr>
              <w:t>5.3</w:t>
            </w:r>
          </w:p>
        </w:tc>
        <w:tc>
          <w:tcPr>
            <w:tcW w:w="854" w:type="dxa"/>
          </w:tcPr>
          <w:p>
            <w:pPr>
              <w:pStyle w:val="TableParagraph"/>
              <w:spacing w:line="240" w:lineRule="auto" w:before="84"/>
              <w:ind w:left="97" w:right="84"/>
              <w:rPr>
                <w:sz w:val="17"/>
              </w:rPr>
            </w:pPr>
            <w:r>
              <w:rPr>
                <w:color w:val="231F20"/>
                <w:w w:val="105"/>
                <w:sz w:val="17"/>
              </w:rPr>
              <w:t>80.9</w:t>
            </w:r>
          </w:p>
        </w:tc>
        <w:tc>
          <w:tcPr>
            <w:tcW w:w="1023" w:type="dxa"/>
          </w:tcPr>
          <w:p>
            <w:pPr>
              <w:pStyle w:val="TableParagraph"/>
              <w:spacing w:line="240" w:lineRule="auto" w:before="84"/>
              <w:ind w:left="234" w:right="63"/>
              <w:rPr>
                <w:sz w:val="17"/>
              </w:rPr>
            </w:pPr>
            <w:r>
              <w:rPr>
                <w:color w:val="231F20"/>
                <w:w w:val="105"/>
                <w:sz w:val="17"/>
              </w:rPr>
              <w:t>9.3</w:t>
            </w:r>
          </w:p>
        </w:tc>
        <w:tc>
          <w:tcPr>
            <w:tcW w:w="1049" w:type="dxa"/>
          </w:tcPr>
          <w:p>
            <w:pPr>
              <w:pStyle w:val="TableParagraph"/>
              <w:spacing w:line="240" w:lineRule="auto" w:before="84"/>
              <w:ind w:left="314" w:right="361"/>
              <w:rPr>
                <w:sz w:val="17"/>
              </w:rPr>
            </w:pPr>
            <w:r>
              <w:rPr>
                <w:color w:val="231F20"/>
                <w:w w:val="105"/>
                <w:sz w:val="17"/>
              </w:rPr>
              <w:t>4.5</w:t>
            </w:r>
          </w:p>
        </w:tc>
        <w:tc>
          <w:tcPr>
            <w:tcW w:w="633" w:type="dxa"/>
          </w:tcPr>
          <w:p>
            <w:pPr>
              <w:pStyle w:val="TableParagraph"/>
              <w:spacing w:line="240" w:lineRule="auto" w:before="84"/>
              <w:ind w:left="104" w:right="111"/>
              <w:rPr>
                <w:sz w:val="17"/>
              </w:rPr>
            </w:pPr>
            <w:r>
              <w:rPr>
                <w:color w:val="231F20"/>
                <w:sz w:val="17"/>
              </w:rPr>
              <w:t>100</w:t>
            </w:r>
          </w:p>
        </w:tc>
        <w:tc>
          <w:tcPr>
            <w:tcW w:w="830" w:type="dxa"/>
          </w:tcPr>
          <w:p>
            <w:pPr>
              <w:pStyle w:val="TableParagraph"/>
              <w:spacing w:line="240" w:lineRule="auto" w:before="84"/>
              <w:ind w:left="114" w:right="76"/>
              <w:rPr>
                <w:sz w:val="17"/>
              </w:rPr>
            </w:pPr>
            <w:r>
              <w:rPr>
                <w:color w:val="231F20"/>
                <w:w w:val="105"/>
                <w:sz w:val="17"/>
              </w:rPr>
              <w:t>7.1</w:t>
            </w:r>
          </w:p>
        </w:tc>
        <w:tc>
          <w:tcPr>
            <w:tcW w:w="822" w:type="dxa"/>
          </w:tcPr>
          <w:p>
            <w:pPr>
              <w:pStyle w:val="TableParagraph"/>
              <w:spacing w:line="240" w:lineRule="auto" w:before="84"/>
              <w:ind w:left="72" w:right="76"/>
              <w:rPr>
                <w:sz w:val="17"/>
              </w:rPr>
            </w:pPr>
            <w:r>
              <w:rPr>
                <w:color w:val="231F20"/>
                <w:w w:val="105"/>
                <w:sz w:val="17"/>
              </w:rPr>
              <w:t>70.2</w:t>
            </w:r>
          </w:p>
        </w:tc>
        <w:tc>
          <w:tcPr>
            <w:tcW w:w="1016" w:type="dxa"/>
          </w:tcPr>
          <w:p>
            <w:pPr>
              <w:pStyle w:val="TableParagraph"/>
              <w:spacing w:line="240" w:lineRule="auto" w:before="84"/>
              <w:ind w:left="360"/>
              <w:jc w:val="left"/>
              <w:rPr>
                <w:sz w:val="17"/>
              </w:rPr>
            </w:pPr>
            <w:r>
              <w:rPr>
                <w:color w:val="231F20"/>
                <w:w w:val="105"/>
                <w:sz w:val="17"/>
              </w:rPr>
              <w:t>14.4</w:t>
            </w:r>
          </w:p>
        </w:tc>
        <w:tc>
          <w:tcPr>
            <w:tcW w:w="1073" w:type="dxa"/>
          </w:tcPr>
          <w:p>
            <w:pPr>
              <w:pStyle w:val="TableParagraph"/>
              <w:spacing w:line="240" w:lineRule="auto" w:before="84"/>
              <w:ind w:right="428"/>
              <w:jc w:val="right"/>
              <w:rPr>
                <w:sz w:val="17"/>
              </w:rPr>
            </w:pPr>
            <w:r>
              <w:rPr>
                <w:color w:val="231F20"/>
                <w:w w:val="105"/>
                <w:sz w:val="17"/>
              </w:rPr>
              <w:t>8.3</w:t>
            </w:r>
          </w:p>
        </w:tc>
        <w:tc>
          <w:tcPr>
            <w:tcW w:w="759" w:type="dxa"/>
          </w:tcPr>
          <w:p>
            <w:pPr>
              <w:pStyle w:val="TableParagraph"/>
              <w:spacing w:line="240" w:lineRule="auto" w:before="84"/>
              <w:ind w:left="190"/>
              <w:jc w:val="left"/>
              <w:rPr>
                <w:sz w:val="17"/>
              </w:rPr>
            </w:pPr>
            <w:r>
              <w:rPr>
                <w:color w:val="231F20"/>
                <w:sz w:val="17"/>
              </w:rPr>
              <w:t>100</w:t>
            </w:r>
          </w:p>
        </w:tc>
      </w:tr>
      <w:tr>
        <w:trPr>
          <w:trHeight w:val="210" w:hRule="exact"/>
        </w:trPr>
        <w:tc>
          <w:tcPr>
            <w:tcW w:w="1772" w:type="dxa"/>
          </w:tcPr>
          <w:p>
            <w:pPr>
              <w:pStyle w:val="TableParagraph"/>
              <w:ind w:left="35"/>
              <w:jc w:val="left"/>
              <w:rPr>
                <w:sz w:val="17"/>
              </w:rPr>
            </w:pPr>
            <w:r>
              <w:rPr>
                <w:color w:val="231F20"/>
                <w:w w:val="110"/>
                <w:sz w:val="17"/>
              </w:rPr>
              <w:t>Aguascalientes</w:t>
            </w:r>
          </w:p>
        </w:tc>
        <w:tc>
          <w:tcPr>
            <w:tcW w:w="778" w:type="dxa"/>
          </w:tcPr>
          <w:p>
            <w:pPr>
              <w:pStyle w:val="TableParagraph"/>
              <w:ind w:left="238"/>
              <w:jc w:val="left"/>
              <w:rPr>
                <w:sz w:val="17"/>
              </w:rPr>
            </w:pPr>
            <w:r>
              <w:rPr>
                <w:color w:val="231F20"/>
                <w:w w:val="105"/>
                <w:sz w:val="17"/>
              </w:rPr>
              <w:t>5.3</w:t>
            </w:r>
          </w:p>
        </w:tc>
        <w:tc>
          <w:tcPr>
            <w:tcW w:w="854" w:type="dxa"/>
          </w:tcPr>
          <w:p>
            <w:pPr>
              <w:pStyle w:val="TableParagraph"/>
              <w:ind w:left="97" w:right="84"/>
              <w:rPr>
                <w:sz w:val="17"/>
              </w:rPr>
            </w:pPr>
            <w:r>
              <w:rPr>
                <w:color w:val="231F20"/>
                <w:w w:val="105"/>
                <w:sz w:val="17"/>
              </w:rPr>
              <w:t>89.1</w:t>
            </w:r>
          </w:p>
        </w:tc>
        <w:tc>
          <w:tcPr>
            <w:tcW w:w="1023" w:type="dxa"/>
          </w:tcPr>
          <w:p>
            <w:pPr>
              <w:pStyle w:val="TableParagraph"/>
              <w:ind w:left="234" w:right="63"/>
              <w:rPr>
                <w:sz w:val="17"/>
              </w:rPr>
            </w:pPr>
            <w:r>
              <w:rPr>
                <w:color w:val="231F20"/>
                <w:w w:val="105"/>
                <w:sz w:val="17"/>
              </w:rPr>
              <w:t>2.3</w:t>
            </w:r>
          </w:p>
        </w:tc>
        <w:tc>
          <w:tcPr>
            <w:tcW w:w="1049" w:type="dxa"/>
          </w:tcPr>
          <w:p>
            <w:pPr>
              <w:pStyle w:val="TableParagraph"/>
              <w:ind w:left="314" w:right="361"/>
              <w:rPr>
                <w:sz w:val="17"/>
              </w:rPr>
            </w:pPr>
            <w:r>
              <w:rPr>
                <w:color w:val="231F20"/>
                <w:w w:val="105"/>
                <w:sz w:val="17"/>
              </w:rPr>
              <w:t>3.4</w:t>
            </w:r>
          </w:p>
        </w:tc>
        <w:tc>
          <w:tcPr>
            <w:tcW w:w="633" w:type="dxa"/>
          </w:tcPr>
          <w:p>
            <w:pPr>
              <w:pStyle w:val="TableParagraph"/>
              <w:ind w:left="104" w:right="111"/>
              <w:rPr>
                <w:sz w:val="17"/>
              </w:rPr>
            </w:pPr>
            <w:r>
              <w:rPr>
                <w:color w:val="231F20"/>
                <w:sz w:val="17"/>
              </w:rPr>
              <w:t>100</w:t>
            </w:r>
          </w:p>
        </w:tc>
        <w:tc>
          <w:tcPr>
            <w:tcW w:w="830" w:type="dxa"/>
          </w:tcPr>
          <w:p>
            <w:pPr>
              <w:pStyle w:val="TableParagraph"/>
              <w:ind w:left="114" w:right="76"/>
              <w:rPr>
                <w:sz w:val="17"/>
              </w:rPr>
            </w:pPr>
            <w:r>
              <w:rPr>
                <w:color w:val="231F20"/>
                <w:w w:val="105"/>
                <w:sz w:val="17"/>
              </w:rPr>
              <w:t>6.3</w:t>
            </w:r>
          </w:p>
        </w:tc>
        <w:tc>
          <w:tcPr>
            <w:tcW w:w="822" w:type="dxa"/>
          </w:tcPr>
          <w:p>
            <w:pPr>
              <w:pStyle w:val="TableParagraph"/>
              <w:ind w:left="72" w:right="76"/>
              <w:rPr>
                <w:sz w:val="17"/>
              </w:rPr>
            </w:pPr>
            <w:r>
              <w:rPr>
                <w:color w:val="231F20"/>
                <w:w w:val="105"/>
                <w:sz w:val="17"/>
              </w:rPr>
              <w:t>79.1</w:t>
            </w:r>
          </w:p>
        </w:tc>
        <w:tc>
          <w:tcPr>
            <w:tcW w:w="1016" w:type="dxa"/>
          </w:tcPr>
          <w:p>
            <w:pPr>
              <w:pStyle w:val="TableParagraph"/>
              <w:ind w:left="456"/>
              <w:jc w:val="left"/>
              <w:rPr>
                <w:sz w:val="17"/>
              </w:rPr>
            </w:pPr>
            <w:r>
              <w:rPr>
                <w:color w:val="231F20"/>
                <w:w w:val="105"/>
                <w:sz w:val="17"/>
              </w:rPr>
              <w:t>6.8</w:t>
            </w:r>
          </w:p>
        </w:tc>
        <w:tc>
          <w:tcPr>
            <w:tcW w:w="1073" w:type="dxa"/>
          </w:tcPr>
          <w:p>
            <w:pPr>
              <w:pStyle w:val="TableParagraph"/>
              <w:ind w:right="428"/>
              <w:jc w:val="right"/>
              <w:rPr>
                <w:sz w:val="17"/>
              </w:rPr>
            </w:pPr>
            <w:r>
              <w:rPr>
                <w:color w:val="231F20"/>
                <w:w w:val="105"/>
                <w:sz w:val="17"/>
              </w:rPr>
              <w:t>7.8</w:t>
            </w:r>
          </w:p>
        </w:tc>
        <w:tc>
          <w:tcPr>
            <w:tcW w:w="759" w:type="dxa"/>
          </w:tcPr>
          <w:p>
            <w:pPr>
              <w:pStyle w:val="TableParagraph"/>
              <w:ind w:left="190"/>
              <w:jc w:val="left"/>
              <w:rPr>
                <w:sz w:val="17"/>
              </w:rPr>
            </w:pPr>
            <w:r>
              <w:rPr>
                <w:color w:val="231F20"/>
                <w:sz w:val="17"/>
              </w:rPr>
              <w:t>100</w:t>
            </w:r>
          </w:p>
        </w:tc>
      </w:tr>
      <w:tr>
        <w:trPr>
          <w:trHeight w:val="210" w:hRule="exact"/>
        </w:trPr>
        <w:tc>
          <w:tcPr>
            <w:tcW w:w="1772" w:type="dxa"/>
          </w:tcPr>
          <w:p>
            <w:pPr>
              <w:pStyle w:val="TableParagraph"/>
              <w:ind w:left="35"/>
              <w:jc w:val="left"/>
              <w:rPr>
                <w:sz w:val="17"/>
              </w:rPr>
            </w:pPr>
            <w:r>
              <w:rPr>
                <w:color w:val="231F20"/>
                <w:w w:val="110"/>
                <w:sz w:val="17"/>
              </w:rPr>
              <w:t>Baja California</w:t>
            </w:r>
          </w:p>
        </w:tc>
        <w:tc>
          <w:tcPr>
            <w:tcW w:w="778" w:type="dxa"/>
          </w:tcPr>
          <w:p>
            <w:pPr>
              <w:pStyle w:val="TableParagraph"/>
              <w:ind w:left="238"/>
              <w:jc w:val="left"/>
              <w:rPr>
                <w:sz w:val="17"/>
              </w:rPr>
            </w:pPr>
            <w:r>
              <w:rPr>
                <w:color w:val="231F20"/>
                <w:w w:val="105"/>
                <w:sz w:val="17"/>
              </w:rPr>
              <w:t>6.5</w:t>
            </w:r>
          </w:p>
        </w:tc>
        <w:tc>
          <w:tcPr>
            <w:tcW w:w="854" w:type="dxa"/>
          </w:tcPr>
          <w:p>
            <w:pPr>
              <w:pStyle w:val="TableParagraph"/>
              <w:ind w:left="97" w:right="84"/>
              <w:rPr>
                <w:sz w:val="17"/>
              </w:rPr>
            </w:pPr>
            <w:r>
              <w:rPr>
                <w:color w:val="231F20"/>
                <w:w w:val="105"/>
                <w:sz w:val="17"/>
              </w:rPr>
              <w:t>77.4</w:t>
            </w:r>
          </w:p>
        </w:tc>
        <w:tc>
          <w:tcPr>
            <w:tcW w:w="1023" w:type="dxa"/>
          </w:tcPr>
          <w:p>
            <w:pPr>
              <w:pStyle w:val="TableParagraph"/>
              <w:ind w:left="95" w:right="20"/>
              <w:rPr>
                <w:sz w:val="17"/>
              </w:rPr>
            </w:pPr>
            <w:r>
              <w:rPr>
                <w:color w:val="231F20"/>
                <w:w w:val="105"/>
                <w:sz w:val="17"/>
              </w:rPr>
              <w:t>11.3</w:t>
            </w:r>
          </w:p>
        </w:tc>
        <w:tc>
          <w:tcPr>
            <w:tcW w:w="1049" w:type="dxa"/>
          </w:tcPr>
          <w:p>
            <w:pPr>
              <w:pStyle w:val="TableParagraph"/>
              <w:ind w:left="314" w:right="361"/>
              <w:rPr>
                <w:sz w:val="17"/>
              </w:rPr>
            </w:pPr>
            <w:r>
              <w:rPr>
                <w:color w:val="231F20"/>
                <w:w w:val="105"/>
                <w:sz w:val="17"/>
              </w:rPr>
              <w:t>4.8</w:t>
            </w:r>
          </w:p>
        </w:tc>
        <w:tc>
          <w:tcPr>
            <w:tcW w:w="633" w:type="dxa"/>
          </w:tcPr>
          <w:p>
            <w:pPr>
              <w:pStyle w:val="TableParagraph"/>
              <w:ind w:left="104" w:right="111"/>
              <w:rPr>
                <w:sz w:val="17"/>
              </w:rPr>
            </w:pPr>
            <w:r>
              <w:rPr>
                <w:color w:val="231F20"/>
                <w:sz w:val="17"/>
              </w:rPr>
              <w:t>100</w:t>
            </w:r>
          </w:p>
        </w:tc>
        <w:tc>
          <w:tcPr>
            <w:tcW w:w="830" w:type="dxa"/>
          </w:tcPr>
          <w:p>
            <w:pPr>
              <w:pStyle w:val="TableParagraph"/>
              <w:ind w:left="114" w:right="76"/>
              <w:rPr>
                <w:sz w:val="17"/>
              </w:rPr>
            </w:pPr>
            <w:r>
              <w:rPr>
                <w:color w:val="231F20"/>
                <w:w w:val="105"/>
                <w:sz w:val="17"/>
              </w:rPr>
              <w:t>9.3</w:t>
            </w:r>
          </w:p>
        </w:tc>
        <w:tc>
          <w:tcPr>
            <w:tcW w:w="822" w:type="dxa"/>
          </w:tcPr>
          <w:p>
            <w:pPr>
              <w:pStyle w:val="TableParagraph"/>
              <w:ind w:left="72" w:right="76"/>
              <w:rPr>
                <w:sz w:val="17"/>
              </w:rPr>
            </w:pPr>
            <w:r>
              <w:rPr>
                <w:color w:val="231F20"/>
                <w:w w:val="105"/>
                <w:sz w:val="17"/>
              </w:rPr>
              <w:t>59.1</w:t>
            </w:r>
          </w:p>
        </w:tc>
        <w:tc>
          <w:tcPr>
            <w:tcW w:w="1016" w:type="dxa"/>
          </w:tcPr>
          <w:p>
            <w:pPr>
              <w:pStyle w:val="TableParagraph"/>
              <w:ind w:left="360"/>
              <w:jc w:val="left"/>
              <w:rPr>
                <w:sz w:val="17"/>
              </w:rPr>
            </w:pPr>
            <w:r>
              <w:rPr>
                <w:color w:val="231F20"/>
                <w:w w:val="105"/>
                <w:sz w:val="17"/>
              </w:rPr>
              <w:t>18.5</w:t>
            </w:r>
          </w:p>
        </w:tc>
        <w:tc>
          <w:tcPr>
            <w:tcW w:w="1073" w:type="dxa"/>
          </w:tcPr>
          <w:p>
            <w:pPr>
              <w:pStyle w:val="TableParagraph"/>
              <w:ind w:right="428"/>
              <w:jc w:val="right"/>
              <w:rPr>
                <w:sz w:val="17"/>
              </w:rPr>
            </w:pPr>
            <w:r>
              <w:rPr>
                <w:color w:val="231F20"/>
                <w:sz w:val="17"/>
              </w:rPr>
              <w:t>13.1</w:t>
            </w:r>
          </w:p>
        </w:tc>
        <w:tc>
          <w:tcPr>
            <w:tcW w:w="759" w:type="dxa"/>
          </w:tcPr>
          <w:p>
            <w:pPr>
              <w:pStyle w:val="TableParagraph"/>
              <w:ind w:left="190"/>
              <w:jc w:val="left"/>
              <w:rPr>
                <w:sz w:val="17"/>
              </w:rPr>
            </w:pPr>
            <w:r>
              <w:rPr>
                <w:color w:val="231F20"/>
                <w:sz w:val="17"/>
              </w:rPr>
              <w:t>100</w:t>
            </w:r>
          </w:p>
        </w:tc>
      </w:tr>
      <w:tr>
        <w:trPr>
          <w:trHeight w:val="210" w:hRule="exact"/>
        </w:trPr>
        <w:tc>
          <w:tcPr>
            <w:tcW w:w="1772" w:type="dxa"/>
          </w:tcPr>
          <w:p>
            <w:pPr>
              <w:pStyle w:val="TableParagraph"/>
              <w:ind w:left="35"/>
              <w:jc w:val="left"/>
              <w:rPr>
                <w:sz w:val="17"/>
              </w:rPr>
            </w:pPr>
            <w:r>
              <w:rPr>
                <w:color w:val="231F20"/>
                <w:w w:val="110"/>
                <w:sz w:val="17"/>
              </w:rPr>
              <w:t>Baja California Sur</w:t>
            </w:r>
          </w:p>
        </w:tc>
        <w:tc>
          <w:tcPr>
            <w:tcW w:w="778" w:type="dxa"/>
          </w:tcPr>
          <w:p>
            <w:pPr>
              <w:pStyle w:val="TableParagraph"/>
              <w:ind w:left="238"/>
              <w:jc w:val="left"/>
              <w:rPr>
                <w:sz w:val="17"/>
              </w:rPr>
            </w:pPr>
            <w:r>
              <w:rPr>
                <w:color w:val="231F20"/>
                <w:w w:val="105"/>
                <w:sz w:val="17"/>
              </w:rPr>
              <w:t>8.9</w:t>
            </w:r>
          </w:p>
        </w:tc>
        <w:tc>
          <w:tcPr>
            <w:tcW w:w="854" w:type="dxa"/>
          </w:tcPr>
          <w:p>
            <w:pPr>
              <w:pStyle w:val="TableParagraph"/>
              <w:ind w:left="97" w:right="84"/>
              <w:rPr>
                <w:sz w:val="17"/>
              </w:rPr>
            </w:pPr>
            <w:r>
              <w:rPr>
                <w:color w:val="231F20"/>
                <w:w w:val="105"/>
                <w:sz w:val="17"/>
              </w:rPr>
              <w:t>78.7</w:t>
            </w:r>
          </w:p>
        </w:tc>
        <w:tc>
          <w:tcPr>
            <w:tcW w:w="1023" w:type="dxa"/>
          </w:tcPr>
          <w:p>
            <w:pPr>
              <w:pStyle w:val="TableParagraph"/>
              <w:ind w:left="234" w:right="63"/>
              <w:rPr>
                <w:sz w:val="17"/>
              </w:rPr>
            </w:pPr>
            <w:r>
              <w:rPr>
                <w:color w:val="231F20"/>
                <w:w w:val="105"/>
                <w:sz w:val="17"/>
              </w:rPr>
              <w:t>7.7</w:t>
            </w:r>
          </w:p>
        </w:tc>
        <w:tc>
          <w:tcPr>
            <w:tcW w:w="1049" w:type="dxa"/>
          </w:tcPr>
          <w:p>
            <w:pPr>
              <w:pStyle w:val="TableParagraph"/>
              <w:ind w:left="314" w:right="361"/>
              <w:rPr>
                <w:sz w:val="17"/>
              </w:rPr>
            </w:pPr>
            <w:r>
              <w:rPr>
                <w:color w:val="231F20"/>
                <w:w w:val="105"/>
                <w:sz w:val="17"/>
              </w:rPr>
              <w:t>4.7</w:t>
            </w:r>
          </w:p>
        </w:tc>
        <w:tc>
          <w:tcPr>
            <w:tcW w:w="633" w:type="dxa"/>
          </w:tcPr>
          <w:p>
            <w:pPr>
              <w:pStyle w:val="TableParagraph"/>
              <w:ind w:left="104" w:right="111"/>
              <w:rPr>
                <w:sz w:val="17"/>
              </w:rPr>
            </w:pPr>
            <w:r>
              <w:rPr>
                <w:color w:val="231F20"/>
                <w:sz w:val="17"/>
              </w:rPr>
              <w:t>100</w:t>
            </w:r>
          </w:p>
        </w:tc>
        <w:tc>
          <w:tcPr>
            <w:tcW w:w="830" w:type="dxa"/>
          </w:tcPr>
          <w:p>
            <w:pPr>
              <w:pStyle w:val="TableParagraph"/>
              <w:ind w:left="114" w:right="76"/>
              <w:rPr>
                <w:sz w:val="17"/>
              </w:rPr>
            </w:pPr>
            <w:r>
              <w:rPr>
                <w:color w:val="231F20"/>
                <w:w w:val="105"/>
                <w:sz w:val="17"/>
              </w:rPr>
              <w:t>9.4</w:t>
            </w:r>
          </w:p>
        </w:tc>
        <w:tc>
          <w:tcPr>
            <w:tcW w:w="822" w:type="dxa"/>
          </w:tcPr>
          <w:p>
            <w:pPr>
              <w:pStyle w:val="TableParagraph"/>
              <w:ind w:left="72" w:right="76"/>
              <w:rPr>
                <w:sz w:val="17"/>
              </w:rPr>
            </w:pPr>
            <w:r>
              <w:rPr>
                <w:color w:val="231F20"/>
                <w:w w:val="105"/>
                <w:sz w:val="17"/>
              </w:rPr>
              <w:t>61.1</w:t>
            </w:r>
          </w:p>
        </w:tc>
        <w:tc>
          <w:tcPr>
            <w:tcW w:w="1016" w:type="dxa"/>
          </w:tcPr>
          <w:p>
            <w:pPr>
              <w:pStyle w:val="TableParagraph"/>
              <w:ind w:left="360"/>
              <w:jc w:val="left"/>
              <w:rPr>
                <w:sz w:val="17"/>
              </w:rPr>
            </w:pPr>
            <w:r>
              <w:rPr>
                <w:color w:val="231F20"/>
                <w:w w:val="105"/>
                <w:sz w:val="17"/>
              </w:rPr>
              <w:t>18.1</w:t>
            </w:r>
          </w:p>
        </w:tc>
        <w:tc>
          <w:tcPr>
            <w:tcW w:w="1073" w:type="dxa"/>
          </w:tcPr>
          <w:p>
            <w:pPr>
              <w:pStyle w:val="TableParagraph"/>
              <w:ind w:right="428"/>
              <w:jc w:val="right"/>
              <w:rPr>
                <w:sz w:val="17"/>
              </w:rPr>
            </w:pPr>
            <w:r>
              <w:rPr>
                <w:color w:val="231F20"/>
                <w:sz w:val="17"/>
              </w:rPr>
              <w:t>11.4</w:t>
            </w:r>
          </w:p>
        </w:tc>
        <w:tc>
          <w:tcPr>
            <w:tcW w:w="759" w:type="dxa"/>
          </w:tcPr>
          <w:p>
            <w:pPr>
              <w:pStyle w:val="TableParagraph"/>
              <w:ind w:left="190"/>
              <w:jc w:val="left"/>
              <w:rPr>
                <w:sz w:val="17"/>
              </w:rPr>
            </w:pPr>
            <w:r>
              <w:rPr>
                <w:color w:val="231F20"/>
                <w:sz w:val="17"/>
              </w:rPr>
              <w:t>100</w:t>
            </w:r>
          </w:p>
        </w:tc>
      </w:tr>
      <w:tr>
        <w:trPr>
          <w:trHeight w:val="210" w:hRule="exact"/>
        </w:trPr>
        <w:tc>
          <w:tcPr>
            <w:tcW w:w="1772" w:type="dxa"/>
          </w:tcPr>
          <w:p>
            <w:pPr>
              <w:pStyle w:val="TableParagraph"/>
              <w:ind w:left="35"/>
              <w:jc w:val="left"/>
              <w:rPr>
                <w:sz w:val="17"/>
              </w:rPr>
            </w:pPr>
            <w:r>
              <w:rPr>
                <w:color w:val="231F20"/>
                <w:w w:val="110"/>
                <w:sz w:val="17"/>
              </w:rPr>
              <w:t>Campeche</w:t>
            </w:r>
          </w:p>
        </w:tc>
        <w:tc>
          <w:tcPr>
            <w:tcW w:w="778" w:type="dxa"/>
          </w:tcPr>
          <w:p>
            <w:pPr>
              <w:pStyle w:val="TableParagraph"/>
              <w:ind w:left="238"/>
              <w:jc w:val="left"/>
              <w:rPr>
                <w:sz w:val="17"/>
              </w:rPr>
            </w:pPr>
            <w:r>
              <w:rPr>
                <w:color w:val="231F20"/>
                <w:w w:val="105"/>
                <w:sz w:val="17"/>
              </w:rPr>
              <w:t>5.0</w:t>
            </w:r>
          </w:p>
        </w:tc>
        <w:tc>
          <w:tcPr>
            <w:tcW w:w="854" w:type="dxa"/>
          </w:tcPr>
          <w:p>
            <w:pPr>
              <w:pStyle w:val="TableParagraph"/>
              <w:ind w:left="97" w:right="84"/>
              <w:rPr>
                <w:sz w:val="17"/>
              </w:rPr>
            </w:pPr>
            <w:r>
              <w:rPr>
                <w:color w:val="231F20"/>
                <w:w w:val="105"/>
                <w:sz w:val="17"/>
              </w:rPr>
              <w:t>81.7</w:t>
            </w:r>
          </w:p>
        </w:tc>
        <w:tc>
          <w:tcPr>
            <w:tcW w:w="1023" w:type="dxa"/>
          </w:tcPr>
          <w:p>
            <w:pPr>
              <w:pStyle w:val="TableParagraph"/>
              <w:ind w:left="234" w:right="63"/>
              <w:rPr>
                <w:sz w:val="17"/>
              </w:rPr>
            </w:pPr>
            <w:r>
              <w:rPr>
                <w:color w:val="231F20"/>
                <w:w w:val="105"/>
                <w:sz w:val="17"/>
              </w:rPr>
              <w:t>8.3</w:t>
            </w:r>
          </w:p>
        </w:tc>
        <w:tc>
          <w:tcPr>
            <w:tcW w:w="1049" w:type="dxa"/>
          </w:tcPr>
          <w:p>
            <w:pPr>
              <w:pStyle w:val="TableParagraph"/>
              <w:ind w:left="314" w:right="361"/>
              <w:rPr>
                <w:sz w:val="17"/>
              </w:rPr>
            </w:pPr>
            <w:r>
              <w:rPr>
                <w:color w:val="231F20"/>
                <w:w w:val="105"/>
                <w:sz w:val="17"/>
              </w:rPr>
              <w:t>5.1</w:t>
            </w:r>
          </w:p>
        </w:tc>
        <w:tc>
          <w:tcPr>
            <w:tcW w:w="633" w:type="dxa"/>
          </w:tcPr>
          <w:p>
            <w:pPr>
              <w:pStyle w:val="TableParagraph"/>
              <w:ind w:left="104" w:right="111"/>
              <w:rPr>
                <w:sz w:val="17"/>
              </w:rPr>
            </w:pPr>
            <w:r>
              <w:rPr>
                <w:color w:val="231F20"/>
                <w:sz w:val="17"/>
              </w:rPr>
              <w:t>100</w:t>
            </w:r>
          </w:p>
        </w:tc>
        <w:tc>
          <w:tcPr>
            <w:tcW w:w="830" w:type="dxa"/>
          </w:tcPr>
          <w:p>
            <w:pPr>
              <w:pStyle w:val="TableParagraph"/>
              <w:ind w:left="114" w:right="76"/>
              <w:rPr>
                <w:sz w:val="17"/>
              </w:rPr>
            </w:pPr>
            <w:r>
              <w:rPr>
                <w:color w:val="231F20"/>
                <w:w w:val="105"/>
                <w:sz w:val="17"/>
              </w:rPr>
              <w:t>6.2</w:t>
            </w:r>
          </w:p>
        </w:tc>
        <w:tc>
          <w:tcPr>
            <w:tcW w:w="822" w:type="dxa"/>
          </w:tcPr>
          <w:p>
            <w:pPr>
              <w:pStyle w:val="TableParagraph"/>
              <w:ind w:left="72" w:right="76"/>
              <w:rPr>
                <w:sz w:val="17"/>
              </w:rPr>
            </w:pPr>
            <w:r>
              <w:rPr>
                <w:color w:val="231F20"/>
                <w:w w:val="105"/>
                <w:sz w:val="17"/>
              </w:rPr>
              <w:t>69.8</w:t>
            </w:r>
          </w:p>
        </w:tc>
        <w:tc>
          <w:tcPr>
            <w:tcW w:w="1016" w:type="dxa"/>
          </w:tcPr>
          <w:p>
            <w:pPr>
              <w:pStyle w:val="TableParagraph"/>
              <w:ind w:left="360"/>
              <w:jc w:val="left"/>
              <w:rPr>
                <w:sz w:val="17"/>
              </w:rPr>
            </w:pPr>
            <w:r>
              <w:rPr>
                <w:color w:val="231F20"/>
                <w:w w:val="105"/>
                <w:sz w:val="17"/>
              </w:rPr>
              <w:t>15.3</w:t>
            </w:r>
          </w:p>
        </w:tc>
        <w:tc>
          <w:tcPr>
            <w:tcW w:w="1073" w:type="dxa"/>
          </w:tcPr>
          <w:p>
            <w:pPr>
              <w:pStyle w:val="TableParagraph"/>
              <w:ind w:right="428"/>
              <w:jc w:val="right"/>
              <w:rPr>
                <w:sz w:val="17"/>
              </w:rPr>
            </w:pPr>
            <w:r>
              <w:rPr>
                <w:color w:val="231F20"/>
                <w:w w:val="105"/>
                <w:sz w:val="17"/>
              </w:rPr>
              <w:t>8.8</w:t>
            </w:r>
          </w:p>
        </w:tc>
        <w:tc>
          <w:tcPr>
            <w:tcW w:w="759" w:type="dxa"/>
          </w:tcPr>
          <w:p>
            <w:pPr>
              <w:pStyle w:val="TableParagraph"/>
              <w:ind w:left="190"/>
              <w:jc w:val="left"/>
              <w:rPr>
                <w:sz w:val="17"/>
              </w:rPr>
            </w:pPr>
            <w:r>
              <w:rPr>
                <w:color w:val="231F20"/>
                <w:sz w:val="17"/>
              </w:rPr>
              <w:t>100</w:t>
            </w:r>
          </w:p>
        </w:tc>
      </w:tr>
      <w:tr>
        <w:trPr>
          <w:trHeight w:val="210" w:hRule="exact"/>
        </w:trPr>
        <w:tc>
          <w:tcPr>
            <w:tcW w:w="1772" w:type="dxa"/>
          </w:tcPr>
          <w:p>
            <w:pPr>
              <w:pStyle w:val="TableParagraph"/>
              <w:ind w:left="35"/>
              <w:jc w:val="left"/>
              <w:rPr>
                <w:sz w:val="17"/>
              </w:rPr>
            </w:pPr>
            <w:r>
              <w:rPr>
                <w:color w:val="231F20"/>
                <w:w w:val="110"/>
                <w:sz w:val="17"/>
              </w:rPr>
              <w:t>Coahuila</w:t>
            </w:r>
          </w:p>
        </w:tc>
        <w:tc>
          <w:tcPr>
            <w:tcW w:w="778" w:type="dxa"/>
          </w:tcPr>
          <w:p>
            <w:pPr>
              <w:pStyle w:val="TableParagraph"/>
              <w:ind w:left="238"/>
              <w:jc w:val="left"/>
              <w:rPr>
                <w:sz w:val="17"/>
              </w:rPr>
            </w:pPr>
            <w:r>
              <w:rPr>
                <w:color w:val="231F20"/>
                <w:w w:val="105"/>
                <w:sz w:val="17"/>
              </w:rPr>
              <w:t>6.4</w:t>
            </w:r>
          </w:p>
        </w:tc>
        <w:tc>
          <w:tcPr>
            <w:tcW w:w="854" w:type="dxa"/>
          </w:tcPr>
          <w:p>
            <w:pPr>
              <w:pStyle w:val="TableParagraph"/>
              <w:ind w:left="97" w:right="84"/>
              <w:rPr>
                <w:sz w:val="17"/>
              </w:rPr>
            </w:pPr>
            <w:r>
              <w:rPr>
                <w:color w:val="231F20"/>
                <w:w w:val="105"/>
                <w:sz w:val="17"/>
              </w:rPr>
              <w:t>83.8</w:t>
            </w:r>
          </w:p>
        </w:tc>
        <w:tc>
          <w:tcPr>
            <w:tcW w:w="1023" w:type="dxa"/>
          </w:tcPr>
          <w:p>
            <w:pPr>
              <w:pStyle w:val="TableParagraph"/>
              <w:ind w:left="234" w:right="63"/>
              <w:rPr>
                <w:sz w:val="17"/>
              </w:rPr>
            </w:pPr>
            <w:r>
              <w:rPr>
                <w:color w:val="231F20"/>
                <w:w w:val="105"/>
                <w:sz w:val="17"/>
              </w:rPr>
              <w:t>5.2</w:t>
            </w:r>
          </w:p>
        </w:tc>
        <w:tc>
          <w:tcPr>
            <w:tcW w:w="1049" w:type="dxa"/>
          </w:tcPr>
          <w:p>
            <w:pPr>
              <w:pStyle w:val="TableParagraph"/>
              <w:ind w:left="314" w:right="361"/>
              <w:rPr>
                <w:sz w:val="17"/>
              </w:rPr>
            </w:pPr>
            <w:r>
              <w:rPr>
                <w:color w:val="231F20"/>
                <w:w w:val="105"/>
                <w:sz w:val="17"/>
              </w:rPr>
              <w:t>4.7</w:t>
            </w:r>
          </w:p>
        </w:tc>
        <w:tc>
          <w:tcPr>
            <w:tcW w:w="633" w:type="dxa"/>
          </w:tcPr>
          <w:p>
            <w:pPr>
              <w:pStyle w:val="TableParagraph"/>
              <w:ind w:left="104" w:right="111"/>
              <w:rPr>
                <w:sz w:val="17"/>
              </w:rPr>
            </w:pPr>
            <w:r>
              <w:rPr>
                <w:color w:val="231F20"/>
                <w:sz w:val="17"/>
              </w:rPr>
              <w:t>100</w:t>
            </w:r>
          </w:p>
        </w:tc>
        <w:tc>
          <w:tcPr>
            <w:tcW w:w="830" w:type="dxa"/>
          </w:tcPr>
          <w:p>
            <w:pPr>
              <w:pStyle w:val="TableParagraph"/>
              <w:ind w:left="114" w:right="76"/>
              <w:rPr>
                <w:sz w:val="17"/>
              </w:rPr>
            </w:pPr>
            <w:r>
              <w:rPr>
                <w:color w:val="231F20"/>
                <w:w w:val="105"/>
                <w:sz w:val="17"/>
              </w:rPr>
              <w:t>6.9</w:t>
            </w:r>
          </w:p>
        </w:tc>
        <w:tc>
          <w:tcPr>
            <w:tcW w:w="822" w:type="dxa"/>
          </w:tcPr>
          <w:p>
            <w:pPr>
              <w:pStyle w:val="TableParagraph"/>
              <w:ind w:left="72" w:right="74"/>
              <w:rPr>
                <w:sz w:val="17"/>
              </w:rPr>
            </w:pPr>
            <w:r>
              <w:rPr>
                <w:color w:val="231F20"/>
                <w:w w:val="105"/>
                <w:sz w:val="17"/>
              </w:rPr>
              <w:t>74.6</w:t>
            </w:r>
          </w:p>
        </w:tc>
        <w:tc>
          <w:tcPr>
            <w:tcW w:w="1016" w:type="dxa"/>
          </w:tcPr>
          <w:p>
            <w:pPr>
              <w:pStyle w:val="TableParagraph"/>
              <w:ind w:left="456"/>
              <w:jc w:val="left"/>
              <w:rPr>
                <w:sz w:val="17"/>
              </w:rPr>
            </w:pPr>
            <w:r>
              <w:rPr>
                <w:color w:val="231F20"/>
                <w:w w:val="105"/>
                <w:sz w:val="17"/>
              </w:rPr>
              <w:t>9.7</w:t>
            </w:r>
          </w:p>
        </w:tc>
        <w:tc>
          <w:tcPr>
            <w:tcW w:w="1073" w:type="dxa"/>
          </w:tcPr>
          <w:p>
            <w:pPr>
              <w:pStyle w:val="TableParagraph"/>
              <w:ind w:right="428"/>
              <w:jc w:val="right"/>
              <w:rPr>
                <w:sz w:val="17"/>
              </w:rPr>
            </w:pPr>
            <w:r>
              <w:rPr>
                <w:color w:val="231F20"/>
                <w:w w:val="105"/>
                <w:sz w:val="17"/>
              </w:rPr>
              <w:t>8.8</w:t>
            </w:r>
          </w:p>
        </w:tc>
        <w:tc>
          <w:tcPr>
            <w:tcW w:w="759" w:type="dxa"/>
          </w:tcPr>
          <w:p>
            <w:pPr>
              <w:pStyle w:val="TableParagraph"/>
              <w:ind w:left="190"/>
              <w:jc w:val="left"/>
              <w:rPr>
                <w:sz w:val="17"/>
              </w:rPr>
            </w:pPr>
            <w:r>
              <w:rPr>
                <w:color w:val="231F20"/>
                <w:sz w:val="17"/>
              </w:rPr>
              <w:t>100</w:t>
            </w:r>
          </w:p>
        </w:tc>
      </w:tr>
      <w:tr>
        <w:trPr>
          <w:trHeight w:val="210" w:hRule="exact"/>
        </w:trPr>
        <w:tc>
          <w:tcPr>
            <w:tcW w:w="1772" w:type="dxa"/>
          </w:tcPr>
          <w:p>
            <w:pPr>
              <w:pStyle w:val="TableParagraph"/>
              <w:ind w:left="35"/>
              <w:jc w:val="left"/>
              <w:rPr>
                <w:sz w:val="17"/>
              </w:rPr>
            </w:pPr>
            <w:r>
              <w:rPr>
                <w:color w:val="231F20"/>
                <w:w w:val="110"/>
                <w:sz w:val="17"/>
              </w:rPr>
              <w:t>Colima</w:t>
            </w:r>
          </w:p>
        </w:tc>
        <w:tc>
          <w:tcPr>
            <w:tcW w:w="778" w:type="dxa"/>
          </w:tcPr>
          <w:p>
            <w:pPr>
              <w:pStyle w:val="TableParagraph"/>
              <w:ind w:left="238"/>
              <w:jc w:val="left"/>
              <w:rPr>
                <w:sz w:val="17"/>
              </w:rPr>
            </w:pPr>
            <w:r>
              <w:rPr>
                <w:color w:val="231F20"/>
                <w:w w:val="105"/>
                <w:sz w:val="17"/>
              </w:rPr>
              <w:t>6.7</w:t>
            </w:r>
          </w:p>
        </w:tc>
        <w:tc>
          <w:tcPr>
            <w:tcW w:w="854" w:type="dxa"/>
          </w:tcPr>
          <w:p>
            <w:pPr>
              <w:pStyle w:val="TableParagraph"/>
              <w:ind w:left="97" w:right="84"/>
              <w:rPr>
                <w:sz w:val="17"/>
              </w:rPr>
            </w:pPr>
            <w:r>
              <w:rPr>
                <w:color w:val="231F20"/>
                <w:w w:val="105"/>
                <w:sz w:val="17"/>
              </w:rPr>
              <w:t>79.7</w:t>
            </w:r>
          </w:p>
        </w:tc>
        <w:tc>
          <w:tcPr>
            <w:tcW w:w="1023" w:type="dxa"/>
          </w:tcPr>
          <w:p>
            <w:pPr>
              <w:pStyle w:val="TableParagraph"/>
              <w:ind w:left="234" w:right="63"/>
              <w:rPr>
                <w:sz w:val="17"/>
              </w:rPr>
            </w:pPr>
            <w:r>
              <w:rPr>
                <w:color w:val="231F20"/>
                <w:w w:val="105"/>
                <w:sz w:val="17"/>
              </w:rPr>
              <w:t>8.7</w:t>
            </w:r>
          </w:p>
        </w:tc>
        <w:tc>
          <w:tcPr>
            <w:tcW w:w="1049" w:type="dxa"/>
          </w:tcPr>
          <w:p>
            <w:pPr>
              <w:pStyle w:val="TableParagraph"/>
              <w:ind w:left="314" w:right="361"/>
              <w:rPr>
                <w:sz w:val="17"/>
              </w:rPr>
            </w:pPr>
            <w:r>
              <w:rPr>
                <w:color w:val="231F20"/>
                <w:w w:val="105"/>
                <w:sz w:val="17"/>
              </w:rPr>
              <w:t>4.9</w:t>
            </w:r>
          </w:p>
        </w:tc>
        <w:tc>
          <w:tcPr>
            <w:tcW w:w="633" w:type="dxa"/>
          </w:tcPr>
          <w:p>
            <w:pPr>
              <w:pStyle w:val="TableParagraph"/>
              <w:ind w:left="104" w:right="111"/>
              <w:rPr>
                <w:sz w:val="17"/>
              </w:rPr>
            </w:pPr>
            <w:r>
              <w:rPr>
                <w:color w:val="231F20"/>
                <w:sz w:val="17"/>
              </w:rPr>
              <w:t>100</w:t>
            </w:r>
          </w:p>
        </w:tc>
        <w:tc>
          <w:tcPr>
            <w:tcW w:w="830" w:type="dxa"/>
          </w:tcPr>
          <w:p>
            <w:pPr>
              <w:pStyle w:val="TableParagraph"/>
              <w:ind w:left="114" w:right="76"/>
              <w:rPr>
                <w:sz w:val="17"/>
              </w:rPr>
            </w:pPr>
            <w:r>
              <w:rPr>
                <w:color w:val="231F20"/>
                <w:w w:val="105"/>
                <w:sz w:val="17"/>
              </w:rPr>
              <w:t>8.4</w:t>
            </w:r>
          </w:p>
        </w:tc>
        <w:tc>
          <w:tcPr>
            <w:tcW w:w="822" w:type="dxa"/>
          </w:tcPr>
          <w:p>
            <w:pPr>
              <w:pStyle w:val="TableParagraph"/>
              <w:ind w:left="72" w:right="74"/>
              <w:rPr>
                <w:sz w:val="17"/>
              </w:rPr>
            </w:pPr>
            <w:r>
              <w:rPr>
                <w:color w:val="231F20"/>
                <w:w w:val="105"/>
                <w:sz w:val="17"/>
              </w:rPr>
              <w:t>65.9</w:t>
            </w:r>
          </w:p>
        </w:tc>
        <w:tc>
          <w:tcPr>
            <w:tcW w:w="1016" w:type="dxa"/>
          </w:tcPr>
          <w:p>
            <w:pPr>
              <w:pStyle w:val="TableParagraph"/>
              <w:ind w:left="360"/>
              <w:jc w:val="left"/>
              <w:rPr>
                <w:sz w:val="17"/>
              </w:rPr>
            </w:pPr>
            <w:r>
              <w:rPr>
                <w:color w:val="231F20"/>
                <w:w w:val="105"/>
                <w:sz w:val="17"/>
              </w:rPr>
              <w:t>15.8</w:t>
            </w:r>
          </w:p>
        </w:tc>
        <w:tc>
          <w:tcPr>
            <w:tcW w:w="1073" w:type="dxa"/>
          </w:tcPr>
          <w:p>
            <w:pPr>
              <w:pStyle w:val="TableParagraph"/>
              <w:ind w:right="428"/>
              <w:jc w:val="right"/>
              <w:rPr>
                <w:sz w:val="17"/>
              </w:rPr>
            </w:pPr>
            <w:r>
              <w:rPr>
                <w:color w:val="231F20"/>
                <w:w w:val="105"/>
                <w:sz w:val="17"/>
              </w:rPr>
              <w:t>9.9</w:t>
            </w:r>
          </w:p>
        </w:tc>
        <w:tc>
          <w:tcPr>
            <w:tcW w:w="759" w:type="dxa"/>
          </w:tcPr>
          <w:p>
            <w:pPr>
              <w:pStyle w:val="TableParagraph"/>
              <w:ind w:left="190"/>
              <w:jc w:val="left"/>
              <w:rPr>
                <w:sz w:val="17"/>
              </w:rPr>
            </w:pPr>
            <w:r>
              <w:rPr>
                <w:color w:val="231F20"/>
                <w:sz w:val="17"/>
              </w:rPr>
              <w:t>100</w:t>
            </w:r>
          </w:p>
        </w:tc>
      </w:tr>
      <w:tr>
        <w:trPr>
          <w:trHeight w:val="223" w:hRule="exact"/>
        </w:trPr>
        <w:tc>
          <w:tcPr>
            <w:tcW w:w="1772" w:type="dxa"/>
          </w:tcPr>
          <w:p>
            <w:pPr>
              <w:pStyle w:val="TableParagraph"/>
              <w:ind w:left="35"/>
              <w:jc w:val="left"/>
              <w:rPr>
                <w:sz w:val="17"/>
              </w:rPr>
            </w:pPr>
            <w:r>
              <w:rPr>
                <w:color w:val="231F20"/>
                <w:w w:val="115"/>
                <w:sz w:val="17"/>
              </w:rPr>
              <w:t>Chiapas</w:t>
            </w:r>
          </w:p>
        </w:tc>
        <w:tc>
          <w:tcPr>
            <w:tcW w:w="778" w:type="dxa"/>
          </w:tcPr>
          <w:p>
            <w:pPr>
              <w:pStyle w:val="TableParagraph"/>
              <w:ind w:left="238"/>
              <w:jc w:val="left"/>
              <w:rPr>
                <w:sz w:val="17"/>
              </w:rPr>
            </w:pPr>
            <w:r>
              <w:rPr>
                <w:color w:val="231F20"/>
                <w:w w:val="105"/>
                <w:sz w:val="17"/>
              </w:rPr>
              <w:t>3.8</w:t>
            </w:r>
          </w:p>
        </w:tc>
        <w:tc>
          <w:tcPr>
            <w:tcW w:w="854" w:type="dxa"/>
          </w:tcPr>
          <w:p>
            <w:pPr>
              <w:pStyle w:val="TableParagraph"/>
              <w:ind w:left="97" w:right="84"/>
              <w:rPr>
                <w:sz w:val="17"/>
              </w:rPr>
            </w:pPr>
            <w:r>
              <w:rPr>
                <w:color w:val="231F20"/>
                <w:w w:val="105"/>
                <w:sz w:val="17"/>
              </w:rPr>
              <w:t>67.8</w:t>
            </w:r>
          </w:p>
        </w:tc>
        <w:tc>
          <w:tcPr>
            <w:tcW w:w="1023" w:type="dxa"/>
          </w:tcPr>
          <w:p>
            <w:pPr>
              <w:pStyle w:val="TableParagraph"/>
              <w:ind w:left="95" w:right="20"/>
              <w:rPr>
                <w:sz w:val="17"/>
              </w:rPr>
            </w:pPr>
            <w:r>
              <w:rPr>
                <w:color w:val="231F20"/>
                <w:w w:val="105"/>
                <w:sz w:val="17"/>
              </w:rPr>
              <w:t>23.1</w:t>
            </w:r>
          </w:p>
        </w:tc>
        <w:tc>
          <w:tcPr>
            <w:tcW w:w="1049" w:type="dxa"/>
          </w:tcPr>
          <w:p>
            <w:pPr>
              <w:pStyle w:val="TableParagraph"/>
              <w:ind w:left="314" w:right="361"/>
              <w:rPr>
                <w:sz w:val="17"/>
              </w:rPr>
            </w:pPr>
            <w:r>
              <w:rPr>
                <w:color w:val="231F20"/>
                <w:w w:val="105"/>
                <w:sz w:val="17"/>
              </w:rPr>
              <w:t>5.4</w:t>
            </w:r>
          </w:p>
        </w:tc>
        <w:tc>
          <w:tcPr>
            <w:tcW w:w="633" w:type="dxa"/>
          </w:tcPr>
          <w:p>
            <w:pPr>
              <w:pStyle w:val="TableParagraph"/>
              <w:ind w:left="104" w:right="111"/>
              <w:rPr>
                <w:sz w:val="17"/>
              </w:rPr>
            </w:pPr>
            <w:r>
              <w:rPr>
                <w:color w:val="231F20"/>
                <w:sz w:val="17"/>
              </w:rPr>
              <w:t>100</w:t>
            </w:r>
          </w:p>
        </w:tc>
        <w:tc>
          <w:tcPr>
            <w:tcW w:w="830" w:type="dxa"/>
          </w:tcPr>
          <w:p>
            <w:pPr>
              <w:pStyle w:val="TableParagraph"/>
              <w:ind w:left="114" w:right="76"/>
              <w:rPr>
                <w:sz w:val="17"/>
              </w:rPr>
            </w:pPr>
            <w:r>
              <w:rPr>
                <w:color w:val="231F20"/>
                <w:w w:val="105"/>
                <w:sz w:val="17"/>
              </w:rPr>
              <w:t>4.7</w:t>
            </w:r>
          </w:p>
        </w:tc>
        <w:tc>
          <w:tcPr>
            <w:tcW w:w="822" w:type="dxa"/>
          </w:tcPr>
          <w:p>
            <w:pPr>
              <w:pStyle w:val="TableParagraph"/>
              <w:ind w:left="72" w:right="74"/>
              <w:rPr>
                <w:sz w:val="17"/>
              </w:rPr>
            </w:pPr>
            <w:r>
              <w:rPr>
                <w:color w:val="231F20"/>
                <w:w w:val="105"/>
                <w:sz w:val="17"/>
              </w:rPr>
              <w:t>62.3</w:t>
            </w:r>
          </w:p>
        </w:tc>
        <w:tc>
          <w:tcPr>
            <w:tcW w:w="1016" w:type="dxa"/>
          </w:tcPr>
          <w:p>
            <w:pPr>
              <w:pStyle w:val="TableParagraph"/>
              <w:ind w:left="360"/>
              <w:jc w:val="left"/>
              <w:rPr>
                <w:sz w:val="17"/>
              </w:rPr>
            </w:pPr>
            <w:r>
              <w:rPr>
                <w:color w:val="231F20"/>
                <w:w w:val="105"/>
                <w:sz w:val="17"/>
              </w:rPr>
              <w:t>26.3</w:t>
            </w:r>
          </w:p>
        </w:tc>
        <w:tc>
          <w:tcPr>
            <w:tcW w:w="1073" w:type="dxa"/>
          </w:tcPr>
          <w:p>
            <w:pPr>
              <w:pStyle w:val="TableParagraph"/>
              <w:ind w:right="428"/>
              <w:jc w:val="right"/>
              <w:rPr>
                <w:sz w:val="17"/>
              </w:rPr>
            </w:pPr>
            <w:r>
              <w:rPr>
                <w:color w:val="231F20"/>
                <w:w w:val="105"/>
                <w:sz w:val="17"/>
              </w:rPr>
              <w:t>6.7</w:t>
            </w:r>
          </w:p>
        </w:tc>
        <w:tc>
          <w:tcPr>
            <w:tcW w:w="759" w:type="dxa"/>
          </w:tcPr>
          <w:p>
            <w:pPr>
              <w:pStyle w:val="TableParagraph"/>
              <w:ind w:left="190"/>
              <w:jc w:val="left"/>
              <w:rPr>
                <w:sz w:val="17"/>
              </w:rPr>
            </w:pPr>
            <w:r>
              <w:rPr>
                <w:color w:val="231F20"/>
                <w:sz w:val="17"/>
              </w:rPr>
              <w:t>100</w:t>
            </w:r>
          </w:p>
        </w:tc>
      </w:tr>
    </w:tbl>
    <w:p>
      <w:pPr>
        <w:spacing w:after="0"/>
        <w:jc w:val="left"/>
        <w:rPr>
          <w:sz w:val="17"/>
        </w:rPr>
        <w:sectPr>
          <w:footerReference w:type="default" r:id="rId73"/>
          <w:pgSz w:w="12920" w:h="9520" w:orient="landscape"/>
          <w:pgMar w:footer="2501" w:header="0" w:top="880" w:bottom="2700" w:left="1240" w:right="840"/>
          <w:pgNumType w:start="7"/>
        </w:sectPr>
      </w:pPr>
    </w:p>
    <w:p>
      <w:pPr>
        <w:pStyle w:val="BodyText"/>
        <w:spacing w:before="2"/>
        <w:rPr>
          <w:sz w:val="18"/>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31"/>
        <w:gridCol w:w="901"/>
        <w:gridCol w:w="936"/>
        <w:gridCol w:w="996"/>
        <w:gridCol w:w="880"/>
        <w:gridCol w:w="834"/>
        <w:gridCol w:w="743"/>
        <w:gridCol w:w="897"/>
        <w:gridCol w:w="953"/>
        <w:gridCol w:w="959"/>
        <w:gridCol w:w="879"/>
      </w:tblGrid>
      <w:tr>
        <w:trPr>
          <w:trHeight w:val="290" w:hRule="exact"/>
        </w:trPr>
        <w:tc>
          <w:tcPr>
            <w:tcW w:w="1631" w:type="dxa"/>
          </w:tcPr>
          <w:p>
            <w:pPr>
              <w:pStyle w:val="TableParagraph"/>
              <w:spacing w:line="240" w:lineRule="auto" w:before="75"/>
              <w:ind w:left="35"/>
              <w:jc w:val="left"/>
              <w:rPr>
                <w:sz w:val="17"/>
              </w:rPr>
            </w:pPr>
            <w:r>
              <w:rPr>
                <w:color w:val="231F20"/>
                <w:w w:val="110"/>
                <w:sz w:val="17"/>
              </w:rPr>
              <w:t>Michoacán</w:t>
            </w:r>
          </w:p>
        </w:tc>
        <w:tc>
          <w:tcPr>
            <w:tcW w:w="901" w:type="dxa"/>
          </w:tcPr>
          <w:p>
            <w:pPr>
              <w:pStyle w:val="TableParagraph"/>
              <w:spacing w:line="240" w:lineRule="auto" w:before="75"/>
              <w:ind w:right="282"/>
              <w:jc w:val="right"/>
              <w:rPr>
                <w:sz w:val="17"/>
              </w:rPr>
            </w:pPr>
            <w:r>
              <w:rPr>
                <w:color w:val="231F20"/>
                <w:w w:val="105"/>
                <w:sz w:val="17"/>
              </w:rPr>
              <w:t>4.3</w:t>
            </w:r>
          </w:p>
        </w:tc>
        <w:tc>
          <w:tcPr>
            <w:tcW w:w="936" w:type="dxa"/>
          </w:tcPr>
          <w:p>
            <w:pPr>
              <w:pStyle w:val="TableParagraph"/>
              <w:spacing w:line="240" w:lineRule="auto" w:before="75"/>
              <w:ind w:left="284"/>
              <w:jc w:val="left"/>
              <w:rPr>
                <w:sz w:val="17"/>
              </w:rPr>
            </w:pPr>
            <w:r>
              <w:rPr>
                <w:color w:val="231F20"/>
                <w:w w:val="105"/>
                <w:sz w:val="17"/>
              </w:rPr>
              <w:t>87.5</w:t>
            </w:r>
          </w:p>
        </w:tc>
        <w:tc>
          <w:tcPr>
            <w:tcW w:w="996" w:type="dxa"/>
          </w:tcPr>
          <w:p>
            <w:pPr>
              <w:pStyle w:val="TableParagraph"/>
              <w:spacing w:line="240" w:lineRule="auto" w:before="75"/>
              <w:ind w:right="342"/>
              <w:jc w:val="right"/>
              <w:rPr>
                <w:sz w:val="17"/>
              </w:rPr>
            </w:pPr>
            <w:r>
              <w:rPr>
                <w:color w:val="231F20"/>
                <w:w w:val="105"/>
                <w:sz w:val="17"/>
              </w:rPr>
              <w:t>4.8</w:t>
            </w:r>
          </w:p>
        </w:tc>
        <w:tc>
          <w:tcPr>
            <w:tcW w:w="880" w:type="dxa"/>
          </w:tcPr>
          <w:p>
            <w:pPr>
              <w:pStyle w:val="TableParagraph"/>
              <w:spacing w:line="240" w:lineRule="auto" w:before="75"/>
              <w:ind w:left="325" w:right="280"/>
              <w:rPr>
                <w:sz w:val="17"/>
              </w:rPr>
            </w:pPr>
            <w:r>
              <w:rPr>
                <w:color w:val="231F20"/>
                <w:w w:val="105"/>
                <w:sz w:val="17"/>
              </w:rPr>
              <w:t>3.4</w:t>
            </w:r>
          </w:p>
        </w:tc>
        <w:tc>
          <w:tcPr>
            <w:tcW w:w="834" w:type="dxa"/>
          </w:tcPr>
          <w:p>
            <w:pPr>
              <w:pStyle w:val="TableParagraph"/>
              <w:spacing w:line="240" w:lineRule="auto" w:before="75"/>
              <w:ind w:left="281" w:right="229"/>
              <w:rPr>
                <w:sz w:val="17"/>
              </w:rPr>
            </w:pPr>
            <w:r>
              <w:rPr>
                <w:color w:val="231F20"/>
                <w:sz w:val="17"/>
              </w:rPr>
              <w:t>100</w:t>
            </w:r>
          </w:p>
        </w:tc>
        <w:tc>
          <w:tcPr>
            <w:tcW w:w="743" w:type="dxa"/>
          </w:tcPr>
          <w:p>
            <w:pPr>
              <w:pStyle w:val="TableParagraph"/>
              <w:spacing w:line="240" w:lineRule="auto" w:before="75"/>
              <w:ind w:left="228" w:right="239"/>
              <w:rPr>
                <w:sz w:val="17"/>
              </w:rPr>
            </w:pPr>
            <w:r>
              <w:rPr>
                <w:color w:val="231F20"/>
                <w:w w:val="105"/>
                <w:sz w:val="17"/>
              </w:rPr>
              <w:t>6.3</w:t>
            </w:r>
          </w:p>
        </w:tc>
        <w:tc>
          <w:tcPr>
            <w:tcW w:w="897" w:type="dxa"/>
          </w:tcPr>
          <w:p>
            <w:pPr>
              <w:pStyle w:val="TableParagraph"/>
              <w:spacing w:line="240" w:lineRule="auto" w:before="75"/>
              <w:ind w:left="240" w:right="282"/>
              <w:rPr>
                <w:sz w:val="17"/>
              </w:rPr>
            </w:pPr>
            <w:r>
              <w:rPr>
                <w:color w:val="231F20"/>
                <w:w w:val="105"/>
                <w:sz w:val="17"/>
              </w:rPr>
              <w:t>78.5</w:t>
            </w:r>
          </w:p>
        </w:tc>
        <w:tc>
          <w:tcPr>
            <w:tcW w:w="953" w:type="dxa"/>
          </w:tcPr>
          <w:p>
            <w:pPr>
              <w:pStyle w:val="TableParagraph"/>
              <w:spacing w:line="240" w:lineRule="auto" w:before="75"/>
              <w:ind w:right="314"/>
              <w:jc w:val="right"/>
              <w:rPr>
                <w:sz w:val="17"/>
              </w:rPr>
            </w:pPr>
            <w:r>
              <w:rPr>
                <w:color w:val="231F20"/>
                <w:w w:val="105"/>
                <w:sz w:val="17"/>
              </w:rPr>
              <w:t>8.6</w:t>
            </w:r>
          </w:p>
        </w:tc>
        <w:tc>
          <w:tcPr>
            <w:tcW w:w="959" w:type="dxa"/>
          </w:tcPr>
          <w:p>
            <w:pPr>
              <w:pStyle w:val="TableParagraph"/>
              <w:spacing w:line="240" w:lineRule="auto" w:before="75"/>
              <w:ind w:right="308"/>
              <w:jc w:val="right"/>
              <w:rPr>
                <w:sz w:val="17"/>
              </w:rPr>
            </w:pPr>
            <w:r>
              <w:rPr>
                <w:color w:val="231F20"/>
                <w:w w:val="105"/>
                <w:sz w:val="17"/>
              </w:rPr>
              <w:t>6.6</w:t>
            </w:r>
          </w:p>
        </w:tc>
        <w:tc>
          <w:tcPr>
            <w:tcW w:w="879" w:type="dxa"/>
          </w:tcPr>
          <w:p>
            <w:pPr>
              <w:pStyle w:val="TableParagraph"/>
              <w:spacing w:line="240" w:lineRule="auto" w:before="75"/>
              <w:ind w:left="310"/>
              <w:jc w:val="left"/>
              <w:rPr>
                <w:sz w:val="17"/>
              </w:rPr>
            </w:pPr>
            <w:r>
              <w:rPr>
                <w:color w:val="231F20"/>
                <w:sz w:val="17"/>
              </w:rPr>
              <w:t>100</w:t>
            </w:r>
          </w:p>
        </w:tc>
      </w:tr>
      <w:tr>
        <w:trPr>
          <w:trHeight w:val="210" w:hRule="exact"/>
        </w:trPr>
        <w:tc>
          <w:tcPr>
            <w:tcW w:w="1631" w:type="dxa"/>
          </w:tcPr>
          <w:p>
            <w:pPr>
              <w:pStyle w:val="TableParagraph"/>
              <w:ind w:left="35"/>
              <w:jc w:val="left"/>
              <w:rPr>
                <w:sz w:val="17"/>
              </w:rPr>
            </w:pPr>
            <w:r>
              <w:rPr>
                <w:color w:val="231F20"/>
                <w:w w:val="110"/>
                <w:sz w:val="17"/>
              </w:rPr>
              <w:t>Morelos</w:t>
            </w:r>
          </w:p>
        </w:tc>
        <w:tc>
          <w:tcPr>
            <w:tcW w:w="901" w:type="dxa"/>
          </w:tcPr>
          <w:p>
            <w:pPr>
              <w:pStyle w:val="TableParagraph"/>
              <w:ind w:right="282"/>
              <w:jc w:val="right"/>
              <w:rPr>
                <w:sz w:val="17"/>
              </w:rPr>
            </w:pPr>
            <w:r>
              <w:rPr>
                <w:color w:val="231F20"/>
                <w:w w:val="105"/>
                <w:sz w:val="17"/>
              </w:rPr>
              <w:t>5.4</w:t>
            </w:r>
          </w:p>
        </w:tc>
        <w:tc>
          <w:tcPr>
            <w:tcW w:w="936" w:type="dxa"/>
          </w:tcPr>
          <w:p>
            <w:pPr>
              <w:pStyle w:val="TableParagraph"/>
              <w:ind w:left="284"/>
              <w:jc w:val="left"/>
              <w:rPr>
                <w:sz w:val="17"/>
              </w:rPr>
            </w:pPr>
            <w:r>
              <w:rPr>
                <w:color w:val="231F20"/>
                <w:w w:val="105"/>
                <w:sz w:val="17"/>
              </w:rPr>
              <w:t>76.7</w:t>
            </w:r>
          </w:p>
        </w:tc>
        <w:tc>
          <w:tcPr>
            <w:tcW w:w="996" w:type="dxa"/>
          </w:tcPr>
          <w:p>
            <w:pPr>
              <w:pStyle w:val="TableParagraph"/>
              <w:ind w:right="342"/>
              <w:jc w:val="right"/>
              <w:rPr>
                <w:sz w:val="17"/>
              </w:rPr>
            </w:pPr>
            <w:r>
              <w:rPr>
                <w:color w:val="231F20"/>
                <w:sz w:val="17"/>
              </w:rPr>
              <w:t>13.4</w:t>
            </w:r>
          </w:p>
        </w:tc>
        <w:tc>
          <w:tcPr>
            <w:tcW w:w="880" w:type="dxa"/>
          </w:tcPr>
          <w:p>
            <w:pPr>
              <w:pStyle w:val="TableParagraph"/>
              <w:ind w:left="325" w:right="280"/>
              <w:rPr>
                <w:sz w:val="17"/>
              </w:rPr>
            </w:pPr>
            <w:r>
              <w:rPr>
                <w:color w:val="231F20"/>
                <w:w w:val="105"/>
                <w:sz w:val="17"/>
              </w:rPr>
              <w:t>4.5</w:t>
            </w:r>
          </w:p>
        </w:tc>
        <w:tc>
          <w:tcPr>
            <w:tcW w:w="834" w:type="dxa"/>
          </w:tcPr>
          <w:p>
            <w:pPr>
              <w:pStyle w:val="TableParagraph"/>
              <w:ind w:left="281" w:right="229"/>
              <w:rPr>
                <w:sz w:val="17"/>
              </w:rPr>
            </w:pPr>
            <w:r>
              <w:rPr>
                <w:color w:val="231F20"/>
                <w:sz w:val="17"/>
              </w:rPr>
              <w:t>100</w:t>
            </w:r>
          </w:p>
        </w:tc>
        <w:tc>
          <w:tcPr>
            <w:tcW w:w="743" w:type="dxa"/>
          </w:tcPr>
          <w:p>
            <w:pPr>
              <w:pStyle w:val="TableParagraph"/>
              <w:ind w:left="228" w:right="239"/>
              <w:rPr>
                <w:sz w:val="17"/>
              </w:rPr>
            </w:pPr>
            <w:r>
              <w:rPr>
                <w:color w:val="231F20"/>
                <w:w w:val="105"/>
                <w:sz w:val="17"/>
              </w:rPr>
              <w:t>7.2</w:t>
            </w:r>
          </w:p>
        </w:tc>
        <w:tc>
          <w:tcPr>
            <w:tcW w:w="897" w:type="dxa"/>
          </w:tcPr>
          <w:p>
            <w:pPr>
              <w:pStyle w:val="TableParagraph"/>
              <w:ind w:left="240" w:right="282"/>
              <w:rPr>
                <w:sz w:val="17"/>
              </w:rPr>
            </w:pPr>
            <w:r>
              <w:rPr>
                <w:color w:val="231F20"/>
                <w:w w:val="105"/>
                <w:sz w:val="17"/>
              </w:rPr>
              <w:t>63.4</w:t>
            </w:r>
          </w:p>
        </w:tc>
        <w:tc>
          <w:tcPr>
            <w:tcW w:w="953" w:type="dxa"/>
          </w:tcPr>
          <w:p>
            <w:pPr>
              <w:pStyle w:val="TableParagraph"/>
              <w:ind w:right="314"/>
              <w:jc w:val="right"/>
              <w:rPr>
                <w:sz w:val="17"/>
              </w:rPr>
            </w:pPr>
            <w:r>
              <w:rPr>
                <w:color w:val="231F20"/>
                <w:sz w:val="17"/>
              </w:rPr>
              <w:t>20.2</w:t>
            </w:r>
          </w:p>
        </w:tc>
        <w:tc>
          <w:tcPr>
            <w:tcW w:w="959" w:type="dxa"/>
          </w:tcPr>
          <w:p>
            <w:pPr>
              <w:pStyle w:val="TableParagraph"/>
              <w:ind w:right="308"/>
              <w:jc w:val="right"/>
              <w:rPr>
                <w:sz w:val="17"/>
              </w:rPr>
            </w:pPr>
            <w:r>
              <w:rPr>
                <w:color w:val="231F20"/>
                <w:w w:val="105"/>
                <w:sz w:val="17"/>
              </w:rPr>
              <w:t>9.2</w:t>
            </w:r>
          </w:p>
        </w:tc>
        <w:tc>
          <w:tcPr>
            <w:tcW w:w="879" w:type="dxa"/>
          </w:tcPr>
          <w:p>
            <w:pPr>
              <w:pStyle w:val="TableParagraph"/>
              <w:ind w:left="310"/>
              <w:jc w:val="left"/>
              <w:rPr>
                <w:sz w:val="17"/>
              </w:rPr>
            </w:pPr>
            <w:r>
              <w:rPr>
                <w:color w:val="231F20"/>
                <w:sz w:val="17"/>
              </w:rPr>
              <w:t>100</w:t>
            </w:r>
          </w:p>
        </w:tc>
      </w:tr>
      <w:tr>
        <w:trPr>
          <w:trHeight w:val="210" w:hRule="exact"/>
        </w:trPr>
        <w:tc>
          <w:tcPr>
            <w:tcW w:w="1631" w:type="dxa"/>
          </w:tcPr>
          <w:p>
            <w:pPr>
              <w:pStyle w:val="TableParagraph"/>
              <w:ind w:left="35"/>
              <w:jc w:val="left"/>
              <w:rPr>
                <w:sz w:val="17"/>
              </w:rPr>
            </w:pPr>
            <w:r>
              <w:rPr>
                <w:color w:val="231F20"/>
                <w:w w:val="110"/>
                <w:sz w:val="17"/>
              </w:rPr>
              <w:t>Nayarit</w:t>
            </w:r>
          </w:p>
        </w:tc>
        <w:tc>
          <w:tcPr>
            <w:tcW w:w="901" w:type="dxa"/>
          </w:tcPr>
          <w:p>
            <w:pPr>
              <w:pStyle w:val="TableParagraph"/>
              <w:ind w:right="282"/>
              <w:jc w:val="right"/>
              <w:rPr>
                <w:sz w:val="17"/>
              </w:rPr>
            </w:pPr>
            <w:r>
              <w:rPr>
                <w:color w:val="231F20"/>
                <w:w w:val="105"/>
                <w:sz w:val="17"/>
              </w:rPr>
              <w:t>7.3</w:t>
            </w:r>
          </w:p>
        </w:tc>
        <w:tc>
          <w:tcPr>
            <w:tcW w:w="936" w:type="dxa"/>
          </w:tcPr>
          <w:p>
            <w:pPr>
              <w:pStyle w:val="TableParagraph"/>
              <w:ind w:left="284"/>
              <w:jc w:val="left"/>
              <w:rPr>
                <w:sz w:val="17"/>
              </w:rPr>
            </w:pPr>
            <w:r>
              <w:rPr>
                <w:color w:val="231F20"/>
                <w:w w:val="105"/>
                <w:sz w:val="17"/>
              </w:rPr>
              <w:t>69.8</w:t>
            </w:r>
          </w:p>
        </w:tc>
        <w:tc>
          <w:tcPr>
            <w:tcW w:w="996" w:type="dxa"/>
          </w:tcPr>
          <w:p>
            <w:pPr>
              <w:pStyle w:val="TableParagraph"/>
              <w:ind w:right="342"/>
              <w:jc w:val="right"/>
              <w:rPr>
                <w:sz w:val="17"/>
              </w:rPr>
            </w:pPr>
            <w:r>
              <w:rPr>
                <w:color w:val="231F20"/>
                <w:sz w:val="17"/>
              </w:rPr>
              <w:t>18.7</w:t>
            </w:r>
          </w:p>
        </w:tc>
        <w:tc>
          <w:tcPr>
            <w:tcW w:w="880" w:type="dxa"/>
          </w:tcPr>
          <w:p>
            <w:pPr>
              <w:pStyle w:val="TableParagraph"/>
              <w:ind w:left="325" w:right="280"/>
              <w:rPr>
                <w:sz w:val="17"/>
              </w:rPr>
            </w:pPr>
            <w:r>
              <w:rPr>
                <w:color w:val="231F20"/>
                <w:w w:val="105"/>
                <w:sz w:val="17"/>
              </w:rPr>
              <w:t>4.1</w:t>
            </w:r>
          </w:p>
        </w:tc>
        <w:tc>
          <w:tcPr>
            <w:tcW w:w="834" w:type="dxa"/>
          </w:tcPr>
          <w:p>
            <w:pPr>
              <w:pStyle w:val="TableParagraph"/>
              <w:ind w:left="281" w:right="229"/>
              <w:rPr>
                <w:sz w:val="17"/>
              </w:rPr>
            </w:pPr>
            <w:r>
              <w:rPr>
                <w:color w:val="231F20"/>
                <w:sz w:val="17"/>
              </w:rPr>
              <w:t>100</w:t>
            </w:r>
          </w:p>
        </w:tc>
        <w:tc>
          <w:tcPr>
            <w:tcW w:w="743" w:type="dxa"/>
          </w:tcPr>
          <w:p>
            <w:pPr>
              <w:pStyle w:val="TableParagraph"/>
              <w:ind w:left="228" w:right="239"/>
              <w:rPr>
                <w:sz w:val="17"/>
              </w:rPr>
            </w:pPr>
            <w:r>
              <w:rPr>
                <w:color w:val="231F20"/>
                <w:w w:val="105"/>
                <w:sz w:val="17"/>
              </w:rPr>
              <w:t>9.2</w:t>
            </w:r>
          </w:p>
        </w:tc>
        <w:tc>
          <w:tcPr>
            <w:tcW w:w="897" w:type="dxa"/>
          </w:tcPr>
          <w:p>
            <w:pPr>
              <w:pStyle w:val="TableParagraph"/>
              <w:ind w:left="240" w:right="282"/>
              <w:rPr>
                <w:sz w:val="17"/>
              </w:rPr>
            </w:pPr>
            <w:r>
              <w:rPr>
                <w:color w:val="231F20"/>
                <w:w w:val="105"/>
                <w:sz w:val="17"/>
              </w:rPr>
              <w:t>61.1</w:t>
            </w:r>
          </w:p>
        </w:tc>
        <w:tc>
          <w:tcPr>
            <w:tcW w:w="953" w:type="dxa"/>
          </w:tcPr>
          <w:p>
            <w:pPr>
              <w:pStyle w:val="TableParagraph"/>
              <w:ind w:right="314"/>
              <w:jc w:val="right"/>
              <w:rPr>
                <w:sz w:val="17"/>
              </w:rPr>
            </w:pPr>
            <w:r>
              <w:rPr>
                <w:color w:val="231F20"/>
                <w:sz w:val="17"/>
              </w:rPr>
              <w:t>21.2</w:t>
            </w:r>
          </w:p>
        </w:tc>
        <w:tc>
          <w:tcPr>
            <w:tcW w:w="959" w:type="dxa"/>
          </w:tcPr>
          <w:p>
            <w:pPr>
              <w:pStyle w:val="TableParagraph"/>
              <w:ind w:right="308"/>
              <w:jc w:val="right"/>
              <w:rPr>
                <w:sz w:val="17"/>
              </w:rPr>
            </w:pPr>
            <w:r>
              <w:rPr>
                <w:color w:val="231F20"/>
                <w:w w:val="105"/>
                <w:sz w:val="17"/>
              </w:rPr>
              <w:t>8.5</w:t>
            </w:r>
          </w:p>
        </w:tc>
        <w:tc>
          <w:tcPr>
            <w:tcW w:w="879" w:type="dxa"/>
          </w:tcPr>
          <w:p>
            <w:pPr>
              <w:pStyle w:val="TableParagraph"/>
              <w:ind w:left="310"/>
              <w:jc w:val="left"/>
              <w:rPr>
                <w:sz w:val="17"/>
              </w:rPr>
            </w:pPr>
            <w:r>
              <w:rPr>
                <w:color w:val="231F20"/>
                <w:sz w:val="17"/>
              </w:rPr>
              <w:t>100</w:t>
            </w:r>
          </w:p>
        </w:tc>
      </w:tr>
      <w:tr>
        <w:trPr>
          <w:trHeight w:val="210" w:hRule="exact"/>
        </w:trPr>
        <w:tc>
          <w:tcPr>
            <w:tcW w:w="1631" w:type="dxa"/>
          </w:tcPr>
          <w:p>
            <w:pPr>
              <w:pStyle w:val="TableParagraph"/>
              <w:ind w:left="35"/>
              <w:jc w:val="left"/>
              <w:rPr>
                <w:sz w:val="17"/>
              </w:rPr>
            </w:pPr>
            <w:r>
              <w:rPr>
                <w:color w:val="231F20"/>
                <w:w w:val="110"/>
                <w:sz w:val="17"/>
              </w:rPr>
              <w:t>Nuevo León</w:t>
            </w:r>
          </w:p>
        </w:tc>
        <w:tc>
          <w:tcPr>
            <w:tcW w:w="901" w:type="dxa"/>
          </w:tcPr>
          <w:p>
            <w:pPr>
              <w:pStyle w:val="TableParagraph"/>
              <w:ind w:right="282"/>
              <w:jc w:val="right"/>
              <w:rPr>
                <w:sz w:val="17"/>
              </w:rPr>
            </w:pPr>
            <w:r>
              <w:rPr>
                <w:color w:val="231F20"/>
                <w:w w:val="105"/>
                <w:sz w:val="17"/>
              </w:rPr>
              <w:t>5.6</w:t>
            </w:r>
          </w:p>
        </w:tc>
        <w:tc>
          <w:tcPr>
            <w:tcW w:w="936" w:type="dxa"/>
          </w:tcPr>
          <w:p>
            <w:pPr>
              <w:pStyle w:val="TableParagraph"/>
              <w:ind w:left="284"/>
              <w:jc w:val="left"/>
              <w:rPr>
                <w:sz w:val="17"/>
              </w:rPr>
            </w:pPr>
            <w:r>
              <w:rPr>
                <w:color w:val="231F20"/>
                <w:w w:val="105"/>
                <w:sz w:val="17"/>
              </w:rPr>
              <w:t>87.1</w:t>
            </w:r>
          </w:p>
        </w:tc>
        <w:tc>
          <w:tcPr>
            <w:tcW w:w="996" w:type="dxa"/>
          </w:tcPr>
          <w:p>
            <w:pPr>
              <w:pStyle w:val="TableParagraph"/>
              <w:ind w:right="342"/>
              <w:jc w:val="right"/>
              <w:rPr>
                <w:sz w:val="17"/>
              </w:rPr>
            </w:pPr>
            <w:r>
              <w:rPr>
                <w:color w:val="231F20"/>
                <w:w w:val="105"/>
                <w:sz w:val="17"/>
              </w:rPr>
              <w:t>3.5</w:t>
            </w:r>
          </w:p>
        </w:tc>
        <w:tc>
          <w:tcPr>
            <w:tcW w:w="880" w:type="dxa"/>
          </w:tcPr>
          <w:p>
            <w:pPr>
              <w:pStyle w:val="TableParagraph"/>
              <w:ind w:left="325" w:right="280"/>
              <w:rPr>
                <w:sz w:val="17"/>
              </w:rPr>
            </w:pPr>
            <w:r>
              <w:rPr>
                <w:color w:val="231F20"/>
                <w:w w:val="105"/>
                <w:sz w:val="17"/>
              </w:rPr>
              <w:t>3.8</w:t>
            </w:r>
          </w:p>
        </w:tc>
        <w:tc>
          <w:tcPr>
            <w:tcW w:w="834" w:type="dxa"/>
          </w:tcPr>
          <w:p>
            <w:pPr>
              <w:pStyle w:val="TableParagraph"/>
              <w:ind w:left="281" w:right="229"/>
              <w:rPr>
                <w:sz w:val="17"/>
              </w:rPr>
            </w:pPr>
            <w:r>
              <w:rPr>
                <w:color w:val="231F20"/>
                <w:sz w:val="17"/>
              </w:rPr>
              <w:t>100</w:t>
            </w:r>
          </w:p>
        </w:tc>
        <w:tc>
          <w:tcPr>
            <w:tcW w:w="743" w:type="dxa"/>
          </w:tcPr>
          <w:p>
            <w:pPr>
              <w:pStyle w:val="TableParagraph"/>
              <w:ind w:left="228" w:right="239"/>
              <w:rPr>
                <w:sz w:val="17"/>
              </w:rPr>
            </w:pPr>
            <w:r>
              <w:rPr>
                <w:color w:val="231F20"/>
                <w:w w:val="105"/>
                <w:sz w:val="17"/>
              </w:rPr>
              <w:t>7.2</w:t>
            </w:r>
          </w:p>
        </w:tc>
        <w:tc>
          <w:tcPr>
            <w:tcW w:w="897" w:type="dxa"/>
          </w:tcPr>
          <w:p>
            <w:pPr>
              <w:pStyle w:val="TableParagraph"/>
              <w:ind w:left="240" w:right="282"/>
              <w:rPr>
                <w:sz w:val="17"/>
              </w:rPr>
            </w:pPr>
            <w:r>
              <w:rPr>
                <w:color w:val="231F20"/>
                <w:w w:val="105"/>
                <w:sz w:val="17"/>
              </w:rPr>
              <w:t>76.7</w:t>
            </w:r>
          </w:p>
        </w:tc>
        <w:tc>
          <w:tcPr>
            <w:tcW w:w="953" w:type="dxa"/>
          </w:tcPr>
          <w:p>
            <w:pPr>
              <w:pStyle w:val="TableParagraph"/>
              <w:ind w:right="314"/>
              <w:jc w:val="right"/>
              <w:rPr>
                <w:sz w:val="17"/>
              </w:rPr>
            </w:pPr>
            <w:r>
              <w:rPr>
                <w:color w:val="231F20"/>
                <w:w w:val="105"/>
                <w:sz w:val="17"/>
              </w:rPr>
              <w:t>7.9</w:t>
            </w:r>
          </w:p>
        </w:tc>
        <w:tc>
          <w:tcPr>
            <w:tcW w:w="959" w:type="dxa"/>
          </w:tcPr>
          <w:p>
            <w:pPr>
              <w:pStyle w:val="TableParagraph"/>
              <w:ind w:right="308"/>
              <w:jc w:val="right"/>
              <w:rPr>
                <w:sz w:val="17"/>
              </w:rPr>
            </w:pPr>
            <w:r>
              <w:rPr>
                <w:color w:val="231F20"/>
                <w:w w:val="105"/>
                <w:sz w:val="17"/>
              </w:rPr>
              <w:t>8.2</w:t>
            </w:r>
          </w:p>
        </w:tc>
        <w:tc>
          <w:tcPr>
            <w:tcW w:w="879" w:type="dxa"/>
          </w:tcPr>
          <w:p>
            <w:pPr>
              <w:pStyle w:val="TableParagraph"/>
              <w:ind w:left="310"/>
              <w:jc w:val="left"/>
              <w:rPr>
                <w:sz w:val="17"/>
              </w:rPr>
            </w:pPr>
            <w:r>
              <w:rPr>
                <w:color w:val="231F20"/>
                <w:sz w:val="17"/>
              </w:rPr>
              <w:t>100</w:t>
            </w:r>
          </w:p>
        </w:tc>
      </w:tr>
      <w:tr>
        <w:trPr>
          <w:trHeight w:val="210" w:hRule="exact"/>
        </w:trPr>
        <w:tc>
          <w:tcPr>
            <w:tcW w:w="1631" w:type="dxa"/>
          </w:tcPr>
          <w:p>
            <w:pPr>
              <w:pStyle w:val="TableParagraph"/>
              <w:ind w:left="35"/>
              <w:jc w:val="left"/>
              <w:rPr>
                <w:sz w:val="17"/>
              </w:rPr>
            </w:pPr>
            <w:r>
              <w:rPr>
                <w:color w:val="231F20"/>
                <w:w w:val="115"/>
                <w:sz w:val="17"/>
              </w:rPr>
              <w:t>Oaxaca</w:t>
            </w:r>
          </w:p>
        </w:tc>
        <w:tc>
          <w:tcPr>
            <w:tcW w:w="901" w:type="dxa"/>
          </w:tcPr>
          <w:p>
            <w:pPr>
              <w:pStyle w:val="TableParagraph"/>
              <w:ind w:right="282"/>
              <w:jc w:val="right"/>
              <w:rPr>
                <w:sz w:val="17"/>
              </w:rPr>
            </w:pPr>
            <w:r>
              <w:rPr>
                <w:color w:val="231F20"/>
                <w:w w:val="105"/>
                <w:sz w:val="17"/>
              </w:rPr>
              <w:t>4.2</w:t>
            </w:r>
          </w:p>
        </w:tc>
        <w:tc>
          <w:tcPr>
            <w:tcW w:w="936" w:type="dxa"/>
          </w:tcPr>
          <w:p>
            <w:pPr>
              <w:pStyle w:val="TableParagraph"/>
              <w:ind w:left="284"/>
              <w:jc w:val="left"/>
              <w:rPr>
                <w:sz w:val="17"/>
              </w:rPr>
            </w:pPr>
            <w:r>
              <w:rPr>
                <w:color w:val="231F20"/>
                <w:w w:val="105"/>
                <w:sz w:val="17"/>
              </w:rPr>
              <w:t>80.2</w:t>
            </w:r>
          </w:p>
        </w:tc>
        <w:tc>
          <w:tcPr>
            <w:tcW w:w="996" w:type="dxa"/>
          </w:tcPr>
          <w:p>
            <w:pPr>
              <w:pStyle w:val="TableParagraph"/>
              <w:ind w:right="342"/>
              <w:jc w:val="right"/>
              <w:rPr>
                <w:sz w:val="17"/>
              </w:rPr>
            </w:pPr>
            <w:r>
              <w:rPr>
                <w:color w:val="231F20"/>
                <w:sz w:val="17"/>
              </w:rPr>
              <w:t>10.9</w:t>
            </w:r>
          </w:p>
        </w:tc>
        <w:tc>
          <w:tcPr>
            <w:tcW w:w="880" w:type="dxa"/>
          </w:tcPr>
          <w:p>
            <w:pPr>
              <w:pStyle w:val="TableParagraph"/>
              <w:ind w:left="325" w:right="280"/>
              <w:rPr>
                <w:sz w:val="17"/>
              </w:rPr>
            </w:pPr>
            <w:r>
              <w:rPr>
                <w:color w:val="231F20"/>
                <w:w w:val="105"/>
                <w:sz w:val="17"/>
              </w:rPr>
              <w:t>4.7</w:t>
            </w:r>
          </w:p>
        </w:tc>
        <w:tc>
          <w:tcPr>
            <w:tcW w:w="834" w:type="dxa"/>
          </w:tcPr>
          <w:p>
            <w:pPr>
              <w:pStyle w:val="TableParagraph"/>
              <w:ind w:left="281" w:right="229"/>
              <w:rPr>
                <w:sz w:val="17"/>
              </w:rPr>
            </w:pPr>
            <w:r>
              <w:rPr>
                <w:color w:val="231F20"/>
                <w:sz w:val="17"/>
              </w:rPr>
              <w:t>100</w:t>
            </w:r>
          </w:p>
        </w:tc>
        <w:tc>
          <w:tcPr>
            <w:tcW w:w="743" w:type="dxa"/>
          </w:tcPr>
          <w:p>
            <w:pPr>
              <w:pStyle w:val="TableParagraph"/>
              <w:ind w:left="228" w:right="239"/>
              <w:rPr>
                <w:sz w:val="17"/>
              </w:rPr>
            </w:pPr>
            <w:r>
              <w:rPr>
                <w:color w:val="231F20"/>
                <w:w w:val="105"/>
                <w:sz w:val="17"/>
              </w:rPr>
              <w:t>6.0</w:t>
            </w:r>
          </w:p>
        </w:tc>
        <w:tc>
          <w:tcPr>
            <w:tcW w:w="897" w:type="dxa"/>
          </w:tcPr>
          <w:p>
            <w:pPr>
              <w:pStyle w:val="TableParagraph"/>
              <w:ind w:left="240" w:right="282"/>
              <w:rPr>
                <w:sz w:val="17"/>
              </w:rPr>
            </w:pPr>
            <w:r>
              <w:rPr>
                <w:color w:val="231F20"/>
                <w:w w:val="105"/>
                <w:sz w:val="17"/>
              </w:rPr>
              <w:t>72.9</w:t>
            </w:r>
          </w:p>
        </w:tc>
        <w:tc>
          <w:tcPr>
            <w:tcW w:w="953" w:type="dxa"/>
          </w:tcPr>
          <w:p>
            <w:pPr>
              <w:pStyle w:val="TableParagraph"/>
              <w:ind w:right="314"/>
              <w:jc w:val="right"/>
              <w:rPr>
                <w:sz w:val="17"/>
              </w:rPr>
            </w:pPr>
            <w:r>
              <w:rPr>
                <w:color w:val="231F20"/>
                <w:sz w:val="17"/>
              </w:rPr>
              <w:t>15.0</w:t>
            </w:r>
          </w:p>
        </w:tc>
        <w:tc>
          <w:tcPr>
            <w:tcW w:w="959" w:type="dxa"/>
          </w:tcPr>
          <w:p>
            <w:pPr>
              <w:pStyle w:val="TableParagraph"/>
              <w:ind w:right="308"/>
              <w:jc w:val="right"/>
              <w:rPr>
                <w:sz w:val="17"/>
              </w:rPr>
            </w:pPr>
            <w:r>
              <w:rPr>
                <w:color w:val="231F20"/>
                <w:w w:val="105"/>
                <w:sz w:val="17"/>
              </w:rPr>
              <w:t>6.1</w:t>
            </w:r>
          </w:p>
        </w:tc>
        <w:tc>
          <w:tcPr>
            <w:tcW w:w="879" w:type="dxa"/>
          </w:tcPr>
          <w:p>
            <w:pPr>
              <w:pStyle w:val="TableParagraph"/>
              <w:ind w:left="310"/>
              <w:jc w:val="left"/>
              <w:rPr>
                <w:sz w:val="17"/>
              </w:rPr>
            </w:pPr>
            <w:r>
              <w:rPr>
                <w:color w:val="231F20"/>
                <w:sz w:val="17"/>
              </w:rPr>
              <w:t>100</w:t>
            </w:r>
          </w:p>
        </w:tc>
      </w:tr>
      <w:tr>
        <w:trPr>
          <w:trHeight w:val="210" w:hRule="exact"/>
        </w:trPr>
        <w:tc>
          <w:tcPr>
            <w:tcW w:w="1631" w:type="dxa"/>
          </w:tcPr>
          <w:p>
            <w:pPr>
              <w:pStyle w:val="TableParagraph"/>
              <w:ind w:left="35"/>
              <w:jc w:val="left"/>
              <w:rPr>
                <w:sz w:val="17"/>
              </w:rPr>
            </w:pPr>
            <w:r>
              <w:rPr>
                <w:color w:val="231F20"/>
                <w:w w:val="105"/>
                <w:sz w:val="17"/>
              </w:rPr>
              <w:t>Puebla</w:t>
            </w:r>
          </w:p>
        </w:tc>
        <w:tc>
          <w:tcPr>
            <w:tcW w:w="901" w:type="dxa"/>
          </w:tcPr>
          <w:p>
            <w:pPr>
              <w:pStyle w:val="TableParagraph"/>
              <w:ind w:right="282"/>
              <w:jc w:val="right"/>
              <w:rPr>
                <w:sz w:val="17"/>
              </w:rPr>
            </w:pPr>
            <w:r>
              <w:rPr>
                <w:color w:val="231F20"/>
                <w:w w:val="105"/>
                <w:sz w:val="17"/>
              </w:rPr>
              <w:t>4.4</w:t>
            </w:r>
          </w:p>
        </w:tc>
        <w:tc>
          <w:tcPr>
            <w:tcW w:w="936" w:type="dxa"/>
          </w:tcPr>
          <w:p>
            <w:pPr>
              <w:pStyle w:val="TableParagraph"/>
              <w:ind w:left="284"/>
              <w:jc w:val="left"/>
              <w:rPr>
                <w:sz w:val="17"/>
              </w:rPr>
            </w:pPr>
            <w:r>
              <w:rPr>
                <w:color w:val="231F20"/>
                <w:w w:val="105"/>
                <w:sz w:val="17"/>
              </w:rPr>
              <w:t>81.6</w:t>
            </w:r>
          </w:p>
        </w:tc>
        <w:tc>
          <w:tcPr>
            <w:tcW w:w="996" w:type="dxa"/>
          </w:tcPr>
          <w:p>
            <w:pPr>
              <w:pStyle w:val="TableParagraph"/>
              <w:ind w:right="342"/>
              <w:jc w:val="right"/>
              <w:rPr>
                <w:sz w:val="17"/>
              </w:rPr>
            </w:pPr>
            <w:r>
              <w:rPr>
                <w:color w:val="231F20"/>
                <w:w w:val="105"/>
                <w:sz w:val="17"/>
              </w:rPr>
              <w:t>9.5</w:t>
            </w:r>
          </w:p>
        </w:tc>
        <w:tc>
          <w:tcPr>
            <w:tcW w:w="880" w:type="dxa"/>
          </w:tcPr>
          <w:p>
            <w:pPr>
              <w:pStyle w:val="TableParagraph"/>
              <w:ind w:left="325" w:right="280"/>
              <w:rPr>
                <w:sz w:val="17"/>
              </w:rPr>
            </w:pPr>
            <w:r>
              <w:rPr>
                <w:color w:val="231F20"/>
                <w:w w:val="105"/>
                <w:sz w:val="17"/>
              </w:rPr>
              <w:t>4.5</w:t>
            </w:r>
          </w:p>
        </w:tc>
        <w:tc>
          <w:tcPr>
            <w:tcW w:w="834" w:type="dxa"/>
          </w:tcPr>
          <w:p>
            <w:pPr>
              <w:pStyle w:val="TableParagraph"/>
              <w:ind w:left="281" w:right="229"/>
              <w:rPr>
                <w:sz w:val="17"/>
              </w:rPr>
            </w:pPr>
            <w:r>
              <w:rPr>
                <w:color w:val="231F20"/>
                <w:sz w:val="17"/>
              </w:rPr>
              <w:t>100</w:t>
            </w:r>
          </w:p>
        </w:tc>
        <w:tc>
          <w:tcPr>
            <w:tcW w:w="743" w:type="dxa"/>
          </w:tcPr>
          <w:p>
            <w:pPr>
              <w:pStyle w:val="TableParagraph"/>
              <w:ind w:left="228" w:right="239"/>
              <w:rPr>
                <w:sz w:val="17"/>
              </w:rPr>
            </w:pPr>
            <w:r>
              <w:rPr>
                <w:color w:val="231F20"/>
                <w:w w:val="105"/>
                <w:sz w:val="17"/>
              </w:rPr>
              <w:t>5.9</w:t>
            </w:r>
          </w:p>
        </w:tc>
        <w:tc>
          <w:tcPr>
            <w:tcW w:w="897" w:type="dxa"/>
          </w:tcPr>
          <w:p>
            <w:pPr>
              <w:pStyle w:val="TableParagraph"/>
              <w:ind w:left="240" w:right="282"/>
              <w:rPr>
                <w:sz w:val="17"/>
              </w:rPr>
            </w:pPr>
            <w:r>
              <w:rPr>
                <w:color w:val="231F20"/>
                <w:w w:val="105"/>
                <w:sz w:val="17"/>
              </w:rPr>
              <w:t>70.2</w:t>
            </w:r>
          </w:p>
        </w:tc>
        <w:tc>
          <w:tcPr>
            <w:tcW w:w="953" w:type="dxa"/>
          </w:tcPr>
          <w:p>
            <w:pPr>
              <w:pStyle w:val="TableParagraph"/>
              <w:ind w:right="314"/>
              <w:jc w:val="right"/>
              <w:rPr>
                <w:sz w:val="17"/>
              </w:rPr>
            </w:pPr>
            <w:r>
              <w:rPr>
                <w:color w:val="231F20"/>
                <w:sz w:val="17"/>
              </w:rPr>
              <w:t>17.0</w:t>
            </w:r>
          </w:p>
        </w:tc>
        <w:tc>
          <w:tcPr>
            <w:tcW w:w="959" w:type="dxa"/>
          </w:tcPr>
          <w:p>
            <w:pPr>
              <w:pStyle w:val="TableParagraph"/>
              <w:ind w:right="308"/>
              <w:jc w:val="right"/>
              <w:rPr>
                <w:sz w:val="17"/>
              </w:rPr>
            </w:pPr>
            <w:r>
              <w:rPr>
                <w:color w:val="231F20"/>
                <w:w w:val="105"/>
                <w:sz w:val="17"/>
              </w:rPr>
              <w:t>6.9</w:t>
            </w:r>
          </w:p>
        </w:tc>
        <w:tc>
          <w:tcPr>
            <w:tcW w:w="879" w:type="dxa"/>
          </w:tcPr>
          <w:p>
            <w:pPr>
              <w:pStyle w:val="TableParagraph"/>
              <w:ind w:left="310"/>
              <w:jc w:val="left"/>
              <w:rPr>
                <w:sz w:val="17"/>
              </w:rPr>
            </w:pPr>
            <w:r>
              <w:rPr>
                <w:color w:val="231F20"/>
                <w:sz w:val="17"/>
              </w:rPr>
              <w:t>100</w:t>
            </w:r>
          </w:p>
        </w:tc>
      </w:tr>
      <w:tr>
        <w:trPr>
          <w:trHeight w:val="210" w:hRule="exact"/>
        </w:trPr>
        <w:tc>
          <w:tcPr>
            <w:tcW w:w="1631" w:type="dxa"/>
          </w:tcPr>
          <w:p>
            <w:pPr>
              <w:pStyle w:val="TableParagraph"/>
              <w:ind w:left="35"/>
              <w:jc w:val="left"/>
              <w:rPr>
                <w:sz w:val="17"/>
              </w:rPr>
            </w:pPr>
            <w:r>
              <w:rPr>
                <w:color w:val="231F20"/>
                <w:w w:val="110"/>
                <w:sz w:val="17"/>
              </w:rPr>
              <w:t>Querétaro</w:t>
            </w:r>
          </w:p>
        </w:tc>
        <w:tc>
          <w:tcPr>
            <w:tcW w:w="901" w:type="dxa"/>
          </w:tcPr>
          <w:p>
            <w:pPr>
              <w:pStyle w:val="TableParagraph"/>
              <w:ind w:right="282"/>
              <w:jc w:val="right"/>
              <w:rPr>
                <w:sz w:val="17"/>
              </w:rPr>
            </w:pPr>
            <w:r>
              <w:rPr>
                <w:color w:val="231F20"/>
                <w:w w:val="105"/>
                <w:sz w:val="17"/>
              </w:rPr>
              <w:t>4.5</w:t>
            </w:r>
          </w:p>
        </w:tc>
        <w:tc>
          <w:tcPr>
            <w:tcW w:w="936" w:type="dxa"/>
          </w:tcPr>
          <w:p>
            <w:pPr>
              <w:pStyle w:val="TableParagraph"/>
              <w:ind w:left="284"/>
              <w:jc w:val="left"/>
              <w:rPr>
                <w:sz w:val="17"/>
              </w:rPr>
            </w:pPr>
            <w:r>
              <w:rPr>
                <w:color w:val="231F20"/>
                <w:w w:val="105"/>
                <w:sz w:val="17"/>
              </w:rPr>
              <w:t>89.0</w:t>
            </w:r>
          </w:p>
        </w:tc>
        <w:tc>
          <w:tcPr>
            <w:tcW w:w="996" w:type="dxa"/>
          </w:tcPr>
          <w:p>
            <w:pPr>
              <w:pStyle w:val="TableParagraph"/>
              <w:ind w:right="342"/>
              <w:jc w:val="right"/>
              <w:rPr>
                <w:sz w:val="17"/>
              </w:rPr>
            </w:pPr>
            <w:r>
              <w:rPr>
                <w:color w:val="231F20"/>
                <w:w w:val="105"/>
                <w:sz w:val="17"/>
              </w:rPr>
              <w:t>3.0</w:t>
            </w:r>
          </w:p>
        </w:tc>
        <w:tc>
          <w:tcPr>
            <w:tcW w:w="880" w:type="dxa"/>
          </w:tcPr>
          <w:p>
            <w:pPr>
              <w:pStyle w:val="TableParagraph"/>
              <w:ind w:left="325" w:right="280"/>
              <w:rPr>
                <w:sz w:val="17"/>
              </w:rPr>
            </w:pPr>
            <w:r>
              <w:rPr>
                <w:color w:val="231F20"/>
                <w:w w:val="105"/>
                <w:sz w:val="17"/>
              </w:rPr>
              <w:t>3.6</w:t>
            </w:r>
          </w:p>
        </w:tc>
        <w:tc>
          <w:tcPr>
            <w:tcW w:w="834" w:type="dxa"/>
          </w:tcPr>
          <w:p>
            <w:pPr>
              <w:pStyle w:val="TableParagraph"/>
              <w:ind w:left="281" w:right="229"/>
              <w:rPr>
                <w:sz w:val="17"/>
              </w:rPr>
            </w:pPr>
            <w:r>
              <w:rPr>
                <w:color w:val="231F20"/>
                <w:sz w:val="17"/>
              </w:rPr>
              <w:t>100</w:t>
            </w:r>
          </w:p>
        </w:tc>
        <w:tc>
          <w:tcPr>
            <w:tcW w:w="743" w:type="dxa"/>
          </w:tcPr>
          <w:p>
            <w:pPr>
              <w:pStyle w:val="TableParagraph"/>
              <w:ind w:left="228" w:right="239"/>
              <w:rPr>
                <w:sz w:val="17"/>
              </w:rPr>
            </w:pPr>
            <w:r>
              <w:rPr>
                <w:color w:val="231F20"/>
                <w:w w:val="105"/>
                <w:sz w:val="17"/>
              </w:rPr>
              <w:t>5.9</w:t>
            </w:r>
          </w:p>
        </w:tc>
        <w:tc>
          <w:tcPr>
            <w:tcW w:w="897" w:type="dxa"/>
          </w:tcPr>
          <w:p>
            <w:pPr>
              <w:pStyle w:val="TableParagraph"/>
              <w:ind w:left="240" w:right="282"/>
              <w:rPr>
                <w:sz w:val="17"/>
              </w:rPr>
            </w:pPr>
            <w:r>
              <w:rPr>
                <w:color w:val="231F20"/>
                <w:w w:val="105"/>
                <w:sz w:val="17"/>
              </w:rPr>
              <w:t>77.9</w:t>
            </w:r>
          </w:p>
        </w:tc>
        <w:tc>
          <w:tcPr>
            <w:tcW w:w="953" w:type="dxa"/>
          </w:tcPr>
          <w:p>
            <w:pPr>
              <w:pStyle w:val="TableParagraph"/>
              <w:ind w:right="314"/>
              <w:jc w:val="right"/>
              <w:rPr>
                <w:sz w:val="17"/>
              </w:rPr>
            </w:pPr>
            <w:r>
              <w:rPr>
                <w:color w:val="231F20"/>
                <w:w w:val="105"/>
                <w:sz w:val="17"/>
              </w:rPr>
              <w:t>8.9</w:t>
            </w:r>
          </w:p>
        </w:tc>
        <w:tc>
          <w:tcPr>
            <w:tcW w:w="959" w:type="dxa"/>
          </w:tcPr>
          <w:p>
            <w:pPr>
              <w:pStyle w:val="TableParagraph"/>
              <w:ind w:right="308"/>
              <w:jc w:val="right"/>
              <w:rPr>
                <w:sz w:val="17"/>
              </w:rPr>
            </w:pPr>
            <w:r>
              <w:rPr>
                <w:color w:val="231F20"/>
                <w:w w:val="105"/>
                <w:sz w:val="17"/>
              </w:rPr>
              <w:t>7.2</w:t>
            </w:r>
          </w:p>
        </w:tc>
        <w:tc>
          <w:tcPr>
            <w:tcW w:w="879" w:type="dxa"/>
          </w:tcPr>
          <w:p>
            <w:pPr>
              <w:pStyle w:val="TableParagraph"/>
              <w:ind w:left="310"/>
              <w:jc w:val="left"/>
              <w:rPr>
                <w:sz w:val="17"/>
              </w:rPr>
            </w:pPr>
            <w:r>
              <w:rPr>
                <w:color w:val="231F20"/>
                <w:sz w:val="17"/>
              </w:rPr>
              <w:t>100</w:t>
            </w:r>
          </w:p>
        </w:tc>
      </w:tr>
      <w:tr>
        <w:trPr>
          <w:trHeight w:val="210" w:hRule="exact"/>
        </w:trPr>
        <w:tc>
          <w:tcPr>
            <w:tcW w:w="1631" w:type="dxa"/>
          </w:tcPr>
          <w:p>
            <w:pPr>
              <w:pStyle w:val="TableParagraph"/>
              <w:ind w:left="35"/>
              <w:jc w:val="left"/>
              <w:rPr>
                <w:sz w:val="17"/>
              </w:rPr>
            </w:pPr>
            <w:r>
              <w:rPr>
                <w:color w:val="231F20"/>
                <w:w w:val="110"/>
                <w:sz w:val="17"/>
              </w:rPr>
              <w:t>Quintana Roo</w:t>
            </w:r>
          </w:p>
        </w:tc>
        <w:tc>
          <w:tcPr>
            <w:tcW w:w="901" w:type="dxa"/>
          </w:tcPr>
          <w:p>
            <w:pPr>
              <w:pStyle w:val="TableParagraph"/>
              <w:ind w:right="282"/>
              <w:jc w:val="right"/>
              <w:rPr>
                <w:sz w:val="17"/>
              </w:rPr>
            </w:pPr>
            <w:r>
              <w:rPr>
                <w:color w:val="231F20"/>
                <w:w w:val="105"/>
                <w:sz w:val="17"/>
              </w:rPr>
              <w:t>5.1</w:t>
            </w:r>
          </w:p>
        </w:tc>
        <w:tc>
          <w:tcPr>
            <w:tcW w:w="936" w:type="dxa"/>
          </w:tcPr>
          <w:p>
            <w:pPr>
              <w:pStyle w:val="TableParagraph"/>
              <w:ind w:left="284"/>
              <w:jc w:val="left"/>
              <w:rPr>
                <w:sz w:val="17"/>
              </w:rPr>
            </w:pPr>
            <w:r>
              <w:rPr>
                <w:color w:val="231F20"/>
                <w:w w:val="105"/>
                <w:sz w:val="17"/>
              </w:rPr>
              <w:t>79.3</w:t>
            </w:r>
          </w:p>
        </w:tc>
        <w:tc>
          <w:tcPr>
            <w:tcW w:w="996" w:type="dxa"/>
          </w:tcPr>
          <w:p>
            <w:pPr>
              <w:pStyle w:val="TableParagraph"/>
              <w:ind w:right="342"/>
              <w:jc w:val="right"/>
              <w:rPr>
                <w:sz w:val="17"/>
              </w:rPr>
            </w:pPr>
            <w:r>
              <w:rPr>
                <w:color w:val="231F20"/>
                <w:w w:val="105"/>
                <w:sz w:val="17"/>
              </w:rPr>
              <w:t>9.6</w:t>
            </w:r>
          </w:p>
        </w:tc>
        <w:tc>
          <w:tcPr>
            <w:tcW w:w="880" w:type="dxa"/>
          </w:tcPr>
          <w:p>
            <w:pPr>
              <w:pStyle w:val="TableParagraph"/>
              <w:ind w:left="325" w:right="280"/>
              <w:rPr>
                <w:sz w:val="17"/>
              </w:rPr>
            </w:pPr>
            <w:r>
              <w:rPr>
                <w:color w:val="231F20"/>
                <w:w w:val="105"/>
                <w:sz w:val="17"/>
              </w:rPr>
              <w:t>5.9</w:t>
            </w:r>
          </w:p>
        </w:tc>
        <w:tc>
          <w:tcPr>
            <w:tcW w:w="834" w:type="dxa"/>
          </w:tcPr>
          <w:p>
            <w:pPr>
              <w:pStyle w:val="TableParagraph"/>
              <w:ind w:left="281" w:right="229"/>
              <w:rPr>
                <w:sz w:val="17"/>
              </w:rPr>
            </w:pPr>
            <w:r>
              <w:rPr>
                <w:color w:val="231F20"/>
                <w:sz w:val="17"/>
              </w:rPr>
              <w:t>100</w:t>
            </w:r>
          </w:p>
        </w:tc>
        <w:tc>
          <w:tcPr>
            <w:tcW w:w="743" w:type="dxa"/>
          </w:tcPr>
          <w:p>
            <w:pPr>
              <w:pStyle w:val="TableParagraph"/>
              <w:ind w:left="228" w:right="239"/>
              <w:rPr>
                <w:sz w:val="17"/>
              </w:rPr>
            </w:pPr>
            <w:r>
              <w:rPr>
                <w:color w:val="231F20"/>
                <w:w w:val="105"/>
                <w:sz w:val="17"/>
              </w:rPr>
              <w:t>6.3</w:t>
            </w:r>
          </w:p>
        </w:tc>
        <w:tc>
          <w:tcPr>
            <w:tcW w:w="897" w:type="dxa"/>
          </w:tcPr>
          <w:p>
            <w:pPr>
              <w:pStyle w:val="TableParagraph"/>
              <w:ind w:left="240" w:right="282"/>
              <w:rPr>
                <w:sz w:val="17"/>
              </w:rPr>
            </w:pPr>
            <w:r>
              <w:rPr>
                <w:color w:val="231F20"/>
                <w:w w:val="105"/>
                <w:sz w:val="17"/>
              </w:rPr>
              <w:t>63.9</w:t>
            </w:r>
          </w:p>
        </w:tc>
        <w:tc>
          <w:tcPr>
            <w:tcW w:w="953" w:type="dxa"/>
          </w:tcPr>
          <w:p>
            <w:pPr>
              <w:pStyle w:val="TableParagraph"/>
              <w:ind w:right="314"/>
              <w:jc w:val="right"/>
              <w:rPr>
                <w:sz w:val="17"/>
              </w:rPr>
            </w:pPr>
            <w:r>
              <w:rPr>
                <w:color w:val="231F20"/>
                <w:sz w:val="17"/>
              </w:rPr>
              <w:t>18.6</w:t>
            </w:r>
          </w:p>
        </w:tc>
        <w:tc>
          <w:tcPr>
            <w:tcW w:w="959" w:type="dxa"/>
          </w:tcPr>
          <w:p>
            <w:pPr>
              <w:pStyle w:val="TableParagraph"/>
              <w:ind w:right="308"/>
              <w:jc w:val="right"/>
              <w:rPr>
                <w:sz w:val="17"/>
              </w:rPr>
            </w:pPr>
            <w:r>
              <w:rPr>
                <w:color w:val="231F20"/>
                <w:sz w:val="17"/>
              </w:rPr>
              <w:t>11.2</w:t>
            </w:r>
          </w:p>
        </w:tc>
        <w:tc>
          <w:tcPr>
            <w:tcW w:w="879" w:type="dxa"/>
          </w:tcPr>
          <w:p>
            <w:pPr>
              <w:pStyle w:val="TableParagraph"/>
              <w:ind w:left="310"/>
              <w:jc w:val="left"/>
              <w:rPr>
                <w:sz w:val="17"/>
              </w:rPr>
            </w:pPr>
            <w:r>
              <w:rPr>
                <w:color w:val="231F20"/>
                <w:sz w:val="17"/>
              </w:rPr>
              <w:t>100</w:t>
            </w:r>
          </w:p>
        </w:tc>
      </w:tr>
      <w:tr>
        <w:trPr>
          <w:trHeight w:val="210" w:hRule="exact"/>
        </w:trPr>
        <w:tc>
          <w:tcPr>
            <w:tcW w:w="1631" w:type="dxa"/>
          </w:tcPr>
          <w:p>
            <w:pPr>
              <w:pStyle w:val="TableParagraph"/>
              <w:ind w:left="35"/>
              <w:jc w:val="left"/>
              <w:rPr>
                <w:sz w:val="17"/>
              </w:rPr>
            </w:pPr>
            <w:r>
              <w:rPr>
                <w:color w:val="231F20"/>
                <w:w w:val="110"/>
                <w:sz w:val="17"/>
              </w:rPr>
              <w:t>San Luis Potosí</w:t>
            </w:r>
          </w:p>
        </w:tc>
        <w:tc>
          <w:tcPr>
            <w:tcW w:w="901" w:type="dxa"/>
          </w:tcPr>
          <w:p>
            <w:pPr>
              <w:pStyle w:val="TableParagraph"/>
              <w:ind w:right="282"/>
              <w:jc w:val="right"/>
              <w:rPr>
                <w:sz w:val="17"/>
              </w:rPr>
            </w:pPr>
            <w:r>
              <w:rPr>
                <w:color w:val="231F20"/>
                <w:w w:val="105"/>
                <w:sz w:val="17"/>
              </w:rPr>
              <w:t>5.9</w:t>
            </w:r>
          </w:p>
        </w:tc>
        <w:tc>
          <w:tcPr>
            <w:tcW w:w="936" w:type="dxa"/>
          </w:tcPr>
          <w:p>
            <w:pPr>
              <w:pStyle w:val="TableParagraph"/>
              <w:ind w:left="284"/>
              <w:jc w:val="left"/>
              <w:rPr>
                <w:sz w:val="17"/>
              </w:rPr>
            </w:pPr>
            <w:r>
              <w:rPr>
                <w:color w:val="231F20"/>
                <w:w w:val="105"/>
                <w:sz w:val="17"/>
              </w:rPr>
              <w:t>82.8</w:t>
            </w:r>
          </w:p>
        </w:tc>
        <w:tc>
          <w:tcPr>
            <w:tcW w:w="996" w:type="dxa"/>
          </w:tcPr>
          <w:p>
            <w:pPr>
              <w:pStyle w:val="TableParagraph"/>
              <w:ind w:right="342"/>
              <w:jc w:val="right"/>
              <w:rPr>
                <w:sz w:val="17"/>
              </w:rPr>
            </w:pPr>
            <w:r>
              <w:rPr>
                <w:color w:val="231F20"/>
                <w:w w:val="105"/>
                <w:sz w:val="17"/>
              </w:rPr>
              <w:t>6.7</w:t>
            </w:r>
          </w:p>
        </w:tc>
        <w:tc>
          <w:tcPr>
            <w:tcW w:w="880" w:type="dxa"/>
          </w:tcPr>
          <w:p>
            <w:pPr>
              <w:pStyle w:val="TableParagraph"/>
              <w:ind w:left="325" w:right="280"/>
              <w:rPr>
                <w:sz w:val="17"/>
              </w:rPr>
            </w:pPr>
            <w:r>
              <w:rPr>
                <w:color w:val="231F20"/>
                <w:w w:val="105"/>
                <w:sz w:val="17"/>
              </w:rPr>
              <w:t>4.6</w:t>
            </w:r>
          </w:p>
        </w:tc>
        <w:tc>
          <w:tcPr>
            <w:tcW w:w="834" w:type="dxa"/>
          </w:tcPr>
          <w:p>
            <w:pPr>
              <w:pStyle w:val="TableParagraph"/>
              <w:ind w:left="281" w:right="229"/>
              <w:rPr>
                <w:sz w:val="17"/>
              </w:rPr>
            </w:pPr>
            <w:r>
              <w:rPr>
                <w:color w:val="231F20"/>
                <w:sz w:val="17"/>
              </w:rPr>
              <w:t>100</w:t>
            </w:r>
          </w:p>
        </w:tc>
        <w:tc>
          <w:tcPr>
            <w:tcW w:w="743" w:type="dxa"/>
          </w:tcPr>
          <w:p>
            <w:pPr>
              <w:pStyle w:val="TableParagraph"/>
              <w:ind w:left="228" w:right="239"/>
              <w:rPr>
                <w:sz w:val="17"/>
              </w:rPr>
            </w:pPr>
            <w:r>
              <w:rPr>
                <w:color w:val="231F20"/>
                <w:w w:val="105"/>
                <w:sz w:val="17"/>
              </w:rPr>
              <w:t>7.7</w:t>
            </w:r>
          </w:p>
        </w:tc>
        <w:tc>
          <w:tcPr>
            <w:tcW w:w="897" w:type="dxa"/>
          </w:tcPr>
          <w:p>
            <w:pPr>
              <w:pStyle w:val="TableParagraph"/>
              <w:ind w:left="240" w:right="282"/>
              <w:rPr>
                <w:sz w:val="17"/>
              </w:rPr>
            </w:pPr>
            <w:r>
              <w:rPr>
                <w:color w:val="231F20"/>
                <w:w w:val="105"/>
                <w:sz w:val="17"/>
              </w:rPr>
              <w:t>75.8</w:t>
            </w:r>
          </w:p>
        </w:tc>
        <w:tc>
          <w:tcPr>
            <w:tcW w:w="953" w:type="dxa"/>
          </w:tcPr>
          <w:p>
            <w:pPr>
              <w:pStyle w:val="TableParagraph"/>
              <w:ind w:right="315"/>
              <w:jc w:val="right"/>
              <w:rPr>
                <w:sz w:val="17"/>
              </w:rPr>
            </w:pPr>
            <w:r>
              <w:rPr>
                <w:color w:val="231F20"/>
                <w:w w:val="105"/>
                <w:sz w:val="17"/>
              </w:rPr>
              <w:t>9.8</w:t>
            </w:r>
          </w:p>
        </w:tc>
        <w:tc>
          <w:tcPr>
            <w:tcW w:w="959" w:type="dxa"/>
          </w:tcPr>
          <w:p>
            <w:pPr>
              <w:pStyle w:val="TableParagraph"/>
              <w:ind w:right="308"/>
              <w:jc w:val="right"/>
              <w:rPr>
                <w:sz w:val="17"/>
              </w:rPr>
            </w:pPr>
            <w:r>
              <w:rPr>
                <w:color w:val="231F20"/>
                <w:w w:val="105"/>
                <w:sz w:val="17"/>
              </w:rPr>
              <w:t>6.7</w:t>
            </w:r>
          </w:p>
        </w:tc>
        <w:tc>
          <w:tcPr>
            <w:tcW w:w="879" w:type="dxa"/>
          </w:tcPr>
          <w:p>
            <w:pPr>
              <w:pStyle w:val="TableParagraph"/>
              <w:ind w:left="310"/>
              <w:jc w:val="left"/>
              <w:rPr>
                <w:sz w:val="17"/>
              </w:rPr>
            </w:pPr>
            <w:r>
              <w:rPr>
                <w:color w:val="231F20"/>
                <w:sz w:val="17"/>
              </w:rPr>
              <w:t>100</w:t>
            </w:r>
          </w:p>
        </w:tc>
      </w:tr>
      <w:tr>
        <w:trPr>
          <w:trHeight w:val="210" w:hRule="exact"/>
        </w:trPr>
        <w:tc>
          <w:tcPr>
            <w:tcW w:w="1631" w:type="dxa"/>
          </w:tcPr>
          <w:p>
            <w:pPr>
              <w:pStyle w:val="TableParagraph"/>
              <w:ind w:left="35"/>
              <w:jc w:val="left"/>
              <w:rPr>
                <w:sz w:val="17"/>
              </w:rPr>
            </w:pPr>
            <w:r>
              <w:rPr>
                <w:color w:val="231F20"/>
                <w:w w:val="110"/>
                <w:sz w:val="17"/>
              </w:rPr>
              <w:t>Sinaloa</w:t>
            </w:r>
          </w:p>
        </w:tc>
        <w:tc>
          <w:tcPr>
            <w:tcW w:w="901" w:type="dxa"/>
          </w:tcPr>
          <w:p>
            <w:pPr>
              <w:pStyle w:val="TableParagraph"/>
              <w:ind w:right="282"/>
              <w:jc w:val="right"/>
              <w:rPr>
                <w:sz w:val="17"/>
              </w:rPr>
            </w:pPr>
            <w:r>
              <w:rPr>
                <w:color w:val="231F20"/>
                <w:w w:val="105"/>
                <w:sz w:val="17"/>
              </w:rPr>
              <w:t>7.8</w:t>
            </w:r>
          </w:p>
        </w:tc>
        <w:tc>
          <w:tcPr>
            <w:tcW w:w="936" w:type="dxa"/>
          </w:tcPr>
          <w:p>
            <w:pPr>
              <w:pStyle w:val="TableParagraph"/>
              <w:ind w:left="284"/>
              <w:jc w:val="left"/>
              <w:rPr>
                <w:sz w:val="17"/>
              </w:rPr>
            </w:pPr>
            <w:r>
              <w:rPr>
                <w:color w:val="231F20"/>
                <w:w w:val="105"/>
                <w:sz w:val="17"/>
              </w:rPr>
              <w:t>72.1</w:t>
            </w:r>
          </w:p>
        </w:tc>
        <w:tc>
          <w:tcPr>
            <w:tcW w:w="996" w:type="dxa"/>
          </w:tcPr>
          <w:p>
            <w:pPr>
              <w:pStyle w:val="TableParagraph"/>
              <w:ind w:right="342"/>
              <w:jc w:val="right"/>
              <w:rPr>
                <w:sz w:val="17"/>
              </w:rPr>
            </w:pPr>
            <w:r>
              <w:rPr>
                <w:color w:val="231F20"/>
                <w:sz w:val="17"/>
              </w:rPr>
              <w:t>16.1</w:t>
            </w:r>
          </w:p>
        </w:tc>
        <w:tc>
          <w:tcPr>
            <w:tcW w:w="880" w:type="dxa"/>
          </w:tcPr>
          <w:p>
            <w:pPr>
              <w:pStyle w:val="TableParagraph"/>
              <w:ind w:left="325" w:right="280"/>
              <w:rPr>
                <w:sz w:val="17"/>
              </w:rPr>
            </w:pPr>
            <w:r>
              <w:rPr>
                <w:color w:val="231F20"/>
                <w:w w:val="105"/>
                <w:sz w:val="17"/>
              </w:rPr>
              <w:t>4.0</w:t>
            </w:r>
          </w:p>
        </w:tc>
        <w:tc>
          <w:tcPr>
            <w:tcW w:w="834" w:type="dxa"/>
          </w:tcPr>
          <w:p>
            <w:pPr>
              <w:pStyle w:val="TableParagraph"/>
              <w:ind w:left="281" w:right="229"/>
              <w:rPr>
                <w:sz w:val="17"/>
              </w:rPr>
            </w:pPr>
            <w:r>
              <w:rPr>
                <w:color w:val="231F20"/>
                <w:sz w:val="17"/>
              </w:rPr>
              <w:t>100</w:t>
            </w:r>
          </w:p>
        </w:tc>
        <w:tc>
          <w:tcPr>
            <w:tcW w:w="743" w:type="dxa"/>
          </w:tcPr>
          <w:p>
            <w:pPr>
              <w:pStyle w:val="TableParagraph"/>
              <w:ind w:left="228" w:right="239"/>
              <w:rPr>
                <w:sz w:val="17"/>
              </w:rPr>
            </w:pPr>
            <w:r>
              <w:rPr>
                <w:color w:val="231F20"/>
                <w:w w:val="105"/>
                <w:sz w:val="17"/>
              </w:rPr>
              <w:t>9.0</w:t>
            </w:r>
          </w:p>
        </w:tc>
        <w:tc>
          <w:tcPr>
            <w:tcW w:w="897" w:type="dxa"/>
          </w:tcPr>
          <w:p>
            <w:pPr>
              <w:pStyle w:val="TableParagraph"/>
              <w:ind w:left="240" w:right="282"/>
              <w:rPr>
                <w:sz w:val="17"/>
              </w:rPr>
            </w:pPr>
            <w:r>
              <w:rPr>
                <w:color w:val="231F20"/>
                <w:w w:val="105"/>
                <w:sz w:val="17"/>
              </w:rPr>
              <w:t>66.0</w:t>
            </w:r>
          </w:p>
        </w:tc>
        <w:tc>
          <w:tcPr>
            <w:tcW w:w="953" w:type="dxa"/>
          </w:tcPr>
          <w:p>
            <w:pPr>
              <w:pStyle w:val="TableParagraph"/>
              <w:ind w:right="313"/>
              <w:jc w:val="right"/>
              <w:rPr>
                <w:sz w:val="17"/>
              </w:rPr>
            </w:pPr>
            <w:r>
              <w:rPr>
                <w:color w:val="231F20"/>
                <w:sz w:val="17"/>
              </w:rPr>
              <w:t>16.7</w:t>
            </w:r>
          </w:p>
        </w:tc>
        <w:tc>
          <w:tcPr>
            <w:tcW w:w="959" w:type="dxa"/>
          </w:tcPr>
          <w:p>
            <w:pPr>
              <w:pStyle w:val="TableParagraph"/>
              <w:ind w:right="308"/>
              <w:jc w:val="right"/>
              <w:rPr>
                <w:sz w:val="17"/>
              </w:rPr>
            </w:pPr>
            <w:r>
              <w:rPr>
                <w:color w:val="231F20"/>
                <w:w w:val="105"/>
                <w:sz w:val="17"/>
              </w:rPr>
              <w:t>8.3</w:t>
            </w:r>
          </w:p>
        </w:tc>
        <w:tc>
          <w:tcPr>
            <w:tcW w:w="879" w:type="dxa"/>
          </w:tcPr>
          <w:p>
            <w:pPr>
              <w:pStyle w:val="TableParagraph"/>
              <w:ind w:left="310"/>
              <w:jc w:val="left"/>
              <w:rPr>
                <w:sz w:val="17"/>
              </w:rPr>
            </w:pPr>
            <w:r>
              <w:rPr>
                <w:color w:val="231F20"/>
                <w:sz w:val="17"/>
              </w:rPr>
              <w:t>100</w:t>
            </w:r>
          </w:p>
        </w:tc>
      </w:tr>
      <w:tr>
        <w:trPr>
          <w:trHeight w:val="210" w:hRule="exact"/>
        </w:trPr>
        <w:tc>
          <w:tcPr>
            <w:tcW w:w="1631" w:type="dxa"/>
          </w:tcPr>
          <w:p>
            <w:pPr>
              <w:pStyle w:val="TableParagraph"/>
              <w:ind w:left="35"/>
              <w:jc w:val="left"/>
              <w:rPr>
                <w:sz w:val="17"/>
              </w:rPr>
            </w:pPr>
            <w:r>
              <w:rPr>
                <w:color w:val="231F20"/>
                <w:w w:val="110"/>
                <w:sz w:val="17"/>
              </w:rPr>
              <w:t>Sonora</w:t>
            </w:r>
          </w:p>
        </w:tc>
        <w:tc>
          <w:tcPr>
            <w:tcW w:w="901" w:type="dxa"/>
          </w:tcPr>
          <w:p>
            <w:pPr>
              <w:pStyle w:val="TableParagraph"/>
              <w:ind w:right="282"/>
              <w:jc w:val="right"/>
              <w:rPr>
                <w:sz w:val="17"/>
              </w:rPr>
            </w:pPr>
            <w:r>
              <w:rPr>
                <w:color w:val="231F20"/>
                <w:w w:val="105"/>
                <w:sz w:val="17"/>
              </w:rPr>
              <w:t>8.9</w:t>
            </w:r>
          </w:p>
        </w:tc>
        <w:tc>
          <w:tcPr>
            <w:tcW w:w="936" w:type="dxa"/>
          </w:tcPr>
          <w:p>
            <w:pPr>
              <w:pStyle w:val="TableParagraph"/>
              <w:ind w:left="284"/>
              <w:jc w:val="left"/>
              <w:rPr>
                <w:sz w:val="17"/>
              </w:rPr>
            </w:pPr>
            <w:r>
              <w:rPr>
                <w:color w:val="231F20"/>
                <w:w w:val="105"/>
                <w:sz w:val="17"/>
              </w:rPr>
              <w:t>76.4</w:t>
            </w:r>
          </w:p>
        </w:tc>
        <w:tc>
          <w:tcPr>
            <w:tcW w:w="996" w:type="dxa"/>
          </w:tcPr>
          <w:p>
            <w:pPr>
              <w:pStyle w:val="TableParagraph"/>
              <w:ind w:right="342"/>
              <w:jc w:val="right"/>
              <w:rPr>
                <w:sz w:val="17"/>
              </w:rPr>
            </w:pPr>
            <w:r>
              <w:rPr>
                <w:color w:val="231F20"/>
                <w:w w:val="105"/>
                <w:sz w:val="17"/>
              </w:rPr>
              <w:t>9.8</w:t>
            </w:r>
          </w:p>
        </w:tc>
        <w:tc>
          <w:tcPr>
            <w:tcW w:w="880" w:type="dxa"/>
          </w:tcPr>
          <w:p>
            <w:pPr>
              <w:pStyle w:val="TableParagraph"/>
              <w:ind w:left="325" w:right="280"/>
              <w:rPr>
                <w:sz w:val="17"/>
              </w:rPr>
            </w:pPr>
            <w:r>
              <w:rPr>
                <w:color w:val="231F20"/>
                <w:w w:val="105"/>
                <w:sz w:val="17"/>
              </w:rPr>
              <w:t>4.9</w:t>
            </w:r>
          </w:p>
        </w:tc>
        <w:tc>
          <w:tcPr>
            <w:tcW w:w="834" w:type="dxa"/>
          </w:tcPr>
          <w:p>
            <w:pPr>
              <w:pStyle w:val="TableParagraph"/>
              <w:ind w:left="281" w:right="229"/>
              <w:rPr>
                <w:sz w:val="17"/>
              </w:rPr>
            </w:pPr>
            <w:r>
              <w:rPr>
                <w:color w:val="231F20"/>
                <w:sz w:val="17"/>
              </w:rPr>
              <w:t>100</w:t>
            </w:r>
          </w:p>
        </w:tc>
        <w:tc>
          <w:tcPr>
            <w:tcW w:w="743" w:type="dxa"/>
          </w:tcPr>
          <w:p>
            <w:pPr>
              <w:pStyle w:val="TableParagraph"/>
              <w:ind w:left="228" w:right="239"/>
              <w:rPr>
                <w:sz w:val="17"/>
              </w:rPr>
            </w:pPr>
            <w:r>
              <w:rPr>
                <w:color w:val="231F20"/>
                <w:w w:val="105"/>
                <w:sz w:val="17"/>
              </w:rPr>
              <w:t>9.6</w:t>
            </w:r>
          </w:p>
        </w:tc>
        <w:tc>
          <w:tcPr>
            <w:tcW w:w="897" w:type="dxa"/>
          </w:tcPr>
          <w:p>
            <w:pPr>
              <w:pStyle w:val="TableParagraph"/>
              <w:ind w:left="240" w:right="282"/>
              <w:rPr>
                <w:sz w:val="17"/>
              </w:rPr>
            </w:pPr>
            <w:r>
              <w:rPr>
                <w:color w:val="231F20"/>
                <w:w w:val="105"/>
                <w:sz w:val="17"/>
              </w:rPr>
              <w:t>63.8</w:t>
            </w:r>
          </w:p>
        </w:tc>
        <w:tc>
          <w:tcPr>
            <w:tcW w:w="953" w:type="dxa"/>
          </w:tcPr>
          <w:p>
            <w:pPr>
              <w:pStyle w:val="TableParagraph"/>
              <w:ind w:right="313"/>
              <w:jc w:val="right"/>
              <w:rPr>
                <w:sz w:val="17"/>
              </w:rPr>
            </w:pPr>
            <w:r>
              <w:rPr>
                <w:color w:val="231F20"/>
                <w:sz w:val="17"/>
              </w:rPr>
              <w:t>16.0</w:t>
            </w:r>
          </w:p>
        </w:tc>
        <w:tc>
          <w:tcPr>
            <w:tcW w:w="959" w:type="dxa"/>
          </w:tcPr>
          <w:p>
            <w:pPr>
              <w:pStyle w:val="TableParagraph"/>
              <w:ind w:right="308"/>
              <w:jc w:val="right"/>
              <w:rPr>
                <w:sz w:val="17"/>
              </w:rPr>
            </w:pPr>
            <w:r>
              <w:rPr>
                <w:color w:val="231F20"/>
                <w:sz w:val="17"/>
              </w:rPr>
              <w:t>10.6</w:t>
            </w:r>
          </w:p>
        </w:tc>
        <w:tc>
          <w:tcPr>
            <w:tcW w:w="879" w:type="dxa"/>
          </w:tcPr>
          <w:p>
            <w:pPr>
              <w:pStyle w:val="TableParagraph"/>
              <w:ind w:left="310"/>
              <w:jc w:val="left"/>
              <w:rPr>
                <w:sz w:val="17"/>
              </w:rPr>
            </w:pPr>
            <w:r>
              <w:rPr>
                <w:color w:val="231F20"/>
                <w:sz w:val="17"/>
              </w:rPr>
              <w:t>100</w:t>
            </w:r>
          </w:p>
        </w:tc>
      </w:tr>
      <w:tr>
        <w:trPr>
          <w:trHeight w:val="210" w:hRule="exact"/>
        </w:trPr>
        <w:tc>
          <w:tcPr>
            <w:tcW w:w="1631" w:type="dxa"/>
          </w:tcPr>
          <w:p>
            <w:pPr>
              <w:pStyle w:val="TableParagraph"/>
              <w:ind w:left="35"/>
              <w:jc w:val="left"/>
              <w:rPr>
                <w:sz w:val="17"/>
              </w:rPr>
            </w:pPr>
            <w:r>
              <w:rPr>
                <w:color w:val="231F20"/>
                <w:w w:val="110"/>
                <w:sz w:val="17"/>
              </w:rPr>
              <w:t>Tabasco</w:t>
            </w:r>
          </w:p>
        </w:tc>
        <w:tc>
          <w:tcPr>
            <w:tcW w:w="901" w:type="dxa"/>
          </w:tcPr>
          <w:p>
            <w:pPr>
              <w:pStyle w:val="TableParagraph"/>
              <w:ind w:right="282"/>
              <w:jc w:val="right"/>
              <w:rPr>
                <w:sz w:val="17"/>
              </w:rPr>
            </w:pPr>
            <w:r>
              <w:rPr>
                <w:color w:val="231F20"/>
                <w:w w:val="105"/>
                <w:sz w:val="17"/>
              </w:rPr>
              <w:t>3.7</w:t>
            </w:r>
          </w:p>
        </w:tc>
        <w:tc>
          <w:tcPr>
            <w:tcW w:w="936" w:type="dxa"/>
          </w:tcPr>
          <w:p>
            <w:pPr>
              <w:pStyle w:val="TableParagraph"/>
              <w:ind w:left="284"/>
              <w:jc w:val="left"/>
              <w:rPr>
                <w:sz w:val="17"/>
              </w:rPr>
            </w:pPr>
            <w:r>
              <w:rPr>
                <w:color w:val="231F20"/>
                <w:w w:val="105"/>
                <w:sz w:val="17"/>
              </w:rPr>
              <w:t>79.7</w:t>
            </w:r>
          </w:p>
        </w:tc>
        <w:tc>
          <w:tcPr>
            <w:tcW w:w="996" w:type="dxa"/>
          </w:tcPr>
          <w:p>
            <w:pPr>
              <w:pStyle w:val="TableParagraph"/>
              <w:ind w:right="342"/>
              <w:jc w:val="right"/>
              <w:rPr>
                <w:sz w:val="17"/>
              </w:rPr>
            </w:pPr>
            <w:r>
              <w:rPr>
                <w:color w:val="231F20"/>
                <w:sz w:val="17"/>
              </w:rPr>
              <w:t>12.0</w:t>
            </w:r>
          </w:p>
        </w:tc>
        <w:tc>
          <w:tcPr>
            <w:tcW w:w="880" w:type="dxa"/>
          </w:tcPr>
          <w:p>
            <w:pPr>
              <w:pStyle w:val="TableParagraph"/>
              <w:ind w:left="325" w:right="280"/>
              <w:rPr>
                <w:sz w:val="17"/>
              </w:rPr>
            </w:pPr>
            <w:r>
              <w:rPr>
                <w:color w:val="231F20"/>
                <w:w w:val="105"/>
                <w:sz w:val="17"/>
              </w:rPr>
              <w:t>4.6</w:t>
            </w:r>
          </w:p>
        </w:tc>
        <w:tc>
          <w:tcPr>
            <w:tcW w:w="834" w:type="dxa"/>
          </w:tcPr>
          <w:p>
            <w:pPr>
              <w:pStyle w:val="TableParagraph"/>
              <w:ind w:left="281" w:right="229"/>
              <w:rPr>
                <w:sz w:val="17"/>
              </w:rPr>
            </w:pPr>
            <w:r>
              <w:rPr>
                <w:color w:val="231F20"/>
                <w:sz w:val="17"/>
              </w:rPr>
              <w:t>100</w:t>
            </w:r>
          </w:p>
        </w:tc>
        <w:tc>
          <w:tcPr>
            <w:tcW w:w="743" w:type="dxa"/>
          </w:tcPr>
          <w:p>
            <w:pPr>
              <w:pStyle w:val="TableParagraph"/>
              <w:ind w:left="228" w:right="239"/>
              <w:rPr>
                <w:sz w:val="17"/>
              </w:rPr>
            </w:pPr>
            <w:r>
              <w:rPr>
                <w:color w:val="231F20"/>
                <w:w w:val="105"/>
                <w:sz w:val="17"/>
              </w:rPr>
              <w:t>5.3</w:t>
            </w:r>
          </w:p>
        </w:tc>
        <w:tc>
          <w:tcPr>
            <w:tcW w:w="897" w:type="dxa"/>
          </w:tcPr>
          <w:p>
            <w:pPr>
              <w:pStyle w:val="TableParagraph"/>
              <w:ind w:left="240" w:right="282"/>
              <w:rPr>
                <w:sz w:val="17"/>
              </w:rPr>
            </w:pPr>
            <w:r>
              <w:rPr>
                <w:color w:val="231F20"/>
                <w:w w:val="105"/>
                <w:sz w:val="17"/>
              </w:rPr>
              <w:t>68.5</w:t>
            </w:r>
          </w:p>
        </w:tc>
        <w:tc>
          <w:tcPr>
            <w:tcW w:w="953" w:type="dxa"/>
          </w:tcPr>
          <w:p>
            <w:pPr>
              <w:pStyle w:val="TableParagraph"/>
              <w:ind w:right="313"/>
              <w:jc w:val="right"/>
              <w:rPr>
                <w:sz w:val="17"/>
              </w:rPr>
            </w:pPr>
            <w:r>
              <w:rPr>
                <w:color w:val="231F20"/>
                <w:sz w:val="17"/>
              </w:rPr>
              <w:t>17.9</w:t>
            </w:r>
          </w:p>
        </w:tc>
        <w:tc>
          <w:tcPr>
            <w:tcW w:w="959" w:type="dxa"/>
          </w:tcPr>
          <w:p>
            <w:pPr>
              <w:pStyle w:val="TableParagraph"/>
              <w:ind w:right="308"/>
              <w:jc w:val="right"/>
              <w:rPr>
                <w:sz w:val="17"/>
              </w:rPr>
            </w:pPr>
            <w:r>
              <w:rPr>
                <w:color w:val="231F20"/>
                <w:w w:val="105"/>
                <w:sz w:val="17"/>
              </w:rPr>
              <w:t>8.3</w:t>
            </w:r>
          </w:p>
        </w:tc>
        <w:tc>
          <w:tcPr>
            <w:tcW w:w="879" w:type="dxa"/>
          </w:tcPr>
          <w:p>
            <w:pPr>
              <w:pStyle w:val="TableParagraph"/>
              <w:ind w:left="310"/>
              <w:jc w:val="left"/>
              <w:rPr>
                <w:sz w:val="17"/>
              </w:rPr>
            </w:pPr>
            <w:r>
              <w:rPr>
                <w:color w:val="231F20"/>
                <w:sz w:val="17"/>
              </w:rPr>
              <w:t>100</w:t>
            </w:r>
          </w:p>
        </w:tc>
      </w:tr>
      <w:tr>
        <w:trPr>
          <w:trHeight w:val="210" w:hRule="exact"/>
        </w:trPr>
        <w:tc>
          <w:tcPr>
            <w:tcW w:w="1631" w:type="dxa"/>
          </w:tcPr>
          <w:p>
            <w:pPr>
              <w:pStyle w:val="TableParagraph"/>
              <w:ind w:left="35"/>
              <w:jc w:val="left"/>
              <w:rPr>
                <w:sz w:val="17"/>
              </w:rPr>
            </w:pPr>
            <w:r>
              <w:rPr>
                <w:color w:val="231F20"/>
                <w:w w:val="110"/>
                <w:sz w:val="17"/>
              </w:rPr>
              <w:t>Tamaulipas</w:t>
            </w:r>
          </w:p>
        </w:tc>
        <w:tc>
          <w:tcPr>
            <w:tcW w:w="901" w:type="dxa"/>
          </w:tcPr>
          <w:p>
            <w:pPr>
              <w:pStyle w:val="TableParagraph"/>
              <w:ind w:right="282"/>
              <w:jc w:val="right"/>
              <w:rPr>
                <w:sz w:val="17"/>
              </w:rPr>
            </w:pPr>
            <w:r>
              <w:rPr>
                <w:color w:val="231F20"/>
                <w:w w:val="105"/>
                <w:sz w:val="17"/>
              </w:rPr>
              <w:t>6.3</w:t>
            </w:r>
          </w:p>
        </w:tc>
        <w:tc>
          <w:tcPr>
            <w:tcW w:w="936" w:type="dxa"/>
          </w:tcPr>
          <w:p>
            <w:pPr>
              <w:pStyle w:val="TableParagraph"/>
              <w:ind w:left="284"/>
              <w:jc w:val="left"/>
              <w:rPr>
                <w:sz w:val="17"/>
              </w:rPr>
            </w:pPr>
            <w:r>
              <w:rPr>
                <w:color w:val="231F20"/>
                <w:w w:val="105"/>
                <w:sz w:val="17"/>
              </w:rPr>
              <w:t>79.6</w:t>
            </w:r>
          </w:p>
        </w:tc>
        <w:tc>
          <w:tcPr>
            <w:tcW w:w="996" w:type="dxa"/>
          </w:tcPr>
          <w:p>
            <w:pPr>
              <w:pStyle w:val="TableParagraph"/>
              <w:ind w:right="342"/>
              <w:jc w:val="right"/>
              <w:rPr>
                <w:sz w:val="17"/>
              </w:rPr>
            </w:pPr>
            <w:r>
              <w:rPr>
                <w:color w:val="231F20"/>
                <w:w w:val="105"/>
                <w:sz w:val="17"/>
              </w:rPr>
              <w:t>9.4</w:t>
            </w:r>
          </w:p>
        </w:tc>
        <w:tc>
          <w:tcPr>
            <w:tcW w:w="880" w:type="dxa"/>
          </w:tcPr>
          <w:p>
            <w:pPr>
              <w:pStyle w:val="TableParagraph"/>
              <w:ind w:left="325" w:right="280"/>
              <w:rPr>
                <w:sz w:val="17"/>
              </w:rPr>
            </w:pPr>
            <w:r>
              <w:rPr>
                <w:color w:val="231F20"/>
                <w:w w:val="105"/>
                <w:sz w:val="17"/>
              </w:rPr>
              <w:t>4.7</w:t>
            </w:r>
          </w:p>
        </w:tc>
        <w:tc>
          <w:tcPr>
            <w:tcW w:w="834" w:type="dxa"/>
          </w:tcPr>
          <w:p>
            <w:pPr>
              <w:pStyle w:val="TableParagraph"/>
              <w:ind w:left="281" w:right="229"/>
              <w:rPr>
                <w:sz w:val="17"/>
              </w:rPr>
            </w:pPr>
            <w:r>
              <w:rPr>
                <w:color w:val="231F20"/>
                <w:sz w:val="17"/>
              </w:rPr>
              <w:t>100</w:t>
            </w:r>
          </w:p>
        </w:tc>
        <w:tc>
          <w:tcPr>
            <w:tcW w:w="743" w:type="dxa"/>
          </w:tcPr>
          <w:p>
            <w:pPr>
              <w:pStyle w:val="TableParagraph"/>
              <w:ind w:left="228" w:right="239"/>
              <w:rPr>
                <w:sz w:val="17"/>
              </w:rPr>
            </w:pPr>
            <w:r>
              <w:rPr>
                <w:color w:val="231F20"/>
                <w:w w:val="105"/>
                <w:sz w:val="17"/>
              </w:rPr>
              <w:t>7.7</w:t>
            </w:r>
          </w:p>
        </w:tc>
        <w:tc>
          <w:tcPr>
            <w:tcW w:w="897" w:type="dxa"/>
          </w:tcPr>
          <w:p>
            <w:pPr>
              <w:pStyle w:val="TableParagraph"/>
              <w:ind w:left="240" w:right="282"/>
              <w:rPr>
                <w:sz w:val="17"/>
              </w:rPr>
            </w:pPr>
            <w:r>
              <w:rPr>
                <w:color w:val="231F20"/>
                <w:w w:val="105"/>
                <w:sz w:val="17"/>
              </w:rPr>
              <w:t>68.4</w:t>
            </w:r>
          </w:p>
        </w:tc>
        <w:tc>
          <w:tcPr>
            <w:tcW w:w="953" w:type="dxa"/>
          </w:tcPr>
          <w:p>
            <w:pPr>
              <w:pStyle w:val="TableParagraph"/>
              <w:ind w:right="313"/>
              <w:jc w:val="right"/>
              <w:rPr>
                <w:sz w:val="17"/>
              </w:rPr>
            </w:pPr>
            <w:r>
              <w:rPr>
                <w:color w:val="231F20"/>
                <w:sz w:val="17"/>
              </w:rPr>
              <w:t>14.9</w:t>
            </w:r>
          </w:p>
        </w:tc>
        <w:tc>
          <w:tcPr>
            <w:tcW w:w="959" w:type="dxa"/>
          </w:tcPr>
          <w:p>
            <w:pPr>
              <w:pStyle w:val="TableParagraph"/>
              <w:ind w:right="308"/>
              <w:jc w:val="right"/>
              <w:rPr>
                <w:sz w:val="17"/>
              </w:rPr>
            </w:pPr>
            <w:r>
              <w:rPr>
                <w:color w:val="231F20"/>
                <w:w w:val="105"/>
                <w:sz w:val="17"/>
              </w:rPr>
              <w:t>9.0</w:t>
            </w:r>
          </w:p>
        </w:tc>
        <w:tc>
          <w:tcPr>
            <w:tcW w:w="879" w:type="dxa"/>
          </w:tcPr>
          <w:p>
            <w:pPr>
              <w:pStyle w:val="TableParagraph"/>
              <w:ind w:left="310"/>
              <w:jc w:val="left"/>
              <w:rPr>
                <w:sz w:val="17"/>
              </w:rPr>
            </w:pPr>
            <w:r>
              <w:rPr>
                <w:color w:val="231F20"/>
                <w:sz w:val="17"/>
              </w:rPr>
              <w:t>100</w:t>
            </w:r>
          </w:p>
        </w:tc>
      </w:tr>
      <w:tr>
        <w:trPr>
          <w:trHeight w:val="210" w:hRule="exact"/>
        </w:trPr>
        <w:tc>
          <w:tcPr>
            <w:tcW w:w="1631" w:type="dxa"/>
          </w:tcPr>
          <w:p>
            <w:pPr>
              <w:pStyle w:val="TableParagraph"/>
              <w:ind w:left="35"/>
              <w:jc w:val="left"/>
              <w:rPr>
                <w:sz w:val="17"/>
              </w:rPr>
            </w:pPr>
            <w:r>
              <w:rPr>
                <w:color w:val="231F20"/>
                <w:w w:val="110"/>
                <w:sz w:val="17"/>
              </w:rPr>
              <w:t>Tlaxcala</w:t>
            </w:r>
          </w:p>
        </w:tc>
        <w:tc>
          <w:tcPr>
            <w:tcW w:w="901" w:type="dxa"/>
          </w:tcPr>
          <w:p>
            <w:pPr>
              <w:pStyle w:val="TableParagraph"/>
              <w:ind w:right="282"/>
              <w:jc w:val="right"/>
              <w:rPr>
                <w:sz w:val="17"/>
              </w:rPr>
            </w:pPr>
            <w:r>
              <w:rPr>
                <w:color w:val="231F20"/>
                <w:w w:val="105"/>
                <w:sz w:val="17"/>
              </w:rPr>
              <w:t>3.5</w:t>
            </w:r>
          </w:p>
        </w:tc>
        <w:tc>
          <w:tcPr>
            <w:tcW w:w="936" w:type="dxa"/>
          </w:tcPr>
          <w:p>
            <w:pPr>
              <w:pStyle w:val="TableParagraph"/>
              <w:ind w:left="284"/>
              <w:jc w:val="left"/>
              <w:rPr>
                <w:sz w:val="17"/>
              </w:rPr>
            </w:pPr>
            <w:r>
              <w:rPr>
                <w:color w:val="231F20"/>
                <w:w w:val="105"/>
                <w:sz w:val="17"/>
              </w:rPr>
              <w:t>85.9</w:t>
            </w:r>
          </w:p>
        </w:tc>
        <w:tc>
          <w:tcPr>
            <w:tcW w:w="996" w:type="dxa"/>
          </w:tcPr>
          <w:p>
            <w:pPr>
              <w:pStyle w:val="TableParagraph"/>
              <w:ind w:right="342"/>
              <w:jc w:val="right"/>
              <w:rPr>
                <w:sz w:val="17"/>
              </w:rPr>
            </w:pPr>
            <w:r>
              <w:rPr>
                <w:color w:val="231F20"/>
                <w:w w:val="105"/>
                <w:sz w:val="17"/>
              </w:rPr>
              <w:t>6.6</w:t>
            </w:r>
          </w:p>
        </w:tc>
        <w:tc>
          <w:tcPr>
            <w:tcW w:w="880" w:type="dxa"/>
          </w:tcPr>
          <w:p>
            <w:pPr>
              <w:pStyle w:val="TableParagraph"/>
              <w:ind w:left="325" w:right="280"/>
              <w:rPr>
                <w:sz w:val="17"/>
              </w:rPr>
            </w:pPr>
            <w:r>
              <w:rPr>
                <w:color w:val="231F20"/>
                <w:w w:val="105"/>
                <w:sz w:val="17"/>
              </w:rPr>
              <w:t>4.1</w:t>
            </w:r>
          </w:p>
        </w:tc>
        <w:tc>
          <w:tcPr>
            <w:tcW w:w="834" w:type="dxa"/>
          </w:tcPr>
          <w:p>
            <w:pPr>
              <w:pStyle w:val="TableParagraph"/>
              <w:ind w:left="281" w:right="229"/>
              <w:rPr>
                <w:sz w:val="17"/>
              </w:rPr>
            </w:pPr>
            <w:r>
              <w:rPr>
                <w:color w:val="231F20"/>
                <w:sz w:val="17"/>
              </w:rPr>
              <w:t>100</w:t>
            </w:r>
          </w:p>
        </w:tc>
        <w:tc>
          <w:tcPr>
            <w:tcW w:w="743" w:type="dxa"/>
          </w:tcPr>
          <w:p>
            <w:pPr>
              <w:pStyle w:val="TableParagraph"/>
              <w:ind w:left="227" w:right="239"/>
              <w:rPr>
                <w:sz w:val="17"/>
              </w:rPr>
            </w:pPr>
            <w:r>
              <w:rPr>
                <w:color w:val="231F20"/>
                <w:w w:val="105"/>
                <w:sz w:val="17"/>
              </w:rPr>
              <w:t>4.7</w:t>
            </w:r>
          </w:p>
        </w:tc>
        <w:tc>
          <w:tcPr>
            <w:tcW w:w="897" w:type="dxa"/>
          </w:tcPr>
          <w:p>
            <w:pPr>
              <w:pStyle w:val="TableParagraph"/>
              <w:ind w:left="240" w:right="282"/>
              <w:rPr>
                <w:sz w:val="17"/>
              </w:rPr>
            </w:pPr>
            <w:r>
              <w:rPr>
                <w:color w:val="231F20"/>
                <w:w w:val="105"/>
                <w:sz w:val="17"/>
              </w:rPr>
              <w:t>75.0</w:t>
            </w:r>
          </w:p>
        </w:tc>
        <w:tc>
          <w:tcPr>
            <w:tcW w:w="953" w:type="dxa"/>
          </w:tcPr>
          <w:p>
            <w:pPr>
              <w:pStyle w:val="TableParagraph"/>
              <w:ind w:right="313"/>
              <w:jc w:val="right"/>
              <w:rPr>
                <w:sz w:val="17"/>
              </w:rPr>
            </w:pPr>
            <w:r>
              <w:rPr>
                <w:color w:val="231F20"/>
                <w:sz w:val="17"/>
              </w:rPr>
              <w:t>14.0</w:t>
            </w:r>
          </w:p>
        </w:tc>
        <w:tc>
          <w:tcPr>
            <w:tcW w:w="959" w:type="dxa"/>
          </w:tcPr>
          <w:p>
            <w:pPr>
              <w:pStyle w:val="TableParagraph"/>
              <w:ind w:right="308"/>
              <w:jc w:val="right"/>
              <w:rPr>
                <w:sz w:val="17"/>
              </w:rPr>
            </w:pPr>
            <w:r>
              <w:rPr>
                <w:color w:val="231F20"/>
                <w:w w:val="105"/>
                <w:sz w:val="17"/>
              </w:rPr>
              <w:t>6.4</w:t>
            </w:r>
          </w:p>
        </w:tc>
        <w:tc>
          <w:tcPr>
            <w:tcW w:w="879" w:type="dxa"/>
          </w:tcPr>
          <w:p>
            <w:pPr>
              <w:pStyle w:val="TableParagraph"/>
              <w:ind w:left="310"/>
              <w:jc w:val="left"/>
              <w:rPr>
                <w:sz w:val="17"/>
              </w:rPr>
            </w:pPr>
            <w:r>
              <w:rPr>
                <w:color w:val="231F20"/>
                <w:sz w:val="17"/>
              </w:rPr>
              <w:t>100</w:t>
            </w:r>
          </w:p>
        </w:tc>
      </w:tr>
      <w:tr>
        <w:trPr>
          <w:trHeight w:val="210" w:hRule="exact"/>
        </w:trPr>
        <w:tc>
          <w:tcPr>
            <w:tcW w:w="1631" w:type="dxa"/>
          </w:tcPr>
          <w:p>
            <w:pPr>
              <w:pStyle w:val="TableParagraph"/>
              <w:ind w:left="35"/>
              <w:jc w:val="left"/>
              <w:rPr>
                <w:sz w:val="17"/>
              </w:rPr>
            </w:pPr>
            <w:r>
              <w:rPr>
                <w:color w:val="231F20"/>
                <w:w w:val="110"/>
                <w:sz w:val="17"/>
              </w:rPr>
              <w:t>Veracruz</w:t>
            </w:r>
          </w:p>
        </w:tc>
        <w:tc>
          <w:tcPr>
            <w:tcW w:w="901" w:type="dxa"/>
          </w:tcPr>
          <w:p>
            <w:pPr>
              <w:pStyle w:val="TableParagraph"/>
              <w:ind w:right="282"/>
              <w:jc w:val="right"/>
              <w:rPr>
                <w:sz w:val="17"/>
              </w:rPr>
            </w:pPr>
            <w:r>
              <w:rPr>
                <w:color w:val="231F20"/>
                <w:w w:val="105"/>
                <w:sz w:val="17"/>
              </w:rPr>
              <w:t>6.2</w:t>
            </w:r>
          </w:p>
        </w:tc>
        <w:tc>
          <w:tcPr>
            <w:tcW w:w="936" w:type="dxa"/>
          </w:tcPr>
          <w:p>
            <w:pPr>
              <w:pStyle w:val="TableParagraph"/>
              <w:ind w:left="284"/>
              <w:jc w:val="left"/>
              <w:rPr>
                <w:sz w:val="17"/>
              </w:rPr>
            </w:pPr>
            <w:r>
              <w:rPr>
                <w:color w:val="231F20"/>
                <w:w w:val="105"/>
                <w:sz w:val="17"/>
              </w:rPr>
              <w:t>68.1</w:t>
            </w:r>
          </w:p>
        </w:tc>
        <w:tc>
          <w:tcPr>
            <w:tcW w:w="996" w:type="dxa"/>
          </w:tcPr>
          <w:p>
            <w:pPr>
              <w:pStyle w:val="TableParagraph"/>
              <w:ind w:right="342"/>
              <w:jc w:val="right"/>
              <w:rPr>
                <w:sz w:val="17"/>
              </w:rPr>
            </w:pPr>
            <w:r>
              <w:rPr>
                <w:color w:val="231F20"/>
                <w:sz w:val="17"/>
              </w:rPr>
              <w:t>20.7</w:t>
            </w:r>
          </w:p>
        </w:tc>
        <w:tc>
          <w:tcPr>
            <w:tcW w:w="880" w:type="dxa"/>
          </w:tcPr>
          <w:p>
            <w:pPr>
              <w:pStyle w:val="TableParagraph"/>
              <w:ind w:left="325" w:right="280"/>
              <w:rPr>
                <w:sz w:val="17"/>
              </w:rPr>
            </w:pPr>
            <w:r>
              <w:rPr>
                <w:color w:val="231F20"/>
                <w:w w:val="105"/>
                <w:sz w:val="17"/>
              </w:rPr>
              <w:t>5.0</w:t>
            </w:r>
          </w:p>
        </w:tc>
        <w:tc>
          <w:tcPr>
            <w:tcW w:w="834" w:type="dxa"/>
          </w:tcPr>
          <w:p>
            <w:pPr>
              <w:pStyle w:val="TableParagraph"/>
              <w:ind w:left="281" w:right="229"/>
              <w:rPr>
                <w:sz w:val="17"/>
              </w:rPr>
            </w:pPr>
            <w:r>
              <w:rPr>
                <w:color w:val="231F20"/>
                <w:sz w:val="17"/>
              </w:rPr>
              <w:t>100</w:t>
            </w:r>
          </w:p>
        </w:tc>
        <w:tc>
          <w:tcPr>
            <w:tcW w:w="743" w:type="dxa"/>
          </w:tcPr>
          <w:p>
            <w:pPr>
              <w:pStyle w:val="TableParagraph"/>
              <w:ind w:left="228" w:right="238"/>
              <w:rPr>
                <w:sz w:val="17"/>
              </w:rPr>
            </w:pPr>
            <w:r>
              <w:rPr>
                <w:color w:val="231F20"/>
                <w:w w:val="105"/>
                <w:sz w:val="17"/>
              </w:rPr>
              <w:t>8.0</w:t>
            </w:r>
          </w:p>
        </w:tc>
        <w:tc>
          <w:tcPr>
            <w:tcW w:w="897" w:type="dxa"/>
          </w:tcPr>
          <w:p>
            <w:pPr>
              <w:pStyle w:val="TableParagraph"/>
              <w:ind w:left="240" w:right="282"/>
              <w:rPr>
                <w:sz w:val="17"/>
              </w:rPr>
            </w:pPr>
            <w:r>
              <w:rPr>
                <w:color w:val="231F20"/>
                <w:w w:val="105"/>
                <w:sz w:val="17"/>
              </w:rPr>
              <w:t>63.4</w:t>
            </w:r>
          </w:p>
        </w:tc>
        <w:tc>
          <w:tcPr>
            <w:tcW w:w="953" w:type="dxa"/>
          </w:tcPr>
          <w:p>
            <w:pPr>
              <w:pStyle w:val="TableParagraph"/>
              <w:ind w:right="313"/>
              <w:jc w:val="right"/>
              <w:rPr>
                <w:sz w:val="17"/>
              </w:rPr>
            </w:pPr>
            <w:r>
              <w:rPr>
                <w:color w:val="231F20"/>
                <w:sz w:val="17"/>
              </w:rPr>
              <w:t>21.1</w:t>
            </w:r>
          </w:p>
        </w:tc>
        <w:tc>
          <w:tcPr>
            <w:tcW w:w="959" w:type="dxa"/>
          </w:tcPr>
          <w:p>
            <w:pPr>
              <w:pStyle w:val="TableParagraph"/>
              <w:ind w:right="308"/>
              <w:jc w:val="right"/>
              <w:rPr>
                <w:sz w:val="17"/>
              </w:rPr>
            </w:pPr>
            <w:r>
              <w:rPr>
                <w:color w:val="231F20"/>
                <w:w w:val="105"/>
                <w:sz w:val="17"/>
              </w:rPr>
              <w:t>7.5</w:t>
            </w:r>
          </w:p>
        </w:tc>
        <w:tc>
          <w:tcPr>
            <w:tcW w:w="879" w:type="dxa"/>
          </w:tcPr>
          <w:p>
            <w:pPr>
              <w:pStyle w:val="TableParagraph"/>
              <w:ind w:left="310"/>
              <w:jc w:val="left"/>
              <w:rPr>
                <w:sz w:val="17"/>
              </w:rPr>
            </w:pPr>
            <w:r>
              <w:rPr>
                <w:color w:val="231F20"/>
                <w:sz w:val="17"/>
              </w:rPr>
              <w:t>100</w:t>
            </w:r>
          </w:p>
        </w:tc>
      </w:tr>
      <w:tr>
        <w:trPr>
          <w:trHeight w:val="210" w:hRule="exact"/>
        </w:trPr>
        <w:tc>
          <w:tcPr>
            <w:tcW w:w="1631" w:type="dxa"/>
          </w:tcPr>
          <w:p>
            <w:pPr>
              <w:pStyle w:val="TableParagraph"/>
              <w:ind w:left="35"/>
              <w:jc w:val="left"/>
              <w:rPr>
                <w:sz w:val="17"/>
              </w:rPr>
            </w:pPr>
            <w:r>
              <w:rPr>
                <w:color w:val="231F20"/>
                <w:w w:val="110"/>
                <w:sz w:val="17"/>
              </w:rPr>
              <w:t>Yucatán</w:t>
            </w:r>
          </w:p>
        </w:tc>
        <w:tc>
          <w:tcPr>
            <w:tcW w:w="901" w:type="dxa"/>
          </w:tcPr>
          <w:p>
            <w:pPr>
              <w:pStyle w:val="TableParagraph"/>
              <w:ind w:right="282"/>
              <w:jc w:val="right"/>
              <w:rPr>
                <w:sz w:val="17"/>
              </w:rPr>
            </w:pPr>
            <w:r>
              <w:rPr>
                <w:color w:val="231F20"/>
                <w:w w:val="105"/>
                <w:sz w:val="17"/>
              </w:rPr>
              <w:t>6.1</w:t>
            </w:r>
          </w:p>
        </w:tc>
        <w:tc>
          <w:tcPr>
            <w:tcW w:w="936" w:type="dxa"/>
          </w:tcPr>
          <w:p>
            <w:pPr>
              <w:pStyle w:val="TableParagraph"/>
              <w:ind w:left="284"/>
              <w:jc w:val="left"/>
              <w:rPr>
                <w:sz w:val="17"/>
              </w:rPr>
            </w:pPr>
            <w:r>
              <w:rPr>
                <w:color w:val="231F20"/>
                <w:w w:val="105"/>
                <w:sz w:val="17"/>
              </w:rPr>
              <w:t>84.5</w:t>
            </w:r>
          </w:p>
        </w:tc>
        <w:tc>
          <w:tcPr>
            <w:tcW w:w="996" w:type="dxa"/>
          </w:tcPr>
          <w:p>
            <w:pPr>
              <w:pStyle w:val="TableParagraph"/>
              <w:ind w:right="342"/>
              <w:jc w:val="right"/>
              <w:rPr>
                <w:sz w:val="17"/>
              </w:rPr>
            </w:pPr>
            <w:r>
              <w:rPr>
                <w:color w:val="231F20"/>
                <w:w w:val="105"/>
                <w:sz w:val="17"/>
              </w:rPr>
              <w:t>4.9</w:t>
            </w:r>
          </w:p>
        </w:tc>
        <w:tc>
          <w:tcPr>
            <w:tcW w:w="880" w:type="dxa"/>
          </w:tcPr>
          <w:p>
            <w:pPr>
              <w:pStyle w:val="TableParagraph"/>
              <w:ind w:left="325" w:right="280"/>
              <w:rPr>
                <w:sz w:val="17"/>
              </w:rPr>
            </w:pPr>
            <w:r>
              <w:rPr>
                <w:color w:val="231F20"/>
                <w:w w:val="105"/>
                <w:sz w:val="17"/>
              </w:rPr>
              <w:t>4.5</w:t>
            </w:r>
          </w:p>
        </w:tc>
        <w:tc>
          <w:tcPr>
            <w:tcW w:w="834" w:type="dxa"/>
          </w:tcPr>
          <w:p>
            <w:pPr>
              <w:pStyle w:val="TableParagraph"/>
              <w:ind w:left="281" w:right="229"/>
              <w:rPr>
                <w:sz w:val="17"/>
              </w:rPr>
            </w:pPr>
            <w:r>
              <w:rPr>
                <w:color w:val="231F20"/>
                <w:sz w:val="17"/>
              </w:rPr>
              <w:t>100</w:t>
            </w:r>
          </w:p>
        </w:tc>
        <w:tc>
          <w:tcPr>
            <w:tcW w:w="743" w:type="dxa"/>
          </w:tcPr>
          <w:p>
            <w:pPr>
              <w:pStyle w:val="TableParagraph"/>
              <w:ind w:left="228" w:right="238"/>
              <w:rPr>
                <w:sz w:val="17"/>
              </w:rPr>
            </w:pPr>
            <w:r>
              <w:rPr>
                <w:color w:val="231F20"/>
                <w:w w:val="105"/>
                <w:sz w:val="17"/>
              </w:rPr>
              <w:t>7.9</w:t>
            </w:r>
          </w:p>
        </w:tc>
        <w:tc>
          <w:tcPr>
            <w:tcW w:w="897" w:type="dxa"/>
          </w:tcPr>
          <w:p>
            <w:pPr>
              <w:pStyle w:val="TableParagraph"/>
              <w:ind w:left="240" w:right="282"/>
              <w:rPr>
                <w:sz w:val="17"/>
              </w:rPr>
            </w:pPr>
            <w:r>
              <w:rPr>
                <w:color w:val="231F20"/>
                <w:w w:val="105"/>
                <w:sz w:val="17"/>
              </w:rPr>
              <w:t>75.4</w:t>
            </w:r>
          </w:p>
        </w:tc>
        <w:tc>
          <w:tcPr>
            <w:tcW w:w="953" w:type="dxa"/>
          </w:tcPr>
          <w:p>
            <w:pPr>
              <w:pStyle w:val="TableParagraph"/>
              <w:ind w:right="313"/>
              <w:jc w:val="right"/>
              <w:rPr>
                <w:sz w:val="17"/>
              </w:rPr>
            </w:pPr>
            <w:r>
              <w:rPr>
                <w:color w:val="231F20"/>
                <w:w w:val="105"/>
                <w:sz w:val="17"/>
              </w:rPr>
              <w:t>8.7</w:t>
            </w:r>
          </w:p>
        </w:tc>
        <w:tc>
          <w:tcPr>
            <w:tcW w:w="959" w:type="dxa"/>
          </w:tcPr>
          <w:p>
            <w:pPr>
              <w:pStyle w:val="TableParagraph"/>
              <w:ind w:right="308"/>
              <w:jc w:val="right"/>
              <w:rPr>
                <w:sz w:val="17"/>
              </w:rPr>
            </w:pPr>
            <w:r>
              <w:rPr>
                <w:color w:val="231F20"/>
                <w:w w:val="105"/>
                <w:sz w:val="17"/>
              </w:rPr>
              <w:t>8.0</w:t>
            </w:r>
          </w:p>
        </w:tc>
        <w:tc>
          <w:tcPr>
            <w:tcW w:w="879" w:type="dxa"/>
          </w:tcPr>
          <w:p>
            <w:pPr>
              <w:pStyle w:val="TableParagraph"/>
              <w:ind w:left="310"/>
              <w:jc w:val="left"/>
              <w:rPr>
                <w:sz w:val="17"/>
              </w:rPr>
            </w:pPr>
            <w:r>
              <w:rPr>
                <w:color w:val="231F20"/>
                <w:sz w:val="17"/>
              </w:rPr>
              <w:t>100</w:t>
            </w:r>
          </w:p>
        </w:tc>
      </w:tr>
      <w:tr>
        <w:trPr>
          <w:trHeight w:val="276" w:hRule="exact"/>
        </w:trPr>
        <w:tc>
          <w:tcPr>
            <w:tcW w:w="1631" w:type="dxa"/>
            <w:tcBorders>
              <w:bottom w:val="single" w:sz="3" w:space="0" w:color="231F20"/>
            </w:tcBorders>
          </w:tcPr>
          <w:p>
            <w:pPr>
              <w:pStyle w:val="TableParagraph"/>
              <w:ind w:left="35"/>
              <w:jc w:val="left"/>
              <w:rPr>
                <w:sz w:val="17"/>
              </w:rPr>
            </w:pPr>
            <w:r>
              <w:rPr>
                <w:color w:val="231F20"/>
                <w:w w:val="110"/>
                <w:sz w:val="17"/>
              </w:rPr>
              <w:t>Zacatecas</w:t>
            </w:r>
          </w:p>
        </w:tc>
        <w:tc>
          <w:tcPr>
            <w:tcW w:w="901" w:type="dxa"/>
            <w:tcBorders>
              <w:bottom w:val="single" w:sz="3" w:space="0" w:color="231F20"/>
            </w:tcBorders>
          </w:tcPr>
          <w:p>
            <w:pPr>
              <w:pStyle w:val="TableParagraph"/>
              <w:ind w:right="282"/>
              <w:jc w:val="right"/>
              <w:rPr>
                <w:sz w:val="17"/>
              </w:rPr>
            </w:pPr>
            <w:r>
              <w:rPr>
                <w:color w:val="231F20"/>
                <w:w w:val="105"/>
                <w:sz w:val="17"/>
              </w:rPr>
              <w:t>5.0</w:t>
            </w:r>
          </w:p>
        </w:tc>
        <w:tc>
          <w:tcPr>
            <w:tcW w:w="936" w:type="dxa"/>
            <w:tcBorders>
              <w:bottom w:val="single" w:sz="3" w:space="0" w:color="231F20"/>
            </w:tcBorders>
          </w:tcPr>
          <w:p>
            <w:pPr>
              <w:pStyle w:val="TableParagraph"/>
              <w:ind w:left="284"/>
              <w:jc w:val="left"/>
              <w:rPr>
                <w:sz w:val="17"/>
              </w:rPr>
            </w:pPr>
            <w:r>
              <w:rPr>
                <w:color w:val="231F20"/>
                <w:w w:val="105"/>
                <w:sz w:val="17"/>
              </w:rPr>
              <w:t>88.2</w:t>
            </w:r>
          </w:p>
        </w:tc>
        <w:tc>
          <w:tcPr>
            <w:tcW w:w="996" w:type="dxa"/>
            <w:tcBorders>
              <w:bottom w:val="single" w:sz="3" w:space="0" w:color="231F20"/>
            </w:tcBorders>
          </w:tcPr>
          <w:p>
            <w:pPr>
              <w:pStyle w:val="TableParagraph"/>
              <w:ind w:right="342"/>
              <w:jc w:val="right"/>
              <w:rPr>
                <w:sz w:val="17"/>
              </w:rPr>
            </w:pPr>
            <w:r>
              <w:rPr>
                <w:color w:val="231F20"/>
                <w:w w:val="105"/>
                <w:sz w:val="17"/>
              </w:rPr>
              <w:t>3.6</w:t>
            </w:r>
          </w:p>
        </w:tc>
        <w:tc>
          <w:tcPr>
            <w:tcW w:w="880" w:type="dxa"/>
            <w:tcBorders>
              <w:bottom w:val="single" w:sz="3" w:space="0" w:color="231F20"/>
            </w:tcBorders>
          </w:tcPr>
          <w:p>
            <w:pPr>
              <w:pStyle w:val="TableParagraph"/>
              <w:ind w:left="325" w:right="280"/>
              <w:rPr>
                <w:sz w:val="17"/>
              </w:rPr>
            </w:pPr>
            <w:r>
              <w:rPr>
                <w:color w:val="231F20"/>
                <w:w w:val="105"/>
                <w:sz w:val="17"/>
              </w:rPr>
              <w:t>3.2</w:t>
            </w:r>
          </w:p>
        </w:tc>
        <w:tc>
          <w:tcPr>
            <w:tcW w:w="834" w:type="dxa"/>
            <w:tcBorders>
              <w:bottom w:val="single" w:sz="3" w:space="0" w:color="231F20"/>
            </w:tcBorders>
          </w:tcPr>
          <w:p>
            <w:pPr>
              <w:pStyle w:val="TableParagraph"/>
              <w:ind w:left="281" w:right="229"/>
              <w:rPr>
                <w:sz w:val="17"/>
              </w:rPr>
            </w:pPr>
            <w:r>
              <w:rPr>
                <w:color w:val="231F20"/>
                <w:sz w:val="17"/>
              </w:rPr>
              <w:t>100</w:t>
            </w:r>
          </w:p>
        </w:tc>
        <w:tc>
          <w:tcPr>
            <w:tcW w:w="743" w:type="dxa"/>
            <w:tcBorders>
              <w:bottom w:val="single" w:sz="3" w:space="0" w:color="231F20"/>
            </w:tcBorders>
          </w:tcPr>
          <w:p>
            <w:pPr>
              <w:pStyle w:val="TableParagraph"/>
              <w:ind w:left="228" w:right="238"/>
              <w:rPr>
                <w:sz w:val="17"/>
              </w:rPr>
            </w:pPr>
            <w:r>
              <w:rPr>
                <w:color w:val="231F20"/>
                <w:w w:val="105"/>
                <w:sz w:val="17"/>
              </w:rPr>
              <w:t>6.7</w:t>
            </w:r>
          </w:p>
        </w:tc>
        <w:tc>
          <w:tcPr>
            <w:tcW w:w="897" w:type="dxa"/>
            <w:tcBorders>
              <w:bottom w:val="single" w:sz="3" w:space="0" w:color="231F20"/>
            </w:tcBorders>
          </w:tcPr>
          <w:p>
            <w:pPr>
              <w:pStyle w:val="TableParagraph"/>
              <w:ind w:left="240" w:right="282"/>
              <w:rPr>
                <w:sz w:val="17"/>
              </w:rPr>
            </w:pPr>
            <w:r>
              <w:rPr>
                <w:color w:val="231F20"/>
                <w:w w:val="105"/>
                <w:sz w:val="17"/>
              </w:rPr>
              <w:t>80.5</w:t>
            </w:r>
          </w:p>
        </w:tc>
        <w:tc>
          <w:tcPr>
            <w:tcW w:w="953" w:type="dxa"/>
            <w:tcBorders>
              <w:bottom w:val="single" w:sz="3" w:space="0" w:color="231F20"/>
            </w:tcBorders>
          </w:tcPr>
          <w:p>
            <w:pPr>
              <w:pStyle w:val="TableParagraph"/>
              <w:ind w:right="313"/>
              <w:jc w:val="right"/>
              <w:rPr>
                <w:sz w:val="17"/>
              </w:rPr>
            </w:pPr>
            <w:r>
              <w:rPr>
                <w:color w:val="231F20"/>
                <w:w w:val="105"/>
                <w:sz w:val="17"/>
              </w:rPr>
              <w:t>7.3</w:t>
            </w:r>
          </w:p>
        </w:tc>
        <w:tc>
          <w:tcPr>
            <w:tcW w:w="959" w:type="dxa"/>
            <w:tcBorders>
              <w:bottom w:val="single" w:sz="3" w:space="0" w:color="231F20"/>
            </w:tcBorders>
          </w:tcPr>
          <w:p>
            <w:pPr>
              <w:pStyle w:val="TableParagraph"/>
              <w:ind w:right="308"/>
              <w:jc w:val="right"/>
              <w:rPr>
                <w:sz w:val="17"/>
              </w:rPr>
            </w:pPr>
            <w:r>
              <w:rPr>
                <w:color w:val="231F20"/>
                <w:w w:val="105"/>
                <w:sz w:val="17"/>
              </w:rPr>
              <w:t>5.6</w:t>
            </w:r>
          </w:p>
        </w:tc>
        <w:tc>
          <w:tcPr>
            <w:tcW w:w="879" w:type="dxa"/>
            <w:tcBorders>
              <w:bottom w:val="single" w:sz="3" w:space="0" w:color="231F20"/>
            </w:tcBorders>
          </w:tcPr>
          <w:p>
            <w:pPr>
              <w:pStyle w:val="TableParagraph"/>
              <w:ind w:left="310"/>
              <w:jc w:val="left"/>
              <w:rPr>
                <w:sz w:val="17"/>
              </w:rPr>
            </w:pPr>
            <w:r>
              <w:rPr>
                <w:color w:val="231F20"/>
                <w:sz w:val="17"/>
              </w:rPr>
              <w:t>100</w:t>
            </w:r>
          </w:p>
        </w:tc>
      </w:tr>
    </w:tbl>
    <w:p>
      <w:pPr>
        <w:spacing w:before="63"/>
        <w:ind w:left="504" w:right="0" w:firstLine="0"/>
        <w:jc w:val="left"/>
        <w:rPr>
          <w:sz w:val="15"/>
        </w:rPr>
      </w:pPr>
      <w:r>
        <w:rPr>
          <w:color w:val="231F20"/>
          <w:w w:val="110"/>
          <w:sz w:val="15"/>
        </w:rPr>
        <w:t>Fuente: Elaboración propia con datos del Censo de Población y Vivienda de 2010, </w:t>
      </w:r>
      <w:r>
        <w:rPr>
          <w:rFonts w:ascii="Times New Roman" w:hAnsi="Times New Roman"/>
          <w:color w:val="231F20"/>
          <w:w w:val="110"/>
          <w:sz w:val="12"/>
        </w:rPr>
        <w:t>INEGI</w:t>
      </w:r>
      <w:r>
        <w:rPr>
          <w:color w:val="231F20"/>
          <w:w w:val="110"/>
          <w:sz w:val="15"/>
        </w:rPr>
        <w:t>,  2013.</w:t>
      </w:r>
    </w:p>
    <w:p>
      <w:pPr>
        <w:spacing w:after="0"/>
        <w:jc w:val="left"/>
        <w:rPr>
          <w:sz w:val="15"/>
        </w:rPr>
        <w:sectPr>
          <w:footerReference w:type="even" r:id="rId74"/>
          <w:pgSz w:w="12920" w:h="9520" w:orient="landscape"/>
          <w:pgMar w:footer="0" w:header="0" w:top="880" w:bottom="280" w:left="1240" w:right="84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pPr>
    </w:p>
    <w:p>
      <w:pPr>
        <w:spacing w:line="185" w:lineRule="exact" w:before="0"/>
        <w:ind w:left="1342" w:right="1318" w:firstLine="0"/>
        <w:jc w:val="center"/>
        <w:rPr>
          <w:sz w:val="16"/>
        </w:rPr>
      </w:pPr>
      <w:r>
        <w:rPr>
          <w:color w:val="231F20"/>
          <w:w w:val="105"/>
          <w:sz w:val="16"/>
        </w:rPr>
        <w:t>Cuadro 7</w:t>
      </w:r>
    </w:p>
    <w:p>
      <w:pPr>
        <w:spacing w:line="220" w:lineRule="exact" w:before="0"/>
        <w:ind w:left="1342" w:right="1318" w:firstLine="0"/>
        <w:jc w:val="center"/>
        <w:rPr>
          <w:sz w:val="19"/>
        </w:rPr>
      </w:pPr>
      <w:r>
        <w:rPr/>
        <w:pict>
          <v:group style="position:absolute;margin-left:153.025406pt;margin-top:26.562201pt;width:445.2pt;height:19.3pt;mso-position-horizontal-relative:page;mso-position-vertical-relative:paragraph;z-index:-456784" coordorigin="3061,531" coordsize="8904,386">
            <v:shape style="position:absolute;left:4446;top:-6095;width:2;height:8896" coordorigin="4446,-6095" coordsize="0,8896" path="m3065,791l3892,791m3892,791l4774,791m4774,791l5790,791m5790,791l6765,791m6765,791l7511,791m7511,791l8276,791m8276,791l9120,791m9120,791l10146,791m10146,791l11111,791m11111,791l11960,791e" filled="false" stroked="true" strokeweight=".4pt" strokecolor="#231f20">
              <v:path arrowok="t"/>
            </v:shape>
            <v:line style="position:absolute" from="7475,620" to="7475,884" stroked="true" strokeweight="3.3pt" strokecolor="#ffffff"/>
            <v:shape style="position:absolute;left:5109;top:533;width:347;height:170" type="#_x0000_t202" filled="false" stroked="false">
              <v:textbox inset="0,0,0,0">
                <w:txbxContent>
                  <w:p>
                    <w:pPr>
                      <w:spacing w:line="170" w:lineRule="exact" w:before="0"/>
                      <w:ind w:left="0" w:right="-15" w:firstLine="0"/>
                      <w:jc w:val="left"/>
                      <w:rPr>
                        <w:i/>
                        <w:sz w:val="17"/>
                      </w:rPr>
                    </w:pPr>
                    <w:r>
                      <w:rPr>
                        <w:i/>
                        <w:color w:val="231F20"/>
                        <w:w w:val="95"/>
                        <w:sz w:val="17"/>
                      </w:rPr>
                      <w:t>1990</w:t>
                    </w:r>
                  </w:p>
                </w:txbxContent>
              </v:textbox>
              <w10:wrap type="none"/>
            </v:shape>
            <v:shape style="position:absolute;left:9567;top:531;width:347;height:170" type="#_x0000_t202" filled="false" stroked="false">
              <v:textbox inset="0,0,0,0">
                <w:txbxContent>
                  <w:p>
                    <w:pPr>
                      <w:spacing w:line="170" w:lineRule="exact" w:before="0"/>
                      <w:ind w:left="0" w:right="-15" w:firstLine="0"/>
                      <w:jc w:val="left"/>
                      <w:rPr>
                        <w:i/>
                        <w:sz w:val="17"/>
                      </w:rPr>
                    </w:pPr>
                    <w:r>
                      <w:rPr>
                        <w:i/>
                        <w:color w:val="231F20"/>
                        <w:w w:val="95"/>
                        <w:sz w:val="17"/>
                      </w:rPr>
                      <w:t>2010</w:t>
                    </w:r>
                  </w:p>
                </w:txbxContent>
              </v:textbox>
              <w10:wrap type="none"/>
            </v:shape>
            <w10:wrap type="none"/>
          </v:group>
        </w:pict>
      </w:r>
      <w:r>
        <w:rPr>
          <w:color w:val="231F20"/>
          <w:w w:val="90"/>
          <w:sz w:val="19"/>
        </w:rPr>
        <w:t>Distribución porcentual de mujeres de 50-54 años por condición de unión, por entidad federativa, 1990 y 2010</w:t>
      </w:r>
    </w:p>
    <w:p>
      <w:pPr>
        <w:pStyle w:val="BodyText"/>
        <w:spacing w:before="6"/>
        <w:rPr>
          <w:sz w:val="13"/>
        </w:rPr>
      </w:pPr>
      <w:r>
        <w:rPr/>
        <w:pict>
          <v:group style="position:absolute;margin-left:69.025398pt;margin-top:9.889416pt;width:529.2pt;height:.4pt;mso-position-horizontal-relative:page;mso-position-vertical-relative:paragraph;z-index:2032;mso-wrap-distance-left:0;mso-wrap-distance-right:0" coordorigin="1381,198" coordsize="10584,8">
            <v:line style="position:absolute" from="1385,202" to="3065,202" stroked="true" strokeweight=".4pt" strokecolor="#231f20"/>
            <v:line style="position:absolute" from="3065,202" to="3892,202" stroked="true" strokeweight=".4pt" strokecolor="#231f20"/>
            <v:line style="position:absolute" from="3892,202" to="4774,202" stroked="true" strokeweight=".4pt" strokecolor="#231f20"/>
            <v:line style="position:absolute" from="4774,202" to="5790,202" stroked="true" strokeweight=".4pt" strokecolor="#231f20"/>
            <v:line style="position:absolute" from="5790,202" to="6765,202" stroked="true" strokeweight=".4pt" strokecolor="#231f20"/>
            <v:line style="position:absolute" from="6765,202" to="7511,202" stroked="true" strokeweight=".4pt" strokecolor="#231f20"/>
            <v:line style="position:absolute" from="7511,202" to="8276,202" stroked="true" strokeweight=".4pt" strokecolor="#231f20"/>
            <v:line style="position:absolute" from="8276,202" to="9120,202" stroked="true" strokeweight=".4pt" strokecolor="#231f20"/>
            <v:line style="position:absolute" from="9120,202" to="10146,202" stroked="true" strokeweight=".4pt" strokecolor="#231f20"/>
            <v:line style="position:absolute" from="10146,202" to="11111,202" stroked="true" strokeweight=".4pt" strokecolor="#231f20"/>
            <v:line style="position:absolute" from="11111,202" to="11960,202" stroked="true" strokeweight=".4pt" strokecolor="#231f20"/>
            <w10:wrap type="topAndBottom"/>
          </v:group>
        </w:pict>
      </w:r>
    </w:p>
    <w:p>
      <w:pPr>
        <w:pStyle w:val="BodyText"/>
        <w:spacing w:before="10"/>
        <w:rPr>
          <w:sz w:val="29"/>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72"/>
        <w:gridCol w:w="778"/>
        <w:gridCol w:w="855"/>
        <w:gridCol w:w="1023"/>
        <w:gridCol w:w="1049"/>
        <w:gridCol w:w="632"/>
        <w:gridCol w:w="831"/>
        <w:gridCol w:w="823"/>
        <w:gridCol w:w="1016"/>
        <w:gridCol w:w="1073"/>
        <w:gridCol w:w="759"/>
      </w:tblGrid>
      <w:tr>
        <w:trPr>
          <w:trHeight w:val="547" w:hRule="exact"/>
        </w:trPr>
        <w:tc>
          <w:tcPr>
            <w:tcW w:w="2550" w:type="dxa"/>
            <w:gridSpan w:val="2"/>
            <w:tcBorders>
              <w:bottom w:val="single" w:sz="3" w:space="0" w:color="231F20"/>
            </w:tcBorders>
          </w:tcPr>
          <w:p>
            <w:pPr>
              <w:pStyle w:val="TableParagraph"/>
              <w:spacing w:line="240" w:lineRule="auto" w:before="7"/>
              <w:jc w:val="left"/>
              <w:rPr>
                <w:sz w:val="22"/>
              </w:rPr>
            </w:pPr>
          </w:p>
          <w:p>
            <w:pPr>
              <w:pStyle w:val="TableParagraph"/>
              <w:tabs>
                <w:tab w:pos="1825" w:val="left" w:leader="none"/>
              </w:tabs>
              <w:spacing w:line="240" w:lineRule="auto"/>
              <w:ind w:left="577"/>
              <w:jc w:val="left"/>
              <w:rPr>
                <w:i/>
                <w:sz w:val="17"/>
              </w:rPr>
            </w:pPr>
            <w:r>
              <w:rPr>
                <w:i/>
                <w:color w:val="231F20"/>
                <w:w w:val="105"/>
                <w:sz w:val="17"/>
              </w:rPr>
              <w:t>Entidad</w:t>
              <w:tab/>
              <w:t>Solteras</w:t>
            </w:r>
          </w:p>
        </w:tc>
        <w:tc>
          <w:tcPr>
            <w:tcW w:w="855" w:type="dxa"/>
            <w:tcBorders>
              <w:bottom w:val="single" w:sz="3" w:space="0" w:color="231F20"/>
            </w:tcBorders>
          </w:tcPr>
          <w:p>
            <w:pPr>
              <w:pStyle w:val="TableParagraph"/>
              <w:spacing w:line="240" w:lineRule="auto" w:before="7"/>
              <w:jc w:val="left"/>
              <w:rPr>
                <w:sz w:val="22"/>
              </w:rPr>
            </w:pPr>
          </w:p>
          <w:p>
            <w:pPr>
              <w:pStyle w:val="TableParagraph"/>
              <w:spacing w:line="240" w:lineRule="auto"/>
              <w:ind w:left="95" w:right="83"/>
              <w:rPr>
                <w:i/>
                <w:sz w:val="17"/>
              </w:rPr>
            </w:pPr>
            <w:r>
              <w:rPr>
                <w:i/>
                <w:color w:val="231F20"/>
                <w:w w:val="110"/>
                <w:sz w:val="17"/>
              </w:rPr>
              <w:t>Casadas</w:t>
            </w:r>
          </w:p>
        </w:tc>
        <w:tc>
          <w:tcPr>
            <w:tcW w:w="1023" w:type="dxa"/>
            <w:tcBorders>
              <w:bottom w:val="single" w:sz="3" w:space="0" w:color="231F20"/>
            </w:tcBorders>
          </w:tcPr>
          <w:p>
            <w:pPr>
              <w:pStyle w:val="TableParagraph"/>
              <w:spacing w:line="240" w:lineRule="auto" w:before="7"/>
              <w:jc w:val="left"/>
              <w:rPr>
                <w:sz w:val="22"/>
              </w:rPr>
            </w:pPr>
          </w:p>
          <w:p>
            <w:pPr>
              <w:pStyle w:val="TableParagraph"/>
              <w:spacing w:line="240" w:lineRule="auto"/>
              <w:ind w:left="94" w:right="63"/>
              <w:rPr>
                <w:i/>
                <w:sz w:val="17"/>
              </w:rPr>
            </w:pPr>
            <w:r>
              <w:rPr>
                <w:i/>
                <w:color w:val="231F20"/>
                <w:w w:val="105"/>
                <w:sz w:val="17"/>
              </w:rPr>
              <w:t>Unión libre</w:t>
            </w:r>
          </w:p>
        </w:tc>
        <w:tc>
          <w:tcPr>
            <w:tcW w:w="1049" w:type="dxa"/>
            <w:tcBorders>
              <w:bottom w:val="single" w:sz="3" w:space="0" w:color="231F20"/>
            </w:tcBorders>
          </w:tcPr>
          <w:p>
            <w:pPr>
              <w:pStyle w:val="TableParagraph"/>
              <w:spacing w:line="190" w:lineRule="exact" w:before="84"/>
              <w:ind w:left="244" w:right="104" w:hanging="172"/>
              <w:jc w:val="left"/>
              <w:rPr>
                <w:i/>
                <w:sz w:val="17"/>
              </w:rPr>
            </w:pPr>
            <w:r>
              <w:rPr>
                <w:i/>
                <w:color w:val="231F20"/>
                <w:w w:val="110"/>
                <w:sz w:val="17"/>
              </w:rPr>
              <w:t>Alguna vez </w:t>
            </w:r>
            <w:r>
              <w:rPr>
                <w:i/>
                <w:color w:val="231F20"/>
                <w:w w:val="110"/>
                <w:sz w:val="17"/>
              </w:rPr>
              <w:t>unidas</w:t>
            </w:r>
          </w:p>
        </w:tc>
        <w:tc>
          <w:tcPr>
            <w:tcW w:w="632" w:type="dxa"/>
            <w:tcBorders>
              <w:bottom w:val="single" w:sz="3" w:space="0" w:color="231F20"/>
            </w:tcBorders>
          </w:tcPr>
          <w:p>
            <w:pPr>
              <w:pStyle w:val="TableParagraph"/>
              <w:spacing w:line="240" w:lineRule="auto" w:before="7"/>
              <w:jc w:val="left"/>
              <w:rPr>
                <w:sz w:val="22"/>
              </w:rPr>
            </w:pPr>
          </w:p>
          <w:p>
            <w:pPr>
              <w:pStyle w:val="TableParagraph"/>
              <w:spacing w:line="240" w:lineRule="auto"/>
              <w:ind w:left="103" w:right="110"/>
              <w:rPr>
                <w:i/>
                <w:sz w:val="17"/>
              </w:rPr>
            </w:pPr>
            <w:r>
              <w:rPr>
                <w:i/>
                <w:color w:val="231F20"/>
                <w:sz w:val="17"/>
              </w:rPr>
              <w:t>Total</w:t>
            </w:r>
          </w:p>
        </w:tc>
        <w:tc>
          <w:tcPr>
            <w:tcW w:w="831" w:type="dxa"/>
            <w:tcBorders>
              <w:bottom w:val="single" w:sz="3" w:space="0" w:color="231F20"/>
            </w:tcBorders>
          </w:tcPr>
          <w:p>
            <w:pPr>
              <w:pStyle w:val="TableParagraph"/>
              <w:spacing w:line="240" w:lineRule="auto" w:before="7"/>
              <w:jc w:val="left"/>
              <w:rPr>
                <w:sz w:val="22"/>
              </w:rPr>
            </w:pPr>
          </w:p>
          <w:p>
            <w:pPr>
              <w:pStyle w:val="TableParagraph"/>
              <w:spacing w:line="240" w:lineRule="auto"/>
              <w:ind w:left="114" w:right="75"/>
              <w:rPr>
                <w:i/>
                <w:sz w:val="17"/>
              </w:rPr>
            </w:pPr>
            <w:r>
              <w:rPr>
                <w:i/>
                <w:color w:val="231F20"/>
                <w:w w:val="105"/>
                <w:sz w:val="17"/>
              </w:rPr>
              <w:t>Solteras</w:t>
            </w:r>
          </w:p>
        </w:tc>
        <w:tc>
          <w:tcPr>
            <w:tcW w:w="823" w:type="dxa"/>
            <w:tcBorders>
              <w:bottom w:val="single" w:sz="3" w:space="0" w:color="231F20"/>
            </w:tcBorders>
          </w:tcPr>
          <w:p>
            <w:pPr>
              <w:pStyle w:val="TableParagraph"/>
              <w:spacing w:line="240" w:lineRule="auto" w:before="7"/>
              <w:jc w:val="left"/>
              <w:rPr>
                <w:sz w:val="22"/>
              </w:rPr>
            </w:pPr>
          </w:p>
          <w:p>
            <w:pPr>
              <w:pStyle w:val="TableParagraph"/>
              <w:spacing w:line="240" w:lineRule="auto"/>
              <w:ind w:left="71" w:right="74"/>
              <w:rPr>
                <w:i/>
                <w:sz w:val="17"/>
              </w:rPr>
            </w:pPr>
            <w:r>
              <w:rPr>
                <w:i/>
                <w:color w:val="231F20"/>
                <w:w w:val="110"/>
                <w:sz w:val="17"/>
              </w:rPr>
              <w:t>Casadas</w:t>
            </w:r>
          </w:p>
        </w:tc>
        <w:tc>
          <w:tcPr>
            <w:tcW w:w="1016" w:type="dxa"/>
            <w:tcBorders>
              <w:bottom w:val="single" w:sz="3" w:space="0" w:color="231F20"/>
            </w:tcBorders>
          </w:tcPr>
          <w:p>
            <w:pPr>
              <w:pStyle w:val="TableParagraph"/>
              <w:spacing w:line="240" w:lineRule="auto" w:before="7"/>
              <w:jc w:val="left"/>
              <w:rPr>
                <w:sz w:val="22"/>
              </w:rPr>
            </w:pPr>
          </w:p>
          <w:p>
            <w:pPr>
              <w:pStyle w:val="TableParagraph"/>
              <w:spacing w:line="240" w:lineRule="auto"/>
              <w:ind w:left="98"/>
              <w:jc w:val="left"/>
              <w:rPr>
                <w:i/>
                <w:sz w:val="17"/>
              </w:rPr>
            </w:pPr>
            <w:r>
              <w:rPr>
                <w:i/>
                <w:color w:val="231F20"/>
                <w:w w:val="105"/>
                <w:sz w:val="17"/>
              </w:rPr>
              <w:t>Unión libre</w:t>
            </w:r>
          </w:p>
        </w:tc>
        <w:tc>
          <w:tcPr>
            <w:tcW w:w="1073" w:type="dxa"/>
            <w:tcBorders>
              <w:bottom w:val="single" w:sz="3" w:space="0" w:color="231F20"/>
            </w:tcBorders>
          </w:tcPr>
          <w:p>
            <w:pPr>
              <w:pStyle w:val="TableParagraph"/>
              <w:spacing w:line="190" w:lineRule="exact" w:before="84"/>
              <w:ind w:left="244" w:right="127" w:hanging="172"/>
              <w:jc w:val="left"/>
              <w:rPr>
                <w:i/>
                <w:sz w:val="17"/>
              </w:rPr>
            </w:pPr>
            <w:r>
              <w:rPr>
                <w:i/>
                <w:color w:val="231F20"/>
                <w:w w:val="110"/>
                <w:sz w:val="17"/>
              </w:rPr>
              <w:t>Alguna vez </w:t>
            </w:r>
            <w:r>
              <w:rPr>
                <w:i/>
                <w:color w:val="231F20"/>
                <w:w w:val="110"/>
                <w:sz w:val="17"/>
              </w:rPr>
              <w:t>unidas</w:t>
            </w:r>
          </w:p>
        </w:tc>
        <w:tc>
          <w:tcPr>
            <w:tcW w:w="759" w:type="dxa"/>
            <w:tcBorders>
              <w:bottom w:val="single" w:sz="3" w:space="0" w:color="231F20"/>
            </w:tcBorders>
          </w:tcPr>
          <w:p>
            <w:pPr>
              <w:pStyle w:val="TableParagraph"/>
              <w:spacing w:line="240" w:lineRule="auto" w:before="7"/>
              <w:jc w:val="left"/>
              <w:rPr>
                <w:sz w:val="22"/>
              </w:rPr>
            </w:pPr>
          </w:p>
          <w:p>
            <w:pPr>
              <w:pStyle w:val="TableParagraph"/>
              <w:spacing w:line="240" w:lineRule="auto"/>
              <w:ind w:left="146"/>
              <w:jc w:val="left"/>
              <w:rPr>
                <w:i/>
                <w:sz w:val="17"/>
              </w:rPr>
            </w:pPr>
            <w:r>
              <w:rPr>
                <w:i/>
                <w:color w:val="231F20"/>
                <w:sz w:val="17"/>
              </w:rPr>
              <w:t>Total</w:t>
            </w:r>
          </w:p>
        </w:tc>
      </w:tr>
      <w:tr>
        <w:trPr>
          <w:trHeight w:val="303" w:hRule="exact"/>
        </w:trPr>
        <w:tc>
          <w:tcPr>
            <w:tcW w:w="1772" w:type="dxa"/>
          </w:tcPr>
          <w:p>
            <w:pPr>
              <w:pStyle w:val="TableParagraph"/>
              <w:spacing w:line="240" w:lineRule="auto" w:before="84"/>
              <w:ind w:left="35"/>
              <w:jc w:val="left"/>
              <w:rPr>
                <w:sz w:val="17"/>
              </w:rPr>
            </w:pPr>
            <w:r>
              <w:rPr>
                <w:color w:val="231F20"/>
                <w:w w:val="110"/>
                <w:sz w:val="17"/>
              </w:rPr>
              <w:t>Nacional</w:t>
            </w:r>
          </w:p>
        </w:tc>
        <w:tc>
          <w:tcPr>
            <w:tcW w:w="778" w:type="dxa"/>
          </w:tcPr>
          <w:p>
            <w:pPr>
              <w:pStyle w:val="TableParagraph"/>
              <w:spacing w:line="240" w:lineRule="auto" w:before="84"/>
              <w:ind w:left="238"/>
              <w:jc w:val="left"/>
              <w:rPr>
                <w:sz w:val="17"/>
              </w:rPr>
            </w:pPr>
            <w:r>
              <w:rPr>
                <w:color w:val="231F20"/>
                <w:w w:val="105"/>
                <w:sz w:val="17"/>
              </w:rPr>
              <w:t>7.0</w:t>
            </w:r>
          </w:p>
        </w:tc>
        <w:tc>
          <w:tcPr>
            <w:tcW w:w="855" w:type="dxa"/>
          </w:tcPr>
          <w:p>
            <w:pPr>
              <w:pStyle w:val="TableParagraph"/>
              <w:spacing w:line="240" w:lineRule="auto" w:before="84"/>
              <w:ind w:left="95" w:right="83"/>
              <w:rPr>
                <w:sz w:val="17"/>
              </w:rPr>
            </w:pPr>
            <w:r>
              <w:rPr>
                <w:color w:val="231F20"/>
                <w:w w:val="105"/>
                <w:sz w:val="17"/>
              </w:rPr>
              <w:t>68.9</w:t>
            </w:r>
          </w:p>
        </w:tc>
        <w:tc>
          <w:tcPr>
            <w:tcW w:w="1023" w:type="dxa"/>
          </w:tcPr>
          <w:p>
            <w:pPr>
              <w:pStyle w:val="TableParagraph"/>
              <w:spacing w:line="240" w:lineRule="auto" w:before="84"/>
              <w:ind w:left="233" w:right="63"/>
              <w:rPr>
                <w:sz w:val="17"/>
              </w:rPr>
            </w:pPr>
            <w:r>
              <w:rPr>
                <w:color w:val="231F20"/>
                <w:w w:val="105"/>
                <w:sz w:val="17"/>
              </w:rPr>
              <w:t>7.2</w:t>
            </w:r>
          </w:p>
        </w:tc>
        <w:tc>
          <w:tcPr>
            <w:tcW w:w="1049" w:type="dxa"/>
          </w:tcPr>
          <w:p>
            <w:pPr>
              <w:pStyle w:val="TableParagraph"/>
              <w:spacing w:line="240" w:lineRule="auto" w:before="84"/>
              <w:ind w:left="314" w:right="361"/>
              <w:rPr>
                <w:sz w:val="17"/>
              </w:rPr>
            </w:pPr>
            <w:r>
              <w:rPr>
                <w:color w:val="231F20"/>
                <w:w w:val="105"/>
                <w:sz w:val="17"/>
              </w:rPr>
              <w:t>16.9</w:t>
            </w:r>
          </w:p>
        </w:tc>
        <w:tc>
          <w:tcPr>
            <w:tcW w:w="632" w:type="dxa"/>
          </w:tcPr>
          <w:p>
            <w:pPr>
              <w:pStyle w:val="TableParagraph"/>
              <w:spacing w:line="240" w:lineRule="auto" w:before="84"/>
              <w:ind w:left="103" w:right="110"/>
              <w:rPr>
                <w:sz w:val="17"/>
              </w:rPr>
            </w:pPr>
            <w:r>
              <w:rPr>
                <w:color w:val="231F20"/>
                <w:sz w:val="17"/>
              </w:rPr>
              <w:t>100</w:t>
            </w:r>
          </w:p>
        </w:tc>
        <w:tc>
          <w:tcPr>
            <w:tcW w:w="831" w:type="dxa"/>
          </w:tcPr>
          <w:p>
            <w:pPr>
              <w:pStyle w:val="TableParagraph"/>
              <w:spacing w:line="240" w:lineRule="auto" w:before="84"/>
              <w:ind w:left="202" w:right="75"/>
              <w:rPr>
                <w:sz w:val="17"/>
              </w:rPr>
            </w:pPr>
            <w:r>
              <w:rPr>
                <w:color w:val="231F20"/>
                <w:w w:val="105"/>
                <w:sz w:val="17"/>
              </w:rPr>
              <w:t>9.3</w:t>
            </w:r>
          </w:p>
        </w:tc>
        <w:tc>
          <w:tcPr>
            <w:tcW w:w="823" w:type="dxa"/>
          </w:tcPr>
          <w:p>
            <w:pPr>
              <w:pStyle w:val="TableParagraph"/>
              <w:spacing w:line="240" w:lineRule="auto" w:before="84"/>
              <w:ind w:left="71" w:right="74"/>
              <w:rPr>
                <w:sz w:val="17"/>
              </w:rPr>
            </w:pPr>
            <w:r>
              <w:rPr>
                <w:color w:val="231F20"/>
                <w:w w:val="105"/>
                <w:sz w:val="17"/>
              </w:rPr>
              <w:t>60.0</w:t>
            </w:r>
          </w:p>
        </w:tc>
        <w:tc>
          <w:tcPr>
            <w:tcW w:w="1016" w:type="dxa"/>
          </w:tcPr>
          <w:p>
            <w:pPr>
              <w:pStyle w:val="TableParagraph"/>
              <w:spacing w:line="240" w:lineRule="auto" w:before="84"/>
              <w:ind w:left="456"/>
              <w:jc w:val="left"/>
              <w:rPr>
                <w:sz w:val="17"/>
              </w:rPr>
            </w:pPr>
            <w:r>
              <w:rPr>
                <w:color w:val="231F20"/>
                <w:w w:val="105"/>
                <w:sz w:val="17"/>
              </w:rPr>
              <w:t>9.7</w:t>
            </w:r>
          </w:p>
        </w:tc>
        <w:tc>
          <w:tcPr>
            <w:tcW w:w="1073" w:type="dxa"/>
          </w:tcPr>
          <w:p>
            <w:pPr>
              <w:pStyle w:val="TableParagraph"/>
              <w:spacing w:line="240" w:lineRule="auto" w:before="84"/>
              <w:ind w:left="309" w:right="127"/>
              <w:jc w:val="left"/>
              <w:rPr>
                <w:sz w:val="17"/>
              </w:rPr>
            </w:pPr>
            <w:r>
              <w:rPr>
                <w:color w:val="231F20"/>
                <w:w w:val="105"/>
                <w:sz w:val="17"/>
              </w:rPr>
              <w:t>21.0</w:t>
            </w:r>
          </w:p>
        </w:tc>
        <w:tc>
          <w:tcPr>
            <w:tcW w:w="759" w:type="dxa"/>
          </w:tcPr>
          <w:p>
            <w:pPr>
              <w:pStyle w:val="TableParagraph"/>
              <w:spacing w:line="240" w:lineRule="auto" w:before="84"/>
              <w:ind w:left="190"/>
              <w:jc w:val="left"/>
              <w:rPr>
                <w:sz w:val="17"/>
              </w:rPr>
            </w:pPr>
            <w:r>
              <w:rPr>
                <w:color w:val="231F20"/>
                <w:sz w:val="17"/>
              </w:rPr>
              <w:t>100</w:t>
            </w:r>
          </w:p>
        </w:tc>
      </w:tr>
      <w:tr>
        <w:trPr>
          <w:trHeight w:val="210" w:hRule="exact"/>
        </w:trPr>
        <w:tc>
          <w:tcPr>
            <w:tcW w:w="1772" w:type="dxa"/>
          </w:tcPr>
          <w:p>
            <w:pPr>
              <w:pStyle w:val="TableParagraph"/>
              <w:ind w:left="35"/>
              <w:jc w:val="left"/>
              <w:rPr>
                <w:sz w:val="17"/>
              </w:rPr>
            </w:pPr>
            <w:r>
              <w:rPr>
                <w:color w:val="231F20"/>
                <w:w w:val="110"/>
                <w:sz w:val="17"/>
              </w:rPr>
              <w:t>Aguascalientes</w:t>
            </w:r>
          </w:p>
        </w:tc>
        <w:tc>
          <w:tcPr>
            <w:tcW w:w="778" w:type="dxa"/>
          </w:tcPr>
          <w:p>
            <w:pPr>
              <w:pStyle w:val="TableParagraph"/>
              <w:ind w:left="238"/>
              <w:jc w:val="left"/>
              <w:rPr>
                <w:sz w:val="17"/>
              </w:rPr>
            </w:pPr>
            <w:r>
              <w:rPr>
                <w:color w:val="231F20"/>
                <w:w w:val="105"/>
                <w:sz w:val="17"/>
              </w:rPr>
              <w:t>9.4</w:t>
            </w:r>
          </w:p>
        </w:tc>
        <w:tc>
          <w:tcPr>
            <w:tcW w:w="855" w:type="dxa"/>
          </w:tcPr>
          <w:p>
            <w:pPr>
              <w:pStyle w:val="TableParagraph"/>
              <w:ind w:left="95" w:right="83"/>
              <w:rPr>
                <w:sz w:val="17"/>
              </w:rPr>
            </w:pPr>
            <w:r>
              <w:rPr>
                <w:color w:val="231F20"/>
                <w:w w:val="105"/>
                <w:sz w:val="17"/>
              </w:rPr>
              <w:t>74.5</w:t>
            </w:r>
          </w:p>
        </w:tc>
        <w:tc>
          <w:tcPr>
            <w:tcW w:w="1023" w:type="dxa"/>
          </w:tcPr>
          <w:p>
            <w:pPr>
              <w:pStyle w:val="TableParagraph"/>
              <w:ind w:left="233" w:right="63"/>
              <w:rPr>
                <w:sz w:val="17"/>
              </w:rPr>
            </w:pPr>
            <w:r>
              <w:rPr>
                <w:color w:val="231F20"/>
                <w:w w:val="105"/>
                <w:sz w:val="17"/>
              </w:rPr>
              <w:t>2.0</w:t>
            </w:r>
          </w:p>
        </w:tc>
        <w:tc>
          <w:tcPr>
            <w:tcW w:w="1049" w:type="dxa"/>
          </w:tcPr>
          <w:p>
            <w:pPr>
              <w:pStyle w:val="TableParagraph"/>
              <w:ind w:left="314" w:right="361"/>
              <w:rPr>
                <w:sz w:val="17"/>
              </w:rPr>
            </w:pPr>
            <w:r>
              <w:rPr>
                <w:color w:val="231F20"/>
                <w:w w:val="105"/>
                <w:sz w:val="17"/>
              </w:rPr>
              <w:t>14.1</w:t>
            </w:r>
          </w:p>
        </w:tc>
        <w:tc>
          <w:tcPr>
            <w:tcW w:w="632" w:type="dxa"/>
          </w:tcPr>
          <w:p>
            <w:pPr>
              <w:pStyle w:val="TableParagraph"/>
              <w:ind w:left="103" w:right="110"/>
              <w:rPr>
                <w:sz w:val="17"/>
              </w:rPr>
            </w:pPr>
            <w:r>
              <w:rPr>
                <w:color w:val="231F20"/>
                <w:sz w:val="17"/>
              </w:rPr>
              <w:t>100</w:t>
            </w:r>
          </w:p>
        </w:tc>
        <w:tc>
          <w:tcPr>
            <w:tcW w:w="831" w:type="dxa"/>
          </w:tcPr>
          <w:p>
            <w:pPr>
              <w:pStyle w:val="TableParagraph"/>
              <w:ind w:left="106" w:right="75"/>
              <w:rPr>
                <w:sz w:val="17"/>
              </w:rPr>
            </w:pPr>
            <w:r>
              <w:rPr>
                <w:color w:val="231F20"/>
                <w:w w:val="105"/>
                <w:sz w:val="17"/>
              </w:rPr>
              <w:t>10.6</w:t>
            </w:r>
          </w:p>
        </w:tc>
        <w:tc>
          <w:tcPr>
            <w:tcW w:w="823" w:type="dxa"/>
          </w:tcPr>
          <w:p>
            <w:pPr>
              <w:pStyle w:val="TableParagraph"/>
              <w:ind w:left="71" w:right="74"/>
              <w:rPr>
                <w:sz w:val="17"/>
              </w:rPr>
            </w:pPr>
            <w:r>
              <w:rPr>
                <w:color w:val="231F20"/>
                <w:w w:val="105"/>
                <w:sz w:val="17"/>
              </w:rPr>
              <w:t>66.4</w:t>
            </w:r>
          </w:p>
        </w:tc>
        <w:tc>
          <w:tcPr>
            <w:tcW w:w="1016" w:type="dxa"/>
          </w:tcPr>
          <w:p>
            <w:pPr>
              <w:pStyle w:val="TableParagraph"/>
              <w:ind w:left="456"/>
              <w:jc w:val="left"/>
              <w:rPr>
                <w:sz w:val="17"/>
              </w:rPr>
            </w:pPr>
            <w:r>
              <w:rPr>
                <w:color w:val="231F20"/>
                <w:w w:val="105"/>
                <w:sz w:val="17"/>
              </w:rPr>
              <w:t>4.2</w:t>
            </w:r>
          </w:p>
        </w:tc>
        <w:tc>
          <w:tcPr>
            <w:tcW w:w="1073" w:type="dxa"/>
          </w:tcPr>
          <w:p>
            <w:pPr>
              <w:pStyle w:val="TableParagraph"/>
              <w:ind w:left="309" w:right="127"/>
              <w:jc w:val="left"/>
              <w:rPr>
                <w:sz w:val="17"/>
              </w:rPr>
            </w:pPr>
            <w:r>
              <w:rPr>
                <w:color w:val="231F20"/>
                <w:w w:val="105"/>
                <w:sz w:val="17"/>
              </w:rPr>
              <w:t>18.8</w:t>
            </w:r>
          </w:p>
        </w:tc>
        <w:tc>
          <w:tcPr>
            <w:tcW w:w="759" w:type="dxa"/>
          </w:tcPr>
          <w:p>
            <w:pPr>
              <w:pStyle w:val="TableParagraph"/>
              <w:ind w:left="190"/>
              <w:jc w:val="left"/>
              <w:rPr>
                <w:sz w:val="17"/>
              </w:rPr>
            </w:pPr>
            <w:r>
              <w:rPr>
                <w:color w:val="231F20"/>
                <w:sz w:val="17"/>
              </w:rPr>
              <w:t>100</w:t>
            </w:r>
          </w:p>
        </w:tc>
      </w:tr>
      <w:tr>
        <w:trPr>
          <w:trHeight w:val="210" w:hRule="exact"/>
        </w:trPr>
        <w:tc>
          <w:tcPr>
            <w:tcW w:w="1772" w:type="dxa"/>
          </w:tcPr>
          <w:p>
            <w:pPr>
              <w:pStyle w:val="TableParagraph"/>
              <w:ind w:left="35"/>
              <w:jc w:val="left"/>
              <w:rPr>
                <w:sz w:val="17"/>
              </w:rPr>
            </w:pPr>
            <w:r>
              <w:rPr>
                <w:color w:val="231F20"/>
                <w:w w:val="110"/>
                <w:sz w:val="17"/>
              </w:rPr>
              <w:t>Baja California</w:t>
            </w:r>
          </w:p>
        </w:tc>
        <w:tc>
          <w:tcPr>
            <w:tcW w:w="778" w:type="dxa"/>
          </w:tcPr>
          <w:p>
            <w:pPr>
              <w:pStyle w:val="TableParagraph"/>
              <w:ind w:left="238"/>
              <w:jc w:val="left"/>
              <w:rPr>
                <w:sz w:val="17"/>
              </w:rPr>
            </w:pPr>
            <w:r>
              <w:rPr>
                <w:color w:val="231F20"/>
                <w:w w:val="105"/>
                <w:sz w:val="17"/>
              </w:rPr>
              <w:t>7.5</w:t>
            </w:r>
          </w:p>
        </w:tc>
        <w:tc>
          <w:tcPr>
            <w:tcW w:w="855" w:type="dxa"/>
          </w:tcPr>
          <w:p>
            <w:pPr>
              <w:pStyle w:val="TableParagraph"/>
              <w:ind w:left="95" w:right="83"/>
              <w:rPr>
                <w:sz w:val="17"/>
              </w:rPr>
            </w:pPr>
            <w:r>
              <w:rPr>
                <w:color w:val="231F20"/>
                <w:w w:val="105"/>
                <w:sz w:val="17"/>
              </w:rPr>
              <w:t>65.2</w:t>
            </w:r>
          </w:p>
        </w:tc>
        <w:tc>
          <w:tcPr>
            <w:tcW w:w="1023" w:type="dxa"/>
          </w:tcPr>
          <w:p>
            <w:pPr>
              <w:pStyle w:val="TableParagraph"/>
              <w:ind w:left="233" w:right="63"/>
              <w:rPr>
                <w:sz w:val="17"/>
              </w:rPr>
            </w:pPr>
            <w:r>
              <w:rPr>
                <w:color w:val="231F20"/>
                <w:w w:val="105"/>
                <w:sz w:val="17"/>
              </w:rPr>
              <w:t>8.3</w:t>
            </w:r>
          </w:p>
        </w:tc>
        <w:tc>
          <w:tcPr>
            <w:tcW w:w="1049" w:type="dxa"/>
          </w:tcPr>
          <w:p>
            <w:pPr>
              <w:pStyle w:val="TableParagraph"/>
              <w:ind w:left="314" w:right="361"/>
              <w:rPr>
                <w:sz w:val="17"/>
              </w:rPr>
            </w:pPr>
            <w:r>
              <w:rPr>
                <w:color w:val="231F20"/>
                <w:w w:val="105"/>
                <w:sz w:val="17"/>
              </w:rPr>
              <w:t>18.9</w:t>
            </w:r>
          </w:p>
        </w:tc>
        <w:tc>
          <w:tcPr>
            <w:tcW w:w="632" w:type="dxa"/>
          </w:tcPr>
          <w:p>
            <w:pPr>
              <w:pStyle w:val="TableParagraph"/>
              <w:ind w:left="103" w:right="110"/>
              <w:rPr>
                <w:sz w:val="17"/>
              </w:rPr>
            </w:pPr>
            <w:r>
              <w:rPr>
                <w:color w:val="231F20"/>
                <w:sz w:val="17"/>
              </w:rPr>
              <w:t>100</w:t>
            </w:r>
          </w:p>
        </w:tc>
        <w:tc>
          <w:tcPr>
            <w:tcW w:w="831" w:type="dxa"/>
          </w:tcPr>
          <w:p>
            <w:pPr>
              <w:pStyle w:val="TableParagraph"/>
              <w:ind w:left="202" w:right="75"/>
              <w:rPr>
                <w:sz w:val="17"/>
              </w:rPr>
            </w:pPr>
            <w:r>
              <w:rPr>
                <w:color w:val="231F20"/>
                <w:w w:val="105"/>
                <w:sz w:val="17"/>
              </w:rPr>
              <w:t>8.6</w:t>
            </w:r>
          </w:p>
        </w:tc>
        <w:tc>
          <w:tcPr>
            <w:tcW w:w="823" w:type="dxa"/>
          </w:tcPr>
          <w:p>
            <w:pPr>
              <w:pStyle w:val="TableParagraph"/>
              <w:ind w:left="71" w:right="74"/>
              <w:rPr>
                <w:sz w:val="17"/>
              </w:rPr>
            </w:pPr>
            <w:r>
              <w:rPr>
                <w:color w:val="231F20"/>
                <w:w w:val="105"/>
                <w:sz w:val="17"/>
              </w:rPr>
              <w:t>53.1</w:t>
            </w:r>
          </w:p>
        </w:tc>
        <w:tc>
          <w:tcPr>
            <w:tcW w:w="1016" w:type="dxa"/>
          </w:tcPr>
          <w:p>
            <w:pPr>
              <w:pStyle w:val="TableParagraph"/>
              <w:ind w:left="360"/>
              <w:jc w:val="left"/>
              <w:rPr>
                <w:sz w:val="17"/>
              </w:rPr>
            </w:pPr>
            <w:r>
              <w:rPr>
                <w:color w:val="231F20"/>
                <w:w w:val="105"/>
                <w:sz w:val="17"/>
              </w:rPr>
              <w:t>13.8</w:t>
            </w:r>
          </w:p>
        </w:tc>
        <w:tc>
          <w:tcPr>
            <w:tcW w:w="1073" w:type="dxa"/>
          </w:tcPr>
          <w:p>
            <w:pPr>
              <w:pStyle w:val="TableParagraph"/>
              <w:ind w:left="309" w:right="127"/>
              <w:jc w:val="left"/>
              <w:rPr>
                <w:sz w:val="17"/>
              </w:rPr>
            </w:pPr>
            <w:r>
              <w:rPr>
                <w:color w:val="231F20"/>
                <w:w w:val="105"/>
                <w:sz w:val="17"/>
              </w:rPr>
              <w:t>24.5</w:t>
            </w:r>
          </w:p>
        </w:tc>
        <w:tc>
          <w:tcPr>
            <w:tcW w:w="759" w:type="dxa"/>
          </w:tcPr>
          <w:p>
            <w:pPr>
              <w:pStyle w:val="TableParagraph"/>
              <w:ind w:left="190"/>
              <w:jc w:val="left"/>
              <w:rPr>
                <w:sz w:val="17"/>
              </w:rPr>
            </w:pPr>
            <w:r>
              <w:rPr>
                <w:color w:val="231F20"/>
                <w:sz w:val="17"/>
              </w:rPr>
              <w:t>100</w:t>
            </w:r>
          </w:p>
        </w:tc>
      </w:tr>
      <w:tr>
        <w:trPr>
          <w:trHeight w:val="210" w:hRule="exact"/>
        </w:trPr>
        <w:tc>
          <w:tcPr>
            <w:tcW w:w="1772" w:type="dxa"/>
          </w:tcPr>
          <w:p>
            <w:pPr>
              <w:pStyle w:val="TableParagraph"/>
              <w:ind w:left="35"/>
              <w:jc w:val="left"/>
              <w:rPr>
                <w:sz w:val="17"/>
              </w:rPr>
            </w:pPr>
            <w:r>
              <w:rPr>
                <w:color w:val="231F20"/>
                <w:w w:val="110"/>
                <w:sz w:val="17"/>
              </w:rPr>
              <w:t>Baja California Sur</w:t>
            </w:r>
          </w:p>
        </w:tc>
        <w:tc>
          <w:tcPr>
            <w:tcW w:w="778" w:type="dxa"/>
          </w:tcPr>
          <w:p>
            <w:pPr>
              <w:pStyle w:val="TableParagraph"/>
              <w:ind w:left="238"/>
              <w:jc w:val="left"/>
              <w:rPr>
                <w:sz w:val="17"/>
              </w:rPr>
            </w:pPr>
            <w:r>
              <w:rPr>
                <w:color w:val="231F20"/>
                <w:w w:val="105"/>
                <w:sz w:val="17"/>
              </w:rPr>
              <w:t>7.4</w:t>
            </w:r>
          </w:p>
        </w:tc>
        <w:tc>
          <w:tcPr>
            <w:tcW w:w="855" w:type="dxa"/>
          </w:tcPr>
          <w:p>
            <w:pPr>
              <w:pStyle w:val="TableParagraph"/>
              <w:ind w:left="95" w:right="83"/>
              <w:rPr>
                <w:sz w:val="17"/>
              </w:rPr>
            </w:pPr>
            <w:r>
              <w:rPr>
                <w:color w:val="231F20"/>
                <w:w w:val="105"/>
                <w:sz w:val="17"/>
              </w:rPr>
              <w:t>70.2</w:t>
            </w:r>
          </w:p>
        </w:tc>
        <w:tc>
          <w:tcPr>
            <w:tcW w:w="1023" w:type="dxa"/>
          </w:tcPr>
          <w:p>
            <w:pPr>
              <w:pStyle w:val="TableParagraph"/>
              <w:ind w:left="233" w:right="63"/>
              <w:rPr>
                <w:sz w:val="17"/>
              </w:rPr>
            </w:pPr>
            <w:r>
              <w:rPr>
                <w:color w:val="231F20"/>
                <w:w w:val="105"/>
                <w:sz w:val="17"/>
              </w:rPr>
              <w:t>6.7</w:t>
            </w:r>
          </w:p>
        </w:tc>
        <w:tc>
          <w:tcPr>
            <w:tcW w:w="1049" w:type="dxa"/>
          </w:tcPr>
          <w:p>
            <w:pPr>
              <w:pStyle w:val="TableParagraph"/>
              <w:ind w:left="314" w:right="361"/>
              <w:rPr>
                <w:sz w:val="17"/>
              </w:rPr>
            </w:pPr>
            <w:r>
              <w:rPr>
                <w:color w:val="231F20"/>
                <w:w w:val="105"/>
                <w:sz w:val="17"/>
              </w:rPr>
              <w:t>15.8</w:t>
            </w:r>
          </w:p>
        </w:tc>
        <w:tc>
          <w:tcPr>
            <w:tcW w:w="632" w:type="dxa"/>
          </w:tcPr>
          <w:p>
            <w:pPr>
              <w:pStyle w:val="TableParagraph"/>
              <w:ind w:left="103" w:right="110"/>
              <w:rPr>
                <w:sz w:val="17"/>
              </w:rPr>
            </w:pPr>
            <w:r>
              <w:rPr>
                <w:color w:val="231F20"/>
                <w:sz w:val="17"/>
              </w:rPr>
              <w:t>100</w:t>
            </w:r>
          </w:p>
        </w:tc>
        <w:tc>
          <w:tcPr>
            <w:tcW w:w="831" w:type="dxa"/>
          </w:tcPr>
          <w:p>
            <w:pPr>
              <w:pStyle w:val="TableParagraph"/>
              <w:ind w:left="202" w:right="75"/>
              <w:rPr>
                <w:sz w:val="17"/>
              </w:rPr>
            </w:pPr>
            <w:r>
              <w:rPr>
                <w:color w:val="231F20"/>
                <w:w w:val="105"/>
                <w:sz w:val="17"/>
              </w:rPr>
              <w:t>8.4</w:t>
            </w:r>
          </w:p>
        </w:tc>
        <w:tc>
          <w:tcPr>
            <w:tcW w:w="823" w:type="dxa"/>
          </w:tcPr>
          <w:p>
            <w:pPr>
              <w:pStyle w:val="TableParagraph"/>
              <w:ind w:left="71" w:right="74"/>
              <w:rPr>
                <w:sz w:val="17"/>
              </w:rPr>
            </w:pPr>
            <w:r>
              <w:rPr>
                <w:color w:val="231F20"/>
                <w:w w:val="105"/>
                <w:sz w:val="17"/>
              </w:rPr>
              <w:t>56.5</w:t>
            </w:r>
          </w:p>
        </w:tc>
        <w:tc>
          <w:tcPr>
            <w:tcW w:w="1016" w:type="dxa"/>
          </w:tcPr>
          <w:p>
            <w:pPr>
              <w:pStyle w:val="TableParagraph"/>
              <w:ind w:left="360"/>
              <w:jc w:val="left"/>
              <w:rPr>
                <w:sz w:val="17"/>
              </w:rPr>
            </w:pPr>
            <w:r>
              <w:rPr>
                <w:color w:val="231F20"/>
                <w:w w:val="105"/>
                <w:sz w:val="17"/>
              </w:rPr>
              <w:t>13.9</w:t>
            </w:r>
          </w:p>
        </w:tc>
        <w:tc>
          <w:tcPr>
            <w:tcW w:w="1073" w:type="dxa"/>
          </w:tcPr>
          <w:p>
            <w:pPr>
              <w:pStyle w:val="TableParagraph"/>
              <w:ind w:left="309" w:right="127"/>
              <w:jc w:val="left"/>
              <w:rPr>
                <w:sz w:val="17"/>
              </w:rPr>
            </w:pPr>
            <w:r>
              <w:rPr>
                <w:color w:val="231F20"/>
                <w:w w:val="105"/>
                <w:sz w:val="17"/>
              </w:rPr>
              <w:t>21.2</w:t>
            </w:r>
          </w:p>
        </w:tc>
        <w:tc>
          <w:tcPr>
            <w:tcW w:w="759" w:type="dxa"/>
          </w:tcPr>
          <w:p>
            <w:pPr>
              <w:pStyle w:val="TableParagraph"/>
              <w:ind w:left="190"/>
              <w:jc w:val="left"/>
              <w:rPr>
                <w:sz w:val="17"/>
              </w:rPr>
            </w:pPr>
            <w:r>
              <w:rPr>
                <w:color w:val="231F20"/>
                <w:sz w:val="17"/>
              </w:rPr>
              <w:t>100</w:t>
            </w:r>
          </w:p>
        </w:tc>
      </w:tr>
      <w:tr>
        <w:trPr>
          <w:trHeight w:val="210" w:hRule="exact"/>
        </w:trPr>
        <w:tc>
          <w:tcPr>
            <w:tcW w:w="1772" w:type="dxa"/>
          </w:tcPr>
          <w:p>
            <w:pPr>
              <w:pStyle w:val="TableParagraph"/>
              <w:ind w:left="35"/>
              <w:jc w:val="left"/>
              <w:rPr>
                <w:sz w:val="17"/>
              </w:rPr>
            </w:pPr>
            <w:r>
              <w:rPr>
                <w:color w:val="231F20"/>
                <w:w w:val="110"/>
                <w:sz w:val="17"/>
              </w:rPr>
              <w:t>Campeche</w:t>
            </w:r>
          </w:p>
        </w:tc>
        <w:tc>
          <w:tcPr>
            <w:tcW w:w="778" w:type="dxa"/>
          </w:tcPr>
          <w:p>
            <w:pPr>
              <w:pStyle w:val="TableParagraph"/>
              <w:ind w:left="238"/>
              <w:jc w:val="left"/>
              <w:rPr>
                <w:sz w:val="17"/>
              </w:rPr>
            </w:pPr>
            <w:r>
              <w:rPr>
                <w:color w:val="231F20"/>
                <w:w w:val="105"/>
                <w:sz w:val="17"/>
              </w:rPr>
              <w:t>4.8</w:t>
            </w:r>
          </w:p>
        </w:tc>
        <w:tc>
          <w:tcPr>
            <w:tcW w:w="855" w:type="dxa"/>
          </w:tcPr>
          <w:p>
            <w:pPr>
              <w:pStyle w:val="TableParagraph"/>
              <w:ind w:left="95" w:right="83"/>
              <w:rPr>
                <w:sz w:val="17"/>
              </w:rPr>
            </w:pPr>
            <w:r>
              <w:rPr>
                <w:color w:val="231F20"/>
                <w:w w:val="105"/>
                <w:sz w:val="17"/>
              </w:rPr>
              <w:t>74.3</w:t>
            </w:r>
          </w:p>
        </w:tc>
        <w:tc>
          <w:tcPr>
            <w:tcW w:w="1023" w:type="dxa"/>
          </w:tcPr>
          <w:p>
            <w:pPr>
              <w:pStyle w:val="TableParagraph"/>
              <w:ind w:left="233" w:right="63"/>
              <w:rPr>
                <w:sz w:val="17"/>
              </w:rPr>
            </w:pPr>
            <w:r>
              <w:rPr>
                <w:color w:val="231F20"/>
                <w:w w:val="105"/>
                <w:sz w:val="17"/>
              </w:rPr>
              <w:t>6.0</w:t>
            </w:r>
          </w:p>
        </w:tc>
        <w:tc>
          <w:tcPr>
            <w:tcW w:w="1049" w:type="dxa"/>
          </w:tcPr>
          <w:p>
            <w:pPr>
              <w:pStyle w:val="TableParagraph"/>
              <w:ind w:left="314" w:right="361"/>
              <w:rPr>
                <w:sz w:val="17"/>
              </w:rPr>
            </w:pPr>
            <w:r>
              <w:rPr>
                <w:color w:val="231F20"/>
                <w:w w:val="105"/>
                <w:sz w:val="17"/>
              </w:rPr>
              <w:t>14.8</w:t>
            </w:r>
          </w:p>
        </w:tc>
        <w:tc>
          <w:tcPr>
            <w:tcW w:w="632" w:type="dxa"/>
          </w:tcPr>
          <w:p>
            <w:pPr>
              <w:pStyle w:val="TableParagraph"/>
              <w:ind w:left="103" w:right="110"/>
              <w:rPr>
                <w:sz w:val="17"/>
              </w:rPr>
            </w:pPr>
            <w:r>
              <w:rPr>
                <w:color w:val="231F20"/>
                <w:sz w:val="17"/>
              </w:rPr>
              <w:t>100</w:t>
            </w:r>
          </w:p>
        </w:tc>
        <w:tc>
          <w:tcPr>
            <w:tcW w:w="831" w:type="dxa"/>
          </w:tcPr>
          <w:p>
            <w:pPr>
              <w:pStyle w:val="TableParagraph"/>
              <w:ind w:left="202" w:right="75"/>
              <w:rPr>
                <w:sz w:val="17"/>
              </w:rPr>
            </w:pPr>
            <w:r>
              <w:rPr>
                <w:color w:val="231F20"/>
                <w:w w:val="105"/>
                <w:sz w:val="17"/>
              </w:rPr>
              <w:t>7.1</w:t>
            </w:r>
          </w:p>
        </w:tc>
        <w:tc>
          <w:tcPr>
            <w:tcW w:w="823" w:type="dxa"/>
          </w:tcPr>
          <w:p>
            <w:pPr>
              <w:pStyle w:val="TableParagraph"/>
              <w:ind w:left="71" w:right="74"/>
              <w:rPr>
                <w:sz w:val="17"/>
              </w:rPr>
            </w:pPr>
            <w:r>
              <w:rPr>
                <w:color w:val="231F20"/>
                <w:w w:val="105"/>
                <w:sz w:val="17"/>
              </w:rPr>
              <w:t>61.9</w:t>
            </w:r>
          </w:p>
        </w:tc>
        <w:tc>
          <w:tcPr>
            <w:tcW w:w="1016" w:type="dxa"/>
          </w:tcPr>
          <w:p>
            <w:pPr>
              <w:pStyle w:val="TableParagraph"/>
              <w:ind w:left="456"/>
              <w:jc w:val="left"/>
              <w:rPr>
                <w:sz w:val="17"/>
              </w:rPr>
            </w:pPr>
            <w:r>
              <w:rPr>
                <w:color w:val="231F20"/>
                <w:w w:val="105"/>
                <w:sz w:val="17"/>
              </w:rPr>
              <w:t>9.6</w:t>
            </w:r>
          </w:p>
        </w:tc>
        <w:tc>
          <w:tcPr>
            <w:tcW w:w="1073" w:type="dxa"/>
          </w:tcPr>
          <w:p>
            <w:pPr>
              <w:pStyle w:val="TableParagraph"/>
              <w:ind w:left="309" w:right="127"/>
              <w:jc w:val="left"/>
              <w:rPr>
                <w:sz w:val="17"/>
              </w:rPr>
            </w:pPr>
            <w:r>
              <w:rPr>
                <w:color w:val="231F20"/>
                <w:w w:val="105"/>
                <w:sz w:val="17"/>
              </w:rPr>
              <w:t>21.4</w:t>
            </w:r>
          </w:p>
        </w:tc>
        <w:tc>
          <w:tcPr>
            <w:tcW w:w="759" w:type="dxa"/>
          </w:tcPr>
          <w:p>
            <w:pPr>
              <w:pStyle w:val="TableParagraph"/>
              <w:ind w:left="190"/>
              <w:jc w:val="left"/>
              <w:rPr>
                <w:sz w:val="17"/>
              </w:rPr>
            </w:pPr>
            <w:r>
              <w:rPr>
                <w:color w:val="231F20"/>
                <w:sz w:val="17"/>
              </w:rPr>
              <w:t>100</w:t>
            </w:r>
          </w:p>
        </w:tc>
      </w:tr>
      <w:tr>
        <w:trPr>
          <w:trHeight w:val="210" w:hRule="exact"/>
        </w:trPr>
        <w:tc>
          <w:tcPr>
            <w:tcW w:w="1772" w:type="dxa"/>
          </w:tcPr>
          <w:p>
            <w:pPr>
              <w:pStyle w:val="TableParagraph"/>
              <w:ind w:left="35"/>
              <w:jc w:val="left"/>
              <w:rPr>
                <w:sz w:val="17"/>
              </w:rPr>
            </w:pPr>
            <w:r>
              <w:rPr>
                <w:color w:val="231F20"/>
                <w:w w:val="110"/>
                <w:sz w:val="17"/>
              </w:rPr>
              <w:t>Coahuila</w:t>
            </w:r>
          </w:p>
        </w:tc>
        <w:tc>
          <w:tcPr>
            <w:tcW w:w="778" w:type="dxa"/>
          </w:tcPr>
          <w:p>
            <w:pPr>
              <w:pStyle w:val="TableParagraph"/>
              <w:ind w:left="238"/>
              <w:jc w:val="left"/>
              <w:rPr>
                <w:sz w:val="17"/>
              </w:rPr>
            </w:pPr>
            <w:r>
              <w:rPr>
                <w:color w:val="231F20"/>
                <w:w w:val="105"/>
                <w:sz w:val="17"/>
              </w:rPr>
              <w:t>6.3</w:t>
            </w:r>
          </w:p>
        </w:tc>
        <w:tc>
          <w:tcPr>
            <w:tcW w:w="855" w:type="dxa"/>
          </w:tcPr>
          <w:p>
            <w:pPr>
              <w:pStyle w:val="TableParagraph"/>
              <w:ind w:left="95" w:right="83"/>
              <w:rPr>
                <w:sz w:val="17"/>
              </w:rPr>
            </w:pPr>
            <w:r>
              <w:rPr>
                <w:color w:val="231F20"/>
                <w:w w:val="105"/>
                <w:sz w:val="17"/>
              </w:rPr>
              <w:t>73.6</w:t>
            </w:r>
          </w:p>
        </w:tc>
        <w:tc>
          <w:tcPr>
            <w:tcW w:w="1023" w:type="dxa"/>
          </w:tcPr>
          <w:p>
            <w:pPr>
              <w:pStyle w:val="TableParagraph"/>
              <w:ind w:left="233" w:right="63"/>
              <w:rPr>
                <w:sz w:val="17"/>
              </w:rPr>
            </w:pPr>
            <w:r>
              <w:rPr>
                <w:color w:val="231F20"/>
                <w:w w:val="105"/>
                <w:sz w:val="17"/>
              </w:rPr>
              <w:t>4.4</w:t>
            </w:r>
          </w:p>
        </w:tc>
        <w:tc>
          <w:tcPr>
            <w:tcW w:w="1049" w:type="dxa"/>
          </w:tcPr>
          <w:p>
            <w:pPr>
              <w:pStyle w:val="TableParagraph"/>
              <w:ind w:left="314" w:right="361"/>
              <w:rPr>
                <w:sz w:val="17"/>
              </w:rPr>
            </w:pPr>
            <w:r>
              <w:rPr>
                <w:color w:val="231F20"/>
                <w:w w:val="105"/>
                <w:sz w:val="17"/>
              </w:rPr>
              <w:t>15.7</w:t>
            </w:r>
          </w:p>
        </w:tc>
        <w:tc>
          <w:tcPr>
            <w:tcW w:w="632" w:type="dxa"/>
          </w:tcPr>
          <w:p>
            <w:pPr>
              <w:pStyle w:val="TableParagraph"/>
              <w:ind w:left="103" w:right="110"/>
              <w:rPr>
                <w:sz w:val="17"/>
              </w:rPr>
            </w:pPr>
            <w:r>
              <w:rPr>
                <w:color w:val="231F20"/>
                <w:sz w:val="17"/>
              </w:rPr>
              <w:t>100</w:t>
            </w:r>
          </w:p>
        </w:tc>
        <w:tc>
          <w:tcPr>
            <w:tcW w:w="831" w:type="dxa"/>
          </w:tcPr>
          <w:p>
            <w:pPr>
              <w:pStyle w:val="TableParagraph"/>
              <w:ind w:left="202" w:right="75"/>
              <w:rPr>
                <w:sz w:val="17"/>
              </w:rPr>
            </w:pPr>
            <w:r>
              <w:rPr>
                <w:color w:val="231F20"/>
                <w:w w:val="105"/>
                <w:sz w:val="17"/>
              </w:rPr>
              <w:t>7.8</w:t>
            </w:r>
          </w:p>
        </w:tc>
        <w:tc>
          <w:tcPr>
            <w:tcW w:w="823" w:type="dxa"/>
          </w:tcPr>
          <w:p>
            <w:pPr>
              <w:pStyle w:val="TableParagraph"/>
              <w:ind w:left="71" w:right="74"/>
              <w:rPr>
                <w:sz w:val="17"/>
              </w:rPr>
            </w:pPr>
            <w:r>
              <w:rPr>
                <w:color w:val="231F20"/>
                <w:w w:val="105"/>
                <w:sz w:val="17"/>
              </w:rPr>
              <w:t>66.1</w:t>
            </w:r>
          </w:p>
        </w:tc>
        <w:tc>
          <w:tcPr>
            <w:tcW w:w="1016" w:type="dxa"/>
          </w:tcPr>
          <w:p>
            <w:pPr>
              <w:pStyle w:val="TableParagraph"/>
              <w:ind w:left="456"/>
              <w:jc w:val="left"/>
              <w:rPr>
                <w:sz w:val="17"/>
              </w:rPr>
            </w:pPr>
            <w:r>
              <w:rPr>
                <w:color w:val="231F20"/>
                <w:w w:val="105"/>
                <w:sz w:val="17"/>
              </w:rPr>
              <w:t>7.0</w:t>
            </w:r>
          </w:p>
        </w:tc>
        <w:tc>
          <w:tcPr>
            <w:tcW w:w="1073" w:type="dxa"/>
          </w:tcPr>
          <w:p>
            <w:pPr>
              <w:pStyle w:val="TableParagraph"/>
              <w:ind w:left="309" w:right="127"/>
              <w:jc w:val="left"/>
              <w:rPr>
                <w:sz w:val="17"/>
              </w:rPr>
            </w:pPr>
            <w:r>
              <w:rPr>
                <w:color w:val="231F20"/>
                <w:w w:val="105"/>
                <w:sz w:val="17"/>
              </w:rPr>
              <w:t>19.1</w:t>
            </w:r>
          </w:p>
        </w:tc>
        <w:tc>
          <w:tcPr>
            <w:tcW w:w="759" w:type="dxa"/>
          </w:tcPr>
          <w:p>
            <w:pPr>
              <w:pStyle w:val="TableParagraph"/>
              <w:ind w:left="190"/>
              <w:jc w:val="left"/>
              <w:rPr>
                <w:sz w:val="17"/>
              </w:rPr>
            </w:pPr>
            <w:r>
              <w:rPr>
                <w:color w:val="231F20"/>
                <w:sz w:val="17"/>
              </w:rPr>
              <w:t>100</w:t>
            </w:r>
          </w:p>
        </w:tc>
      </w:tr>
      <w:tr>
        <w:trPr>
          <w:trHeight w:val="210" w:hRule="exact"/>
        </w:trPr>
        <w:tc>
          <w:tcPr>
            <w:tcW w:w="1772" w:type="dxa"/>
          </w:tcPr>
          <w:p>
            <w:pPr>
              <w:pStyle w:val="TableParagraph"/>
              <w:ind w:left="35"/>
              <w:jc w:val="left"/>
              <w:rPr>
                <w:sz w:val="17"/>
              </w:rPr>
            </w:pPr>
            <w:r>
              <w:rPr>
                <w:color w:val="231F20"/>
                <w:w w:val="110"/>
                <w:sz w:val="17"/>
              </w:rPr>
              <w:t>Colima</w:t>
            </w:r>
          </w:p>
        </w:tc>
        <w:tc>
          <w:tcPr>
            <w:tcW w:w="778" w:type="dxa"/>
          </w:tcPr>
          <w:p>
            <w:pPr>
              <w:pStyle w:val="TableParagraph"/>
              <w:ind w:left="238"/>
              <w:jc w:val="left"/>
              <w:rPr>
                <w:sz w:val="17"/>
              </w:rPr>
            </w:pPr>
            <w:r>
              <w:rPr>
                <w:color w:val="231F20"/>
                <w:w w:val="105"/>
                <w:sz w:val="17"/>
              </w:rPr>
              <w:t>8.0</w:t>
            </w:r>
          </w:p>
        </w:tc>
        <w:tc>
          <w:tcPr>
            <w:tcW w:w="855" w:type="dxa"/>
          </w:tcPr>
          <w:p>
            <w:pPr>
              <w:pStyle w:val="TableParagraph"/>
              <w:ind w:left="95" w:right="83"/>
              <w:rPr>
                <w:sz w:val="17"/>
              </w:rPr>
            </w:pPr>
            <w:r>
              <w:rPr>
                <w:color w:val="231F20"/>
                <w:w w:val="105"/>
                <w:sz w:val="17"/>
              </w:rPr>
              <w:t>68.2</w:t>
            </w:r>
          </w:p>
        </w:tc>
        <w:tc>
          <w:tcPr>
            <w:tcW w:w="1023" w:type="dxa"/>
          </w:tcPr>
          <w:p>
            <w:pPr>
              <w:pStyle w:val="TableParagraph"/>
              <w:ind w:left="233" w:right="63"/>
              <w:rPr>
                <w:sz w:val="17"/>
              </w:rPr>
            </w:pPr>
            <w:r>
              <w:rPr>
                <w:color w:val="231F20"/>
                <w:w w:val="105"/>
                <w:sz w:val="17"/>
              </w:rPr>
              <w:t>7.5</w:t>
            </w:r>
          </w:p>
        </w:tc>
        <w:tc>
          <w:tcPr>
            <w:tcW w:w="1049" w:type="dxa"/>
          </w:tcPr>
          <w:p>
            <w:pPr>
              <w:pStyle w:val="TableParagraph"/>
              <w:ind w:left="314" w:right="361"/>
              <w:rPr>
                <w:sz w:val="17"/>
              </w:rPr>
            </w:pPr>
            <w:r>
              <w:rPr>
                <w:color w:val="231F20"/>
                <w:w w:val="105"/>
                <w:sz w:val="17"/>
              </w:rPr>
              <w:t>16.3</w:t>
            </w:r>
          </w:p>
        </w:tc>
        <w:tc>
          <w:tcPr>
            <w:tcW w:w="632" w:type="dxa"/>
          </w:tcPr>
          <w:p>
            <w:pPr>
              <w:pStyle w:val="TableParagraph"/>
              <w:ind w:left="103" w:right="110"/>
              <w:rPr>
                <w:sz w:val="17"/>
              </w:rPr>
            </w:pPr>
            <w:r>
              <w:rPr>
                <w:color w:val="231F20"/>
                <w:sz w:val="17"/>
              </w:rPr>
              <w:t>100</w:t>
            </w:r>
          </w:p>
        </w:tc>
        <w:tc>
          <w:tcPr>
            <w:tcW w:w="831" w:type="dxa"/>
          </w:tcPr>
          <w:p>
            <w:pPr>
              <w:pStyle w:val="TableParagraph"/>
              <w:ind w:left="202" w:right="75"/>
              <w:rPr>
                <w:sz w:val="17"/>
              </w:rPr>
            </w:pPr>
            <w:r>
              <w:rPr>
                <w:color w:val="231F20"/>
                <w:w w:val="105"/>
                <w:sz w:val="17"/>
              </w:rPr>
              <w:t>9.1</w:t>
            </w:r>
          </w:p>
        </w:tc>
        <w:tc>
          <w:tcPr>
            <w:tcW w:w="823" w:type="dxa"/>
          </w:tcPr>
          <w:p>
            <w:pPr>
              <w:pStyle w:val="TableParagraph"/>
              <w:ind w:left="71" w:right="74"/>
              <w:rPr>
                <w:sz w:val="17"/>
              </w:rPr>
            </w:pPr>
            <w:r>
              <w:rPr>
                <w:color w:val="231F20"/>
                <w:w w:val="105"/>
                <w:sz w:val="17"/>
              </w:rPr>
              <w:t>59.6</w:t>
            </w:r>
          </w:p>
        </w:tc>
        <w:tc>
          <w:tcPr>
            <w:tcW w:w="1016" w:type="dxa"/>
          </w:tcPr>
          <w:p>
            <w:pPr>
              <w:pStyle w:val="TableParagraph"/>
              <w:ind w:left="360"/>
              <w:jc w:val="left"/>
              <w:rPr>
                <w:sz w:val="17"/>
              </w:rPr>
            </w:pPr>
            <w:r>
              <w:rPr>
                <w:color w:val="231F20"/>
                <w:w w:val="105"/>
                <w:sz w:val="17"/>
              </w:rPr>
              <w:t>10.2</w:t>
            </w:r>
          </w:p>
        </w:tc>
        <w:tc>
          <w:tcPr>
            <w:tcW w:w="1073" w:type="dxa"/>
          </w:tcPr>
          <w:p>
            <w:pPr>
              <w:pStyle w:val="TableParagraph"/>
              <w:ind w:left="309" w:right="127"/>
              <w:jc w:val="left"/>
              <w:rPr>
                <w:sz w:val="17"/>
              </w:rPr>
            </w:pPr>
            <w:r>
              <w:rPr>
                <w:color w:val="231F20"/>
                <w:w w:val="105"/>
                <w:sz w:val="17"/>
              </w:rPr>
              <w:t>21.1</w:t>
            </w:r>
          </w:p>
        </w:tc>
        <w:tc>
          <w:tcPr>
            <w:tcW w:w="759" w:type="dxa"/>
          </w:tcPr>
          <w:p>
            <w:pPr>
              <w:pStyle w:val="TableParagraph"/>
              <w:ind w:left="190"/>
              <w:jc w:val="left"/>
              <w:rPr>
                <w:sz w:val="17"/>
              </w:rPr>
            </w:pPr>
            <w:r>
              <w:rPr>
                <w:color w:val="231F20"/>
                <w:sz w:val="17"/>
              </w:rPr>
              <w:t>100</w:t>
            </w:r>
          </w:p>
        </w:tc>
      </w:tr>
      <w:tr>
        <w:trPr>
          <w:trHeight w:val="223" w:hRule="exact"/>
        </w:trPr>
        <w:tc>
          <w:tcPr>
            <w:tcW w:w="1772" w:type="dxa"/>
          </w:tcPr>
          <w:p>
            <w:pPr>
              <w:pStyle w:val="TableParagraph"/>
              <w:ind w:left="35"/>
              <w:jc w:val="left"/>
              <w:rPr>
                <w:sz w:val="17"/>
              </w:rPr>
            </w:pPr>
            <w:r>
              <w:rPr>
                <w:color w:val="231F20"/>
                <w:w w:val="115"/>
                <w:sz w:val="17"/>
              </w:rPr>
              <w:t>Chiapas</w:t>
            </w:r>
          </w:p>
        </w:tc>
        <w:tc>
          <w:tcPr>
            <w:tcW w:w="778" w:type="dxa"/>
          </w:tcPr>
          <w:p>
            <w:pPr>
              <w:pStyle w:val="TableParagraph"/>
              <w:ind w:left="238"/>
              <w:jc w:val="left"/>
              <w:rPr>
                <w:sz w:val="17"/>
              </w:rPr>
            </w:pPr>
            <w:r>
              <w:rPr>
                <w:color w:val="231F20"/>
                <w:w w:val="105"/>
                <w:sz w:val="17"/>
              </w:rPr>
              <w:t>4.2</w:t>
            </w:r>
          </w:p>
        </w:tc>
        <w:tc>
          <w:tcPr>
            <w:tcW w:w="855" w:type="dxa"/>
          </w:tcPr>
          <w:p>
            <w:pPr>
              <w:pStyle w:val="TableParagraph"/>
              <w:ind w:left="95" w:right="83"/>
              <w:rPr>
                <w:sz w:val="17"/>
              </w:rPr>
            </w:pPr>
            <w:r>
              <w:rPr>
                <w:color w:val="231F20"/>
                <w:w w:val="105"/>
                <w:sz w:val="17"/>
              </w:rPr>
              <w:t>57.9</w:t>
            </w:r>
          </w:p>
        </w:tc>
        <w:tc>
          <w:tcPr>
            <w:tcW w:w="1023" w:type="dxa"/>
          </w:tcPr>
          <w:p>
            <w:pPr>
              <w:pStyle w:val="TableParagraph"/>
              <w:ind w:left="94" w:right="20"/>
              <w:rPr>
                <w:sz w:val="17"/>
              </w:rPr>
            </w:pPr>
            <w:r>
              <w:rPr>
                <w:color w:val="231F20"/>
                <w:w w:val="105"/>
                <w:sz w:val="17"/>
              </w:rPr>
              <w:t>19.6</w:t>
            </w:r>
          </w:p>
        </w:tc>
        <w:tc>
          <w:tcPr>
            <w:tcW w:w="1049" w:type="dxa"/>
          </w:tcPr>
          <w:p>
            <w:pPr>
              <w:pStyle w:val="TableParagraph"/>
              <w:ind w:left="314" w:right="361"/>
              <w:rPr>
                <w:sz w:val="17"/>
              </w:rPr>
            </w:pPr>
            <w:r>
              <w:rPr>
                <w:color w:val="231F20"/>
                <w:w w:val="105"/>
                <w:sz w:val="17"/>
              </w:rPr>
              <w:t>18.3</w:t>
            </w:r>
          </w:p>
        </w:tc>
        <w:tc>
          <w:tcPr>
            <w:tcW w:w="632" w:type="dxa"/>
          </w:tcPr>
          <w:p>
            <w:pPr>
              <w:pStyle w:val="TableParagraph"/>
              <w:ind w:left="103" w:right="110"/>
              <w:rPr>
                <w:sz w:val="17"/>
              </w:rPr>
            </w:pPr>
            <w:r>
              <w:rPr>
                <w:color w:val="231F20"/>
                <w:sz w:val="17"/>
              </w:rPr>
              <w:t>100</w:t>
            </w:r>
          </w:p>
        </w:tc>
        <w:tc>
          <w:tcPr>
            <w:tcW w:w="831" w:type="dxa"/>
          </w:tcPr>
          <w:p>
            <w:pPr>
              <w:pStyle w:val="TableParagraph"/>
              <w:ind w:left="202" w:right="75"/>
              <w:rPr>
                <w:sz w:val="17"/>
              </w:rPr>
            </w:pPr>
            <w:r>
              <w:rPr>
                <w:color w:val="231F20"/>
                <w:w w:val="105"/>
                <w:sz w:val="17"/>
              </w:rPr>
              <w:t>5.5</w:t>
            </w:r>
          </w:p>
        </w:tc>
        <w:tc>
          <w:tcPr>
            <w:tcW w:w="823" w:type="dxa"/>
          </w:tcPr>
          <w:p>
            <w:pPr>
              <w:pStyle w:val="TableParagraph"/>
              <w:ind w:left="71" w:right="74"/>
              <w:rPr>
                <w:sz w:val="17"/>
              </w:rPr>
            </w:pPr>
            <w:r>
              <w:rPr>
                <w:color w:val="231F20"/>
                <w:w w:val="105"/>
                <w:sz w:val="17"/>
              </w:rPr>
              <w:t>53.0</w:t>
            </w:r>
          </w:p>
        </w:tc>
        <w:tc>
          <w:tcPr>
            <w:tcW w:w="1016" w:type="dxa"/>
          </w:tcPr>
          <w:p>
            <w:pPr>
              <w:pStyle w:val="TableParagraph"/>
              <w:ind w:left="360"/>
              <w:jc w:val="left"/>
              <w:rPr>
                <w:sz w:val="17"/>
              </w:rPr>
            </w:pPr>
            <w:r>
              <w:rPr>
                <w:color w:val="231F20"/>
                <w:w w:val="105"/>
                <w:sz w:val="17"/>
              </w:rPr>
              <w:t>18.5</w:t>
            </w:r>
          </w:p>
        </w:tc>
        <w:tc>
          <w:tcPr>
            <w:tcW w:w="1073" w:type="dxa"/>
          </w:tcPr>
          <w:p>
            <w:pPr>
              <w:pStyle w:val="TableParagraph"/>
              <w:ind w:left="309" w:right="127"/>
              <w:jc w:val="left"/>
              <w:rPr>
                <w:sz w:val="17"/>
              </w:rPr>
            </w:pPr>
            <w:r>
              <w:rPr>
                <w:color w:val="231F20"/>
                <w:w w:val="105"/>
                <w:sz w:val="17"/>
              </w:rPr>
              <w:t>23.0</w:t>
            </w:r>
          </w:p>
        </w:tc>
        <w:tc>
          <w:tcPr>
            <w:tcW w:w="759" w:type="dxa"/>
          </w:tcPr>
          <w:p>
            <w:pPr>
              <w:pStyle w:val="TableParagraph"/>
              <w:ind w:left="190"/>
              <w:jc w:val="left"/>
              <w:rPr>
                <w:sz w:val="17"/>
              </w:rPr>
            </w:pPr>
            <w:r>
              <w:rPr>
                <w:color w:val="231F20"/>
                <w:sz w:val="17"/>
              </w:rPr>
              <w:t>100</w:t>
            </w:r>
          </w:p>
        </w:tc>
      </w:tr>
    </w:tbl>
    <w:p>
      <w:pPr>
        <w:spacing w:after="0"/>
        <w:jc w:val="left"/>
        <w:rPr>
          <w:sz w:val="17"/>
        </w:rPr>
        <w:sectPr>
          <w:footerReference w:type="default" r:id="rId75"/>
          <w:pgSz w:w="12920" w:h="9520" w:orient="landscape"/>
          <w:pgMar w:footer="2501" w:header="0" w:top="880" w:bottom="2700" w:left="1240" w:right="840"/>
          <w:pgNumType w:start="9"/>
        </w:sectPr>
      </w:pPr>
    </w:p>
    <w:p>
      <w:pPr>
        <w:pStyle w:val="BodyText"/>
        <w:spacing w:before="2"/>
        <w:rPr>
          <w:sz w:val="18"/>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31"/>
        <w:gridCol w:w="901"/>
        <w:gridCol w:w="936"/>
        <w:gridCol w:w="972"/>
        <w:gridCol w:w="929"/>
        <w:gridCol w:w="784"/>
        <w:gridCol w:w="791"/>
        <w:gridCol w:w="875"/>
        <w:gridCol w:w="953"/>
        <w:gridCol w:w="959"/>
        <w:gridCol w:w="879"/>
      </w:tblGrid>
      <w:tr>
        <w:trPr>
          <w:trHeight w:val="290" w:hRule="exact"/>
        </w:trPr>
        <w:tc>
          <w:tcPr>
            <w:tcW w:w="1631" w:type="dxa"/>
          </w:tcPr>
          <w:p>
            <w:pPr>
              <w:pStyle w:val="TableParagraph"/>
              <w:spacing w:line="240" w:lineRule="auto" w:before="75"/>
              <w:ind w:left="35"/>
              <w:jc w:val="left"/>
              <w:rPr>
                <w:sz w:val="17"/>
              </w:rPr>
            </w:pPr>
            <w:r>
              <w:rPr>
                <w:color w:val="231F20"/>
                <w:w w:val="110"/>
                <w:sz w:val="17"/>
              </w:rPr>
              <w:t>Michoacán</w:t>
            </w:r>
          </w:p>
        </w:tc>
        <w:tc>
          <w:tcPr>
            <w:tcW w:w="901" w:type="dxa"/>
          </w:tcPr>
          <w:p>
            <w:pPr>
              <w:pStyle w:val="TableParagraph"/>
              <w:spacing w:line="240" w:lineRule="auto" w:before="75"/>
              <w:ind w:right="282"/>
              <w:jc w:val="right"/>
              <w:rPr>
                <w:sz w:val="17"/>
              </w:rPr>
            </w:pPr>
            <w:r>
              <w:rPr>
                <w:color w:val="231F20"/>
                <w:w w:val="105"/>
                <w:sz w:val="17"/>
              </w:rPr>
              <w:t>7.4</w:t>
            </w:r>
          </w:p>
        </w:tc>
        <w:tc>
          <w:tcPr>
            <w:tcW w:w="936" w:type="dxa"/>
          </w:tcPr>
          <w:p>
            <w:pPr>
              <w:pStyle w:val="TableParagraph"/>
              <w:spacing w:line="240" w:lineRule="auto" w:before="75"/>
              <w:ind w:left="284"/>
              <w:jc w:val="left"/>
              <w:rPr>
                <w:sz w:val="17"/>
              </w:rPr>
            </w:pPr>
            <w:r>
              <w:rPr>
                <w:color w:val="231F20"/>
                <w:w w:val="105"/>
                <w:sz w:val="17"/>
              </w:rPr>
              <w:t>76.6</w:t>
            </w:r>
          </w:p>
        </w:tc>
        <w:tc>
          <w:tcPr>
            <w:tcW w:w="972" w:type="dxa"/>
          </w:tcPr>
          <w:p>
            <w:pPr>
              <w:pStyle w:val="TableParagraph"/>
              <w:spacing w:line="240" w:lineRule="auto" w:before="75"/>
              <w:ind w:left="299" w:right="206"/>
              <w:rPr>
                <w:sz w:val="17"/>
              </w:rPr>
            </w:pPr>
            <w:r>
              <w:rPr>
                <w:color w:val="231F20"/>
                <w:w w:val="105"/>
                <w:sz w:val="17"/>
              </w:rPr>
              <w:t>3.6</w:t>
            </w:r>
          </w:p>
        </w:tc>
        <w:tc>
          <w:tcPr>
            <w:tcW w:w="929" w:type="dxa"/>
          </w:tcPr>
          <w:p>
            <w:pPr>
              <w:pStyle w:val="TableParagraph"/>
              <w:spacing w:line="240" w:lineRule="auto" w:before="75"/>
              <w:ind w:right="273"/>
              <w:jc w:val="right"/>
              <w:rPr>
                <w:sz w:val="17"/>
              </w:rPr>
            </w:pPr>
            <w:r>
              <w:rPr>
                <w:color w:val="231F20"/>
                <w:sz w:val="17"/>
              </w:rPr>
              <w:t>12.3</w:t>
            </w:r>
          </w:p>
        </w:tc>
        <w:tc>
          <w:tcPr>
            <w:tcW w:w="784" w:type="dxa"/>
          </w:tcPr>
          <w:p>
            <w:pPr>
              <w:pStyle w:val="TableParagraph"/>
              <w:spacing w:line="240" w:lineRule="auto" w:before="75"/>
              <w:ind w:left="257" w:right="203"/>
              <w:rPr>
                <w:sz w:val="17"/>
              </w:rPr>
            </w:pPr>
            <w:r>
              <w:rPr>
                <w:color w:val="231F20"/>
                <w:sz w:val="17"/>
              </w:rPr>
              <w:t>100</w:t>
            </w:r>
          </w:p>
        </w:tc>
        <w:tc>
          <w:tcPr>
            <w:tcW w:w="791" w:type="dxa"/>
          </w:tcPr>
          <w:p>
            <w:pPr>
              <w:pStyle w:val="TableParagraph"/>
              <w:spacing w:line="240" w:lineRule="auto" w:before="75"/>
              <w:ind w:left="201" w:right="123"/>
              <w:rPr>
                <w:sz w:val="17"/>
              </w:rPr>
            </w:pPr>
            <w:r>
              <w:rPr>
                <w:color w:val="231F20"/>
                <w:w w:val="105"/>
                <w:sz w:val="17"/>
              </w:rPr>
              <w:t>9.4</w:t>
            </w:r>
          </w:p>
        </w:tc>
        <w:tc>
          <w:tcPr>
            <w:tcW w:w="875" w:type="dxa"/>
          </w:tcPr>
          <w:p>
            <w:pPr>
              <w:pStyle w:val="TableParagraph"/>
              <w:spacing w:line="240" w:lineRule="auto" w:before="75"/>
              <w:ind w:left="237"/>
              <w:jc w:val="left"/>
              <w:rPr>
                <w:sz w:val="17"/>
              </w:rPr>
            </w:pPr>
            <w:r>
              <w:rPr>
                <w:color w:val="231F20"/>
                <w:w w:val="105"/>
                <w:sz w:val="17"/>
              </w:rPr>
              <w:t>67.3</w:t>
            </w:r>
          </w:p>
        </w:tc>
        <w:tc>
          <w:tcPr>
            <w:tcW w:w="953" w:type="dxa"/>
          </w:tcPr>
          <w:p>
            <w:pPr>
              <w:pStyle w:val="TableParagraph"/>
              <w:spacing w:line="240" w:lineRule="auto" w:before="75"/>
              <w:ind w:right="314"/>
              <w:jc w:val="right"/>
              <w:rPr>
                <w:sz w:val="17"/>
              </w:rPr>
            </w:pPr>
            <w:r>
              <w:rPr>
                <w:color w:val="231F20"/>
                <w:w w:val="105"/>
                <w:sz w:val="17"/>
              </w:rPr>
              <w:t>5.3</w:t>
            </w:r>
          </w:p>
        </w:tc>
        <w:tc>
          <w:tcPr>
            <w:tcW w:w="959" w:type="dxa"/>
          </w:tcPr>
          <w:p>
            <w:pPr>
              <w:pStyle w:val="TableParagraph"/>
              <w:spacing w:line="240" w:lineRule="auto" w:before="75"/>
              <w:ind w:left="315"/>
              <w:jc w:val="left"/>
              <w:rPr>
                <w:sz w:val="17"/>
              </w:rPr>
            </w:pPr>
            <w:r>
              <w:rPr>
                <w:color w:val="231F20"/>
                <w:w w:val="105"/>
                <w:sz w:val="17"/>
              </w:rPr>
              <w:t>18.0</w:t>
            </w:r>
          </w:p>
        </w:tc>
        <w:tc>
          <w:tcPr>
            <w:tcW w:w="879" w:type="dxa"/>
          </w:tcPr>
          <w:p>
            <w:pPr>
              <w:pStyle w:val="TableParagraph"/>
              <w:spacing w:line="240" w:lineRule="auto" w:before="75"/>
              <w:ind w:left="310"/>
              <w:jc w:val="left"/>
              <w:rPr>
                <w:sz w:val="17"/>
              </w:rPr>
            </w:pPr>
            <w:r>
              <w:rPr>
                <w:color w:val="231F20"/>
                <w:sz w:val="17"/>
              </w:rPr>
              <w:t>100</w:t>
            </w:r>
          </w:p>
        </w:tc>
      </w:tr>
      <w:tr>
        <w:trPr>
          <w:trHeight w:val="210" w:hRule="exact"/>
        </w:trPr>
        <w:tc>
          <w:tcPr>
            <w:tcW w:w="1631" w:type="dxa"/>
          </w:tcPr>
          <w:p>
            <w:pPr>
              <w:pStyle w:val="TableParagraph"/>
              <w:ind w:left="35"/>
              <w:jc w:val="left"/>
              <w:rPr>
                <w:sz w:val="17"/>
              </w:rPr>
            </w:pPr>
            <w:r>
              <w:rPr>
                <w:color w:val="231F20"/>
                <w:w w:val="110"/>
                <w:sz w:val="17"/>
              </w:rPr>
              <w:t>Morelos</w:t>
            </w:r>
          </w:p>
        </w:tc>
        <w:tc>
          <w:tcPr>
            <w:tcW w:w="901" w:type="dxa"/>
          </w:tcPr>
          <w:p>
            <w:pPr>
              <w:pStyle w:val="TableParagraph"/>
              <w:ind w:right="282"/>
              <w:jc w:val="right"/>
              <w:rPr>
                <w:sz w:val="17"/>
              </w:rPr>
            </w:pPr>
            <w:r>
              <w:rPr>
                <w:color w:val="231F20"/>
                <w:w w:val="105"/>
                <w:sz w:val="17"/>
              </w:rPr>
              <w:t>5.8</w:t>
            </w:r>
          </w:p>
        </w:tc>
        <w:tc>
          <w:tcPr>
            <w:tcW w:w="936" w:type="dxa"/>
          </w:tcPr>
          <w:p>
            <w:pPr>
              <w:pStyle w:val="TableParagraph"/>
              <w:ind w:left="284"/>
              <w:jc w:val="left"/>
              <w:rPr>
                <w:sz w:val="17"/>
              </w:rPr>
            </w:pPr>
            <w:r>
              <w:rPr>
                <w:color w:val="231F20"/>
                <w:w w:val="105"/>
                <w:sz w:val="17"/>
              </w:rPr>
              <w:t>65.0</w:t>
            </w:r>
          </w:p>
        </w:tc>
        <w:tc>
          <w:tcPr>
            <w:tcW w:w="972" w:type="dxa"/>
          </w:tcPr>
          <w:p>
            <w:pPr>
              <w:pStyle w:val="TableParagraph"/>
              <w:ind w:left="299" w:right="299"/>
              <w:rPr>
                <w:sz w:val="17"/>
              </w:rPr>
            </w:pPr>
            <w:r>
              <w:rPr>
                <w:color w:val="231F20"/>
                <w:w w:val="105"/>
                <w:sz w:val="17"/>
              </w:rPr>
              <w:t>10.3</w:t>
            </w:r>
          </w:p>
        </w:tc>
        <w:tc>
          <w:tcPr>
            <w:tcW w:w="929" w:type="dxa"/>
          </w:tcPr>
          <w:p>
            <w:pPr>
              <w:pStyle w:val="TableParagraph"/>
              <w:ind w:right="273"/>
              <w:jc w:val="right"/>
              <w:rPr>
                <w:sz w:val="17"/>
              </w:rPr>
            </w:pPr>
            <w:r>
              <w:rPr>
                <w:color w:val="231F20"/>
                <w:sz w:val="17"/>
              </w:rPr>
              <w:t>18.9</w:t>
            </w:r>
          </w:p>
        </w:tc>
        <w:tc>
          <w:tcPr>
            <w:tcW w:w="784" w:type="dxa"/>
          </w:tcPr>
          <w:p>
            <w:pPr>
              <w:pStyle w:val="TableParagraph"/>
              <w:ind w:left="257" w:right="203"/>
              <w:rPr>
                <w:sz w:val="17"/>
              </w:rPr>
            </w:pPr>
            <w:r>
              <w:rPr>
                <w:color w:val="231F20"/>
                <w:sz w:val="17"/>
              </w:rPr>
              <w:t>100</w:t>
            </w:r>
          </w:p>
        </w:tc>
        <w:tc>
          <w:tcPr>
            <w:tcW w:w="791" w:type="dxa"/>
          </w:tcPr>
          <w:p>
            <w:pPr>
              <w:pStyle w:val="TableParagraph"/>
              <w:ind w:left="201" w:right="123"/>
              <w:rPr>
                <w:sz w:val="17"/>
              </w:rPr>
            </w:pPr>
            <w:r>
              <w:rPr>
                <w:color w:val="231F20"/>
                <w:w w:val="105"/>
                <w:sz w:val="17"/>
              </w:rPr>
              <w:t>7.9</w:t>
            </w:r>
          </w:p>
        </w:tc>
        <w:tc>
          <w:tcPr>
            <w:tcW w:w="875" w:type="dxa"/>
          </w:tcPr>
          <w:p>
            <w:pPr>
              <w:pStyle w:val="TableParagraph"/>
              <w:ind w:left="237"/>
              <w:jc w:val="left"/>
              <w:rPr>
                <w:sz w:val="17"/>
              </w:rPr>
            </w:pPr>
            <w:r>
              <w:rPr>
                <w:color w:val="231F20"/>
                <w:w w:val="105"/>
                <w:sz w:val="17"/>
              </w:rPr>
              <w:t>54.0</w:t>
            </w:r>
          </w:p>
        </w:tc>
        <w:tc>
          <w:tcPr>
            <w:tcW w:w="953" w:type="dxa"/>
          </w:tcPr>
          <w:p>
            <w:pPr>
              <w:pStyle w:val="TableParagraph"/>
              <w:ind w:right="314"/>
              <w:jc w:val="right"/>
              <w:rPr>
                <w:sz w:val="17"/>
              </w:rPr>
            </w:pPr>
            <w:r>
              <w:rPr>
                <w:color w:val="231F20"/>
                <w:sz w:val="17"/>
              </w:rPr>
              <w:t>13.6</w:t>
            </w:r>
          </w:p>
        </w:tc>
        <w:tc>
          <w:tcPr>
            <w:tcW w:w="959" w:type="dxa"/>
          </w:tcPr>
          <w:p>
            <w:pPr>
              <w:pStyle w:val="TableParagraph"/>
              <w:ind w:left="315"/>
              <w:jc w:val="left"/>
              <w:rPr>
                <w:sz w:val="17"/>
              </w:rPr>
            </w:pPr>
            <w:r>
              <w:rPr>
                <w:color w:val="231F20"/>
                <w:w w:val="105"/>
                <w:sz w:val="17"/>
              </w:rPr>
              <w:t>24.5</w:t>
            </w:r>
          </w:p>
        </w:tc>
        <w:tc>
          <w:tcPr>
            <w:tcW w:w="879" w:type="dxa"/>
          </w:tcPr>
          <w:p>
            <w:pPr>
              <w:pStyle w:val="TableParagraph"/>
              <w:ind w:left="310"/>
              <w:jc w:val="left"/>
              <w:rPr>
                <w:sz w:val="17"/>
              </w:rPr>
            </w:pPr>
            <w:r>
              <w:rPr>
                <w:color w:val="231F20"/>
                <w:sz w:val="17"/>
              </w:rPr>
              <w:t>100</w:t>
            </w:r>
          </w:p>
        </w:tc>
      </w:tr>
      <w:tr>
        <w:trPr>
          <w:trHeight w:val="210" w:hRule="exact"/>
        </w:trPr>
        <w:tc>
          <w:tcPr>
            <w:tcW w:w="1631" w:type="dxa"/>
          </w:tcPr>
          <w:p>
            <w:pPr>
              <w:pStyle w:val="TableParagraph"/>
              <w:ind w:left="35"/>
              <w:jc w:val="left"/>
              <w:rPr>
                <w:sz w:val="17"/>
              </w:rPr>
            </w:pPr>
            <w:r>
              <w:rPr>
                <w:color w:val="231F20"/>
                <w:w w:val="110"/>
                <w:sz w:val="17"/>
              </w:rPr>
              <w:t>Nayarit</w:t>
            </w:r>
          </w:p>
        </w:tc>
        <w:tc>
          <w:tcPr>
            <w:tcW w:w="901" w:type="dxa"/>
          </w:tcPr>
          <w:p>
            <w:pPr>
              <w:pStyle w:val="TableParagraph"/>
              <w:ind w:right="282"/>
              <w:jc w:val="right"/>
              <w:rPr>
                <w:sz w:val="17"/>
              </w:rPr>
            </w:pPr>
            <w:r>
              <w:rPr>
                <w:color w:val="231F20"/>
                <w:w w:val="105"/>
                <w:sz w:val="17"/>
              </w:rPr>
              <w:t>6.2</w:t>
            </w:r>
          </w:p>
        </w:tc>
        <w:tc>
          <w:tcPr>
            <w:tcW w:w="936" w:type="dxa"/>
          </w:tcPr>
          <w:p>
            <w:pPr>
              <w:pStyle w:val="TableParagraph"/>
              <w:ind w:left="284"/>
              <w:jc w:val="left"/>
              <w:rPr>
                <w:sz w:val="17"/>
              </w:rPr>
            </w:pPr>
            <w:r>
              <w:rPr>
                <w:color w:val="231F20"/>
                <w:w w:val="105"/>
                <w:sz w:val="17"/>
              </w:rPr>
              <w:t>64.8</w:t>
            </w:r>
          </w:p>
        </w:tc>
        <w:tc>
          <w:tcPr>
            <w:tcW w:w="972" w:type="dxa"/>
          </w:tcPr>
          <w:p>
            <w:pPr>
              <w:pStyle w:val="TableParagraph"/>
              <w:ind w:left="299" w:right="299"/>
              <w:rPr>
                <w:sz w:val="17"/>
              </w:rPr>
            </w:pPr>
            <w:r>
              <w:rPr>
                <w:color w:val="231F20"/>
                <w:w w:val="105"/>
                <w:sz w:val="17"/>
              </w:rPr>
              <w:t>14.3</w:t>
            </w:r>
          </w:p>
        </w:tc>
        <w:tc>
          <w:tcPr>
            <w:tcW w:w="929" w:type="dxa"/>
          </w:tcPr>
          <w:p>
            <w:pPr>
              <w:pStyle w:val="TableParagraph"/>
              <w:ind w:right="273"/>
              <w:jc w:val="right"/>
              <w:rPr>
                <w:sz w:val="17"/>
              </w:rPr>
            </w:pPr>
            <w:r>
              <w:rPr>
                <w:color w:val="231F20"/>
                <w:sz w:val="17"/>
              </w:rPr>
              <w:t>14.7</w:t>
            </w:r>
          </w:p>
        </w:tc>
        <w:tc>
          <w:tcPr>
            <w:tcW w:w="784" w:type="dxa"/>
          </w:tcPr>
          <w:p>
            <w:pPr>
              <w:pStyle w:val="TableParagraph"/>
              <w:ind w:left="257" w:right="203"/>
              <w:rPr>
                <w:sz w:val="17"/>
              </w:rPr>
            </w:pPr>
            <w:r>
              <w:rPr>
                <w:color w:val="231F20"/>
                <w:sz w:val="17"/>
              </w:rPr>
              <w:t>100</w:t>
            </w:r>
          </w:p>
        </w:tc>
        <w:tc>
          <w:tcPr>
            <w:tcW w:w="791" w:type="dxa"/>
          </w:tcPr>
          <w:p>
            <w:pPr>
              <w:pStyle w:val="TableParagraph"/>
              <w:ind w:left="201" w:right="123"/>
              <w:rPr>
                <w:sz w:val="17"/>
              </w:rPr>
            </w:pPr>
            <w:r>
              <w:rPr>
                <w:color w:val="231F20"/>
                <w:w w:val="105"/>
                <w:sz w:val="17"/>
              </w:rPr>
              <w:t>9.2</w:t>
            </w:r>
          </w:p>
        </w:tc>
        <w:tc>
          <w:tcPr>
            <w:tcW w:w="875" w:type="dxa"/>
          </w:tcPr>
          <w:p>
            <w:pPr>
              <w:pStyle w:val="TableParagraph"/>
              <w:ind w:left="237"/>
              <w:jc w:val="left"/>
              <w:rPr>
                <w:sz w:val="17"/>
              </w:rPr>
            </w:pPr>
            <w:r>
              <w:rPr>
                <w:color w:val="231F20"/>
                <w:w w:val="105"/>
                <w:sz w:val="17"/>
              </w:rPr>
              <w:t>56.5</w:t>
            </w:r>
          </w:p>
        </w:tc>
        <w:tc>
          <w:tcPr>
            <w:tcW w:w="953" w:type="dxa"/>
          </w:tcPr>
          <w:p>
            <w:pPr>
              <w:pStyle w:val="TableParagraph"/>
              <w:ind w:right="314"/>
              <w:jc w:val="right"/>
              <w:rPr>
                <w:sz w:val="17"/>
              </w:rPr>
            </w:pPr>
            <w:r>
              <w:rPr>
                <w:color w:val="231F20"/>
                <w:sz w:val="17"/>
              </w:rPr>
              <w:t>15.9</w:t>
            </w:r>
          </w:p>
        </w:tc>
        <w:tc>
          <w:tcPr>
            <w:tcW w:w="959" w:type="dxa"/>
          </w:tcPr>
          <w:p>
            <w:pPr>
              <w:pStyle w:val="TableParagraph"/>
              <w:ind w:left="315"/>
              <w:jc w:val="left"/>
              <w:rPr>
                <w:sz w:val="17"/>
              </w:rPr>
            </w:pPr>
            <w:r>
              <w:rPr>
                <w:color w:val="231F20"/>
                <w:w w:val="105"/>
                <w:sz w:val="17"/>
              </w:rPr>
              <w:t>18.3</w:t>
            </w:r>
          </w:p>
        </w:tc>
        <w:tc>
          <w:tcPr>
            <w:tcW w:w="879" w:type="dxa"/>
          </w:tcPr>
          <w:p>
            <w:pPr>
              <w:pStyle w:val="TableParagraph"/>
              <w:ind w:left="310"/>
              <w:jc w:val="left"/>
              <w:rPr>
                <w:sz w:val="17"/>
              </w:rPr>
            </w:pPr>
            <w:r>
              <w:rPr>
                <w:color w:val="231F20"/>
                <w:sz w:val="17"/>
              </w:rPr>
              <w:t>100</w:t>
            </w:r>
          </w:p>
        </w:tc>
      </w:tr>
      <w:tr>
        <w:trPr>
          <w:trHeight w:val="210" w:hRule="exact"/>
        </w:trPr>
        <w:tc>
          <w:tcPr>
            <w:tcW w:w="1631" w:type="dxa"/>
          </w:tcPr>
          <w:p>
            <w:pPr>
              <w:pStyle w:val="TableParagraph"/>
              <w:ind w:left="35"/>
              <w:jc w:val="left"/>
              <w:rPr>
                <w:sz w:val="17"/>
              </w:rPr>
            </w:pPr>
            <w:r>
              <w:rPr>
                <w:color w:val="231F20"/>
                <w:w w:val="110"/>
                <w:sz w:val="17"/>
              </w:rPr>
              <w:t>Nuevo León</w:t>
            </w:r>
          </w:p>
        </w:tc>
        <w:tc>
          <w:tcPr>
            <w:tcW w:w="901" w:type="dxa"/>
          </w:tcPr>
          <w:p>
            <w:pPr>
              <w:pStyle w:val="TableParagraph"/>
              <w:ind w:right="282"/>
              <w:jc w:val="right"/>
              <w:rPr>
                <w:sz w:val="17"/>
              </w:rPr>
            </w:pPr>
            <w:r>
              <w:rPr>
                <w:color w:val="231F20"/>
                <w:w w:val="105"/>
                <w:sz w:val="17"/>
              </w:rPr>
              <w:t>6.4</w:t>
            </w:r>
          </w:p>
        </w:tc>
        <w:tc>
          <w:tcPr>
            <w:tcW w:w="936" w:type="dxa"/>
          </w:tcPr>
          <w:p>
            <w:pPr>
              <w:pStyle w:val="TableParagraph"/>
              <w:ind w:left="284"/>
              <w:jc w:val="left"/>
              <w:rPr>
                <w:sz w:val="17"/>
              </w:rPr>
            </w:pPr>
            <w:r>
              <w:rPr>
                <w:color w:val="231F20"/>
                <w:w w:val="105"/>
                <w:sz w:val="17"/>
              </w:rPr>
              <w:t>77.0</w:t>
            </w:r>
          </w:p>
        </w:tc>
        <w:tc>
          <w:tcPr>
            <w:tcW w:w="972" w:type="dxa"/>
          </w:tcPr>
          <w:p>
            <w:pPr>
              <w:pStyle w:val="TableParagraph"/>
              <w:ind w:left="299" w:right="205"/>
              <w:rPr>
                <w:sz w:val="17"/>
              </w:rPr>
            </w:pPr>
            <w:r>
              <w:rPr>
                <w:color w:val="231F20"/>
                <w:w w:val="105"/>
                <w:sz w:val="17"/>
              </w:rPr>
              <w:t>2.8</w:t>
            </w:r>
          </w:p>
        </w:tc>
        <w:tc>
          <w:tcPr>
            <w:tcW w:w="929" w:type="dxa"/>
          </w:tcPr>
          <w:p>
            <w:pPr>
              <w:pStyle w:val="TableParagraph"/>
              <w:ind w:right="273"/>
              <w:jc w:val="right"/>
              <w:rPr>
                <w:sz w:val="17"/>
              </w:rPr>
            </w:pPr>
            <w:r>
              <w:rPr>
                <w:color w:val="231F20"/>
                <w:sz w:val="17"/>
              </w:rPr>
              <w:t>13.8</w:t>
            </w:r>
          </w:p>
        </w:tc>
        <w:tc>
          <w:tcPr>
            <w:tcW w:w="784" w:type="dxa"/>
          </w:tcPr>
          <w:p>
            <w:pPr>
              <w:pStyle w:val="TableParagraph"/>
              <w:ind w:left="257" w:right="203"/>
              <w:rPr>
                <w:sz w:val="17"/>
              </w:rPr>
            </w:pPr>
            <w:r>
              <w:rPr>
                <w:color w:val="231F20"/>
                <w:sz w:val="17"/>
              </w:rPr>
              <w:t>100</w:t>
            </w:r>
          </w:p>
        </w:tc>
        <w:tc>
          <w:tcPr>
            <w:tcW w:w="791" w:type="dxa"/>
          </w:tcPr>
          <w:p>
            <w:pPr>
              <w:pStyle w:val="TableParagraph"/>
              <w:ind w:left="201" w:right="123"/>
              <w:rPr>
                <w:sz w:val="17"/>
              </w:rPr>
            </w:pPr>
            <w:r>
              <w:rPr>
                <w:color w:val="231F20"/>
                <w:w w:val="105"/>
                <w:sz w:val="17"/>
              </w:rPr>
              <w:t>8.1</w:t>
            </w:r>
          </w:p>
        </w:tc>
        <w:tc>
          <w:tcPr>
            <w:tcW w:w="875" w:type="dxa"/>
          </w:tcPr>
          <w:p>
            <w:pPr>
              <w:pStyle w:val="TableParagraph"/>
              <w:ind w:left="237"/>
              <w:jc w:val="left"/>
              <w:rPr>
                <w:sz w:val="17"/>
              </w:rPr>
            </w:pPr>
            <w:r>
              <w:rPr>
                <w:color w:val="231F20"/>
                <w:w w:val="105"/>
                <w:sz w:val="17"/>
              </w:rPr>
              <w:t>68.4</w:t>
            </w:r>
          </w:p>
        </w:tc>
        <w:tc>
          <w:tcPr>
            <w:tcW w:w="953" w:type="dxa"/>
          </w:tcPr>
          <w:p>
            <w:pPr>
              <w:pStyle w:val="TableParagraph"/>
              <w:ind w:right="314"/>
              <w:jc w:val="right"/>
              <w:rPr>
                <w:sz w:val="17"/>
              </w:rPr>
            </w:pPr>
            <w:r>
              <w:rPr>
                <w:color w:val="231F20"/>
                <w:w w:val="105"/>
                <w:sz w:val="17"/>
              </w:rPr>
              <w:t>5.6</w:t>
            </w:r>
          </w:p>
        </w:tc>
        <w:tc>
          <w:tcPr>
            <w:tcW w:w="959" w:type="dxa"/>
          </w:tcPr>
          <w:p>
            <w:pPr>
              <w:pStyle w:val="TableParagraph"/>
              <w:ind w:left="315"/>
              <w:jc w:val="left"/>
              <w:rPr>
                <w:sz w:val="17"/>
              </w:rPr>
            </w:pPr>
            <w:r>
              <w:rPr>
                <w:color w:val="231F20"/>
                <w:w w:val="105"/>
                <w:sz w:val="17"/>
              </w:rPr>
              <w:t>17.9</w:t>
            </w:r>
          </w:p>
        </w:tc>
        <w:tc>
          <w:tcPr>
            <w:tcW w:w="879" w:type="dxa"/>
          </w:tcPr>
          <w:p>
            <w:pPr>
              <w:pStyle w:val="TableParagraph"/>
              <w:ind w:left="310"/>
              <w:jc w:val="left"/>
              <w:rPr>
                <w:sz w:val="17"/>
              </w:rPr>
            </w:pPr>
            <w:r>
              <w:rPr>
                <w:color w:val="231F20"/>
                <w:sz w:val="17"/>
              </w:rPr>
              <w:t>100</w:t>
            </w:r>
          </w:p>
        </w:tc>
      </w:tr>
      <w:tr>
        <w:trPr>
          <w:trHeight w:val="210" w:hRule="exact"/>
        </w:trPr>
        <w:tc>
          <w:tcPr>
            <w:tcW w:w="1631" w:type="dxa"/>
          </w:tcPr>
          <w:p>
            <w:pPr>
              <w:pStyle w:val="TableParagraph"/>
              <w:ind w:left="35"/>
              <w:jc w:val="left"/>
              <w:rPr>
                <w:sz w:val="17"/>
              </w:rPr>
            </w:pPr>
            <w:r>
              <w:rPr>
                <w:color w:val="231F20"/>
                <w:w w:val="115"/>
                <w:sz w:val="17"/>
              </w:rPr>
              <w:t>Oaxaca</w:t>
            </w:r>
          </w:p>
        </w:tc>
        <w:tc>
          <w:tcPr>
            <w:tcW w:w="901" w:type="dxa"/>
          </w:tcPr>
          <w:p>
            <w:pPr>
              <w:pStyle w:val="TableParagraph"/>
              <w:ind w:right="282"/>
              <w:jc w:val="right"/>
              <w:rPr>
                <w:sz w:val="17"/>
              </w:rPr>
            </w:pPr>
            <w:r>
              <w:rPr>
                <w:color w:val="231F20"/>
                <w:w w:val="105"/>
                <w:sz w:val="17"/>
              </w:rPr>
              <w:t>5.7</w:t>
            </w:r>
          </w:p>
        </w:tc>
        <w:tc>
          <w:tcPr>
            <w:tcW w:w="936" w:type="dxa"/>
          </w:tcPr>
          <w:p>
            <w:pPr>
              <w:pStyle w:val="TableParagraph"/>
              <w:ind w:left="284"/>
              <w:jc w:val="left"/>
              <w:rPr>
                <w:sz w:val="17"/>
              </w:rPr>
            </w:pPr>
            <w:r>
              <w:rPr>
                <w:color w:val="231F20"/>
                <w:w w:val="105"/>
                <w:sz w:val="17"/>
              </w:rPr>
              <w:t>68.0</w:t>
            </w:r>
          </w:p>
        </w:tc>
        <w:tc>
          <w:tcPr>
            <w:tcW w:w="972" w:type="dxa"/>
          </w:tcPr>
          <w:p>
            <w:pPr>
              <w:pStyle w:val="TableParagraph"/>
              <w:ind w:left="299" w:right="205"/>
              <w:rPr>
                <w:sz w:val="17"/>
              </w:rPr>
            </w:pPr>
            <w:r>
              <w:rPr>
                <w:color w:val="231F20"/>
                <w:w w:val="105"/>
                <w:sz w:val="17"/>
              </w:rPr>
              <w:t>9.6</w:t>
            </w:r>
          </w:p>
        </w:tc>
        <w:tc>
          <w:tcPr>
            <w:tcW w:w="929" w:type="dxa"/>
          </w:tcPr>
          <w:p>
            <w:pPr>
              <w:pStyle w:val="TableParagraph"/>
              <w:ind w:right="273"/>
              <w:jc w:val="right"/>
              <w:rPr>
                <w:sz w:val="17"/>
              </w:rPr>
            </w:pPr>
            <w:r>
              <w:rPr>
                <w:color w:val="231F20"/>
                <w:sz w:val="17"/>
              </w:rPr>
              <w:t>16.7</w:t>
            </w:r>
          </w:p>
        </w:tc>
        <w:tc>
          <w:tcPr>
            <w:tcW w:w="784" w:type="dxa"/>
          </w:tcPr>
          <w:p>
            <w:pPr>
              <w:pStyle w:val="TableParagraph"/>
              <w:ind w:left="257" w:right="203"/>
              <w:rPr>
                <w:sz w:val="17"/>
              </w:rPr>
            </w:pPr>
            <w:r>
              <w:rPr>
                <w:color w:val="231F20"/>
                <w:sz w:val="17"/>
              </w:rPr>
              <w:t>100</w:t>
            </w:r>
          </w:p>
        </w:tc>
        <w:tc>
          <w:tcPr>
            <w:tcW w:w="791" w:type="dxa"/>
          </w:tcPr>
          <w:p>
            <w:pPr>
              <w:pStyle w:val="TableParagraph"/>
              <w:ind w:left="201" w:right="123"/>
              <w:rPr>
                <w:sz w:val="17"/>
              </w:rPr>
            </w:pPr>
            <w:r>
              <w:rPr>
                <w:color w:val="231F20"/>
                <w:w w:val="105"/>
                <w:sz w:val="17"/>
              </w:rPr>
              <w:t>9.2</w:t>
            </w:r>
          </w:p>
        </w:tc>
        <w:tc>
          <w:tcPr>
            <w:tcW w:w="875" w:type="dxa"/>
          </w:tcPr>
          <w:p>
            <w:pPr>
              <w:pStyle w:val="TableParagraph"/>
              <w:ind w:left="237"/>
              <w:jc w:val="left"/>
              <w:rPr>
                <w:sz w:val="17"/>
              </w:rPr>
            </w:pPr>
            <w:r>
              <w:rPr>
                <w:color w:val="231F20"/>
                <w:w w:val="105"/>
                <w:sz w:val="17"/>
              </w:rPr>
              <w:t>60.0</w:t>
            </w:r>
          </w:p>
        </w:tc>
        <w:tc>
          <w:tcPr>
            <w:tcW w:w="953" w:type="dxa"/>
          </w:tcPr>
          <w:p>
            <w:pPr>
              <w:pStyle w:val="TableParagraph"/>
              <w:ind w:right="314"/>
              <w:jc w:val="right"/>
              <w:rPr>
                <w:sz w:val="17"/>
              </w:rPr>
            </w:pPr>
            <w:r>
              <w:rPr>
                <w:color w:val="231F20"/>
                <w:w w:val="105"/>
                <w:sz w:val="17"/>
              </w:rPr>
              <w:t>9.9</w:t>
            </w:r>
          </w:p>
        </w:tc>
        <w:tc>
          <w:tcPr>
            <w:tcW w:w="959" w:type="dxa"/>
          </w:tcPr>
          <w:p>
            <w:pPr>
              <w:pStyle w:val="TableParagraph"/>
              <w:ind w:left="315"/>
              <w:jc w:val="left"/>
              <w:rPr>
                <w:sz w:val="17"/>
              </w:rPr>
            </w:pPr>
            <w:r>
              <w:rPr>
                <w:color w:val="231F20"/>
                <w:w w:val="105"/>
                <w:sz w:val="17"/>
              </w:rPr>
              <w:t>20.9</w:t>
            </w:r>
          </w:p>
        </w:tc>
        <w:tc>
          <w:tcPr>
            <w:tcW w:w="879" w:type="dxa"/>
          </w:tcPr>
          <w:p>
            <w:pPr>
              <w:pStyle w:val="TableParagraph"/>
              <w:ind w:left="310"/>
              <w:jc w:val="left"/>
              <w:rPr>
                <w:sz w:val="17"/>
              </w:rPr>
            </w:pPr>
            <w:r>
              <w:rPr>
                <w:color w:val="231F20"/>
                <w:sz w:val="17"/>
              </w:rPr>
              <w:t>100</w:t>
            </w:r>
          </w:p>
        </w:tc>
      </w:tr>
      <w:tr>
        <w:trPr>
          <w:trHeight w:val="210" w:hRule="exact"/>
        </w:trPr>
        <w:tc>
          <w:tcPr>
            <w:tcW w:w="1631" w:type="dxa"/>
          </w:tcPr>
          <w:p>
            <w:pPr>
              <w:pStyle w:val="TableParagraph"/>
              <w:ind w:left="35"/>
              <w:jc w:val="left"/>
              <w:rPr>
                <w:sz w:val="17"/>
              </w:rPr>
            </w:pPr>
            <w:r>
              <w:rPr>
                <w:color w:val="231F20"/>
                <w:w w:val="105"/>
                <w:sz w:val="17"/>
              </w:rPr>
              <w:t>Puebla</w:t>
            </w:r>
          </w:p>
        </w:tc>
        <w:tc>
          <w:tcPr>
            <w:tcW w:w="901" w:type="dxa"/>
          </w:tcPr>
          <w:p>
            <w:pPr>
              <w:pStyle w:val="TableParagraph"/>
              <w:ind w:right="282"/>
              <w:jc w:val="right"/>
              <w:rPr>
                <w:sz w:val="17"/>
              </w:rPr>
            </w:pPr>
            <w:r>
              <w:rPr>
                <w:color w:val="231F20"/>
                <w:w w:val="105"/>
                <w:sz w:val="17"/>
              </w:rPr>
              <w:t>6.8</w:t>
            </w:r>
          </w:p>
        </w:tc>
        <w:tc>
          <w:tcPr>
            <w:tcW w:w="936" w:type="dxa"/>
          </w:tcPr>
          <w:p>
            <w:pPr>
              <w:pStyle w:val="TableParagraph"/>
              <w:ind w:left="284"/>
              <w:jc w:val="left"/>
              <w:rPr>
                <w:sz w:val="17"/>
              </w:rPr>
            </w:pPr>
            <w:r>
              <w:rPr>
                <w:color w:val="231F20"/>
                <w:w w:val="105"/>
                <w:sz w:val="17"/>
              </w:rPr>
              <w:t>68.0</w:t>
            </w:r>
          </w:p>
        </w:tc>
        <w:tc>
          <w:tcPr>
            <w:tcW w:w="972" w:type="dxa"/>
          </w:tcPr>
          <w:p>
            <w:pPr>
              <w:pStyle w:val="TableParagraph"/>
              <w:ind w:left="299" w:right="205"/>
              <w:rPr>
                <w:sz w:val="17"/>
              </w:rPr>
            </w:pPr>
            <w:r>
              <w:rPr>
                <w:color w:val="231F20"/>
                <w:w w:val="105"/>
                <w:sz w:val="17"/>
              </w:rPr>
              <w:t>7.7</w:t>
            </w:r>
          </w:p>
        </w:tc>
        <w:tc>
          <w:tcPr>
            <w:tcW w:w="929" w:type="dxa"/>
          </w:tcPr>
          <w:p>
            <w:pPr>
              <w:pStyle w:val="TableParagraph"/>
              <w:ind w:right="273"/>
              <w:jc w:val="right"/>
              <w:rPr>
                <w:sz w:val="17"/>
              </w:rPr>
            </w:pPr>
            <w:r>
              <w:rPr>
                <w:color w:val="231F20"/>
                <w:sz w:val="17"/>
              </w:rPr>
              <w:t>17.6</w:t>
            </w:r>
          </w:p>
        </w:tc>
        <w:tc>
          <w:tcPr>
            <w:tcW w:w="784" w:type="dxa"/>
          </w:tcPr>
          <w:p>
            <w:pPr>
              <w:pStyle w:val="TableParagraph"/>
              <w:ind w:left="257" w:right="203"/>
              <w:rPr>
                <w:sz w:val="17"/>
              </w:rPr>
            </w:pPr>
            <w:r>
              <w:rPr>
                <w:color w:val="231F20"/>
                <w:sz w:val="17"/>
              </w:rPr>
              <w:t>100</w:t>
            </w:r>
          </w:p>
        </w:tc>
        <w:tc>
          <w:tcPr>
            <w:tcW w:w="791" w:type="dxa"/>
          </w:tcPr>
          <w:p>
            <w:pPr>
              <w:pStyle w:val="TableParagraph"/>
              <w:ind w:left="201" w:right="123"/>
              <w:rPr>
                <w:sz w:val="17"/>
              </w:rPr>
            </w:pPr>
            <w:r>
              <w:rPr>
                <w:color w:val="231F20"/>
                <w:w w:val="105"/>
                <w:sz w:val="17"/>
              </w:rPr>
              <w:t>9.2</w:t>
            </w:r>
          </w:p>
        </w:tc>
        <w:tc>
          <w:tcPr>
            <w:tcW w:w="875" w:type="dxa"/>
          </w:tcPr>
          <w:p>
            <w:pPr>
              <w:pStyle w:val="TableParagraph"/>
              <w:ind w:left="237"/>
              <w:jc w:val="left"/>
              <w:rPr>
                <w:sz w:val="17"/>
              </w:rPr>
            </w:pPr>
            <w:r>
              <w:rPr>
                <w:color w:val="231F20"/>
                <w:w w:val="105"/>
                <w:sz w:val="17"/>
              </w:rPr>
              <w:t>57.7</w:t>
            </w:r>
          </w:p>
        </w:tc>
        <w:tc>
          <w:tcPr>
            <w:tcW w:w="953" w:type="dxa"/>
          </w:tcPr>
          <w:p>
            <w:pPr>
              <w:pStyle w:val="TableParagraph"/>
              <w:ind w:right="315"/>
              <w:jc w:val="right"/>
              <w:rPr>
                <w:sz w:val="17"/>
              </w:rPr>
            </w:pPr>
            <w:r>
              <w:rPr>
                <w:color w:val="231F20"/>
                <w:sz w:val="17"/>
              </w:rPr>
              <w:t>10.7</w:t>
            </w:r>
          </w:p>
        </w:tc>
        <w:tc>
          <w:tcPr>
            <w:tcW w:w="959" w:type="dxa"/>
          </w:tcPr>
          <w:p>
            <w:pPr>
              <w:pStyle w:val="TableParagraph"/>
              <w:ind w:left="315"/>
              <w:jc w:val="left"/>
              <w:rPr>
                <w:sz w:val="17"/>
              </w:rPr>
            </w:pPr>
            <w:r>
              <w:rPr>
                <w:color w:val="231F20"/>
                <w:w w:val="105"/>
                <w:sz w:val="17"/>
              </w:rPr>
              <w:t>22.4</w:t>
            </w:r>
          </w:p>
        </w:tc>
        <w:tc>
          <w:tcPr>
            <w:tcW w:w="879" w:type="dxa"/>
          </w:tcPr>
          <w:p>
            <w:pPr>
              <w:pStyle w:val="TableParagraph"/>
              <w:ind w:left="310"/>
              <w:jc w:val="left"/>
              <w:rPr>
                <w:sz w:val="17"/>
              </w:rPr>
            </w:pPr>
            <w:r>
              <w:rPr>
                <w:color w:val="231F20"/>
                <w:sz w:val="17"/>
              </w:rPr>
              <w:t>100</w:t>
            </w:r>
          </w:p>
        </w:tc>
      </w:tr>
      <w:tr>
        <w:trPr>
          <w:trHeight w:val="210" w:hRule="exact"/>
        </w:trPr>
        <w:tc>
          <w:tcPr>
            <w:tcW w:w="1631" w:type="dxa"/>
          </w:tcPr>
          <w:p>
            <w:pPr>
              <w:pStyle w:val="TableParagraph"/>
              <w:ind w:left="35"/>
              <w:jc w:val="left"/>
              <w:rPr>
                <w:sz w:val="17"/>
              </w:rPr>
            </w:pPr>
            <w:r>
              <w:rPr>
                <w:color w:val="231F20"/>
                <w:w w:val="110"/>
                <w:sz w:val="17"/>
              </w:rPr>
              <w:t>Querétaro</w:t>
            </w:r>
          </w:p>
        </w:tc>
        <w:tc>
          <w:tcPr>
            <w:tcW w:w="901" w:type="dxa"/>
          </w:tcPr>
          <w:p>
            <w:pPr>
              <w:pStyle w:val="TableParagraph"/>
              <w:ind w:right="282"/>
              <w:jc w:val="right"/>
              <w:rPr>
                <w:sz w:val="17"/>
              </w:rPr>
            </w:pPr>
            <w:r>
              <w:rPr>
                <w:color w:val="231F20"/>
                <w:w w:val="105"/>
                <w:sz w:val="17"/>
              </w:rPr>
              <w:t>7.3</w:t>
            </w:r>
          </w:p>
        </w:tc>
        <w:tc>
          <w:tcPr>
            <w:tcW w:w="936" w:type="dxa"/>
          </w:tcPr>
          <w:p>
            <w:pPr>
              <w:pStyle w:val="TableParagraph"/>
              <w:ind w:left="284"/>
              <w:jc w:val="left"/>
              <w:rPr>
                <w:sz w:val="17"/>
              </w:rPr>
            </w:pPr>
            <w:r>
              <w:rPr>
                <w:color w:val="231F20"/>
                <w:w w:val="105"/>
                <w:sz w:val="17"/>
              </w:rPr>
              <w:t>75.2</w:t>
            </w:r>
          </w:p>
        </w:tc>
        <w:tc>
          <w:tcPr>
            <w:tcW w:w="972" w:type="dxa"/>
          </w:tcPr>
          <w:p>
            <w:pPr>
              <w:pStyle w:val="TableParagraph"/>
              <w:ind w:left="299" w:right="205"/>
              <w:rPr>
                <w:sz w:val="17"/>
              </w:rPr>
            </w:pPr>
            <w:r>
              <w:rPr>
                <w:color w:val="231F20"/>
                <w:w w:val="105"/>
                <w:sz w:val="17"/>
              </w:rPr>
              <w:t>2.7</w:t>
            </w:r>
          </w:p>
        </w:tc>
        <w:tc>
          <w:tcPr>
            <w:tcW w:w="929" w:type="dxa"/>
          </w:tcPr>
          <w:p>
            <w:pPr>
              <w:pStyle w:val="TableParagraph"/>
              <w:ind w:right="273"/>
              <w:jc w:val="right"/>
              <w:rPr>
                <w:sz w:val="17"/>
              </w:rPr>
            </w:pPr>
            <w:r>
              <w:rPr>
                <w:color w:val="231F20"/>
                <w:sz w:val="17"/>
              </w:rPr>
              <w:t>14.9</w:t>
            </w:r>
          </w:p>
        </w:tc>
        <w:tc>
          <w:tcPr>
            <w:tcW w:w="784" w:type="dxa"/>
          </w:tcPr>
          <w:p>
            <w:pPr>
              <w:pStyle w:val="TableParagraph"/>
              <w:ind w:left="257" w:right="203"/>
              <w:rPr>
                <w:sz w:val="17"/>
              </w:rPr>
            </w:pPr>
            <w:r>
              <w:rPr>
                <w:color w:val="231F20"/>
                <w:sz w:val="17"/>
              </w:rPr>
              <w:t>100</w:t>
            </w:r>
          </w:p>
        </w:tc>
        <w:tc>
          <w:tcPr>
            <w:tcW w:w="791" w:type="dxa"/>
          </w:tcPr>
          <w:p>
            <w:pPr>
              <w:pStyle w:val="TableParagraph"/>
              <w:ind w:left="201" w:right="216"/>
              <w:rPr>
                <w:sz w:val="17"/>
              </w:rPr>
            </w:pPr>
            <w:r>
              <w:rPr>
                <w:color w:val="231F20"/>
                <w:w w:val="105"/>
                <w:sz w:val="17"/>
              </w:rPr>
              <w:t>10.0</w:t>
            </w:r>
          </w:p>
        </w:tc>
        <w:tc>
          <w:tcPr>
            <w:tcW w:w="875" w:type="dxa"/>
          </w:tcPr>
          <w:p>
            <w:pPr>
              <w:pStyle w:val="TableParagraph"/>
              <w:ind w:left="237"/>
              <w:jc w:val="left"/>
              <w:rPr>
                <w:sz w:val="17"/>
              </w:rPr>
            </w:pPr>
            <w:r>
              <w:rPr>
                <w:color w:val="231F20"/>
                <w:w w:val="105"/>
                <w:sz w:val="17"/>
              </w:rPr>
              <w:t>65.1</w:t>
            </w:r>
          </w:p>
        </w:tc>
        <w:tc>
          <w:tcPr>
            <w:tcW w:w="953" w:type="dxa"/>
          </w:tcPr>
          <w:p>
            <w:pPr>
              <w:pStyle w:val="TableParagraph"/>
              <w:ind w:right="313"/>
              <w:jc w:val="right"/>
              <w:rPr>
                <w:sz w:val="17"/>
              </w:rPr>
            </w:pPr>
            <w:r>
              <w:rPr>
                <w:color w:val="231F20"/>
                <w:w w:val="105"/>
                <w:sz w:val="17"/>
              </w:rPr>
              <w:t>5.3</w:t>
            </w:r>
          </w:p>
        </w:tc>
        <w:tc>
          <w:tcPr>
            <w:tcW w:w="959" w:type="dxa"/>
          </w:tcPr>
          <w:p>
            <w:pPr>
              <w:pStyle w:val="TableParagraph"/>
              <w:ind w:left="315"/>
              <w:jc w:val="left"/>
              <w:rPr>
                <w:sz w:val="17"/>
              </w:rPr>
            </w:pPr>
            <w:r>
              <w:rPr>
                <w:color w:val="231F20"/>
                <w:w w:val="105"/>
                <w:sz w:val="17"/>
              </w:rPr>
              <w:t>19.7</w:t>
            </w:r>
          </w:p>
        </w:tc>
        <w:tc>
          <w:tcPr>
            <w:tcW w:w="879" w:type="dxa"/>
          </w:tcPr>
          <w:p>
            <w:pPr>
              <w:pStyle w:val="TableParagraph"/>
              <w:ind w:left="310"/>
              <w:jc w:val="left"/>
              <w:rPr>
                <w:sz w:val="17"/>
              </w:rPr>
            </w:pPr>
            <w:r>
              <w:rPr>
                <w:color w:val="231F20"/>
                <w:sz w:val="17"/>
              </w:rPr>
              <w:t>100</w:t>
            </w:r>
          </w:p>
        </w:tc>
      </w:tr>
      <w:tr>
        <w:trPr>
          <w:trHeight w:val="210" w:hRule="exact"/>
        </w:trPr>
        <w:tc>
          <w:tcPr>
            <w:tcW w:w="1631" w:type="dxa"/>
          </w:tcPr>
          <w:p>
            <w:pPr>
              <w:pStyle w:val="TableParagraph"/>
              <w:ind w:left="35"/>
              <w:jc w:val="left"/>
              <w:rPr>
                <w:sz w:val="17"/>
              </w:rPr>
            </w:pPr>
            <w:r>
              <w:rPr>
                <w:color w:val="231F20"/>
                <w:w w:val="110"/>
                <w:sz w:val="17"/>
              </w:rPr>
              <w:t>Quintana Roo</w:t>
            </w:r>
          </w:p>
        </w:tc>
        <w:tc>
          <w:tcPr>
            <w:tcW w:w="901" w:type="dxa"/>
          </w:tcPr>
          <w:p>
            <w:pPr>
              <w:pStyle w:val="TableParagraph"/>
              <w:ind w:right="282"/>
              <w:jc w:val="right"/>
              <w:rPr>
                <w:sz w:val="17"/>
              </w:rPr>
            </w:pPr>
            <w:r>
              <w:rPr>
                <w:color w:val="231F20"/>
                <w:w w:val="105"/>
                <w:sz w:val="17"/>
              </w:rPr>
              <w:t>3.3</w:t>
            </w:r>
          </w:p>
        </w:tc>
        <w:tc>
          <w:tcPr>
            <w:tcW w:w="936" w:type="dxa"/>
          </w:tcPr>
          <w:p>
            <w:pPr>
              <w:pStyle w:val="TableParagraph"/>
              <w:ind w:left="284"/>
              <w:jc w:val="left"/>
              <w:rPr>
                <w:sz w:val="17"/>
              </w:rPr>
            </w:pPr>
            <w:r>
              <w:rPr>
                <w:color w:val="231F20"/>
                <w:w w:val="105"/>
                <w:sz w:val="17"/>
              </w:rPr>
              <w:t>72.8</w:t>
            </w:r>
          </w:p>
        </w:tc>
        <w:tc>
          <w:tcPr>
            <w:tcW w:w="972" w:type="dxa"/>
          </w:tcPr>
          <w:p>
            <w:pPr>
              <w:pStyle w:val="TableParagraph"/>
              <w:ind w:left="299" w:right="205"/>
              <w:rPr>
                <w:sz w:val="17"/>
              </w:rPr>
            </w:pPr>
            <w:r>
              <w:rPr>
                <w:color w:val="231F20"/>
                <w:w w:val="105"/>
                <w:sz w:val="17"/>
              </w:rPr>
              <w:t>7.7</w:t>
            </w:r>
          </w:p>
        </w:tc>
        <w:tc>
          <w:tcPr>
            <w:tcW w:w="929" w:type="dxa"/>
          </w:tcPr>
          <w:p>
            <w:pPr>
              <w:pStyle w:val="TableParagraph"/>
              <w:ind w:right="273"/>
              <w:jc w:val="right"/>
              <w:rPr>
                <w:sz w:val="17"/>
              </w:rPr>
            </w:pPr>
            <w:r>
              <w:rPr>
                <w:color w:val="231F20"/>
                <w:sz w:val="17"/>
              </w:rPr>
              <w:t>16.1</w:t>
            </w:r>
          </w:p>
        </w:tc>
        <w:tc>
          <w:tcPr>
            <w:tcW w:w="784" w:type="dxa"/>
          </w:tcPr>
          <w:p>
            <w:pPr>
              <w:pStyle w:val="TableParagraph"/>
              <w:ind w:left="257" w:right="203"/>
              <w:rPr>
                <w:sz w:val="17"/>
              </w:rPr>
            </w:pPr>
            <w:r>
              <w:rPr>
                <w:color w:val="231F20"/>
                <w:sz w:val="17"/>
              </w:rPr>
              <w:t>100</w:t>
            </w:r>
          </w:p>
        </w:tc>
        <w:tc>
          <w:tcPr>
            <w:tcW w:w="791" w:type="dxa"/>
          </w:tcPr>
          <w:p>
            <w:pPr>
              <w:pStyle w:val="TableParagraph"/>
              <w:ind w:left="201" w:right="123"/>
              <w:rPr>
                <w:sz w:val="17"/>
              </w:rPr>
            </w:pPr>
            <w:r>
              <w:rPr>
                <w:color w:val="231F20"/>
                <w:w w:val="105"/>
                <w:sz w:val="17"/>
              </w:rPr>
              <w:t>6.8</w:t>
            </w:r>
          </w:p>
        </w:tc>
        <w:tc>
          <w:tcPr>
            <w:tcW w:w="875" w:type="dxa"/>
          </w:tcPr>
          <w:p>
            <w:pPr>
              <w:pStyle w:val="TableParagraph"/>
              <w:ind w:left="237"/>
              <w:jc w:val="left"/>
              <w:rPr>
                <w:sz w:val="17"/>
              </w:rPr>
            </w:pPr>
            <w:r>
              <w:rPr>
                <w:color w:val="231F20"/>
                <w:w w:val="105"/>
                <w:sz w:val="17"/>
              </w:rPr>
              <w:t>56.1</w:t>
            </w:r>
          </w:p>
        </w:tc>
        <w:tc>
          <w:tcPr>
            <w:tcW w:w="953" w:type="dxa"/>
          </w:tcPr>
          <w:p>
            <w:pPr>
              <w:pStyle w:val="TableParagraph"/>
              <w:ind w:right="313"/>
              <w:jc w:val="right"/>
              <w:rPr>
                <w:sz w:val="17"/>
              </w:rPr>
            </w:pPr>
            <w:r>
              <w:rPr>
                <w:color w:val="231F20"/>
                <w:sz w:val="17"/>
              </w:rPr>
              <w:t>12.7</w:t>
            </w:r>
          </w:p>
        </w:tc>
        <w:tc>
          <w:tcPr>
            <w:tcW w:w="959" w:type="dxa"/>
          </w:tcPr>
          <w:p>
            <w:pPr>
              <w:pStyle w:val="TableParagraph"/>
              <w:ind w:left="315"/>
              <w:jc w:val="left"/>
              <w:rPr>
                <w:sz w:val="17"/>
              </w:rPr>
            </w:pPr>
            <w:r>
              <w:rPr>
                <w:color w:val="231F20"/>
                <w:w w:val="105"/>
                <w:sz w:val="17"/>
              </w:rPr>
              <w:t>24.3</w:t>
            </w:r>
          </w:p>
        </w:tc>
        <w:tc>
          <w:tcPr>
            <w:tcW w:w="879" w:type="dxa"/>
          </w:tcPr>
          <w:p>
            <w:pPr>
              <w:pStyle w:val="TableParagraph"/>
              <w:ind w:left="310"/>
              <w:jc w:val="left"/>
              <w:rPr>
                <w:sz w:val="17"/>
              </w:rPr>
            </w:pPr>
            <w:r>
              <w:rPr>
                <w:color w:val="231F20"/>
                <w:sz w:val="17"/>
              </w:rPr>
              <w:t>100</w:t>
            </w:r>
          </w:p>
        </w:tc>
      </w:tr>
      <w:tr>
        <w:trPr>
          <w:trHeight w:val="210" w:hRule="exact"/>
        </w:trPr>
        <w:tc>
          <w:tcPr>
            <w:tcW w:w="1631" w:type="dxa"/>
          </w:tcPr>
          <w:p>
            <w:pPr>
              <w:pStyle w:val="TableParagraph"/>
              <w:ind w:left="35"/>
              <w:jc w:val="left"/>
              <w:rPr>
                <w:sz w:val="17"/>
              </w:rPr>
            </w:pPr>
            <w:r>
              <w:rPr>
                <w:color w:val="231F20"/>
                <w:w w:val="110"/>
                <w:sz w:val="17"/>
              </w:rPr>
              <w:t>San Luis Potosí</w:t>
            </w:r>
          </w:p>
        </w:tc>
        <w:tc>
          <w:tcPr>
            <w:tcW w:w="901" w:type="dxa"/>
          </w:tcPr>
          <w:p>
            <w:pPr>
              <w:pStyle w:val="TableParagraph"/>
              <w:ind w:right="282"/>
              <w:jc w:val="right"/>
              <w:rPr>
                <w:sz w:val="17"/>
              </w:rPr>
            </w:pPr>
            <w:r>
              <w:rPr>
                <w:color w:val="231F20"/>
                <w:w w:val="105"/>
                <w:sz w:val="17"/>
              </w:rPr>
              <w:t>7.2</w:t>
            </w:r>
          </w:p>
        </w:tc>
        <w:tc>
          <w:tcPr>
            <w:tcW w:w="936" w:type="dxa"/>
          </w:tcPr>
          <w:p>
            <w:pPr>
              <w:pStyle w:val="TableParagraph"/>
              <w:ind w:left="284"/>
              <w:jc w:val="left"/>
              <w:rPr>
                <w:sz w:val="17"/>
              </w:rPr>
            </w:pPr>
            <w:r>
              <w:rPr>
                <w:color w:val="231F20"/>
                <w:w w:val="105"/>
                <w:sz w:val="17"/>
              </w:rPr>
              <w:t>73.7</w:t>
            </w:r>
          </w:p>
        </w:tc>
        <w:tc>
          <w:tcPr>
            <w:tcW w:w="972" w:type="dxa"/>
          </w:tcPr>
          <w:p>
            <w:pPr>
              <w:pStyle w:val="TableParagraph"/>
              <w:ind w:left="299" w:right="205"/>
              <w:rPr>
                <w:sz w:val="17"/>
              </w:rPr>
            </w:pPr>
            <w:r>
              <w:rPr>
                <w:color w:val="231F20"/>
                <w:w w:val="105"/>
                <w:sz w:val="17"/>
              </w:rPr>
              <w:t>5.8</w:t>
            </w:r>
          </w:p>
        </w:tc>
        <w:tc>
          <w:tcPr>
            <w:tcW w:w="929" w:type="dxa"/>
          </w:tcPr>
          <w:p>
            <w:pPr>
              <w:pStyle w:val="TableParagraph"/>
              <w:ind w:right="273"/>
              <w:jc w:val="right"/>
              <w:rPr>
                <w:sz w:val="17"/>
              </w:rPr>
            </w:pPr>
            <w:r>
              <w:rPr>
                <w:color w:val="231F20"/>
                <w:sz w:val="17"/>
              </w:rPr>
              <w:t>13.4</w:t>
            </w:r>
          </w:p>
        </w:tc>
        <w:tc>
          <w:tcPr>
            <w:tcW w:w="784" w:type="dxa"/>
          </w:tcPr>
          <w:p>
            <w:pPr>
              <w:pStyle w:val="TableParagraph"/>
              <w:ind w:left="257" w:right="203"/>
              <w:rPr>
                <w:sz w:val="17"/>
              </w:rPr>
            </w:pPr>
            <w:r>
              <w:rPr>
                <w:color w:val="231F20"/>
                <w:sz w:val="17"/>
              </w:rPr>
              <w:t>100</w:t>
            </w:r>
          </w:p>
        </w:tc>
        <w:tc>
          <w:tcPr>
            <w:tcW w:w="791" w:type="dxa"/>
          </w:tcPr>
          <w:p>
            <w:pPr>
              <w:pStyle w:val="TableParagraph"/>
              <w:ind w:left="201" w:right="123"/>
              <w:rPr>
                <w:sz w:val="17"/>
              </w:rPr>
            </w:pPr>
            <w:r>
              <w:rPr>
                <w:color w:val="231F20"/>
                <w:w w:val="105"/>
                <w:sz w:val="17"/>
              </w:rPr>
              <w:t>9.3</w:t>
            </w:r>
          </w:p>
        </w:tc>
        <w:tc>
          <w:tcPr>
            <w:tcW w:w="875" w:type="dxa"/>
          </w:tcPr>
          <w:p>
            <w:pPr>
              <w:pStyle w:val="TableParagraph"/>
              <w:ind w:left="237"/>
              <w:jc w:val="left"/>
              <w:rPr>
                <w:sz w:val="17"/>
              </w:rPr>
            </w:pPr>
            <w:r>
              <w:rPr>
                <w:color w:val="231F20"/>
                <w:w w:val="105"/>
                <w:sz w:val="17"/>
              </w:rPr>
              <w:t>66.3</w:t>
            </w:r>
          </w:p>
        </w:tc>
        <w:tc>
          <w:tcPr>
            <w:tcW w:w="953" w:type="dxa"/>
          </w:tcPr>
          <w:p>
            <w:pPr>
              <w:pStyle w:val="TableParagraph"/>
              <w:ind w:right="313"/>
              <w:jc w:val="right"/>
              <w:rPr>
                <w:sz w:val="17"/>
              </w:rPr>
            </w:pPr>
            <w:r>
              <w:rPr>
                <w:color w:val="231F20"/>
                <w:w w:val="105"/>
                <w:sz w:val="17"/>
              </w:rPr>
              <w:t>6.6</w:t>
            </w:r>
          </w:p>
        </w:tc>
        <w:tc>
          <w:tcPr>
            <w:tcW w:w="959" w:type="dxa"/>
          </w:tcPr>
          <w:p>
            <w:pPr>
              <w:pStyle w:val="TableParagraph"/>
              <w:ind w:left="315"/>
              <w:jc w:val="left"/>
              <w:rPr>
                <w:sz w:val="17"/>
              </w:rPr>
            </w:pPr>
            <w:r>
              <w:rPr>
                <w:color w:val="231F20"/>
                <w:w w:val="105"/>
                <w:sz w:val="17"/>
              </w:rPr>
              <w:t>17.7</w:t>
            </w:r>
          </w:p>
        </w:tc>
        <w:tc>
          <w:tcPr>
            <w:tcW w:w="879" w:type="dxa"/>
          </w:tcPr>
          <w:p>
            <w:pPr>
              <w:pStyle w:val="TableParagraph"/>
              <w:ind w:left="310"/>
              <w:jc w:val="left"/>
              <w:rPr>
                <w:sz w:val="17"/>
              </w:rPr>
            </w:pPr>
            <w:r>
              <w:rPr>
                <w:color w:val="231F20"/>
                <w:sz w:val="17"/>
              </w:rPr>
              <w:t>100</w:t>
            </w:r>
          </w:p>
        </w:tc>
      </w:tr>
      <w:tr>
        <w:trPr>
          <w:trHeight w:val="210" w:hRule="exact"/>
        </w:trPr>
        <w:tc>
          <w:tcPr>
            <w:tcW w:w="1631" w:type="dxa"/>
          </w:tcPr>
          <w:p>
            <w:pPr>
              <w:pStyle w:val="TableParagraph"/>
              <w:ind w:left="35"/>
              <w:jc w:val="left"/>
              <w:rPr>
                <w:sz w:val="17"/>
              </w:rPr>
            </w:pPr>
            <w:r>
              <w:rPr>
                <w:color w:val="231F20"/>
                <w:w w:val="110"/>
                <w:sz w:val="17"/>
              </w:rPr>
              <w:t>Sinaloa</w:t>
            </w:r>
          </w:p>
        </w:tc>
        <w:tc>
          <w:tcPr>
            <w:tcW w:w="901" w:type="dxa"/>
          </w:tcPr>
          <w:p>
            <w:pPr>
              <w:pStyle w:val="TableParagraph"/>
              <w:ind w:right="282"/>
              <w:jc w:val="right"/>
              <w:rPr>
                <w:sz w:val="17"/>
              </w:rPr>
            </w:pPr>
            <w:r>
              <w:rPr>
                <w:color w:val="231F20"/>
                <w:w w:val="105"/>
                <w:sz w:val="17"/>
              </w:rPr>
              <w:t>5.6</w:t>
            </w:r>
          </w:p>
        </w:tc>
        <w:tc>
          <w:tcPr>
            <w:tcW w:w="936" w:type="dxa"/>
          </w:tcPr>
          <w:p>
            <w:pPr>
              <w:pStyle w:val="TableParagraph"/>
              <w:ind w:left="284"/>
              <w:jc w:val="left"/>
              <w:rPr>
                <w:sz w:val="17"/>
              </w:rPr>
            </w:pPr>
            <w:r>
              <w:rPr>
                <w:color w:val="231F20"/>
                <w:w w:val="105"/>
                <w:sz w:val="17"/>
              </w:rPr>
              <w:t>66.0</w:t>
            </w:r>
          </w:p>
        </w:tc>
        <w:tc>
          <w:tcPr>
            <w:tcW w:w="972" w:type="dxa"/>
          </w:tcPr>
          <w:p>
            <w:pPr>
              <w:pStyle w:val="TableParagraph"/>
              <w:ind w:left="298" w:right="299"/>
              <w:rPr>
                <w:sz w:val="17"/>
              </w:rPr>
            </w:pPr>
            <w:r>
              <w:rPr>
                <w:color w:val="231F20"/>
                <w:w w:val="105"/>
                <w:sz w:val="17"/>
              </w:rPr>
              <w:t>13.0</w:t>
            </w:r>
          </w:p>
        </w:tc>
        <w:tc>
          <w:tcPr>
            <w:tcW w:w="929" w:type="dxa"/>
          </w:tcPr>
          <w:p>
            <w:pPr>
              <w:pStyle w:val="TableParagraph"/>
              <w:ind w:right="273"/>
              <w:jc w:val="right"/>
              <w:rPr>
                <w:sz w:val="17"/>
              </w:rPr>
            </w:pPr>
            <w:r>
              <w:rPr>
                <w:color w:val="231F20"/>
                <w:sz w:val="17"/>
              </w:rPr>
              <w:t>15.3</w:t>
            </w:r>
          </w:p>
        </w:tc>
        <w:tc>
          <w:tcPr>
            <w:tcW w:w="784" w:type="dxa"/>
          </w:tcPr>
          <w:p>
            <w:pPr>
              <w:pStyle w:val="TableParagraph"/>
              <w:ind w:left="257" w:right="203"/>
              <w:rPr>
                <w:sz w:val="17"/>
              </w:rPr>
            </w:pPr>
            <w:r>
              <w:rPr>
                <w:color w:val="231F20"/>
                <w:sz w:val="17"/>
              </w:rPr>
              <w:t>100</w:t>
            </w:r>
          </w:p>
        </w:tc>
        <w:tc>
          <w:tcPr>
            <w:tcW w:w="791" w:type="dxa"/>
          </w:tcPr>
          <w:p>
            <w:pPr>
              <w:pStyle w:val="TableParagraph"/>
              <w:ind w:left="201" w:right="123"/>
              <w:rPr>
                <w:sz w:val="17"/>
              </w:rPr>
            </w:pPr>
            <w:r>
              <w:rPr>
                <w:color w:val="231F20"/>
                <w:w w:val="105"/>
                <w:sz w:val="17"/>
              </w:rPr>
              <w:t>7.2</w:t>
            </w:r>
          </w:p>
        </w:tc>
        <w:tc>
          <w:tcPr>
            <w:tcW w:w="875" w:type="dxa"/>
          </w:tcPr>
          <w:p>
            <w:pPr>
              <w:pStyle w:val="TableParagraph"/>
              <w:ind w:left="237"/>
              <w:jc w:val="left"/>
              <w:rPr>
                <w:sz w:val="17"/>
              </w:rPr>
            </w:pPr>
            <w:r>
              <w:rPr>
                <w:color w:val="231F20"/>
                <w:w w:val="105"/>
                <w:sz w:val="17"/>
              </w:rPr>
              <w:t>59.5</w:t>
            </w:r>
          </w:p>
        </w:tc>
        <w:tc>
          <w:tcPr>
            <w:tcW w:w="953" w:type="dxa"/>
          </w:tcPr>
          <w:p>
            <w:pPr>
              <w:pStyle w:val="TableParagraph"/>
              <w:ind w:right="313"/>
              <w:jc w:val="right"/>
              <w:rPr>
                <w:sz w:val="17"/>
              </w:rPr>
            </w:pPr>
            <w:r>
              <w:rPr>
                <w:color w:val="231F20"/>
                <w:sz w:val="17"/>
              </w:rPr>
              <w:t>12.6</w:t>
            </w:r>
          </w:p>
        </w:tc>
        <w:tc>
          <w:tcPr>
            <w:tcW w:w="959" w:type="dxa"/>
          </w:tcPr>
          <w:p>
            <w:pPr>
              <w:pStyle w:val="TableParagraph"/>
              <w:ind w:left="315"/>
              <w:jc w:val="left"/>
              <w:rPr>
                <w:sz w:val="17"/>
              </w:rPr>
            </w:pPr>
            <w:r>
              <w:rPr>
                <w:color w:val="231F20"/>
                <w:w w:val="105"/>
                <w:sz w:val="17"/>
              </w:rPr>
              <w:t>20.6</w:t>
            </w:r>
          </w:p>
        </w:tc>
        <w:tc>
          <w:tcPr>
            <w:tcW w:w="879" w:type="dxa"/>
          </w:tcPr>
          <w:p>
            <w:pPr>
              <w:pStyle w:val="TableParagraph"/>
              <w:ind w:left="310"/>
              <w:jc w:val="left"/>
              <w:rPr>
                <w:sz w:val="17"/>
              </w:rPr>
            </w:pPr>
            <w:r>
              <w:rPr>
                <w:color w:val="231F20"/>
                <w:sz w:val="17"/>
              </w:rPr>
              <w:t>100</w:t>
            </w:r>
          </w:p>
        </w:tc>
      </w:tr>
      <w:tr>
        <w:trPr>
          <w:trHeight w:val="210" w:hRule="exact"/>
        </w:trPr>
        <w:tc>
          <w:tcPr>
            <w:tcW w:w="1631" w:type="dxa"/>
          </w:tcPr>
          <w:p>
            <w:pPr>
              <w:pStyle w:val="TableParagraph"/>
              <w:ind w:left="35"/>
              <w:jc w:val="left"/>
              <w:rPr>
                <w:sz w:val="17"/>
              </w:rPr>
            </w:pPr>
            <w:r>
              <w:rPr>
                <w:color w:val="231F20"/>
                <w:w w:val="110"/>
                <w:sz w:val="17"/>
              </w:rPr>
              <w:t>Sonora</w:t>
            </w:r>
          </w:p>
        </w:tc>
        <w:tc>
          <w:tcPr>
            <w:tcW w:w="901" w:type="dxa"/>
          </w:tcPr>
          <w:p>
            <w:pPr>
              <w:pStyle w:val="TableParagraph"/>
              <w:ind w:right="282"/>
              <w:jc w:val="right"/>
              <w:rPr>
                <w:sz w:val="17"/>
              </w:rPr>
            </w:pPr>
            <w:r>
              <w:rPr>
                <w:color w:val="231F20"/>
                <w:w w:val="105"/>
                <w:sz w:val="17"/>
              </w:rPr>
              <w:t>7.0</w:t>
            </w:r>
          </w:p>
        </w:tc>
        <w:tc>
          <w:tcPr>
            <w:tcW w:w="936" w:type="dxa"/>
          </w:tcPr>
          <w:p>
            <w:pPr>
              <w:pStyle w:val="TableParagraph"/>
              <w:ind w:left="284"/>
              <w:jc w:val="left"/>
              <w:rPr>
                <w:sz w:val="17"/>
              </w:rPr>
            </w:pPr>
            <w:r>
              <w:rPr>
                <w:color w:val="231F20"/>
                <w:w w:val="105"/>
                <w:sz w:val="17"/>
              </w:rPr>
              <w:t>69.6</w:t>
            </w:r>
          </w:p>
        </w:tc>
        <w:tc>
          <w:tcPr>
            <w:tcW w:w="972" w:type="dxa"/>
          </w:tcPr>
          <w:p>
            <w:pPr>
              <w:pStyle w:val="TableParagraph"/>
              <w:ind w:left="299" w:right="205"/>
              <w:rPr>
                <w:sz w:val="17"/>
              </w:rPr>
            </w:pPr>
            <w:r>
              <w:rPr>
                <w:color w:val="231F20"/>
                <w:w w:val="105"/>
                <w:sz w:val="17"/>
              </w:rPr>
              <w:t>7.7</w:t>
            </w:r>
          </w:p>
        </w:tc>
        <w:tc>
          <w:tcPr>
            <w:tcW w:w="929" w:type="dxa"/>
          </w:tcPr>
          <w:p>
            <w:pPr>
              <w:pStyle w:val="TableParagraph"/>
              <w:ind w:right="274"/>
              <w:jc w:val="right"/>
              <w:rPr>
                <w:sz w:val="17"/>
              </w:rPr>
            </w:pPr>
            <w:r>
              <w:rPr>
                <w:color w:val="231F20"/>
                <w:sz w:val="17"/>
              </w:rPr>
              <w:t>15.8</w:t>
            </w:r>
          </w:p>
        </w:tc>
        <w:tc>
          <w:tcPr>
            <w:tcW w:w="784" w:type="dxa"/>
          </w:tcPr>
          <w:p>
            <w:pPr>
              <w:pStyle w:val="TableParagraph"/>
              <w:ind w:left="257" w:right="203"/>
              <w:rPr>
                <w:sz w:val="17"/>
              </w:rPr>
            </w:pPr>
            <w:r>
              <w:rPr>
                <w:color w:val="231F20"/>
                <w:sz w:val="17"/>
              </w:rPr>
              <w:t>100</w:t>
            </w:r>
          </w:p>
        </w:tc>
        <w:tc>
          <w:tcPr>
            <w:tcW w:w="791" w:type="dxa"/>
          </w:tcPr>
          <w:p>
            <w:pPr>
              <w:pStyle w:val="TableParagraph"/>
              <w:ind w:left="201" w:right="122"/>
              <w:rPr>
                <w:sz w:val="17"/>
              </w:rPr>
            </w:pPr>
            <w:r>
              <w:rPr>
                <w:color w:val="231F20"/>
                <w:w w:val="105"/>
                <w:sz w:val="17"/>
              </w:rPr>
              <w:t>8.3</w:t>
            </w:r>
          </w:p>
        </w:tc>
        <w:tc>
          <w:tcPr>
            <w:tcW w:w="875" w:type="dxa"/>
          </w:tcPr>
          <w:p>
            <w:pPr>
              <w:pStyle w:val="TableParagraph"/>
              <w:ind w:left="237"/>
              <w:jc w:val="left"/>
              <w:rPr>
                <w:sz w:val="17"/>
              </w:rPr>
            </w:pPr>
            <w:r>
              <w:rPr>
                <w:color w:val="231F20"/>
                <w:w w:val="105"/>
                <w:sz w:val="17"/>
              </w:rPr>
              <w:t>58.7</w:t>
            </w:r>
          </w:p>
        </w:tc>
        <w:tc>
          <w:tcPr>
            <w:tcW w:w="953" w:type="dxa"/>
          </w:tcPr>
          <w:p>
            <w:pPr>
              <w:pStyle w:val="TableParagraph"/>
              <w:ind w:right="313"/>
              <w:jc w:val="right"/>
              <w:rPr>
                <w:sz w:val="17"/>
              </w:rPr>
            </w:pPr>
            <w:r>
              <w:rPr>
                <w:color w:val="231F20"/>
                <w:sz w:val="17"/>
              </w:rPr>
              <w:t>12.2</w:t>
            </w:r>
          </w:p>
        </w:tc>
        <w:tc>
          <w:tcPr>
            <w:tcW w:w="959" w:type="dxa"/>
          </w:tcPr>
          <w:p>
            <w:pPr>
              <w:pStyle w:val="TableParagraph"/>
              <w:ind w:left="315"/>
              <w:jc w:val="left"/>
              <w:rPr>
                <w:sz w:val="17"/>
              </w:rPr>
            </w:pPr>
            <w:r>
              <w:rPr>
                <w:color w:val="231F20"/>
                <w:w w:val="105"/>
                <w:sz w:val="17"/>
              </w:rPr>
              <w:t>20.9</w:t>
            </w:r>
          </w:p>
        </w:tc>
        <w:tc>
          <w:tcPr>
            <w:tcW w:w="879" w:type="dxa"/>
          </w:tcPr>
          <w:p>
            <w:pPr>
              <w:pStyle w:val="TableParagraph"/>
              <w:ind w:left="310"/>
              <w:jc w:val="left"/>
              <w:rPr>
                <w:sz w:val="17"/>
              </w:rPr>
            </w:pPr>
            <w:r>
              <w:rPr>
                <w:color w:val="231F20"/>
                <w:sz w:val="17"/>
              </w:rPr>
              <w:t>100</w:t>
            </w:r>
          </w:p>
        </w:tc>
      </w:tr>
      <w:tr>
        <w:trPr>
          <w:trHeight w:val="210" w:hRule="exact"/>
        </w:trPr>
        <w:tc>
          <w:tcPr>
            <w:tcW w:w="1631" w:type="dxa"/>
          </w:tcPr>
          <w:p>
            <w:pPr>
              <w:pStyle w:val="TableParagraph"/>
              <w:ind w:left="35"/>
              <w:jc w:val="left"/>
              <w:rPr>
                <w:sz w:val="17"/>
              </w:rPr>
            </w:pPr>
            <w:r>
              <w:rPr>
                <w:color w:val="231F20"/>
                <w:w w:val="110"/>
                <w:sz w:val="17"/>
              </w:rPr>
              <w:t>Tabasco</w:t>
            </w:r>
          </w:p>
        </w:tc>
        <w:tc>
          <w:tcPr>
            <w:tcW w:w="901" w:type="dxa"/>
          </w:tcPr>
          <w:p>
            <w:pPr>
              <w:pStyle w:val="TableParagraph"/>
              <w:ind w:right="282"/>
              <w:jc w:val="right"/>
              <w:rPr>
                <w:sz w:val="17"/>
              </w:rPr>
            </w:pPr>
            <w:r>
              <w:rPr>
                <w:color w:val="231F20"/>
                <w:w w:val="105"/>
                <w:sz w:val="17"/>
              </w:rPr>
              <w:t>3.7</w:t>
            </w:r>
          </w:p>
        </w:tc>
        <w:tc>
          <w:tcPr>
            <w:tcW w:w="936" w:type="dxa"/>
          </w:tcPr>
          <w:p>
            <w:pPr>
              <w:pStyle w:val="TableParagraph"/>
              <w:ind w:left="284"/>
              <w:jc w:val="left"/>
              <w:rPr>
                <w:sz w:val="17"/>
              </w:rPr>
            </w:pPr>
            <w:r>
              <w:rPr>
                <w:color w:val="231F20"/>
                <w:w w:val="105"/>
                <w:sz w:val="17"/>
              </w:rPr>
              <w:t>68.9</w:t>
            </w:r>
          </w:p>
        </w:tc>
        <w:tc>
          <w:tcPr>
            <w:tcW w:w="972" w:type="dxa"/>
          </w:tcPr>
          <w:p>
            <w:pPr>
              <w:pStyle w:val="TableParagraph"/>
              <w:ind w:left="298" w:right="299"/>
              <w:rPr>
                <w:sz w:val="17"/>
              </w:rPr>
            </w:pPr>
            <w:r>
              <w:rPr>
                <w:color w:val="231F20"/>
                <w:w w:val="105"/>
                <w:sz w:val="17"/>
              </w:rPr>
              <w:t>10.3</w:t>
            </w:r>
          </w:p>
        </w:tc>
        <w:tc>
          <w:tcPr>
            <w:tcW w:w="929" w:type="dxa"/>
          </w:tcPr>
          <w:p>
            <w:pPr>
              <w:pStyle w:val="TableParagraph"/>
              <w:ind w:right="272"/>
              <w:jc w:val="right"/>
              <w:rPr>
                <w:sz w:val="17"/>
              </w:rPr>
            </w:pPr>
            <w:r>
              <w:rPr>
                <w:color w:val="231F20"/>
                <w:sz w:val="17"/>
              </w:rPr>
              <w:t>17.1</w:t>
            </w:r>
          </w:p>
        </w:tc>
        <w:tc>
          <w:tcPr>
            <w:tcW w:w="784" w:type="dxa"/>
          </w:tcPr>
          <w:p>
            <w:pPr>
              <w:pStyle w:val="TableParagraph"/>
              <w:ind w:left="257" w:right="203"/>
              <w:rPr>
                <w:sz w:val="17"/>
              </w:rPr>
            </w:pPr>
            <w:r>
              <w:rPr>
                <w:color w:val="231F20"/>
                <w:sz w:val="17"/>
              </w:rPr>
              <w:t>100</w:t>
            </w:r>
          </w:p>
        </w:tc>
        <w:tc>
          <w:tcPr>
            <w:tcW w:w="791" w:type="dxa"/>
          </w:tcPr>
          <w:p>
            <w:pPr>
              <w:pStyle w:val="TableParagraph"/>
              <w:ind w:left="201" w:right="122"/>
              <w:rPr>
                <w:sz w:val="17"/>
              </w:rPr>
            </w:pPr>
            <w:r>
              <w:rPr>
                <w:color w:val="231F20"/>
                <w:w w:val="105"/>
                <w:sz w:val="17"/>
              </w:rPr>
              <w:t>6.0</w:t>
            </w:r>
          </w:p>
        </w:tc>
        <w:tc>
          <w:tcPr>
            <w:tcW w:w="875" w:type="dxa"/>
          </w:tcPr>
          <w:p>
            <w:pPr>
              <w:pStyle w:val="TableParagraph"/>
              <w:ind w:left="237"/>
              <w:jc w:val="left"/>
              <w:rPr>
                <w:sz w:val="17"/>
              </w:rPr>
            </w:pPr>
            <w:r>
              <w:rPr>
                <w:color w:val="231F20"/>
                <w:w w:val="105"/>
                <w:sz w:val="17"/>
              </w:rPr>
              <w:t>58.7</w:t>
            </w:r>
          </w:p>
        </w:tc>
        <w:tc>
          <w:tcPr>
            <w:tcW w:w="953" w:type="dxa"/>
          </w:tcPr>
          <w:p>
            <w:pPr>
              <w:pStyle w:val="TableParagraph"/>
              <w:ind w:right="313"/>
              <w:jc w:val="right"/>
              <w:rPr>
                <w:sz w:val="17"/>
              </w:rPr>
            </w:pPr>
            <w:r>
              <w:rPr>
                <w:color w:val="231F20"/>
                <w:sz w:val="17"/>
              </w:rPr>
              <w:t>10.8</w:t>
            </w:r>
          </w:p>
        </w:tc>
        <w:tc>
          <w:tcPr>
            <w:tcW w:w="959" w:type="dxa"/>
          </w:tcPr>
          <w:p>
            <w:pPr>
              <w:pStyle w:val="TableParagraph"/>
              <w:ind w:left="315"/>
              <w:jc w:val="left"/>
              <w:rPr>
                <w:sz w:val="17"/>
              </w:rPr>
            </w:pPr>
            <w:r>
              <w:rPr>
                <w:color w:val="231F20"/>
                <w:w w:val="105"/>
                <w:sz w:val="17"/>
              </w:rPr>
              <w:t>24.5</w:t>
            </w:r>
          </w:p>
        </w:tc>
        <w:tc>
          <w:tcPr>
            <w:tcW w:w="879" w:type="dxa"/>
          </w:tcPr>
          <w:p>
            <w:pPr>
              <w:pStyle w:val="TableParagraph"/>
              <w:ind w:left="310"/>
              <w:jc w:val="left"/>
              <w:rPr>
                <w:sz w:val="17"/>
              </w:rPr>
            </w:pPr>
            <w:r>
              <w:rPr>
                <w:color w:val="231F20"/>
                <w:sz w:val="17"/>
              </w:rPr>
              <w:t>100</w:t>
            </w:r>
          </w:p>
        </w:tc>
      </w:tr>
      <w:tr>
        <w:trPr>
          <w:trHeight w:val="210" w:hRule="exact"/>
        </w:trPr>
        <w:tc>
          <w:tcPr>
            <w:tcW w:w="1631" w:type="dxa"/>
          </w:tcPr>
          <w:p>
            <w:pPr>
              <w:pStyle w:val="TableParagraph"/>
              <w:ind w:left="35"/>
              <w:jc w:val="left"/>
              <w:rPr>
                <w:sz w:val="17"/>
              </w:rPr>
            </w:pPr>
            <w:r>
              <w:rPr>
                <w:color w:val="231F20"/>
                <w:w w:val="110"/>
                <w:sz w:val="17"/>
              </w:rPr>
              <w:t>Tamaulipas</w:t>
            </w:r>
          </w:p>
        </w:tc>
        <w:tc>
          <w:tcPr>
            <w:tcW w:w="901" w:type="dxa"/>
          </w:tcPr>
          <w:p>
            <w:pPr>
              <w:pStyle w:val="TableParagraph"/>
              <w:ind w:right="282"/>
              <w:jc w:val="right"/>
              <w:rPr>
                <w:sz w:val="17"/>
              </w:rPr>
            </w:pPr>
            <w:r>
              <w:rPr>
                <w:color w:val="231F20"/>
                <w:w w:val="105"/>
                <w:sz w:val="17"/>
              </w:rPr>
              <w:t>7.1</w:t>
            </w:r>
          </w:p>
        </w:tc>
        <w:tc>
          <w:tcPr>
            <w:tcW w:w="936" w:type="dxa"/>
          </w:tcPr>
          <w:p>
            <w:pPr>
              <w:pStyle w:val="TableParagraph"/>
              <w:ind w:left="284"/>
              <w:jc w:val="left"/>
              <w:rPr>
                <w:sz w:val="17"/>
              </w:rPr>
            </w:pPr>
            <w:r>
              <w:rPr>
                <w:color w:val="231F20"/>
                <w:w w:val="105"/>
                <w:sz w:val="17"/>
              </w:rPr>
              <w:t>68.4</w:t>
            </w:r>
          </w:p>
        </w:tc>
        <w:tc>
          <w:tcPr>
            <w:tcW w:w="972" w:type="dxa"/>
          </w:tcPr>
          <w:p>
            <w:pPr>
              <w:pStyle w:val="TableParagraph"/>
              <w:ind w:left="299" w:right="205"/>
              <w:rPr>
                <w:sz w:val="17"/>
              </w:rPr>
            </w:pPr>
            <w:r>
              <w:rPr>
                <w:color w:val="231F20"/>
                <w:w w:val="105"/>
                <w:sz w:val="17"/>
              </w:rPr>
              <w:t>7.4</w:t>
            </w:r>
          </w:p>
        </w:tc>
        <w:tc>
          <w:tcPr>
            <w:tcW w:w="929" w:type="dxa"/>
          </w:tcPr>
          <w:p>
            <w:pPr>
              <w:pStyle w:val="TableParagraph"/>
              <w:ind w:right="272"/>
              <w:jc w:val="right"/>
              <w:rPr>
                <w:sz w:val="17"/>
              </w:rPr>
            </w:pPr>
            <w:r>
              <w:rPr>
                <w:color w:val="231F20"/>
                <w:sz w:val="17"/>
              </w:rPr>
              <w:t>17.2</w:t>
            </w:r>
          </w:p>
        </w:tc>
        <w:tc>
          <w:tcPr>
            <w:tcW w:w="784" w:type="dxa"/>
          </w:tcPr>
          <w:p>
            <w:pPr>
              <w:pStyle w:val="TableParagraph"/>
              <w:ind w:left="257" w:right="203"/>
              <w:rPr>
                <w:sz w:val="17"/>
              </w:rPr>
            </w:pPr>
            <w:r>
              <w:rPr>
                <w:color w:val="231F20"/>
                <w:sz w:val="17"/>
              </w:rPr>
              <w:t>100</w:t>
            </w:r>
          </w:p>
        </w:tc>
        <w:tc>
          <w:tcPr>
            <w:tcW w:w="791" w:type="dxa"/>
          </w:tcPr>
          <w:p>
            <w:pPr>
              <w:pStyle w:val="TableParagraph"/>
              <w:ind w:left="201" w:right="122"/>
              <w:rPr>
                <w:sz w:val="17"/>
              </w:rPr>
            </w:pPr>
            <w:r>
              <w:rPr>
                <w:color w:val="231F20"/>
                <w:w w:val="105"/>
                <w:sz w:val="17"/>
              </w:rPr>
              <w:t>9.0</w:t>
            </w:r>
          </w:p>
        </w:tc>
        <w:tc>
          <w:tcPr>
            <w:tcW w:w="875" w:type="dxa"/>
          </w:tcPr>
          <w:p>
            <w:pPr>
              <w:pStyle w:val="TableParagraph"/>
              <w:ind w:left="237"/>
              <w:jc w:val="left"/>
              <w:rPr>
                <w:sz w:val="17"/>
              </w:rPr>
            </w:pPr>
            <w:r>
              <w:rPr>
                <w:color w:val="231F20"/>
                <w:w w:val="105"/>
                <w:sz w:val="17"/>
              </w:rPr>
              <w:t>59.5</w:t>
            </w:r>
          </w:p>
        </w:tc>
        <w:tc>
          <w:tcPr>
            <w:tcW w:w="953" w:type="dxa"/>
          </w:tcPr>
          <w:p>
            <w:pPr>
              <w:pStyle w:val="TableParagraph"/>
              <w:ind w:right="313"/>
              <w:jc w:val="right"/>
              <w:rPr>
                <w:sz w:val="17"/>
              </w:rPr>
            </w:pPr>
            <w:r>
              <w:rPr>
                <w:color w:val="231F20"/>
                <w:sz w:val="17"/>
              </w:rPr>
              <w:t>10.2</w:t>
            </w:r>
          </w:p>
        </w:tc>
        <w:tc>
          <w:tcPr>
            <w:tcW w:w="959" w:type="dxa"/>
          </w:tcPr>
          <w:p>
            <w:pPr>
              <w:pStyle w:val="TableParagraph"/>
              <w:ind w:left="316"/>
              <w:jc w:val="left"/>
              <w:rPr>
                <w:sz w:val="17"/>
              </w:rPr>
            </w:pPr>
            <w:r>
              <w:rPr>
                <w:color w:val="231F20"/>
                <w:w w:val="105"/>
                <w:sz w:val="17"/>
              </w:rPr>
              <w:t>21.3</w:t>
            </w:r>
          </w:p>
        </w:tc>
        <w:tc>
          <w:tcPr>
            <w:tcW w:w="879" w:type="dxa"/>
          </w:tcPr>
          <w:p>
            <w:pPr>
              <w:pStyle w:val="TableParagraph"/>
              <w:ind w:left="310"/>
              <w:jc w:val="left"/>
              <w:rPr>
                <w:sz w:val="17"/>
              </w:rPr>
            </w:pPr>
            <w:r>
              <w:rPr>
                <w:color w:val="231F20"/>
                <w:sz w:val="17"/>
              </w:rPr>
              <w:t>100</w:t>
            </w:r>
          </w:p>
        </w:tc>
      </w:tr>
      <w:tr>
        <w:trPr>
          <w:trHeight w:val="210" w:hRule="exact"/>
        </w:trPr>
        <w:tc>
          <w:tcPr>
            <w:tcW w:w="1631" w:type="dxa"/>
          </w:tcPr>
          <w:p>
            <w:pPr>
              <w:pStyle w:val="TableParagraph"/>
              <w:ind w:left="35"/>
              <w:jc w:val="left"/>
              <w:rPr>
                <w:sz w:val="17"/>
              </w:rPr>
            </w:pPr>
            <w:r>
              <w:rPr>
                <w:color w:val="231F20"/>
                <w:w w:val="110"/>
                <w:sz w:val="17"/>
              </w:rPr>
              <w:t>Tlaxcala</w:t>
            </w:r>
          </w:p>
        </w:tc>
        <w:tc>
          <w:tcPr>
            <w:tcW w:w="901" w:type="dxa"/>
          </w:tcPr>
          <w:p>
            <w:pPr>
              <w:pStyle w:val="TableParagraph"/>
              <w:ind w:right="282"/>
              <w:jc w:val="right"/>
              <w:rPr>
                <w:sz w:val="17"/>
              </w:rPr>
            </w:pPr>
            <w:r>
              <w:rPr>
                <w:color w:val="231F20"/>
                <w:w w:val="105"/>
                <w:sz w:val="17"/>
              </w:rPr>
              <w:t>4.9</w:t>
            </w:r>
          </w:p>
        </w:tc>
        <w:tc>
          <w:tcPr>
            <w:tcW w:w="936" w:type="dxa"/>
          </w:tcPr>
          <w:p>
            <w:pPr>
              <w:pStyle w:val="TableParagraph"/>
              <w:ind w:left="284"/>
              <w:jc w:val="left"/>
              <w:rPr>
                <w:sz w:val="17"/>
              </w:rPr>
            </w:pPr>
            <w:r>
              <w:rPr>
                <w:color w:val="231F20"/>
                <w:w w:val="105"/>
                <w:sz w:val="17"/>
              </w:rPr>
              <w:t>75.2</w:t>
            </w:r>
          </w:p>
        </w:tc>
        <w:tc>
          <w:tcPr>
            <w:tcW w:w="972" w:type="dxa"/>
          </w:tcPr>
          <w:p>
            <w:pPr>
              <w:pStyle w:val="TableParagraph"/>
              <w:ind w:left="299" w:right="205"/>
              <w:rPr>
                <w:sz w:val="17"/>
              </w:rPr>
            </w:pPr>
            <w:r>
              <w:rPr>
                <w:color w:val="231F20"/>
                <w:w w:val="105"/>
                <w:sz w:val="17"/>
              </w:rPr>
              <w:t>5.3</w:t>
            </w:r>
          </w:p>
        </w:tc>
        <w:tc>
          <w:tcPr>
            <w:tcW w:w="929" w:type="dxa"/>
          </w:tcPr>
          <w:p>
            <w:pPr>
              <w:pStyle w:val="TableParagraph"/>
              <w:ind w:right="272"/>
              <w:jc w:val="right"/>
              <w:rPr>
                <w:sz w:val="17"/>
              </w:rPr>
            </w:pPr>
            <w:r>
              <w:rPr>
                <w:color w:val="231F20"/>
                <w:sz w:val="17"/>
              </w:rPr>
              <w:t>14.5</w:t>
            </w:r>
          </w:p>
        </w:tc>
        <w:tc>
          <w:tcPr>
            <w:tcW w:w="784" w:type="dxa"/>
          </w:tcPr>
          <w:p>
            <w:pPr>
              <w:pStyle w:val="TableParagraph"/>
              <w:ind w:left="257" w:right="203"/>
              <w:rPr>
                <w:sz w:val="17"/>
              </w:rPr>
            </w:pPr>
            <w:r>
              <w:rPr>
                <w:color w:val="231F20"/>
                <w:sz w:val="17"/>
              </w:rPr>
              <w:t>100</w:t>
            </w:r>
          </w:p>
        </w:tc>
        <w:tc>
          <w:tcPr>
            <w:tcW w:w="791" w:type="dxa"/>
          </w:tcPr>
          <w:p>
            <w:pPr>
              <w:pStyle w:val="TableParagraph"/>
              <w:ind w:left="201" w:right="122"/>
              <w:rPr>
                <w:sz w:val="17"/>
              </w:rPr>
            </w:pPr>
            <w:r>
              <w:rPr>
                <w:color w:val="231F20"/>
                <w:w w:val="105"/>
                <w:sz w:val="17"/>
              </w:rPr>
              <w:t>8.5</w:t>
            </w:r>
          </w:p>
        </w:tc>
        <w:tc>
          <w:tcPr>
            <w:tcW w:w="875" w:type="dxa"/>
          </w:tcPr>
          <w:p>
            <w:pPr>
              <w:pStyle w:val="TableParagraph"/>
              <w:ind w:left="237"/>
              <w:jc w:val="left"/>
              <w:rPr>
                <w:sz w:val="17"/>
              </w:rPr>
            </w:pPr>
            <w:r>
              <w:rPr>
                <w:color w:val="231F20"/>
                <w:w w:val="105"/>
                <w:sz w:val="17"/>
              </w:rPr>
              <w:t>61.6</w:t>
            </w:r>
          </w:p>
        </w:tc>
        <w:tc>
          <w:tcPr>
            <w:tcW w:w="953" w:type="dxa"/>
          </w:tcPr>
          <w:p>
            <w:pPr>
              <w:pStyle w:val="TableParagraph"/>
              <w:ind w:right="313"/>
              <w:jc w:val="right"/>
              <w:rPr>
                <w:sz w:val="17"/>
              </w:rPr>
            </w:pPr>
            <w:r>
              <w:rPr>
                <w:color w:val="231F20"/>
                <w:w w:val="105"/>
                <w:sz w:val="17"/>
              </w:rPr>
              <w:t>9.2</w:t>
            </w:r>
          </w:p>
        </w:tc>
        <w:tc>
          <w:tcPr>
            <w:tcW w:w="959" w:type="dxa"/>
          </w:tcPr>
          <w:p>
            <w:pPr>
              <w:pStyle w:val="TableParagraph"/>
              <w:ind w:left="316"/>
              <w:jc w:val="left"/>
              <w:rPr>
                <w:sz w:val="17"/>
              </w:rPr>
            </w:pPr>
            <w:r>
              <w:rPr>
                <w:color w:val="231F20"/>
                <w:w w:val="105"/>
                <w:sz w:val="17"/>
              </w:rPr>
              <w:t>20.6</w:t>
            </w:r>
          </w:p>
        </w:tc>
        <w:tc>
          <w:tcPr>
            <w:tcW w:w="879" w:type="dxa"/>
          </w:tcPr>
          <w:p>
            <w:pPr>
              <w:pStyle w:val="TableParagraph"/>
              <w:ind w:left="310"/>
              <w:jc w:val="left"/>
              <w:rPr>
                <w:sz w:val="17"/>
              </w:rPr>
            </w:pPr>
            <w:r>
              <w:rPr>
                <w:color w:val="231F20"/>
                <w:sz w:val="17"/>
              </w:rPr>
              <w:t>100</w:t>
            </w:r>
          </w:p>
        </w:tc>
      </w:tr>
      <w:tr>
        <w:trPr>
          <w:trHeight w:val="210" w:hRule="exact"/>
        </w:trPr>
        <w:tc>
          <w:tcPr>
            <w:tcW w:w="1631" w:type="dxa"/>
          </w:tcPr>
          <w:p>
            <w:pPr>
              <w:pStyle w:val="TableParagraph"/>
              <w:ind w:left="35"/>
              <w:jc w:val="left"/>
              <w:rPr>
                <w:sz w:val="17"/>
              </w:rPr>
            </w:pPr>
            <w:r>
              <w:rPr>
                <w:color w:val="231F20"/>
                <w:w w:val="110"/>
                <w:sz w:val="17"/>
              </w:rPr>
              <w:t>Veracruz</w:t>
            </w:r>
          </w:p>
        </w:tc>
        <w:tc>
          <w:tcPr>
            <w:tcW w:w="901" w:type="dxa"/>
          </w:tcPr>
          <w:p>
            <w:pPr>
              <w:pStyle w:val="TableParagraph"/>
              <w:ind w:right="282"/>
              <w:jc w:val="right"/>
              <w:rPr>
                <w:sz w:val="17"/>
              </w:rPr>
            </w:pPr>
            <w:r>
              <w:rPr>
                <w:color w:val="231F20"/>
                <w:w w:val="105"/>
                <w:sz w:val="17"/>
              </w:rPr>
              <w:t>7.6</w:t>
            </w:r>
          </w:p>
        </w:tc>
        <w:tc>
          <w:tcPr>
            <w:tcW w:w="936" w:type="dxa"/>
          </w:tcPr>
          <w:p>
            <w:pPr>
              <w:pStyle w:val="TableParagraph"/>
              <w:ind w:left="284"/>
              <w:jc w:val="left"/>
              <w:rPr>
                <w:sz w:val="17"/>
              </w:rPr>
            </w:pPr>
            <w:r>
              <w:rPr>
                <w:color w:val="231F20"/>
                <w:w w:val="105"/>
                <w:sz w:val="17"/>
              </w:rPr>
              <w:t>57.1</w:t>
            </w:r>
          </w:p>
        </w:tc>
        <w:tc>
          <w:tcPr>
            <w:tcW w:w="972" w:type="dxa"/>
          </w:tcPr>
          <w:p>
            <w:pPr>
              <w:pStyle w:val="TableParagraph"/>
              <w:ind w:left="298" w:right="299"/>
              <w:rPr>
                <w:sz w:val="17"/>
              </w:rPr>
            </w:pPr>
            <w:r>
              <w:rPr>
                <w:color w:val="231F20"/>
                <w:w w:val="105"/>
                <w:sz w:val="17"/>
              </w:rPr>
              <w:t>16.2</w:t>
            </w:r>
          </w:p>
        </w:tc>
        <w:tc>
          <w:tcPr>
            <w:tcW w:w="929" w:type="dxa"/>
          </w:tcPr>
          <w:p>
            <w:pPr>
              <w:pStyle w:val="TableParagraph"/>
              <w:ind w:right="272"/>
              <w:jc w:val="right"/>
              <w:rPr>
                <w:sz w:val="17"/>
              </w:rPr>
            </w:pPr>
            <w:r>
              <w:rPr>
                <w:color w:val="231F20"/>
                <w:sz w:val="17"/>
              </w:rPr>
              <w:t>19.0</w:t>
            </w:r>
          </w:p>
        </w:tc>
        <w:tc>
          <w:tcPr>
            <w:tcW w:w="784" w:type="dxa"/>
          </w:tcPr>
          <w:p>
            <w:pPr>
              <w:pStyle w:val="TableParagraph"/>
              <w:ind w:left="257" w:right="203"/>
              <w:rPr>
                <w:sz w:val="17"/>
              </w:rPr>
            </w:pPr>
            <w:r>
              <w:rPr>
                <w:color w:val="231F20"/>
                <w:sz w:val="17"/>
              </w:rPr>
              <w:t>100</w:t>
            </w:r>
          </w:p>
        </w:tc>
        <w:tc>
          <w:tcPr>
            <w:tcW w:w="791" w:type="dxa"/>
          </w:tcPr>
          <w:p>
            <w:pPr>
              <w:pStyle w:val="TableParagraph"/>
              <w:ind w:left="201" w:right="122"/>
              <w:rPr>
                <w:sz w:val="17"/>
              </w:rPr>
            </w:pPr>
            <w:r>
              <w:rPr>
                <w:color w:val="231F20"/>
                <w:w w:val="105"/>
                <w:sz w:val="17"/>
              </w:rPr>
              <w:t>9.5</w:t>
            </w:r>
          </w:p>
        </w:tc>
        <w:tc>
          <w:tcPr>
            <w:tcW w:w="875" w:type="dxa"/>
          </w:tcPr>
          <w:p>
            <w:pPr>
              <w:pStyle w:val="TableParagraph"/>
              <w:ind w:left="237"/>
              <w:jc w:val="left"/>
              <w:rPr>
                <w:sz w:val="17"/>
              </w:rPr>
            </w:pPr>
            <w:r>
              <w:rPr>
                <w:color w:val="231F20"/>
                <w:w w:val="105"/>
                <w:sz w:val="17"/>
              </w:rPr>
              <w:t>54.2</w:t>
            </w:r>
          </w:p>
        </w:tc>
        <w:tc>
          <w:tcPr>
            <w:tcW w:w="953" w:type="dxa"/>
          </w:tcPr>
          <w:p>
            <w:pPr>
              <w:pStyle w:val="TableParagraph"/>
              <w:ind w:right="313"/>
              <w:jc w:val="right"/>
              <w:rPr>
                <w:sz w:val="17"/>
              </w:rPr>
            </w:pPr>
            <w:r>
              <w:rPr>
                <w:color w:val="231F20"/>
                <w:sz w:val="17"/>
              </w:rPr>
              <w:t>14.6</w:t>
            </w:r>
          </w:p>
        </w:tc>
        <w:tc>
          <w:tcPr>
            <w:tcW w:w="959" w:type="dxa"/>
          </w:tcPr>
          <w:p>
            <w:pPr>
              <w:pStyle w:val="TableParagraph"/>
              <w:ind w:left="316"/>
              <w:jc w:val="left"/>
              <w:rPr>
                <w:sz w:val="17"/>
              </w:rPr>
            </w:pPr>
            <w:r>
              <w:rPr>
                <w:color w:val="231F20"/>
                <w:w w:val="105"/>
                <w:sz w:val="17"/>
              </w:rPr>
              <w:t>21.7</w:t>
            </w:r>
          </w:p>
        </w:tc>
        <w:tc>
          <w:tcPr>
            <w:tcW w:w="879" w:type="dxa"/>
          </w:tcPr>
          <w:p>
            <w:pPr>
              <w:pStyle w:val="TableParagraph"/>
              <w:ind w:left="310"/>
              <w:jc w:val="left"/>
              <w:rPr>
                <w:sz w:val="17"/>
              </w:rPr>
            </w:pPr>
            <w:r>
              <w:rPr>
                <w:color w:val="231F20"/>
                <w:sz w:val="17"/>
              </w:rPr>
              <w:t>100</w:t>
            </w:r>
          </w:p>
        </w:tc>
      </w:tr>
      <w:tr>
        <w:trPr>
          <w:trHeight w:val="210" w:hRule="exact"/>
        </w:trPr>
        <w:tc>
          <w:tcPr>
            <w:tcW w:w="1631" w:type="dxa"/>
          </w:tcPr>
          <w:p>
            <w:pPr>
              <w:pStyle w:val="TableParagraph"/>
              <w:ind w:left="35"/>
              <w:jc w:val="left"/>
              <w:rPr>
                <w:sz w:val="17"/>
              </w:rPr>
            </w:pPr>
            <w:r>
              <w:rPr>
                <w:color w:val="231F20"/>
                <w:w w:val="110"/>
                <w:sz w:val="17"/>
              </w:rPr>
              <w:t>Yucatán</w:t>
            </w:r>
          </w:p>
        </w:tc>
        <w:tc>
          <w:tcPr>
            <w:tcW w:w="901" w:type="dxa"/>
          </w:tcPr>
          <w:p>
            <w:pPr>
              <w:pStyle w:val="TableParagraph"/>
              <w:ind w:right="282"/>
              <w:jc w:val="right"/>
              <w:rPr>
                <w:sz w:val="17"/>
              </w:rPr>
            </w:pPr>
            <w:r>
              <w:rPr>
                <w:color w:val="231F20"/>
                <w:w w:val="105"/>
                <w:sz w:val="17"/>
              </w:rPr>
              <w:t>6.1</w:t>
            </w:r>
          </w:p>
        </w:tc>
        <w:tc>
          <w:tcPr>
            <w:tcW w:w="936" w:type="dxa"/>
          </w:tcPr>
          <w:p>
            <w:pPr>
              <w:pStyle w:val="TableParagraph"/>
              <w:ind w:left="284"/>
              <w:jc w:val="left"/>
              <w:rPr>
                <w:sz w:val="17"/>
              </w:rPr>
            </w:pPr>
            <w:r>
              <w:rPr>
                <w:color w:val="231F20"/>
                <w:w w:val="105"/>
                <w:sz w:val="17"/>
              </w:rPr>
              <w:t>77.2</w:t>
            </w:r>
          </w:p>
        </w:tc>
        <w:tc>
          <w:tcPr>
            <w:tcW w:w="972" w:type="dxa"/>
          </w:tcPr>
          <w:p>
            <w:pPr>
              <w:pStyle w:val="TableParagraph"/>
              <w:ind w:left="299" w:right="205"/>
              <w:rPr>
                <w:sz w:val="17"/>
              </w:rPr>
            </w:pPr>
            <w:r>
              <w:rPr>
                <w:color w:val="231F20"/>
                <w:w w:val="105"/>
                <w:sz w:val="17"/>
              </w:rPr>
              <w:t>4.1</w:t>
            </w:r>
          </w:p>
        </w:tc>
        <w:tc>
          <w:tcPr>
            <w:tcW w:w="929" w:type="dxa"/>
          </w:tcPr>
          <w:p>
            <w:pPr>
              <w:pStyle w:val="TableParagraph"/>
              <w:ind w:right="272"/>
              <w:jc w:val="right"/>
              <w:rPr>
                <w:sz w:val="17"/>
              </w:rPr>
            </w:pPr>
            <w:r>
              <w:rPr>
                <w:color w:val="231F20"/>
                <w:sz w:val="17"/>
              </w:rPr>
              <w:t>12.5</w:t>
            </w:r>
          </w:p>
        </w:tc>
        <w:tc>
          <w:tcPr>
            <w:tcW w:w="784" w:type="dxa"/>
          </w:tcPr>
          <w:p>
            <w:pPr>
              <w:pStyle w:val="TableParagraph"/>
              <w:ind w:left="257" w:right="203"/>
              <w:rPr>
                <w:sz w:val="17"/>
              </w:rPr>
            </w:pPr>
            <w:r>
              <w:rPr>
                <w:color w:val="231F20"/>
                <w:sz w:val="17"/>
              </w:rPr>
              <w:t>100</w:t>
            </w:r>
          </w:p>
        </w:tc>
        <w:tc>
          <w:tcPr>
            <w:tcW w:w="791" w:type="dxa"/>
          </w:tcPr>
          <w:p>
            <w:pPr>
              <w:pStyle w:val="TableParagraph"/>
              <w:ind w:left="201" w:right="122"/>
              <w:rPr>
                <w:sz w:val="17"/>
              </w:rPr>
            </w:pPr>
            <w:r>
              <w:rPr>
                <w:color w:val="231F20"/>
                <w:w w:val="105"/>
                <w:sz w:val="17"/>
              </w:rPr>
              <w:t>8.2</w:t>
            </w:r>
          </w:p>
        </w:tc>
        <w:tc>
          <w:tcPr>
            <w:tcW w:w="875" w:type="dxa"/>
          </w:tcPr>
          <w:p>
            <w:pPr>
              <w:pStyle w:val="TableParagraph"/>
              <w:ind w:left="237"/>
              <w:jc w:val="left"/>
              <w:rPr>
                <w:sz w:val="17"/>
              </w:rPr>
            </w:pPr>
            <w:r>
              <w:rPr>
                <w:color w:val="231F20"/>
                <w:w w:val="105"/>
                <w:sz w:val="17"/>
              </w:rPr>
              <w:t>66.6</w:t>
            </w:r>
          </w:p>
        </w:tc>
        <w:tc>
          <w:tcPr>
            <w:tcW w:w="953" w:type="dxa"/>
          </w:tcPr>
          <w:p>
            <w:pPr>
              <w:pStyle w:val="TableParagraph"/>
              <w:ind w:right="313"/>
              <w:jc w:val="right"/>
              <w:rPr>
                <w:sz w:val="17"/>
              </w:rPr>
            </w:pPr>
            <w:r>
              <w:rPr>
                <w:color w:val="231F20"/>
                <w:w w:val="105"/>
                <w:sz w:val="17"/>
              </w:rPr>
              <w:t>6.0</w:t>
            </w:r>
          </w:p>
        </w:tc>
        <w:tc>
          <w:tcPr>
            <w:tcW w:w="959" w:type="dxa"/>
          </w:tcPr>
          <w:p>
            <w:pPr>
              <w:pStyle w:val="TableParagraph"/>
              <w:ind w:left="316"/>
              <w:jc w:val="left"/>
              <w:rPr>
                <w:sz w:val="17"/>
              </w:rPr>
            </w:pPr>
            <w:r>
              <w:rPr>
                <w:color w:val="231F20"/>
                <w:w w:val="105"/>
                <w:sz w:val="17"/>
              </w:rPr>
              <w:t>19.2</w:t>
            </w:r>
          </w:p>
        </w:tc>
        <w:tc>
          <w:tcPr>
            <w:tcW w:w="879" w:type="dxa"/>
          </w:tcPr>
          <w:p>
            <w:pPr>
              <w:pStyle w:val="TableParagraph"/>
              <w:ind w:left="310"/>
              <w:jc w:val="left"/>
              <w:rPr>
                <w:sz w:val="17"/>
              </w:rPr>
            </w:pPr>
            <w:r>
              <w:rPr>
                <w:color w:val="231F20"/>
                <w:sz w:val="17"/>
              </w:rPr>
              <w:t>100</w:t>
            </w:r>
          </w:p>
        </w:tc>
      </w:tr>
      <w:tr>
        <w:trPr>
          <w:trHeight w:val="276" w:hRule="exact"/>
        </w:trPr>
        <w:tc>
          <w:tcPr>
            <w:tcW w:w="1631" w:type="dxa"/>
            <w:tcBorders>
              <w:bottom w:val="single" w:sz="3" w:space="0" w:color="231F20"/>
            </w:tcBorders>
          </w:tcPr>
          <w:p>
            <w:pPr>
              <w:pStyle w:val="TableParagraph"/>
              <w:ind w:left="35"/>
              <w:jc w:val="left"/>
              <w:rPr>
                <w:sz w:val="17"/>
              </w:rPr>
            </w:pPr>
            <w:r>
              <w:rPr>
                <w:color w:val="231F20"/>
                <w:w w:val="110"/>
                <w:sz w:val="17"/>
              </w:rPr>
              <w:t>Zacatecas</w:t>
            </w:r>
          </w:p>
        </w:tc>
        <w:tc>
          <w:tcPr>
            <w:tcW w:w="901" w:type="dxa"/>
            <w:tcBorders>
              <w:bottom w:val="single" w:sz="3" w:space="0" w:color="231F20"/>
            </w:tcBorders>
          </w:tcPr>
          <w:p>
            <w:pPr>
              <w:pStyle w:val="TableParagraph"/>
              <w:ind w:right="282"/>
              <w:jc w:val="right"/>
              <w:rPr>
                <w:sz w:val="17"/>
              </w:rPr>
            </w:pPr>
            <w:r>
              <w:rPr>
                <w:color w:val="231F20"/>
                <w:w w:val="105"/>
                <w:sz w:val="17"/>
              </w:rPr>
              <w:t>6.3</w:t>
            </w:r>
          </w:p>
        </w:tc>
        <w:tc>
          <w:tcPr>
            <w:tcW w:w="936" w:type="dxa"/>
            <w:tcBorders>
              <w:bottom w:val="single" w:sz="3" w:space="0" w:color="231F20"/>
            </w:tcBorders>
          </w:tcPr>
          <w:p>
            <w:pPr>
              <w:pStyle w:val="TableParagraph"/>
              <w:ind w:left="284"/>
              <w:jc w:val="left"/>
              <w:rPr>
                <w:sz w:val="17"/>
              </w:rPr>
            </w:pPr>
            <w:r>
              <w:rPr>
                <w:color w:val="231F20"/>
                <w:w w:val="105"/>
                <w:sz w:val="17"/>
              </w:rPr>
              <w:t>80.6</w:t>
            </w:r>
          </w:p>
        </w:tc>
        <w:tc>
          <w:tcPr>
            <w:tcW w:w="972" w:type="dxa"/>
            <w:tcBorders>
              <w:bottom w:val="single" w:sz="3" w:space="0" w:color="231F20"/>
            </w:tcBorders>
          </w:tcPr>
          <w:p>
            <w:pPr>
              <w:pStyle w:val="TableParagraph"/>
              <w:ind w:left="299" w:right="205"/>
              <w:rPr>
                <w:sz w:val="17"/>
              </w:rPr>
            </w:pPr>
            <w:r>
              <w:rPr>
                <w:color w:val="231F20"/>
                <w:w w:val="105"/>
                <w:sz w:val="17"/>
              </w:rPr>
              <w:t>2.9</w:t>
            </w:r>
          </w:p>
        </w:tc>
        <w:tc>
          <w:tcPr>
            <w:tcW w:w="929" w:type="dxa"/>
            <w:tcBorders>
              <w:bottom w:val="single" w:sz="3" w:space="0" w:color="231F20"/>
            </w:tcBorders>
          </w:tcPr>
          <w:p>
            <w:pPr>
              <w:pStyle w:val="TableParagraph"/>
              <w:ind w:right="272"/>
              <w:jc w:val="right"/>
              <w:rPr>
                <w:sz w:val="17"/>
              </w:rPr>
            </w:pPr>
            <w:r>
              <w:rPr>
                <w:color w:val="231F20"/>
                <w:sz w:val="17"/>
              </w:rPr>
              <w:t>10.2</w:t>
            </w:r>
          </w:p>
        </w:tc>
        <w:tc>
          <w:tcPr>
            <w:tcW w:w="784" w:type="dxa"/>
            <w:tcBorders>
              <w:bottom w:val="single" w:sz="3" w:space="0" w:color="231F20"/>
            </w:tcBorders>
          </w:tcPr>
          <w:p>
            <w:pPr>
              <w:pStyle w:val="TableParagraph"/>
              <w:ind w:left="257" w:right="203"/>
              <w:rPr>
                <w:sz w:val="17"/>
              </w:rPr>
            </w:pPr>
            <w:r>
              <w:rPr>
                <w:color w:val="231F20"/>
                <w:sz w:val="17"/>
              </w:rPr>
              <w:t>100</w:t>
            </w:r>
          </w:p>
        </w:tc>
        <w:tc>
          <w:tcPr>
            <w:tcW w:w="791" w:type="dxa"/>
            <w:tcBorders>
              <w:bottom w:val="single" w:sz="3" w:space="0" w:color="231F20"/>
            </w:tcBorders>
          </w:tcPr>
          <w:p>
            <w:pPr>
              <w:pStyle w:val="TableParagraph"/>
              <w:ind w:left="201" w:right="122"/>
              <w:rPr>
                <w:sz w:val="17"/>
              </w:rPr>
            </w:pPr>
            <w:r>
              <w:rPr>
                <w:color w:val="231F20"/>
                <w:w w:val="105"/>
                <w:sz w:val="17"/>
              </w:rPr>
              <w:t>8.9</w:t>
            </w:r>
          </w:p>
        </w:tc>
        <w:tc>
          <w:tcPr>
            <w:tcW w:w="875" w:type="dxa"/>
            <w:tcBorders>
              <w:bottom w:val="single" w:sz="3" w:space="0" w:color="231F20"/>
            </w:tcBorders>
          </w:tcPr>
          <w:p>
            <w:pPr>
              <w:pStyle w:val="TableParagraph"/>
              <w:ind w:left="237"/>
              <w:jc w:val="left"/>
              <w:rPr>
                <w:sz w:val="17"/>
              </w:rPr>
            </w:pPr>
            <w:r>
              <w:rPr>
                <w:color w:val="231F20"/>
                <w:w w:val="105"/>
                <w:sz w:val="17"/>
              </w:rPr>
              <w:t>70.8</w:t>
            </w:r>
          </w:p>
        </w:tc>
        <w:tc>
          <w:tcPr>
            <w:tcW w:w="953" w:type="dxa"/>
            <w:tcBorders>
              <w:bottom w:val="single" w:sz="3" w:space="0" w:color="231F20"/>
            </w:tcBorders>
          </w:tcPr>
          <w:p>
            <w:pPr>
              <w:pStyle w:val="TableParagraph"/>
              <w:ind w:right="313"/>
              <w:jc w:val="right"/>
              <w:rPr>
                <w:sz w:val="17"/>
              </w:rPr>
            </w:pPr>
            <w:r>
              <w:rPr>
                <w:color w:val="231F20"/>
                <w:w w:val="105"/>
                <w:sz w:val="17"/>
              </w:rPr>
              <w:t>4.8</w:t>
            </w:r>
          </w:p>
        </w:tc>
        <w:tc>
          <w:tcPr>
            <w:tcW w:w="959" w:type="dxa"/>
            <w:tcBorders>
              <w:bottom w:val="single" w:sz="3" w:space="0" w:color="231F20"/>
            </w:tcBorders>
          </w:tcPr>
          <w:p>
            <w:pPr>
              <w:pStyle w:val="TableParagraph"/>
              <w:ind w:left="316"/>
              <w:jc w:val="left"/>
              <w:rPr>
                <w:sz w:val="17"/>
              </w:rPr>
            </w:pPr>
            <w:r>
              <w:rPr>
                <w:color w:val="231F20"/>
                <w:w w:val="105"/>
                <w:sz w:val="17"/>
              </w:rPr>
              <w:t>15.5</w:t>
            </w:r>
          </w:p>
        </w:tc>
        <w:tc>
          <w:tcPr>
            <w:tcW w:w="879" w:type="dxa"/>
            <w:tcBorders>
              <w:bottom w:val="single" w:sz="3" w:space="0" w:color="231F20"/>
            </w:tcBorders>
          </w:tcPr>
          <w:p>
            <w:pPr>
              <w:pStyle w:val="TableParagraph"/>
              <w:ind w:left="310"/>
              <w:jc w:val="left"/>
              <w:rPr>
                <w:sz w:val="17"/>
              </w:rPr>
            </w:pPr>
            <w:r>
              <w:rPr>
                <w:color w:val="231F20"/>
                <w:sz w:val="17"/>
              </w:rPr>
              <w:t>100</w:t>
            </w:r>
          </w:p>
        </w:tc>
      </w:tr>
    </w:tbl>
    <w:p>
      <w:pPr>
        <w:spacing w:before="63"/>
        <w:ind w:left="504" w:right="0" w:firstLine="0"/>
        <w:jc w:val="left"/>
        <w:rPr>
          <w:sz w:val="15"/>
        </w:rPr>
      </w:pPr>
      <w:r>
        <w:rPr>
          <w:color w:val="231F20"/>
          <w:w w:val="110"/>
          <w:sz w:val="15"/>
        </w:rPr>
        <w:t>Fuente: Elaboración propia con datos del Censo de Población y Vivienda de 2010, </w:t>
      </w:r>
      <w:r>
        <w:rPr>
          <w:rFonts w:ascii="Times New Roman" w:hAnsi="Times New Roman"/>
          <w:color w:val="231F20"/>
          <w:w w:val="110"/>
          <w:sz w:val="12"/>
        </w:rPr>
        <w:t>INEGI</w:t>
      </w:r>
      <w:r>
        <w:rPr>
          <w:color w:val="231F20"/>
          <w:w w:val="110"/>
          <w:sz w:val="15"/>
        </w:rPr>
        <w:t>,  2013.</w:t>
      </w:r>
    </w:p>
    <w:p>
      <w:pPr>
        <w:spacing w:after="0"/>
        <w:jc w:val="left"/>
        <w:rPr>
          <w:sz w:val="15"/>
        </w:rPr>
        <w:sectPr>
          <w:footerReference w:type="even" r:id="rId76"/>
          <w:pgSz w:w="12920" w:h="9520" w:orient="landscape"/>
          <w:pgMar w:footer="0" w:header="0" w:top="880" w:bottom="280" w:left="1240" w:right="840"/>
        </w:sectPr>
      </w:pPr>
    </w:p>
    <w:p>
      <w:pPr>
        <w:spacing w:line="290" w:lineRule="auto" w:before="39"/>
        <w:ind w:left="124" w:right="3238" w:firstLine="0"/>
        <w:jc w:val="left"/>
        <w:rPr>
          <w:rFonts w:ascii="Times New Roman" w:hAnsi="Times New Roman"/>
          <w:i/>
          <w:sz w:val="19"/>
        </w:rPr>
      </w:pPr>
      <w:r>
        <w:rPr>
          <w:rFonts w:ascii="Times New Roman" w:hAnsi="Times New Roman"/>
          <w:i/>
          <w:color w:val="231F20"/>
          <w:sz w:val="24"/>
        </w:rPr>
        <w:t>L</w:t>
      </w:r>
      <w:r>
        <w:rPr>
          <w:rFonts w:ascii="Times New Roman" w:hAnsi="Times New Roman"/>
          <w:i/>
          <w:color w:val="231F20"/>
          <w:sz w:val="19"/>
        </w:rPr>
        <w:t>OS CAMBIOS EN LA CONDICIÓN DE UNIÓN </w:t>
      </w:r>
      <w:r>
        <w:rPr>
          <w:rFonts w:ascii="Times New Roman" w:hAnsi="Times New Roman"/>
          <w:i/>
          <w:color w:val="231F20"/>
          <w:sz w:val="19"/>
        </w:rPr>
        <w:t>Y LA FORMACIÓN DE HOGARES</w:t>
      </w:r>
    </w:p>
    <w:p>
      <w:pPr>
        <w:pStyle w:val="BodyText"/>
        <w:spacing w:before="5"/>
        <w:rPr>
          <w:rFonts w:ascii="Times New Roman"/>
          <w:i/>
          <w:sz w:val="25"/>
        </w:rPr>
      </w:pPr>
    </w:p>
    <w:p>
      <w:pPr>
        <w:pStyle w:val="BodyText"/>
        <w:spacing w:line="295" w:lineRule="auto"/>
        <w:ind w:left="124" w:right="114"/>
        <w:jc w:val="both"/>
      </w:pPr>
      <w:r>
        <w:rPr>
          <w:color w:val="231F20"/>
          <w:w w:val="110"/>
        </w:rPr>
        <w:t>Debido</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w w:val="110"/>
        </w:rPr>
        <w:t>reducción</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velocidad</w:t>
      </w:r>
      <w:r>
        <w:rPr>
          <w:color w:val="231F20"/>
          <w:spacing w:val="-9"/>
          <w:w w:val="110"/>
        </w:rPr>
        <w:t> </w:t>
      </w:r>
      <w:r>
        <w:rPr>
          <w:color w:val="231F20"/>
          <w:w w:val="110"/>
        </w:rPr>
        <w:t>del</w:t>
      </w:r>
      <w:r>
        <w:rPr>
          <w:color w:val="231F20"/>
          <w:spacing w:val="-9"/>
          <w:w w:val="110"/>
        </w:rPr>
        <w:t> </w:t>
      </w:r>
      <w:r>
        <w:rPr>
          <w:color w:val="231F20"/>
          <w:w w:val="110"/>
        </w:rPr>
        <w:t>crecimiento</w:t>
      </w:r>
      <w:r>
        <w:rPr>
          <w:color w:val="231F20"/>
          <w:spacing w:val="-9"/>
          <w:w w:val="110"/>
        </w:rPr>
        <w:t> </w:t>
      </w:r>
      <w:r>
        <w:rPr>
          <w:color w:val="231F20"/>
          <w:w w:val="110"/>
        </w:rPr>
        <w:t>poblacional,</w:t>
      </w:r>
      <w:r>
        <w:rPr>
          <w:color w:val="231F20"/>
          <w:spacing w:val="-9"/>
          <w:w w:val="110"/>
        </w:rPr>
        <w:t> </w:t>
      </w:r>
      <w:r>
        <w:rPr>
          <w:color w:val="231F20"/>
          <w:w w:val="110"/>
        </w:rPr>
        <w:t>especial- mente de la fecundidad, así como a los cambios ocurridos en la unión y en los arreglos para “vivir juntos” se ha favorecido la disminución del tamaño del </w:t>
      </w:r>
      <w:r>
        <w:rPr>
          <w:color w:val="231F20"/>
          <w:spacing w:val="-3"/>
          <w:w w:val="110"/>
        </w:rPr>
        <w:t>hogar. </w:t>
      </w:r>
      <w:r>
        <w:rPr>
          <w:color w:val="231F20"/>
          <w:w w:val="110"/>
        </w:rPr>
        <w:t>Si bien por un lado es más común que las personas vivan solas, por otro lado muchas personas comparten la vivienda, lo que no siempre significa que existan lazos fuertes y menos que éstos sean  </w:t>
      </w:r>
      <w:r>
        <w:rPr>
          <w:color w:val="231F20"/>
          <w:spacing w:val="27"/>
          <w:w w:val="110"/>
        </w:rPr>
        <w:t> </w:t>
      </w:r>
      <w:r>
        <w:rPr>
          <w:color w:val="231F20"/>
          <w:w w:val="110"/>
        </w:rPr>
        <w:t>duraderos.</w:t>
      </w:r>
    </w:p>
    <w:p>
      <w:pPr>
        <w:pStyle w:val="BodyText"/>
        <w:spacing w:line="295" w:lineRule="auto"/>
        <w:ind w:left="124" w:right="112" w:firstLine="360"/>
        <w:jc w:val="both"/>
      </w:pPr>
      <w:r>
        <w:rPr>
          <w:color w:val="231F20"/>
          <w:w w:val="110"/>
        </w:rPr>
        <w:t>A continuación se presentan algunas gráficas que dan cuenta de la reducción del tamaño de los hogares censales durante los últimos años. Se hace nuevamente una comparación de acuerdo con sexo del jefe, su grupo de edad y dos momentos históricos diferentes.</w:t>
      </w:r>
    </w:p>
    <w:p>
      <w:pPr>
        <w:pStyle w:val="BodyText"/>
        <w:spacing w:line="295" w:lineRule="auto"/>
        <w:ind w:left="124" w:right="112" w:firstLine="360"/>
        <w:jc w:val="both"/>
      </w:pPr>
      <w:r>
        <w:rPr>
          <w:color w:val="231F20"/>
          <w:w w:val="110"/>
        </w:rPr>
        <w:t>Aunque, en general, el número promedio de miembros por hogares decreció entre 1990 y 2010, algunas pautas se mantuvieron a lo largo del periodo. Así, en cada uno de los años analizados, los hogares cuyo jefe era un hombre de 45 a 59 años fueron los más grandes. Asimismo, los hogares liderados por mujeres se mantuvieron como los más pequeños, con un promedio de miembros similar con independencia de la edad de las jefas (véase gráfica 7).</w:t>
      </w:r>
    </w:p>
    <w:p>
      <w:pPr>
        <w:pStyle w:val="BodyText"/>
        <w:spacing w:line="295" w:lineRule="auto"/>
        <w:ind w:left="124" w:right="111" w:firstLine="360"/>
        <w:jc w:val="both"/>
      </w:pPr>
      <w:r>
        <w:rPr>
          <w:color w:val="231F20"/>
          <w:spacing w:val="3"/>
          <w:w w:val="110"/>
        </w:rPr>
        <w:t>Los </w:t>
      </w:r>
      <w:r>
        <w:rPr>
          <w:color w:val="231F20"/>
          <w:spacing w:val="4"/>
          <w:w w:val="110"/>
        </w:rPr>
        <w:t>tamaños promedio </w:t>
      </w:r>
      <w:r>
        <w:rPr>
          <w:color w:val="231F20"/>
          <w:spacing w:val="2"/>
          <w:w w:val="110"/>
        </w:rPr>
        <w:t>de </w:t>
      </w:r>
      <w:r>
        <w:rPr>
          <w:color w:val="231F20"/>
          <w:spacing w:val="4"/>
          <w:w w:val="110"/>
        </w:rPr>
        <w:t>hogar </w:t>
      </w:r>
      <w:r>
        <w:rPr>
          <w:color w:val="231F20"/>
          <w:spacing w:val="3"/>
          <w:w w:val="110"/>
        </w:rPr>
        <w:t>son </w:t>
      </w:r>
      <w:r>
        <w:rPr>
          <w:color w:val="231F20"/>
          <w:spacing w:val="4"/>
          <w:w w:val="110"/>
        </w:rPr>
        <w:t>marcadamente diferentes </w:t>
      </w:r>
      <w:r>
        <w:rPr>
          <w:color w:val="231F20"/>
          <w:spacing w:val="2"/>
          <w:w w:val="110"/>
        </w:rPr>
        <w:t>de </w:t>
      </w:r>
      <w:r>
        <w:rPr>
          <w:color w:val="231F20"/>
          <w:w w:val="110"/>
        </w:rPr>
        <w:t>acuerdo</w:t>
      </w:r>
      <w:r>
        <w:rPr>
          <w:color w:val="231F20"/>
          <w:spacing w:val="-4"/>
          <w:w w:val="110"/>
        </w:rPr>
        <w:t> </w:t>
      </w:r>
      <w:r>
        <w:rPr>
          <w:color w:val="231F20"/>
          <w:w w:val="110"/>
        </w:rPr>
        <w:t>con</w:t>
      </w:r>
      <w:r>
        <w:rPr>
          <w:color w:val="231F20"/>
          <w:spacing w:val="-4"/>
          <w:w w:val="110"/>
        </w:rPr>
        <w:t> </w:t>
      </w:r>
      <w:r>
        <w:rPr>
          <w:color w:val="231F20"/>
          <w:w w:val="110"/>
        </w:rPr>
        <w:t>el</w:t>
      </w:r>
      <w:r>
        <w:rPr>
          <w:color w:val="231F20"/>
          <w:spacing w:val="-4"/>
          <w:w w:val="110"/>
        </w:rPr>
        <w:t> </w:t>
      </w:r>
      <w:r>
        <w:rPr>
          <w:color w:val="231F20"/>
          <w:w w:val="110"/>
        </w:rPr>
        <w:t>sexo</w:t>
      </w:r>
      <w:r>
        <w:rPr>
          <w:color w:val="231F20"/>
          <w:spacing w:val="-4"/>
          <w:w w:val="110"/>
        </w:rPr>
        <w:t> </w:t>
      </w:r>
      <w:r>
        <w:rPr>
          <w:color w:val="231F20"/>
          <w:w w:val="110"/>
        </w:rPr>
        <w:t>del</w:t>
      </w:r>
      <w:r>
        <w:rPr>
          <w:color w:val="231F20"/>
          <w:spacing w:val="-4"/>
          <w:w w:val="110"/>
        </w:rPr>
        <w:t> </w:t>
      </w:r>
      <w:r>
        <w:rPr>
          <w:color w:val="231F20"/>
          <w:w w:val="110"/>
        </w:rPr>
        <w:t>jefe</w:t>
      </w:r>
      <w:r>
        <w:rPr>
          <w:color w:val="231F20"/>
          <w:spacing w:val="-4"/>
          <w:w w:val="110"/>
        </w:rPr>
        <w:t> </w:t>
      </w:r>
      <w:r>
        <w:rPr>
          <w:color w:val="231F20"/>
          <w:w w:val="110"/>
        </w:rPr>
        <w:t>pero</w:t>
      </w:r>
      <w:r>
        <w:rPr>
          <w:color w:val="231F20"/>
          <w:spacing w:val="-4"/>
          <w:w w:val="110"/>
        </w:rPr>
        <w:t> </w:t>
      </w:r>
      <w:r>
        <w:rPr>
          <w:color w:val="231F20"/>
          <w:w w:val="110"/>
        </w:rPr>
        <w:t>estas</w:t>
      </w:r>
      <w:r>
        <w:rPr>
          <w:color w:val="231F20"/>
          <w:spacing w:val="-4"/>
          <w:w w:val="110"/>
        </w:rPr>
        <w:t> </w:t>
      </w:r>
      <w:r>
        <w:rPr>
          <w:color w:val="231F20"/>
          <w:w w:val="110"/>
        </w:rPr>
        <w:t>diferencias</w:t>
      </w:r>
      <w:r>
        <w:rPr>
          <w:color w:val="231F20"/>
          <w:spacing w:val="-4"/>
          <w:w w:val="110"/>
        </w:rPr>
        <w:t> </w:t>
      </w:r>
      <w:r>
        <w:rPr>
          <w:color w:val="231F20"/>
          <w:w w:val="110"/>
        </w:rPr>
        <w:t>se</w:t>
      </w:r>
      <w:r>
        <w:rPr>
          <w:color w:val="231F20"/>
          <w:spacing w:val="-4"/>
          <w:w w:val="110"/>
        </w:rPr>
        <w:t> </w:t>
      </w:r>
      <w:r>
        <w:rPr>
          <w:color w:val="231F20"/>
          <w:w w:val="110"/>
        </w:rPr>
        <w:t>acortaron</w:t>
      </w:r>
      <w:r>
        <w:rPr>
          <w:color w:val="231F20"/>
          <w:spacing w:val="-4"/>
          <w:w w:val="110"/>
        </w:rPr>
        <w:t> </w:t>
      </w:r>
      <w:r>
        <w:rPr>
          <w:color w:val="231F20"/>
          <w:w w:val="110"/>
        </w:rPr>
        <w:t>durante</w:t>
      </w:r>
      <w:r>
        <w:rPr>
          <w:color w:val="231F20"/>
          <w:spacing w:val="-4"/>
          <w:w w:val="110"/>
        </w:rPr>
        <w:t> </w:t>
      </w:r>
      <w:r>
        <w:rPr>
          <w:color w:val="231F20"/>
          <w:w w:val="110"/>
        </w:rPr>
        <w:t>los 20 </w:t>
      </w:r>
      <w:r>
        <w:rPr>
          <w:color w:val="231F20"/>
          <w:spacing w:val="-3"/>
          <w:w w:val="110"/>
        </w:rPr>
        <w:t>años </w:t>
      </w:r>
      <w:r>
        <w:rPr>
          <w:color w:val="231F20"/>
          <w:spacing w:val="-4"/>
          <w:w w:val="110"/>
        </w:rPr>
        <w:t>analizados. </w:t>
      </w:r>
      <w:r>
        <w:rPr>
          <w:color w:val="231F20"/>
          <w:w w:val="110"/>
        </w:rPr>
        <w:t>En </w:t>
      </w:r>
      <w:r>
        <w:rPr>
          <w:color w:val="231F20"/>
          <w:spacing w:val="-3"/>
          <w:w w:val="110"/>
        </w:rPr>
        <w:t>los </w:t>
      </w:r>
      <w:r>
        <w:rPr>
          <w:color w:val="231F20"/>
          <w:spacing w:val="-4"/>
          <w:w w:val="110"/>
        </w:rPr>
        <w:t>últimos </w:t>
      </w:r>
      <w:r>
        <w:rPr>
          <w:color w:val="231F20"/>
          <w:spacing w:val="-3"/>
          <w:w w:val="110"/>
        </w:rPr>
        <w:t>años esta </w:t>
      </w:r>
      <w:r>
        <w:rPr>
          <w:color w:val="231F20"/>
          <w:spacing w:val="-4"/>
          <w:w w:val="110"/>
        </w:rPr>
        <w:t>diferencia </w:t>
      </w:r>
      <w:r>
        <w:rPr>
          <w:color w:val="231F20"/>
          <w:w w:val="110"/>
        </w:rPr>
        <w:t>se ha </w:t>
      </w:r>
      <w:r>
        <w:rPr>
          <w:color w:val="231F20"/>
          <w:spacing w:val="-3"/>
          <w:w w:val="110"/>
        </w:rPr>
        <w:t>ido </w:t>
      </w:r>
      <w:r>
        <w:rPr>
          <w:color w:val="231F20"/>
          <w:spacing w:val="-4"/>
          <w:w w:val="110"/>
        </w:rPr>
        <w:t>reduciendo, </w:t>
      </w:r>
      <w:r>
        <w:rPr>
          <w:color w:val="231F20"/>
          <w:w w:val="110"/>
        </w:rPr>
        <w:t>siendo importante señalar que por razones de inequidad de género, en la mayoría de los casos el aumento en la jefatura femenina de hogar está estrechamente asociado a la ausencia de un varón en el hogar. Algunos   de estos casos se deben al aumento en la ruptura de unión por divorcio, separación o viudez. Este mismo hecho favorece una menor fecundidad, ya que al salir las mujeres de unión se considera que su riesgo de concebir es</w:t>
      </w:r>
      <w:r>
        <w:rPr>
          <w:color w:val="231F20"/>
          <w:spacing w:val="-8"/>
          <w:w w:val="110"/>
        </w:rPr>
        <w:t> </w:t>
      </w:r>
      <w:r>
        <w:rPr>
          <w:color w:val="231F20"/>
          <w:spacing w:val="-3"/>
          <w:w w:val="110"/>
        </w:rPr>
        <w:t>menor,</w:t>
      </w:r>
      <w:r>
        <w:rPr>
          <w:color w:val="231F20"/>
          <w:spacing w:val="-8"/>
          <w:w w:val="110"/>
        </w:rPr>
        <w:t> </w:t>
      </w:r>
      <w:r>
        <w:rPr>
          <w:color w:val="231F20"/>
          <w:w w:val="110"/>
        </w:rPr>
        <w:t>aun</w:t>
      </w:r>
      <w:r>
        <w:rPr>
          <w:color w:val="231F20"/>
          <w:spacing w:val="-8"/>
          <w:w w:val="110"/>
        </w:rPr>
        <w:t> </w:t>
      </w:r>
      <w:r>
        <w:rPr>
          <w:color w:val="231F20"/>
          <w:w w:val="110"/>
        </w:rPr>
        <w:t>entre</w:t>
      </w:r>
      <w:r>
        <w:rPr>
          <w:color w:val="231F20"/>
          <w:spacing w:val="-8"/>
          <w:w w:val="110"/>
        </w:rPr>
        <w:t> </w:t>
      </w:r>
      <w:r>
        <w:rPr>
          <w:color w:val="231F20"/>
          <w:w w:val="110"/>
        </w:rPr>
        <w:t>las</w:t>
      </w:r>
      <w:r>
        <w:rPr>
          <w:color w:val="231F20"/>
          <w:spacing w:val="-8"/>
          <w:w w:val="110"/>
        </w:rPr>
        <w:t> </w:t>
      </w:r>
      <w:r>
        <w:rPr>
          <w:color w:val="231F20"/>
          <w:w w:val="110"/>
        </w:rPr>
        <w:t>sexualmente</w:t>
      </w:r>
      <w:r>
        <w:rPr>
          <w:color w:val="231F20"/>
          <w:spacing w:val="-8"/>
          <w:w w:val="110"/>
        </w:rPr>
        <w:t> </w:t>
      </w:r>
      <w:r>
        <w:rPr>
          <w:color w:val="231F20"/>
          <w:w w:val="110"/>
        </w:rPr>
        <w:t>activas</w:t>
      </w:r>
      <w:r>
        <w:rPr>
          <w:color w:val="231F20"/>
          <w:spacing w:val="-8"/>
          <w:w w:val="110"/>
        </w:rPr>
        <w:t> </w:t>
      </w:r>
      <w:r>
        <w:rPr>
          <w:color w:val="231F20"/>
          <w:w w:val="110"/>
        </w:rPr>
        <w:t>pero</w:t>
      </w:r>
      <w:r>
        <w:rPr>
          <w:color w:val="231F20"/>
          <w:spacing w:val="-8"/>
          <w:w w:val="110"/>
        </w:rPr>
        <w:t> </w:t>
      </w:r>
      <w:r>
        <w:rPr>
          <w:color w:val="231F20"/>
          <w:w w:val="110"/>
        </w:rPr>
        <w:t>con</w:t>
      </w:r>
      <w:r>
        <w:rPr>
          <w:color w:val="231F20"/>
          <w:spacing w:val="-8"/>
          <w:w w:val="110"/>
        </w:rPr>
        <w:t> </w:t>
      </w:r>
      <w:r>
        <w:rPr>
          <w:color w:val="231F20"/>
          <w:w w:val="110"/>
        </w:rPr>
        <w:t>prácticas</w:t>
      </w:r>
      <w:r>
        <w:rPr>
          <w:color w:val="231F20"/>
          <w:spacing w:val="-8"/>
          <w:w w:val="110"/>
        </w:rPr>
        <w:t> </w:t>
      </w:r>
      <w:r>
        <w:rPr>
          <w:color w:val="231F20"/>
          <w:w w:val="110"/>
        </w:rPr>
        <w:t>anticoncep- tivas efectivas, por tanto se propicia un menor número de miembros en el </w:t>
      </w:r>
      <w:r>
        <w:rPr>
          <w:color w:val="231F20"/>
          <w:spacing w:val="-3"/>
          <w:w w:val="110"/>
        </w:rPr>
        <w:t>hogar. </w:t>
      </w:r>
      <w:r>
        <w:rPr>
          <w:color w:val="231F20"/>
          <w:w w:val="110"/>
        </w:rPr>
        <w:t>Con independencia del año y de la edad del jefe de </w:t>
      </w:r>
      <w:r>
        <w:rPr>
          <w:color w:val="231F20"/>
          <w:spacing w:val="-3"/>
          <w:w w:val="110"/>
        </w:rPr>
        <w:t>hogar, </w:t>
      </w:r>
      <w:r>
        <w:rPr>
          <w:color w:val="231F20"/>
          <w:w w:val="110"/>
        </w:rPr>
        <w:t>los hoga- res</w:t>
      </w:r>
      <w:r>
        <w:rPr>
          <w:color w:val="231F20"/>
          <w:spacing w:val="-6"/>
          <w:w w:val="110"/>
        </w:rPr>
        <w:t> </w:t>
      </w:r>
      <w:r>
        <w:rPr>
          <w:color w:val="231F20"/>
          <w:w w:val="110"/>
        </w:rPr>
        <w:t>liderados</w:t>
      </w:r>
      <w:r>
        <w:rPr>
          <w:color w:val="231F20"/>
          <w:spacing w:val="-6"/>
          <w:w w:val="110"/>
        </w:rPr>
        <w:t> </w:t>
      </w:r>
      <w:r>
        <w:rPr>
          <w:color w:val="231F20"/>
          <w:w w:val="110"/>
        </w:rPr>
        <w:t>por</w:t>
      </w:r>
      <w:r>
        <w:rPr>
          <w:color w:val="231F20"/>
          <w:spacing w:val="-6"/>
          <w:w w:val="110"/>
        </w:rPr>
        <w:t> </w:t>
      </w:r>
      <w:r>
        <w:rPr>
          <w:color w:val="231F20"/>
          <w:w w:val="110"/>
        </w:rPr>
        <w:t>mujeres</w:t>
      </w:r>
      <w:r>
        <w:rPr>
          <w:color w:val="231F20"/>
          <w:spacing w:val="-6"/>
          <w:w w:val="110"/>
        </w:rPr>
        <w:t> </w:t>
      </w:r>
      <w:r>
        <w:rPr>
          <w:color w:val="231F20"/>
          <w:w w:val="110"/>
        </w:rPr>
        <w:t>son</w:t>
      </w:r>
      <w:r>
        <w:rPr>
          <w:color w:val="231F20"/>
          <w:spacing w:val="-6"/>
          <w:w w:val="110"/>
        </w:rPr>
        <w:t> </w:t>
      </w:r>
      <w:r>
        <w:rPr>
          <w:color w:val="231F20"/>
          <w:w w:val="110"/>
        </w:rPr>
        <w:t>más</w:t>
      </w:r>
      <w:r>
        <w:rPr>
          <w:color w:val="231F20"/>
          <w:spacing w:val="-6"/>
          <w:w w:val="110"/>
        </w:rPr>
        <w:t> </w:t>
      </w:r>
      <w:r>
        <w:rPr>
          <w:color w:val="231F20"/>
          <w:w w:val="110"/>
        </w:rPr>
        <w:t>pequeños</w:t>
      </w:r>
      <w:r>
        <w:rPr>
          <w:color w:val="231F20"/>
          <w:spacing w:val="-6"/>
          <w:w w:val="110"/>
        </w:rPr>
        <w:t> </w:t>
      </w:r>
      <w:r>
        <w:rPr>
          <w:color w:val="231F20"/>
          <w:w w:val="110"/>
        </w:rPr>
        <w:t>que</w:t>
      </w:r>
      <w:r>
        <w:rPr>
          <w:color w:val="231F20"/>
          <w:spacing w:val="-6"/>
          <w:w w:val="110"/>
        </w:rPr>
        <w:t> </w:t>
      </w:r>
      <w:r>
        <w:rPr>
          <w:color w:val="231F20"/>
          <w:w w:val="110"/>
        </w:rPr>
        <w:t>los</w:t>
      </w:r>
      <w:r>
        <w:rPr>
          <w:color w:val="231F20"/>
          <w:spacing w:val="-6"/>
          <w:w w:val="110"/>
        </w:rPr>
        <w:t> </w:t>
      </w:r>
      <w:r>
        <w:rPr>
          <w:color w:val="231F20"/>
          <w:w w:val="110"/>
        </w:rPr>
        <w:t>de</w:t>
      </w:r>
      <w:r>
        <w:rPr>
          <w:color w:val="231F20"/>
          <w:spacing w:val="-6"/>
          <w:w w:val="110"/>
        </w:rPr>
        <w:t> </w:t>
      </w:r>
      <w:r>
        <w:rPr>
          <w:color w:val="231F20"/>
          <w:w w:val="110"/>
        </w:rPr>
        <w:t>jefatura</w:t>
      </w:r>
      <w:r>
        <w:rPr>
          <w:color w:val="231F20"/>
          <w:spacing w:val="-6"/>
          <w:w w:val="110"/>
        </w:rPr>
        <w:t> </w:t>
      </w:r>
      <w:r>
        <w:rPr>
          <w:color w:val="231F20"/>
          <w:w w:val="110"/>
        </w:rPr>
        <w:t>masculina.</w:t>
      </w:r>
    </w:p>
    <w:p>
      <w:pPr>
        <w:spacing w:after="0" w:line="295" w:lineRule="auto"/>
        <w:jc w:val="both"/>
        <w:sectPr>
          <w:footerReference w:type="even" r:id="rId77"/>
          <w:footerReference w:type="default" r:id="rId78"/>
          <w:pgSz w:w="9520" w:h="12920"/>
          <w:pgMar w:footer="1344" w:header="0" w:top="880" w:bottom="1540" w:left="1320" w:right="1000"/>
          <w:pgNumType w:start="88"/>
        </w:sectPr>
      </w:pPr>
    </w:p>
    <w:p>
      <w:pPr>
        <w:spacing w:line="185" w:lineRule="exact" w:before="65"/>
        <w:ind w:left="1389" w:right="1407" w:firstLine="0"/>
        <w:jc w:val="center"/>
        <w:rPr>
          <w:sz w:val="16"/>
        </w:rPr>
      </w:pPr>
      <w:r>
        <w:rPr>
          <w:color w:val="231F20"/>
          <w:w w:val="105"/>
          <w:sz w:val="16"/>
        </w:rPr>
        <w:t>Gráfica 7</w:t>
      </w:r>
    </w:p>
    <w:p>
      <w:pPr>
        <w:spacing w:line="220" w:lineRule="exact" w:before="0"/>
        <w:ind w:left="443" w:right="461" w:firstLine="0"/>
        <w:jc w:val="center"/>
        <w:rPr>
          <w:sz w:val="19"/>
        </w:rPr>
      </w:pPr>
      <w:r>
        <w:rPr>
          <w:color w:val="231F20"/>
          <w:w w:val="90"/>
          <w:sz w:val="19"/>
        </w:rPr>
        <w:t>Tamaño promedio de hogar de acuerdo con la edad y sexo del jefe, 1990, 2000 y 2010</w:t>
      </w:r>
    </w:p>
    <w:p>
      <w:pPr>
        <w:pStyle w:val="BodyText"/>
        <w:spacing w:before="7"/>
        <w:rPr>
          <w:sz w:val="14"/>
        </w:rPr>
      </w:pPr>
    </w:p>
    <w:p>
      <w:pPr>
        <w:spacing w:before="0"/>
        <w:ind w:left="967" w:right="0" w:firstLine="0"/>
        <w:jc w:val="left"/>
        <w:rPr>
          <w:sz w:val="12"/>
        </w:rPr>
      </w:pPr>
      <w:r>
        <w:rPr/>
        <w:pict>
          <v:group style="position:absolute;margin-left:105.849998pt;margin-top:3.892531pt;width:250.75pt;height:159.4pt;mso-position-horizontal-relative:page;mso-position-vertical-relative:paragraph;z-index:2128" coordorigin="2117,78" coordsize="5015,3188">
            <v:shape style="position:absolute;left:2119;top:80;width:3362;height:3183" coordorigin="2119,80" coordsize="3362,3183" path="m2119,2748l2185,2748m2119,2301l2185,2301m2119,1861l2185,1861m2119,1419l2185,1419m2119,969l2185,969m2119,529l2185,529m2119,80l2185,80,2185,3263m3833,3191l3833,3263m5481,3191l5481,3263e" filled="false" stroked="true" strokeweight=".225pt" strokecolor="#231f20">
              <v:path arrowok="t"/>
            </v:shape>
            <v:rect style="position:absolute;left:2426;top:887;width:292;height:2304" filled="true" fillcolor="#808285" stroked="false">
              <v:fill type="solid"/>
            </v:rect>
            <v:shape style="position:absolute;left:2720;top:1218;width:292;height:1973" type="#_x0000_t75" stroked="false">
              <v:imagedata r:id="rId79" o:title=""/>
            </v:shape>
            <v:rect style="position:absolute;left:2720;top:1218;width:292;height:1973" filled="false" stroked="true" strokeweight=".225pt" strokecolor="#231f20"/>
            <v:shape style="position:absolute;left:3013;top:497;width:292;height:2694" type="#_x0000_t75" stroked="false">
              <v:imagedata r:id="rId80" o:title=""/>
            </v:shape>
            <v:rect style="position:absolute;left:3013;top:497;width:292;height:2694" filled="false" stroked="true" strokeweight=".225pt" strokecolor="#231f20"/>
            <v:rect style="position:absolute;left:3308;top:1174;width:292;height:2018" filled="true" fillcolor="#bcbec0" stroked="false">
              <v:fill type="solid"/>
            </v:rect>
            <v:rect style="position:absolute;left:4076;top:1122;width:292;height:2069" filled="true" fillcolor="#808285" stroked="false">
              <v:fill type="solid"/>
            </v:rect>
            <v:shape style="position:absolute;left:4371;top:1395;width:292;height:1797" type="#_x0000_t75" stroked="false">
              <v:imagedata r:id="rId81" o:title=""/>
            </v:shape>
            <v:rect style="position:absolute;left:4371;top:1395;width:292;height:1797" filled="false" stroked="true" strokeweight=".225pt" strokecolor="#231f20"/>
            <v:shape style="position:absolute;left:4663;top:915;width:292;height:2276" type="#_x0000_t75" stroked="false">
              <v:imagedata r:id="rId82" o:title=""/>
            </v:shape>
            <v:rect style="position:absolute;left:4663;top:915;width:292;height:2276" filled="false" stroked="true" strokeweight=".225pt" strokecolor="#231f20"/>
            <v:rect style="position:absolute;left:4958;top:1395;width:292;height:1797" filled="true" fillcolor="#bcbec0" stroked="false">
              <v:fill type="solid"/>
            </v:rect>
            <v:rect style="position:absolute;left:5720;top:1318;width:292;height:1874" filled="true" fillcolor="#808285" stroked="false">
              <v:fill type="solid"/>
            </v:rect>
            <v:shape style="position:absolute;left:6015;top:1588;width:292;height:1603" type="#_x0000_t75" stroked="false">
              <v:imagedata r:id="rId83" o:title=""/>
            </v:shape>
            <v:rect style="position:absolute;left:6015;top:1588;width:292;height:1603" filled="false" stroked="true" strokeweight=".225pt" strokecolor="#231f20"/>
            <v:shape style="position:absolute;left:6308;top:1221;width:292;height:1970" type="#_x0000_t75" stroked="false">
              <v:imagedata r:id="rId84" o:title=""/>
            </v:shape>
            <v:rect style="position:absolute;left:6308;top:1221;width:292;height:1970" filled="false" stroked="true" strokeweight=".225pt" strokecolor="#231f20"/>
            <v:rect style="position:absolute;left:6602;top:1601;width:292;height:1590" filled="true" fillcolor="#bcbec0" stroked="false">
              <v:fill type="solid"/>
            </v:rect>
            <v:shape style="position:absolute;left:2119;top:3191;width:5010;height:72" coordorigin="2119,3191" coordsize="5010,72" path="m2119,3191l7129,3191,7129,3263e" filled="false" stroked="true" strokeweight=".225pt" strokecolor="#231f20">
              <v:path arrowok="t"/>
            </v:shape>
            <w10:wrap type="none"/>
          </v:group>
        </w:pict>
      </w:r>
      <w:r>
        <w:rPr>
          <w:color w:val="231F20"/>
          <w:w w:val="102"/>
          <w:sz w:val="12"/>
        </w:rPr>
        <w:t>7</w:t>
      </w:r>
    </w:p>
    <w:p>
      <w:pPr>
        <w:pStyle w:val="BodyText"/>
        <w:spacing w:before="9"/>
        <w:rPr>
          <w:sz w:val="18"/>
        </w:rPr>
      </w:pPr>
    </w:p>
    <w:p>
      <w:pPr>
        <w:spacing w:before="83"/>
        <w:ind w:left="967" w:right="0" w:firstLine="0"/>
        <w:jc w:val="left"/>
        <w:rPr>
          <w:sz w:val="12"/>
        </w:rPr>
      </w:pPr>
      <w:r>
        <w:rPr>
          <w:color w:val="231F20"/>
          <w:w w:val="102"/>
          <w:sz w:val="12"/>
        </w:rPr>
        <w:t>6</w:t>
      </w:r>
    </w:p>
    <w:p>
      <w:pPr>
        <w:pStyle w:val="BodyText"/>
        <w:spacing w:before="9"/>
        <w:rPr>
          <w:sz w:val="18"/>
        </w:rPr>
      </w:pPr>
    </w:p>
    <w:p>
      <w:pPr>
        <w:spacing w:before="83"/>
        <w:ind w:left="967" w:right="0" w:firstLine="0"/>
        <w:jc w:val="left"/>
        <w:rPr>
          <w:sz w:val="12"/>
        </w:rPr>
      </w:pPr>
      <w:r>
        <w:rPr>
          <w:color w:val="231F20"/>
          <w:w w:val="102"/>
          <w:sz w:val="12"/>
        </w:rPr>
        <w:t>5</w:t>
      </w:r>
    </w:p>
    <w:p>
      <w:pPr>
        <w:pStyle w:val="BodyText"/>
        <w:spacing w:before="9"/>
        <w:rPr>
          <w:sz w:val="18"/>
        </w:rPr>
      </w:pPr>
    </w:p>
    <w:p>
      <w:pPr>
        <w:spacing w:before="83"/>
        <w:ind w:left="967" w:right="0" w:firstLine="0"/>
        <w:jc w:val="left"/>
        <w:rPr>
          <w:sz w:val="12"/>
        </w:rPr>
      </w:pPr>
      <w:r>
        <w:rPr>
          <w:color w:val="231F20"/>
          <w:w w:val="102"/>
          <w:sz w:val="12"/>
        </w:rPr>
        <w:t>4</w:t>
      </w:r>
    </w:p>
    <w:p>
      <w:pPr>
        <w:pStyle w:val="BodyText"/>
        <w:spacing w:before="9"/>
        <w:rPr>
          <w:sz w:val="18"/>
        </w:rPr>
      </w:pPr>
    </w:p>
    <w:p>
      <w:pPr>
        <w:spacing w:before="83"/>
        <w:ind w:left="967" w:right="0" w:firstLine="0"/>
        <w:jc w:val="left"/>
        <w:rPr>
          <w:sz w:val="12"/>
        </w:rPr>
      </w:pPr>
      <w:r>
        <w:rPr>
          <w:color w:val="231F20"/>
          <w:w w:val="102"/>
          <w:sz w:val="12"/>
        </w:rPr>
        <w:t>3</w:t>
      </w:r>
    </w:p>
    <w:p>
      <w:pPr>
        <w:pStyle w:val="BodyText"/>
        <w:spacing w:before="9"/>
        <w:rPr>
          <w:sz w:val="18"/>
        </w:rPr>
      </w:pPr>
    </w:p>
    <w:p>
      <w:pPr>
        <w:spacing w:before="83"/>
        <w:ind w:left="967" w:right="0" w:firstLine="0"/>
        <w:jc w:val="left"/>
        <w:rPr>
          <w:sz w:val="12"/>
        </w:rPr>
      </w:pPr>
      <w:r>
        <w:rPr>
          <w:color w:val="231F20"/>
          <w:w w:val="102"/>
          <w:sz w:val="12"/>
        </w:rPr>
        <w:t>2</w:t>
      </w:r>
    </w:p>
    <w:p>
      <w:pPr>
        <w:pStyle w:val="BodyText"/>
        <w:spacing w:before="9"/>
        <w:rPr>
          <w:sz w:val="18"/>
        </w:rPr>
      </w:pPr>
    </w:p>
    <w:p>
      <w:pPr>
        <w:spacing w:before="83"/>
        <w:ind w:left="967" w:right="0" w:firstLine="0"/>
        <w:jc w:val="left"/>
        <w:rPr>
          <w:sz w:val="12"/>
        </w:rPr>
      </w:pPr>
      <w:r>
        <w:rPr>
          <w:color w:val="231F20"/>
          <w:w w:val="102"/>
          <w:sz w:val="12"/>
        </w:rPr>
        <w:t>1</w:t>
      </w:r>
    </w:p>
    <w:p>
      <w:pPr>
        <w:pStyle w:val="BodyText"/>
        <w:spacing w:before="9"/>
        <w:rPr>
          <w:sz w:val="19"/>
        </w:rPr>
      </w:pPr>
    </w:p>
    <w:p>
      <w:pPr>
        <w:spacing w:after="0"/>
        <w:rPr>
          <w:sz w:val="19"/>
        </w:rPr>
        <w:sectPr>
          <w:pgSz w:w="9520" w:h="12920"/>
          <w:pgMar w:header="0" w:footer="1344" w:top="880" w:bottom="1540" w:left="1020" w:right="1320"/>
        </w:sectPr>
      </w:pPr>
    </w:p>
    <w:p>
      <w:pPr>
        <w:spacing w:before="82"/>
        <w:ind w:left="0" w:right="109" w:firstLine="0"/>
        <w:jc w:val="center"/>
        <w:rPr>
          <w:sz w:val="12"/>
        </w:rPr>
      </w:pPr>
      <w:r>
        <w:rPr>
          <w:color w:val="231F20"/>
          <w:w w:val="102"/>
          <w:sz w:val="12"/>
        </w:rPr>
        <w:t>0</w:t>
      </w:r>
    </w:p>
    <w:p>
      <w:pPr>
        <w:spacing w:before="13"/>
        <w:ind w:left="0" w:right="0" w:firstLine="0"/>
        <w:jc w:val="right"/>
        <w:rPr>
          <w:sz w:val="12"/>
        </w:rPr>
      </w:pPr>
      <w:r>
        <w:rPr>
          <w:color w:val="231F20"/>
          <w:sz w:val="12"/>
        </w:rPr>
        <w:t>1990</w:t>
      </w:r>
    </w:p>
    <w:p>
      <w:pPr>
        <w:pStyle w:val="BodyText"/>
        <w:rPr>
          <w:sz w:val="12"/>
        </w:rPr>
      </w:pPr>
      <w:r>
        <w:rPr/>
        <w:br w:type="column"/>
      </w:r>
      <w:r>
        <w:rPr>
          <w:sz w:val="12"/>
        </w:rPr>
      </w:r>
    </w:p>
    <w:p>
      <w:pPr>
        <w:tabs>
          <w:tab w:pos="2623" w:val="left" w:leader="none"/>
        </w:tabs>
        <w:spacing w:before="95"/>
        <w:ind w:left="967" w:right="0" w:firstLine="0"/>
        <w:jc w:val="left"/>
        <w:rPr>
          <w:sz w:val="12"/>
        </w:rPr>
      </w:pPr>
      <w:r>
        <w:rPr>
          <w:color w:val="231F20"/>
          <w:sz w:val="12"/>
        </w:rPr>
        <w:t>2000</w:t>
        <w:tab/>
        <w:t>2010</w:t>
      </w:r>
    </w:p>
    <w:p>
      <w:pPr>
        <w:spacing w:after="0"/>
        <w:jc w:val="left"/>
        <w:rPr>
          <w:sz w:val="12"/>
        </w:rPr>
        <w:sectPr>
          <w:type w:val="continuous"/>
          <w:pgSz w:w="9520" w:h="12920"/>
          <w:pgMar w:top="0" w:bottom="0" w:left="1020" w:right="1320"/>
          <w:cols w:num="2" w:equalWidth="0">
            <w:col w:w="2116" w:space="416"/>
            <w:col w:w="4648"/>
          </w:cols>
        </w:sectPr>
      </w:pPr>
    </w:p>
    <w:p>
      <w:pPr>
        <w:pStyle w:val="BodyText"/>
        <w:spacing w:before="10"/>
        <w:rPr>
          <w:sz w:val="11"/>
        </w:rPr>
      </w:pPr>
    </w:p>
    <w:p>
      <w:pPr>
        <w:tabs>
          <w:tab w:pos="4427" w:val="left" w:leader="none"/>
        </w:tabs>
        <w:spacing w:before="0"/>
        <w:ind w:left="2736" w:right="0" w:firstLine="0"/>
        <w:jc w:val="left"/>
        <w:rPr>
          <w:sz w:val="12"/>
        </w:rPr>
      </w:pPr>
      <w:r>
        <w:rPr/>
        <w:pict>
          <v:line style="position:absolute;mso-position-horizontal-relative:page;mso-position-vertical-relative:paragraph;z-index:2152" from="179.893005pt,3.838093pt" to="185.773005pt,3.838093pt" stroked="true" strokeweight="4.437pt" strokecolor="#808285">
            <w10:wrap type="none"/>
          </v:line>
        </w:pict>
      </w:r>
      <w:r>
        <w:rPr/>
        <w:pict>
          <v:group style="position:absolute;margin-left:263.111603pt;margin-top:1.494593pt;width:6.15pt;height:4.7pt;mso-position-horizontal-relative:page;mso-position-vertical-relative:paragraph;z-index:-456664" coordorigin="5262,30" coordsize="123,94">
            <v:shape style="position:absolute;left:5265;top:32;width:118;height:89" type="#_x0000_t75" stroked="false">
              <v:imagedata r:id="rId85" o:title=""/>
            </v:shape>
            <v:rect style="position:absolute;left:5265;top:32;width:118;height:89" filled="false" stroked="true" strokeweight=".225pt" strokecolor="#231f20"/>
            <w10:wrap type="none"/>
          </v:group>
        </w:pict>
      </w:r>
      <w:r>
        <w:rPr>
          <w:color w:val="231F20"/>
          <w:w w:val="110"/>
          <w:sz w:val="12"/>
        </w:rPr>
        <w:t>Hombres 25-44</w:t>
        <w:tab/>
        <w:t>Hombres</w:t>
      </w:r>
      <w:r>
        <w:rPr>
          <w:color w:val="231F20"/>
          <w:spacing w:val="-13"/>
          <w:w w:val="110"/>
          <w:sz w:val="12"/>
        </w:rPr>
        <w:t> </w:t>
      </w:r>
      <w:r>
        <w:rPr>
          <w:color w:val="231F20"/>
          <w:w w:val="110"/>
          <w:sz w:val="12"/>
        </w:rPr>
        <w:t>45-59</w:t>
      </w:r>
    </w:p>
    <w:p>
      <w:pPr>
        <w:pStyle w:val="BodyText"/>
        <w:spacing w:before="10"/>
        <w:rPr>
          <w:sz w:val="9"/>
        </w:rPr>
      </w:pPr>
    </w:p>
    <w:p>
      <w:pPr>
        <w:tabs>
          <w:tab w:pos="4427" w:val="left" w:leader="none"/>
        </w:tabs>
        <w:spacing w:before="1"/>
        <w:ind w:left="2736" w:right="0" w:firstLine="0"/>
        <w:jc w:val="left"/>
        <w:rPr>
          <w:sz w:val="12"/>
        </w:rPr>
      </w:pPr>
      <w:r>
        <w:rPr/>
        <w:pict>
          <v:line style="position:absolute;mso-position-horizontal-relative:page;mso-position-vertical-relative:paragraph;z-index:-456712" from="263.237pt,3.701103pt" to="269.117pt,3.701103pt" stroked="true" strokeweight="4.437pt" strokecolor="#bcbec0">
            <w10:wrap type="none"/>
          </v:line>
        </w:pict>
      </w:r>
      <w:r>
        <w:rPr/>
        <w:pict>
          <v:group style="position:absolute;margin-left:179.7686pt;margin-top:1.357403pt;width:6.15pt;height:4.7pt;mso-position-horizontal-relative:page;mso-position-vertical-relative:paragraph;z-index:2200" coordorigin="3595,27" coordsize="123,94">
            <v:shape style="position:absolute;left:3598;top:30;width:118;height:89" type="#_x0000_t75" stroked="false">
              <v:imagedata r:id="rId86" o:title=""/>
            </v:shape>
            <v:rect style="position:absolute;left:3598;top:30;width:118;height:89" filled="false" stroked="true" strokeweight=".225pt" strokecolor="#231f20"/>
            <w10:wrap type="none"/>
          </v:group>
        </w:pict>
      </w:r>
      <w:r>
        <w:rPr>
          <w:color w:val="231F20"/>
          <w:w w:val="105"/>
          <w:sz w:val="12"/>
        </w:rPr>
        <w:t>Mujer</w:t>
      </w:r>
      <w:r>
        <w:rPr>
          <w:color w:val="231F20"/>
          <w:spacing w:val="10"/>
          <w:w w:val="105"/>
          <w:sz w:val="12"/>
        </w:rPr>
        <w:t> </w:t>
      </w:r>
      <w:r>
        <w:rPr>
          <w:color w:val="231F20"/>
          <w:w w:val="105"/>
          <w:sz w:val="12"/>
        </w:rPr>
        <w:t>25-44</w:t>
        <w:tab/>
        <w:t>Mujer</w:t>
      </w:r>
      <w:r>
        <w:rPr>
          <w:color w:val="231F20"/>
          <w:spacing w:val="12"/>
          <w:w w:val="105"/>
          <w:sz w:val="12"/>
        </w:rPr>
        <w:t> </w:t>
      </w:r>
      <w:r>
        <w:rPr>
          <w:color w:val="231F20"/>
          <w:w w:val="105"/>
          <w:sz w:val="12"/>
        </w:rPr>
        <w:t>45-59</w:t>
      </w:r>
    </w:p>
    <w:p>
      <w:pPr>
        <w:pStyle w:val="BodyText"/>
        <w:spacing w:before="2"/>
        <w:rPr>
          <w:sz w:val="9"/>
        </w:rPr>
      </w:pPr>
    </w:p>
    <w:p>
      <w:pPr>
        <w:spacing w:before="0"/>
        <w:ind w:left="460" w:right="0" w:firstLine="0"/>
        <w:jc w:val="left"/>
        <w:rPr>
          <w:sz w:val="15"/>
        </w:rPr>
      </w:pPr>
      <w:r>
        <w:rPr>
          <w:color w:val="231F20"/>
          <w:w w:val="110"/>
          <w:sz w:val="15"/>
        </w:rPr>
        <w:t>Fuente: Elaboración propia con datos del Censo de Población y Vivienda de 2010, </w:t>
      </w:r>
      <w:r>
        <w:rPr>
          <w:rFonts w:ascii="Times New Roman" w:hAnsi="Times New Roman"/>
          <w:color w:val="231F20"/>
          <w:w w:val="110"/>
          <w:sz w:val="12"/>
        </w:rPr>
        <w:t>INEGI</w:t>
      </w:r>
      <w:r>
        <w:rPr>
          <w:color w:val="231F20"/>
          <w:w w:val="110"/>
          <w:sz w:val="15"/>
        </w:rPr>
        <w:t>, 2013.</w:t>
      </w:r>
    </w:p>
    <w:p>
      <w:pPr>
        <w:pStyle w:val="BodyText"/>
        <w:rPr>
          <w:sz w:val="14"/>
        </w:rPr>
      </w:pPr>
    </w:p>
    <w:p>
      <w:pPr>
        <w:pStyle w:val="BodyText"/>
        <w:rPr>
          <w:sz w:val="15"/>
        </w:rPr>
      </w:pPr>
    </w:p>
    <w:p>
      <w:pPr>
        <w:pStyle w:val="BodyText"/>
        <w:spacing w:line="288" w:lineRule="auto"/>
        <w:ind w:left="100" w:right="117" w:firstLine="360"/>
        <w:jc w:val="both"/>
      </w:pPr>
      <w:r>
        <w:rPr>
          <w:color w:val="231F20"/>
          <w:w w:val="110"/>
        </w:rPr>
        <w:t>A</w:t>
      </w:r>
      <w:r>
        <w:rPr>
          <w:color w:val="231F20"/>
          <w:spacing w:val="-9"/>
          <w:w w:val="110"/>
        </w:rPr>
        <w:t> </w:t>
      </w:r>
      <w:r>
        <w:rPr>
          <w:color w:val="231F20"/>
          <w:w w:val="110"/>
        </w:rPr>
        <w:t>nivel</w:t>
      </w:r>
      <w:r>
        <w:rPr>
          <w:color w:val="231F20"/>
          <w:spacing w:val="-9"/>
          <w:w w:val="110"/>
        </w:rPr>
        <w:t> </w:t>
      </w:r>
      <w:r>
        <w:rPr>
          <w:color w:val="231F20"/>
          <w:w w:val="110"/>
        </w:rPr>
        <w:t>de</w:t>
      </w:r>
      <w:r>
        <w:rPr>
          <w:color w:val="231F20"/>
          <w:spacing w:val="-9"/>
          <w:w w:val="110"/>
        </w:rPr>
        <w:t> </w:t>
      </w:r>
      <w:r>
        <w:rPr>
          <w:color w:val="231F20"/>
          <w:w w:val="110"/>
        </w:rPr>
        <w:t>entidad</w:t>
      </w:r>
      <w:r>
        <w:rPr>
          <w:color w:val="231F20"/>
          <w:spacing w:val="-9"/>
          <w:w w:val="110"/>
        </w:rPr>
        <w:t> </w:t>
      </w:r>
      <w:r>
        <w:rPr>
          <w:color w:val="231F20"/>
          <w:w w:val="110"/>
        </w:rPr>
        <w:t>federativa</w:t>
      </w:r>
      <w:r>
        <w:rPr>
          <w:color w:val="231F20"/>
          <w:spacing w:val="-9"/>
          <w:w w:val="110"/>
        </w:rPr>
        <w:t> </w:t>
      </w:r>
      <w:r>
        <w:rPr>
          <w:color w:val="231F20"/>
          <w:w w:val="110"/>
        </w:rPr>
        <w:t>los</w:t>
      </w:r>
      <w:r>
        <w:rPr>
          <w:color w:val="231F20"/>
          <w:spacing w:val="-9"/>
          <w:w w:val="110"/>
        </w:rPr>
        <w:t> </w:t>
      </w:r>
      <w:r>
        <w:rPr>
          <w:color w:val="231F20"/>
          <w:w w:val="110"/>
        </w:rPr>
        <w:t>cambios</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reducción</w:t>
      </w:r>
      <w:r>
        <w:rPr>
          <w:color w:val="231F20"/>
          <w:spacing w:val="-9"/>
          <w:w w:val="110"/>
        </w:rPr>
        <w:t> </w:t>
      </w:r>
      <w:r>
        <w:rPr>
          <w:color w:val="231F20"/>
          <w:w w:val="110"/>
        </w:rPr>
        <w:t>del</w:t>
      </w:r>
      <w:r>
        <w:rPr>
          <w:color w:val="231F20"/>
          <w:spacing w:val="-9"/>
          <w:w w:val="110"/>
        </w:rPr>
        <w:t> </w:t>
      </w:r>
      <w:r>
        <w:rPr>
          <w:color w:val="231F20"/>
          <w:w w:val="110"/>
        </w:rPr>
        <w:t>tamaño</w:t>
      </w:r>
      <w:r>
        <w:rPr>
          <w:color w:val="231F20"/>
          <w:spacing w:val="-9"/>
          <w:w w:val="110"/>
        </w:rPr>
        <w:t> </w:t>
      </w:r>
      <w:r>
        <w:rPr>
          <w:color w:val="231F20"/>
          <w:w w:val="110"/>
        </w:rPr>
        <w:t>de familia también son importantes. Los descensos fueron de, al menos, un miembro en el promedio por </w:t>
      </w:r>
      <w:r>
        <w:rPr>
          <w:color w:val="231F20"/>
          <w:spacing w:val="-3"/>
          <w:w w:val="110"/>
        </w:rPr>
        <w:t>hogar. </w:t>
      </w:r>
      <w:r>
        <w:rPr>
          <w:color w:val="231F20"/>
          <w:w w:val="110"/>
        </w:rPr>
        <w:t>Este efecto no sólo corresponde a la disminución de la fecundidad, sino a los diferentes arreglos familiares y sin lugar a dudas, a la condición de  </w:t>
      </w:r>
      <w:r>
        <w:rPr>
          <w:color w:val="231F20"/>
          <w:spacing w:val="4"/>
          <w:w w:val="110"/>
        </w:rPr>
        <w:t> </w:t>
      </w:r>
      <w:r>
        <w:rPr>
          <w:color w:val="231F20"/>
          <w:w w:val="110"/>
        </w:rPr>
        <w:t>unión.</w:t>
      </w:r>
    </w:p>
    <w:p>
      <w:pPr>
        <w:pStyle w:val="BodyText"/>
        <w:spacing w:line="288" w:lineRule="auto"/>
        <w:ind w:left="100" w:right="115" w:firstLine="360"/>
        <w:jc w:val="both"/>
      </w:pPr>
      <w:r>
        <w:rPr>
          <w:color w:val="231F20"/>
          <w:w w:val="110"/>
        </w:rPr>
        <w:t>Las reducciones porcentuales nos muestran que el descenso en el número promedio de los hogares se acelera en algunas entidades. Esto se aprecia de mejor manera en el segundo periodo —entre 2000 y 2010—. Estas disminuciones se observan en mayor medida en los estados de Aguascalientes, Guanajuato, Querétaro y Yucatán (véase cuadro  8).</w:t>
      </w:r>
    </w:p>
    <w:p>
      <w:pPr>
        <w:spacing w:after="0" w:line="288" w:lineRule="auto"/>
        <w:jc w:val="both"/>
        <w:sectPr>
          <w:type w:val="continuous"/>
          <w:pgSz w:w="9520" w:h="12920"/>
          <w:pgMar w:top="0" w:bottom="0" w:left="1020" w:right="1320"/>
        </w:sectPr>
      </w:pPr>
    </w:p>
    <w:p>
      <w:pPr>
        <w:spacing w:line="185" w:lineRule="exact" w:before="65"/>
        <w:ind w:left="28" w:right="0" w:firstLine="0"/>
        <w:jc w:val="center"/>
        <w:rPr>
          <w:sz w:val="16"/>
        </w:rPr>
      </w:pPr>
      <w:r>
        <w:rPr>
          <w:color w:val="231F20"/>
          <w:w w:val="105"/>
          <w:sz w:val="16"/>
        </w:rPr>
        <w:t>Cuadro 8</w:t>
      </w:r>
    </w:p>
    <w:p>
      <w:pPr>
        <w:spacing w:line="210" w:lineRule="exact" w:before="9"/>
        <w:ind w:left="1569" w:right="1539" w:firstLine="0"/>
        <w:jc w:val="center"/>
        <w:rPr>
          <w:sz w:val="19"/>
        </w:rPr>
      </w:pPr>
      <w:r>
        <w:rPr>
          <w:color w:val="231F20"/>
          <w:w w:val="90"/>
          <w:sz w:val="19"/>
        </w:rPr>
        <w:t>Tamaño promedio de hogar y su decremento porcentual</w:t>
      </w:r>
      <w:r>
        <w:rPr>
          <w:color w:val="231F20"/>
          <w:w w:val="86"/>
          <w:sz w:val="19"/>
        </w:rPr>
        <w:t> </w:t>
      </w:r>
      <w:r>
        <w:rPr>
          <w:color w:val="231F20"/>
          <w:w w:val="85"/>
          <w:sz w:val="19"/>
        </w:rPr>
        <w:t>por entidad federativa 1990-2010</w:t>
      </w:r>
    </w:p>
    <w:p>
      <w:pPr>
        <w:pStyle w:val="BodyText"/>
        <w:spacing w:before="6"/>
        <w:rPr>
          <w:sz w:val="13"/>
        </w:rPr>
      </w:pPr>
      <w:r>
        <w:rPr/>
        <w:pict>
          <v:group style="position:absolute;margin-left:72.019997pt;margin-top:9.900045pt;width:348.4pt;height:.4pt;mso-position-horizontal-relative:page;mso-position-vertical-relative:paragraph;z-index:2248;mso-wrap-distance-left:0;mso-wrap-distance-right:0" coordorigin="1440,198" coordsize="6968,8">
            <v:line style="position:absolute" from="1444,202" to="3224,202" stroked="true" strokeweight=".4pt" strokecolor="#231f20"/>
            <v:line style="position:absolute" from="3224,202" to="3800,202" stroked="true" strokeweight=".4pt" strokecolor="#231f20"/>
            <v:line style="position:absolute" from="3800,202" to="4424,202" stroked="true" strokeweight=".4pt" strokecolor="#231f20"/>
            <v:line style="position:absolute" from="4424,202" to="5048,202" stroked="true" strokeweight=".4pt" strokecolor="#231f20"/>
            <v:line style="position:absolute" from="5048,202" to="6812,202" stroked="true" strokeweight=".4pt" strokecolor="#231f20"/>
            <v:line style="position:absolute" from="6812,202" to="8404,202" stroked="true" strokeweight=".4pt" strokecolor="#231f20"/>
            <w10:wrap type="topAndBottom"/>
          </v:group>
        </w:pict>
      </w:r>
    </w:p>
    <w:p>
      <w:pPr>
        <w:spacing w:after="0"/>
        <w:rPr>
          <w:sz w:val="13"/>
        </w:rPr>
        <w:sectPr>
          <w:pgSz w:w="9520" w:h="12920"/>
          <w:pgMar w:header="0" w:footer="1344" w:top="880" w:bottom="1540" w:left="1300" w:right="1000"/>
        </w:sectPr>
      </w:pPr>
    </w:p>
    <w:p>
      <w:pPr>
        <w:pStyle w:val="BodyText"/>
        <w:spacing w:before="1"/>
        <w:rPr>
          <w:sz w:val="21"/>
        </w:rPr>
      </w:pPr>
    </w:p>
    <w:p>
      <w:pPr>
        <w:tabs>
          <w:tab w:pos="2049" w:val="left" w:leader="none"/>
          <w:tab w:pos="2649" w:val="left" w:leader="none"/>
          <w:tab w:pos="3273" w:val="left" w:leader="none"/>
        </w:tabs>
        <w:spacing w:before="0"/>
        <w:ind w:left="754" w:right="0" w:firstLine="0"/>
        <w:jc w:val="left"/>
        <w:rPr>
          <w:i/>
          <w:sz w:val="16"/>
        </w:rPr>
      </w:pPr>
      <w:r>
        <w:rPr>
          <w:i/>
          <w:color w:val="231F20"/>
          <w:sz w:val="16"/>
        </w:rPr>
        <w:t>Entidad</w:t>
        <w:tab/>
        <w:t>1990</w:t>
        <w:tab/>
        <w:t>2000</w:t>
        <w:tab/>
      </w:r>
      <w:r>
        <w:rPr>
          <w:i/>
          <w:color w:val="231F20"/>
          <w:w w:val="95"/>
          <w:sz w:val="16"/>
        </w:rPr>
        <w:t>2010</w:t>
      </w:r>
    </w:p>
    <w:p>
      <w:pPr>
        <w:spacing w:line="242" w:lineRule="auto" w:before="57"/>
        <w:ind w:left="238" w:right="-3" w:firstLine="324"/>
        <w:jc w:val="left"/>
        <w:rPr>
          <w:i/>
          <w:sz w:val="16"/>
        </w:rPr>
      </w:pPr>
      <w:r>
        <w:rPr/>
        <w:br w:type="column"/>
      </w:r>
      <w:r>
        <w:rPr>
          <w:i/>
          <w:color w:val="231F20"/>
          <w:w w:val="105"/>
          <w:sz w:val="16"/>
        </w:rPr>
        <w:t>Decremento </w:t>
      </w:r>
      <w:r>
        <w:rPr>
          <w:i/>
          <w:color w:val="231F20"/>
          <w:sz w:val="16"/>
        </w:rPr>
        <w:t>porcentual 1990-2000</w:t>
      </w:r>
    </w:p>
    <w:p>
      <w:pPr>
        <w:spacing w:line="242" w:lineRule="auto" w:before="57"/>
        <w:ind w:left="132" w:right="155" w:firstLine="324"/>
        <w:jc w:val="left"/>
        <w:rPr>
          <w:i/>
          <w:sz w:val="16"/>
        </w:rPr>
      </w:pPr>
      <w:r>
        <w:rPr/>
        <w:br w:type="column"/>
      </w:r>
      <w:r>
        <w:rPr>
          <w:i/>
          <w:color w:val="231F20"/>
          <w:w w:val="105"/>
          <w:sz w:val="16"/>
        </w:rPr>
        <w:t>Decremento </w:t>
      </w:r>
      <w:r>
        <w:rPr>
          <w:i/>
          <w:color w:val="231F20"/>
          <w:sz w:val="16"/>
        </w:rPr>
        <w:t>porcentual 2000-2010</w:t>
      </w:r>
    </w:p>
    <w:p>
      <w:pPr>
        <w:spacing w:after="0" w:line="242" w:lineRule="auto"/>
        <w:jc w:val="left"/>
        <w:rPr>
          <w:sz w:val="16"/>
        </w:rPr>
        <w:sectPr>
          <w:type w:val="continuous"/>
          <w:pgSz w:w="9520" w:h="12920"/>
          <w:pgMar w:top="0" w:bottom="0" w:left="1300" w:right="1000"/>
          <w:cols w:num="3" w:equalWidth="0">
            <w:col w:w="3600" w:space="40"/>
            <w:col w:w="1744" w:space="40"/>
            <w:col w:w="1796"/>
          </w:cols>
        </w:sectPr>
      </w:pPr>
    </w:p>
    <w:p>
      <w:pPr>
        <w:pStyle w:val="BodyText"/>
        <w:rPr>
          <w:i/>
          <w:sz w:val="7"/>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35"/>
        <w:gridCol w:w="668"/>
        <w:gridCol w:w="612"/>
        <w:gridCol w:w="900"/>
        <w:gridCol w:w="1451"/>
        <w:gridCol w:w="1629"/>
      </w:tblGrid>
      <w:tr>
        <w:trPr>
          <w:trHeight w:val="303" w:hRule="exact"/>
        </w:trPr>
        <w:tc>
          <w:tcPr>
            <w:tcW w:w="1735" w:type="dxa"/>
            <w:tcBorders>
              <w:top w:val="single" w:sz="3" w:space="0" w:color="231F20"/>
            </w:tcBorders>
          </w:tcPr>
          <w:p>
            <w:pPr>
              <w:pStyle w:val="TableParagraph"/>
              <w:spacing w:line="240" w:lineRule="auto" w:before="84"/>
              <w:ind w:left="35"/>
              <w:jc w:val="left"/>
              <w:rPr>
                <w:sz w:val="17"/>
              </w:rPr>
            </w:pPr>
            <w:r>
              <w:rPr>
                <w:color w:val="231F20"/>
                <w:w w:val="110"/>
                <w:sz w:val="17"/>
              </w:rPr>
              <w:t>Aguascalientes</w:t>
            </w:r>
          </w:p>
        </w:tc>
        <w:tc>
          <w:tcPr>
            <w:tcW w:w="668" w:type="dxa"/>
            <w:tcBorders>
              <w:top w:val="single" w:sz="3" w:space="0" w:color="231F20"/>
            </w:tcBorders>
          </w:tcPr>
          <w:p>
            <w:pPr>
              <w:pStyle w:val="TableParagraph"/>
              <w:spacing w:line="240" w:lineRule="auto" w:before="84"/>
              <w:ind w:right="131"/>
              <w:jc w:val="right"/>
              <w:rPr>
                <w:sz w:val="17"/>
              </w:rPr>
            </w:pPr>
            <w:r>
              <w:rPr>
                <w:color w:val="231F20"/>
                <w:sz w:val="17"/>
              </w:rPr>
              <w:t>5.44</w:t>
            </w:r>
          </w:p>
        </w:tc>
        <w:tc>
          <w:tcPr>
            <w:tcW w:w="612" w:type="dxa"/>
            <w:tcBorders>
              <w:top w:val="single" w:sz="3" w:space="0" w:color="231F20"/>
            </w:tcBorders>
          </w:tcPr>
          <w:p>
            <w:pPr>
              <w:pStyle w:val="TableParagraph"/>
              <w:spacing w:line="240" w:lineRule="auto" w:before="84"/>
              <w:ind w:left="133"/>
              <w:jc w:val="left"/>
              <w:rPr>
                <w:sz w:val="17"/>
              </w:rPr>
            </w:pPr>
            <w:r>
              <w:rPr>
                <w:color w:val="231F20"/>
                <w:w w:val="105"/>
                <w:sz w:val="17"/>
              </w:rPr>
              <w:t>4.70</w:t>
            </w:r>
          </w:p>
        </w:tc>
        <w:tc>
          <w:tcPr>
            <w:tcW w:w="900" w:type="dxa"/>
            <w:tcBorders>
              <w:top w:val="single" w:sz="3" w:space="0" w:color="231F20"/>
            </w:tcBorders>
          </w:tcPr>
          <w:p>
            <w:pPr>
              <w:pStyle w:val="TableParagraph"/>
              <w:spacing w:line="240" w:lineRule="auto" w:before="84"/>
              <w:ind w:left="145"/>
              <w:jc w:val="left"/>
              <w:rPr>
                <w:sz w:val="17"/>
              </w:rPr>
            </w:pPr>
            <w:r>
              <w:rPr>
                <w:color w:val="231F20"/>
                <w:w w:val="105"/>
                <w:sz w:val="17"/>
              </w:rPr>
              <w:t>4.07</w:t>
            </w:r>
          </w:p>
        </w:tc>
        <w:tc>
          <w:tcPr>
            <w:tcW w:w="1451" w:type="dxa"/>
            <w:tcBorders>
              <w:top w:val="single" w:sz="3" w:space="0" w:color="231F20"/>
            </w:tcBorders>
          </w:tcPr>
          <w:p>
            <w:pPr>
              <w:pStyle w:val="TableParagraph"/>
              <w:spacing w:line="240" w:lineRule="auto" w:before="84"/>
              <w:ind w:right="641"/>
              <w:jc w:val="right"/>
              <w:rPr>
                <w:sz w:val="17"/>
              </w:rPr>
            </w:pPr>
            <w:r>
              <w:rPr>
                <w:color w:val="231F20"/>
                <w:sz w:val="17"/>
              </w:rPr>
              <w:t>-13.6</w:t>
            </w:r>
          </w:p>
        </w:tc>
        <w:tc>
          <w:tcPr>
            <w:tcW w:w="1629" w:type="dxa"/>
            <w:tcBorders>
              <w:top w:val="single" w:sz="3" w:space="0" w:color="231F20"/>
            </w:tcBorders>
          </w:tcPr>
          <w:p>
            <w:pPr>
              <w:pStyle w:val="TableParagraph"/>
              <w:spacing w:line="240" w:lineRule="auto" w:before="84"/>
              <w:ind w:right="599"/>
              <w:jc w:val="right"/>
              <w:rPr>
                <w:sz w:val="17"/>
              </w:rPr>
            </w:pPr>
            <w:r>
              <w:rPr>
                <w:color w:val="231F20"/>
                <w:sz w:val="17"/>
              </w:rPr>
              <w:t>-13.4</w:t>
            </w:r>
          </w:p>
        </w:tc>
      </w:tr>
      <w:tr>
        <w:trPr>
          <w:trHeight w:val="210" w:hRule="exact"/>
        </w:trPr>
        <w:tc>
          <w:tcPr>
            <w:tcW w:w="1735" w:type="dxa"/>
          </w:tcPr>
          <w:p>
            <w:pPr>
              <w:pStyle w:val="TableParagraph"/>
              <w:ind w:left="35"/>
              <w:jc w:val="left"/>
              <w:rPr>
                <w:sz w:val="17"/>
              </w:rPr>
            </w:pPr>
            <w:r>
              <w:rPr>
                <w:color w:val="231F20"/>
                <w:w w:val="110"/>
                <w:sz w:val="17"/>
              </w:rPr>
              <w:t>Baja California</w:t>
            </w:r>
          </w:p>
        </w:tc>
        <w:tc>
          <w:tcPr>
            <w:tcW w:w="668" w:type="dxa"/>
          </w:tcPr>
          <w:p>
            <w:pPr>
              <w:pStyle w:val="TableParagraph"/>
              <w:ind w:right="131"/>
              <w:jc w:val="right"/>
              <w:rPr>
                <w:sz w:val="17"/>
              </w:rPr>
            </w:pPr>
            <w:r>
              <w:rPr>
                <w:color w:val="231F20"/>
                <w:sz w:val="17"/>
              </w:rPr>
              <w:t>4.45</w:t>
            </w:r>
          </w:p>
        </w:tc>
        <w:tc>
          <w:tcPr>
            <w:tcW w:w="612" w:type="dxa"/>
          </w:tcPr>
          <w:p>
            <w:pPr>
              <w:pStyle w:val="TableParagraph"/>
              <w:ind w:left="133"/>
              <w:jc w:val="left"/>
              <w:rPr>
                <w:sz w:val="17"/>
              </w:rPr>
            </w:pPr>
            <w:r>
              <w:rPr>
                <w:color w:val="231F20"/>
                <w:w w:val="105"/>
                <w:sz w:val="17"/>
              </w:rPr>
              <w:t>4.06</w:t>
            </w:r>
          </w:p>
        </w:tc>
        <w:tc>
          <w:tcPr>
            <w:tcW w:w="900" w:type="dxa"/>
          </w:tcPr>
          <w:p>
            <w:pPr>
              <w:pStyle w:val="TableParagraph"/>
              <w:ind w:left="145"/>
              <w:jc w:val="left"/>
              <w:rPr>
                <w:sz w:val="17"/>
              </w:rPr>
            </w:pPr>
            <w:r>
              <w:rPr>
                <w:color w:val="231F20"/>
                <w:w w:val="105"/>
                <w:sz w:val="17"/>
              </w:rPr>
              <w:t>3.60</w:t>
            </w:r>
          </w:p>
        </w:tc>
        <w:tc>
          <w:tcPr>
            <w:tcW w:w="1451" w:type="dxa"/>
          </w:tcPr>
          <w:p>
            <w:pPr>
              <w:pStyle w:val="TableParagraph"/>
              <w:ind w:right="641"/>
              <w:jc w:val="right"/>
              <w:rPr>
                <w:sz w:val="17"/>
              </w:rPr>
            </w:pPr>
            <w:r>
              <w:rPr>
                <w:color w:val="231F20"/>
                <w:sz w:val="17"/>
              </w:rPr>
              <w:t>-8.8</w:t>
            </w:r>
          </w:p>
        </w:tc>
        <w:tc>
          <w:tcPr>
            <w:tcW w:w="1629" w:type="dxa"/>
          </w:tcPr>
          <w:p>
            <w:pPr>
              <w:pStyle w:val="TableParagraph"/>
              <w:ind w:right="599"/>
              <w:jc w:val="right"/>
              <w:rPr>
                <w:sz w:val="17"/>
              </w:rPr>
            </w:pPr>
            <w:r>
              <w:rPr>
                <w:color w:val="231F20"/>
                <w:sz w:val="17"/>
              </w:rPr>
              <w:t>-11.3</w:t>
            </w:r>
          </w:p>
        </w:tc>
      </w:tr>
      <w:tr>
        <w:trPr>
          <w:trHeight w:val="210" w:hRule="exact"/>
        </w:trPr>
        <w:tc>
          <w:tcPr>
            <w:tcW w:w="1735" w:type="dxa"/>
          </w:tcPr>
          <w:p>
            <w:pPr>
              <w:pStyle w:val="TableParagraph"/>
              <w:ind w:left="35"/>
              <w:jc w:val="left"/>
              <w:rPr>
                <w:sz w:val="17"/>
              </w:rPr>
            </w:pPr>
            <w:r>
              <w:rPr>
                <w:color w:val="231F20"/>
                <w:w w:val="110"/>
                <w:sz w:val="17"/>
              </w:rPr>
              <w:t>Baja California Sur</w:t>
            </w:r>
          </w:p>
        </w:tc>
        <w:tc>
          <w:tcPr>
            <w:tcW w:w="668" w:type="dxa"/>
          </w:tcPr>
          <w:p>
            <w:pPr>
              <w:pStyle w:val="TableParagraph"/>
              <w:ind w:right="131"/>
              <w:jc w:val="right"/>
              <w:rPr>
                <w:sz w:val="17"/>
              </w:rPr>
            </w:pPr>
            <w:r>
              <w:rPr>
                <w:color w:val="231F20"/>
                <w:sz w:val="17"/>
              </w:rPr>
              <w:t>4.60</w:t>
            </w:r>
          </w:p>
        </w:tc>
        <w:tc>
          <w:tcPr>
            <w:tcW w:w="612" w:type="dxa"/>
          </w:tcPr>
          <w:p>
            <w:pPr>
              <w:pStyle w:val="TableParagraph"/>
              <w:ind w:left="133"/>
              <w:jc w:val="left"/>
              <w:rPr>
                <w:sz w:val="17"/>
              </w:rPr>
            </w:pPr>
            <w:r>
              <w:rPr>
                <w:color w:val="231F20"/>
                <w:w w:val="105"/>
                <w:sz w:val="17"/>
              </w:rPr>
              <w:t>3.99</w:t>
            </w:r>
          </w:p>
        </w:tc>
        <w:tc>
          <w:tcPr>
            <w:tcW w:w="900" w:type="dxa"/>
          </w:tcPr>
          <w:p>
            <w:pPr>
              <w:pStyle w:val="TableParagraph"/>
              <w:ind w:left="145"/>
              <w:jc w:val="left"/>
              <w:rPr>
                <w:sz w:val="17"/>
              </w:rPr>
            </w:pPr>
            <w:r>
              <w:rPr>
                <w:color w:val="231F20"/>
                <w:w w:val="105"/>
                <w:sz w:val="17"/>
              </w:rPr>
              <w:t>3.55</w:t>
            </w:r>
          </w:p>
        </w:tc>
        <w:tc>
          <w:tcPr>
            <w:tcW w:w="1451" w:type="dxa"/>
          </w:tcPr>
          <w:p>
            <w:pPr>
              <w:pStyle w:val="TableParagraph"/>
              <w:ind w:right="641"/>
              <w:jc w:val="right"/>
              <w:rPr>
                <w:sz w:val="17"/>
              </w:rPr>
            </w:pPr>
            <w:r>
              <w:rPr>
                <w:color w:val="231F20"/>
                <w:sz w:val="17"/>
              </w:rPr>
              <w:t>-13.3</w:t>
            </w:r>
          </w:p>
        </w:tc>
        <w:tc>
          <w:tcPr>
            <w:tcW w:w="1629" w:type="dxa"/>
          </w:tcPr>
          <w:p>
            <w:pPr>
              <w:pStyle w:val="TableParagraph"/>
              <w:ind w:right="599"/>
              <w:jc w:val="right"/>
              <w:rPr>
                <w:sz w:val="17"/>
              </w:rPr>
            </w:pPr>
            <w:r>
              <w:rPr>
                <w:color w:val="231F20"/>
                <w:sz w:val="17"/>
              </w:rPr>
              <w:t>-11.0</w:t>
            </w:r>
          </w:p>
        </w:tc>
      </w:tr>
      <w:tr>
        <w:trPr>
          <w:trHeight w:val="210" w:hRule="exact"/>
        </w:trPr>
        <w:tc>
          <w:tcPr>
            <w:tcW w:w="1735" w:type="dxa"/>
          </w:tcPr>
          <w:p>
            <w:pPr>
              <w:pStyle w:val="TableParagraph"/>
              <w:ind w:left="35"/>
              <w:jc w:val="left"/>
              <w:rPr>
                <w:sz w:val="17"/>
              </w:rPr>
            </w:pPr>
            <w:r>
              <w:rPr>
                <w:color w:val="231F20"/>
                <w:w w:val="110"/>
                <w:sz w:val="17"/>
              </w:rPr>
              <w:t>Campeche</w:t>
            </w:r>
          </w:p>
        </w:tc>
        <w:tc>
          <w:tcPr>
            <w:tcW w:w="668" w:type="dxa"/>
          </w:tcPr>
          <w:p>
            <w:pPr>
              <w:pStyle w:val="TableParagraph"/>
              <w:ind w:right="131"/>
              <w:jc w:val="right"/>
              <w:rPr>
                <w:sz w:val="17"/>
              </w:rPr>
            </w:pPr>
            <w:r>
              <w:rPr>
                <w:color w:val="231F20"/>
                <w:sz w:val="17"/>
              </w:rPr>
              <w:t>4.86</w:t>
            </w:r>
          </w:p>
        </w:tc>
        <w:tc>
          <w:tcPr>
            <w:tcW w:w="612" w:type="dxa"/>
          </w:tcPr>
          <w:p>
            <w:pPr>
              <w:pStyle w:val="TableParagraph"/>
              <w:ind w:left="133"/>
              <w:jc w:val="left"/>
              <w:rPr>
                <w:sz w:val="17"/>
              </w:rPr>
            </w:pPr>
            <w:r>
              <w:rPr>
                <w:color w:val="231F20"/>
                <w:w w:val="105"/>
                <w:sz w:val="17"/>
              </w:rPr>
              <w:t>4.39</w:t>
            </w:r>
          </w:p>
        </w:tc>
        <w:tc>
          <w:tcPr>
            <w:tcW w:w="900" w:type="dxa"/>
          </w:tcPr>
          <w:p>
            <w:pPr>
              <w:pStyle w:val="TableParagraph"/>
              <w:ind w:left="145"/>
              <w:jc w:val="left"/>
              <w:rPr>
                <w:sz w:val="17"/>
              </w:rPr>
            </w:pPr>
            <w:r>
              <w:rPr>
                <w:color w:val="231F20"/>
                <w:w w:val="105"/>
                <w:sz w:val="17"/>
              </w:rPr>
              <w:t>3.85</w:t>
            </w:r>
          </w:p>
        </w:tc>
        <w:tc>
          <w:tcPr>
            <w:tcW w:w="1451" w:type="dxa"/>
          </w:tcPr>
          <w:p>
            <w:pPr>
              <w:pStyle w:val="TableParagraph"/>
              <w:ind w:right="641"/>
              <w:jc w:val="right"/>
              <w:rPr>
                <w:sz w:val="17"/>
              </w:rPr>
            </w:pPr>
            <w:r>
              <w:rPr>
                <w:color w:val="231F20"/>
                <w:sz w:val="17"/>
              </w:rPr>
              <w:t>-9.7</w:t>
            </w:r>
          </w:p>
        </w:tc>
        <w:tc>
          <w:tcPr>
            <w:tcW w:w="1629" w:type="dxa"/>
          </w:tcPr>
          <w:p>
            <w:pPr>
              <w:pStyle w:val="TableParagraph"/>
              <w:ind w:right="599"/>
              <w:jc w:val="right"/>
              <w:rPr>
                <w:sz w:val="17"/>
              </w:rPr>
            </w:pPr>
            <w:r>
              <w:rPr>
                <w:color w:val="231F20"/>
                <w:sz w:val="17"/>
              </w:rPr>
              <w:t>-12.3</w:t>
            </w:r>
          </w:p>
        </w:tc>
      </w:tr>
      <w:tr>
        <w:trPr>
          <w:trHeight w:val="210" w:hRule="exact"/>
        </w:trPr>
        <w:tc>
          <w:tcPr>
            <w:tcW w:w="1735" w:type="dxa"/>
          </w:tcPr>
          <w:p>
            <w:pPr>
              <w:pStyle w:val="TableParagraph"/>
              <w:ind w:left="35"/>
              <w:jc w:val="left"/>
              <w:rPr>
                <w:sz w:val="17"/>
              </w:rPr>
            </w:pPr>
            <w:r>
              <w:rPr>
                <w:color w:val="231F20"/>
                <w:w w:val="110"/>
                <w:sz w:val="17"/>
              </w:rPr>
              <w:t>Coahuila</w:t>
            </w:r>
          </w:p>
        </w:tc>
        <w:tc>
          <w:tcPr>
            <w:tcW w:w="668" w:type="dxa"/>
          </w:tcPr>
          <w:p>
            <w:pPr>
              <w:pStyle w:val="TableParagraph"/>
              <w:ind w:right="131"/>
              <w:jc w:val="right"/>
              <w:rPr>
                <w:sz w:val="17"/>
              </w:rPr>
            </w:pPr>
            <w:r>
              <w:rPr>
                <w:color w:val="231F20"/>
                <w:sz w:val="17"/>
              </w:rPr>
              <w:t>4.82</w:t>
            </w:r>
          </w:p>
        </w:tc>
        <w:tc>
          <w:tcPr>
            <w:tcW w:w="612" w:type="dxa"/>
          </w:tcPr>
          <w:p>
            <w:pPr>
              <w:pStyle w:val="TableParagraph"/>
              <w:ind w:left="133"/>
              <w:jc w:val="left"/>
              <w:rPr>
                <w:sz w:val="17"/>
              </w:rPr>
            </w:pPr>
            <w:r>
              <w:rPr>
                <w:color w:val="231F20"/>
                <w:w w:val="105"/>
                <w:sz w:val="17"/>
              </w:rPr>
              <w:t>4.21</w:t>
            </w:r>
          </w:p>
        </w:tc>
        <w:tc>
          <w:tcPr>
            <w:tcW w:w="900" w:type="dxa"/>
          </w:tcPr>
          <w:p>
            <w:pPr>
              <w:pStyle w:val="TableParagraph"/>
              <w:ind w:left="145"/>
              <w:jc w:val="left"/>
              <w:rPr>
                <w:sz w:val="17"/>
              </w:rPr>
            </w:pPr>
            <w:r>
              <w:rPr>
                <w:color w:val="231F20"/>
                <w:w w:val="105"/>
                <w:sz w:val="17"/>
              </w:rPr>
              <w:t>3.78</w:t>
            </w:r>
          </w:p>
        </w:tc>
        <w:tc>
          <w:tcPr>
            <w:tcW w:w="1451" w:type="dxa"/>
          </w:tcPr>
          <w:p>
            <w:pPr>
              <w:pStyle w:val="TableParagraph"/>
              <w:ind w:right="641"/>
              <w:jc w:val="right"/>
              <w:rPr>
                <w:sz w:val="17"/>
              </w:rPr>
            </w:pPr>
            <w:r>
              <w:rPr>
                <w:color w:val="231F20"/>
                <w:sz w:val="17"/>
              </w:rPr>
              <w:t>-12.7</w:t>
            </w:r>
          </w:p>
        </w:tc>
        <w:tc>
          <w:tcPr>
            <w:tcW w:w="1629" w:type="dxa"/>
          </w:tcPr>
          <w:p>
            <w:pPr>
              <w:pStyle w:val="TableParagraph"/>
              <w:ind w:right="599"/>
              <w:jc w:val="right"/>
              <w:rPr>
                <w:sz w:val="17"/>
              </w:rPr>
            </w:pPr>
            <w:r>
              <w:rPr>
                <w:color w:val="231F20"/>
                <w:sz w:val="17"/>
              </w:rPr>
              <w:t>-10.2</w:t>
            </w:r>
          </w:p>
        </w:tc>
      </w:tr>
      <w:tr>
        <w:trPr>
          <w:trHeight w:val="210" w:hRule="exact"/>
        </w:trPr>
        <w:tc>
          <w:tcPr>
            <w:tcW w:w="1735" w:type="dxa"/>
          </w:tcPr>
          <w:p>
            <w:pPr>
              <w:pStyle w:val="TableParagraph"/>
              <w:ind w:left="35"/>
              <w:jc w:val="left"/>
              <w:rPr>
                <w:sz w:val="17"/>
              </w:rPr>
            </w:pPr>
            <w:r>
              <w:rPr>
                <w:color w:val="231F20"/>
                <w:w w:val="110"/>
                <w:sz w:val="17"/>
              </w:rPr>
              <w:t>Colima</w:t>
            </w:r>
          </w:p>
        </w:tc>
        <w:tc>
          <w:tcPr>
            <w:tcW w:w="668" w:type="dxa"/>
          </w:tcPr>
          <w:p>
            <w:pPr>
              <w:pStyle w:val="TableParagraph"/>
              <w:ind w:right="131"/>
              <w:jc w:val="right"/>
              <w:rPr>
                <w:sz w:val="17"/>
              </w:rPr>
            </w:pPr>
            <w:r>
              <w:rPr>
                <w:color w:val="231F20"/>
                <w:sz w:val="17"/>
              </w:rPr>
              <w:t>4.71</w:t>
            </w:r>
          </w:p>
        </w:tc>
        <w:tc>
          <w:tcPr>
            <w:tcW w:w="612" w:type="dxa"/>
          </w:tcPr>
          <w:p>
            <w:pPr>
              <w:pStyle w:val="TableParagraph"/>
              <w:ind w:left="133"/>
              <w:jc w:val="left"/>
              <w:rPr>
                <w:sz w:val="17"/>
              </w:rPr>
            </w:pPr>
            <w:r>
              <w:rPr>
                <w:color w:val="231F20"/>
                <w:w w:val="105"/>
                <w:sz w:val="17"/>
              </w:rPr>
              <w:t>4.08</w:t>
            </w:r>
          </w:p>
        </w:tc>
        <w:tc>
          <w:tcPr>
            <w:tcW w:w="900" w:type="dxa"/>
          </w:tcPr>
          <w:p>
            <w:pPr>
              <w:pStyle w:val="TableParagraph"/>
              <w:ind w:left="145"/>
              <w:jc w:val="left"/>
              <w:rPr>
                <w:sz w:val="17"/>
              </w:rPr>
            </w:pPr>
            <w:r>
              <w:rPr>
                <w:color w:val="231F20"/>
                <w:w w:val="105"/>
                <w:sz w:val="17"/>
              </w:rPr>
              <w:t>3.59</w:t>
            </w:r>
          </w:p>
        </w:tc>
        <w:tc>
          <w:tcPr>
            <w:tcW w:w="1451" w:type="dxa"/>
          </w:tcPr>
          <w:p>
            <w:pPr>
              <w:pStyle w:val="TableParagraph"/>
              <w:ind w:right="641"/>
              <w:jc w:val="right"/>
              <w:rPr>
                <w:sz w:val="17"/>
              </w:rPr>
            </w:pPr>
            <w:r>
              <w:rPr>
                <w:color w:val="231F20"/>
                <w:sz w:val="17"/>
              </w:rPr>
              <w:t>-13.4</w:t>
            </w:r>
          </w:p>
        </w:tc>
        <w:tc>
          <w:tcPr>
            <w:tcW w:w="1629" w:type="dxa"/>
          </w:tcPr>
          <w:p>
            <w:pPr>
              <w:pStyle w:val="TableParagraph"/>
              <w:ind w:right="599"/>
              <w:jc w:val="right"/>
              <w:rPr>
                <w:sz w:val="17"/>
              </w:rPr>
            </w:pPr>
            <w:r>
              <w:rPr>
                <w:color w:val="231F20"/>
                <w:sz w:val="17"/>
              </w:rPr>
              <w:t>-12.0</w:t>
            </w:r>
          </w:p>
        </w:tc>
      </w:tr>
      <w:tr>
        <w:trPr>
          <w:trHeight w:val="210" w:hRule="exact"/>
        </w:trPr>
        <w:tc>
          <w:tcPr>
            <w:tcW w:w="1735" w:type="dxa"/>
          </w:tcPr>
          <w:p>
            <w:pPr>
              <w:pStyle w:val="TableParagraph"/>
              <w:ind w:left="35"/>
              <w:jc w:val="left"/>
              <w:rPr>
                <w:sz w:val="17"/>
              </w:rPr>
            </w:pPr>
            <w:r>
              <w:rPr>
                <w:color w:val="231F20"/>
                <w:w w:val="115"/>
                <w:sz w:val="17"/>
              </w:rPr>
              <w:t>Chiapas</w:t>
            </w:r>
          </w:p>
        </w:tc>
        <w:tc>
          <w:tcPr>
            <w:tcW w:w="668" w:type="dxa"/>
          </w:tcPr>
          <w:p>
            <w:pPr>
              <w:pStyle w:val="TableParagraph"/>
              <w:ind w:right="131"/>
              <w:jc w:val="right"/>
              <w:rPr>
                <w:sz w:val="17"/>
              </w:rPr>
            </w:pPr>
            <w:r>
              <w:rPr>
                <w:color w:val="231F20"/>
                <w:sz w:val="17"/>
              </w:rPr>
              <w:t>5.35</w:t>
            </w:r>
          </w:p>
        </w:tc>
        <w:tc>
          <w:tcPr>
            <w:tcW w:w="612" w:type="dxa"/>
          </w:tcPr>
          <w:p>
            <w:pPr>
              <w:pStyle w:val="TableParagraph"/>
              <w:ind w:left="133"/>
              <w:jc w:val="left"/>
              <w:rPr>
                <w:sz w:val="17"/>
              </w:rPr>
            </w:pPr>
            <w:r>
              <w:rPr>
                <w:color w:val="231F20"/>
                <w:w w:val="105"/>
                <w:sz w:val="17"/>
              </w:rPr>
              <w:t>4.85</w:t>
            </w:r>
          </w:p>
        </w:tc>
        <w:tc>
          <w:tcPr>
            <w:tcW w:w="900" w:type="dxa"/>
          </w:tcPr>
          <w:p>
            <w:pPr>
              <w:pStyle w:val="TableParagraph"/>
              <w:ind w:left="145"/>
              <w:jc w:val="left"/>
              <w:rPr>
                <w:sz w:val="17"/>
              </w:rPr>
            </w:pPr>
            <w:r>
              <w:rPr>
                <w:color w:val="231F20"/>
                <w:w w:val="105"/>
                <w:sz w:val="17"/>
              </w:rPr>
              <w:t>4.41</w:t>
            </w:r>
          </w:p>
        </w:tc>
        <w:tc>
          <w:tcPr>
            <w:tcW w:w="1451" w:type="dxa"/>
          </w:tcPr>
          <w:p>
            <w:pPr>
              <w:pStyle w:val="TableParagraph"/>
              <w:ind w:right="641"/>
              <w:jc w:val="right"/>
              <w:rPr>
                <w:sz w:val="17"/>
              </w:rPr>
            </w:pPr>
            <w:r>
              <w:rPr>
                <w:color w:val="231F20"/>
                <w:sz w:val="17"/>
              </w:rPr>
              <w:t>-9.3</w:t>
            </w:r>
          </w:p>
        </w:tc>
        <w:tc>
          <w:tcPr>
            <w:tcW w:w="1629" w:type="dxa"/>
          </w:tcPr>
          <w:p>
            <w:pPr>
              <w:pStyle w:val="TableParagraph"/>
              <w:ind w:right="599"/>
              <w:jc w:val="right"/>
              <w:rPr>
                <w:sz w:val="17"/>
              </w:rPr>
            </w:pPr>
            <w:r>
              <w:rPr>
                <w:color w:val="231F20"/>
                <w:sz w:val="17"/>
              </w:rPr>
              <w:t>-9.1</w:t>
            </w:r>
          </w:p>
        </w:tc>
      </w:tr>
      <w:tr>
        <w:trPr>
          <w:trHeight w:val="210" w:hRule="exact"/>
        </w:trPr>
        <w:tc>
          <w:tcPr>
            <w:tcW w:w="1735" w:type="dxa"/>
          </w:tcPr>
          <w:p>
            <w:pPr>
              <w:pStyle w:val="TableParagraph"/>
              <w:ind w:left="35"/>
              <w:jc w:val="left"/>
              <w:rPr>
                <w:sz w:val="17"/>
              </w:rPr>
            </w:pPr>
            <w:r>
              <w:rPr>
                <w:color w:val="231F20"/>
                <w:w w:val="115"/>
                <w:sz w:val="17"/>
              </w:rPr>
              <w:t>Chihuahua</w:t>
            </w:r>
          </w:p>
        </w:tc>
        <w:tc>
          <w:tcPr>
            <w:tcW w:w="668" w:type="dxa"/>
          </w:tcPr>
          <w:p>
            <w:pPr>
              <w:pStyle w:val="TableParagraph"/>
              <w:ind w:right="131"/>
              <w:jc w:val="right"/>
              <w:rPr>
                <w:sz w:val="17"/>
              </w:rPr>
            </w:pPr>
            <w:r>
              <w:rPr>
                <w:color w:val="231F20"/>
                <w:sz w:val="17"/>
              </w:rPr>
              <w:t>4.52</w:t>
            </w:r>
          </w:p>
        </w:tc>
        <w:tc>
          <w:tcPr>
            <w:tcW w:w="612" w:type="dxa"/>
          </w:tcPr>
          <w:p>
            <w:pPr>
              <w:pStyle w:val="TableParagraph"/>
              <w:ind w:left="133"/>
              <w:jc w:val="left"/>
              <w:rPr>
                <w:sz w:val="17"/>
              </w:rPr>
            </w:pPr>
            <w:r>
              <w:rPr>
                <w:color w:val="231F20"/>
                <w:w w:val="105"/>
                <w:sz w:val="17"/>
              </w:rPr>
              <w:t>4.03</w:t>
            </w:r>
          </w:p>
        </w:tc>
        <w:tc>
          <w:tcPr>
            <w:tcW w:w="900" w:type="dxa"/>
          </w:tcPr>
          <w:p>
            <w:pPr>
              <w:pStyle w:val="TableParagraph"/>
              <w:ind w:left="145"/>
              <w:jc w:val="left"/>
              <w:rPr>
                <w:sz w:val="17"/>
              </w:rPr>
            </w:pPr>
            <w:r>
              <w:rPr>
                <w:color w:val="231F20"/>
                <w:w w:val="105"/>
                <w:sz w:val="17"/>
              </w:rPr>
              <w:t>3.62</w:t>
            </w:r>
          </w:p>
        </w:tc>
        <w:tc>
          <w:tcPr>
            <w:tcW w:w="1451" w:type="dxa"/>
          </w:tcPr>
          <w:p>
            <w:pPr>
              <w:pStyle w:val="TableParagraph"/>
              <w:ind w:right="641"/>
              <w:jc w:val="right"/>
              <w:rPr>
                <w:sz w:val="17"/>
              </w:rPr>
            </w:pPr>
            <w:r>
              <w:rPr>
                <w:color w:val="231F20"/>
                <w:sz w:val="17"/>
              </w:rPr>
              <w:t>-10.8</w:t>
            </w:r>
          </w:p>
        </w:tc>
        <w:tc>
          <w:tcPr>
            <w:tcW w:w="1629" w:type="dxa"/>
          </w:tcPr>
          <w:p>
            <w:pPr>
              <w:pStyle w:val="TableParagraph"/>
              <w:ind w:right="599"/>
              <w:jc w:val="right"/>
              <w:rPr>
                <w:sz w:val="17"/>
              </w:rPr>
            </w:pPr>
            <w:r>
              <w:rPr>
                <w:color w:val="231F20"/>
                <w:sz w:val="17"/>
              </w:rPr>
              <w:t>-10.2</w:t>
            </w:r>
          </w:p>
        </w:tc>
      </w:tr>
      <w:tr>
        <w:trPr>
          <w:trHeight w:val="210" w:hRule="exact"/>
        </w:trPr>
        <w:tc>
          <w:tcPr>
            <w:tcW w:w="1735" w:type="dxa"/>
          </w:tcPr>
          <w:p>
            <w:pPr>
              <w:pStyle w:val="TableParagraph"/>
              <w:ind w:left="35"/>
              <w:jc w:val="left"/>
              <w:rPr>
                <w:sz w:val="17"/>
              </w:rPr>
            </w:pPr>
            <w:r>
              <w:rPr>
                <w:color w:val="231F20"/>
                <w:w w:val="105"/>
                <w:sz w:val="17"/>
              </w:rPr>
              <w:t>Distrito Federal</w:t>
            </w:r>
          </w:p>
        </w:tc>
        <w:tc>
          <w:tcPr>
            <w:tcW w:w="668" w:type="dxa"/>
          </w:tcPr>
          <w:p>
            <w:pPr>
              <w:pStyle w:val="TableParagraph"/>
              <w:ind w:right="131"/>
              <w:jc w:val="right"/>
              <w:rPr>
                <w:sz w:val="17"/>
              </w:rPr>
            </w:pPr>
            <w:r>
              <w:rPr>
                <w:color w:val="231F20"/>
                <w:sz w:val="17"/>
              </w:rPr>
              <w:t>4.55</w:t>
            </w:r>
          </w:p>
        </w:tc>
        <w:tc>
          <w:tcPr>
            <w:tcW w:w="612" w:type="dxa"/>
          </w:tcPr>
          <w:p>
            <w:pPr>
              <w:pStyle w:val="TableParagraph"/>
              <w:ind w:left="133"/>
              <w:jc w:val="left"/>
              <w:rPr>
                <w:sz w:val="17"/>
              </w:rPr>
            </w:pPr>
            <w:r>
              <w:rPr>
                <w:color w:val="231F20"/>
                <w:w w:val="105"/>
                <w:sz w:val="17"/>
              </w:rPr>
              <w:t>4.02</w:t>
            </w:r>
          </w:p>
        </w:tc>
        <w:tc>
          <w:tcPr>
            <w:tcW w:w="900" w:type="dxa"/>
          </w:tcPr>
          <w:p>
            <w:pPr>
              <w:pStyle w:val="TableParagraph"/>
              <w:ind w:left="145"/>
              <w:jc w:val="left"/>
              <w:rPr>
                <w:sz w:val="17"/>
              </w:rPr>
            </w:pPr>
            <w:r>
              <w:rPr>
                <w:color w:val="231F20"/>
                <w:w w:val="105"/>
                <w:sz w:val="17"/>
              </w:rPr>
              <w:t>3.60</w:t>
            </w:r>
          </w:p>
        </w:tc>
        <w:tc>
          <w:tcPr>
            <w:tcW w:w="1451" w:type="dxa"/>
          </w:tcPr>
          <w:p>
            <w:pPr>
              <w:pStyle w:val="TableParagraph"/>
              <w:ind w:right="641"/>
              <w:jc w:val="right"/>
              <w:rPr>
                <w:sz w:val="17"/>
              </w:rPr>
            </w:pPr>
            <w:r>
              <w:rPr>
                <w:color w:val="231F20"/>
                <w:sz w:val="17"/>
              </w:rPr>
              <w:t>-11.6</w:t>
            </w:r>
          </w:p>
        </w:tc>
        <w:tc>
          <w:tcPr>
            <w:tcW w:w="1629" w:type="dxa"/>
          </w:tcPr>
          <w:p>
            <w:pPr>
              <w:pStyle w:val="TableParagraph"/>
              <w:ind w:right="599"/>
              <w:jc w:val="right"/>
              <w:rPr>
                <w:sz w:val="17"/>
              </w:rPr>
            </w:pPr>
            <w:r>
              <w:rPr>
                <w:color w:val="231F20"/>
                <w:sz w:val="17"/>
              </w:rPr>
              <w:t>-10.4</w:t>
            </w:r>
          </w:p>
        </w:tc>
      </w:tr>
      <w:tr>
        <w:trPr>
          <w:trHeight w:val="210" w:hRule="exact"/>
        </w:trPr>
        <w:tc>
          <w:tcPr>
            <w:tcW w:w="1735" w:type="dxa"/>
          </w:tcPr>
          <w:p>
            <w:pPr>
              <w:pStyle w:val="TableParagraph"/>
              <w:ind w:left="35"/>
              <w:jc w:val="left"/>
              <w:rPr>
                <w:sz w:val="17"/>
              </w:rPr>
            </w:pPr>
            <w:r>
              <w:rPr>
                <w:color w:val="231F20"/>
                <w:w w:val="110"/>
                <w:sz w:val="17"/>
              </w:rPr>
              <w:t>Durango</w:t>
            </w:r>
          </w:p>
        </w:tc>
        <w:tc>
          <w:tcPr>
            <w:tcW w:w="668" w:type="dxa"/>
          </w:tcPr>
          <w:p>
            <w:pPr>
              <w:pStyle w:val="TableParagraph"/>
              <w:ind w:right="131"/>
              <w:jc w:val="right"/>
              <w:rPr>
                <w:sz w:val="17"/>
              </w:rPr>
            </w:pPr>
            <w:r>
              <w:rPr>
                <w:color w:val="231F20"/>
                <w:sz w:val="17"/>
              </w:rPr>
              <w:t>5.09</w:t>
            </w:r>
          </w:p>
        </w:tc>
        <w:tc>
          <w:tcPr>
            <w:tcW w:w="612" w:type="dxa"/>
          </w:tcPr>
          <w:p>
            <w:pPr>
              <w:pStyle w:val="TableParagraph"/>
              <w:ind w:left="133"/>
              <w:jc w:val="left"/>
              <w:rPr>
                <w:sz w:val="17"/>
              </w:rPr>
            </w:pPr>
            <w:r>
              <w:rPr>
                <w:color w:val="231F20"/>
                <w:w w:val="105"/>
                <w:sz w:val="17"/>
              </w:rPr>
              <w:t>4.44</w:t>
            </w:r>
          </w:p>
        </w:tc>
        <w:tc>
          <w:tcPr>
            <w:tcW w:w="900" w:type="dxa"/>
          </w:tcPr>
          <w:p>
            <w:pPr>
              <w:pStyle w:val="TableParagraph"/>
              <w:ind w:left="145"/>
              <w:jc w:val="left"/>
              <w:rPr>
                <w:sz w:val="17"/>
              </w:rPr>
            </w:pPr>
            <w:r>
              <w:rPr>
                <w:color w:val="231F20"/>
                <w:w w:val="105"/>
                <w:sz w:val="17"/>
              </w:rPr>
              <w:t>4.02</w:t>
            </w:r>
          </w:p>
        </w:tc>
        <w:tc>
          <w:tcPr>
            <w:tcW w:w="1451" w:type="dxa"/>
          </w:tcPr>
          <w:p>
            <w:pPr>
              <w:pStyle w:val="TableParagraph"/>
              <w:ind w:right="641"/>
              <w:jc w:val="right"/>
              <w:rPr>
                <w:sz w:val="17"/>
              </w:rPr>
            </w:pPr>
            <w:r>
              <w:rPr>
                <w:color w:val="231F20"/>
                <w:sz w:val="17"/>
              </w:rPr>
              <w:t>-12.8</w:t>
            </w:r>
          </w:p>
        </w:tc>
        <w:tc>
          <w:tcPr>
            <w:tcW w:w="1629" w:type="dxa"/>
          </w:tcPr>
          <w:p>
            <w:pPr>
              <w:pStyle w:val="TableParagraph"/>
              <w:ind w:right="599"/>
              <w:jc w:val="right"/>
              <w:rPr>
                <w:sz w:val="17"/>
              </w:rPr>
            </w:pPr>
            <w:r>
              <w:rPr>
                <w:color w:val="231F20"/>
                <w:sz w:val="17"/>
              </w:rPr>
              <w:t>-9.5</w:t>
            </w:r>
          </w:p>
        </w:tc>
      </w:tr>
      <w:tr>
        <w:trPr>
          <w:trHeight w:val="210" w:hRule="exact"/>
        </w:trPr>
        <w:tc>
          <w:tcPr>
            <w:tcW w:w="1735" w:type="dxa"/>
          </w:tcPr>
          <w:p>
            <w:pPr>
              <w:pStyle w:val="TableParagraph"/>
              <w:ind w:left="35"/>
              <w:jc w:val="left"/>
              <w:rPr>
                <w:sz w:val="17"/>
              </w:rPr>
            </w:pPr>
            <w:r>
              <w:rPr>
                <w:color w:val="231F20"/>
                <w:w w:val="110"/>
                <w:sz w:val="17"/>
              </w:rPr>
              <w:t>Guanajuato</w:t>
            </w:r>
          </w:p>
        </w:tc>
        <w:tc>
          <w:tcPr>
            <w:tcW w:w="668" w:type="dxa"/>
          </w:tcPr>
          <w:p>
            <w:pPr>
              <w:pStyle w:val="TableParagraph"/>
              <w:ind w:right="131"/>
              <w:jc w:val="right"/>
              <w:rPr>
                <w:sz w:val="17"/>
              </w:rPr>
            </w:pPr>
            <w:r>
              <w:rPr>
                <w:color w:val="231F20"/>
                <w:sz w:val="17"/>
              </w:rPr>
              <w:t>5.69</w:t>
            </w:r>
          </w:p>
        </w:tc>
        <w:tc>
          <w:tcPr>
            <w:tcW w:w="612" w:type="dxa"/>
          </w:tcPr>
          <w:p>
            <w:pPr>
              <w:pStyle w:val="TableParagraph"/>
              <w:ind w:left="133"/>
              <w:jc w:val="left"/>
              <w:rPr>
                <w:sz w:val="17"/>
              </w:rPr>
            </w:pPr>
            <w:r>
              <w:rPr>
                <w:color w:val="231F20"/>
                <w:w w:val="105"/>
                <w:sz w:val="17"/>
              </w:rPr>
              <w:t>5.03</w:t>
            </w:r>
          </w:p>
        </w:tc>
        <w:tc>
          <w:tcPr>
            <w:tcW w:w="900" w:type="dxa"/>
          </w:tcPr>
          <w:p>
            <w:pPr>
              <w:pStyle w:val="TableParagraph"/>
              <w:ind w:left="145"/>
              <w:jc w:val="left"/>
              <w:rPr>
                <w:sz w:val="17"/>
              </w:rPr>
            </w:pPr>
            <w:r>
              <w:rPr>
                <w:color w:val="231F20"/>
                <w:w w:val="105"/>
                <w:sz w:val="17"/>
              </w:rPr>
              <w:t>4.30</w:t>
            </w:r>
          </w:p>
        </w:tc>
        <w:tc>
          <w:tcPr>
            <w:tcW w:w="1451" w:type="dxa"/>
          </w:tcPr>
          <w:p>
            <w:pPr>
              <w:pStyle w:val="TableParagraph"/>
              <w:ind w:right="641"/>
              <w:jc w:val="right"/>
              <w:rPr>
                <w:sz w:val="17"/>
              </w:rPr>
            </w:pPr>
            <w:r>
              <w:rPr>
                <w:color w:val="231F20"/>
                <w:sz w:val="17"/>
              </w:rPr>
              <w:t>-11.6</w:t>
            </w:r>
          </w:p>
        </w:tc>
        <w:tc>
          <w:tcPr>
            <w:tcW w:w="1629" w:type="dxa"/>
          </w:tcPr>
          <w:p>
            <w:pPr>
              <w:pStyle w:val="TableParagraph"/>
              <w:ind w:right="599"/>
              <w:jc w:val="right"/>
              <w:rPr>
                <w:sz w:val="17"/>
              </w:rPr>
            </w:pPr>
            <w:r>
              <w:rPr>
                <w:color w:val="231F20"/>
                <w:sz w:val="17"/>
              </w:rPr>
              <w:t>-14.5</w:t>
            </w:r>
          </w:p>
        </w:tc>
      </w:tr>
      <w:tr>
        <w:trPr>
          <w:trHeight w:val="210" w:hRule="exact"/>
        </w:trPr>
        <w:tc>
          <w:tcPr>
            <w:tcW w:w="1735" w:type="dxa"/>
          </w:tcPr>
          <w:p>
            <w:pPr>
              <w:pStyle w:val="TableParagraph"/>
              <w:ind w:left="35"/>
              <w:jc w:val="left"/>
              <w:rPr>
                <w:sz w:val="17"/>
              </w:rPr>
            </w:pPr>
            <w:r>
              <w:rPr>
                <w:color w:val="231F20"/>
                <w:w w:val="110"/>
                <w:sz w:val="17"/>
              </w:rPr>
              <w:t>Guerrero</w:t>
            </w:r>
          </w:p>
        </w:tc>
        <w:tc>
          <w:tcPr>
            <w:tcW w:w="668" w:type="dxa"/>
          </w:tcPr>
          <w:p>
            <w:pPr>
              <w:pStyle w:val="TableParagraph"/>
              <w:ind w:right="131"/>
              <w:jc w:val="right"/>
              <w:rPr>
                <w:sz w:val="17"/>
              </w:rPr>
            </w:pPr>
            <w:r>
              <w:rPr>
                <w:color w:val="231F20"/>
                <w:sz w:val="17"/>
              </w:rPr>
              <w:t>5.13</w:t>
            </w:r>
          </w:p>
        </w:tc>
        <w:tc>
          <w:tcPr>
            <w:tcW w:w="612" w:type="dxa"/>
          </w:tcPr>
          <w:p>
            <w:pPr>
              <w:pStyle w:val="TableParagraph"/>
              <w:ind w:left="133"/>
              <w:jc w:val="left"/>
              <w:rPr>
                <w:sz w:val="17"/>
              </w:rPr>
            </w:pPr>
            <w:r>
              <w:rPr>
                <w:color w:val="231F20"/>
                <w:w w:val="105"/>
                <w:sz w:val="17"/>
              </w:rPr>
              <w:t>4.67</w:t>
            </w:r>
          </w:p>
        </w:tc>
        <w:tc>
          <w:tcPr>
            <w:tcW w:w="900" w:type="dxa"/>
          </w:tcPr>
          <w:p>
            <w:pPr>
              <w:pStyle w:val="TableParagraph"/>
              <w:ind w:left="145"/>
              <w:jc w:val="left"/>
              <w:rPr>
                <w:sz w:val="17"/>
              </w:rPr>
            </w:pPr>
            <w:r>
              <w:rPr>
                <w:color w:val="231F20"/>
                <w:w w:val="105"/>
                <w:sz w:val="17"/>
              </w:rPr>
              <w:t>4.18</w:t>
            </w:r>
          </w:p>
        </w:tc>
        <w:tc>
          <w:tcPr>
            <w:tcW w:w="1451" w:type="dxa"/>
          </w:tcPr>
          <w:p>
            <w:pPr>
              <w:pStyle w:val="TableParagraph"/>
              <w:ind w:right="641"/>
              <w:jc w:val="right"/>
              <w:rPr>
                <w:sz w:val="17"/>
              </w:rPr>
            </w:pPr>
            <w:r>
              <w:rPr>
                <w:color w:val="231F20"/>
                <w:sz w:val="17"/>
              </w:rPr>
              <w:t>-9.0</w:t>
            </w:r>
          </w:p>
        </w:tc>
        <w:tc>
          <w:tcPr>
            <w:tcW w:w="1629" w:type="dxa"/>
          </w:tcPr>
          <w:p>
            <w:pPr>
              <w:pStyle w:val="TableParagraph"/>
              <w:ind w:right="599"/>
              <w:jc w:val="right"/>
              <w:rPr>
                <w:sz w:val="17"/>
              </w:rPr>
            </w:pPr>
            <w:r>
              <w:rPr>
                <w:color w:val="231F20"/>
                <w:sz w:val="17"/>
              </w:rPr>
              <w:t>-10.5</w:t>
            </w:r>
          </w:p>
        </w:tc>
      </w:tr>
      <w:tr>
        <w:trPr>
          <w:trHeight w:val="210" w:hRule="exact"/>
        </w:trPr>
        <w:tc>
          <w:tcPr>
            <w:tcW w:w="1735" w:type="dxa"/>
          </w:tcPr>
          <w:p>
            <w:pPr>
              <w:pStyle w:val="TableParagraph"/>
              <w:ind w:left="35"/>
              <w:jc w:val="left"/>
              <w:rPr>
                <w:sz w:val="17"/>
              </w:rPr>
            </w:pPr>
            <w:r>
              <w:rPr>
                <w:color w:val="231F20"/>
                <w:w w:val="110"/>
                <w:sz w:val="17"/>
              </w:rPr>
              <w:t>Hidalgo</w:t>
            </w:r>
          </w:p>
        </w:tc>
        <w:tc>
          <w:tcPr>
            <w:tcW w:w="668" w:type="dxa"/>
          </w:tcPr>
          <w:p>
            <w:pPr>
              <w:pStyle w:val="TableParagraph"/>
              <w:ind w:right="131"/>
              <w:jc w:val="right"/>
              <w:rPr>
                <w:sz w:val="17"/>
              </w:rPr>
            </w:pPr>
            <w:r>
              <w:rPr>
                <w:color w:val="231F20"/>
                <w:sz w:val="17"/>
              </w:rPr>
              <w:t>5.14</w:t>
            </w:r>
          </w:p>
        </w:tc>
        <w:tc>
          <w:tcPr>
            <w:tcW w:w="612" w:type="dxa"/>
          </w:tcPr>
          <w:p>
            <w:pPr>
              <w:pStyle w:val="TableParagraph"/>
              <w:ind w:left="133"/>
              <w:jc w:val="left"/>
              <w:rPr>
                <w:sz w:val="17"/>
              </w:rPr>
            </w:pPr>
            <w:r>
              <w:rPr>
                <w:color w:val="231F20"/>
                <w:w w:val="105"/>
                <w:sz w:val="17"/>
              </w:rPr>
              <w:t>4.52</w:t>
            </w:r>
          </w:p>
        </w:tc>
        <w:tc>
          <w:tcPr>
            <w:tcW w:w="900" w:type="dxa"/>
          </w:tcPr>
          <w:p>
            <w:pPr>
              <w:pStyle w:val="TableParagraph"/>
              <w:ind w:left="145"/>
              <w:jc w:val="left"/>
              <w:rPr>
                <w:sz w:val="17"/>
              </w:rPr>
            </w:pPr>
            <w:r>
              <w:rPr>
                <w:color w:val="231F20"/>
                <w:w w:val="105"/>
                <w:sz w:val="17"/>
              </w:rPr>
              <w:t>3.98</w:t>
            </w:r>
          </w:p>
        </w:tc>
        <w:tc>
          <w:tcPr>
            <w:tcW w:w="1451" w:type="dxa"/>
          </w:tcPr>
          <w:p>
            <w:pPr>
              <w:pStyle w:val="TableParagraph"/>
              <w:ind w:right="641"/>
              <w:jc w:val="right"/>
              <w:rPr>
                <w:sz w:val="17"/>
              </w:rPr>
            </w:pPr>
            <w:r>
              <w:rPr>
                <w:color w:val="231F20"/>
                <w:sz w:val="17"/>
              </w:rPr>
              <w:t>-12.1</w:t>
            </w:r>
          </w:p>
        </w:tc>
        <w:tc>
          <w:tcPr>
            <w:tcW w:w="1629" w:type="dxa"/>
          </w:tcPr>
          <w:p>
            <w:pPr>
              <w:pStyle w:val="TableParagraph"/>
              <w:ind w:right="599"/>
              <w:jc w:val="right"/>
              <w:rPr>
                <w:sz w:val="17"/>
              </w:rPr>
            </w:pPr>
            <w:r>
              <w:rPr>
                <w:color w:val="231F20"/>
                <w:sz w:val="17"/>
              </w:rPr>
              <w:t>-11.9</w:t>
            </w:r>
          </w:p>
        </w:tc>
      </w:tr>
      <w:tr>
        <w:trPr>
          <w:trHeight w:val="210" w:hRule="exact"/>
        </w:trPr>
        <w:tc>
          <w:tcPr>
            <w:tcW w:w="1735" w:type="dxa"/>
          </w:tcPr>
          <w:p>
            <w:pPr>
              <w:pStyle w:val="TableParagraph"/>
              <w:ind w:left="35"/>
              <w:jc w:val="left"/>
              <w:rPr>
                <w:sz w:val="17"/>
              </w:rPr>
            </w:pPr>
            <w:r>
              <w:rPr>
                <w:color w:val="231F20"/>
                <w:w w:val="115"/>
                <w:sz w:val="17"/>
              </w:rPr>
              <w:t>Jalisco</w:t>
            </w:r>
          </w:p>
        </w:tc>
        <w:tc>
          <w:tcPr>
            <w:tcW w:w="668" w:type="dxa"/>
          </w:tcPr>
          <w:p>
            <w:pPr>
              <w:pStyle w:val="TableParagraph"/>
              <w:ind w:right="131"/>
              <w:jc w:val="right"/>
              <w:rPr>
                <w:sz w:val="17"/>
              </w:rPr>
            </w:pPr>
            <w:r>
              <w:rPr>
                <w:color w:val="231F20"/>
                <w:sz w:val="17"/>
              </w:rPr>
              <w:t>5.07</w:t>
            </w:r>
          </w:p>
        </w:tc>
        <w:tc>
          <w:tcPr>
            <w:tcW w:w="612" w:type="dxa"/>
          </w:tcPr>
          <w:p>
            <w:pPr>
              <w:pStyle w:val="TableParagraph"/>
              <w:ind w:left="133"/>
              <w:jc w:val="left"/>
              <w:rPr>
                <w:sz w:val="17"/>
              </w:rPr>
            </w:pPr>
            <w:r>
              <w:rPr>
                <w:color w:val="231F20"/>
                <w:w w:val="105"/>
                <w:sz w:val="17"/>
              </w:rPr>
              <w:t>4.52</w:t>
            </w:r>
          </w:p>
        </w:tc>
        <w:tc>
          <w:tcPr>
            <w:tcW w:w="900" w:type="dxa"/>
          </w:tcPr>
          <w:p>
            <w:pPr>
              <w:pStyle w:val="TableParagraph"/>
              <w:ind w:left="145"/>
              <w:jc w:val="left"/>
              <w:rPr>
                <w:sz w:val="17"/>
              </w:rPr>
            </w:pPr>
            <w:r>
              <w:rPr>
                <w:color w:val="231F20"/>
                <w:w w:val="105"/>
                <w:sz w:val="17"/>
              </w:rPr>
              <w:t>4.01</w:t>
            </w:r>
          </w:p>
        </w:tc>
        <w:tc>
          <w:tcPr>
            <w:tcW w:w="1451" w:type="dxa"/>
          </w:tcPr>
          <w:p>
            <w:pPr>
              <w:pStyle w:val="TableParagraph"/>
              <w:ind w:right="641"/>
              <w:jc w:val="right"/>
              <w:rPr>
                <w:sz w:val="17"/>
              </w:rPr>
            </w:pPr>
            <w:r>
              <w:rPr>
                <w:color w:val="231F20"/>
                <w:sz w:val="17"/>
              </w:rPr>
              <w:t>-10.8</w:t>
            </w:r>
          </w:p>
        </w:tc>
        <w:tc>
          <w:tcPr>
            <w:tcW w:w="1629" w:type="dxa"/>
          </w:tcPr>
          <w:p>
            <w:pPr>
              <w:pStyle w:val="TableParagraph"/>
              <w:ind w:right="599"/>
              <w:jc w:val="right"/>
              <w:rPr>
                <w:sz w:val="17"/>
              </w:rPr>
            </w:pPr>
            <w:r>
              <w:rPr>
                <w:color w:val="231F20"/>
                <w:sz w:val="17"/>
              </w:rPr>
              <w:t>-11.3</w:t>
            </w:r>
          </w:p>
        </w:tc>
      </w:tr>
      <w:tr>
        <w:trPr>
          <w:trHeight w:val="210" w:hRule="exact"/>
        </w:trPr>
        <w:tc>
          <w:tcPr>
            <w:tcW w:w="1735" w:type="dxa"/>
          </w:tcPr>
          <w:p>
            <w:pPr>
              <w:pStyle w:val="TableParagraph"/>
              <w:ind w:left="35"/>
              <w:jc w:val="left"/>
              <w:rPr>
                <w:sz w:val="17"/>
              </w:rPr>
            </w:pPr>
            <w:r>
              <w:rPr>
                <w:color w:val="231F20"/>
                <w:w w:val="110"/>
                <w:sz w:val="17"/>
              </w:rPr>
              <w:t>México</w:t>
            </w:r>
          </w:p>
        </w:tc>
        <w:tc>
          <w:tcPr>
            <w:tcW w:w="668" w:type="dxa"/>
          </w:tcPr>
          <w:p>
            <w:pPr>
              <w:pStyle w:val="TableParagraph"/>
              <w:ind w:right="131"/>
              <w:jc w:val="right"/>
              <w:rPr>
                <w:sz w:val="17"/>
              </w:rPr>
            </w:pPr>
            <w:r>
              <w:rPr>
                <w:color w:val="231F20"/>
                <w:sz w:val="17"/>
              </w:rPr>
              <w:t>5.18</w:t>
            </w:r>
          </w:p>
        </w:tc>
        <w:tc>
          <w:tcPr>
            <w:tcW w:w="612" w:type="dxa"/>
          </w:tcPr>
          <w:p>
            <w:pPr>
              <w:pStyle w:val="TableParagraph"/>
              <w:ind w:left="133"/>
              <w:jc w:val="left"/>
              <w:rPr>
                <w:sz w:val="17"/>
              </w:rPr>
            </w:pPr>
            <w:r>
              <w:rPr>
                <w:color w:val="231F20"/>
                <w:w w:val="105"/>
                <w:sz w:val="17"/>
              </w:rPr>
              <w:t>4.55</w:t>
            </w:r>
          </w:p>
        </w:tc>
        <w:tc>
          <w:tcPr>
            <w:tcW w:w="900" w:type="dxa"/>
          </w:tcPr>
          <w:p>
            <w:pPr>
              <w:pStyle w:val="TableParagraph"/>
              <w:ind w:left="145"/>
              <w:jc w:val="left"/>
              <w:rPr>
                <w:sz w:val="17"/>
              </w:rPr>
            </w:pPr>
            <w:r>
              <w:rPr>
                <w:color w:val="231F20"/>
                <w:w w:val="105"/>
                <w:sz w:val="17"/>
              </w:rPr>
              <w:t>4.06</w:t>
            </w:r>
          </w:p>
        </w:tc>
        <w:tc>
          <w:tcPr>
            <w:tcW w:w="1451" w:type="dxa"/>
          </w:tcPr>
          <w:p>
            <w:pPr>
              <w:pStyle w:val="TableParagraph"/>
              <w:ind w:right="641"/>
              <w:jc w:val="right"/>
              <w:rPr>
                <w:sz w:val="17"/>
              </w:rPr>
            </w:pPr>
            <w:r>
              <w:rPr>
                <w:color w:val="231F20"/>
                <w:sz w:val="17"/>
              </w:rPr>
              <w:t>-12.2</w:t>
            </w:r>
          </w:p>
        </w:tc>
        <w:tc>
          <w:tcPr>
            <w:tcW w:w="1629" w:type="dxa"/>
          </w:tcPr>
          <w:p>
            <w:pPr>
              <w:pStyle w:val="TableParagraph"/>
              <w:ind w:right="599"/>
              <w:jc w:val="right"/>
              <w:rPr>
                <w:sz w:val="17"/>
              </w:rPr>
            </w:pPr>
            <w:r>
              <w:rPr>
                <w:color w:val="231F20"/>
                <w:sz w:val="17"/>
              </w:rPr>
              <w:t>-10.8</w:t>
            </w:r>
          </w:p>
        </w:tc>
      </w:tr>
      <w:tr>
        <w:trPr>
          <w:trHeight w:val="210" w:hRule="exact"/>
        </w:trPr>
        <w:tc>
          <w:tcPr>
            <w:tcW w:w="1735" w:type="dxa"/>
          </w:tcPr>
          <w:p>
            <w:pPr>
              <w:pStyle w:val="TableParagraph"/>
              <w:ind w:left="35"/>
              <w:jc w:val="left"/>
              <w:rPr>
                <w:sz w:val="17"/>
              </w:rPr>
            </w:pPr>
            <w:r>
              <w:rPr>
                <w:color w:val="231F20"/>
                <w:w w:val="110"/>
                <w:sz w:val="17"/>
              </w:rPr>
              <w:t>Michoacán</w:t>
            </w:r>
          </w:p>
        </w:tc>
        <w:tc>
          <w:tcPr>
            <w:tcW w:w="668" w:type="dxa"/>
          </w:tcPr>
          <w:p>
            <w:pPr>
              <w:pStyle w:val="TableParagraph"/>
              <w:ind w:right="131"/>
              <w:jc w:val="right"/>
              <w:rPr>
                <w:sz w:val="17"/>
              </w:rPr>
            </w:pPr>
            <w:r>
              <w:rPr>
                <w:color w:val="231F20"/>
                <w:sz w:val="17"/>
              </w:rPr>
              <w:t>5.25</w:t>
            </w:r>
          </w:p>
        </w:tc>
        <w:tc>
          <w:tcPr>
            <w:tcW w:w="612" w:type="dxa"/>
          </w:tcPr>
          <w:p>
            <w:pPr>
              <w:pStyle w:val="TableParagraph"/>
              <w:ind w:left="133"/>
              <w:jc w:val="left"/>
              <w:rPr>
                <w:sz w:val="17"/>
              </w:rPr>
            </w:pPr>
            <w:r>
              <w:rPr>
                <w:color w:val="231F20"/>
                <w:w w:val="105"/>
                <w:sz w:val="17"/>
              </w:rPr>
              <w:t>4.65</w:t>
            </w:r>
          </w:p>
        </w:tc>
        <w:tc>
          <w:tcPr>
            <w:tcW w:w="900" w:type="dxa"/>
          </w:tcPr>
          <w:p>
            <w:pPr>
              <w:pStyle w:val="TableParagraph"/>
              <w:ind w:left="145"/>
              <w:jc w:val="left"/>
              <w:rPr>
                <w:sz w:val="17"/>
              </w:rPr>
            </w:pPr>
            <w:r>
              <w:rPr>
                <w:color w:val="231F20"/>
                <w:w w:val="105"/>
                <w:sz w:val="17"/>
              </w:rPr>
              <w:t>4.02</w:t>
            </w:r>
          </w:p>
        </w:tc>
        <w:tc>
          <w:tcPr>
            <w:tcW w:w="1451" w:type="dxa"/>
          </w:tcPr>
          <w:p>
            <w:pPr>
              <w:pStyle w:val="TableParagraph"/>
              <w:ind w:right="641"/>
              <w:jc w:val="right"/>
              <w:rPr>
                <w:sz w:val="17"/>
              </w:rPr>
            </w:pPr>
            <w:r>
              <w:rPr>
                <w:color w:val="231F20"/>
                <w:sz w:val="17"/>
              </w:rPr>
              <w:t>-11.4</w:t>
            </w:r>
          </w:p>
        </w:tc>
        <w:tc>
          <w:tcPr>
            <w:tcW w:w="1629" w:type="dxa"/>
          </w:tcPr>
          <w:p>
            <w:pPr>
              <w:pStyle w:val="TableParagraph"/>
              <w:ind w:right="599"/>
              <w:jc w:val="right"/>
              <w:rPr>
                <w:sz w:val="17"/>
              </w:rPr>
            </w:pPr>
            <w:r>
              <w:rPr>
                <w:color w:val="231F20"/>
                <w:sz w:val="17"/>
              </w:rPr>
              <w:t>-13.5</w:t>
            </w:r>
          </w:p>
        </w:tc>
      </w:tr>
      <w:tr>
        <w:trPr>
          <w:trHeight w:val="210" w:hRule="exact"/>
        </w:trPr>
        <w:tc>
          <w:tcPr>
            <w:tcW w:w="1735" w:type="dxa"/>
          </w:tcPr>
          <w:p>
            <w:pPr>
              <w:pStyle w:val="TableParagraph"/>
              <w:ind w:left="35"/>
              <w:jc w:val="left"/>
              <w:rPr>
                <w:sz w:val="17"/>
              </w:rPr>
            </w:pPr>
            <w:r>
              <w:rPr>
                <w:color w:val="231F20"/>
                <w:w w:val="110"/>
                <w:sz w:val="17"/>
              </w:rPr>
              <w:t>Morelos</w:t>
            </w:r>
          </w:p>
        </w:tc>
        <w:tc>
          <w:tcPr>
            <w:tcW w:w="668" w:type="dxa"/>
          </w:tcPr>
          <w:p>
            <w:pPr>
              <w:pStyle w:val="TableParagraph"/>
              <w:ind w:right="131"/>
              <w:jc w:val="right"/>
              <w:rPr>
                <w:sz w:val="17"/>
              </w:rPr>
            </w:pPr>
            <w:r>
              <w:rPr>
                <w:color w:val="231F20"/>
                <w:sz w:val="17"/>
              </w:rPr>
              <w:t>4.82</w:t>
            </w:r>
          </w:p>
        </w:tc>
        <w:tc>
          <w:tcPr>
            <w:tcW w:w="612" w:type="dxa"/>
          </w:tcPr>
          <w:p>
            <w:pPr>
              <w:pStyle w:val="TableParagraph"/>
              <w:ind w:left="133"/>
              <w:jc w:val="left"/>
              <w:rPr>
                <w:sz w:val="17"/>
              </w:rPr>
            </w:pPr>
            <w:r>
              <w:rPr>
                <w:color w:val="231F20"/>
                <w:w w:val="105"/>
                <w:sz w:val="17"/>
              </w:rPr>
              <w:t>4.22</w:t>
            </w:r>
          </w:p>
        </w:tc>
        <w:tc>
          <w:tcPr>
            <w:tcW w:w="900" w:type="dxa"/>
          </w:tcPr>
          <w:p>
            <w:pPr>
              <w:pStyle w:val="TableParagraph"/>
              <w:ind w:left="145"/>
              <w:jc w:val="left"/>
              <w:rPr>
                <w:sz w:val="17"/>
              </w:rPr>
            </w:pPr>
            <w:r>
              <w:rPr>
                <w:color w:val="231F20"/>
                <w:w w:val="105"/>
                <w:sz w:val="17"/>
              </w:rPr>
              <w:t>3.79</w:t>
            </w:r>
          </w:p>
        </w:tc>
        <w:tc>
          <w:tcPr>
            <w:tcW w:w="1451" w:type="dxa"/>
          </w:tcPr>
          <w:p>
            <w:pPr>
              <w:pStyle w:val="TableParagraph"/>
              <w:ind w:right="641"/>
              <w:jc w:val="right"/>
              <w:rPr>
                <w:sz w:val="17"/>
              </w:rPr>
            </w:pPr>
            <w:r>
              <w:rPr>
                <w:color w:val="231F20"/>
                <w:sz w:val="17"/>
              </w:rPr>
              <w:t>-12.4</w:t>
            </w:r>
          </w:p>
        </w:tc>
        <w:tc>
          <w:tcPr>
            <w:tcW w:w="1629" w:type="dxa"/>
          </w:tcPr>
          <w:p>
            <w:pPr>
              <w:pStyle w:val="TableParagraph"/>
              <w:ind w:right="599"/>
              <w:jc w:val="right"/>
              <w:rPr>
                <w:sz w:val="17"/>
              </w:rPr>
            </w:pPr>
            <w:r>
              <w:rPr>
                <w:color w:val="231F20"/>
                <w:sz w:val="17"/>
              </w:rPr>
              <w:t>-10.2</w:t>
            </w:r>
          </w:p>
        </w:tc>
      </w:tr>
      <w:tr>
        <w:trPr>
          <w:trHeight w:val="210" w:hRule="exact"/>
        </w:trPr>
        <w:tc>
          <w:tcPr>
            <w:tcW w:w="1735" w:type="dxa"/>
          </w:tcPr>
          <w:p>
            <w:pPr>
              <w:pStyle w:val="TableParagraph"/>
              <w:ind w:left="35"/>
              <w:jc w:val="left"/>
              <w:rPr>
                <w:sz w:val="17"/>
              </w:rPr>
            </w:pPr>
            <w:r>
              <w:rPr>
                <w:color w:val="231F20"/>
                <w:w w:val="110"/>
                <w:sz w:val="17"/>
              </w:rPr>
              <w:t>Nayarit</w:t>
            </w:r>
          </w:p>
        </w:tc>
        <w:tc>
          <w:tcPr>
            <w:tcW w:w="668" w:type="dxa"/>
          </w:tcPr>
          <w:p>
            <w:pPr>
              <w:pStyle w:val="TableParagraph"/>
              <w:ind w:right="131"/>
              <w:jc w:val="right"/>
              <w:rPr>
                <w:sz w:val="17"/>
              </w:rPr>
            </w:pPr>
            <w:r>
              <w:rPr>
                <w:color w:val="231F20"/>
                <w:sz w:val="17"/>
              </w:rPr>
              <w:t>4.78</w:t>
            </w:r>
          </w:p>
        </w:tc>
        <w:tc>
          <w:tcPr>
            <w:tcW w:w="612" w:type="dxa"/>
          </w:tcPr>
          <w:p>
            <w:pPr>
              <w:pStyle w:val="TableParagraph"/>
              <w:ind w:left="133"/>
              <w:jc w:val="left"/>
              <w:rPr>
                <w:sz w:val="17"/>
              </w:rPr>
            </w:pPr>
            <w:r>
              <w:rPr>
                <w:color w:val="231F20"/>
                <w:w w:val="105"/>
                <w:sz w:val="17"/>
              </w:rPr>
              <w:t>4.14</w:t>
            </w:r>
          </w:p>
        </w:tc>
        <w:tc>
          <w:tcPr>
            <w:tcW w:w="900" w:type="dxa"/>
          </w:tcPr>
          <w:p>
            <w:pPr>
              <w:pStyle w:val="TableParagraph"/>
              <w:ind w:left="145"/>
              <w:jc w:val="left"/>
              <w:rPr>
                <w:sz w:val="17"/>
              </w:rPr>
            </w:pPr>
            <w:r>
              <w:rPr>
                <w:color w:val="231F20"/>
                <w:w w:val="105"/>
                <w:sz w:val="17"/>
              </w:rPr>
              <w:t>3.71</w:t>
            </w:r>
          </w:p>
        </w:tc>
        <w:tc>
          <w:tcPr>
            <w:tcW w:w="1451" w:type="dxa"/>
          </w:tcPr>
          <w:p>
            <w:pPr>
              <w:pStyle w:val="TableParagraph"/>
              <w:ind w:right="641"/>
              <w:jc w:val="right"/>
              <w:rPr>
                <w:sz w:val="17"/>
              </w:rPr>
            </w:pPr>
            <w:r>
              <w:rPr>
                <w:color w:val="231F20"/>
                <w:sz w:val="17"/>
              </w:rPr>
              <w:t>-13.4</w:t>
            </w:r>
          </w:p>
        </w:tc>
        <w:tc>
          <w:tcPr>
            <w:tcW w:w="1629" w:type="dxa"/>
          </w:tcPr>
          <w:p>
            <w:pPr>
              <w:pStyle w:val="TableParagraph"/>
              <w:ind w:right="599"/>
              <w:jc w:val="right"/>
              <w:rPr>
                <w:sz w:val="17"/>
              </w:rPr>
            </w:pPr>
            <w:r>
              <w:rPr>
                <w:color w:val="231F20"/>
                <w:sz w:val="17"/>
              </w:rPr>
              <w:t>-10.4</w:t>
            </w:r>
          </w:p>
        </w:tc>
      </w:tr>
      <w:tr>
        <w:trPr>
          <w:trHeight w:val="210" w:hRule="exact"/>
        </w:trPr>
        <w:tc>
          <w:tcPr>
            <w:tcW w:w="1735" w:type="dxa"/>
          </w:tcPr>
          <w:p>
            <w:pPr>
              <w:pStyle w:val="TableParagraph"/>
              <w:ind w:left="35"/>
              <w:jc w:val="left"/>
              <w:rPr>
                <w:sz w:val="17"/>
              </w:rPr>
            </w:pPr>
            <w:r>
              <w:rPr>
                <w:color w:val="231F20"/>
                <w:w w:val="110"/>
                <w:sz w:val="17"/>
              </w:rPr>
              <w:t>Nuevo León</w:t>
            </w:r>
          </w:p>
        </w:tc>
        <w:tc>
          <w:tcPr>
            <w:tcW w:w="668" w:type="dxa"/>
          </w:tcPr>
          <w:p>
            <w:pPr>
              <w:pStyle w:val="TableParagraph"/>
              <w:ind w:right="131"/>
              <w:jc w:val="right"/>
              <w:rPr>
                <w:sz w:val="17"/>
              </w:rPr>
            </w:pPr>
            <w:r>
              <w:rPr>
                <w:color w:val="231F20"/>
                <w:sz w:val="17"/>
              </w:rPr>
              <w:t>4.78</w:t>
            </w:r>
          </w:p>
        </w:tc>
        <w:tc>
          <w:tcPr>
            <w:tcW w:w="612" w:type="dxa"/>
          </w:tcPr>
          <w:p>
            <w:pPr>
              <w:pStyle w:val="TableParagraph"/>
              <w:ind w:left="133"/>
              <w:jc w:val="left"/>
              <w:rPr>
                <w:sz w:val="17"/>
              </w:rPr>
            </w:pPr>
            <w:r>
              <w:rPr>
                <w:color w:val="231F20"/>
                <w:w w:val="105"/>
                <w:sz w:val="17"/>
              </w:rPr>
              <w:t>4.30</w:t>
            </w:r>
          </w:p>
        </w:tc>
        <w:tc>
          <w:tcPr>
            <w:tcW w:w="900" w:type="dxa"/>
          </w:tcPr>
          <w:p>
            <w:pPr>
              <w:pStyle w:val="TableParagraph"/>
              <w:ind w:left="145"/>
              <w:jc w:val="left"/>
              <w:rPr>
                <w:sz w:val="17"/>
              </w:rPr>
            </w:pPr>
            <w:r>
              <w:rPr>
                <w:color w:val="231F20"/>
                <w:w w:val="105"/>
                <w:sz w:val="17"/>
              </w:rPr>
              <w:t>3.85</w:t>
            </w:r>
          </w:p>
        </w:tc>
        <w:tc>
          <w:tcPr>
            <w:tcW w:w="1451" w:type="dxa"/>
          </w:tcPr>
          <w:p>
            <w:pPr>
              <w:pStyle w:val="TableParagraph"/>
              <w:ind w:right="641"/>
              <w:jc w:val="right"/>
              <w:rPr>
                <w:sz w:val="17"/>
              </w:rPr>
            </w:pPr>
            <w:r>
              <w:rPr>
                <w:color w:val="231F20"/>
                <w:sz w:val="17"/>
              </w:rPr>
              <w:t>-10.0</w:t>
            </w:r>
          </w:p>
        </w:tc>
        <w:tc>
          <w:tcPr>
            <w:tcW w:w="1629" w:type="dxa"/>
          </w:tcPr>
          <w:p>
            <w:pPr>
              <w:pStyle w:val="TableParagraph"/>
              <w:ind w:right="599"/>
              <w:jc w:val="right"/>
              <w:rPr>
                <w:sz w:val="17"/>
              </w:rPr>
            </w:pPr>
            <w:r>
              <w:rPr>
                <w:color w:val="231F20"/>
                <w:sz w:val="17"/>
              </w:rPr>
              <w:t>-10.5</w:t>
            </w:r>
          </w:p>
        </w:tc>
      </w:tr>
      <w:tr>
        <w:trPr>
          <w:trHeight w:val="210" w:hRule="exact"/>
        </w:trPr>
        <w:tc>
          <w:tcPr>
            <w:tcW w:w="1735" w:type="dxa"/>
          </w:tcPr>
          <w:p>
            <w:pPr>
              <w:pStyle w:val="TableParagraph"/>
              <w:ind w:left="35"/>
              <w:jc w:val="left"/>
              <w:rPr>
                <w:sz w:val="17"/>
              </w:rPr>
            </w:pPr>
            <w:r>
              <w:rPr>
                <w:color w:val="231F20"/>
                <w:w w:val="115"/>
                <w:sz w:val="17"/>
              </w:rPr>
              <w:t>Oaxaca</w:t>
            </w:r>
          </w:p>
        </w:tc>
        <w:tc>
          <w:tcPr>
            <w:tcW w:w="668" w:type="dxa"/>
          </w:tcPr>
          <w:p>
            <w:pPr>
              <w:pStyle w:val="TableParagraph"/>
              <w:ind w:right="131"/>
              <w:jc w:val="right"/>
              <w:rPr>
                <w:sz w:val="17"/>
              </w:rPr>
            </w:pPr>
            <w:r>
              <w:rPr>
                <w:color w:val="231F20"/>
                <w:sz w:val="17"/>
              </w:rPr>
              <w:t>5.09</w:t>
            </w:r>
          </w:p>
        </w:tc>
        <w:tc>
          <w:tcPr>
            <w:tcW w:w="612" w:type="dxa"/>
          </w:tcPr>
          <w:p>
            <w:pPr>
              <w:pStyle w:val="TableParagraph"/>
              <w:ind w:left="133"/>
              <w:jc w:val="left"/>
              <w:rPr>
                <w:sz w:val="17"/>
              </w:rPr>
            </w:pPr>
            <w:r>
              <w:rPr>
                <w:color w:val="231F20"/>
                <w:w w:val="105"/>
                <w:sz w:val="17"/>
              </w:rPr>
              <w:t>4.63</w:t>
            </w:r>
          </w:p>
        </w:tc>
        <w:tc>
          <w:tcPr>
            <w:tcW w:w="900" w:type="dxa"/>
          </w:tcPr>
          <w:p>
            <w:pPr>
              <w:pStyle w:val="TableParagraph"/>
              <w:ind w:left="145"/>
              <w:jc w:val="left"/>
              <w:rPr>
                <w:sz w:val="17"/>
              </w:rPr>
            </w:pPr>
            <w:r>
              <w:rPr>
                <w:color w:val="231F20"/>
                <w:w w:val="105"/>
                <w:sz w:val="17"/>
              </w:rPr>
              <w:t>4.04</w:t>
            </w:r>
          </w:p>
        </w:tc>
        <w:tc>
          <w:tcPr>
            <w:tcW w:w="1451" w:type="dxa"/>
          </w:tcPr>
          <w:p>
            <w:pPr>
              <w:pStyle w:val="TableParagraph"/>
              <w:ind w:right="641"/>
              <w:jc w:val="right"/>
              <w:rPr>
                <w:sz w:val="17"/>
              </w:rPr>
            </w:pPr>
            <w:r>
              <w:rPr>
                <w:color w:val="231F20"/>
                <w:sz w:val="17"/>
              </w:rPr>
              <w:t>-9.0</w:t>
            </w:r>
          </w:p>
        </w:tc>
        <w:tc>
          <w:tcPr>
            <w:tcW w:w="1629" w:type="dxa"/>
          </w:tcPr>
          <w:p>
            <w:pPr>
              <w:pStyle w:val="TableParagraph"/>
              <w:ind w:right="599"/>
              <w:jc w:val="right"/>
              <w:rPr>
                <w:sz w:val="17"/>
              </w:rPr>
            </w:pPr>
            <w:r>
              <w:rPr>
                <w:color w:val="231F20"/>
                <w:sz w:val="17"/>
              </w:rPr>
              <w:t>-12.7</w:t>
            </w:r>
          </w:p>
        </w:tc>
      </w:tr>
      <w:tr>
        <w:trPr>
          <w:trHeight w:val="210" w:hRule="exact"/>
        </w:trPr>
        <w:tc>
          <w:tcPr>
            <w:tcW w:w="1735" w:type="dxa"/>
          </w:tcPr>
          <w:p>
            <w:pPr>
              <w:pStyle w:val="TableParagraph"/>
              <w:ind w:left="35"/>
              <w:jc w:val="left"/>
              <w:rPr>
                <w:sz w:val="17"/>
              </w:rPr>
            </w:pPr>
            <w:r>
              <w:rPr>
                <w:color w:val="231F20"/>
                <w:w w:val="105"/>
                <w:sz w:val="17"/>
              </w:rPr>
              <w:t>Puebla</w:t>
            </w:r>
          </w:p>
        </w:tc>
        <w:tc>
          <w:tcPr>
            <w:tcW w:w="668" w:type="dxa"/>
          </w:tcPr>
          <w:p>
            <w:pPr>
              <w:pStyle w:val="TableParagraph"/>
              <w:ind w:right="131"/>
              <w:jc w:val="right"/>
              <w:rPr>
                <w:sz w:val="17"/>
              </w:rPr>
            </w:pPr>
            <w:r>
              <w:rPr>
                <w:color w:val="231F20"/>
                <w:sz w:val="17"/>
              </w:rPr>
              <w:t>5.30</w:t>
            </w:r>
          </w:p>
        </w:tc>
        <w:tc>
          <w:tcPr>
            <w:tcW w:w="612" w:type="dxa"/>
          </w:tcPr>
          <w:p>
            <w:pPr>
              <w:pStyle w:val="TableParagraph"/>
              <w:ind w:left="133"/>
              <w:jc w:val="left"/>
              <w:rPr>
                <w:sz w:val="17"/>
              </w:rPr>
            </w:pPr>
            <w:r>
              <w:rPr>
                <w:color w:val="231F20"/>
                <w:w w:val="105"/>
                <w:sz w:val="17"/>
              </w:rPr>
              <w:t>4.78</w:t>
            </w:r>
          </w:p>
        </w:tc>
        <w:tc>
          <w:tcPr>
            <w:tcW w:w="900" w:type="dxa"/>
          </w:tcPr>
          <w:p>
            <w:pPr>
              <w:pStyle w:val="TableParagraph"/>
              <w:ind w:left="145"/>
              <w:jc w:val="left"/>
              <w:rPr>
                <w:sz w:val="17"/>
              </w:rPr>
            </w:pPr>
            <w:r>
              <w:rPr>
                <w:color w:val="231F20"/>
                <w:w w:val="105"/>
                <w:sz w:val="17"/>
              </w:rPr>
              <w:t>4.16</w:t>
            </w:r>
          </w:p>
        </w:tc>
        <w:tc>
          <w:tcPr>
            <w:tcW w:w="1451" w:type="dxa"/>
          </w:tcPr>
          <w:p>
            <w:pPr>
              <w:pStyle w:val="TableParagraph"/>
              <w:ind w:right="641"/>
              <w:jc w:val="right"/>
              <w:rPr>
                <w:sz w:val="17"/>
              </w:rPr>
            </w:pPr>
            <w:r>
              <w:rPr>
                <w:color w:val="231F20"/>
                <w:sz w:val="17"/>
              </w:rPr>
              <w:t>-9.8</w:t>
            </w:r>
          </w:p>
        </w:tc>
        <w:tc>
          <w:tcPr>
            <w:tcW w:w="1629" w:type="dxa"/>
          </w:tcPr>
          <w:p>
            <w:pPr>
              <w:pStyle w:val="TableParagraph"/>
              <w:ind w:right="598"/>
              <w:jc w:val="right"/>
              <w:rPr>
                <w:sz w:val="17"/>
              </w:rPr>
            </w:pPr>
            <w:r>
              <w:rPr>
                <w:color w:val="231F20"/>
                <w:sz w:val="17"/>
              </w:rPr>
              <w:t>-13.0</w:t>
            </w:r>
          </w:p>
        </w:tc>
      </w:tr>
      <w:tr>
        <w:trPr>
          <w:trHeight w:val="210" w:hRule="exact"/>
        </w:trPr>
        <w:tc>
          <w:tcPr>
            <w:tcW w:w="1735" w:type="dxa"/>
          </w:tcPr>
          <w:p>
            <w:pPr>
              <w:pStyle w:val="TableParagraph"/>
              <w:ind w:left="35"/>
              <w:jc w:val="left"/>
              <w:rPr>
                <w:sz w:val="17"/>
              </w:rPr>
            </w:pPr>
            <w:r>
              <w:rPr>
                <w:color w:val="231F20"/>
                <w:w w:val="110"/>
                <w:sz w:val="17"/>
              </w:rPr>
              <w:t>Querétaro</w:t>
            </w:r>
          </w:p>
        </w:tc>
        <w:tc>
          <w:tcPr>
            <w:tcW w:w="668" w:type="dxa"/>
          </w:tcPr>
          <w:p>
            <w:pPr>
              <w:pStyle w:val="TableParagraph"/>
              <w:ind w:right="131"/>
              <w:jc w:val="right"/>
              <w:rPr>
                <w:sz w:val="17"/>
              </w:rPr>
            </w:pPr>
            <w:r>
              <w:rPr>
                <w:color w:val="231F20"/>
                <w:sz w:val="17"/>
              </w:rPr>
              <w:t>5.36</w:t>
            </w:r>
          </w:p>
        </w:tc>
        <w:tc>
          <w:tcPr>
            <w:tcW w:w="612" w:type="dxa"/>
          </w:tcPr>
          <w:p>
            <w:pPr>
              <w:pStyle w:val="TableParagraph"/>
              <w:ind w:left="133"/>
              <w:jc w:val="left"/>
              <w:rPr>
                <w:sz w:val="17"/>
              </w:rPr>
            </w:pPr>
            <w:r>
              <w:rPr>
                <w:color w:val="231F20"/>
                <w:w w:val="105"/>
                <w:sz w:val="17"/>
              </w:rPr>
              <w:t>4.70</w:t>
            </w:r>
          </w:p>
        </w:tc>
        <w:tc>
          <w:tcPr>
            <w:tcW w:w="900" w:type="dxa"/>
          </w:tcPr>
          <w:p>
            <w:pPr>
              <w:pStyle w:val="TableParagraph"/>
              <w:ind w:left="145"/>
              <w:jc w:val="left"/>
              <w:rPr>
                <w:sz w:val="17"/>
              </w:rPr>
            </w:pPr>
            <w:r>
              <w:rPr>
                <w:color w:val="231F20"/>
                <w:w w:val="105"/>
                <w:sz w:val="17"/>
              </w:rPr>
              <w:t>4.02</w:t>
            </w:r>
          </w:p>
        </w:tc>
        <w:tc>
          <w:tcPr>
            <w:tcW w:w="1451" w:type="dxa"/>
          </w:tcPr>
          <w:p>
            <w:pPr>
              <w:pStyle w:val="TableParagraph"/>
              <w:ind w:right="641"/>
              <w:jc w:val="right"/>
              <w:rPr>
                <w:sz w:val="17"/>
              </w:rPr>
            </w:pPr>
            <w:r>
              <w:rPr>
                <w:color w:val="231F20"/>
                <w:sz w:val="17"/>
              </w:rPr>
              <w:t>-12.3</w:t>
            </w:r>
          </w:p>
        </w:tc>
        <w:tc>
          <w:tcPr>
            <w:tcW w:w="1629" w:type="dxa"/>
          </w:tcPr>
          <w:p>
            <w:pPr>
              <w:pStyle w:val="TableParagraph"/>
              <w:ind w:right="598"/>
              <w:jc w:val="right"/>
              <w:rPr>
                <w:sz w:val="17"/>
              </w:rPr>
            </w:pPr>
            <w:r>
              <w:rPr>
                <w:color w:val="231F20"/>
                <w:sz w:val="17"/>
              </w:rPr>
              <w:t>-14.5</w:t>
            </w:r>
          </w:p>
        </w:tc>
      </w:tr>
      <w:tr>
        <w:trPr>
          <w:trHeight w:val="210" w:hRule="exact"/>
        </w:trPr>
        <w:tc>
          <w:tcPr>
            <w:tcW w:w="1735" w:type="dxa"/>
          </w:tcPr>
          <w:p>
            <w:pPr>
              <w:pStyle w:val="TableParagraph"/>
              <w:ind w:left="35"/>
              <w:jc w:val="left"/>
              <w:rPr>
                <w:sz w:val="17"/>
              </w:rPr>
            </w:pPr>
            <w:r>
              <w:rPr>
                <w:color w:val="231F20"/>
                <w:w w:val="110"/>
                <w:sz w:val="17"/>
              </w:rPr>
              <w:t>Quintana Roo</w:t>
            </w:r>
          </w:p>
        </w:tc>
        <w:tc>
          <w:tcPr>
            <w:tcW w:w="668" w:type="dxa"/>
          </w:tcPr>
          <w:p>
            <w:pPr>
              <w:pStyle w:val="TableParagraph"/>
              <w:ind w:right="131"/>
              <w:jc w:val="right"/>
              <w:rPr>
                <w:sz w:val="17"/>
              </w:rPr>
            </w:pPr>
            <w:r>
              <w:rPr>
                <w:color w:val="231F20"/>
                <w:sz w:val="17"/>
              </w:rPr>
              <w:t>4.65</w:t>
            </w:r>
          </w:p>
        </w:tc>
        <w:tc>
          <w:tcPr>
            <w:tcW w:w="612" w:type="dxa"/>
          </w:tcPr>
          <w:p>
            <w:pPr>
              <w:pStyle w:val="TableParagraph"/>
              <w:ind w:left="133"/>
              <w:jc w:val="left"/>
              <w:rPr>
                <w:sz w:val="17"/>
              </w:rPr>
            </w:pPr>
            <w:r>
              <w:rPr>
                <w:color w:val="231F20"/>
                <w:w w:val="105"/>
                <w:sz w:val="17"/>
              </w:rPr>
              <w:t>4.09</w:t>
            </w:r>
          </w:p>
        </w:tc>
        <w:tc>
          <w:tcPr>
            <w:tcW w:w="900" w:type="dxa"/>
          </w:tcPr>
          <w:p>
            <w:pPr>
              <w:pStyle w:val="TableParagraph"/>
              <w:ind w:left="145"/>
              <w:jc w:val="left"/>
              <w:rPr>
                <w:sz w:val="17"/>
              </w:rPr>
            </w:pPr>
            <w:r>
              <w:rPr>
                <w:color w:val="231F20"/>
                <w:w w:val="105"/>
                <w:sz w:val="17"/>
              </w:rPr>
              <w:t>3.59</w:t>
            </w:r>
          </w:p>
        </w:tc>
        <w:tc>
          <w:tcPr>
            <w:tcW w:w="1451" w:type="dxa"/>
          </w:tcPr>
          <w:p>
            <w:pPr>
              <w:pStyle w:val="TableParagraph"/>
              <w:ind w:right="641"/>
              <w:jc w:val="right"/>
              <w:rPr>
                <w:sz w:val="17"/>
              </w:rPr>
            </w:pPr>
            <w:r>
              <w:rPr>
                <w:color w:val="231F20"/>
                <w:sz w:val="17"/>
              </w:rPr>
              <w:t>-12.0</w:t>
            </w:r>
          </w:p>
        </w:tc>
        <w:tc>
          <w:tcPr>
            <w:tcW w:w="1629" w:type="dxa"/>
          </w:tcPr>
          <w:p>
            <w:pPr>
              <w:pStyle w:val="TableParagraph"/>
              <w:ind w:right="598"/>
              <w:jc w:val="right"/>
              <w:rPr>
                <w:sz w:val="17"/>
              </w:rPr>
            </w:pPr>
            <w:r>
              <w:rPr>
                <w:color w:val="231F20"/>
                <w:sz w:val="17"/>
              </w:rPr>
              <w:t>-12.2</w:t>
            </w:r>
          </w:p>
        </w:tc>
      </w:tr>
      <w:tr>
        <w:trPr>
          <w:trHeight w:val="210" w:hRule="exact"/>
        </w:trPr>
        <w:tc>
          <w:tcPr>
            <w:tcW w:w="1735" w:type="dxa"/>
          </w:tcPr>
          <w:p>
            <w:pPr>
              <w:pStyle w:val="TableParagraph"/>
              <w:ind w:left="35"/>
              <w:jc w:val="left"/>
              <w:rPr>
                <w:sz w:val="17"/>
              </w:rPr>
            </w:pPr>
            <w:r>
              <w:rPr>
                <w:color w:val="231F20"/>
                <w:w w:val="110"/>
                <w:sz w:val="17"/>
              </w:rPr>
              <w:t>San Luis Potosí</w:t>
            </w:r>
          </w:p>
        </w:tc>
        <w:tc>
          <w:tcPr>
            <w:tcW w:w="668" w:type="dxa"/>
          </w:tcPr>
          <w:p>
            <w:pPr>
              <w:pStyle w:val="TableParagraph"/>
              <w:ind w:right="131"/>
              <w:jc w:val="right"/>
              <w:rPr>
                <w:sz w:val="17"/>
              </w:rPr>
            </w:pPr>
            <w:r>
              <w:rPr>
                <w:color w:val="231F20"/>
                <w:sz w:val="17"/>
              </w:rPr>
              <w:t>5.23</w:t>
            </w:r>
          </w:p>
        </w:tc>
        <w:tc>
          <w:tcPr>
            <w:tcW w:w="612" w:type="dxa"/>
          </w:tcPr>
          <w:p>
            <w:pPr>
              <w:pStyle w:val="TableParagraph"/>
              <w:ind w:left="133"/>
              <w:jc w:val="left"/>
              <w:rPr>
                <w:sz w:val="17"/>
              </w:rPr>
            </w:pPr>
            <w:r>
              <w:rPr>
                <w:color w:val="231F20"/>
                <w:w w:val="105"/>
                <w:sz w:val="17"/>
              </w:rPr>
              <w:t>4.66</w:t>
            </w:r>
          </w:p>
        </w:tc>
        <w:tc>
          <w:tcPr>
            <w:tcW w:w="900" w:type="dxa"/>
          </w:tcPr>
          <w:p>
            <w:pPr>
              <w:pStyle w:val="TableParagraph"/>
              <w:ind w:left="145"/>
              <w:jc w:val="left"/>
              <w:rPr>
                <w:sz w:val="17"/>
              </w:rPr>
            </w:pPr>
            <w:r>
              <w:rPr>
                <w:color w:val="231F20"/>
                <w:w w:val="105"/>
                <w:sz w:val="17"/>
              </w:rPr>
              <w:t>4.05</w:t>
            </w:r>
          </w:p>
        </w:tc>
        <w:tc>
          <w:tcPr>
            <w:tcW w:w="1451" w:type="dxa"/>
          </w:tcPr>
          <w:p>
            <w:pPr>
              <w:pStyle w:val="TableParagraph"/>
              <w:ind w:right="641"/>
              <w:jc w:val="right"/>
              <w:rPr>
                <w:sz w:val="17"/>
              </w:rPr>
            </w:pPr>
            <w:r>
              <w:rPr>
                <w:color w:val="231F20"/>
                <w:sz w:val="17"/>
              </w:rPr>
              <w:t>-10.9</w:t>
            </w:r>
          </w:p>
        </w:tc>
        <w:tc>
          <w:tcPr>
            <w:tcW w:w="1629" w:type="dxa"/>
          </w:tcPr>
          <w:p>
            <w:pPr>
              <w:pStyle w:val="TableParagraph"/>
              <w:ind w:right="598"/>
              <w:jc w:val="right"/>
              <w:rPr>
                <w:sz w:val="17"/>
              </w:rPr>
            </w:pPr>
            <w:r>
              <w:rPr>
                <w:color w:val="231F20"/>
                <w:sz w:val="17"/>
              </w:rPr>
              <w:t>-13.1</w:t>
            </w:r>
          </w:p>
        </w:tc>
      </w:tr>
      <w:tr>
        <w:trPr>
          <w:trHeight w:val="210" w:hRule="exact"/>
        </w:trPr>
        <w:tc>
          <w:tcPr>
            <w:tcW w:w="1735" w:type="dxa"/>
          </w:tcPr>
          <w:p>
            <w:pPr>
              <w:pStyle w:val="TableParagraph"/>
              <w:ind w:left="35"/>
              <w:jc w:val="left"/>
              <w:rPr>
                <w:sz w:val="17"/>
              </w:rPr>
            </w:pPr>
            <w:r>
              <w:rPr>
                <w:color w:val="231F20"/>
                <w:w w:val="110"/>
                <w:sz w:val="17"/>
              </w:rPr>
              <w:t>Sinaloa</w:t>
            </w:r>
          </w:p>
        </w:tc>
        <w:tc>
          <w:tcPr>
            <w:tcW w:w="668" w:type="dxa"/>
          </w:tcPr>
          <w:p>
            <w:pPr>
              <w:pStyle w:val="TableParagraph"/>
              <w:ind w:right="131"/>
              <w:jc w:val="right"/>
              <w:rPr>
                <w:sz w:val="17"/>
              </w:rPr>
            </w:pPr>
            <w:r>
              <w:rPr>
                <w:color w:val="231F20"/>
                <w:sz w:val="17"/>
              </w:rPr>
              <w:t>5.14</w:t>
            </w:r>
          </w:p>
        </w:tc>
        <w:tc>
          <w:tcPr>
            <w:tcW w:w="612" w:type="dxa"/>
          </w:tcPr>
          <w:p>
            <w:pPr>
              <w:pStyle w:val="TableParagraph"/>
              <w:ind w:left="133"/>
              <w:jc w:val="left"/>
              <w:rPr>
                <w:sz w:val="17"/>
              </w:rPr>
            </w:pPr>
            <w:r>
              <w:rPr>
                <w:color w:val="231F20"/>
                <w:w w:val="105"/>
                <w:sz w:val="17"/>
              </w:rPr>
              <w:t>4.39</w:t>
            </w:r>
          </w:p>
        </w:tc>
        <w:tc>
          <w:tcPr>
            <w:tcW w:w="900" w:type="dxa"/>
          </w:tcPr>
          <w:p>
            <w:pPr>
              <w:pStyle w:val="TableParagraph"/>
              <w:ind w:left="145"/>
              <w:jc w:val="left"/>
              <w:rPr>
                <w:sz w:val="17"/>
              </w:rPr>
            </w:pPr>
            <w:r>
              <w:rPr>
                <w:color w:val="231F20"/>
                <w:w w:val="105"/>
                <w:sz w:val="17"/>
              </w:rPr>
              <w:t>3.87</w:t>
            </w:r>
          </w:p>
        </w:tc>
        <w:tc>
          <w:tcPr>
            <w:tcW w:w="1451" w:type="dxa"/>
          </w:tcPr>
          <w:p>
            <w:pPr>
              <w:pStyle w:val="TableParagraph"/>
              <w:ind w:right="641"/>
              <w:jc w:val="right"/>
              <w:rPr>
                <w:sz w:val="17"/>
              </w:rPr>
            </w:pPr>
            <w:r>
              <w:rPr>
                <w:color w:val="231F20"/>
                <w:sz w:val="17"/>
              </w:rPr>
              <w:t>-14.6</w:t>
            </w:r>
          </w:p>
        </w:tc>
        <w:tc>
          <w:tcPr>
            <w:tcW w:w="1629" w:type="dxa"/>
          </w:tcPr>
          <w:p>
            <w:pPr>
              <w:pStyle w:val="TableParagraph"/>
              <w:ind w:right="598"/>
              <w:jc w:val="right"/>
              <w:rPr>
                <w:sz w:val="17"/>
              </w:rPr>
            </w:pPr>
            <w:r>
              <w:rPr>
                <w:color w:val="231F20"/>
                <w:sz w:val="17"/>
              </w:rPr>
              <w:t>-11.8</w:t>
            </w:r>
          </w:p>
        </w:tc>
      </w:tr>
      <w:tr>
        <w:trPr>
          <w:trHeight w:val="210" w:hRule="exact"/>
        </w:trPr>
        <w:tc>
          <w:tcPr>
            <w:tcW w:w="1735" w:type="dxa"/>
          </w:tcPr>
          <w:p>
            <w:pPr>
              <w:pStyle w:val="TableParagraph"/>
              <w:ind w:left="35"/>
              <w:jc w:val="left"/>
              <w:rPr>
                <w:sz w:val="17"/>
              </w:rPr>
            </w:pPr>
            <w:r>
              <w:rPr>
                <w:color w:val="231F20"/>
                <w:w w:val="110"/>
                <w:sz w:val="17"/>
              </w:rPr>
              <w:t>Sonora</w:t>
            </w:r>
          </w:p>
        </w:tc>
        <w:tc>
          <w:tcPr>
            <w:tcW w:w="668" w:type="dxa"/>
          </w:tcPr>
          <w:p>
            <w:pPr>
              <w:pStyle w:val="TableParagraph"/>
              <w:ind w:right="131"/>
              <w:jc w:val="right"/>
              <w:rPr>
                <w:sz w:val="17"/>
              </w:rPr>
            </w:pPr>
            <w:r>
              <w:rPr>
                <w:color w:val="231F20"/>
                <w:sz w:val="17"/>
              </w:rPr>
              <w:t>4.74</w:t>
            </w:r>
          </w:p>
        </w:tc>
        <w:tc>
          <w:tcPr>
            <w:tcW w:w="612" w:type="dxa"/>
          </w:tcPr>
          <w:p>
            <w:pPr>
              <w:pStyle w:val="TableParagraph"/>
              <w:ind w:left="133"/>
              <w:jc w:val="left"/>
              <w:rPr>
                <w:sz w:val="17"/>
              </w:rPr>
            </w:pPr>
            <w:r>
              <w:rPr>
                <w:color w:val="231F20"/>
                <w:w w:val="105"/>
                <w:sz w:val="17"/>
              </w:rPr>
              <w:t>4.14</w:t>
            </w:r>
          </w:p>
        </w:tc>
        <w:tc>
          <w:tcPr>
            <w:tcW w:w="900" w:type="dxa"/>
          </w:tcPr>
          <w:p>
            <w:pPr>
              <w:pStyle w:val="TableParagraph"/>
              <w:ind w:left="145"/>
              <w:jc w:val="left"/>
              <w:rPr>
                <w:sz w:val="17"/>
              </w:rPr>
            </w:pPr>
            <w:r>
              <w:rPr>
                <w:color w:val="231F20"/>
                <w:w w:val="105"/>
                <w:sz w:val="17"/>
              </w:rPr>
              <w:t>3.71</w:t>
            </w:r>
          </w:p>
        </w:tc>
        <w:tc>
          <w:tcPr>
            <w:tcW w:w="1451" w:type="dxa"/>
          </w:tcPr>
          <w:p>
            <w:pPr>
              <w:pStyle w:val="TableParagraph"/>
              <w:ind w:right="641"/>
              <w:jc w:val="right"/>
              <w:rPr>
                <w:sz w:val="17"/>
              </w:rPr>
            </w:pPr>
            <w:r>
              <w:rPr>
                <w:color w:val="231F20"/>
                <w:sz w:val="17"/>
              </w:rPr>
              <w:t>-12.7</w:t>
            </w:r>
          </w:p>
        </w:tc>
        <w:tc>
          <w:tcPr>
            <w:tcW w:w="1629" w:type="dxa"/>
          </w:tcPr>
          <w:p>
            <w:pPr>
              <w:pStyle w:val="TableParagraph"/>
              <w:ind w:right="598"/>
              <w:jc w:val="right"/>
              <w:rPr>
                <w:sz w:val="17"/>
              </w:rPr>
            </w:pPr>
            <w:r>
              <w:rPr>
                <w:color w:val="231F20"/>
                <w:sz w:val="17"/>
              </w:rPr>
              <w:t>-10.4</w:t>
            </w:r>
          </w:p>
        </w:tc>
      </w:tr>
      <w:tr>
        <w:trPr>
          <w:trHeight w:val="210" w:hRule="exact"/>
        </w:trPr>
        <w:tc>
          <w:tcPr>
            <w:tcW w:w="1735" w:type="dxa"/>
          </w:tcPr>
          <w:p>
            <w:pPr>
              <w:pStyle w:val="TableParagraph"/>
              <w:ind w:left="35"/>
              <w:jc w:val="left"/>
              <w:rPr>
                <w:sz w:val="17"/>
              </w:rPr>
            </w:pPr>
            <w:r>
              <w:rPr>
                <w:color w:val="231F20"/>
                <w:w w:val="110"/>
                <w:sz w:val="17"/>
              </w:rPr>
              <w:t>Tabasco</w:t>
            </w:r>
          </w:p>
        </w:tc>
        <w:tc>
          <w:tcPr>
            <w:tcW w:w="668" w:type="dxa"/>
          </w:tcPr>
          <w:p>
            <w:pPr>
              <w:pStyle w:val="TableParagraph"/>
              <w:ind w:right="131"/>
              <w:jc w:val="right"/>
              <w:rPr>
                <w:sz w:val="17"/>
              </w:rPr>
            </w:pPr>
            <w:r>
              <w:rPr>
                <w:color w:val="231F20"/>
                <w:sz w:val="17"/>
              </w:rPr>
              <w:t>5.22</w:t>
            </w:r>
          </w:p>
        </w:tc>
        <w:tc>
          <w:tcPr>
            <w:tcW w:w="612" w:type="dxa"/>
          </w:tcPr>
          <w:p>
            <w:pPr>
              <w:pStyle w:val="TableParagraph"/>
              <w:ind w:left="133"/>
              <w:jc w:val="left"/>
              <w:rPr>
                <w:sz w:val="17"/>
              </w:rPr>
            </w:pPr>
            <w:r>
              <w:rPr>
                <w:color w:val="231F20"/>
                <w:w w:val="105"/>
                <w:sz w:val="17"/>
              </w:rPr>
              <w:t>4.57</w:t>
            </w:r>
          </w:p>
        </w:tc>
        <w:tc>
          <w:tcPr>
            <w:tcW w:w="900" w:type="dxa"/>
          </w:tcPr>
          <w:p>
            <w:pPr>
              <w:pStyle w:val="TableParagraph"/>
              <w:ind w:left="145"/>
              <w:jc w:val="left"/>
              <w:rPr>
                <w:sz w:val="17"/>
              </w:rPr>
            </w:pPr>
            <w:r>
              <w:rPr>
                <w:color w:val="231F20"/>
                <w:w w:val="105"/>
                <w:sz w:val="17"/>
              </w:rPr>
              <w:t>3.95</w:t>
            </w:r>
          </w:p>
        </w:tc>
        <w:tc>
          <w:tcPr>
            <w:tcW w:w="1451" w:type="dxa"/>
          </w:tcPr>
          <w:p>
            <w:pPr>
              <w:pStyle w:val="TableParagraph"/>
              <w:ind w:right="641"/>
              <w:jc w:val="right"/>
              <w:rPr>
                <w:sz w:val="17"/>
              </w:rPr>
            </w:pPr>
            <w:r>
              <w:rPr>
                <w:color w:val="231F20"/>
                <w:sz w:val="17"/>
              </w:rPr>
              <w:t>-12.5</w:t>
            </w:r>
          </w:p>
        </w:tc>
        <w:tc>
          <w:tcPr>
            <w:tcW w:w="1629" w:type="dxa"/>
          </w:tcPr>
          <w:p>
            <w:pPr>
              <w:pStyle w:val="TableParagraph"/>
              <w:ind w:right="598"/>
              <w:jc w:val="right"/>
              <w:rPr>
                <w:sz w:val="17"/>
              </w:rPr>
            </w:pPr>
            <w:r>
              <w:rPr>
                <w:color w:val="231F20"/>
                <w:sz w:val="17"/>
              </w:rPr>
              <w:t>-13.6</w:t>
            </w:r>
          </w:p>
        </w:tc>
      </w:tr>
      <w:tr>
        <w:trPr>
          <w:trHeight w:val="210" w:hRule="exact"/>
        </w:trPr>
        <w:tc>
          <w:tcPr>
            <w:tcW w:w="1735" w:type="dxa"/>
          </w:tcPr>
          <w:p>
            <w:pPr>
              <w:pStyle w:val="TableParagraph"/>
              <w:ind w:left="35"/>
              <w:jc w:val="left"/>
              <w:rPr>
                <w:sz w:val="17"/>
              </w:rPr>
            </w:pPr>
            <w:r>
              <w:rPr>
                <w:color w:val="231F20"/>
                <w:w w:val="110"/>
                <w:sz w:val="17"/>
              </w:rPr>
              <w:t>Tamaulipas</w:t>
            </w:r>
          </w:p>
        </w:tc>
        <w:tc>
          <w:tcPr>
            <w:tcW w:w="668" w:type="dxa"/>
          </w:tcPr>
          <w:p>
            <w:pPr>
              <w:pStyle w:val="TableParagraph"/>
              <w:ind w:right="131"/>
              <w:jc w:val="right"/>
              <w:rPr>
                <w:sz w:val="17"/>
              </w:rPr>
            </w:pPr>
            <w:r>
              <w:rPr>
                <w:color w:val="231F20"/>
                <w:sz w:val="17"/>
              </w:rPr>
              <w:t>4.54</w:t>
            </w:r>
          </w:p>
        </w:tc>
        <w:tc>
          <w:tcPr>
            <w:tcW w:w="612" w:type="dxa"/>
          </w:tcPr>
          <w:p>
            <w:pPr>
              <w:pStyle w:val="TableParagraph"/>
              <w:ind w:left="133"/>
              <w:jc w:val="left"/>
              <w:rPr>
                <w:sz w:val="17"/>
              </w:rPr>
            </w:pPr>
            <w:r>
              <w:rPr>
                <w:color w:val="231F20"/>
                <w:w w:val="105"/>
                <w:sz w:val="17"/>
              </w:rPr>
              <w:t>4.01</w:t>
            </w:r>
          </w:p>
        </w:tc>
        <w:tc>
          <w:tcPr>
            <w:tcW w:w="900" w:type="dxa"/>
          </w:tcPr>
          <w:p>
            <w:pPr>
              <w:pStyle w:val="TableParagraph"/>
              <w:ind w:left="145"/>
              <w:jc w:val="left"/>
              <w:rPr>
                <w:sz w:val="17"/>
              </w:rPr>
            </w:pPr>
            <w:r>
              <w:rPr>
                <w:color w:val="231F20"/>
                <w:w w:val="105"/>
                <w:sz w:val="17"/>
              </w:rPr>
              <w:t>3.64</w:t>
            </w:r>
          </w:p>
        </w:tc>
        <w:tc>
          <w:tcPr>
            <w:tcW w:w="1451" w:type="dxa"/>
          </w:tcPr>
          <w:p>
            <w:pPr>
              <w:pStyle w:val="TableParagraph"/>
              <w:ind w:right="641"/>
              <w:jc w:val="right"/>
              <w:rPr>
                <w:sz w:val="17"/>
              </w:rPr>
            </w:pPr>
            <w:r>
              <w:rPr>
                <w:color w:val="231F20"/>
                <w:sz w:val="17"/>
              </w:rPr>
              <w:t>-11.7</w:t>
            </w:r>
          </w:p>
        </w:tc>
        <w:tc>
          <w:tcPr>
            <w:tcW w:w="1629" w:type="dxa"/>
          </w:tcPr>
          <w:p>
            <w:pPr>
              <w:pStyle w:val="TableParagraph"/>
              <w:ind w:right="598"/>
              <w:jc w:val="right"/>
              <w:rPr>
                <w:sz w:val="17"/>
              </w:rPr>
            </w:pPr>
            <w:r>
              <w:rPr>
                <w:color w:val="231F20"/>
                <w:sz w:val="17"/>
              </w:rPr>
              <w:t>-9.2</w:t>
            </w:r>
          </w:p>
        </w:tc>
      </w:tr>
      <w:tr>
        <w:trPr>
          <w:trHeight w:val="210" w:hRule="exact"/>
        </w:trPr>
        <w:tc>
          <w:tcPr>
            <w:tcW w:w="1735" w:type="dxa"/>
          </w:tcPr>
          <w:p>
            <w:pPr>
              <w:pStyle w:val="TableParagraph"/>
              <w:ind w:left="35"/>
              <w:jc w:val="left"/>
              <w:rPr>
                <w:sz w:val="17"/>
              </w:rPr>
            </w:pPr>
            <w:r>
              <w:rPr>
                <w:color w:val="231F20"/>
                <w:w w:val="110"/>
                <w:sz w:val="17"/>
              </w:rPr>
              <w:t>Tlaxcala</w:t>
            </w:r>
          </w:p>
        </w:tc>
        <w:tc>
          <w:tcPr>
            <w:tcW w:w="668" w:type="dxa"/>
          </w:tcPr>
          <w:p>
            <w:pPr>
              <w:pStyle w:val="TableParagraph"/>
              <w:ind w:right="131"/>
              <w:jc w:val="right"/>
              <w:rPr>
                <w:sz w:val="17"/>
              </w:rPr>
            </w:pPr>
            <w:r>
              <w:rPr>
                <w:color w:val="231F20"/>
                <w:sz w:val="17"/>
              </w:rPr>
              <w:t>5.48</w:t>
            </w:r>
          </w:p>
        </w:tc>
        <w:tc>
          <w:tcPr>
            <w:tcW w:w="612" w:type="dxa"/>
          </w:tcPr>
          <w:p>
            <w:pPr>
              <w:pStyle w:val="TableParagraph"/>
              <w:ind w:left="133"/>
              <w:jc w:val="left"/>
              <w:rPr>
                <w:sz w:val="17"/>
              </w:rPr>
            </w:pPr>
            <w:r>
              <w:rPr>
                <w:color w:val="231F20"/>
                <w:w w:val="105"/>
                <w:sz w:val="17"/>
              </w:rPr>
              <w:t>4.93</w:t>
            </w:r>
          </w:p>
        </w:tc>
        <w:tc>
          <w:tcPr>
            <w:tcW w:w="900" w:type="dxa"/>
          </w:tcPr>
          <w:p>
            <w:pPr>
              <w:pStyle w:val="TableParagraph"/>
              <w:ind w:left="145"/>
              <w:jc w:val="left"/>
              <w:rPr>
                <w:sz w:val="17"/>
              </w:rPr>
            </w:pPr>
            <w:r>
              <w:rPr>
                <w:color w:val="231F20"/>
                <w:w w:val="105"/>
                <w:sz w:val="17"/>
              </w:rPr>
              <w:t>4.27</w:t>
            </w:r>
          </w:p>
        </w:tc>
        <w:tc>
          <w:tcPr>
            <w:tcW w:w="1451" w:type="dxa"/>
          </w:tcPr>
          <w:p>
            <w:pPr>
              <w:pStyle w:val="TableParagraph"/>
              <w:ind w:right="641"/>
              <w:jc w:val="right"/>
              <w:rPr>
                <w:sz w:val="17"/>
              </w:rPr>
            </w:pPr>
            <w:r>
              <w:rPr>
                <w:color w:val="231F20"/>
                <w:sz w:val="17"/>
              </w:rPr>
              <w:t>-10.0</w:t>
            </w:r>
          </w:p>
        </w:tc>
        <w:tc>
          <w:tcPr>
            <w:tcW w:w="1629" w:type="dxa"/>
          </w:tcPr>
          <w:p>
            <w:pPr>
              <w:pStyle w:val="TableParagraph"/>
              <w:ind w:right="598"/>
              <w:jc w:val="right"/>
              <w:rPr>
                <w:sz w:val="17"/>
              </w:rPr>
            </w:pPr>
            <w:r>
              <w:rPr>
                <w:color w:val="231F20"/>
                <w:sz w:val="17"/>
              </w:rPr>
              <w:t>-13.4</w:t>
            </w:r>
          </w:p>
        </w:tc>
      </w:tr>
      <w:tr>
        <w:trPr>
          <w:trHeight w:val="210" w:hRule="exact"/>
        </w:trPr>
        <w:tc>
          <w:tcPr>
            <w:tcW w:w="1735" w:type="dxa"/>
          </w:tcPr>
          <w:p>
            <w:pPr>
              <w:pStyle w:val="TableParagraph"/>
              <w:ind w:left="35"/>
              <w:jc w:val="left"/>
              <w:rPr>
                <w:sz w:val="17"/>
              </w:rPr>
            </w:pPr>
            <w:r>
              <w:rPr>
                <w:color w:val="231F20"/>
                <w:w w:val="110"/>
                <w:sz w:val="17"/>
              </w:rPr>
              <w:t>Veracruz</w:t>
            </w:r>
          </w:p>
        </w:tc>
        <w:tc>
          <w:tcPr>
            <w:tcW w:w="668" w:type="dxa"/>
          </w:tcPr>
          <w:p>
            <w:pPr>
              <w:pStyle w:val="TableParagraph"/>
              <w:ind w:right="131"/>
              <w:jc w:val="right"/>
              <w:rPr>
                <w:sz w:val="17"/>
              </w:rPr>
            </w:pPr>
            <w:r>
              <w:rPr>
                <w:color w:val="231F20"/>
                <w:sz w:val="17"/>
              </w:rPr>
              <w:t>4.89</w:t>
            </w:r>
          </w:p>
        </w:tc>
        <w:tc>
          <w:tcPr>
            <w:tcW w:w="612" w:type="dxa"/>
          </w:tcPr>
          <w:p>
            <w:pPr>
              <w:pStyle w:val="TableParagraph"/>
              <w:ind w:left="133"/>
              <w:jc w:val="left"/>
              <w:rPr>
                <w:sz w:val="17"/>
              </w:rPr>
            </w:pPr>
            <w:r>
              <w:rPr>
                <w:color w:val="231F20"/>
                <w:w w:val="105"/>
                <w:sz w:val="17"/>
              </w:rPr>
              <w:t>4.29</w:t>
            </w:r>
          </w:p>
        </w:tc>
        <w:tc>
          <w:tcPr>
            <w:tcW w:w="900" w:type="dxa"/>
          </w:tcPr>
          <w:p>
            <w:pPr>
              <w:pStyle w:val="TableParagraph"/>
              <w:ind w:left="145"/>
              <w:jc w:val="left"/>
              <w:rPr>
                <w:sz w:val="17"/>
              </w:rPr>
            </w:pPr>
            <w:r>
              <w:rPr>
                <w:color w:val="231F20"/>
                <w:w w:val="105"/>
                <w:sz w:val="17"/>
              </w:rPr>
              <w:t>3.80</w:t>
            </w:r>
          </w:p>
        </w:tc>
        <w:tc>
          <w:tcPr>
            <w:tcW w:w="1451" w:type="dxa"/>
          </w:tcPr>
          <w:p>
            <w:pPr>
              <w:pStyle w:val="TableParagraph"/>
              <w:ind w:right="641"/>
              <w:jc w:val="right"/>
              <w:rPr>
                <w:sz w:val="17"/>
              </w:rPr>
            </w:pPr>
            <w:r>
              <w:rPr>
                <w:color w:val="231F20"/>
                <w:sz w:val="17"/>
              </w:rPr>
              <w:t>-12.3</w:t>
            </w:r>
          </w:p>
        </w:tc>
        <w:tc>
          <w:tcPr>
            <w:tcW w:w="1629" w:type="dxa"/>
          </w:tcPr>
          <w:p>
            <w:pPr>
              <w:pStyle w:val="TableParagraph"/>
              <w:ind w:right="598"/>
              <w:jc w:val="right"/>
              <w:rPr>
                <w:sz w:val="17"/>
              </w:rPr>
            </w:pPr>
            <w:r>
              <w:rPr>
                <w:color w:val="231F20"/>
                <w:sz w:val="17"/>
              </w:rPr>
              <w:t>-11.4</w:t>
            </w:r>
          </w:p>
        </w:tc>
      </w:tr>
      <w:tr>
        <w:trPr>
          <w:trHeight w:val="210" w:hRule="exact"/>
        </w:trPr>
        <w:tc>
          <w:tcPr>
            <w:tcW w:w="1735" w:type="dxa"/>
          </w:tcPr>
          <w:p>
            <w:pPr>
              <w:pStyle w:val="TableParagraph"/>
              <w:ind w:left="35"/>
              <w:jc w:val="left"/>
              <w:rPr>
                <w:sz w:val="17"/>
              </w:rPr>
            </w:pPr>
            <w:r>
              <w:rPr>
                <w:color w:val="231F20"/>
                <w:w w:val="110"/>
                <w:sz w:val="17"/>
              </w:rPr>
              <w:t>Yucatán</w:t>
            </w:r>
          </w:p>
        </w:tc>
        <w:tc>
          <w:tcPr>
            <w:tcW w:w="668" w:type="dxa"/>
          </w:tcPr>
          <w:p>
            <w:pPr>
              <w:pStyle w:val="TableParagraph"/>
              <w:ind w:right="131"/>
              <w:jc w:val="right"/>
              <w:rPr>
                <w:sz w:val="17"/>
              </w:rPr>
            </w:pPr>
            <w:r>
              <w:rPr>
                <w:color w:val="231F20"/>
                <w:sz w:val="17"/>
              </w:rPr>
              <w:t>4.93</w:t>
            </w:r>
          </w:p>
        </w:tc>
        <w:tc>
          <w:tcPr>
            <w:tcW w:w="612" w:type="dxa"/>
          </w:tcPr>
          <w:p>
            <w:pPr>
              <w:pStyle w:val="TableParagraph"/>
              <w:ind w:left="133"/>
              <w:jc w:val="left"/>
              <w:rPr>
                <w:sz w:val="17"/>
              </w:rPr>
            </w:pPr>
            <w:r>
              <w:rPr>
                <w:color w:val="231F20"/>
                <w:w w:val="105"/>
                <w:sz w:val="17"/>
              </w:rPr>
              <w:t>4.43</w:t>
            </w:r>
          </w:p>
        </w:tc>
        <w:tc>
          <w:tcPr>
            <w:tcW w:w="900" w:type="dxa"/>
          </w:tcPr>
          <w:p>
            <w:pPr>
              <w:pStyle w:val="TableParagraph"/>
              <w:ind w:left="145"/>
              <w:jc w:val="left"/>
              <w:rPr>
                <w:sz w:val="17"/>
              </w:rPr>
            </w:pPr>
            <w:r>
              <w:rPr>
                <w:color w:val="231F20"/>
                <w:w w:val="105"/>
                <w:sz w:val="17"/>
              </w:rPr>
              <w:t>3.85</w:t>
            </w:r>
          </w:p>
        </w:tc>
        <w:tc>
          <w:tcPr>
            <w:tcW w:w="1451" w:type="dxa"/>
          </w:tcPr>
          <w:p>
            <w:pPr>
              <w:pStyle w:val="TableParagraph"/>
              <w:ind w:right="641"/>
              <w:jc w:val="right"/>
              <w:rPr>
                <w:sz w:val="17"/>
              </w:rPr>
            </w:pPr>
            <w:r>
              <w:rPr>
                <w:color w:val="231F20"/>
                <w:sz w:val="17"/>
              </w:rPr>
              <w:t>-10.1</w:t>
            </w:r>
          </w:p>
        </w:tc>
        <w:tc>
          <w:tcPr>
            <w:tcW w:w="1629" w:type="dxa"/>
          </w:tcPr>
          <w:p>
            <w:pPr>
              <w:pStyle w:val="TableParagraph"/>
              <w:ind w:right="598"/>
              <w:jc w:val="right"/>
              <w:rPr>
                <w:sz w:val="17"/>
              </w:rPr>
            </w:pPr>
            <w:r>
              <w:rPr>
                <w:color w:val="231F20"/>
                <w:sz w:val="17"/>
              </w:rPr>
              <w:t>-13.1</w:t>
            </w:r>
          </w:p>
        </w:tc>
      </w:tr>
      <w:tr>
        <w:trPr>
          <w:trHeight w:val="276" w:hRule="exact"/>
        </w:trPr>
        <w:tc>
          <w:tcPr>
            <w:tcW w:w="1735" w:type="dxa"/>
            <w:tcBorders>
              <w:bottom w:val="single" w:sz="3" w:space="0" w:color="231F20"/>
            </w:tcBorders>
          </w:tcPr>
          <w:p>
            <w:pPr>
              <w:pStyle w:val="TableParagraph"/>
              <w:ind w:left="35"/>
              <w:jc w:val="left"/>
              <w:rPr>
                <w:sz w:val="17"/>
              </w:rPr>
            </w:pPr>
            <w:r>
              <w:rPr>
                <w:color w:val="231F20"/>
                <w:w w:val="110"/>
                <w:sz w:val="17"/>
              </w:rPr>
              <w:t>Zacatecas</w:t>
            </w:r>
          </w:p>
        </w:tc>
        <w:tc>
          <w:tcPr>
            <w:tcW w:w="668" w:type="dxa"/>
            <w:tcBorders>
              <w:bottom w:val="single" w:sz="3" w:space="0" w:color="231F20"/>
            </w:tcBorders>
          </w:tcPr>
          <w:p>
            <w:pPr>
              <w:pStyle w:val="TableParagraph"/>
              <w:ind w:right="131"/>
              <w:jc w:val="right"/>
              <w:rPr>
                <w:sz w:val="17"/>
              </w:rPr>
            </w:pPr>
            <w:r>
              <w:rPr>
                <w:color w:val="231F20"/>
                <w:sz w:val="17"/>
              </w:rPr>
              <w:t>5.31</w:t>
            </w:r>
          </w:p>
        </w:tc>
        <w:tc>
          <w:tcPr>
            <w:tcW w:w="612" w:type="dxa"/>
            <w:tcBorders>
              <w:bottom w:val="single" w:sz="3" w:space="0" w:color="231F20"/>
            </w:tcBorders>
          </w:tcPr>
          <w:p>
            <w:pPr>
              <w:pStyle w:val="TableParagraph"/>
              <w:ind w:left="133"/>
              <w:jc w:val="left"/>
              <w:rPr>
                <w:sz w:val="17"/>
              </w:rPr>
            </w:pPr>
            <w:r>
              <w:rPr>
                <w:color w:val="231F20"/>
                <w:w w:val="105"/>
                <w:sz w:val="17"/>
              </w:rPr>
              <w:t>4.51</w:t>
            </w:r>
          </w:p>
        </w:tc>
        <w:tc>
          <w:tcPr>
            <w:tcW w:w="900" w:type="dxa"/>
            <w:tcBorders>
              <w:bottom w:val="single" w:sz="3" w:space="0" w:color="231F20"/>
            </w:tcBorders>
          </w:tcPr>
          <w:p>
            <w:pPr>
              <w:pStyle w:val="TableParagraph"/>
              <w:ind w:left="145"/>
              <w:jc w:val="left"/>
              <w:rPr>
                <w:sz w:val="17"/>
              </w:rPr>
            </w:pPr>
            <w:r>
              <w:rPr>
                <w:color w:val="231F20"/>
                <w:w w:val="105"/>
                <w:sz w:val="17"/>
              </w:rPr>
              <w:t>3.96</w:t>
            </w:r>
          </w:p>
        </w:tc>
        <w:tc>
          <w:tcPr>
            <w:tcW w:w="1451" w:type="dxa"/>
            <w:tcBorders>
              <w:bottom w:val="single" w:sz="3" w:space="0" w:color="231F20"/>
            </w:tcBorders>
          </w:tcPr>
          <w:p>
            <w:pPr>
              <w:pStyle w:val="TableParagraph"/>
              <w:ind w:right="641"/>
              <w:jc w:val="right"/>
              <w:rPr>
                <w:sz w:val="17"/>
              </w:rPr>
            </w:pPr>
            <w:r>
              <w:rPr>
                <w:color w:val="231F20"/>
                <w:sz w:val="17"/>
              </w:rPr>
              <w:t>-15.1</w:t>
            </w:r>
          </w:p>
        </w:tc>
        <w:tc>
          <w:tcPr>
            <w:tcW w:w="1629" w:type="dxa"/>
            <w:tcBorders>
              <w:bottom w:val="single" w:sz="3" w:space="0" w:color="231F20"/>
            </w:tcBorders>
          </w:tcPr>
          <w:p>
            <w:pPr>
              <w:pStyle w:val="TableParagraph"/>
              <w:ind w:right="598"/>
              <w:jc w:val="right"/>
              <w:rPr>
                <w:sz w:val="17"/>
              </w:rPr>
            </w:pPr>
            <w:r>
              <w:rPr>
                <w:color w:val="231F20"/>
                <w:sz w:val="17"/>
              </w:rPr>
              <w:t>-12.2</w:t>
            </w:r>
          </w:p>
        </w:tc>
      </w:tr>
    </w:tbl>
    <w:p>
      <w:pPr>
        <w:spacing w:before="64"/>
        <w:ind w:left="504" w:right="0" w:firstLine="0"/>
        <w:jc w:val="left"/>
        <w:rPr>
          <w:sz w:val="15"/>
        </w:rPr>
      </w:pPr>
      <w:r>
        <w:rPr>
          <w:color w:val="231F20"/>
          <w:w w:val="110"/>
          <w:sz w:val="15"/>
        </w:rPr>
        <w:t>Fuente: Elaboración propia con datos del Censo de Población y Vivienda de 2010, </w:t>
      </w:r>
      <w:r>
        <w:rPr>
          <w:rFonts w:ascii="Times New Roman" w:hAnsi="Times New Roman"/>
          <w:color w:val="231F20"/>
          <w:w w:val="110"/>
          <w:sz w:val="12"/>
        </w:rPr>
        <w:t>INEGI</w:t>
      </w:r>
      <w:r>
        <w:rPr>
          <w:color w:val="231F20"/>
          <w:w w:val="110"/>
          <w:sz w:val="15"/>
        </w:rPr>
        <w:t>, 2013.</w:t>
      </w:r>
    </w:p>
    <w:p>
      <w:pPr>
        <w:pStyle w:val="BodyText"/>
        <w:rPr>
          <w:sz w:val="14"/>
        </w:rPr>
      </w:pPr>
    </w:p>
    <w:p>
      <w:pPr>
        <w:pStyle w:val="BodyText"/>
        <w:spacing w:before="3"/>
        <w:rPr>
          <w:sz w:val="12"/>
        </w:rPr>
      </w:pPr>
    </w:p>
    <w:p>
      <w:pPr>
        <w:pStyle w:val="BodyText"/>
        <w:spacing w:line="280" w:lineRule="auto" w:before="1"/>
        <w:ind w:left="144" w:right="112" w:firstLine="360"/>
        <w:jc w:val="both"/>
      </w:pPr>
      <w:r>
        <w:rPr>
          <w:color w:val="231F20"/>
          <w:w w:val="110"/>
        </w:rPr>
        <w:t>La distribución porcentual de hogares de acuerdo con su tamaño es importante cuando se quiere hablar sobre calidad de vida de la población. Se tiene la creencia de que un menor número de miembros en el hogar implica mayor bienestar, aunque quizás en el caso de las personas que viven solas esto no se cumpla (Leyva, 2014). Así, nuestras estimaciones</w:t>
      </w:r>
    </w:p>
    <w:p>
      <w:pPr>
        <w:spacing w:after="0" w:line="280" w:lineRule="auto"/>
        <w:jc w:val="both"/>
        <w:sectPr>
          <w:type w:val="continuous"/>
          <w:pgSz w:w="9520" w:h="12920"/>
          <w:pgMar w:top="0" w:bottom="0" w:left="1300" w:right="1000"/>
        </w:sectPr>
      </w:pPr>
    </w:p>
    <w:p>
      <w:pPr>
        <w:pStyle w:val="BodyText"/>
        <w:spacing w:line="288" w:lineRule="auto" w:before="42"/>
        <w:ind w:left="120"/>
      </w:pPr>
      <w:r>
        <w:rPr>
          <w:color w:val="231F20"/>
          <w:w w:val="110"/>
        </w:rPr>
        <w:t>muestran que casi uno de cada 10 mexicanos vive solo, y casi 1 de cada 4 hogares tiene sólo uno o dos  miembros.</w:t>
      </w:r>
    </w:p>
    <w:p>
      <w:pPr>
        <w:pStyle w:val="BodyText"/>
        <w:spacing w:line="288" w:lineRule="auto"/>
        <w:ind w:left="120" w:right="117" w:firstLine="360"/>
        <w:jc w:val="both"/>
      </w:pPr>
      <w:r>
        <w:rPr>
          <w:color w:val="231F20"/>
          <w:w w:val="110"/>
        </w:rPr>
        <w:t>Por otro lado, el tamaño de hogar más común es el de cuatro miem- bros. Este tamaño se ha identificado como el modelo promocionado por el Conapo y otros organismos internacionales ligados a temas de población. También es el más utilizado en casi todos los anuncios publicitarios y en muchos productos comerciales como el “tamaño familiar”. Esto podría ser resultado de su éxito y del espacio ganado en el imaginario colectivo como el tamaño ideal de familia (véase gráfica 8).</w:t>
      </w:r>
    </w:p>
    <w:p>
      <w:pPr>
        <w:pStyle w:val="BodyText"/>
        <w:spacing w:before="4"/>
      </w:pPr>
    </w:p>
    <w:p>
      <w:pPr>
        <w:spacing w:line="185" w:lineRule="exact" w:before="0"/>
        <w:ind w:left="457" w:right="457" w:firstLine="0"/>
        <w:jc w:val="center"/>
        <w:rPr>
          <w:sz w:val="16"/>
        </w:rPr>
      </w:pPr>
      <w:r>
        <w:rPr>
          <w:color w:val="231F20"/>
          <w:w w:val="105"/>
          <w:sz w:val="16"/>
        </w:rPr>
        <w:t>Gráfica 8</w:t>
      </w:r>
    </w:p>
    <w:p>
      <w:pPr>
        <w:spacing w:line="220" w:lineRule="exact" w:before="0"/>
        <w:ind w:left="457" w:right="457" w:firstLine="0"/>
        <w:jc w:val="center"/>
        <w:rPr>
          <w:sz w:val="19"/>
        </w:rPr>
      </w:pPr>
      <w:r>
        <w:rPr>
          <w:color w:val="231F20"/>
          <w:w w:val="90"/>
          <w:sz w:val="19"/>
        </w:rPr>
        <w:t>Distribución porcentual de hogares según número de miembros 1990 y 2010</w:t>
      </w:r>
    </w:p>
    <w:p>
      <w:pPr>
        <w:pStyle w:val="BodyText"/>
        <w:spacing w:before="9"/>
        <w:rPr>
          <w:sz w:val="10"/>
        </w:rPr>
      </w:pPr>
    </w:p>
    <w:p>
      <w:pPr>
        <w:spacing w:before="83"/>
        <w:ind w:left="588" w:right="0" w:firstLine="0"/>
        <w:jc w:val="left"/>
        <w:rPr>
          <w:sz w:val="12"/>
        </w:rPr>
      </w:pPr>
      <w:r>
        <w:rPr/>
        <w:pict>
          <v:group style="position:absolute;margin-left:88.6698pt;margin-top:7.889115pt;width:281.05pt;height:161.6pt;mso-position-horizontal-relative:page;mso-position-vertical-relative:paragraph;z-index:-456568" coordorigin="1773,158" coordsize="5621,3232">
            <v:shape style="position:absolute;left:1776;top:161;width:701;height:3226" coordorigin="1776,161" coordsize="701,3226" path="m1776,161l1861,161,1861,3387m1861,2681l1776,2681m1861,2048l1776,2048m1861,1422l1776,1422m1861,788l1776,788m2477,3309l2477,3387e" filled="false" stroked="true" strokeweight=".26pt" strokecolor="#231f20">
              <v:path arrowok="t"/>
            </v:shape>
            <v:rect style="position:absolute;left:1949;top:2710;width:233;height:599" filled="true" fillcolor="#a7a9ac" stroked="false">
              <v:fill type="solid"/>
            </v:rect>
            <v:shape style="position:absolute;left:2184;top:2209;width:233;height:1099" type="#_x0000_t75" stroked="false">
              <v:imagedata r:id="rId89" o:title=""/>
            </v:shape>
            <v:shape style="position:absolute;left:2184;top:2209;width:912;height:1178" coordorigin="2184,2209" coordsize="912,1178" path="m2184,3309l2417,3309,2417,2209,2184,2209,2184,3309xm3095,3309l3095,3387e" filled="false" stroked="true" strokeweight=".26pt" strokecolor="#231f20">
              <v:path arrowok="t"/>
            </v:shape>
            <v:rect style="position:absolute;left:2556;top:2048;width:233;height:1260" filled="true" fillcolor="#a7a9ac" stroked="false">
              <v:fill type="solid"/>
            </v:rect>
            <v:shape style="position:absolute;left:2792;top:1342;width:233;height:1966" type="#_x0000_t75" stroked="false">
              <v:imagedata r:id="rId90" o:title=""/>
            </v:shape>
            <v:rect style="position:absolute;left:2792;top:1342;width:233;height:1966" filled="false" stroked="true" strokeweight=".26pt" strokecolor="#231f20"/>
            <v:rect style="position:absolute;left:3167;top:1517;width:233;height:1792" filled="true" fillcolor="#a7a9ac" stroked="false">
              <v:fill type="solid"/>
            </v:rect>
            <v:line style="position:absolute" from="3707,3309" to="3707,3387" stroked="true" strokeweight=".26pt" strokecolor="#231f20"/>
            <v:shape style="position:absolute;left:3402;top:899;width:233;height:2409" type="#_x0000_t75" stroked="false">
              <v:imagedata r:id="rId91" o:title=""/>
            </v:shape>
            <v:rect style="position:absolute;left:3402;top:899;width:233;height:2409" filled="false" stroked="true" strokeweight=".26pt" strokecolor="#231f20"/>
            <v:rect style="position:absolute;left:3778;top:1033;width:233;height:2276" filled="true" fillcolor="#a7a9ac" stroked="false">
              <v:fill type="solid"/>
            </v:rect>
            <v:line style="position:absolute" from="4318,3309" to="4318,3387" stroked="true" strokeweight=".26pt" strokecolor="#231f20"/>
            <v:shape style="position:absolute;left:4013;top:408;width:233;height:2901" type="#_x0000_t75" stroked="false">
              <v:imagedata r:id="rId92" o:title=""/>
            </v:shape>
            <v:shape style="position:absolute;left:4013;top:408;width:921;height:2979" coordorigin="4013,408" coordsize="921,2979" path="m4013,3309l4246,3309,4246,408,4013,408,4013,3309xm4934,3309l4934,3387e" filled="false" stroked="true" strokeweight=".26pt" strokecolor="#231f20">
              <v:path arrowok="t"/>
            </v:shape>
            <v:rect style="position:absolute;left:4397;top:1172;width:233;height:2137" filled="true" fillcolor="#a7a9ac" stroked="false">
              <v:fill type="solid"/>
            </v:rect>
            <v:shape style="position:absolute;left:4633;top:1231;width:233;height:2078" type="#_x0000_t75" stroked="false">
              <v:imagedata r:id="rId93" o:title=""/>
            </v:shape>
            <v:shape style="position:absolute;left:4633;top:1231;width:920;height:2156" coordorigin="4633,1231" coordsize="920,2156" path="m4633,3309l4865,3309,4865,1231,4633,1231,4633,3309xm5552,3309l5552,3387e" filled="false" stroked="true" strokeweight=".26pt" strokecolor="#231f20">
              <v:path arrowok="t"/>
            </v:shape>
            <v:rect style="position:absolute;left:5012;top:1724;width:233;height:1584" filled="true" fillcolor="#a7a9ac" stroked="false">
              <v:fill type="solid"/>
            </v:rect>
            <v:shape style="position:absolute;left:5248;top:2249;width:233;height:1060" type="#_x0000_t75" stroked="false">
              <v:imagedata r:id="rId94" o:title=""/>
            </v:shape>
            <v:shape style="position:absolute;left:5248;top:2249;width:916;height:1138" coordorigin="5248,2249" coordsize="916,1138" path="m5248,3309l5480,3309,5480,2249,5248,2249,5248,3309xm6163,3309l6163,3387e" filled="false" stroked="true" strokeweight=".26pt" strokecolor="#231f20">
              <v:path arrowok="t"/>
            </v:shape>
            <v:rect style="position:absolute;left:5625;top:2239;width:233;height:1070" filled="true" fillcolor="#a7a9ac" stroked="false">
              <v:fill type="solid"/>
            </v:rect>
            <v:shape style="position:absolute;left:5860;top:2826;width:233;height:483" type="#_x0000_t75" stroked="false">
              <v:imagedata r:id="rId95" o:title=""/>
            </v:shape>
            <v:shape style="position:absolute;left:5861;top:2826;width:918;height:561" coordorigin="5861,2826" coordsize="918,561" path="m5861,3309l6093,3309,6093,2826,5861,2826,5861,3309xm6778,3309l6778,3387e" filled="false" stroked="true" strokeweight=".26pt" strokecolor="#231f20">
              <v:path arrowok="t"/>
            </v:shape>
            <v:rect style="position:absolute;left:6240;top:2595;width:233;height:713" filled="true" fillcolor="#a7a9ac" stroked="false">
              <v:fill type="solid"/>
            </v:rect>
            <v:shape style="position:absolute;left:6476;top:3053;width:233;height:256" type="#_x0000_t75" stroked="false">
              <v:imagedata r:id="rId96" o:title=""/>
            </v:shape>
            <v:rect style="position:absolute;left:6476;top:3053;width:233;height:256" filled="false" stroked="true" strokeweight=".26pt" strokecolor="#231f20"/>
            <v:rect style="position:absolute;left:6858;top:2184;width:233;height:1124" filled="true" fillcolor="#a7a9ac" stroked="false">
              <v:fill type="solid"/>
            </v:rect>
            <v:shape style="position:absolute;left:7093;top:2983;width:233;height:326" type="#_x0000_t75" stroked="false">
              <v:imagedata r:id="rId97" o:title=""/>
            </v:shape>
            <v:shape style="position:absolute;left:1776;top:2983;width:5615;height:404" coordorigin="1776,2983" coordsize="5615,404" path="m7093,3309l7326,3309,7326,2983,7093,2983,7093,3309xm1776,3309l7391,3309,7391,3387e" filled="false" stroked="true" strokeweight=".26pt" strokecolor="#231f20">
              <v:path arrowok="t"/>
            </v:shape>
            <v:shape style="position:absolute;left:6616;top:419;width:272;height:480" type="#_x0000_t202" filled="false" stroked="false">
              <v:textbox inset="0,0,0,0">
                <w:txbxContent>
                  <w:p>
                    <w:pPr>
                      <w:spacing w:line="123" w:lineRule="exact" w:before="0"/>
                      <w:ind w:left="0" w:right="-14" w:firstLine="0"/>
                      <w:jc w:val="left"/>
                      <w:rPr>
                        <w:sz w:val="12"/>
                      </w:rPr>
                    </w:pPr>
                    <w:r>
                      <w:rPr>
                        <w:color w:val="231F20"/>
                        <w:sz w:val="12"/>
                      </w:rPr>
                      <w:t>1990</w:t>
                    </w:r>
                  </w:p>
                  <w:p>
                    <w:pPr>
                      <w:spacing w:line="240" w:lineRule="auto" w:before="0"/>
                      <w:rPr>
                        <w:sz w:val="12"/>
                      </w:rPr>
                    </w:pPr>
                  </w:p>
                  <w:p>
                    <w:pPr>
                      <w:spacing w:line="138" w:lineRule="exact" w:before="78"/>
                      <w:ind w:left="0" w:right="-14" w:firstLine="0"/>
                      <w:jc w:val="left"/>
                      <w:rPr>
                        <w:sz w:val="12"/>
                      </w:rPr>
                    </w:pPr>
                    <w:r>
                      <w:rPr>
                        <w:color w:val="231F20"/>
                        <w:sz w:val="12"/>
                      </w:rPr>
                      <w:t>2010</w:t>
                    </w:r>
                  </w:p>
                </w:txbxContent>
              </v:textbox>
              <w10:wrap type="none"/>
            </v:shape>
            <w10:wrap type="none"/>
          </v:group>
        </w:pict>
      </w:r>
      <w:r>
        <w:rPr>
          <w:color w:val="231F20"/>
          <w:sz w:val="12"/>
        </w:rPr>
        <w:t>25</w:t>
      </w:r>
    </w:p>
    <w:p>
      <w:pPr>
        <w:pStyle w:val="BodyText"/>
        <w:rPr>
          <w:sz w:val="15"/>
        </w:rPr>
      </w:pPr>
      <w:r>
        <w:rPr/>
        <w:pict>
          <v:line style="position:absolute;mso-position-horizontal-relative:page;mso-position-vertical-relative:paragraph;z-index:2272;mso-wrap-distance-left:0;mso-wrap-distance-right:0" from="322.138pt,12.953236pt" to="328.069pt,12.953236pt" stroked="true" strokeweight="4.371pt" strokecolor="#a7a9ac">
            <w10:wrap type="topAndBottom"/>
          </v:line>
        </w:pict>
      </w:r>
    </w:p>
    <w:p>
      <w:pPr>
        <w:pStyle w:val="BodyText"/>
        <w:spacing w:before="2"/>
        <w:rPr>
          <w:sz w:val="6"/>
        </w:rPr>
      </w:pPr>
    </w:p>
    <w:p>
      <w:pPr>
        <w:spacing w:before="83"/>
        <w:ind w:left="588" w:right="0" w:firstLine="0"/>
        <w:jc w:val="left"/>
        <w:rPr>
          <w:sz w:val="12"/>
        </w:rPr>
      </w:pPr>
      <w:r>
        <w:rPr/>
        <w:pict>
          <v:group style="position:absolute;margin-left:321.988190pt;margin-top:7.853278pt;width:6.25pt;height:4.7pt;mso-position-horizontal-relative:page;mso-position-vertical-relative:paragraph;z-index:2344" coordorigin="6440,157" coordsize="125,94">
            <v:shape style="position:absolute;left:6443;top:160;width:119;height:87" type="#_x0000_t75" stroked="false">
              <v:imagedata r:id="rId98" o:title=""/>
            </v:shape>
            <v:rect style="position:absolute;left:6443;top:160;width:119;height:87" filled="false" stroked="true" strokeweight=".26pt" strokecolor="#231f20"/>
            <w10:wrap type="none"/>
          </v:group>
        </w:pict>
      </w:r>
      <w:r>
        <w:rPr>
          <w:color w:val="231F20"/>
          <w:sz w:val="12"/>
        </w:rPr>
        <w:t>20</w:t>
      </w:r>
    </w:p>
    <w:p>
      <w:pPr>
        <w:pStyle w:val="BodyText"/>
      </w:pPr>
    </w:p>
    <w:p>
      <w:pPr>
        <w:pStyle w:val="BodyText"/>
        <w:rPr>
          <w:sz w:val="12"/>
        </w:rPr>
      </w:pPr>
    </w:p>
    <w:p>
      <w:pPr>
        <w:pStyle w:val="BodyText"/>
        <w:spacing w:before="6"/>
        <w:rPr>
          <w:sz w:val="9"/>
        </w:rPr>
      </w:pPr>
    </w:p>
    <w:p>
      <w:pPr>
        <w:spacing w:before="1"/>
        <w:ind w:left="588" w:right="0" w:firstLine="0"/>
        <w:jc w:val="left"/>
        <w:rPr>
          <w:sz w:val="12"/>
        </w:rPr>
      </w:pPr>
      <w:r>
        <w:rPr>
          <w:color w:val="231F20"/>
          <w:sz w:val="12"/>
        </w:rPr>
        <w:t>15</w:t>
      </w:r>
    </w:p>
    <w:p>
      <w:pPr>
        <w:pStyle w:val="BodyText"/>
      </w:pPr>
    </w:p>
    <w:p>
      <w:pPr>
        <w:pStyle w:val="BodyText"/>
        <w:rPr>
          <w:sz w:val="12"/>
        </w:rPr>
      </w:pPr>
    </w:p>
    <w:p>
      <w:pPr>
        <w:pStyle w:val="BodyText"/>
        <w:spacing w:before="6"/>
        <w:rPr>
          <w:sz w:val="9"/>
        </w:rPr>
      </w:pPr>
    </w:p>
    <w:p>
      <w:pPr>
        <w:spacing w:before="1"/>
        <w:ind w:left="588" w:right="0" w:firstLine="0"/>
        <w:jc w:val="left"/>
        <w:rPr>
          <w:sz w:val="12"/>
        </w:rPr>
      </w:pPr>
      <w:r>
        <w:rPr>
          <w:color w:val="231F20"/>
          <w:sz w:val="12"/>
        </w:rPr>
        <w:t>10</w:t>
      </w:r>
    </w:p>
    <w:p>
      <w:pPr>
        <w:pStyle w:val="BodyText"/>
      </w:pPr>
    </w:p>
    <w:p>
      <w:pPr>
        <w:pStyle w:val="BodyText"/>
        <w:rPr>
          <w:sz w:val="12"/>
        </w:rPr>
      </w:pPr>
    </w:p>
    <w:p>
      <w:pPr>
        <w:pStyle w:val="BodyText"/>
        <w:spacing w:before="6"/>
        <w:rPr>
          <w:sz w:val="9"/>
        </w:rPr>
      </w:pPr>
    </w:p>
    <w:p>
      <w:pPr>
        <w:spacing w:before="1"/>
        <w:ind w:left="655" w:right="0" w:firstLine="0"/>
        <w:jc w:val="left"/>
        <w:rPr>
          <w:sz w:val="12"/>
        </w:rPr>
      </w:pPr>
      <w:r>
        <w:rPr>
          <w:color w:val="231F20"/>
          <w:w w:val="102"/>
          <w:sz w:val="12"/>
        </w:rPr>
        <w:t>5</w:t>
      </w:r>
    </w:p>
    <w:p>
      <w:pPr>
        <w:pStyle w:val="BodyText"/>
      </w:pPr>
    </w:p>
    <w:p>
      <w:pPr>
        <w:pStyle w:val="BodyText"/>
        <w:spacing w:before="5"/>
        <w:rPr>
          <w:sz w:val="15"/>
        </w:rPr>
      </w:pPr>
    </w:p>
    <w:p>
      <w:pPr>
        <w:spacing w:after="0"/>
        <w:rPr>
          <w:sz w:val="15"/>
        </w:rPr>
        <w:sectPr>
          <w:footerReference w:type="even" r:id="rId87"/>
          <w:footerReference w:type="default" r:id="rId88"/>
          <w:pgSz w:w="9520" w:h="12920"/>
          <w:pgMar w:footer="1344" w:header="0" w:top="880" w:bottom="1540" w:left="1000" w:right="1320"/>
        </w:sectPr>
      </w:pPr>
    </w:p>
    <w:p>
      <w:pPr>
        <w:spacing w:line="137" w:lineRule="exact" w:before="83"/>
        <w:ind w:left="655" w:right="0" w:firstLine="0"/>
        <w:jc w:val="left"/>
        <w:rPr>
          <w:sz w:val="12"/>
        </w:rPr>
      </w:pPr>
      <w:r>
        <w:rPr>
          <w:color w:val="231F20"/>
          <w:w w:val="102"/>
          <w:sz w:val="12"/>
        </w:rPr>
        <w:t>0</w:t>
      </w:r>
    </w:p>
    <w:p>
      <w:pPr>
        <w:tabs>
          <w:tab w:pos="1760" w:val="left" w:leader="none"/>
          <w:tab w:pos="2376" w:val="left" w:leader="none"/>
          <w:tab w:pos="2986" w:val="left" w:leader="none"/>
        </w:tabs>
        <w:spacing w:line="137" w:lineRule="exact" w:before="0"/>
        <w:ind w:left="1150" w:right="0" w:firstLine="0"/>
        <w:jc w:val="left"/>
        <w:rPr>
          <w:sz w:val="12"/>
        </w:rPr>
      </w:pPr>
      <w:r>
        <w:rPr>
          <w:color w:val="231F20"/>
          <w:sz w:val="12"/>
        </w:rPr>
        <w:t>1</w:t>
        <w:tab/>
        <w:t>2</w:t>
        <w:tab/>
        <w:t>3</w:t>
        <w:tab/>
        <w:t>4</w:t>
      </w:r>
    </w:p>
    <w:p>
      <w:pPr>
        <w:pStyle w:val="BodyText"/>
        <w:rPr>
          <w:sz w:val="12"/>
        </w:rPr>
      </w:pPr>
      <w:r>
        <w:rPr/>
        <w:br w:type="column"/>
      </w:r>
      <w:r>
        <w:rPr>
          <w:sz w:val="12"/>
        </w:rPr>
      </w:r>
    </w:p>
    <w:p>
      <w:pPr>
        <w:tabs>
          <w:tab w:pos="1126" w:val="left" w:leader="none"/>
          <w:tab w:pos="1742" w:val="left" w:leader="none"/>
        </w:tabs>
        <w:spacing w:before="75"/>
        <w:ind w:left="516" w:right="0" w:firstLine="0"/>
        <w:jc w:val="left"/>
        <w:rPr>
          <w:sz w:val="12"/>
        </w:rPr>
      </w:pPr>
      <w:r>
        <w:rPr>
          <w:color w:val="231F20"/>
          <w:sz w:val="12"/>
        </w:rPr>
        <w:t>5</w:t>
        <w:tab/>
        <w:t>6</w:t>
        <w:tab/>
        <w:t>7</w:t>
      </w:r>
    </w:p>
    <w:p>
      <w:pPr>
        <w:pStyle w:val="BodyText"/>
        <w:rPr>
          <w:sz w:val="12"/>
        </w:rPr>
      </w:pPr>
      <w:r>
        <w:rPr/>
        <w:br w:type="column"/>
      </w:r>
      <w:r>
        <w:rPr>
          <w:sz w:val="12"/>
        </w:rPr>
      </w:r>
    </w:p>
    <w:p>
      <w:pPr>
        <w:tabs>
          <w:tab w:pos="1069" w:val="left" w:leader="none"/>
        </w:tabs>
        <w:spacing w:before="75"/>
        <w:ind w:left="502" w:right="0" w:firstLine="0"/>
        <w:jc w:val="left"/>
        <w:rPr>
          <w:sz w:val="12"/>
        </w:rPr>
      </w:pPr>
      <w:r>
        <w:rPr>
          <w:color w:val="231F20"/>
          <w:w w:val="120"/>
          <w:sz w:val="12"/>
        </w:rPr>
        <w:t>8</w:t>
        <w:tab/>
        <w:t>9+</w:t>
      </w:r>
    </w:p>
    <w:p>
      <w:pPr>
        <w:spacing w:after="0"/>
        <w:jc w:val="left"/>
        <w:rPr>
          <w:sz w:val="12"/>
        </w:rPr>
        <w:sectPr>
          <w:type w:val="continuous"/>
          <w:pgSz w:w="9520" w:h="12920"/>
          <w:pgMar w:top="0" w:bottom="0" w:left="1000" w:right="1320"/>
          <w:cols w:num="3" w:equalWidth="0">
            <w:col w:w="3054" w:space="40"/>
            <w:col w:w="1811" w:space="40"/>
            <w:col w:w="2255"/>
          </w:cols>
        </w:sectPr>
      </w:pPr>
    </w:p>
    <w:p>
      <w:pPr>
        <w:pStyle w:val="BodyText"/>
        <w:spacing w:before="2"/>
        <w:rPr>
          <w:sz w:val="12"/>
        </w:rPr>
      </w:pPr>
    </w:p>
    <w:p>
      <w:pPr>
        <w:spacing w:before="0"/>
        <w:ind w:left="480" w:right="0" w:firstLine="0"/>
        <w:jc w:val="left"/>
        <w:rPr>
          <w:sz w:val="15"/>
        </w:rPr>
      </w:pPr>
      <w:r>
        <w:rPr>
          <w:color w:val="231F20"/>
          <w:w w:val="110"/>
          <w:sz w:val="15"/>
        </w:rPr>
        <w:t>Fuente: Elaboración propia con datos del Censo de Población y Vivienda de 2010, </w:t>
      </w:r>
      <w:r>
        <w:rPr>
          <w:rFonts w:ascii="Times New Roman" w:hAnsi="Times New Roman"/>
          <w:color w:val="231F20"/>
          <w:w w:val="110"/>
          <w:sz w:val="12"/>
        </w:rPr>
        <w:t>INEGI</w:t>
      </w:r>
      <w:r>
        <w:rPr>
          <w:color w:val="231F20"/>
          <w:w w:val="110"/>
          <w:sz w:val="15"/>
        </w:rPr>
        <w:t>, 2013.</w:t>
      </w:r>
    </w:p>
    <w:p>
      <w:pPr>
        <w:pStyle w:val="BodyText"/>
        <w:rPr>
          <w:sz w:val="14"/>
        </w:rPr>
      </w:pPr>
    </w:p>
    <w:p>
      <w:pPr>
        <w:pStyle w:val="BodyText"/>
        <w:rPr>
          <w:sz w:val="15"/>
        </w:rPr>
      </w:pPr>
    </w:p>
    <w:p>
      <w:pPr>
        <w:pStyle w:val="BodyText"/>
        <w:spacing w:line="288" w:lineRule="auto"/>
        <w:ind w:left="119" w:right="116" w:firstLine="360"/>
        <w:jc w:val="both"/>
      </w:pPr>
      <w:r>
        <w:rPr>
          <w:color w:val="231F20"/>
          <w:w w:val="110"/>
        </w:rPr>
        <w:t>A nivel de entidad federativa se observan las mismas tendencias de reducción de miembros por </w:t>
      </w:r>
      <w:r>
        <w:rPr>
          <w:color w:val="231F20"/>
          <w:spacing w:val="-3"/>
          <w:w w:val="110"/>
        </w:rPr>
        <w:t>hogar, </w:t>
      </w:r>
      <w:r>
        <w:rPr>
          <w:color w:val="231F20"/>
          <w:w w:val="110"/>
        </w:rPr>
        <w:t>en donde los de una sola persona vuel- ven a ser relevantes. Este resultado puede interpretarse como residencia de</w:t>
      </w:r>
      <w:r>
        <w:rPr>
          <w:color w:val="231F20"/>
          <w:spacing w:val="-5"/>
          <w:w w:val="110"/>
        </w:rPr>
        <w:t> </w:t>
      </w:r>
      <w:r>
        <w:rPr>
          <w:color w:val="231F20"/>
          <w:w w:val="110"/>
        </w:rPr>
        <w:t>personas</w:t>
      </w:r>
      <w:r>
        <w:rPr>
          <w:color w:val="231F20"/>
          <w:spacing w:val="-5"/>
          <w:w w:val="110"/>
        </w:rPr>
        <w:t> </w:t>
      </w:r>
      <w:r>
        <w:rPr>
          <w:color w:val="231F20"/>
          <w:w w:val="110"/>
        </w:rPr>
        <w:t>solteras</w:t>
      </w:r>
      <w:r>
        <w:rPr>
          <w:color w:val="231F20"/>
          <w:spacing w:val="-5"/>
          <w:w w:val="110"/>
        </w:rPr>
        <w:t> </w:t>
      </w:r>
      <w:r>
        <w:rPr>
          <w:color w:val="231F20"/>
          <w:w w:val="110"/>
        </w:rPr>
        <w:t>o</w:t>
      </w:r>
      <w:r>
        <w:rPr>
          <w:color w:val="231F20"/>
          <w:spacing w:val="-5"/>
          <w:w w:val="110"/>
        </w:rPr>
        <w:t> </w:t>
      </w:r>
      <w:r>
        <w:rPr>
          <w:color w:val="231F20"/>
          <w:w w:val="110"/>
        </w:rPr>
        <w:t>puede</w:t>
      </w:r>
      <w:r>
        <w:rPr>
          <w:color w:val="231F20"/>
          <w:spacing w:val="-5"/>
          <w:w w:val="110"/>
        </w:rPr>
        <w:t> </w:t>
      </w:r>
      <w:r>
        <w:rPr>
          <w:color w:val="231F20"/>
          <w:w w:val="110"/>
        </w:rPr>
        <w:t>significar</w:t>
      </w:r>
      <w:r>
        <w:rPr>
          <w:color w:val="231F20"/>
          <w:spacing w:val="-5"/>
          <w:w w:val="110"/>
        </w:rPr>
        <w:t> </w:t>
      </w:r>
      <w:r>
        <w:rPr>
          <w:color w:val="231F20"/>
          <w:w w:val="110"/>
        </w:rPr>
        <w:t>que</w:t>
      </w:r>
      <w:r>
        <w:rPr>
          <w:color w:val="231F20"/>
          <w:spacing w:val="-5"/>
          <w:w w:val="110"/>
        </w:rPr>
        <w:t> </w:t>
      </w:r>
      <w:r>
        <w:rPr>
          <w:color w:val="231F20"/>
          <w:w w:val="110"/>
        </w:rPr>
        <w:t>las</w:t>
      </w:r>
      <w:r>
        <w:rPr>
          <w:color w:val="231F20"/>
          <w:spacing w:val="-5"/>
          <w:w w:val="110"/>
        </w:rPr>
        <w:t> </w:t>
      </w:r>
      <w:r>
        <w:rPr>
          <w:color w:val="231F20"/>
          <w:w w:val="110"/>
        </w:rPr>
        <w:t>mayores</w:t>
      </w:r>
      <w:r>
        <w:rPr>
          <w:color w:val="231F20"/>
          <w:spacing w:val="-5"/>
          <w:w w:val="110"/>
        </w:rPr>
        <w:t> </w:t>
      </w:r>
      <w:r>
        <w:rPr>
          <w:color w:val="231F20"/>
          <w:w w:val="110"/>
        </w:rPr>
        <w:t>de</w:t>
      </w:r>
      <w:r>
        <w:rPr>
          <w:color w:val="231F20"/>
          <w:spacing w:val="-5"/>
          <w:w w:val="110"/>
        </w:rPr>
        <w:t> </w:t>
      </w:r>
      <w:r>
        <w:rPr>
          <w:color w:val="231F20"/>
          <w:w w:val="110"/>
        </w:rPr>
        <w:t>60</w:t>
      </w:r>
      <w:r>
        <w:rPr>
          <w:color w:val="231F20"/>
          <w:spacing w:val="-5"/>
          <w:w w:val="110"/>
        </w:rPr>
        <w:t> </w:t>
      </w:r>
      <w:r>
        <w:rPr>
          <w:color w:val="231F20"/>
          <w:w w:val="110"/>
        </w:rPr>
        <w:t>años,</w:t>
      </w:r>
      <w:r>
        <w:rPr>
          <w:color w:val="231F20"/>
          <w:spacing w:val="-5"/>
          <w:w w:val="110"/>
        </w:rPr>
        <w:t> </w:t>
      </w:r>
      <w:r>
        <w:rPr>
          <w:color w:val="231F20"/>
          <w:w w:val="110"/>
        </w:rPr>
        <w:t>debido a la viudez y a su buena condición de salud e independencia económica, tienen</w:t>
      </w:r>
      <w:r>
        <w:rPr>
          <w:color w:val="231F20"/>
          <w:spacing w:val="-4"/>
          <w:w w:val="110"/>
        </w:rPr>
        <w:t> </w:t>
      </w:r>
      <w:r>
        <w:rPr>
          <w:color w:val="231F20"/>
          <w:w w:val="110"/>
        </w:rPr>
        <w:t>la</w:t>
      </w:r>
      <w:r>
        <w:rPr>
          <w:color w:val="231F20"/>
          <w:spacing w:val="-4"/>
          <w:w w:val="110"/>
        </w:rPr>
        <w:t> </w:t>
      </w:r>
      <w:r>
        <w:rPr>
          <w:color w:val="231F20"/>
          <w:w w:val="110"/>
        </w:rPr>
        <w:t>opción</w:t>
      </w:r>
      <w:r>
        <w:rPr>
          <w:color w:val="231F20"/>
          <w:spacing w:val="-4"/>
          <w:w w:val="110"/>
        </w:rPr>
        <w:t> </w:t>
      </w:r>
      <w:r>
        <w:rPr>
          <w:color w:val="231F20"/>
          <w:w w:val="110"/>
        </w:rPr>
        <w:t>de</w:t>
      </w:r>
      <w:r>
        <w:rPr>
          <w:color w:val="231F20"/>
          <w:spacing w:val="-4"/>
          <w:w w:val="110"/>
        </w:rPr>
        <w:t> </w:t>
      </w:r>
      <w:r>
        <w:rPr>
          <w:color w:val="231F20"/>
          <w:w w:val="110"/>
        </w:rPr>
        <w:t>vivir</w:t>
      </w:r>
      <w:r>
        <w:rPr>
          <w:color w:val="231F20"/>
          <w:spacing w:val="-4"/>
          <w:w w:val="110"/>
        </w:rPr>
        <w:t> </w:t>
      </w:r>
      <w:r>
        <w:rPr>
          <w:color w:val="231F20"/>
          <w:w w:val="110"/>
        </w:rPr>
        <w:t>solas.</w:t>
      </w:r>
      <w:r>
        <w:rPr>
          <w:color w:val="231F20"/>
          <w:spacing w:val="-4"/>
          <w:w w:val="110"/>
        </w:rPr>
        <w:t> </w:t>
      </w:r>
      <w:r>
        <w:rPr>
          <w:color w:val="231F20"/>
          <w:w w:val="110"/>
        </w:rPr>
        <w:t>Otra</w:t>
      </w:r>
      <w:r>
        <w:rPr>
          <w:color w:val="231F20"/>
          <w:spacing w:val="-4"/>
          <w:w w:val="110"/>
        </w:rPr>
        <w:t> </w:t>
      </w:r>
      <w:r>
        <w:rPr>
          <w:color w:val="231F20"/>
          <w:w w:val="110"/>
        </w:rPr>
        <w:t>situación</w:t>
      </w:r>
      <w:r>
        <w:rPr>
          <w:color w:val="231F20"/>
          <w:spacing w:val="-4"/>
          <w:w w:val="110"/>
        </w:rPr>
        <w:t> </w:t>
      </w:r>
      <w:r>
        <w:rPr>
          <w:color w:val="231F20"/>
          <w:w w:val="110"/>
        </w:rPr>
        <w:t>que</w:t>
      </w:r>
      <w:r>
        <w:rPr>
          <w:color w:val="231F20"/>
          <w:spacing w:val="-4"/>
          <w:w w:val="110"/>
        </w:rPr>
        <w:t> </w:t>
      </w:r>
      <w:r>
        <w:rPr>
          <w:color w:val="231F20"/>
          <w:w w:val="110"/>
        </w:rPr>
        <w:t>puede</w:t>
      </w:r>
      <w:r>
        <w:rPr>
          <w:color w:val="231F20"/>
          <w:spacing w:val="-4"/>
          <w:w w:val="110"/>
        </w:rPr>
        <w:t> </w:t>
      </w:r>
      <w:r>
        <w:rPr>
          <w:color w:val="231F20"/>
          <w:w w:val="110"/>
        </w:rPr>
        <w:t>estar</w:t>
      </w:r>
      <w:r>
        <w:rPr>
          <w:color w:val="231F20"/>
          <w:spacing w:val="-4"/>
          <w:w w:val="110"/>
        </w:rPr>
        <w:t> </w:t>
      </w:r>
      <w:r>
        <w:rPr>
          <w:color w:val="231F20"/>
          <w:w w:val="110"/>
        </w:rPr>
        <w:t>reflejando</w:t>
      </w:r>
      <w:r>
        <w:rPr>
          <w:color w:val="231F20"/>
          <w:spacing w:val="-4"/>
          <w:w w:val="110"/>
        </w:rPr>
        <w:t> </w:t>
      </w:r>
      <w:r>
        <w:rPr>
          <w:color w:val="231F20"/>
          <w:w w:val="110"/>
        </w:rPr>
        <w:t>es la existencia de uniones LAT’s,</w:t>
      </w:r>
      <w:r>
        <w:rPr>
          <w:color w:val="231F20"/>
          <w:w w:val="110"/>
          <w:position w:val="6"/>
          <w:sz w:val="11"/>
        </w:rPr>
        <w:t>8 </w:t>
      </w:r>
      <w:r>
        <w:rPr>
          <w:color w:val="231F20"/>
          <w:w w:val="110"/>
        </w:rPr>
        <w:t>es </w:t>
      </w:r>
      <w:r>
        <w:rPr>
          <w:color w:val="231F20"/>
          <w:spacing w:val="-3"/>
          <w:w w:val="110"/>
        </w:rPr>
        <w:t>decir, </w:t>
      </w:r>
      <w:r>
        <w:rPr>
          <w:color w:val="231F20"/>
          <w:w w:val="110"/>
        </w:rPr>
        <w:t>personas con una unión estable pero donde cada quien reside en su domicilio, por separado (Quilodrán  </w:t>
      </w:r>
      <w:r>
        <w:rPr>
          <w:color w:val="231F20"/>
          <w:spacing w:val="34"/>
          <w:w w:val="110"/>
        </w:rPr>
        <w:t> </w:t>
      </w:r>
      <w:r>
        <w:rPr>
          <w:color w:val="231F20"/>
          <w:w w:val="110"/>
        </w:rPr>
        <w:t>y</w:t>
      </w:r>
    </w:p>
    <w:p>
      <w:pPr>
        <w:pStyle w:val="BodyText"/>
      </w:pPr>
    </w:p>
    <w:p>
      <w:pPr>
        <w:spacing w:before="0"/>
        <w:ind w:left="480" w:right="0" w:firstLine="0"/>
        <w:jc w:val="left"/>
        <w:rPr>
          <w:sz w:val="16"/>
        </w:rPr>
      </w:pPr>
      <w:r>
        <w:rPr>
          <w:color w:val="231F20"/>
          <w:w w:val="110"/>
          <w:position w:val="5"/>
          <w:sz w:val="9"/>
        </w:rPr>
        <w:t>8 </w:t>
      </w:r>
      <w:r>
        <w:rPr>
          <w:color w:val="231F20"/>
          <w:w w:val="110"/>
          <w:sz w:val="16"/>
        </w:rPr>
        <w:t>Se refiere a las siglas del término </w:t>
      </w:r>
      <w:r>
        <w:rPr>
          <w:i/>
          <w:color w:val="231F20"/>
          <w:w w:val="110"/>
          <w:sz w:val="16"/>
        </w:rPr>
        <w:t>Living Apart Together</w:t>
      </w:r>
      <w:r>
        <w:rPr>
          <w:color w:val="231F20"/>
          <w:w w:val="110"/>
          <w:sz w:val="16"/>
        </w:rPr>
        <w:t>.</w:t>
      </w:r>
    </w:p>
    <w:p>
      <w:pPr>
        <w:spacing w:after="0"/>
        <w:jc w:val="left"/>
        <w:rPr>
          <w:sz w:val="16"/>
        </w:rPr>
        <w:sectPr>
          <w:type w:val="continuous"/>
          <w:pgSz w:w="9520" w:h="12920"/>
          <w:pgMar w:top="0" w:bottom="0" w:left="1000" w:right="1320"/>
        </w:sectPr>
      </w:pPr>
    </w:p>
    <w:p>
      <w:pPr>
        <w:spacing w:line="185" w:lineRule="exact" w:before="65"/>
        <w:ind w:left="144" w:right="1588" w:firstLine="0"/>
        <w:jc w:val="left"/>
        <w:rPr>
          <w:sz w:val="16"/>
        </w:rPr>
      </w:pPr>
      <w:r>
        <w:rPr>
          <w:color w:val="231F20"/>
          <w:w w:val="105"/>
          <w:sz w:val="16"/>
        </w:rPr>
        <w:t>Cuadro 9</w:t>
      </w:r>
    </w:p>
    <w:p>
      <w:pPr>
        <w:spacing w:line="210" w:lineRule="exact" w:before="9"/>
        <w:ind w:left="144" w:right="1588" w:firstLine="0"/>
        <w:jc w:val="left"/>
        <w:rPr>
          <w:sz w:val="19"/>
        </w:rPr>
      </w:pPr>
      <w:r>
        <w:rPr>
          <w:color w:val="231F20"/>
          <w:w w:val="90"/>
          <w:sz w:val="19"/>
        </w:rPr>
        <w:t>Distribución porcentual de hogares censales con jefe de sexo masculino según número de miembros por entidad federativa 1990 y 2010</w:t>
      </w:r>
    </w:p>
    <w:p>
      <w:pPr>
        <w:pStyle w:val="BodyText"/>
        <w:spacing w:before="6"/>
        <w:rPr>
          <w:sz w:val="13"/>
        </w:rPr>
      </w:pPr>
      <w:r>
        <w:rPr/>
        <w:pict>
          <v:group style="position:absolute;margin-left:72.019997pt;margin-top:9.900045pt;width:354.6pt;height:.4pt;mso-position-horizontal-relative:page;mso-position-vertical-relative:paragraph;z-index:2368;mso-wrap-distance-left:0;mso-wrap-distance-right:0" coordorigin="1440,198" coordsize="7092,8">
            <v:line style="position:absolute" from="1444,202" to="3124,202" stroked="true" strokeweight=".4pt" strokecolor="#231f20"/>
            <v:line style="position:absolute" from="3124,202" to="3668,202" stroked="true" strokeweight=".4pt" strokecolor="#231f20"/>
            <v:line style="position:absolute" from="3668,202" to="4208,202" stroked="true" strokeweight=".4pt" strokecolor="#231f20"/>
            <v:line style="position:absolute" from="4208,202" to="4748,202" stroked="true" strokeweight=".4pt" strokecolor="#231f20"/>
            <v:line style="position:absolute" from="4748,202" to="5288,202" stroked="true" strokeweight=".4pt" strokecolor="#231f20"/>
            <v:line style="position:absolute" from="5288,202" to="5828,202" stroked="true" strokeweight=".4pt" strokecolor="#231f20"/>
            <v:line style="position:absolute" from="5828,202" to="6368,202" stroked="true" strokeweight=".4pt" strokecolor="#231f20"/>
            <v:line style="position:absolute" from="6368,202" to="6908,202" stroked="true" strokeweight=".4pt" strokecolor="#231f20"/>
            <v:line style="position:absolute" from="6908,202" to="7448,202" stroked="true" strokeweight=".4pt" strokecolor="#231f20"/>
            <v:line style="position:absolute" from="7448,202" to="7988,202" stroked="true" strokeweight=".4pt" strokecolor="#231f20"/>
            <v:line style="position:absolute" from="7988,202" to="8528,202" stroked="true" strokeweight=".4pt" strokecolor="#231f20"/>
            <w10:wrap type="topAndBottom"/>
          </v:group>
        </w:pict>
      </w:r>
    </w:p>
    <w:p>
      <w:pPr>
        <w:spacing w:before="68" w:after="71"/>
        <w:ind w:left="4328" w:right="2612" w:firstLine="0"/>
        <w:jc w:val="center"/>
        <w:rPr>
          <w:i/>
          <w:sz w:val="17"/>
        </w:rPr>
      </w:pPr>
      <w:r>
        <w:rPr>
          <w:i/>
          <w:color w:val="231F20"/>
          <w:sz w:val="17"/>
        </w:rPr>
        <w:t>1990</w:t>
      </w:r>
    </w:p>
    <w:p>
      <w:pPr>
        <w:pStyle w:val="BodyText"/>
        <w:spacing w:line="20" w:lineRule="exact"/>
        <w:ind w:left="1820"/>
        <w:rPr>
          <w:sz w:val="2"/>
        </w:rPr>
      </w:pPr>
      <w:r>
        <w:rPr>
          <w:sz w:val="2"/>
        </w:rPr>
        <w:pict>
          <v:group style="width:270.6pt;height:.4pt;mso-position-horizontal-relative:char;mso-position-vertical-relative:line" coordorigin="0,0" coordsize="5412,8">
            <v:line style="position:absolute" from="4,4" to="548,4" stroked="true" strokeweight=".4pt" strokecolor="#231f20"/>
            <v:line style="position:absolute" from="548,4" to="1088,4" stroked="true" strokeweight=".4pt" strokecolor="#231f20"/>
            <v:line style="position:absolute" from="1088,4" to="1628,4" stroked="true" strokeweight=".4pt" strokecolor="#231f20"/>
            <v:line style="position:absolute" from="1628,4" to="2168,4" stroked="true" strokeweight=".4pt" strokecolor="#231f20"/>
            <v:line style="position:absolute" from="2168,4" to="2708,4" stroked="true" strokeweight=".4pt" strokecolor="#231f20"/>
            <v:line style="position:absolute" from="2708,4" to="3248,4" stroked="true" strokeweight=".4pt" strokecolor="#231f20"/>
            <v:line style="position:absolute" from="3248,4" to="3788,4" stroked="true" strokeweight=".4pt" strokecolor="#231f20"/>
            <v:line style="position:absolute" from="3788,4" to="4328,4" stroked="true" strokeweight=".4pt" strokecolor="#231f20"/>
            <v:line style="position:absolute" from="4328,4" to="4868,4" stroked="true" strokeweight=".4pt" strokecolor="#231f20"/>
            <v:line style="position:absolute" from="4868,4" to="5408,4" stroked="true" strokeweight=".4pt" strokecolor="#231f20"/>
          </v:group>
        </w:pict>
      </w:r>
      <w:r>
        <w:rPr>
          <w:sz w:val="2"/>
        </w:rPr>
      </w:r>
    </w:p>
    <w:p>
      <w:pPr>
        <w:tabs>
          <w:tab w:pos="2053" w:val="left" w:leader="none"/>
          <w:tab w:pos="2595" w:val="left" w:leader="none"/>
          <w:tab w:pos="3135" w:val="left" w:leader="none"/>
          <w:tab w:pos="3675" w:val="left" w:leader="none"/>
          <w:tab w:pos="4215" w:val="left" w:leader="none"/>
          <w:tab w:pos="4755" w:val="left" w:leader="none"/>
          <w:tab w:pos="5295" w:val="left" w:leader="none"/>
          <w:tab w:pos="5835" w:val="left" w:leader="none"/>
          <w:tab w:pos="6304" w:val="left" w:leader="none"/>
          <w:tab w:pos="6770" w:val="left" w:leader="none"/>
        </w:tabs>
        <w:spacing w:before="72"/>
        <w:ind w:left="687" w:right="0" w:firstLine="0"/>
        <w:jc w:val="left"/>
        <w:rPr>
          <w:i/>
          <w:sz w:val="17"/>
        </w:rPr>
      </w:pPr>
      <w:r>
        <w:rPr>
          <w:i/>
          <w:color w:val="231F20"/>
          <w:sz w:val="17"/>
        </w:rPr>
        <w:t>Entidad</w:t>
        <w:tab/>
        <w:t>1</w:t>
        <w:tab/>
        <w:t>2</w:t>
        <w:tab/>
        <w:t>3</w:t>
        <w:tab/>
        <w:t>4</w:t>
        <w:tab/>
        <w:t>5</w:t>
        <w:tab/>
        <w:t>6</w:t>
        <w:tab/>
        <w:t>7</w:t>
        <w:tab/>
        <w:t>8</w:t>
        <w:tab/>
        <w:t>9+</w:t>
        <w:tab/>
        <w:t>Total</w:t>
      </w:r>
    </w:p>
    <w:p>
      <w:pPr>
        <w:pStyle w:val="BodyText"/>
        <w:rPr>
          <w:i/>
          <w:sz w:val="7"/>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01"/>
        <w:gridCol w:w="533"/>
        <w:gridCol w:w="565"/>
        <w:gridCol w:w="540"/>
        <w:gridCol w:w="540"/>
        <w:gridCol w:w="540"/>
        <w:gridCol w:w="542"/>
        <w:gridCol w:w="564"/>
        <w:gridCol w:w="492"/>
        <w:gridCol w:w="575"/>
        <w:gridCol w:w="527"/>
      </w:tblGrid>
      <w:tr>
        <w:trPr>
          <w:trHeight w:val="303" w:hRule="exact"/>
        </w:trPr>
        <w:tc>
          <w:tcPr>
            <w:tcW w:w="1701" w:type="dxa"/>
            <w:tcBorders>
              <w:top w:val="single" w:sz="3" w:space="0" w:color="231F20"/>
            </w:tcBorders>
          </w:tcPr>
          <w:p>
            <w:pPr>
              <w:pStyle w:val="TableParagraph"/>
              <w:spacing w:line="240" w:lineRule="auto" w:before="84"/>
              <w:ind w:left="35"/>
              <w:jc w:val="left"/>
              <w:rPr>
                <w:sz w:val="17"/>
              </w:rPr>
            </w:pPr>
            <w:r>
              <w:rPr>
                <w:color w:val="231F20"/>
                <w:w w:val="110"/>
                <w:sz w:val="17"/>
              </w:rPr>
              <w:t>Nacional</w:t>
            </w:r>
          </w:p>
        </w:tc>
        <w:tc>
          <w:tcPr>
            <w:tcW w:w="533" w:type="dxa"/>
            <w:tcBorders>
              <w:top w:val="single" w:sz="3" w:space="0" w:color="231F20"/>
            </w:tcBorders>
          </w:tcPr>
          <w:p>
            <w:pPr>
              <w:pStyle w:val="TableParagraph"/>
              <w:spacing w:line="240" w:lineRule="auto" w:before="84"/>
              <w:ind w:left="149" w:right="110"/>
              <w:rPr>
                <w:sz w:val="17"/>
              </w:rPr>
            </w:pPr>
            <w:r>
              <w:rPr>
                <w:color w:val="231F20"/>
                <w:w w:val="105"/>
                <w:sz w:val="17"/>
              </w:rPr>
              <w:t>2.9</w:t>
            </w:r>
          </w:p>
        </w:tc>
        <w:tc>
          <w:tcPr>
            <w:tcW w:w="565" w:type="dxa"/>
            <w:tcBorders>
              <w:top w:val="single" w:sz="3" w:space="0" w:color="231F20"/>
            </w:tcBorders>
          </w:tcPr>
          <w:p>
            <w:pPr>
              <w:pStyle w:val="TableParagraph"/>
              <w:spacing w:line="240" w:lineRule="auto" w:before="84"/>
              <w:ind w:left="176"/>
              <w:jc w:val="left"/>
              <w:rPr>
                <w:sz w:val="17"/>
              </w:rPr>
            </w:pPr>
            <w:r>
              <w:rPr>
                <w:color w:val="231F20"/>
                <w:w w:val="105"/>
                <w:sz w:val="17"/>
              </w:rPr>
              <w:t>8.5</w:t>
            </w:r>
          </w:p>
        </w:tc>
        <w:tc>
          <w:tcPr>
            <w:tcW w:w="540" w:type="dxa"/>
            <w:tcBorders>
              <w:top w:val="single" w:sz="3" w:space="0" w:color="231F20"/>
            </w:tcBorders>
          </w:tcPr>
          <w:p>
            <w:pPr>
              <w:pStyle w:val="TableParagraph"/>
              <w:spacing w:line="240" w:lineRule="auto" w:before="84"/>
              <w:ind w:left="83" w:right="83"/>
              <w:rPr>
                <w:sz w:val="17"/>
              </w:rPr>
            </w:pPr>
            <w:r>
              <w:rPr>
                <w:color w:val="231F20"/>
                <w:w w:val="105"/>
                <w:sz w:val="17"/>
              </w:rPr>
              <w:t>13.5</w:t>
            </w:r>
          </w:p>
        </w:tc>
        <w:tc>
          <w:tcPr>
            <w:tcW w:w="540" w:type="dxa"/>
            <w:tcBorders>
              <w:top w:val="single" w:sz="3" w:space="0" w:color="231F20"/>
            </w:tcBorders>
          </w:tcPr>
          <w:p>
            <w:pPr>
              <w:pStyle w:val="TableParagraph"/>
              <w:spacing w:line="240" w:lineRule="auto" w:before="84"/>
              <w:ind w:right="101"/>
              <w:jc w:val="right"/>
              <w:rPr>
                <w:sz w:val="17"/>
              </w:rPr>
            </w:pPr>
            <w:r>
              <w:rPr>
                <w:color w:val="231F20"/>
                <w:sz w:val="17"/>
              </w:rPr>
              <w:t>18.6</w:t>
            </w:r>
          </w:p>
        </w:tc>
        <w:tc>
          <w:tcPr>
            <w:tcW w:w="540" w:type="dxa"/>
            <w:tcBorders>
              <w:top w:val="single" w:sz="3" w:space="0" w:color="231F20"/>
            </w:tcBorders>
          </w:tcPr>
          <w:p>
            <w:pPr>
              <w:pStyle w:val="TableParagraph"/>
              <w:spacing w:line="240" w:lineRule="auto" w:before="84"/>
              <w:ind w:left="83" w:right="83"/>
              <w:rPr>
                <w:sz w:val="17"/>
              </w:rPr>
            </w:pPr>
            <w:r>
              <w:rPr>
                <w:color w:val="231F20"/>
                <w:w w:val="105"/>
                <w:sz w:val="17"/>
              </w:rPr>
              <w:t>18.0</w:t>
            </w:r>
          </w:p>
        </w:tc>
        <w:tc>
          <w:tcPr>
            <w:tcW w:w="542" w:type="dxa"/>
            <w:tcBorders>
              <w:top w:val="single" w:sz="3" w:space="0" w:color="231F20"/>
            </w:tcBorders>
          </w:tcPr>
          <w:p>
            <w:pPr>
              <w:pStyle w:val="TableParagraph"/>
              <w:spacing w:line="240" w:lineRule="auto" w:before="84"/>
              <w:ind w:left="103"/>
              <w:jc w:val="left"/>
              <w:rPr>
                <w:sz w:val="17"/>
              </w:rPr>
            </w:pPr>
            <w:r>
              <w:rPr>
                <w:color w:val="231F20"/>
                <w:w w:val="105"/>
                <w:sz w:val="17"/>
              </w:rPr>
              <w:t>13.5</w:t>
            </w:r>
          </w:p>
        </w:tc>
        <w:tc>
          <w:tcPr>
            <w:tcW w:w="564" w:type="dxa"/>
            <w:tcBorders>
              <w:top w:val="single" w:sz="3" w:space="0" w:color="231F20"/>
            </w:tcBorders>
          </w:tcPr>
          <w:p>
            <w:pPr>
              <w:pStyle w:val="TableParagraph"/>
              <w:spacing w:line="240" w:lineRule="auto" w:before="84"/>
              <w:ind w:right="123"/>
              <w:jc w:val="right"/>
              <w:rPr>
                <w:sz w:val="17"/>
              </w:rPr>
            </w:pPr>
            <w:r>
              <w:rPr>
                <w:color w:val="231F20"/>
                <w:w w:val="105"/>
                <w:sz w:val="17"/>
              </w:rPr>
              <w:t>9.2</w:t>
            </w:r>
          </w:p>
        </w:tc>
        <w:tc>
          <w:tcPr>
            <w:tcW w:w="492" w:type="dxa"/>
            <w:tcBorders>
              <w:top w:val="single" w:sz="3" w:space="0" w:color="231F20"/>
            </w:tcBorders>
          </w:tcPr>
          <w:p>
            <w:pPr>
              <w:pStyle w:val="TableParagraph"/>
              <w:spacing w:line="240" w:lineRule="auto" w:before="84"/>
              <w:ind w:left="125"/>
              <w:jc w:val="left"/>
              <w:rPr>
                <w:sz w:val="17"/>
              </w:rPr>
            </w:pPr>
            <w:r>
              <w:rPr>
                <w:color w:val="231F20"/>
                <w:w w:val="105"/>
                <w:sz w:val="17"/>
              </w:rPr>
              <w:t>6.1</w:t>
            </w:r>
          </w:p>
        </w:tc>
        <w:tc>
          <w:tcPr>
            <w:tcW w:w="575" w:type="dxa"/>
            <w:tcBorders>
              <w:top w:val="single" w:sz="3" w:space="0" w:color="231F20"/>
            </w:tcBorders>
          </w:tcPr>
          <w:p>
            <w:pPr>
              <w:pStyle w:val="TableParagraph"/>
              <w:spacing w:line="240" w:lineRule="auto" w:before="84"/>
              <w:ind w:left="205" w:right="93"/>
              <w:rPr>
                <w:sz w:val="17"/>
              </w:rPr>
            </w:pPr>
            <w:r>
              <w:rPr>
                <w:color w:val="231F20"/>
                <w:w w:val="105"/>
                <w:sz w:val="17"/>
              </w:rPr>
              <w:t>9.7</w:t>
            </w:r>
          </w:p>
        </w:tc>
        <w:tc>
          <w:tcPr>
            <w:tcW w:w="527" w:type="dxa"/>
            <w:tcBorders>
              <w:top w:val="single" w:sz="3" w:space="0" w:color="231F20"/>
            </w:tcBorders>
          </w:tcPr>
          <w:p>
            <w:pPr>
              <w:pStyle w:val="TableParagraph"/>
              <w:spacing w:line="240" w:lineRule="auto" w:before="84"/>
              <w:ind w:left="112"/>
              <w:jc w:val="left"/>
              <w:rPr>
                <w:sz w:val="17"/>
              </w:rPr>
            </w:pPr>
            <w:r>
              <w:rPr>
                <w:color w:val="231F20"/>
                <w:sz w:val="17"/>
              </w:rPr>
              <w:t>100</w:t>
            </w:r>
          </w:p>
        </w:tc>
      </w:tr>
      <w:tr>
        <w:trPr>
          <w:trHeight w:val="210" w:hRule="exact"/>
        </w:trPr>
        <w:tc>
          <w:tcPr>
            <w:tcW w:w="1701" w:type="dxa"/>
          </w:tcPr>
          <w:p>
            <w:pPr>
              <w:pStyle w:val="TableParagraph"/>
              <w:ind w:left="35"/>
              <w:jc w:val="left"/>
              <w:rPr>
                <w:sz w:val="17"/>
              </w:rPr>
            </w:pPr>
            <w:r>
              <w:rPr>
                <w:color w:val="231F20"/>
                <w:w w:val="110"/>
                <w:sz w:val="17"/>
              </w:rPr>
              <w:t>Aguascalientes</w:t>
            </w:r>
          </w:p>
        </w:tc>
        <w:tc>
          <w:tcPr>
            <w:tcW w:w="533" w:type="dxa"/>
          </w:tcPr>
          <w:p>
            <w:pPr>
              <w:pStyle w:val="TableParagraph"/>
              <w:ind w:left="149" w:right="110"/>
              <w:rPr>
                <w:sz w:val="17"/>
              </w:rPr>
            </w:pPr>
            <w:r>
              <w:rPr>
                <w:color w:val="231F20"/>
                <w:w w:val="105"/>
                <w:sz w:val="17"/>
              </w:rPr>
              <w:t>1.9</w:t>
            </w:r>
          </w:p>
        </w:tc>
        <w:tc>
          <w:tcPr>
            <w:tcW w:w="565" w:type="dxa"/>
          </w:tcPr>
          <w:p>
            <w:pPr>
              <w:pStyle w:val="TableParagraph"/>
              <w:ind w:left="176"/>
              <w:jc w:val="left"/>
              <w:rPr>
                <w:sz w:val="17"/>
              </w:rPr>
            </w:pPr>
            <w:r>
              <w:rPr>
                <w:color w:val="231F20"/>
                <w:w w:val="105"/>
                <w:sz w:val="17"/>
              </w:rPr>
              <w:t>7.8</w:t>
            </w:r>
          </w:p>
        </w:tc>
        <w:tc>
          <w:tcPr>
            <w:tcW w:w="540" w:type="dxa"/>
          </w:tcPr>
          <w:p>
            <w:pPr>
              <w:pStyle w:val="TableParagraph"/>
              <w:ind w:left="83" w:right="83"/>
              <w:rPr>
                <w:sz w:val="17"/>
              </w:rPr>
            </w:pPr>
            <w:r>
              <w:rPr>
                <w:color w:val="231F20"/>
                <w:w w:val="105"/>
                <w:sz w:val="17"/>
              </w:rPr>
              <w:t>12.1</w:t>
            </w:r>
          </w:p>
        </w:tc>
        <w:tc>
          <w:tcPr>
            <w:tcW w:w="540" w:type="dxa"/>
          </w:tcPr>
          <w:p>
            <w:pPr>
              <w:pStyle w:val="TableParagraph"/>
              <w:ind w:right="101"/>
              <w:jc w:val="right"/>
              <w:rPr>
                <w:sz w:val="17"/>
              </w:rPr>
            </w:pPr>
            <w:r>
              <w:rPr>
                <w:color w:val="231F20"/>
                <w:sz w:val="17"/>
              </w:rPr>
              <w:t>17.0</w:t>
            </w:r>
          </w:p>
        </w:tc>
        <w:tc>
          <w:tcPr>
            <w:tcW w:w="540" w:type="dxa"/>
          </w:tcPr>
          <w:p>
            <w:pPr>
              <w:pStyle w:val="TableParagraph"/>
              <w:ind w:left="83" w:right="83"/>
              <w:rPr>
                <w:sz w:val="17"/>
              </w:rPr>
            </w:pPr>
            <w:r>
              <w:rPr>
                <w:color w:val="231F20"/>
                <w:w w:val="105"/>
                <w:sz w:val="17"/>
              </w:rPr>
              <w:t>16.8</w:t>
            </w:r>
          </w:p>
        </w:tc>
        <w:tc>
          <w:tcPr>
            <w:tcW w:w="542" w:type="dxa"/>
          </w:tcPr>
          <w:p>
            <w:pPr>
              <w:pStyle w:val="TableParagraph"/>
              <w:ind w:left="103"/>
              <w:jc w:val="left"/>
              <w:rPr>
                <w:sz w:val="17"/>
              </w:rPr>
            </w:pPr>
            <w:r>
              <w:rPr>
                <w:color w:val="231F20"/>
                <w:w w:val="105"/>
                <w:sz w:val="17"/>
              </w:rPr>
              <w:t>12.9</w:t>
            </w:r>
          </w:p>
        </w:tc>
        <w:tc>
          <w:tcPr>
            <w:tcW w:w="564" w:type="dxa"/>
          </w:tcPr>
          <w:p>
            <w:pPr>
              <w:pStyle w:val="TableParagraph"/>
              <w:ind w:right="123"/>
              <w:jc w:val="right"/>
              <w:rPr>
                <w:sz w:val="17"/>
              </w:rPr>
            </w:pPr>
            <w:r>
              <w:rPr>
                <w:color w:val="231F20"/>
                <w:w w:val="105"/>
                <w:sz w:val="17"/>
              </w:rPr>
              <w:t>9.7</w:t>
            </w:r>
          </w:p>
        </w:tc>
        <w:tc>
          <w:tcPr>
            <w:tcW w:w="492" w:type="dxa"/>
          </w:tcPr>
          <w:p>
            <w:pPr>
              <w:pStyle w:val="TableParagraph"/>
              <w:ind w:left="125"/>
              <w:jc w:val="left"/>
              <w:rPr>
                <w:sz w:val="17"/>
              </w:rPr>
            </w:pPr>
            <w:r>
              <w:rPr>
                <w:color w:val="231F20"/>
                <w:w w:val="105"/>
                <w:sz w:val="17"/>
              </w:rPr>
              <w:t>7.1</w:t>
            </w:r>
          </w:p>
        </w:tc>
        <w:tc>
          <w:tcPr>
            <w:tcW w:w="575" w:type="dxa"/>
          </w:tcPr>
          <w:p>
            <w:pPr>
              <w:pStyle w:val="TableParagraph"/>
              <w:ind w:left="109" w:right="93"/>
              <w:rPr>
                <w:sz w:val="17"/>
              </w:rPr>
            </w:pPr>
            <w:r>
              <w:rPr>
                <w:color w:val="231F20"/>
                <w:w w:val="105"/>
                <w:sz w:val="17"/>
              </w:rPr>
              <w:t>14.7</w:t>
            </w:r>
          </w:p>
        </w:tc>
        <w:tc>
          <w:tcPr>
            <w:tcW w:w="527" w:type="dxa"/>
          </w:tcPr>
          <w:p>
            <w:pPr>
              <w:pStyle w:val="TableParagraph"/>
              <w:ind w:left="112"/>
              <w:jc w:val="left"/>
              <w:rPr>
                <w:sz w:val="17"/>
              </w:rPr>
            </w:pPr>
            <w:r>
              <w:rPr>
                <w:color w:val="231F20"/>
                <w:sz w:val="17"/>
              </w:rPr>
              <w:t>100</w:t>
            </w:r>
          </w:p>
        </w:tc>
      </w:tr>
      <w:tr>
        <w:trPr>
          <w:trHeight w:val="210" w:hRule="exact"/>
        </w:trPr>
        <w:tc>
          <w:tcPr>
            <w:tcW w:w="1701" w:type="dxa"/>
          </w:tcPr>
          <w:p>
            <w:pPr>
              <w:pStyle w:val="TableParagraph"/>
              <w:ind w:left="35"/>
              <w:jc w:val="left"/>
              <w:rPr>
                <w:sz w:val="17"/>
              </w:rPr>
            </w:pPr>
            <w:r>
              <w:rPr>
                <w:color w:val="231F20"/>
                <w:w w:val="110"/>
                <w:sz w:val="17"/>
              </w:rPr>
              <w:t>Baja California</w:t>
            </w:r>
          </w:p>
        </w:tc>
        <w:tc>
          <w:tcPr>
            <w:tcW w:w="533" w:type="dxa"/>
          </w:tcPr>
          <w:p>
            <w:pPr>
              <w:pStyle w:val="TableParagraph"/>
              <w:ind w:left="149" w:right="110"/>
              <w:rPr>
                <w:sz w:val="17"/>
              </w:rPr>
            </w:pPr>
            <w:r>
              <w:rPr>
                <w:color w:val="231F20"/>
                <w:w w:val="105"/>
                <w:sz w:val="17"/>
              </w:rPr>
              <w:t>4.8</w:t>
            </w:r>
          </w:p>
        </w:tc>
        <w:tc>
          <w:tcPr>
            <w:tcW w:w="565" w:type="dxa"/>
          </w:tcPr>
          <w:p>
            <w:pPr>
              <w:pStyle w:val="TableParagraph"/>
              <w:ind w:left="128"/>
              <w:jc w:val="left"/>
              <w:rPr>
                <w:sz w:val="17"/>
              </w:rPr>
            </w:pPr>
            <w:r>
              <w:rPr>
                <w:color w:val="231F20"/>
                <w:w w:val="105"/>
                <w:sz w:val="17"/>
              </w:rPr>
              <w:t>10.6</w:t>
            </w:r>
          </w:p>
        </w:tc>
        <w:tc>
          <w:tcPr>
            <w:tcW w:w="540" w:type="dxa"/>
          </w:tcPr>
          <w:p>
            <w:pPr>
              <w:pStyle w:val="TableParagraph"/>
              <w:ind w:left="83" w:right="83"/>
              <w:rPr>
                <w:sz w:val="17"/>
              </w:rPr>
            </w:pPr>
            <w:r>
              <w:rPr>
                <w:color w:val="231F20"/>
                <w:w w:val="105"/>
                <w:sz w:val="17"/>
              </w:rPr>
              <w:t>16.5</w:t>
            </w:r>
          </w:p>
        </w:tc>
        <w:tc>
          <w:tcPr>
            <w:tcW w:w="540" w:type="dxa"/>
          </w:tcPr>
          <w:p>
            <w:pPr>
              <w:pStyle w:val="TableParagraph"/>
              <w:ind w:right="101"/>
              <w:jc w:val="right"/>
              <w:rPr>
                <w:sz w:val="17"/>
              </w:rPr>
            </w:pPr>
            <w:r>
              <w:rPr>
                <w:color w:val="231F20"/>
                <w:sz w:val="17"/>
              </w:rPr>
              <w:t>21.8</w:t>
            </w:r>
          </w:p>
        </w:tc>
        <w:tc>
          <w:tcPr>
            <w:tcW w:w="540" w:type="dxa"/>
          </w:tcPr>
          <w:p>
            <w:pPr>
              <w:pStyle w:val="TableParagraph"/>
              <w:ind w:left="83" w:right="83"/>
              <w:rPr>
                <w:sz w:val="17"/>
              </w:rPr>
            </w:pPr>
            <w:r>
              <w:rPr>
                <w:color w:val="231F20"/>
                <w:w w:val="105"/>
                <w:sz w:val="17"/>
              </w:rPr>
              <w:t>18.6</w:t>
            </w:r>
          </w:p>
        </w:tc>
        <w:tc>
          <w:tcPr>
            <w:tcW w:w="542" w:type="dxa"/>
          </w:tcPr>
          <w:p>
            <w:pPr>
              <w:pStyle w:val="TableParagraph"/>
              <w:ind w:left="103"/>
              <w:jc w:val="left"/>
              <w:rPr>
                <w:sz w:val="17"/>
              </w:rPr>
            </w:pPr>
            <w:r>
              <w:rPr>
                <w:color w:val="231F20"/>
                <w:w w:val="105"/>
                <w:sz w:val="17"/>
              </w:rPr>
              <w:t>11.9</w:t>
            </w:r>
          </w:p>
        </w:tc>
        <w:tc>
          <w:tcPr>
            <w:tcW w:w="564" w:type="dxa"/>
          </w:tcPr>
          <w:p>
            <w:pPr>
              <w:pStyle w:val="TableParagraph"/>
              <w:ind w:right="123"/>
              <w:jc w:val="right"/>
              <w:rPr>
                <w:sz w:val="17"/>
              </w:rPr>
            </w:pPr>
            <w:r>
              <w:rPr>
                <w:color w:val="231F20"/>
                <w:w w:val="105"/>
                <w:sz w:val="17"/>
              </w:rPr>
              <w:t>6.8</w:t>
            </w:r>
          </w:p>
        </w:tc>
        <w:tc>
          <w:tcPr>
            <w:tcW w:w="492" w:type="dxa"/>
          </w:tcPr>
          <w:p>
            <w:pPr>
              <w:pStyle w:val="TableParagraph"/>
              <w:ind w:left="125"/>
              <w:jc w:val="left"/>
              <w:rPr>
                <w:sz w:val="17"/>
              </w:rPr>
            </w:pPr>
            <w:r>
              <w:rPr>
                <w:color w:val="231F20"/>
                <w:w w:val="105"/>
                <w:sz w:val="17"/>
              </w:rPr>
              <w:t>3.9</w:t>
            </w:r>
          </w:p>
        </w:tc>
        <w:tc>
          <w:tcPr>
            <w:tcW w:w="575" w:type="dxa"/>
          </w:tcPr>
          <w:p>
            <w:pPr>
              <w:pStyle w:val="TableParagraph"/>
              <w:ind w:left="205" w:right="93"/>
              <w:rPr>
                <w:sz w:val="17"/>
              </w:rPr>
            </w:pPr>
            <w:r>
              <w:rPr>
                <w:color w:val="231F20"/>
                <w:w w:val="105"/>
                <w:sz w:val="17"/>
              </w:rPr>
              <w:t>5.0</w:t>
            </w:r>
          </w:p>
        </w:tc>
        <w:tc>
          <w:tcPr>
            <w:tcW w:w="527" w:type="dxa"/>
          </w:tcPr>
          <w:p>
            <w:pPr>
              <w:pStyle w:val="TableParagraph"/>
              <w:ind w:left="112"/>
              <w:jc w:val="left"/>
              <w:rPr>
                <w:sz w:val="17"/>
              </w:rPr>
            </w:pPr>
            <w:r>
              <w:rPr>
                <w:color w:val="231F20"/>
                <w:sz w:val="17"/>
              </w:rPr>
              <w:t>100</w:t>
            </w:r>
          </w:p>
        </w:tc>
      </w:tr>
      <w:tr>
        <w:trPr>
          <w:trHeight w:val="210" w:hRule="exact"/>
        </w:trPr>
        <w:tc>
          <w:tcPr>
            <w:tcW w:w="1701" w:type="dxa"/>
          </w:tcPr>
          <w:p>
            <w:pPr>
              <w:pStyle w:val="TableParagraph"/>
              <w:ind w:left="35"/>
              <w:jc w:val="left"/>
              <w:rPr>
                <w:sz w:val="17"/>
              </w:rPr>
            </w:pPr>
            <w:r>
              <w:rPr>
                <w:color w:val="231F20"/>
                <w:w w:val="110"/>
                <w:sz w:val="17"/>
              </w:rPr>
              <w:t>Baja California Sur</w:t>
            </w:r>
          </w:p>
        </w:tc>
        <w:tc>
          <w:tcPr>
            <w:tcW w:w="533" w:type="dxa"/>
          </w:tcPr>
          <w:p>
            <w:pPr>
              <w:pStyle w:val="TableParagraph"/>
              <w:ind w:left="149" w:right="110"/>
              <w:rPr>
                <w:sz w:val="17"/>
              </w:rPr>
            </w:pPr>
            <w:r>
              <w:rPr>
                <w:color w:val="231F20"/>
                <w:w w:val="105"/>
                <w:sz w:val="17"/>
              </w:rPr>
              <w:t>4.6</w:t>
            </w:r>
          </w:p>
        </w:tc>
        <w:tc>
          <w:tcPr>
            <w:tcW w:w="565" w:type="dxa"/>
          </w:tcPr>
          <w:p>
            <w:pPr>
              <w:pStyle w:val="TableParagraph"/>
              <w:ind w:left="176"/>
              <w:jc w:val="left"/>
              <w:rPr>
                <w:sz w:val="17"/>
              </w:rPr>
            </w:pPr>
            <w:r>
              <w:rPr>
                <w:color w:val="231F20"/>
                <w:w w:val="105"/>
                <w:sz w:val="17"/>
              </w:rPr>
              <w:t>9.3</w:t>
            </w:r>
          </w:p>
        </w:tc>
        <w:tc>
          <w:tcPr>
            <w:tcW w:w="540" w:type="dxa"/>
          </w:tcPr>
          <w:p>
            <w:pPr>
              <w:pStyle w:val="TableParagraph"/>
              <w:ind w:left="83" w:right="83"/>
              <w:rPr>
                <w:sz w:val="17"/>
              </w:rPr>
            </w:pPr>
            <w:r>
              <w:rPr>
                <w:color w:val="231F20"/>
                <w:w w:val="105"/>
                <w:sz w:val="17"/>
              </w:rPr>
              <w:t>15.9</w:t>
            </w:r>
          </w:p>
        </w:tc>
        <w:tc>
          <w:tcPr>
            <w:tcW w:w="540" w:type="dxa"/>
          </w:tcPr>
          <w:p>
            <w:pPr>
              <w:pStyle w:val="TableParagraph"/>
              <w:ind w:right="101"/>
              <w:jc w:val="right"/>
              <w:rPr>
                <w:sz w:val="17"/>
              </w:rPr>
            </w:pPr>
            <w:r>
              <w:rPr>
                <w:color w:val="231F20"/>
                <w:sz w:val="17"/>
              </w:rPr>
              <w:t>21.0</w:t>
            </w:r>
          </w:p>
        </w:tc>
        <w:tc>
          <w:tcPr>
            <w:tcW w:w="540" w:type="dxa"/>
          </w:tcPr>
          <w:p>
            <w:pPr>
              <w:pStyle w:val="TableParagraph"/>
              <w:ind w:left="83" w:right="83"/>
              <w:rPr>
                <w:sz w:val="17"/>
              </w:rPr>
            </w:pPr>
            <w:r>
              <w:rPr>
                <w:color w:val="231F20"/>
                <w:w w:val="105"/>
                <w:sz w:val="17"/>
              </w:rPr>
              <w:t>19.2</w:t>
            </w:r>
          </w:p>
        </w:tc>
        <w:tc>
          <w:tcPr>
            <w:tcW w:w="542" w:type="dxa"/>
          </w:tcPr>
          <w:p>
            <w:pPr>
              <w:pStyle w:val="TableParagraph"/>
              <w:ind w:left="103"/>
              <w:jc w:val="left"/>
              <w:rPr>
                <w:sz w:val="17"/>
              </w:rPr>
            </w:pPr>
            <w:r>
              <w:rPr>
                <w:color w:val="231F20"/>
                <w:w w:val="105"/>
                <w:sz w:val="17"/>
              </w:rPr>
              <w:t>12.6</w:t>
            </w:r>
          </w:p>
        </w:tc>
        <w:tc>
          <w:tcPr>
            <w:tcW w:w="564" w:type="dxa"/>
          </w:tcPr>
          <w:p>
            <w:pPr>
              <w:pStyle w:val="TableParagraph"/>
              <w:ind w:right="123"/>
              <w:jc w:val="right"/>
              <w:rPr>
                <w:sz w:val="17"/>
              </w:rPr>
            </w:pPr>
            <w:r>
              <w:rPr>
                <w:color w:val="231F20"/>
                <w:w w:val="105"/>
                <w:sz w:val="17"/>
              </w:rPr>
              <w:t>7.4</w:t>
            </w:r>
          </w:p>
        </w:tc>
        <w:tc>
          <w:tcPr>
            <w:tcW w:w="492" w:type="dxa"/>
          </w:tcPr>
          <w:p>
            <w:pPr>
              <w:pStyle w:val="TableParagraph"/>
              <w:ind w:left="125"/>
              <w:jc w:val="left"/>
              <w:rPr>
                <w:sz w:val="17"/>
              </w:rPr>
            </w:pPr>
            <w:r>
              <w:rPr>
                <w:color w:val="231F20"/>
                <w:w w:val="105"/>
                <w:sz w:val="17"/>
              </w:rPr>
              <w:t>4.4</w:t>
            </w:r>
          </w:p>
        </w:tc>
        <w:tc>
          <w:tcPr>
            <w:tcW w:w="575" w:type="dxa"/>
          </w:tcPr>
          <w:p>
            <w:pPr>
              <w:pStyle w:val="TableParagraph"/>
              <w:ind w:left="205" w:right="93"/>
              <w:rPr>
                <w:sz w:val="17"/>
              </w:rPr>
            </w:pPr>
            <w:r>
              <w:rPr>
                <w:color w:val="231F20"/>
                <w:w w:val="105"/>
                <w:sz w:val="17"/>
              </w:rPr>
              <w:t>5.7</w:t>
            </w:r>
          </w:p>
        </w:tc>
        <w:tc>
          <w:tcPr>
            <w:tcW w:w="527" w:type="dxa"/>
          </w:tcPr>
          <w:p>
            <w:pPr>
              <w:pStyle w:val="TableParagraph"/>
              <w:ind w:left="112"/>
              <w:jc w:val="left"/>
              <w:rPr>
                <w:sz w:val="17"/>
              </w:rPr>
            </w:pPr>
            <w:r>
              <w:rPr>
                <w:color w:val="231F20"/>
                <w:sz w:val="17"/>
              </w:rPr>
              <w:t>100</w:t>
            </w:r>
          </w:p>
        </w:tc>
      </w:tr>
      <w:tr>
        <w:trPr>
          <w:trHeight w:val="210" w:hRule="exact"/>
        </w:trPr>
        <w:tc>
          <w:tcPr>
            <w:tcW w:w="1701" w:type="dxa"/>
          </w:tcPr>
          <w:p>
            <w:pPr>
              <w:pStyle w:val="TableParagraph"/>
              <w:ind w:left="35"/>
              <w:jc w:val="left"/>
              <w:rPr>
                <w:sz w:val="17"/>
              </w:rPr>
            </w:pPr>
            <w:r>
              <w:rPr>
                <w:color w:val="231F20"/>
                <w:w w:val="110"/>
                <w:sz w:val="17"/>
              </w:rPr>
              <w:t>Campeche</w:t>
            </w:r>
          </w:p>
        </w:tc>
        <w:tc>
          <w:tcPr>
            <w:tcW w:w="533" w:type="dxa"/>
          </w:tcPr>
          <w:p>
            <w:pPr>
              <w:pStyle w:val="TableParagraph"/>
              <w:ind w:left="149" w:right="110"/>
              <w:rPr>
                <w:sz w:val="17"/>
              </w:rPr>
            </w:pPr>
            <w:r>
              <w:rPr>
                <w:color w:val="231F20"/>
                <w:w w:val="105"/>
                <w:sz w:val="17"/>
              </w:rPr>
              <w:t>4.3</w:t>
            </w:r>
          </w:p>
        </w:tc>
        <w:tc>
          <w:tcPr>
            <w:tcW w:w="565" w:type="dxa"/>
          </w:tcPr>
          <w:p>
            <w:pPr>
              <w:pStyle w:val="TableParagraph"/>
              <w:ind w:left="176"/>
              <w:jc w:val="left"/>
              <w:rPr>
                <w:sz w:val="17"/>
              </w:rPr>
            </w:pPr>
            <w:r>
              <w:rPr>
                <w:color w:val="231F20"/>
                <w:w w:val="105"/>
                <w:sz w:val="17"/>
              </w:rPr>
              <w:t>9.0</w:t>
            </w:r>
          </w:p>
        </w:tc>
        <w:tc>
          <w:tcPr>
            <w:tcW w:w="540" w:type="dxa"/>
          </w:tcPr>
          <w:p>
            <w:pPr>
              <w:pStyle w:val="TableParagraph"/>
              <w:ind w:left="83" w:right="83"/>
              <w:rPr>
                <w:sz w:val="17"/>
              </w:rPr>
            </w:pPr>
            <w:r>
              <w:rPr>
                <w:color w:val="231F20"/>
                <w:w w:val="105"/>
                <w:sz w:val="17"/>
              </w:rPr>
              <w:t>13.9</w:t>
            </w:r>
          </w:p>
        </w:tc>
        <w:tc>
          <w:tcPr>
            <w:tcW w:w="540" w:type="dxa"/>
          </w:tcPr>
          <w:p>
            <w:pPr>
              <w:pStyle w:val="TableParagraph"/>
              <w:ind w:right="101"/>
              <w:jc w:val="right"/>
              <w:rPr>
                <w:sz w:val="17"/>
              </w:rPr>
            </w:pPr>
            <w:r>
              <w:rPr>
                <w:color w:val="231F20"/>
                <w:sz w:val="17"/>
              </w:rPr>
              <w:t>18.7</w:t>
            </w:r>
          </w:p>
        </w:tc>
        <w:tc>
          <w:tcPr>
            <w:tcW w:w="540" w:type="dxa"/>
          </w:tcPr>
          <w:p>
            <w:pPr>
              <w:pStyle w:val="TableParagraph"/>
              <w:ind w:left="83" w:right="83"/>
              <w:rPr>
                <w:sz w:val="17"/>
              </w:rPr>
            </w:pPr>
            <w:r>
              <w:rPr>
                <w:color w:val="231F20"/>
                <w:w w:val="105"/>
                <w:sz w:val="17"/>
              </w:rPr>
              <w:t>18.3</w:t>
            </w:r>
          </w:p>
        </w:tc>
        <w:tc>
          <w:tcPr>
            <w:tcW w:w="542" w:type="dxa"/>
          </w:tcPr>
          <w:p>
            <w:pPr>
              <w:pStyle w:val="TableParagraph"/>
              <w:ind w:left="103"/>
              <w:jc w:val="left"/>
              <w:rPr>
                <w:sz w:val="17"/>
              </w:rPr>
            </w:pPr>
            <w:r>
              <w:rPr>
                <w:color w:val="231F20"/>
                <w:w w:val="105"/>
                <w:sz w:val="17"/>
              </w:rPr>
              <w:t>13.3</w:t>
            </w:r>
          </w:p>
        </w:tc>
        <w:tc>
          <w:tcPr>
            <w:tcW w:w="564" w:type="dxa"/>
          </w:tcPr>
          <w:p>
            <w:pPr>
              <w:pStyle w:val="TableParagraph"/>
              <w:ind w:right="123"/>
              <w:jc w:val="right"/>
              <w:rPr>
                <w:sz w:val="17"/>
              </w:rPr>
            </w:pPr>
            <w:r>
              <w:rPr>
                <w:color w:val="231F20"/>
                <w:w w:val="105"/>
                <w:sz w:val="17"/>
              </w:rPr>
              <w:t>8.8</w:t>
            </w:r>
          </w:p>
        </w:tc>
        <w:tc>
          <w:tcPr>
            <w:tcW w:w="492" w:type="dxa"/>
          </w:tcPr>
          <w:p>
            <w:pPr>
              <w:pStyle w:val="TableParagraph"/>
              <w:ind w:left="125"/>
              <w:jc w:val="left"/>
              <w:rPr>
                <w:sz w:val="17"/>
              </w:rPr>
            </w:pPr>
            <w:r>
              <w:rPr>
                <w:color w:val="231F20"/>
                <w:w w:val="105"/>
                <w:sz w:val="17"/>
              </w:rPr>
              <w:t>5.8</w:t>
            </w:r>
          </w:p>
        </w:tc>
        <w:tc>
          <w:tcPr>
            <w:tcW w:w="575" w:type="dxa"/>
          </w:tcPr>
          <w:p>
            <w:pPr>
              <w:pStyle w:val="TableParagraph"/>
              <w:ind w:left="205" w:right="93"/>
              <w:rPr>
                <w:sz w:val="17"/>
              </w:rPr>
            </w:pPr>
            <w:r>
              <w:rPr>
                <w:color w:val="231F20"/>
                <w:w w:val="105"/>
                <w:sz w:val="17"/>
              </w:rPr>
              <w:t>8.1</w:t>
            </w:r>
          </w:p>
        </w:tc>
        <w:tc>
          <w:tcPr>
            <w:tcW w:w="527" w:type="dxa"/>
          </w:tcPr>
          <w:p>
            <w:pPr>
              <w:pStyle w:val="TableParagraph"/>
              <w:ind w:left="112"/>
              <w:jc w:val="left"/>
              <w:rPr>
                <w:sz w:val="17"/>
              </w:rPr>
            </w:pPr>
            <w:r>
              <w:rPr>
                <w:color w:val="231F20"/>
                <w:sz w:val="17"/>
              </w:rPr>
              <w:t>100</w:t>
            </w:r>
          </w:p>
        </w:tc>
      </w:tr>
      <w:tr>
        <w:trPr>
          <w:trHeight w:val="210" w:hRule="exact"/>
        </w:trPr>
        <w:tc>
          <w:tcPr>
            <w:tcW w:w="1701" w:type="dxa"/>
          </w:tcPr>
          <w:p>
            <w:pPr>
              <w:pStyle w:val="TableParagraph"/>
              <w:ind w:left="35"/>
              <w:jc w:val="left"/>
              <w:rPr>
                <w:sz w:val="17"/>
              </w:rPr>
            </w:pPr>
            <w:r>
              <w:rPr>
                <w:color w:val="231F20"/>
                <w:w w:val="110"/>
                <w:sz w:val="17"/>
              </w:rPr>
              <w:t>Coahuila</w:t>
            </w:r>
          </w:p>
        </w:tc>
        <w:tc>
          <w:tcPr>
            <w:tcW w:w="533" w:type="dxa"/>
          </w:tcPr>
          <w:p>
            <w:pPr>
              <w:pStyle w:val="TableParagraph"/>
              <w:ind w:left="149" w:right="110"/>
              <w:rPr>
                <w:sz w:val="17"/>
              </w:rPr>
            </w:pPr>
            <w:r>
              <w:rPr>
                <w:color w:val="231F20"/>
                <w:w w:val="105"/>
                <w:sz w:val="17"/>
              </w:rPr>
              <w:t>2.7</w:t>
            </w:r>
          </w:p>
        </w:tc>
        <w:tc>
          <w:tcPr>
            <w:tcW w:w="565" w:type="dxa"/>
          </w:tcPr>
          <w:p>
            <w:pPr>
              <w:pStyle w:val="TableParagraph"/>
              <w:ind w:left="176"/>
              <w:jc w:val="left"/>
              <w:rPr>
                <w:sz w:val="17"/>
              </w:rPr>
            </w:pPr>
            <w:r>
              <w:rPr>
                <w:color w:val="231F20"/>
                <w:w w:val="105"/>
                <w:sz w:val="17"/>
              </w:rPr>
              <w:t>8.5</w:t>
            </w:r>
          </w:p>
        </w:tc>
        <w:tc>
          <w:tcPr>
            <w:tcW w:w="540" w:type="dxa"/>
          </w:tcPr>
          <w:p>
            <w:pPr>
              <w:pStyle w:val="TableParagraph"/>
              <w:ind w:left="83" w:right="83"/>
              <w:rPr>
                <w:sz w:val="17"/>
              </w:rPr>
            </w:pPr>
            <w:r>
              <w:rPr>
                <w:color w:val="231F20"/>
                <w:w w:val="105"/>
                <w:sz w:val="17"/>
              </w:rPr>
              <w:t>14.4</w:t>
            </w:r>
          </w:p>
        </w:tc>
        <w:tc>
          <w:tcPr>
            <w:tcW w:w="540" w:type="dxa"/>
          </w:tcPr>
          <w:p>
            <w:pPr>
              <w:pStyle w:val="TableParagraph"/>
              <w:ind w:right="101"/>
              <w:jc w:val="right"/>
              <w:rPr>
                <w:sz w:val="17"/>
              </w:rPr>
            </w:pPr>
            <w:r>
              <w:rPr>
                <w:color w:val="231F20"/>
                <w:sz w:val="17"/>
              </w:rPr>
              <w:t>19.6</w:t>
            </w:r>
          </w:p>
        </w:tc>
        <w:tc>
          <w:tcPr>
            <w:tcW w:w="540" w:type="dxa"/>
          </w:tcPr>
          <w:p>
            <w:pPr>
              <w:pStyle w:val="TableParagraph"/>
              <w:ind w:left="83" w:right="83"/>
              <w:rPr>
                <w:sz w:val="17"/>
              </w:rPr>
            </w:pPr>
            <w:r>
              <w:rPr>
                <w:color w:val="231F20"/>
                <w:w w:val="105"/>
                <w:sz w:val="17"/>
              </w:rPr>
              <w:t>19.9</w:t>
            </w:r>
          </w:p>
        </w:tc>
        <w:tc>
          <w:tcPr>
            <w:tcW w:w="542" w:type="dxa"/>
          </w:tcPr>
          <w:p>
            <w:pPr>
              <w:pStyle w:val="TableParagraph"/>
              <w:ind w:left="103"/>
              <w:jc w:val="left"/>
              <w:rPr>
                <w:sz w:val="17"/>
              </w:rPr>
            </w:pPr>
            <w:r>
              <w:rPr>
                <w:color w:val="231F20"/>
                <w:w w:val="105"/>
                <w:sz w:val="17"/>
              </w:rPr>
              <w:t>14.2</w:t>
            </w:r>
          </w:p>
        </w:tc>
        <w:tc>
          <w:tcPr>
            <w:tcW w:w="564" w:type="dxa"/>
          </w:tcPr>
          <w:p>
            <w:pPr>
              <w:pStyle w:val="TableParagraph"/>
              <w:ind w:right="123"/>
              <w:jc w:val="right"/>
              <w:rPr>
                <w:sz w:val="17"/>
              </w:rPr>
            </w:pPr>
            <w:r>
              <w:rPr>
                <w:color w:val="231F20"/>
                <w:w w:val="105"/>
                <w:sz w:val="17"/>
              </w:rPr>
              <w:t>8.8</w:t>
            </w:r>
          </w:p>
        </w:tc>
        <w:tc>
          <w:tcPr>
            <w:tcW w:w="492" w:type="dxa"/>
          </w:tcPr>
          <w:p>
            <w:pPr>
              <w:pStyle w:val="TableParagraph"/>
              <w:ind w:left="125"/>
              <w:jc w:val="left"/>
              <w:rPr>
                <w:sz w:val="17"/>
              </w:rPr>
            </w:pPr>
            <w:r>
              <w:rPr>
                <w:color w:val="231F20"/>
                <w:w w:val="105"/>
                <w:sz w:val="17"/>
              </w:rPr>
              <w:t>5.1</w:t>
            </w:r>
          </w:p>
        </w:tc>
        <w:tc>
          <w:tcPr>
            <w:tcW w:w="575" w:type="dxa"/>
          </w:tcPr>
          <w:p>
            <w:pPr>
              <w:pStyle w:val="TableParagraph"/>
              <w:ind w:left="205" w:right="93"/>
              <w:rPr>
                <w:sz w:val="17"/>
              </w:rPr>
            </w:pPr>
            <w:r>
              <w:rPr>
                <w:color w:val="231F20"/>
                <w:w w:val="105"/>
                <w:sz w:val="17"/>
              </w:rPr>
              <w:t>6.8</w:t>
            </w:r>
          </w:p>
        </w:tc>
        <w:tc>
          <w:tcPr>
            <w:tcW w:w="527" w:type="dxa"/>
          </w:tcPr>
          <w:p>
            <w:pPr>
              <w:pStyle w:val="TableParagraph"/>
              <w:ind w:left="112"/>
              <w:jc w:val="left"/>
              <w:rPr>
                <w:sz w:val="17"/>
              </w:rPr>
            </w:pPr>
            <w:r>
              <w:rPr>
                <w:color w:val="231F20"/>
                <w:sz w:val="17"/>
              </w:rPr>
              <w:t>100</w:t>
            </w:r>
          </w:p>
        </w:tc>
      </w:tr>
      <w:tr>
        <w:trPr>
          <w:trHeight w:val="210" w:hRule="exact"/>
        </w:trPr>
        <w:tc>
          <w:tcPr>
            <w:tcW w:w="1701" w:type="dxa"/>
          </w:tcPr>
          <w:p>
            <w:pPr>
              <w:pStyle w:val="TableParagraph"/>
              <w:ind w:left="35"/>
              <w:jc w:val="left"/>
              <w:rPr>
                <w:sz w:val="17"/>
              </w:rPr>
            </w:pPr>
            <w:r>
              <w:rPr>
                <w:color w:val="231F20"/>
                <w:w w:val="110"/>
                <w:sz w:val="17"/>
              </w:rPr>
              <w:t>Colima</w:t>
            </w:r>
          </w:p>
        </w:tc>
        <w:tc>
          <w:tcPr>
            <w:tcW w:w="533" w:type="dxa"/>
          </w:tcPr>
          <w:p>
            <w:pPr>
              <w:pStyle w:val="TableParagraph"/>
              <w:ind w:left="149" w:right="110"/>
              <w:rPr>
                <w:sz w:val="17"/>
              </w:rPr>
            </w:pPr>
            <w:r>
              <w:rPr>
                <w:color w:val="231F20"/>
                <w:w w:val="105"/>
                <w:sz w:val="17"/>
              </w:rPr>
              <w:t>4.4</w:t>
            </w:r>
          </w:p>
        </w:tc>
        <w:tc>
          <w:tcPr>
            <w:tcW w:w="565" w:type="dxa"/>
          </w:tcPr>
          <w:p>
            <w:pPr>
              <w:pStyle w:val="TableParagraph"/>
              <w:ind w:left="176"/>
              <w:jc w:val="left"/>
              <w:rPr>
                <w:sz w:val="17"/>
              </w:rPr>
            </w:pPr>
            <w:r>
              <w:rPr>
                <w:color w:val="231F20"/>
                <w:w w:val="105"/>
                <w:sz w:val="17"/>
              </w:rPr>
              <w:t>9.6</w:t>
            </w:r>
          </w:p>
        </w:tc>
        <w:tc>
          <w:tcPr>
            <w:tcW w:w="540" w:type="dxa"/>
          </w:tcPr>
          <w:p>
            <w:pPr>
              <w:pStyle w:val="TableParagraph"/>
              <w:ind w:left="83" w:right="83"/>
              <w:rPr>
                <w:sz w:val="17"/>
              </w:rPr>
            </w:pPr>
            <w:r>
              <w:rPr>
                <w:color w:val="231F20"/>
                <w:w w:val="105"/>
                <w:sz w:val="17"/>
              </w:rPr>
              <w:t>14.7</w:t>
            </w:r>
          </w:p>
        </w:tc>
        <w:tc>
          <w:tcPr>
            <w:tcW w:w="540" w:type="dxa"/>
          </w:tcPr>
          <w:p>
            <w:pPr>
              <w:pStyle w:val="TableParagraph"/>
              <w:ind w:right="101"/>
              <w:jc w:val="right"/>
              <w:rPr>
                <w:sz w:val="17"/>
              </w:rPr>
            </w:pPr>
            <w:r>
              <w:rPr>
                <w:color w:val="231F20"/>
                <w:sz w:val="17"/>
              </w:rPr>
              <w:t>19.2</w:t>
            </w:r>
          </w:p>
        </w:tc>
        <w:tc>
          <w:tcPr>
            <w:tcW w:w="540" w:type="dxa"/>
          </w:tcPr>
          <w:p>
            <w:pPr>
              <w:pStyle w:val="TableParagraph"/>
              <w:ind w:left="83" w:right="83"/>
              <w:rPr>
                <w:sz w:val="17"/>
              </w:rPr>
            </w:pPr>
            <w:r>
              <w:rPr>
                <w:color w:val="231F20"/>
                <w:w w:val="105"/>
                <w:sz w:val="17"/>
              </w:rPr>
              <w:t>18.0</w:t>
            </w:r>
          </w:p>
        </w:tc>
        <w:tc>
          <w:tcPr>
            <w:tcW w:w="542" w:type="dxa"/>
          </w:tcPr>
          <w:p>
            <w:pPr>
              <w:pStyle w:val="TableParagraph"/>
              <w:ind w:left="103"/>
              <w:jc w:val="left"/>
              <w:rPr>
                <w:sz w:val="17"/>
              </w:rPr>
            </w:pPr>
            <w:r>
              <w:rPr>
                <w:color w:val="231F20"/>
                <w:w w:val="105"/>
                <w:sz w:val="17"/>
              </w:rPr>
              <w:t>12.9</w:t>
            </w:r>
          </w:p>
        </w:tc>
        <w:tc>
          <w:tcPr>
            <w:tcW w:w="564" w:type="dxa"/>
          </w:tcPr>
          <w:p>
            <w:pPr>
              <w:pStyle w:val="TableParagraph"/>
              <w:ind w:right="123"/>
              <w:jc w:val="right"/>
              <w:rPr>
                <w:sz w:val="17"/>
              </w:rPr>
            </w:pPr>
            <w:r>
              <w:rPr>
                <w:color w:val="231F20"/>
                <w:w w:val="105"/>
                <w:sz w:val="17"/>
              </w:rPr>
              <w:t>8.3</w:t>
            </w:r>
          </w:p>
        </w:tc>
        <w:tc>
          <w:tcPr>
            <w:tcW w:w="492" w:type="dxa"/>
          </w:tcPr>
          <w:p>
            <w:pPr>
              <w:pStyle w:val="TableParagraph"/>
              <w:ind w:left="125"/>
              <w:jc w:val="left"/>
              <w:rPr>
                <w:sz w:val="17"/>
              </w:rPr>
            </w:pPr>
            <w:r>
              <w:rPr>
                <w:color w:val="231F20"/>
                <w:w w:val="105"/>
                <w:sz w:val="17"/>
              </w:rPr>
              <w:t>5.5</w:t>
            </w:r>
          </w:p>
        </w:tc>
        <w:tc>
          <w:tcPr>
            <w:tcW w:w="575" w:type="dxa"/>
          </w:tcPr>
          <w:p>
            <w:pPr>
              <w:pStyle w:val="TableParagraph"/>
              <w:ind w:left="205" w:right="93"/>
              <w:rPr>
                <w:sz w:val="17"/>
              </w:rPr>
            </w:pPr>
            <w:r>
              <w:rPr>
                <w:color w:val="231F20"/>
                <w:w w:val="105"/>
                <w:sz w:val="17"/>
              </w:rPr>
              <w:t>7.3</w:t>
            </w:r>
          </w:p>
        </w:tc>
        <w:tc>
          <w:tcPr>
            <w:tcW w:w="527" w:type="dxa"/>
          </w:tcPr>
          <w:p>
            <w:pPr>
              <w:pStyle w:val="TableParagraph"/>
              <w:ind w:left="112"/>
              <w:jc w:val="left"/>
              <w:rPr>
                <w:sz w:val="17"/>
              </w:rPr>
            </w:pPr>
            <w:r>
              <w:rPr>
                <w:color w:val="231F20"/>
                <w:sz w:val="17"/>
              </w:rPr>
              <w:t>100</w:t>
            </w:r>
          </w:p>
        </w:tc>
      </w:tr>
      <w:tr>
        <w:trPr>
          <w:trHeight w:val="210" w:hRule="exact"/>
        </w:trPr>
        <w:tc>
          <w:tcPr>
            <w:tcW w:w="1701" w:type="dxa"/>
          </w:tcPr>
          <w:p>
            <w:pPr>
              <w:pStyle w:val="TableParagraph"/>
              <w:ind w:left="35"/>
              <w:jc w:val="left"/>
              <w:rPr>
                <w:sz w:val="17"/>
              </w:rPr>
            </w:pPr>
            <w:r>
              <w:rPr>
                <w:color w:val="231F20"/>
                <w:w w:val="115"/>
                <w:sz w:val="17"/>
              </w:rPr>
              <w:t>Chiapas</w:t>
            </w:r>
          </w:p>
        </w:tc>
        <w:tc>
          <w:tcPr>
            <w:tcW w:w="533" w:type="dxa"/>
          </w:tcPr>
          <w:p>
            <w:pPr>
              <w:pStyle w:val="TableParagraph"/>
              <w:ind w:left="149" w:right="110"/>
              <w:rPr>
                <w:sz w:val="17"/>
              </w:rPr>
            </w:pPr>
            <w:r>
              <w:rPr>
                <w:color w:val="231F20"/>
                <w:w w:val="105"/>
                <w:sz w:val="17"/>
              </w:rPr>
              <w:t>2.6</w:t>
            </w:r>
          </w:p>
        </w:tc>
        <w:tc>
          <w:tcPr>
            <w:tcW w:w="565" w:type="dxa"/>
          </w:tcPr>
          <w:p>
            <w:pPr>
              <w:pStyle w:val="TableParagraph"/>
              <w:ind w:left="176"/>
              <w:jc w:val="left"/>
              <w:rPr>
                <w:sz w:val="17"/>
              </w:rPr>
            </w:pPr>
            <w:r>
              <w:rPr>
                <w:color w:val="231F20"/>
                <w:w w:val="105"/>
                <w:sz w:val="17"/>
              </w:rPr>
              <w:t>7.1</w:t>
            </w:r>
          </w:p>
        </w:tc>
        <w:tc>
          <w:tcPr>
            <w:tcW w:w="540" w:type="dxa"/>
          </w:tcPr>
          <w:p>
            <w:pPr>
              <w:pStyle w:val="TableParagraph"/>
              <w:ind w:left="83" w:right="83"/>
              <w:rPr>
                <w:sz w:val="17"/>
              </w:rPr>
            </w:pPr>
            <w:r>
              <w:rPr>
                <w:color w:val="231F20"/>
                <w:w w:val="105"/>
                <w:sz w:val="17"/>
              </w:rPr>
              <w:t>11.9</w:t>
            </w:r>
          </w:p>
        </w:tc>
        <w:tc>
          <w:tcPr>
            <w:tcW w:w="540" w:type="dxa"/>
          </w:tcPr>
          <w:p>
            <w:pPr>
              <w:pStyle w:val="TableParagraph"/>
              <w:ind w:right="101"/>
              <w:jc w:val="right"/>
              <w:rPr>
                <w:sz w:val="17"/>
              </w:rPr>
            </w:pPr>
            <w:r>
              <w:rPr>
                <w:color w:val="231F20"/>
                <w:sz w:val="17"/>
              </w:rPr>
              <w:t>16.1</w:t>
            </w:r>
          </w:p>
        </w:tc>
        <w:tc>
          <w:tcPr>
            <w:tcW w:w="540" w:type="dxa"/>
          </w:tcPr>
          <w:p>
            <w:pPr>
              <w:pStyle w:val="TableParagraph"/>
              <w:ind w:left="83" w:right="83"/>
              <w:rPr>
                <w:sz w:val="17"/>
              </w:rPr>
            </w:pPr>
            <w:r>
              <w:rPr>
                <w:color w:val="231F20"/>
                <w:w w:val="105"/>
                <w:sz w:val="17"/>
              </w:rPr>
              <w:t>16.9</w:t>
            </w:r>
          </w:p>
        </w:tc>
        <w:tc>
          <w:tcPr>
            <w:tcW w:w="542" w:type="dxa"/>
          </w:tcPr>
          <w:p>
            <w:pPr>
              <w:pStyle w:val="TableParagraph"/>
              <w:ind w:left="103"/>
              <w:jc w:val="left"/>
              <w:rPr>
                <w:sz w:val="17"/>
              </w:rPr>
            </w:pPr>
            <w:r>
              <w:rPr>
                <w:color w:val="231F20"/>
                <w:w w:val="105"/>
                <w:sz w:val="17"/>
              </w:rPr>
              <w:t>14.3</w:t>
            </w:r>
          </w:p>
        </w:tc>
        <w:tc>
          <w:tcPr>
            <w:tcW w:w="564" w:type="dxa"/>
          </w:tcPr>
          <w:p>
            <w:pPr>
              <w:pStyle w:val="TableParagraph"/>
              <w:ind w:right="123"/>
              <w:jc w:val="right"/>
              <w:rPr>
                <w:sz w:val="17"/>
              </w:rPr>
            </w:pPr>
            <w:r>
              <w:rPr>
                <w:color w:val="231F20"/>
                <w:sz w:val="17"/>
              </w:rPr>
              <w:t>11.0</w:t>
            </w:r>
          </w:p>
        </w:tc>
        <w:tc>
          <w:tcPr>
            <w:tcW w:w="492" w:type="dxa"/>
          </w:tcPr>
          <w:p>
            <w:pPr>
              <w:pStyle w:val="TableParagraph"/>
              <w:ind w:left="125"/>
              <w:jc w:val="left"/>
              <w:rPr>
                <w:sz w:val="17"/>
              </w:rPr>
            </w:pPr>
            <w:r>
              <w:rPr>
                <w:color w:val="231F20"/>
                <w:w w:val="105"/>
                <w:sz w:val="17"/>
              </w:rPr>
              <w:t>8.0</w:t>
            </w:r>
          </w:p>
        </w:tc>
        <w:tc>
          <w:tcPr>
            <w:tcW w:w="575" w:type="dxa"/>
          </w:tcPr>
          <w:p>
            <w:pPr>
              <w:pStyle w:val="TableParagraph"/>
              <w:ind w:left="109" w:right="93"/>
              <w:rPr>
                <w:sz w:val="17"/>
              </w:rPr>
            </w:pPr>
            <w:r>
              <w:rPr>
                <w:color w:val="231F20"/>
                <w:w w:val="105"/>
                <w:sz w:val="17"/>
              </w:rPr>
              <w:t>12.1</w:t>
            </w:r>
          </w:p>
        </w:tc>
        <w:tc>
          <w:tcPr>
            <w:tcW w:w="527" w:type="dxa"/>
          </w:tcPr>
          <w:p>
            <w:pPr>
              <w:pStyle w:val="TableParagraph"/>
              <w:ind w:left="112"/>
              <w:jc w:val="left"/>
              <w:rPr>
                <w:sz w:val="17"/>
              </w:rPr>
            </w:pPr>
            <w:r>
              <w:rPr>
                <w:color w:val="231F20"/>
                <w:sz w:val="17"/>
              </w:rPr>
              <w:t>100</w:t>
            </w:r>
          </w:p>
        </w:tc>
      </w:tr>
      <w:tr>
        <w:trPr>
          <w:trHeight w:val="210" w:hRule="exact"/>
        </w:trPr>
        <w:tc>
          <w:tcPr>
            <w:tcW w:w="1701" w:type="dxa"/>
          </w:tcPr>
          <w:p>
            <w:pPr>
              <w:pStyle w:val="TableParagraph"/>
              <w:ind w:left="35"/>
              <w:jc w:val="left"/>
              <w:rPr>
                <w:sz w:val="17"/>
              </w:rPr>
            </w:pPr>
            <w:r>
              <w:rPr>
                <w:color w:val="231F20"/>
                <w:w w:val="115"/>
                <w:sz w:val="17"/>
              </w:rPr>
              <w:t>Chihuahua</w:t>
            </w:r>
          </w:p>
        </w:tc>
        <w:tc>
          <w:tcPr>
            <w:tcW w:w="533" w:type="dxa"/>
          </w:tcPr>
          <w:p>
            <w:pPr>
              <w:pStyle w:val="TableParagraph"/>
              <w:ind w:left="149" w:right="110"/>
              <w:rPr>
                <w:sz w:val="17"/>
              </w:rPr>
            </w:pPr>
            <w:r>
              <w:rPr>
                <w:color w:val="231F20"/>
                <w:w w:val="105"/>
                <w:sz w:val="17"/>
              </w:rPr>
              <w:t>3.3</w:t>
            </w:r>
          </w:p>
        </w:tc>
        <w:tc>
          <w:tcPr>
            <w:tcW w:w="565" w:type="dxa"/>
          </w:tcPr>
          <w:p>
            <w:pPr>
              <w:pStyle w:val="TableParagraph"/>
              <w:ind w:left="176"/>
              <w:jc w:val="left"/>
              <w:rPr>
                <w:sz w:val="17"/>
              </w:rPr>
            </w:pPr>
            <w:r>
              <w:rPr>
                <w:color w:val="231F20"/>
                <w:w w:val="105"/>
                <w:sz w:val="17"/>
              </w:rPr>
              <w:t>9.8</w:t>
            </w:r>
          </w:p>
        </w:tc>
        <w:tc>
          <w:tcPr>
            <w:tcW w:w="540" w:type="dxa"/>
          </w:tcPr>
          <w:p>
            <w:pPr>
              <w:pStyle w:val="TableParagraph"/>
              <w:ind w:left="83" w:right="83"/>
              <w:rPr>
                <w:sz w:val="17"/>
              </w:rPr>
            </w:pPr>
            <w:r>
              <w:rPr>
                <w:color w:val="231F20"/>
                <w:w w:val="105"/>
                <w:sz w:val="17"/>
              </w:rPr>
              <w:t>17.0</w:t>
            </w:r>
          </w:p>
        </w:tc>
        <w:tc>
          <w:tcPr>
            <w:tcW w:w="540" w:type="dxa"/>
          </w:tcPr>
          <w:p>
            <w:pPr>
              <w:pStyle w:val="TableParagraph"/>
              <w:ind w:right="101"/>
              <w:jc w:val="right"/>
              <w:rPr>
                <w:sz w:val="17"/>
              </w:rPr>
            </w:pPr>
            <w:r>
              <w:rPr>
                <w:color w:val="231F20"/>
                <w:sz w:val="17"/>
              </w:rPr>
              <w:t>21.9</w:t>
            </w:r>
          </w:p>
        </w:tc>
        <w:tc>
          <w:tcPr>
            <w:tcW w:w="540" w:type="dxa"/>
          </w:tcPr>
          <w:p>
            <w:pPr>
              <w:pStyle w:val="TableParagraph"/>
              <w:ind w:left="83" w:right="83"/>
              <w:rPr>
                <w:sz w:val="17"/>
              </w:rPr>
            </w:pPr>
            <w:r>
              <w:rPr>
                <w:color w:val="231F20"/>
                <w:w w:val="105"/>
                <w:sz w:val="17"/>
              </w:rPr>
              <w:t>19.1</w:t>
            </w:r>
          </w:p>
        </w:tc>
        <w:tc>
          <w:tcPr>
            <w:tcW w:w="542" w:type="dxa"/>
          </w:tcPr>
          <w:p>
            <w:pPr>
              <w:pStyle w:val="TableParagraph"/>
              <w:ind w:left="103"/>
              <w:jc w:val="left"/>
              <w:rPr>
                <w:sz w:val="17"/>
              </w:rPr>
            </w:pPr>
            <w:r>
              <w:rPr>
                <w:color w:val="231F20"/>
                <w:w w:val="105"/>
                <w:sz w:val="17"/>
              </w:rPr>
              <w:t>12.3</w:t>
            </w:r>
          </w:p>
        </w:tc>
        <w:tc>
          <w:tcPr>
            <w:tcW w:w="564" w:type="dxa"/>
          </w:tcPr>
          <w:p>
            <w:pPr>
              <w:pStyle w:val="TableParagraph"/>
              <w:ind w:right="123"/>
              <w:jc w:val="right"/>
              <w:rPr>
                <w:sz w:val="17"/>
              </w:rPr>
            </w:pPr>
            <w:r>
              <w:rPr>
                <w:color w:val="231F20"/>
                <w:w w:val="105"/>
                <w:sz w:val="17"/>
              </w:rPr>
              <w:t>7.2</w:t>
            </w:r>
          </w:p>
        </w:tc>
        <w:tc>
          <w:tcPr>
            <w:tcW w:w="492" w:type="dxa"/>
          </w:tcPr>
          <w:p>
            <w:pPr>
              <w:pStyle w:val="TableParagraph"/>
              <w:ind w:left="125"/>
              <w:jc w:val="left"/>
              <w:rPr>
                <w:sz w:val="17"/>
              </w:rPr>
            </w:pPr>
            <w:r>
              <w:rPr>
                <w:color w:val="231F20"/>
                <w:w w:val="105"/>
                <w:sz w:val="17"/>
              </w:rPr>
              <w:t>4.2</w:t>
            </w:r>
          </w:p>
        </w:tc>
        <w:tc>
          <w:tcPr>
            <w:tcW w:w="575" w:type="dxa"/>
          </w:tcPr>
          <w:p>
            <w:pPr>
              <w:pStyle w:val="TableParagraph"/>
              <w:ind w:left="205" w:right="93"/>
              <w:rPr>
                <w:sz w:val="17"/>
              </w:rPr>
            </w:pPr>
            <w:r>
              <w:rPr>
                <w:color w:val="231F20"/>
                <w:w w:val="105"/>
                <w:sz w:val="17"/>
              </w:rPr>
              <w:t>5.3</w:t>
            </w:r>
          </w:p>
        </w:tc>
        <w:tc>
          <w:tcPr>
            <w:tcW w:w="527" w:type="dxa"/>
          </w:tcPr>
          <w:p>
            <w:pPr>
              <w:pStyle w:val="TableParagraph"/>
              <w:ind w:left="112"/>
              <w:jc w:val="left"/>
              <w:rPr>
                <w:sz w:val="17"/>
              </w:rPr>
            </w:pPr>
            <w:r>
              <w:rPr>
                <w:color w:val="231F20"/>
                <w:sz w:val="17"/>
              </w:rPr>
              <w:t>100</w:t>
            </w:r>
          </w:p>
        </w:tc>
      </w:tr>
      <w:tr>
        <w:trPr>
          <w:trHeight w:val="210" w:hRule="exact"/>
        </w:trPr>
        <w:tc>
          <w:tcPr>
            <w:tcW w:w="1701" w:type="dxa"/>
          </w:tcPr>
          <w:p>
            <w:pPr>
              <w:pStyle w:val="TableParagraph"/>
              <w:ind w:left="35"/>
              <w:jc w:val="left"/>
              <w:rPr>
                <w:sz w:val="17"/>
              </w:rPr>
            </w:pPr>
            <w:r>
              <w:rPr>
                <w:color w:val="231F20"/>
                <w:w w:val="105"/>
                <w:sz w:val="17"/>
              </w:rPr>
              <w:t>Distrito Federal</w:t>
            </w:r>
          </w:p>
        </w:tc>
        <w:tc>
          <w:tcPr>
            <w:tcW w:w="533" w:type="dxa"/>
          </w:tcPr>
          <w:p>
            <w:pPr>
              <w:pStyle w:val="TableParagraph"/>
              <w:ind w:left="149" w:right="110"/>
              <w:rPr>
                <w:sz w:val="17"/>
              </w:rPr>
            </w:pPr>
            <w:r>
              <w:rPr>
                <w:color w:val="231F20"/>
                <w:w w:val="105"/>
                <w:sz w:val="17"/>
              </w:rPr>
              <w:t>3.7</w:t>
            </w:r>
          </w:p>
        </w:tc>
        <w:tc>
          <w:tcPr>
            <w:tcW w:w="565" w:type="dxa"/>
          </w:tcPr>
          <w:p>
            <w:pPr>
              <w:pStyle w:val="TableParagraph"/>
              <w:ind w:left="176"/>
              <w:jc w:val="left"/>
              <w:rPr>
                <w:sz w:val="17"/>
              </w:rPr>
            </w:pPr>
            <w:r>
              <w:rPr>
                <w:color w:val="231F20"/>
                <w:w w:val="105"/>
                <w:sz w:val="17"/>
              </w:rPr>
              <w:t>9.5</w:t>
            </w:r>
          </w:p>
        </w:tc>
        <w:tc>
          <w:tcPr>
            <w:tcW w:w="540" w:type="dxa"/>
          </w:tcPr>
          <w:p>
            <w:pPr>
              <w:pStyle w:val="TableParagraph"/>
              <w:ind w:left="83" w:right="83"/>
              <w:rPr>
                <w:sz w:val="17"/>
              </w:rPr>
            </w:pPr>
            <w:r>
              <w:rPr>
                <w:color w:val="231F20"/>
                <w:w w:val="105"/>
                <w:sz w:val="17"/>
              </w:rPr>
              <w:t>15.2</w:t>
            </w:r>
          </w:p>
        </w:tc>
        <w:tc>
          <w:tcPr>
            <w:tcW w:w="540" w:type="dxa"/>
          </w:tcPr>
          <w:p>
            <w:pPr>
              <w:pStyle w:val="TableParagraph"/>
              <w:ind w:right="101"/>
              <w:jc w:val="right"/>
              <w:rPr>
                <w:sz w:val="17"/>
              </w:rPr>
            </w:pPr>
            <w:r>
              <w:rPr>
                <w:color w:val="231F20"/>
                <w:sz w:val="17"/>
              </w:rPr>
              <w:t>22.5</w:t>
            </w:r>
          </w:p>
        </w:tc>
        <w:tc>
          <w:tcPr>
            <w:tcW w:w="540" w:type="dxa"/>
          </w:tcPr>
          <w:p>
            <w:pPr>
              <w:pStyle w:val="TableParagraph"/>
              <w:ind w:left="83" w:right="83"/>
              <w:rPr>
                <w:sz w:val="17"/>
              </w:rPr>
            </w:pPr>
            <w:r>
              <w:rPr>
                <w:color w:val="231F20"/>
                <w:w w:val="105"/>
                <w:sz w:val="17"/>
              </w:rPr>
              <w:t>19.4</w:t>
            </w:r>
          </w:p>
        </w:tc>
        <w:tc>
          <w:tcPr>
            <w:tcW w:w="542" w:type="dxa"/>
          </w:tcPr>
          <w:p>
            <w:pPr>
              <w:pStyle w:val="TableParagraph"/>
              <w:ind w:left="103"/>
              <w:jc w:val="left"/>
              <w:rPr>
                <w:sz w:val="17"/>
              </w:rPr>
            </w:pPr>
            <w:r>
              <w:rPr>
                <w:color w:val="231F20"/>
                <w:w w:val="105"/>
                <w:sz w:val="17"/>
              </w:rPr>
              <w:t>12.2</w:t>
            </w:r>
          </w:p>
        </w:tc>
        <w:tc>
          <w:tcPr>
            <w:tcW w:w="564" w:type="dxa"/>
          </w:tcPr>
          <w:p>
            <w:pPr>
              <w:pStyle w:val="TableParagraph"/>
              <w:ind w:right="123"/>
              <w:jc w:val="right"/>
              <w:rPr>
                <w:sz w:val="17"/>
              </w:rPr>
            </w:pPr>
            <w:r>
              <w:rPr>
                <w:color w:val="231F20"/>
                <w:w w:val="105"/>
                <w:sz w:val="17"/>
              </w:rPr>
              <w:t>7.1</w:t>
            </w:r>
          </w:p>
        </w:tc>
        <w:tc>
          <w:tcPr>
            <w:tcW w:w="492" w:type="dxa"/>
          </w:tcPr>
          <w:p>
            <w:pPr>
              <w:pStyle w:val="TableParagraph"/>
              <w:ind w:left="125"/>
              <w:jc w:val="left"/>
              <w:rPr>
                <w:sz w:val="17"/>
              </w:rPr>
            </w:pPr>
            <w:r>
              <w:rPr>
                <w:color w:val="231F20"/>
                <w:w w:val="105"/>
                <w:sz w:val="17"/>
              </w:rPr>
              <w:t>4.1</w:t>
            </w:r>
          </w:p>
        </w:tc>
        <w:tc>
          <w:tcPr>
            <w:tcW w:w="575" w:type="dxa"/>
          </w:tcPr>
          <w:p>
            <w:pPr>
              <w:pStyle w:val="TableParagraph"/>
              <w:ind w:left="205" w:right="93"/>
              <w:rPr>
                <w:sz w:val="17"/>
              </w:rPr>
            </w:pPr>
            <w:r>
              <w:rPr>
                <w:color w:val="231F20"/>
                <w:w w:val="105"/>
                <w:sz w:val="17"/>
              </w:rPr>
              <w:t>6.2</w:t>
            </w:r>
          </w:p>
        </w:tc>
        <w:tc>
          <w:tcPr>
            <w:tcW w:w="527" w:type="dxa"/>
          </w:tcPr>
          <w:p>
            <w:pPr>
              <w:pStyle w:val="TableParagraph"/>
              <w:ind w:left="112"/>
              <w:jc w:val="left"/>
              <w:rPr>
                <w:sz w:val="17"/>
              </w:rPr>
            </w:pPr>
            <w:r>
              <w:rPr>
                <w:color w:val="231F20"/>
                <w:sz w:val="17"/>
              </w:rPr>
              <w:t>100</w:t>
            </w:r>
          </w:p>
        </w:tc>
      </w:tr>
      <w:tr>
        <w:trPr>
          <w:trHeight w:val="210" w:hRule="exact"/>
        </w:trPr>
        <w:tc>
          <w:tcPr>
            <w:tcW w:w="1701" w:type="dxa"/>
          </w:tcPr>
          <w:p>
            <w:pPr>
              <w:pStyle w:val="TableParagraph"/>
              <w:ind w:left="35"/>
              <w:jc w:val="left"/>
              <w:rPr>
                <w:sz w:val="17"/>
              </w:rPr>
            </w:pPr>
            <w:r>
              <w:rPr>
                <w:color w:val="231F20"/>
                <w:w w:val="110"/>
                <w:sz w:val="17"/>
              </w:rPr>
              <w:t>Durango</w:t>
            </w:r>
          </w:p>
        </w:tc>
        <w:tc>
          <w:tcPr>
            <w:tcW w:w="533" w:type="dxa"/>
          </w:tcPr>
          <w:p>
            <w:pPr>
              <w:pStyle w:val="TableParagraph"/>
              <w:ind w:left="149" w:right="110"/>
              <w:rPr>
                <w:sz w:val="17"/>
              </w:rPr>
            </w:pPr>
            <w:r>
              <w:rPr>
                <w:color w:val="231F20"/>
                <w:w w:val="105"/>
                <w:sz w:val="17"/>
              </w:rPr>
              <w:t>2.9</w:t>
            </w:r>
          </w:p>
        </w:tc>
        <w:tc>
          <w:tcPr>
            <w:tcW w:w="565" w:type="dxa"/>
          </w:tcPr>
          <w:p>
            <w:pPr>
              <w:pStyle w:val="TableParagraph"/>
              <w:ind w:left="176"/>
              <w:jc w:val="left"/>
              <w:rPr>
                <w:sz w:val="17"/>
              </w:rPr>
            </w:pPr>
            <w:r>
              <w:rPr>
                <w:color w:val="231F20"/>
                <w:w w:val="105"/>
                <w:sz w:val="17"/>
              </w:rPr>
              <w:t>8.2</w:t>
            </w:r>
          </w:p>
        </w:tc>
        <w:tc>
          <w:tcPr>
            <w:tcW w:w="540" w:type="dxa"/>
          </w:tcPr>
          <w:p>
            <w:pPr>
              <w:pStyle w:val="TableParagraph"/>
              <w:ind w:left="83" w:right="83"/>
              <w:rPr>
                <w:sz w:val="17"/>
              </w:rPr>
            </w:pPr>
            <w:r>
              <w:rPr>
                <w:color w:val="231F20"/>
                <w:w w:val="105"/>
                <w:sz w:val="17"/>
              </w:rPr>
              <w:t>13.2</w:t>
            </w:r>
          </w:p>
        </w:tc>
        <w:tc>
          <w:tcPr>
            <w:tcW w:w="540" w:type="dxa"/>
          </w:tcPr>
          <w:p>
            <w:pPr>
              <w:pStyle w:val="TableParagraph"/>
              <w:ind w:right="101"/>
              <w:jc w:val="right"/>
              <w:rPr>
                <w:sz w:val="17"/>
              </w:rPr>
            </w:pPr>
            <w:r>
              <w:rPr>
                <w:color w:val="231F20"/>
                <w:sz w:val="17"/>
              </w:rPr>
              <w:t>17.4</w:t>
            </w:r>
          </w:p>
        </w:tc>
        <w:tc>
          <w:tcPr>
            <w:tcW w:w="540" w:type="dxa"/>
          </w:tcPr>
          <w:p>
            <w:pPr>
              <w:pStyle w:val="TableParagraph"/>
              <w:ind w:left="83" w:right="83"/>
              <w:rPr>
                <w:sz w:val="17"/>
              </w:rPr>
            </w:pPr>
            <w:r>
              <w:rPr>
                <w:color w:val="231F20"/>
                <w:w w:val="105"/>
                <w:sz w:val="17"/>
              </w:rPr>
              <w:t>17.4</w:t>
            </w:r>
          </w:p>
        </w:tc>
        <w:tc>
          <w:tcPr>
            <w:tcW w:w="542" w:type="dxa"/>
          </w:tcPr>
          <w:p>
            <w:pPr>
              <w:pStyle w:val="TableParagraph"/>
              <w:ind w:left="103"/>
              <w:jc w:val="left"/>
              <w:rPr>
                <w:sz w:val="17"/>
              </w:rPr>
            </w:pPr>
            <w:r>
              <w:rPr>
                <w:color w:val="231F20"/>
                <w:w w:val="105"/>
                <w:sz w:val="17"/>
              </w:rPr>
              <w:t>13.9</w:t>
            </w:r>
          </w:p>
        </w:tc>
        <w:tc>
          <w:tcPr>
            <w:tcW w:w="564" w:type="dxa"/>
          </w:tcPr>
          <w:p>
            <w:pPr>
              <w:pStyle w:val="TableParagraph"/>
              <w:ind w:right="123"/>
              <w:jc w:val="right"/>
              <w:rPr>
                <w:sz w:val="17"/>
              </w:rPr>
            </w:pPr>
            <w:r>
              <w:rPr>
                <w:color w:val="231F20"/>
                <w:w w:val="105"/>
                <w:sz w:val="17"/>
              </w:rPr>
              <w:t>9.8</w:t>
            </w:r>
          </w:p>
        </w:tc>
        <w:tc>
          <w:tcPr>
            <w:tcW w:w="492" w:type="dxa"/>
          </w:tcPr>
          <w:p>
            <w:pPr>
              <w:pStyle w:val="TableParagraph"/>
              <w:ind w:left="125"/>
              <w:jc w:val="left"/>
              <w:rPr>
                <w:sz w:val="17"/>
              </w:rPr>
            </w:pPr>
            <w:r>
              <w:rPr>
                <w:color w:val="231F20"/>
                <w:w w:val="105"/>
                <w:sz w:val="17"/>
              </w:rPr>
              <w:t>6.6</w:t>
            </w:r>
          </w:p>
        </w:tc>
        <w:tc>
          <w:tcPr>
            <w:tcW w:w="575" w:type="dxa"/>
          </w:tcPr>
          <w:p>
            <w:pPr>
              <w:pStyle w:val="TableParagraph"/>
              <w:ind w:left="109" w:right="93"/>
              <w:rPr>
                <w:sz w:val="17"/>
              </w:rPr>
            </w:pPr>
            <w:r>
              <w:rPr>
                <w:color w:val="231F20"/>
                <w:w w:val="105"/>
                <w:sz w:val="17"/>
              </w:rPr>
              <w:t>10.6</w:t>
            </w:r>
          </w:p>
        </w:tc>
        <w:tc>
          <w:tcPr>
            <w:tcW w:w="527" w:type="dxa"/>
          </w:tcPr>
          <w:p>
            <w:pPr>
              <w:pStyle w:val="TableParagraph"/>
              <w:ind w:left="112"/>
              <w:jc w:val="left"/>
              <w:rPr>
                <w:sz w:val="17"/>
              </w:rPr>
            </w:pPr>
            <w:r>
              <w:rPr>
                <w:color w:val="231F20"/>
                <w:sz w:val="17"/>
              </w:rPr>
              <w:t>100</w:t>
            </w:r>
          </w:p>
        </w:tc>
      </w:tr>
      <w:tr>
        <w:trPr>
          <w:trHeight w:val="210" w:hRule="exact"/>
        </w:trPr>
        <w:tc>
          <w:tcPr>
            <w:tcW w:w="1701" w:type="dxa"/>
          </w:tcPr>
          <w:p>
            <w:pPr>
              <w:pStyle w:val="TableParagraph"/>
              <w:ind w:left="35"/>
              <w:jc w:val="left"/>
              <w:rPr>
                <w:sz w:val="17"/>
              </w:rPr>
            </w:pPr>
            <w:r>
              <w:rPr>
                <w:color w:val="231F20"/>
                <w:w w:val="110"/>
                <w:sz w:val="17"/>
              </w:rPr>
              <w:t>Guanajuato</w:t>
            </w:r>
          </w:p>
        </w:tc>
        <w:tc>
          <w:tcPr>
            <w:tcW w:w="533" w:type="dxa"/>
          </w:tcPr>
          <w:p>
            <w:pPr>
              <w:pStyle w:val="TableParagraph"/>
              <w:ind w:left="149" w:right="110"/>
              <w:rPr>
                <w:sz w:val="17"/>
              </w:rPr>
            </w:pPr>
            <w:r>
              <w:rPr>
                <w:color w:val="231F20"/>
                <w:w w:val="105"/>
                <w:sz w:val="17"/>
              </w:rPr>
              <w:t>1.7</w:t>
            </w:r>
          </w:p>
        </w:tc>
        <w:tc>
          <w:tcPr>
            <w:tcW w:w="565" w:type="dxa"/>
          </w:tcPr>
          <w:p>
            <w:pPr>
              <w:pStyle w:val="TableParagraph"/>
              <w:ind w:left="176"/>
              <w:jc w:val="left"/>
              <w:rPr>
                <w:sz w:val="17"/>
              </w:rPr>
            </w:pPr>
            <w:r>
              <w:rPr>
                <w:color w:val="231F20"/>
                <w:w w:val="105"/>
                <w:sz w:val="17"/>
              </w:rPr>
              <w:t>7.9</w:t>
            </w:r>
          </w:p>
        </w:tc>
        <w:tc>
          <w:tcPr>
            <w:tcW w:w="540" w:type="dxa"/>
          </w:tcPr>
          <w:p>
            <w:pPr>
              <w:pStyle w:val="TableParagraph"/>
              <w:ind w:left="83" w:right="83"/>
              <w:rPr>
                <w:sz w:val="17"/>
              </w:rPr>
            </w:pPr>
            <w:r>
              <w:rPr>
                <w:color w:val="231F20"/>
                <w:w w:val="105"/>
                <w:sz w:val="17"/>
              </w:rPr>
              <w:t>11.2</w:t>
            </w:r>
          </w:p>
        </w:tc>
        <w:tc>
          <w:tcPr>
            <w:tcW w:w="540" w:type="dxa"/>
          </w:tcPr>
          <w:p>
            <w:pPr>
              <w:pStyle w:val="TableParagraph"/>
              <w:ind w:right="101"/>
              <w:jc w:val="right"/>
              <w:rPr>
                <w:sz w:val="17"/>
              </w:rPr>
            </w:pPr>
            <w:r>
              <w:rPr>
                <w:color w:val="231F20"/>
                <w:sz w:val="17"/>
              </w:rPr>
              <w:t>15.1</w:t>
            </w:r>
          </w:p>
        </w:tc>
        <w:tc>
          <w:tcPr>
            <w:tcW w:w="540" w:type="dxa"/>
          </w:tcPr>
          <w:p>
            <w:pPr>
              <w:pStyle w:val="TableParagraph"/>
              <w:ind w:left="83" w:right="83"/>
              <w:rPr>
                <w:sz w:val="17"/>
              </w:rPr>
            </w:pPr>
            <w:r>
              <w:rPr>
                <w:color w:val="231F20"/>
                <w:w w:val="105"/>
                <w:sz w:val="17"/>
              </w:rPr>
              <w:t>15.4</w:t>
            </w:r>
          </w:p>
        </w:tc>
        <w:tc>
          <w:tcPr>
            <w:tcW w:w="542" w:type="dxa"/>
          </w:tcPr>
          <w:p>
            <w:pPr>
              <w:pStyle w:val="TableParagraph"/>
              <w:ind w:left="103"/>
              <w:jc w:val="left"/>
              <w:rPr>
                <w:sz w:val="17"/>
              </w:rPr>
            </w:pPr>
            <w:r>
              <w:rPr>
                <w:color w:val="231F20"/>
                <w:w w:val="105"/>
                <w:sz w:val="17"/>
              </w:rPr>
              <w:t>13.0</w:t>
            </w:r>
          </w:p>
        </w:tc>
        <w:tc>
          <w:tcPr>
            <w:tcW w:w="564" w:type="dxa"/>
          </w:tcPr>
          <w:p>
            <w:pPr>
              <w:pStyle w:val="TableParagraph"/>
              <w:ind w:right="123"/>
              <w:jc w:val="right"/>
              <w:rPr>
                <w:sz w:val="17"/>
              </w:rPr>
            </w:pPr>
            <w:r>
              <w:rPr>
                <w:color w:val="231F20"/>
                <w:sz w:val="17"/>
              </w:rPr>
              <w:t>10.3</w:t>
            </w:r>
          </w:p>
        </w:tc>
        <w:tc>
          <w:tcPr>
            <w:tcW w:w="492" w:type="dxa"/>
          </w:tcPr>
          <w:p>
            <w:pPr>
              <w:pStyle w:val="TableParagraph"/>
              <w:ind w:left="125"/>
              <w:jc w:val="left"/>
              <w:rPr>
                <w:sz w:val="17"/>
              </w:rPr>
            </w:pPr>
            <w:r>
              <w:rPr>
                <w:color w:val="231F20"/>
                <w:w w:val="105"/>
                <w:sz w:val="17"/>
              </w:rPr>
              <w:t>8.0</w:t>
            </w:r>
          </w:p>
        </w:tc>
        <w:tc>
          <w:tcPr>
            <w:tcW w:w="575" w:type="dxa"/>
          </w:tcPr>
          <w:p>
            <w:pPr>
              <w:pStyle w:val="TableParagraph"/>
              <w:ind w:left="109" w:right="93"/>
              <w:rPr>
                <w:sz w:val="17"/>
              </w:rPr>
            </w:pPr>
            <w:r>
              <w:rPr>
                <w:color w:val="231F20"/>
                <w:w w:val="105"/>
                <w:sz w:val="17"/>
              </w:rPr>
              <w:t>17.4</w:t>
            </w:r>
          </w:p>
        </w:tc>
        <w:tc>
          <w:tcPr>
            <w:tcW w:w="527" w:type="dxa"/>
          </w:tcPr>
          <w:p>
            <w:pPr>
              <w:pStyle w:val="TableParagraph"/>
              <w:ind w:left="112"/>
              <w:jc w:val="left"/>
              <w:rPr>
                <w:sz w:val="17"/>
              </w:rPr>
            </w:pPr>
            <w:r>
              <w:rPr>
                <w:color w:val="231F20"/>
                <w:sz w:val="17"/>
              </w:rPr>
              <w:t>100</w:t>
            </w:r>
          </w:p>
        </w:tc>
      </w:tr>
      <w:tr>
        <w:trPr>
          <w:trHeight w:val="210" w:hRule="exact"/>
        </w:trPr>
        <w:tc>
          <w:tcPr>
            <w:tcW w:w="1701" w:type="dxa"/>
          </w:tcPr>
          <w:p>
            <w:pPr>
              <w:pStyle w:val="TableParagraph"/>
              <w:ind w:left="35"/>
              <w:jc w:val="left"/>
              <w:rPr>
                <w:sz w:val="17"/>
              </w:rPr>
            </w:pPr>
            <w:r>
              <w:rPr>
                <w:color w:val="231F20"/>
                <w:w w:val="110"/>
                <w:sz w:val="17"/>
              </w:rPr>
              <w:t>Guerrero</w:t>
            </w:r>
          </w:p>
        </w:tc>
        <w:tc>
          <w:tcPr>
            <w:tcW w:w="533" w:type="dxa"/>
          </w:tcPr>
          <w:p>
            <w:pPr>
              <w:pStyle w:val="TableParagraph"/>
              <w:ind w:left="149" w:right="110"/>
              <w:rPr>
                <w:sz w:val="17"/>
              </w:rPr>
            </w:pPr>
            <w:r>
              <w:rPr>
                <w:color w:val="231F20"/>
                <w:w w:val="105"/>
                <w:sz w:val="17"/>
              </w:rPr>
              <w:t>3.0</w:t>
            </w:r>
          </w:p>
        </w:tc>
        <w:tc>
          <w:tcPr>
            <w:tcW w:w="565" w:type="dxa"/>
          </w:tcPr>
          <w:p>
            <w:pPr>
              <w:pStyle w:val="TableParagraph"/>
              <w:ind w:left="176"/>
              <w:jc w:val="left"/>
              <w:rPr>
                <w:sz w:val="17"/>
              </w:rPr>
            </w:pPr>
            <w:r>
              <w:rPr>
                <w:color w:val="231F20"/>
                <w:w w:val="105"/>
                <w:sz w:val="17"/>
              </w:rPr>
              <w:t>8.9</w:t>
            </w:r>
          </w:p>
        </w:tc>
        <w:tc>
          <w:tcPr>
            <w:tcW w:w="540" w:type="dxa"/>
          </w:tcPr>
          <w:p>
            <w:pPr>
              <w:pStyle w:val="TableParagraph"/>
              <w:ind w:left="83" w:right="83"/>
              <w:rPr>
                <w:sz w:val="17"/>
              </w:rPr>
            </w:pPr>
            <w:r>
              <w:rPr>
                <w:color w:val="231F20"/>
                <w:w w:val="105"/>
                <w:sz w:val="17"/>
              </w:rPr>
              <w:t>12.6</w:t>
            </w:r>
          </w:p>
        </w:tc>
        <w:tc>
          <w:tcPr>
            <w:tcW w:w="540" w:type="dxa"/>
          </w:tcPr>
          <w:p>
            <w:pPr>
              <w:pStyle w:val="TableParagraph"/>
              <w:ind w:right="101"/>
              <w:jc w:val="right"/>
              <w:rPr>
                <w:sz w:val="17"/>
              </w:rPr>
            </w:pPr>
            <w:r>
              <w:rPr>
                <w:color w:val="231F20"/>
                <w:sz w:val="17"/>
              </w:rPr>
              <w:t>15.9</w:t>
            </w:r>
          </w:p>
        </w:tc>
        <w:tc>
          <w:tcPr>
            <w:tcW w:w="540" w:type="dxa"/>
          </w:tcPr>
          <w:p>
            <w:pPr>
              <w:pStyle w:val="TableParagraph"/>
              <w:ind w:left="83" w:right="83"/>
              <w:rPr>
                <w:sz w:val="17"/>
              </w:rPr>
            </w:pPr>
            <w:r>
              <w:rPr>
                <w:color w:val="231F20"/>
                <w:w w:val="105"/>
                <w:sz w:val="17"/>
              </w:rPr>
              <w:t>16.2</w:t>
            </w:r>
          </w:p>
        </w:tc>
        <w:tc>
          <w:tcPr>
            <w:tcW w:w="542" w:type="dxa"/>
          </w:tcPr>
          <w:p>
            <w:pPr>
              <w:pStyle w:val="TableParagraph"/>
              <w:ind w:left="103"/>
              <w:jc w:val="left"/>
              <w:rPr>
                <w:sz w:val="17"/>
              </w:rPr>
            </w:pPr>
            <w:r>
              <w:rPr>
                <w:color w:val="231F20"/>
                <w:w w:val="105"/>
                <w:sz w:val="17"/>
              </w:rPr>
              <w:t>13.8</w:t>
            </w:r>
          </w:p>
        </w:tc>
        <w:tc>
          <w:tcPr>
            <w:tcW w:w="564" w:type="dxa"/>
          </w:tcPr>
          <w:p>
            <w:pPr>
              <w:pStyle w:val="TableParagraph"/>
              <w:ind w:right="123"/>
              <w:jc w:val="right"/>
              <w:rPr>
                <w:sz w:val="17"/>
              </w:rPr>
            </w:pPr>
            <w:r>
              <w:rPr>
                <w:color w:val="231F20"/>
                <w:sz w:val="17"/>
              </w:rPr>
              <w:t>10.5</w:t>
            </w:r>
          </w:p>
        </w:tc>
        <w:tc>
          <w:tcPr>
            <w:tcW w:w="492" w:type="dxa"/>
          </w:tcPr>
          <w:p>
            <w:pPr>
              <w:pStyle w:val="TableParagraph"/>
              <w:ind w:left="125"/>
              <w:jc w:val="left"/>
              <w:rPr>
                <w:sz w:val="17"/>
              </w:rPr>
            </w:pPr>
            <w:r>
              <w:rPr>
                <w:color w:val="231F20"/>
                <w:w w:val="105"/>
                <w:sz w:val="17"/>
              </w:rPr>
              <w:t>7.5</w:t>
            </w:r>
          </w:p>
        </w:tc>
        <w:tc>
          <w:tcPr>
            <w:tcW w:w="575" w:type="dxa"/>
          </w:tcPr>
          <w:p>
            <w:pPr>
              <w:pStyle w:val="TableParagraph"/>
              <w:ind w:left="109" w:right="93"/>
              <w:rPr>
                <w:sz w:val="17"/>
              </w:rPr>
            </w:pPr>
            <w:r>
              <w:rPr>
                <w:color w:val="231F20"/>
                <w:w w:val="105"/>
                <w:sz w:val="17"/>
              </w:rPr>
              <w:t>11.6</w:t>
            </w:r>
          </w:p>
        </w:tc>
        <w:tc>
          <w:tcPr>
            <w:tcW w:w="527" w:type="dxa"/>
          </w:tcPr>
          <w:p>
            <w:pPr>
              <w:pStyle w:val="TableParagraph"/>
              <w:ind w:left="112"/>
              <w:jc w:val="left"/>
              <w:rPr>
                <w:sz w:val="17"/>
              </w:rPr>
            </w:pPr>
            <w:r>
              <w:rPr>
                <w:color w:val="231F20"/>
                <w:sz w:val="17"/>
              </w:rPr>
              <w:t>100</w:t>
            </w:r>
          </w:p>
        </w:tc>
      </w:tr>
      <w:tr>
        <w:trPr>
          <w:trHeight w:val="210" w:hRule="exact"/>
        </w:trPr>
        <w:tc>
          <w:tcPr>
            <w:tcW w:w="1701" w:type="dxa"/>
          </w:tcPr>
          <w:p>
            <w:pPr>
              <w:pStyle w:val="TableParagraph"/>
              <w:ind w:left="35"/>
              <w:jc w:val="left"/>
              <w:rPr>
                <w:sz w:val="17"/>
              </w:rPr>
            </w:pPr>
            <w:r>
              <w:rPr>
                <w:color w:val="231F20"/>
                <w:w w:val="110"/>
                <w:sz w:val="17"/>
              </w:rPr>
              <w:t>Hidalgo</w:t>
            </w:r>
          </w:p>
        </w:tc>
        <w:tc>
          <w:tcPr>
            <w:tcW w:w="533" w:type="dxa"/>
          </w:tcPr>
          <w:p>
            <w:pPr>
              <w:pStyle w:val="TableParagraph"/>
              <w:ind w:left="149" w:right="110"/>
              <w:rPr>
                <w:sz w:val="17"/>
              </w:rPr>
            </w:pPr>
            <w:r>
              <w:rPr>
                <w:color w:val="231F20"/>
                <w:w w:val="105"/>
                <w:sz w:val="17"/>
              </w:rPr>
              <w:t>2.9</w:t>
            </w:r>
          </w:p>
        </w:tc>
        <w:tc>
          <w:tcPr>
            <w:tcW w:w="565" w:type="dxa"/>
          </w:tcPr>
          <w:p>
            <w:pPr>
              <w:pStyle w:val="TableParagraph"/>
              <w:ind w:left="176"/>
              <w:jc w:val="left"/>
              <w:rPr>
                <w:sz w:val="17"/>
              </w:rPr>
            </w:pPr>
            <w:r>
              <w:rPr>
                <w:color w:val="231F20"/>
                <w:w w:val="105"/>
                <w:sz w:val="17"/>
              </w:rPr>
              <w:t>7.8</w:t>
            </w:r>
          </w:p>
        </w:tc>
        <w:tc>
          <w:tcPr>
            <w:tcW w:w="540" w:type="dxa"/>
          </w:tcPr>
          <w:p>
            <w:pPr>
              <w:pStyle w:val="TableParagraph"/>
              <w:ind w:left="83" w:right="83"/>
              <w:rPr>
                <w:sz w:val="17"/>
              </w:rPr>
            </w:pPr>
            <w:r>
              <w:rPr>
                <w:color w:val="231F20"/>
                <w:w w:val="105"/>
                <w:sz w:val="17"/>
              </w:rPr>
              <w:t>12.0</w:t>
            </w:r>
          </w:p>
        </w:tc>
        <w:tc>
          <w:tcPr>
            <w:tcW w:w="540" w:type="dxa"/>
          </w:tcPr>
          <w:p>
            <w:pPr>
              <w:pStyle w:val="TableParagraph"/>
              <w:ind w:right="101"/>
              <w:jc w:val="right"/>
              <w:rPr>
                <w:sz w:val="17"/>
              </w:rPr>
            </w:pPr>
            <w:r>
              <w:rPr>
                <w:color w:val="231F20"/>
                <w:sz w:val="17"/>
              </w:rPr>
              <w:t>17.3</w:t>
            </w:r>
          </w:p>
        </w:tc>
        <w:tc>
          <w:tcPr>
            <w:tcW w:w="540" w:type="dxa"/>
          </w:tcPr>
          <w:p>
            <w:pPr>
              <w:pStyle w:val="TableParagraph"/>
              <w:ind w:left="83" w:right="83"/>
              <w:rPr>
                <w:sz w:val="17"/>
              </w:rPr>
            </w:pPr>
            <w:r>
              <w:rPr>
                <w:color w:val="231F20"/>
                <w:w w:val="105"/>
                <w:sz w:val="17"/>
              </w:rPr>
              <w:t>17.7</w:t>
            </w:r>
          </w:p>
        </w:tc>
        <w:tc>
          <w:tcPr>
            <w:tcW w:w="542" w:type="dxa"/>
          </w:tcPr>
          <w:p>
            <w:pPr>
              <w:pStyle w:val="TableParagraph"/>
              <w:ind w:left="103"/>
              <w:jc w:val="left"/>
              <w:rPr>
                <w:sz w:val="17"/>
              </w:rPr>
            </w:pPr>
            <w:r>
              <w:rPr>
                <w:color w:val="231F20"/>
                <w:w w:val="105"/>
                <w:sz w:val="17"/>
              </w:rPr>
              <w:t>14.4</w:t>
            </w:r>
          </w:p>
        </w:tc>
        <w:tc>
          <w:tcPr>
            <w:tcW w:w="564" w:type="dxa"/>
          </w:tcPr>
          <w:p>
            <w:pPr>
              <w:pStyle w:val="TableParagraph"/>
              <w:ind w:right="123"/>
              <w:jc w:val="right"/>
              <w:rPr>
                <w:sz w:val="17"/>
              </w:rPr>
            </w:pPr>
            <w:r>
              <w:rPr>
                <w:color w:val="231F20"/>
                <w:sz w:val="17"/>
              </w:rPr>
              <w:t>10.3</w:t>
            </w:r>
          </w:p>
        </w:tc>
        <w:tc>
          <w:tcPr>
            <w:tcW w:w="492" w:type="dxa"/>
          </w:tcPr>
          <w:p>
            <w:pPr>
              <w:pStyle w:val="TableParagraph"/>
              <w:ind w:left="125"/>
              <w:jc w:val="left"/>
              <w:rPr>
                <w:sz w:val="17"/>
              </w:rPr>
            </w:pPr>
            <w:r>
              <w:rPr>
                <w:color w:val="231F20"/>
                <w:w w:val="105"/>
                <w:sz w:val="17"/>
              </w:rPr>
              <w:t>7.1</w:t>
            </w:r>
          </w:p>
        </w:tc>
        <w:tc>
          <w:tcPr>
            <w:tcW w:w="575" w:type="dxa"/>
          </w:tcPr>
          <w:p>
            <w:pPr>
              <w:pStyle w:val="TableParagraph"/>
              <w:ind w:left="109" w:right="93"/>
              <w:rPr>
                <w:sz w:val="17"/>
              </w:rPr>
            </w:pPr>
            <w:r>
              <w:rPr>
                <w:color w:val="231F20"/>
                <w:w w:val="105"/>
                <w:sz w:val="17"/>
              </w:rPr>
              <w:t>10.4</w:t>
            </w:r>
          </w:p>
        </w:tc>
        <w:tc>
          <w:tcPr>
            <w:tcW w:w="527" w:type="dxa"/>
          </w:tcPr>
          <w:p>
            <w:pPr>
              <w:pStyle w:val="TableParagraph"/>
              <w:ind w:left="112"/>
              <w:jc w:val="left"/>
              <w:rPr>
                <w:sz w:val="17"/>
              </w:rPr>
            </w:pPr>
            <w:r>
              <w:rPr>
                <w:color w:val="231F20"/>
                <w:sz w:val="17"/>
              </w:rPr>
              <w:t>100</w:t>
            </w:r>
          </w:p>
        </w:tc>
      </w:tr>
      <w:tr>
        <w:trPr>
          <w:trHeight w:val="210" w:hRule="exact"/>
        </w:trPr>
        <w:tc>
          <w:tcPr>
            <w:tcW w:w="1701" w:type="dxa"/>
          </w:tcPr>
          <w:p>
            <w:pPr>
              <w:pStyle w:val="TableParagraph"/>
              <w:ind w:left="35"/>
              <w:jc w:val="left"/>
              <w:rPr>
                <w:sz w:val="17"/>
              </w:rPr>
            </w:pPr>
            <w:r>
              <w:rPr>
                <w:color w:val="231F20"/>
                <w:w w:val="115"/>
                <w:sz w:val="17"/>
              </w:rPr>
              <w:t>Jalisco</w:t>
            </w:r>
          </w:p>
        </w:tc>
        <w:tc>
          <w:tcPr>
            <w:tcW w:w="533" w:type="dxa"/>
          </w:tcPr>
          <w:p>
            <w:pPr>
              <w:pStyle w:val="TableParagraph"/>
              <w:ind w:left="149" w:right="110"/>
              <w:rPr>
                <w:sz w:val="17"/>
              </w:rPr>
            </w:pPr>
            <w:r>
              <w:rPr>
                <w:color w:val="231F20"/>
                <w:w w:val="105"/>
                <w:sz w:val="17"/>
              </w:rPr>
              <w:t>2.8</w:t>
            </w:r>
          </w:p>
        </w:tc>
        <w:tc>
          <w:tcPr>
            <w:tcW w:w="565" w:type="dxa"/>
          </w:tcPr>
          <w:p>
            <w:pPr>
              <w:pStyle w:val="TableParagraph"/>
              <w:ind w:left="176"/>
              <w:jc w:val="left"/>
              <w:rPr>
                <w:sz w:val="17"/>
              </w:rPr>
            </w:pPr>
            <w:r>
              <w:rPr>
                <w:color w:val="231F20"/>
                <w:w w:val="105"/>
                <w:sz w:val="17"/>
              </w:rPr>
              <w:t>9.3</w:t>
            </w:r>
          </w:p>
        </w:tc>
        <w:tc>
          <w:tcPr>
            <w:tcW w:w="540" w:type="dxa"/>
          </w:tcPr>
          <w:p>
            <w:pPr>
              <w:pStyle w:val="TableParagraph"/>
              <w:ind w:left="83" w:right="83"/>
              <w:rPr>
                <w:sz w:val="17"/>
              </w:rPr>
            </w:pPr>
            <w:r>
              <w:rPr>
                <w:color w:val="231F20"/>
                <w:w w:val="105"/>
                <w:sz w:val="17"/>
              </w:rPr>
              <w:t>12.9</w:t>
            </w:r>
          </w:p>
        </w:tc>
        <w:tc>
          <w:tcPr>
            <w:tcW w:w="540" w:type="dxa"/>
          </w:tcPr>
          <w:p>
            <w:pPr>
              <w:pStyle w:val="TableParagraph"/>
              <w:ind w:right="101"/>
              <w:jc w:val="right"/>
              <w:rPr>
                <w:sz w:val="17"/>
              </w:rPr>
            </w:pPr>
            <w:r>
              <w:rPr>
                <w:color w:val="231F20"/>
                <w:sz w:val="17"/>
              </w:rPr>
              <w:t>17.1</w:t>
            </w:r>
          </w:p>
        </w:tc>
        <w:tc>
          <w:tcPr>
            <w:tcW w:w="540" w:type="dxa"/>
          </w:tcPr>
          <w:p>
            <w:pPr>
              <w:pStyle w:val="TableParagraph"/>
              <w:ind w:left="83" w:right="83"/>
              <w:rPr>
                <w:sz w:val="17"/>
              </w:rPr>
            </w:pPr>
            <w:r>
              <w:rPr>
                <w:color w:val="231F20"/>
                <w:w w:val="105"/>
                <w:sz w:val="17"/>
              </w:rPr>
              <w:t>17.1</w:t>
            </w:r>
          </w:p>
        </w:tc>
        <w:tc>
          <w:tcPr>
            <w:tcW w:w="542" w:type="dxa"/>
          </w:tcPr>
          <w:p>
            <w:pPr>
              <w:pStyle w:val="TableParagraph"/>
              <w:ind w:left="103"/>
              <w:jc w:val="left"/>
              <w:rPr>
                <w:sz w:val="17"/>
              </w:rPr>
            </w:pPr>
            <w:r>
              <w:rPr>
                <w:color w:val="231F20"/>
                <w:w w:val="105"/>
                <w:sz w:val="17"/>
              </w:rPr>
              <w:t>13.3</w:t>
            </w:r>
          </w:p>
        </w:tc>
        <w:tc>
          <w:tcPr>
            <w:tcW w:w="564" w:type="dxa"/>
          </w:tcPr>
          <w:p>
            <w:pPr>
              <w:pStyle w:val="TableParagraph"/>
              <w:ind w:right="123"/>
              <w:jc w:val="right"/>
              <w:rPr>
                <w:sz w:val="17"/>
              </w:rPr>
            </w:pPr>
            <w:r>
              <w:rPr>
                <w:color w:val="231F20"/>
                <w:w w:val="105"/>
                <w:sz w:val="17"/>
              </w:rPr>
              <w:t>9.5</w:t>
            </w:r>
          </w:p>
        </w:tc>
        <w:tc>
          <w:tcPr>
            <w:tcW w:w="492" w:type="dxa"/>
          </w:tcPr>
          <w:p>
            <w:pPr>
              <w:pStyle w:val="TableParagraph"/>
              <w:ind w:left="125"/>
              <w:jc w:val="left"/>
              <w:rPr>
                <w:sz w:val="17"/>
              </w:rPr>
            </w:pPr>
            <w:r>
              <w:rPr>
                <w:color w:val="231F20"/>
                <w:w w:val="105"/>
                <w:sz w:val="17"/>
              </w:rPr>
              <w:t>6.6</w:t>
            </w:r>
          </w:p>
        </w:tc>
        <w:tc>
          <w:tcPr>
            <w:tcW w:w="575" w:type="dxa"/>
          </w:tcPr>
          <w:p>
            <w:pPr>
              <w:pStyle w:val="TableParagraph"/>
              <w:ind w:left="109" w:right="93"/>
              <w:rPr>
                <w:sz w:val="17"/>
              </w:rPr>
            </w:pPr>
            <w:r>
              <w:rPr>
                <w:color w:val="231F20"/>
                <w:w w:val="105"/>
                <w:sz w:val="17"/>
              </w:rPr>
              <w:t>11.3</w:t>
            </w:r>
          </w:p>
        </w:tc>
        <w:tc>
          <w:tcPr>
            <w:tcW w:w="527" w:type="dxa"/>
          </w:tcPr>
          <w:p>
            <w:pPr>
              <w:pStyle w:val="TableParagraph"/>
              <w:ind w:left="112"/>
              <w:jc w:val="left"/>
              <w:rPr>
                <w:sz w:val="17"/>
              </w:rPr>
            </w:pPr>
            <w:r>
              <w:rPr>
                <w:color w:val="231F20"/>
                <w:sz w:val="17"/>
              </w:rPr>
              <w:t>100</w:t>
            </w:r>
          </w:p>
        </w:tc>
      </w:tr>
      <w:tr>
        <w:trPr>
          <w:trHeight w:val="210" w:hRule="exact"/>
        </w:trPr>
        <w:tc>
          <w:tcPr>
            <w:tcW w:w="1701" w:type="dxa"/>
          </w:tcPr>
          <w:p>
            <w:pPr>
              <w:pStyle w:val="TableParagraph"/>
              <w:ind w:left="35"/>
              <w:jc w:val="left"/>
              <w:rPr>
                <w:sz w:val="17"/>
              </w:rPr>
            </w:pPr>
            <w:r>
              <w:rPr>
                <w:color w:val="231F20"/>
                <w:w w:val="110"/>
                <w:sz w:val="17"/>
              </w:rPr>
              <w:t>México</w:t>
            </w:r>
          </w:p>
        </w:tc>
        <w:tc>
          <w:tcPr>
            <w:tcW w:w="533" w:type="dxa"/>
          </w:tcPr>
          <w:p>
            <w:pPr>
              <w:pStyle w:val="TableParagraph"/>
              <w:ind w:left="149" w:right="110"/>
              <w:rPr>
                <w:sz w:val="17"/>
              </w:rPr>
            </w:pPr>
            <w:r>
              <w:rPr>
                <w:color w:val="231F20"/>
                <w:w w:val="105"/>
                <w:sz w:val="17"/>
              </w:rPr>
              <w:t>1.8</w:t>
            </w:r>
          </w:p>
        </w:tc>
        <w:tc>
          <w:tcPr>
            <w:tcW w:w="565" w:type="dxa"/>
          </w:tcPr>
          <w:p>
            <w:pPr>
              <w:pStyle w:val="TableParagraph"/>
              <w:ind w:left="176"/>
              <w:jc w:val="left"/>
              <w:rPr>
                <w:sz w:val="17"/>
              </w:rPr>
            </w:pPr>
            <w:r>
              <w:rPr>
                <w:color w:val="231F20"/>
                <w:w w:val="105"/>
                <w:sz w:val="17"/>
              </w:rPr>
              <w:t>6.6</w:t>
            </w:r>
          </w:p>
        </w:tc>
        <w:tc>
          <w:tcPr>
            <w:tcW w:w="540" w:type="dxa"/>
          </w:tcPr>
          <w:p>
            <w:pPr>
              <w:pStyle w:val="TableParagraph"/>
              <w:ind w:left="83" w:right="83"/>
              <w:rPr>
                <w:sz w:val="17"/>
              </w:rPr>
            </w:pPr>
            <w:r>
              <w:rPr>
                <w:color w:val="231F20"/>
                <w:w w:val="105"/>
                <w:sz w:val="17"/>
              </w:rPr>
              <w:t>12.6</w:t>
            </w:r>
          </w:p>
        </w:tc>
        <w:tc>
          <w:tcPr>
            <w:tcW w:w="540" w:type="dxa"/>
          </w:tcPr>
          <w:p>
            <w:pPr>
              <w:pStyle w:val="TableParagraph"/>
              <w:ind w:right="101"/>
              <w:jc w:val="right"/>
              <w:rPr>
                <w:sz w:val="17"/>
              </w:rPr>
            </w:pPr>
            <w:r>
              <w:rPr>
                <w:color w:val="231F20"/>
                <w:sz w:val="17"/>
              </w:rPr>
              <w:t>20.1</w:t>
            </w:r>
          </w:p>
        </w:tc>
        <w:tc>
          <w:tcPr>
            <w:tcW w:w="540" w:type="dxa"/>
          </w:tcPr>
          <w:p>
            <w:pPr>
              <w:pStyle w:val="TableParagraph"/>
              <w:ind w:left="83" w:right="83"/>
              <w:rPr>
                <w:sz w:val="17"/>
              </w:rPr>
            </w:pPr>
            <w:r>
              <w:rPr>
                <w:color w:val="231F20"/>
                <w:w w:val="105"/>
                <w:sz w:val="17"/>
              </w:rPr>
              <w:t>19.7</w:t>
            </w:r>
          </w:p>
        </w:tc>
        <w:tc>
          <w:tcPr>
            <w:tcW w:w="542" w:type="dxa"/>
          </w:tcPr>
          <w:p>
            <w:pPr>
              <w:pStyle w:val="TableParagraph"/>
              <w:ind w:left="103"/>
              <w:jc w:val="left"/>
              <w:rPr>
                <w:sz w:val="17"/>
              </w:rPr>
            </w:pPr>
            <w:r>
              <w:rPr>
                <w:color w:val="231F20"/>
                <w:w w:val="105"/>
                <w:sz w:val="17"/>
              </w:rPr>
              <w:t>14.2</w:t>
            </w:r>
          </w:p>
        </w:tc>
        <w:tc>
          <w:tcPr>
            <w:tcW w:w="564" w:type="dxa"/>
          </w:tcPr>
          <w:p>
            <w:pPr>
              <w:pStyle w:val="TableParagraph"/>
              <w:ind w:right="123"/>
              <w:jc w:val="right"/>
              <w:rPr>
                <w:sz w:val="17"/>
              </w:rPr>
            </w:pPr>
            <w:r>
              <w:rPr>
                <w:color w:val="231F20"/>
                <w:w w:val="105"/>
                <w:sz w:val="17"/>
              </w:rPr>
              <w:t>9.3</w:t>
            </w:r>
          </w:p>
        </w:tc>
        <w:tc>
          <w:tcPr>
            <w:tcW w:w="492" w:type="dxa"/>
          </w:tcPr>
          <w:p>
            <w:pPr>
              <w:pStyle w:val="TableParagraph"/>
              <w:ind w:left="125"/>
              <w:jc w:val="left"/>
              <w:rPr>
                <w:sz w:val="17"/>
              </w:rPr>
            </w:pPr>
            <w:r>
              <w:rPr>
                <w:color w:val="231F20"/>
                <w:w w:val="105"/>
                <w:sz w:val="17"/>
              </w:rPr>
              <w:t>6.0</w:t>
            </w:r>
          </w:p>
        </w:tc>
        <w:tc>
          <w:tcPr>
            <w:tcW w:w="575" w:type="dxa"/>
          </w:tcPr>
          <w:p>
            <w:pPr>
              <w:pStyle w:val="TableParagraph"/>
              <w:ind w:left="205" w:right="93"/>
              <w:rPr>
                <w:sz w:val="17"/>
              </w:rPr>
            </w:pPr>
            <w:r>
              <w:rPr>
                <w:color w:val="231F20"/>
                <w:w w:val="105"/>
                <w:sz w:val="17"/>
              </w:rPr>
              <w:t>9.6</w:t>
            </w:r>
          </w:p>
        </w:tc>
        <w:tc>
          <w:tcPr>
            <w:tcW w:w="527" w:type="dxa"/>
          </w:tcPr>
          <w:p>
            <w:pPr>
              <w:pStyle w:val="TableParagraph"/>
              <w:ind w:left="112"/>
              <w:jc w:val="left"/>
              <w:rPr>
                <w:sz w:val="17"/>
              </w:rPr>
            </w:pPr>
            <w:r>
              <w:rPr>
                <w:color w:val="231F20"/>
                <w:sz w:val="17"/>
              </w:rPr>
              <w:t>100</w:t>
            </w:r>
          </w:p>
        </w:tc>
      </w:tr>
      <w:tr>
        <w:trPr>
          <w:trHeight w:val="210" w:hRule="exact"/>
        </w:trPr>
        <w:tc>
          <w:tcPr>
            <w:tcW w:w="1701" w:type="dxa"/>
          </w:tcPr>
          <w:p>
            <w:pPr>
              <w:pStyle w:val="TableParagraph"/>
              <w:ind w:left="35"/>
              <w:jc w:val="left"/>
              <w:rPr>
                <w:sz w:val="17"/>
              </w:rPr>
            </w:pPr>
            <w:r>
              <w:rPr>
                <w:color w:val="231F20"/>
                <w:w w:val="110"/>
                <w:sz w:val="17"/>
              </w:rPr>
              <w:t>Michoacán</w:t>
            </w:r>
          </w:p>
        </w:tc>
        <w:tc>
          <w:tcPr>
            <w:tcW w:w="533" w:type="dxa"/>
          </w:tcPr>
          <w:p>
            <w:pPr>
              <w:pStyle w:val="TableParagraph"/>
              <w:ind w:left="149" w:right="110"/>
              <w:rPr>
                <w:sz w:val="17"/>
              </w:rPr>
            </w:pPr>
            <w:r>
              <w:rPr>
                <w:color w:val="231F20"/>
                <w:w w:val="105"/>
                <w:sz w:val="17"/>
              </w:rPr>
              <w:t>2.4</w:t>
            </w:r>
          </w:p>
        </w:tc>
        <w:tc>
          <w:tcPr>
            <w:tcW w:w="565" w:type="dxa"/>
          </w:tcPr>
          <w:p>
            <w:pPr>
              <w:pStyle w:val="TableParagraph"/>
              <w:ind w:left="176"/>
              <w:jc w:val="left"/>
              <w:rPr>
                <w:sz w:val="17"/>
              </w:rPr>
            </w:pPr>
            <w:r>
              <w:rPr>
                <w:color w:val="231F20"/>
                <w:w w:val="105"/>
                <w:sz w:val="17"/>
              </w:rPr>
              <w:t>9.2</w:t>
            </w:r>
          </w:p>
        </w:tc>
        <w:tc>
          <w:tcPr>
            <w:tcW w:w="540" w:type="dxa"/>
          </w:tcPr>
          <w:p>
            <w:pPr>
              <w:pStyle w:val="TableParagraph"/>
              <w:ind w:left="83" w:right="83"/>
              <w:rPr>
                <w:sz w:val="17"/>
              </w:rPr>
            </w:pPr>
            <w:r>
              <w:rPr>
                <w:color w:val="231F20"/>
                <w:w w:val="105"/>
                <w:sz w:val="17"/>
              </w:rPr>
              <w:t>12.5</w:t>
            </w:r>
          </w:p>
        </w:tc>
        <w:tc>
          <w:tcPr>
            <w:tcW w:w="540" w:type="dxa"/>
          </w:tcPr>
          <w:p>
            <w:pPr>
              <w:pStyle w:val="TableParagraph"/>
              <w:ind w:right="101"/>
              <w:jc w:val="right"/>
              <w:rPr>
                <w:sz w:val="17"/>
              </w:rPr>
            </w:pPr>
            <w:r>
              <w:rPr>
                <w:color w:val="231F20"/>
                <w:sz w:val="17"/>
              </w:rPr>
              <w:t>15.9</w:t>
            </w:r>
          </w:p>
        </w:tc>
        <w:tc>
          <w:tcPr>
            <w:tcW w:w="540" w:type="dxa"/>
          </w:tcPr>
          <w:p>
            <w:pPr>
              <w:pStyle w:val="TableParagraph"/>
              <w:ind w:left="83" w:right="83"/>
              <w:rPr>
                <w:sz w:val="17"/>
              </w:rPr>
            </w:pPr>
            <w:r>
              <w:rPr>
                <w:color w:val="231F20"/>
                <w:w w:val="105"/>
                <w:sz w:val="17"/>
              </w:rPr>
              <w:t>15.9</w:t>
            </w:r>
          </w:p>
        </w:tc>
        <w:tc>
          <w:tcPr>
            <w:tcW w:w="542" w:type="dxa"/>
          </w:tcPr>
          <w:p>
            <w:pPr>
              <w:pStyle w:val="TableParagraph"/>
              <w:ind w:left="103"/>
              <w:jc w:val="left"/>
              <w:rPr>
                <w:sz w:val="17"/>
              </w:rPr>
            </w:pPr>
            <w:r>
              <w:rPr>
                <w:color w:val="231F20"/>
                <w:w w:val="105"/>
                <w:sz w:val="17"/>
              </w:rPr>
              <w:t>13.3</w:t>
            </w:r>
          </w:p>
        </w:tc>
        <w:tc>
          <w:tcPr>
            <w:tcW w:w="564" w:type="dxa"/>
          </w:tcPr>
          <w:p>
            <w:pPr>
              <w:pStyle w:val="TableParagraph"/>
              <w:ind w:right="123"/>
              <w:jc w:val="right"/>
              <w:rPr>
                <w:sz w:val="17"/>
              </w:rPr>
            </w:pPr>
            <w:r>
              <w:rPr>
                <w:color w:val="231F20"/>
                <w:sz w:val="17"/>
              </w:rPr>
              <w:t>10.2</w:t>
            </w:r>
          </w:p>
        </w:tc>
        <w:tc>
          <w:tcPr>
            <w:tcW w:w="492" w:type="dxa"/>
          </w:tcPr>
          <w:p>
            <w:pPr>
              <w:pStyle w:val="TableParagraph"/>
              <w:ind w:left="125"/>
              <w:jc w:val="left"/>
              <w:rPr>
                <w:sz w:val="17"/>
              </w:rPr>
            </w:pPr>
            <w:r>
              <w:rPr>
                <w:color w:val="231F20"/>
                <w:w w:val="105"/>
                <w:sz w:val="17"/>
              </w:rPr>
              <w:t>7.5</w:t>
            </w:r>
          </w:p>
        </w:tc>
        <w:tc>
          <w:tcPr>
            <w:tcW w:w="575" w:type="dxa"/>
          </w:tcPr>
          <w:p>
            <w:pPr>
              <w:pStyle w:val="TableParagraph"/>
              <w:ind w:left="109" w:right="93"/>
              <w:rPr>
                <w:sz w:val="17"/>
              </w:rPr>
            </w:pPr>
            <w:r>
              <w:rPr>
                <w:color w:val="231F20"/>
                <w:w w:val="105"/>
                <w:sz w:val="17"/>
              </w:rPr>
              <w:t>13.2</w:t>
            </w:r>
          </w:p>
        </w:tc>
        <w:tc>
          <w:tcPr>
            <w:tcW w:w="527" w:type="dxa"/>
          </w:tcPr>
          <w:p>
            <w:pPr>
              <w:pStyle w:val="TableParagraph"/>
              <w:ind w:left="112"/>
              <w:jc w:val="left"/>
              <w:rPr>
                <w:sz w:val="17"/>
              </w:rPr>
            </w:pPr>
            <w:r>
              <w:rPr>
                <w:color w:val="231F20"/>
                <w:sz w:val="17"/>
              </w:rPr>
              <w:t>100</w:t>
            </w:r>
          </w:p>
        </w:tc>
      </w:tr>
      <w:tr>
        <w:trPr>
          <w:trHeight w:val="210" w:hRule="exact"/>
        </w:trPr>
        <w:tc>
          <w:tcPr>
            <w:tcW w:w="1701" w:type="dxa"/>
          </w:tcPr>
          <w:p>
            <w:pPr>
              <w:pStyle w:val="TableParagraph"/>
              <w:ind w:left="35"/>
              <w:jc w:val="left"/>
              <w:rPr>
                <w:sz w:val="17"/>
              </w:rPr>
            </w:pPr>
            <w:r>
              <w:rPr>
                <w:color w:val="231F20"/>
                <w:w w:val="110"/>
                <w:sz w:val="17"/>
              </w:rPr>
              <w:t>Morelos</w:t>
            </w:r>
          </w:p>
        </w:tc>
        <w:tc>
          <w:tcPr>
            <w:tcW w:w="533" w:type="dxa"/>
          </w:tcPr>
          <w:p>
            <w:pPr>
              <w:pStyle w:val="TableParagraph"/>
              <w:ind w:left="149" w:right="110"/>
              <w:rPr>
                <w:sz w:val="17"/>
              </w:rPr>
            </w:pPr>
            <w:r>
              <w:rPr>
                <w:color w:val="231F20"/>
                <w:w w:val="105"/>
                <w:sz w:val="17"/>
              </w:rPr>
              <w:t>3.2</w:t>
            </w:r>
          </w:p>
        </w:tc>
        <w:tc>
          <w:tcPr>
            <w:tcW w:w="565" w:type="dxa"/>
          </w:tcPr>
          <w:p>
            <w:pPr>
              <w:pStyle w:val="TableParagraph"/>
              <w:ind w:left="176"/>
              <w:jc w:val="left"/>
              <w:rPr>
                <w:sz w:val="17"/>
              </w:rPr>
            </w:pPr>
            <w:r>
              <w:rPr>
                <w:color w:val="231F20"/>
                <w:w w:val="105"/>
                <w:sz w:val="17"/>
              </w:rPr>
              <w:t>8.8</w:t>
            </w:r>
          </w:p>
        </w:tc>
        <w:tc>
          <w:tcPr>
            <w:tcW w:w="540" w:type="dxa"/>
          </w:tcPr>
          <w:p>
            <w:pPr>
              <w:pStyle w:val="TableParagraph"/>
              <w:ind w:left="83" w:right="83"/>
              <w:rPr>
                <w:sz w:val="17"/>
              </w:rPr>
            </w:pPr>
            <w:r>
              <w:rPr>
                <w:color w:val="231F20"/>
                <w:w w:val="105"/>
                <w:sz w:val="17"/>
              </w:rPr>
              <w:t>13.9</w:t>
            </w:r>
          </w:p>
        </w:tc>
        <w:tc>
          <w:tcPr>
            <w:tcW w:w="540" w:type="dxa"/>
          </w:tcPr>
          <w:p>
            <w:pPr>
              <w:pStyle w:val="TableParagraph"/>
              <w:ind w:right="101"/>
              <w:jc w:val="right"/>
              <w:rPr>
                <w:sz w:val="17"/>
              </w:rPr>
            </w:pPr>
            <w:r>
              <w:rPr>
                <w:color w:val="231F20"/>
                <w:sz w:val="17"/>
              </w:rPr>
              <w:t>20.1</w:t>
            </w:r>
          </w:p>
        </w:tc>
        <w:tc>
          <w:tcPr>
            <w:tcW w:w="540" w:type="dxa"/>
          </w:tcPr>
          <w:p>
            <w:pPr>
              <w:pStyle w:val="TableParagraph"/>
              <w:ind w:left="83" w:right="83"/>
              <w:rPr>
                <w:sz w:val="17"/>
              </w:rPr>
            </w:pPr>
            <w:r>
              <w:rPr>
                <w:color w:val="231F20"/>
                <w:w w:val="105"/>
                <w:sz w:val="17"/>
              </w:rPr>
              <w:t>18.7</w:t>
            </w:r>
          </w:p>
        </w:tc>
        <w:tc>
          <w:tcPr>
            <w:tcW w:w="542" w:type="dxa"/>
          </w:tcPr>
          <w:p>
            <w:pPr>
              <w:pStyle w:val="TableParagraph"/>
              <w:ind w:left="103"/>
              <w:jc w:val="left"/>
              <w:rPr>
                <w:sz w:val="17"/>
              </w:rPr>
            </w:pPr>
            <w:r>
              <w:rPr>
                <w:color w:val="231F20"/>
                <w:w w:val="105"/>
                <w:sz w:val="17"/>
              </w:rPr>
              <w:t>13.4</w:t>
            </w:r>
          </w:p>
        </w:tc>
        <w:tc>
          <w:tcPr>
            <w:tcW w:w="564" w:type="dxa"/>
          </w:tcPr>
          <w:p>
            <w:pPr>
              <w:pStyle w:val="TableParagraph"/>
              <w:ind w:right="123"/>
              <w:jc w:val="right"/>
              <w:rPr>
                <w:sz w:val="17"/>
              </w:rPr>
            </w:pPr>
            <w:r>
              <w:rPr>
                <w:color w:val="231F20"/>
                <w:w w:val="105"/>
                <w:sz w:val="17"/>
              </w:rPr>
              <w:t>8.6</w:t>
            </w:r>
          </w:p>
        </w:tc>
        <w:tc>
          <w:tcPr>
            <w:tcW w:w="492" w:type="dxa"/>
          </w:tcPr>
          <w:p>
            <w:pPr>
              <w:pStyle w:val="TableParagraph"/>
              <w:ind w:left="125"/>
              <w:jc w:val="left"/>
              <w:rPr>
                <w:sz w:val="17"/>
              </w:rPr>
            </w:pPr>
            <w:r>
              <w:rPr>
                <w:color w:val="231F20"/>
                <w:w w:val="105"/>
                <w:sz w:val="17"/>
              </w:rPr>
              <w:t>5.4</w:t>
            </w:r>
          </w:p>
        </w:tc>
        <w:tc>
          <w:tcPr>
            <w:tcW w:w="575" w:type="dxa"/>
          </w:tcPr>
          <w:p>
            <w:pPr>
              <w:pStyle w:val="TableParagraph"/>
              <w:ind w:left="205" w:right="93"/>
              <w:rPr>
                <w:sz w:val="17"/>
              </w:rPr>
            </w:pPr>
            <w:r>
              <w:rPr>
                <w:color w:val="231F20"/>
                <w:w w:val="105"/>
                <w:sz w:val="17"/>
              </w:rPr>
              <w:t>7.8</w:t>
            </w:r>
          </w:p>
        </w:tc>
        <w:tc>
          <w:tcPr>
            <w:tcW w:w="527" w:type="dxa"/>
          </w:tcPr>
          <w:p>
            <w:pPr>
              <w:pStyle w:val="TableParagraph"/>
              <w:ind w:left="112"/>
              <w:jc w:val="left"/>
              <w:rPr>
                <w:sz w:val="17"/>
              </w:rPr>
            </w:pPr>
            <w:r>
              <w:rPr>
                <w:color w:val="231F20"/>
                <w:sz w:val="17"/>
              </w:rPr>
              <w:t>100</w:t>
            </w:r>
          </w:p>
        </w:tc>
      </w:tr>
      <w:tr>
        <w:trPr>
          <w:trHeight w:val="210" w:hRule="exact"/>
        </w:trPr>
        <w:tc>
          <w:tcPr>
            <w:tcW w:w="1701" w:type="dxa"/>
          </w:tcPr>
          <w:p>
            <w:pPr>
              <w:pStyle w:val="TableParagraph"/>
              <w:ind w:left="35"/>
              <w:jc w:val="left"/>
              <w:rPr>
                <w:sz w:val="17"/>
              </w:rPr>
            </w:pPr>
            <w:r>
              <w:rPr>
                <w:color w:val="231F20"/>
                <w:w w:val="110"/>
                <w:sz w:val="17"/>
              </w:rPr>
              <w:t>Nayarit</w:t>
            </w:r>
          </w:p>
        </w:tc>
        <w:tc>
          <w:tcPr>
            <w:tcW w:w="533" w:type="dxa"/>
          </w:tcPr>
          <w:p>
            <w:pPr>
              <w:pStyle w:val="TableParagraph"/>
              <w:ind w:left="149" w:right="110"/>
              <w:rPr>
                <w:sz w:val="17"/>
              </w:rPr>
            </w:pPr>
            <w:r>
              <w:rPr>
                <w:color w:val="231F20"/>
                <w:w w:val="105"/>
                <w:sz w:val="17"/>
              </w:rPr>
              <w:t>4.2</w:t>
            </w:r>
          </w:p>
        </w:tc>
        <w:tc>
          <w:tcPr>
            <w:tcW w:w="565" w:type="dxa"/>
          </w:tcPr>
          <w:p>
            <w:pPr>
              <w:pStyle w:val="TableParagraph"/>
              <w:ind w:left="176"/>
              <w:jc w:val="left"/>
              <w:rPr>
                <w:sz w:val="17"/>
              </w:rPr>
            </w:pPr>
            <w:r>
              <w:rPr>
                <w:color w:val="231F20"/>
                <w:w w:val="105"/>
                <w:sz w:val="17"/>
              </w:rPr>
              <w:t>9.2</w:t>
            </w:r>
          </w:p>
        </w:tc>
        <w:tc>
          <w:tcPr>
            <w:tcW w:w="540" w:type="dxa"/>
          </w:tcPr>
          <w:p>
            <w:pPr>
              <w:pStyle w:val="TableParagraph"/>
              <w:ind w:left="83" w:right="83"/>
              <w:rPr>
                <w:sz w:val="17"/>
              </w:rPr>
            </w:pPr>
            <w:r>
              <w:rPr>
                <w:color w:val="231F20"/>
                <w:w w:val="105"/>
                <w:sz w:val="17"/>
              </w:rPr>
              <w:t>14.2</w:t>
            </w:r>
          </w:p>
        </w:tc>
        <w:tc>
          <w:tcPr>
            <w:tcW w:w="540" w:type="dxa"/>
          </w:tcPr>
          <w:p>
            <w:pPr>
              <w:pStyle w:val="TableParagraph"/>
              <w:ind w:right="101"/>
              <w:jc w:val="right"/>
              <w:rPr>
                <w:sz w:val="17"/>
              </w:rPr>
            </w:pPr>
            <w:r>
              <w:rPr>
                <w:color w:val="231F20"/>
                <w:sz w:val="17"/>
              </w:rPr>
              <w:t>17.9</w:t>
            </w:r>
          </w:p>
        </w:tc>
        <w:tc>
          <w:tcPr>
            <w:tcW w:w="540" w:type="dxa"/>
          </w:tcPr>
          <w:p>
            <w:pPr>
              <w:pStyle w:val="TableParagraph"/>
              <w:ind w:left="83" w:right="83"/>
              <w:rPr>
                <w:sz w:val="17"/>
              </w:rPr>
            </w:pPr>
            <w:r>
              <w:rPr>
                <w:color w:val="231F20"/>
                <w:w w:val="105"/>
                <w:sz w:val="17"/>
              </w:rPr>
              <w:t>17.5</w:t>
            </w:r>
          </w:p>
        </w:tc>
        <w:tc>
          <w:tcPr>
            <w:tcW w:w="542" w:type="dxa"/>
          </w:tcPr>
          <w:p>
            <w:pPr>
              <w:pStyle w:val="TableParagraph"/>
              <w:ind w:left="103"/>
              <w:jc w:val="left"/>
              <w:rPr>
                <w:sz w:val="17"/>
              </w:rPr>
            </w:pPr>
            <w:r>
              <w:rPr>
                <w:color w:val="231F20"/>
                <w:w w:val="105"/>
                <w:sz w:val="17"/>
              </w:rPr>
              <w:t>13.8</w:t>
            </w:r>
          </w:p>
        </w:tc>
        <w:tc>
          <w:tcPr>
            <w:tcW w:w="564" w:type="dxa"/>
          </w:tcPr>
          <w:p>
            <w:pPr>
              <w:pStyle w:val="TableParagraph"/>
              <w:ind w:right="123"/>
              <w:jc w:val="right"/>
              <w:rPr>
                <w:sz w:val="17"/>
              </w:rPr>
            </w:pPr>
            <w:r>
              <w:rPr>
                <w:color w:val="231F20"/>
                <w:w w:val="105"/>
                <w:sz w:val="17"/>
              </w:rPr>
              <w:t>9.3</w:t>
            </w:r>
          </w:p>
        </w:tc>
        <w:tc>
          <w:tcPr>
            <w:tcW w:w="492" w:type="dxa"/>
          </w:tcPr>
          <w:p>
            <w:pPr>
              <w:pStyle w:val="TableParagraph"/>
              <w:ind w:left="125"/>
              <w:jc w:val="left"/>
              <w:rPr>
                <w:sz w:val="17"/>
              </w:rPr>
            </w:pPr>
            <w:r>
              <w:rPr>
                <w:color w:val="231F20"/>
                <w:w w:val="105"/>
                <w:sz w:val="17"/>
              </w:rPr>
              <w:t>6.0</w:t>
            </w:r>
          </w:p>
        </w:tc>
        <w:tc>
          <w:tcPr>
            <w:tcW w:w="575" w:type="dxa"/>
          </w:tcPr>
          <w:p>
            <w:pPr>
              <w:pStyle w:val="TableParagraph"/>
              <w:ind w:left="205" w:right="93"/>
              <w:rPr>
                <w:sz w:val="17"/>
              </w:rPr>
            </w:pPr>
            <w:r>
              <w:rPr>
                <w:color w:val="231F20"/>
                <w:w w:val="105"/>
                <w:sz w:val="17"/>
              </w:rPr>
              <w:t>7.9</w:t>
            </w:r>
          </w:p>
        </w:tc>
        <w:tc>
          <w:tcPr>
            <w:tcW w:w="527" w:type="dxa"/>
          </w:tcPr>
          <w:p>
            <w:pPr>
              <w:pStyle w:val="TableParagraph"/>
              <w:ind w:left="112"/>
              <w:jc w:val="left"/>
              <w:rPr>
                <w:sz w:val="17"/>
              </w:rPr>
            </w:pPr>
            <w:r>
              <w:rPr>
                <w:color w:val="231F20"/>
                <w:sz w:val="17"/>
              </w:rPr>
              <w:t>100</w:t>
            </w:r>
          </w:p>
        </w:tc>
      </w:tr>
      <w:tr>
        <w:trPr>
          <w:trHeight w:val="210" w:hRule="exact"/>
        </w:trPr>
        <w:tc>
          <w:tcPr>
            <w:tcW w:w="1701" w:type="dxa"/>
          </w:tcPr>
          <w:p>
            <w:pPr>
              <w:pStyle w:val="TableParagraph"/>
              <w:ind w:left="35"/>
              <w:jc w:val="left"/>
              <w:rPr>
                <w:sz w:val="17"/>
              </w:rPr>
            </w:pPr>
            <w:r>
              <w:rPr>
                <w:color w:val="231F20"/>
                <w:w w:val="110"/>
                <w:sz w:val="17"/>
              </w:rPr>
              <w:t>Nuevo León</w:t>
            </w:r>
          </w:p>
        </w:tc>
        <w:tc>
          <w:tcPr>
            <w:tcW w:w="533" w:type="dxa"/>
          </w:tcPr>
          <w:p>
            <w:pPr>
              <w:pStyle w:val="TableParagraph"/>
              <w:ind w:left="149" w:right="110"/>
              <w:rPr>
                <w:sz w:val="17"/>
              </w:rPr>
            </w:pPr>
            <w:r>
              <w:rPr>
                <w:color w:val="231F20"/>
                <w:w w:val="105"/>
                <w:sz w:val="17"/>
              </w:rPr>
              <w:t>2.5</w:t>
            </w:r>
          </w:p>
        </w:tc>
        <w:tc>
          <w:tcPr>
            <w:tcW w:w="565" w:type="dxa"/>
          </w:tcPr>
          <w:p>
            <w:pPr>
              <w:pStyle w:val="TableParagraph"/>
              <w:ind w:left="176"/>
              <w:jc w:val="left"/>
              <w:rPr>
                <w:sz w:val="17"/>
              </w:rPr>
            </w:pPr>
            <w:r>
              <w:rPr>
                <w:color w:val="231F20"/>
                <w:w w:val="105"/>
                <w:sz w:val="17"/>
              </w:rPr>
              <w:t>8.8</w:t>
            </w:r>
          </w:p>
        </w:tc>
        <w:tc>
          <w:tcPr>
            <w:tcW w:w="540" w:type="dxa"/>
          </w:tcPr>
          <w:p>
            <w:pPr>
              <w:pStyle w:val="TableParagraph"/>
              <w:ind w:left="83" w:right="83"/>
              <w:rPr>
                <w:sz w:val="17"/>
              </w:rPr>
            </w:pPr>
            <w:r>
              <w:rPr>
                <w:color w:val="231F20"/>
                <w:w w:val="105"/>
                <w:sz w:val="17"/>
              </w:rPr>
              <w:t>14.9</w:t>
            </w:r>
          </w:p>
        </w:tc>
        <w:tc>
          <w:tcPr>
            <w:tcW w:w="540" w:type="dxa"/>
          </w:tcPr>
          <w:p>
            <w:pPr>
              <w:pStyle w:val="TableParagraph"/>
              <w:ind w:right="101"/>
              <w:jc w:val="right"/>
              <w:rPr>
                <w:sz w:val="17"/>
              </w:rPr>
            </w:pPr>
            <w:r>
              <w:rPr>
                <w:color w:val="231F20"/>
                <w:sz w:val="17"/>
              </w:rPr>
              <w:t>19.9</w:t>
            </w:r>
          </w:p>
        </w:tc>
        <w:tc>
          <w:tcPr>
            <w:tcW w:w="540" w:type="dxa"/>
          </w:tcPr>
          <w:p>
            <w:pPr>
              <w:pStyle w:val="TableParagraph"/>
              <w:ind w:left="83" w:right="83"/>
              <w:rPr>
                <w:sz w:val="17"/>
              </w:rPr>
            </w:pPr>
            <w:r>
              <w:rPr>
                <w:color w:val="231F20"/>
                <w:w w:val="105"/>
                <w:sz w:val="17"/>
              </w:rPr>
              <w:t>20.1</w:t>
            </w:r>
          </w:p>
        </w:tc>
        <w:tc>
          <w:tcPr>
            <w:tcW w:w="542" w:type="dxa"/>
          </w:tcPr>
          <w:p>
            <w:pPr>
              <w:pStyle w:val="TableParagraph"/>
              <w:ind w:left="103"/>
              <w:jc w:val="left"/>
              <w:rPr>
                <w:sz w:val="17"/>
              </w:rPr>
            </w:pPr>
            <w:r>
              <w:rPr>
                <w:color w:val="231F20"/>
                <w:w w:val="105"/>
                <w:sz w:val="17"/>
              </w:rPr>
              <w:t>14.0</w:t>
            </w:r>
          </w:p>
        </w:tc>
        <w:tc>
          <w:tcPr>
            <w:tcW w:w="564" w:type="dxa"/>
          </w:tcPr>
          <w:p>
            <w:pPr>
              <w:pStyle w:val="TableParagraph"/>
              <w:ind w:right="123"/>
              <w:jc w:val="right"/>
              <w:rPr>
                <w:sz w:val="17"/>
              </w:rPr>
            </w:pPr>
            <w:r>
              <w:rPr>
                <w:color w:val="231F20"/>
                <w:w w:val="105"/>
                <w:sz w:val="17"/>
              </w:rPr>
              <w:t>8.5</w:t>
            </w:r>
          </w:p>
        </w:tc>
        <w:tc>
          <w:tcPr>
            <w:tcW w:w="492" w:type="dxa"/>
          </w:tcPr>
          <w:p>
            <w:pPr>
              <w:pStyle w:val="TableParagraph"/>
              <w:ind w:left="125"/>
              <w:jc w:val="left"/>
              <w:rPr>
                <w:sz w:val="17"/>
              </w:rPr>
            </w:pPr>
            <w:r>
              <w:rPr>
                <w:color w:val="231F20"/>
                <w:w w:val="105"/>
                <w:sz w:val="17"/>
              </w:rPr>
              <w:t>4.9</w:t>
            </w:r>
          </w:p>
        </w:tc>
        <w:tc>
          <w:tcPr>
            <w:tcW w:w="575" w:type="dxa"/>
          </w:tcPr>
          <w:p>
            <w:pPr>
              <w:pStyle w:val="TableParagraph"/>
              <w:ind w:left="205" w:right="93"/>
              <w:rPr>
                <w:sz w:val="17"/>
              </w:rPr>
            </w:pPr>
            <w:r>
              <w:rPr>
                <w:color w:val="231F20"/>
                <w:w w:val="105"/>
                <w:sz w:val="17"/>
              </w:rPr>
              <w:t>6.5</w:t>
            </w:r>
          </w:p>
        </w:tc>
        <w:tc>
          <w:tcPr>
            <w:tcW w:w="527" w:type="dxa"/>
          </w:tcPr>
          <w:p>
            <w:pPr>
              <w:pStyle w:val="TableParagraph"/>
              <w:ind w:left="112"/>
              <w:jc w:val="left"/>
              <w:rPr>
                <w:sz w:val="17"/>
              </w:rPr>
            </w:pPr>
            <w:r>
              <w:rPr>
                <w:color w:val="231F20"/>
                <w:sz w:val="17"/>
              </w:rPr>
              <w:t>100</w:t>
            </w:r>
          </w:p>
        </w:tc>
      </w:tr>
      <w:tr>
        <w:trPr>
          <w:trHeight w:val="210" w:hRule="exact"/>
        </w:trPr>
        <w:tc>
          <w:tcPr>
            <w:tcW w:w="1701" w:type="dxa"/>
          </w:tcPr>
          <w:p>
            <w:pPr>
              <w:pStyle w:val="TableParagraph"/>
              <w:ind w:left="35"/>
              <w:jc w:val="left"/>
              <w:rPr>
                <w:sz w:val="17"/>
              </w:rPr>
            </w:pPr>
            <w:r>
              <w:rPr>
                <w:color w:val="231F20"/>
                <w:w w:val="115"/>
                <w:sz w:val="17"/>
              </w:rPr>
              <w:t>Oaxaca</w:t>
            </w:r>
          </w:p>
        </w:tc>
        <w:tc>
          <w:tcPr>
            <w:tcW w:w="533" w:type="dxa"/>
          </w:tcPr>
          <w:p>
            <w:pPr>
              <w:pStyle w:val="TableParagraph"/>
              <w:ind w:left="149" w:right="110"/>
              <w:rPr>
                <w:sz w:val="17"/>
              </w:rPr>
            </w:pPr>
            <w:r>
              <w:rPr>
                <w:color w:val="231F20"/>
                <w:w w:val="105"/>
                <w:sz w:val="17"/>
              </w:rPr>
              <w:t>2.9</w:t>
            </w:r>
          </w:p>
        </w:tc>
        <w:tc>
          <w:tcPr>
            <w:tcW w:w="565" w:type="dxa"/>
          </w:tcPr>
          <w:p>
            <w:pPr>
              <w:pStyle w:val="TableParagraph"/>
              <w:ind w:left="176"/>
              <w:jc w:val="left"/>
              <w:rPr>
                <w:sz w:val="17"/>
              </w:rPr>
            </w:pPr>
            <w:r>
              <w:rPr>
                <w:color w:val="231F20"/>
                <w:w w:val="105"/>
                <w:sz w:val="17"/>
              </w:rPr>
              <w:t>9.1</w:t>
            </w:r>
          </w:p>
        </w:tc>
        <w:tc>
          <w:tcPr>
            <w:tcW w:w="540" w:type="dxa"/>
          </w:tcPr>
          <w:p>
            <w:pPr>
              <w:pStyle w:val="TableParagraph"/>
              <w:ind w:left="83" w:right="83"/>
              <w:rPr>
                <w:sz w:val="17"/>
              </w:rPr>
            </w:pPr>
            <w:r>
              <w:rPr>
                <w:color w:val="231F20"/>
                <w:w w:val="105"/>
                <w:sz w:val="17"/>
              </w:rPr>
              <w:t>12.2</w:t>
            </w:r>
          </w:p>
        </w:tc>
        <w:tc>
          <w:tcPr>
            <w:tcW w:w="540" w:type="dxa"/>
          </w:tcPr>
          <w:p>
            <w:pPr>
              <w:pStyle w:val="TableParagraph"/>
              <w:ind w:right="101"/>
              <w:jc w:val="right"/>
              <w:rPr>
                <w:sz w:val="17"/>
              </w:rPr>
            </w:pPr>
            <w:r>
              <w:rPr>
                <w:color w:val="231F20"/>
                <w:sz w:val="17"/>
              </w:rPr>
              <w:t>15.8</w:t>
            </w:r>
          </w:p>
        </w:tc>
        <w:tc>
          <w:tcPr>
            <w:tcW w:w="540" w:type="dxa"/>
          </w:tcPr>
          <w:p>
            <w:pPr>
              <w:pStyle w:val="TableParagraph"/>
              <w:ind w:left="83" w:right="83"/>
              <w:rPr>
                <w:sz w:val="17"/>
              </w:rPr>
            </w:pPr>
            <w:r>
              <w:rPr>
                <w:color w:val="231F20"/>
                <w:w w:val="105"/>
                <w:sz w:val="17"/>
              </w:rPr>
              <w:t>16.5</w:t>
            </w:r>
          </w:p>
        </w:tc>
        <w:tc>
          <w:tcPr>
            <w:tcW w:w="542" w:type="dxa"/>
          </w:tcPr>
          <w:p>
            <w:pPr>
              <w:pStyle w:val="TableParagraph"/>
              <w:ind w:left="103"/>
              <w:jc w:val="left"/>
              <w:rPr>
                <w:sz w:val="17"/>
              </w:rPr>
            </w:pPr>
            <w:r>
              <w:rPr>
                <w:color w:val="231F20"/>
                <w:w w:val="105"/>
                <w:sz w:val="17"/>
              </w:rPr>
              <w:t>14.3</w:t>
            </w:r>
          </w:p>
        </w:tc>
        <w:tc>
          <w:tcPr>
            <w:tcW w:w="564" w:type="dxa"/>
          </w:tcPr>
          <w:p>
            <w:pPr>
              <w:pStyle w:val="TableParagraph"/>
              <w:ind w:right="123"/>
              <w:jc w:val="right"/>
              <w:rPr>
                <w:sz w:val="17"/>
              </w:rPr>
            </w:pPr>
            <w:r>
              <w:rPr>
                <w:color w:val="231F20"/>
                <w:sz w:val="17"/>
              </w:rPr>
              <w:t>10.9</w:t>
            </w:r>
          </w:p>
        </w:tc>
        <w:tc>
          <w:tcPr>
            <w:tcW w:w="492" w:type="dxa"/>
          </w:tcPr>
          <w:p>
            <w:pPr>
              <w:pStyle w:val="TableParagraph"/>
              <w:ind w:left="125"/>
              <w:jc w:val="left"/>
              <w:rPr>
                <w:sz w:val="17"/>
              </w:rPr>
            </w:pPr>
            <w:r>
              <w:rPr>
                <w:color w:val="231F20"/>
                <w:w w:val="105"/>
                <w:sz w:val="17"/>
              </w:rPr>
              <w:t>7.6</w:t>
            </w:r>
          </w:p>
        </w:tc>
        <w:tc>
          <w:tcPr>
            <w:tcW w:w="575" w:type="dxa"/>
          </w:tcPr>
          <w:p>
            <w:pPr>
              <w:pStyle w:val="TableParagraph"/>
              <w:ind w:left="109" w:right="93"/>
              <w:rPr>
                <w:sz w:val="17"/>
              </w:rPr>
            </w:pPr>
            <w:r>
              <w:rPr>
                <w:color w:val="231F20"/>
                <w:w w:val="105"/>
                <w:sz w:val="17"/>
              </w:rPr>
              <w:t>10.7</w:t>
            </w:r>
          </w:p>
        </w:tc>
        <w:tc>
          <w:tcPr>
            <w:tcW w:w="527" w:type="dxa"/>
          </w:tcPr>
          <w:p>
            <w:pPr>
              <w:pStyle w:val="TableParagraph"/>
              <w:ind w:left="112"/>
              <w:jc w:val="left"/>
              <w:rPr>
                <w:sz w:val="17"/>
              </w:rPr>
            </w:pPr>
            <w:r>
              <w:rPr>
                <w:color w:val="231F20"/>
                <w:sz w:val="17"/>
              </w:rPr>
              <w:t>100</w:t>
            </w:r>
          </w:p>
        </w:tc>
      </w:tr>
      <w:tr>
        <w:trPr>
          <w:trHeight w:val="210" w:hRule="exact"/>
        </w:trPr>
        <w:tc>
          <w:tcPr>
            <w:tcW w:w="1701" w:type="dxa"/>
          </w:tcPr>
          <w:p>
            <w:pPr>
              <w:pStyle w:val="TableParagraph"/>
              <w:ind w:left="35"/>
              <w:jc w:val="left"/>
              <w:rPr>
                <w:sz w:val="17"/>
              </w:rPr>
            </w:pPr>
            <w:r>
              <w:rPr>
                <w:color w:val="231F20"/>
                <w:w w:val="105"/>
                <w:sz w:val="17"/>
              </w:rPr>
              <w:t>Puebla</w:t>
            </w:r>
          </w:p>
        </w:tc>
        <w:tc>
          <w:tcPr>
            <w:tcW w:w="533" w:type="dxa"/>
          </w:tcPr>
          <w:p>
            <w:pPr>
              <w:pStyle w:val="TableParagraph"/>
              <w:ind w:left="149" w:right="110"/>
              <w:rPr>
                <w:sz w:val="17"/>
              </w:rPr>
            </w:pPr>
            <w:r>
              <w:rPr>
                <w:color w:val="231F20"/>
                <w:w w:val="105"/>
                <w:sz w:val="17"/>
              </w:rPr>
              <w:t>2.4</w:t>
            </w:r>
          </w:p>
        </w:tc>
        <w:tc>
          <w:tcPr>
            <w:tcW w:w="565" w:type="dxa"/>
          </w:tcPr>
          <w:p>
            <w:pPr>
              <w:pStyle w:val="TableParagraph"/>
              <w:ind w:left="176"/>
              <w:jc w:val="left"/>
              <w:rPr>
                <w:sz w:val="17"/>
              </w:rPr>
            </w:pPr>
            <w:r>
              <w:rPr>
                <w:color w:val="231F20"/>
                <w:w w:val="105"/>
                <w:sz w:val="17"/>
              </w:rPr>
              <w:t>7.9</w:t>
            </w:r>
          </w:p>
        </w:tc>
        <w:tc>
          <w:tcPr>
            <w:tcW w:w="540" w:type="dxa"/>
          </w:tcPr>
          <w:p>
            <w:pPr>
              <w:pStyle w:val="TableParagraph"/>
              <w:ind w:left="83" w:right="83"/>
              <w:rPr>
                <w:sz w:val="17"/>
              </w:rPr>
            </w:pPr>
            <w:r>
              <w:rPr>
                <w:color w:val="231F20"/>
                <w:w w:val="105"/>
                <w:sz w:val="17"/>
              </w:rPr>
              <w:t>11.7</w:t>
            </w:r>
          </w:p>
        </w:tc>
        <w:tc>
          <w:tcPr>
            <w:tcW w:w="540" w:type="dxa"/>
          </w:tcPr>
          <w:p>
            <w:pPr>
              <w:pStyle w:val="TableParagraph"/>
              <w:ind w:right="101"/>
              <w:jc w:val="right"/>
              <w:rPr>
                <w:sz w:val="17"/>
              </w:rPr>
            </w:pPr>
            <w:r>
              <w:rPr>
                <w:color w:val="231F20"/>
                <w:sz w:val="17"/>
              </w:rPr>
              <w:t>16.5</w:t>
            </w:r>
          </w:p>
        </w:tc>
        <w:tc>
          <w:tcPr>
            <w:tcW w:w="540" w:type="dxa"/>
          </w:tcPr>
          <w:p>
            <w:pPr>
              <w:pStyle w:val="TableParagraph"/>
              <w:ind w:left="83" w:right="83"/>
              <w:rPr>
                <w:sz w:val="17"/>
              </w:rPr>
            </w:pPr>
            <w:r>
              <w:rPr>
                <w:color w:val="231F20"/>
                <w:w w:val="105"/>
                <w:sz w:val="17"/>
              </w:rPr>
              <w:t>16.8</w:t>
            </w:r>
          </w:p>
        </w:tc>
        <w:tc>
          <w:tcPr>
            <w:tcW w:w="542" w:type="dxa"/>
          </w:tcPr>
          <w:p>
            <w:pPr>
              <w:pStyle w:val="TableParagraph"/>
              <w:ind w:left="103"/>
              <w:jc w:val="left"/>
              <w:rPr>
                <w:sz w:val="17"/>
              </w:rPr>
            </w:pPr>
            <w:r>
              <w:rPr>
                <w:color w:val="231F20"/>
                <w:w w:val="105"/>
                <w:sz w:val="17"/>
              </w:rPr>
              <w:t>13.9</w:t>
            </w:r>
          </w:p>
        </w:tc>
        <w:tc>
          <w:tcPr>
            <w:tcW w:w="564" w:type="dxa"/>
          </w:tcPr>
          <w:p>
            <w:pPr>
              <w:pStyle w:val="TableParagraph"/>
              <w:ind w:right="123"/>
              <w:jc w:val="right"/>
              <w:rPr>
                <w:sz w:val="17"/>
              </w:rPr>
            </w:pPr>
            <w:r>
              <w:rPr>
                <w:color w:val="231F20"/>
                <w:sz w:val="17"/>
              </w:rPr>
              <w:t>10.5</w:t>
            </w:r>
          </w:p>
        </w:tc>
        <w:tc>
          <w:tcPr>
            <w:tcW w:w="492" w:type="dxa"/>
          </w:tcPr>
          <w:p>
            <w:pPr>
              <w:pStyle w:val="TableParagraph"/>
              <w:ind w:left="125"/>
              <w:jc w:val="left"/>
              <w:rPr>
                <w:sz w:val="17"/>
              </w:rPr>
            </w:pPr>
            <w:r>
              <w:rPr>
                <w:color w:val="231F20"/>
                <w:w w:val="105"/>
                <w:sz w:val="17"/>
              </w:rPr>
              <w:t>7.5</w:t>
            </w:r>
          </w:p>
        </w:tc>
        <w:tc>
          <w:tcPr>
            <w:tcW w:w="575" w:type="dxa"/>
          </w:tcPr>
          <w:p>
            <w:pPr>
              <w:pStyle w:val="TableParagraph"/>
              <w:ind w:left="109" w:right="93"/>
              <w:rPr>
                <w:sz w:val="17"/>
              </w:rPr>
            </w:pPr>
            <w:r>
              <w:rPr>
                <w:color w:val="231F20"/>
                <w:w w:val="105"/>
                <w:sz w:val="17"/>
              </w:rPr>
              <w:t>12.7</w:t>
            </w:r>
          </w:p>
        </w:tc>
        <w:tc>
          <w:tcPr>
            <w:tcW w:w="527" w:type="dxa"/>
          </w:tcPr>
          <w:p>
            <w:pPr>
              <w:pStyle w:val="TableParagraph"/>
              <w:ind w:left="112"/>
              <w:jc w:val="left"/>
              <w:rPr>
                <w:sz w:val="17"/>
              </w:rPr>
            </w:pPr>
            <w:r>
              <w:rPr>
                <w:color w:val="231F20"/>
                <w:sz w:val="17"/>
              </w:rPr>
              <w:t>100</w:t>
            </w:r>
          </w:p>
        </w:tc>
      </w:tr>
      <w:tr>
        <w:trPr>
          <w:trHeight w:val="210" w:hRule="exact"/>
        </w:trPr>
        <w:tc>
          <w:tcPr>
            <w:tcW w:w="1701" w:type="dxa"/>
          </w:tcPr>
          <w:p>
            <w:pPr>
              <w:pStyle w:val="TableParagraph"/>
              <w:ind w:left="35"/>
              <w:jc w:val="left"/>
              <w:rPr>
                <w:sz w:val="17"/>
              </w:rPr>
            </w:pPr>
            <w:r>
              <w:rPr>
                <w:color w:val="231F20"/>
                <w:w w:val="110"/>
                <w:sz w:val="17"/>
              </w:rPr>
              <w:t>Querétaro</w:t>
            </w:r>
          </w:p>
        </w:tc>
        <w:tc>
          <w:tcPr>
            <w:tcW w:w="533" w:type="dxa"/>
          </w:tcPr>
          <w:p>
            <w:pPr>
              <w:pStyle w:val="TableParagraph"/>
              <w:ind w:left="149" w:right="110"/>
              <w:rPr>
                <w:sz w:val="17"/>
              </w:rPr>
            </w:pPr>
            <w:r>
              <w:rPr>
                <w:color w:val="231F20"/>
                <w:w w:val="105"/>
                <w:sz w:val="17"/>
              </w:rPr>
              <w:t>2.2</w:t>
            </w:r>
          </w:p>
        </w:tc>
        <w:tc>
          <w:tcPr>
            <w:tcW w:w="565" w:type="dxa"/>
          </w:tcPr>
          <w:p>
            <w:pPr>
              <w:pStyle w:val="TableParagraph"/>
              <w:ind w:left="176"/>
              <w:jc w:val="left"/>
              <w:rPr>
                <w:sz w:val="17"/>
              </w:rPr>
            </w:pPr>
            <w:r>
              <w:rPr>
                <w:color w:val="231F20"/>
                <w:w w:val="105"/>
                <w:sz w:val="17"/>
              </w:rPr>
              <w:t>7.8</w:t>
            </w:r>
          </w:p>
        </w:tc>
        <w:tc>
          <w:tcPr>
            <w:tcW w:w="540" w:type="dxa"/>
          </w:tcPr>
          <w:p>
            <w:pPr>
              <w:pStyle w:val="TableParagraph"/>
              <w:ind w:left="83" w:right="83"/>
              <w:rPr>
                <w:sz w:val="17"/>
              </w:rPr>
            </w:pPr>
            <w:r>
              <w:rPr>
                <w:color w:val="231F20"/>
                <w:w w:val="105"/>
                <w:sz w:val="17"/>
              </w:rPr>
              <w:t>12.1</w:t>
            </w:r>
          </w:p>
        </w:tc>
        <w:tc>
          <w:tcPr>
            <w:tcW w:w="540" w:type="dxa"/>
          </w:tcPr>
          <w:p>
            <w:pPr>
              <w:pStyle w:val="TableParagraph"/>
              <w:ind w:right="101"/>
              <w:jc w:val="right"/>
              <w:rPr>
                <w:sz w:val="17"/>
              </w:rPr>
            </w:pPr>
            <w:r>
              <w:rPr>
                <w:color w:val="231F20"/>
                <w:sz w:val="17"/>
              </w:rPr>
              <w:t>17.1</w:t>
            </w:r>
          </w:p>
        </w:tc>
        <w:tc>
          <w:tcPr>
            <w:tcW w:w="540" w:type="dxa"/>
          </w:tcPr>
          <w:p>
            <w:pPr>
              <w:pStyle w:val="TableParagraph"/>
              <w:ind w:left="83" w:right="83"/>
              <w:rPr>
                <w:sz w:val="17"/>
              </w:rPr>
            </w:pPr>
            <w:r>
              <w:rPr>
                <w:color w:val="231F20"/>
                <w:w w:val="105"/>
                <w:sz w:val="17"/>
              </w:rPr>
              <w:t>17.0</w:t>
            </w:r>
          </w:p>
        </w:tc>
        <w:tc>
          <w:tcPr>
            <w:tcW w:w="542" w:type="dxa"/>
          </w:tcPr>
          <w:p>
            <w:pPr>
              <w:pStyle w:val="TableParagraph"/>
              <w:ind w:left="103"/>
              <w:jc w:val="left"/>
              <w:rPr>
                <w:sz w:val="17"/>
              </w:rPr>
            </w:pPr>
            <w:r>
              <w:rPr>
                <w:color w:val="231F20"/>
                <w:w w:val="105"/>
                <w:sz w:val="17"/>
              </w:rPr>
              <w:t>13.4</w:t>
            </w:r>
          </w:p>
        </w:tc>
        <w:tc>
          <w:tcPr>
            <w:tcW w:w="564" w:type="dxa"/>
          </w:tcPr>
          <w:p>
            <w:pPr>
              <w:pStyle w:val="TableParagraph"/>
              <w:ind w:right="123"/>
              <w:jc w:val="right"/>
              <w:rPr>
                <w:sz w:val="17"/>
              </w:rPr>
            </w:pPr>
            <w:r>
              <w:rPr>
                <w:color w:val="231F20"/>
                <w:w w:val="105"/>
                <w:sz w:val="17"/>
              </w:rPr>
              <w:t>9.7</w:t>
            </w:r>
          </w:p>
        </w:tc>
        <w:tc>
          <w:tcPr>
            <w:tcW w:w="492" w:type="dxa"/>
          </w:tcPr>
          <w:p>
            <w:pPr>
              <w:pStyle w:val="TableParagraph"/>
              <w:ind w:left="125"/>
              <w:jc w:val="left"/>
              <w:rPr>
                <w:sz w:val="17"/>
              </w:rPr>
            </w:pPr>
            <w:r>
              <w:rPr>
                <w:color w:val="231F20"/>
                <w:w w:val="105"/>
                <w:sz w:val="17"/>
              </w:rPr>
              <w:t>7.1</w:t>
            </w:r>
          </w:p>
        </w:tc>
        <w:tc>
          <w:tcPr>
            <w:tcW w:w="575" w:type="dxa"/>
          </w:tcPr>
          <w:p>
            <w:pPr>
              <w:pStyle w:val="TableParagraph"/>
              <w:ind w:left="109" w:right="93"/>
              <w:rPr>
                <w:sz w:val="17"/>
              </w:rPr>
            </w:pPr>
            <w:r>
              <w:rPr>
                <w:color w:val="231F20"/>
                <w:w w:val="105"/>
                <w:sz w:val="17"/>
              </w:rPr>
              <w:t>13.6</w:t>
            </w:r>
          </w:p>
        </w:tc>
        <w:tc>
          <w:tcPr>
            <w:tcW w:w="527" w:type="dxa"/>
          </w:tcPr>
          <w:p>
            <w:pPr>
              <w:pStyle w:val="TableParagraph"/>
              <w:ind w:left="112"/>
              <w:jc w:val="left"/>
              <w:rPr>
                <w:sz w:val="17"/>
              </w:rPr>
            </w:pPr>
            <w:r>
              <w:rPr>
                <w:color w:val="231F20"/>
                <w:sz w:val="17"/>
              </w:rPr>
              <w:t>100</w:t>
            </w:r>
          </w:p>
        </w:tc>
      </w:tr>
      <w:tr>
        <w:trPr>
          <w:trHeight w:val="210" w:hRule="exact"/>
        </w:trPr>
        <w:tc>
          <w:tcPr>
            <w:tcW w:w="1701" w:type="dxa"/>
          </w:tcPr>
          <w:p>
            <w:pPr>
              <w:pStyle w:val="TableParagraph"/>
              <w:ind w:left="35"/>
              <w:jc w:val="left"/>
              <w:rPr>
                <w:sz w:val="17"/>
              </w:rPr>
            </w:pPr>
            <w:r>
              <w:rPr>
                <w:color w:val="231F20"/>
                <w:w w:val="110"/>
                <w:sz w:val="17"/>
              </w:rPr>
              <w:t>Quintana Roo</w:t>
            </w:r>
          </w:p>
        </w:tc>
        <w:tc>
          <w:tcPr>
            <w:tcW w:w="533" w:type="dxa"/>
          </w:tcPr>
          <w:p>
            <w:pPr>
              <w:pStyle w:val="TableParagraph"/>
              <w:ind w:left="149" w:right="110"/>
              <w:rPr>
                <w:sz w:val="17"/>
              </w:rPr>
            </w:pPr>
            <w:r>
              <w:rPr>
                <w:color w:val="231F20"/>
                <w:w w:val="105"/>
                <w:sz w:val="17"/>
              </w:rPr>
              <w:t>5.6</w:t>
            </w:r>
          </w:p>
        </w:tc>
        <w:tc>
          <w:tcPr>
            <w:tcW w:w="565" w:type="dxa"/>
          </w:tcPr>
          <w:p>
            <w:pPr>
              <w:pStyle w:val="TableParagraph"/>
              <w:ind w:left="128"/>
              <w:jc w:val="left"/>
              <w:rPr>
                <w:sz w:val="17"/>
              </w:rPr>
            </w:pPr>
            <w:r>
              <w:rPr>
                <w:color w:val="231F20"/>
                <w:w w:val="105"/>
                <w:sz w:val="17"/>
              </w:rPr>
              <w:t>10.7</w:t>
            </w:r>
          </w:p>
        </w:tc>
        <w:tc>
          <w:tcPr>
            <w:tcW w:w="540" w:type="dxa"/>
          </w:tcPr>
          <w:p>
            <w:pPr>
              <w:pStyle w:val="TableParagraph"/>
              <w:ind w:left="83" w:right="83"/>
              <w:rPr>
                <w:sz w:val="17"/>
              </w:rPr>
            </w:pPr>
            <w:r>
              <w:rPr>
                <w:color w:val="231F20"/>
                <w:w w:val="105"/>
                <w:sz w:val="17"/>
              </w:rPr>
              <w:t>15.6</w:t>
            </w:r>
          </w:p>
        </w:tc>
        <w:tc>
          <w:tcPr>
            <w:tcW w:w="540" w:type="dxa"/>
          </w:tcPr>
          <w:p>
            <w:pPr>
              <w:pStyle w:val="TableParagraph"/>
              <w:ind w:right="101"/>
              <w:jc w:val="right"/>
              <w:rPr>
                <w:sz w:val="17"/>
              </w:rPr>
            </w:pPr>
            <w:r>
              <w:rPr>
                <w:color w:val="231F20"/>
                <w:sz w:val="17"/>
              </w:rPr>
              <w:t>19.1</w:t>
            </w:r>
          </w:p>
        </w:tc>
        <w:tc>
          <w:tcPr>
            <w:tcW w:w="540" w:type="dxa"/>
          </w:tcPr>
          <w:p>
            <w:pPr>
              <w:pStyle w:val="TableParagraph"/>
              <w:ind w:left="83" w:right="83"/>
              <w:rPr>
                <w:sz w:val="17"/>
              </w:rPr>
            </w:pPr>
            <w:r>
              <w:rPr>
                <w:color w:val="231F20"/>
                <w:w w:val="105"/>
                <w:sz w:val="17"/>
              </w:rPr>
              <w:t>17.0</w:t>
            </w:r>
          </w:p>
        </w:tc>
        <w:tc>
          <w:tcPr>
            <w:tcW w:w="542" w:type="dxa"/>
          </w:tcPr>
          <w:p>
            <w:pPr>
              <w:pStyle w:val="TableParagraph"/>
              <w:ind w:left="103"/>
              <w:jc w:val="left"/>
              <w:rPr>
                <w:sz w:val="17"/>
              </w:rPr>
            </w:pPr>
            <w:r>
              <w:rPr>
                <w:color w:val="231F20"/>
                <w:w w:val="105"/>
                <w:sz w:val="17"/>
              </w:rPr>
              <w:t>12.1</w:t>
            </w:r>
          </w:p>
        </w:tc>
        <w:tc>
          <w:tcPr>
            <w:tcW w:w="564" w:type="dxa"/>
          </w:tcPr>
          <w:p>
            <w:pPr>
              <w:pStyle w:val="TableParagraph"/>
              <w:ind w:right="123"/>
              <w:jc w:val="right"/>
              <w:rPr>
                <w:sz w:val="17"/>
              </w:rPr>
            </w:pPr>
            <w:r>
              <w:rPr>
                <w:color w:val="231F20"/>
                <w:w w:val="105"/>
                <w:sz w:val="17"/>
              </w:rPr>
              <w:t>7.8</w:t>
            </w:r>
          </w:p>
        </w:tc>
        <w:tc>
          <w:tcPr>
            <w:tcW w:w="492" w:type="dxa"/>
          </w:tcPr>
          <w:p>
            <w:pPr>
              <w:pStyle w:val="TableParagraph"/>
              <w:ind w:left="125"/>
              <w:jc w:val="left"/>
              <w:rPr>
                <w:sz w:val="17"/>
              </w:rPr>
            </w:pPr>
            <w:r>
              <w:rPr>
                <w:color w:val="231F20"/>
                <w:w w:val="105"/>
                <w:sz w:val="17"/>
              </w:rPr>
              <w:t>5.0</w:t>
            </w:r>
          </w:p>
        </w:tc>
        <w:tc>
          <w:tcPr>
            <w:tcW w:w="575" w:type="dxa"/>
          </w:tcPr>
          <w:p>
            <w:pPr>
              <w:pStyle w:val="TableParagraph"/>
              <w:ind w:left="205" w:right="93"/>
              <w:rPr>
                <w:sz w:val="17"/>
              </w:rPr>
            </w:pPr>
            <w:r>
              <w:rPr>
                <w:color w:val="231F20"/>
                <w:w w:val="105"/>
                <w:sz w:val="17"/>
              </w:rPr>
              <w:t>7.0</w:t>
            </w:r>
          </w:p>
        </w:tc>
        <w:tc>
          <w:tcPr>
            <w:tcW w:w="527" w:type="dxa"/>
          </w:tcPr>
          <w:p>
            <w:pPr>
              <w:pStyle w:val="TableParagraph"/>
              <w:ind w:left="112"/>
              <w:jc w:val="left"/>
              <w:rPr>
                <w:sz w:val="17"/>
              </w:rPr>
            </w:pPr>
            <w:r>
              <w:rPr>
                <w:color w:val="231F20"/>
                <w:sz w:val="17"/>
              </w:rPr>
              <w:t>100</w:t>
            </w:r>
          </w:p>
        </w:tc>
      </w:tr>
      <w:tr>
        <w:trPr>
          <w:trHeight w:val="210" w:hRule="exact"/>
        </w:trPr>
        <w:tc>
          <w:tcPr>
            <w:tcW w:w="1701" w:type="dxa"/>
          </w:tcPr>
          <w:p>
            <w:pPr>
              <w:pStyle w:val="TableParagraph"/>
              <w:ind w:left="35"/>
              <w:jc w:val="left"/>
              <w:rPr>
                <w:sz w:val="17"/>
              </w:rPr>
            </w:pPr>
            <w:r>
              <w:rPr>
                <w:color w:val="231F20"/>
                <w:w w:val="110"/>
                <w:sz w:val="17"/>
              </w:rPr>
              <w:t>San Luis Potosí</w:t>
            </w:r>
          </w:p>
        </w:tc>
        <w:tc>
          <w:tcPr>
            <w:tcW w:w="533" w:type="dxa"/>
          </w:tcPr>
          <w:p>
            <w:pPr>
              <w:pStyle w:val="TableParagraph"/>
              <w:ind w:left="149" w:right="110"/>
              <w:rPr>
                <w:sz w:val="17"/>
              </w:rPr>
            </w:pPr>
            <w:r>
              <w:rPr>
                <w:color w:val="231F20"/>
                <w:w w:val="105"/>
                <w:sz w:val="17"/>
              </w:rPr>
              <w:t>3.1</w:t>
            </w:r>
          </w:p>
        </w:tc>
        <w:tc>
          <w:tcPr>
            <w:tcW w:w="565" w:type="dxa"/>
          </w:tcPr>
          <w:p>
            <w:pPr>
              <w:pStyle w:val="TableParagraph"/>
              <w:ind w:left="176"/>
              <w:jc w:val="left"/>
              <w:rPr>
                <w:sz w:val="17"/>
              </w:rPr>
            </w:pPr>
            <w:r>
              <w:rPr>
                <w:color w:val="231F20"/>
                <w:w w:val="105"/>
                <w:sz w:val="17"/>
              </w:rPr>
              <w:t>8.6</w:t>
            </w:r>
          </w:p>
        </w:tc>
        <w:tc>
          <w:tcPr>
            <w:tcW w:w="540" w:type="dxa"/>
          </w:tcPr>
          <w:p>
            <w:pPr>
              <w:pStyle w:val="TableParagraph"/>
              <w:ind w:left="83" w:right="83"/>
              <w:rPr>
                <w:sz w:val="17"/>
              </w:rPr>
            </w:pPr>
            <w:r>
              <w:rPr>
                <w:color w:val="231F20"/>
                <w:w w:val="105"/>
                <w:sz w:val="17"/>
              </w:rPr>
              <w:t>12.6</w:t>
            </w:r>
          </w:p>
        </w:tc>
        <w:tc>
          <w:tcPr>
            <w:tcW w:w="540" w:type="dxa"/>
          </w:tcPr>
          <w:p>
            <w:pPr>
              <w:pStyle w:val="TableParagraph"/>
              <w:ind w:right="101"/>
              <w:jc w:val="right"/>
              <w:rPr>
                <w:sz w:val="17"/>
              </w:rPr>
            </w:pPr>
            <w:r>
              <w:rPr>
                <w:color w:val="231F20"/>
                <w:sz w:val="17"/>
              </w:rPr>
              <w:t>16.2</w:t>
            </w:r>
          </w:p>
        </w:tc>
        <w:tc>
          <w:tcPr>
            <w:tcW w:w="540" w:type="dxa"/>
          </w:tcPr>
          <w:p>
            <w:pPr>
              <w:pStyle w:val="TableParagraph"/>
              <w:ind w:left="83" w:right="83"/>
              <w:rPr>
                <w:sz w:val="17"/>
              </w:rPr>
            </w:pPr>
            <w:r>
              <w:rPr>
                <w:color w:val="231F20"/>
                <w:w w:val="105"/>
                <w:sz w:val="17"/>
              </w:rPr>
              <w:t>16.3</w:t>
            </w:r>
          </w:p>
        </w:tc>
        <w:tc>
          <w:tcPr>
            <w:tcW w:w="542" w:type="dxa"/>
          </w:tcPr>
          <w:p>
            <w:pPr>
              <w:pStyle w:val="TableParagraph"/>
              <w:ind w:left="103"/>
              <w:jc w:val="left"/>
              <w:rPr>
                <w:sz w:val="17"/>
              </w:rPr>
            </w:pPr>
            <w:r>
              <w:rPr>
                <w:color w:val="231F20"/>
                <w:w w:val="105"/>
                <w:sz w:val="17"/>
              </w:rPr>
              <w:t>13.6</w:t>
            </w:r>
          </w:p>
        </w:tc>
        <w:tc>
          <w:tcPr>
            <w:tcW w:w="564" w:type="dxa"/>
          </w:tcPr>
          <w:p>
            <w:pPr>
              <w:pStyle w:val="TableParagraph"/>
              <w:ind w:right="123"/>
              <w:jc w:val="right"/>
              <w:rPr>
                <w:sz w:val="17"/>
              </w:rPr>
            </w:pPr>
            <w:r>
              <w:rPr>
                <w:color w:val="231F20"/>
                <w:sz w:val="17"/>
              </w:rPr>
              <w:t>10.1</w:t>
            </w:r>
          </w:p>
        </w:tc>
        <w:tc>
          <w:tcPr>
            <w:tcW w:w="492" w:type="dxa"/>
          </w:tcPr>
          <w:p>
            <w:pPr>
              <w:pStyle w:val="TableParagraph"/>
              <w:ind w:left="125"/>
              <w:jc w:val="left"/>
              <w:rPr>
                <w:sz w:val="17"/>
              </w:rPr>
            </w:pPr>
            <w:r>
              <w:rPr>
                <w:color w:val="231F20"/>
                <w:w w:val="105"/>
                <w:sz w:val="17"/>
              </w:rPr>
              <w:t>7.3</w:t>
            </w:r>
          </w:p>
        </w:tc>
        <w:tc>
          <w:tcPr>
            <w:tcW w:w="575" w:type="dxa"/>
          </w:tcPr>
          <w:p>
            <w:pPr>
              <w:pStyle w:val="TableParagraph"/>
              <w:ind w:left="109" w:right="93"/>
              <w:rPr>
                <w:sz w:val="17"/>
              </w:rPr>
            </w:pPr>
            <w:r>
              <w:rPr>
                <w:color w:val="231F20"/>
                <w:w w:val="105"/>
                <w:sz w:val="17"/>
              </w:rPr>
              <w:t>12.4</w:t>
            </w:r>
          </w:p>
        </w:tc>
        <w:tc>
          <w:tcPr>
            <w:tcW w:w="527" w:type="dxa"/>
          </w:tcPr>
          <w:p>
            <w:pPr>
              <w:pStyle w:val="TableParagraph"/>
              <w:ind w:left="112"/>
              <w:jc w:val="left"/>
              <w:rPr>
                <w:sz w:val="17"/>
              </w:rPr>
            </w:pPr>
            <w:r>
              <w:rPr>
                <w:color w:val="231F20"/>
                <w:sz w:val="17"/>
              </w:rPr>
              <w:t>100</w:t>
            </w:r>
          </w:p>
        </w:tc>
      </w:tr>
      <w:tr>
        <w:trPr>
          <w:trHeight w:val="210" w:hRule="exact"/>
        </w:trPr>
        <w:tc>
          <w:tcPr>
            <w:tcW w:w="1701" w:type="dxa"/>
          </w:tcPr>
          <w:p>
            <w:pPr>
              <w:pStyle w:val="TableParagraph"/>
              <w:ind w:left="35"/>
              <w:jc w:val="left"/>
              <w:rPr>
                <w:sz w:val="17"/>
              </w:rPr>
            </w:pPr>
            <w:r>
              <w:rPr>
                <w:color w:val="231F20"/>
                <w:w w:val="110"/>
                <w:sz w:val="17"/>
              </w:rPr>
              <w:t>Sinaloa</w:t>
            </w:r>
          </w:p>
        </w:tc>
        <w:tc>
          <w:tcPr>
            <w:tcW w:w="533" w:type="dxa"/>
          </w:tcPr>
          <w:p>
            <w:pPr>
              <w:pStyle w:val="TableParagraph"/>
              <w:ind w:left="149" w:right="110"/>
              <w:rPr>
                <w:sz w:val="17"/>
              </w:rPr>
            </w:pPr>
            <w:r>
              <w:rPr>
                <w:color w:val="231F20"/>
                <w:w w:val="105"/>
                <w:sz w:val="17"/>
              </w:rPr>
              <w:t>2.9</w:t>
            </w:r>
          </w:p>
        </w:tc>
        <w:tc>
          <w:tcPr>
            <w:tcW w:w="565" w:type="dxa"/>
          </w:tcPr>
          <w:p>
            <w:pPr>
              <w:pStyle w:val="TableParagraph"/>
              <w:ind w:left="176"/>
              <w:jc w:val="left"/>
              <w:rPr>
                <w:sz w:val="17"/>
              </w:rPr>
            </w:pPr>
            <w:r>
              <w:rPr>
                <w:color w:val="231F20"/>
                <w:w w:val="105"/>
                <w:sz w:val="17"/>
              </w:rPr>
              <w:t>7.1</w:t>
            </w:r>
          </w:p>
        </w:tc>
        <w:tc>
          <w:tcPr>
            <w:tcW w:w="540" w:type="dxa"/>
          </w:tcPr>
          <w:p>
            <w:pPr>
              <w:pStyle w:val="TableParagraph"/>
              <w:ind w:left="83" w:right="83"/>
              <w:rPr>
                <w:sz w:val="17"/>
              </w:rPr>
            </w:pPr>
            <w:r>
              <w:rPr>
                <w:color w:val="231F20"/>
                <w:w w:val="105"/>
                <w:sz w:val="17"/>
              </w:rPr>
              <w:t>12.7</w:t>
            </w:r>
          </w:p>
        </w:tc>
        <w:tc>
          <w:tcPr>
            <w:tcW w:w="540" w:type="dxa"/>
          </w:tcPr>
          <w:p>
            <w:pPr>
              <w:pStyle w:val="TableParagraph"/>
              <w:ind w:right="101"/>
              <w:jc w:val="right"/>
              <w:rPr>
                <w:sz w:val="17"/>
              </w:rPr>
            </w:pPr>
            <w:r>
              <w:rPr>
                <w:color w:val="231F20"/>
                <w:sz w:val="17"/>
              </w:rPr>
              <w:t>17.5</w:t>
            </w:r>
          </w:p>
        </w:tc>
        <w:tc>
          <w:tcPr>
            <w:tcW w:w="540" w:type="dxa"/>
          </w:tcPr>
          <w:p>
            <w:pPr>
              <w:pStyle w:val="TableParagraph"/>
              <w:ind w:left="83" w:right="83"/>
              <w:rPr>
                <w:sz w:val="17"/>
              </w:rPr>
            </w:pPr>
            <w:r>
              <w:rPr>
                <w:color w:val="231F20"/>
                <w:w w:val="105"/>
                <w:sz w:val="17"/>
              </w:rPr>
              <w:t>18.8</w:t>
            </w:r>
          </w:p>
        </w:tc>
        <w:tc>
          <w:tcPr>
            <w:tcW w:w="542" w:type="dxa"/>
          </w:tcPr>
          <w:p>
            <w:pPr>
              <w:pStyle w:val="TableParagraph"/>
              <w:ind w:left="103"/>
              <w:jc w:val="left"/>
              <w:rPr>
                <w:sz w:val="17"/>
              </w:rPr>
            </w:pPr>
            <w:r>
              <w:rPr>
                <w:color w:val="231F20"/>
                <w:w w:val="105"/>
                <w:sz w:val="17"/>
              </w:rPr>
              <w:t>14.9</w:t>
            </w:r>
          </w:p>
        </w:tc>
        <w:tc>
          <w:tcPr>
            <w:tcW w:w="564" w:type="dxa"/>
          </w:tcPr>
          <w:p>
            <w:pPr>
              <w:pStyle w:val="TableParagraph"/>
              <w:ind w:right="123"/>
              <w:jc w:val="right"/>
              <w:rPr>
                <w:sz w:val="17"/>
              </w:rPr>
            </w:pPr>
            <w:r>
              <w:rPr>
                <w:color w:val="231F20"/>
                <w:sz w:val="17"/>
              </w:rPr>
              <w:t>10.0</w:t>
            </w:r>
          </w:p>
        </w:tc>
        <w:tc>
          <w:tcPr>
            <w:tcW w:w="492" w:type="dxa"/>
          </w:tcPr>
          <w:p>
            <w:pPr>
              <w:pStyle w:val="TableParagraph"/>
              <w:ind w:left="125"/>
              <w:jc w:val="left"/>
              <w:rPr>
                <w:sz w:val="17"/>
              </w:rPr>
            </w:pPr>
            <w:r>
              <w:rPr>
                <w:color w:val="231F20"/>
                <w:w w:val="105"/>
                <w:sz w:val="17"/>
              </w:rPr>
              <w:t>6.4</w:t>
            </w:r>
          </w:p>
        </w:tc>
        <w:tc>
          <w:tcPr>
            <w:tcW w:w="575" w:type="dxa"/>
          </w:tcPr>
          <w:p>
            <w:pPr>
              <w:pStyle w:val="TableParagraph"/>
              <w:ind w:left="205" w:right="93"/>
              <w:rPr>
                <w:sz w:val="17"/>
              </w:rPr>
            </w:pPr>
            <w:r>
              <w:rPr>
                <w:color w:val="231F20"/>
                <w:w w:val="105"/>
                <w:sz w:val="17"/>
              </w:rPr>
              <w:t>9.7</w:t>
            </w:r>
          </w:p>
        </w:tc>
        <w:tc>
          <w:tcPr>
            <w:tcW w:w="527" w:type="dxa"/>
          </w:tcPr>
          <w:p>
            <w:pPr>
              <w:pStyle w:val="TableParagraph"/>
              <w:ind w:left="112"/>
              <w:jc w:val="left"/>
              <w:rPr>
                <w:sz w:val="17"/>
              </w:rPr>
            </w:pPr>
            <w:r>
              <w:rPr>
                <w:color w:val="231F20"/>
                <w:sz w:val="17"/>
              </w:rPr>
              <w:t>100</w:t>
            </w:r>
          </w:p>
        </w:tc>
      </w:tr>
      <w:tr>
        <w:trPr>
          <w:trHeight w:val="210" w:hRule="exact"/>
        </w:trPr>
        <w:tc>
          <w:tcPr>
            <w:tcW w:w="1701" w:type="dxa"/>
          </w:tcPr>
          <w:p>
            <w:pPr>
              <w:pStyle w:val="TableParagraph"/>
              <w:ind w:left="35"/>
              <w:jc w:val="left"/>
              <w:rPr>
                <w:sz w:val="17"/>
              </w:rPr>
            </w:pPr>
            <w:r>
              <w:rPr>
                <w:color w:val="231F20"/>
                <w:w w:val="110"/>
                <w:sz w:val="17"/>
              </w:rPr>
              <w:t>Sonora</w:t>
            </w:r>
          </w:p>
        </w:tc>
        <w:tc>
          <w:tcPr>
            <w:tcW w:w="533" w:type="dxa"/>
          </w:tcPr>
          <w:p>
            <w:pPr>
              <w:pStyle w:val="TableParagraph"/>
              <w:ind w:left="149" w:right="110"/>
              <w:rPr>
                <w:sz w:val="17"/>
              </w:rPr>
            </w:pPr>
            <w:r>
              <w:rPr>
                <w:color w:val="231F20"/>
                <w:w w:val="105"/>
                <w:sz w:val="17"/>
              </w:rPr>
              <w:t>3.7</w:t>
            </w:r>
          </w:p>
        </w:tc>
        <w:tc>
          <w:tcPr>
            <w:tcW w:w="565" w:type="dxa"/>
          </w:tcPr>
          <w:p>
            <w:pPr>
              <w:pStyle w:val="TableParagraph"/>
              <w:ind w:left="176"/>
              <w:jc w:val="left"/>
              <w:rPr>
                <w:sz w:val="17"/>
              </w:rPr>
            </w:pPr>
            <w:r>
              <w:rPr>
                <w:color w:val="231F20"/>
                <w:w w:val="105"/>
                <w:sz w:val="17"/>
              </w:rPr>
              <w:t>8.4</w:t>
            </w:r>
          </w:p>
        </w:tc>
        <w:tc>
          <w:tcPr>
            <w:tcW w:w="540" w:type="dxa"/>
          </w:tcPr>
          <w:p>
            <w:pPr>
              <w:pStyle w:val="TableParagraph"/>
              <w:ind w:left="83" w:right="83"/>
              <w:rPr>
                <w:sz w:val="17"/>
              </w:rPr>
            </w:pPr>
            <w:r>
              <w:rPr>
                <w:color w:val="231F20"/>
                <w:w w:val="105"/>
                <w:sz w:val="17"/>
              </w:rPr>
              <w:t>14.7</w:t>
            </w:r>
          </w:p>
        </w:tc>
        <w:tc>
          <w:tcPr>
            <w:tcW w:w="540" w:type="dxa"/>
          </w:tcPr>
          <w:p>
            <w:pPr>
              <w:pStyle w:val="TableParagraph"/>
              <w:ind w:right="101"/>
              <w:jc w:val="right"/>
              <w:rPr>
                <w:sz w:val="17"/>
              </w:rPr>
            </w:pPr>
            <w:r>
              <w:rPr>
                <w:color w:val="231F20"/>
                <w:sz w:val="17"/>
              </w:rPr>
              <w:t>19.9</w:t>
            </w:r>
          </w:p>
        </w:tc>
        <w:tc>
          <w:tcPr>
            <w:tcW w:w="540" w:type="dxa"/>
          </w:tcPr>
          <w:p>
            <w:pPr>
              <w:pStyle w:val="TableParagraph"/>
              <w:ind w:left="83" w:right="83"/>
              <w:rPr>
                <w:sz w:val="17"/>
              </w:rPr>
            </w:pPr>
            <w:r>
              <w:rPr>
                <w:color w:val="231F20"/>
                <w:w w:val="105"/>
                <w:sz w:val="17"/>
              </w:rPr>
              <w:t>19.9</w:t>
            </w:r>
          </w:p>
        </w:tc>
        <w:tc>
          <w:tcPr>
            <w:tcW w:w="542" w:type="dxa"/>
          </w:tcPr>
          <w:p>
            <w:pPr>
              <w:pStyle w:val="TableParagraph"/>
              <w:ind w:left="103"/>
              <w:jc w:val="left"/>
              <w:rPr>
                <w:sz w:val="17"/>
              </w:rPr>
            </w:pPr>
            <w:r>
              <w:rPr>
                <w:color w:val="231F20"/>
                <w:w w:val="105"/>
                <w:sz w:val="17"/>
              </w:rPr>
              <w:t>14.0</w:t>
            </w:r>
          </w:p>
        </w:tc>
        <w:tc>
          <w:tcPr>
            <w:tcW w:w="564" w:type="dxa"/>
          </w:tcPr>
          <w:p>
            <w:pPr>
              <w:pStyle w:val="TableParagraph"/>
              <w:ind w:right="123"/>
              <w:jc w:val="right"/>
              <w:rPr>
                <w:sz w:val="17"/>
              </w:rPr>
            </w:pPr>
            <w:r>
              <w:rPr>
                <w:color w:val="231F20"/>
                <w:w w:val="105"/>
                <w:sz w:val="17"/>
              </w:rPr>
              <w:t>8.4</w:t>
            </w:r>
          </w:p>
        </w:tc>
        <w:tc>
          <w:tcPr>
            <w:tcW w:w="492" w:type="dxa"/>
          </w:tcPr>
          <w:p>
            <w:pPr>
              <w:pStyle w:val="TableParagraph"/>
              <w:ind w:left="125"/>
              <w:jc w:val="left"/>
              <w:rPr>
                <w:sz w:val="17"/>
              </w:rPr>
            </w:pPr>
            <w:r>
              <w:rPr>
                <w:color w:val="231F20"/>
                <w:w w:val="105"/>
                <w:sz w:val="17"/>
              </w:rPr>
              <w:t>4.8</w:t>
            </w:r>
          </w:p>
        </w:tc>
        <w:tc>
          <w:tcPr>
            <w:tcW w:w="575" w:type="dxa"/>
          </w:tcPr>
          <w:p>
            <w:pPr>
              <w:pStyle w:val="TableParagraph"/>
              <w:ind w:left="205" w:right="93"/>
              <w:rPr>
                <w:sz w:val="17"/>
              </w:rPr>
            </w:pPr>
            <w:r>
              <w:rPr>
                <w:color w:val="231F20"/>
                <w:w w:val="105"/>
                <w:sz w:val="17"/>
              </w:rPr>
              <w:t>6.1</w:t>
            </w:r>
          </w:p>
        </w:tc>
        <w:tc>
          <w:tcPr>
            <w:tcW w:w="527" w:type="dxa"/>
          </w:tcPr>
          <w:p>
            <w:pPr>
              <w:pStyle w:val="TableParagraph"/>
              <w:ind w:left="112"/>
              <w:jc w:val="left"/>
              <w:rPr>
                <w:sz w:val="17"/>
              </w:rPr>
            </w:pPr>
            <w:r>
              <w:rPr>
                <w:color w:val="231F20"/>
                <w:sz w:val="17"/>
              </w:rPr>
              <w:t>100</w:t>
            </w:r>
          </w:p>
        </w:tc>
      </w:tr>
      <w:tr>
        <w:trPr>
          <w:trHeight w:val="210" w:hRule="exact"/>
        </w:trPr>
        <w:tc>
          <w:tcPr>
            <w:tcW w:w="1701" w:type="dxa"/>
          </w:tcPr>
          <w:p>
            <w:pPr>
              <w:pStyle w:val="TableParagraph"/>
              <w:ind w:left="35"/>
              <w:jc w:val="left"/>
              <w:rPr>
                <w:sz w:val="17"/>
              </w:rPr>
            </w:pPr>
            <w:r>
              <w:rPr>
                <w:color w:val="231F20"/>
                <w:w w:val="110"/>
                <w:sz w:val="17"/>
              </w:rPr>
              <w:t>Tabasco</w:t>
            </w:r>
          </w:p>
        </w:tc>
        <w:tc>
          <w:tcPr>
            <w:tcW w:w="533" w:type="dxa"/>
          </w:tcPr>
          <w:p>
            <w:pPr>
              <w:pStyle w:val="TableParagraph"/>
              <w:ind w:left="149" w:right="110"/>
              <w:rPr>
                <w:sz w:val="17"/>
              </w:rPr>
            </w:pPr>
            <w:r>
              <w:rPr>
                <w:color w:val="231F20"/>
                <w:w w:val="105"/>
                <w:sz w:val="17"/>
              </w:rPr>
              <w:t>2.8</w:t>
            </w:r>
          </w:p>
        </w:tc>
        <w:tc>
          <w:tcPr>
            <w:tcW w:w="565" w:type="dxa"/>
          </w:tcPr>
          <w:p>
            <w:pPr>
              <w:pStyle w:val="TableParagraph"/>
              <w:ind w:left="176"/>
              <w:jc w:val="left"/>
              <w:rPr>
                <w:sz w:val="17"/>
              </w:rPr>
            </w:pPr>
            <w:r>
              <w:rPr>
                <w:color w:val="231F20"/>
                <w:w w:val="105"/>
                <w:sz w:val="17"/>
              </w:rPr>
              <w:t>7.4</w:t>
            </w:r>
          </w:p>
        </w:tc>
        <w:tc>
          <w:tcPr>
            <w:tcW w:w="540" w:type="dxa"/>
          </w:tcPr>
          <w:p>
            <w:pPr>
              <w:pStyle w:val="TableParagraph"/>
              <w:ind w:left="83" w:right="83"/>
              <w:rPr>
                <w:sz w:val="17"/>
              </w:rPr>
            </w:pPr>
            <w:r>
              <w:rPr>
                <w:color w:val="231F20"/>
                <w:w w:val="105"/>
                <w:sz w:val="17"/>
              </w:rPr>
              <w:t>12.9</w:t>
            </w:r>
          </w:p>
        </w:tc>
        <w:tc>
          <w:tcPr>
            <w:tcW w:w="540" w:type="dxa"/>
          </w:tcPr>
          <w:p>
            <w:pPr>
              <w:pStyle w:val="TableParagraph"/>
              <w:ind w:right="101"/>
              <w:jc w:val="right"/>
              <w:rPr>
                <w:sz w:val="17"/>
              </w:rPr>
            </w:pPr>
            <w:r>
              <w:rPr>
                <w:color w:val="231F20"/>
                <w:sz w:val="17"/>
              </w:rPr>
              <w:t>17.3</w:t>
            </w:r>
          </w:p>
        </w:tc>
        <w:tc>
          <w:tcPr>
            <w:tcW w:w="540" w:type="dxa"/>
          </w:tcPr>
          <w:p>
            <w:pPr>
              <w:pStyle w:val="TableParagraph"/>
              <w:ind w:left="83" w:right="83"/>
              <w:rPr>
                <w:sz w:val="17"/>
              </w:rPr>
            </w:pPr>
            <w:r>
              <w:rPr>
                <w:color w:val="231F20"/>
                <w:w w:val="105"/>
                <w:sz w:val="17"/>
              </w:rPr>
              <w:t>17.7</w:t>
            </w:r>
          </w:p>
        </w:tc>
        <w:tc>
          <w:tcPr>
            <w:tcW w:w="542" w:type="dxa"/>
          </w:tcPr>
          <w:p>
            <w:pPr>
              <w:pStyle w:val="TableParagraph"/>
              <w:ind w:left="103"/>
              <w:jc w:val="left"/>
              <w:rPr>
                <w:sz w:val="17"/>
              </w:rPr>
            </w:pPr>
            <w:r>
              <w:rPr>
                <w:color w:val="231F20"/>
                <w:w w:val="105"/>
                <w:sz w:val="17"/>
              </w:rPr>
              <w:t>14.1</w:t>
            </w:r>
          </w:p>
        </w:tc>
        <w:tc>
          <w:tcPr>
            <w:tcW w:w="564" w:type="dxa"/>
          </w:tcPr>
          <w:p>
            <w:pPr>
              <w:pStyle w:val="TableParagraph"/>
              <w:ind w:right="123"/>
              <w:jc w:val="right"/>
              <w:rPr>
                <w:sz w:val="17"/>
              </w:rPr>
            </w:pPr>
            <w:r>
              <w:rPr>
                <w:color w:val="231F20"/>
                <w:sz w:val="17"/>
              </w:rPr>
              <w:t>10.0</w:t>
            </w:r>
          </w:p>
        </w:tc>
        <w:tc>
          <w:tcPr>
            <w:tcW w:w="492" w:type="dxa"/>
          </w:tcPr>
          <w:p>
            <w:pPr>
              <w:pStyle w:val="TableParagraph"/>
              <w:ind w:left="125"/>
              <w:jc w:val="left"/>
              <w:rPr>
                <w:sz w:val="17"/>
              </w:rPr>
            </w:pPr>
            <w:r>
              <w:rPr>
                <w:color w:val="231F20"/>
                <w:w w:val="105"/>
                <w:sz w:val="17"/>
              </w:rPr>
              <w:t>6.8</w:t>
            </w:r>
          </w:p>
        </w:tc>
        <w:tc>
          <w:tcPr>
            <w:tcW w:w="575" w:type="dxa"/>
          </w:tcPr>
          <w:p>
            <w:pPr>
              <w:pStyle w:val="TableParagraph"/>
              <w:ind w:left="109" w:right="93"/>
              <w:rPr>
                <w:sz w:val="17"/>
              </w:rPr>
            </w:pPr>
            <w:r>
              <w:rPr>
                <w:color w:val="231F20"/>
                <w:w w:val="105"/>
                <w:sz w:val="17"/>
              </w:rPr>
              <w:t>11.1</w:t>
            </w:r>
          </w:p>
        </w:tc>
        <w:tc>
          <w:tcPr>
            <w:tcW w:w="527" w:type="dxa"/>
          </w:tcPr>
          <w:p>
            <w:pPr>
              <w:pStyle w:val="TableParagraph"/>
              <w:ind w:left="112"/>
              <w:jc w:val="left"/>
              <w:rPr>
                <w:sz w:val="17"/>
              </w:rPr>
            </w:pPr>
            <w:r>
              <w:rPr>
                <w:color w:val="231F20"/>
                <w:sz w:val="17"/>
              </w:rPr>
              <w:t>100</w:t>
            </w:r>
          </w:p>
        </w:tc>
      </w:tr>
      <w:tr>
        <w:trPr>
          <w:trHeight w:val="210" w:hRule="exact"/>
        </w:trPr>
        <w:tc>
          <w:tcPr>
            <w:tcW w:w="1701" w:type="dxa"/>
          </w:tcPr>
          <w:p>
            <w:pPr>
              <w:pStyle w:val="TableParagraph"/>
              <w:ind w:left="35"/>
              <w:jc w:val="left"/>
              <w:rPr>
                <w:sz w:val="17"/>
              </w:rPr>
            </w:pPr>
            <w:r>
              <w:rPr>
                <w:color w:val="231F20"/>
                <w:w w:val="110"/>
                <w:sz w:val="17"/>
              </w:rPr>
              <w:t>Tamaulipas</w:t>
            </w:r>
          </w:p>
        </w:tc>
        <w:tc>
          <w:tcPr>
            <w:tcW w:w="533" w:type="dxa"/>
          </w:tcPr>
          <w:p>
            <w:pPr>
              <w:pStyle w:val="TableParagraph"/>
              <w:ind w:left="149" w:right="110"/>
              <w:rPr>
                <w:sz w:val="17"/>
              </w:rPr>
            </w:pPr>
            <w:r>
              <w:rPr>
                <w:color w:val="231F20"/>
                <w:w w:val="105"/>
                <w:sz w:val="17"/>
              </w:rPr>
              <w:t>4.2</w:t>
            </w:r>
          </w:p>
        </w:tc>
        <w:tc>
          <w:tcPr>
            <w:tcW w:w="565" w:type="dxa"/>
          </w:tcPr>
          <w:p>
            <w:pPr>
              <w:pStyle w:val="TableParagraph"/>
              <w:ind w:left="128"/>
              <w:jc w:val="left"/>
              <w:rPr>
                <w:sz w:val="17"/>
              </w:rPr>
            </w:pPr>
            <w:r>
              <w:rPr>
                <w:color w:val="231F20"/>
                <w:w w:val="105"/>
                <w:sz w:val="17"/>
              </w:rPr>
              <w:t>10.3</w:t>
            </w:r>
          </w:p>
        </w:tc>
        <w:tc>
          <w:tcPr>
            <w:tcW w:w="540" w:type="dxa"/>
          </w:tcPr>
          <w:p>
            <w:pPr>
              <w:pStyle w:val="TableParagraph"/>
              <w:ind w:left="83" w:right="83"/>
              <w:rPr>
                <w:sz w:val="17"/>
              </w:rPr>
            </w:pPr>
            <w:r>
              <w:rPr>
                <w:color w:val="231F20"/>
                <w:w w:val="105"/>
                <w:sz w:val="17"/>
              </w:rPr>
              <w:t>16.0</w:t>
            </w:r>
          </w:p>
        </w:tc>
        <w:tc>
          <w:tcPr>
            <w:tcW w:w="540" w:type="dxa"/>
          </w:tcPr>
          <w:p>
            <w:pPr>
              <w:pStyle w:val="TableParagraph"/>
              <w:ind w:right="101"/>
              <w:jc w:val="right"/>
              <w:rPr>
                <w:sz w:val="17"/>
              </w:rPr>
            </w:pPr>
            <w:r>
              <w:rPr>
                <w:color w:val="231F20"/>
                <w:sz w:val="17"/>
              </w:rPr>
              <w:t>20.3</w:t>
            </w:r>
          </w:p>
        </w:tc>
        <w:tc>
          <w:tcPr>
            <w:tcW w:w="540" w:type="dxa"/>
          </w:tcPr>
          <w:p>
            <w:pPr>
              <w:pStyle w:val="TableParagraph"/>
              <w:ind w:left="83" w:right="83"/>
              <w:rPr>
                <w:sz w:val="17"/>
              </w:rPr>
            </w:pPr>
            <w:r>
              <w:rPr>
                <w:color w:val="231F20"/>
                <w:w w:val="105"/>
                <w:sz w:val="17"/>
              </w:rPr>
              <w:t>18.7</w:t>
            </w:r>
          </w:p>
        </w:tc>
        <w:tc>
          <w:tcPr>
            <w:tcW w:w="542" w:type="dxa"/>
          </w:tcPr>
          <w:p>
            <w:pPr>
              <w:pStyle w:val="TableParagraph"/>
              <w:ind w:left="103"/>
              <w:jc w:val="left"/>
              <w:rPr>
                <w:sz w:val="17"/>
              </w:rPr>
            </w:pPr>
            <w:r>
              <w:rPr>
                <w:color w:val="231F20"/>
                <w:w w:val="105"/>
                <w:sz w:val="17"/>
              </w:rPr>
              <w:t>12.7</w:t>
            </w:r>
          </w:p>
        </w:tc>
        <w:tc>
          <w:tcPr>
            <w:tcW w:w="564" w:type="dxa"/>
          </w:tcPr>
          <w:p>
            <w:pPr>
              <w:pStyle w:val="TableParagraph"/>
              <w:ind w:right="123"/>
              <w:jc w:val="right"/>
              <w:rPr>
                <w:sz w:val="17"/>
              </w:rPr>
            </w:pPr>
            <w:r>
              <w:rPr>
                <w:color w:val="231F20"/>
                <w:w w:val="105"/>
                <w:sz w:val="17"/>
              </w:rPr>
              <w:t>7.6</w:t>
            </w:r>
          </w:p>
        </w:tc>
        <w:tc>
          <w:tcPr>
            <w:tcW w:w="492" w:type="dxa"/>
          </w:tcPr>
          <w:p>
            <w:pPr>
              <w:pStyle w:val="TableParagraph"/>
              <w:ind w:left="125"/>
              <w:jc w:val="left"/>
              <w:rPr>
                <w:sz w:val="17"/>
              </w:rPr>
            </w:pPr>
            <w:r>
              <w:rPr>
                <w:color w:val="231F20"/>
                <w:w w:val="105"/>
                <w:sz w:val="17"/>
              </w:rPr>
              <w:t>4.6</w:t>
            </w:r>
          </w:p>
        </w:tc>
        <w:tc>
          <w:tcPr>
            <w:tcW w:w="575" w:type="dxa"/>
          </w:tcPr>
          <w:p>
            <w:pPr>
              <w:pStyle w:val="TableParagraph"/>
              <w:ind w:left="205" w:right="93"/>
              <w:rPr>
                <w:sz w:val="17"/>
              </w:rPr>
            </w:pPr>
            <w:r>
              <w:rPr>
                <w:color w:val="231F20"/>
                <w:w w:val="105"/>
                <w:sz w:val="17"/>
              </w:rPr>
              <w:t>5.8</w:t>
            </w:r>
          </w:p>
        </w:tc>
        <w:tc>
          <w:tcPr>
            <w:tcW w:w="527" w:type="dxa"/>
          </w:tcPr>
          <w:p>
            <w:pPr>
              <w:pStyle w:val="TableParagraph"/>
              <w:ind w:left="112"/>
              <w:jc w:val="left"/>
              <w:rPr>
                <w:sz w:val="17"/>
              </w:rPr>
            </w:pPr>
            <w:r>
              <w:rPr>
                <w:color w:val="231F20"/>
                <w:sz w:val="17"/>
              </w:rPr>
              <w:t>100</w:t>
            </w:r>
          </w:p>
        </w:tc>
      </w:tr>
      <w:tr>
        <w:trPr>
          <w:trHeight w:val="210" w:hRule="exact"/>
        </w:trPr>
        <w:tc>
          <w:tcPr>
            <w:tcW w:w="1701" w:type="dxa"/>
          </w:tcPr>
          <w:p>
            <w:pPr>
              <w:pStyle w:val="TableParagraph"/>
              <w:ind w:left="35"/>
              <w:jc w:val="left"/>
              <w:rPr>
                <w:sz w:val="17"/>
              </w:rPr>
            </w:pPr>
            <w:r>
              <w:rPr>
                <w:color w:val="231F20"/>
                <w:w w:val="110"/>
                <w:sz w:val="17"/>
              </w:rPr>
              <w:t>Tlaxcala</w:t>
            </w:r>
          </w:p>
        </w:tc>
        <w:tc>
          <w:tcPr>
            <w:tcW w:w="533" w:type="dxa"/>
          </w:tcPr>
          <w:p>
            <w:pPr>
              <w:pStyle w:val="TableParagraph"/>
              <w:ind w:left="149" w:right="110"/>
              <w:rPr>
                <w:sz w:val="17"/>
              </w:rPr>
            </w:pPr>
            <w:r>
              <w:rPr>
                <w:color w:val="231F20"/>
                <w:w w:val="105"/>
                <w:sz w:val="17"/>
              </w:rPr>
              <w:t>2.3</w:t>
            </w:r>
          </w:p>
        </w:tc>
        <w:tc>
          <w:tcPr>
            <w:tcW w:w="565" w:type="dxa"/>
          </w:tcPr>
          <w:p>
            <w:pPr>
              <w:pStyle w:val="TableParagraph"/>
              <w:ind w:left="176"/>
              <w:jc w:val="left"/>
              <w:rPr>
                <w:sz w:val="17"/>
              </w:rPr>
            </w:pPr>
            <w:r>
              <w:rPr>
                <w:color w:val="231F20"/>
                <w:w w:val="105"/>
                <w:sz w:val="17"/>
              </w:rPr>
              <w:t>7.0</w:t>
            </w:r>
          </w:p>
        </w:tc>
        <w:tc>
          <w:tcPr>
            <w:tcW w:w="540" w:type="dxa"/>
          </w:tcPr>
          <w:p>
            <w:pPr>
              <w:pStyle w:val="TableParagraph"/>
              <w:ind w:left="83" w:right="83"/>
              <w:rPr>
                <w:sz w:val="17"/>
              </w:rPr>
            </w:pPr>
            <w:r>
              <w:rPr>
                <w:color w:val="231F20"/>
                <w:w w:val="105"/>
                <w:sz w:val="17"/>
              </w:rPr>
              <w:t>10.9</w:t>
            </w:r>
          </w:p>
        </w:tc>
        <w:tc>
          <w:tcPr>
            <w:tcW w:w="540" w:type="dxa"/>
          </w:tcPr>
          <w:p>
            <w:pPr>
              <w:pStyle w:val="TableParagraph"/>
              <w:ind w:right="101"/>
              <w:jc w:val="right"/>
              <w:rPr>
                <w:sz w:val="17"/>
              </w:rPr>
            </w:pPr>
            <w:r>
              <w:rPr>
                <w:color w:val="231F20"/>
                <w:sz w:val="17"/>
              </w:rPr>
              <w:t>16.1</w:t>
            </w:r>
          </w:p>
        </w:tc>
        <w:tc>
          <w:tcPr>
            <w:tcW w:w="540" w:type="dxa"/>
          </w:tcPr>
          <w:p>
            <w:pPr>
              <w:pStyle w:val="TableParagraph"/>
              <w:ind w:left="83" w:right="83"/>
              <w:rPr>
                <w:sz w:val="17"/>
              </w:rPr>
            </w:pPr>
            <w:r>
              <w:rPr>
                <w:color w:val="231F20"/>
                <w:w w:val="105"/>
                <w:sz w:val="17"/>
              </w:rPr>
              <w:t>17.0</w:t>
            </w:r>
          </w:p>
        </w:tc>
        <w:tc>
          <w:tcPr>
            <w:tcW w:w="542" w:type="dxa"/>
          </w:tcPr>
          <w:p>
            <w:pPr>
              <w:pStyle w:val="TableParagraph"/>
              <w:ind w:left="103"/>
              <w:jc w:val="left"/>
              <w:rPr>
                <w:sz w:val="17"/>
              </w:rPr>
            </w:pPr>
            <w:r>
              <w:rPr>
                <w:color w:val="231F20"/>
                <w:w w:val="105"/>
                <w:sz w:val="17"/>
              </w:rPr>
              <w:t>14.6</w:t>
            </w:r>
          </w:p>
        </w:tc>
        <w:tc>
          <w:tcPr>
            <w:tcW w:w="564" w:type="dxa"/>
          </w:tcPr>
          <w:p>
            <w:pPr>
              <w:pStyle w:val="TableParagraph"/>
              <w:ind w:right="123"/>
              <w:jc w:val="right"/>
              <w:rPr>
                <w:sz w:val="17"/>
              </w:rPr>
            </w:pPr>
            <w:r>
              <w:rPr>
                <w:color w:val="231F20"/>
                <w:sz w:val="17"/>
              </w:rPr>
              <w:t>10.8</w:t>
            </w:r>
          </w:p>
        </w:tc>
        <w:tc>
          <w:tcPr>
            <w:tcW w:w="492" w:type="dxa"/>
          </w:tcPr>
          <w:p>
            <w:pPr>
              <w:pStyle w:val="TableParagraph"/>
              <w:ind w:left="125"/>
              <w:jc w:val="left"/>
              <w:rPr>
                <w:sz w:val="17"/>
              </w:rPr>
            </w:pPr>
            <w:r>
              <w:rPr>
                <w:color w:val="231F20"/>
                <w:w w:val="105"/>
                <w:sz w:val="17"/>
              </w:rPr>
              <w:t>7.7</w:t>
            </w:r>
          </w:p>
        </w:tc>
        <w:tc>
          <w:tcPr>
            <w:tcW w:w="575" w:type="dxa"/>
          </w:tcPr>
          <w:p>
            <w:pPr>
              <w:pStyle w:val="TableParagraph"/>
              <w:ind w:left="109" w:right="93"/>
              <w:rPr>
                <w:sz w:val="17"/>
              </w:rPr>
            </w:pPr>
            <w:r>
              <w:rPr>
                <w:color w:val="231F20"/>
                <w:w w:val="105"/>
                <w:sz w:val="17"/>
              </w:rPr>
              <w:t>13.6</w:t>
            </w:r>
          </w:p>
        </w:tc>
        <w:tc>
          <w:tcPr>
            <w:tcW w:w="527" w:type="dxa"/>
          </w:tcPr>
          <w:p>
            <w:pPr>
              <w:pStyle w:val="TableParagraph"/>
              <w:ind w:left="112"/>
              <w:jc w:val="left"/>
              <w:rPr>
                <w:sz w:val="17"/>
              </w:rPr>
            </w:pPr>
            <w:r>
              <w:rPr>
                <w:color w:val="231F20"/>
                <w:sz w:val="17"/>
              </w:rPr>
              <w:t>100</w:t>
            </w:r>
          </w:p>
        </w:tc>
      </w:tr>
      <w:tr>
        <w:trPr>
          <w:trHeight w:val="210" w:hRule="exact"/>
        </w:trPr>
        <w:tc>
          <w:tcPr>
            <w:tcW w:w="1701" w:type="dxa"/>
          </w:tcPr>
          <w:p>
            <w:pPr>
              <w:pStyle w:val="TableParagraph"/>
              <w:ind w:left="35"/>
              <w:jc w:val="left"/>
              <w:rPr>
                <w:sz w:val="17"/>
              </w:rPr>
            </w:pPr>
            <w:r>
              <w:rPr>
                <w:color w:val="231F20"/>
                <w:w w:val="110"/>
                <w:sz w:val="17"/>
              </w:rPr>
              <w:t>Veracruz</w:t>
            </w:r>
          </w:p>
        </w:tc>
        <w:tc>
          <w:tcPr>
            <w:tcW w:w="533" w:type="dxa"/>
          </w:tcPr>
          <w:p>
            <w:pPr>
              <w:pStyle w:val="TableParagraph"/>
              <w:ind w:left="149" w:right="110"/>
              <w:rPr>
                <w:sz w:val="17"/>
              </w:rPr>
            </w:pPr>
            <w:r>
              <w:rPr>
                <w:color w:val="231F20"/>
                <w:w w:val="105"/>
                <w:sz w:val="17"/>
              </w:rPr>
              <w:t>3.3</w:t>
            </w:r>
          </w:p>
        </w:tc>
        <w:tc>
          <w:tcPr>
            <w:tcW w:w="565" w:type="dxa"/>
          </w:tcPr>
          <w:p>
            <w:pPr>
              <w:pStyle w:val="TableParagraph"/>
              <w:ind w:left="176"/>
              <w:jc w:val="left"/>
              <w:rPr>
                <w:sz w:val="17"/>
              </w:rPr>
            </w:pPr>
            <w:r>
              <w:rPr>
                <w:color w:val="231F20"/>
                <w:w w:val="105"/>
                <w:sz w:val="17"/>
              </w:rPr>
              <w:t>8.6</w:t>
            </w:r>
          </w:p>
        </w:tc>
        <w:tc>
          <w:tcPr>
            <w:tcW w:w="540" w:type="dxa"/>
          </w:tcPr>
          <w:p>
            <w:pPr>
              <w:pStyle w:val="TableParagraph"/>
              <w:ind w:left="83" w:right="83"/>
              <w:rPr>
                <w:sz w:val="17"/>
              </w:rPr>
            </w:pPr>
            <w:r>
              <w:rPr>
                <w:color w:val="231F20"/>
                <w:w w:val="105"/>
                <w:sz w:val="17"/>
              </w:rPr>
              <w:t>14.1</w:t>
            </w:r>
          </w:p>
        </w:tc>
        <w:tc>
          <w:tcPr>
            <w:tcW w:w="540" w:type="dxa"/>
          </w:tcPr>
          <w:p>
            <w:pPr>
              <w:pStyle w:val="TableParagraph"/>
              <w:ind w:right="101"/>
              <w:jc w:val="right"/>
              <w:rPr>
                <w:sz w:val="17"/>
              </w:rPr>
            </w:pPr>
            <w:r>
              <w:rPr>
                <w:color w:val="231F20"/>
                <w:sz w:val="17"/>
              </w:rPr>
              <w:t>19.3</w:t>
            </w:r>
          </w:p>
        </w:tc>
        <w:tc>
          <w:tcPr>
            <w:tcW w:w="540" w:type="dxa"/>
          </w:tcPr>
          <w:p>
            <w:pPr>
              <w:pStyle w:val="TableParagraph"/>
              <w:ind w:left="83" w:right="83"/>
              <w:rPr>
                <w:sz w:val="17"/>
              </w:rPr>
            </w:pPr>
            <w:r>
              <w:rPr>
                <w:color w:val="231F20"/>
                <w:w w:val="105"/>
                <w:sz w:val="17"/>
              </w:rPr>
              <w:t>18.0</w:t>
            </w:r>
          </w:p>
        </w:tc>
        <w:tc>
          <w:tcPr>
            <w:tcW w:w="542" w:type="dxa"/>
          </w:tcPr>
          <w:p>
            <w:pPr>
              <w:pStyle w:val="TableParagraph"/>
              <w:ind w:left="103"/>
              <w:jc w:val="left"/>
              <w:rPr>
                <w:sz w:val="17"/>
              </w:rPr>
            </w:pPr>
            <w:r>
              <w:rPr>
                <w:color w:val="231F20"/>
                <w:w w:val="105"/>
                <w:sz w:val="17"/>
              </w:rPr>
              <w:t>13.1</w:t>
            </w:r>
          </w:p>
        </w:tc>
        <w:tc>
          <w:tcPr>
            <w:tcW w:w="564" w:type="dxa"/>
          </w:tcPr>
          <w:p>
            <w:pPr>
              <w:pStyle w:val="TableParagraph"/>
              <w:ind w:right="123"/>
              <w:jc w:val="right"/>
              <w:rPr>
                <w:sz w:val="17"/>
              </w:rPr>
            </w:pPr>
            <w:r>
              <w:rPr>
                <w:color w:val="231F20"/>
                <w:w w:val="105"/>
                <w:sz w:val="17"/>
              </w:rPr>
              <w:t>9.0</w:t>
            </w:r>
          </w:p>
        </w:tc>
        <w:tc>
          <w:tcPr>
            <w:tcW w:w="492" w:type="dxa"/>
          </w:tcPr>
          <w:p>
            <w:pPr>
              <w:pStyle w:val="TableParagraph"/>
              <w:ind w:left="125"/>
              <w:jc w:val="left"/>
              <w:rPr>
                <w:sz w:val="17"/>
              </w:rPr>
            </w:pPr>
            <w:r>
              <w:rPr>
                <w:color w:val="231F20"/>
                <w:w w:val="105"/>
                <w:sz w:val="17"/>
              </w:rPr>
              <w:t>5.9</w:t>
            </w:r>
          </w:p>
        </w:tc>
        <w:tc>
          <w:tcPr>
            <w:tcW w:w="575" w:type="dxa"/>
          </w:tcPr>
          <w:p>
            <w:pPr>
              <w:pStyle w:val="TableParagraph"/>
              <w:ind w:left="205" w:right="93"/>
              <w:rPr>
                <w:sz w:val="17"/>
              </w:rPr>
            </w:pPr>
            <w:r>
              <w:rPr>
                <w:color w:val="231F20"/>
                <w:w w:val="105"/>
                <w:sz w:val="17"/>
              </w:rPr>
              <w:t>8.6</w:t>
            </w:r>
          </w:p>
        </w:tc>
        <w:tc>
          <w:tcPr>
            <w:tcW w:w="527" w:type="dxa"/>
          </w:tcPr>
          <w:p>
            <w:pPr>
              <w:pStyle w:val="TableParagraph"/>
              <w:ind w:left="113"/>
              <w:jc w:val="left"/>
              <w:rPr>
                <w:sz w:val="17"/>
              </w:rPr>
            </w:pPr>
            <w:r>
              <w:rPr>
                <w:color w:val="231F20"/>
                <w:sz w:val="17"/>
              </w:rPr>
              <w:t>100</w:t>
            </w:r>
          </w:p>
        </w:tc>
      </w:tr>
      <w:tr>
        <w:trPr>
          <w:trHeight w:val="210" w:hRule="exact"/>
        </w:trPr>
        <w:tc>
          <w:tcPr>
            <w:tcW w:w="1701" w:type="dxa"/>
          </w:tcPr>
          <w:p>
            <w:pPr>
              <w:pStyle w:val="TableParagraph"/>
              <w:ind w:left="35"/>
              <w:jc w:val="left"/>
              <w:rPr>
                <w:sz w:val="17"/>
              </w:rPr>
            </w:pPr>
            <w:r>
              <w:rPr>
                <w:color w:val="231F20"/>
                <w:w w:val="110"/>
                <w:sz w:val="17"/>
              </w:rPr>
              <w:t>Yucatán</w:t>
            </w:r>
          </w:p>
        </w:tc>
        <w:tc>
          <w:tcPr>
            <w:tcW w:w="533" w:type="dxa"/>
          </w:tcPr>
          <w:p>
            <w:pPr>
              <w:pStyle w:val="TableParagraph"/>
              <w:ind w:left="149" w:right="110"/>
              <w:rPr>
                <w:sz w:val="17"/>
              </w:rPr>
            </w:pPr>
            <w:r>
              <w:rPr>
                <w:color w:val="231F20"/>
                <w:w w:val="105"/>
                <w:sz w:val="17"/>
              </w:rPr>
              <w:t>4.2</w:t>
            </w:r>
          </w:p>
        </w:tc>
        <w:tc>
          <w:tcPr>
            <w:tcW w:w="565" w:type="dxa"/>
          </w:tcPr>
          <w:p>
            <w:pPr>
              <w:pStyle w:val="TableParagraph"/>
              <w:ind w:left="128"/>
              <w:jc w:val="left"/>
              <w:rPr>
                <w:sz w:val="17"/>
              </w:rPr>
            </w:pPr>
            <w:r>
              <w:rPr>
                <w:color w:val="231F20"/>
                <w:w w:val="105"/>
                <w:sz w:val="17"/>
              </w:rPr>
              <w:t>10.0</w:t>
            </w:r>
          </w:p>
        </w:tc>
        <w:tc>
          <w:tcPr>
            <w:tcW w:w="540" w:type="dxa"/>
          </w:tcPr>
          <w:p>
            <w:pPr>
              <w:pStyle w:val="TableParagraph"/>
              <w:ind w:left="83" w:right="83"/>
              <w:rPr>
                <w:sz w:val="17"/>
              </w:rPr>
            </w:pPr>
            <w:r>
              <w:rPr>
                <w:color w:val="231F20"/>
                <w:w w:val="105"/>
                <w:sz w:val="17"/>
              </w:rPr>
              <w:t>12.8</w:t>
            </w:r>
          </w:p>
        </w:tc>
        <w:tc>
          <w:tcPr>
            <w:tcW w:w="540" w:type="dxa"/>
          </w:tcPr>
          <w:p>
            <w:pPr>
              <w:pStyle w:val="TableParagraph"/>
              <w:ind w:right="101"/>
              <w:jc w:val="right"/>
              <w:rPr>
                <w:sz w:val="17"/>
              </w:rPr>
            </w:pPr>
            <w:r>
              <w:rPr>
                <w:color w:val="231F20"/>
                <w:sz w:val="17"/>
              </w:rPr>
              <w:t>17.2</w:t>
            </w:r>
          </w:p>
        </w:tc>
        <w:tc>
          <w:tcPr>
            <w:tcW w:w="540" w:type="dxa"/>
          </w:tcPr>
          <w:p>
            <w:pPr>
              <w:pStyle w:val="TableParagraph"/>
              <w:ind w:left="83" w:right="83"/>
              <w:rPr>
                <w:sz w:val="17"/>
              </w:rPr>
            </w:pPr>
            <w:r>
              <w:rPr>
                <w:color w:val="231F20"/>
                <w:w w:val="105"/>
                <w:sz w:val="17"/>
              </w:rPr>
              <w:t>17.6</w:t>
            </w:r>
          </w:p>
        </w:tc>
        <w:tc>
          <w:tcPr>
            <w:tcW w:w="542" w:type="dxa"/>
          </w:tcPr>
          <w:p>
            <w:pPr>
              <w:pStyle w:val="TableParagraph"/>
              <w:ind w:left="103"/>
              <w:jc w:val="left"/>
              <w:rPr>
                <w:sz w:val="17"/>
              </w:rPr>
            </w:pPr>
            <w:r>
              <w:rPr>
                <w:color w:val="231F20"/>
                <w:w w:val="105"/>
                <w:sz w:val="17"/>
              </w:rPr>
              <w:t>13.5</w:t>
            </w:r>
          </w:p>
        </w:tc>
        <w:tc>
          <w:tcPr>
            <w:tcW w:w="564" w:type="dxa"/>
          </w:tcPr>
          <w:p>
            <w:pPr>
              <w:pStyle w:val="TableParagraph"/>
              <w:ind w:right="123"/>
              <w:jc w:val="right"/>
              <w:rPr>
                <w:sz w:val="17"/>
              </w:rPr>
            </w:pPr>
            <w:r>
              <w:rPr>
                <w:color w:val="231F20"/>
                <w:w w:val="105"/>
                <w:sz w:val="17"/>
              </w:rPr>
              <w:t>9.3</w:t>
            </w:r>
          </w:p>
        </w:tc>
        <w:tc>
          <w:tcPr>
            <w:tcW w:w="492" w:type="dxa"/>
          </w:tcPr>
          <w:p>
            <w:pPr>
              <w:pStyle w:val="TableParagraph"/>
              <w:ind w:left="125"/>
              <w:jc w:val="left"/>
              <w:rPr>
                <w:sz w:val="17"/>
              </w:rPr>
            </w:pPr>
            <w:r>
              <w:rPr>
                <w:color w:val="231F20"/>
                <w:w w:val="105"/>
                <w:sz w:val="17"/>
              </w:rPr>
              <w:t>6.1</w:t>
            </w:r>
          </w:p>
        </w:tc>
        <w:tc>
          <w:tcPr>
            <w:tcW w:w="575" w:type="dxa"/>
          </w:tcPr>
          <w:p>
            <w:pPr>
              <w:pStyle w:val="TableParagraph"/>
              <w:ind w:left="205" w:right="93"/>
              <w:rPr>
                <w:sz w:val="17"/>
              </w:rPr>
            </w:pPr>
            <w:r>
              <w:rPr>
                <w:color w:val="231F20"/>
                <w:w w:val="105"/>
                <w:sz w:val="17"/>
              </w:rPr>
              <w:t>9.3</w:t>
            </w:r>
          </w:p>
        </w:tc>
        <w:tc>
          <w:tcPr>
            <w:tcW w:w="527" w:type="dxa"/>
          </w:tcPr>
          <w:p>
            <w:pPr>
              <w:pStyle w:val="TableParagraph"/>
              <w:ind w:left="113"/>
              <w:jc w:val="left"/>
              <w:rPr>
                <w:sz w:val="17"/>
              </w:rPr>
            </w:pPr>
            <w:r>
              <w:rPr>
                <w:color w:val="231F20"/>
                <w:sz w:val="17"/>
              </w:rPr>
              <w:t>100</w:t>
            </w:r>
          </w:p>
        </w:tc>
      </w:tr>
      <w:tr>
        <w:trPr>
          <w:trHeight w:val="276" w:hRule="exact"/>
        </w:trPr>
        <w:tc>
          <w:tcPr>
            <w:tcW w:w="1701" w:type="dxa"/>
            <w:tcBorders>
              <w:bottom w:val="single" w:sz="3" w:space="0" w:color="231F20"/>
            </w:tcBorders>
          </w:tcPr>
          <w:p>
            <w:pPr>
              <w:pStyle w:val="TableParagraph"/>
              <w:ind w:left="35"/>
              <w:jc w:val="left"/>
              <w:rPr>
                <w:sz w:val="17"/>
              </w:rPr>
            </w:pPr>
            <w:r>
              <w:rPr>
                <w:color w:val="231F20"/>
                <w:w w:val="110"/>
                <w:sz w:val="17"/>
              </w:rPr>
              <w:t>Zacatecas</w:t>
            </w:r>
          </w:p>
        </w:tc>
        <w:tc>
          <w:tcPr>
            <w:tcW w:w="533" w:type="dxa"/>
            <w:tcBorders>
              <w:bottom w:val="single" w:sz="3" w:space="0" w:color="231F20"/>
            </w:tcBorders>
          </w:tcPr>
          <w:p>
            <w:pPr>
              <w:pStyle w:val="TableParagraph"/>
              <w:ind w:left="149" w:right="110"/>
              <w:rPr>
                <w:sz w:val="17"/>
              </w:rPr>
            </w:pPr>
            <w:r>
              <w:rPr>
                <w:color w:val="231F20"/>
                <w:w w:val="105"/>
                <w:sz w:val="17"/>
              </w:rPr>
              <w:t>2.5</w:t>
            </w:r>
          </w:p>
        </w:tc>
        <w:tc>
          <w:tcPr>
            <w:tcW w:w="565" w:type="dxa"/>
            <w:tcBorders>
              <w:bottom w:val="single" w:sz="3" w:space="0" w:color="231F20"/>
            </w:tcBorders>
          </w:tcPr>
          <w:p>
            <w:pPr>
              <w:pStyle w:val="TableParagraph"/>
              <w:ind w:left="176"/>
              <w:jc w:val="left"/>
              <w:rPr>
                <w:sz w:val="17"/>
              </w:rPr>
            </w:pPr>
            <w:r>
              <w:rPr>
                <w:color w:val="231F20"/>
                <w:w w:val="105"/>
                <w:sz w:val="17"/>
              </w:rPr>
              <w:t>9.5</w:t>
            </w:r>
          </w:p>
        </w:tc>
        <w:tc>
          <w:tcPr>
            <w:tcW w:w="540" w:type="dxa"/>
            <w:tcBorders>
              <w:bottom w:val="single" w:sz="3" w:space="0" w:color="231F20"/>
            </w:tcBorders>
          </w:tcPr>
          <w:p>
            <w:pPr>
              <w:pStyle w:val="TableParagraph"/>
              <w:ind w:left="83" w:right="83"/>
              <w:rPr>
                <w:sz w:val="17"/>
              </w:rPr>
            </w:pPr>
            <w:r>
              <w:rPr>
                <w:color w:val="231F20"/>
                <w:w w:val="105"/>
                <w:sz w:val="17"/>
              </w:rPr>
              <w:t>12.7</w:t>
            </w:r>
          </w:p>
        </w:tc>
        <w:tc>
          <w:tcPr>
            <w:tcW w:w="540" w:type="dxa"/>
            <w:tcBorders>
              <w:bottom w:val="single" w:sz="3" w:space="0" w:color="231F20"/>
            </w:tcBorders>
          </w:tcPr>
          <w:p>
            <w:pPr>
              <w:pStyle w:val="TableParagraph"/>
              <w:ind w:right="101"/>
              <w:jc w:val="right"/>
              <w:rPr>
                <w:sz w:val="17"/>
              </w:rPr>
            </w:pPr>
            <w:r>
              <w:rPr>
                <w:color w:val="231F20"/>
                <w:sz w:val="17"/>
              </w:rPr>
              <w:t>15.3</w:t>
            </w:r>
          </w:p>
        </w:tc>
        <w:tc>
          <w:tcPr>
            <w:tcW w:w="540" w:type="dxa"/>
            <w:tcBorders>
              <w:bottom w:val="single" w:sz="3" w:space="0" w:color="231F20"/>
            </w:tcBorders>
          </w:tcPr>
          <w:p>
            <w:pPr>
              <w:pStyle w:val="TableParagraph"/>
              <w:ind w:left="83" w:right="83"/>
              <w:rPr>
                <w:sz w:val="17"/>
              </w:rPr>
            </w:pPr>
            <w:r>
              <w:rPr>
                <w:color w:val="231F20"/>
                <w:w w:val="105"/>
                <w:sz w:val="17"/>
              </w:rPr>
              <w:t>15.0</w:t>
            </w:r>
          </w:p>
        </w:tc>
        <w:tc>
          <w:tcPr>
            <w:tcW w:w="542" w:type="dxa"/>
            <w:tcBorders>
              <w:bottom w:val="single" w:sz="3" w:space="0" w:color="231F20"/>
            </w:tcBorders>
          </w:tcPr>
          <w:p>
            <w:pPr>
              <w:pStyle w:val="TableParagraph"/>
              <w:ind w:left="103"/>
              <w:jc w:val="left"/>
              <w:rPr>
                <w:sz w:val="17"/>
              </w:rPr>
            </w:pPr>
            <w:r>
              <w:rPr>
                <w:color w:val="231F20"/>
                <w:w w:val="105"/>
                <w:sz w:val="17"/>
              </w:rPr>
              <w:t>12.6</w:t>
            </w:r>
          </w:p>
        </w:tc>
        <w:tc>
          <w:tcPr>
            <w:tcW w:w="564" w:type="dxa"/>
            <w:tcBorders>
              <w:bottom w:val="single" w:sz="3" w:space="0" w:color="231F20"/>
            </w:tcBorders>
          </w:tcPr>
          <w:p>
            <w:pPr>
              <w:pStyle w:val="TableParagraph"/>
              <w:ind w:right="123"/>
              <w:jc w:val="right"/>
              <w:rPr>
                <w:sz w:val="17"/>
              </w:rPr>
            </w:pPr>
            <w:r>
              <w:rPr>
                <w:color w:val="231F20"/>
                <w:sz w:val="17"/>
              </w:rPr>
              <w:t>10.0</w:t>
            </w:r>
          </w:p>
        </w:tc>
        <w:tc>
          <w:tcPr>
            <w:tcW w:w="492" w:type="dxa"/>
            <w:tcBorders>
              <w:bottom w:val="single" w:sz="3" w:space="0" w:color="231F20"/>
            </w:tcBorders>
          </w:tcPr>
          <w:p>
            <w:pPr>
              <w:pStyle w:val="TableParagraph"/>
              <w:ind w:left="125"/>
              <w:jc w:val="left"/>
              <w:rPr>
                <w:sz w:val="17"/>
              </w:rPr>
            </w:pPr>
            <w:r>
              <w:rPr>
                <w:color w:val="231F20"/>
                <w:w w:val="105"/>
                <w:sz w:val="17"/>
              </w:rPr>
              <w:t>7.6</w:t>
            </w:r>
          </w:p>
        </w:tc>
        <w:tc>
          <w:tcPr>
            <w:tcW w:w="575" w:type="dxa"/>
            <w:tcBorders>
              <w:bottom w:val="single" w:sz="3" w:space="0" w:color="231F20"/>
            </w:tcBorders>
          </w:tcPr>
          <w:p>
            <w:pPr>
              <w:pStyle w:val="TableParagraph"/>
              <w:ind w:left="109" w:right="93"/>
              <w:rPr>
                <w:sz w:val="17"/>
              </w:rPr>
            </w:pPr>
            <w:r>
              <w:rPr>
                <w:color w:val="231F20"/>
                <w:w w:val="105"/>
                <w:sz w:val="17"/>
              </w:rPr>
              <w:t>14.6</w:t>
            </w:r>
          </w:p>
        </w:tc>
        <w:tc>
          <w:tcPr>
            <w:tcW w:w="527" w:type="dxa"/>
            <w:tcBorders>
              <w:bottom w:val="single" w:sz="3" w:space="0" w:color="231F20"/>
            </w:tcBorders>
          </w:tcPr>
          <w:p>
            <w:pPr>
              <w:pStyle w:val="TableParagraph"/>
              <w:ind w:left="113"/>
              <w:jc w:val="left"/>
              <w:rPr>
                <w:sz w:val="17"/>
              </w:rPr>
            </w:pPr>
            <w:r>
              <w:rPr>
                <w:color w:val="231F20"/>
                <w:sz w:val="17"/>
              </w:rPr>
              <w:t>100</w:t>
            </w:r>
          </w:p>
        </w:tc>
      </w:tr>
    </w:tbl>
    <w:p>
      <w:pPr>
        <w:spacing w:before="63"/>
        <w:ind w:left="504" w:right="0" w:firstLine="0"/>
        <w:jc w:val="left"/>
        <w:rPr>
          <w:sz w:val="15"/>
        </w:rPr>
      </w:pPr>
      <w:r>
        <w:rPr>
          <w:color w:val="231F20"/>
          <w:w w:val="110"/>
          <w:sz w:val="15"/>
        </w:rPr>
        <w:t>Fuente: Elaboración propia con datos del Censo de Población y Vivienda de 2010, </w:t>
      </w:r>
      <w:r>
        <w:rPr>
          <w:rFonts w:ascii="Times New Roman" w:hAnsi="Times New Roman"/>
          <w:color w:val="231F20"/>
          <w:w w:val="110"/>
          <w:sz w:val="12"/>
        </w:rPr>
        <w:t>INEGI</w:t>
      </w:r>
      <w:r>
        <w:rPr>
          <w:color w:val="231F20"/>
          <w:w w:val="110"/>
          <w:sz w:val="15"/>
        </w:rPr>
        <w:t>,  2013.</w:t>
      </w:r>
    </w:p>
    <w:p>
      <w:pPr>
        <w:spacing w:after="0"/>
        <w:jc w:val="left"/>
        <w:rPr>
          <w:sz w:val="15"/>
        </w:rPr>
        <w:sectPr>
          <w:pgSz w:w="9520" w:h="12920"/>
          <w:pgMar w:header="0" w:footer="1344" w:top="880" w:bottom="1540" w:left="1300" w:right="880"/>
        </w:sectPr>
      </w:pPr>
    </w:p>
    <w:p>
      <w:pPr>
        <w:pStyle w:val="BodyText"/>
        <w:rPr>
          <w:rFonts w:ascii="Times New Roman"/>
        </w:rPr>
      </w:pPr>
    </w:p>
    <w:p>
      <w:pPr>
        <w:pStyle w:val="BodyText"/>
        <w:spacing w:before="1"/>
        <w:rPr>
          <w:rFonts w:ascii="Times New Roman"/>
          <w:sz w:val="27"/>
        </w:r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95"/>
        <w:gridCol w:w="711"/>
        <w:gridCol w:w="708"/>
        <w:gridCol w:w="705"/>
        <w:gridCol w:w="532"/>
        <w:gridCol w:w="899"/>
        <w:gridCol w:w="684"/>
        <w:gridCol w:w="699"/>
        <w:gridCol w:w="664"/>
        <w:gridCol w:w="719"/>
      </w:tblGrid>
      <w:tr>
        <w:trPr>
          <w:trHeight w:val="376" w:hRule="exact"/>
        </w:trPr>
        <w:tc>
          <w:tcPr>
            <w:tcW w:w="3351" w:type="dxa"/>
            <w:gridSpan w:val="5"/>
            <w:tcBorders>
              <w:top w:val="single" w:sz="3" w:space="0" w:color="231F20"/>
              <w:bottom w:val="single" w:sz="3" w:space="0" w:color="231F20"/>
            </w:tcBorders>
          </w:tcPr>
          <w:p>
            <w:pPr/>
          </w:p>
        </w:tc>
        <w:tc>
          <w:tcPr>
            <w:tcW w:w="899" w:type="dxa"/>
            <w:tcBorders>
              <w:top w:val="single" w:sz="3" w:space="0" w:color="231F20"/>
              <w:bottom w:val="single" w:sz="3" w:space="0" w:color="231F20"/>
            </w:tcBorders>
          </w:tcPr>
          <w:p>
            <w:pPr>
              <w:pStyle w:val="TableParagraph"/>
              <w:spacing w:line="240" w:lineRule="auto" w:before="97"/>
              <w:ind w:left="14"/>
              <w:jc w:val="left"/>
              <w:rPr>
                <w:i/>
                <w:sz w:val="17"/>
              </w:rPr>
            </w:pPr>
            <w:r>
              <w:rPr>
                <w:i/>
                <w:color w:val="231F20"/>
                <w:sz w:val="17"/>
              </w:rPr>
              <w:t>2010</w:t>
            </w:r>
          </w:p>
        </w:tc>
        <w:tc>
          <w:tcPr>
            <w:tcW w:w="2766" w:type="dxa"/>
            <w:gridSpan w:val="4"/>
            <w:tcBorders>
              <w:top w:val="single" w:sz="3" w:space="0" w:color="231F20"/>
              <w:bottom w:val="single" w:sz="3" w:space="0" w:color="231F20"/>
            </w:tcBorders>
          </w:tcPr>
          <w:p>
            <w:pPr/>
          </w:p>
        </w:tc>
      </w:tr>
      <w:tr>
        <w:trPr>
          <w:trHeight w:val="370" w:hRule="exact"/>
        </w:trPr>
        <w:tc>
          <w:tcPr>
            <w:tcW w:w="695" w:type="dxa"/>
            <w:tcBorders>
              <w:top w:val="single" w:sz="3" w:space="0" w:color="231F20"/>
              <w:bottom w:val="single" w:sz="3" w:space="0" w:color="231F20"/>
            </w:tcBorders>
          </w:tcPr>
          <w:p>
            <w:pPr>
              <w:pStyle w:val="TableParagraph"/>
              <w:spacing w:line="240" w:lineRule="auto" w:before="84"/>
              <w:ind w:left="9"/>
              <w:rPr>
                <w:i/>
                <w:sz w:val="17"/>
              </w:rPr>
            </w:pPr>
            <w:r>
              <w:rPr>
                <w:i/>
                <w:color w:val="231F20"/>
                <w:w w:val="96"/>
                <w:sz w:val="17"/>
              </w:rPr>
              <w:t>1</w:t>
            </w:r>
          </w:p>
        </w:tc>
        <w:tc>
          <w:tcPr>
            <w:tcW w:w="711" w:type="dxa"/>
            <w:tcBorders>
              <w:top w:val="single" w:sz="3" w:space="0" w:color="231F20"/>
              <w:bottom w:val="single" w:sz="3" w:space="0" w:color="231F20"/>
            </w:tcBorders>
          </w:tcPr>
          <w:p>
            <w:pPr>
              <w:pStyle w:val="TableParagraph"/>
              <w:spacing w:line="240" w:lineRule="auto" w:before="84"/>
              <w:ind w:left="3"/>
              <w:rPr>
                <w:i/>
                <w:sz w:val="17"/>
              </w:rPr>
            </w:pPr>
            <w:r>
              <w:rPr>
                <w:i/>
                <w:color w:val="231F20"/>
                <w:w w:val="96"/>
                <w:sz w:val="17"/>
              </w:rPr>
              <w:t>2</w:t>
            </w:r>
          </w:p>
        </w:tc>
        <w:tc>
          <w:tcPr>
            <w:tcW w:w="708" w:type="dxa"/>
            <w:tcBorders>
              <w:top w:val="single" w:sz="3" w:space="0" w:color="231F20"/>
              <w:bottom w:val="single" w:sz="3" w:space="0" w:color="231F20"/>
            </w:tcBorders>
          </w:tcPr>
          <w:p>
            <w:pPr>
              <w:pStyle w:val="TableParagraph"/>
              <w:spacing w:line="240" w:lineRule="auto" w:before="84"/>
              <w:rPr>
                <w:i/>
                <w:sz w:val="17"/>
              </w:rPr>
            </w:pPr>
            <w:r>
              <w:rPr>
                <w:i/>
                <w:color w:val="231F20"/>
                <w:w w:val="96"/>
                <w:sz w:val="17"/>
              </w:rPr>
              <w:t>3</w:t>
            </w:r>
          </w:p>
        </w:tc>
        <w:tc>
          <w:tcPr>
            <w:tcW w:w="705" w:type="dxa"/>
            <w:tcBorders>
              <w:top w:val="single" w:sz="3" w:space="0" w:color="231F20"/>
              <w:bottom w:val="single" w:sz="3" w:space="0" w:color="231F20"/>
            </w:tcBorders>
          </w:tcPr>
          <w:p>
            <w:pPr>
              <w:pStyle w:val="TableParagraph"/>
              <w:spacing w:line="240" w:lineRule="auto" w:before="84"/>
              <w:ind w:left="3"/>
              <w:rPr>
                <w:i/>
                <w:sz w:val="17"/>
              </w:rPr>
            </w:pPr>
            <w:r>
              <w:rPr>
                <w:i/>
                <w:color w:val="231F20"/>
                <w:w w:val="96"/>
                <w:sz w:val="17"/>
              </w:rPr>
              <w:t>4</w:t>
            </w:r>
          </w:p>
        </w:tc>
        <w:tc>
          <w:tcPr>
            <w:tcW w:w="532" w:type="dxa"/>
            <w:tcBorders>
              <w:top w:val="single" w:sz="3" w:space="0" w:color="231F20"/>
              <w:bottom w:val="single" w:sz="3" w:space="0" w:color="231F20"/>
            </w:tcBorders>
          </w:tcPr>
          <w:p>
            <w:pPr>
              <w:pStyle w:val="TableParagraph"/>
              <w:spacing w:line="240" w:lineRule="auto" w:before="84"/>
              <w:ind w:left="170"/>
              <w:rPr>
                <w:i/>
                <w:sz w:val="17"/>
              </w:rPr>
            </w:pPr>
            <w:r>
              <w:rPr>
                <w:i/>
                <w:color w:val="231F20"/>
                <w:w w:val="96"/>
                <w:sz w:val="17"/>
              </w:rPr>
              <w:t>5</w:t>
            </w:r>
          </w:p>
        </w:tc>
        <w:tc>
          <w:tcPr>
            <w:tcW w:w="899" w:type="dxa"/>
            <w:tcBorders>
              <w:top w:val="single" w:sz="3" w:space="0" w:color="231F20"/>
              <w:bottom w:val="single" w:sz="3" w:space="0" w:color="231F20"/>
            </w:tcBorders>
          </w:tcPr>
          <w:p>
            <w:pPr>
              <w:pStyle w:val="TableParagraph"/>
              <w:spacing w:line="240" w:lineRule="auto" w:before="84"/>
              <w:ind w:left="155"/>
              <w:rPr>
                <w:i/>
                <w:sz w:val="17"/>
              </w:rPr>
            </w:pPr>
            <w:r>
              <w:rPr>
                <w:i/>
                <w:color w:val="231F20"/>
                <w:w w:val="96"/>
                <w:sz w:val="17"/>
              </w:rPr>
              <w:t>6</w:t>
            </w:r>
          </w:p>
        </w:tc>
        <w:tc>
          <w:tcPr>
            <w:tcW w:w="684" w:type="dxa"/>
            <w:tcBorders>
              <w:top w:val="single" w:sz="3" w:space="0" w:color="231F20"/>
              <w:bottom w:val="single" w:sz="3" w:space="0" w:color="231F20"/>
            </w:tcBorders>
          </w:tcPr>
          <w:p>
            <w:pPr>
              <w:pStyle w:val="TableParagraph"/>
              <w:spacing w:line="240" w:lineRule="auto" w:before="84"/>
              <w:ind w:right="9"/>
              <w:rPr>
                <w:i/>
                <w:sz w:val="17"/>
              </w:rPr>
            </w:pPr>
            <w:r>
              <w:rPr>
                <w:i/>
                <w:color w:val="231F20"/>
                <w:w w:val="96"/>
                <w:sz w:val="17"/>
              </w:rPr>
              <w:t>7</w:t>
            </w:r>
          </w:p>
        </w:tc>
        <w:tc>
          <w:tcPr>
            <w:tcW w:w="699" w:type="dxa"/>
            <w:tcBorders>
              <w:top w:val="single" w:sz="3" w:space="0" w:color="231F20"/>
              <w:bottom w:val="single" w:sz="3" w:space="0" w:color="231F20"/>
            </w:tcBorders>
          </w:tcPr>
          <w:p>
            <w:pPr>
              <w:pStyle w:val="TableParagraph"/>
              <w:spacing w:line="240" w:lineRule="auto" w:before="84"/>
              <w:rPr>
                <w:i/>
                <w:sz w:val="17"/>
              </w:rPr>
            </w:pPr>
            <w:r>
              <w:rPr>
                <w:i/>
                <w:color w:val="231F20"/>
                <w:w w:val="96"/>
                <w:sz w:val="17"/>
              </w:rPr>
              <w:t>8</w:t>
            </w:r>
          </w:p>
        </w:tc>
        <w:tc>
          <w:tcPr>
            <w:tcW w:w="664" w:type="dxa"/>
            <w:tcBorders>
              <w:top w:val="single" w:sz="3" w:space="0" w:color="231F20"/>
              <w:bottom w:val="single" w:sz="3" w:space="0" w:color="231F20"/>
            </w:tcBorders>
          </w:tcPr>
          <w:p>
            <w:pPr>
              <w:pStyle w:val="TableParagraph"/>
              <w:spacing w:line="240" w:lineRule="auto" w:before="84"/>
              <w:ind w:right="197"/>
              <w:jc w:val="right"/>
              <w:rPr>
                <w:i/>
                <w:sz w:val="17"/>
              </w:rPr>
            </w:pPr>
            <w:r>
              <w:rPr>
                <w:i/>
                <w:color w:val="231F20"/>
                <w:w w:val="125"/>
                <w:sz w:val="17"/>
              </w:rPr>
              <w:t>9+</w:t>
            </w:r>
          </w:p>
        </w:tc>
        <w:tc>
          <w:tcPr>
            <w:tcW w:w="719" w:type="dxa"/>
            <w:tcBorders>
              <w:top w:val="single" w:sz="3" w:space="0" w:color="231F20"/>
              <w:bottom w:val="single" w:sz="3" w:space="0" w:color="231F20"/>
            </w:tcBorders>
          </w:tcPr>
          <w:p>
            <w:pPr>
              <w:pStyle w:val="TableParagraph"/>
              <w:spacing w:line="240" w:lineRule="auto" w:before="84"/>
              <w:ind w:left="173" w:right="127"/>
              <w:rPr>
                <w:i/>
                <w:sz w:val="17"/>
              </w:rPr>
            </w:pPr>
            <w:r>
              <w:rPr>
                <w:i/>
                <w:color w:val="231F20"/>
                <w:sz w:val="17"/>
              </w:rPr>
              <w:t>Total</w:t>
            </w:r>
          </w:p>
        </w:tc>
      </w:tr>
      <w:tr>
        <w:trPr>
          <w:trHeight w:val="303" w:hRule="exact"/>
        </w:trPr>
        <w:tc>
          <w:tcPr>
            <w:tcW w:w="695" w:type="dxa"/>
            <w:tcBorders>
              <w:top w:val="single" w:sz="3" w:space="0" w:color="231F20"/>
            </w:tcBorders>
          </w:tcPr>
          <w:p>
            <w:pPr>
              <w:pStyle w:val="TableParagraph"/>
              <w:spacing w:line="240" w:lineRule="auto" w:before="84"/>
              <w:ind w:right="188"/>
              <w:jc w:val="right"/>
              <w:rPr>
                <w:sz w:val="17"/>
              </w:rPr>
            </w:pPr>
            <w:r>
              <w:rPr>
                <w:color w:val="231F20"/>
                <w:w w:val="105"/>
                <w:sz w:val="17"/>
              </w:rPr>
              <w:t>6.3</w:t>
            </w:r>
          </w:p>
        </w:tc>
        <w:tc>
          <w:tcPr>
            <w:tcW w:w="711" w:type="dxa"/>
            <w:tcBorders>
              <w:top w:val="single" w:sz="3" w:space="0" w:color="231F20"/>
            </w:tcBorders>
          </w:tcPr>
          <w:p>
            <w:pPr>
              <w:pStyle w:val="TableParagraph"/>
              <w:spacing w:line="240" w:lineRule="auto" w:before="84"/>
              <w:ind w:left="170" w:right="167"/>
              <w:rPr>
                <w:sz w:val="17"/>
              </w:rPr>
            </w:pPr>
            <w:r>
              <w:rPr>
                <w:color w:val="231F20"/>
                <w:w w:val="105"/>
                <w:sz w:val="17"/>
              </w:rPr>
              <w:t>13.4</w:t>
            </w:r>
          </w:p>
        </w:tc>
        <w:tc>
          <w:tcPr>
            <w:tcW w:w="708" w:type="dxa"/>
            <w:tcBorders>
              <w:top w:val="single" w:sz="3" w:space="0" w:color="231F20"/>
            </w:tcBorders>
          </w:tcPr>
          <w:p>
            <w:pPr>
              <w:pStyle w:val="TableParagraph"/>
              <w:spacing w:line="240" w:lineRule="auto" w:before="84"/>
              <w:ind w:left="167" w:right="167"/>
              <w:rPr>
                <w:sz w:val="17"/>
              </w:rPr>
            </w:pPr>
            <w:r>
              <w:rPr>
                <w:color w:val="231F20"/>
                <w:w w:val="105"/>
                <w:sz w:val="17"/>
              </w:rPr>
              <w:t>18.4</w:t>
            </w:r>
          </w:p>
        </w:tc>
        <w:tc>
          <w:tcPr>
            <w:tcW w:w="705" w:type="dxa"/>
            <w:tcBorders>
              <w:top w:val="single" w:sz="3" w:space="0" w:color="231F20"/>
            </w:tcBorders>
          </w:tcPr>
          <w:p>
            <w:pPr>
              <w:pStyle w:val="TableParagraph"/>
              <w:spacing w:line="240" w:lineRule="auto" w:before="84"/>
              <w:ind w:left="166" w:right="163"/>
              <w:rPr>
                <w:sz w:val="17"/>
              </w:rPr>
            </w:pPr>
            <w:r>
              <w:rPr>
                <w:color w:val="231F20"/>
                <w:w w:val="105"/>
                <w:sz w:val="17"/>
              </w:rPr>
              <w:t>25.1</w:t>
            </w:r>
          </w:p>
        </w:tc>
        <w:tc>
          <w:tcPr>
            <w:tcW w:w="532" w:type="dxa"/>
            <w:tcBorders>
              <w:top w:val="single" w:sz="3" w:space="0" w:color="231F20"/>
            </w:tcBorders>
          </w:tcPr>
          <w:p>
            <w:pPr>
              <w:pStyle w:val="TableParagraph"/>
              <w:spacing w:line="240" w:lineRule="auto" w:before="84"/>
              <w:ind w:left="170"/>
              <w:rPr>
                <w:sz w:val="17"/>
              </w:rPr>
            </w:pPr>
            <w:r>
              <w:rPr>
                <w:color w:val="231F20"/>
                <w:w w:val="105"/>
                <w:sz w:val="17"/>
              </w:rPr>
              <w:t>18.5</w:t>
            </w:r>
          </w:p>
        </w:tc>
        <w:tc>
          <w:tcPr>
            <w:tcW w:w="899" w:type="dxa"/>
            <w:tcBorders>
              <w:top w:val="single" w:sz="3" w:space="0" w:color="231F20"/>
            </w:tcBorders>
          </w:tcPr>
          <w:p>
            <w:pPr>
              <w:pStyle w:val="TableParagraph"/>
              <w:spacing w:line="240" w:lineRule="auto" w:before="84"/>
              <w:ind w:right="215"/>
              <w:jc w:val="right"/>
              <w:rPr>
                <w:sz w:val="17"/>
              </w:rPr>
            </w:pPr>
            <w:r>
              <w:rPr>
                <w:color w:val="231F20"/>
                <w:w w:val="105"/>
                <w:sz w:val="17"/>
              </w:rPr>
              <w:t>9.2</w:t>
            </w:r>
          </w:p>
        </w:tc>
        <w:tc>
          <w:tcPr>
            <w:tcW w:w="684" w:type="dxa"/>
            <w:tcBorders>
              <w:top w:val="single" w:sz="3" w:space="0" w:color="231F20"/>
            </w:tcBorders>
          </w:tcPr>
          <w:p>
            <w:pPr>
              <w:pStyle w:val="TableParagraph"/>
              <w:spacing w:line="240" w:lineRule="auto" w:before="84"/>
              <w:ind w:left="200" w:right="209"/>
              <w:rPr>
                <w:sz w:val="17"/>
              </w:rPr>
            </w:pPr>
            <w:r>
              <w:rPr>
                <w:color w:val="231F20"/>
                <w:w w:val="105"/>
                <w:sz w:val="17"/>
              </w:rPr>
              <w:t>4.2</w:t>
            </w:r>
          </w:p>
        </w:tc>
        <w:tc>
          <w:tcPr>
            <w:tcW w:w="699" w:type="dxa"/>
            <w:tcBorders>
              <w:top w:val="single" w:sz="3" w:space="0" w:color="231F20"/>
            </w:tcBorders>
          </w:tcPr>
          <w:p>
            <w:pPr>
              <w:pStyle w:val="TableParagraph"/>
              <w:spacing w:line="240" w:lineRule="auto" w:before="84"/>
              <w:ind w:left="211" w:right="211"/>
              <w:rPr>
                <w:sz w:val="17"/>
              </w:rPr>
            </w:pPr>
            <w:r>
              <w:rPr>
                <w:color w:val="231F20"/>
                <w:w w:val="105"/>
                <w:sz w:val="17"/>
              </w:rPr>
              <w:t>2.2</w:t>
            </w:r>
          </w:p>
        </w:tc>
        <w:tc>
          <w:tcPr>
            <w:tcW w:w="664" w:type="dxa"/>
            <w:tcBorders>
              <w:top w:val="single" w:sz="3" w:space="0" w:color="231F20"/>
            </w:tcBorders>
          </w:tcPr>
          <w:p>
            <w:pPr>
              <w:pStyle w:val="TableParagraph"/>
              <w:spacing w:line="240" w:lineRule="auto" w:before="84"/>
              <w:ind w:right="192"/>
              <w:jc w:val="right"/>
              <w:rPr>
                <w:sz w:val="17"/>
              </w:rPr>
            </w:pPr>
            <w:r>
              <w:rPr>
                <w:color w:val="231F20"/>
                <w:w w:val="105"/>
                <w:sz w:val="17"/>
              </w:rPr>
              <w:t>2.7</w:t>
            </w:r>
          </w:p>
        </w:tc>
        <w:tc>
          <w:tcPr>
            <w:tcW w:w="719" w:type="dxa"/>
            <w:tcBorders>
              <w:top w:val="single" w:sz="3" w:space="0" w:color="231F20"/>
            </w:tcBorders>
          </w:tcPr>
          <w:p>
            <w:pPr>
              <w:pStyle w:val="TableParagraph"/>
              <w:spacing w:line="240" w:lineRule="auto" w:before="84"/>
              <w:ind w:left="173" w:right="127"/>
              <w:rPr>
                <w:sz w:val="17"/>
              </w:rPr>
            </w:pPr>
            <w:r>
              <w:rPr>
                <w:color w:val="231F20"/>
                <w:sz w:val="17"/>
              </w:rPr>
              <w:t>100</w:t>
            </w:r>
          </w:p>
        </w:tc>
      </w:tr>
      <w:tr>
        <w:trPr>
          <w:trHeight w:val="210" w:hRule="exact"/>
        </w:trPr>
        <w:tc>
          <w:tcPr>
            <w:tcW w:w="695" w:type="dxa"/>
          </w:tcPr>
          <w:p>
            <w:pPr>
              <w:pStyle w:val="TableParagraph"/>
              <w:ind w:right="188"/>
              <w:jc w:val="right"/>
              <w:rPr>
                <w:sz w:val="17"/>
              </w:rPr>
            </w:pPr>
            <w:r>
              <w:rPr>
                <w:color w:val="231F20"/>
                <w:w w:val="105"/>
                <w:sz w:val="17"/>
              </w:rPr>
              <w:t>5.3</w:t>
            </w:r>
          </w:p>
        </w:tc>
        <w:tc>
          <w:tcPr>
            <w:tcW w:w="711" w:type="dxa"/>
          </w:tcPr>
          <w:p>
            <w:pPr>
              <w:pStyle w:val="TableParagraph"/>
              <w:ind w:left="170" w:right="167"/>
              <w:rPr>
                <w:sz w:val="17"/>
              </w:rPr>
            </w:pPr>
            <w:r>
              <w:rPr>
                <w:color w:val="231F20"/>
                <w:w w:val="105"/>
                <w:sz w:val="17"/>
              </w:rPr>
              <w:t>11.8</w:t>
            </w:r>
          </w:p>
        </w:tc>
        <w:tc>
          <w:tcPr>
            <w:tcW w:w="708" w:type="dxa"/>
          </w:tcPr>
          <w:p>
            <w:pPr>
              <w:pStyle w:val="TableParagraph"/>
              <w:ind w:left="167" w:right="167"/>
              <w:rPr>
                <w:sz w:val="17"/>
              </w:rPr>
            </w:pPr>
            <w:r>
              <w:rPr>
                <w:color w:val="231F20"/>
                <w:w w:val="105"/>
                <w:sz w:val="17"/>
              </w:rPr>
              <w:t>17.1</w:t>
            </w:r>
          </w:p>
        </w:tc>
        <w:tc>
          <w:tcPr>
            <w:tcW w:w="705" w:type="dxa"/>
          </w:tcPr>
          <w:p>
            <w:pPr>
              <w:pStyle w:val="TableParagraph"/>
              <w:ind w:left="166" w:right="163"/>
              <w:rPr>
                <w:sz w:val="17"/>
              </w:rPr>
            </w:pPr>
            <w:r>
              <w:rPr>
                <w:color w:val="231F20"/>
                <w:w w:val="105"/>
                <w:sz w:val="17"/>
              </w:rPr>
              <w:t>24.6</w:t>
            </w:r>
          </w:p>
        </w:tc>
        <w:tc>
          <w:tcPr>
            <w:tcW w:w="532" w:type="dxa"/>
          </w:tcPr>
          <w:p>
            <w:pPr>
              <w:pStyle w:val="TableParagraph"/>
              <w:ind w:left="170"/>
              <w:rPr>
                <w:sz w:val="17"/>
              </w:rPr>
            </w:pPr>
            <w:r>
              <w:rPr>
                <w:color w:val="231F20"/>
                <w:w w:val="105"/>
                <w:sz w:val="17"/>
              </w:rPr>
              <w:t>20.7</w:t>
            </w:r>
          </w:p>
        </w:tc>
        <w:tc>
          <w:tcPr>
            <w:tcW w:w="899" w:type="dxa"/>
          </w:tcPr>
          <w:p>
            <w:pPr>
              <w:pStyle w:val="TableParagraph"/>
              <w:ind w:right="215"/>
              <w:jc w:val="right"/>
              <w:rPr>
                <w:sz w:val="17"/>
              </w:rPr>
            </w:pPr>
            <w:r>
              <w:rPr>
                <w:color w:val="231F20"/>
                <w:sz w:val="17"/>
              </w:rPr>
              <w:t>10.6</w:t>
            </w:r>
          </w:p>
        </w:tc>
        <w:tc>
          <w:tcPr>
            <w:tcW w:w="684" w:type="dxa"/>
          </w:tcPr>
          <w:p>
            <w:pPr>
              <w:pStyle w:val="TableParagraph"/>
              <w:ind w:left="200" w:right="209"/>
              <w:rPr>
                <w:sz w:val="17"/>
              </w:rPr>
            </w:pPr>
            <w:r>
              <w:rPr>
                <w:color w:val="231F20"/>
                <w:w w:val="105"/>
                <w:sz w:val="17"/>
              </w:rPr>
              <w:t>4.8</w:t>
            </w:r>
          </w:p>
        </w:tc>
        <w:tc>
          <w:tcPr>
            <w:tcW w:w="699" w:type="dxa"/>
          </w:tcPr>
          <w:p>
            <w:pPr>
              <w:pStyle w:val="TableParagraph"/>
              <w:ind w:left="211" w:right="211"/>
              <w:rPr>
                <w:sz w:val="17"/>
              </w:rPr>
            </w:pPr>
            <w:r>
              <w:rPr>
                <w:color w:val="231F20"/>
                <w:w w:val="105"/>
                <w:sz w:val="17"/>
              </w:rPr>
              <w:t>2.3</w:t>
            </w:r>
          </w:p>
        </w:tc>
        <w:tc>
          <w:tcPr>
            <w:tcW w:w="664" w:type="dxa"/>
          </w:tcPr>
          <w:p>
            <w:pPr>
              <w:pStyle w:val="TableParagraph"/>
              <w:ind w:right="192"/>
              <w:jc w:val="right"/>
              <w:rPr>
                <w:sz w:val="17"/>
              </w:rPr>
            </w:pPr>
            <w:r>
              <w:rPr>
                <w:color w:val="231F20"/>
                <w:w w:val="105"/>
                <w:sz w:val="17"/>
              </w:rPr>
              <w:t>2.8</w:t>
            </w:r>
          </w:p>
        </w:tc>
        <w:tc>
          <w:tcPr>
            <w:tcW w:w="719" w:type="dxa"/>
          </w:tcPr>
          <w:p>
            <w:pPr>
              <w:pStyle w:val="TableParagraph"/>
              <w:ind w:left="173" w:right="127"/>
              <w:rPr>
                <w:sz w:val="17"/>
              </w:rPr>
            </w:pPr>
            <w:r>
              <w:rPr>
                <w:color w:val="231F20"/>
                <w:sz w:val="17"/>
              </w:rPr>
              <w:t>100</w:t>
            </w:r>
          </w:p>
        </w:tc>
      </w:tr>
      <w:tr>
        <w:trPr>
          <w:trHeight w:val="210" w:hRule="exact"/>
        </w:trPr>
        <w:tc>
          <w:tcPr>
            <w:tcW w:w="695" w:type="dxa"/>
          </w:tcPr>
          <w:p>
            <w:pPr>
              <w:pStyle w:val="TableParagraph"/>
              <w:ind w:right="188"/>
              <w:jc w:val="right"/>
              <w:rPr>
                <w:sz w:val="17"/>
              </w:rPr>
            </w:pPr>
            <w:r>
              <w:rPr>
                <w:color w:val="231F20"/>
                <w:sz w:val="17"/>
              </w:rPr>
              <w:t>11.0</w:t>
            </w:r>
          </w:p>
        </w:tc>
        <w:tc>
          <w:tcPr>
            <w:tcW w:w="711" w:type="dxa"/>
          </w:tcPr>
          <w:p>
            <w:pPr>
              <w:pStyle w:val="TableParagraph"/>
              <w:ind w:left="170" w:right="167"/>
              <w:rPr>
                <w:sz w:val="17"/>
              </w:rPr>
            </w:pPr>
            <w:r>
              <w:rPr>
                <w:color w:val="231F20"/>
                <w:w w:val="105"/>
                <w:sz w:val="17"/>
              </w:rPr>
              <w:t>14.8</w:t>
            </w:r>
          </w:p>
        </w:tc>
        <w:tc>
          <w:tcPr>
            <w:tcW w:w="708" w:type="dxa"/>
          </w:tcPr>
          <w:p>
            <w:pPr>
              <w:pStyle w:val="TableParagraph"/>
              <w:ind w:left="167" w:right="167"/>
              <w:rPr>
                <w:sz w:val="17"/>
              </w:rPr>
            </w:pPr>
            <w:r>
              <w:rPr>
                <w:color w:val="231F20"/>
                <w:w w:val="105"/>
                <w:sz w:val="17"/>
              </w:rPr>
              <w:t>19.2</w:t>
            </w:r>
          </w:p>
        </w:tc>
        <w:tc>
          <w:tcPr>
            <w:tcW w:w="705" w:type="dxa"/>
          </w:tcPr>
          <w:p>
            <w:pPr>
              <w:pStyle w:val="TableParagraph"/>
              <w:ind w:left="166" w:right="163"/>
              <w:rPr>
                <w:sz w:val="17"/>
              </w:rPr>
            </w:pPr>
            <w:r>
              <w:rPr>
                <w:color w:val="231F20"/>
                <w:w w:val="105"/>
                <w:sz w:val="17"/>
              </w:rPr>
              <w:t>25.1</w:t>
            </w:r>
          </w:p>
        </w:tc>
        <w:tc>
          <w:tcPr>
            <w:tcW w:w="532" w:type="dxa"/>
          </w:tcPr>
          <w:p>
            <w:pPr>
              <w:pStyle w:val="TableParagraph"/>
              <w:ind w:left="170"/>
              <w:rPr>
                <w:sz w:val="17"/>
              </w:rPr>
            </w:pPr>
            <w:r>
              <w:rPr>
                <w:color w:val="231F20"/>
                <w:w w:val="105"/>
                <w:sz w:val="17"/>
              </w:rPr>
              <w:t>17.3</w:t>
            </w:r>
          </w:p>
        </w:tc>
        <w:tc>
          <w:tcPr>
            <w:tcW w:w="899" w:type="dxa"/>
          </w:tcPr>
          <w:p>
            <w:pPr>
              <w:pStyle w:val="TableParagraph"/>
              <w:ind w:right="215"/>
              <w:jc w:val="right"/>
              <w:rPr>
                <w:sz w:val="17"/>
              </w:rPr>
            </w:pPr>
            <w:r>
              <w:rPr>
                <w:color w:val="231F20"/>
                <w:w w:val="105"/>
                <w:sz w:val="17"/>
              </w:rPr>
              <w:t>7.4</w:t>
            </w:r>
          </w:p>
        </w:tc>
        <w:tc>
          <w:tcPr>
            <w:tcW w:w="684" w:type="dxa"/>
          </w:tcPr>
          <w:p>
            <w:pPr>
              <w:pStyle w:val="TableParagraph"/>
              <w:ind w:left="200" w:right="209"/>
              <w:rPr>
                <w:sz w:val="17"/>
              </w:rPr>
            </w:pPr>
            <w:r>
              <w:rPr>
                <w:color w:val="231F20"/>
                <w:w w:val="105"/>
                <w:sz w:val="17"/>
              </w:rPr>
              <w:t>2.7</w:t>
            </w:r>
          </w:p>
        </w:tc>
        <w:tc>
          <w:tcPr>
            <w:tcW w:w="699" w:type="dxa"/>
          </w:tcPr>
          <w:p>
            <w:pPr>
              <w:pStyle w:val="TableParagraph"/>
              <w:ind w:left="211" w:right="211"/>
              <w:rPr>
                <w:sz w:val="17"/>
              </w:rPr>
            </w:pPr>
            <w:r>
              <w:rPr>
                <w:color w:val="231F20"/>
                <w:w w:val="105"/>
                <w:sz w:val="17"/>
              </w:rPr>
              <w:t>1.3</w:t>
            </w:r>
          </w:p>
        </w:tc>
        <w:tc>
          <w:tcPr>
            <w:tcW w:w="664" w:type="dxa"/>
          </w:tcPr>
          <w:p>
            <w:pPr>
              <w:pStyle w:val="TableParagraph"/>
              <w:ind w:right="192"/>
              <w:jc w:val="right"/>
              <w:rPr>
                <w:sz w:val="17"/>
              </w:rPr>
            </w:pPr>
            <w:r>
              <w:rPr>
                <w:color w:val="231F20"/>
                <w:w w:val="105"/>
                <w:sz w:val="17"/>
              </w:rPr>
              <w:t>1.2</w:t>
            </w:r>
          </w:p>
        </w:tc>
        <w:tc>
          <w:tcPr>
            <w:tcW w:w="719" w:type="dxa"/>
          </w:tcPr>
          <w:p>
            <w:pPr>
              <w:pStyle w:val="TableParagraph"/>
              <w:ind w:left="173" w:right="127"/>
              <w:rPr>
                <w:sz w:val="17"/>
              </w:rPr>
            </w:pPr>
            <w:r>
              <w:rPr>
                <w:color w:val="231F20"/>
                <w:sz w:val="17"/>
              </w:rPr>
              <w:t>100</w:t>
            </w:r>
          </w:p>
        </w:tc>
      </w:tr>
      <w:tr>
        <w:trPr>
          <w:trHeight w:val="210" w:hRule="exact"/>
        </w:trPr>
        <w:tc>
          <w:tcPr>
            <w:tcW w:w="695" w:type="dxa"/>
          </w:tcPr>
          <w:p>
            <w:pPr>
              <w:pStyle w:val="TableParagraph"/>
              <w:ind w:right="188"/>
              <w:jc w:val="right"/>
              <w:rPr>
                <w:sz w:val="17"/>
              </w:rPr>
            </w:pPr>
            <w:r>
              <w:rPr>
                <w:color w:val="231F20"/>
                <w:sz w:val="17"/>
              </w:rPr>
              <w:t>10.2</w:t>
            </w:r>
          </w:p>
        </w:tc>
        <w:tc>
          <w:tcPr>
            <w:tcW w:w="711" w:type="dxa"/>
          </w:tcPr>
          <w:p>
            <w:pPr>
              <w:pStyle w:val="TableParagraph"/>
              <w:ind w:left="170" w:right="167"/>
              <w:rPr>
                <w:sz w:val="17"/>
              </w:rPr>
            </w:pPr>
            <w:r>
              <w:rPr>
                <w:color w:val="231F20"/>
                <w:w w:val="105"/>
                <w:sz w:val="17"/>
              </w:rPr>
              <w:t>15.6</w:t>
            </w:r>
          </w:p>
        </w:tc>
        <w:tc>
          <w:tcPr>
            <w:tcW w:w="708" w:type="dxa"/>
          </w:tcPr>
          <w:p>
            <w:pPr>
              <w:pStyle w:val="TableParagraph"/>
              <w:ind w:left="167" w:right="167"/>
              <w:rPr>
                <w:sz w:val="17"/>
              </w:rPr>
            </w:pPr>
            <w:r>
              <w:rPr>
                <w:color w:val="231F20"/>
                <w:w w:val="105"/>
                <w:sz w:val="17"/>
              </w:rPr>
              <w:t>20.7</w:t>
            </w:r>
          </w:p>
        </w:tc>
        <w:tc>
          <w:tcPr>
            <w:tcW w:w="705" w:type="dxa"/>
          </w:tcPr>
          <w:p>
            <w:pPr>
              <w:pStyle w:val="TableParagraph"/>
              <w:ind w:left="166" w:right="163"/>
              <w:rPr>
                <w:sz w:val="17"/>
              </w:rPr>
            </w:pPr>
            <w:r>
              <w:rPr>
                <w:color w:val="231F20"/>
                <w:w w:val="105"/>
                <w:sz w:val="17"/>
              </w:rPr>
              <w:t>25.6</w:t>
            </w:r>
          </w:p>
        </w:tc>
        <w:tc>
          <w:tcPr>
            <w:tcW w:w="532" w:type="dxa"/>
          </w:tcPr>
          <w:p>
            <w:pPr>
              <w:pStyle w:val="TableParagraph"/>
              <w:ind w:left="170"/>
              <w:rPr>
                <w:sz w:val="17"/>
              </w:rPr>
            </w:pPr>
            <w:r>
              <w:rPr>
                <w:color w:val="231F20"/>
                <w:w w:val="105"/>
                <w:sz w:val="17"/>
              </w:rPr>
              <w:t>16.4</w:t>
            </w:r>
          </w:p>
        </w:tc>
        <w:tc>
          <w:tcPr>
            <w:tcW w:w="899" w:type="dxa"/>
          </w:tcPr>
          <w:p>
            <w:pPr>
              <w:pStyle w:val="TableParagraph"/>
              <w:ind w:right="215"/>
              <w:jc w:val="right"/>
              <w:rPr>
                <w:sz w:val="17"/>
              </w:rPr>
            </w:pPr>
            <w:r>
              <w:rPr>
                <w:color w:val="231F20"/>
                <w:w w:val="105"/>
                <w:sz w:val="17"/>
              </w:rPr>
              <w:t>6.7</w:t>
            </w:r>
          </w:p>
        </w:tc>
        <w:tc>
          <w:tcPr>
            <w:tcW w:w="684" w:type="dxa"/>
          </w:tcPr>
          <w:p>
            <w:pPr>
              <w:pStyle w:val="TableParagraph"/>
              <w:ind w:left="200" w:right="209"/>
              <w:rPr>
                <w:sz w:val="17"/>
              </w:rPr>
            </w:pPr>
            <w:r>
              <w:rPr>
                <w:color w:val="231F20"/>
                <w:w w:val="105"/>
                <w:sz w:val="17"/>
              </w:rPr>
              <w:t>2.4</w:t>
            </w:r>
          </w:p>
        </w:tc>
        <w:tc>
          <w:tcPr>
            <w:tcW w:w="699" w:type="dxa"/>
          </w:tcPr>
          <w:p>
            <w:pPr>
              <w:pStyle w:val="TableParagraph"/>
              <w:ind w:left="211" w:right="211"/>
              <w:rPr>
                <w:sz w:val="17"/>
              </w:rPr>
            </w:pPr>
            <w:r>
              <w:rPr>
                <w:color w:val="231F20"/>
                <w:w w:val="105"/>
                <w:sz w:val="17"/>
              </w:rPr>
              <w:t>1.2</w:t>
            </w:r>
          </w:p>
        </w:tc>
        <w:tc>
          <w:tcPr>
            <w:tcW w:w="664" w:type="dxa"/>
          </w:tcPr>
          <w:p>
            <w:pPr>
              <w:pStyle w:val="TableParagraph"/>
              <w:ind w:right="192"/>
              <w:jc w:val="right"/>
              <w:rPr>
                <w:sz w:val="17"/>
              </w:rPr>
            </w:pPr>
            <w:r>
              <w:rPr>
                <w:color w:val="231F20"/>
                <w:w w:val="105"/>
                <w:sz w:val="17"/>
              </w:rPr>
              <w:t>1.1</w:t>
            </w:r>
          </w:p>
        </w:tc>
        <w:tc>
          <w:tcPr>
            <w:tcW w:w="719" w:type="dxa"/>
          </w:tcPr>
          <w:p>
            <w:pPr>
              <w:pStyle w:val="TableParagraph"/>
              <w:ind w:left="173" w:right="127"/>
              <w:rPr>
                <w:sz w:val="17"/>
              </w:rPr>
            </w:pPr>
            <w:r>
              <w:rPr>
                <w:color w:val="231F20"/>
                <w:sz w:val="17"/>
              </w:rPr>
              <w:t>100</w:t>
            </w:r>
          </w:p>
        </w:tc>
      </w:tr>
      <w:tr>
        <w:trPr>
          <w:trHeight w:val="210" w:hRule="exact"/>
        </w:trPr>
        <w:tc>
          <w:tcPr>
            <w:tcW w:w="695" w:type="dxa"/>
          </w:tcPr>
          <w:p>
            <w:pPr>
              <w:pStyle w:val="TableParagraph"/>
              <w:ind w:right="188"/>
              <w:jc w:val="right"/>
              <w:rPr>
                <w:sz w:val="17"/>
              </w:rPr>
            </w:pPr>
            <w:r>
              <w:rPr>
                <w:color w:val="231F20"/>
                <w:w w:val="105"/>
                <w:sz w:val="17"/>
              </w:rPr>
              <w:t>7.6</w:t>
            </w:r>
          </w:p>
        </w:tc>
        <w:tc>
          <w:tcPr>
            <w:tcW w:w="711" w:type="dxa"/>
          </w:tcPr>
          <w:p>
            <w:pPr>
              <w:pStyle w:val="TableParagraph"/>
              <w:ind w:left="170" w:right="167"/>
              <w:rPr>
                <w:sz w:val="17"/>
              </w:rPr>
            </w:pPr>
            <w:r>
              <w:rPr>
                <w:color w:val="231F20"/>
                <w:w w:val="105"/>
                <w:sz w:val="17"/>
              </w:rPr>
              <w:t>14.0</w:t>
            </w:r>
          </w:p>
        </w:tc>
        <w:tc>
          <w:tcPr>
            <w:tcW w:w="708" w:type="dxa"/>
          </w:tcPr>
          <w:p>
            <w:pPr>
              <w:pStyle w:val="TableParagraph"/>
              <w:ind w:left="167" w:right="167"/>
              <w:rPr>
                <w:sz w:val="17"/>
              </w:rPr>
            </w:pPr>
            <w:r>
              <w:rPr>
                <w:color w:val="231F20"/>
                <w:w w:val="105"/>
                <w:sz w:val="17"/>
              </w:rPr>
              <w:t>19.0</w:t>
            </w:r>
          </w:p>
        </w:tc>
        <w:tc>
          <w:tcPr>
            <w:tcW w:w="705" w:type="dxa"/>
          </w:tcPr>
          <w:p>
            <w:pPr>
              <w:pStyle w:val="TableParagraph"/>
              <w:ind w:left="166" w:right="163"/>
              <w:rPr>
                <w:sz w:val="17"/>
              </w:rPr>
            </w:pPr>
            <w:r>
              <w:rPr>
                <w:color w:val="231F20"/>
                <w:w w:val="105"/>
                <w:sz w:val="17"/>
              </w:rPr>
              <w:t>24.9</w:t>
            </w:r>
          </w:p>
        </w:tc>
        <w:tc>
          <w:tcPr>
            <w:tcW w:w="532" w:type="dxa"/>
          </w:tcPr>
          <w:p>
            <w:pPr>
              <w:pStyle w:val="TableParagraph"/>
              <w:ind w:left="170"/>
              <w:rPr>
                <w:sz w:val="17"/>
              </w:rPr>
            </w:pPr>
            <w:r>
              <w:rPr>
                <w:color w:val="231F20"/>
                <w:w w:val="105"/>
                <w:sz w:val="17"/>
              </w:rPr>
              <w:t>17.8</w:t>
            </w:r>
          </w:p>
        </w:tc>
        <w:tc>
          <w:tcPr>
            <w:tcW w:w="899" w:type="dxa"/>
          </w:tcPr>
          <w:p>
            <w:pPr>
              <w:pStyle w:val="TableParagraph"/>
              <w:ind w:right="215"/>
              <w:jc w:val="right"/>
              <w:rPr>
                <w:sz w:val="17"/>
              </w:rPr>
            </w:pPr>
            <w:r>
              <w:rPr>
                <w:color w:val="231F20"/>
                <w:w w:val="105"/>
                <w:sz w:val="17"/>
              </w:rPr>
              <w:t>8.5</w:t>
            </w:r>
          </w:p>
        </w:tc>
        <w:tc>
          <w:tcPr>
            <w:tcW w:w="684" w:type="dxa"/>
          </w:tcPr>
          <w:p>
            <w:pPr>
              <w:pStyle w:val="TableParagraph"/>
              <w:ind w:left="200" w:right="209"/>
              <w:rPr>
                <w:sz w:val="17"/>
              </w:rPr>
            </w:pPr>
            <w:r>
              <w:rPr>
                <w:color w:val="231F20"/>
                <w:w w:val="105"/>
                <w:sz w:val="17"/>
              </w:rPr>
              <w:t>4.0</w:t>
            </w:r>
          </w:p>
        </w:tc>
        <w:tc>
          <w:tcPr>
            <w:tcW w:w="699" w:type="dxa"/>
          </w:tcPr>
          <w:p>
            <w:pPr>
              <w:pStyle w:val="TableParagraph"/>
              <w:ind w:left="211" w:right="211"/>
              <w:rPr>
                <w:sz w:val="17"/>
              </w:rPr>
            </w:pPr>
            <w:r>
              <w:rPr>
                <w:color w:val="231F20"/>
                <w:w w:val="105"/>
                <w:sz w:val="17"/>
              </w:rPr>
              <w:t>2.0</w:t>
            </w:r>
          </w:p>
        </w:tc>
        <w:tc>
          <w:tcPr>
            <w:tcW w:w="664" w:type="dxa"/>
          </w:tcPr>
          <w:p>
            <w:pPr>
              <w:pStyle w:val="TableParagraph"/>
              <w:ind w:right="192"/>
              <w:jc w:val="right"/>
              <w:rPr>
                <w:sz w:val="17"/>
              </w:rPr>
            </w:pPr>
            <w:r>
              <w:rPr>
                <w:color w:val="231F20"/>
                <w:w w:val="105"/>
                <w:sz w:val="17"/>
              </w:rPr>
              <w:t>2.3</w:t>
            </w:r>
          </w:p>
        </w:tc>
        <w:tc>
          <w:tcPr>
            <w:tcW w:w="719" w:type="dxa"/>
          </w:tcPr>
          <w:p>
            <w:pPr>
              <w:pStyle w:val="TableParagraph"/>
              <w:ind w:left="173" w:right="127"/>
              <w:rPr>
                <w:sz w:val="17"/>
              </w:rPr>
            </w:pPr>
            <w:r>
              <w:rPr>
                <w:color w:val="231F20"/>
                <w:sz w:val="17"/>
              </w:rPr>
              <w:t>100</w:t>
            </w:r>
          </w:p>
        </w:tc>
      </w:tr>
      <w:tr>
        <w:trPr>
          <w:trHeight w:val="210" w:hRule="exact"/>
        </w:trPr>
        <w:tc>
          <w:tcPr>
            <w:tcW w:w="695" w:type="dxa"/>
          </w:tcPr>
          <w:p>
            <w:pPr>
              <w:pStyle w:val="TableParagraph"/>
              <w:ind w:right="188"/>
              <w:jc w:val="right"/>
              <w:rPr>
                <w:sz w:val="17"/>
              </w:rPr>
            </w:pPr>
            <w:r>
              <w:rPr>
                <w:color w:val="231F20"/>
                <w:w w:val="105"/>
                <w:sz w:val="17"/>
              </w:rPr>
              <w:t>6.3</w:t>
            </w:r>
          </w:p>
        </w:tc>
        <w:tc>
          <w:tcPr>
            <w:tcW w:w="711" w:type="dxa"/>
          </w:tcPr>
          <w:p>
            <w:pPr>
              <w:pStyle w:val="TableParagraph"/>
              <w:ind w:left="170" w:right="167"/>
              <w:rPr>
                <w:sz w:val="17"/>
              </w:rPr>
            </w:pPr>
            <w:r>
              <w:rPr>
                <w:color w:val="231F20"/>
                <w:w w:val="105"/>
                <w:sz w:val="17"/>
              </w:rPr>
              <w:t>13.9</w:t>
            </w:r>
          </w:p>
        </w:tc>
        <w:tc>
          <w:tcPr>
            <w:tcW w:w="708" w:type="dxa"/>
          </w:tcPr>
          <w:p>
            <w:pPr>
              <w:pStyle w:val="TableParagraph"/>
              <w:ind w:left="167" w:right="167"/>
              <w:rPr>
                <w:sz w:val="17"/>
              </w:rPr>
            </w:pPr>
            <w:r>
              <w:rPr>
                <w:color w:val="231F20"/>
                <w:w w:val="105"/>
                <w:sz w:val="17"/>
              </w:rPr>
              <w:t>19.1</w:t>
            </w:r>
          </w:p>
        </w:tc>
        <w:tc>
          <w:tcPr>
            <w:tcW w:w="705" w:type="dxa"/>
          </w:tcPr>
          <w:p>
            <w:pPr>
              <w:pStyle w:val="TableParagraph"/>
              <w:ind w:left="166" w:right="163"/>
              <w:rPr>
                <w:sz w:val="17"/>
              </w:rPr>
            </w:pPr>
            <w:r>
              <w:rPr>
                <w:color w:val="231F20"/>
                <w:w w:val="105"/>
                <w:sz w:val="17"/>
              </w:rPr>
              <w:t>26.2</w:t>
            </w:r>
          </w:p>
        </w:tc>
        <w:tc>
          <w:tcPr>
            <w:tcW w:w="532" w:type="dxa"/>
          </w:tcPr>
          <w:p>
            <w:pPr>
              <w:pStyle w:val="TableParagraph"/>
              <w:ind w:left="170"/>
              <w:rPr>
                <w:sz w:val="17"/>
              </w:rPr>
            </w:pPr>
            <w:r>
              <w:rPr>
                <w:color w:val="231F20"/>
                <w:w w:val="105"/>
                <w:sz w:val="17"/>
              </w:rPr>
              <w:t>20.5</w:t>
            </w:r>
          </w:p>
        </w:tc>
        <w:tc>
          <w:tcPr>
            <w:tcW w:w="899" w:type="dxa"/>
          </w:tcPr>
          <w:p>
            <w:pPr>
              <w:pStyle w:val="TableParagraph"/>
              <w:ind w:right="215"/>
              <w:jc w:val="right"/>
              <w:rPr>
                <w:sz w:val="17"/>
              </w:rPr>
            </w:pPr>
            <w:r>
              <w:rPr>
                <w:color w:val="231F20"/>
                <w:w w:val="105"/>
                <w:sz w:val="17"/>
              </w:rPr>
              <w:t>8.4</w:t>
            </w:r>
          </w:p>
        </w:tc>
        <w:tc>
          <w:tcPr>
            <w:tcW w:w="684" w:type="dxa"/>
          </w:tcPr>
          <w:p>
            <w:pPr>
              <w:pStyle w:val="TableParagraph"/>
              <w:ind w:left="200" w:right="209"/>
              <w:rPr>
                <w:sz w:val="17"/>
              </w:rPr>
            </w:pPr>
            <w:r>
              <w:rPr>
                <w:color w:val="231F20"/>
                <w:w w:val="105"/>
                <w:sz w:val="17"/>
              </w:rPr>
              <w:t>3.1</w:t>
            </w:r>
          </w:p>
        </w:tc>
        <w:tc>
          <w:tcPr>
            <w:tcW w:w="699" w:type="dxa"/>
          </w:tcPr>
          <w:p>
            <w:pPr>
              <w:pStyle w:val="TableParagraph"/>
              <w:ind w:left="211" w:right="211"/>
              <w:rPr>
                <w:sz w:val="17"/>
              </w:rPr>
            </w:pPr>
            <w:r>
              <w:rPr>
                <w:color w:val="231F20"/>
                <w:w w:val="105"/>
                <w:sz w:val="17"/>
              </w:rPr>
              <w:t>1.4</w:t>
            </w:r>
          </w:p>
        </w:tc>
        <w:tc>
          <w:tcPr>
            <w:tcW w:w="664" w:type="dxa"/>
          </w:tcPr>
          <w:p>
            <w:pPr>
              <w:pStyle w:val="TableParagraph"/>
              <w:ind w:right="192"/>
              <w:jc w:val="right"/>
              <w:rPr>
                <w:sz w:val="17"/>
              </w:rPr>
            </w:pPr>
            <w:r>
              <w:rPr>
                <w:color w:val="231F20"/>
                <w:w w:val="105"/>
                <w:sz w:val="17"/>
              </w:rPr>
              <w:t>1.2</w:t>
            </w:r>
          </w:p>
        </w:tc>
        <w:tc>
          <w:tcPr>
            <w:tcW w:w="719" w:type="dxa"/>
          </w:tcPr>
          <w:p>
            <w:pPr>
              <w:pStyle w:val="TableParagraph"/>
              <w:ind w:left="173" w:right="127"/>
              <w:rPr>
                <w:sz w:val="17"/>
              </w:rPr>
            </w:pPr>
            <w:r>
              <w:rPr>
                <w:color w:val="231F20"/>
                <w:sz w:val="17"/>
              </w:rPr>
              <w:t>100</w:t>
            </w:r>
          </w:p>
        </w:tc>
      </w:tr>
      <w:tr>
        <w:trPr>
          <w:trHeight w:val="210" w:hRule="exact"/>
        </w:trPr>
        <w:tc>
          <w:tcPr>
            <w:tcW w:w="695" w:type="dxa"/>
          </w:tcPr>
          <w:p>
            <w:pPr>
              <w:pStyle w:val="TableParagraph"/>
              <w:ind w:right="188"/>
              <w:jc w:val="right"/>
              <w:rPr>
                <w:sz w:val="17"/>
              </w:rPr>
            </w:pPr>
            <w:r>
              <w:rPr>
                <w:color w:val="231F20"/>
                <w:w w:val="105"/>
                <w:sz w:val="17"/>
              </w:rPr>
              <w:t>9.4</w:t>
            </w:r>
          </w:p>
        </w:tc>
        <w:tc>
          <w:tcPr>
            <w:tcW w:w="711" w:type="dxa"/>
          </w:tcPr>
          <w:p>
            <w:pPr>
              <w:pStyle w:val="TableParagraph"/>
              <w:ind w:left="170" w:right="167"/>
              <w:rPr>
                <w:sz w:val="17"/>
              </w:rPr>
            </w:pPr>
            <w:r>
              <w:rPr>
                <w:color w:val="231F20"/>
                <w:w w:val="105"/>
                <w:sz w:val="17"/>
              </w:rPr>
              <w:t>14.9</w:t>
            </w:r>
          </w:p>
        </w:tc>
        <w:tc>
          <w:tcPr>
            <w:tcW w:w="708" w:type="dxa"/>
          </w:tcPr>
          <w:p>
            <w:pPr>
              <w:pStyle w:val="TableParagraph"/>
              <w:ind w:left="167" w:right="167"/>
              <w:rPr>
                <w:sz w:val="17"/>
              </w:rPr>
            </w:pPr>
            <w:r>
              <w:rPr>
                <w:color w:val="231F20"/>
                <w:w w:val="105"/>
                <w:sz w:val="17"/>
              </w:rPr>
              <w:t>20.2</w:t>
            </w:r>
          </w:p>
        </w:tc>
        <w:tc>
          <w:tcPr>
            <w:tcW w:w="705" w:type="dxa"/>
          </w:tcPr>
          <w:p>
            <w:pPr>
              <w:pStyle w:val="TableParagraph"/>
              <w:ind w:left="166" w:right="163"/>
              <w:rPr>
                <w:sz w:val="17"/>
              </w:rPr>
            </w:pPr>
            <w:r>
              <w:rPr>
                <w:color w:val="231F20"/>
                <w:w w:val="105"/>
                <w:sz w:val="17"/>
              </w:rPr>
              <w:t>25.9</w:t>
            </w:r>
          </w:p>
        </w:tc>
        <w:tc>
          <w:tcPr>
            <w:tcW w:w="532" w:type="dxa"/>
          </w:tcPr>
          <w:p>
            <w:pPr>
              <w:pStyle w:val="TableParagraph"/>
              <w:ind w:left="170"/>
              <w:rPr>
                <w:sz w:val="17"/>
              </w:rPr>
            </w:pPr>
            <w:r>
              <w:rPr>
                <w:color w:val="231F20"/>
                <w:w w:val="105"/>
                <w:sz w:val="17"/>
              </w:rPr>
              <w:t>17.4</w:t>
            </w:r>
          </w:p>
        </w:tc>
        <w:tc>
          <w:tcPr>
            <w:tcW w:w="899" w:type="dxa"/>
          </w:tcPr>
          <w:p>
            <w:pPr>
              <w:pStyle w:val="TableParagraph"/>
              <w:ind w:right="215"/>
              <w:jc w:val="right"/>
              <w:rPr>
                <w:sz w:val="17"/>
              </w:rPr>
            </w:pPr>
            <w:r>
              <w:rPr>
                <w:color w:val="231F20"/>
                <w:w w:val="105"/>
                <w:sz w:val="17"/>
              </w:rPr>
              <w:t>6.9</w:t>
            </w:r>
          </w:p>
        </w:tc>
        <w:tc>
          <w:tcPr>
            <w:tcW w:w="684" w:type="dxa"/>
          </w:tcPr>
          <w:p>
            <w:pPr>
              <w:pStyle w:val="TableParagraph"/>
              <w:ind w:left="200" w:right="209"/>
              <w:rPr>
                <w:sz w:val="17"/>
              </w:rPr>
            </w:pPr>
            <w:r>
              <w:rPr>
                <w:color w:val="231F20"/>
                <w:w w:val="105"/>
                <w:sz w:val="17"/>
              </w:rPr>
              <w:t>2.7</w:t>
            </w:r>
          </w:p>
        </w:tc>
        <w:tc>
          <w:tcPr>
            <w:tcW w:w="699" w:type="dxa"/>
          </w:tcPr>
          <w:p>
            <w:pPr>
              <w:pStyle w:val="TableParagraph"/>
              <w:ind w:left="211" w:right="211"/>
              <w:rPr>
                <w:sz w:val="17"/>
              </w:rPr>
            </w:pPr>
            <w:r>
              <w:rPr>
                <w:color w:val="231F20"/>
                <w:w w:val="105"/>
                <w:sz w:val="17"/>
              </w:rPr>
              <w:t>1.3</w:t>
            </w:r>
          </w:p>
        </w:tc>
        <w:tc>
          <w:tcPr>
            <w:tcW w:w="664" w:type="dxa"/>
          </w:tcPr>
          <w:p>
            <w:pPr>
              <w:pStyle w:val="TableParagraph"/>
              <w:ind w:right="192"/>
              <w:jc w:val="right"/>
              <w:rPr>
                <w:sz w:val="17"/>
              </w:rPr>
            </w:pPr>
            <w:r>
              <w:rPr>
                <w:color w:val="231F20"/>
                <w:w w:val="105"/>
                <w:sz w:val="17"/>
              </w:rPr>
              <w:t>1.3</w:t>
            </w:r>
          </w:p>
        </w:tc>
        <w:tc>
          <w:tcPr>
            <w:tcW w:w="719" w:type="dxa"/>
          </w:tcPr>
          <w:p>
            <w:pPr>
              <w:pStyle w:val="TableParagraph"/>
              <w:ind w:left="173" w:right="127"/>
              <w:rPr>
                <w:sz w:val="17"/>
              </w:rPr>
            </w:pPr>
            <w:r>
              <w:rPr>
                <w:color w:val="231F20"/>
                <w:sz w:val="17"/>
              </w:rPr>
              <w:t>100</w:t>
            </w:r>
          </w:p>
        </w:tc>
      </w:tr>
      <w:tr>
        <w:trPr>
          <w:trHeight w:val="210" w:hRule="exact"/>
        </w:trPr>
        <w:tc>
          <w:tcPr>
            <w:tcW w:w="695" w:type="dxa"/>
          </w:tcPr>
          <w:p>
            <w:pPr>
              <w:pStyle w:val="TableParagraph"/>
              <w:ind w:right="188"/>
              <w:jc w:val="right"/>
              <w:rPr>
                <w:sz w:val="17"/>
              </w:rPr>
            </w:pPr>
            <w:r>
              <w:rPr>
                <w:color w:val="231F20"/>
                <w:w w:val="105"/>
                <w:sz w:val="17"/>
              </w:rPr>
              <w:t>4.5</w:t>
            </w:r>
          </w:p>
        </w:tc>
        <w:tc>
          <w:tcPr>
            <w:tcW w:w="711" w:type="dxa"/>
          </w:tcPr>
          <w:p>
            <w:pPr>
              <w:pStyle w:val="TableParagraph"/>
              <w:ind w:left="170" w:right="167"/>
              <w:rPr>
                <w:sz w:val="17"/>
              </w:rPr>
            </w:pPr>
            <w:r>
              <w:rPr>
                <w:color w:val="231F20"/>
                <w:w w:val="105"/>
                <w:sz w:val="17"/>
              </w:rPr>
              <w:t>10.9</w:t>
            </w:r>
          </w:p>
        </w:tc>
        <w:tc>
          <w:tcPr>
            <w:tcW w:w="708" w:type="dxa"/>
          </w:tcPr>
          <w:p>
            <w:pPr>
              <w:pStyle w:val="TableParagraph"/>
              <w:ind w:left="167" w:right="167"/>
              <w:rPr>
                <w:sz w:val="17"/>
              </w:rPr>
            </w:pPr>
            <w:r>
              <w:rPr>
                <w:color w:val="231F20"/>
                <w:w w:val="105"/>
                <w:sz w:val="17"/>
              </w:rPr>
              <w:t>16.3</w:t>
            </w:r>
          </w:p>
        </w:tc>
        <w:tc>
          <w:tcPr>
            <w:tcW w:w="705" w:type="dxa"/>
          </w:tcPr>
          <w:p>
            <w:pPr>
              <w:pStyle w:val="TableParagraph"/>
              <w:ind w:left="166" w:right="163"/>
              <w:rPr>
                <w:sz w:val="17"/>
              </w:rPr>
            </w:pPr>
            <w:r>
              <w:rPr>
                <w:color w:val="231F20"/>
                <w:w w:val="105"/>
                <w:sz w:val="17"/>
              </w:rPr>
              <w:t>22.3</w:t>
            </w:r>
          </w:p>
        </w:tc>
        <w:tc>
          <w:tcPr>
            <w:tcW w:w="532" w:type="dxa"/>
          </w:tcPr>
          <w:p>
            <w:pPr>
              <w:pStyle w:val="TableParagraph"/>
              <w:ind w:left="170"/>
              <w:rPr>
                <w:sz w:val="17"/>
              </w:rPr>
            </w:pPr>
            <w:r>
              <w:rPr>
                <w:color w:val="231F20"/>
                <w:w w:val="105"/>
                <w:sz w:val="17"/>
              </w:rPr>
              <w:t>18.2</w:t>
            </w:r>
          </w:p>
        </w:tc>
        <w:tc>
          <w:tcPr>
            <w:tcW w:w="899" w:type="dxa"/>
          </w:tcPr>
          <w:p>
            <w:pPr>
              <w:pStyle w:val="TableParagraph"/>
              <w:ind w:right="215"/>
              <w:jc w:val="right"/>
              <w:rPr>
                <w:sz w:val="17"/>
              </w:rPr>
            </w:pPr>
            <w:r>
              <w:rPr>
                <w:color w:val="231F20"/>
                <w:sz w:val="17"/>
              </w:rPr>
              <w:t>11.7</w:t>
            </w:r>
          </w:p>
        </w:tc>
        <w:tc>
          <w:tcPr>
            <w:tcW w:w="684" w:type="dxa"/>
          </w:tcPr>
          <w:p>
            <w:pPr>
              <w:pStyle w:val="TableParagraph"/>
              <w:ind w:left="200" w:right="209"/>
              <w:rPr>
                <w:sz w:val="17"/>
              </w:rPr>
            </w:pPr>
            <w:r>
              <w:rPr>
                <w:color w:val="231F20"/>
                <w:w w:val="105"/>
                <w:sz w:val="17"/>
              </w:rPr>
              <w:t>6.2</w:t>
            </w:r>
          </w:p>
        </w:tc>
        <w:tc>
          <w:tcPr>
            <w:tcW w:w="699" w:type="dxa"/>
          </w:tcPr>
          <w:p>
            <w:pPr>
              <w:pStyle w:val="TableParagraph"/>
              <w:ind w:left="211" w:right="211"/>
              <w:rPr>
                <w:sz w:val="17"/>
              </w:rPr>
            </w:pPr>
            <w:r>
              <w:rPr>
                <w:color w:val="231F20"/>
                <w:w w:val="105"/>
                <w:sz w:val="17"/>
              </w:rPr>
              <w:t>4.1</w:t>
            </w:r>
          </w:p>
        </w:tc>
        <w:tc>
          <w:tcPr>
            <w:tcW w:w="664" w:type="dxa"/>
          </w:tcPr>
          <w:p>
            <w:pPr>
              <w:pStyle w:val="TableParagraph"/>
              <w:ind w:right="192"/>
              <w:jc w:val="right"/>
              <w:rPr>
                <w:sz w:val="17"/>
              </w:rPr>
            </w:pPr>
            <w:r>
              <w:rPr>
                <w:color w:val="231F20"/>
                <w:w w:val="105"/>
                <w:sz w:val="17"/>
              </w:rPr>
              <w:t>6.0</w:t>
            </w:r>
          </w:p>
        </w:tc>
        <w:tc>
          <w:tcPr>
            <w:tcW w:w="719" w:type="dxa"/>
          </w:tcPr>
          <w:p>
            <w:pPr>
              <w:pStyle w:val="TableParagraph"/>
              <w:ind w:left="173" w:right="127"/>
              <w:rPr>
                <w:sz w:val="17"/>
              </w:rPr>
            </w:pPr>
            <w:r>
              <w:rPr>
                <w:color w:val="231F20"/>
                <w:sz w:val="17"/>
              </w:rPr>
              <w:t>100</w:t>
            </w:r>
          </w:p>
        </w:tc>
      </w:tr>
      <w:tr>
        <w:trPr>
          <w:trHeight w:val="210" w:hRule="exact"/>
        </w:trPr>
        <w:tc>
          <w:tcPr>
            <w:tcW w:w="695" w:type="dxa"/>
          </w:tcPr>
          <w:p>
            <w:pPr>
              <w:pStyle w:val="TableParagraph"/>
              <w:ind w:right="188"/>
              <w:jc w:val="right"/>
              <w:rPr>
                <w:sz w:val="17"/>
              </w:rPr>
            </w:pPr>
            <w:r>
              <w:rPr>
                <w:color w:val="231F20"/>
                <w:w w:val="105"/>
                <w:sz w:val="17"/>
              </w:rPr>
              <w:t>8.4</w:t>
            </w:r>
          </w:p>
        </w:tc>
        <w:tc>
          <w:tcPr>
            <w:tcW w:w="711" w:type="dxa"/>
          </w:tcPr>
          <w:p>
            <w:pPr>
              <w:pStyle w:val="TableParagraph"/>
              <w:ind w:left="170" w:right="167"/>
              <w:rPr>
                <w:sz w:val="17"/>
              </w:rPr>
            </w:pPr>
            <w:r>
              <w:rPr>
                <w:color w:val="231F20"/>
                <w:w w:val="105"/>
                <w:sz w:val="17"/>
              </w:rPr>
              <w:t>15.5</w:t>
            </w:r>
          </w:p>
        </w:tc>
        <w:tc>
          <w:tcPr>
            <w:tcW w:w="708" w:type="dxa"/>
          </w:tcPr>
          <w:p>
            <w:pPr>
              <w:pStyle w:val="TableParagraph"/>
              <w:ind w:left="167" w:right="167"/>
              <w:rPr>
                <w:sz w:val="17"/>
              </w:rPr>
            </w:pPr>
            <w:r>
              <w:rPr>
                <w:color w:val="231F20"/>
                <w:w w:val="105"/>
                <w:sz w:val="17"/>
              </w:rPr>
              <w:t>19.9</w:t>
            </w:r>
          </w:p>
        </w:tc>
        <w:tc>
          <w:tcPr>
            <w:tcW w:w="705" w:type="dxa"/>
          </w:tcPr>
          <w:p>
            <w:pPr>
              <w:pStyle w:val="TableParagraph"/>
              <w:ind w:left="166" w:right="163"/>
              <w:rPr>
                <w:sz w:val="17"/>
              </w:rPr>
            </w:pPr>
            <w:r>
              <w:rPr>
                <w:color w:val="231F20"/>
                <w:w w:val="105"/>
                <w:sz w:val="17"/>
              </w:rPr>
              <w:t>25.9</w:t>
            </w:r>
          </w:p>
        </w:tc>
        <w:tc>
          <w:tcPr>
            <w:tcW w:w="532" w:type="dxa"/>
          </w:tcPr>
          <w:p>
            <w:pPr>
              <w:pStyle w:val="TableParagraph"/>
              <w:ind w:left="170"/>
              <w:rPr>
                <w:sz w:val="17"/>
              </w:rPr>
            </w:pPr>
            <w:r>
              <w:rPr>
                <w:color w:val="231F20"/>
                <w:w w:val="105"/>
                <w:sz w:val="17"/>
              </w:rPr>
              <w:t>17.9</w:t>
            </w:r>
          </w:p>
        </w:tc>
        <w:tc>
          <w:tcPr>
            <w:tcW w:w="899" w:type="dxa"/>
          </w:tcPr>
          <w:p>
            <w:pPr>
              <w:pStyle w:val="TableParagraph"/>
              <w:ind w:right="215"/>
              <w:jc w:val="right"/>
              <w:rPr>
                <w:sz w:val="17"/>
              </w:rPr>
            </w:pPr>
            <w:r>
              <w:rPr>
                <w:color w:val="231F20"/>
                <w:w w:val="105"/>
                <w:sz w:val="17"/>
              </w:rPr>
              <w:t>7.4</w:t>
            </w:r>
          </w:p>
        </w:tc>
        <w:tc>
          <w:tcPr>
            <w:tcW w:w="684" w:type="dxa"/>
          </w:tcPr>
          <w:p>
            <w:pPr>
              <w:pStyle w:val="TableParagraph"/>
              <w:ind w:left="200" w:right="209"/>
              <w:rPr>
                <w:sz w:val="17"/>
              </w:rPr>
            </w:pPr>
            <w:r>
              <w:rPr>
                <w:color w:val="231F20"/>
                <w:w w:val="105"/>
                <w:sz w:val="17"/>
              </w:rPr>
              <w:t>2.7</w:t>
            </w:r>
          </w:p>
        </w:tc>
        <w:tc>
          <w:tcPr>
            <w:tcW w:w="699" w:type="dxa"/>
          </w:tcPr>
          <w:p>
            <w:pPr>
              <w:pStyle w:val="TableParagraph"/>
              <w:ind w:left="211" w:right="211"/>
              <w:rPr>
                <w:sz w:val="17"/>
              </w:rPr>
            </w:pPr>
            <w:r>
              <w:rPr>
                <w:color w:val="231F20"/>
                <w:w w:val="105"/>
                <w:sz w:val="17"/>
              </w:rPr>
              <w:t>1.2</w:t>
            </w:r>
          </w:p>
        </w:tc>
        <w:tc>
          <w:tcPr>
            <w:tcW w:w="664" w:type="dxa"/>
          </w:tcPr>
          <w:p>
            <w:pPr>
              <w:pStyle w:val="TableParagraph"/>
              <w:ind w:right="192"/>
              <w:jc w:val="right"/>
              <w:rPr>
                <w:sz w:val="17"/>
              </w:rPr>
            </w:pPr>
            <w:r>
              <w:rPr>
                <w:color w:val="231F20"/>
                <w:w w:val="105"/>
                <w:sz w:val="17"/>
              </w:rPr>
              <w:t>1.2</w:t>
            </w:r>
          </w:p>
        </w:tc>
        <w:tc>
          <w:tcPr>
            <w:tcW w:w="719" w:type="dxa"/>
          </w:tcPr>
          <w:p>
            <w:pPr>
              <w:pStyle w:val="TableParagraph"/>
              <w:ind w:left="173" w:right="127"/>
              <w:rPr>
                <w:sz w:val="17"/>
              </w:rPr>
            </w:pPr>
            <w:r>
              <w:rPr>
                <w:color w:val="231F20"/>
                <w:sz w:val="17"/>
              </w:rPr>
              <w:t>100</w:t>
            </w:r>
          </w:p>
        </w:tc>
      </w:tr>
      <w:tr>
        <w:trPr>
          <w:trHeight w:val="210" w:hRule="exact"/>
        </w:trPr>
        <w:tc>
          <w:tcPr>
            <w:tcW w:w="695" w:type="dxa"/>
          </w:tcPr>
          <w:p>
            <w:pPr>
              <w:pStyle w:val="TableParagraph"/>
              <w:ind w:right="188"/>
              <w:jc w:val="right"/>
              <w:rPr>
                <w:sz w:val="17"/>
              </w:rPr>
            </w:pPr>
            <w:r>
              <w:rPr>
                <w:color w:val="231F20"/>
                <w:w w:val="105"/>
                <w:sz w:val="17"/>
              </w:rPr>
              <w:t>8.0</w:t>
            </w:r>
          </w:p>
        </w:tc>
        <w:tc>
          <w:tcPr>
            <w:tcW w:w="711" w:type="dxa"/>
          </w:tcPr>
          <w:p>
            <w:pPr>
              <w:pStyle w:val="TableParagraph"/>
              <w:ind w:left="170" w:right="167"/>
              <w:rPr>
                <w:sz w:val="17"/>
              </w:rPr>
            </w:pPr>
            <w:r>
              <w:rPr>
                <w:color w:val="231F20"/>
                <w:w w:val="105"/>
                <w:sz w:val="17"/>
              </w:rPr>
              <w:t>15.4</w:t>
            </w:r>
          </w:p>
        </w:tc>
        <w:tc>
          <w:tcPr>
            <w:tcW w:w="708" w:type="dxa"/>
          </w:tcPr>
          <w:p>
            <w:pPr>
              <w:pStyle w:val="TableParagraph"/>
              <w:ind w:left="167" w:right="167"/>
              <w:rPr>
                <w:sz w:val="17"/>
              </w:rPr>
            </w:pPr>
            <w:r>
              <w:rPr>
                <w:color w:val="231F20"/>
                <w:w w:val="105"/>
                <w:sz w:val="17"/>
              </w:rPr>
              <w:t>20.2</w:t>
            </w:r>
          </w:p>
        </w:tc>
        <w:tc>
          <w:tcPr>
            <w:tcW w:w="705" w:type="dxa"/>
          </w:tcPr>
          <w:p>
            <w:pPr>
              <w:pStyle w:val="TableParagraph"/>
              <w:ind w:left="166" w:right="163"/>
              <w:rPr>
                <w:sz w:val="17"/>
              </w:rPr>
            </w:pPr>
            <w:r>
              <w:rPr>
                <w:color w:val="231F20"/>
                <w:w w:val="105"/>
                <w:sz w:val="17"/>
              </w:rPr>
              <w:t>27.3</w:t>
            </w:r>
          </w:p>
        </w:tc>
        <w:tc>
          <w:tcPr>
            <w:tcW w:w="532" w:type="dxa"/>
          </w:tcPr>
          <w:p>
            <w:pPr>
              <w:pStyle w:val="TableParagraph"/>
              <w:ind w:left="170"/>
              <w:rPr>
                <w:sz w:val="17"/>
              </w:rPr>
            </w:pPr>
            <w:r>
              <w:rPr>
                <w:color w:val="231F20"/>
                <w:w w:val="105"/>
                <w:sz w:val="17"/>
              </w:rPr>
              <w:t>15.8</w:t>
            </w:r>
          </w:p>
        </w:tc>
        <w:tc>
          <w:tcPr>
            <w:tcW w:w="899" w:type="dxa"/>
          </w:tcPr>
          <w:p>
            <w:pPr>
              <w:pStyle w:val="TableParagraph"/>
              <w:ind w:right="215"/>
              <w:jc w:val="right"/>
              <w:rPr>
                <w:sz w:val="17"/>
              </w:rPr>
            </w:pPr>
            <w:r>
              <w:rPr>
                <w:color w:val="231F20"/>
                <w:w w:val="105"/>
                <w:sz w:val="17"/>
              </w:rPr>
              <w:t>7.1</w:t>
            </w:r>
          </w:p>
        </w:tc>
        <w:tc>
          <w:tcPr>
            <w:tcW w:w="684" w:type="dxa"/>
          </w:tcPr>
          <w:p>
            <w:pPr>
              <w:pStyle w:val="TableParagraph"/>
              <w:ind w:left="200" w:right="209"/>
              <w:rPr>
                <w:sz w:val="17"/>
              </w:rPr>
            </w:pPr>
            <w:r>
              <w:rPr>
                <w:color w:val="231F20"/>
                <w:w w:val="105"/>
                <w:sz w:val="17"/>
              </w:rPr>
              <w:t>2.9</w:t>
            </w:r>
          </w:p>
        </w:tc>
        <w:tc>
          <w:tcPr>
            <w:tcW w:w="699" w:type="dxa"/>
          </w:tcPr>
          <w:p>
            <w:pPr>
              <w:pStyle w:val="TableParagraph"/>
              <w:ind w:left="211" w:right="211"/>
              <w:rPr>
                <w:sz w:val="17"/>
              </w:rPr>
            </w:pPr>
            <w:r>
              <w:rPr>
                <w:color w:val="231F20"/>
                <w:w w:val="105"/>
                <w:sz w:val="17"/>
              </w:rPr>
              <w:t>1.5</w:t>
            </w:r>
          </w:p>
        </w:tc>
        <w:tc>
          <w:tcPr>
            <w:tcW w:w="664" w:type="dxa"/>
          </w:tcPr>
          <w:p>
            <w:pPr>
              <w:pStyle w:val="TableParagraph"/>
              <w:ind w:right="192"/>
              <w:jc w:val="right"/>
              <w:rPr>
                <w:sz w:val="17"/>
              </w:rPr>
            </w:pPr>
            <w:r>
              <w:rPr>
                <w:color w:val="231F20"/>
                <w:w w:val="105"/>
                <w:sz w:val="17"/>
              </w:rPr>
              <w:t>1.8</w:t>
            </w:r>
          </w:p>
        </w:tc>
        <w:tc>
          <w:tcPr>
            <w:tcW w:w="719" w:type="dxa"/>
          </w:tcPr>
          <w:p>
            <w:pPr>
              <w:pStyle w:val="TableParagraph"/>
              <w:ind w:left="173" w:right="127"/>
              <w:rPr>
                <w:sz w:val="17"/>
              </w:rPr>
            </w:pPr>
            <w:r>
              <w:rPr>
                <w:color w:val="231F20"/>
                <w:sz w:val="17"/>
              </w:rPr>
              <w:t>100</w:t>
            </w:r>
          </w:p>
        </w:tc>
      </w:tr>
      <w:tr>
        <w:trPr>
          <w:trHeight w:val="210" w:hRule="exact"/>
        </w:trPr>
        <w:tc>
          <w:tcPr>
            <w:tcW w:w="695" w:type="dxa"/>
          </w:tcPr>
          <w:p>
            <w:pPr>
              <w:pStyle w:val="TableParagraph"/>
              <w:ind w:right="188"/>
              <w:jc w:val="right"/>
              <w:rPr>
                <w:sz w:val="17"/>
              </w:rPr>
            </w:pPr>
            <w:r>
              <w:rPr>
                <w:color w:val="231F20"/>
                <w:w w:val="105"/>
                <w:sz w:val="17"/>
              </w:rPr>
              <w:t>6.2</w:t>
            </w:r>
          </w:p>
        </w:tc>
        <w:tc>
          <w:tcPr>
            <w:tcW w:w="711" w:type="dxa"/>
          </w:tcPr>
          <w:p>
            <w:pPr>
              <w:pStyle w:val="TableParagraph"/>
              <w:ind w:left="170" w:right="167"/>
              <w:rPr>
                <w:sz w:val="17"/>
              </w:rPr>
            </w:pPr>
            <w:r>
              <w:rPr>
                <w:color w:val="231F20"/>
                <w:w w:val="105"/>
                <w:sz w:val="17"/>
              </w:rPr>
              <w:t>12.7</w:t>
            </w:r>
          </w:p>
        </w:tc>
        <w:tc>
          <w:tcPr>
            <w:tcW w:w="708" w:type="dxa"/>
          </w:tcPr>
          <w:p>
            <w:pPr>
              <w:pStyle w:val="TableParagraph"/>
              <w:ind w:left="167" w:right="167"/>
              <w:rPr>
                <w:sz w:val="17"/>
              </w:rPr>
            </w:pPr>
            <w:r>
              <w:rPr>
                <w:color w:val="231F20"/>
                <w:w w:val="105"/>
                <w:sz w:val="17"/>
              </w:rPr>
              <w:t>17.4</w:t>
            </w:r>
          </w:p>
        </w:tc>
        <w:tc>
          <w:tcPr>
            <w:tcW w:w="705" w:type="dxa"/>
          </w:tcPr>
          <w:p>
            <w:pPr>
              <w:pStyle w:val="TableParagraph"/>
              <w:ind w:left="166" w:right="163"/>
              <w:rPr>
                <w:sz w:val="17"/>
              </w:rPr>
            </w:pPr>
            <w:r>
              <w:rPr>
                <w:color w:val="231F20"/>
                <w:w w:val="105"/>
                <w:sz w:val="17"/>
              </w:rPr>
              <w:t>23.9</w:t>
            </w:r>
          </w:p>
        </w:tc>
        <w:tc>
          <w:tcPr>
            <w:tcW w:w="532" w:type="dxa"/>
          </w:tcPr>
          <w:p>
            <w:pPr>
              <w:pStyle w:val="TableParagraph"/>
              <w:ind w:left="170"/>
              <w:rPr>
                <w:sz w:val="17"/>
              </w:rPr>
            </w:pPr>
            <w:r>
              <w:rPr>
                <w:color w:val="231F20"/>
                <w:w w:val="105"/>
                <w:sz w:val="17"/>
              </w:rPr>
              <w:t>20.2</w:t>
            </w:r>
          </w:p>
        </w:tc>
        <w:tc>
          <w:tcPr>
            <w:tcW w:w="899" w:type="dxa"/>
          </w:tcPr>
          <w:p>
            <w:pPr>
              <w:pStyle w:val="TableParagraph"/>
              <w:ind w:right="215"/>
              <w:jc w:val="right"/>
              <w:rPr>
                <w:sz w:val="17"/>
              </w:rPr>
            </w:pPr>
            <w:r>
              <w:rPr>
                <w:color w:val="231F20"/>
                <w:sz w:val="17"/>
              </w:rPr>
              <w:t>10.3</w:t>
            </w:r>
          </w:p>
        </w:tc>
        <w:tc>
          <w:tcPr>
            <w:tcW w:w="684" w:type="dxa"/>
          </w:tcPr>
          <w:p>
            <w:pPr>
              <w:pStyle w:val="TableParagraph"/>
              <w:ind w:left="200" w:right="209"/>
              <w:rPr>
                <w:sz w:val="17"/>
              </w:rPr>
            </w:pPr>
            <w:r>
              <w:rPr>
                <w:color w:val="231F20"/>
                <w:w w:val="105"/>
                <w:sz w:val="17"/>
              </w:rPr>
              <w:t>4.4</w:t>
            </w:r>
          </w:p>
        </w:tc>
        <w:tc>
          <w:tcPr>
            <w:tcW w:w="699" w:type="dxa"/>
          </w:tcPr>
          <w:p>
            <w:pPr>
              <w:pStyle w:val="TableParagraph"/>
              <w:ind w:left="211" w:right="211"/>
              <w:rPr>
                <w:sz w:val="17"/>
              </w:rPr>
            </w:pPr>
            <w:r>
              <w:rPr>
                <w:color w:val="231F20"/>
                <w:w w:val="105"/>
                <w:sz w:val="17"/>
              </w:rPr>
              <w:t>2.2</w:t>
            </w:r>
          </w:p>
        </w:tc>
        <w:tc>
          <w:tcPr>
            <w:tcW w:w="664" w:type="dxa"/>
          </w:tcPr>
          <w:p>
            <w:pPr>
              <w:pStyle w:val="TableParagraph"/>
              <w:ind w:right="192"/>
              <w:jc w:val="right"/>
              <w:rPr>
                <w:sz w:val="17"/>
              </w:rPr>
            </w:pPr>
            <w:r>
              <w:rPr>
                <w:color w:val="231F20"/>
                <w:w w:val="105"/>
                <w:sz w:val="17"/>
              </w:rPr>
              <w:t>2.7</w:t>
            </w:r>
          </w:p>
        </w:tc>
        <w:tc>
          <w:tcPr>
            <w:tcW w:w="719" w:type="dxa"/>
          </w:tcPr>
          <w:p>
            <w:pPr>
              <w:pStyle w:val="TableParagraph"/>
              <w:ind w:left="173" w:right="127"/>
              <w:rPr>
                <w:sz w:val="17"/>
              </w:rPr>
            </w:pPr>
            <w:r>
              <w:rPr>
                <w:color w:val="231F20"/>
                <w:sz w:val="17"/>
              </w:rPr>
              <w:t>100</w:t>
            </w:r>
          </w:p>
        </w:tc>
      </w:tr>
      <w:tr>
        <w:trPr>
          <w:trHeight w:val="210" w:hRule="exact"/>
        </w:trPr>
        <w:tc>
          <w:tcPr>
            <w:tcW w:w="695" w:type="dxa"/>
          </w:tcPr>
          <w:p>
            <w:pPr>
              <w:pStyle w:val="TableParagraph"/>
              <w:ind w:right="188"/>
              <w:jc w:val="right"/>
              <w:rPr>
                <w:sz w:val="17"/>
              </w:rPr>
            </w:pPr>
            <w:r>
              <w:rPr>
                <w:color w:val="231F20"/>
                <w:w w:val="105"/>
                <w:sz w:val="17"/>
              </w:rPr>
              <w:t>4.5</w:t>
            </w:r>
          </w:p>
        </w:tc>
        <w:tc>
          <w:tcPr>
            <w:tcW w:w="711" w:type="dxa"/>
          </w:tcPr>
          <w:p>
            <w:pPr>
              <w:pStyle w:val="TableParagraph"/>
              <w:ind w:left="170" w:right="167"/>
              <w:rPr>
                <w:sz w:val="17"/>
              </w:rPr>
            </w:pPr>
            <w:r>
              <w:rPr>
                <w:color w:val="231F20"/>
                <w:w w:val="105"/>
                <w:sz w:val="17"/>
              </w:rPr>
              <w:t>11.8</w:t>
            </w:r>
          </w:p>
        </w:tc>
        <w:tc>
          <w:tcPr>
            <w:tcW w:w="708" w:type="dxa"/>
          </w:tcPr>
          <w:p>
            <w:pPr>
              <w:pStyle w:val="TableParagraph"/>
              <w:ind w:left="167" w:right="167"/>
              <w:rPr>
                <w:sz w:val="17"/>
              </w:rPr>
            </w:pPr>
            <w:r>
              <w:rPr>
                <w:color w:val="231F20"/>
                <w:w w:val="105"/>
                <w:sz w:val="17"/>
              </w:rPr>
              <w:t>16.6</w:t>
            </w:r>
          </w:p>
        </w:tc>
        <w:tc>
          <w:tcPr>
            <w:tcW w:w="705" w:type="dxa"/>
          </w:tcPr>
          <w:p>
            <w:pPr>
              <w:pStyle w:val="TableParagraph"/>
              <w:ind w:left="166" w:right="163"/>
              <w:rPr>
                <w:sz w:val="17"/>
              </w:rPr>
            </w:pPr>
            <w:r>
              <w:rPr>
                <w:color w:val="231F20"/>
                <w:w w:val="105"/>
                <w:sz w:val="17"/>
              </w:rPr>
              <w:t>23.3</w:t>
            </w:r>
          </w:p>
        </w:tc>
        <w:tc>
          <w:tcPr>
            <w:tcW w:w="532" w:type="dxa"/>
          </w:tcPr>
          <w:p>
            <w:pPr>
              <w:pStyle w:val="TableParagraph"/>
              <w:ind w:left="170"/>
              <w:rPr>
                <w:sz w:val="17"/>
              </w:rPr>
            </w:pPr>
            <w:r>
              <w:rPr>
                <w:color w:val="231F20"/>
                <w:w w:val="105"/>
                <w:sz w:val="17"/>
              </w:rPr>
              <w:t>19.7</w:t>
            </w:r>
          </w:p>
        </w:tc>
        <w:tc>
          <w:tcPr>
            <w:tcW w:w="899" w:type="dxa"/>
          </w:tcPr>
          <w:p>
            <w:pPr>
              <w:pStyle w:val="TableParagraph"/>
              <w:ind w:right="215"/>
              <w:jc w:val="right"/>
              <w:rPr>
                <w:sz w:val="17"/>
              </w:rPr>
            </w:pPr>
            <w:r>
              <w:rPr>
                <w:color w:val="231F20"/>
                <w:sz w:val="17"/>
              </w:rPr>
              <w:t>11.0</w:t>
            </w:r>
          </w:p>
        </w:tc>
        <w:tc>
          <w:tcPr>
            <w:tcW w:w="684" w:type="dxa"/>
          </w:tcPr>
          <w:p>
            <w:pPr>
              <w:pStyle w:val="TableParagraph"/>
              <w:ind w:left="200" w:right="209"/>
              <w:rPr>
                <w:sz w:val="17"/>
              </w:rPr>
            </w:pPr>
            <w:r>
              <w:rPr>
                <w:color w:val="231F20"/>
                <w:w w:val="105"/>
                <w:sz w:val="17"/>
              </w:rPr>
              <w:t>5.6</w:t>
            </w:r>
          </w:p>
        </w:tc>
        <w:tc>
          <w:tcPr>
            <w:tcW w:w="699" w:type="dxa"/>
          </w:tcPr>
          <w:p>
            <w:pPr>
              <w:pStyle w:val="TableParagraph"/>
              <w:ind w:left="211" w:right="211"/>
              <w:rPr>
                <w:sz w:val="17"/>
              </w:rPr>
            </w:pPr>
            <w:r>
              <w:rPr>
                <w:color w:val="231F20"/>
                <w:w w:val="105"/>
                <w:sz w:val="17"/>
              </w:rPr>
              <w:t>3.1</w:t>
            </w:r>
          </w:p>
        </w:tc>
        <w:tc>
          <w:tcPr>
            <w:tcW w:w="664" w:type="dxa"/>
          </w:tcPr>
          <w:p>
            <w:pPr>
              <w:pStyle w:val="TableParagraph"/>
              <w:ind w:right="192"/>
              <w:jc w:val="right"/>
              <w:rPr>
                <w:sz w:val="17"/>
              </w:rPr>
            </w:pPr>
            <w:r>
              <w:rPr>
                <w:color w:val="231F20"/>
                <w:w w:val="105"/>
                <w:sz w:val="17"/>
              </w:rPr>
              <w:t>4.5</w:t>
            </w:r>
          </w:p>
        </w:tc>
        <w:tc>
          <w:tcPr>
            <w:tcW w:w="719" w:type="dxa"/>
          </w:tcPr>
          <w:p>
            <w:pPr>
              <w:pStyle w:val="TableParagraph"/>
              <w:ind w:left="173" w:right="127"/>
              <w:rPr>
                <w:sz w:val="17"/>
              </w:rPr>
            </w:pPr>
            <w:r>
              <w:rPr>
                <w:color w:val="231F20"/>
                <w:sz w:val="17"/>
              </w:rPr>
              <w:t>100</w:t>
            </w:r>
          </w:p>
        </w:tc>
      </w:tr>
      <w:tr>
        <w:trPr>
          <w:trHeight w:val="210" w:hRule="exact"/>
        </w:trPr>
        <w:tc>
          <w:tcPr>
            <w:tcW w:w="695" w:type="dxa"/>
          </w:tcPr>
          <w:p>
            <w:pPr>
              <w:pStyle w:val="TableParagraph"/>
              <w:ind w:right="188"/>
              <w:jc w:val="right"/>
              <w:rPr>
                <w:sz w:val="17"/>
              </w:rPr>
            </w:pPr>
            <w:r>
              <w:rPr>
                <w:color w:val="231F20"/>
                <w:w w:val="105"/>
                <w:sz w:val="17"/>
              </w:rPr>
              <w:t>6.4</w:t>
            </w:r>
          </w:p>
        </w:tc>
        <w:tc>
          <w:tcPr>
            <w:tcW w:w="711" w:type="dxa"/>
          </w:tcPr>
          <w:p>
            <w:pPr>
              <w:pStyle w:val="TableParagraph"/>
              <w:ind w:left="170" w:right="167"/>
              <w:rPr>
                <w:sz w:val="17"/>
              </w:rPr>
            </w:pPr>
            <w:r>
              <w:rPr>
                <w:color w:val="231F20"/>
                <w:w w:val="105"/>
                <w:sz w:val="17"/>
              </w:rPr>
              <w:t>13.3</w:t>
            </w:r>
          </w:p>
        </w:tc>
        <w:tc>
          <w:tcPr>
            <w:tcW w:w="708" w:type="dxa"/>
          </w:tcPr>
          <w:p>
            <w:pPr>
              <w:pStyle w:val="TableParagraph"/>
              <w:ind w:left="167" w:right="167"/>
              <w:rPr>
                <w:sz w:val="17"/>
              </w:rPr>
            </w:pPr>
            <w:r>
              <w:rPr>
                <w:color w:val="231F20"/>
                <w:w w:val="105"/>
                <w:sz w:val="17"/>
              </w:rPr>
              <w:t>16.7</w:t>
            </w:r>
          </w:p>
        </w:tc>
        <w:tc>
          <w:tcPr>
            <w:tcW w:w="705" w:type="dxa"/>
          </w:tcPr>
          <w:p>
            <w:pPr>
              <w:pStyle w:val="TableParagraph"/>
              <w:ind w:left="166" w:right="163"/>
              <w:rPr>
                <w:sz w:val="17"/>
              </w:rPr>
            </w:pPr>
            <w:r>
              <w:rPr>
                <w:color w:val="231F20"/>
                <w:w w:val="105"/>
                <w:sz w:val="17"/>
              </w:rPr>
              <w:t>20.6</w:t>
            </w:r>
          </w:p>
        </w:tc>
        <w:tc>
          <w:tcPr>
            <w:tcW w:w="532" w:type="dxa"/>
          </w:tcPr>
          <w:p>
            <w:pPr>
              <w:pStyle w:val="TableParagraph"/>
              <w:ind w:left="170"/>
              <w:rPr>
                <w:sz w:val="17"/>
              </w:rPr>
            </w:pPr>
            <w:r>
              <w:rPr>
                <w:color w:val="231F20"/>
                <w:w w:val="105"/>
                <w:sz w:val="17"/>
              </w:rPr>
              <w:t>17.3</w:t>
            </w:r>
          </w:p>
        </w:tc>
        <w:tc>
          <w:tcPr>
            <w:tcW w:w="899" w:type="dxa"/>
          </w:tcPr>
          <w:p>
            <w:pPr>
              <w:pStyle w:val="TableParagraph"/>
              <w:ind w:right="215"/>
              <w:jc w:val="right"/>
              <w:rPr>
                <w:sz w:val="17"/>
              </w:rPr>
            </w:pPr>
            <w:r>
              <w:rPr>
                <w:color w:val="231F20"/>
                <w:sz w:val="17"/>
              </w:rPr>
              <w:t>11.0</w:t>
            </w:r>
          </w:p>
        </w:tc>
        <w:tc>
          <w:tcPr>
            <w:tcW w:w="684" w:type="dxa"/>
          </w:tcPr>
          <w:p>
            <w:pPr>
              <w:pStyle w:val="TableParagraph"/>
              <w:ind w:left="200" w:right="209"/>
              <w:rPr>
                <w:sz w:val="17"/>
              </w:rPr>
            </w:pPr>
            <w:r>
              <w:rPr>
                <w:color w:val="231F20"/>
                <w:w w:val="105"/>
                <w:sz w:val="17"/>
              </w:rPr>
              <w:t>6.1</w:t>
            </w:r>
          </w:p>
        </w:tc>
        <w:tc>
          <w:tcPr>
            <w:tcW w:w="699" w:type="dxa"/>
          </w:tcPr>
          <w:p>
            <w:pPr>
              <w:pStyle w:val="TableParagraph"/>
              <w:ind w:left="211" w:right="211"/>
              <w:rPr>
                <w:sz w:val="17"/>
              </w:rPr>
            </w:pPr>
            <w:r>
              <w:rPr>
                <w:color w:val="231F20"/>
                <w:w w:val="105"/>
                <w:sz w:val="17"/>
              </w:rPr>
              <w:t>3.7</w:t>
            </w:r>
          </w:p>
        </w:tc>
        <w:tc>
          <w:tcPr>
            <w:tcW w:w="664" w:type="dxa"/>
          </w:tcPr>
          <w:p>
            <w:pPr>
              <w:pStyle w:val="TableParagraph"/>
              <w:ind w:right="192"/>
              <w:jc w:val="right"/>
              <w:rPr>
                <w:sz w:val="17"/>
              </w:rPr>
            </w:pPr>
            <w:r>
              <w:rPr>
                <w:color w:val="231F20"/>
                <w:w w:val="105"/>
                <w:sz w:val="17"/>
              </w:rPr>
              <w:t>5.0</w:t>
            </w:r>
          </w:p>
        </w:tc>
        <w:tc>
          <w:tcPr>
            <w:tcW w:w="719" w:type="dxa"/>
          </w:tcPr>
          <w:p>
            <w:pPr>
              <w:pStyle w:val="TableParagraph"/>
              <w:ind w:left="173" w:right="127"/>
              <w:rPr>
                <w:sz w:val="17"/>
              </w:rPr>
            </w:pPr>
            <w:r>
              <w:rPr>
                <w:color w:val="231F20"/>
                <w:sz w:val="17"/>
              </w:rPr>
              <w:t>100</w:t>
            </w:r>
          </w:p>
        </w:tc>
      </w:tr>
      <w:tr>
        <w:trPr>
          <w:trHeight w:val="210" w:hRule="exact"/>
        </w:trPr>
        <w:tc>
          <w:tcPr>
            <w:tcW w:w="695" w:type="dxa"/>
          </w:tcPr>
          <w:p>
            <w:pPr>
              <w:pStyle w:val="TableParagraph"/>
              <w:ind w:right="188"/>
              <w:jc w:val="right"/>
              <w:rPr>
                <w:sz w:val="17"/>
              </w:rPr>
            </w:pPr>
            <w:r>
              <w:rPr>
                <w:color w:val="231F20"/>
                <w:w w:val="105"/>
                <w:sz w:val="17"/>
              </w:rPr>
              <w:t>5.4</w:t>
            </w:r>
          </w:p>
        </w:tc>
        <w:tc>
          <w:tcPr>
            <w:tcW w:w="711" w:type="dxa"/>
          </w:tcPr>
          <w:p>
            <w:pPr>
              <w:pStyle w:val="TableParagraph"/>
              <w:ind w:left="170" w:right="167"/>
              <w:rPr>
                <w:sz w:val="17"/>
              </w:rPr>
            </w:pPr>
            <w:r>
              <w:rPr>
                <w:color w:val="231F20"/>
                <w:w w:val="105"/>
                <w:sz w:val="17"/>
              </w:rPr>
              <w:t>12.7</w:t>
            </w:r>
          </w:p>
        </w:tc>
        <w:tc>
          <w:tcPr>
            <w:tcW w:w="708" w:type="dxa"/>
          </w:tcPr>
          <w:p>
            <w:pPr>
              <w:pStyle w:val="TableParagraph"/>
              <w:ind w:left="167" w:right="167"/>
              <w:rPr>
                <w:sz w:val="17"/>
              </w:rPr>
            </w:pPr>
            <w:r>
              <w:rPr>
                <w:color w:val="231F20"/>
                <w:w w:val="105"/>
                <w:sz w:val="17"/>
              </w:rPr>
              <w:t>17.3</w:t>
            </w:r>
          </w:p>
        </w:tc>
        <w:tc>
          <w:tcPr>
            <w:tcW w:w="705" w:type="dxa"/>
          </w:tcPr>
          <w:p>
            <w:pPr>
              <w:pStyle w:val="TableParagraph"/>
              <w:ind w:left="166" w:right="163"/>
              <w:rPr>
                <w:sz w:val="17"/>
              </w:rPr>
            </w:pPr>
            <w:r>
              <w:rPr>
                <w:color w:val="231F20"/>
                <w:w w:val="105"/>
                <w:sz w:val="17"/>
              </w:rPr>
              <w:t>25.8</w:t>
            </w:r>
          </w:p>
        </w:tc>
        <w:tc>
          <w:tcPr>
            <w:tcW w:w="532" w:type="dxa"/>
          </w:tcPr>
          <w:p>
            <w:pPr>
              <w:pStyle w:val="TableParagraph"/>
              <w:ind w:left="170"/>
              <w:rPr>
                <w:sz w:val="17"/>
              </w:rPr>
            </w:pPr>
            <w:r>
              <w:rPr>
                <w:color w:val="231F20"/>
                <w:w w:val="105"/>
                <w:sz w:val="17"/>
              </w:rPr>
              <w:t>19.3</w:t>
            </w:r>
          </w:p>
        </w:tc>
        <w:tc>
          <w:tcPr>
            <w:tcW w:w="899" w:type="dxa"/>
          </w:tcPr>
          <w:p>
            <w:pPr>
              <w:pStyle w:val="TableParagraph"/>
              <w:ind w:right="215"/>
              <w:jc w:val="right"/>
              <w:rPr>
                <w:sz w:val="17"/>
              </w:rPr>
            </w:pPr>
            <w:r>
              <w:rPr>
                <w:color w:val="231F20"/>
                <w:w w:val="105"/>
                <w:sz w:val="17"/>
              </w:rPr>
              <w:t>9.8</w:t>
            </w:r>
          </w:p>
        </w:tc>
        <w:tc>
          <w:tcPr>
            <w:tcW w:w="684" w:type="dxa"/>
          </w:tcPr>
          <w:p>
            <w:pPr>
              <w:pStyle w:val="TableParagraph"/>
              <w:ind w:left="200" w:right="209"/>
              <w:rPr>
                <w:sz w:val="17"/>
              </w:rPr>
            </w:pPr>
            <w:r>
              <w:rPr>
                <w:color w:val="231F20"/>
                <w:w w:val="105"/>
                <w:sz w:val="17"/>
              </w:rPr>
              <w:t>4.6</w:t>
            </w:r>
          </w:p>
        </w:tc>
        <w:tc>
          <w:tcPr>
            <w:tcW w:w="699" w:type="dxa"/>
          </w:tcPr>
          <w:p>
            <w:pPr>
              <w:pStyle w:val="TableParagraph"/>
              <w:ind w:left="211" w:right="211"/>
              <w:rPr>
                <w:sz w:val="17"/>
              </w:rPr>
            </w:pPr>
            <w:r>
              <w:rPr>
                <w:color w:val="231F20"/>
                <w:w w:val="105"/>
                <w:sz w:val="17"/>
              </w:rPr>
              <w:t>2.4</w:t>
            </w:r>
          </w:p>
        </w:tc>
        <w:tc>
          <w:tcPr>
            <w:tcW w:w="664" w:type="dxa"/>
          </w:tcPr>
          <w:p>
            <w:pPr>
              <w:pStyle w:val="TableParagraph"/>
              <w:ind w:right="192"/>
              <w:jc w:val="right"/>
              <w:rPr>
                <w:sz w:val="17"/>
              </w:rPr>
            </w:pPr>
            <w:r>
              <w:rPr>
                <w:color w:val="231F20"/>
                <w:w w:val="105"/>
                <w:sz w:val="17"/>
              </w:rPr>
              <w:t>2.7</w:t>
            </w:r>
          </w:p>
        </w:tc>
        <w:tc>
          <w:tcPr>
            <w:tcW w:w="719" w:type="dxa"/>
          </w:tcPr>
          <w:p>
            <w:pPr>
              <w:pStyle w:val="TableParagraph"/>
              <w:ind w:left="173" w:right="127"/>
              <w:rPr>
                <w:sz w:val="17"/>
              </w:rPr>
            </w:pPr>
            <w:r>
              <w:rPr>
                <w:color w:val="231F20"/>
                <w:sz w:val="17"/>
              </w:rPr>
              <w:t>100</w:t>
            </w:r>
          </w:p>
        </w:tc>
      </w:tr>
      <w:tr>
        <w:trPr>
          <w:trHeight w:val="210" w:hRule="exact"/>
        </w:trPr>
        <w:tc>
          <w:tcPr>
            <w:tcW w:w="695" w:type="dxa"/>
          </w:tcPr>
          <w:p>
            <w:pPr>
              <w:pStyle w:val="TableParagraph"/>
              <w:ind w:right="188"/>
              <w:jc w:val="right"/>
              <w:rPr>
                <w:sz w:val="17"/>
              </w:rPr>
            </w:pPr>
            <w:r>
              <w:rPr>
                <w:color w:val="231F20"/>
                <w:w w:val="105"/>
                <w:sz w:val="17"/>
              </w:rPr>
              <w:t>6.2</w:t>
            </w:r>
          </w:p>
        </w:tc>
        <w:tc>
          <w:tcPr>
            <w:tcW w:w="711" w:type="dxa"/>
          </w:tcPr>
          <w:p>
            <w:pPr>
              <w:pStyle w:val="TableParagraph"/>
              <w:ind w:left="170" w:right="167"/>
              <w:rPr>
                <w:sz w:val="17"/>
              </w:rPr>
            </w:pPr>
            <w:r>
              <w:rPr>
                <w:color w:val="231F20"/>
                <w:w w:val="105"/>
                <w:sz w:val="17"/>
              </w:rPr>
              <w:t>13.3</w:t>
            </w:r>
          </w:p>
        </w:tc>
        <w:tc>
          <w:tcPr>
            <w:tcW w:w="708" w:type="dxa"/>
          </w:tcPr>
          <w:p>
            <w:pPr>
              <w:pStyle w:val="TableParagraph"/>
              <w:ind w:left="167" w:right="167"/>
              <w:rPr>
                <w:sz w:val="17"/>
              </w:rPr>
            </w:pPr>
            <w:r>
              <w:rPr>
                <w:color w:val="231F20"/>
                <w:w w:val="105"/>
                <w:sz w:val="17"/>
              </w:rPr>
              <w:t>17.5</w:t>
            </w:r>
          </w:p>
        </w:tc>
        <w:tc>
          <w:tcPr>
            <w:tcW w:w="705" w:type="dxa"/>
          </w:tcPr>
          <w:p>
            <w:pPr>
              <w:pStyle w:val="TableParagraph"/>
              <w:ind w:left="166" w:right="163"/>
              <w:rPr>
                <w:sz w:val="17"/>
              </w:rPr>
            </w:pPr>
            <w:r>
              <w:rPr>
                <w:color w:val="231F20"/>
                <w:w w:val="105"/>
                <w:sz w:val="17"/>
              </w:rPr>
              <w:t>23.6</w:t>
            </w:r>
          </w:p>
        </w:tc>
        <w:tc>
          <w:tcPr>
            <w:tcW w:w="532" w:type="dxa"/>
          </w:tcPr>
          <w:p>
            <w:pPr>
              <w:pStyle w:val="TableParagraph"/>
              <w:ind w:left="170"/>
              <w:rPr>
                <w:sz w:val="17"/>
              </w:rPr>
            </w:pPr>
            <w:r>
              <w:rPr>
                <w:color w:val="231F20"/>
                <w:w w:val="105"/>
                <w:sz w:val="17"/>
              </w:rPr>
              <w:t>19.5</w:t>
            </w:r>
          </w:p>
        </w:tc>
        <w:tc>
          <w:tcPr>
            <w:tcW w:w="899" w:type="dxa"/>
          </w:tcPr>
          <w:p>
            <w:pPr>
              <w:pStyle w:val="TableParagraph"/>
              <w:ind w:right="215"/>
              <w:jc w:val="right"/>
              <w:rPr>
                <w:sz w:val="17"/>
              </w:rPr>
            </w:pPr>
            <w:r>
              <w:rPr>
                <w:color w:val="231F20"/>
                <w:sz w:val="17"/>
              </w:rPr>
              <w:t>10.2</w:t>
            </w:r>
          </w:p>
        </w:tc>
        <w:tc>
          <w:tcPr>
            <w:tcW w:w="684" w:type="dxa"/>
          </w:tcPr>
          <w:p>
            <w:pPr>
              <w:pStyle w:val="TableParagraph"/>
              <w:ind w:left="200" w:right="209"/>
              <w:rPr>
                <w:sz w:val="17"/>
              </w:rPr>
            </w:pPr>
            <w:r>
              <w:rPr>
                <w:color w:val="231F20"/>
                <w:w w:val="105"/>
                <w:sz w:val="17"/>
              </w:rPr>
              <w:t>4.5</w:t>
            </w:r>
          </w:p>
        </w:tc>
        <w:tc>
          <w:tcPr>
            <w:tcW w:w="699" w:type="dxa"/>
          </w:tcPr>
          <w:p>
            <w:pPr>
              <w:pStyle w:val="TableParagraph"/>
              <w:ind w:left="211" w:right="211"/>
              <w:rPr>
                <w:sz w:val="17"/>
              </w:rPr>
            </w:pPr>
            <w:r>
              <w:rPr>
                <w:color w:val="231F20"/>
                <w:w w:val="105"/>
                <w:sz w:val="17"/>
              </w:rPr>
              <w:t>2.3</w:t>
            </w:r>
          </w:p>
        </w:tc>
        <w:tc>
          <w:tcPr>
            <w:tcW w:w="664" w:type="dxa"/>
          </w:tcPr>
          <w:p>
            <w:pPr>
              <w:pStyle w:val="TableParagraph"/>
              <w:ind w:right="192"/>
              <w:jc w:val="right"/>
              <w:rPr>
                <w:sz w:val="17"/>
              </w:rPr>
            </w:pPr>
            <w:r>
              <w:rPr>
                <w:color w:val="231F20"/>
                <w:w w:val="105"/>
                <w:sz w:val="17"/>
              </w:rPr>
              <w:t>2.9</w:t>
            </w:r>
          </w:p>
        </w:tc>
        <w:tc>
          <w:tcPr>
            <w:tcW w:w="719" w:type="dxa"/>
          </w:tcPr>
          <w:p>
            <w:pPr>
              <w:pStyle w:val="TableParagraph"/>
              <w:ind w:left="173" w:right="127"/>
              <w:rPr>
                <w:sz w:val="17"/>
              </w:rPr>
            </w:pPr>
            <w:r>
              <w:rPr>
                <w:color w:val="231F20"/>
                <w:sz w:val="17"/>
              </w:rPr>
              <w:t>100</w:t>
            </w:r>
          </w:p>
        </w:tc>
      </w:tr>
      <w:tr>
        <w:trPr>
          <w:trHeight w:val="210" w:hRule="exact"/>
        </w:trPr>
        <w:tc>
          <w:tcPr>
            <w:tcW w:w="695" w:type="dxa"/>
          </w:tcPr>
          <w:p>
            <w:pPr>
              <w:pStyle w:val="TableParagraph"/>
              <w:ind w:right="188"/>
              <w:jc w:val="right"/>
              <w:rPr>
                <w:sz w:val="17"/>
              </w:rPr>
            </w:pPr>
            <w:r>
              <w:rPr>
                <w:color w:val="231F20"/>
                <w:w w:val="105"/>
                <w:sz w:val="17"/>
              </w:rPr>
              <w:t>4.5</w:t>
            </w:r>
          </w:p>
        </w:tc>
        <w:tc>
          <w:tcPr>
            <w:tcW w:w="711" w:type="dxa"/>
          </w:tcPr>
          <w:p>
            <w:pPr>
              <w:pStyle w:val="TableParagraph"/>
              <w:ind w:left="170" w:right="167"/>
              <w:rPr>
                <w:sz w:val="17"/>
              </w:rPr>
            </w:pPr>
            <w:r>
              <w:rPr>
                <w:color w:val="231F20"/>
                <w:w w:val="105"/>
                <w:sz w:val="17"/>
              </w:rPr>
              <w:t>11.5</w:t>
            </w:r>
          </w:p>
        </w:tc>
        <w:tc>
          <w:tcPr>
            <w:tcW w:w="708" w:type="dxa"/>
          </w:tcPr>
          <w:p>
            <w:pPr>
              <w:pStyle w:val="TableParagraph"/>
              <w:ind w:left="167" w:right="167"/>
              <w:rPr>
                <w:sz w:val="17"/>
              </w:rPr>
            </w:pPr>
            <w:r>
              <w:rPr>
                <w:color w:val="231F20"/>
                <w:w w:val="105"/>
                <w:sz w:val="17"/>
              </w:rPr>
              <w:t>18.2</w:t>
            </w:r>
          </w:p>
        </w:tc>
        <w:tc>
          <w:tcPr>
            <w:tcW w:w="705" w:type="dxa"/>
          </w:tcPr>
          <w:p>
            <w:pPr>
              <w:pStyle w:val="TableParagraph"/>
              <w:ind w:left="166" w:right="163"/>
              <w:rPr>
                <w:sz w:val="17"/>
              </w:rPr>
            </w:pPr>
            <w:r>
              <w:rPr>
                <w:color w:val="231F20"/>
                <w:w w:val="105"/>
                <w:sz w:val="17"/>
              </w:rPr>
              <w:t>27.8</w:t>
            </w:r>
          </w:p>
        </w:tc>
        <w:tc>
          <w:tcPr>
            <w:tcW w:w="532" w:type="dxa"/>
          </w:tcPr>
          <w:p>
            <w:pPr>
              <w:pStyle w:val="TableParagraph"/>
              <w:ind w:left="170"/>
              <w:rPr>
                <w:sz w:val="17"/>
              </w:rPr>
            </w:pPr>
            <w:r>
              <w:rPr>
                <w:color w:val="231F20"/>
                <w:w w:val="105"/>
                <w:sz w:val="17"/>
              </w:rPr>
              <w:t>19.6</w:t>
            </w:r>
          </w:p>
        </w:tc>
        <w:tc>
          <w:tcPr>
            <w:tcW w:w="899" w:type="dxa"/>
          </w:tcPr>
          <w:p>
            <w:pPr>
              <w:pStyle w:val="TableParagraph"/>
              <w:ind w:right="215"/>
              <w:jc w:val="right"/>
              <w:rPr>
                <w:sz w:val="17"/>
              </w:rPr>
            </w:pPr>
            <w:r>
              <w:rPr>
                <w:color w:val="231F20"/>
                <w:w w:val="105"/>
                <w:sz w:val="17"/>
              </w:rPr>
              <w:t>9.3</w:t>
            </w:r>
          </w:p>
        </w:tc>
        <w:tc>
          <w:tcPr>
            <w:tcW w:w="684" w:type="dxa"/>
          </w:tcPr>
          <w:p>
            <w:pPr>
              <w:pStyle w:val="TableParagraph"/>
              <w:ind w:left="200" w:right="209"/>
              <w:rPr>
                <w:sz w:val="17"/>
              </w:rPr>
            </w:pPr>
            <w:r>
              <w:rPr>
                <w:color w:val="231F20"/>
                <w:w w:val="105"/>
                <w:sz w:val="17"/>
              </w:rPr>
              <w:t>4.1</w:t>
            </w:r>
          </w:p>
        </w:tc>
        <w:tc>
          <w:tcPr>
            <w:tcW w:w="699" w:type="dxa"/>
          </w:tcPr>
          <w:p>
            <w:pPr>
              <w:pStyle w:val="TableParagraph"/>
              <w:ind w:left="211" w:right="211"/>
              <w:rPr>
                <w:sz w:val="17"/>
              </w:rPr>
            </w:pPr>
            <w:r>
              <w:rPr>
                <w:color w:val="231F20"/>
                <w:w w:val="105"/>
                <w:sz w:val="17"/>
              </w:rPr>
              <w:t>2.2</w:t>
            </w:r>
          </w:p>
        </w:tc>
        <w:tc>
          <w:tcPr>
            <w:tcW w:w="664" w:type="dxa"/>
          </w:tcPr>
          <w:p>
            <w:pPr>
              <w:pStyle w:val="TableParagraph"/>
              <w:ind w:right="192"/>
              <w:jc w:val="right"/>
              <w:rPr>
                <w:sz w:val="17"/>
              </w:rPr>
            </w:pPr>
            <w:r>
              <w:rPr>
                <w:color w:val="231F20"/>
                <w:w w:val="105"/>
                <w:sz w:val="17"/>
              </w:rPr>
              <w:t>2.8</w:t>
            </w:r>
          </w:p>
        </w:tc>
        <w:tc>
          <w:tcPr>
            <w:tcW w:w="719" w:type="dxa"/>
          </w:tcPr>
          <w:p>
            <w:pPr>
              <w:pStyle w:val="TableParagraph"/>
              <w:ind w:left="173" w:right="127"/>
              <w:rPr>
                <w:sz w:val="17"/>
              </w:rPr>
            </w:pPr>
            <w:r>
              <w:rPr>
                <w:color w:val="231F20"/>
                <w:sz w:val="17"/>
              </w:rPr>
              <w:t>100</w:t>
            </w:r>
          </w:p>
        </w:tc>
      </w:tr>
      <w:tr>
        <w:trPr>
          <w:trHeight w:val="210" w:hRule="exact"/>
        </w:trPr>
        <w:tc>
          <w:tcPr>
            <w:tcW w:w="695" w:type="dxa"/>
          </w:tcPr>
          <w:p>
            <w:pPr>
              <w:pStyle w:val="TableParagraph"/>
              <w:ind w:right="188"/>
              <w:jc w:val="right"/>
              <w:rPr>
                <w:sz w:val="17"/>
              </w:rPr>
            </w:pPr>
            <w:r>
              <w:rPr>
                <w:color w:val="231F20"/>
                <w:w w:val="105"/>
                <w:sz w:val="17"/>
              </w:rPr>
              <w:t>5.4</w:t>
            </w:r>
          </w:p>
        </w:tc>
        <w:tc>
          <w:tcPr>
            <w:tcW w:w="711" w:type="dxa"/>
          </w:tcPr>
          <w:p>
            <w:pPr>
              <w:pStyle w:val="TableParagraph"/>
              <w:ind w:left="170" w:right="167"/>
              <w:rPr>
                <w:sz w:val="17"/>
              </w:rPr>
            </w:pPr>
            <w:r>
              <w:rPr>
                <w:color w:val="231F20"/>
                <w:w w:val="105"/>
                <w:sz w:val="17"/>
              </w:rPr>
              <w:t>13.8</w:t>
            </w:r>
          </w:p>
        </w:tc>
        <w:tc>
          <w:tcPr>
            <w:tcW w:w="708" w:type="dxa"/>
          </w:tcPr>
          <w:p>
            <w:pPr>
              <w:pStyle w:val="TableParagraph"/>
              <w:ind w:left="167" w:right="167"/>
              <w:rPr>
                <w:sz w:val="17"/>
              </w:rPr>
            </w:pPr>
            <w:r>
              <w:rPr>
                <w:color w:val="231F20"/>
                <w:w w:val="105"/>
                <w:sz w:val="17"/>
              </w:rPr>
              <w:t>18.0</w:t>
            </w:r>
          </w:p>
        </w:tc>
        <w:tc>
          <w:tcPr>
            <w:tcW w:w="705" w:type="dxa"/>
          </w:tcPr>
          <w:p>
            <w:pPr>
              <w:pStyle w:val="TableParagraph"/>
              <w:ind w:left="166" w:right="163"/>
              <w:rPr>
                <w:sz w:val="17"/>
              </w:rPr>
            </w:pPr>
            <w:r>
              <w:rPr>
                <w:color w:val="231F20"/>
                <w:w w:val="105"/>
                <w:sz w:val="17"/>
              </w:rPr>
              <w:t>23.1</w:t>
            </w:r>
          </w:p>
        </w:tc>
        <w:tc>
          <w:tcPr>
            <w:tcW w:w="532" w:type="dxa"/>
          </w:tcPr>
          <w:p>
            <w:pPr>
              <w:pStyle w:val="TableParagraph"/>
              <w:ind w:left="170"/>
              <w:rPr>
                <w:sz w:val="17"/>
              </w:rPr>
            </w:pPr>
            <w:r>
              <w:rPr>
                <w:color w:val="231F20"/>
                <w:w w:val="105"/>
                <w:sz w:val="17"/>
              </w:rPr>
              <w:t>18.8</w:t>
            </w:r>
          </w:p>
        </w:tc>
        <w:tc>
          <w:tcPr>
            <w:tcW w:w="899" w:type="dxa"/>
          </w:tcPr>
          <w:p>
            <w:pPr>
              <w:pStyle w:val="TableParagraph"/>
              <w:ind w:right="215"/>
              <w:jc w:val="right"/>
              <w:rPr>
                <w:sz w:val="17"/>
              </w:rPr>
            </w:pPr>
            <w:r>
              <w:rPr>
                <w:color w:val="231F20"/>
                <w:sz w:val="17"/>
              </w:rPr>
              <w:t>10.3</w:t>
            </w:r>
          </w:p>
        </w:tc>
        <w:tc>
          <w:tcPr>
            <w:tcW w:w="684" w:type="dxa"/>
          </w:tcPr>
          <w:p>
            <w:pPr>
              <w:pStyle w:val="TableParagraph"/>
              <w:ind w:left="200" w:right="209"/>
              <w:rPr>
                <w:sz w:val="17"/>
              </w:rPr>
            </w:pPr>
            <w:r>
              <w:rPr>
                <w:color w:val="231F20"/>
                <w:w w:val="105"/>
                <w:sz w:val="17"/>
              </w:rPr>
              <w:t>4.8</w:t>
            </w:r>
          </w:p>
        </w:tc>
        <w:tc>
          <w:tcPr>
            <w:tcW w:w="699" w:type="dxa"/>
          </w:tcPr>
          <w:p>
            <w:pPr>
              <w:pStyle w:val="TableParagraph"/>
              <w:ind w:left="211" w:right="211"/>
              <w:rPr>
                <w:sz w:val="17"/>
              </w:rPr>
            </w:pPr>
            <w:r>
              <w:rPr>
                <w:color w:val="231F20"/>
                <w:w w:val="105"/>
                <w:sz w:val="17"/>
              </w:rPr>
              <w:t>2.6</w:t>
            </w:r>
          </w:p>
        </w:tc>
        <w:tc>
          <w:tcPr>
            <w:tcW w:w="664" w:type="dxa"/>
          </w:tcPr>
          <w:p>
            <w:pPr>
              <w:pStyle w:val="TableParagraph"/>
              <w:ind w:right="192"/>
              <w:jc w:val="right"/>
              <w:rPr>
                <w:sz w:val="17"/>
              </w:rPr>
            </w:pPr>
            <w:r>
              <w:rPr>
                <w:color w:val="231F20"/>
                <w:w w:val="105"/>
                <w:sz w:val="17"/>
              </w:rPr>
              <w:t>3.1</w:t>
            </w:r>
          </w:p>
        </w:tc>
        <w:tc>
          <w:tcPr>
            <w:tcW w:w="719" w:type="dxa"/>
          </w:tcPr>
          <w:p>
            <w:pPr>
              <w:pStyle w:val="TableParagraph"/>
              <w:ind w:left="173" w:right="127"/>
              <w:rPr>
                <w:sz w:val="17"/>
              </w:rPr>
            </w:pPr>
            <w:r>
              <w:rPr>
                <w:color w:val="231F20"/>
                <w:sz w:val="17"/>
              </w:rPr>
              <w:t>100</w:t>
            </w:r>
          </w:p>
        </w:tc>
      </w:tr>
      <w:tr>
        <w:trPr>
          <w:trHeight w:val="210" w:hRule="exact"/>
        </w:trPr>
        <w:tc>
          <w:tcPr>
            <w:tcW w:w="695" w:type="dxa"/>
          </w:tcPr>
          <w:p>
            <w:pPr>
              <w:pStyle w:val="TableParagraph"/>
              <w:ind w:right="188"/>
              <w:jc w:val="right"/>
              <w:rPr>
                <w:sz w:val="17"/>
              </w:rPr>
            </w:pPr>
            <w:r>
              <w:rPr>
                <w:color w:val="231F20"/>
                <w:w w:val="105"/>
                <w:sz w:val="17"/>
              </w:rPr>
              <w:t>7.0</w:t>
            </w:r>
          </w:p>
        </w:tc>
        <w:tc>
          <w:tcPr>
            <w:tcW w:w="711" w:type="dxa"/>
          </w:tcPr>
          <w:p>
            <w:pPr>
              <w:pStyle w:val="TableParagraph"/>
              <w:ind w:left="170" w:right="167"/>
              <w:rPr>
                <w:sz w:val="17"/>
              </w:rPr>
            </w:pPr>
            <w:r>
              <w:rPr>
                <w:color w:val="231F20"/>
                <w:w w:val="105"/>
                <w:sz w:val="17"/>
              </w:rPr>
              <w:t>14.3</w:t>
            </w:r>
          </w:p>
        </w:tc>
        <w:tc>
          <w:tcPr>
            <w:tcW w:w="708" w:type="dxa"/>
          </w:tcPr>
          <w:p>
            <w:pPr>
              <w:pStyle w:val="TableParagraph"/>
              <w:ind w:left="167" w:right="167"/>
              <w:rPr>
                <w:sz w:val="17"/>
              </w:rPr>
            </w:pPr>
            <w:r>
              <w:rPr>
                <w:color w:val="231F20"/>
                <w:w w:val="105"/>
                <w:sz w:val="17"/>
              </w:rPr>
              <w:t>18.9</w:t>
            </w:r>
          </w:p>
        </w:tc>
        <w:tc>
          <w:tcPr>
            <w:tcW w:w="705" w:type="dxa"/>
          </w:tcPr>
          <w:p>
            <w:pPr>
              <w:pStyle w:val="TableParagraph"/>
              <w:ind w:left="166" w:right="163"/>
              <w:rPr>
                <w:sz w:val="17"/>
              </w:rPr>
            </w:pPr>
            <w:r>
              <w:rPr>
                <w:color w:val="231F20"/>
                <w:w w:val="105"/>
                <w:sz w:val="17"/>
              </w:rPr>
              <w:t>25.9</w:t>
            </w:r>
          </w:p>
        </w:tc>
        <w:tc>
          <w:tcPr>
            <w:tcW w:w="532" w:type="dxa"/>
          </w:tcPr>
          <w:p>
            <w:pPr>
              <w:pStyle w:val="TableParagraph"/>
              <w:ind w:left="170"/>
              <w:rPr>
                <w:sz w:val="17"/>
              </w:rPr>
            </w:pPr>
            <w:r>
              <w:rPr>
                <w:color w:val="231F20"/>
                <w:w w:val="105"/>
                <w:sz w:val="17"/>
              </w:rPr>
              <w:t>17.8</w:t>
            </w:r>
          </w:p>
        </w:tc>
        <w:tc>
          <w:tcPr>
            <w:tcW w:w="899" w:type="dxa"/>
          </w:tcPr>
          <w:p>
            <w:pPr>
              <w:pStyle w:val="TableParagraph"/>
              <w:ind w:right="215"/>
              <w:jc w:val="right"/>
              <w:rPr>
                <w:sz w:val="17"/>
              </w:rPr>
            </w:pPr>
            <w:r>
              <w:rPr>
                <w:color w:val="231F20"/>
                <w:w w:val="105"/>
                <w:sz w:val="17"/>
              </w:rPr>
              <w:t>8.5</w:t>
            </w:r>
          </w:p>
        </w:tc>
        <w:tc>
          <w:tcPr>
            <w:tcW w:w="684" w:type="dxa"/>
          </w:tcPr>
          <w:p>
            <w:pPr>
              <w:pStyle w:val="TableParagraph"/>
              <w:ind w:left="200" w:right="209"/>
              <w:rPr>
                <w:sz w:val="17"/>
              </w:rPr>
            </w:pPr>
            <w:r>
              <w:rPr>
                <w:color w:val="231F20"/>
                <w:w w:val="105"/>
                <w:sz w:val="17"/>
              </w:rPr>
              <w:t>3.7</w:t>
            </w:r>
          </w:p>
        </w:tc>
        <w:tc>
          <w:tcPr>
            <w:tcW w:w="699" w:type="dxa"/>
          </w:tcPr>
          <w:p>
            <w:pPr>
              <w:pStyle w:val="TableParagraph"/>
              <w:ind w:left="211" w:right="211"/>
              <w:rPr>
                <w:sz w:val="17"/>
              </w:rPr>
            </w:pPr>
            <w:r>
              <w:rPr>
                <w:color w:val="231F20"/>
                <w:w w:val="105"/>
                <w:sz w:val="17"/>
              </w:rPr>
              <w:t>1.9</w:t>
            </w:r>
          </w:p>
        </w:tc>
        <w:tc>
          <w:tcPr>
            <w:tcW w:w="664" w:type="dxa"/>
          </w:tcPr>
          <w:p>
            <w:pPr>
              <w:pStyle w:val="TableParagraph"/>
              <w:ind w:right="192"/>
              <w:jc w:val="right"/>
              <w:rPr>
                <w:sz w:val="17"/>
              </w:rPr>
            </w:pPr>
            <w:r>
              <w:rPr>
                <w:color w:val="231F20"/>
                <w:w w:val="105"/>
                <w:sz w:val="17"/>
              </w:rPr>
              <w:t>2.1</w:t>
            </w:r>
          </w:p>
        </w:tc>
        <w:tc>
          <w:tcPr>
            <w:tcW w:w="719" w:type="dxa"/>
          </w:tcPr>
          <w:p>
            <w:pPr>
              <w:pStyle w:val="TableParagraph"/>
              <w:ind w:left="173" w:right="127"/>
              <w:rPr>
                <w:sz w:val="17"/>
              </w:rPr>
            </w:pPr>
            <w:r>
              <w:rPr>
                <w:color w:val="231F20"/>
                <w:sz w:val="17"/>
              </w:rPr>
              <w:t>100</w:t>
            </w:r>
          </w:p>
        </w:tc>
      </w:tr>
      <w:tr>
        <w:trPr>
          <w:trHeight w:val="210" w:hRule="exact"/>
        </w:trPr>
        <w:tc>
          <w:tcPr>
            <w:tcW w:w="695" w:type="dxa"/>
          </w:tcPr>
          <w:p>
            <w:pPr>
              <w:pStyle w:val="TableParagraph"/>
              <w:ind w:right="188"/>
              <w:jc w:val="right"/>
              <w:rPr>
                <w:sz w:val="17"/>
              </w:rPr>
            </w:pPr>
            <w:r>
              <w:rPr>
                <w:color w:val="231F20"/>
                <w:w w:val="105"/>
                <w:sz w:val="17"/>
              </w:rPr>
              <w:t>8.1</w:t>
            </w:r>
          </w:p>
        </w:tc>
        <w:tc>
          <w:tcPr>
            <w:tcW w:w="711" w:type="dxa"/>
          </w:tcPr>
          <w:p>
            <w:pPr>
              <w:pStyle w:val="TableParagraph"/>
              <w:ind w:left="170" w:right="167"/>
              <w:rPr>
                <w:sz w:val="17"/>
              </w:rPr>
            </w:pPr>
            <w:r>
              <w:rPr>
                <w:color w:val="231F20"/>
                <w:w w:val="105"/>
                <w:sz w:val="17"/>
              </w:rPr>
              <w:t>14.9</w:t>
            </w:r>
          </w:p>
        </w:tc>
        <w:tc>
          <w:tcPr>
            <w:tcW w:w="708" w:type="dxa"/>
          </w:tcPr>
          <w:p>
            <w:pPr>
              <w:pStyle w:val="TableParagraph"/>
              <w:ind w:left="167" w:right="167"/>
              <w:rPr>
                <w:sz w:val="17"/>
              </w:rPr>
            </w:pPr>
            <w:r>
              <w:rPr>
                <w:color w:val="231F20"/>
                <w:w w:val="105"/>
                <w:sz w:val="17"/>
              </w:rPr>
              <w:t>19.7</w:t>
            </w:r>
          </w:p>
        </w:tc>
        <w:tc>
          <w:tcPr>
            <w:tcW w:w="705" w:type="dxa"/>
          </w:tcPr>
          <w:p>
            <w:pPr>
              <w:pStyle w:val="TableParagraph"/>
              <w:ind w:left="166" w:right="163"/>
              <w:rPr>
                <w:sz w:val="17"/>
              </w:rPr>
            </w:pPr>
            <w:r>
              <w:rPr>
                <w:color w:val="231F20"/>
                <w:w w:val="105"/>
                <w:sz w:val="17"/>
              </w:rPr>
              <w:t>24.9</w:t>
            </w:r>
          </w:p>
        </w:tc>
        <w:tc>
          <w:tcPr>
            <w:tcW w:w="532" w:type="dxa"/>
          </w:tcPr>
          <w:p>
            <w:pPr>
              <w:pStyle w:val="TableParagraph"/>
              <w:ind w:left="170"/>
              <w:rPr>
                <w:sz w:val="17"/>
              </w:rPr>
            </w:pPr>
            <w:r>
              <w:rPr>
                <w:color w:val="231F20"/>
                <w:w w:val="105"/>
                <w:sz w:val="17"/>
              </w:rPr>
              <w:t>17.8</w:t>
            </w:r>
          </w:p>
        </w:tc>
        <w:tc>
          <w:tcPr>
            <w:tcW w:w="899" w:type="dxa"/>
          </w:tcPr>
          <w:p>
            <w:pPr>
              <w:pStyle w:val="TableParagraph"/>
              <w:ind w:right="215"/>
              <w:jc w:val="right"/>
              <w:rPr>
                <w:sz w:val="17"/>
              </w:rPr>
            </w:pPr>
            <w:r>
              <w:rPr>
                <w:color w:val="231F20"/>
                <w:w w:val="105"/>
                <w:sz w:val="17"/>
              </w:rPr>
              <w:t>7.9</w:t>
            </w:r>
          </w:p>
        </w:tc>
        <w:tc>
          <w:tcPr>
            <w:tcW w:w="684" w:type="dxa"/>
          </w:tcPr>
          <w:p>
            <w:pPr>
              <w:pStyle w:val="TableParagraph"/>
              <w:ind w:left="200" w:right="209"/>
              <w:rPr>
                <w:sz w:val="17"/>
              </w:rPr>
            </w:pPr>
            <w:r>
              <w:rPr>
                <w:color w:val="231F20"/>
                <w:w w:val="105"/>
                <w:sz w:val="17"/>
              </w:rPr>
              <w:t>3.4</w:t>
            </w:r>
          </w:p>
        </w:tc>
        <w:tc>
          <w:tcPr>
            <w:tcW w:w="699" w:type="dxa"/>
          </w:tcPr>
          <w:p>
            <w:pPr>
              <w:pStyle w:val="TableParagraph"/>
              <w:ind w:left="211" w:right="211"/>
              <w:rPr>
                <w:sz w:val="17"/>
              </w:rPr>
            </w:pPr>
            <w:r>
              <w:rPr>
                <w:color w:val="231F20"/>
                <w:w w:val="105"/>
                <w:sz w:val="17"/>
              </w:rPr>
              <w:t>1.6</w:t>
            </w:r>
          </w:p>
        </w:tc>
        <w:tc>
          <w:tcPr>
            <w:tcW w:w="664" w:type="dxa"/>
          </w:tcPr>
          <w:p>
            <w:pPr>
              <w:pStyle w:val="TableParagraph"/>
              <w:ind w:right="192"/>
              <w:jc w:val="right"/>
              <w:rPr>
                <w:sz w:val="17"/>
              </w:rPr>
            </w:pPr>
            <w:r>
              <w:rPr>
                <w:color w:val="231F20"/>
                <w:w w:val="105"/>
                <w:sz w:val="17"/>
              </w:rPr>
              <w:t>1.8</w:t>
            </w:r>
          </w:p>
        </w:tc>
        <w:tc>
          <w:tcPr>
            <w:tcW w:w="719" w:type="dxa"/>
          </w:tcPr>
          <w:p>
            <w:pPr>
              <w:pStyle w:val="TableParagraph"/>
              <w:ind w:left="173" w:right="127"/>
              <w:rPr>
                <w:sz w:val="17"/>
              </w:rPr>
            </w:pPr>
            <w:r>
              <w:rPr>
                <w:color w:val="231F20"/>
                <w:sz w:val="17"/>
              </w:rPr>
              <w:t>100</w:t>
            </w:r>
          </w:p>
        </w:tc>
      </w:tr>
      <w:tr>
        <w:trPr>
          <w:trHeight w:val="210" w:hRule="exact"/>
        </w:trPr>
        <w:tc>
          <w:tcPr>
            <w:tcW w:w="695" w:type="dxa"/>
          </w:tcPr>
          <w:p>
            <w:pPr>
              <w:pStyle w:val="TableParagraph"/>
              <w:ind w:right="188"/>
              <w:jc w:val="right"/>
              <w:rPr>
                <w:sz w:val="17"/>
              </w:rPr>
            </w:pPr>
            <w:r>
              <w:rPr>
                <w:color w:val="231F20"/>
                <w:w w:val="105"/>
                <w:sz w:val="17"/>
              </w:rPr>
              <w:t>5.6</w:t>
            </w:r>
          </w:p>
        </w:tc>
        <w:tc>
          <w:tcPr>
            <w:tcW w:w="711" w:type="dxa"/>
          </w:tcPr>
          <w:p>
            <w:pPr>
              <w:pStyle w:val="TableParagraph"/>
              <w:ind w:left="170" w:right="167"/>
              <w:rPr>
                <w:sz w:val="17"/>
              </w:rPr>
            </w:pPr>
            <w:r>
              <w:rPr>
                <w:color w:val="231F20"/>
                <w:w w:val="105"/>
                <w:sz w:val="17"/>
              </w:rPr>
              <w:t>13.9</w:t>
            </w:r>
          </w:p>
        </w:tc>
        <w:tc>
          <w:tcPr>
            <w:tcW w:w="708" w:type="dxa"/>
          </w:tcPr>
          <w:p>
            <w:pPr>
              <w:pStyle w:val="TableParagraph"/>
              <w:ind w:left="167" w:right="167"/>
              <w:rPr>
                <w:sz w:val="17"/>
              </w:rPr>
            </w:pPr>
            <w:r>
              <w:rPr>
                <w:color w:val="231F20"/>
                <w:w w:val="105"/>
                <w:sz w:val="17"/>
              </w:rPr>
              <w:t>19.2</w:t>
            </w:r>
          </w:p>
        </w:tc>
        <w:tc>
          <w:tcPr>
            <w:tcW w:w="705" w:type="dxa"/>
          </w:tcPr>
          <w:p>
            <w:pPr>
              <w:pStyle w:val="TableParagraph"/>
              <w:ind w:left="166" w:right="163"/>
              <w:rPr>
                <w:sz w:val="17"/>
              </w:rPr>
            </w:pPr>
            <w:r>
              <w:rPr>
                <w:color w:val="231F20"/>
                <w:w w:val="105"/>
                <w:sz w:val="17"/>
              </w:rPr>
              <w:t>27.0</w:t>
            </w:r>
          </w:p>
        </w:tc>
        <w:tc>
          <w:tcPr>
            <w:tcW w:w="532" w:type="dxa"/>
          </w:tcPr>
          <w:p>
            <w:pPr>
              <w:pStyle w:val="TableParagraph"/>
              <w:ind w:left="170"/>
              <w:rPr>
                <w:sz w:val="17"/>
              </w:rPr>
            </w:pPr>
            <w:r>
              <w:rPr>
                <w:color w:val="231F20"/>
                <w:w w:val="105"/>
                <w:sz w:val="17"/>
              </w:rPr>
              <w:t>19.9</w:t>
            </w:r>
          </w:p>
        </w:tc>
        <w:tc>
          <w:tcPr>
            <w:tcW w:w="899" w:type="dxa"/>
          </w:tcPr>
          <w:p>
            <w:pPr>
              <w:pStyle w:val="TableParagraph"/>
              <w:ind w:right="215"/>
              <w:jc w:val="right"/>
              <w:rPr>
                <w:sz w:val="17"/>
              </w:rPr>
            </w:pPr>
            <w:r>
              <w:rPr>
                <w:color w:val="231F20"/>
                <w:w w:val="105"/>
                <w:sz w:val="17"/>
              </w:rPr>
              <w:t>8.1</w:t>
            </w:r>
          </w:p>
        </w:tc>
        <w:tc>
          <w:tcPr>
            <w:tcW w:w="684" w:type="dxa"/>
          </w:tcPr>
          <w:p>
            <w:pPr>
              <w:pStyle w:val="TableParagraph"/>
              <w:ind w:left="200" w:right="209"/>
              <w:rPr>
                <w:sz w:val="17"/>
              </w:rPr>
            </w:pPr>
            <w:r>
              <w:rPr>
                <w:color w:val="231F20"/>
                <w:w w:val="105"/>
                <w:sz w:val="17"/>
              </w:rPr>
              <w:t>3.2</w:t>
            </w:r>
          </w:p>
        </w:tc>
        <w:tc>
          <w:tcPr>
            <w:tcW w:w="699" w:type="dxa"/>
          </w:tcPr>
          <w:p>
            <w:pPr>
              <w:pStyle w:val="TableParagraph"/>
              <w:ind w:left="211" w:right="211"/>
              <w:rPr>
                <w:sz w:val="17"/>
              </w:rPr>
            </w:pPr>
            <w:r>
              <w:rPr>
                <w:color w:val="231F20"/>
                <w:w w:val="105"/>
                <w:sz w:val="17"/>
              </w:rPr>
              <w:t>1.5</w:t>
            </w:r>
          </w:p>
        </w:tc>
        <w:tc>
          <w:tcPr>
            <w:tcW w:w="664" w:type="dxa"/>
          </w:tcPr>
          <w:p>
            <w:pPr>
              <w:pStyle w:val="TableParagraph"/>
              <w:ind w:right="192"/>
              <w:jc w:val="right"/>
              <w:rPr>
                <w:sz w:val="17"/>
              </w:rPr>
            </w:pPr>
            <w:r>
              <w:rPr>
                <w:color w:val="231F20"/>
                <w:w w:val="105"/>
                <w:sz w:val="17"/>
              </w:rPr>
              <w:t>1.6</w:t>
            </w:r>
          </w:p>
        </w:tc>
        <w:tc>
          <w:tcPr>
            <w:tcW w:w="719" w:type="dxa"/>
          </w:tcPr>
          <w:p>
            <w:pPr>
              <w:pStyle w:val="TableParagraph"/>
              <w:ind w:left="173" w:right="127"/>
              <w:rPr>
                <w:sz w:val="17"/>
              </w:rPr>
            </w:pPr>
            <w:r>
              <w:rPr>
                <w:color w:val="231F20"/>
                <w:sz w:val="17"/>
              </w:rPr>
              <w:t>100</w:t>
            </w:r>
          </w:p>
        </w:tc>
      </w:tr>
      <w:tr>
        <w:trPr>
          <w:trHeight w:val="210" w:hRule="exact"/>
        </w:trPr>
        <w:tc>
          <w:tcPr>
            <w:tcW w:w="695" w:type="dxa"/>
          </w:tcPr>
          <w:p>
            <w:pPr>
              <w:pStyle w:val="TableParagraph"/>
              <w:ind w:right="188"/>
              <w:jc w:val="right"/>
              <w:rPr>
                <w:sz w:val="17"/>
              </w:rPr>
            </w:pPr>
            <w:r>
              <w:rPr>
                <w:color w:val="231F20"/>
                <w:w w:val="105"/>
                <w:sz w:val="17"/>
              </w:rPr>
              <w:t>5.7</w:t>
            </w:r>
          </w:p>
        </w:tc>
        <w:tc>
          <w:tcPr>
            <w:tcW w:w="711" w:type="dxa"/>
          </w:tcPr>
          <w:p>
            <w:pPr>
              <w:pStyle w:val="TableParagraph"/>
              <w:ind w:left="170" w:right="167"/>
              <w:rPr>
                <w:sz w:val="17"/>
              </w:rPr>
            </w:pPr>
            <w:r>
              <w:rPr>
                <w:color w:val="231F20"/>
                <w:w w:val="105"/>
                <w:sz w:val="17"/>
              </w:rPr>
              <w:t>13.8</w:t>
            </w:r>
          </w:p>
        </w:tc>
        <w:tc>
          <w:tcPr>
            <w:tcW w:w="708" w:type="dxa"/>
          </w:tcPr>
          <w:p>
            <w:pPr>
              <w:pStyle w:val="TableParagraph"/>
              <w:ind w:left="167" w:right="167"/>
              <w:rPr>
                <w:sz w:val="17"/>
              </w:rPr>
            </w:pPr>
            <w:r>
              <w:rPr>
                <w:color w:val="231F20"/>
                <w:w w:val="105"/>
                <w:sz w:val="17"/>
              </w:rPr>
              <w:t>17.1</w:t>
            </w:r>
          </w:p>
        </w:tc>
        <w:tc>
          <w:tcPr>
            <w:tcW w:w="705" w:type="dxa"/>
          </w:tcPr>
          <w:p>
            <w:pPr>
              <w:pStyle w:val="TableParagraph"/>
              <w:ind w:left="166" w:right="163"/>
              <w:rPr>
                <w:sz w:val="17"/>
              </w:rPr>
            </w:pPr>
            <w:r>
              <w:rPr>
                <w:color w:val="231F20"/>
                <w:w w:val="105"/>
                <w:sz w:val="17"/>
              </w:rPr>
              <w:t>22.6</w:t>
            </w:r>
          </w:p>
        </w:tc>
        <w:tc>
          <w:tcPr>
            <w:tcW w:w="532" w:type="dxa"/>
          </w:tcPr>
          <w:p>
            <w:pPr>
              <w:pStyle w:val="TableParagraph"/>
              <w:ind w:left="170"/>
              <w:rPr>
                <w:sz w:val="17"/>
              </w:rPr>
            </w:pPr>
            <w:r>
              <w:rPr>
                <w:color w:val="231F20"/>
                <w:w w:val="105"/>
                <w:sz w:val="17"/>
              </w:rPr>
              <w:t>17.7</w:t>
            </w:r>
          </w:p>
        </w:tc>
        <w:tc>
          <w:tcPr>
            <w:tcW w:w="899" w:type="dxa"/>
          </w:tcPr>
          <w:p>
            <w:pPr>
              <w:pStyle w:val="TableParagraph"/>
              <w:ind w:right="215"/>
              <w:jc w:val="right"/>
              <w:rPr>
                <w:sz w:val="17"/>
              </w:rPr>
            </w:pPr>
            <w:r>
              <w:rPr>
                <w:color w:val="231F20"/>
                <w:sz w:val="17"/>
              </w:rPr>
              <w:t>10.6</w:t>
            </w:r>
          </w:p>
        </w:tc>
        <w:tc>
          <w:tcPr>
            <w:tcW w:w="684" w:type="dxa"/>
          </w:tcPr>
          <w:p>
            <w:pPr>
              <w:pStyle w:val="TableParagraph"/>
              <w:ind w:left="200" w:right="209"/>
              <w:rPr>
                <w:sz w:val="17"/>
              </w:rPr>
            </w:pPr>
            <w:r>
              <w:rPr>
                <w:color w:val="231F20"/>
                <w:w w:val="105"/>
                <w:sz w:val="17"/>
              </w:rPr>
              <w:t>5.6</w:t>
            </w:r>
          </w:p>
        </w:tc>
        <w:tc>
          <w:tcPr>
            <w:tcW w:w="699" w:type="dxa"/>
          </w:tcPr>
          <w:p>
            <w:pPr>
              <w:pStyle w:val="TableParagraph"/>
              <w:ind w:left="211" w:right="211"/>
              <w:rPr>
                <w:sz w:val="17"/>
              </w:rPr>
            </w:pPr>
            <w:r>
              <w:rPr>
                <w:color w:val="231F20"/>
                <w:w w:val="105"/>
                <w:sz w:val="17"/>
              </w:rPr>
              <w:t>3.2</w:t>
            </w:r>
          </w:p>
        </w:tc>
        <w:tc>
          <w:tcPr>
            <w:tcW w:w="664" w:type="dxa"/>
          </w:tcPr>
          <w:p>
            <w:pPr>
              <w:pStyle w:val="TableParagraph"/>
              <w:ind w:right="192"/>
              <w:jc w:val="right"/>
              <w:rPr>
                <w:sz w:val="17"/>
              </w:rPr>
            </w:pPr>
            <w:r>
              <w:rPr>
                <w:color w:val="231F20"/>
                <w:w w:val="105"/>
                <w:sz w:val="17"/>
              </w:rPr>
              <w:t>3.7</w:t>
            </w:r>
          </w:p>
        </w:tc>
        <w:tc>
          <w:tcPr>
            <w:tcW w:w="719" w:type="dxa"/>
          </w:tcPr>
          <w:p>
            <w:pPr>
              <w:pStyle w:val="TableParagraph"/>
              <w:ind w:left="173" w:right="127"/>
              <w:rPr>
                <w:sz w:val="17"/>
              </w:rPr>
            </w:pPr>
            <w:r>
              <w:rPr>
                <w:color w:val="231F20"/>
                <w:sz w:val="17"/>
              </w:rPr>
              <w:t>100</w:t>
            </w:r>
          </w:p>
        </w:tc>
      </w:tr>
      <w:tr>
        <w:trPr>
          <w:trHeight w:val="210" w:hRule="exact"/>
        </w:trPr>
        <w:tc>
          <w:tcPr>
            <w:tcW w:w="695" w:type="dxa"/>
          </w:tcPr>
          <w:p>
            <w:pPr>
              <w:pStyle w:val="TableParagraph"/>
              <w:ind w:right="188"/>
              <w:jc w:val="right"/>
              <w:rPr>
                <w:sz w:val="17"/>
              </w:rPr>
            </w:pPr>
            <w:r>
              <w:rPr>
                <w:color w:val="231F20"/>
                <w:w w:val="105"/>
                <w:sz w:val="17"/>
              </w:rPr>
              <w:t>4.8</w:t>
            </w:r>
          </w:p>
        </w:tc>
        <w:tc>
          <w:tcPr>
            <w:tcW w:w="711" w:type="dxa"/>
          </w:tcPr>
          <w:p>
            <w:pPr>
              <w:pStyle w:val="TableParagraph"/>
              <w:ind w:left="170" w:right="167"/>
              <w:rPr>
                <w:sz w:val="17"/>
              </w:rPr>
            </w:pPr>
            <w:r>
              <w:rPr>
                <w:color w:val="231F20"/>
                <w:w w:val="105"/>
                <w:sz w:val="17"/>
              </w:rPr>
              <w:t>12.1</w:t>
            </w:r>
          </w:p>
        </w:tc>
        <w:tc>
          <w:tcPr>
            <w:tcW w:w="708" w:type="dxa"/>
          </w:tcPr>
          <w:p>
            <w:pPr>
              <w:pStyle w:val="TableParagraph"/>
              <w:ind w:left="167" w:right="167"/>
              <w:rPr>
                <w:sz w:val="17"/>
              </w:rPr>
            </w:pPr>
            <w:r>
              <w:rPr>
                <w:color w:val="231F20"/>
                <w:w w:val="105"/>
                <w:sz w:val="17"/>
              </w:rPr>
              <w:t>16.7</w:t>
            </w:r>
          </w:p>
        </w:tc>
        <w:tc>
          <w:tcPr>
            <w:tcW w:w="705" w:type="dxa"/>
          </w:tcPr>
          <w:p>
            <w:pPr>
              <w:pStyle w:val="TableParagraph"/>
              <w:ind w:left="166" w:right="163"/>
              <w:rPr>
                <w:sz w:val="17"/>
              </w:rPr>
            </w:pPr>
            <w:r>
              <w:rPr>
                <w:color w:val="231F20"/>
                <w:w w:val="105"/>
                <w:sz w:val="17"/>
              </w:rPr>
              <w:t>23.9</w:t>
            </w:r>
          </w:p>
        </w:tc>
        <w:tc>
          <w:tcPr>
            <w:tcW w:w="532" w:type="dxa"/>
          </w:tcPr>
          <w:p>
            <w:pPr>
              <w:pStyle w:val="TableParagraph"/>
              <w:ind w:left="170"/>
              <w:rPr>
                <w:sz w:val="17"/>
              </w:rPr>
            </w:pPr>
            <w:r>
              <w:rPr>
                <w:color w:val="231F20"/>
                <w:w w:val="105"/>
                <w:sz w:val="17"/>
              </w:rPr>
              <w:t>19.1</w:t>
            </w:r>
          </w:p>
        </w:tc>
        <w:tc>
          <w:tcPr>
            <w:tcW w:w="899" w:type="dxa"/>
          </w:tcPr>
          <w:p>
            <w:pPr>
              <w:pStyle w:val="TableParagraph"/>
              <w:ind w:right="215"/>
              <w:jc w:val="right"/>
              <w:rPr>
                <w:sz w:val="17"/>
              </w:rPr>
            </w:pPr>
            <w:r>
              <w:rPr>
                <w:color w:val="231F20"/>
                <w:sz w:val="17"/>
              </w:rPr>
              <w:t>10.9</w:t>
            </w:r>
          </w:p>
        </w:tc>
        <w:tc>
          <w:tcPr>
            <w:tcW w:w="684" w:type="dxa"/>
          </w:tcPr>
          <w:p>
            <w:pPr>
              <w:pStyle w:val="TableParagraph"/>
              <w:ind w:left="200" w:right="209"/>
              <w:rPr>
                <w:sz w:val="17"/>
              </w:rPr>
            </w:pPr>
            <w:r>
              <w:rPr>
                <w:color w:val="231F20"/>
                <w:w w:val="105"/>
                <w:sz w:val="17"/>
              </w:rPr>
              <w:t>5.5</w:t>
            </w:r>
          </w:p>
        </w:tc>
        <w:tc>
          <w:tcPr>
            <w:tcW w:w="699" w:type="dxa"/>
          </w:tcPr>
          <w:p>
            <w:pPr>
              <w:pStyle w:val="TableParagraph"/>
              <w:ind w:left="211" w:right="211"/>
              <w:rPr>
                <w:sz w:val="17"/>
              </w:rPr>
            </w:pPr>
            <w:r>
              <w:rPr>
                <w:color w:val="231F20"/>
                <w:w w:val="105"/>
                <w:sz w:val="17"/>
              </w:rPr>
              <w:t>3.1</w:t>
            </w:r>
          </w:p>
        </w:tc>
        <w:tc>
          <w:tcPr>
            <w:tcW w:w="664" w:type="dxa"/>
          </w:tcPr>
          <w:p>
            <w:pPr>
              <w:pStyle w:val="TableParagraph"/>
              <w:ind w:right="192"/>
              <w:jc w:val="right"/>
              <w:rPr>
                <w:sz w:val="17"/>
              </w:rPr>
            </w:pPr>
            <w:r>
              <w:rPr>
                <w:color w:val="231F20"/>
                <w:w w:val="105"/>
                <w:sz w:val="17"/>
              </w:rPr>
              <w:t>3.9</w:t>
            </w:r>
          </w:p>
        </w:tc>
        <w:tc>
          <w:tcPr>
            <w:tcW w:w="719" w:type="dxa"/>
          </w:tcPr>
          <w:p>
            <w:pPr>
              <w:pStyle w:val="TableParagraph"/>
              <w:ind w:left="173" w:right="127"/>
              <w:rPr>
                <w:sz w:val="17"/>
              </w:rPr>
            </w:pPr>
            <w:r>
              <w:rPr>
                <w:color w:val="231F20"/>
                <w:sz w:val="17"/>
              </w:rPr>
              <w:t>100</w:t>
            </w:r>
          </w:p>
        </w:tc>
      </w:tr>
      <w:tr>
        <w:trPr>
          <w:trHeight w:val="210" w:hRule="exact"/>
        </w:trPr>
        <w:tc>
          <w:tcPr>
            <w:tcW w:w="695" w:type="dxa"/>
          </w:tcPr>
          <w:p>
            <w:pPr>
              <w:pStyle w:val="TableParagraph"/>
              <w:ind w:right="188"/>
              <w:jc w:val="right"/>
              <w:rPr>
                <w:sz w:val="17"/>
              </w:rPr>
            </w:pPr>
            <w:r>
              <w:rPr>
                <w:color w:val="231F20"/>
                <w:w w:val="105"/>
                <w:sz w:val="17"/>
              </w:rPr>
              <w:t>5.6</w:t>
            </w:r>
          </w:p>
        </w:tc>
        <w:tc>
          <w:tcPr>
            <w:tcW w:w="711" w:type="dxa"/>
          </w:tcPr>
          <w:p>
            <w:pPr>
              <w:pStyle w:val="TableParagraph"/>
              <w:ind w:left="170" w:right="167"/>
              <w:rPr>
                <w:sz w:val="17"/>
              </w:rPr>
            </w:pPr>
            <w:r>
              <w:rPr>
                <w:color w:val="231F20"/>
                <w:w w:val="105"/>
                <w:sz w:val="17"/>
              </w:rPr>
              <w:t>12.5</w:t>
            </w:r>
          </w:p>
        </w:tc>
        <w:tc>
          <w:tcPr>
            <w:tcW w:w="708" w:type="dxa"/>
          </w:tcPr>
          <w:p>
            <w:pPr>
              <w:pStyle w:val="TableParagraph"/>
              <w:ind w:left="167" w:right="167"/>
              <w:rPr>
                <w:sz w:val="17"/>
              </w:rPr>
            </w:pPr>
            <w:r>
              <w:rPr>
                <w:color w:val="231F20"/>
                <w:w w:val="105"/>
                <w:sz w:val="17"/>
              </w:rPr>
              <w:t>18.1</w:t>
            </w:r>
          </w:p>
        </w:tc>
        <w:tc>
          <w:tcPr>
            <w:tcW w:w="705" w:type="dxa"/>
          </w:tcPr>
          <w:p>
            <w:pPr>
              <w:pStyle w:val="TableParagraph"/>
              <w:ind w:left="166" w:right="163"/>
              <w:rPr>
                <w:sz w:val="17"/>
              </w:rPr>
            </w:pPr>
            <w:r>
              <w:rPr>
                <w:color w:val="231F20"/>
                <w:w w:val="105"/>
                <w:sz w:val="17"/>
              </w:rPr>
              <w:t>25.6</w:t>
            </w:r>
          </w:p>
        </w:tc>
        <w:tc>
          <w:tcPr>
            <w:tcW w:w="532" w:type="dxa"/>
          </w:tcPr>
          <w:p>
            <w:pPr>
              <w:pStyle w:val="TableParagraph"/>
              <w:ind w:left="170"/>
              <w:rPr>
                <w:sz w:val="17"/>
              </w:rPr>
            </w:pPr>
            <w:r>
              <w:rPr>
                <w:color w:val="231F20"/>
                <w:w w:val="105"/>
                <w:sz w:val="17"/>
              </w:rPr>
              <w:t>18.9</w:t>
            </w:r>
          </w:p>
        </w:tc>
        <w:tc>
          <w:tcPr>
            <w:tcW w:w="899" w:type="dxa"/>
          </w:tcPr>
          <w:p>
            <w:pPr>
              <w:pStyle w:val="TableParagraph"/>
              <w:ind w:right="215"/>
              <w:jc w:val="right"/>
              <w:rPr>
                <w:sz w:val="17"/>
              </w:rPr>
            </w:pPr>
            <w:r>
              <w:rPr>
                <w:color w:val="231F20"/>
                <w:w w:val="105"/>
                <w:sz w:val="17"/>
              </w:rPr>
              <w:t>9.4</w:t>
            </w:r>
          </w:p>
        </w:tc>
        <w:tc>
          <w:tcPr>
            <w:tcW w:w="684" w:type="dxa"/>
          </w:tcPr>
          <w:p>
            <w:pPr>
              <w:pStyle w:val="TableParagraph"/>
              <w:ind w:left="200" w:right="209"/>
              <w:rPr>
                <w:sz w:val="17"/>
              </w:rPr>
            </w:pPr>
            <w:r>
              <w:rPr>
                <w:color w:val="231F20"/>
                <w:w w:val="105"/>
                <w:sz w:val="17"/>
              </w:rPr>
              <w:t>4.4</w:t>
            </w:r>
          </w:p>
        </w:tc>
        <w:tc>
          <w:tcPr>
            <w:tcW w:w="699" w:type="dxa"/>
          </w:tcPr>
          <w:p>
            <w:pPr>
              <w:pStyle w:val="TableParagraph"/>
              <w:ind w:left="211" w:right="211"/>
              <w:rPr>
                <w:sz w:val="17"/>
              </w:rPr>
            </w:pPr>
            <w:r>
              <w:rPr>
                <w:color w:val="231F20"/>
                <w:w w:val="105"/>
                <w:sz w:val="17"/>
              </w:rPr>
              <w:t>2.4</w:t>
            </w:r>
          </w:p>
        </w:tc>
        <w:tc>
          <w:tcPr>
            <w:tcW w:w="664" w:type="dxa"/>
          </w:tcPr>
          <w:p>
            <w:pPr>
              <w:pStyle w:val="TableParagraph"/>
              <w:ind w:right="192"/>
              <w:jc w:val="right"/>
              <w:rPr>
                <w:sz w:val="17"/>
              </w:rPr>
            </w:pPr>
            <w:r>
              <w:rPr>
                <w:color w:val="231F20"/>
                <w:w w:val="105"/>
                <w:sz w:val="17"/>
              </w:rPr>
              <w:t>3.1</w:t>
            </w:r>
          </w:p>
        </w:tc>
        <w:tc>
          <w:tcPr>
            <w:tcW w:w="719" w:type="dxa"/>
          </w:tcPr>
          <w:p>
            <w:pPr>
              <w:pStyle w:val="TableParagraph"/>
              <w:ind w:left="173" w:right="127"/>
              <w:rPr>
                <w:sz w:val="17"/>
              </w:rPr>
            </w:pPr>
            <w:r>
              <w:rPr>
                <w:color w:val="231F20"/>
                <w:sz w:val="17"/>
              </w:rPr>
              <w:t>100</w:t>
            </w:r>
          </w:p>
        </w:tc>
      </w:tr>
      <w:tr>
        <w:trPr>
          <w:trHeight w:val="210" w:hRule="exact"/>
        </w:trPr>
        <w:tc>
          <w:tcPr>
            <w:tcW w:w="695" w:type="dxa"/>
          </w:tcPr>
          <w:p>
            <w:pPr>
              <w:pStyle w:val="TableParagraph"/>
              <w:ind w:right="188"/>
              <w:jc w:val="right"/>
              <w:rPr>
                <w:sz w:val="17"/>
              </w:rPr>
            </w:pPr>
            <w:r>
              <w:rPr>
                <w:color w:val="231F20"/>
                <w:sz w:val="17"/>
              </w:rPr>
              <w:t>11.2</w:t>
            </w:r>
          </w:p>
        </w:tc>
        <w:tc>
          <w:tcPr>
            <w:tcW w:w="711" w:type="dxa"/>
          </w:tcPr>
          <w:p>
            <w:pPr>
              <w:pStyle w:val="TableParagraph"/>
              <w:ind w:left="170" w:right="167"/>
              <w:rPr>
                <w:sz w:val="17"/>
              </w:rPr>
            </w:pPr>
            <w:r>
              <w:rPr>
                <w:color w:val="231F20"/>
                <w:w w:val="105"/>
                <w:sz w:val="17"/>
              </w:rPr>
              <w:t>16.2</w:t>
            </w:r>
          </w:p>
        </w:tc>
        <w:tc>
          <w:tcPr>
            <w:tcW w:w="708" w:type="dxa"/>
          </w:tcPr>
          <w:p>
            <w:pPr>
              <w:pStyle w:val="TableParagraph"/>
              <w:ind w:left="167" w:right="167"/>
              <w:rPr>
                <w:sz w:val="17"/>
              </w:rPr>
            </w:pPr>
            <w:r>
              <w:rPr>
                <w:color w:val="231F20"/>
                <w:w w:val="105"/>
                <w:sz w:val="17"/>
              </w:rPr>
              <w:t>20.1</w:t>
            </w:r>
          </w:p>
        </w:tc>
        <w:tc>
          <w:tcPr>
            <w:tcW w:w="705" w:type="dxa"/>
          </w:tcPr>
          <w:p>
            <w:pPr>
              <w:pStyle w:val="TableParagraph"/>
              <w:ind w:left="166" w:right="163"/>
              <w:rPr>
                <w:sz w:val="17"/>
              </w:rPr>
            </w:pPr>
            <w:r>
              <w:rPr>
                <w:color w:val="231F20"/>
                <w:w w:val="105"/>
                <w:sz w:val="17"/>
              </w:rPr>
              <w:t>24.1</w:t>
            </w:r>
          </w:p>
        </w:tc>
        <w:tc>
          <w:tcPr>
            <w:tcW w:w="532" w:type="dxa"/>
          </w:tcPr>
          <w:p>
            <w:pPr>
              <w:pStyle w:val="TableParagraph"/>
              <w:ind w:left="170"/>
              <w:rPr>
                <w:sz w:val="17"/>
              </w:rPr>
            </w:pPr>
            <w:r>
              <w:rPr>
                <w:color w:val="231F20"/>
                <w:w w:val="105"/>
                <w:sz w:val="17"/>
              </w:rPr>
              <w:t>15.1</w:t>
            </w:r>
          </w:p>
        </w:tc>
        <w:tc>
          <w:tcPr>
            <w:tcW w:w="899" w:type="dxa"/>
          </w:tcPr>
          <w:p>
            <w:pPr>
              <w:pStyle w:val="TableParagraph"/>
              <w:ind w:right="215"/>
              <w:jc w:val="right"/>
              <w:rPr>
                <w:sz w:val="17"/>
              </w:rPr>
            </w:pPr>
            <w:r>
              <w:rPr>
                <w:color w:val="231F20"/>
                <w:w w:val="105"/>
                <w:sz w:val="17"/>
              </w:rPr>
              <w:t>7.1</w:t>
            </w:r>
          </w:p>
        </w:tc>
        <w:tc>
          <w:tcPr>
            <w:tcW w:w="684" w:type="dxa"/>
          </w:tcPr>
          <w:p>
            <w:pPr>
              <w:pStyle w:val="TableParagraph"/>
              <w:ind w:left="200" w:right="209"/>
              <w:rPr>
                <w:sz w:val="17"/>
              </w:rPr>
            </w:pPr>
            <w:r>
              <w:rPr>
                <w:color w:val="231F20"/>
                <w:w w:val="105"/>
                <w:sz w:val="17"/>
              </w:rPr>
              <w:t>3.0</w:t>
            </w:r>
          </w:p>
        </w:tc>
        <w:tc>
          <w:tcPr>
            <w:tcW w:w="699" w:type="dxa"/>
          </w:tcPr>
          <w:p>
            <w:pPr>
              <w:pStyle w:val="TableParagraph"/>
              <w:ind w:left="211" w:right="211"/>
              <w:rPr>
                <w:sz w:val="17"/>
              </w:rPr>
            </w:pPr>
            <w:r>
              <w:rPr>
                <w:color w:val="231F20"/>
                <w:w w:val="105"/>
                <w:sz w:val="17"/>
              </w:rPr>
              <w:t>1.5</w:t>
            </w:r>
          </w:p>
        </w:tc>
        <w:tc>
          <w:tcPr>
            <w:tcW w:w="664" w:type="dxa"/>
          </w:tcPr>
          <w:p>
            <w:pPr>
              <w:pStyle w:val="TableParagraph"/>
              <w:ind w:right="192"/>
              <w:jc w:val="right"/>
              <w:rPr>
                <w:sz w:val="17"/>
              </w:rPr>
            </w:pPr>
            <w:r>
              <w:rPr>
                <w:color w:val="231F20"/>
                <w:w w:val="105"/>
                <w:sz w:val="17"/>
              </w:rPr>
              <w:t>1.7</w:t>
            </w:r>
          </w:p>
        </w:tc>
        <w:tc>
          <w:tcPr>
            <w:tcW w:w="719" w:type="dxa"/>
          </w:tcPr>
          <w:p>
            <w:pPr>
              <w:pStyle w:val="TableParagraph"/>
              <w:ind w:left="173" w:right="127"/>
              <w:rPr>
                <w:sz w:val="17"/>
              </w:rPr>
            </w:pPr>
            <w:r>
              <w:rPr>
                <w:color w:val="231F20"/>
                <w:sz w:val="17"/>
              </w:rPr>
              <w:t>100</w:t>
            </w:r>
          </w:p>
        </w:tc>
      </w:tr>
      <w:tr>
        <w:trPr>
          <w:trHeight w:val="210" w:hRule="exact"/>
        </w:trPr>
        <w:tc>
          <w:tcPr>
            <w:tcW w:w="695" w:type="dxa"/>
          </w:tcPr>
          <w:p>
            <w:pPr>
              <w:pStyle w:val="TableParagraph"/>
              <w:ind w:right="188"/>
              <w:jc w:val="right"/>
              <w:rPr>
                <w:sz w:val="17"/>
              </w:rPr>
            </w:pPr>
            <w:r>
              <w:rPr>
                <w:color w:val="231F20"/>
                <w:w w:val="105"/>
                <w:sz w:val="17"/>
              </w:rPr>
              <w:t>6.0</w:t>
            </w:r>
          </w:p>
        </w:tc>
        <w:tc>
          <w:tcPr>
            <w:tcW w:w="711" w:type="dxa"/>
          </w:tcPr>
          <w:p>
            <w:pPr>
              <w:pStyle w:val="TableParagraph"/>
              <w:ind w:left="170" w:right="167"/>
              <w:rPr>
                <w:sz w:val="17"/>
              </w:rPr>
            </w:pPr>
            <w:r>
              <w:rPr>
                <w:color w:val="231F20"/>
                <w:w w:val="105"/>
                <w:sz w:val="17"/>
              </w:rPr>
              <w:t>13.0</w:t>
            </w:r>
          </w:p>
        </w:tc>
        <w:tc>
          <w:tcPr>
            <w:tcW w:w="708" w:type="dxa"/>
          </w:tcPr>
          <w:p>
            <w:pPr>
              <w:pStyle w:val="TableParagraph"/>
              <w:ind w:left="167" w:right="167"/>
              <w:rPr>
                <w:sz w:val="17"/>
              </w:rPr>
            </w:pPr>
            <w:r>
              <w:rPr>
                <w:color w:val="231F20"/>
                <w:w w:val="105"/>
                <w:sz w:val="17"/>
              </w:rPr>
              <w:t>17.5</w:t>
            </w:r>
          </w:p>
        </w:tc>
        <w:tc>
          <w:tcPr>
            <w:tcW w:w="705" w:type="dxa"/>
          </w:tcPr>
          <w:p>
            <w:pPr>
              <w:pStyle w:val="TableParagraph"/>
              <w:ind w:left="166" w:right="163"/>
              <w:rPr>
                <w:sz w:val="17"/>
              </w:rPr>
            </w:pPr>
            <w:r>
              <w:rPr>
                <w:color w:val="231F20"/>
                <w:w w:val="105"/>
                <w:sz w:val="17"/>
              </w:rPr>
              <w:t>23.1</w:t>
            </w:r>
          </w:p>
        </w:tc>
        <w:tc>
          <w:tcPr>
            <w:tcW w:w="532" w:type="dxa"/>
          </w:tcPr>
          <w:p>
            <w:pPr>
              <w:pStyle w:val="TableParagraph"/>
              <w:ind w:left="170"/>
              <w:rPr>
                <w:sz w:val="17"/>
              </w:rPr>
            </w:pPr>
            <w:r>
              <w:rPr>
                <w:color w:val="231F20"/>
                <w:w w:val="105"/>
                <w:sz w:val="17"/>
              </w:rPr>
              <w:t>18.7</w:t>
            </w:r>
          </w:p>
        </w:tc>
        <w:tc>
          <w:tcPr>
            <w:tcW w:w="899" w:type="dxa"/>
          </w:tcPr>
          <w:p>
            <w:pPr>
              <w:pStyle w:val="TableParagraph"/>
              <w:ind w:right="215"/>
              <w:jc w:val="right"/>
              <w:rPr>
                <w:sz w:val="17"/>
              </w:rPr>
            </w:pPr>
            <w:r>
              <w:rPr>
                <w:color w:val="231F20"/>
                <w:sz w:val="17"/>
              </w:rPr>
              <w:t>10.5</w:t>
            </w:r>
          </w:p>
        </w:tc>
        <w:tc>
          <w:tcPr>
            <w:tcW w:w="684" w:type="dxa"/>
          </w:tcPr>
          <w:p>
            <w:pPr>
              <w:pStyle w:val="TableParagraph"/>
              <w:ind w:left="200" w:right="209"/>
              <w:rPr>
                <w:sz w:val="17"/>
              </w:rPr>
            </w:pPr>
            <w:r>
              <w:rPr>
                <w:color w:val="231F20"/>
                <w:w w:val="105"/>
                <w:sz w:val="17"/>
              </w:rPr>
              <w:t>5.1</w:t>
            </w:r>
          </w:p>
        </w:tc>
        <w:tc>
          <w:tcPr>
            <w:tcW w:w="699" w:type="dxa"/>
          </w:tcPr>
          <w:p>
            <w:pPr>
              <w:pStyle w:val="TableParagraph"/>
              <w:ind w:left="211" w:right="211"/>
              <w:rPr>
                <w:sz w:val="17"/>
              </w:rPr>
            </w:pPr>
            <w:r>
              <w:rPr>
                <w:color w:val="231F20"/>
                <w:w w:val="105"/>
                <w:sz w:val="17"/>
              </w:rPr>
              <w:t>2.8</w:t>
            </w:r>
          </w:p>
        </w:tc>
        <w:tc>
          <w:tcPr>
            <w:tcW w:w="664" w:type="dxa"/>
          </w:tcPr>
          <w:p>
            <w:pPr>
              <w:pStyle w:val="TableParagraph"/>
              <w:ind w:right="192"/>
              <w:jc w:val="right"/>
              <w:rPr>
                <w:sz w:val="17"/>
              </w:rPr>
            </w:pPr>
            <w:r>
              <w:rPr>
                <w:color w:val="231F20"/>
                <w:w w:val="105"/>
                <w:sz w:val="17"/>
              </w:rPr>
              <w:t>3.2</w:t>
            </w:r>
          </w:p>
        </w:tc>
        <w:tc>
          <w:tcPr>
            <w:tcW w:w="719" w:type="dxa"/>
          </w:tcPr>
          <w:p>
            <w:pPr>
              <w:pStyle w:val="TableParagraph"/>
              <w:ind w:left="173" w:right="127"/>
              <w:rPr>
                <w:sz w:val="17"/>
              </w:rPr>
            </w:pPr>
            <w:r>
              <w:rPr>
                <w:color w:val="231F20"/>
                <w:sz w:val="17"/>
              </w:rPr>
              <w:t>100</w:t>
            </w:r>
          </w:p>
        </w:tc>
      </w:tr>
      <w:tr>
        <w:trPr>
          <w:trHeight w:val="210" w:hRule="exact"/>
        </w:trPr>
        <w:tc>
          <w:tcPr>
            <w:tcW w:w="695" w:type="dxa"/>
          </w:tcPr>
          <w:p>
            <w:pPr>
              <w:pStyle w:val="TableParagraph"/>
              <w:ind w:right="188"/>
              <w:jc w:val="right"/>
              <w:rPr>
                <w:sz w:val="17"/>
              </w:rPr>
            </w:pPr>
            <w:r>
              <w:rPr>
                <w:color w:val="231F20"/>
                <w:w w:val="105"/>
                <w:sz w:val="17"/>
              </w:rPr>
              <w:t>6.4</w:t>
            </w:r>
          </w:p>
        </w:tc>
        <w:tc>
          <w:tcPr>
            <w:tcW w:w="711" w:type="dxa"/>
          </w:tcPr>
          <w:p>
            <w:pPr>
              <w:pStyle w:val="TableParagraph"/>
              <w:ind w:left="170" w:right="167"/>
              <w:rPr>
                <w:sz w:val="17"/>
              </w:rPr>
            </w:pPr>
            <w:r>
              <w:rPr>
                <w:color w:val="231F20"/>
                <w:w w:val="105"/>
                <w:sz w:val="17"/>
              </w:rPr>
              <w:t>13.3</w:t>
            </w:r>
          </w:p>
        </w:tc>
        <w:tc>
          <w:tcPr>
            <w:tcW w:w="708" w:type="dxa"/>
          </w:tcPr>
          <w:p>
            <w:pPr>
              <w:pStyle w:val="TableParagraph"/>
              <w:ind w:left="167" w:right="167"/>
              <w:rPr>
                <w:sz w:val="17"/>
              </w:rPr>
            </w:pPr>
            <w:r>
              <w:rPr>
                <w:color w:val="231F20"/>
                <w:w w:val="105"/>
                <w:sz w:val="17"/>
              </w:rPr>
              <w:t>18.8</w:t>
            </w:r>
          </w:p>
        </w:tc>
        <w:tc>
          <w:tcPr>
            <w:tcW w:w="705" w:type="dxa"/>
          </w:tcPr>
          <w:p>
            <w:pPr>
              <w:pStyle w:val="TableParagraph"/>
              <w:ind w:left="166" w:right="163"/>
              <w:rPr>
                <w:sz w:val="17"/>
              </w:rPr>
            </w:pPr>
            <w:r>
              <w:rPr>
                <w:color w:val="231F20"/>
                <w:w w:val="105"/>
                <w:sz w:val="17"/>
              </w:rPr>
              <w:t>25.2</w:t>
            </w:r>
          </w:p>
        </w:tc>
        <w:tc>
          <w:tcPr>
            <w:tcW w:w="532" w:type="dxa"/>
          </w:tcPr>
          <w:p>
            <w:pPr>
              <w:pStyle w:val="TableParagraph"/>
              <w:ind w:left="170"/>
              <w:rPr>
                <w:sz w:val="17"/>
              </w:rPr>
            </w:pPr>
            <w:r>
              <w:rPr>
                <w:color w:val="231F20"/>
                <w:w w:val="105"/>
                <w:sz w:val="17"/>
              </w:rPr>
              <w:t>20.5</w:t>
            </w:r>
          </w:p>
        </w:tc>
        <w:tc>
          <w:tcPr>
            <w:tcW w:w="899" w:type="dxa"/>
          </w:tcPr>
          <w:p>
            <w:pPr>
              <w:pStyle w:val="TableParagraph"/>
              <w:ind w:right="215"/>
              <w:jc w:val="right"/>
              <w:rPr>
                <w:sz w:val="17"/>
              </w:rPr>
            </w:pPr>
            <w:r>
              <w:rPr>
                <w:color w:val="231F20"/>
                <w:w w:val="105"/>
                <w:sz w:val="17"/>
              </w:rPr>
              <w:t>8.9</w:t>
            </w:r>
          </w:p>
        </w:tc>
        <w:tc>
          <w:tcPr>
            <w:tcW w:w="684" w:type="dxa"/>
          </w:tcPr>
          <w:p>
            <w:pPr>
              <w:pStyle w:val="TableParagraph"/>
              <w:ind w:left="200" w:right="209"/>
              <w:rPr>
                <w:sz w:val="17"/>
              </w:rPr>
            </w:pPr>
            <w:r>
              <w:rPr>
                <w:color w:val="231F20"/>
                <w:w w:val="105"/>
                <w:sz w:val="17"/>
              </w:rPr>
              <w:t>3.5</w:t>
            </w:r>
          </w:p>
        </w:tc>
        <w:tc>
          <w:tcPr>
            <w:tcW w:w="699" w:type="dxa"/>
          </w:tcPr>
          <w:p>
            <w:pPr>
              <w:pStyle w:val="TableParagraph"/>
              <w:ind w:left="211" w:right="211"/>
              <w:rPr>
                <w:sz w:val="17"/>
              </w:rPr>
            </w:pPr>
            <w:r>
              <w:rPr>
                <w:color w:val="231F20"/>
                <w:w w:val="105"/>
                <w:sz w:val="17"/>
              </w:rPr>
              <w:t>1.7</w:t>
            </w:r>
          </w:p>
        </w:tc>
        <w:tc>
          <w:tcPr>
            <w:tcW w:w="664" w:type="dxa"/>
          </w:tcPr>
          <w:p>
            <w:pPr>
              <w:pStyle w:val="TableParagraph"/>
              <w:ind w:right="192"/>
              <w:jc w:val="right"/>
              <w:rPr>
                <w:sz w:val="17"/>
              </w:rPr>
            </w:pPr>
            <w:r>
              <w:rPr>
                <w:color w:val="231F20"/>
                <w:w w:val="105"/>
                <w:sz w:val="17"/>
              </w:rPr>
              <w:t>1.7</w:t>
            </w:r>
          </w:p>
        </w:tc>
        <w:tc>
          <w:tcPr>
            <w:tcW w:w="719" w:type="dxa"/>
          </w:tcPr>
          <w:p>
            <w:pPr>
              <w:pStyle w:val="TableParagraph"/>
              <w:ind w:left="173" w:right="127"/>
              <w:rPr>
                <w:sz w:val="17"/>
              </w:rPr>
            </w:pPr>
            <w:r>
              <w:rPr>
                <w:color w:val="231F20"/>
                <w:sz w:val="17"/>
              </w:rPr>
              <w:t>100</w:t>
            </w:r>
          </w:p>
        </w:tc>
      </w:tr>
      <w:tr>
        <w:trPr>
          <w:trHeight w:val="210" w:hRule="exact"/>
        </w:trPr>
        <w:tc>
          <w:tcPr>
            <w:tcW w:w="695" w:type="dxa"/>
          </w:tcPr>
          <w:p>
            <w:pPr>
              <w:pStyle w:val="TableParagraph"/>
              <w:ind w:right="188"/>
              <w:jc w:val="right"/>
              <w:rPr>
                <w:sz w:val="17"/>
              </w:rPr>
            </w:pPr>
            <w:r>
              <w:rPr>
                <w:color w:val="231F20"/>
                <w:w w:val="105"/>
                <w:sz w:val="17"/>
              </w:rPr>
              <w:t>8.8</w:t>
            </w:r>
          </w:p>
        </w:tc>
        <w:tc>
          <w:tcPr>
            <w:tcW w:w="711" w:type="dxa"/>
          </w:tcPr>
          <w:p>
            <w:pPr>
              <w:pStyle w:val="TableParagraph"/>
              <w:ind w:left="170" w:right="167"/>
              <w:rPr>
                <w:sz w:val="17"/>
              </w:rPr>
            </w:pPr>
            <w:r>
              <w:rPr>
                <w:color w:val="231F20"/>
                <w:w w:val="105"/>
                <w:sz w:val="17"/>
              </w:rPr>
              <w:t>13.9</w:t>
            </w:r>
          </w:p>
        </w:tc>
        <w:tc>
          <w:tcPr>
            <w:tcW w:w="708" w:type="dxa"/>
          </w:tcPr>
          <w:p>
            <w:pPr>
              <w:pStyle w:val="TableParagraph"/>
              <w:ind w:left="167" w:right="167"/>
              <w:rPr>
                <w:sz w:val="17"/>
              </w:rPr>
            </w:pPr>
            <w:r>
              <w:rPr>
                <w:color w:val="231F20"/>
                <w:w w:val="105"/>
                <w:sz w:val="17"/>
              </w:rPr>
              <w:t>19.0</w:t>
            </w:r>
          </w:p>
        </w:tc>
        <w:tc>
          <w:tcPr>
            <w:tcW w:w="705" w:type="dxa"/>
          </w:tcPr>
          <w:p>
            <w:pPr>
              <w:pStyle w:val="TableParagraph"/>
              <w:ind w:left="166" w:right="163"/>
              <w:rPr>
                <w:sz w:val="17"/>
              </w:rPr>
            </w:pPr>
            <w:r>
              <w:rPr>
                <w:color w:val="231F20"/>
                <w:w w:val="105"/>
                <w:sz w:val="17"/>
              </w:rPr>
              <w:t>25.3</w:t>
            </w:r>
          </w:p>
        </w:tc>
        <w:tc>
          <w:tcPr>
            <w:tcW w:w="532" w:type="dxa"/>
          </w:tcPr>
          <w:p>
            <w:pPr>
              <w:pStyle w:val="TableParagraph"/>
              <w:ind w:left="170"/>
              <w:rPr>
                <w:sz w:val="17"/>
              </w:rPr>
            </w:pPr>
            <w:r>
              <w:rPr>
                <w:color w:val="231F20"/>
                <w:w w:val="105"/>
                <w:sz w:val="17"/>
              </w:rPr>
              <w:t>19.4</w:t>
            </w:r>
          </w:p>
        </w:tc>
        <w:tc>
          <w:tcPr>
            <w:tcW w:w="899" w:type="dxa"/>
          </w:tcPr>
          <w:p>
            <w:pPr>
              <w:pStyle w:val="TableParagraph"/>
              <w:ind w:right="215"/>
              <w:jc w:val="right"/>
              <w:rPr>
                <w:sz w:val="17"/>
              </w:rPr>
            </w:pPr>
            <w:r>
              <w:rPr>
                <w:color w:val="231F20"/>
                <w:w w:val="105"/>
                <w:sz w:val="17"/>
              </w:rPr>
              <w:t>8.0</w:t>
            </w:r>
          </w:p>
        </w:tc>
        <w:tc>
          <w:tcPr>
            <w:tcW w:w="684" w:type="dxa"/>
          </w:tcPr>
          <w:p>
            <w:pPr>
              <w:pStyle w:val="TableParagraph"/>
              <w:ind w:left="200" w:right="209"/>
              <w:rPr>
                <w:sz w:val="17"/>
              </w:rPr>
            </w:pPr>
            <w:r>
              <w:rPr>
                <w:color w:val="231F20"/>
                <w:w w:val="105"/>
                <w:sz w:val="17"/>
              </w:rPr>
              <w:t>3.1</w:t>
            </w:r>
          </w:p>
        </w:tc>
        <w:tc>
          <w:tcPr>
            <w:tcW w:w="699" w:type="dxa"/>
          </w:tcPr>
          <w:p>
            <w:pPr>
              <w:pStyle w:val="TableParagraph"/>
              <w:ind w:left="210" w:right="212"/>
              <w:rPr>
                <w:sz w:val="17"/>
              </w:rPr>
            </w:pPr>
            <w:r>
              <w:rPr>
                <w:color w:val="231F20"/>
                <w:w w:val="105"/>
                <w:sz w:val="17"/>
              </w:rPr>
              <w:t>1.4</w:t>
            </w:r>
          </w:p>
        </w:tc>
        <w:tc>
          <w:tcPr>
            <w:tcW w:w="664" w:type="dxa"/>
          </w:tcPr>
          <w:p>
            <w:pPr>
              <w:pStyle w:val="TableParagraph"/>
              <w:ind w:right="192"/>
              <w:jc w:val="right"/>
              <w:rPr>
                <w:sz w:val="17"/>
              </w:rPr>
            </w:pPr>
            <w:r>
              <w:rPr>
                <w:color w:val="231F20"/>
                <w:w w:val="105"/>
                <w:sz w:val="17"/>
              </w:rPr>
              <w:t>1.3</w:t>
            </w:r>
          </w:p>
        </w:tc>
        <w:tc>
          <w:tcPr>
            <w:tcW w:w="719" w:type="dxa"/>
          </w:tcPr>
          <w:p>
            <w:pPr>
              <w:pStyle w:val="TableParagraph"/>
              <w:ind w:left="173" w:right="127"/>
              <w:rPr>
                <w:sz w:val="17"/>
              </w:rPr>
            </w:pPr>
            <w:r>
              <w:rPr>
                <w:color w:val="231F20"/>
                <w:sz w:val="17"/>
              </w:rPr>
              <w:t>100</w:t>
            </w:r>
          </w:p>
        </w:tc>
      </w:tr>
      <w:tr>
        <w:trPr>
          <w:trHeight w:val="210" w:hRule="exact"/>
        </w:trPr>
        <w:tc>
          <w:tcPr>
            <w:tcW w:w="695" w:type="dxa"/>
          </w:tcPr>
          <w:p>
            <w:pPr>
              <w:pStyle w:val="TableParagraph"/>
              <w:ind w:right="188"/>
              <w:jc w:val="right"/>
              <w:rPr>
                <w:sz w:val="17"/>
              </w:rPr>
            </w:pPr>
            <w:r>
              <w:rPr>
                <w:color w:val="231F20"/>
                <w:w w:val="105"/>
                <w:sz w:val="17"/>
              </w:rPr>
              <w:t>6.1</w:t>
            </w:r>
          </w:p>
        </w:tc>
        <w:tc>
          <w:tcPr>
            <w:tcW w:w="711" w:type="dxa"/>
          </w:tcPr>
          <w:p>
            <w:pPr>
              <w:pStyle w:val="TableParagraph"/>
              <w:ind w:left="170" w:right="167"/>
              <w:rPr>
                <w:sz w:val="17"/>
              </w:rPr>
            </w:pPr>
            <w:r>
              <w:rPr>
                <w:color w:val="231F20"/>
                <w:w w:val="105"/>
                <w:sz w:val="17"/>
              </w:rPr>
              <w:t>12.8</w:t>
            </w:r>
          </w:p>
        </w:tc>
        <w:tc>
          <w:tcPr>
            <w:tcW w:w="708" w:type="dxa"/>
          </w:tcPr>
          <w:p>
            <w:pPr>
              <w:pStyle w:val="TableParagraph"/>
              <w:ind w:left="167" w:right="167"/>
              <w:rPr>
                <w:sz w:val="17"/>
              </w:rPr>
            </w:pPr>
            <w:r>
              <w:rPr>
                <w:color w:val="231F20"/>
                <w:w w:val="105"/>
                <w:sz w:val="17"/>
              </w:rPr>
              <w:t>18.9</w:t>
            </w:r>
          </w:p>
        </w:tc>
        <w:tc>
          <w:tcPr>
            <w:tcW w:w="705" w:type="dxa"/>
          </w:tcPr>
          <w:p>
            <w:pPr>
              <w:pStyle w:val="TableParagraph"/>
              <w:ind w:left="166" w:right="164"/>
              <w:rPr>
                <w:sz w:val="17"/>
              </w:rPr>
            </w:pPr>
            <w:r>
              <w:rPr>
                <w:color w:val="231F20"/>
                <w:w w:val="105"/>
                <w:sz w:val="17"/>
              </w:rPr>
              <w:t>25.0</w:t>
            </w:r>
          </w:p>
        </w:tc>
        <w:tc>
          <w:tcPr>
            <w:tcW w:w="532" w:type="dxa"/>
          </w:tcPr>
          <w:p>
            <w:pPr>
              <w:pStyle w:val="TableParagraph"/>
              <w:ind w:left="170"/>
              <w:rPr>
                <w:sz w:val="17"/>
              </w:rPr>
            </w:pPr>
            <w:r>
              <w:rPr>
                <w:color w:val="231F20"/>
                <w:w w:val="105"/>
                <w:sz w:val="17"/>
              </w:rPr>
              <w:t>18.7</w:t>
            </w:r>
          </w:p>
        </w:tc>
        <w:tc>
          <w:tcPr>
            <w:tcW w:w="899" w:type="dxa"/>
          </w:tcPr>
          <w:p>
            <w:pPr>
              <w:pStyle w:val="TableParagraph"/>
              <w:ind w:right="215"/>
              <w:jc w:val="right"/>
              <w:rPr>
                <w:sz w:val="17"/>
              </w:rPr>
            </w:pPr>
            <w:r>
              <w:rPr>
                <w:color w:val="231F20"/>
                <w:w w:val="105"/>
                <w:sz w:val="17"/>
              </w:rPr>
              <w:t>9.4</w:t>
            </w:r>
          </w:p>
        </w:tc>
        <w:tc>
          <w:tcPr>
            <w:tcW w:w="684" w:type="dxa"/>
          </w:tcPr>
          <w:p>
            <w:pPr>
              <w:pStyle w:val="TableParagraph"/>
              <w:ind w:left="200" w:right="209"/>
              <w:rPr>
                <w:sz w:val="17"/>
              </w:rPr>
            </w:pPr>
            <w:r>
              <w:rPr>
                <w:color w:val="231F20"/>
                <w:w w:val="105"/>
                <w:sz w:val="17"/>
              </w:rPr>
              <w:t>4.3</w:t>
            </w:r>
          </w:p>
        </w:tc>
        <w:tc>
          <w:tcPr>
            <w:tcW w:w="699" w:type="dxa"/>
          </w:tcPr>
          <w:p>
            <w:pPr>
              <w:pStyle w:val="TableParagraph"/>
              <w:ind w:left="211" w:right="212"/>
              <w:rPr>
                <w:sz w:val="17"/>
              </w:rPr>
            </w:pPr>
            <w:r>
              <w:rPr>
                <w:color w:val="231F20"/>
                <w:w w:val="105"/>
                <w:sz w:val="17"/>
              </w:rPr>
              <w:t>2.3</w:t>
            </w:r>
          </w:p>
        </w:tc>
        <w:tc>
          <w:tcPr>
            <w:tcW w:w="664" w:type="dxa"/>
          </w:tcPr>
          <w:p>
            <w:pPr>
              <w:pStyle w:val="TableParagraph"/>
              <w:ind w:right="192"/>
              <w:jc w:val="right"/>
              <w:rPr>
                <w:sz w:val="17"/>
              </w:rPr>
            </w:pPr>
            <w:r>
              <w:rPr>
                <w:color w:val="231F20"/>
                <w:w w:val="105"/>
                <w:sz w:val="17"/>
              </w:rPr>
              <w:t>2.5</w:t>
            </w:r>
          </w:p>
        </w:tc>
        <w:tc>
          <w:tcPr>
            <w:tcW w:w="719" w:type="dxa"/>
          </w:tcPr>
          <w:p>
            <w:pPr>
              <w:pStyle w:val="TableParagraph"/>
              <w:ind w:left="173" w:right="127"/>
              <w:rPr>
                <w:sz w:val="17"/>
              </w:rPr>
            </w:pPr>
            <w:r>
              <w:rPr>
                <w:color w:val="231F20"/>
                <w:sz w:val="17"/>
              </w:rPr>
              <w:t>100</w:t>
            </w:r>
          </w:p>
        </w:tc>
      </w:tr>
      <w:tr>
        <w:trPr>
          <w:trHeight w:val="210" w:hRule="exact"/>
        </w:trPr>
        <w:tc>
          <w:tcPr>
            <w:tcW w:w="695" w:type="dxa"/>
          </w:tcPr>
          <w:p>
            <w:pPr>
              <w:pStyle w:val="TableParagraph"/>
              <w:ind w:right="188"/>
              <w:jc w:val="right"/>
              <w:rPr>
                <w:sz w:val="17"/>
              </w:rPr>
            </w:pPr>
            <w:r>
              <w:rPr>
                <w:color w:val="231F20"/>
                <w:w w:val="105"/>
                <w:sz w:val="17"/>
              </w:rPr>
              <w:t>7.9</w:t>
            </w:r>
          </w:p>
        </w:tc>
        <w:tc>
          <w:tcPr>
            <w:tcW w:w="711" w:type="dxa"/>
          </w:tcPr>
          <w:p>
            <w:pPr>
              <w:pStyle w:val="TableParagraph"/>
              <w:ind w:left="170" w:right="167"/>
              <w:rPr>
                <w:sz w:val="17"/>
              </w:rPr>
            </w:pPr>
            <w:r>
              <w:rPr>
                <w:color w:val="231F20"/>
                <w:w w:val="105"/>
                <w:sz w:val="17"/>
              </w:rPr>
              <w:t>15.4</w:t>
            </w:r>
          </w:p>
        </w:tc>
        <w:tc>
          <w:tcPr>
            <w:tcW w:w="708" w:type="dxa"/>
          </w:tcPr>
          <w:p>
            <w:pPr>
              <w:pStyle w:val="TableParagraph"/>
              <w:ind w:left="167" w:right="167"/>
              <w:rPr>
                <w:sz w:val="17"/>
              </w:rPr>
            </w:pPr>
            <w:r>
              <w:rPr>
                <w:color w:val="231F20"/>
                <w:w w:val="105"/>
                <w:sz w:val="17"/>
              </w:rPr>
              <w:t>20.2</w:t>
            </w:r>
          </w:p>
        </w:tc>
        <w:tc>
          <w:tcPr>
            <w:tcW w:w="705" w:type="dxa"/>
          </w:tcPr>
          <w:p>
            <w:pPr>
              <w:pStyle w:val="TableParagraph"/>
              <w:ind w:left="166" w:right="164"/>
              <w:rPr>
                <w:sz w:val="17"/>
              </w:rPr>
            </w:pPr>
            <w:r>
              <w:rPr>
                <w:color w:val="231F20"/>
                <w:w w:val="105"/>
                <w:sz w:val="17"/>
              </w:rPr>
              <w:t>25.6</w:t>
            </w:r>
          </w:p>
        </w:tc>
        <w:tc>
          <w:tcPr>
            <w:tcW w:w="532" w:type="dxa"/>
          </w:tcPr>
          <w:p>
            <w:pPr>
              <w:pStyle w:val="TableParagraph"/>
              <w:ind w:left="170"/>
              <w:rPr>
                <w:sz w:val="17"/>
              </w:rPr>
            </w:pPr>
            <w:r>
              <w:rPr>
                <w:color w:val="231F20"/>
                <w:w w:val="105"/>
                <w:sz w:val="17"/>
              </w:rPr>
              <w:t>17.9</w:t>
            </w:r>
          </w:p>
        </w:tc>
        <w:tc>
          <w:tcPr>
            <w:tcW w:w="899" w:type="dxa"/>
          </w:tcPr>
          <w:p>
            <w:pPr>
              <w:pStyle w:val="TableParagraph"/>
              <w:ind w:right="215"/>
              <w:jc w:val="right"/>
              <w:rPr>
                <w:sz w:val="17"/>
              </w:rPr>
            </w:pPr>
            <w:r>
              <w:rPr>
                <w:color w:val="231F20"/>
                <w:w w:val="105"/>
                <w:sz w:val="17"/>
              </w:rPr>
              <w:t>7.7</w:t>
            </w:r>
          </w:p>
        </w:tc>
        <w:tc>
          <w:tcPr>
            <w:tcW w:w="684" w:type="dxa"/>
          </w:tcPr>
          <w:p>
            <w:pPr>
              <w:pStyle w:val="TableParagraph"/>
              <w:ind w:left="200" w:right="209"/>
              <w:rPr>
                <w:sz w:val="17"/>
              </w:rPr>
            </w:pPr>
            <w:r>
              <w:rPr>
                <w:color w:val="231F20"/>
                <w:w w:val="105"/>
                <w:sz w:val="17"/>
              </w:rPr>
              <w:t>2.9</w:t>
            </w:r>
          </w:p>
        </w:tc>
        <w:tc>
          <w:tcPr>
            <w:tcW w:w="699" w:type="dxa"/>
          </w:tcPr>
          <w:p>
            <w:pPr>
              <w:pStyle w:val="TableParagraph"/>
              <w:ind w:left="211" w:right="212"/>
              <w:rPr>
                <w:sz w:val="17"/>
              </w:rPr>
            </w:pPr>
            <w:r>
              <w:rPr>
                <w:color w:val="231F20"/>
                <w:w w:val="105"/>
                <w:sz w:val="17"/>
              </w:rPr>
              <w:t>1.3</w:t>
            </w:r>
          </w:p>
        </w:tc>
        <w:tc>
          <w:tcPr>
            <w:tcW w:w="664" w:type="dxa"/>
          </w:tcPr>
          <w:p>
            <w:pPr>
              <w:pStyle w:val="TableParagraph"/>
              <w:ind w:right="192"/>
              <w:jc w:val="right"/>
              <w:rPr>
                <w:sz w:val="17"/>
              </w:rPr>
            </w:pPr>
            <w:r>
              <w:rPr>
                <w:color w:val="231F20"/>
                <w:w w:val="105"/>
                <w:sz w:val="17"/>
              </w:rPr>
              <w:t>1.2</w:t>
            </w:r>
          </w:p>
        </w:tc>
        <w:tc>
          <w:tcPr>
            <w:tcW w:w="719" w:type="dxa"/>
          </w:tcPr>
          <w:p>
            <w:pPr>
              <w:pStyle w:val="TableParagraph"/>
              <w:ind w:left="173" w:right="127"/>
              <w:rPr>
                <w:sz w:val="17"/>
              </w:rPr>
            </w:pPr>
            <w:r>
              <w:rPr>
                <w:color w:val="231F20"/>
                <w:sz w:val="17"/>
              </w:rPr>
              <w:t>100</w:t>
            </w:r>
          </w:p>
        </w:tc>
      </w:tr>
      <w:tr>
        <w:trPr>
          <w:trHeight w:val="210" w:hRule="exact"/>
        </w:trPr>
        <w:tc>
          <w:tcPr>
            <w:tcW w:w="695" w:type="dxa"/>
          </w:tcPr>
          <w:p>
            <w:pPr>
              <w:pStyle w:val="TableParagraph"/>
              <w:ind w:right="188"/>
              <w:jc w:val="right"/>
              <w:rPr>
                <w:sz w:val="17"/>
              </w:rPr>
            </w:pPr>
            <w:r>
              <w:rPr>
                <w:color w:val="231F20"/>
                <w:w w:val="105"/>
                <w:sz w:val="17"/>
              </w:rPr>
              <w:t>4.0</w:t>
            </w:r>
          </w:p>
        </w:tc>
        <w:tc>
          <w:tcPr>
            <w:tcW w:w="711" w:type="dxa"/>
          </w:tcPr>
          <w:p>
            <w:pPr>
              <w:pStyle w:val="TableParagraph"/>
              <w:ind w:left="170" w:right="167"/>
              <w:rPr>
                <w:sz w:val="17"/>
              </w:rPr>
            </w:pPr>
            <w:r>
              <w:rPr>
                <w:color w:val="231F20"/>
                <w:w w:val="105"/>
                <w:sz w:val="17"/>
              </w:rPr>
              <w:t>10.4</w:t>
            </w:r>
          </w:p>
        </w:tc>
        <w:tc>
          <w:tcPr>
            <w:tcW w:w="708" w:type="dxa"/>
          </w:tcPr>
          <w:p>
            <w:pPr>
              <w:pStyle w:val="TableParagraph"/>
              <w:ind w:left="167" w:right="167"/>
              <w:rPr>
                <w:sz w:val="17"/>
              </w:rPr>
            </w:pPr>
            <w:r>
              <w:rPr>
                <w:color w:val="231F20"/>
                <w:w w:val="105"/>
                <w:sz w:val="17"/>
              </w:rPr>
              <w:t>15.9</w:t>
            </w:r>
          </w:p>
        </w:tc>
        <w:tc>
          <w:tcPr>
            <w:tcW w:w="705" w:type="dxa"/>
          </w:tcPr>
          <w:p>
            <w:pPr>
              <w:pStyle w:val="TableParagraph"/>
              <w:ind w:left="166" w:right="164"/>
              <w:rPr>
                <w:sz w:val="17"/>
              </w:rPr>
            </w:pPr>
            <w:r>
              <w:rPr>
                <w:color w:val="231F20"/>
                <w:w w:val="105"/>
                <w:sz w:val="17"/>
              </w:rPr>
              <w:t>25.5</w:t>
            </w:r>
          </w:p>
        </w:tc>
        <w:tc>
          <w:tcPr>
            <w:tcW w:w="532" w:type="dxa"/>
          </w:tcPr>
          <w:p>
            <w:pPr>
              <w:pStyle w:val="TableParagraph"/>
              <w:ind w:left="170"/>
              <w:rPr>
                <w:sz w:val="17"/>
              </w:rPr>
            </w:pPr>
            <w:r>
              <w:rPr>
                <w:color w:val="231F20"/>
                <w:w w:val="105"/>
                <w:sz w:val="17"/>
              </w:rPr>
              <w:t>21.3</w:t>
            </w:r>
          </w:p>
        </w:tc>
        <w:tc>
          <w:tcPr>
            <w:tcW w:w="899" w:type="dxa"/>
          </w:tcPr>
          <w:p>
            <w:pPr>
              <w:pStyle w:val="TableParagraph"/>
              <w:ind w:right="215"/>
              <w:jc w:val="right"/>
              <w:rPr>
                <w:sz w:val="17"/>
              </w:rPr>
            </w:pPr>
            <w:r>
              <w:rPr>
                <w:color w:val="231F20"/>
                <w:sz w:val="17"/>
              </w:rPr>
              <w:t>11.0</w:t>
            </w:r>
          </w:p>
        </w:tc>
        <w:tc>
          <w:tcPr>
            <w:tcW w:w="684" w:type="dxa"/>
          </w:tcPr>
          <w:p>
            <w:pPr>
              <w:pStyle w:val="TableParagraph"/>
              <w:ind w:left="200" w:right="209"/>
              <w:rPr>
                <w:sz w:val="17"/>
              </w:rPr>
            </w:pPr>
            <w:r>
              <w:rPr>
                <w:color w:val="231F20"/>
                <w:w w:val="105"/>
                <w:sz w:val="17"/>
              </w:rPr>
              <w:t>5.4</w:t>
            </w:r>
          </w:p>
        </w:tc>
        <w:tc>
          <w:tcPr>
            <w:tcW w:w="699" w:type="dxa"/>
          </w:tcPr>
          <w:p>
            <w:pPr>
              <w:pStyle w:val="TableParagraph"/>
              <w:ind w:left="211" w:right="212"/>
              <w:rPr>
                <w:sz w:val="17"/>
              </w:rPr>
            </w:pPr>
            <w:r>
              <w:rPr>
                <w:color w:val="231F20"/>
                <w:w w:val="105"/>
                <w:sz w:val="17"/>
              </w:rPr>
              <w:t>2.8</w:t>
            </w:r>
          </w:p>
        </w:tc>
        <w:tc>
          <w:tcPr>
            <w:tcW w:w="664" w:type="dxa"/>
          </w:tcPr>
          <w:p>
            <w:pPr>
              <w:pStyle w:val="TableParagraph"/>
              <w:ind w:right="192"/>
              <w:jc w:val="right"/>
              <w:rPr>
                <w:sz w:val="17"/>
              </w:rPr>
            </w:pPr>
            <w:r>
              <w:rPr>
                <w:color w:val="231F20"/>
                <w:w w:val="105"/>
                <w:sz w:val="17"/>
              </w:rPr>
              <w:t>3.7</w:t>
            </w:r>
          </w:p>
        </w:tc>
        <w:tc>
          <w:tcPr>
            <w:tcW w:w="719" w:type="dxa"/>
          </w:tcPr>
          <w:p>
            <w:pPr>
              <w:pStyle w:val="TableParagraph"/>
              <w:ind w:left="173" w:right="127"/>
              <w:rPr>
                <w:sz w:val="17"/>
              </w:rPr>
            </w:pPr>
            <w:r>
              <w:rPr>
                <w:color w:val="231F20"/>
                <w:sz w:val="17"/>
              </w:rPr>
              <w:t>100</w:t>
            </w:r>
          </w:p>
        </w:tc>
      </w:tr>
      <w:tr>
        <w:trPr>
          <w:trHeight w:val="210" w:hRule="exact"/>
        </w:trPr>
        <w:tc>
          <w:tcPr>
            <w:tcW w:w="695" w:type="dxa"/>
          </w:tcPr>
          <w:p>
            <w:pPr>
              <w:pStyle w:val="TableParagraph"/>
              <w:ind w:right="188"/>
              <w:jc w:val="right"/>
              <w:rPr>
                <w:sz w:val="17"/>
              </w:rPr>
            </w:pPr>
            <w:r>
              <w:rPr>
                <w:color w:val="231F20"/>
                <w:w w:val="105"/>
                <w:sz w:val="17"/>
              </w:rPr>
              <w:t>6.7</w:t>
            </w:r>
          </w:p>
        </w:tc>
        <w:tc>
          <w:tcPr>
            <w:tcW w:w="711" w:type="dxa"/>
          </w:tcPr>
          <w:p>
            <w:pPr>
              <w:pStyle w:val="TableParagraph"/>
              <w:ind w:left="170" w:right="167"/>
              <w:rPr>
                <w:sz w:val="17"/>
              </w:rPr>
            </w:pPr>
            <w:r>
              <w:rPr>
                <w:color w:val="231F20"/>
                <w:w w:val="105"/>
                <w:sz w:val="17"/>
              </w:rPr>
              <w:t>14.4</w:t>
            </w:r>
          </w:p>
        </w:tc>
        <w:tc>
          <w:tcPr>
            <w:tcW w:w="708" w:type="dxa"/>
          </w:tcPr>
          <w:p>
            <w:pPr>
              <w:pStyle w:val="TableParagraph"/>
              <w:ind w:left="167" w:right="167"/>
              <w:rPr>
                <w:sz w:val="17"/>
              </w:rPr>
            </w:pPr>
            <w:r>
              <w:rPr>
                <w:color w:val="231F20"/>
                <w:w w:val="105"/>
                <w:sz w:val="17"/>
              </w:rPr>
              <w:t>19.9</w:t>
            </w:r>
          </w:p>
        </w:tc>
        <w:tc>
          <w:tcPr>
            <w:tcW w:w="705" w:type="dxa"/>
          </w:tcPr>
          <w:p>
            <w:pPr>
              <w:pStyle w:val="TableParagraph"/>
              <w:ind w:left="166" w:right="164"/>
              <w:rPr>
                <w:sz w:val="17"/>
              </w:rPr>
            </w:pPr>
            <w:r>
              <w:rPr>
                <w:color w:val="231F20"/>
                <w:w w:val="105"/>
                <w:sz w:val="17"/>
              </w:rPr>
              <w:t>25.6</w:t>
            </w:r>
          </w:p>
        </w:tc>
        <w:tc>
          <w:tcPr>
            <w:tcW w:w="532" w:type="dxa"/>
          </w:tcPr>
          <w:p>
            <w:pPr>
              <w:pStyle w:val="TableParagraph"/>
              <w:ind w:left="170"/>
              <w:rPr>
                <w:sz w:val="17"/>
              </w:rPr>
            </w:pPr>
            <w:r>
              <w:rPr>
                <w:color w:val="231F20"/>
                <w:w w:val="105"/>
                <w:sz w:val="17"/>
              </w:rPr>
              <w:t>16.4</w:t>
            </w:r>
          </w:p>
        </w:tc>
        <w:tc>
          <w:tcPr>
            <w:tcW w:w="899" w:type="dxa"/>
          </w:tcPr>
          <w:p>
            <w:pPr>
              <w:pStyle w:val="TableParagraph"/>
              <w:ind w:right="215"/>
              <w:jc w:val="right"/>
              <w:rPr>
                <w:sz w:val="17"/>
              </w:rPr>
            </w:pPr>
            <w:r>
              <w:rPr>
                <w:color w:val="231F20"/>
                <w:w w:val="105"/>
                <w:sz w:val="17"/>
              </w:rPr>
              <w:t>8.4</w:t>
            </w:r>
          </w:p>
        </w:tc>
        <w:tc>
          <w:tcPr>
            <w:tcW w:w="684" w:type="dxa"/>
          </w:tcPr>
          <w:p>
            <w:pPr>
              <w:pStyle w:val="TableParagraph"/>
              <w:ind w:left="200" w:right="209"/>
              <w:rPr>
                <w:sz w:val="17"/>
              </w:rPr>
            </w:pPr>
            <w:r>
              <w:rPr>
                <w:color w:val="231F20"/>
                <w:w w:val="105"/>
                <w:sz w:val="17"/>
              </w:rPr>
              <w:t>4.0</w:t>
            </w:r>
          </w:p>
        </w:tc>
        <w:tc>
          <w:tcPr>
            <w:tcW w:w="699" w:type="dxa"/>
          </w:tcPr>
          <w:p>
            <w:pPr>
              <w:pStyle w:val="TableParagraph"/>
              <w:ind w:left="211" w:right="212"/>
              <w:rPr>
                <w:sz w:val="17"/>
              </w:rPr>
            </w:pPr>
            <w:r>
              <w:rPr>
                <w:color w:val="231F20"/>
                <w:w w:val="105"/>
                <w:sz w:val="17"/>
              </w:rPr>
              <w:t>2.1</w:t>
            </w:r>
          </w:p>
        </w:tc>
        <w:tc>
          <w:tcPr>
            <w:tcW w:w="664" w:type="dxa"/>
          </w:tcPr>
          <w:p>
            <w:pPr>
              <w:pStyle w:val="TableParagraph"/>
              <w:ind w:right="192"/>
              <w:jc w:val="right"/>
              <w:rPr>
                <w:sz w:val="17"/>
              </w:rPr>
            </w:pPr>
            <w:r>
              <w:rPr>
                <w:color w:val="231F20"/>
                <w:w w:val="105"/>
                <w:sz w:val="17"/>
              </w:rPr>
              <w:t>2.4</w:t>
            </w:r>
          </w:p>
        </w:tc>
        <w:tc>
          <w:tcPr>
            <w:tcW w:w="719" w:type="dxa"/>
          </w:tcPr>
          <w:p>
            <w:pPr>
              <w:pStyle w:val="TableParagraph"/>
              <w:ind w:left="173" w:right="127"/>
              <w:rPr>
                <w:sz w:val="17"/>
              </w:rPr>
            </w:pPr>
            <w:r>
              <w:rPr>
                <w:color w:val="231F20"/>
                <w:sz w:val="17"/>
              </w:rPr>
              <w:t>100</w:t>
            </w:r>
          </w:p>
        </w:tc>
      </w:tr>
      <w:tr>
        <w:trPr>
          <w:trHeight w:val="210" w:hRule="exact"/>
        </w:trPr>
        <w:tc>
          <w:tcPr>
            <w:tcW w:w="695" w:type="dxa"/>
          </w:tcPr>
          <w:p>
            <w:pPr>
              <w:pStyle w:val="TableParagraph"/>
              <w:ind w:right="188"/>
              <w:jc w:val="right"/>
              <w:rPr>
                <w:sz w:val="17"/>
              </w:rPr>
            </w:pPr>
            <w:r>
              <w:rPr>
                <w:color w:val="231F20"/>
                <w:w w:val="105"/>
                <w:sz w:val="17"/>
              </w:rPr>
              <w:t>7.6</w:t>
            </w:r>
          </w:p>
        </w:tc>
        <w:tc>
          <w:tcPr>
            <w:tcW w:w="711" w:type="dxa"/>
          </w:tcPr>
          <w:p>
            <w:pPr>
              <w:pStyle w:val="TableParagraph"/>
              <w:ind w:left="170" w:right="167"/>
              <w:rPr>
                <w:sz w:val="17"/>
              </w:rPr>
            </w:pPr>
            <w:r>
              <w:rPr>
                <w:color w:val="231F20"/>
                <w:w w:val="105"/>
                <w:sz w:val="17"/>
              </w:rPr>
              <w:t>14.3</w:t>
            </w:r>
          </w:p>
        </w:tc>
        <w:tc>
          <w:tcPr>
            <w:tcW w:w="708" w:type="dxa"/>
          </w:tcPr>
          <w:p>
            <w:pPr>
              <w:pStyle w:val="TableParagraph"/>
              <w:ind w:left="167" w:right="167"/>
              <w:rPr>
                <w:sz w:val="17"/>
              </w:rPr>
            </w:pPr>
            <w:r>
              <w:rPr>
                <w:color w:val="231F20"/>
                <w:w w:val="105"/>
                <w:sz w:val="17"/>
              </w:rPr>
              <w:t>18.7</w:t>
            </w:r>
          </w:p>
        </w:tc>
        <w:tc>
          <w:tcPr>
            <w:tcW w:w="705" w:type="dxa"/>
          </w:tcPr>
          <w:p>
            <w:pPr>
              <w:pStyle w:val="TableParagraph"/>
              <w:ind w:left="166" w:right="164"/>
              <w:rPr>
                <w:sz w:val="17"/>
              </w:rPr>
            </w:pPr>
            <w:r>
              <w:rPr>
                <w:color w:val="231F20"/>
                <w:w w:val="105"/>
                <w:sz w:val="17"/>
              </w:rPr>
              <w:t>24.3</w:t>
            </w:r>
          </w:p>
        </w:tc>
        <w:tc>
          <w:tcPr>
            <w:tcW w:w="532" w:type="dxa"/>
          </w:tcPr>
          <w:p>
            <w:pPr>
              <w:pStyle w:val="TableParagraph"/>
              <w:ind w:left="170"/>
              <w:rPr>
                <w:sz w:val="17"/>
              </w:rPr>
            </w:pPr>
            <w:r>
              <w:rPr>
                <w:color w:val="231F20"/>
                <w:w w:val="105"/>
                <w:sz w:val="17"/>
              </w:rPr>
              <w:t>17.8</w:t>
            </w:r>
          </w:p>
        </w:tc>
        <w:tc>
          <w:tcPr>
            <w:tcW w:w="899" w:type="dxa"/>
          </w:tcPr>
          <w:p>
            <w:pPr>
              <w:pStyle w:val="TableParagraph"/>
              <w:ind w:right="215"/>
              <w:jc w:val="right"/>
              <w:rPr>
                <w:sz w:val="17"/>
              </w:rPr>
            </w:pPr>
            <w:r>
              <w:rPr>
                <w:color w:val="231F20"/>
                <w:w w:val="105"/>
                <w:sz w:val="17"/>
              </w:rPr>
              <w:t>8.5</w:t>
            </w:r>
          </w:p>
        </w:tc>
        <w:tc>
          <w:tcPr>
            <w:tcW w:w="684" w:type="dxa"/>
          </w:tcPr>
          <w:p>
            <w:pPr>
              <w:pStyle w:val="TableParagraph"/>
              <w:ind w:left="200" w:right="209"/>
              <w:rPr>
                <w:sz w:val="17"/>
              </w:rPr>
            </w:pPr>
            <w:r>
              <w:rPr>
                <w:color w:val="231F20"/>
                <w:w w:val="105"/>
                <w:sz w:val="17"/>
              </w:rPr>
              <w:t>4.1</w:t>
            </w:r>
          </w:p>
        </w:tc>
        <w:tc>
          <w:tcPr>
            <w:tcW w:w="699" w:type="dxa"/>
          </w:tcPr>
          <w:p>
            <w:pPr>
              <w:pStyle w:val="TableParagraph"/>
              <w:ind w:left="211" w:right="212"/>
              <w:rPr>
                <w:sz w:val="17"/>
              </w:rPr>
            </w:pPr>
            <w:r>
              <w:rPr>
                <w:color w:val="231F20"/>
                <w:w w:val="105"/>
                <w:sz w:val="17"/>
              </w:rPr>
              <w:t>2.1</w:t>
            </w:r>
          </w:p>
        </w:tc>
        <w:tc>
          <w:tcPr>
            <w:tcW w:w="664" w:type="dxa"/>
          </w:tcPr>
          <w:p>
            <w:pPr>
              <w:pStyle w:val="TableParagraph"/>
              <w:ind w:right="192"/>
              <w:jc w:val="right"/>
              <w:rPr>
                <w:sz w:val="17"/>
              </w:rPr>
            </w:pPr>
            <w:r>
              <w:rPr>
                <w:color w:val="231F20"/>
                <w:w w:val="105"/>
                <w:sz w:val="17"/>
              </w:rPr>
              <w:t>2.5</w:t>
            </w:r>
          </w:p>
        </w:tc>
        <w:tc>
          <w:tcPr>
            <w:tcW w:w="719" w:type="dxa"/>
          </w:tcPr>
          <w:p>
            <w:pPr>
              <w:pStyle w:val="TableParagraph"/>
              <w:ind w:left="173" w:right="127"/>
              <w:rPr>
                <w:sz w:val="17"/>
              </w:rPr>
            </w:pPr>
            <w:r>
              <w:rPr>
                <w:color w:val="231F20"/>
                <w:sz w:val="17"/>
              </w:rPr>
              <w:t>100</w:t>
            </w:r>
          </w:p>
        </w:tc>
      </w:tr>
      <w:tr>
        <w:trPr>
          <w:trHeight w:val="276" w:hRule="exact"/>
        </w:trPr>
        <w:tc>
          <w:tcPr>
            <w:tcW w:w="695" w:type="dxa"/>
            <w:tcBorders>
              <w:bottom w:val="single" w:sz="3" w:space="0" w:color="231F20"/>
            </w:tcBorders>
          </w:tcPr>
          <w:p>
            <w:pPr>
              <w:pStyle w:val="TableParagraph"/>
              <w:ind w:right="188"/>
              <w:jc w:val="right"/>
              <w:rPr>
                <w:sz w:val="17"/>
              </w:rPr>
            </w:pPr>
            <w:r>
              <w:rPr>
                <w:color w:val="231F20"/>
                <w:w w:val="105"/>
                <w:sz w:val="17"/>
              </w:rPr>
              <w:t>5.2</w:t>
            </w:r>
          </w:p>
        </w:tc>
        <w:tc>
          <w:tcPr>
            <w:tcW w:w="711" w:type="dxa"/>
            <w:tcBorders>
              <w:bottom w:val="single" w:sz="3" w:space="0" w:color="231F20"/>
            </w:tcBorders>
          </w:tcPr>
          <w:p>
            <w:pPr>
              <w:pStyle w:val="TableParagraph"/>
              <w:ind w:left="170" w:right="167"/>
              <w:rPr>
                <w:sz w:val="17"/>
              </w:rPr>
            </w:pPr>
            <w:r>
              <w:rPr>
                <w:color w:val="231F20"/>
                <w:w w:val="105"/>
                <w:sz w:val="17"/>
              </w:rPr>
              <w:t>14.1</w:t>
            </w:r>
          </w:p>
        </w:tc>
        <w:tc>
          <w:tcPr>
            <w:tcW w:w="708" w:type="dxa"/>
            <w:tcBorders>
              <w:bottom w:val="single" w:sz="3" w:space="0" w:color="231F20"/>
            </w:tcBorders>
          </w:tcPr>
          <w:p>
            <w:pPr>
              <w:pStyle w:val="TableParagraph"/>
              <w:ind w:left="167" w:right="167"/>
              <w:rPr>
                <w:sz w:val="17"/>
              </w:rPr>
            </w:pPr>
            <w:r>
              <w:rPr>
                <w:color w:val="231F20"/>
                <w:w w:val="105"/>
                <w:sz w:val="17"/>
              </w:rPr>
              <w:t>18.1</w:t>
            </w:r>
          </w:p>
        </w:tc>
        <w:tc>
          <w:tcPr>
            <w:tcW w:w="705" w:type="dxa"/>
            <w:tcBorders>
              <w:bottom w:val="single" w:sz="3" w:space="0" w:color="231F20"/>
            </w:tcBorders>
          </w:tcPr>
          <w:p>
            <w:pPr>
              <w:pStyle w:val="TableParagraph"/>
              <w:ind w:left="166" w:right="164"/>
              <w:rPr>
                <w:sz w:val="17"/>
              </w:rPr>
            </w:pPr>
            <w:r>
              <w:rPr>
                <w:color w:val="231F20"/>
                <w:w w:val="105"/>
                <w:sz w:val="17"/>
              </w:rPr>
              <w:t>23.5</w:t>
            </w:r>
          </w:p>
        </w:tc>
        <w:tc>
          <w:tcPr>
            <w:tcW w:w="532" w:type="dxa"/>
            <w:tcBorders>
              <w:bottom w:val="single" w:sz="3" w:space="0" w:color="231F20"/>
            </w:tcBorders>
          </w:tcPr>
          <w:p>
            <w:pPr>
              <w:pStyle w:val="TableParagraph"/>
              <w:ind w:left="170"/>
              <w:rPr>
                <w:sz w:val="17"/>
              </w:rPr>
            </w:pPr>
            <w:r>
              <w:rPr>
                <w:color w:val="231F20"/>
                <w:w w:val="105"/>
                <w:sz w:val="17"/>
              </w:rPr>
              <w:t>19.5</w:t>
            </w:r>
          </w:p>
        </w:tc>
        <w:tc>
          <w:tcPr>
            <w:tcW w:w="899" w:type="dxa"/>
            <w:tcBorders>
              <w:bottom w:val="single" w:sz="3" w:space="0" w:color="231F20"/>
            </w:tcBorders>
          </w:tcPr>
          <w:p>
            <w:pPr>
              <w:pStyle w:val="TableParagraph"/>
              <w:ind w:right="215"/>
              <w:jc w:val="right"/>
              <w:rPr>
                <w:sz w:val="17"/>
              </w:rPr>
            </w:pPr>
            <w:r>
              <w:rPr>
                <w:color w:val="231F20"/>
                <w:sz w:val="17"/>
              </w:rPr>
              <w:t>10.5</w:t>
            </w:r>
          </w:p>
        </w:tc>
        <w:tc>
          <w:tcPr>
            <w:tcW w:w="684" w:type="dxa"/>
            <w:tcBorders>
              <w:bottom w:val="single" w:sz="3" w:space="0" w:color="231F20"/>
            </w:tcBorders>
          </w:tcPr>
          <w:p>
            <w:pPr>
              <w:pStyle w:val="TableParagraph"/>
              <w:ind w:left="200" w:right="209"/>
              <w:rPr>
                <w:sz w:val="17"/>
              </w:rPr>
            </w:pPr>
            <w:r>
              <w:rPr>
                <w:color w:val="231F20"/>
                <w:w w:val="105"/>
                <w:sz w:val="17"/>
              </w:rPr>
              <w:t>4.5</w:t>
            </w:r>
          </w:p>
        </w:tc>
        <w:tc>
          <w:tcPr>
            <w:tcW w:w="699" w:type="dxa"/>
            <w:tcBorders>
              <w:bottom w:val="single" w:sz="3" w:space="0" w:color="231F20"/>
            </w:tcBorders>
          </w:tcPr>
          <w:p>
            <w:pPr>
              <w:pStyle w:val="TableParagraph"/>
              <w:ind w:left="211" w:right="212"/>
              <w:rPr>
                <w:sz w:val="17"/>
              </w:rPr>
            </w:pPr>
            <w:r>
              <w:rPr>
                <w:color w:val="231F20"/>
                <w:w w:val="105"/>
                <w:sz w:val="17"/>
              </w:rPr>
              <w:t>2.2</w:t>
            </w:r>
          </w:p>
        </w:tc>
        <w:tc>
          <w:tcPr>
            <w:tcW w:w="664" w:type="dxa"/>
            <w:tcBorders>
              <w:bottom w:val="single" w:sz="3" w:space="0" w:color="231F20"/>
            </w:tcBorders>
          </w:tcPr>
          <w:p>
            <w:pPr>
              <w:pStyle w:val="TableParagraph"/>
              <w:ind w:right="192"/>
              <w:jc w:val="right"/>
              <w:rPr>
                <w:sz w:val="17"/>
              </w:rPr>
            </w:pPr>
            <w:r>
              <w:rPr>
                <w:color w:val="231F20"/>
                <w:w w:val="105"/>
                <w:sz w:val="17"/>
              </w:rPr>
              <w:t>2.3</w:t>
            </w:r>
          </w:p>
        </w:tc>
        <w:tc>
          <w:tcPr>
            <w:tcW w:w="719" w:type="dxa"/>
            <w:tcBorders>
              <w:bottom w:val="single" w:sz="3" w:space="0" w:color="231F20"/>
            </w:tcBorders>
          </w:tcPr>
          <w:p>
            <w:pPr>
              <w:pStyle w:val="TableParagraph"/>
              <w:ind w:left="173" w:right="127"/>
              <w:rPr>
                <w:sz w:val="17"/>
              </w:rPr>
            </w:pPr>
            <w:r>
              <w:rPr>
                <w:color w:val="231F20"/>
                <w:sz w:val="17"/>
              </w:rPr>
              <w:t>100</w:t>
            </w:r>
          </w:p>
        </w:tc>
      </w:tr>
    </w:tbl>
    <w:p>
      <w:pPr>
        <w:spacing w:after="0"/>
        <w:rPr>
          <w:sz w:val="17"/>
        </w:rPr>
        <w:sectPr>
          <w:footerReference w:type="default" r:id="rId99"/>
          <w:footerReference w:type="even" r:id="rId100"/>
          <w:pgSz w:w="9520" w:h="12920"/>
          <w:pgMar w:footer="1344" w:header="0" w:top="1220" w:bottom="1540" w:left="960" w:right="1320"/>
          <w:pgNumType w:start="93"/>
        </w:sectPr>
      </w:pPr>
    </w:p>
    <w:p>
      <w:pPr>
        <w:spacing w:line="185" w:lineRule="exact" w:before="65"/>
        <w:ind w:left="144" w:right="1588" w:firstLine="0"/>
        <w:jc w:val="left"/>
        <w:rPr>
          <w:sz w:val="16"/>
        </w:rPr>
      </w:pPr>
      <w:r>
        <w:rPr>
          <w:color w:val="231F20"/>
          <w:w w:val="105"/>
          <w:sz w:val="16"/>
        </w:rPr>
        <w:t>Cuadro 10</w:t>
      </w:r>
    </w:p>
    <w:p>
      <w:pPr>
        <w:spacing w:line="210" w:lineRule="exact" w:before="9"/>
        <w:ind w:left="144" w:right="2623" w:firstLine="0"/>
        <w:jc w:val="left"/>
        <w:rPr>
          <w:sz w:val="19"/>
        </w:rPr>
      </w:pPr>
      <w:r>
        <w:rPr>
          <w:color w:val="231F20"/>
          <w:w w:val="90"/>
          <w:sz w:val="19"/>
        </w:rPr>
        <w:t>Distribución porcentual de hogares con jefe de sexo femenino según</w:t>
      </w:r>
      <w:r>
        <w:rPr>
          <w:color w:val="231F20"/>
          <w:spacing w:val="-13"/>
          <w:w w:val="90"/>
          <w:sz w:val="19"/>
        </w:rPr>
        <w:t> </w:t>
      </w:r>
      <w:r>
        <w:rPr>
          <w:color w:val="231F20"/>
          <w:w w:val="90"/>
          <w:sz w:val="19"/>
        </w:rPr>
        <w:t>número</w:t>
      </w:r>
      <w:r>
        <w:rPr>
          <w:color w:val="231F20"/>
          <w:spacing w:val="-13"/>
          <w:w w:val="90"/>
          <w:sz w:val="19"/>
        </w:rPr>
        <w:t> </w:t>
      </w:r>
      <w:r>
        <w:rPr>
          <w:color w:val="231F20"/>
          <w:w w:val="90"/>
          <w:sz w:val="19"/>
        </w:rPr>
        <w:t>de</w:t>
      </w:r>
      <w:r>
        <w:rPr>
          <w:color w:val="231F20"/>
          <w:spacing w:val="-13"/>
          <w:w w:val="90"/>
          <w:sz w:val="19"/>
        </w:rPr>
        <w:t> </w:t>
      </w:r>
      <w:r>
        <w:rPr>
          <w:color w:val="231F20"/>
          <w:w w:val="90"/>
          <w:sz w:val="19"/>
        </w:rPr>
        <w:t>miembros</w:t>
      </w:r>
      <w:r>
        <w:rPr>
          <w:color w:val="231F20"/>
          <w:spacing w:val="-13"/>
          <w:w w:val="90"/>
          <w:sz w:val="19"/>
        </w:rPr>
        <w:t> </w:t>
      </w:r>
      <w:r>
        <w:rPr>
          <w:color w:val="231F20"/>
          <w:w w:val="90"/>
          <w:sz w:val="19"/>
        </w:rPr>
        <w:t>por</w:t>
      </w:r>
      <w:r>
        <w:rPr>
          <w:color w:val="231F20"/>
          <w:spacing w:val="-13"/>
          <w:w w:val="90"/>
          <w:sz w:val="19"/>
        </w:rPr>
        <w:t> </w:t>
      </w:r>
      <w:r>
        <w:rPr>
          <w:color w:val="231F20"/>
          <w:w w:val="90"/>
          <w:sz w:val="19"/>
        </w:rPr>
        <w:t>entidad</w:t>
      </w:r>
      <w:r>
        <w:rPr>
          <w:color w:val="231F20"/>
          <w:spacing w:val="-13"/>
          <w:w w:val="90"/>
          <w:sz w:val="19"/>
        </w:rPr>
        <w:t> </w:t>
      </w:r>
      <w:r>
        <w:rPr>
          <w:color w:val="231F20"/>
          <w:w w:val="90"/>
          <w:sz w:val="19"/>
        </w:rPr>
        <w:t>federativa</w:t>
      </w:r>
      <w:r>
        <w:rPr>
          <w:color w:val="231F20"/>
          <w:spacing w:val="-13"/>
          <w:w w:val="90"/>
          <w:sz w:val="19"/>
        </w:rPr>
        <w:t> </w:t>
      </w:r>
      <w:r>
        <w:rPr>
          <w:color w:val="231F20"/>
          <w:w w:val="90"/>
          <w:sz w:val="19"/>
        </w:rPr>
        <w:t>1990</w:t>
      </w:r>
      <w:r>
        <w:rPr>
          <w:color w:val="231F20"/>
          <w:spacing w:val="-13"/>
          <w:w w:val="90"/>
          <w:sz w:val="19"/>
        </w:rPr>
        <w:t> </w:t>
      </w:r>
      <w:r>
        <w:rPr>
          <w:color w:val="231F20"/>
          <w:w w:val="90"/>
          <w:sz w:val="19"/>
        </w:rPr>
        <w:t>y</w:t>
      </w:r>
      <w:r>
        <w:rPr>
          <w:color w:val="231F20"/>
          <w:spacing w:val="-13"/>
          <w:w w:val="90"/>
          <w:sz w:val="19"/>
        </w:rPr>
        <w:t> </w:t>
      </w:r>
      <w:r>
        <w:rPr>
          <w:color w:val="231F20"/>
          <w:w w:val="90"/>
          <w:sz w:val="19"/>
        </w:rPr>
        <w:t>2010</w:t>
      </w:r>
    </w:p>
    <w:p>
      <w:pPr>
        <w:pStyle w:val="BodyText"/>
        <w:spacing w:before="6"/>
        <w:rPr>
          <w:sz w:val="13"/>
        </w:rPr>
      </w:pPr>
      <w:r>
        <w:rPr/>
        <w:pict>
          <v:group style="position:absolute;margin-left:72.019997pt;margin-top:9.900045pt;width:354.6pt;height:.4pt;mso-position-horizontal-relative:page;mso-position-vertical-relative:paragraph;z-index:2416;mso-wrap-distance-left:0;mso-wrap-distance-right:0" coordorigin="1440,198" coordsize="7092,8">
            <v:line style="position:absolute" from="1444,202" to="3124,202" stroked="true" strokeweight=".4pt" strokecolor="#231f20"/>
            <v:line style="position:absolute" from="3124,202" to="3668,202" stroked="true" strokeweight=".4pt" strokecolor="#231f20"/>
            <v:line style="position:absolute" from="3668,202" to="4208,202" stroked="true" strokeweight=".4pt" strokecolor="#231f20"/>
            <v:line style="position:absolute" from="4208,202" to="4748,202" stroked="true" strokeweight=".4pt" strokecolor="#231f20"/>
            <v:line style="position:absolute" from="4748,202" to="5288,202" stroked="true" strokeweight=".4pt" strokecolor="#231f20"/>
            <v:line style="position:absolute" from="5288,202" to="5828,202" stroked="true" strokeweight=".4pt" strokecolor="#231f20"/>
            <v:line style="position:absolute" from="5828,202" to="6368,202" stroked="true" strokeweight=".4pt" strokecolor="#231f20"/>
            <v:line style="position:absolute" from="6368,202" to="6908,202" stroked="true" strokeweight=".4pt" strokecolor="#231f20"/>
            <v:line style="position:absolute" from="6908,202" to="7448,202" stroked="true" strokeweight=".4pt" strokecolor="#231f20"/>
            <v:line style="position:absolute" from="7448,202" to="7988,202" stroked="true" strokeweight=".4pt" strokecolor="#231f20"/>
            <v:line style="position:absolute" from="7988,202" to="8528,202" stroked="true" strokeweight=".4pt" strokecolor="#231f20"/>
            <w10:wrap type="topAndBottom"/>
          </v:group>
        </w:pict>
      </w:r>
      <w:r>
        <w:rPr/>
        <w:pict>
          <v:group style="position:absolute;margin-left:156.020004pt;margin-top:28.692345pt;width:270.6pt;height:.4pt;mso-position-horizontal-relative:page;mso-position-vertical-relative:paragraph;z-index:2440;mso-wrap-distance-left:0;mso-wrap-distance-right:0" coordorigin="3120,574" coordsize="5412,8">
            <v:line style="position:absolute" from="3124,578" to="3668,578" stroked="true" strokeweight=".4pt" strokecolor="#231f20"/>
            <v:line style="position:absolute" from="3668,578" to="4208,578" stroked="true" strokeweight=".4pt" strokecolor="#231f20"/>
            <v:line style="position:absolute" from="4208,578" to="4748,578" stroked="true" strokeweight=".4pt" strokecolor="#231f20"/>
            <v:line style="position:absolute" from="4748,578" to="5288,578" stroked="true" strokeweight=".4pt" strokecolor="#231f20"/>
            <v:line style="position:absolute" from="5288,578" to="5828,578" stroked="true" strokeweight=".4pt" strokecolor="#231f20"/>
            <v:line style="position:absolute" from="5828,578" to="6368,578" stroked="true" strokeweight=".4pt" strokecolor="#231f20"/>
            <v:line style="position:absolute" from="6368,578" to="6908,578" stroked="true" strokeweight=".4pt" strokecolor="#231f20"/>
            <v:line style="position:absolute" from="6908,578" to="7448,578" stroked="true" strokeweight=".4pt" strokecolor="#231f20"/>
            <v:line style="position:absolute" from="7448,578" to="7988,578" stroked="true" strokeweight=".4pt" strokecolor="#231f20"/>
            <v:line style="position:absolute" from="7988,578" to="8528,578" stroked="true" strokeweight=".4pt" strokecolor="#231f20"/>
            <w10:wrap type="topAndBottom"/>
          </v:group>
        </w:pict>
      </w:r>
    </w:p>
    <w:p>
      <w:pPr>
        <w:pStyle w:val="BodyText"/>
        <w:spacing w:before="6"/>
        <w:rPr>
          <w:sz w:val="25"/>
        </w:rPr>
      </w:pPr>
    </w:p>
    <w:p>
      <w:pPr>
        <w:tabs>
          <w:tab w:pos="2053" w:val="left" w:leader="none"/>
          <w:tab w:pos="2595" w:val="left" w:leader="none"/>
          <w:tab w:pos="3135" w:val="left" w:leader="none"/>
          <w:tab w:pos="3675" w:val="left" w:leader="none"/>
          <w:tab w:pos="4215" w:val="left" w:leader="none"/>
          <w:tab w:pos="4755" w:val="left" w:leader="none"/>
          <w:tab w:pos="5295" w:val="left" w:leader="none"/>
          <w:tab w:pos="5835" w:val="left" w:leader="none"/>
          <w:tab w:pos="6304" w:val="left" w:leader="none"/>
          <w:tab w:pos="6770" w:val="left" w:leader="none"/>
        </w:tabs>
        <w:spacing w:before="55"/>
        <w:ind w:left="687" w:right="0" w:firstLine="0"/>
        <w:jc w:val="left"/>
        <w:rPr>
          <w:i/>
          <w:sz w:val="17"/>
        </w:rPr>
      </w:pPr>
      <w:r>
        <w:rPr>
          <w:i/>
          <w:color w:val="231F20"/>
          <w:sz w:val="17"/>
        </w:rPr>
        <w:t>Entidad</w:t>
        <w:tab/>
        <w:t>1</w:t>
        <w:tab/>
        <w:t>2</w:t>
        <w:tab/>
        <w:t>3</w:t>
        <w:tab/>
        <w:t>4</w:t>
        <w:tab/>
        <w:t>5</w:t>
        <w:tab/>
        <w:t>6</w:t>
        <w:tab/>
        <w:t>7</w:t>
        <w:tab/>
        <w:t>8</w:t>
        <w:tab/>
        <w:t>9+</w:t>
        <w:tab/>
        <w:t>Total</w:t>
      </w:r>
    </w:p>
    <w:p>
      <w:pPr>
        <w:pStyle w:val="BodyText"/>
        <w:rPr>
          <w:i/>
          <w:sz w:val="7"/>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77"/>
        <w:gridCol w:w="582"/>
        <w:gridCol w:w="541"/>
        <w:gridCol w:w="540"/>
        <w:gridCol w:w="540"/>
        <w:gridCol w:w="564"/>
        <w:gridCol w:w="516"/>
        <w:gridCol w:w="540"/>
        <w:gridCol w:w="540"/>
        <w:gridCol w:w="527"/>
        <w:gridCol w:w="553"/>
      </w:tblGrid>
      <w:tr>
        <w:trPr>
          <w:trHeight w:val="303" w:hRule="exact"/>
        </w:trPr>
        <w:tc>
          <w:tcPr>
            <w:tcW w:w="1677" w:type="dxa"/>
            <w:tcBorders>
              <w:top w:val="single" w:sz="3" w:space="0" w:color="231F20"/>
            </w:tcBorders>
          </w:tcPr>
          <w:p>
            <w:pPr>
              <w:pStyle w:val="TableParagraph"/>
              <w:spacing w:line="240" w:lineRule="auto" w:before="84"/>
              <w:ind w:left="35"/>
              <w:jc w:val="left"/>
              <w:rPr>
                <w:sz w:val="17"/>
              </w:rPr>
            </w:pPr>
            <w:r>
              <w:rPr>
                <w:color w:val="231F20"/>
                <w:w w:val="110"/>
                <w:sz w:val="17"/>
              </w:rPr>
              <w:t>Nacional</w:t>
            </w:r>
          </w:p>
        </w:tc>
        <w:tc>
          <w:tcPr>
            <w:tcW w:w="582" w:type="dxa"/>
            <w:tcBorders>
              <w:top w:val="single" w:sz="3" w:space="0" w:color="231F20"/>
            </w:tcBorders>
          </w:tcPr>
          <w:p>
            <w:pPr>
              <w:pStyle w:val="TableParagraph"/>
              <w:spacing w:line="240" w:lineRule="auto" w:before="84"/>
              <w:ind w:left="123" w:right="84"/>
              <w:rPr>
                <w:sz w:val="17"/>
              </w:rPr>
            </w:pPr>
            <w:r>
              <w:rPr>
                <w:color w:val="231F20"/>
                <w:w w:val="105"/>
                <w:sz w:val="17"/>
              </w:rPr>
              <w:t>13.4</w:t>
            </w:r>
          </w:p>
        </w:tc>
        <w:tc>
          <w:tcPr>
            <w:tcW w:w="541" w:type="dxa"/>
            <w:tcBorders>
              <w:top w:val="single" w:sz="3" w:space="0" w:color="231F20"/>
            </w:tcBorders>
          </w:tcPr>
          <w:p>
            <w:pPr>
              <w:pStyle w:val="TableParagraph"/>
              <w:spacing w:line="240" w:lineRule="auto" w:before="84"/>
              <w:ind w:left="104"/>
              <w:jc w:val="left"/>
              <w:rPr>
                <w:sz w:val="17"/>
              </w:rPr>
            </w:pPr>
            <w:r>
              <w:rPr>
                <w:color w:val="231F20"/>
                <w:w w:val="105"/>
                <w:sz w:val="17"/>
              </w:rPr>
              <w:t>17.5</w:t>
            </w:r>
          </w:p>
        </w:tc>
        <w:tc>
          <w:tcPr>
            <w:tcW w:w="540" w:type="dxa"/>
            <w:tcBorders>
              <w:top w:val="single" w:sz="3" w:space="0" w:color="231F20"/>
            </w:tcBorders>
          </w:tcPr>
          <w:p>
            <w:pPr>
              <w:pStyle w:val="TableParagraph"/>
              <w:spacing w:line="240" w:lineRule="auto" w:before="84"/>
              <w:ind w:left="83" w:right="83"/>
              <w:rPr>
                <w:sz w:val="17"/>
              </w:rPr>
            </w:pPr>
            <w:r>
              <w:rPr>
                <w:color w:val="231F20"/>
                <w:w w:val="105"/>
                <w:sz w:val="17"/>
              </w:rPr>
              <w:t>17.7</w:t>
            </w:r>
          </w:p>
        </w:tc>
        <w:tc>
          <w:tcPr>
            <w:tcW w:w="540" w:type="dxa"/>
            <w:tcBorders>
              <w:top w:val="single" w:sz="3" w:space="0" w:color="231F20"/>
            </w:tcBorders>
          </w:tcPr>
          <w:p>
            <w:pPr>
              <w:pStyle w:val="TableParagraph"/>
              <w:spacing w:line="240" w:lineRule="auto" w:before="84"/>
              <w:ind w:right="101"/>
              <w:jc w:val="right"/>
              <w:rPr>
                <w:sz w:val="17"/>
              </w:rPr>
            </w:pPr>
            <w:r>
              <w:rPr>
                <w:color w:val="231F20"/>
                <w:sz w:val="17"/>
              </w:rPr>
              <w:t>15.6</w:t>
            </w:r>
          </w:p>
        </w:tc>
        <w:tc>
          <w:tcPr>
            <w:tcW w:w="564" w:type="dxa"/>
            <w:tcBorders>
              <w:top w:val="single" w:sz="3" w:space="0" w:color="231F20"/>
            </w:tcBorders>
          </w:tcPr>
          <w:p>
            <w:pPr>
              <w:pStyle w:val="TableParagraph"/>
              <w:spacing w:line="240" w:lineRule="auto" w:before="84"/>
              <w:ind w:left="83" w:right="105"/>
              <w:rPr>
                <w:sz w:val="17"/>
              </w:rPr>
            </w:pPr>
            <w:r>
              <w:rPr>
                <w:color w:val="231F20"/>
                <w:w w:val="105"/>
                <w:sz w:val="17"/>
              </w:rPr>
              <w:t>12.1</w:t>
            </w:r>
          </w:p>
        </w:tc>
        <w:tc>
          <w:tcPr>
            <w:tcW w:w="516" w:type="dxa"/>
            <w:tcBorders>
              <w:top w:val="single" w:sz="3" w:space="0" w:color="231F20"/>
            </w:tcBorders>
          </w:tcPr>
          <w:p>
            <w:pPr>
              <w:pStyle w:val="TableParagraph"/>
              <w:spacing w:line="240" w:lineRule="auto" w:before="84"/>
              <w:ind w:left="109" w:right="131"/>
              <w:rPr>
                <w:sz w:val="17"/>
              </w:rPr>
            </w:pPr>
            <w:r>
              <w:rPr>
                <w:color w:val="231F20"/>
                <w:w w:val="105"/>
                <w:sz w:val="17"/>
              </w:rPr>
              <w:t>8.6</w:t>
            </w:r>
          </w:p>
        </w:tc>
        <w:tc>
          <w:tcPr>
            <w:tcW w:w="540" w:type="dxa"/>
            <w:tcBorders>
              <w:top w:val="single" w:sz="3" w:space="0" w:color="231F20"/>
            </w:tcBorders>
          </w:tcPr>
          <w:p>
            <w:pPr>
              <w:pStyle w:val="TableParagraph"/>
              <w:spacing w:line="240" w:lineRule="auto" w:before="84"/>
              <w:ind w:left="151"/>
              <w:jc w:val="left"/>
              <w:rPr>
                <w:sz w:val="17"/>
              </w:rPr>
            </w:pPr>
            <w:r>
              <w:rPr>
                <w:color w:val="231F20"/>
                <w:w w:val="105"/>
                <w:sz w:val="17"/>
              </w:rPr>
              <w:t>5.6</w:t>
            </w:r>
          </w:p>
        </w:tc>
        <w:tc>
          <w:tcPr>
            <w:tcW w:w="540" w:type="dxa"/>
            <w:tcBorders>
              <w:top w:val="single" w:sz="3" w:space="0" w:color="231F20"/>
            </w:tcBorders>
          </w:tcPr>
          <w:p>
            <w:pPr>
              <w:pStyle w:val="TableParagraph"/>
              <w:spacing w:line="240" w:lineRule="auto" w:before="84"/>
              <w:ind w:left="83" w:right="83"/>
              <w:rPr>
                <w:sz w:val="17"/>
              </w:rPr>
            </w:pPr>
            <w:r>
              <w:rPr>
                <w:color w:val="231F20"/>
                <w:w w:val="105"/>
                <w:sz w:val="17"/>
              </w:rPr>
              <w:t>3.7</w:t>
            </w:r>
          </w:p>
        </w:tc>
        <w:tc>
          <w:tcPr>
            <w:tcW w:w="527" w:type="dxa"/>
            <w:tcBorders>
              <w:top w:val="single" w:sz="3" w:space="0" w:color="231F20"/>
            </w:tcBorders>
          </w:tcPr>
          <w:p>
            <w:pPr>
              <w:pStyle w:val="TableParagraph"/>
              <w:spacing w:line="240" w:lineRule="auto" w:before="84"/>
              <w:ind w:left="131" w:right="119"/>
              <w:rPr>
                <w:sz w:val="17"/>
              </w:rPr>
            </w:pPr>
            <w:r>
              <w:rPr>
                <w:color w:val="231F20"/>
                <w:w w:val="105"/>
                <w:sz w:val="17"/>
              </w:rPr>
              <w:t>5.7</w:t>
            </w:r>
          </w:p>
        </w:tc>
        <w:tc>
          <w:tcPr>
            <w:tcW w:w="553" w:type="dxa"/>
            <w:tcBorders>
              <w:top w:val="single" w:sz="3" w:space="0" w:color="231F20"/>
            </w:tcBorders>
          </w:tcPr>
          <w:p>
            <w:pPr>
              <w:pStyle w:val="TableParagraph"/>
              <w:spacing w:line="240" w:lineRule="auto" w:before="84"/>
              <w:ind w:left="138"/>
              <w:jc w:val="left"/>
              <w:rPr>
                <w:sz w:val="17"/>
              </w:rPr>
            </w:pPr>
            <w:r>
              <w:rPr>
                <w:color w:val="231F20"/>
                <w:sz w:val="17"/>
              </w:rPr>
              <w:t>100</w:t>
            </w:r>
          </w:p>
        </w:tc>
      </w:tr>
      <w:tr>
        <w:trPr>
          <w:trHeight w:val="210" w:hRule="exact"/>
        </w:trPr>
        <w:tc>
          <w:tcPr>
            <w:tcW w:w="1677" w:type="dxa"/>
          </w:tcPr>
          <w:p>
            <w:pPr>
              <w:pStyle w:val="TableParagraph"/>
              <w:ind w:left="35"/>
              <w:jc w:val="left"/>
              <w:rPr>
                <w:sz w:val="17"/>
              </w:rPr>
            </w:pPr>
            <w:r>
              <w:rPr>
                <w:color w:val="231F20"/>
                <w:w w:val="110"/>
                <w:sz w:val="17"/>
              </w:rPr>
              <w:t>Aguascalientes</w:t>
            </w:r>
          </w:p>
        </w:tc>
        <w:tc>
          <w:tcPr>
            <w:tcW w:w="582" w:type="dxa"/>
          </w:tcPr>
          <w:p>
            <w:pPr>
              <w:pStyle w:val="TableParagraph"/>
              <w:ind w:left="123" w:right="84"/>
              <w:rPr>
                <w:sz w:val="17"/>
              </w:rPr>
            </w:pPr>
            <w:r>
              <w:rPr>
                <w:color w:val="231F20"/>
                <w:w w:val="105"/>
                <w:sz w:val="17"/>
              </w:rPr>
              <w:t>13.9</w:t>
            </w:r>
          </w:p>
        </w:tc>
        <w:tc>
          <w:tcPr>
            <w:tcW w:w="541" w:type="dxa"/>
          </w:tcPr>
          <w:p>
            <w:pPr>
              <w:pStyle w:val="TableParagraph"/>
              <w:ind w:left="104"/>
              <w:jc w:val="left"/>
              <w:rPr>
                <w:sz w:val="17"/>
              </w:rPr>
            </w:pPr>
            <w:r>
              <w:rPr>
                <w:color w:val="231F20"/>
                <w:w w:val="105"/>
                <w:sz w:val="17"/>
              </w:rPr>
              <w:t>17.4</w:t>
            </w:r>
          </w:p>
        </w:tc>
        <w:tc>
          <w:tcPr>
            <w:tcW w:w="540" w:type="dxa"/>
          </w:tcPr>
          <w:p>
            <w:pPr>
              <w:pStyle w:val="TableParagraph"/>
              <w:ind w:left="83" w:right="83"/>
              <w:rPr>
                <w:sz w:val="17"/>
              </w:rPr>
            </w:pPr>
            <w:r>
              <w:rPr>
                <w:color w:val="231F20"/>
                <w:w w:val="105"/>
                <w:sz w:val="17"/>
              </w:rPr>
              <w:t>16.2</w:t>
            </w:r>
          </w:p>
        </w:tc>
        <w:tc>
          <w:tcPr>
            <w:tcW w:w="540" w:type="dxa"/>
          </w:tcPr>
          <w:p>
            <w:pPr>
              <w:pStyle w:val="TableParagraph"/>
              <w:ind w:right="101"/>
              <w:jc w:val="right"/>
              <w:rPr>
                <w:sz w:val="17"/>
              </w:rPr>
            </w:pPr>
            <w:r>
              <w:rPr>
                <w:color w:val="231F20"/>
                <w:sz w:val="17"/>
              </w:rPr>
              <w:t>14.6</w:t>
            </w:r>
          </w:p>
        </w:tc>
        <w:tc>
          <w:tcPr>
            <w:tcW w:w="564" w:type="dxa"/>
          </w:tcPr>
          <w:p>
            <w:pPr>
              <w:pStyle w:val="TableParagraph"/>
              <w:ind w:left="83" w:right="105"/>
              <w:rPr>
                <w:sz w:val="17"/>
              </w:rPr>
            </w:pPr>
            <w:r>
              <w:rPr>
                <w:color w:val="231F20"/>
                <w:w w:val="105"/>
                <w:sz w:val="17"/>
              </w:rPr>
              <w:t>11.4</w:t>
            </w:r>
          </w:p>
        </w:tc>
        <w:tc>
          <w:tcPr>
            <w:tcW w:w="516" w:type="dxa"/>
          </w:tcPr>
          <w:p>
            <w:pPr>
              <w:pStyle w:val="TableParagraph"/>
              <w:ind w:left="109" w:right="131"/>
              <w:rPr>
                <w:sz w:val="17"/>
              </w:rPr>
            </w:pPr>
            <w:r>
              <w:rPr>
                <w:color w:val="231F20"/>
                <w:w w:val="105"/>
                <w:sz w:val="17"/>
              </w:rPr>
              <w:t>8.6</w:t>
            </w:r>
          </w:p>
        </w:tc>
        <w:tc>
          <w:tcPr>
            <w:tcW w:w="540" w:type="dxa"/>
          </w:tcPr>
          <w:p>
            <w:pPr>
              <w:pStyle w:val="TableParagraph"/>
              <w:ind w:left="151"/>
              <w:jc w:val="left"/>
              <w:rPr>
                <w:sz w:val="17"/>
              </w:rPr>
            </w:pPr>
            <w:r>
              <w:rPr>
                <w:color w:val="231F20"/>
                <w:w w:val="105"/>
                <w:sz w:val="17"/>
              </w:rPr>
              <w:t>6.2</w:t>
            </w:r>
          </w:p>
        </w:tc>
        <w:tc>
          <w:tcPr>
            <w:tcW w:w="540" w:type="dxa"/>
          </w:tcPr>
          <w:p>
            <w:pPr>
              <w:pStyle w:val="TableParagraph"/>
              <w:ind w:left="83" w:right="83"/>
              <w:rPr>
                <w:sz w:val="17"/>
              </w:rPr>
            </w:pPr>
            <w:r>
              <w:rPr>
                <w:color w:val="231F20"/>
                <w:w w:val="105"/>
                <w:sz w:val="17"/>
              </w:rPr>
              <w:t>3.9</w:t>
            </w:r>
          </w:p>
        </w:tc>
        <w:tc>
          <w:tcPr>
            <w:tcW w:w="527" w:type="dxa"/>
          </w:tcPr>
          <w:p>
            <w:pPr>
              <w:pStyle w:val="TableParagraph"/>
              <w:ind w:left="131" w:right="119"/>
              <w:rPr>
                <w:sz w:val="17"/>
              </w:rPr>
            </w:pPr>
            <w:r>
              <w:rPr>
                <w:color w:val="231F20"/>
                <w:w w:val="105"/>
                <w:sz w:val="17"/>
              </w:rPr>
              <w:t>7.8</w:t>
            </w:r>
          </w:p>
        </w:tc>
        <w:tc>
          <w:tcPr>
            <w:tcW w:w="553" w:type="dxa"/>
          </w:tcPr>
          <w:p>
            <w:pPr>
              <w:pStyle w:val="TableParagraph"/>
              <w:ind w:left="138"/>
              <w:jc w:val="left"/>
              <w:rPr>
                <w:sz w:val="17"/>
              </w:rPr>
            </w:pPr>
            <w:r>
              <w:rPr>
                <w:color w:val="231F20"/>
                <w:sz w:val="17"/>
              </w:rPr>
              <w:t>100</w:t>
            </w:r>
          </w:p>
        </w:tc>
      </w:tr>
      <w:tr>
        <w:trPr>
          <w:trHeight w:val="210" w:hRule="exact"/>
        </w:trPr>
        <w:tc>
          <w:tcPr>
            <w:tcW w:w="1677" w:type="dxa"/>
          </w:tcPr>
          <w:p>
            <w:pPr>
              <w:pStyle w:val="TableParagraph"/>
              <w:ind w:left="35"/>
              <w:jc w:val="left"/>
              <w:rPr>
                <w:sz w:val="17"/>
              </w:rPr>
            </w:pPr>
            <w:r>
              <w:rPr>
                <w:color w:val="231F20"/>
                <w:w w:val="110"/>
                <w:sz w:val="17"/>
              </w:rPr>
              <w:t>Baja California</w:t>
            </w:r>
          </w:p>
        </w:tc>
        <w:tc>
          <w:tcPr>
            <w:tcW w:w="582" w:type="dxa"/>
          </w:tcPr>
          <w:p>
            <w:pPr>
              <w:pStyle w:val="TableParagraph"/>
              <w:ind w:left="123" w:right="84"/>
              <w:rPr>
                <w:sz w:val="17"/>
              </w:rPr>
            </w:pPr>
            <w:r>
              <w:rPr>
                <w:color w:val="231F20"/>
                <w:w w:val="105"/>
                <w:sz w:val="17"/>
              </w:rPr>
              <w:t>13.0</w:t>
            </w:r>
          </w:p>
        </w:tc>
        <w:tc>
          <w:tcPr>
            <w:tcW w:w="541" w:type="dxa"/>
          </w:tcPr>
          <w:p>
            <w:pPr>
              <w:pStyle w:val="TableParagraph"/>
              <w:ind w:left="104"/>
              <w:jc w:val="left"/>
              <w:rPr>
                <w:sz w:val="17"/>
              </w:rPr>
            </w:pPr>
            <w:r>
              <w:rPr>
                <w:color w:val="231F20"/>
                <w:w w:val="105"/>
                <w:sz w:val="17"/>
              </w:rPr>
              <w:t>18.0</w:t>
            </w:r>
          </w:p>
        </w:tc>
        <w:tc>
          <w:tcPr>
            <w:tcW w:w="540" w:type="dxa"/>
          </w:tcPr>
          <w:p>
            <w:pPr>
              <w:pStyle w:val="TableParagraph"/>
              <w:ind w:left="83" w:right="83"/>
              <w:rPr>
                <w:sz w:val="17"/>
              </w:rPr>
            </w:pPr>
            <w:r>
              <w:rPr>
                <w:color w:val="231F20"/>
                <w:w w:val="105"/>
                <w:sz w:val="17"/>
              </w:rPr>
              <w:t>19.2</w:t>
            </w:r>
          </w:p>
        </w:tc>
        <w:tc>
          <w:tcPr>
            <w:tcW w:w="540" w:type="dxa"/>
          </w:tcPr>
          <w:p>
            <w:pPr>
              <w:pStyle w:val="TableParagraph"/>
              <w:ind w:right="101"/>
              <w:jc w:val="right"/>
              <w:rPr>
                <w:sz w:val="17"/>
              </w:rPr>
            </w:pPr>
            <w:r>
              <w:rPr>
                <w:color w:val="231F20"/>
                <w:sz w:val="17"/>
              </w:rPr>
              <w:t>17.1</w:t>
            </w:r>
          </w:p>
        </w:tc>
        <w:tc>
          <w:tcPr>
            <w:tcW w:w="564" w:type="dxa"/>
          </w:tcPr>
          <w:p>
            <w:pPr>
              <w:pStyle w:val="TableParagraph"/>
              <w:ind w:left="83" w:right="105"/>
              <w:rPr>
                <w:sz w:val="17"/>
              </w:rPr>
            </w:pPr>
            <w:r>
              <w:rPr>
                <w:color w:val="231F20"/>
                <w:w w:val="105"/>
                <w:sz w:val="17"/>
              </w:rPr>
              <w:t>12.4</w:t>
            </w:r>
          </w:p>
        </w:tc>
        <w:tc>
          <w:tcPr>
            <w:tcW w:w="516" w:type="dxa"/>
          </w:tcPr>
          <w:p>
            <w:pPr>
              <w:pStyle w:val="TableParagraph"/>
              <w:ind w:left="109" w:right="131"/>
              <w:rPr>
                <w:sz w:val="17"/>
              </w:rPr>
            </w:pPr>
            <w:r>
              <w:rPr>
                <w:color w:val="231F20"/>
                <w:w w:val="105"/>
                <w:sz w:val="17"/>
              </w:rPr>
              <w:t>8.3</w:t>
            </w:r>
          </w:p>
        </w:tc>
        <w:tc>
          <w:tcPr>
            <w:tcW w:w="540" w:type="dxa"/>
          </w:tcPr>
          <w:p>
            <w:pPr>
              <w:pStyle w:val="TableParagraph"/>
              <w:ind w:left="151"/>
              <w:jc w:val="left"/>
              <w:rPr>
                <w:sz w:val="17"/>
              </w:rPr>
            </w:pPr>
            <w:r>
              <w:rPr>
                <w:color w:val="231F20"/>
                <w:w w:val="105"/>
                <w:sz w:val="17"/>
              </w:rPr>
              <w:t>5.0</w:t>
            </w:r>
          </w:p>
        </w:tc>
        <w:tc>
          <w:tcPr>
            <w:tcW w:w="540" w:type="dxa"/>
          </w:tcPr>
          <w:p>
            <w:pPr>
              <w:pStyle w:val="TableParagraph"/>
              <w:ind w:left="83" w:right="83"/>
              <w:rPr>
                <w:sz w:val="17"/>
              </w:rPr>
            </w:pPr>
            <w:r>
              <w:rPr>
                <w:color w:val="231F20"/>
                <w:w w:val="105"/>
                <w:sz w:val="17"/>
              </w:rPr>
              <w:t>3.0</w:t>
            </w:r>
          </w:p>
        </w:tc>
        <w:tc>
          <w:tcPr>
            <w:tcW w:w="527" w:type="dxa"/>
          </w:tcPr>
          <w:p>
            <w:pPr>
              <w:pStyle w:val="TableParagraph"/>
              <w:ind w:left="131" w:right="119"/>
              <w:rPr>
                <w:sz w:val="17"/>
              </w:rPr>
            </w:pPr>
            <w:r>
              <w:rPr>
                <w:color w:val="231F20"/>
                <w:w w:val="105"/>
                <w:sz w:val="17"/>
              </w:rPr>
              <w:t>4.0</w:t>
            </w:r>
          </w:p>
        </w:tc>
        <w:tc>
          <w:tcPr>
            <w:tcW w:w="553" w:type="dxa"/>
          </w:tcPr>
          <w:p>
            <w:pPr>
              <w:pStyle w:val="TableParagraph"/>
              <w:ind w:left="138"/>
              <w:jc w:val="left"/>
              <w:rPr>
                <w:sz w:val="17"/>
              </w:rPr>
            </w:pPr>
            <w:r>
              <w:rPr>
                <w:color w:val="231F20"/>
                <w:sz w:val="17"/>
              </w:rPr>
              <w:t>100</w:t>
            </w:r>
          </w:p>
        </w:tc>
      </w:tr>
      <w:tr>
        <w:trPr>
          <w:trHeight w:val="210" w:hRule="exact"/>
        </w:trPr>
        <w:tc>
          <w:tcPr>
            <w:tcW w:w="1677" w:type="dxa"/>
          </w:tcPr>
          <w:p>
            <w:pPr>
              <w:pStyle w:val="TableParagraph"/>
              <w:ind w:left="35"/>
              <w:jc w:val="left"/>
              <w:rPr>
                <w:sz w:val="17"/>
              </w:rPr>
            </w:pPr>
            <w:r>
              <w:rPr>
                <w:color w:val="231F20"/>
                <w:w w:val="110"/>
                <w:sz w:val="17"/>
              </w:rPr>
              <w:t>Baja California Sur</w:t>
            </w:r>
          </w:p>
        </w:tc>
        <w:tc>
          <w:tcPr>
            <w:tcW w:w="582" w:type="dxa"/>
          </w:tcPr>
          <w:p>
            <w:pPr>
              <w:pStyle w:val="TableParagraph"/>
              <w:ind w:left="123" w:right="84"/>
              <w:rPr>
                <w:sz w:val="17"/>
              </w:rPr>
            </w:pPr>
            <w:r>
              <w:rPr>
                <w:color w:val="231F20"/>
                <w:w w:val="105"/>
                <w:sz w:val="17"/>
              </w:rPr>
              <w:t>10.7</w:t>
            </w:r>
          </w:p>
        </w:tc>
        <w:tc>
          <w:tcPr>
            <w:tcW w:w="541" w:type="dxa"/>
          </w:tcPr>
          <w:p>
            <w:pPr>
              <w:pStyle w:val="TableParagraph"/>
              <w:ind w:left="104"/>
              <w:jc w:val="left"/>
              <w:rPr>
                <w:sz w:val="17"/>
              </w:rPr>
            </w:pPr>
            <w:r>
              <w:rPr>
                <w:color w:val="231F20"/>
                <w:w w:val="105"/>
                <w:sz w:val="17"/>
              </w:rPr>
              <w:t>19.0</w:t>
            </w:r>
          </w:p>
        </w:tc>
        <w:tc>
          <w:tcPr>
            <w:tcW w:w="540" w:type="dxa"/>
          </w:tcPr>
          <w:p>
            <w:pPr>
              <w:pStyle w:val="TableParagraph"/>
              <w:ind w:left="83" w:right="83"/>
              <w:rPr>
                <w:sz w:val="17"/>
              </w:rPr>
            </w:pPr>
            <w:r>
              <w:rPr>
                <w:color w:val="231F20"/>
                <w:w w:val="105"/>
                <w:sz w:val="17"/>
              </w:rPr>
              <w:t>19.8</w:t>
            </w:r>
          </w:p>
        </w:tc>
        <w:tc>
          <w:tcPr>
            <w:tcW w:w="540" w:type="dxa"/>
          </w:tcPr>
          <w:p>
            <w:pPr>
              <w:pStyle w:val="TableParagraph"/>
              <w:ind w:right="101"/>
              <w:jc w:val="right"/>
              <w:rPr>
                <w:sz w:val="17"/>
              </w:rPr>
            </w:pPr>
            <w:r>
              <w:rPr>
                <w:color w:val="231F20"/>
                <w:sz w:val="17"/>
              </w:rPr>
              <w:t>16.5</w:t>
            </w:r>
          </w:p>
        </w:tc>
        <w:tc>
          <w:tcPr>
            <w:tcW w:w="564" w:type="dxa"/>
          </w:tcPr>
          <w:p>
            <w:pPr>
              <w:pStyle w:val="TableParagraph"/>
              <w:ind w:left="83" w:right="105"/>
              <w:rPr>
                <w:sz w:val="17"/>
              </w:rPr>
            </w:pPr>
            <w:r>
              <w:rPr>
                <w:color w:val="231F20"/>
                <w:w w:val="105"/>
                <w:sz w:val="17"/>
              </w:rPr>
              <w:t>12.5</w:t>
            </w:r>
          </w:p>
        </w:tc>
        <w:tc>
          <w:tcPr>
            <w:tcW w:w="516" w:type="dxa"/>
          </w:tcPr>
          <w:p>
            <w:pPr>
              <w:pStyle w:val="TableParagraph"/>
              <w:ind w:left="109" w:right="131"/>
              <w:rPr>
                <w:sz w:val="17"/>
              </w:rPr>
            </w:pPr>
            <w:r>
              <w:rPr>
                <w:color w:val="231F20"/>
                <w:w w:val="105"/>
                <w:sz w:val="17"/>
              </w:rPr>
              <w:t>8.1</w:t>
            </w:r>
          </w:p>
        </w:tc>
        <w:tc>
          <w:tcPr>
            <w:tcW w:w="540" w:type="dxa"/>
          </w:tcPr>
          <w:p>
            <w:pPr>
              <w:pStyle w:val="TableParagraph"/>
              <w:ind w:left="151"/>
              <w:jc w:val="left"/>
              <w:rPr>
                <w:sz w:val="17"/>
              </w:rPr>
            </w:pPr>
            <w:r>
              <w:rPr>
                <w:color w:val="231F20"/>
                <w:w w:val="105"/>
                <w:sz w:val="17"/>
              </w:rPr>
              <w:t>5.7</w:t>
            </w:r>
          </w:p>
        </w:tc>
        <w:tc>
          <w:tcPr>
            <w:tcW w:w="540" w:type="dxa"/>
          </w:tcPr>
          <w:p>
            <w:pPr>
              <w:pStyle w:val="TableParagraph"/>
              <w:ind w:left="83" w:right="83"/>
              <w:rPr>
                <w:sz w:val="17"/>
              </w:rPr>
            </w:pPr>
            <w:r>
              <w:rPr>
                <w:color w:val="231F20"/>
                <w:w w:val="105"/>
                <w:sz w:val="17"/>
              </w:rPr>
              <w:t>3.5</w:t>
            </w:r>
          </w:p>
        </w:tc>
        <w:tc>
          <w:tcPr>
            <w:tcW w:w="527" w:type="dxa"/>
          </w:tcPr>
          <w:p>
            <w:pPr>
              <w:pStyle w:val="TableParagraph"/>
              <w:ind w:left="131" w:right="119"/>
              <w:rPr>
                <w:sz w:val="17"/>
              </w:rPr>
            </w:pPr>
            <w:r>
              <w:rPr>
                <w:color w:val="231F20"/>
                <w:w w:val="105"/>
                <w:sz w:val="17"/>
              </w:rPr>
              <w:t>4.3</w:t>
            </w:r>
          </w:p>
        </w:tc>
        <w:tc>
          <w:tcPr>
            <w:tcW w:w="553" w:type="dxa"/>
          </w:tcPr>
          <w:p>
            <w:pPr>
              <w:pStyle w:val="TableParagraph"/>
              <w:ind w:left="138"/>
              <w:jc w:val="left"/>
              <w:rPr>
                <w:sz w:val="17"/>
              </w:rPr>
            </w:pPr>
            <w:r>
              <w:rPr>
                <w:color w:val="231F20"/>
                <w:sz w:val="17"/>
              </w:rPr>
              <w:t>100</w:t>
            </w:r>
          </w:p>
        </w:tc>
      </w:tr>
      <w:tr>
        <w:trPr>
          <w:trHeight w:val="210" w:hRule="exact"/>
        </w:trPr>
        <w:tc>
          <w:tcPr>
            <w:tcW w:w="1677" w:type="dxa"/>
          </w:tcPr>
          <w:p>
            <w:pPr>
              <w:pStyle w:val="TableParagraph"/>
              <w:ind w:left="35"/>
              <w:jc w:val="left"/>
              <w:rPr>
                <w:sz w:val="17"/>
              </w:rPr>
            </w:pPr>
            <w:r>
              <w:rPr>
                <w:color w:val="231F20"/>
                <w:w w:val="110"/>
                <w:sz w:val="17"/>
              </w:rPr>
              <w:t>Campeche</w:t>
            </w:r>
          </w:p>
        </w:tc>
        <w:tc>
          <w:tcPr>
            <w:tcW w:w="582" w:type="dxa"/>
          </w:tcPr>
          <w:p>
            <w:pPr>
              <w:pStyle w:val="TableParagraph"/>
              <w:ind w:left="123" w:right="84"/>
              <w:rPr>
                <w:sz w:val="17"/>
              </w:rPr>
            </w:pPr>
            <w:r>
              <w:rPr>
                <w:color w:val="231F20"/>
                <w:w w:val="105"/>
                <w:sz w:val="17"/>
              </w:rPr>
              <w:t>11.8</w:t>
            </w:r>
          </w:p>
        </w:tc>
        <w:tc>
          <w:tcPr>
            <w:tcW w:w="541" w:type="dxa"/>
          </w:tcPr>
          <w:p>
            <w:pPr>
              <w:pStyle w:val="TableParagraph"/>
              <w:ind w:left="104"/>
              <w:jc w:val="left"/>
              <w:rPr>
                <w:sz w:val="17"/>
              </w:rPr>
            </w:pPr>
            <w:r>
              <w:rPr>
                <w:color w:val="231F20"/>
                <w:w w:val="105"/>
                <w:sz w:val="17"/>
              </w:rPr>
              <w:t>18.5</w:t>
            </w:r>
          </w:p>
        </w:tc>
        <w:tc>
          <w:tcPr>
            <w:tcW w:w="540" w:type="dxa"/>
          </w:tcPr>
          <w:p>
            <w:pPr>
              <w:pStyle w:val="TableParagraph"/>
              <w:ind w:left="83" w:right="83"/>
              <w:rPr>
                <w:sz w:val="17"/>
              </w:rPr>
            </w:pPr>
            <w:r>
              <w:rPr>
                <w:color w:val="231F20"/>
                <w:w w:val="105"/>
                <w:sz w:val="17"/>
              </w:rPr>
              <w:t>19.0</w:t>
            </w:r>
          </w:p>
        </w:tc>
        <w:tc>
          <w:tcPr>
            <w:tcW w:w="540" w:type="dxa"/>
          </w:tcPr>
          <w:p>
            <w:pPr>
              <w:pStyle w:val="TableParagraph"/>
              <w:ind w:right="101"/>
              <w:jc w:val="right"/>
              <w:rPr>
                <w:sz w:val="17"/>
              </w:rPr>
            </w:pPr>
            <w:r>
              <w:rPr>
                <w:color w:val="231F20"/>
                <w:sz w:val="17"/>
              </w:rPr>
              <w:t>16.5</w:t>
            </w:r>
          </w:p>
        </w:tc>
        <w:tc>
          <w:tcPr>
            <w:tcW w:w="564" w:type="dxa"/>
          </w:tcPr>
          <w:p>
            <w:pPr>
              <w:pStyle w:val="TableParagraph"/>
              <w:ind w:left="83" w:right="105"/>
              <w:rPr>
                <w:sz w:val="17"/>
              </w:rPr>
            </w:pPr>
            <w:r>
              <w:rPr>
                <w:color w:val="231F20"/>
                <w:w w:val="105"/>
                <w:sz w:val="17"/>
              </w:rPr>
              <w:t>12.8</w:t>
            </w:r>
          </w:p>
        </w:tc>
        <w:tc>
          <w:tcPr>
            <w:tcW w:w="516" w:type="dxa"/>
          </w:tcPr>
          <w:p>
            <w:pPr>
              <w:pStyle w:val="TableParagraph"/>
              <w:ind w:left="109" w:right="131"/>
              <w:rPr>
                <w:sz w:val="17"/>
              </w:rPr>
            </w:pPr>
            <w:r>
              <w:rPr>
                <w:color w:val="231F20"/>
                <w:w w:val="105"/>
                <w:sz w:val="17"/>
              </w:rPr>
              <w:t>8.0</w:t>
            </w:r>
          </w:p>
        </w:tc>
        <w:tc>
          <w:tcPr>
            <w:tcW w:w="540" w:type="dxa"/>
          </w:tcPr>
          <w:p>
            <w:pPr>
              <w:pStyle w:val="TableParagraph"/>
              <w:ind w:left="151"/>
              <w:jc w:val="left"/>
              <w:rPr>
                <w:sz w:val="17"/>
              </w:rPr>
            </w:pPr>
            <w:r>
              <w:rPr>
                <w:color w:val="231F20"/>
                <w:w w:val="105"/>
                <w:sz w:val="17"/>
              </w:rPr>
              <w:t>5.4</w:t>
            </w:r>
          </w:p>
        </w:tc>
        <w:tc>
          <w:tcPr>
            <w:tcW w:w="540" w:type="dxa"/>
          </w:tcPr>
          <w:p>
            <w:pPr>
              <w:pStyle w:val="TableParagraph"/>
              <w:ind w:left="83" w:right="83"/>
              <w:rPr>
                <w:sz w:val="17"/>
              </w:rPr>
            </w:pPr>
            <w:r>
              <w:rPr>
                <w:color w:val="231F20"/>
                <w:w w:val="105"/>
                <w:sz w:val="17"/>
              </w:rPr>
              <w:t>3.2</w:t>
            </w:r>
          </w:p>
        </w:tc>
        <w:tc>
          <w:tcPr>
            <w:tcW w:w="527" w:type="dxa"/>
          </w:tcPr>
          <w:p>
            <w:pPr>
              <w:pStyle w:val="TableParagraph"/>
              <w:ind w:left="131" w:right="119"/>
              <w:rPr>
                <w:sz w:val="17"/>
              </w:rPr>
            </w:pPr>
            <w:r>
              <w:rPr>
                <w:color w:val="231F20"/>
                <w:w w:val="105"/>
                <w:sz w:val="17"/>
              </w:rPr>
              <w:t>4.7</w:t>
            </w:r>
          </w:p>
        </w:tc>
        <w:tc>
          <w:tcPr>
            <w:tcW w:w="553" w:type="dxa"/>
          </w:tcPr>
          <w:p>
            <w:pPr>
              <w:pStyle w:val="TableParagraph"/>
              <w:ind w:left="138"/>
              <w:jc w:val="left"/>
              <w:rPr>
                <w:sz w:val="17"/>
              </w:rPr>
            </w:pPr>
            <w:r>
              <w:rPr>
                <w:color w:val="231F20"/>
                <w:sz w:val="17"/>
              </w:rPr>
              <w:t>100</w:t>
            </w:r>
          </w:p>
        </w:tc>
      </w:tr>
      <w:tr>
        <w:trPr>
          <w:trHeight w:val="230" w:hRule="exact"/>
        </w:trPr>
        <w:tc>
          <w:tcPr>
            <w:tcW w:w="1677" w:type="dxa"/>
          </w:tcPr>
          <w:p>
            <w:pPr>
              <w:pStyle w:val="TableParagraph"/>
              <w:ind w:left="35"/>
              <w:jc w:val="left"/>
              <w:rPr>
                <w:sz w:val="17"/>
              </w:rPr>
            </w:pPr>
            <w:r>
              <w:rPr>
                <w:color w:val="231F20"/>
                <w:w w:val="110"/>
                <w:sz w:val="17"/>
              </w:rPr>
              <w:t>Coahuila</w:t>
            </w:r>
          </w:p>
        </w:tc>
        <w:tc>
          <w:tcPr>
            <w:tcW w:w="582" w:type="dxa"/>
          </w:tcPr>
          <w:p>
            <w:pPr>
              <w:pStyle w:val="TableParagraph"/>
              <w:ind w:left="123" w:right="84"/>
              <w:rPr>
                <w:sz w:val="17"/>
              </w:rPr>
            </w:pPr>
            <w:r>
              <w:rPr>
                <w:color w:val="231F20"/>
                <w:w w:val="105"/>
                <w:sz w:val="17"/>
              </w:rPr>
              <w:t>14.9</w:t>
            </w:r>
          </w:p>
        </w:tc>
        <w:tc>
          <w:tcPr>
            <w:tcW w:w="541" w:type="dxa"/>
          </w:tcPr>
          <w:p>
            <w:pPr>
              <w:pStyle w:val="TableParagraph"/>
              <w:ind w:left="104"/>
              <w:jc w:val="left"/>
              <w:rPr>
                <w:sz w:val="17"/>
              </w:rPr>
            </w:pPr>
            <w:r>
              <w:rPr>
                <w:color w:val="231F20"/>
                <w:w w:val="105"/>
                <w:sz w:val="17"/>
              </w:rPr>
              <w:t>18.7</w:t>
            </w:r>
          </w:p>
        </w:tc>
        <w:tc>
          <w:tcPr>
            <w:tcW w:w="540" w:type="dxa"/>
          </w:tcPr>
          <w:p>
            <w:pPr>
              <w:pStyle w:val="TableParagraph"/>
              <w:ind w:left="83" w:right="83"/>
              <w:rPr>
                <w:sz w:val="17"/>
              </w:rPr>
            </w:pPr>
            <w:r>
              <w:rPr>
                <w:color w:val="231F20"/>
                <w:w w:val="105"/>
                <w:sz w:val="17"/>
              </w:rPr>
              <w:t>18.0</w:t>
            </w:r>
          </w:p>
        </w:tc>
        <w:tc>
          <w:tcPr>
            <w:tcW w:w="540" w:type="dxa"/>
          </w:tcPr>
          <w:p>
            <w:pPr>
              <w:pStyle w:val="TableParagraph"/>
              <w:ind w:right="101"/>
              <w:jc w:val="right"/>
              <w:rPr>
                <w:sz w:val="17"/>
              </w:rPr>
            </w:pPr>
            <w:r>
              <w:rPr>
                <w:color w:val="231F20"/>
                <w:sz w:val="17"/>
              </w:rPr>
              <w:t>15.8</w:t>
            </w:r>
          </w:p>
        </w:tc>
        <w:tc>
          <w:tcPr>
            <w:tcW w:w="564" w:type="dxa"/>
          </w:tcPr>
          <w:p>
            <w:pPr>
              <w:pStyle w:val="TableParagraph"/>
              <w:ind w:left="83" w:right="105"/>
              <w:rPr>
                <w:sz w:val="17"/>
              </w:rPr>
            </w:pPr>
            <w:r>
              <w:rPr>
                <w:color w:val="231F20"/>
                <w:w w:val="105"/>
                <w:sz w:val="17"/>
              </w:rPr>
              <w:t>12.0</w:t>
            </w:r>
          </w:p>
        </w:tc>
        <w:tc>
          <w:tcPr>
            <w:tcW w:w="516" w:type="dxa"/>
          </w:tcPr>
          <w:p>
            <w:pPr>
              <w:pStyle w:val="TableParagraph"/>
              <w:ind w:left="109" w:right="131"/>
              <w:rPr>
                <w:sz w:val="17"/>
              </w:rPr>
            </w:pPr>
            <w:r>
              <w:rPr>
                <w:color w:val="231F20"/>
                <w:w w:val="105"/>
                <w:sz w:val="17"/>
              </w:rPr>
              <w:t>8.2</w:t>
            </w:r>
          </w:p>
        </w:tc>
        <w:tc>
          <w:tcPr>
            <w:tcW w:w="540" w:type="dxa"/>
          </w:tcPr>
          <w:p>
            <w:pPr>
              <w:pStyle w:val="TableParagraph"/>
              <w:ind w:left="151"/>
              <w:jc w:val="left"/>
              <w:rPr>
                <w:sz w:val="17"/>
              </w:rPr>
            </w:pPr>
            <w:r>
              <w:rPr>
                <w:color w:val="231F20"/>
                <w:w w:val="105"/>
                <w:sz w:val="17"/>
              </w:rPr>
              <w:t>4.9</w:t>
            </w:r>
          </w:p>
        </w:tc>
        <w:tc>
          <w:tcPr>
            <w:tcW w:w="540" w:type="dxa"/>
          </w:tcPr>
          <w:p>
            <w:pPr>
              <w:pStyle w:val="TableParagraph"/>
              <w:ind w:left="83" w:right="83"/>
              <w:rPr>
                <w:sz w:val="17"/>
              </w:rPr>
            </w:pPr>
            <w:r>
              <w:rPr>
                <w:color w:val="231F20"/>
                <w:w w:val="105"/>
                <w:sz w:val="17"/>
              </w:rPr>
              <w:t>3.1</w:t>
            </w:r>
          </w:p>
        </w:tc>
        <w:tc>
          <w:tcPr>
            <w:tcW w:w="527" w:type="dxa"/>
          </w:tcPr>
          <w:p>
            <w:pPr>
              <w:pStyle w:val="TableParagraph"/>
              <w:ind w:left="131" w:right="119"/>
              <w:rPr>
                <w:sz w:val="17"/>
              </w:rPr>
            </w:pPr>
            <w:r>
              <w:rPr>
                <w:color w:val="231F20"/>
                <w:w w:val="105"/>
                <w:sz w:val="17"/>
              </w:rPr>
              <w:t>4.5</w:t>
            </w:r>
          </w:p>
        </w:tc>
        <w:tc>
          <w:tcPr>
            <w:tcW w:w="553" w:type="dxa"/>
          </w:tcPr>
          <w:p>
            <w:pPr>
              <w:pStyle w:val="TableParagraph"/>
              <w:ind w:left="138"/>
              <w:jc w:val="left"/>
              <w:rPr>
                <w:sz w:val="17"/>
              </w:rPr>
            </w:pPr>
            <w:r>
              <w:rPr>
                <w:color w:val="231F20"/>
                <w:sz w:val="17"/>
              </w:rPr>
              <w:t>100</w:t>
            </w:r>
          </w:p>
        </w:tc>
      </w:tr>
      <w:tr>
        <w:trPr>
          <w:trHeight w:val="230" w:hRule="exact"/>
        </w:trPr>
        <w:tc>
          <w:tcPr>
            <w:tcW w:w="1677" w:type="dxa"/>
          </w:tcPr>
          <w:p>
            <w:pPr>
              <w:pStyle w:val="TableParagraph"/>
              <w:spacing w:line="240" w:lineRule="auto" w:before="15"/>
              <w:ind w:left="35"/>
              <w:jc w:val="left"/>
              <w:rPr>
                <w:sz w:val="17"/>
              </w:rPr>
            </w:pPr>
            <w:r>
              <w:rPr>
                <w:color w:val="231F20"/>
                <w:w w:val="110"/>
                <w:sz w:val="17"/>
              </w:rPr>
              <w:t>Colima</w:t>
            </w:r>
          </w:p>
        </w:tc>
        <w:tc>
          <w:tcPr>
            <w:tcW w:w="582" w:type="dxa"/>
          </w:tcPr>
          <w:p>
            <w:pPr>
              <w:pStyle w:val="TableParagraph"/>
              <w:spacing w:line="240" w:lineRule="auto" w:before="15"/>
              <w:ind w:left="123" w:right="84"/>
              <w:rPr>
                <w:sz w:val="17"/>
              </w:rPr>
            </w:pPr>
            <w:r>
              <w:rPr>
                <w:color w:val="231F20"/>
                <w:w w:val="105"/>
                <w:sz w:val="17"/>
              </w:rPr>
              <w:t>15.6</w:t>
            </w:r>
          </w:p>
        </w:tc>
        <w:tc>
          <w:tcPr>
            <w:tcW w:w="541" w:type="dxa"/>
          </w:tcPr>
          <w:p>
            <w:pPr>
              <w:pStyle w:val="TableParagraph"/>
              <w:spacing w:line="240" w:lineRule="auto" w:before="15"/>
              <w:ind w:left="104"/>
              <w:jc w:val="left"/>
              <w:rPr>
                <w:sz w:val="17"/>
              </w:rPr>
            </w:pPr>
            <w:r>
              <w:rPr>
                <w:color w:val="231F20"/>
                <w:w w:val="105"/>
                <w:sz w:val="17"/>
              </w:rPr>
              <w:t>17.7</w:t>
            </w:r>
          </w:p>
        </w:tc>
        <w:tc>
          <w:tcPr>
            <w:tcW w:w="540" w:type="dxa"/>
          </w:tcPr>
          <w:p>
            <w:pPr>
              <w:pStyle w:val="TableParagraph"/>
              <w:spacing w:line="240" w:lineRule="auto" w:before="15"/>
              <w:ind w:left="83" w:right="83"/>
              <w:rPr>
                <w:sz w:val="17"/>
              </w:rPr>
            </w:pPr>
            <w:r>
              <w:rPr>
                <w:color w:val="231F20"/>
                <w:w w:val="105"/>
                <w:sz w:val="17"/>
              </w:rPr>
              <w:t>18.1</w:t>
            </w:r>
          </w:p>
        </w:tc>
        <w:tc>
          <w:tcPr>
            <w:tcW w:w="540" w:type="dxa"/>
          </w:tcPr>
          <w:p>
            <w:pPr>
              <w:pStyle w:val="TableParagraph"/>
              <w:spacing w:line="240" w:lineRule="auto" w:before="15"/>
              <w:ind w:right="101"/>
              <w:jc w:val="right"/>
              <w:rPr>
                <w:sz w:val="17"/>
              </w:rPr>
            </w:pPr>
            <w:r>
              <w:rPr>
                <w:color w:val="231F20"/>
                <w:sz w:val="17"/>
              </w:rPr>
              <w:t>15.3</w:t>
            </w:r>
          </w:p>
        </w:tc>
        <w:tc>
          <w:tcPr>
            <w:tcW w:w="564" w:type="dxa"/>
          </w:tcPr>
          <w:p>
            <w:pPr>
              <w:pStyle w:val="TableParagraph"/>
              <w:spacing w:line="240" w:lineRule="auto" w:before="15"/>
              <w:ind w:left="83" w:right="105"/>
              <w:rPr>
                <w:sz w:val="17"/>
              </w:rPr>
            </w:pPr>
            <w:r>
              <w:rPr>
                <w:color w:val="231F20"/>
                <w:w w:val="105"/>
                <w:sz w:val="17"/>
              </w:rPr>
              <w:t>11.9</w:t>
            </w:r>
          </w:p>
        </w:tc>
        <w:tc>
          <w:tcPr>
            <w:tcW w:w="516" w:type="dxa"/>
          </w:tcPr>
          <w:p>
            <w:pPr>
              <w:pStyle w:val="TableParagraph"/>
              <w:spacing w:line="240" w:lineRule="auto" w:before="15"/>
              <w:ind w:left="109" w:right="131"/>
              <w:rPr>
                <w:sz w:val="17"/>
              </w:rPr>
            </w:pPr>
            <w:r>
              <w:rPr>
                <w:color w:val="231F20"/>
                <w:w w:val="105"/>
                <w:sz w:val="17"/>
              </w:rPr>
              <w:t>8.2</w:t>
            </w:r>
          </w:p>
        </w:tc>
        <w:tc>
          <w:tcPr>
            <w:tcW w:w="540" w:type="dxa"/>
          </w:tcPr>
          <w:p>
            <w:pPr>
              <w:pStyle w:val="TableParagraph"/>
              <w:spacing w:line="240" w:lineRule="auto" w:before="15"/>
              <w:ind w:left="151"/>
              <w:jc w:val="left"/>
              <w:rPr>
                <w:sz w:val="17"/>
              </w:rPr>
            </w:pPr>
            <w:r>
              <w:rPr>
                <w:color w:val="231F20"/>
                <w:w w:val="105"/>
                <w:sz w:val="17"/>
              </w:rPr>
              <w:t>5.3</w:t>
            </w:r>
          </w:p>
        </w:tc>
        <w:tc>
          <w:tcPr>
            <w:tcW w:w="540" w:type="dxa"/>
          </w:tcPr>
          <w:p>
            <w:pPr>
              <w:pStyle w:val="TableParagraph"/>
              <w:spacing w:line="240" w:lineRule="auto" w:before="15"/>
              <w:ind w:left="83" w:right="83"/>
              <w:rPr>
                <w:sz w:val="17"/>
              </w:rPr>
            </w:pPr>
            <w:r>
              <w:rPr>
                <w:color w:val="231F20"/>
                <w:w w:val="105"/>
                <w:sz w:val="17"/>
              </w:rPr>
              <w:t>3.4</w:t>
            </w:r>
          </w:p>
        </w:tc>
        <w:tc>
          <w:tcPr>
            <w:tcW w:w="527" w:type="dxa"/>
          </w:tcPr>
          <w:p>
            <w:pPr>
              <w:pStyle w:val="TableParagraph"/>
              <w:spacing w:line="240" w:lineRule="auto" w:before="15"/>
              <w:ind w:left="131" w:right="119"/>
              <w:rPr>
                <w:sz w:val="17"/>
              </w:rPr>
            </w:pPr>
            <w:r>
              <w:rPr>
                <w:color w:val="231F20"/>
                <w:w w:val="105"/>
                <w:sz w:val="17"/>
              </w:rPr>
              <w:t>4.5</w:t>
            </w:r>
          </w:p>
        </w:tc>
        <w:tc>
          <w:tcPr>
            <w:tcW w:w="553" w:type="dxa"/>
          </w:tcPr>
          <w:p>
            <w:pPr>
              <w:pStyle w:val="TableParagraph"/>
              <w:spacing w:line="240" w:lineRule="auto" w:before="15"/>
              <w:ind w:left="138"/>
              <w:jc w:val="left"/>
              <w:rPr>
                <w:sz w:val="17"/>
              </w:rPr>
            </w:pPr>
            <w:r>
              <w:rPr>
                <w:color w:val="231F20"/>
                <w:sz w:val="17"/>
              </w:rPr>
              <w:t>100</w:t>
            </w:r>
          </w:p>
        </w:tc>
      </w:tr>
      <w:tr>
        <w:trPr>
          <w:trHeight w:val="210" w:hRule="exact"/>
        </w:trPr>
        <w:tc>
          <w:tcPr>
            <w:tcW w:w="1677" w:type="dxa"/>
          </w:tcPr>
          <w:p>
            <w:pPr>
              <w:pStyle w:val="TableParagraph"/>
              <w:ind w:left="35"/>
              <w:jc w:val="left"/>
              <w:rPr>
                <w:sz w:val="17"/>
              </w:rPr>
            </w:pPr>
            <w:r>
              <w:rPr>
                <w:color w:val="231F20"/>
                <w:w w:val="115"/>
                <w:sz w:val="17"/>
              </w:rPr>
              <w:t>Chiapas</w:t>
            </w:r>
          </w:p>
        </w:tc>
        <w:tc>
          <w:tcPr>
            <w:tcW w:w="582" w:type="dxa"/>
          </w:tcPr>
          <w:p>
            <w:pPr>
              <w:pStyle w:val="TableParagraph"/>
              <w:ind w:left="123" w:right="84"/>
              <w:rPr>
                <w:sz w:val="17"/>
              </w:rPr>
            </w:pPr>
            <w:r>
              <w:rPr>
                <w:color w:val="231F20"/>
                <w:w w:val="105"/>
                <w:sz w:val="17"/>
              </w:rPr>
              <w:t>10.7</w:t>
            </w:r>
          </w:p>
        </w:tc>
        <w:tc>
          <w:tcPr>
            <w:tcW w:w="541" w:type="dxa"/>
          </w:tcPr>
          <w:p>
            <w:pPr>
              <w:pStyle w:val="TableParagraph"/>
              <w:ind w:left="104"/>
              <w:jc w:val="left"/>
              <w:rPr>
                <w:sz w:val="17"/>
              </w:rPr>
            </w:pPr>
            <w:r>
              <w:rPr>
                <w:color w:val="231F20"/>
                <w:w w:val="105"/>
                <w:sz w:val="17"/>
              </w:rPr>
              <w:t>16.3</w:t>
            </w:r>
          </w:p>
        </w:tc>
        <w:tc>
          <w:tcPr>
            <w:tcW w:w="540" w:type="dxa"/>
          </w:tcPr>
          <w:p>
            <w:pPr>
              <w:pStyle w:val="TableParagraph"/>
              <w:ind w:left="83" w:right="83"/>
              <w:rPr>
                <w:sz w:val="17"/>
              </w:rPr>
            </w:pPr>
            <w:r>
              <w:rPr>
                <w:color w:val="231F20"/>
                <w:w w:val="105"/>
                <w:sz w:val="17"/>
              </w:rPr>
              <w:t>17.3</w:t>
            </w:r>
          </w:p>
        </w:tc>
        <w:tc>
          <w:tcPr>
            <w:tcW w:w="540" w:type="dxa"/>
          </w:tcPr>
          <w:p>
            <w:pPr>
              <w:pStyle w:val="TableParagraph"/>
              <w:ind w:right="101"/>
              <w:jc w:val="right"/>
              <w:rPr>
                <w:sz w:val="17"/>
              </w:rPr>
            </w:pPr>
            <w:r>
              <w:rPr>
                <w:color w:val="231F20"/>
                <w:sz w:val="17"/>
              </w:rPr>
              <w:t>16.2</w:t>
            </w:r>
          </w:p>
        </w:tc>
        <w:tc>
          <w:tcPr>
            <w:tcW w:w="564" w:type="dxa"/>
          </w:tcPr>
          <w:p>
            <w:pPr>
              <w:pStyle w:val="TableParagraph"/>
              <w:ind w:left="83" w:right="105"/>
              <w:rPr>
                <w:sz w:val="17"/>
              </w:rPr>
            </w:pPr>
            <w:r>
              <w:rPr>
                <w:color w:val="231F20"/>
                <w:w w:val="105"/>
                <w:sz w:val="17"/>
              </w:rPr>
              <w:t>12.9</w:t>
            </w:r>
          </w:p>
        </w:tc>
        <w:tc>
          <w:tcPr>
            <w:tcW w:w="516" w:type="dxa"/>
          </w:tcPr>
          <w:p>
            <w:pPr>
              <w:pStyle w:val="TableParagraph"/>
              <w:ind w:left="109" w:right="131"/>
              <w:rPr>
                <w:sz w:val="17"/>
              </w:rPr>
            </w:pPr>
            <w:r>
              <w:rPr>
                <w:color w:val="231F20"/>
                <w:w w:val="105"/>
                <w:sz w:val="17"/>
              </w:rPr>
              <w:t>9.5</w:t>
            </w:r>
          </w:p>
        </w:tc>
        <w:tc>
          <w:tcPr>
            <w:tcW w:w="540" w:type="dxa"/>
          </w:tcPr>
          <w:p>
            <w:pPr>
              <w:pStyle w:val="TableParagraph"/>
              <w:ind w:left="151"/>
              <w:jc w:val="left"/>
              <w:rPr>
                <w:sz w:val="17"/>
              </w:rPr>
            </w:pPr>
            <w:r>
              <w:rPr>
                <w:color w:val="231F20"/>
                <w:w w:val="105"/>
                <w:sz w:val="17"/>
              </w:rPr>
              <w:t>6.7</w:t>
            </w:r>
          </w:p>
        </w:tc>
        <w:tc>
          <w:tcPr>
            <w:tcW w:w="540" w:type="dxa"/>
          </w:tcPr>
          <w:p>
            <w:pPr>
              <w:pStyle w:val="TableParagraph"/>
              <w:ind w:left="83" w:right="83"/>
              <w:rPr>
                <w:sz w:val="17"/>
              </w:rPr>
            </w:pPr>
            <w:r>
              <w:rPr>
                <w:color w:val="231F20"/>
                <w:w w:val="105"/>
                <w:sz w:val="17"/>
              </w:rPr>
              <w:t>4.2</w:t>
            </w:r>
          </w:p>
        </w:tc>
        <w:tc>
          <w:tcPr>
            <w:tcW w:w="527" w:type="dxa"/>
          </w:tcPr>
          <w:p>
            <w:pPr>
              <w:pStyle w:val="TableParagraph"/>
              <w:ind w:left="131" w:right="119"/>
              <w:rPr>
                <w:sz w:val="17"/>
              </w:rPr>
            </w:pPr>
            <w:r>
              <w:rPr>
                <w:color w:val="231F20"/>
                <w:w w:val="105"/>
                <w:sz w:val="17"/>
              </w:rPr>
              <w:t>6.2</w:t>
            </w:r>
          </w:p>
        </w:tc>
        <w:tc>
          <w:tcPr>
            <w:tcW w:w="553" w:type="dxa"/>
          </w:tcPr>
          <w:p>
            <w:pPr>
              <w:pStyle w:val="TableParagraph"/>
              <w:ind w:left="138"/>
              <w:jc w:val="left"/>
              <w:rPr>
                <w:sz w:val="17"/>
              </w:rPr>
            </w:pPr>
            <w:r>
              <w:rPr>
                <w:color w:val="231F20"/>
                <w:sz w:val="17"/>
              </w:rPr>
              <w:t>100</w:t>
            </w:r>
          </w:p>
        </w:tc>
      </w:tr>
      <w:tr>
        <w:trPr>
          <w:trHeight w:val="210" w:hRule="exact"/>
        </w:trPr>
        <w:tc>
          <w:tcPr>
            <w:tcW w:w="1677" w:type="dxa"/>
          </w:tcPr>
          <w:p>
            <w:pPr>
              <w:pStyle w:val="TableParagraph"/>
              <w:ind w:left="35"/>
              <w:jc w:val="left"/>
              <w:rPr>
                <w:sz w:val="17"/>
              </w:rPr>
            </w:pPr>
            <w:r>
              <w:rPr>
                <w:color w:val="231F20"/>
                <w:w w:val="115"/>
                <w:sz w:val="17"/>
              </w:rPr>
              <w:t>Chihuahua</w:t>
            </w:r>
          </w:p>
        </w:tc>
        <w:tc>
          <w:tcPr>
            <w:tcW w:w="582" w:type="dxa"/>
          </w:tcPr>
          <w:p>
            <w:pPr>
              <w:pStyle w:val="TableParagraph"/>
              <w:ind w:left="123" w:right="84"/>
              <w:rPr>
                <w:sz w:val="17"/>
              </w:rPr>
            </w:pPr>
            <w:r>
              <w:rPr>
                <w:color w:val="231F20"/>
                <w:w w:val="105"/>
                <w:sz w:val="17"/>
              </w:rPr>
              <w:t>14.2</w:t>
            </w:r>
          </w:p>
        </w:tc>
        <w:tc>
          <w:tcPr>
            <w:tcW w:w="541" w:type="dxa"/>
          </w:tcPr>
          <w:p>
            <w:pPr>
              <w:pStyle w:val="TableParagraph"/>
              <w:ind w:left="104"/>
              <w:jc w:val="left"/>
              <w:rPr>
                <w:sz w:val="17"/>
              </w:rPr>
            </w:pPr>
            <w:r>
              <w:rPr>
                <w:color w:val="231F20"/>
                <w:w w:val="105"/>
                <w:sz w:val="17"/>
              </w:rPr>
              <w:t>18.9</w:t>
            </w:r>
          </w:p>
        </w:tc>
        <w:tc>
          <w:tcPr>
            <w:tcW w:w="540" w:type="dxa"/>
          </w:tcPr>
          <w:p>
            <w:pPr>
              <w:pStyle w:val="TableParagraph"/>
              <w:ind w:left="83" w:right="83"/>
              <w:rPr>
                <w:sz w:val="17"/>
              </w:rPr>
            </w:pPr>
            <w:r>
              <w:rPr>
                <w:color w:val="231F20"/>
                <w:w w:val="105"/>
                <w:sz w:val="17"/>
              </w:rPr>
              <w:t>19.3</w:t>
            </w:r>
          </w:p>
        </w:tc>
        <w:tc>
          <w:tcPr>
            <w:tcW w:w="540" w:type="dxa"/>
          </w:tcPr>
          <w:p>
            <w:pPr>
              <w:pStyle w:val="TableParagraph"/>
              <w:ind w:right="101"/>
              <w:jc w:val="right"/>
              <w:rPr>
                <w:sz w:val="17"/>
              </w:rPr>
            </w:pPr>
            <w:r>
              <w:rPr>
                <w:color w:val="231F20"/>
                <w:sz w:val="17"/>
              </w:rPr>
              <w:t>16.8</w:t>
            </w:r>
          </w:p>
        </w:tc>
        <w:tc>
          <w:tcPr>
            <w:tcW w:w="564" w:type="dxa"/>
          </w:tcPr>
          <w:p>
            <w:pPr>
              <w:pStyle w:val="TableParagraph"/>
              <w:ind w:left="83" w:right="105"/>
              <w:rPr>
                <w:sz w:val="17"/>
              </w:rPr>
            </w:pPr>
            <w:r>
              <w:rPr>
                <w:color w:val="231F20"/>
                <w:w w:val="105"/>
                <w:sz w:val="17"/>
              </w:rPr>
              <w:t>12.0</w:t>
            </w:r>
          </w:p>
        </w:tc>
        <w:tc>
          <w:tcPr>
            <w:tcW w:w="516" w:type="dxa"/>
          </w:tcPr>
          <w:p>
            <w:pPr>
              <w:pStyle w:val="TableParagraph"/>
              <w:ind w:left="109" w:right="131"/>
              <w:rPr>
                <w:sz w:val="17"/>
              </w:rPr>
            </w:pPr>
            <w:r>
              <w:rPr>
                <w:color w:val="231F20"/>
                <w:w w:val="105"/>
                <w:sz w:val="17"/>
              </w:rPr>
              <w:t>7.8</w:t>
            </w:r>
          </w:p>
        </w:tc>
        <w:tc>
          <w:tcPr>
            <w:tcW w:w="540" w:type="dxa"/>
          </w:tcPr>
          <w:p>
            <w:pPr>
              <w:pStyle w:val="TableParagraph"/>
              <w:ind w:left="151"/>
              <w:jc w:val="left"/>
              <w:rPr>
                <w:sz w:val="17"/>
              </w:rPr>
            </w:pPr>
            <w:r>
              <w:rPr>
                <w:color w:val="231F20"/>
                <w:w w:val="105"/>
                <w:sz w:val="17"/>
              </w:rPr>
              <w:t>4.6</w:t>
            </w:r>
          </w:p>
        </w:tc>
        <w:tc>
          <w:tcPr>
            <w:tcW w:w="540" w:type="dxa"/>
          </w:tcPr>
          <w:p>
            <w:pPr>
              <w:pStyle w:val="TableParagraph"/>
              <w:ind w:left="83" w:right="83"/>
              <w:rPr>
                <w:sz w:val="17"/>
              </w:rPr>
            </w:pPr>
            <w:r>
              <w:rPr>
                <w:color w:val="231F20"/>
                <w:w w:val="105"/>
                <w:sz w:val="17"/>
              </w:rPr>
              <w:t>2.8</w:t>
            </w:r>
          </w:p>
        </w:tc>
        <w:tc>
          <w:tcPr>
            <w:tcW w:w="527" w:type="dxa"/>
          </w:tcPr>
          <w:p>
            <w:pPr>
              <w:pStyle w:val="TableParagraph"/>
              <w:ind w:left="131" w:right="119"/>
              <w:rPr>
                <w:sz w:val="17"/>
              </w:rPr>
            </w:pPr>
            <w:r>
              <w:rPr>
                <w:color w:val="231F20"/>
                <w:w w:val="105"/>
                <w:sz w:val="17"/>
              </w:rPr>
              <w:t>3.6</w:t>
            </w:r>
          </w:p>
        </w:tc>
        <w:tc>
          <w:tcPr>
            <w:tcW w:w="553" w:type="dxa"/>
          </w:tcPr>
          <w:p>
            <w:pPr>
              <w:pStyle w:val="TableParagraph"/>
              <w:ind w:left="138"/>
              <w:jc w:val="left"/>
              <w:rPr>
                <w:sz w:val="17"/>
              </w:rPr>
            </w:pPr>
            <w:r>
              <w:rPr>
                <w:color w:val="231F20"/>
                <w:sz w:val="17"/>
              </w:rPr>
              <w:t>100</w:t>
            </w:r>
          </w:p>
        </w:tc>
      </w:tr>
      <w:tr>
        <w:trPr>
          <w:trHeight w:val="210" w:hRule="exact"/>
        </w:trPr>
        <w:tc>
          <w:tcPr>
            <w:tcW w:w="1677" w:type="dxa"/>
          </w:tcPr>
          <w:p>
            <w:pPr>
              <w:pStyle w:val="TableParagraph"/>
              <w:ind w:left="35"/>
              <w:jc w:val="left"/>
              <w:rPr>
                <w:sz w:val="17"/>
              </w:rPr>
            </w:pPr>
            <w:r>
              <w:rPr>
                <w:color w:val="231F20"/>
                <w:w w:val="105"/>
                <w:sz w:val="17"/>
              </w:rPr>
              <w:t>Distrito Federal</w:t>
            </w:r>
          </w:p>
        </w:tc>
        <w:tc>
          <w:tcPr>
            <w:tcW w:w="582" w:type="dxa"/>
          </w:tcPr>
          <w:p>
            <w:pPr>
              <w:pStyle w:val="TableParagraph"/>
              <w:ind w:left="123" w:right="84"/>
              <w:rPr>
                <w:sz w:val="17"/>
              </w:rPr>
            </w:pPr>
            <w:r>
              <w:rPr>
                <w:color w:val="231F20"/>
                <w:w w:val="105"/>
                <w:sz w:val="17"/>
              </w:rPr>
              <w:t>15.5</w:t>
            </w:r>
          </w:p>
        </w:tc>
        <w:tc>
          <w:tcPr>
            <w:tcW w:w="541" w:type="dxa"/>
          </w:tcPr>
          <w:p>
            <w:pPr>
              <w:pStyle w:val="TableParagraph"/>
              <w:ind w:left="104"/>
              <w:jc w:val="left"/>
              <w:rPr>
                <w:sz w:val="17"/>
              </w:rPr>
            </w:pPr>
            <w:r>
              <w:rPr>
                <w:color w:val="231F20"/>
                <w:w w:val="105"/>
                <w:sz w:val="17"/>
              </w:rPr>
              <w:t>20.0</w:t>
            </w:r>
          </w:p>
        </w:tc>
        <w:tc>
          <w:tcPr>
            <w:tcW w:w="540" w:type="dxa"/>
          </w:tcPr>
          <w:p>
            <w:pPr>
              <w:pStyle w:val="TableParagraph"/>
              <w:ind w:left="83" w:right="83"/>
              <w:rPr>
                <w:sz w:val="17"/>
              </w:rPr>
            </w:pPr>
            <w:r>
              <w:rPr>
                <w:color w:val="231F20"/>
                <w:w w:val="105"/>
                <w:sz w:val="17"/>
              </w:rPr>
              <w:t>19.7</w:t>
            </w:r>
          </w:p>
        </w:tc>
        <w:tc>
          <w:tcPr>
            <w:tcW w:w="540" w:type="dxa"/>
          </w:tcPr>
          <w:p>
            <w:pPr>
              <w:pStyle w:val="TableParagraph"/>
              <w:ind w:right="101"/>
              <w:jc w:val="right"/>
              <w:rPr>
                <w:sz w:val="17"/>
              </w:rPr>
            </w:pPr>
            <w:r>
              <w:rPr>
                <w:color w:val="231F20"/>
                <w:sz w:val="17"/>
              </w:rPr>
              <w:t>15.6</w:t>
            </w:r>
          </w:p>
        </w:tc>
        <w:tc>
          <w:tcPr>
            <w:tcW w:w="564" w:type="dxa"/>
          </w:tcPr>
          <w:p>
            <w:pPr>
              <w:pStyle w:val="TableParagraph"/>
              <w:ind w:left="83" w:right="105"/>
              <w:rPr>
                <w:sz w:val="17"/>
              </w:rPr>
            </w:pPr>
            <w:r>
              <w:rPr>
                <w:color w:val="231F20"/>
                <w:w w:val="105"/>
                <w:sz w:val="17"/>
              </w:rPr>
              <w:t>10.8</w:t>
            </w:r>
          </w:p>
        </w:tc>
        <w:tc>
          <w:tcPr>
            <w:tcW w:w="516" w:type="dxa"/>
          </w:tcPr>
          <w:p>
            <w:pPr>
              <w:pStyle w:val="TableParagraph"/>
              <w:ind w:left="109" w:right="131"/>
              <w:rPr>
                <w:sz w:val="17"/>
              </w:rPr>
            </w:pPr>
            <w:r>
              <w:rPr>
                <w:color w:val="231F20"/>
                <w:w w:val="105"/>
                <w:sz w:val="17"/>
              </w:rPr>
              <w:t>6.9</w:t>
            </w:r>
          </w:p>
        </w:tc>
        <w:tc>
          <w:tcPr>
            <w:tcW w:w="540" w:type="dxa"/>
          </w:tcPr>
          <w:p>
            <w:pPr>
              <w:pStyle w:val="TableParagraph"/>
              <w:ind w:left="151"/>
              <w:jc w:val="left"/>
              <w:rPr>
                <w:sz w:val="17"/>
              </w:rPr>
            </w:pPr>
            <w:r>
              <w:rPr>
                <w:color w:val="231F20"/>
                <w:w w:val="105"/>
                <w:sz w:val="17"/>
              </w:rPr>
              <w:t>4.2</w:t>
            </w:r>
          </w:p>
        </w:tc>
        <w:tc>
          <w:tcPr>
            <w:tcW w:w="540" w:type="dxa"/>
          </w:tcPr>
          <w:p>
            <w:pPr>
              <w:pStyle w:val="TableParagraph"/>
              <w:ind w:left="83" w:right="83"/>
              <w:rPr>
                <w:sz w:val="17"/>
              </w:rPr>
            </w:pPr>
            <w:r>
              <w:rPr>
                <w:color w:val="231F20"/>
                <w:w w:val="105"/>
                <w:sz w:val="17"/>
              </w:rPr>
              <w:t>2.7</w:t>
            </w:r>
          </w:p>
        </w:tc>
        <w:tc>
          <w:tcPr>
            <w:tcW w:w="527" w:type="dxa"/>
          </w:tcPr>
          <w:p>
            <w:pPr>
              <w:pStyle w:val="TableParagraph"/>
              <w:ind w:left="131" w:right="119"/>
              <w:rPr>
                <w:sz w:val="17"/>
              </w:rPr>
            </w:pPr>
            <w:r>
              <w:rPr>
                <w:color w:val="231F20"/>
                <w:w w:val="105"/>
                <w:sz w:val="17"/>
              </w:rPr>
              <w:t>4.6</w:t>
            </w:r>
          </w:p>
        </w:tc>
        <w:tc>
          <w:tcPr>
            <w:tcW w:w="553" w:type="dxa"/>
          </w:tcPr>
          <w:p>
            <w:pPr>
              <w:pStyle w:val="TableParagraph"/>
              <w:ind w:left="138"/>
              <w:jc w:val="left"/>
              <w:rPr>
                <w:sz w:val="17"/>
              </w:rPr>
            </w:pPr>
            <w:r>
              <w:rPr>
                <w:color w:val="231F20"/>
                <w:sz w:val="17"/>
              </w:rPr>
              <w:t>100</w:t>
            </w:r>
          </w:p>
        </w:tc>
      </w:tr>
      <w:tr>
        <w:trPr>
          <w:trHeight w:val="210" w:hRule="exact"/>
        </w:trPr>
        <w:tc>
          <w:tcPr>
            <w:tcW w:w="1677" w:type="dxa"/>
          </w:tcPr>
          <w:p>
            <w:pPr>
              <w:pStyle w:val="TableParagraph"/>
              <w:ind w:left="35"/>
              <w:jc w:val="left"/>
              <w:rPr>
                <w:sz w:val="17"/>
              </w:rPr>
            </w:pPr>
            <w:r>
              <w:rPr>
                <w:color w:val="231F20"/>
                <w:w w:val="110"/>
                <w:sz w:val="17"/>
              </w:rPr>
              <w:t>Durango</w:t>
            </w:r>
          </w:p>
        </w:tc>
        <w:tc>
          <w:tcPr>
            <w:tcW w:w="582" w:type="dxa"/>
          </w:tcPr>
          <w:p>
            <w:pPr>
              <w:pStyle w:val="TableParagraph"/>
              <w:ind w:left="123" w:right="84"/>
              <w:rPr>
                <w:sz w:val="17"/>
              </w:rPr>
            </w:pPr>
            <w:r>
              <w:rPr>
                <w:color w:val="231F20"/>
                <w:w w:val="105"/>
                <w:sz w:val="17"/>
              </w:rPr>
              <w:t>12.8</w:t>
            </w:r>
          </w:p>
        </w:tc>
        <w:tc>
          <w:tcPr>
            <w:tcW w:w="541" w:type="dxa"/>
          </w:tcPr>
          <w:p>
            <w:pPr>
              <w:pStyle w:val="TableParagraph"/>
              <w:ind w:left="104"/>
              <w:jc w:val="left"/>
              <w:rPr>
                <w:sz w:val="17"/>
              </w:rPr>
            </w:pPr>
            <w:r>
              <w:rPr>
                <w:color w:val="231F20"/>
                <w:w w:val="105"/>
                <w:sz w:val="17"/>
              </w:rPr>
              <w:t>16.4</w:t>
            </w:r>
          </w:p>
        </w:tc>
        <w:tc>
          <w:tcPr>
            <w:tcW w:w="540" w:type="dxa"/>
          </w:tcPr>
          <w:p>
            <w:pPr>
              <w:pStyle w:val="TableParagraph"/>
              <w:ind w:left="83" w:right="83"/>
              <w:rPr>
                <w:sz w:val="17"/>
              </w:rPr>
            </w:pPr>
            <w:r>
              <w:rPr>
                <w:color w:val="231F20"/>
                <w:w w:val="105"/>
                <w:sz w:val="17"/>
              </w:rPr>
              <w:t>17.5</w:t>
            </w:r>
          </w:p>
        </w:tc>
        <w:tc>
          <w:tcPr>
            <w:tcW w:w="540" w:type="dxa"/>
          </w:tcPr>
          <w:p>
            <w:pPr>
              <w:pStyle w:val="TableParagraph"/>
              <w:ind w:right="101"/>
              <w:jc w:val="right"/>
              <w:rPr>
                <w:sz w:val="17"/>
              </w:rPr>
            </w:pPr>
            <w:r>
              <w:rPr>
                <w:color w:val="231F20"/>
                <w:sz w:val="17"/>
              </w:rPr>
              <w:t>16.3</w:t>
            </w:r>
          </w:p>
        </w:tc>
        <w:tc>
          <w:tcPr>
            <w:tcW w:w="564" w:type="dxa"/>
          </w:tcPr>
          <w:p>
            <w:pPr>
              <w:pStyle w:val="TableParagraph"/>
              <w:ind w:left="83" w:right="105"/>
              <w:rPr>
                <w:sz w:val="17"/>
              </w:rPr>
            </w:pPr>
            <w:r>
              <w:rPr>
                <w:color w:val="231F20"/>
                <w:w w:val="105"/>
                <w:sz w:val="17"/>
              </w:rPr>
              <w:t>12.9</w:t>
            </w:r>
          </w:p>
        </w:tc>
        <w:tc>
          <w:tcPr>
            <w:tcW w:w="516" w:type="dxa"/>
          </w:tcPr>
          <w:p>
            <w:pPr>
              <w:pStyle w:val="TableParagraph"/>
              <w:ind w:left="109" w:right="131"/>
              <w:rPr>
                <w:sz w:val="17"/>
              </w:rPr>
            </w:pPr>
            <w:r>
              <w:rPr>
                <w:color w:val="231F20"/>
                <w:w w:val="105"/>
                <w:sz w:val="17"/>
              </w:rPr>
              <w:t>9.0</w:t>
            </w:r>
          </w:p>
        </w:tc>
        <w:tc>
          <w:tcPr>
            <w:tcW w:w="540" w:type="dxa"/>
          </w:tcPr>
          <w:p>
            <w:pPr>
              <w:pStyle w:val="TableParagraph"/>
              <w:ind w:left="151"/>
              <w:jc w:val="left"/>
              <w:rPr>
                <w:sz w:val="17"/>
              </w:rPr>
            </w:pPr>
            <w:r>
              <w:rPr>
                <w:color w:val="231F20"/>
                <w:w w:val="105"/>
                <w:sz w:val="17"/>
              </w:rPr>
              <w:t>5.9</w:t>
            </w:r>
          </w:p>
        </w:tc>
        <w:tc>
          <w:tcPr>
            <w:tcW w:w="540" w:type="dxa"/>
          </w:tcPr>
          <w:p>
            <w:pPr>
              <w:pStyle w:val="TableParagraph"/>
              <w:ind w:left="83" w:right="83"/>
              <w:rPr>
                <w:sz w:val="17"/>
              </w:rPr>
            </w:pPr>
            <w:r>
              <w:rPr>
                <w:color w:val="231F20"/>
                <w:w w:val="105"/>
                <w:sz w:val="17"/>
              </w:rPr>
              <w:t>3.8</w:t>
            </w:r>
          </w:p>
        </w:tc>
        <w:tc>
          <w:tcPr>
            <w:tcW w:w="527" w:type="dxa"/>
          </w:tcPr>
          <w:p>
            <w:pPr>
              <w:pStyle w:val="TableParagraph"/>
              <w:ind w:left="131" w:right="119"/>
              <w:rPr>
                <w:sz w:val="17"/>
              </w:rPr>
            </w:pPr>
            <w:r>
              <w:rPr>
                <w:color w:val="231F20"/>
                <w:w w:val="105"/>
                <w:sz w:val="17"/>
              </w:rPr>
              <w:t>5.4</w:t>
            </w:r>
          </w:p>
        </w:tc>
        <w:tc>
          <w:tcPr>
            <w:tcW w:w="553" w:type="dxa"/>
          </w:tcPr>
          <w:p>
            <w:pPr>
              <w:pStyle w:val="TableParagraph"/>
              <w:ind w:left="138"/>
              <w:jc w:val="left"/>
              <w:rPr>
                <w:sz w:val="17"/>
              </w:rPr>
            </w:pPr>
            <w:r>
              <w:rPr>
                <w:color w:val="231F20"/>
                <w:sz w:val="17"/>
              </w:rPr>
              <w:t>100</w:t>
            </w:r>
          </w:p>
        </w:tc>
      </w:tr>
      <w:tr>
        <w:trPr>
          <w:trHeight w:val="210" w:hRule="exact"/>
        </w:trPr>
        <w:tc>
          <w:tcPr>
            <w:tcW w:w="1677" w:type="dxa"/>
          </w:tcPr>
          <w:p>
            <w:pPr>
              <w:pStyle w:val="TableParagraph"/>
              <w:ind w:left="35"/>
              <w:jc w:val="left"/>
              <w:rPr>
                <w:sz w:val="17"/>
              </w:rPr>
            </w:pPr>
            <w:r>
              <w:rPr>
                <w:color w:val="231F20"/>
                <w:w w:val="110"/>
                <w:sz w:val="17"/>
              </w:rPr>
              <w:t>Guanajuato</w:t>
            </w:r>
          </w:p>
        </w:tc>
        <w:tc>
          <w:tcPr>
            <w:tcW w:w="582" w:type="dxa"/>
          </w:tcPr>
          <w:p>
            <w:pPr>
              <w:pStyle w:val="TableParagraph"/>
              <w:ind w:left="123" w:right="84"/>
              <w:rPr>
                <w:sz w:val="17"/>
              </w:rPr>
            </w:pPr>
            <w:r>
              <w:rPr>
                <w:color w:val="231F20"/>
                <w:w w:val="105"/>
                <w:sz w:val="17"/>
              </w:rPr>
              <w:t>12.1</w:t>
            </w:r>
          </w:p>
        </w:tc>
        <w:tc>
          <w:tcPr>
            <w:tcW w:w="541" w:type="dxa"/>
          </w:tcPr>
          <w:p>
            <w:pPr>
              <w:pStyle w:val="TableParagraph"/>
              <w:ind w:left="104"/>
              <w:jc w:val="left"/>
              <w:rPr>
                <w:sz w:val="17"/>
              </w:rPr>
            </w:pPr>
            <w:r>
              <w:rPr>
                <w:color w:val="231F20"/>
                <w:w w:val="105"/>
                <w:sz w:val="17"/>
              </w:rPr>
              <w:t>15.1</w:t>
            </w:r>
          </w:p>
        </w:tc>
        <w:tc>
          <w:tcPr>
            <w:tcW w:w="540" w:type="dxa"/>
          </w:tcPr>
          <w:p>
            <w:pPr>
              <w:pStyle w:val="TableParagraph"/>
              <w:ind w:left="83" w:right="83"/>
              <w:rPr>
                <w:sz w:val="17"/>
              </w:rPr>
            </w:pPr>
            <w:r>
              <w:rPr>
                <w:color w:val="231F20"/>
                <w:w w:val="105"/>
                <w:sz w:val="17"/>
              </w:rPr>
              <w:t>15.1</w:t>
            </w:r>
          </w:p>
        </w:tc>
        <w:tc>
          <w:tcPr>
            <w:tcW w:w="540" w:type="dxa"/>
          </w:tcPr>
          <w:p>
            <w:pPr>
              <w:pStyle w:val="TableParagraph"/>
              <w:ind w:right="101"/>
              <w:jc w:val="right"/>
              <w:rPr>
                <w:sz w:val="17"/>
              </w:rPr>
            </w:pPr>
            <w:r>
              <w:rPr>
                <w:color w:val="231F20"/>
                <w:sz w:val="17"/>
              </w:rPr>
              <w:t>14.2</w:t>
            </w:r>
          </w:p>
        </w:tc>
        <w:tc>
          <w:tcPr>
            <w:tcW w:w="564" w:type="dxa"/>
          </w:tcPr>
          <w:p>
            <w:pPr>
              <w:pStyle w:val="TableParagraph"/>
              <w:ind w:left="83" w:right="105"/>
              <w:rPr>
                <w:sz w:val="17"/>
              </w:rPr>
            </w:pPr>
            <w:r>
              <w:rPr>
                <w:color w:val="231F20"/>
                <w:w w:val="105"/>
                <w:sz w:val="17"/>
              </w:rPr>
              <w:t>12.0</w:t>
            </w:r>
          </w:p>
        </w:tc>
        <w:tc>
          <w:tcPr>
            <w:tcW w:w="516" w:type="dxa"/>
          </w:tcPr>
          <w:p>
            <w:pPr>
              <w:pStyle w:val="TableParagraph"/>
              <w:ind w:left="109" w:right="131"/>
              <w:rPr>
                <w:sz w:val="17"/>
              </w:rPr>
            </w:pPr>
            <w:r>
              <w:rPr>
                <w:color w:val="231F20"/>
                <w:w w:val="105"/>
                <w:sz w:val="17"/>
              </w:rPr>
              <w:t>9.5</w:t>
            </w:r>
          </w:p>
        </w:tc>
        <w:tc>
          <w:tcPr>
            <w:tcW w:w="540" w:type="dxa"/>
          </w:tcPr>
          <w:p>
            <w:pPr>
              <w:pStyle w:val="TableParagraph"/>
              <w:ind w:left="151"/>
              <w:jc w:val="left"/>
              <w:rPr>
                <w:sz w:val="17"/>
              </w:rPr>
            </w:pPr>
            <w:r>
              <w:rPr>
                <w:color w:val="231F20"/>
                <w:w w:val="105"/>
                <w:sz w:val="17"/>
              </w:rPr>
              <w:t>7.1</w:t>
            </w:r>
          </w:p>
        </w:tc>
        <w:tc>
          <w:tcPr>
            <w:tcW w:w="540" w:type="dxa"/>
          </w:tcPr>
          <w:p>
            <w:pPr>
              <w:pStyle w:val="TableParagraph"/>
              <w:ind w:left="83" w:right="83"/>
              <w:rPr>
                <w:sz w:val="17"/>
              </w:rPr>
            </w:pPr>
            <w:r>
              <w:rPr>
                <w:color w:val="231F20"/>
                <w:w w:val="105"/>
                <w:sz w:val="17"/>
              </w:rPr>
              <w:t>5.1</w:t>
            </w:r>
          </w:p>
        </w:tc>
        <w:tc>
          <w:tcPr>
            <w:tcW w:w="527" w:type="dxa"/>
          </w:tcPr>
          <w:p>
            <w:pPr>
              <w:pStyle w:val="TableParagraph"/>
              <w:ind w:left="131" w:right="119"/>
              <w:rPr>
                <w:sz w:val="17"/>
              </w:rPr>
            </w:pPr>
            <w:r>
              <w:rPr>
                <w:color w:val="231F20"/>
                <w:w w:val="105"/>
                <w:sz w:val="17"/>
              </w:rPr>
              <w:t>9.8</w:t>
            </w:r>
          </w:p>
        </w:tc>
        <w:tc>
          <w:tcPr>
            <w:tcW w:w="553" w:type="dxa"/>
          </w:tcPr>
          <w:p>
            <w:pPr>
              <w:pStyle w:val="TableParagraph"/>
              <w:ind w:left="138"/>
              <w:jc w:val="left"/>
              <w:rPr>
                <w:sz w:val="17"/>
              </w:rPr>
            </w:pPr>
            <w:r>
              <w:rPr>
                <w:color w:val="231F20"/>
                <w:sz w:val="17"/>
              </w:rPr>
              <w:t>100</w:t>
            </w:r>
          </w:p>
        </w:tc>
      </w:tr>
      <w:tr>
        <w:trPr>
          <w:trHeight w:val="210" w:hRule="exact"/>
        </w:trPr>
        <w:tc>
          <w:tcPr>
            <w:tcW w:w="1677" w:type="dxa"/>
          </w:tcPr>
          <w:p>
            <w:pPr>
              <w:pStyle w:val="TableParagraph"/>
              <w:ind w:left="35"/>
              <w:jc w:val="left"/>
              <w:rPr>
                <w:sz w:val="17"/>
              </w:rPr>
            </w:pPr>
            <w:r>
              <w:rPr>
                <w:color w:val="231F20"/>
                <w:w w:val="110"/>
                <w:sz w:val="17"/>
              </w:rPr>
              <w:t>Guerrero</w:t>
            </w:r>
          </w:p>
        </w:tc>
        <w:tc>
          <w:tcPr>
            <w:tcW w:w="582" w:type="dxa"/>
          </w:tcPr>
          <w:p>
            <w:pPr>
              <w:pStyle w:val="TableParagraph"/>
              <w:ind w:left="123" w:right="84"/>
              <w:rPr>
                <w:sz w:val="17"/>
              </w:rPr>
            </w:pPr>
            <w:r>
              <w:rPr>
                <w:color w:val="231F20"/>
                <w:w w:val="105"/>
                <w:sz w:val="17"/>
              </w:rPr>
              <w:t>14.0</w:t>
            </w:r>
          </w:p>
        </w:tc>
        <w:tc>
          <w:tcPr>
            <w:tcW w:w="541" w:type="dxa"/>
          </w:tcPr>
          <w:p>
            <w:pPr>
              <w:pStyle w:val="TableParagraph"/>
              <w:ind w:left="104"/>
              <w:jc w:val="left"/>
              <w:rPr>
                <w:sz w:val="17"/>
              </w:rPr>
            </w:pPr>
            <w:r>
              <w:rPr>
                <w:color w:val="231F20"/>
                <w:w w:val="105"/>
                <w:sz w:val="17"/>
              </w:rPr>
              <w:t>16.0</w:t>
            </w:r>
          </w:p>
        </w:tc>
        <w:tc>
          <w:tcPr>
            <w:tcW w:w="540" w:type="dxa"/>
          </w:tcPr>
          <w:p>
            <w:pPr>
              <w:pStyle w:val="TableParagraph"/>
              <w:ind w:left="83" w:right="83"/>
              <w:rPr>
                <w:sz w:val="17"/>
              </w:rPr>
            </w:pPr>
            <w:r>
              <w:rPr>
                <w:color w:val="231F20"/>
                <w:w w:val="105"/>
                <w:sz w:val="17"/>
              </w:rPr>
              <w:t>16.6</w:t>
            </w:r>
          </w:p>
        </w:tc>
        <w:tc>
          <w:tcPr>
            <w:tcW w:w="540" w:type="dxa"/>
          </w:tcPr>
          <w:p>
            <w:pPr>
              <w:pStyle w:val="TableParagraph"/>
              <w:ind w:right="101"/>
              <w:jc w:val="right"/>
              <w:rPr>
                <w:sz w:val="17"/>
              </w:rPr>
            </w:pPr>
            <w:r>
              <w:rPr>
                <w:color w:val="231F20"/>
                <w:sz w:val="17"/>
              </w:rPr>
              <w:t>15.2</w:t>
            </w:r>
          </w:p>
        </w:tc>
        <w:tc>
          <w:tcPr>
            <w:tcW w:w="564" w:type="dxa"/>
          </w:tcPr>
          <w:p>
            <w:pPr>
              <w:pStyle w:val="TableParagraph"/>
              <w:ind w:left="83" w:right="105"/>
              <w:rPr>
                <w:sz w:val="17"/>
              </w:rPr>
            </w:pPr>
            <w:r>
              <w:rPr>
                <w:color w:val="231F20"/>
                <w:w w:val="105"/>
                <w:sz w:val="17"/>
              </w:rPr>
              <w:t>12.6</w:t>
            </w:r>
          </w:p>
        </w:tc>
        <w:tc>
          <w:tcPr>
            <w:tcW w:w="516" w:type="dxa"/>
          </w:tcPr>
          <w:p>
            <w:pPr>
              <w:pStyle w:val="TableParagraph"/>
              <w:ind w:left="109" w:right="131"/>
              <w:rPr>
                <w:sz w:val="17"/>
              </w:rPr>
            </w:pPr>
            <w:r>
              <w:rPr>
                <w:color w:val="231F20"/>
                <w:w w:val="105"/>
                <w:sz w:val="17"/>
              </w:rPr>
              <w:t>9.3</w:t>
            </w:r>
          </w:p>
        </w:tc>
        <w:tc>
          <w:tcPr>
            <w:tcW w:w="540" w:type="dxa"/>
          </w:tcPr>
          <w:p>
            <w:pPr>
              <w:pStyle w:val="TableParagraph"/>
              <w:ind w:left="151"/>
              <w:jc w:val="left"/>
              <w:rPr>
                <w:sz w:val="17"/>
              </w:rPr>
            </w:pPr>
            <w:r>
              <w:rPr>
                <w:color w:val="231F20"/>
                <w:w w:val="105"/>
                <w:sz w:val="17"/>
              </w:rPr>
              <w:t>6.3</w:t>
            </w:r>
          </w:p>
        </w:tc>
        <w:tc>
          <w:tcPr>
            <w:tcW w:w="540" w:type="dxa"/>
          </w:tcPr>
          <w:p>
            <w:pPr>
              <w:pStyle w:val="TableParagraph"/>
              <w:ind w:left="83" w:right="83"/>
              <w:rPr>
                <w:sz w:val="17"/>
              </w:rPr>
            </w:pPr>
            <w:r>
              <w:rPr>
                <w:color w:val="231F20"/>
                <w:w w:val="105"/>
                <w:sz w:val="17"/>
              </w:rPr>
              <w:t>4.1</w:t>
            </w:r>
          </w:p>
        </w:tc>
        <w:tc>
          <w:tcPr>
            <w:tcW w:w="527" w:type="dxa"/>
          </w:tcPr>
          <w:p>
            <w:pPr>
              <w:pStyle w:val="TableParagraph"/>
              <w:ind w:left="131" w:right="119"/>
              <w:rPr>
                <w:sz w:val="17"/>
              </w:rPr>
            </w:pPr>
            <w:r>
              <w:rPr>
                <w:color w:val="231F20"/>
                <w:w w:val="105"/>
                <w:sz w:val="17"/>
              </w:rPr>
              <w:t>5.9</w:t>
            </w:r>
          </w:p>
        </w:tc>
        <w:tc>
          <w:tcPr>
            <w:tcW w:w="553" w:type="dxa"/>
          </w:tcPr>
          <w:p>
            <w:pPr>
              <w:pStyle w:val="TableParagraph"/>
              <w:ind w:left="138"/>
              <w:jc w:val="left"/>
              <w:rPr>
                <w:sz w:val="17"/>
              </w:rPr>
            </w:pPr>
            <w:r>
              <w:rPr>
                <w:color w:val="231F20"/>
                <w:sz w:val="17"/>
              </w:rPr>
              <w:t>100</w:t>
            </w:r>
          </w:p>
        </w:tc>
      </w:tr>
      <w:tr>
        <w:trPr>
          <w:trHeight w:val="210" w:hRule="exact"/>
        </w:trPr>
        <w:tc>
          <w:tcPr>
            <w:tcW w:w="1677" w:type="dxa"/>
          </w:tcPr>
          <w:p>
            <w:pPr>
              <w:pStyle w:val="TableParagraph"/>
              <w:ind w:left="35"/>
              <w:jc w:val="left"/>
              <w:rPr>
                <w:sz w:val="17"/>
              </w:rPr>
            </w:pPr>
            <w:r>
              <w:rPr>
                <w:color w:val="231F20"/>
                <w:w w:val="110"/>
                <w:sz w:val="17"/>
              </w:rPr>
              <w:t>Hidalgo</w:t>
            </w:r>
          </w:p>
        </w:tc>
        <w:tc>
          <w:tcPr>
            <w:tcW w:w="582" w:type="dxa"/>
          </w:tcPr>
          <w:p>
            <w:pPr>
              <w:pStyle w:val="TableParagraph"/>
              <w:ind w:left="123" w:right="84"/>
              <w:rPr>
                <w:sz w:val="17"/>
              </w:rPr>
            </w:pPr>
            <w:r>
              <w:rPr>
                <w:color w:val="231F20"/>
                <w:w w:val="105"/>
                <w:sz w:val="17"/>
              </w:rPr>
              <w:t>13.6</w:t>
            </w:r>
          </w:p>
        </w:tc>
        <w:tc>
          <w:tcPr>
            <w:tcW w:w="541" w:type="dxa"/>
          </w:tcPr>
          <w:p>
            <w:pPr>
              <w:pStyle w:val="TableParagraph"/>
              <w:ind w:left="104"/>
              <w:jc w:val="left"/>
              <w:rPr>
                <w:sz w:val="17"/>
              </w:rPr>
            </w:pPr>
            <w:r>
              <w:rPr>
                <w:color w:val="231F20"/>
                <w:w w:val="105"/>
                <w:sz w:val="17"/>
              </w:rPr>
              <w:t>16.7</w:t>
            </w:r>
          </w:p>
        </w:tc>
        <w:tc>
          <w:tcPr>
            <w:tcW w:w="540" w:type="dxa"/>
          </w:tcPr>
          <w:p>
            <w:pPr>
              <w:pStyle w:val="TableParagraph"/>
              <w:ind w:left="83" w:right="83"/>
              <w:rPr>
                <w:sz w:val="17"/>
              </w:rPr>
            </w:pPr>
            <w:r>
              <w:rPr>
                <w:color w:val="231F20"/>
                <w:w w:val="105"/>
                <w:sz w:val="17"/>
              </w:rPr>
              <w:t>17.0</w:t>
            </w:r>
          </w:p>
        </w:tc>
        <w:tc>
          <w:tcPr>
            <w:tcW w:w="540" w:type="dxa"/>
          </w:tcPr>
          <w:p>
            <w:pPr>
              <w:pStyle w:val="TableParagraph"/>
              <w:ind w:right="101"/>
              <w:jc w:val="right"/>
              <w:rPr>
                <w:sz w:val="17"/>
              </w:rPr>
            </w:pPr>
            <w:r>
              <w:rPr>
                <w:color w:val="231F20"/>
                <w:sz w:val="17"/>
              </w:rPr>
              <w:t>15.3</w:t>
            </w:r>
          </w:p>
        </w:tc>
        <w:tc>
          <w:tcPr>
            <w:tcW w:w="564" w:type="dxa"/>
          </w:tcPr>
          <w:p>
            <w:pPr>
              <w:pStyle w:val="TableParagraph"/>
              <w:ind w:left="83" w:right="105"/>
              <w:rPr>
                <w:sz w:val="17"/>
              </w:rPr>
            </w:pPr>
            <w:r>
              <w:rPr>
                <w:color w:val="231F20"/>
                <w:w w:val="105"/>
                <w:sz w:val="17"/>
              </w:rPr>
              <w:t>12.4</w:t>
            </w:r>
          </w:p>
        </w:tc>
        <w:tc>
          <w:tcPr>
            <w:tcW w:w="516" w:type="dxa"/>
          </w:tcPr>
          <w:p>
            <w:pPr>
              <w:pStyle w:val="TableParagraph"/>
              <w:ind w:left="109" w:right="131"/>
              <w:rPr>
                <w:sz w:val="17"/>
              </w:rPr>
            </w:pPr>
            <w:r>
              <w:rPr>
                <w:color w:val="231F20"/>
                <w:w w:val="105"/>
                <w:sz w:val="17"/>
              </w:rPr>
              <w:t>9.0</w:t>
            </w:r>
          </w:p>
        </w:tc>
        <w:tc>
          <w:tcPr>
            <w:tcW w:w="540" w:type="dxa"/>
          </w:tcPr>
          <w:p>
            <w:pPr>
              <w:pStyle w:val="TableParagraph"/>
              <w:ind w:left="151"/>
              <w:jc w:val="left"/>
              <w:rPr>
                <w:sz w:val="17"/>
              </w:rPr>
            </w:pPr>
            <w:r>
              <w:rPr>
                <w:color w:val="231F20"/>
                <w:w w:val="105"/>
                <w:sz w:val="17"/>
              </w:rPr>
              <w:t>6.0</w:t>
            </w:r>
          </w:p>
        </w:tc>
        <w:tc>
          <w:tcPr>
            <w:tcW w:w="540" w:type="dxa"/>
          </w:tcPr>
          <w:p>
            <w:pPr>
              <w:pStyle w:val="TableParagraph"/>
              <w:ind w:left="83" w:right="83"/>
              <w:rPr>
                <w:sz w:val="17"/>
              </w:rPr>
            </w:pPr>
            <w:r>
              <w:rPr>
                <w:color w:val="231F20"/>
                <w:w w:val="105"/>
                <w:sz w:val="17"/>
              </w:rPr>
              <w:t>3.8</w:t>
            </w:r>
          </w:p>
        </w:tc>
        <w:tc>
          <w:tcPr>
            <w:tcW w:w="527" w:type="dxa"/>
          </w:tcPr>
          <w:p>
            <w:pPr>
              <w:pStyle w:val="TableParagraph"/>
              <w:ind w:left="131" w:right="119"/>
              <w:rPr>
                <w:sz w:val="17"/>
              </w:rPr>
            </w:pPr>
            <w:r>
              <w:rPr>
                <w:color w:val="231F20"/>
                <w:w w:val="105"/>
                <w:sz w:val="17"/>
              </w:rPr>
              <w:t>6.1</w:t>
            </w:r>
          </w:p>
        </w:tc>
        <w:tc>
          <w:tcPr>
            <w:tcW w:w="553" w:type="dxa"/>
          </w:tcPr>
          <w:p>
            <w:pPr>
              <w:pStyle w:val="TableParagraph"/>
              <w:ind w:left="138"/>
              <w:jc w:val="left"/>
              <w:rPr>
                <w:sz w:val="17"/>
              </w:rPr>
            </w:pPr>
            <w:r>
              <w:rPr>
                <w:color w:val="231F20"/>
                <w:sz w:val="17"/>
              </w:rPr>
              <w:t>100</w:t>
            </w:r>
          </w:p>
        </w:tc>
      </w:tr>
      <w:tr>
        <w:trPr>
          <w:trHeight w:val="210" w:hRule="exact"/>
        </w:trPr>
        <w:tc>
          <w:tcPr>
            <w:tcW w:w="1677" w:type="dxa"/>
          </w:tcPr>
          <w:p>
            <w:pPr>
              <w:pStyle w:val="TableParagraph"/>
              <w:ind w:left="35"/>
              <w:jc w:val="left"/>
              <w:rPr>
                <w:sz w:val="17"/>
              </w:rPr>
            </w:pPr>
            <w:r>
              <w:rPr>
                <w:color w:val="231F20"/>
                <w:w w:val="115"/>
                <w:sz w:val="17"/>
              </w:rPr>
              <w:t>Jalisco</w:t>
            </w:r>
          </w:p>
        </w:tc>
        <w:tc>
          <w:tcPr>
            <w:tcW w:w="582" w:type="dxa"/>
          </w:tcPr>
          <w:p>
            <w:pPr>
              <w:pStyle w:val="TableParagraph"/>
              <w:ind w:left="123" w:right="84"/>
              <w:rPr>
                <w:sz w:val="17"/>
              </w:rPr>
            </w:pPr>
            <w:r>
              <w:rPr>
                <w:color w:val="231F20"/>
                <w:w w:val="105"/>
                <w:sz w:val="17"/>
              </w:rPr>
              <w:t>15.1</w:t>
            </w:r>
          </w:p>
        </w:tc>
        <w:tc>
          <w:tcPr>
            <w:tcW w:w="541" w:type="dxa"/>
          </w:tcPr>
          <w:p>
            <w:pPr>
              <w:pStyle w:val="TableParagraph"/>
              <w:ind w:left="104"/>
              <w:jc w:val="left"/>
              <w:rPr>
                <w:sz w:val="17"/>
              </w:rPr>
            </w:pPr>
            <w:r>
              <w:rPr>
                <w:color w:val="231F20"/>
                <w:w w:val="105"/>
                <w:sz w:val="17"/>
              </w:rPr>
              <w:t>18.3</w:t>
            </w:r>
          </w:p>
        </w:tc>
        <w:tc>
          <w:tcPr>
            <w:tcW w:w="540" w:type="dxa"/>
          </w:tcPr>
          <w:p>
            <w:pPr>
              <w:pStyle w:val="TableParagraph"/>
              <w:ind w:left="83" w:right="83"/>
              <w:rPr>
                <w:sz w:val="17"/>
              </w:rPr>
            </w:pPr>
            <w:r>
              <w:rPr>
                <w:color w:val="231F20"/>
                <w:w w:val="105"/>
                <w:sz w:val="17"/>
              </w:rPr>
              <w:t>16.9</w:t>
            </w:r>
          </w:p>
        </w:tc>
        <w:tc>
          <w:tcPr>
            <w:tcW w:w="540" w:type="dxa"/>
          </w:tcPr>
          <w:p>
            <w:pPr>
              <w:pStyle w:val="TableParagraph"/>
              <w:ind w:right="101"/>
              <w:jc w:val="right"/>
              <w:rPr>
                <w:sz w:val="17"/>
              </w:rPr>
            </w:pPr>
            <w:r>
              <w:rPr>
                <w:color w:val="231F20"/>
                <w:sz w:val="17"/>
              </w:rPr>
              <w:t>14.6</w:t>
            </w:r>
          </w:p>
        </w:tc>
        <w:tc>
          <w:tcPr>
            <w:tcW w:w="564" w:type="dxa"/>
          </w:tcPr>
          <w:p>
            <w:pPr>
              <w:pStyle w:val="TableParagraph"/>
              <w:ind w:left="83" w:right="105"/>
              <w:rPr>
                <w:sz w:val="17"/>
              </w:rPr>
            </w:pPr>
            <w:r>
              <w:rPr>
                <w:color w:val="231F20"/>
                <w:w w:val="105"/>
                <w:sz w:val="17"/>
              </w:rPr>
              <w:t>11.6</w:t>
            </w:r>
          </w:p>
        </w:tc>
        <w:tc>
          <w:tcPr>
            <w:tcW w:w="516" w:type="dxa"/>
          </w:tcPr>
          <w:p>
            <w:pPr>
              <w:pStyle w:val="TableParagraph"/>
              <w:ind w:left="109" w:right="131"/>
              <w:rPr>
                <w:sz w:val="17"/>
              </w:rPr>
            </w:pPr>
            <w:r>
              <w:rPr>
                <w:color w:val="231F20"/>
                <w:w w:val="105"/>
                <w:sz w:val="17"/>
              </w:rPr>
              <w:t>8.4</w:t>
            </w:r>
          </w:p>
        </w:tc>
        <w:tc>
          <w:tcPr>
            <w:tcW w:w="540" w:type="dxa"/>
          </w:tcPr>
          <w:p>
            <w:pPr>
              <w:pStyle w:val="TableParagraph"/>
              <w:ind w:left="151"/>
              <w:jc w:val="left"/>
              <w:rPr>
                <w:sz w:val="17"/>
              </w:rPr>
            </w:pPr>
            <w:r>
              <w:rPr>
                <w:color w:val="231F20"/>
                <w:w w:val="105"/>
                <w:sz w:val="17"/>
              </w:rPr>
              <w:t>5.6</w:t>
            </w:r>
          </w:p>
        </w:tc>
        <w:tc>
          <w:tcPr>
            <w:tcW w:w="540" w:type="dxa"/>
          </w:tcPr>
          <w:p>
            <w:pPr>
              <w:pStyle w:val="TableParagraph"/>
              <w:ind w:left="83" w:right="83"/>
              <w:rPr>
                <w:sz w:val="17"/>
              </w:rPr>
            </w:pPr>
            <w:r>
              <w:rPr>
                <w:color w:val="231F20"/>
                <w:w w:val="105"/>
                <w:sz w:val="17"/>
              </w:rPr>
              <w:t>3.8</w:t>
            </w:r>
          </w:p>
        </w:tc>
        <w:tc>
          <w:tcPr>
            <w:tcW w:w="527" w:type="dxa"/>
          </w:tcPr>
          <w:p>
            <w:pPr>
              <w:pStyle w:val="TableParagraph"/>
              <w:ind w:left="131" w:right="119"/>
              <w:rPr>
                <w:sz w:val="17"/>
              </w:rPr>
            </w:pPr>
            <w:r>
              <w:rPr>
                <w:color w:val="231F20"/>
                <w:w w:val="105"/>
                <w:sz w:val="17"/>
              </w:rPr>
              <w:t>5.8</w:t>
            </w:r>
          </w:p>
        </w:tc>
        <w:tc>
          <w:tcPr>
            <w:tcW w:w="553" w:type="dxa"/>
          </w:tcPr>
          <w:p>
            <w:pPr>
              <w:pStyle w:val="TableParagraph"/>
              <w:ind w:left="138"/>
              <w:jc w:val="left"/>
              <w:rPr>
                <w:sz w:val="17"/>
              </w:rPr>
            </w:pPr>
            <w:r>
              <w:rPr>
                <w:color w:val="231F20"/>
                <w:sz w:val="17"/>
              </w:rPr>
              <w:t>100</w:t>
            </w:r>
          </w:p>
        </w:tc>
      </w:tr>
      <w:tr>
        <w:trPr>
          <w:trHeight w:val="210" w:hRule="exact"/>
        </w:trPr>
        <w:tc>
          <w:tcPr>
            <w:tcW w:w="1677" w:type="dxa"/>
          </w:tcPr>
          <w:p>
            <w:pPr>
              <w:pStyle w:val="TableParagraph"/>
              <w:ind w:left="35"/>
              <w:jc w:val="left"/>
              <w:rPr>
                <w:sz w:val="17"/>
              </w:rPr>
            </w:pPr>
            <w:r>
              <w:rPr>
                <w:color w:val="231F20"/>
                <w:w w:val="110"/>
                <w:sz w:val="17"/>
              </w:rPr>
              <w:t>México</w:t>
            </w:r>
          </w:p>
        </w:tc>
        <w:tc>
          <w:tcPr>
            <w:tcW w:w="582" w:type="dxa"/>
          </w:tcPr>
          <w:p>
            <w:pPr>
              <w:pStyle w:val="TableParagraph"/>
              <w:ind w:left="123" w:right="84"/>
              <w:rPr>
                <w:sz w:val="17"/>
              </w:rPr>
            </w:pPr>
            <w:r>
              <w:rPr>
                <w:color w:val="231F20"/>
                <w:w w:val="105"/>
                <w:sz w:val="17"/>
              </w:rPr>
              <w:t>9.4</w:t>
            </w:r>
          </w:p>
        </w:tc>
        <w:tc>
          <w:tcPr>
            <w:tcW w:w="541" w:type="dxa"/>
          </w:tcPr>
          <w:p>
            <w:pPr>
              <w:pStyle w:val="TableParagraph"/>
              <w:ind w:left="104"/>
              <w:jc w:val="left"/>
              <w:rPr>
                <w:sz w:val="17"/>
              </w:rPr>
            </w:pPr>
            <w:r>
              <w:rPr>
                <w:color w:val="231F20"/>
                <w:w w:val="105"/>
                <w:sz w:val="17"/>
              </w:rPr>
              <w:t>15.0</w:t>
            </w:r>
          </w:p>
        </w:tc>
        <w:tc>
          <w:tcPr>
            <w:tcW w:w="540" w:type="dxa"/>
          </w:tcPr>
          <w:p>
            <w:pPr>
              <w:pStyle w:val="TableParagraph"/>
              <w:ind w:left="83" w:right="83"/>
              <w:rPr>
                <w:sz w:val="17"/>
              </w:rPr>
            </w:pPr>
            <w:r>
              <w:rPr>
                <w:color w:val="231F20"/>
                <w:w w:val="105"/>
                <w:sz w:val="17"/>
              </w:rPr>
              <w:t>17.7</w:t>
            </w:r>
          </w:p>
        </w:tc>
        <w:tc>
          <w:tcPr>
            <w:tcW w:w="540" w:type="dxa"/>
          </w:tcPr>
          <w:p>
            <w:pPr>
              <w:pStyle w:val="TableParagraph"/>
              <w:ind w:right="101"/>
              <w:jc w:val="right"/>
              <w:rPr>
                <w:sz w:val="17"/>
              </w:rPr>
            </w:pPr>
            <w:r>
              <w:rPr>
                <w:color w:val="231F20"/>
                <w:sz w:val="17"/>
              </w:rPr>
              <w:t>16.8</w:t>
            </w:r>
          </w:p>
        </w:tc>
        <w:tc>
          <w:tcPr>
            <w:tcW w:w="564" w:type="dxa"/>
          </w:tcPr>
          <w:p>
            <w:pPr>
              <w:pStyle w:val="TableParagraph"/>
              <w:ind w:left="83" w:right="105"/>
              <w:rPr>
                <w:sz w:val="17"/>
              </w:rPr>
            </w:pPr>
            <w:r>
              <w:rPr>
                <w:color w:val="231F20"/>
                <w:w w:val="105"/>
                <w:sz w:val="17"/>
              </w:rPr>
              <w:t>13.5</w:t>
            </w:r>
          </w:p>
        </w:tc>
        <w:tc>
          <w:tcPr>
            <w:tcW w:w="516" w:type="dxa"/>
          </w:tcPr>
          <w:p>
            <w:pPr>
              <w:pStyle w:val="TableParagraph"/>
              <w:ind w:left="109" w:right="131"/>
              <w:rPr>
                <w:sz w:val="17"/>
              </w:rPr>
            </w:pPr>
            <w:r>
              <w:rPr>
                <w:color w:val="231F20"/>
                <w:w w:val="105"/>
                <w:sz w:val="17"/>
              </w:rPr>
              <w:t>9.6</w:t>
            </w:r>
          </w:p>
        </w:tc>
        <w:tc>
          <w:tcPr>
            <w:tcW w:w="540" w:type="dxa"/>
          </w:tcPr>
          <w:p>
            <w:pPr>
              <w:pStyle w:val="TableParagraph"/>
              <w:ind w:left="151"/>
              <w:jc w:val="left"/>
              <w:rPr>
                <w:sz w:val="17"/>
              </w:rPr>
            </w:pPr>
            <w:r>
              <w:rPr>
                <w:color w:val="231F20"/>
                <w:w w:val="105"/>
                <w:sz w:val="17"/>
              </w:rPr>
              <w:t>6.5</w:t>
            </w:r>
          </w:p>
        </w:tc>
        <w:tc>
          <w:tcPr>
            <w:tcW w:w="540" w:type="dxa"/>
          </w:tcPr>
          <w:p>
            <w:pPr>
              <w:pStyle w:val="TableParagraph"/>
              <w:ind w:left="83" w:right="83"/>
              <w:rPr>
                <w:sz w:val="17"/>
              </w:rPr>
            </w:pPr>
            <w:r>
              <w:rPr>
                <w:color w:val="231F20"/>
                <w:w w:val="105"/>
                <w:sz w:val="17"/>
              </w:rPr>
              <w:t>4.2</w:t>
            </w:r>
          </w:p>
        </w:tc>
        <w:tc>
          <w:tcPr>
            <w:tcW w:w="527" w:type="dxa"/>
          </w:tcPr>
          <w:p>
            <w:pPr>
              <w:pStyle w:val="TableParagraph"/>
              <w:ind w:left="131" w:right="119"/>
              <w:rPr>
                <w:sz w:val="17"/>
              </w:rPr>
            </w:pPr>
            <w:r>
              <w:rPr>
                <w:color w:val="231F20"/>
                <w:w w:val="105"/>
                <w:sz w:val="17"/>
              </w:rPr>
              <w:t>7.2</w:t>
            </w:r>
          </w:p>
        </w:tc>
        <w:tc>
          <w:tcPr>
            <w:tcW w:w="553" w:type="dxa"/>
          </w:tcPr>
          <w:p>
            <w:pPr>
              <w:pStyle w:val="TableParagraph"/>
              <w:ind w:left="138"/>
              <w:jc w:val="left"/>
              <w:rPr>
                <w:sz w:val="17"/>
              </w:rPr>
            </w:pPr>
            <w:r>
              <w:rPr>
                <w:color w:val="231F20"/>
                <w:sz w:val="17"/>
              </w:rPr>
              <w:t>100</w:t>
            </w:r>
          </w:p>
        </w:tc>
      </w:tr>
      <w:tr>
        <w:trPr>
          <w:trHeight w:val="210" w:hRule="exact"/>
        </w:trPr>
        <w:tc>
          <w:tcPr>
            <w:tcW w:w="1677" w:type="dxa"/>
          </w:tcPr>
          <w:p>
            <w:pPr>
              <w:pStyle w:val="TableParagraph"/>
              <w:ind w:left="35"/>
              <w:jc w:val="left"/>
              <w:rPr>
                <w:sz w:val="17"/>
              </w:rPr>
            </w:pPr>
            <w:r>
              <w:rPr>
                <w:color w:val="231F20"/>
                <w:w w:val="110"/>
                <w:sz w:val="17"/>
              </w:rPr>
              <w:t>Michoacán</w:t>
            </w:r>
          </w:p>
        </w:tc>
        <w:tc>
          <w:tcPr>
            <w:tcW w:w="582" w:type="dxa"/>
          </w:tcPr>
          <w:p>
            <w:pPr>
              <w:pStyle w:val="TableParagraph"/>
              <w:ind w:left="123" w:right="84"/>
              <w:rPr>
                <w:sz w:val="17"/>
              </w:rPr>
            </w:pPr>
            <w:r>
              <w:rPr>
                <w:color w:val="231F20"/>
                <w:w w:val="105"/>
                <w:sz w:val="17"/>
              </w:rPr>
              <w:t>14.7</w:t>
            </w:r>
          </w:p>
        </w:tc>
        <w:tc>
          <w:tcPr>
            <w:tcW w:w="541" w:type="dxa"/>
          </w:tcPr>
          <w:p>
            <w:pPr>
              <w:pStyle w:val="TableParagraph"/>
              <w:ind w:left="104"/>
              <w:jc w:val="left"/>
              <w:rPr>
                <w:sz w:val="17"/>
              </w:rPr>
            </w:pPr>
            <w:r>
              <w:rPr>
                <w:color w:val="231F20"/>
                <w:w w:val="105"/>
                <w:sz w:val="17"/>
              </w:rPr>
              <w:t>16.8</w:t>
            </w:r>
          </w:p>
        </w:tc>
        <w:tc>
          <w:tcPr>
            <w:tcW w:w="540" w:type="dxa"/>
          </w:tcPr>
          <w:p>
            <w:pPr>
              <w:pStyle w:val="TableParagraph"/>
              <w:ind w:left="83" w:right="83"/>
              <w:rPr>
                <w:sz w:val="17"/>
              </w:rPr>
            </w:pPr>
            <w:r>
              <w:rPr>
                <w:color w:val="231F20"/>
                <w:w w:val="105"/>
                <w:sz w:val="17"/>
              </w:rPr>
              <w:t>15.9</w:t>
            </w:r>
          </w:p>
        </w:tc>
        <w:tc>
          <w:tcPr>
            <w:tcW w:w="540" w:type="dxa"/>
          </w:tcPr>
          <w:p>
            <w:pPr>
              <w:pStyle w:val="TableParagraph"/>
              <w:ind w:right="101"/>
              <w:jc w:val="right"/>
              <w:rPr>
                <w:sz w:val="17"/>
              </w:rPr>
            </w:pPr>
            <w:r>
              <w:rPr>
                <w:color w:val="231F20"/>
                <w:sz w:val="17"/>
              </w:rPr>
              <w:t>14.5</w:t>
            </w:r>
          </w:p>
        </w:tc>
        <w:tc>
          <w:tcPr>
            <w:tcW w:w="564" w:type="dxa"/>
          </w:tcPr>
          <w:p>
            <w:pPr>
              <w:pStyle w:val="TableParagraph"/>
              <w:ind w:left="83" w:right="105"/>
              <w:rPr>
                <w:sz w:val="17"/>
              </w:rPr>
            </w:pPr>
            <w:r>
              <w:rPr>
                <w:color w:val="231F20"/>
                <w:w w:val="105"/>
                <w:sz w:val="17"/>
              </w:rPr>
              <w:t>11.9</w:t>
            </w:r>
          </w:p>
        </w:tc>
        <w:tc>
          <w:tcPr>
            <w:tcW w:w="516" w:type="dxa"/>
          </w:tcPr>
          <w:p>
            <w:pPr>
              <w:pStyle w:val="TableParagraph"/>
              <w:ind w:left="109" w:right="131"/>
              <w:rPr>
                <w:sz w:val="17"/>
              </w:rPr>
            </w:pPr>
            <w:r>
              <w:rPr>
                <w:color w:val="231F20"/>
                <w:w w:val="105"/>
                <w:sz w:val="17"/>
              </w:rPr>
              <w:t>8.9</w:t>
            </w:r>
          </w:p>
        </w:tc>
        <w:tc>
          <w:tcPr>
            <w:tcW w:w="540" w:type="dxa"/>
          </w:tcPr>
          <w:p>
            <w:pPr>
              <w:pStyle w:val="TableParagraph"/>
              <w:ind w:left="151"/>
              <w:jc w:val="left"/>
              <w:rPr>
                <w:sz w:val="17"/>
              </w:rPr>
            </w:pPr>
            <w:r>
              <w:rPr>
                <w:color w:val="231F20"/>
                <w:w w:val="105"/>
                <w:sz w:val="17"/>
              </w:rPr>
              <w:t>6.4</w:t>
            </w:r>
          </w:p>
        </w:tc>
        <w:tc>
          <w:tcPr>
            <w:tcW w:w="540" w:type="dxa"/>
          </w:tcPr>
          <w:p>
            <w:pPr>
              <w:pStyle w:val="TableParagraph"/>
              <w:ind w:left="83" w:right="83"/>
              <w:rPr>
                <w:sz w:val="17"/>
              </w:rPr>
            </w:pPr>
            <w:r>
              <w:rPr>
                <w:color w:val="231F20"/>
                <w:w w:val="105"/>
                <w:sz w:val="17"/>
              </w:rPr>
              <w:t>4.3</w:t>
            </w:r>
          </w:p>
        </w:tc>
        <w:tc>
          <w:tcPr>
            <w:tcW w:w="527" w:type="dxa"/>
          </w:tcPr>
          <w:p>
            <w:pPr>
              <w:pStyle w:val="TableParagraph"/>
              <w:ind w:left="131" w:right="119"/>
              <w:rPr>
                <w:sz w:val="17"/>
              </w:rPr>
            </w:pPr>
            <w:r>
              <w:rPr>
                <w:color w:val="231F20"/>
                <w:w w:val="105"/>
                <w:sz w:val="17"/>
              </w:rPr>
              <w:t>6.6</w:t>
            </w:r>
          </w:p>
        </w:tc>
        <w:tc>
          <w:tcPr>
            <w:tcW w:w="553" w:type="dxa"/>
          </w:tcPr>
          <w:p>
            <w:pPr>
              <w:pStyle w:val="TableParagraph"/>
              <w:ind w:left="138"/>
              <w:jc w:val="left"/>
              <w:rPr>
                <w:sz w:val="17"/>
              </w:rPr>
            </w:pPr>
            <w:r>
              <w:rPr>
                <w:color w:val="231F20"/>
                <w:sz w:val="17"/>
              </w:rPr>
              <w:t>100</w:t>
            </w:r>
          </w:p>
        </w:tc>
      </w:tr>
      <w:tr>
        <w:trPr>
          <w:trHeight w:val="210" w:hRule="exact"/>
        </w:trPr>
        <w:tc>
          <w:tcPr>
            <w:tcW w:w="1677" w:type="dxa"/>
          </w:tcPr>
          <w:p>
            <w:pPr>
              <w:pStyle w:val="TableParagraph"/>
              <w:ind w:left="35"/>
              <w:jc w:val="left"/>
              <w:rPr>
                <w:sz w:val="17"/>
              </w:rPr>
            </w:pPr>
            <w:r>
              <w:rPr>
                <w:color w:val="231F20"/>
                <w:w w:val="110"/>
                <w:sz w:val="17"/>
              </w:rPr>
              <w:t>Morelos</w:t>
            </w:r>
          </w:p>
        </w:tc>
        <w:tc>
          <w:tcPr>
            <w:tcW w:w="582" w:type="dxa"/>
          </w:tcPr>
          <w:p>
            <w:pPr>
              <w:pStyle w:val="TableParagraph"/>
              <w:ind w:left="123" w:right="84"/>
              <w:rPr>
                <w:sz w:val="17"/>
              </w:rPr>
            </w:pPr>
            <w:r>
              <w:rPr>
                <w:color w:val="231F20"/>
                <w:w w:val="105"/>
                <w:sz w:val="17"/>
              </w:rPr>
              <w:t>13.6</w:t>
            </w:r>
          </w:p>
        </w:tc>
        <w:tc>
          <w:tcPr>
            <w:tcW w:w="541" w:type="dxa"/>
          </w:tcPr>
          <w:p>
            <w:pPr>
              <w:pStyle w:val="TableParagraph"/>
              <w:ind w:left="104"/>
              <w:jc w:val="left"/>
              <w:rPr>
                <w:sz w:val="17"/>
              </w:rPr>
            </w:pPr>
            <w:r>
              <w:rPr>
                <w:color w:val="231F20"/>
                <w:w w:val="105"/>
                <w:sz w:val="17"/>
              </w:rPr>
              <w:t>17.5</w:t>
            </w:r>
          </w:p>
        </w:tc>
        <w:tc>
          <w:tcPr>
            <w:tcW w:w="540" w:type="dxa"/>
          </w:tcPr>
          <w:p>
            <w:pPr>
              <w:pStyle w:val="TableParagraph"/>
              <w:ind w:left="83" w:right="83"/>
              <w:rPr>
                <w:sz w:val="17"/>
              </w:rPr>
            </w:pPr>
            <w:r>
              <w:rPr>
                <w:color w:val="231F20"/>
                <w:w w:val="105"/>
                <w:sz w:val="17"/>
              </w:rPr>
              <w:t>18.2</w:t>
            </w:r>
          </w:p>
        </w:tc>
        <w:tc>
          <w:tcPr>
            <w:tcW w:w="540" w:type="dxa"/>
          </w:tcPr>
          <w:p>
            <w:pPr>
              <w:pStyle w:val="TableParagraph"/>
              <w:ind w:right="101"/>
              <w:jc w:val="right"/>
              <w:rPr>
                <w:sz w:val="17"/>
              </w:rPr>
            </w:pPr>
            <w:r>
              <w:rPr>
                <w:color w:val="231F20"/>
                <w:sz w:val="17"/>
              </w:rPr>
              <w:t>16.2</w:t>
            </w:r>
          </w:p>
        </w:tc>
        <w:tc>
          <w:tcPr>
            <w:tcW w:w="564" w:type="dxa"/>
          </w:tcPr>
          <w:p>
            <w:pPr>
              <w:pStyle w:val="TableParagraph"/>
              <w:ind w:left="83" w:right="105"/>
              <w:rPr>
                <w:sz w:val="17"/>
              </w:rPr>
            </w:pPr>
            <w:r>
              <w:rPr>
                <w:color w:val="231F20"/>
                <w:w w:val="105"/>
                <w:sz w:val="17"/>
              </w:rPr>
              <w:t>12.4</w:t>
            </w:r>
          </w:p>
        </w:tc>
        <w:tc>
          <w:tcPr>
            <w:tcW w:w="516" w:type="dxa"/>
          </w:tcPr>
          <w:p>
            <w:pPr>
              <w:pStyle w:val="TableParagraph"/>
              <w:ind w:left="109" w:right="131"/>
              <w:rPr>
                <w:sz w:val="17"/>
              </w:rPr>
            </w:pPr>
            <w:r>
              <w:rPr>
                <w:color w:val="231F20"/>
                <w:w w:val="105"/>
                <w:sz w:val="17"/>
              </w:rPr>
              <w:t>8.3</w:t>
            </w:r>
          </w:p>
        </w:tc>
        <w:tc>
          <w:tcPr>
            <w:tcW w:w="540" w:type="dxa"/>
          </w:tcPr>
          <w:p>
            <w:pPr>
              <w:pStyle w:val="TableParagraph"/>
              <w:ind w:left="151"/>
              <w:jc w:val="left"/>
              <w:rPr>
                <w:sz w:val="17"/>
              </w:rPr>
            </w:pPr>
            <w:r>
              <w:rPr>
                <w:color w:val="231F20"/>
                <w:w w:val="105"/>
                <w:sz w:val="17"/>
              </w:rPr>
              <w:t>5.5</w:t>
            </w:r>
          </w:p>
        </w:tc>
        <w:tc>
          <w:tcPr>
            <w:tcW w:w="540" w:type="dxa"/>
          </w:tcPr>
          <w:p>
            <w:pPr>
              <w:pStyle w:val="TableParagraph"/>
              <w:ind w:left="83" w:right="83"/>
              <w:rPr>
                <w:sz w:val="17"/>
              </w:rPr>
            </w:pPr>
            <w:r>
              <w:rPr>
                <w:color w:val="231F20"/>
                <w:w w:val="105"/>
                <w:sz w:val="17"/>
              </w:rPr>
              <w:t>3.2</w:t>
            </w:r>
          </w:p>
        </w:tc>
        <w:tc>
          <w:tcPr>
            <w:tcW w:w="527" w:type="dxa"/>
          </w:tcPr>
          <w:p>
            <w:pPr>
              <w:pStyle w:val="TableParagraph"/>
              <w:ind w:left="131" w:right="119"/>
              <w:rPr>
                <w:sz w:val="17"/>
              </w:rPr>
            </w:pPr>
            <w:r>
              <w:rPr>
                <w:color w:val="231F20"/>
                <w:w w:val="105"/>
                <w:sz w:val="17"/>
              </w:rPr>
              <w:t>5.1</w:t>
            </w:r>
          </w:p>
        </w:tc>
        <w:tc>
          <w:tcPr>
            <w:tcW w:w="553" w:type="dxa"/>
          </w:tcPr>
          <w:p>
            <w:pPr>
              <w:pStyle w:val="TableParagraph"/>
              <w:ind w:left="138"/>
              <w:jc w:val="left"/>
              <w:rPr>
                <w:sz w:val="17"/>
              </w:rPr>
            </w:pPr>
            <w:r>
              <w:rPr>
                <w:color w:val="231F20"/>
                <w:sz w:val="17"/>
              </w:rPr>
              <w:t>100</w:t>
            </w:r>
          </w:p>
        </w:tc>
      </w:tr>
      <w:tr>
        <w:trPr>
          <w:trHeight w:val="210" w:hRule="exact"/>
        </w:trPr>
        <w:tc>
          <w:tcPr>
            <w:tcW w:w="1677" w:type="dxa"/>
          </w:tcPr>
          <w:p>
            <w:pPr>
              <w:pStyle w:val="TableParagraph"/>
              <w:ind w:left="35"/>
              <w:jc w:val="left"/>
              <w:rPr>
                <w:sz w:val="17"/>
              </w:rPr>
            </w:pPr>
            <w:r>
              <w:rPr>
                <w:color w:val="231F20"/>
                <w:w w:val="110"/>
                <w:sz w:val="17"/>
              </w:rPr>
              <w:t>Nayarit</w:t>
            </w:r>
          </w:p>
        </w:tc>
        <w:tc>
          <w:tcPr>
            <w:tcW w:w="582" w:type="dxa"/>
          </w:tcPr>
          <w:p>
            <w:pPr>
              <w:pStyle w:val="TableParagraph"/>
              <w:ind w:left="123" w:right="84"/>
              <w:rPr>
                <w:sz w:val="17"/>
              </w:rPr>
            </w:pPr>
            <w:r>
              <w:rPr>
                <w:color w:val="231F20"/>
                <w:w w:val="105"/>
                <w:sz w:val="17"/>
              </w:rPr>
              <w:t>16.5</w:t>
            </w:r>
          </w:p>
        </w:tc>
        <w:tc>
          <w:tcPr>
            <w:tcW w:w="541" w:type="dxa"/>
          </w:tcPr>
          <w:p>
            <w:pPr>
              <w:pStyle w:val="TableParagraph"/>
              <w:ind w:left="104"/>
              <w:jc w:val="left"/>
              <w:rPr>
                <w:sz w:val="17"/>
              </w:rPr>
            </w:pPr>
            <w:r>
              <w:rPr>
                <w:color w:val="231F20"/>
                <w:w w:val="105"/>
                <w:sz w:val="17"/>
              </w:rPr>
              <w:t>18.3</w:t>
            </w:r>
          </w:p>
        </w:tc>
        <w:tc>
          <w:tcPr>
            <w:tcW w:w="540" w:type="dxa"/>
          </w:tcPr>
          <w:p>
            <w:pPr>
              <w:pStyle w:val="TableParagraph"/>
              <w:ind w:left="83" w:right="83"/>
              <w:rPr>
                <w:sz w:val="17"/>
              </w:rPr>
            </w:pPr>
            <w:r>
              <w:rPr>
                <w:color w:val="231F20"/>
                <w:w w:val="105"/>
                <w:sz w:val="17"/>
              </w:rPr>
              <w:t>17.0</w:t>
            </w:r>
          </w:p>
        </w:tc>
        <w:tc>
          <w:tcPr>
            <w:tcW w:w="540" w:type="dxa"/>
          </w:tcPr>
          <w:p>
            <w:pPr>
              <w:pStyle w:val="TableParagraph"/>
              <w:ind w:right="101"/>
              <w:jc w:val="right"/>
              <w:rPr>
                <w:sz w:val="17"/>
              </w:rPr>
            </w:pPr>
            <w:r>
              <w:rPr>
                <w:color w:val="231F20"/>
                <w:sz w:val="17"/>
              </w:rPr>
              <w:t>15.0</w:t>
            </w:r>
          </w:p>
        </w:tc>
        <w:tc>
          <w:tcPr>
            <w:tcW w:w="564" w:type="dxa"/>
          </w:tcPr>
          <w:p>
            <w:pPr>
              <w:pStyle w:val="TableParagraph"/>
              <w:ind w:left="83" w:right="105"/>
              <w:rPr>
                <w:sz w:val="17"/>
              </w:rPr>
            </w:pPr>
            <w:r>
              <w:rPr>
                <w:color w:val="231F20"/>
                <w:w w:val="105"/>
                <w:sz w:val="17"/>
              </w:rPr>
              <w:t>12.0</w:t>
            </w:r>
          </w:p>
        </w:tc>
        <w:tc>
          <w:tcPr>
            <w:tcW w:w="516" w:type="dxa"/>
          </w:tcPr>
          <w:p>
            <w:pPr>
              <w:pStyle w:val="TableParagraph"/>
              <w:ind w:left="109" w:right="131"/>
              <w:rPr>
                <w:sz w:val="17"/>
              </w:rPr>
            </w:pPr>
            <w:r>
              <w:rPr>
                <w:color w:val="231F20"/>
                <w:w w:val="105"/>
                <w:sz w:val="17"/>
              </w:rPr>
              <w:t>8.6</w:t>
            </w:r>
          </w:p>
        </w:tc>
        <w:tc>
          <w:tcPr>
            <w:tcW w:w="540" w:type="dxa"/>
          </w:tcPr>
          <w:p>
            <w:pPr>
              <w:pStyle w:val="TableParagraph"/>
              <w:ind w:left="151"/>
              <w:jc w:val="left"/>
              <w:rPr>
                <w:sz w:val="17"/>
              </w:rPr>
            </w:pPr>
            <w:r>
              <w:rPr>
                <w:color w:val="231F20"/>
                <w:w w:val="105"/>
                <w:sz w:val="17"/>
              </w:rPr>
              <w:t>5.0</w:t>
            </w:r>
          </w:p>
        </w:tc>
        <w:tc>
          <w:tcPr>
            <w:tcW w:w="540" w:type="dxa"/>
          </w:tcPr>
          <w:p>
            <w:pPr>
              <w:pStyle w:val="TableParagraph"/>
              <w:ind w:left="83" w:right="83"/>
              <w:rPr>
                <w:sz w:val="17"/>
              </w:rPr>
            </w:pPr>
            <w:r>
              <w:rPr>
                <w:color w:val="231F20"/>
                <w:w w:val="105"/>
                <w:sz w:val="17"/>
              </w:rPr>
              <w:t>3.4</w:t>
            </w:r>
          </w:p>
        </w:tc>
        <w:tc>
          <w:tcPr>
            <w:tcW w:w="527" w:type="dxa"/>
          </w:tcPr>
          <w:p>
            <w:pPr>
              <w:pStyle w:val="TableParagraph"/>
              <w:ind w:left="131" w:right="119"/>
              <w:rPr>
                <w:sz w:val="17"/>
              </w:rPr>
            </w:pPr>
            <w:r>
              <w:rPr>
                <w:color w:val="231F20"/>
                <w:w w:val="105"/>
                <w:sz w:val="17"/>
              </w:rPr>
              <w:t>4.2</w:t>
            </w:r>
          </w:p>
        </w:tc>
        <w:tc>
          <w:tcPr>
            <w:tcW w:w="553" w:type="dxa"/>
          </w:tcPr>
          <w:p>
            <w:pPr>
              <w:pStyle w:val="TableParagraph"/>
              <w:ind w:left="138"/>
              <w:jc w:val="left"/>
              <w:rPr>
                <w:sz w:val="17"/>
              </w:rPr>
            </w:pPr>
            <w:r>
              <w:rPr>
                <w:color w:val="231F20"/>
                <w:sz w:val="17"/>
              </w:rPr>
              <w:t>100</w:t>
            </w:r>
          </w:p>
        </w:tc>
      </w:tr>
      <w:tr>
        <w:trPr>
          <w:trHeight w:val="210" w:hRule="exact"/>
        </w:trPr>
        <w:tc>
          <w:tcPr>
            <w:tcW w:w="1677" w:type="dxa"/>
          </w:tcPr>
          <w:p>
            <w:pPr>
              <w:pStyle w:val="TableParagraph"/>
              <w:ind w:left="35"/>
              <w:jc w:val="left"/>
              <w:rPr>
                <w:sz w:val="17"/>
              </w:rPr>
            </w:pPr>
            <w:r>
              <w:rPr>
                <w:color w:val="231F20"/>
                <w:w w:val="110"/>
                <w:sz w:val="17"/>
              </w:rPr>
              <w:t>Nuevo León</w:t>
            </w:r>
          </w:p>
        </w:tc>
        <w:tc>
          <w:tcPr>
            <w:tcW w:w="582" w:type="dxa"/>
          </w:tcPr>
          <w:p>
            <w:pPr>
              <w:pStyle w:val="TableParagraph"/>
              <w:ind w:left="123" w:right="84"/>
              <w:rPr>
                <w:sz w:val="17"/>
              </w:rPr>
            </w:pPr>
            <w:r>
              <w:rPr>
                <w:color w:val="231F20"/>
                <w:w w:val="105"/>
                <w:sz w:val="17"/>
              </w:rPr>
              <w:t>15.0</w:t>
            </w:r>
          </w:p>
        </w:tc>
        <w:tc>
          <w:tcPr>
            <w:tcW w:w="541" w:type="dxa"/>
          </w:tcPr>
          <w:p>
            <w:pPr>
              <w:pStyle w:val="TableParagraph"/>
              <w:ind w:left="104"/>
              <w:jc w:val="left"/>
              <w:rPr>
                <w:sz w:val="17"/>
              </w:rPr>
            </w:pPr>
            <w:r>
              <w:rPr>
                <w:color w:val="231F20"/>
                <w:w w:val="105"/>
                <w:sz w:val="17"/>
              </w:rPr>
              <w:t>19.4</w:t>
            </w:r>
          </w:p>
        </w:tc>
        <w:tc>
          <w:tcPr>
            <w:tcW w:w="540" w:type="dxa"/>
          </w:tcPr>
          <w:p>
            <w:pPr>
              <w:pStyle w:val="TableParagraph"/>
              <w:ind w:left="83" w:right="83"/>
              <w:rPr>
                <w:sz w:val="17"/>
              </w:rPr>
            </w:pPr>
            <w:r>
              <w:rPr>
                <w:color w:val="231F20"/>
                <w:w w:val="105"/>
                <w:sz w:val="17"/>
              </w:rPr>
              <w:t>18.2</w:t>
            </w:r>
          </w:p>
        </w:tc>
        <w:tc>
          <w:tcPr>
            <w:tcW w:w="540" w:type="dxa"/>
          </w:tcPr>
          <w:p>
            <w:pPr>
              <w:pStyle w:val="TableParagraph"/>
              <w:ind w:right="101"/>
              <w:jc w:val="right"/>
              <w:rPr>
                <w:sz w:val="17"/>
              </w:rPr>
            </w:pPr>
            <w:r>
              <w:rPr>
                <w:color w:val="231F20"/>
                <w:sz w:val="17"/>
              </w:rPr>
              <w:t>15.6</w:t>
            </w:r>
          </w:p>
        </w:tc>
        <w:tc>
          <w:tcPr>
            <w:tcW w:w="564" w:type="dxa"/>
          </w:tcPr>
          <w:p>
            <w:pPr>
              <w:pStyle w:val="TableParagraph"/>
              <w:ind w:left="83" w:right="105"/>
              <w:rPr>
                <w:sz w:val="17"/>
              </w:rPr>
            </w:pPr>
            <w:r>
              <w:rPr>
                <w:color w:val="231F20"/>
                <w:w w:val="105"/>
                <w:sz w:val="17"/>
              </w:rPr>
              <w:t>12.0</w:t>
            </w:r>
          </w:p>
        </w:tc>
        <w:tc>
          <w:tcPr>
            <w:tcW w:w="516" w:type="dxa"/>
          </w:tcPr>
          <w:p>
            <w:pPr>
              <w:pStyle w:val="TableParagraph"/>
              <w:ind w:left="109" w:right="131"/>
              <w:rPr>
                <w:sz w:val="17"/>
              </w:rPr>
            </w:pPr>
            <w:r>
              <w:rPr>
                <w:color w:val="231F20"/>
                <w:w w:val="105"/>
                <w:sz w:val="17"/>
              </w:rPr>
              <w:t>7.8</w:t>
            </w:r>
          </w:p>
        </w:tc>
        <w:tc>
          <w:tcPr>
            <w:tcW w:w="540" w:type="dxa"/>
          </w:tcPr>
          <w:p>
            <w:pPr>
              <w:pStyle w:val="TableParagraph"/>
              <w:ind w:left="151"/>
              <w:jc w:val="left"/>
              <w:rPr>
                <w:sz w:val="17"/>
              </w:rPr>
            </w:pPr>
            <w:r>
              <w:rPr>
                <w:color w:val="231F20"/>
                <w:w w:val="105"/>
                <w:sz w:val="17"/>
              </w:rPr>
              <w:t>4.9</w:t>
            </w:r>
          </w:p>
        </w:tc>
        <w:tc>
          <w:tcPr>
            <w:tcW w:w="540" w:type="dxa"/>
          </w:tcPr>
          <w:p>
            <w:pPr>
              <w:pStyle w:val="TableParagraph"/>
              <w:ind w:left="83" w:right="83"/>
              <w:rPr>
                <w:sz w:val="17"/>
              </w:rPr>
            </w:pPr>
            <w:r>
              <w:rPr>
                <w:color w:val="231F20"/>
                <w:w w:val="105"/>
                <w:sz w:val="17"/>
              </w:rPr>
              <w:t>3.0</w:t>
            </w:r>
          </w:p>
        </w:tc>
        <w:tc>
          <w:tcPr>
            <w:tcW w:w="527" w:type="dxa"/>
          </w:tcPr>
          <w:p>
            <w:pPr>
              <w:pStyle w:val="TableParagraph"/>
              <w:ind w:left="131" w:right="119"/>
              <w:rPr>
                <w:sz w:val="17"/>
              </w:rPr>
            </w:pPr>
            <w:r>
              <w:rPr>
                <w:color w:val="231F20"/>
                <w:w w:val="105"/>
                <w:sz w:val="17"/>
              </w:rPr>
              <w:t>4.2</w:t>
            </w:r>
          </w:p>
        </w:tc>
        <w:tc>
          <w:tcPr>
            <w:tcW w:w="553" w:type="dxa"/>
          </w:tcPr>
          <w:p>
            <w:pPr>
              <w:pStyle w:val="TableParagraph"/>
              <w:ind w:left="138"/>
              <w:jc w:val="left"/>
              <w:rPr>
                <w:sz w:val="17"/>
              </w:rPr>
            </w:pPr>
            <w:r>
              <w:rPr>
                <w:color w:val="231F20"/>
                <w:sz w:val="17"/>
              </w:rPr>
              <w:t>100</w:t>
            </w:r>
          </w:p>
        </w:tc>
      </w:tr>
      <w:tr>
        <w:trPr>
          <w:trHeight w:val="210" w:hRule="exact"/>
        </w:trPr>
        <w:tc>
          <w:tcPr>
            <w:tcW w:w="1677" w:type="dxa"/>
          </w:tcPr>
          <w:p>
            <w:pPr>
              <w:pStyle w:val="TableParagraph"/>
              <w:ind w:left="35"/>
              <w:jc w:val="left"/>
              <w:rPr>
                <w:sz w:val="17"/>
              </w:rPr>
            </w:pPr>
            <w:r>
              <w:rPr>
                <w:color w:val="231F20"/>
                <w:w w:val="115"/>
                <w:sz w:val="17"/>
              </w:rPr>
              <w:t>Oaxaca</w:t>
            </w:r>
          </w:p>
        </w:tc>
        <w:tc>
          <w:tcPr>
            <w:tcW w:w="582" w:type="dxa"/>
          </w:tcPr>
          <w:p>
            <w:pPr>
              <w:pStyle w:val="TableParagraph"/>
              <w:ind w:left="123" w:right="84"/>
              <w:rPr>
                <w:sz w:val="17"/>
              </w:rPr>
            </w:pPr>
            <w:r>
              <w:rPr>
                <w:color w:val="231F20"/>
                <w:w w:val="105"/>
                <w:sz w:val="17"/>
              </w:rPr>
              <w:t>16.1</w:t>
            </w:r>
          </w:p>
        </w:tc>
        <w:tc>
          <w:tcPr>
            <w:tcW w:w="541" w:type="dxa"/>
          </w:tcPr>
          <w:p>
            <w:pPr>
              <w:pStyle w:val="TableParagraph"/>
              <w:ind w:left="104"/>
              <w:jc w:val="left"/>
              <w:rPr>
                <w:sz w:val="17"/>
              </w:rPr>
            </w:pPr>
            <w:r>
              <w:rPr>
                <w:color w:val="231F20"/>
                <w:w w:val="105"/>
                <w:sz w:val="17"/>
              </w:rPr>
              <w:t>17.3</w:t>
            </w:r>
          </w:p>
        </w:tc>
        <w:tc>
          <w:tcPr>
            <w:tcW w:w="540" w:type="dxa"/>
          </w:tcPr>
          <w:p>
            <w:pPr>
              <w:pStyle w:val="TableParagraph"/>
              <w:ind w:left="83" w:right="83"/>
              <w:rPr>
                <w:sz w:val="17"/>
              </w:rPr>
            </w:pPr>
            <w:r>
              <w:rPr>
                <w:color w:val="231F20"/>
                <w:w w:val="105"/>
                <w:sz w:val="17"/>
              </w:rPr>
              <w:t>16.4</w:t>
            </w:r>
          </w:p>
        </w:tc>
        <w:tc>
          <w:tcPr>
            <w:tcW w:w="540" w:type="dxa"/>
          </w:tcPr>
          <w:p>
            <w:pPr>
              <w:pStyle w:val="TableParagraph"/>
              <w:ind w:right="101"/>
              <w:jc w:val="right"/>
              <w:rPr>
                <w:sz w:val="17"/>
              </w:rPr>
            </w:pPr>
            <w:r>
              <w:rPr>
                <w:color w:val="231F20"/>
                <w:sz w:val="17"/>
              </w:rPr>
              <w:t>14.9</w:t>
            </w:r>
          </w:p>
        </w:tc>
        <w:tc>
          <w:tcPr>
            <w:tcW w:w="564" w:type="dxa"/>
          </w:tcPr>
          <w:p>
            <w:pPr>
              <w:pStyle w:val="TableParagraph"/>
              <w:ind w:left="83" w:right="105"/>
              <w:rPr>
                <w:sz w:val="17"/>
              </w:rPr>
            </w:pPr>
            <w:r>
              <w:rPr>
                <w:color w:val="231F20"/>
                <w:w w:val="105"/>
                <w:sz w:val="17"/>
              </w:rPr>
              <w:t>11.9</w:t>
            </w:r>
          </w:p>
        </w:tc>
        <w:tc>
          <w:tcPr>
            <w:tcW w:w="516" w:type="dxa"/>
          </w:tcPr>
          <w:p>
            <w:pPr>
              <w:pStyle w:val="TableParagraph"/>
              <w:ind w:left="109" w:right="131"/>
              <w:rPr>
                <w:sz w:val="17"/>
              </w:rPr>
            </w:pPr>
            <w:r>
              <w:rPr>
                <w:color w:val="231F20"/>
                <w:w w:val="105"/>
                <w:sz w:val="17"/>
              </w:rPr>
              <w:t>8.8</w:t>
            </w:r>
          </w:p>
        </w:tc>
        <w:tc>
          <w:tcPr>
            <w:tcW w:w="540" w:type="dxa"/>
          </w:tcPr>
          <w:p>
            <w:pPr>
              <w:pStyle w:val="TableParagraph"/>
              <w:ind w:left="151"/>
              <w:jc w:val="left"/>
              <w:rPr>
                <w:sz w:val="17"/>
              </w:rPr>
            </w:pPr>
            <w:r>
              <w:rPr>
                <w:color w:val="231F20"/>
                <w:w w:val="105"/>
                <w:sz w:val="17"/>
              </w:rPr>
              <w:t>5.8</w:t>
            </w:r>
          </w:p>
        </w:tc>
        <w:tc>
          <w:tcPr>
            <w:tcW w:w="540" w:type="dxa"/>
          </w:tcPr>
          <w:p>
            <w:pPr>
              <w:pStyle w:val="TableParagraph"/>
              <w:ind w:left="83" w:right="83"/>
              <w:rPr>
                <w:sz w:val="17"/>
              </w:rPr>
            </w:pPr>
            <w:r>
              <w:rPr>
                <w:color w:val="231F20"/>
                <w:w w:val="105"/>
                <w:sz w:val="17"/>
              </w:rPr>
              <w:t>3.6</w:t>
            </w:r>
          </w:p>
        </w:tc>
        <w:tc>
          <w:tcPr>
            <w:tcW w:w="527" w:type="dxa"/>
          </w:tcPr>
          <w:p>
            <w:pPr>
              <w:pStyle w:val="TableParagraph"/>
              <w:ind w:left="131" w:right="119"/>
              <w:rPr>
                <w:sz w:val="17"/>
              </w:rPr>
            </w:pPr>
            <w:r>
              <w:rPr>
                <w:color w:val="231F20"/>
                <w:w w:val="105"/>
                <w:sz w:val="17"/>
              </w:rPr>
              <w:t>5.3</w:t>
            </w:r>
          </w:p>
        </w:tc>
        <w:tc>
          <w:tcPr>
            <w:tcW w:w="553" w:type="dxa"/>
          </w:tcPr>
          <w:p>
            <w:pPr>
              <w:pStyle w:val="TableParagraph"/>
              <w:ind w:left="138"/>
              <w:jc w:val="left"/>
              <w:rPr>
                <w:sz w:val="17"/>
              </w:rPr>
            </w:pPr>
            <w:r>
              <w:rPr>
                <w:color w:val="231F20"/>
                <w:sz w:val="17"/>
              </w:rPr>
              <w:t>100</w:t>
            </w:r>
          </w:p>
        </w:tc>
      </w:tr>
      <w:tr>
        <w:trPr>
          <w:trHeight w:val="210" w:hRule="exact"/>
        </w:trPr>
        <w:tc>
          <w:tcPr>
            <w:tcW w:w="1677" w:type="dxa"/>
          </w:tcPr>
          <w:p>
            <w:pPr>
              <w:pStyle w:val="TableParagraph"/>
              <w:ind w:left="35"/>
              <w:jc w:val="left"/>
              <w:rPr>
                <w:sz w:val="17"/>
              </w:rPr>
            </w:pPr>
            <w:r>
              <w:rPr>
                <w:color w:val="231F20"/>
                <w:w w:val="105"/>
                <w:sz w:val="17"/>
              </w:rPr>
              <w:t>Puebla</w:t>
            </w:r>
          </w:p>
        </w:tc>
        <w:tc>
          <w:tcPr>
            <w:tcW w:w="582" w:type="dxa"/>
          </w:tcPr>
          <w:p>
            <w:pPr>
              <w:pStyle w:val="TableParagraph"/>
              <w:ind w:left="123" w:right="84"/>
              <w:rPr>
                <w:sz w:val="17"/>
              </w:rPr>
            </w:pPr>
            <w:r>
              <w:rPr>
                <w:color w:val="231F20"/>
                <w:w w:val="105"/>
                <w:sz w:val="17"/>
              </w:rPr>
              <w:t>13.0</w:t>
            </w:r>
          </w:p>
        </w:tc>
        <w:tc>
          <w:tcPr>
            <w:tcW w:w="541" w:type="dxa"/>
          </w:tcPr>
          <w:p>
            <w:pPr>
              <w:pStyle w:val="TableParagraph"/>
              <w:ind w:left="104"/>
              <w:jc w:val="left"/>
              <w:rPr>
                <w:sz w:val="17"/>
              </w:rPr>
            </w:pPr>
            <w:r>
              <w:rPr>
                <w:color w:val="231F20"/>
                <w:w w:val="105"/>
                <w:sz w:val="17"/>
              </w:rPr>
              <w:t>16.4</w:t>
            </w:r>
          </w:p>
        </w:tc>
        <w:tc>
          <w:tcPr>
            <w:tcW w:w="540" w:type="dxa"/>
          </w:tcPr>
          <w:p>
            <w:pPr>
              <w:pStyle w:val="TableParagraph"/>
              <w:ind w:left="83" w:right="83"/>
              <w:rPr>
                <w:sz w:val="17"/>
              </w:rPr>
            </w:pPr>
            <w:r>
              <w:rPr>
                <w:color w:val="231F20"/>
                <w:w w:val="105"/>
                <w:sz w:val="17"/>
              </w:rPr>
              <w:t>16.7</w:t>
            </w:r>
          </w:p>
        </w:tc>
        <w:tc>
          <w:tcPr>
            <w:tcW w:w="540" w:type="dxa"/>
          </w:tcPr>
          <w:p>
            <w:pPr>
              <w:pStyle w:val="TableParagraph"/>
              <w:ind w:right="101"/>
              <w:jc w:val="right"/>
              <w:rPr>
                <w:sz w:val="17"/>
              </w:rPr>
            </w:pPr>
            <w:r>
              <w:rPr>
                <w:color w:val="231F20"/>
                <w:sz w:val="17"/>
              </w:rPr>
              <w:t>15.0</w:t>
            </w:r>
          </w:p>
        </w:tc>
        <w:tc>
          <w:tcPr>
            <w:tcW w:w="564" w:type="dxa"/>
          </w:tcPr>
          <w:p>
            <w:pPr>
              <w:pStyle w:val="TableParagraph"/>
              <w:ind w:left="83" w:right="105"/>
              <w:rPr>
                <w:sz w:val="17"/>
              </w:rPr>
            </w:pPr>
            <w:r>
              <w:rPr>
                <w:color w:val="231F20"/>
                <w:w w:val="105"/>
                <w:sz w:val="17"/>
              </w:rPr>
              <w:t>12.3</w:t>
            </w:r>
          </w:p>
        </w:tc>
        <w:tc>
          <w:tcPr>
            <w:tcW w:w="516" w:type="dxa"/>
          </w:tcPr>
          <w:p>
            <w:pPr>
              <w:pStyle w:val="TableParagraph"/>
              <w:ind w:left="109" w:right="131"/>
              <w:rPr>
                <w:sz w:val="17"/>
              </w:rPr>
            </w:pPr>
            <w:r>
              <w:rPr>
                <w:color w:val="231F20"/>
                <w:w w:val="105"/>
                <w:sz w:val="17"/>
              </w:rPr>
              <w:t>9.1</w:t>
            </w:r>
          </w:p>
        </w:tc>
        <w:tc>
          <w:tcPr>
            <w:tcW w:w="540" w:type="dxa"/>
          </w:tcPr>
          <w:p>
            <w:pPr>
              <w:pStyle w:val="TableParagraph"/>
              <w:ind w:left="151"/>
              <w:jc w:val="left"/>
              <w:rPr>
                <w:sz w:val="17"/>
              </w:rPr>
            </w:pPr>
            <w:r>
              <w:rPr>
                <w:color w:val="231F20"/>
                <w:w w:val="105"/>
                <w:sz w:val="17"/>
              </w:rPr>
              <w:t>6.3</w:t>
            </w:r>
          </w:p>
        </w:tc>
        <w:tc>
          <w:tcPr>
            <w:tcW w:w="540" w:type="dxa"/>
          </w:tcPr>
          <w:p>
            <w:pPr>
              <w:pStyle w:val="TableParagraph"/>
              <w:ind w:left="83" w:right="83"/>
              <w:rPr>
                <w:sz w:val="17"/>
              </w:rPr>
            </w:pPr>
            <w:r>
              <w:rPr>
                <w:color w:val="231F20"/>
                <w:w w:val="105"/>
                <w:sz w:val="17"/>
              </w:rPr>
              <w:t>4.3</w:t>
            </w:r>
          </w:p>
        </w:tc>
        <w:tc>
          <w:tcPr>
            <w:tcW w:w="527" w:type="dxa"/>
          </w:tcPr>
          <w:p>
            <w:pPr>
              <w:pStyle w:val="TableParagraph"/>
              <w:ind w:left="131" w:right="119"/>
              <w:rPr>
                <w:sz w:val="17"/>
              </w:rPr>
            </w:pPr>
            <w:r>
              <w:rPr>
                <w:color w:val="231F20"/>
                <w:w w:val="105"/>
                <w:sz w:val="17"/>
              </w:rPr>
              <w:t>6.9</w:t>
            </w:r>
          </w:p>
        </w:tc>
        <w:tc>
          <w:tcPr>
            <w:tcW w:w="553" w:type="dxa"/>
          </w:tcPr>
          <w:p>
            <w:pPr>
              <w:pStyle w:val="TableParagraph"/>
              <w:ind w:left="138"/>
              <w:jc w:val="left"/>
              <w:rPr>
                <w:sz w:val="17"/>
              </w:rPr>
            </w:pPr>
            <w:r>
              <w:rPr>
                <w:color w:val="231F20"/>
                <w:sz w:val="17"/>
              </w:rPr>
              <w:t>100</w:t>
            </w:r>
          </w:p>
        </w:tc>
      </w:tr>
      <w:tr>
        <w:trPr>
          <w:trHeight w:val="210" w:hRule="exact"/>
        </w:trPr>
        <w:tc>
          <w:tcPr>
            <w:tcW w:w="1677" w:type="dxa"/>
          </w:tcPr>
          <w:p>
            <w:pPr>
              <w:pStyle w:val="TableParagraph"/>
              <w:ind w:left="35"/>
              <w:jc w:val="left"/>
              <w:rPr>
                <w:sz w:val="17"/>
              </w:rPr>
            </w:pPr>
            <w:r>
              <w:rPr>
                <w:color w:val="231F20"/>
                <w:w w:val="110"/>
                <w:sz w:val="17"/>
              </w:rPr>
              <w:t>Querétaro</w:t>
            </w:r>
          </w:p>
        </w:tc>
        <w:tc>
          <w:tcPr>
            <w:tcW w:w="582" w:type="dxa"/>
          </w:tcPr>
          <w:p>
            <w:pPr>
              <w:pStyle w:val="TableParagraph"/>
              <w:ind w:left="123" w:right="84"/>
              <w:rPr>
                <w:sz w:val="17"/>
              </w:rPr>
            </w:pPr>
            <w:r>
              <w:rPr>
                <w:color w:val="231F20"/>
                <w:w w:val="105"/>
                <w:sz w:val="17"/>
              </w:rPr>
              <w:t>12.4</w:t>
            </w:r>
          </w:p>
        </w:tc>
        <w:tc>
          <w:tcPr>
            <w:tcW w:w="541" w:type="dxa"/>
          </w:tcPr>
          <w:p>
            <w:pPr>
              <w:pStyle w:val="TableParagraph"/>
              <w:ind w:left="104"/>
              <w:jc w:val="left"/>
              <w:rPr>
                <w:sz w:val="17"/>
              </w:rPr>
            </w:pPr>
            <w:r>
              <w:rPr>
                <w:color w:val="231F20"/>
                <w:w w:val="105"/>
                <w:sz w:val="17"/>
              </w:rPr>
              <w:t>16.6</w:t>
            </w:r>
          </w:p>
        </w:tc>
        <w:tc>
          <w:tcPr>
            <w:tcW w:w="540" w:type="dxa"/>
          </w:tcPr>
          <w:p>
            <w:pPr>
              <w:pStyle w:val="TableParagraph"/>
              <w:ind w:left="83" w:right="83"/>
              <w:rPr>
                <w:sz w:val="17"/>
              </w:rPr>
            </w:pPr>
            <w:r>
              <w:rPr>
                <w:color w:val="231F20"/>
                <w:w w:val="105"/>
                <w:sz w:val="17"/>
              </w:rPr>
              <w:t>16.8</w:t>
            </w:r>
          </w:p>
        </w:tc>
        <w:tc>
          <w:tcPr>
            <w:tcW w:w="540" w:type="dxa"/>
          </w:tcPr>
          <w:p>
            <w:pPr>
              <w:pStyle w:val="TableParagraph"/>
              <w:ind w:right="101"/>
              <w:jc w:val="right"/>
              <w:rPr>
                <w:sz w:val="17"/>
              </w:rPr>
            </w:pPr>
            <w:r>
              <w:rPr>
                <w:color w:val="231F20"/>
                <w:sz w:val="17"/>
              </w:rPr>
              <w:t>15.0</w:t>
            </w:r>
          </w:p>
        </w:tc>
        <w:tc>
          <w:tcPr>
            <w:tcW w:w="564" w:type="dxa"/>
          </w:tcPr>
          <w:p>
            <w:pPr>
              <w:pStyle w:val="TableParagraph"/>
              <w:ind w:left="83" w:right="105"/>
              <w:rPr>
                <w:sz w:val="17"/>
              </w:rPr>
            </w:pPr>
            <w:r>
              <w:rPr>
                <w:color w:val="231F20"/>
                <w:w w:val="105"/>
                <w:sz w:val="17"/>
              </w:rPr>
              <w:t>12.0</w:t>
            </w:r>
          </w:p>
        </w:tc>
        <w:tc>
          <w:tcPr>
            <w:tcW w:w="516" w:type="dxa"/>
          </w:tcPr>
          <w:p>
            <w:pPr>
              <w:pStyle w:val="TableParagraph"/>
              <w:ind w:left="109" w:right="131"/>
              <w:rPr>
                <w:sz w:val="17"/>
              </w:rPr>
            </w:pPr>
            <w:r>
              <w:rPr>
                <w:color w:val="231F20"/>
                <w:w w:val="105"/>
                <w:sz w:val="17"/>
              </w:rPr>
              <w:t>8.9</w:t>
            </w:r>
          </w:p>
        </w:tc>
        <w:tc>
          <w:tcPr>
            <w:tcW w:w="540" w:type="dxa"/>
          </w:tcPr>
          <w:p>
            <w:pPr>
              <w:pStyle w:val="TableParagraph"/>
              <w:ind w:left="151"/>
              <w:jc w:val="left"/>
              <w:rPr>
                <w:sz w:val="17"/>
              </w:rPr>
            </w:pPr>
            <w:r>
              <w:rPr>
                <w:color w:val="231F20"/>
                <w:w w:val="105"/>
                <w:sz w:val="17"/>
              </w:rPr>
              <w:t>6.2</w:t>
            </w:r>
          </w:p>
        </w:tc>
        <w:tc>
          <w:tcPr>
            <w:tcW w:w="540" w:type="dxa"/>
          </w:tcPr>
          <w:p>
            <w:pPr>
              <w:pStyle w:val="TableParagraph"/>
              <w:ind w:left="83" w:right="83"/>
              <w:rPr>
                <w:sz w:val="17"/>
              </w:rPr>
            </w:pPr>
            <w:r>
              <w:rPr>
                <w:color w:val="231F20"/>
                <w:w w:val="105"/>
                <w:sz w:val="17"/>
              </w:rPr>
              <w:t>4.5</w:t>
            </w:r>
          </w:p>
        </w:tc>
        <w:tc>
          <w:tcPr>
            <w:tcW w:w="527" w:type="dxa"/>
          </w:tcPr>
          <w:p>
            <w:pPr>
              <w:pStyle w:val="TableParagraph"/>
              <w:ind w:left="131" w:right="119"/>
              <w:rPr>
                <w:sz w:val="17"/>
              </w:rPr>
            </w:pPr>
            <w:r>
              <w:rPr>
                <w:color w:val="231F20"/>
                <w:w w:val="105"/>
                <w:sz w:val="17"/>
              </w:rPr>
              <w:t>7.6</w:t>
            </w:r>
          </w:p>
        </w:tc>
        <w:tc>
          <w:tcPr>
            <w:tcW w:w="553" w:type="dxa"/>
          </w:tcPr>
          <w:p>
            <w:pPr>
              <w:pStyle w:val="TableParagraph"/>
              <w:ind w:left="138"/>
              <w:jc w:val="left"/>
              <w:rPr>
                <w:sz w:val="17"/>
              </w:rPr>
            </w:pPr>
            <w:r>
              <w:rPr>
                <w:color w:val="231F20"/>
                <w:sz w:val="17"/>
              </w:rPr>
              <w:t>100</w:t>
            </w:r>
          </w:p>
        </w:tc>
      </w:tr>
      <w:tr>
        <w:trPr>
          <w:trHeight w:val="210" w:hRule="exact"/>
        </w:trPr>
        <w:tc>
          <w:tcPr>
            <w:tcW w:w="1677" w:type="dxa"/>
          </w:tcPr>
          <w:p>
            <w:pPr>
              <w:pStyle w:val="TableParagraph"/>
              <w:ind w:left="35"/>
              <w:jc w:val="left"/>
              <w:rPr>
                <w:sz w:val="17"/>
              </w:rPr>
            </w:pPr>
            <w:r>
              <w:rPr>
                <w:color w:val="231F20"/>
                <w:w w:val="110"/>
                <w:sz w:val="17"/>
              </w:rPr>
              <w:t>Quintana Roo</w:t>
            </w:r>
          </w:p>
        </w:tc>
        <w:tc>
          <w:tcPr>
            <w:tcW w:w="582" w:type="dxa"/>
          </w:tcPr>
          <w:p>
            <w:pPr>
              <w:pStyle w:val="TableParagraph"/>
              <w:ind w:left="123" w:right="84"/>
              <w:rPr>
                <w:sz w:val="17"/>
              </w:rPr>
            </w:pPr>
            <w:r>
              <w:rPr>
                <w:color w:val="231F20"/>
                <w:w w:val="105"/>
                <w:sz w:val="17"/>
              </w:rPr>
              <w:t>11.0</w:t>
            </w:r>
          </w:p>
        </w:tc>
        <w:tc>
          <w:tcPr>
            <w:tcW w:w="541" w:type="dxa"/>
          </w:tcPr>
          <w:p>
            <w:pPr>
              <w:pStyle w:val="TableParagraph"/>
              <w:ind w:left="104"/>
              <w:jc w:val="left"/>
              <w:rPr>
                <w:sz w:val="17"/>
              </w:rPr>
            </w:pPr>
            <w:r>
              <w:rPr>
                <w:color w:val="231F20"/>
                <w:w w:val="105"/>
                <w:sz w:val="17"/>
              </w:rPr>
              <w:t>17.8</w:t>
            </w:r>
          </w:p>
        </w:tc>
        <w:tc>
          <w:tcPr>
            <w:tcW w:w="540" w:type="dxa"/>
          </w:tcPr>
          <w:p>
            <w:pPr>
              <w:pStyle w:val="TableParagraph"/>
              <w:ind w:left="83" w:right="83"/>
              <w:rPr>
                <w:sz w:val="17"/>
              </w:rPr>
            </w:pPr>
            <w:r>
              <w:rPr>
                <w:color w:val="231F20"/>
                <w:w w:val="105"/>
                <w:sz w:val="17"/>
              </w:rPr>
              <w:t>19.8</w:t>
            </w:r>
          </w:p>
        </w:tc>
        <w:tc>
          <w:tcPr>
            <w:tcW w:w="540" w:type="dxa"/>
          </w:tcPr>
          <w:p>
            <w:pPr>
              <w:pStyle w:val="TableParagraph"/>
              <w:ind w:right="101"/>
              <w:jc w:val="right"/>
              <w:rPr>
                <w:sz w:val="17"/>
              </w:rPr>
            </w:pPr>
            <w:r>
              <w:rPr>
                <w:color w:val="231F20"/>
                <w:sz w:val="17"/>
              </w:rPr>
              <w:t>17.5</w:t>
            </w:r>
          </w:p>
        </w:tc>
        <w:tc>
          <w:tcPr>
            <w:tcW w:w="564" w:type="dxa"/>
          </w:tcPr>
          <w:p>
            <w:pPr>
              <w:pStyle w:val="TableParagraph"/>
              <w:ind w:left="83" w:right="105"/>
              <w:rPr>
                <w:sz w:val="17"/>
              </w:rPr>
            </w:pPr>
            <w:r>
              <w:rPr>
                <w:color w:val="231F20"/>
                <w:w w:val="105"/>
                <w:sz w:val="17"/>
              </w:rPr>
              <w:t>12.4</w:t>
            </w:r>
          </w:p>
        </w:tc>
        <w:tc>
          <w:tcPr>
            <w:tcW w:w="516" w:type="dxa"/>
          </w:tcPr>
          <w:p>
            <w:pPr>
              <w:pStyle w:val="TableParagraph"/>
              <w:ind w:left="109" w:right="131"/>
              <w:rPr>
                <w:sz w:val="17"/>
              </w:rPr>
            </w:pPr>
            <w:r>
              <w:rPr>
                <w:color w:val="231F20"/>
                <w:w w:val="105"/>
                <w:sz w:val="17"/>
              </w:rPr>
              <w:t>8.1</w:t>
            </w:r>
          </w:p>
        </w:tc>
        <w:tc>
          <w:tcPr>
            <w:tcW w:w="540" w:type="dxa"/>
          </w:tcPr>
          <w:p>
            <w:pPr>
              <w:pStyle w:val="TableParagraph"/>
              <w:ind w:left="151"/>
              <w:jc w:val="left"/>
              <w:rPr>
                <w:sz w:val="17"/>
              </w:rPr>
            </w:pPr>
            <w:r>
              <w:rPr>
                <w:color w:val="231F20"/>
                <w:w w:val="105"/>
                <w:sz w:val="17"/>
              </w:rPr>
              <w:t>5.6</w:t>
            </w:r>
          </w:p>
        </w:tc>
        <w:tc>
          <w:tcPr>
            <w:tcW w:w="540" w:type="dxa"/>
          </w:tcPr>
          <w:p>
            <w:pPr>
              <w:pStyle w:val="TableParagraph"/>
              <w:ind w:left="83" w:right="83"/>
              <w:rPr>
                <w:sz w:val="17"/>
              </w:rPr>
            </w:pPr>
            <w:r>
              <w:rPr>
                <w:color w:val="231F20"/>
                <w:w w:val="105"/>
                <w:sz w:val="17"/>
              </w:rPr>
              <w:t>2.9</w:t>
            </w:r>
          </w:p>
        </w:tc>
        <w:tc>
          <w:tcPr>
            <w:tcW w:w="527" w:type="dxa"/>
          </w:tcPr>
          <w:p>
            <w:pPr>
              <w:pStyle w:val="TableParagraph"/>
              <w:ind w:left="131" w:right="119"/>
              <w:rPr>
                <w:sz w:val="17"/>
              </w:rPr>
            </w:pPr>
            <w:r>
              <w:rPr>
                <w:color w:val="231F20"/>
                <w:w w:val="105"/>
                <w:sz w:val="17"/>
              </w:rPr>
              <w:t>4.7</w:t>
            </w:r>
          </w:p>
        </w:tc>
        <w:tc>
          <w:tcPr>
            <w:tcW w:w="553" w:type="dxa"/>
          </w:tcPr>
          <w:p>
            <w:pPr>
              <w:pStyle w:val="TableParagraph"/>
              <w:ind w:left="138"/>
              <w:jc w:val="left"/>
              <w:rPr>
                <w:sz w:val="17"/>
              </w:rPr>
            </w:pPr>
            <w:r>
              <w:rPr>
                <w:color w:val="231F20"/>
                <w:sz w:val="17"/>
              </w:rPr>
              <w:t>100</w:t>
            </w:r>
          </w:p>
        </w:tc>
      </w:tr>
      <w:tr>
        <w:trPr>
          <w:trHeight w:val="210" w:hRule="exact"/>
        </w:trPr>
        <w:tc>
          <w:tcPr>
            <w:tcW w:w="1677" w:type="dxa"/>
          </w:tcPr>
          <w:p>
            <w:pPr>
              <w:pStyle w:val="TableParagraph"/>
              <w:ind w:left="35"/>
              <w:jc w:val="left"/>
              <w:rPr>
                <w:sz w:val="17"/>
              </w:rPr>
            </w:pPr>
            <w:r>
              <w:rPr>
                <w:color w:val="231F20"/>
                <w:w w:val="110"/>
                <w:sz w:val="17"/>
              </w:rPr>
              <w:t>San Luis Potosí</w:t>
            </w:r>
          </w:p>
        </w:tc>
        <w:tc>
          <w:tcPr>
            <w:tcW w:w="582" w:type="dxa"/>
          </w:tcPr>
          <w:p>
            <w:pPr>
              <w:pStyle w:val="TableParagraph"/>
              <w:ind w:left="123" w:right="84"/>
              <w:rPr>
                <w:sz w:val="17"/>
              </w:rPr>
            </w:pPr>
            <w:r>
              <w:rPr>
                <w:color w:val="231F20"/>
                <w:w w:val="105"/>
                <w:sz w:val="17"/>
              </w:rPr>
              <w:t>12.8</w:t>
            </w:r>
          </w:p>
        </w:tc>
        <w:tc>
          <w:tcPr>
            <w:tcW w:w="541" w:type="dxa"/>
          </w:tcPr>
          <w:p>
            <w:pPr>
              <w:pStyle w:val="TableParagraph"/>
              <w:ind w:left="104"/>
              <w:jc w:val="left"/>
              <w:rPr>
                <w:sz w:val="17"/>
              </w:rPr>
            </w:pPr>
            <w:r>
              <w:rPr>
                <w:color w:val="231F20"/>
                <w:w w:val="105"/>
                <w:sz w:val="17"/>
              </w:rPr>
              <w:t>16.9</w:t>
            </w:r>
          </w:p>
        </w:tc>
        <w:tc>
          <w:tcPr>
            <w:tcW w:w="540" w:type="dxa"/>
          </w:tcPr>
          <w:p>
            <w:pPr>
              <w:pStyle w:val="TableParagraph"/>
              <w:ind w:left="83" w:right="83"/>
              <w:rPr>
                <w:sz w:val="17"/>
              </w:rPr>
            </w:pPr>
            <w:r>
              <w:rPr>
                <w:color w:val="231F20"/>
                <w:w w:val="105"/>
                <w:sz w:val="17"/>
              </w:rPr>
              <w:t>16.8</w:t>
            </w:r>
          </w:p>
        </w:tc>
        <w:tc>
          <w:tcPr>
            <w:tcW w:w="540" w:type="dxa"/>
          </w:tcPr>
          <w:p>
            <w:pPr>
              <w:pStyle w:val="TableParagraph"/>
              <w:ind w:right="101"/>
              <w:jc w:val="right"/>
              <w:rPr>
                <w:sz w:val="17"/>
              </w:rPr>
            </w:pPr>
            <w:r>
              <w:rPr>
                <w:color w:val="231F20"/>
                <w:sz w:val="17"/>
              </w:rPr>
              <w:t>15.1</w:t>
            </w:r>
          </w:p>
        </w:tc>
        <w:tc>
          <w:tcPr>
            <w:tcW w:w="564" w:type="dxa"/>
          </w:tcPr>
          <w:p>
            <w:pPr>
              <w:pStyle w:val="TableParagraph"/>
              <w:ind w:left="83" w:right="105"/>
              <w:rPr>
                <w:sz w:val="17"/>
              </w:rPr>
            </w:pPr>
            <w:r>
              <w:rPr>
                <w:color w:val="231F20"/>
                <w:w w:val="105"/>
                <w:sz w:val="17"/>
              </w:rPr>
              <w:t>12.3</w:t>
            </w:r>
          </w:p>
        </w:tc>
        <w:tc>
          <w:tcPr>
            <w:tcW w:w="516" w:type="dxa"/>
          </w:tcPr>
          <w:p>
            <w:pPr>
              <w:pStyle w:val="TableParagraph"/>
              <w:ind w:left="109" w:right="131"/>
              <w:rPr>
                <w:sz w:val="17"/>
              </w:rPr>
            </w:pPr>
            <w:r>
              <w:rPr>
                <w:color w:val="231F20"/>
                <w:w w:val="105"/>
                <w:sz w:val="17"/>
              </w:rPr>
              <w:t>9.2</w:t>
            </w:r>
          </w:p>
        </w:tc>
        <w:tc>
          <w:tcPr>
            <w:tcW w:w="540" w:type="dxa"/>
          </w:tcPr>
          <w:p>
            <w:pPr>
              <w:pStyle w:val="TableParagraph"/>
              <w:ind w:left="151"/>
              <w:jc w:val="left"/>
              <w:rPr>
                <w:sz w:val="17"/>
              </w:rPr>
            </w:pPr>
            <w:r>
              <w:rPr>
                <w:color w:val="231F20"/>
                <w:w w:val="105"/>
                <w:sz w:val="17"/>
              </w:rPr>
              <w:t>6.4</w:t>
            </w:r>
          </w:p>
        </w:tc>
        <w:tc>
          <w:tcPr>
            <w:tcW w:w="540" w:type="dxa"/>
          </w:tcPr>
          <w:p>
            <w:pPr>
              <w:pStyle w:val="TableParagraph"/>
              <w:ind w:left="83" w:right="83"/>
              <w:rPr>
                <w:sz w:val="17"/>
              </w:rPr>
            </w:pPr>
            <w:r>
              <w:rPr>
                <w:color w:val="231F20"/>
                <w:w w:val="105"/>
                <w:sz w:val="17"/>
              </w:rPr>
              <w:t>4.0</w:t>
            </w:r>
          </w:p>
        </w:tc>
        <w:tc>
          <w:tcPr>
            <w:tcW w:w="527" w:type="dxa"/>
          </w:tcPr>
          <w:p>
            <w:pPr>
              <w:pStyle w:val="TableParagraph"/>
              <w:ind w:left="131" w:right="119"/>
              <w:rPr>
                <w:sz w:val="17"/>
              </w:rPr>
            </w:pPr>
            <w:r>
              <w:rPr>
                <w:color w:val="231F20"/>
                <w:w w:val="105"/>
                <w:sz w:val="17"/>
              </w:rPr>
              <w:t>6.4</w:t>
            </w:r>
          </w:p>
        </w:tc>
        <w:tc>
          <w:tcPr>
            <w:tcW w:w="553" w:type="dxa"/>
          </w:tcPr>
          <w:p>
            <w:pPr>
              <w:pStyle w:val="TableParagraph"/>
              <w:ind w:left="138"/>
              <w:jc w:val="left"/>
              <w:rPr>
                <w:sz w:val="17"/>
              </w:rPr>
            </w:pPr>
            <w:r>
              <w:rPr>
                <w:color w:val="231F20"/>
                <w:sz w:val="17"/>
              </w:rPr>
              <w:t>100</w:t>
            </w:r>
          </w:p>
        </w:tc>
      </w:tr>
      <w:tr>
        <w:trPr>
          <w:trHeight w:val="210" w:hRule="exact"/>
        </w:trPr>
        <w:tc>
          <w:tcPr>
            <w:tcW w:w="1677" w:type="dxa"/>
          </w:tcPr>
          <w:p>
            <w:pPr>
              <w:pStyle w:val="TableParagraph"/>
              <w:ind w:left="35"/>
              <w:jc w:val="left"/>
              <w:rPr>
                <w:sz w:val="17"/>
              </w:rPr>
            </w:pPr>
            <w:r>
              <w:rPr>
                <w:color w:val="231F20"/>
                <w:w w:val="110"/>
                <w:sz w:val="17"/>
              </w:rPr>
              <w:t>Sinaloa</w:t>
            </w:r>
          </w:p>
        </w:tc>
        <w:tc>
          <w:tcPr>
            <w:tcW w:w="582" w:type="dxa"/>
          </w:tcPr>
          <w:p>
            <w:pPr>
              <w:pStyle w:val="TableParagraph"/>
              <w:ind w:left="123" w:right="84"/>
              <w:rPr>
                <w:sz w:val="17"/>
              </w:rPr>
            </w:pPr>
            <w:r>
              <w:rPr>
                <w:color w:val="231F20"/>
                <w:w w:val="105"/>
                <w:sz w:val="17"/>
              </w:rPr>
              <w:t>10.6</w:t>
            </w:r>
          </w:p>
        </w:tc>
        <w:tc>
          <w:tcPr>
            <w:tcW w:w="541" w:type="dxa"/>
          </w:tcPr>
          <w:p>
            <w:pPr>
              <w:pStyle w:val="TableParagraph"/>
              <w:ind w:left="104"/>
              <w:jc w:val="left"/>
              <w:rPr>
                <w:sz w:val="17"/>
              </w:rPr>
            </w:pPr>
            <w:r>
              <w:rPr>
                <w:color w:val="231F20"/>
                <w:w w:val="105"/>
                <w:sz w:val="17"/>
              </w:rPr>
              <w:t>15.4</w:t>
            </w:r>
          </w:p>
        </w:tc>
        <w:tc>
          <w:tcPr>
            <w:tcW w:w="540" w:type="dxa"/>
          </w:tcPr>
          <w:p>
            <w:pPr>
              <w:pStyle w:val="TableParagraph"/>
              <w:ind w:left="83" w:right="83"/>
              <w:rPr>
                <w:sz w:val="17"/>
              </w:rPr>
            </w:pPr>
            <w:r>
              <w:rPr>
                <w:color w:val="231F20"/>
                <w:w w:val="105"/>
                <w:sz w:val="17"/>
              </w:rPr>
              <w:t>16.7</w:t>
            </w:r>
          </w:p>
        </w:tc>
        <w:tc>
          <w:tcPr>
            <w:tcW w:w="540" w:type="dxa"/>
          </w:tcPr>
          <w:p>
            <w:pPr>
              <w:pStyle w:val="TableParagraph"/>
              <w:ind w:right="101"/>
              <w:jc w:val="right"/>
              <w:rPr>
                <w:sz w:val="17"/>
              </w:rPr>
            </w:pPr>
            <w:r>
              <w:rPr>
                <w:color w:val="231F20"/>
                <w:sz w:val="17"/>
              </w:rPr>
              <w:t>15.9</w:t>
            </w:r>
          </w:p>
        </w:tc>
        <w:tc>
          <w:tcPr>
            <w:tcW w:w="564" w:type="dxa"/>
          </w:tcPr>
          <w:p>
            <w:pPr>
              <w:pStyle w:val="TableParagraph"/>
              <w:ind w:left="83" w:right="105"/>
              <w:rPr>
                <w:sz w:val="17"/>
              </w:rPr>
            </w:pPr>
            <w:r>
              <w:rPr>
                <w:color w:val="231F20"/>
                <w:w w:val="105"/>
                <w:sz w:val="17"/>
              </w:rPr>
              <w:t>13.7</w:t>
            </w:r>
          </w:p>
        </w:tc>
        <w:tc>
          <w:tcPr>
            <w:tcW w:w="516" w:type="dxa"/>
          </w:tcPr>
          <w:p>
            <w:pPr>
              <w:pStyle w:val="TableParagraph"/>
              <w:ind w:left="109" w:right="131"/>
              <w:rPr>
                <w:sz w:val="17"/>
              </w:rPr>
            </w:pPr>
            <w:r>
              <w:rPr>
                <w:color w:val="231F20"/>
                <w:w w:val="105"/>
                <w:sz w:val="17"/>
              </w:rPr>
              <w:t>9.8</w:t>
            </w:r>
          </w:p>
        </w:tc>
        <w:tc>
          <w:tcPr>
            <w:tcW w:w="540" w:type="dxa"/>
          </w:tcPr>
          <w:p>
            <w:pPr>
              <w:pStyle w:val="TableParagraph"/>
              <w:ind w:left="151"/>
              <w:jc w:val="left"/>
              <w:rPr>
                <w:sz w:val="17"/>
              </w:rPr>
            </w:pPr>
            <w:r>
              <w:rPr>
                <w:color w:val="231F20"/>
                <w:w w:val="105"/>
                <w:sz w:val="17"/>
              </w:rPr>
              <w:t>6.7</w:t>
            </w:r>
          </w:p>
        </w:tc>
        <w:tc>
          <w:tcPr>
            <w:tcW w:w="540" w:type="dxa"/>
          </w:tcPr>
          <w:p>
            <w:pPr>
              <w:pStyle w:val="TableParagraph"/>
              <w:ind w:left="83" w:right="83"/>
              <w:rPr>
                <w:sz w:val="17"/>
              </w:rPr>
            </w:pPr>
            <w:r>
              <w:rPr>
                <w:color w:val="231F20"/>
                <w:w w:val="105"/>
                <w:sz w:val="17"/>
              </w:rPr>
              <w:t>4.2</w:t>
            </w:r>
          </w:p>
        </w:tc>
        <w:tc>
          <w:tcPr>
            <w:tcW w:w="527" w:type="dxa"/>
          </w:tcPr>
          <w:p>
            <w:pPr>
              <w:pStyle w:val="TableParagraph"/>
              <w:ind w:left="131" w:right="119"/>
              <w:rPr>
                <w:sz w:val="17"/>
              </w:rPr>
            </w:pPr>
            <w:r>
              <w:rPr>
                <w:color w:val="231F20"/>
                <w:w w:val="105"/>
                <w:sz w:val="17"/>
              </w:rPr>
              <w:t>6.8</w:t>
            </w:r>
          </w:p>
        </w:tc>
        <w:tc>
          <w:tcPr>
            <w:tcW w:w="553" w:type="dxa"/>
          </w:tcPr>
          <w:p>
            <w:pPr>
              <w:pStyle w:val="TableParagraph"/>
              <w:ind w:left="138"/>
              <w:jc w:val="left"/>
              <w:rPr>
                <w:sz w:val="17"/>
              </w:rPr>
            </w:pPr>
            <w:r>
              <w:rPr>
                <w:color w:val="231F20"/>
                <w:sz w:val="17"/>
              </w:rPr>
              <w:t>100</w:t>
            </w:r>
          </w:p>
        </w:tc>
      </w:tr>
      <w:tr>
        <w:trPr>
          <w:trHeight w:val="210" w:hRule="exact"/>
        </w:trPr>
        <w:tc>
          <w:tcPr>
            <w:tcW w:w="1677" w:type="dxa"/>
          </w:tcPr>
          <w:p>
            <w:pPr>
              <w:pStyle w:val="TableParagraph"/>
              <w:ind w:left="35"/>
              <w:jc w:val="left"/>
              <w:rPr>
                <w:sz w:val="17"/>
              </w:rPr>
            </w:pPr>
            <w:r>
              <w:rPr>
                <w:color w:val="231F20"/>
                <w:w w:val="110"/>
                <w:sz w:val="17"/>
              </w:rPr>
              <w:t>Sonora</w:t>
            </w:r>
          </w:p>
        </w:tc>
        <w:tc>
          <w:tcPr>
            <w:tcW w:w="582" w:type="dxa"/>
          </w:tcPr>
          <w:p>
            <w:pPr>
              <w:pStyle w:val="TableParagraph"/>
              <w:ind w:left="123" w:right="84"/>
              <w:rPr>
                <w:sz w:val="17"/>
              </w:rPr>
            </w:pPr>
            <w:r>
              <w:rPr>
                <w:color w:val="231F20"/>
                <w:w w:val="105"/>
                <w:sz w:val="17"/>
              </w:rPr>
              <w:t>10.8</w:t>
            </w:r>
          </w:p>
        </w:tc>
        <w:tc>
          <w:tcPr>
            <w:tcW w:w="541" w:type="dxa"/>
          </w:tcPr>
          <w:p>
            <w:pPr>
              <w:pStyle w:val="TableParagraph"/>
              <w:ind w:left="104"/>
              <w:jc w:val="left"/>
              <w:rPr>
                <w:sz w:val="17"/>
              </w:rPr>
            </w:pPr>
            <w:r>
              <w:rPr>
                <w:color w:val="231F20"/>
                <w:w w:val="105"/>
                <w:sz w:val="17"/>
              </w:rPr>
              <w:t>17.2</w:t>
            </w:r>
          </w:p>
        </w:tc>
        <w:tc>
          <w:tcPr>
            <w:tcW w:w="540" w:type="dxa"/>
          </w:tcPr>
          <w:p>
            <w:pPr>
              <w:pStyle w:val="TableParagraph"/>
              <w:ind w:left="83" w:right="83"/>
              <w:rPr>
                <w:sz w:val="17"/>
              </w:rPr>
            </w:pPr>
            <w:r>
              <w:rPr>
                <w:color w:val="231F20"/>
                <w:w w:val="105"/>
                <w:sz w:val="17"/>
              </w:rPr>
              <w:t>18.6</w:t>
            </w:r>
          </w:p>
        </w:tc>
        <w:tc>
          <w:tcPr>
            <w:tcW w:w="540" w:type="dxa"/>
          </w:tcPr>
          <w:p>
            <w:pPr>
              <w:pStyle w:val="TableParagraph"/>
              <w:ind w:right="101"/>
              <w:jc w:val="right"/>
              <w:rPr>
                <w:sz w:val="17"/>
              </w:rPr>
            </w:pPr>
            <w:r>
              <w:rPr>
                <w:color w:val="231F20"/>
                <w:sz w:val="17"/>
              </w:rPr>
              <w:t>17.0</w:t>
            </w:r>
          </w:p>
        </w:tc>
        <w:tc>
          <w:tcPr>
            <w:tcW w:w="564" w:type="dxa"/>
          </w:tcPr>
          <w:p>
            <w:pPr>
              <w:pStyle w:val="TableParagraph"/>
              <w:ind w:left="83" w:right="105"/>
              <w:rPr>
                <w:sz w:val="17"/>
              </w:rPr>
            </w:pPr>
            <w:r>
              <w:rPr>
                <w:color w:val="231F20"/>
                <w:w w:val="105"/>
                <w:sz w:val="17"/>
              </w:rPr>
              <w:t>13.2</w:t>
            </w:r>
          </w:p>
        </w:tc>
        <w:tc>
          <w:tcPr>
            <w:tcW w:w="516" w:type="dxa"/>
          </w:tcPr>
          <w:p>
            <w:pPr>
              <w:pStyle w:val="TableParagraph"/>
              <w:ind w:left="109" w:right="131"/>
              <w:rPr>
                <w:sz w:val="17"/>
              </w:rPr>
            </w:pPr>
            <w:r>
              <w:rPr>
                <w:color w:val="231F20"/>
                <w:w w:val="105"/>
                <w:sz w:val="17"/>
              </w:rPr>
              <w:t>9.4</w:t>
            </w:r>
          </w:p>
        </w:tc>
        <w:tc>
          <w:tcPr>
            <w:tcW w:w="540" w:type="dxa"/>
          </w:tcPr>
          <w:p>
            <w:pPr>
              <w:pStyle w:val="TableParagraph"/>
              <w:ind w:left="151"/>
              <w:jc w:val="left"/>
              <w:rPr>
                <w:sz w:val="17"/>
              </w:rPr>
            </w:pPr>
            <w:r>
              <w:rPr>
                <w:color w:val="231F20"/>
                <w:w w:val="105"/>
                <w:sz w:val="17"/>
              </w:rPr>
              <w:t>5.7</w:t>
            </w:r>
          </w:p>
        </w:tc>
        <w:tc>
          <w:tcPr>
            <w:tcW w:w="540" w:type="dxa"/>
          </w:tcPr>
          <w:p>
            <w:pPr>
              <w:pStyle w:val="TableParagraph"/>
              <w:ind w:left="83" w:right="83"/>
              <w:rPr>
                <w:sz w:val="17"/>
              </w:rPr>
            </w:pPr>
            <w:r>
              <w:rPr>
                <w:color w:val="231F20"/>
                <w:w w:val="105"/>
                <w:sz w:val="17"/>
              </w:rPr>
              <w:t>3.5</w:t>
            </w:r>
          </w:p>
        </w:tc>
        <w:tc>
          <w:tcPr>
            <w:tcW w:w="527" w:type="dxa"/>
          </w:tcPr>
          <w:p>
            <w:pPr>
              <w:pStyle w:val="TableParagraph"/>
              <w:ind w:left="131" w:right="119"/>
              <w:rPr>
                <w:sz w:val="17"/>
              </w:rPr>
            </w:pPr>
            <w:r>
              <w:rPr>
                <w:color w:val="231F20"/>
                <w:w w:val="105"/>
                <w:sz w:val="17"/>
              </w:rPr>
              <w:t>4.8</w:t>
            </w:r>
          </w:p>
        </w:tc>
        <w:tc>
          <w:tcPr>
            <w:tcW w:w="553" w:type="dxa"/>
          </w:tcPr>
          <w:p>
            <w:pPr>
              <w:pStyle w:val="TableParagraph"/>
              <w:ind w:left="138"/>
              <w:jc w:val="left"/>
              <w:rPr>
                <w:sz w:val="17"/>
              </w:rPr>
            </w:pPr>
            <w:r>
              <w:rPr>
                <w:color w:val="231F20"/>
                <w:sz w:val="17"/>
              </w:rPr>
              <w:t>100</w:t>
            </w:r>
          </w:p>
        </w:tc>
      </w:tr>
      <w:tr>
        <w:trPr>
          <w:trHeight w:val="210" w:hRule="exact"/>
        </w:trPr>
        <w:tc>
          <w:tcPr>
            <w:tcW w:w="1677" w:type="dxa"/>
          </w:tcPr>
          <w:p>
            <w:pPr>
              <w:pStyle w:val="TableParagraph"/>
              <w:ind w:left="35"/>
              <w:jc w:val="left"/>
              <w:rPr>
                <w:sz w:val="17"/>
              </w:rPr>
            </w:pPr>
            <w:r>
              <w:rPr>
                <w:color w:val="231F20"/>
                <w:w w:val="110"/>
                <w:sz w:val="17"/>
              </w:rPr>
              <w:t>Tabasco</w:t>
            </w:r>
          </w:p>
        </w:tc>
        <w:tc>
          <w:tcPr>
            <w:tcW w:w="582" w:type="dxa"/>
          </w:tcPr>
          <w:p>
            <w:pPr>
              <w:pStyle w:val="TableParagraph"/>
              <w:ind w:left="123" w:right="84"/>
              <w:rPr>
                <w:sz w:val="17"/>
              </w:rPr>
            </w:pPr>
            <w:r>
              <w:rPr>
                <w:color w:val="231F20"/>
                <w:w w:val="105"/>
                <w:sz w:val="17"/>
              </w:rPr>
              <w:t>10.2</w:t>
            </w:r>
          </w:p>
        </w:tc>
        <w:tc>
          <w:tcPr>
            <w:tcW w:w="541" w:type="dxa"/>
          </w:tcPr>
          <w:p>
            <w:pPr>
              <w:pStyle w:val="TableParagraph"/>
              <w:ind w:left="104"/>
              <w:jc w:val="left"/>
              <w:rPr>
                <w:sz w:val="17"/>
              </w:rPr>
            </w:pPr>
            <w:r>
              <w:rPr>
                <w:color w:val="231F20"/>
                <w:w w:val="105"/>
                <w:sz w:val="17"/>
              </w:rPr>
              <w:t>16.2</w:t>
            </w:r>
          </w:p>
        </w:tc>
        <w:tc>
          <w:tcPr>
            <w:tcW w:w="540" w:type="dxa"/>
          </w:tcPr>
          <w:p>
            <w:pPr>
              <w:pStyle w:val="TableParagraph"/>
              <w:ind w:left="83" w:right="83"/>
              <w:rPr>
                <w:sz w:val="17"/>
              </w:rPr>
            </w:pPr>
            <w:r>
              <w:rPr>
                <w:color w:val="231F20"/>
                <w:w w:val="105"/>
                <w:sz w:val="17"/>
              </w:rPr>
              <w:t>17.5</w:t>
            </w:r>
          </w:p>
        </w:tc>
        <w:tc>
          <w:tcPr>
            <w:tcW w:w="540" w:type="dxa"/>
          </w:tcPr>
          <w:p>
            <w:pPr>
              <w:pStyle w:val="TableParagraph"/>
              <w:ind w:right="101"/>
              <w:jc w:val="right"/>
              <w:rPr>
                <w:sz w:val="17"/>
              </w:rPr>
            </w:pPr>
            <w:r>
              <w:rPr>
                <w:color w:val="231F20"/>
                <w:sz w:val="17"/>
              </w:rPr>
              <w:t>16.3</w:t>
            </w:r>
          </w:p>
        </w:tc>
        <w:tc>
          <w:tcPr>
            <w:tcW w:w="564" w:type="dxa"/>
          </w:tcPr>
          <w:p>
            <w:pPr>
              <w:pStyle w:val="TableParagraph"/>
              <w:ind w:left="83" w:right="105"/>
              <w:rPr>
                <w:sz w:val="17"/>
              </w:rPr>
            </w:pPr>
            <w:r>
              <w:rPr>
                <w:color w:val="231F20"/>
                <w:w w:val="105"/>
                <w:sz w:val="17"/>
              </w:rPr>
              <w:t>13.2</w:t>
            </w:r>
          </w:p>
        </w:tc>
        <w:tc>
          <w:tcPr>
            <w:tcW w:w="516" w:type="dxa"/>
          </w:tcPr>
          <w:p>
            <w:pPr>
              <w:pStyle w:val="TableParagraph"/>
              <w:ind w:left="109" w:right="131"/>
              <w:rPr>
                <w:sz w:val="17"/>
              </w:rPr>
            </w:pPr>
            <w:r>
              <w:rPr>
                <w:color w:val="231F20"/>
                <w:w w:val="105"/>
                <w:sz w:val="17"/>
              </w:rPr>
              <w:t>9.3</w:t>
            </w:r>
          </w:p>
        </w:tc>
        <w:tc>
          <w:tcPr>
            <w:tcW w:w="540" w:type="dxa"/>
          </w:tcPr>
          <w:p>
            <w:pPr>
              <w:pStyle w:val="TableParagraph"/>
              <w:ind w:left="151"/>
              <w:jc w:val="left"/>
              <w:rPr>
                <w:sz w:val="17"/>
              </w:rPr>
            </w:pPr>
            <w:r>
              <w:rPr>
                <w:color w:val="231F20"/>
                <w:w w:val="105"/>
                <w:sz w:val="17"/>
              </w:rPr>
              <w:t>6.4</w:t>
            </w:r>
          </w:p>
        </w:tc>
        <w:tc>
          <w:tcPr>
            <w:tcW w:w="540" w:type="dxa"/>
          </w:tcPr>
          <w:p>
            <w:pPr>
              <w:pStyle w:val="TableParagraph"/>
              <w:ind w:left="83" w:right="83"/>
              <w:rPr>
                <w:sz w:val="17"/>
              </w:rPr>
            </w:pPr>
            <w:r>
              <w:rPr>
                <w:color w:val="231F20"/>
                <w:w w:val="105"/>
                <w:sz w:val="17"/>
              </w:rPr>
              <w:t>4.0</w:t>
            </w:r>
          </w:p>
        </w:tc>
        <w:tc>
          <w:tcPr>
            <w:tcW w:w="527" w:type="dxa"/>
          </w:tcPr>
          <w:p>
            <w:pPr>
              <w:pStyle w:val="TableParagraph"/>
              <w:ind w:left="131" w:right="119"/>
              <w:rPr>
                <w:sz w:val="17"/>
              </w:rPr>
            </w:pPr>
            <w:r>
              <w:rPr>
                <w:color w:val="231F20"/>
                <w:w w:val="105"/>
                <w:sz w:val="17"/>
              </w:rPr>
              <w:t>6.7</w:t>
            </w:r>
          </w:p>
        </w:tc>
        <w:tc>
          <w:tcPr>
            <w:tcW w:w="553" w:type="dxa"/>
          </w:tcPr>
          <w:p>
            <w:pPr>
              <w:pStyle w:val="TableParagraph"/>
              <w:ind w:left="138"/>
              <w:jc w:val="left"/>
              <w:rPr>
                <w:sz w:val="17"/>
              </w:rPr>
            </w:pPr>
            <w:r>
              <w:rPr>
                <w:color w:val="231F20"/>
                <w:sz w:val="17"/>
              </w:rPr>
              <w:t>100</w:t>
            </w:r>
          </w:p>
        </w:tc>
      </w:tr>
      <w:tr>
        <w:trPr>
          <w:trHeight w:val="210" w:hRule="exact"/>
        </w:trPr>
        <w:tc>
          <w:tcPr>
            <w:tcW w:w="1677" w:type="dxa"/>
          </w:tcPr>
          <w:p>
            <w:pPr>
              <w:pStyle w:val="TableParagraph"/>
              <w:ind w:left="35"/>
              <w:jc w:val="left"/>
              <w:rPr>
                <w:sz w:val="17"/>
              </w:rPr>
            </w:pPr>
            <w:r>
              <w:rPr>
                <w:color w:val="231F20"/>
                <w:w w:val="110"/>
                <w:sz w:val="17"/>
              </w:rPr>
              <w:t>Tamaulipas</w:t>
            </w:r>
          </w:p>
        </w:tc>
        <w:tc>
          <w:tcPr>
            <w:tcW w:w="582" w:type="dxa"/>
          </w:tcPr>
          <w:p>
            <w:pPr>
              <w:pStyle w:val="TableParagraph"/>
              <w:ind w:left="123" w:right="84"/>
              <w:rPr>
                <w:sz w:val="17"/>
              </w:rPr>
            </w:pPr>
            <w:r>
              <w:rPr>
                <w:color w:val="231F20"/>
                <w:w w:val="105"/>
                <w:sz w:val="17"/>
              </w:rPr>
              <w:t>15.6</w:t>
            </w:r>
          </w:p>
        </w:tc>
        <w:tc>
          <w:tcPr>
            <w:tcW w:w="541" w:type="dxa"/>
          </w:tcPr>
          <w:p>
            <w:pPr>
              <w:pStyle w:val="TableParagraph"/>
              <w:ind w:left="104"/>
              <w:jc w:val="left"/>
              <w:rPr>
                <w:sz w:val="17"/>
              </w:rPr>
            </w:pPr>
            <w:r>
              <w:rPr>
                <w:color w:val="231F20"/>
                <w:w w:val="105"/>
                <w:sz w:val="17"/>
              </w:rPr>
              <w:t>19.5</w:t>
            </w:r>
          </w:p>
        </w:tc>
        <w:tc>
          <w:tcPr>
            <w:tcW w:w="540" w:type="dxa"/>
          </w:tcPr>
          <w:p>
            <w:pPr>
              <w:pStyle w:val="TableParagraph"/>
              <w:ind w:left="83" w:right="83"/>
              <w:rPr>
                <w:sz w:val="17"/>
              </w:rPr>
            </w:pPr>
            <w:r>
              <w:rPr>
                <w:color w:val="231F20"/>
                <w:w w:val="105"/>
                <w:sz w:val="17"/>
              </w:rPr>
              <w:t>18.7</w:t>
            </w:r>
          </w:p>
        </w:tc>
        <w:tc>
          <w:tcPr>
            <w:tcW w:w="540" w:type="dxa"/>
          </w:tcPr>
          <w:p>
            <w:pPr>
              <w:pStyle w:val="TableParagraph"/>
              <w:ind w:right="101"/>
              <w:jc w:val="right"/>
              <w:rPr>
                <w:sz w:val="17"/>
              </w:rPr>
            </w:pPr>
            <w:r>
              <w:rPr>
                <w:color w:val="231F20"/>
                <w:sz w:val="17"/>
              </w:rPr>
              <w:t>16.0</w:t>
            </w:r>
          </w:p>
        </w:tc>
        <w:tc>
          <w:tcPr>
            <w:tcW w:w="564" w:type="dxa"/>
          </w:tcPr>
          <w:p>
            <w:pPr>
              <w:pStyle w:val="TableParagraph"/>
              <w:ind w:left="82" w:right="105"/>
              <w:rPr>
                <w:sz w:val="17"/>
              </w:rPr>
            </w:pPr>
            <w:r>
              <w:rPr>
                <w:color w:val="231F20"/>
                <w:w w:val="105"/>
                <w:sz w:val="17"/>
              </w:rPr>
              <w:t>11.6</w:t>
            </w:r>
          </w:p>
        </w:tc>
        <w:tc>
          <w:tcPr>
            <w:tcW w:w="516" w:type="dxa"/>
          </w:tcPr>
          <w:p>
            <w:pPr>
              <w:pStyle w:val="TableParagraph"/>
              <w:ind w:left="108" w:right="131"/>
              <w:rPr>
                <w:sz w:val="17"/>
              </w:rPr>
            </w:pPr>
            <w:r>
              <w:rPr>
                <w:color w:val="231F20"/>
                <w:w w:val="105"/>
                <w:sz w:val="17"/>
              </w:rPr>
              <w:t>7.6</w:t>
            </w:r>
          </w:p>
        </w:tc>
        <w:tc>
          <w:tcPr>
            <w:tcW w:w="540" w:type="dxa"/>
          </w:tcPr>
          <w:p>
            <w:pPr>
              <w:pStyle w:val="TableParagraph"/>
              <w:ind w:left="151"/>
              <w:jc w:val="left"/>
              <w:rPr>
                <w:sz w:val="17"/>
              </w:rPr>
            </w:pPr>
            <w:r>
              <w:rPr>
                <w:color w:val="231F20"/>
                <w:w w:val="105"/>
                <w:sz w:val="17"/>
              </w:rPr>
              <w:t>4.7</w:t>
            </w:r>
          </w:p>
        </w:tc>
        <w:tc>
          <w:tcPr>
            <w:tcW w:w="540" w:type="dxa"/>
          </w:tcPr>
          <w:p>
            <w:pPr>
              <w:pStyle w:val="TableParagraph"/>
              <w:ind w:left="83" w:right="83"/>
              <w:rPr>
                <w:sz w:val="17"/>
              </w:rPr>
            </w:pPr>
            <w:r>
              <w:rPr>
                <w:color w:val="231F20"/>
                <w:w w:val="105"/>
                <w:sz w:val="17"/>
              </w:rPr>
              <w:t>2.7</w:t>
            </w:r>
          </w:p>
        </w:tc>
        <w:tc>
          <w:tcPr>
            <w:tcW w:w="527" w:type="dxa"/>
          </w:tcPr>
          <w:p>
            <w:pPr>
              <w:pStyle w:val="TableParagraph"/>
              <w:ind w:left="131" w:right="119"/>
              <w:rPr>
                <w:sz w:val="17"/>
              </w:rPr>
            </w:pPr>
            <w:r>
              <w:rPr>
                <w:color w:val="231F20"/>
                <w:w w:val="105"/>
                <w:sz w:val="17"/>
              </w:rPr>
              <w:t>3.5</w:t>
            </w:r>
          </w:p>
        </w:tc>
        <w:tc>
          <w:tcPr>
            <w:tcW w:w="553" w:type="dxa"/>
          </w:tcPr>
          <w:p>
            <w:pPr>
              <w:pStyle w:val="TableParagraph"/>
              <w:ind w:left="138"/>
              <w:jc w:val="left"/>
              <w:rPr>
                <w:sz w:val="17"/>
              </w:rPr>
            </w:pPr>
            <w:r>
              <w:rPr>
                <w:color w:val="231F20"/>
                <w:sz w:val="17"/>
              </w:rPr>
              <w:t>100</w:t>
            </w:r>
          </w:p>
        </w:tc>
      </w:tr>
      <w:tr>
        <w:trPr>
          <w:trHeight w:val="210" w:hRule="exact"/>
        </w:trPr>
        <w:tc>
          <w:tcPr>
            <w:tcW w:w="1677" w:type="dxa"/>
          </w:tcPr>
          <w:p>
            <w:pPr>
              <w:pStyle w:val="TableParagraph"/>
              <w:ind w:left="35"/>
              <w:jc w:val="left"/>
              <w:rPr>
                <w:sz w:val="17"/>
              </w:rPr>
            </w:pPr>
            <w:r>
              <w:rPr>
                <w:color w:val="231F20"/>
                <w:w w:val="110"/>
                <w:sz w:val="17"/>
              </w:rPr>
              <w:t>Tlaxcala</w:t>
            </w:r>
          </w:p>
        </w:tc>
        <w:tc>
          <w:tcPr>
            <w:tcW w:w="582" w:type="dxa"/>
          </w:tcPr>
          <w:p>
            <w:pPr>
              <w:pStyle w:val="TableParagraph"/>
              <w:ind w:left="123" w:right="84"/>
              <w:rPr>
                <w:sz w:val="17"/>
              </w:rPr>
            </w:pPr>
            <w:r>
              <w:rPr>
                <w:color w:val="231F20"/>
                <w:w w:val="105"/>
                <w:sz w:val="17"/>
              </w:rPr>
              <w:t>13.6</w:t>
            </w:r>
          </w:p>
        </w:tc>
        <w:tc>
          <w:tcPr>
            <w:tcW w:w="541" w:type="dxa"/>
          </w:tcPr>
          <w:p>
            <w:pPr>
              <w:pStyle w:val="TableParagraph"/>
              <w:ind w:left="104"/>
              <w:jc w:val="left"/>
              <w:rPr>
                <w:sz w:val="17"/>
              </w:rPr>
            </w:pPr>
            <w:r>
              <w:rPr>
                <w:color w:val="231F20"/>
                <w:w w:val="105"/>
                <w:sz w:val="17"/>
              </w:rPr>
              <w:t>15.0</w:t>
            </w:r>
          </w:p>
        </w:tc>
        <w:tc>
          <w:tcPr>
            <w:tcW w:w="540" w:type="dxa"/>
          </w:tcPr>
          <w:p>
            <w:pPr>
              <w:pStyle w:val="TableParagraph"/>
              <w:ind w:left="83" w:right="83"/>
              <w:rPr>
                <w:sz w:val="17"/>
              </w:rPr>
            </w:pPr>
            <w:r>
              <w:rPr>
                <w:color w:val="231F20"/>
                <w:w w:val="105"/>
                <w:sz w:val="17"/>
              </w:rPr>
              <w:t>16.2</w:t>
            </w:r>
          </w:p>
        </w:tc>
        <w:tc>
          <w:tcPr>
            <w:tcW w:w="540" w:type="dxa"/>
          </w:tcPr>
          <w:p>
            <w:pPr>
              <w:pStyle w:val="TableParagraph"/>
              <w:ind w:right="101"/>
              <w:jc w:val="right"/>
              <w:rPr>
                <w:sz w:val="17"/>
              </w:rPr>
            </w:pPr>
            <w:r>
              <w:rPr>
                <w:color w:val="231F20"/>
                <w:sz w:val="17"/>
              </w:rPr>
              <w:t>14.8</w:t>
            </w:r>
          </w:p>
        </w:tc>
        <w:tc>
          <w:tcPr>
            <w:tcW w:w="564" w:type="dxa"/>
          </w:tcPr>
          <w:p>
            <w:pPr>
              <w:pStyle w:val="TableParagraph"/>
              <w:ind w:left="83" w:right="104"/>
              <w:rPr>
                <w:sz w:val="17"/>
              </w:rPr>
            </w:pPr>
            <w:r>
              <w:rPr>
                <w:color w:val="231F20"/>
                <w:w w:val="105"/>
                <w:sz w:val="17"/>
              </w:rPr>
              <w:t>12.7</w:t>
            </w:r>
          </w:p>
        </w:tc>
        <w:tc>
          <w:tcPr>
            <w:tcW w:w="516" w:type="dxa"/>
          </w:tcPr>
          <w:p>
            <w:pPr>
              <w:pStyle w:val="TableParagraph"/>
              <w:ind w:left="109" w:right="130"/>
              <w:rPr>
                <w:sz w:val="17"/>
              </w:rPr>
            </w:pPr>
            <w:r>
              <w:rPr>
                <w:color w:val="231F20"/>
                <w:w w:val="105"/>
                <w:sz w:val="17"/>
              </w:rPr>
              <w:t>9.4</w:t>
            </w:r>
          </w:p>
        </w:tc>
        <w:tc>
          <w:tcPr>
            <w:tcW w:w="540" w:type="dxa"/>
          </w:tcPr>
          <w:p>
            <w:pPr>
              <w:pStyle w:val="TableParagraph"/>
              <w:ind w:left="151"/>
              <w:jc w:val="left"/>
              <w:rPr>
                <w:sz w:val="17"/>
              </w:rPr>
            </w:pPr>
            <w:r>
              <w:rPr>
                <w:color w:val="231F20"/>
                <w:w w:val="105"/>
                <w:sz w:val="17"/>
              </w:rPr>
              <w:t>6.4</w:t>
            </w:r>
          </w:p>
        </w:tc>
        <w:tc>
          <w:tcPr>
            <w:tcW w:w="540" w:type="dxa"/>
          </w:tcPr>
          <w:p>
            <w:pPr>
              <w:pStyle w:val="TableParagraph"/>
              <w:ind w:left="83" w:right="83"/>
              <w:rPr>
                <w:sz w:val="17"/>
              </w:rPr>
            </w:pPr>
            <w:r>
              <w:rPr>
                <w:color w:val="231F20"/>
                <w:w w:val="105"/>
                <w:sz w:val="17"/>
              </w:rPr>
              <w:t>4.4</w:t>
            </w:r>
          </w:p>
        </w:tc>
        <w:tc>
          <w:tcPr>
            <w:tcW w:w="527" w:type="dxa"/>
          </w:tcPr>
          <w:p>
            <w:pPr>
              <w:pStyle w:val="TableParagraph"/>
              <w:ind w:left="131" w:right="119"/>
              <w:rPr>
                <w:sz w:val="17"/>
              </w:rPr>
            </w:pPr>
            <w:r>
              <w:rPr>
                <w:color w:val="231F20"/>
                <w:w w:val="105"/>
                <w:sz w:val="17"/>
              </w:rPr>
              <w:t>7.5</w:t>
            </w:r>
          </w:p>
        </w:tc>
        <w:tc>
          <w:tcPr>
            <w:tcW w:w="553" w:type="dxa"/>
          </w:tcPr>
          <w:p>
            <w:pPr>
              <w:pStyle w:val="TableParagraph"/>
              <w:ind w:left="138"/>
              <w:jc w:val="left"/>
              <w:rPr>
                <w:sz w:val="17"/>
              </w:rPr>
            </w:pPr>
            <w:r>
              <w:rPr>
                <w:color w:val="231F20"/>
                <w:sz w:val="17"/>
              </w:rPr>
              <w:t>100</w:t>
            </w:r>
          </w:p>
        </w:tc>
      </w:tr>
      <w:tr>
        <w:trPr>
          <w:trHeight w:val="210" w:hRule="exact"/>
        </w:trPr>
        <w:tc>
          <w:tcPr>
            <w:tcW w:w="1677" w:type="dxa"/>
          </w:tcPr>
          <w:p>
            <w:pPr>
              <w:pStyle w:val="TableParagraph"/>
              <w:ind w:left="35"/>
              <w:jc w:val="left"/>
              <w:rPr>
                <w:sz w:val="17"/>
              </w:rPr>
            </w:pPr>
            <w:r>
              <w:rPr>
                <w:color w:val="231F20"/>
                <w:w w:val="110"/>
                <w:sz w:val="17"/>
              </w:rPr>
              <w:t>Veracruz</w:t>
            </w:r>
          </w:p>
        </w:tc>
        <w:tc>
          <w:tcPr>
            <w:tcW w:w="582" w:type="dxa"/>
          </w:tcPr>
          <w:p>
            <w:pPr>
              <w:pStyle w:val="TableParagraph"/>
              <w:ind w:left="123" w:right="84"/>
              <w:rPr>
                <w:sz w:val="17"/>
              </w:rPr>
            </w:pPr>
            <w:r>
              <w:rPr>
                <w:color w:val="231F20"/>
                <w:w w:val="105"/>
                <w:sz w:val="17"/>
              </w:rPr>
              <w:t>12.7</w:t>
            </w:r>
          </w:p>
        </w:tc>
        <w:tc>
          <w:tcPr>
            <w:tcW w:w="541" w:type="dxa"/>
          </w:tcPr>
          <w:p>
            <w:pPr>
              <w:pStyle w:val="TableParagraph"/>
              <w:ind w:left="104"/>
              <w:jc w:val="left"/>
              <w:rPr>
                <w:sz w:val="17"/>
              </w:rPr>
            </w:pPr>
            <w:r>
              <w:rPr>
                <w:color w:val="231F20"/>
                <w:w w:val="105"/>
                <w:sz w:val="17"/>
              </w:rPr>
              <w:t>17.7</w:t>
            </w:r>
          </w:p>
        </w:tc>
        <w:tc>
          <w:tcPr>
            <w:tcW w:w="540" w:type="dxa"/>
          </w:tcPr>
          <w:p>
            <w:pPr>
              <w:pStyle w:val="TableParagraph"/>
              <w:ind w:left="83" w:right="83"/>
              <w:rPr>
                <w:sz w:val="17"/>
              </w:rPr>
            </w:pPr>
            <w:r>
              <w:rPr>
                <w:color w:val="231F20"/>
                <w:w w:val="105"/>
                <w:sz w:val="17"/>
              </w:rPr>
              <w:t>18.5</w:t>
            </w:r>
          </w:p>
        </w:tc>
        <w:tc>
          <w:tcPr>
            <w:tcW w:w="540" w:type="dxa"/>
          </w:tcPr>
          <w:p>
            <w:pPr>
              <w:pStyle w:val="TableParagraph"/>
              <w:ind w:right="101"/>
              <w:jc w:val="right"/>
              <w:rPr>
                <w:sz w:val="17"/>
              </w:rPr>
            </w:pPr>
            <w:r>
              <w:rPr>
                <w:color w:val="231F20"/>
                <w:sz w:val="17"/>
              </w:rPr>
              <w:t>16.1</w:t>
            </w:r>
          </w:p>
        </w:tc>
        <w:tc>
          <w:tcPr>
            <w:tcW w:w="564" w:type="dxa"/>
          </w:tcPr>
          <w:p>
            <w:pPr>
              <w:pStyle w:val="TableParagraph"/>
              <w:ind w:left="83" w:right="104"/>
              <w:rPr>
                <w:sz w:val="17"/>
              </w:rPr>
            </w:pPr>
            <w:r>
              <w:rPr>
                <w:color w:val="231F20"/>
                <w:w w:val="105"/>
                <w:sz w:val="17"/>
              </w:rPr>
              <w:t>12.2</w:t>
            </w:r>
          </w:p>
        </w:tc>
        <w:tc>
          <w:tcPr>
            <w:tcW w:w="516" w:type="dxa"/>
          </w:tcPr>
          <w:p>
            <w:pPr>
              <w:pStyle w:val="TableParagraph"/>
              <w:ind w:left="109" w:right="130"/>
              <w:rPr>
                <w:sz w:val="17"/>
              </w:rPr>
            </w:pPr>
            <w:r>
              <w:rPr>
                <w:color w:val="231F20"/>
                <w:w w:val="105"/>
                <w:sz w:val="17"/>
              </w:rPr>
              <w:t>8.4</w:t>
            </w:r>
          </w:p>
        </w:tc>
        <w:tc>
          <w:tcPr>
            <w:tcW w:w="540" w:type="dxa"/>
          </w:tcPr>
          <w:p>
            <w:pPr>
              <w:pStyle w:val="TableParagraph"/>
              <w:ind w:left="151"/>
              <w:jc w:val="left"/>
              <w:rPr>
                <w:sz w:val="17"/>
              </w:rPr>
            </w:pPr>
            <w:r>
              <w:rPr>
                <w:color w:val="231F20"/>
                <w:w w:val="105"/>
                <w:sz w:val="17"/>
              </w:rPr>
              <w:t>5.6</w:t>
            </w:r>
          </w:p>
        </w:tc>
        <w:tc>
          <w:tcPr>
            <w:tcW w:w="540" w:type="dxa"/>
          </w:tcPr>
          <w:p>
            <w:pPr>
              <w:pStyle w:val="TableParagraph"/>
              <w:ind w:left="83" w:right="83"/>
              <w:rPr>
                <w:sz w:val="17"/>
              </w:rPr>
            </w:pPr>
            <w:r>
              <w:rPr>
                <w:color w:val="231F20"/>
                <w:w w:val="105"/>
                <w:sz w:val="17"/>
              </w:rPr>
              <w:t>3.6</w:t>
            </w:r>
          </w:p>
        </w:tc>
        <w:tc>
          <w:tcPr>
            <w:tcW w:w="527" w:type="dxa"/>
          </w:tcPr>
          <w:p>
            <w:pPr>
              <w:pStyle w:val="TableParagraph"/>
              <w:ind w:left="132" w:right="119"/>
              <w:rPr>
                <w:sz w:val="17"/>
              </w:rPr>
            </w:pPr>
            <w:r>
              <w:rPr>
                <w:color w:val="231F20"/>
                <w:w w:val="105"/>
                <w:sz w:val="17"/>
              </w:rPr>
              <w:t>5.2</w:t>
            </w:r>
          </w:p>
        </w:tc>
        <w:tc>
          <w:tcPr>
            <w:tcW w:w="553" w:type="dxa"/>
          </w:tcPr>
          <w:p>
            <w:pPr>
              <w:pStyle w:val="TableParagraph"/>
              <w:ind w:left="138"/>
              <w:jc w:val="left"/>
              <w:rPr>
                <w:sz w:val="17"/>
              </w:rPr>
            </w:pPr>
            <w:r>
              <w:rPr>
                <w:color w:val="231F20"/>
                <w:sz w:val="17"/>
              </w:rPr>
              <w:t>100</w:t>
            </w:r>
          </w:p>
        </w:tc>
      </w:tr>
      <w:tr>
        <w:trPr>
          <w:trHeight w:val="210" w:hRule="exact"/>
        </w:trPr>
        <w:tc>
          <w:tcPr>
            <w:tcW w:w="1677" w:type="dxa"/>
          </w:tcPr>
          <w:p>
            <w:pPr>
              <w:pStyle w:val="TableParagraph"/>
              <w:ind w:left="35"/>
              <w:jc w:val="left"/>
              <w:rPr>
                <w:sz w:val="17"/>
              </w:rPr>
            </w:pPr>
            <w:r>
              <w:rPr>
                <w:color w:val="231F20"/>
                <w:w w:val="110"/>
                <w:sz w:val="17"/>
              </w:rPr>
              <w:t>Yucatán</w:t>
            </w:r>
          </w:p>
        </w:tc>
        <w:tc>
          <w:tcPr>
            <w:tcW w:w="582" w:type="dxa"/>
          </w:tcPr>
          <w:p>
            <w:pPr>
              <w:pStyle w:val="TableParagraph"/>
              <w:ind w:left="123" w:right="84"/>
              <w:rPr>
                <w:sz w:val="17"/>
              </w:rPr>
            </w:pPr>
            <w:r>
              <w:rPr>
                <w:color w:val="231F20"/>
                <w:w w:val="105"/>
                <w:sz w:val="17"/>
              </w:rPr>
              <w:t>15.0</w:t>
            </w:r>
          </w:p>
        </w:tc>
        <w:tc>
          <w:tcPr>
            <w:tcW w:w="541" w:type="dxa"/>
          </w:tcPr>
          <w:p>
            <w:pPr>
              <w:pStyle w:val="TableParagraph"/>
              <w:ind w:left="104"/>
              <w:jc w:val="left"/>
              <w:rPr>
                <w:sz w:val="17"/>
              </w:rPr>
            </w:pPr>
            <w:r>
              <w:rPr>
                <w:color w:val="231F20"/>
                <w:w w:val="105"/>
                <w:sz w:val="17"/>
              </w:rPr>
              <w:t>19.6</w:t>
            </w:r>
          </w:p>
        </w:tc>
        <w:tc>
          <w:tcPr>
            <w:tcW w:w="540" w:type="dxa"/>
          </w:tcPr>
          <w:p>
            <w:pPr>
              <w:pStyle w:val="TableParagraph"/>
              <w:ind w:left="83" w:right="83"/>
              <w:rPr>
                <w:sz w:val="17"/>
              </w:rPr>
            </w:pPr>
            <w:r>
              <w:rPr>
                <w:color w:val="231F20"/>
                <w:w w:val="105"/>
                <w:sz w:val="17"/>
              </w:rPr>
              <w:t>18.3</w:t>
            </w:r>
          </w:p>
        </w:tc>
        <w:tc>
          <w:tcPr>
            <w:tcW w:w="540" w:type="dxa"/>
          </w:tcPr>
          <w:p>
            <w:pPr>
              <w:pStyle w:val="TableParagraph"/>
              <w:ind w:right="101"/>
              <w:jc w:val="right"/>
              <w:rPr>
                <w:sz w:val="17"/>
              </w:rPr>
            </w:pPr>
            <w:r>
              <w:rPr>
                <w:color w:val="231F20"/>
                <w:sz w:val="17"/>
              </w:rPr>
              <w:t>15.2</w:t>
            </w:r>
          </w:p>
        </w:tc>
        <w:tc>
          <w:tcPr>
            <w:tcW w:w="564" w:type="dxa"/>
          </w:tcPr>
          <w:p>
            <w:pPr>
              <w:pStyle w:val="TableParagraph"/>
              <w:ind w:left="83" w:right="104"/>
              <w:rPr>
                <w:sz w:val="17"/>
              </w:rPr>
            </w:pPr>
            <w:r>
              <w:rPr>
                <w:color w:val="231F20"/>
                <w:w w:val="105"/>
                <w:sz w:val="17"/>
              </w:rPr>
              <w:t>11.5</w:t>
            </w:r>
          </w:p>
        </w:tc>
        <w:tc>
          <w:tcPr>
            <w:tcW w:w="516" w:type="dxa"/>
          </w:tcPr>
          <w:p>
            <w:pPr>
              <w:pStyle w:val="TableParagraph"/>
              <w:ind w:left="109" w:right="130"/>
              <w:rPr>
                <w:sz w:val="17"/>
              </w:rPr>
            </w:pPr>
            <w:r>
              <w:rPr>
                <w:color w:val="231F20"/>
                <w:w w:val="105"/>
                <w:sz w:val="17"/>
              </w:rPr>
              <w:t>7.8</w:t>
            </w:r>
          </w:p>
        </w:tc>
        <w:tc>
          <w:tcPr>
            <w:tcW w:w="540" w:type="dxa"/>
          </w:tcPr>
          <w:p>
            <w:pPr>
              <w:pStyle w:val="TableParagraph"/>
              <w:ind w:left="151"/>
              <w:jc w:val="left"/>
              <w:rPr>
                <w:sz w:val="17"/>
              </w:rPr>
            </w:pPr>
            <w:r>
              <w:rPr>
                <w:color w:val="231F20"/>
                <w:w w:val="105"/>
                <w:sz w:val="17"/>
              </w:rPr>
              <w:t>4.7</w:t>
            </w:r>
          </w:p>
        </w:tc>
        <w:tc>
          <w:tcPr>
            <w:tcW w:w="540" w:type="dxa"/>
          </w:tcPr>
          <w:p>
            <w:pPr>
              <w:pStyle w:val="TableParagraph"/>
              <w:ind w:left="83" w:right="83"/>
              <w:rPr>
                <w:sz w:val="17"/>
              </w:rPr>
            </w:pPr>
            <w:r>
              <w:rPr>
                <w:color w:val="231F20"/>
                <w:w w:val="105"/>
                <w:sz w:val="17"/>
              </w:rPr>
              <w:t>3.1</w:t>
            </w:r>
          </w:p>
        </w:tc>
        <w:tc>
          <w:tcPr>
            <w:tcW w:w="527" w:type="dxa"/>
          </w:tcPr>
          <w:p>
            <w:pPr>
              <w:pStyle w:val="TableParagraph"/>
              <w:ind w:left="132" w:right="119"/>
              <w:rPr>
                <w:sz w:val="17"/>
              </w:rPr>
            </w:pPr>
            <w:r>
              <w:rPr>
                <w:color w:val="231F20"/>
                <w:w w:val="105"/>
                <w:sz w:val="17"/>
              </w:rPr>
              <w:t>4.7</w:t>
            </w:r>
          </w:p>
        </w:tc>
        <w:tc>
          <w:tcPr>
            <w:tcW w:w="553" w:type="dxa"/>
          </w:tcPr>
          <w:p>
            <w:pPr>
              <w:pStyle w:val="TableParagraph"/>
              <w:ind w:left="138"/>
              <w:jc w:val="left"/>
              <w:rPr>
                <w:sz w:val="17"/>
              </w:rPr>
            </w:pPr>
            <w:r>
              <w:rPr>
                <w:color w:val="231F20"/>
                <w:sz w:val="17"/>
              </w:rPr>
              <w:t>100</w:t>
            </w:r>
          </w:p>
        </w:tc>
      </w:tr>
      <w:tr>
        <w:trPr>
          <w:trHeight w:val="276" w:hRule="exact"/>
        </w:trPr>
        <w:tc>
          <w:tcPr>
            <w:tcW w:w="1677" w:type="dxa"/>
            <w:tcBorders>
              <w:bottom w:val="single" w:sz="3" w:space="0" w:color="231F20"/>
            </w:tcBorders>
          </w:tcPr>
          <w:p>
            <w:pPr>
              <w:pStyle w:val="TableParagraph"/>
              <w:ind w:left="35"/>
              <w:jc w:val="left"/>
              <w:rPr>
                <w:sz w:val="17"/>
              </w:rPr>
            </w:pPr>
            <w:r>
              <w:rPr>
                <w:color w:val="231F20"/>
                <w:w w:val="110"/>
                <w:sz w:val="17"/>
              </w:rPr>
              <w:t>Zacatecas</w:t>
            </w:r>
          </w:p>
        </w:tc>
        <w:tc>
          <w:tcPr>
            <w:tcW w:w="582" w:type="dxa"/>
            <w:tcBorders>
              <w:bottom w:val="single" w:sz="3" w:space="0" w:color="231F20"/>
            </w:tcBorders>
          </w:tcPr>
          <w:p>
            <w:pPr>
              <w:pStyle w:val="TableParagraph"/>
              <w:ind w:left="123" w:right="84"/>
              <w:rPr>
                <w:sz w:val="17"/>
              </w:rPr>
            </w:pPr>
            <w:r>
              <w:rPr>
                <w:color w:val="231F20"/>
                <w:w w:val="105"/>
                <w:sz w:val="17"/>
              </w:rPr>
              <w:t>16.4</w:t>
            </w:r>
          </w:p>
        </w:tc>
        <w:tc>
          <w:tcPr>
            <w:tcW w:w="541" w:type="dxa"/>
            <w:tcBorders>
              <w:bottom w:val="single" w:sz="3" w:space="0" w:color="231F20"/>
            </w:tcBorders>
          </w:tcPr>
          <w:p>
            <w:pPr>
              <w:pStyle w:val="TableParagraph"/>
              <w:ind w:left="104"/>
              <w:jc w:val="left"/>
              <w:rPr>
                <w:sz w:val="17"/>
              </w:rPr>
            </w:pPr>
            <w:r>
              <w:rPr>
                <w:color w:val="231F20"/>
                <w:w w:val="105"/>
                <w:sz w:val="17"/>
              </w:rPr>
              <w:t>17.3</w:t>
            </w:r>
          </w:p>
        </w:tc>
        <w:tc>
          <w:tcPr>
            <w:tcW w:w="540" w:type="dxa"/>
            <w:tcBorders>
              <w:bottom w:val="single" w:sz="3" w:space="0" w:color="231F20"/>
            </w:tcBorders>
          </w:tcPr>
          <w:p>
            <w:pPr>
              <w:pStyle w:val="TableParagraph"/>
              <w:ind w:left="83" w:right="83"/>
              <w:rPr>
                <w:sz w:val="17"/>
              </w:rPr>
            </w:pPr>
            <w:r>
              <w:rPr>
                <w:color w:val="231F20"/>
                <w:w w:val="105"/>
                <w:sz w:val="17"/>
              </w:rPr>
              <w:t>15.7</w:t>
            </w:r>
          </w:p>
        </w:tc>
        <w:tc>
          <w:tcPr>
            <w:tcW w:w="540" w:type="dxa"/>
            <w:tcBorders>
              <w:bottom w:val="single" w:sz="3" w:space="0" w:color="231F20"/>
            </w:tcBorders>
          </w:tcPr>
          <w:p>
            <w:pPr>
              <w:pStyle w:val="TableParagraph"/>
              <w:ind w:right="101"/>
              <w:jc w:val="right"/>
              <w:rPr>
                <w:sz w:val="17"/>
              </w:rPr>
            </w:pPr>
            <w:r>
              <w:rPr>
                <w:color w:val="231F20"/>
                <w:sz w:val="17"/>
              </w:rPr>
              <w:t>14.0</w:t>
            </w:r>
          </w:p>
        </w:tc>
        <w:tc>
          <w:tcPr>
            <w:tcW w:w="564" w:type="dxa"/>
            <w:tcBorders>
              <w:bottom w:val="single" w:sz="3" w:space="0" w:color="231F20"/>
            </w:tcBorders>
          </w:tcPr>
          <w:p>
            <w:pPr>
              <w:pStyle w:val="TableParagraph"/>
              <w:ind w:left="83" w:right="104"/>
              <w:rPr>
                <w:sz w:val="17"/>
              </w:rPr>
            </w:pPr>
            <w:r>
              <w:rPr>
                <w:color w:val="231F20"/>
                <w:w w:val="105"/>
                <w:sz w:val="17"/>
              </w:rPr>
              <w:t>11.5</w:t>
            </w:r>
          </w:p>
        </w:tc>
        <w:tc>
          <w:tcPr>
            <w:tcW w:w="516" w:type="dxa"/>
            <w:tcBorders>
              <w:bottom w:val="single" w:sz="3" w:space="0" w:color="231F20"/>
            </w:tcBorders>
          </w:tcPr>
          <w:p>
            <w:pPr>
              <w:pStyle w:val="TableParagraph"/>
              <w:ind w:left="109" w:right="130"/>
              <w:rPr>
                <w:sz w:val="17"/>
              </w:rPr>
            </w:pPr>
            <w:r>
              <w:rPr>
                <w:color w:val="231F20"/>
                <w:w w:val="105"/>
                <w:sz w:val="17"/>
              </w:rPr>
              <w:t>8.6</w:t>
            </w:r>
          </w:p>
        </w:tc>
        <w:tc>
          <w:tcPr>
            <w:tcW w:w="540" w:type="dxa"/>
            <w:tcBorders>
              <w:bottom w:val="single" w:sz="3" w:space="0" w:color="231F20"/>
            </w:tcBorders>
          </w:tcPr>
          <w:p>
            <w:pPr>
              <w:pStyle w:val="TableParagraph"/>
              <w:ind w:left="151"/>
              <w:jc w:val="left"/>
              <w:rPr>
                <w:sz w:val="17"/>
              </w:rPr>
            </w:pPr>
            <w:r>
              <w:rPr>
                <w:color w:val="231F20"/>
                <w:w w:val="105"/>
                <w:sz w:val="17"/>
              </w:rPr>
              <w:t>6.2</w:t>
            </w:r>
          </w:p>
        </w:tc>
        <w:tc>
          <w:tcPr>
            <w:tcW w:w="540" w:type="dxa"/>
            <w:tcBorders>
              <w:bottom w:val="single" w:sz="3" w:space="0" w:color="231F20"/>
            </w:tcBorders>
          </w:tcPr>
          <w:p>
            <w:pPr>
              <w:pStyle w:val="TableParagraph"/>
              <w:ind w:left="83" w:right="83"/>
              <w:rPr>
                <w:sz w:val="17"/>
              </w:rPr>
            </w:pPr>
            <w:r>
              <w:rPr>
                <w:color w:val="231F20"/>
                <w:w w:val="105"/>
                <w:sz w:val="17"/>
              </w:rPr>
              <w:t>4.2</w:t>
            </w:r>
          </w:p>
        </w:tc>
        <w:tc>
          <w:tcPr>
            <w:tcW w:w="527" w:type="dxa"/>
            <w:tcBorders>
              <w:bottom w:val="single" w:sz="3" w:space="0" w:color="231F20"/>
            </w:tcBorders>
          </w:tcPr>
          <w:p>
            <w:pPr>
              <w:pStyle w:val="TableParagraph"/>
              <w:ind w:left="132" w:right="119"/>
              <w:rPr>
                <w:sz w:val="17"/>
              </w:rPr>
            </w:pPr>
            <w:r>
              <w:rPr>
                <w:color w:val="231F20"/>
                <w:w w:val="105"/>
                <w:sz w:val="17"/>
              </w:rPr>
              <w:t>5.9</w:t>
            </w:r>
          </w:p>
        </w:tc>
        <w:tc>
          <w:tcPr>
            <w:tcW w:w="553" w:type="dxa"/>
            <w:tcBorders>
              <w:bottom w:val="single" w:sz="3" w:space="0" w:color="231F20"/>
            </w:tcBorders>
          </w:tcPr>
          <w:p>
            <w:pPr>
              <w:pStyle w:val="TableParagraph"/>
              <w:ind w:left="138"/>
              <w:jc w:val="left"/>
              <w:rPr>
                <w:sz w:val="17"/>
              </w:rPr>
            </w:pPr>
            <w:r>
              <w:rPr>
                <w:color w:val="231F20"/>
                <w:sz w:val="17"/>
              </w:rPr>
              <w:t>100</w:t>
            </w:r>
          </w:p>
        </w:tc>
      </w:tr>
    </w:tbl>
    <w:p>
      <w:pPr>
        <w:spacing w:before="63"/>
        <w:ind w:left="504" w:right="0" w:firstLine="0"/>
        <w:jc w:val="left"/>
        <w:rPr>
          <w:sz w:val="15"/>
        </w:rPr>
      </w:pPr>
      <w:r>
        <w:rPr>
          <w:color w:val="231F20"/>
          <w:w w:val="110"/>
          <w:sz w:val="15"/>
        </w:rPr>
        <w:t>Fuente: Elaboración propia con datos del Censo de Población y Vivienda de 2010, </w:t>
      </w:r>
      <w:r>
        <w:rPr>
          <w:rFonts w:ascii="Times New Roman" w:hAnsi="Times New Roman"/>
          <w:color w:val="231F20"/>
          <w:w w:val="110"/>
          <w:sz w:val="12"/>
        </w:rPr>
        <w:t>INEGI</w:t>
      </w:r>
      <w:r>
        <w:rPr>
          <w:color w:val="231F20"/>
          <w:w w:val="110"/>
          <w:sz w:val="15"/>
        </w:rPr>
        <w:t>,  2013.</w:t>
      </w:r>
    </w:p>
    <w:p>
      <w:pPr>
        <w:spacing w:after="0"/>
        <w:jc w:val="left"/>
        <w:rPr>
          <w:sz w:val="15"/>
        </w:rPr>
        <w:sectPr>
          <w:pgSz w:w="9520" w:h="12920"/>
          <w:pgMar w:header="0" w:footer="1344" w:top="880" w:bottom="1540" w:left="1300" w:right="880"/>
        </w:sectPr>
      </w:pPr>
    </w:p>
    <w:p>
      <w:pPr>
        <w:pStyle w:val="BodyText"/>
        <w:rPr>
          <w:rFonts w:ascii="Times New Roman"/>
        </w:rPr>
      </w:pPr>
    </w:p>
    <w:p>
      <w:pPr>
        <w:pStyle w:val="BodyText"/>
        <w:spacing w:before="8"/>
        <w:rPr>
          <w:rFonts w:ascii="Times New Roman"/>
          <w:sz w:val="26"/>
        </w:rPr>
      </w:pPr>
    </w:p>
    <w:p>
      <w:pPr>
        <w:pStyle w:val="BodyText"/>
        <w:spacing w:line="20" w:lineRule="exact"/>
        <w:ind w:left="118"/>
        <w:rPr>
          <w:rFonts w:ascii="Times New Roman"/>
          <w:sz w:val="2"/>
        </w:rPr>
      </w:pPr>
      <w:r>
        <w:rPr>
          <w:rFonts w:ascii="Times New Roman"/>
          <w:sz w:val="2"/>
        </w:rPr>
        <w:pict>
          <v:group style="width:351.2pt;height:.4pt;mso-position-horizontal-relative:char;mso-position-vertical-relative:line" coordorigin="0,0" coordsize="7024,8">
            <v:line style="position:absolute" from="4,4" to="708,4" stroked="true" strokeweight=".4pt" strokecolor="#231f20"/>
            <v:line style="position:absolute" from="708,4" to="1404,4" stroked="true" strokeweight=".4pt" strokecolor="#231f20"/>
            <v:line style="position:absolute" from="1404,4" to="2124,4" stroked="true" strokeweight=".4pt" strokecolor="#231f20"/>
            <v:line style="position:absolute" from="2124,4" to="2820,4" stroked="true" strokeweight=".4pt" strokecolor="#231f20"/>
            <v:line style="position:absolute" from="2820,4" to="3528,4" stroked="true" strokeweight=".4pt" strokecolor="#231f20"/>
            <v:line style="position:absolute" from="3528,4" to="4236,4" stroked="true" strokeweight=".4pt" strokecolor="#231f20"/>
            <v:line style="position:absolute" from="4236,4" to="4944,4" stroked="true" strokeweight=".4pt" strokecolor="#231f20"/>
            <v:line style="position:absolute" from="4944,4" to="5628,4" stroked="true" strokeweight=".4pt" strokecolor="#231f20"/>
            <v:line style="position:absolute" from="5628,4" to="6348,4" stroked="true" strokeweight=".4pt" strokecolor="#231f20"/>
            <v:line style="position:absolute" from="6348,4" to="7020,4" stroked="true" strokeweight=".4pt" strokecolor="#231f20"/>
          </v:group>
        </w:pict>
      </w:r>
      <w:r>
        <w:rPr>
          <w:rFonts w:ascii="Times New Roman"/>
          <w:sz w:val="2"/>
        </w:rPr>
      </w:r>
    </w:p>
    <w:p>
      <w:pPr>
        <w:pStyle w:val="BodyText"/>
        <w:rPr>
          <w:rFonts w:ascii="Times New Roman"/>
        </w:rPr>
      </w:pPr>
    </w:p>
    <w:p>
      <w:pPr>
        <w:pStyle w:val="BodyText"/>
        <w:spacing w:before="3"/>
        <w:rPr>
          <w:rFonts w:ascii="Times New Roman"/>
          <w:sz w:val="11"/>
        </w:rPr>
      </w:pPr>
    </w:p>
    <w:tbl>
      <w:tblPr>
        <w:tblW w:w="0" w:type="auto"/>
        <w:jc w:val="left"/>
        <w:tblInd w:w="12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02"/>
        <w:gridCol w:w="704"/>
        <w:gridCol w:w="708"/>
        <w:gridCol w:w="705"/>
        <w:gridCol w:w="729"/>
        <w:gridCol w:w="684"/>
        <w:gridCol w:w="702"/>
        <w:gridCol w:w="699"/>
        <w:gridCol w:w="664"/>
        <w:gridCol w:w="719"/>
      </w:tblGrid>
      <w:tr>
        <w:trPr>
          <w:trHeight w:val="370" w:hRule="exact"/>
        </w:trPr>
        <w:tc>
          <w:tcPr>
            <w:tcW w:w="702" w:type="dxa"/>
            <w:tcBorders>
              <w:top w:val="single" w:sz="3" w:space="0" w:color="231F20"/>
              <w:bottom w:val="single" w:sz="3" w:space="0" w:color="231F20"/>
            </w:tcBorders>
          </w:tcPr>
          <w:p>
            <w:pPr>
              <w:pStyle w:val="TableParagraph"/>
              <w:spacing w:line="240" w:lineRule="auto" w:before="84"/>
              <w:ind w:left="2"/>
              <w:rPr>
                <w:i/>
                <w:sz w:val="17"/>
              </w:rPr>
            </w:pPr>
            <w:r>
              <w:rPr>
                <w:i/>
                <w:color w:val="231F20"/>
                <w:w w:val="96"/>
                <w:sz w:val="17"/>
              </w:rPr>
              <w:t>1</w:t>
            </w:r>
          </w:p>
        </w:tc>
        <w:tc>
          <w:tcPr>
            <w:tcW w:w="704" w:type="dxa"/>
            <w:tcBorders>
              <w:top w:val="single" w:sz="3" w:space="0" w:color="231F20"/>
              <w:bottom w:val="single" w:sz="3" w:space="0" w:color="231F20"/>
            </w:tcBorders>
          </w:tcPr>
          <w:p>
            <w:pPr>
              <w:pStyle w:val="TableParagraph"/>
              <w:spacing w:line="240" w:lineRule="auto" w:before="84"/>
              <w:ind w:right="1"/>
              <w:rPr>
                <w:i/>
                <w:sz w:val="17"/>
              </w:rPr>
            </w:pPr>
            <w:r>
              <w:rPr>
                <w:i/>
                <w:color w:val="231F20"/>
                <w:w w:val="96"/>
                <w:sz w:val="17"/>
              </w:rPr>
              <w:t>2</w:t>
            </w:r>
          </w:p>
        </w:tc>
        <w:tc>
          <w:tcPr>
            <w:tcW w:w="708" w:type="dxa"/>
            <w:tcBorders>
              <w:top w:val="single" w:sz="3" w:space="0" w:color="231F20"/>
              <w:bottom w:val="single" w:sz="3" w:space="0" w:color="231F20"/>
            </w:tcBorders>
          </w:tcPr>
          <w:p>
            <w:pPr>
              <w:pStyle w:val="TableParagraph"/>
              <w:spacing w:line="240" w:lineRule="auto" w:before="84"/>
              <w:rPr>
                <w:i/>
                <w:sz w:val="17"/>
              </w:rPr>
            </w:pPr>
            <w:r>
              <w:rPr>
                <w:i/>
                <w:color w:val="231F20"/>
                <w:w w:val="96"/>
                <w:sz w:val="17"/>
              </w:rPr>
              <w:t>3</w:t>
            </w:r>
          </w:p>
        </w:tc>
        <w:tc>
          <w:tcPr>
            <w:tcW w:w="705" w:type="dxa"/>
            <w:tcBorders>
              <w:top w:val="single" w:sz="3" w:space="0" w:color="231F20"/>
              <w:bottom w:val="single" w:sz="3" w:space="0" w:color="231F20"/>
            </w:tcBorders>
          </w:tcPr>
          <w:p>
            <w:pPr>
              <w:pStyle w:val="TableParagraph"/>
              <w:spacing w:line="240" w:lineRule="auto" w:before="84"/>
              <w:ind w:left="3"/>
              <w:rPr>
                <w:i/>
                <w:sz w:val="17"/>
              </w:rPr>
            </w:pPr>
            <w:r>
              <w:rPr>
                <w:i/>
                <w:color w:val="231F20"/>
                <w:w w:val="96"/>
                <w:sz w:val="17"/>
              </w:rPr>
              <w:t>4</w:t>
            </w:r>
          </w:p>
        </w:tc>
        <w:tc>
          <w:tcPr>
            <w:tcW w:w="729" w:type="dxa"/>
            <w:tcBorders>
              <w:top w:val="single" w:sz="3" w:space="0" w:color="231F20"/>
              <w:bottom w:val="single" w:sz="3" w:space="0" w:color="231F20"/>
            </w:tcBorders>
          </w:tcPr>
          <w:p>
            <w:pPr>
              <w:pStyle w:val="TableParagraph"/>
              <w:spacing w:line="240" w:lineRule="auto" w:before="84"/>
              <w:ind w:right="25"/>
              <w:rPr>
                <w:i/>
                <w:sz w:val="17"/>
              </w:rPr>
            </w:pPr>
            <w:r>
              <w:rPr>
                <w:i/>
                <w:color w:val="231F20"/>
                <w:w w:val="96"/>
                <w:sz w:val="17"/>
              </w:rPr>
              <w:t>5</w:t>
            </w:r>
          </w:p>
        </w:tc>
        <w:tc>
          <w:tcPr>
            <w:tcW w:w="684" w:type="dxa"/>
            <w:tcBorders>
              <w:top w:val="single" w:sz="3" w:space="0" w:color="231F20"/>
              <w:bottom w:val="single" w:sz="3" w:space="0" w:color="231F20"/>
            </w:tcBorders>
          </w:tcPr>
          <w:p>
            <w:pPr>
              <w:pStyle w:val="TableParagraph"/>
              <w:spacing w:line="240" w:lineRule="auto" w:before="84"/>
              <w:ind w:right="21"/>
              <w:rPr>
                <w:i/>
                <w:sz w:val="17"/>
              </w:rPr>
            </w:pPr>
            <w:r>
              <w:rPr>
                <w:i/>
                <w:color w:val="231F20"/>
                <w:w w:val="96"/>
                <w:sz w:val="17"/>
              </w:rPr>
              <w:t>6</w:t>
            </w:r>
          </w:p>
        </w:tc>
        <w:tc>
          <w:tcPr>
            <w:tcW w:w="702" w:type="dxa"/>
            <w:tcBorders>
              <w:top w:val="single" w:sz="3" w:space="0" w:color="231F20"/>
              <w:bottom w:val="single" w:sz="3" w:space="0" w:color="231F20"/>
            </w:tcBorders>
          </w:tcPr>
          <w:p>
            <w:pPr>
              <w:pStyle w:val="TableParagraph"/>
              <w:spacing w:line="240" w:lineRule="auto" w:before="84"/>
              <w:ind w:left="6"/>
              <w:rPr>
                <w:i/>
                <w:sz w:val="17"/>
              </w:rPr>
            </w:pPr>
            <w:r>
              <w:rPr>
                <w:i/>
                <w:color w:val="231F20"/>
                <w:w w:val="96"/>
                <w:sz w:val="17"/>
              </w:rPr>
              <w:t>7</w:t>
            </w:r>
          </w:p>
        </w:tc>
        <w:tc>
          <w:tcPr>
            <w:tcW w:w="699" w:type="dxa"/>
            <w:tcBorders>
              <w:top w:val="single" w:sz="3" w:space="0" w:color="231F20"/>
              <w:bottom w:val="single" w:sz="3" w:space="0" w:color="231F20"/>
            </w:tcBorders>
          </w:tcPr>
          <w:p>
            <w:pPr>
              <w:pStyle w:val="TableParagraph"/>
              <w:spacing w:line="240" w:lineRule="auto" w:before="84"/>
              <w:rPr>
                <w:i/>
                <w:sz w:val="17"/>
              </w:rPr>
            </w:pPr>
            <w:r>
              <w:rPr>
                <w:i/>
                <w:color w:val="231F20"/>
                <w:w w:val="96"/>
                <w:sz w:val="17"/>
              </w:rPr>
              <w:t>8</w:t>
            </w:r>
          </w:p>
        </w:tc>
        <w:tc>
          <w:tcPr>
            <w:tcW w:w="664" w:type="dxa"/>
            <w:tcBorders>
              <w:top w:val="single" w:sz="3" w:space="0" w:color="231F20"/>
              <w:bottom w:val="single" w:sz="3" w:space="0" w:color="231F20"/>
            </w:tcBorders>
          </w:tcPr>
          <w:p>
            <w:pPr>
              <w:pStyle w:val="TableParagraph"/>
              <w:spacing w:line="240" w:lineRule="auto" w:before="84"/>
              <w:ind w:right="197"/>
              <w:jc w:val="right"/>
              <w:rPr>
                <w:i/>
                <w:sz w:val="17"/>
              </w:rPr>
            </w:pPr>
            <w:r>
              <w:rPr>
                <w:i/>
                <w:color w:val="231F20"/>
                <w:w w:val="125"/>
                <w:sz w:val="17"/>
              </w:rPr>
              <w:t>9+</w:t>
            </w:r>
          </w:p>
        </w:tc>
        <w:tc>
          <w:tcPr>
            <w:tcW w:w="719" w:type="dxa"/>
            <w:tcBorders>
              <w:top w:val="single" w:sz="3" w:space="0" w:color="231F20"/>
              <w:bottom w:val="single" w:sz="3" w:space="0" w:color="231F20"/>
            </w:tcBorders>
          </w:tcPr>
          <w:p>
            <w:pPr>
              <w:pStyle w:val="TableParagraph"/>
              <w:spacing w:line="240" w:lineRule="auto" w:before="84"/>
              <w:ind w:left="173" w:right="127"/>
              <w:rPr>
                <w:i/>
                <w:sz w:val="17"/>
              </w:rPr>
            </w:pPr>
            <w:r>
              <w:rPr>
                <w:i/>
                <w:color w:val="231F20"/>
                <w:sz w:val="17"/>
              </w:rPr>
              <w:t>Total</w:t>
            </w:r>
          </w:p>
        </w:tc>
      </w:tr>
      <w:tr>
        <w:trPr>
          <w:trHeight w:val="303" w:hRule="exact"/>
        </w:trPr>
        <w:tc>
          <w:tcPr>
            <w:tcW w:w="702" w:type="dxa"/>
            <w:tcBorders>
              <w:top w:val="single" w:sz="3" w:space="0" w:color="231F20"/>
            </w:tcBorders>
          </w:tcPr>
          <w:p>
            <w:pPr>
              <w:pStyle w:val="TableParagraph"/>
              <w:spacing w:line="240" w:lineRule="auto" w:before="84"/>
              <w:ind w:left="164" w:right="162"/>
              <w:rPr>
                <w:sz w:val="17"/>
              </w:rPr>
            </w:pPr>
            <w:r>
              <w:rPr>
                <w:color w:val="231F20"/>
                <w:w w:val="105"/>
                <w:sz w:val="17"/>
              </w:rPr>
              <w:t>13.4</w:t>
            </w:r>
          </w:p>
        </w:tc>
        <w:tc>
          <w:tcPr>
            <w:tcW w:w="704" w:type="dxa"/>
            <w:tcBorders>
              <w:top w:val="single" w:sz="3" w:space="0" w:color="231F20"/>
            </w:tcBorders>
          </w:tcPr>
          <w:p>
            <w:pPr>
              <w:pStyle w:val="TableParagraph"/>
              <w:spacing w:line="240" w:lineRule="auto" w:before="84"/>
              <w:ind w:left="163" w:right="164"/>
              <w:rPr>
                <w:sz w:val="17"/>
              </w:rPr>
            </w:pPr>
            <w:r>
              <w:rPr>
                <w:color w:val="231F20"/>
                <w:w w:val="105"/>
                <w:sz w:val="17"/>
              </w:rPr>
              <w:t>17.5</w:t>
            </w:r>
          </w:p>
        </w:tc>
        <w:tc>
          <w:tcPr>
            <w:tcW w:w="708" w:type="dxa"/>
            <w:tcBorders>
              <w:top w:val="single" w:sz="3" w:space="0" w:color="231F20"/>
            </w:tcBorders>
          </w:tcPr>
          <w:p>
            <w:pPr>
              <w:pStyle w:val="TableParagraph"/>
              <w:spacing w:line="240" w:lineRule="auto" w:before="84"/>
              <w:ind w:left="167" w:right="167"/>
              <w:rPr>
                <w:sz w:val="17"/>
              </w:rPr>
            </w:pPr>
            <w:r>
              <w:rPr>
                <w:color w:val="231F20"/>
                <w:w w:val="105"/>
                <w:sz w:val="17"/>
              </w:rPr>
              <w:t>17.7</w:t>
            </w:r>
          </w:p>
        </w:tc>
        <w:tc>
          <w:tcPr>
            <w:tcW w:w="705" w:type="dxa"/>
            <w:tcBorders>
              <w:top w:val="single" w:sz="3" w:space="0" w:color="231F20"/>
            </w:tcBorders>
          </w:tcPr>
          <w:p>
            <w:pPr>
              <w:pStyle w:val="TableParagraph"/>
              <w:spacing w:line="240" w:lineRule="auto" w:before="84"/>
              <w:ind w:left="166" w:right="163"/>
              <w:rPr>
                <w:sz w:val="17"/>
              </w:rPr>
            </w:pPr>
            <w:r>
              <w:rPr>
                <w:color w:val="231F20"/>
                <w:w w:val="105"/>
                <w:sz w:val="17"/>
              </w:rPr>
              <w:t>15.6</w:t>
            </w:r>
          </w:p>
        </w:tc>
        <w:tc>
          <w:tcPr>
            <w:tcW w:w="729" w:type="dxa"/>
            <w:tcBorders>
              <w:top w:val="single" w:sz="3" w:space="0" w:color="231F20"/>
            </w:tcBorders>
          </w:tcPr>
          <w:p>
            <w:pPr>
              <w:pStyle w:val="TableParagraph"/>
              <w:spacing w:line="240" w:lineRule="auto" w:before="84"/>
              <w:ind w:left="165" w:right="189"/>
              <w:rPr>
                <w:sz w:val="17"/>
              </w:rPr>
            </w:pPr>
            <w:r>
              <w:rPr>
                <w:color w:val="231F20"/>
                <w:w w:val="105"/>
                <w:sz w:val="17"/>
              </w:rPr>
              <w:t>12.1</w:t>
            </w:r>
          </w:p>
        </w:tc>
        <w:tc>
          <w:tcPr>
            <w:tcW w:w="684" w:type="dxa"/>
            <w:tcBorders>
              <w:top w:val="single" w:sz="3" w:space="0" w:color="231F20"/>
            </w:tcBorders>
          </w:tcPr>
          <w:p>
            <w:pPr>
              <w:pStyle w:val="TableParagraph"/>
              <w:spacing w:line="240" w:lineRule="auto" w:before="84"/>
              <w:ind w:left="193" w:right="214"/>
              <w:rPr>
                <w:sz w:val="17"/>
              </w:rPr>
            </w:pPr>
            <w:r>
              <w:rPr>
                <w:color w:val="231F20"/>
                <w:w w:val="105"/>
                <w:sz w:val="17"/>
              </w:rPr>
              <w:t>8.6</w:t>
            </w:r>
          </w:p>
        </w:tc>
        <w:tc>
          <w:tcPr>
            <w:tcW w:w="702" w:type="dxa"/>
            <w:tcBorders>
              <w:top w:val="single" w:sz="3" w:space="0" w:color="231F20"/>
            </w:tcBorders>
          </w:tcPr>
          <w:p>
            <w:pPr>
              <w:pStyle w:val="TableParagraph"/>
              <w:spacing w:line="240" w:lineRule="auto" w:before="84"/>
              <w:ind w:left="216" w:right="210"/>
              <w:rPr>
                <w:sz w:val="17"/>
              </w:rPr>
            </w:pPr>
            <w:r>
              <w:rPr>
                <w:color w:val="231F20"/>
                <w:w w:val="105"/>
                <w:sz w:val="17"/>
              </w:rPr>
              <w:t>5.6</w:t>
            </w:r>
          </w:p>
        </w:tc>
        <w:tc>
          <w:tcPr>
            <w:tcW w:w="699" w:type="dxa"/>
            <w:tcBorders>
              <w:top w:val="single" w:sz="3" w:space="0" w:color="231F20"/>
            </w:tcBorders>
          </w:tcPr>
          <w:p>
            <w:pPr>
              <w:pStyle w:val="TableParagraph"/>
              <w:spacing w:line="240" w:lineRule="auto" w:before="84"/>
              <w:ind w:left="211" w:right="211"/>
              <w:rPr>
                <w:sz w:val="17"/>
              </w:rPr>
            </w:pPr>
            <w:r>
              <w:rPr>
                <w:color w:val="231F20"/>
                <w:w w:val="105"/>
                <w:sz w:val="17"/>
              </w:rPr>
              <w:t>3.7</w:t>
            </w:r>
          </w:p>
        </w:tc>
        <w:tc>
          <w:tcPr>
            <w:tcW w:w="664" w:type="dxa"/>
            <w:tcBorders>
              <w:top w:val="single" w:sz="3" w:space="0" w:color="231F20"/>
            </w:tcBorders>
          </w:tcPr>
          <w:p>
            <w:pPr>
              <w:pStyle w:val="TableParagraph"/>
              <w:spacing w:line="240" w:lineRule="auto" w:before="84"/>
              <w:ind w:right="192"/>
              <w:jc w:val="right"/>
              <w:rPr>
                <w:sz w:val="17"/>
              </w:rPr>
            </w:pPr>
            <w:r>
              <w:rPr>
                <w:color w:val="231F20"/>
                <w:w w:val="105"/>
                <w:sz w:val="17"/>
              </w:rPr>
              <w:t>5.7</w:t>
            </w:r>
          </w:p>
        </w:tc>
        <w:tc>
          <w:tcPr>
            <w:tcW w:w="719" w:type="dxa"/>
            <w:tcBorders>
              <w:top w:val="single" w:sz="3" w:space="0" w:color="231F20"/>
            </w:tcBorders>
          </w:tcPr>
          <w:p>
            <w:pPr>
              <w:pStyle w:val="TableParagraph"/>
              <w:spacing w:line="240" w:lineRule="auto" w:before="84"/>
              <w:ind w:left="173" w:right="127"/>
              <w:rPr>
                <w:sz w:val="17"/>
              </w:rPr>
            </w:pPr>
            <w:r>
              <w:rPr>
                <w:color w:val="231F20"/>
                <w:sz w:val="17"/>
              </w:rPr>
              <w:t>100</w:t>
            </w:r>
          </w:p>
        </w:tc>
      </w:tr>
      <w:tr>
        <w:trPr>
          <w:trHeight w:val="210" w:hRule="exact"/>
        </w:trPr>
        <w:tc>
          <w:tcPr>
            <w:tcW w:w="702" w:type="dxa"/>
          </w:tcPr>
          <w:p>
            <w:pPr>
              <w:pStyle w:val="TableParagraph"/>
              <w:ind w:left="164" w:right="162"/>
              <w:rPr>
                <w:sz w:val="17"/>
              </w:rPr>
            </w:pPr>
            <w:r>
              <w:rPr>
                <w:color w:val="231F20"/>
                <w:w w:val="105"/>
                <w:sz w:val="17"/>
              </w:rPr>
              <w:t>13.9</w:t>
            </w:r>
          </w:p>
        </w:tc>
        <w:tc>
          <w:tcPr>
            <w:tcW w:w="704" w:type="dxa"/>
          </w:tcPr>
          <w:p>
            <w:pPr>
              <w:pStyle w:val="TableParagraph"/>
              <w:ind w:left="163" w:right="164"/>
              <w:rPr>
                <w:sz w:val="17"/>
              </w:rPr>
            </w:pPr>
            <w:r>
              <w:rPr>
                <w:color w:val="231F20"/>
                <w:w w:val="105"/>
                <w:sz w:val="17"/>
              </w:rPr>
              <w:t>17.4</w:t>
            </w:r>
          </w:p>
        </w:tc>
        <w:tc>
          <w:tcPr>
            <w:tcW w:w="708" w:type="dxa"/>
          </w:tcPr>
          <w:p>
            <w:pPr>
              <w:pStyle w:val="TableParagraph"/>
              <w:ind w:left="167" w:right="167"/>
              <w:rPr>
                <w:sz w:val="17"/>
              </w:rPr>
            </w:pPr>
            <w:r>
              <w:rPr>
                <w:color w:val="231F20"/>
                <w:w w:val="105"/>
                <w:sz w:val="17"/>
              </w:rPr>
              <w:t>16.2</w:t>
            </w:r>
          </w:p>
        </w:tc>
        <w:tc>
          <w:tcPr>
            <w:tcW w:w="705" w:type="dxa"/>
          </w:tcPr>
          <w:p>
            <w:pPr>
              <w:pStyle w:val="TableParagraph"/>
              <w:ind w:left="166" w:right="163"/>
              <w:rPr>
                <w:sz w:val="17"/>
              </w:rPr>
            </w:pPr>
            <w:r>
              <w:rPr>
                <w:color w:val="231F20"/>
                <w:w w:val="105"/>
                <w:sz w:val="17"/>
              </w:rPr>
              <w:t>14.6</w:t>
            </w:r>
          </w:p>
        </w:tc>
        <w:tc>
          <w:tcPr>
            <w:tcW w:w="729" w:type="dxa"/>
          </w:tcPr>
          <w:p>
            <w:pPr>
              <w:pStyle w:val="TableParagraph"/>
              <w:ind w:left="165" w:right="189"/>
              <w:rPr>
                <w:sz w:val="17"/>
              </w:rPr>
            </w:pPr>
            <w:r>
              <w:rPr>
                <w:color w:val="231F20"/>
                <w:w w:val="105"/>
                <w:sz w:val="17"/>
              </w:rPr>
              <w:t>11.4</w:t>
            </w:r>
          </w:p>
        </w:tc>
        <w:tc>
          <w:tcPr>
            <w:tcW w:w="684" w:type="dxa"/>
          </w:tcPr>
          <w:p>
            <w:pPr>
              <w:pStyle w:val="TableParagraph"/>
              <w:ind w:left="193" w:right="214"/>
              <w:rPr>
                <w:sz w:val="17"/>
              </w:rPr>
            </w:pPr>
            <w:r>
              <w:rPr>
                <w:color w:val="231F20"/>
                <w:w w:val="105"/>
                <w:sz w:val="17"/>
              </w:rPr>
              <w:t>8.6</w:t>
            </w:r>
          </w:p>
        </w:tc>
        <w:tc>
          <w:tcPr>
            <w:tcW w:w="702" w:type="dxa"/>
          </w:tcPr>
          <w:p>
            <w:pPr>
              <w:pStyle w:val="TableParagraph"/>
              <w:ind w:left="216" w:right="210"/>
              <w:rPr>
                <w:sz w:val="17"/>
              </w:rPr>
            </w:pPr>
            <w:r>
              <w:rPr>
                <w:color w:val="231F20"/>
                <w:w w:val="105"/>
                <w:sz w:val="17"/>
              </w:rPr>
              <w:t>6.2</w:t>
            </w:r>
          </w:p>
        </w:tc>
        <w:tc>
          <w:tcPr>
            <w:tcW w:w="699" w:type="dxa"/>
          </w:tcPr>
          <w:p>
            <w:pPr>
              <w:pStyle w:val="TableParagraph"/>
              <w:ind w:left="211" w:right="211"/>
              <w:rPr>
                <w:sz w:val="17"/>
              </w:rPr>
            </w:pPr>
            <w:r>
              <w:rPr>
                <w:color w:val="231F20"/>
                <w:w w:val="105"/>
                <w:sz w:val="17"/>
              </w:rPr>
              <w:t>3.9</w:t>
            </w:r>
          </w:p>
        </w:tc>
        <w:tc>
          <w:tcPr>
            <w:tcW w:w="664" w:type="dxa"/>
          </w:tcPr>
          <w:p>
            <w:pPr>
              <w:pStyle w:val="TableParagraph"/>
              <w:ind w:right="192"/>
              <w:jc w:val="right"/>
              <w:rPr>
                <w:sz w:val="17"/>
              </w:rPr>
            </w:pPr>
            <w:r>
              <w:rPr>
                <w:color w:val="231F20"/>
                <w:w w:val="105"/>
                <w:sz w:val="17"/>
              </w:rPr>
              <w:t>7.8</w:t>
            </w:r>
          </w:p>
        </w:tc>
        <w:tc>
          <w:tcPr>
            <w:tcW w:w="719" w:type="dxa"/>
          </w:tcPr>
          <w:p>
            <w:pPr>
              <w:pStyle w:val="TableParagraph"/>
              <w:ind w:left="173" w:right="127"/>
              <w:rPr>
                <w:sz w:val="17"/>
              </w:rPr>
            </w:pPr>
            <w:r>
              <w:rPr>
                <w:color w:val="231F20"/>
                <w:sz w:val="17"/>
              </w:rPr>
              <w:t>100</w:t>
            </w:r>
          </w:p>
        </w:tc>
      </w:tr>
      <w:tr>
        <w:trPr>
          <w:trHeight w:val="210" w:hRule="exact"/>
        </w:trPr>
        <w:tc>
          <w:tcPr>
            <w:tcW w:w="702" w:type="dxa"/>
          </w:tcPr>
          <w:p>
            <w:pPr>
              <w:pStyle w:val="TableParagraph"/>
              <w:ind w:left="164" w:right="162"/>
              <w:rPr>
                <w:sz w:val="17"/>
              </w:rPr>
            </w:pPr>
            <w:r>
              <w:rPr>
                <w:color w:val="231F20"/>
                <w:w w:val="105"/>
                <w:sz w:val="17"/>
              </w:rPr>
              <w:t>13.0</w:t>
            </w:r>
          </w:p>
        </w:tc>
        <w:tc>
          <w:tcPr>
            <w:tcW w:w="704" w:type="dxa"/>
          </w:tcPr>
          <w:p>
            <w:pPr>
              <w:pStyle w:val="TableParagraph"/>
              <w:ind w:left="163" w:right="164"/>
              <w:rPr>
                <w:sz w:val="17"/>
              </w:rPr>
            </w:pPr>
            <w:r>
              <w:rPr>
                <w:color w:val="231F20"/>
                <w:w w:val="105"/>
                <w:sz w:val="17"/>
              </w:rPr>
              <w:t>18.0</w:t>
            </w:r>
          </w:p>
        </w:tc>
        <w:tc>
          <w:tcPr>
            <w:tcW w:w="708" w:type="dxa"/>
          </w:tcPr>
          <w:p>
            <w:pPr>
              <w:pStyle w:val="TableParagraph"/>
              <w:ind w:left="167" w:right="167"/>
              <w:rPr>
                <w:sz w:val="17"/>
              </w:rPr>
            </w:pPr>
            <w:r>
              <w:rPr>
                <w:color w:val="231F20"/>
                <w:w w:val="105"/>
                <w:sz w:val="17"/>
              </w:rPr>
              <w:t>19.2</w:t>
            </w:r>
          </w:p>
        </w:tc>
        <w:tc>
          <w:tcPr>
            <w:tcW w:w="705" w:type="dxa"/>
          </w:tcPr>
          <w:p>
            <w:pPr>
              <w:pStyle w:val="TableParagraph"/>
              <w:ind w:left="166" w:right="163"/>
              <w:rPr>
                <w:sz w:val="17"/>
              </w:rPr>
            </w:pPr>
            <w:r>
              <w:rPr>
                <w:color w:val="231F20"/>
                <w:w w:val="105"/>
                <w:sz w:val="17"/>
              </w:rPr>
              <w:t>17.1</w:t>
            </w:r>
          </w:p>
        </w:tc>
        <w:tc>
          <w:tcPr>
            <w:tcW w:w="729" w:type="dxa"/>
          </w:tcPr>
          <w:p>
            <w:pPr>
              <w:pStyle w:val="TableParagraph"/>
              <w:ind w:left="165" w:right="189"/>
              <w:rPr>
                <w:sz w:val="17"/>
              </w:rPr>
            </w:pPr>
            <w:r>
              <w:rPr>
                <w:color w:val="231F20"/>
                <w:w w:val="105"/>
                <w:sz w:val="17"/>
              </w:rPr>
              <w:t>12.4</w:t>
            </w:r>
          </w:p>
        </w:tc>
        <w:tc>
          <w:tcPr>
            <w:tcW w:w="684" w:type="dxa"/>
          </w:tcPr>
          <w:p>
            <w:pPr>
              <w:pStyle w:val="TableParagraph"/>
              <w:ind w:left="193" w:right="214"/>
              <w:rPr>
                <w:sz w:val="17"/>
              </w:rPr>
            </w:pPr>
            <w:r>
              <w:rPr>
                <w:color w:val="231F20"/>
                <w:w w:val="105"/>
                <w:sz w:val="17"/>
              </w:rPr>
              <w:t>8.3</w:t>
            </w:r>
          </w:p>
        </w:tc>
        <w:tc>
          <w:tcPr>
            <w:tcW w:w="702" w:type="dxa"/>
          </w:tcPr>
          <w:p>
            <w:pPr>
              <w:pStyle w:val="TableParagraph"/>
              <w:ind w:left="216" w:right="210"/>
              <w:rPr>
                <w:sz w:val="17"/>
              </w:rPr>
            </w:pPr>
            <w:r>
              <w:rPr>
                <w:color w:val="231F20"/>
                <w:w w:val="105"/>
                <w:sz w:val="17"/>
              </w:rPr>
              <w:t>5.0</w:t>
            </w:r>
          </w:p>
        </w:tc>
        <w:tc>
          <w:tcPr>
            <w:tcW w:w="699" w:type="dxa"/>
          </w:tcPr>
          <w:p>
            <w:pPr>
              <w:pStyle w:val="TableParagraph"/>
              <w:ind w:left="211" w:right="211"/>
              <w:rPr>
                <w:sz w:val="17"/>
              </w:rPr>
            </w:pPr>
            <w:r>
              <w:rPr>
                <w:color w:val="231F20"/>
                <w:w w:val="105"/>
                <w:sz w:val="17"/>
              </w:rPr>
              <w:t>3.0</w:t>
            </w:r>
          </w:p>
        </w:tc>
        <w:tc>
          <w:tcPr>
            <w:tcW w:w="664" w:type="dxa"/>
          </w:tcPr>
          <w:p>
            <w:pPr>
              <w:pStyle w:val="TableParagraph"/>
              <w:ind w:right="192"/>
              <w:jc w:val="right"/>
              <w:rPr>
                <w:sz w:val="17"/>
              </w:rPr>
            </w:pPr>
            <w:r>
              <w:rPr>
                <w:color w:val="231F20"/>
                <w:w w:val="105"/>
                <w:sz w:val="17"/>
              </w:rPr>
              <w:t>4.0</w:t>
            </w:r>
          </w:p>
        </w:tc>
        <w:tc>
          <w:tcPr>
            <w:tcW w:w="719" w:type="dxa"/>
          </w:tcPr>
          <w:p>
            <w:pPr>
              <w:pStyle w:val="TableParagraph"/>
              <w:ind w:left="173" w:right="127"/>
              <w:rPr>
                <w:sz w:val="17"/>
              </w:rPr>
            </w:pPr>
            <w:r>
              <w:rPr>
                <w:color w:val="231F20"/>
                <w:sz w:val="17"/>
              </w:rPr>
              <w:t>100</w:t>
            </w:r>
          </w:p>
        </w:tc>
      </w:tr>
      <w:tr>
        <w:trPr>
          <w:trHeight w:val="210" w:hRule="exact"/>
        </w:trPr>
        <w:tc>
          <w:tcPr>
            <w:tcW w:w="702" w:type="dxa"/>
          </w:tcPr>
          <w:p>
            <w:pPr>
              <w:pStyle w:val="TableParagraph"/>
              <w:ind w:left="164" w:right="162"/>
              <w:rPr>
                <w:sz w:val="17"/>
              </w:rPr>
            </w:pPr>
            <w:r>
              <w:rPr>
                <w:color w:val="231F20"/>
                <w:w w:val="105"/>
                <w:sz w:val="17"/>
              </w:rPr>
              <w:t>10.7</w:t>
            </w:r>
          </w:p>
        </w:tc>
        <w:tc>
          <w:tcPr>
            <w:tcW w:w="704" w:type="dxa"/>
          </w:tcPr>
          <w:p>
            <w:pPr>
              <w:pStyle w:val="TableParagraph"/>
              <w:ind w:left="163" w:right="164"/>
              <w:rPr>
                <w:sz w:val="17"/>
              </w:rPr>
            </w:pPr>
            <w:r>
              <w:rPr>
                <w:color w:val="231F20"/>
                <w:w w:val="105"/>
                <w:sz w:val="17"/>
              </w:rPr>
              <w:t>19.0</w:t>
            </w:r>
          </w:p>
        </w:tc>
        <w:tc>
          <w:tcPr>
            <w:tcW w:w="708" w:type="dxa"/>
          </w:tcPr>
          <w:p>
            <w:pPr>
              <w:pStyle w:val="TableParagraph"/>
              <w:ind w:left="167" w:right="167"/>
              <w:rPr>
                <w:sz w:val="17"/>
              </w:rPr>
            </w:pPr>
            <w:r>
              <w:rPr>
                <w:color w:val="231F20"/>
                <w:w w:val="105"/>
                <w:sz w:val="17"/>
              </w:rPr>
              <w:t>19.8</w:t>
            </w:r>
          </w:p>
        </w:tc>
        <w:tc>
          <w:tcPr>
            <w:tcW w:w="705" w:type="dxa"/>
          </w:tcPr>
          <w:p>
            <w:pPr>
              <w:pStyle w:val="TableParagraph"/>
              <w:ind w:left="166" w:right="163"/>
              <w:rPr>
                <w:sz w:val="17"/>
              </w:rPr>
            </w:pPr>
            <w:r>
              <w:rPr>
                <w:color w:val="231F20"/>
                <w:w w:val="105"/>
                <w:sz w:val="17"/>
              </w:rPr>
              <w:t>16.5</w:t>
            </w:r>
          </w:p>
        </w:tc>
        <w:tc>
          <w:tcPr>
            <w:tcW w:w="729" w:type="dxa"/>
          </w:tcPr>
          <w:p>
            <w:pPr>
              <w:pStyle w:val="TableParagraph"/>
              <w:ind w:left="165" w:right="189"/>
              <w:rPr>
                <w:sz w:val="17"/>
              </w:rPr>
            </w:pPr>
            <w:r>
              <w:rPr>
                <w:color w:val="231F20"/>
                <w:w w:val="105"/>
                <w:sz w:val="17"/>
              </w:rPr>
              <w:t>12.5</w:t>
            </w:r>
          </w:p>
        </w:tc>
        <w:tc>
          <w:tcPr>
            <w:tcW w:w="684" w:type="dxa"/>
          </w:tcPr>
          <w:p>
            <w:pPr>
              <w:pStyle w:val="TableParagraph"/>
              <w:ind w:left="193" w:right="214"/>
              <w:rPr>
                <w:sz w:val="17"/>
              </w:rPr>
            </w:pPr>
            <w:r>
              <w:rPr>
                <w:color w:val="231F20"/>
                <w:w w:val="105"/>
                <w:sz w:val="17"/>
              </w:rPr>
              <w:t>8.1</w:t>
            </w:r>
          </w:p>
        </w:tc>
        <w:tc>
          <w:tcPr>
            <w:tcW w:w="702" w:type="dxa"/>
          </w:tcPr>
          <w:p>
            <w:pPr>
              <w:pStyle w:val="TableParagraph"/>
              <w:ind w:left="216" w:right="210"/>
              <w:rPr>
                <w:sz w:val="17"/>
              </w:rPr>
            </w:pPr>
            <w:r>
              <w:rPr>
                <w:color w:val="231F20"/>
                <w:w w:val="105"/>
                <w:sz w:val="17"/>
              </w:rPr>
              <w:t>5.7</w:t>
            </w:r>
          </w:p>
        </w:tc>
        <w:tc>
          <w:tcPr>
            <w:tcW w:w="699" w:type="dxa"/>
          </w:tcPr>
          <w:p>
            <w:pPr>
              <w:pStyle w:val="TableParagraph"/>
              <w:ind w:left="211" w:right="211"/>
              <w:rPr>
                <w:sz w:val="17"/>
              </w:rPr>
            </w:pPr>
            <w:r>
              <w:rPr>
                <w:color w:val="231F20"/>
                <w:w w:val="105"/>
                <w:sz w:val="17"/>
              </w:rPr>
              <w:t>3.5</w:t>
            </w:r>
          </w:p>
        </w:tc>
        <w:tc>
          <w:tcPr>
            <w:tcW w:w="664" w:type="dxa"/>
          </w:tcPr>
          <w:p>
            <w:pPr>
              <w:pStyle w:val="TableParagraph"/>
              <w:ind w:right="192"/>
              <w:jc w:val="right"/>
              <w:rPr>
                <w:sz w:val="17"/>
              </w:rPr>
            </w:pPr>
            <w:r>
              <w:rPr>
                <w:color w:val="231F20"/>
                <w:w w:val="105"/>
                <w:sz w:val="17"/>
              </w:rPr>
              <w:t>4.3</w:t>
            </w:r>
          </w:p>
        </w:tc>
        <w:tc>
          <w:tcPr>
            <w:tcW w:w="719" w:type="dxa"/>
          </w:tcPr>
          <w:p>
            <w:pPr>
              <w:pStyle w:val="TableParagraph"/>
              <w:ind w:left="173" w:right="127"/>
              <w:rPr>
                <w:sz w:val="17"/>
              </w:rPr>
            </w:pPr>
            <w:r>
              <w:rPr>
                <w:color w:val="231F20"/>
                <w:sz w:val="17"/>
              </w:rPr>
              <w:t>100</w:t>
            </w:r>
          </w:p>
        </w:tc>
      </w:tr>
      <w:tr>
        <w:trPr>
          <w:trHeight w:val="210" w:hRule="exact"/>
        </w:trPr>
        <w:tc>
          <w:tcPr>
            <w:tcW w:w="702" w:type="dxa"/>
          </w:tcPr>
          <w:p>
            <w:pPr>
              <w:pStyle w:val="TableParagraph"/>
              <w:ind w:left="164" w:right="162"/>
              <w:rPr>
                <w:sz w:val="17"/>
              </w:rPr>
            </w:pPr>
            <w:r>
              <w:rPr>
                <w:color w:val="231F20"/>
                <w:w w:val="105"/>
                <w:sz w:val="17"/>
              </w:rPr>
              <w:t>11.8</w:t>
            </w:r>
          </w:p>
        </w:tc>
        <w:tc>
          <w:tcPr>
            <w:tcW w:w="704" w:type="dxa"/>
          </w:tcPr>
          <w:p>
            <w:pPr>
              <w:pStyle w:val="TableParagraph"/>
              <w:ind w:left="163" w:right="164"/>
              <w:rPr>
                <w:sz w:val="17"/>
              </w:rPr>
            </w:pPr>
            <w:r>
              <w:rPr>
                <w:color w:val="231F20"/>
                <w:w w:val="105"/>
                <w:sz w:val="17"/>
              </w:rPr>
              <w:t>18.5</w:t>
            </w:r>
          </w:p>
        </w:tc>
        <w:tc>
          <w:tcPr>
            <w:tcW w:w="708" w:type="dxa"/>
          </w:tcPr>
          <w:p>
            <w:pPr>
              <w:pStyle w:val="TableParagraph"/>
              <w:ind w:left="167" w:right="167"/>
              <w:rPr>
                <w:sz w:val="17"/>
              </w:rPr>
            </w:pPr>
            <w:r>
              <w:rPr>
                <w:color w:val="231F20"/>
                <w:w w:val="105"/>
                <w:sz w:val="17"/>
              </w:rPr>
              <w:t>19.0</w:t>
            </w:r>
          </w:p>
        </w:tc>
        <w:tc>
          <w:tcPr>
            <w:tcW w:w="705" w:type="dxa"/>
          </w:tcPr>
          <w:p>
            <w:pPr>
              <w:pStyle w:val="TableParagraph"/>
              <w:ind w:left="166" w:right="163"/>
              <w:rPr>
                <w:sz w:val="17"/>
              </w:rPr>
            </w:pPr>
            <w:r>
              <w:rPr>
                <w:color w:val="231F20"/>
                <w:w w:val="105"/>
                <w:sz w:val="17"/>
              </w:rPr>
              <w:t>16.5</w:t>
            </w:r>
          </w:p>
        </w:tc>
        <w:tc>
          <w:tcPr>
            <w:tcW w:w="729" w:type="dxa"/>
          </w:tcPr>
          <w:p>
            <w:pPr>
              <w:pStyle w:val="TableParagraph"/>
              <w:ind w:left="165" w:right="189"/>
              <w:rPr>
                <w:sz w:val="17"/>
              </w:rPr>
            </w:pPr>
            <w:r>
              <w:rPr>
                <w:color w:val="231F20"/>
                <w:w w:val="105"/>
                <w:sz w:val="17"/>
              </w:rPr>
              <w:t>12.8</w:t>
            </w:r>
          </w:p>
        </w:tc>
        <w:tc>
          <w:tcPr>
            <w:tcW w:w="684" w:type="dxa"/>
          </w:tcPr>
          <w:p>
            <w:pPr>
              <w:pStyle w:val="TableParagraph"/>
              <w:ind w:left="193" w:right="214"/>
              <w:rPr>
                <w:sz w:val="17"/>
              </w:rPr>
            </w:pPr>
            <w:r>
              <w:rPr>
                <w:color w:val="231F20"/>
                <w:w w:val="105"/>
                <w:sz w:val="17"/>
              </w:rPr>
              <w:t>8.0</w:t>
            </w:r>
          </w:p>
        </w:tc>
        <w:tc>
          <w:tcPr>
            <w:tcW w:w="702" w:type="dxa"/>
          </w:tcPr>
          <w:p>
            <w:pPr>
              <w:pStyle w:val="TableParagraph"/>
              <w:ind w:left="216" w:right="210"/>
              <w:rPr>
                <w:sz w:val="17"/>
              </w:rPr>
            </w:pPr>
            <w:r>
              <w:rPr>
                <w:color w:val="231F20"/>
                <w:w w:val="105"/>
                <w:sz w:val="17"/>
              </w:rPr>
              <w:t>5.4</w:t>
            </w:r>
          </w:p>
        </w:tc>
        <w:tc>
          <w:tcPr>
            <w:tcW w:w="699" w:type="dxa"/>
          </w:tcPr>
          <w:p>
            <w:pPr>
              <w:pStyle w:val="TableParagraph"/>
              <w:ind w:left="211" w:right="211"/>
              <w:rPr>
                <w:sz w:val="17"/>
              </w:rPr>
            </w:pPr>
            <w:r>
              <w:rPr>
                <w:color w:val="231F20"/>
                <w:w w:val="105"/>
                <w:sz w:val="17"/>
              </w:rPr>
              <w:t>3.2</w:t>
            </w:r>
          </w:p>
        </w:tc>
        <w:tc>
          <w:tcPr>
            <w:tcW w:w="664" w:type="dxa"/>
          </w:tcPr>
          <w:p>
            <w:pPr>
              <w:pStyle w:val="TableParagraph"/>
              <w:ind w:right="192"/>
              <w:jc w:val="right"/>
              <w:rPr>
                <w:sz w:val="17"/>
              </w:rPr>
            </w:pPr>
            <w:r>
              <w:rPr>
                <w:color w:val="231F20"/>
                <w:w w:val="105"/>
                <w:sz w:val="17"/>
              </w:rPr>
              <w:t>4.7</w:t>
            </w:r>
          </w:p>
        </w:tc>
        <w:tc>
          <w:tcPr>
            <w:tcW w:w="719" w:type="dxa"/>
          </w:tcPr>
          <w:p>
            <w:pPr>
              <w:pStyle w:val="TableParagraph"/>
              <w:ind w:left="173" w:right="127"/>
              <w:rPr>
                <w:sz w:val="17"/>
              </w:rPr>
            </w:pPr>
            <w:r>
              <w:rPr>
                <w:color w:val="231F20"/>
                <w:sz w:val="17"/>
              </w:rPr>
              <w:t>100</w:t>
            </w:r>
          </w:p>
        </w:tc>
      </w:tr>
      <w:tr>
        <w:trPr>
          <w:trHeight w:val="230" w:hRule="exact"/>
        </w:trPr>
        <w:tc>
          <w:tcPr>
            <w:tcW w:w="702" w:type="dxa"/>
          </w:tcPr>
          <w:p>
            <w:pPr>
              <w:pStyle w:val="TableParagraph"/>
              <w:ind w:left="164" w:right="162"/>
              <w:rPr>
                <w:sz w:val="17"/>
              </w:rPr>
            </w:pPr>
            <w:r>
              <w:rPr>
                <w:color w:val="231F20"/>
                <w:w w:val="105"/>
                <w:sz w:val="17"/>
              </w:rPr>
              <w:t>14.9</w:t>
            </w:r>
          </w:p>
        </w:tc>
        <w:tc>
          <w:tcPr>
            <w:tcW w:w="704" w:type="dxa"/>
          </w:tcPr>
          <w:p>
            <w:pPr>
              <w:pStyle w:val="TableParagraph"/>
              <w:ind w:left="163" w:right="164"/>
              <w:rPr>
                <w:sz w:val="17"/>
              </w:rPr>
            </w:pPr>
            <w:r>
              <w:rPr>
                <w:color w:val="231F20"/>
                <w:w w:val="105"/>
                <w:sz w:val="17"/>
              </w:rPr>
              <w:t>18.7</w:t>
            </w:r>
          </w:p>
        </w:tc>
        <w:tc>
          <w:tcPr>
            <w:tcW w:w="708" w:type="dxa"/>
          </w:tcPr>
          <w:p>
            <w:pPr>
              <w:pStyle w:val="TableParagraph"/>
              <w:ind w:left="167" w:right="167"/>
              <w:rPr>
                <w:sz w:val="17"/>
              </w:rPr>
            </w:pPr>
            <w:r>
              <w:rPr>
                <w:color w:val="231F20"/>
                <w:w w:val="105"/>
                <w:sz w:val="17"/>
              </w:rPr>
              <w:t>18.0</w:t>
            </w:r>
          </w:p>
        </w:tc>
        <w:tc>
          <w:tcPr>
            <w:tcW w:w="705" w:type="dxa"/>
          </w:tcPr>
          <w:p>
            <w:pPr>
              <w:pStyle w:val="TableParagraph"/>
              <w:ind w:left="166" w:right="163"/>
              <w:rPr>
                <w:sz w:val="17"/>
              </w:rPr>
            </w:pPr>
            <w:r>
              <w:rPr>
                <w:color w:val="231F20"/>
                <w:w w:val="105"/>
                <w:sz w:val="17"/>
              </w:rPr>
              <w:t>15.8</w:t>
            </w:r>
          </w:p>
        </w:tc>
        <w:tc>
          <w:tcPr>
            <w:tcW w:w="729" w:type="dxa"/>
          </w:tcPr>
          <w:p>
            <w:pPr>
              <w:pStyle w:val="TableParagraph"/>
              <w:ind w:left="165" w:right="189"/>
              <w:rPr>
                <w:sz w:val="17"/>
              </w:rPr>
            </w:pPr>
            <w:r>
              <w:rPr>
                <w:color w:val="231F20"/>
                <w:w w:val="105"/>
                <w:sz w:val="17"/>
              </w:rPr>
              <w:t>12.0</w:t>
            </w:r>
          </w:p>
        </w:tc>
        <w:tc>
          <w:tcPr>
            <w:tcW w:w="684" w:type="dxa"/>
          </w:tcPr>
          <w:p>
            <w:pPr>
              <w:pStyle w:val="TableParagraph"/>
              <w:ind w:left="193" w:right="214"/>
              <w:rPr>
                <w:sz w:val="17"/>
              </w:rPr>
            </w:pPr>
            <w:r>
              <w:rPr>
                <w:color w:val="231F20"/>
                <w:w w:val="105"/>
                <w:sz w:val="17"/>
              </w:rPr>
              <w:t>8.2</w:t>
            </w:r>
          </w:p>
        </w:tc>
        <w:tc>
          <w:tcPr>
            <w:tcW w:w="702" w:type="dxa"/>
          </w:tcPr>
          <w:p>
            <w:pPr>
              <w:pStyle w:val="TableParagraph"/>
              <w:ind w:left="216" w:right="210"/>
              <w:rPr>
                <w:sz w:val="17"/>
              </w:rPr>
            </w:pPr>
            <w:r>
              <w:rPr>
                <w:color w:val="231F20"/>
                <w:w w:val="105"/>
                <w:sz w:val="17"/>
              </w:rPr>
              <w:t>4.9</w:t>
            </w:r>
          </w:p>
        </w:tc>
        <w:tc>
          <w:tcPr>
            <w:tcW w:w="699" w:type="dxa"/>
          </w:tcPr>
          <w:p>
            <w:pPr>
              <w:pStyle w:val="TableParagraph"/>
              <w:ind w:left="211" w:right="211"/>
              <w:rPr>
                <w:sz w:val="17"/>
              </w:rPr>
            </w:pPr>
            <w:r>
              <w:rPr>
                <w:color w:val="231F20"/>
                <w:w w:val="105"/>
                <w:sz w:val="17"/>
              </w:rPr>
              <w:t>3.1</w:t>
            </w:r>
          </w:p>
        </w:tc>
        <w:tc>
          <w:tcPr>
            <w:tcW w:w="664" w:type="dxa"/>
          </w:tcPr>
          <w:p>
            <w:pPr>
              <w:pStyle w:val="TableParagraph"/>
              <w:ind w:right="192"/>
              <w:jc w:val="right"/>
              <w:rPr>
                <w:sz w:val="17"/>
              </w:rPr>
            </w:pPr>
            <w:r>
              <w:rPr>
                <w:color w:val="231F20"/>
                <w:w w:val="105"/>
                <w:sz w:val="17"/>
              </w:rPr>
              <w:t>4.5</w:t>
            </w:r>
          </w:p>
        </w:tc>
        <w:tc>
          <w:tcPr>
            <w:tcW w:w="719" w:type="dxa"/>
          </w:tcPr>
          <w:p>
            <w:pPr>
              <w:pStyle w:val="TableParagraph"/>
              <w:ind w:left="173" w:right="127"/>
              <w:rPr>
                <w:sz w:val="17"/>
              </w:rPr>
            </w:pPr>
            <w:r>
              <w:rPr>
                <w:color w:val="231F20"/>
                <w:sz w:val="17"/>
              </w:rPr>
              <w:t>100</w:t>
            </w:r>
          </w:p>
        </w:tc>
      </w:tr>
      <w:tr>
        <w:trPr>
          <w:trHeight w:val="230" w:hRule="exact"/>
        </w:trPr>
        <w:tc>
          <w:tcPr>
            <w:tcW w:w="702" w:type="dxa"/>
          </w:tcPr>
          <w:p>
            <w:pPr>
              <w:pStyle w:val="TableParagraph"/>
              <w:spacing w:line="240" w:lineRule="auto" w:before="15"/>
              <w:ind w:left="164" w:right="162"/>
              <w:rPr>
                <w:sz w:val="17"/>
              </w:rPr>
            </w:pPr>
            <w:r>
              <w:rPr>
                <w:color w:val="231F20"/>
                <w:w w:val="105"/>
                <w:sz w:val="17"/>
              </w:rPr>
              <w:t>15.6</w:t>
            </w:r>
          </w:p>
        </w:tc>
        <w:tc>
          <w:tcPr>
            <w:tcW w:w="704" w:type="dxa"/>
          </w:tcPr>
          <w:p>
            <w:pPr>
              <w:pStyle w:val="TableParagraph"/>
              <w:spacing w:line="240" w:lineRule="auto" w:before="15"/>
              <w:ind w:left="163" w:right="164"/>
              <w:rPr>
                <w:sz w:val="17"/>
              </w:rPr>
            </w:pPr>
            <w:r>
              <w:rPr>
                <w:color w:val="231F20"/>
                <w:w w:val="105"/>
                <w:sz w:val="17"/>
              </w:rPr>
              <w:t>17.7</w:t>
            </w:r>
          </w:p>
        </w:tc>
        <w:tc>
          <w:tcPr>
            <w:tcW w:w="708" w:type="dxa"/>
          </w:tcPr>
          <w:p>
            <w:pPr>
              <w:pStyle w:val="TableParagraph"/>
              <w:spacing w:line="240" w:lineRule="auto" w:before="15"/>
              <w:ind w:left="167" w:right="167"/>
              <w:rPr>
                <w:sz w:val="17"/>
              </w:rPr>
            </w:pPr>
            <w:r>
              <w:rPr>
                <w:color w:val="231F20"/>
                <w:w w:val="105"/>
                <w:sz w:val="17"/>
              </w:rPr>
              <w:t>18.1</w:t>
            </w:r>
          </w:p>
        </w:tc>
        <w:tc>
          <w:tcPr>
            <w:tcW w:w="705" w:type="dxa"/>
          </w:tcPr>
          <w:p>
            <w:pPr>
              <w:pStyle w:val="TableParagraph"/>
              <w:spacing w:line="240" w:lineRule="auto" w:before="15"/>
              <w:ind w:left="166" w:right="163"/>
              <w:rPr>
                <w:sz w:val="17"/>
              </w:rPr>
            </w:pPr>
            <w:r>
              <w:rPr>
                <w:color w:val="231F20"/>
                <w:w w:val="105"/>
                <w:sz w:val="17"/>
              </w:rPr>
              <w:t>15.3</w:t>
            </w:r>
          </w:p>
        </w:tc>
        <w:tc>
          <w:tcPr>
            <w:tcW w:w="729" w:type="dxa"/>
          </w:tcPr>
          <w:p>
            <w:pPr>
              <w:pStyle w:val="TableParagraph"/>
              <w:spacing w:line="240" w:lineRule="auto" w:before="15"/>
              <w:ind w:left="165" w:right="189"/>
              <w:rPr>
                <w:sz w:val="17"/>
              </w:rPr>
            </w:pPr>
            <w:r>
              <w:rPr>
                <w:color w:val="231F20"/>
                <w:w w:val="105"/>
                <w:sz w:val="17"/>
              </w:rPr>
              <w:t>11.9</w:t>
            </w:r>
          </w:p>
        </w:tc>
        <w:tc>
          <w:tcPr>
            <w:tcW w:w="684" w:type="dxa"/>
          </w:tcPr>
          <w:p>
            <w:pPr>
              <w:pStyle w:val="TableParagraph"/>
              <w:spacing w:line="240" w:lineRule="auto" w:before="15"/>
              <w:ind w:left="193" w:right="214"/>
              <w:rPr>
                <w:sz w:val="17"/>
              </w:rPr>
            </w:pPr>
            <w:r>
              <w:rPr>
                <w:color w:val="231F20"/>
                <w:w w:val="105"/>
                <w:sz w:val="17"/>
              </w:rPr>
              <w:t>8.2</w:t>
            </w:r>
          </w:p>
        </w:tc>
        <w:tc>
          <w:tcPr>
            <w:tcW w:w="702" w:type="dxa"/>
          </w:tcPr>
          <w:p>
            <w:pPr>
              <w:pStyle w:val="TableParagraph"/>
              <w:spacing w:line="240" w:lineRule="auto" w:before="15"/>
              <w:ind w:left="216" w:right="210"/>
              <w:rPr>
                <w:sz w:val="17"/>
              </w:rPr>
            </w:pPr>
            <w:r>
              <w:rPr>
                <w:color w:val="231F20"/>
                <w:w w:val="105"/>
                <w:sz w:val="17"/>
              </w:rPr>
              <w:t>5.3</w:t>
            </w:r>
          </w:p>
        </w:tc>
        <w:tc>
          <w:tcPr>
            <w:tcW w:w="699" w:type="dxa"/>
          </w:tcPr>
          <w:p>
            <w:pPr>
              <w:pStyle w:val="TableParagraph"/>
              <w:spacing w:line="240" w:lineRule="auto" w:before="15"/>
              <w:ind w:left="211" w:right="211"/>
              <w:rPr>
                <w:sz w:val="17"/>
              </w:rPr>
            </w:pPr>
            <w:r>
              <w:rPr>
                <w:color w:val="231F20"/>
                <w:w w:val="105"/>
                <w:sz w:val="17"/>
              </w:rPr>
              <w:t>3.4</w:t>
            </w:r>
          </w:p>
        </w:tc>
        <w:tc>
          <w:tcPr>
            <w:tcW w:w="664" w:type="dxa"/>
          </w:tcPr>
          <w:p>
            <w:pPr>
              <w:pStyle w:val="TableParagraph"/>
              <w:spacing w:line="240" w:lineRule="auto" w:before="15"/>
              <w:ind w:right="192"/>
              <w:jc w:val="right"/>
              <w:rPr>
                <w:sz w:val="17"/>
              </w:rPr>
            </w:pPr>
            <w:r>
              <w:rPr>
                <w:color w:val="231F20"/>
                <w:w w:val="105"/>
                <w:sz w:val="17"/>
              </w:rPr>
              <w:t>4.5</w:t>
            </w:r>
          </w:p>
        </w:tc>
        <w:tc>
          <w:tcPr>
            <w:tcW w:w="719" w:type="dxa"/>
          </w:tcPr>
          <w:p>
            <w:pPr>
              <w:pStyle w:val="TableParagraph"/>
              <w:spacing w:line="240" w:lineRule="auto" w:before="15"/>
              <w:ind w:left="173" w:right="127"/>
              <w:rPr>
                <w:sz w:val="17"/>
              </w:rPr>
            </w:pPr>
            <w:r>
              <w:rPr>
                <w:color w:val="231F20"/>
                <w:sz w:val="17"/>
              </w:rPr>
              <w:t>100</w:t>
            </w:r>
          </w:p>
        </w:tc>
      </w:tr>
      <w:tr>
        <w:trPr>
          <w:trHeight w:val="210" w:hRule="exact"/>
        </w:trPr>
        <w:tc>
          <w:tcPr>
            <w:tcW w:w="702" w:type="dxa"/>
          </w:tcPr>
          <w:p>
            <w:pPr>
              <w:pStyle w:val="TableParagraph"/>
              <w:ind w:left="164" w:right="162"/>
              <w:rPr>
                <w:sz w:val="17"/>
              </w:rPr>
            </w:pPr>
            <w:r>
              <w:rPr>
                <w:color w:val="231F20"/>
                <w:w w:val="105"/>
                <w:sz w:val="17"/>
              </w:rPr>
              <w:t>10.7</w:t>
            </w:r>
          </w:p>
        </w:tc>
        <w:tc>
          <w:tcPr>
            <w:tcW w:w="704" w:type="dxa"/>
          </w:tcPr>
          <w:p>
            <w:pPr>
              <w:pStyle w:val="TableParagraph"/>
              <w:ind w:left="163" w:right="164"/>
              <w:rPr>
                <w:sz w:val="17"/>
              </w:rPr>
            </w:pPr>
            <w:r>
              <w:rPr>
                <w:color w:val="231F20"/>
                <w:w w:val="105"/>
                <w:sz w:val="17"/>
              </w:rPr>
              <w:t>16.3</w:t>
            </w:r>
          </w:p>
        </w:tc>
        <w:tc>
          <w:tcPr>
            <w:tcW w:w="708" w:type="dxa"/>
          </w:tcPr>
          <w:p>
            <w:pPr>
              <w:pStyle w:val="TableParagraph"/>
              <w:ind w:left="167" w:right="167"/>
              <w:rPr>
                <w:sz w:val="17"/>
              </w:rPr>
            </w:pPr>
            <w:r>
              <w:rPr>
                <w:color w:val="231F20"/>
                <w:w w:val="105"/>
                <w:sz w:val="17"/>
              </w:rPr>
              <w:t>17.3</w:t>
            </w:r>
          </w:p>
        </w:tc>
        <w:tc>
          <w:tcPr>
            <w:tcW w:w="705" w:type="dxa"/>
          </w:tcPr>
          <w:p>
            <w:pPr>
              <w:pStyle w:val="TableParagraph"/>
              <w:ind w:left="166" w:right="163"/>
              <w:rPr>
                <w:sz w:val="17"/>
              </w:rPr>
            </w:pPr>
            <w:r>
              <w:rPr>
                <w:color w:val="231F20"/>
                <w:w w:val="105"/>
                <w:sz w:val="17"/>
              </w:rPr>
              <w:t>16.2</w:t>
            </w:r>
          </w:p>
        </w:tc>
        <w:tc>
          <w:tcPr>
            <w:tcW w:w="729" w:type="dxa"/>
          </w:tcPr>
          <w:p>
            <w:pPr>
              <w:pStyle w:val="TableParagraph"/>
              <w:ind w:left="165" w:right="189"/>
              <w:rPr>
                <w:sz w:val="17"/>
              </w:rPr>
            </w:pPr>
            <w:r>
              <w:rPr>
                <w:color w:val="231F20"/>
                <w:w w:val="105"/>
                <w:sz w:val="17"/>
              </w:rPr>
              <w:t>12.9</w:t>
            </w:r>
          </w:p>
        </w:tc>
        <w:tc>
          <w:tcPr>
            <w:tcW w:w="684" w:type="dxa"/>
          </w:tcPr>
          <w:p>
            <w:pPr>
              <w:pStyle w:val="TableParagraph"/>
              <w:ind w:left="193" w:right="214"/>
              <w:rPr>
                <w:sz w:val="17"/>
              </w:rPr>
            </w:pPr>
            <w:r>
              <w:rPr>
                <w:color w:val="231F20"/>
                <w:w w:val="105"/>
                <w:sz w:val="17"/>
              </w:rPr>
              <w:t>9.5</w:t>
            </w:r>
          </w:p>
        </w:tc>
        <w:tc>
          <w:tcPr>
            <w:tcW w:w="702" w:type="dxa"/>
          </w:tcPr>
          <w:p>
            <w:pPr>
              <w:pStyle w:val="TableParagraph"/>
              <w:ind w:left="216" w:right="210"/>
              <w:rPr>
                <w:sz w:val="17"/>
              </w:rPr>
            </w:pPr>
            <w:r>
              <w:rPr>
                <w:color w:val="231F20"/>
                <w:w w:val="105"/>
                <w:sz w:val="17"/>
              </w:rPr>
              <w:t>6.7</w:t>
            </w:r>
          </w:p>
        </w:tc>
        <w:tc>
          <w:tcPr>
            <w:tcW w:w="699" w:type="dxa"/>
          </w:tcPr>
          <w:p>
            <w:pPr>
              <w:pStyle w:val="TableParagraph"/>
              <w:ind w:left="211" w:right="211"/>
              <w:rPr>
                <w:sz w:val="17"/>
              </w:rPr>
            </w:pPr>
            <w:r>
              <w:rPr>
                <w:color w:val="231F20"/>
                <w:w w:val="105"/>
                <w:sz w:val="17"/>
              </w:rPr>
              <w:t>4.2</w:t>
            </w:r>
          </w:p>
        </w:tc>
        <w:tc>
          <w:tcPr>
            <w:tcW w:w="664" w:type="dxa"/>
          </w:tcPr>
          <w:p>
            <w:pPr>
              <w:pStyle w:val="TableParagraph"/>
              <w:ind w:right="192"/>
              <w:jc w:val="right"/>
              <w:rPr>
                <w:sz w:val="17"/>
              </w:rPr>
            </w:pPr>
            <w:r>
              <w:rPr>
                <w:color w:val="231F20"/>
                <w:w w:val="105"/>
                <w:sz w:val="17"/>
              </w:rPr>
              <w:t>6.2</w:t>
            </w:r>
          </w:p>
        </w:tc>
        <w:tc>
          <w:tcPr>
            <w:tcW w:w="719" w:type="dxa"/>
          </w:tcPr>
          <w:p>
            <w:pPr>
              <w:pStyle w:val="TableParagraph"/>
              <w:ind w:left="173" w:right="127"/>
              <w:rPr>
                <w:sz w:val="17"/>
              </w:rPr>
            </w:pPr>
            <w:r>
              <w:rPr>
                <w:color w:val="231F20"/>
                <w:sz w:val="17"/>
              </w:rPr>
              <w:t>100</w:t>
            </w:r>
          </w:p>
        </w:tc>
      </w:tr>
      <w:tr>
        <w:trPr>
          <w:trHeight w:val="210" w:hRule="exact"/>
        </w:trPr>
        <w:tc>
          <w:tcPr>
            <w:tcW w:w="702" w:type="dxa"/>
          </w:tcPr>
          <w:p>
            <w:pPr>
              <w:pStyle w:val="TableParagraph"/>
              <w:ind w:left="164" w:right="162"/>
              <w:rPr>
                <w:sz w:val="17"/>
              </w:rPr>
            </w:pPr>
            <w:r>
              <w:rPr>
                <w:color w:val="231F20"/>
                <w:w w:val="105"/>
                <w:sz w:val="17"/>
              </w:rPr>
              <w:t>14.2</w:t>
            </w:r>
          </w:p>
        </w:tc>
        <w:tc>
          <w:tcPr>
            <w:tcW w:w="704" w:type="dxa"/>
          </w:tcPr>
          <w:p>
            <w:pPr>
              <w:pStyle w:val="TableParagraph"/>
              <w:ind w:left="163" w:right="164"/>
              <w:rPr>
                <w:sz w:val="17"/>
              </w:rPr>
            </w:pPr>
            <w:r>
              <w:rPr>
                <w:color w:val="231F20"/>
                <w:w w:val="105"/>
                <w:sz w:val="17"/>
              </w:rPr>
              <w:t>18.9</w:t>
            </w:r>
          </w:p>
        </w:tc>
        <w:tc>
          <w:tcPr>
            <w:tcW w:w="708" w:type="dxa"/>
          </w:tcPr>
          <w:p>
            <w:pPr>
              <w:pStyle w:val="TableParagraph"/>
              <w:ind w:left="167" w:right="167"/>
              <w:rPr>
                <w:sz w:val="17"/>
              </w:rPr>
            </w:pPr>
            <w:r>
              <w:rPr>
                <w:color w:val="231F20"/>
                <w:w w:val="105"/>
                <w:sz w:val="17"/>
              </w:rPr>
              <w:t>19.3</w:t>
            </w:r>
          </w:p>
        </w:tc>
        <w:tc>
          <w:tcPr>
            <w:tcW w:w="705" w:type="dxa"/>
          </w:tcPr>
          <w:p>
            <w:pPr>
              <w:pStyle w:val="TableParagraph"/>
              <w:ind w:left="166" w:right="163"/>
              <w:rPr>
                <w:sz w:val="17"/>
              </w:rPr>
            </w:pPr>
            <w:r>
              <w:rPr>
                <w:color w:val="231F20"/>
                <w:w w:val="105"/>
                <w:sz w:val="17"/>
              </w:rPr>
              <w:t>16.8</w:t>
            </w:r>
          </w:p>
        </w:tc>
        <w:tc>
          <w:tcPr>
            <w:tcW w:w="729" w:type="dxa"/>
          </w:tcPr>
          <w:p>
            <w:pPr>
              <w:pStyle w:val="TableParagraph"/>
              <w:ind w:left="165" w:right="189"/>
              <w:rPr>
                <w:sz w:val="17"/>
              </w:rPr>
            </w:pPr>
            <w:r>
              <w:rPr>
                <w:color w:val="231F20"/>
                <w:w w:val="105"/>
                <w:sz w:val="17"/>
              </w:rPr>
              <w:t>12.0</w:t>
            </w:r>
          </w:p>
        </w:tc>
        <w:tc>
          <w:tcPr>
            <w:tcW w:w="684" w:type="dxa"/>
          </w:tcPr>
          <w:p>
            <w:pPr>
              <w:pStyle w:val="TableParagraph"/>
              <w:ind w:left="193" w:right="214"/>
              <w:rPr>
                <w:sz w:val="17"/>
              </w:rPr>
            </w:pPr>
            <w:r>
              <w:rPr>
                <w:color w:val="231F20"/>
                <w:w w:val="105"/>
                <w:sz w:val="17"/>
              </w:rPr>
              <w:t>7.8</w:t>
            </w:r>
          </w:p>
        </w:tc>
        <w:tc>
          <w:tcPr>
            <w:tcW w:w="702" w:type="dxa"/>
          </w:tcPr>
          <w:p>
            <w:pPr>
              <w:pStyle w:val="TableParagraph"/>
              <w:ind w:left="216" w:right="210"/>
              <w:rPr>
                <w:sz w:val="17"/>
              </w:rPr>
            </w:pPr>
            <w:r>
              <w:rPr>
                <w:color w:val="231F20"/>
                <w:w w:val="105"/>
                <w:sz w:val="17"/>
              </w:rPr>
              <w:t>4.6</w:t>
            </w:r>
          </w:p>
        </w:tc>
        <w:tc>
          <w:tcPr>
            <w:tcW w:w="699" w:type="dxa"/>
          </w:tcPr>
          <w:p>
            <w:pPr>
              <w:pStyle w:val="TableParagraph"/>
              <w:ind w:left="211" w:right="211"/>
              <w:rPr>
                <w:sz w:val="17"/>
              </w:rPr>
            </w:pPr>
            <w:r>
              <w:rPr>
                <w:color w:val="231F20"/>
                <w:w w:val="105"/>
                <w:sz w:val="17"/>
              </w:rPr>
              <w:t>2.8</w:t>
            </w:r>
          </w:p>
        </w:tc>
        <w:tc>
          <w:tcPr>
            <w:tcW w:w="664" w:type="dxa"/>
          </w:tcPr>
          <w:p>
            <w:pPr>
              <w:pStyle w:val="TableParagraph"/>
              <w:ind w:right="192"/>
              <w:jc w:val="right"/>
              <w:rPr>
                <w:sz w:val="17"/>
              </w:rPr>
            </w:pPr>
            <w:r>
              <w:rPr>
                <w:color w:val="231F20"/>
                <w:w w:val="105"/>
                <w:sz w:val="17"/>
              </w:rPr>
              <w:t>3.6</w:t>
            </w:r>
          </w:p>
        </w:tc>
        <w:tc>
          <w:tcPr>
            <w:tcW w:w="719" w:type="dxa"/>
          </w:tcPr>
          <w:p>
            <w:pPr>
              <w:pStyle w:val="TableParagraph"/>
              <w:ind w:left="173" w:right="127"/>
              <w:rPr>
                <w:sz w:val="17"/>
              </w:rPr>
            </w:pPr>
            <w:r>
              <w:rPr>
                <w:color w:val="231F20"/>
                <w:sz w:val="17"/>
              </w:rPr>
              <w:t>100</w:t>
            </w:r>
          </w:p>
        </w:tc>
      </w:tr>
      <w:tr>
        <w:trPr>
          <w:trHeight w:val="210" w:hRule="exact"/>
        </w:trPr>
        <w:tc>
          <w:tcPr>
            <w:tcW w:w="702" w:type="dxa"/>
          </w:tcPr>
          <w:p>
            <w:pPr>
              <w:pStyle w:val="TableParagraph"/>
              <w:ind w:left="164" w:right="162"/>
              <w:rPr>
                <w:sz w:val="17"/>
              </w:rPr>
            </w:pPr>
            <w:r>
              <w:rPr>
                <w:color w:val="231F20"/>
                <w:w w:val="105"/>
                <w:sz w:val="17"/>
              </w:rPr>
              <w:t>15.5</w:t>
            </w:r>
          </w:p>
        </w:tc>
        <w:tc>
          <w:tcPr>
            <w:tcW w:w="704" w:type="dxa"/>
          </w:tcPr>
          <w:p>
            <w:pPr>
              <w:pStyle w:val="TableParagraph"/>
              <w:ind w:left="163" w:right="164"/>
              <w:rPr>
                <w:sz w:val="17"/>
              </w:rPr>
            </w:pPr>
            <w:r>
              <w:rPr>
                <w:color w:val="231F20"/>
                <w:w w:val="105"/>
                <w:sz w:val="17"/>
              </w:rPr>
              <w:t>20.0</w:t>
            </w:r>
          </w:p>
        </w:tc>
        <w:tc>
          <w:tcPr>
            <w:tcW w:w="708" w:type="dxa"/>
          </w:tcPr>
          <w:p>
            <w:pPr>
              <w:pStyle w:val="TableParagraph"/>
              <w:ind w:left="167" w:right="167"/>
              <w:rPr>
                <w:sz w:val="17"/>
              </w:rPr>
            </w:pPr>
            <w:r>
              <w:rPr>
                <w:color w:val="231F20"/>
                <w:w w:val="105"/>
                <w:sz w:val="17"/>
              </w:rPr>
              <w:t>19.7</w:t>
            </w:r>
          </w:p>
        </w:tc>
        <w:tc>
          <w:tcPr>
            <w:tcW w:w="705" w:type="dxa"/>
          </w:tcPr>
          <w:p>
            <w:pPr>
              <w:pStyle w:val="TableParagraph"/>
              <w:ind w:left="166" w:right="163"/>
              <w:rPr>
                <w:sz w:val="17"/>
              </w:rPr>
            </w:pPr>
            <w:r>
              <w:rPr>
                <w:color w:val="231F20"/>
                <w:w w:val="105"/>
                <w:sz w:val="17"/>
              </w:rPr>
              <w:t>15.6</w:t>
            </w:r>
          </w:p>
        </w:tc>
        <w:tc>
          <w:tcPr>
            <w:tcW w:w="729" w:type="dxa"/>
          </w:tcPr>
          <w:p>
            <w:pPr>
              <w:pStyle w:val="TableParagraph"/>
              <w:ind w:left="165" w:right="189"/>
              <w:rPr>
                <w:sz w:val="17"/>
              </w:rPr>
            </w:pPr>
            <w:r>
              <w:rPr>
                <w:color w:val="231F20"/>
                <w:w w:val="105"/>
                <w:sz w:val="17"/>
              </w:rPr>
              <w:t>10.8</w:t>
            </w:r>
          </w:p>
        </w:tc>
        <w:tc>
          <w:tcPr>
            <w:tcW w:w="684" w:type="dxa"/>
          </w:tcPr>
          <w:p>
            <w:pPr>
              <w:pStyle w:val="TableParagraph"/>
              <w:ind w:left="193" w:right="214"/>
              <w:rPr>
                <w:sz w:val="17"/>
              </w:rPr>
            </w:pPr>
            <w:r>
              <w:rPr>
                <w:color w:val="231F20"/>
                <w:w w:val="105"/>
                <w:sz w:val="17"/>
              </w:rPr>
              <w:t>6.9</w:t>
            </w:r>
          </w:p>
        </w:tc>
        <w:tc>
          <w:tcPr>
            <w:tcW w:w="702" w:type="dxa"/>
          </w:tcPr>
          <w:p>
            <w:pPr>
              <w:pStyle w:val="TableParagraph"/>
              <w:ind w:left="216" w:right="210"/>
              <w:rPr>
                <w:sz w:val="17"/>
              </w:rPr>
            </w:pPr>
            <w:r>
              <w:rPr>
                <w:color w:val="231F20"/>
                <w:w w:val="105"/>
                <w:sz w:val="17"/>
              </w:rPr>
              <w:t>4.2</w:t>
            </w:r>
          </w:p>
        </w:tc>
        <w:tc>
          <w:tcPr>
            <w:tcW w:w="699" w:type="dxa"/>
          </w:tcPr>
          <w:p>
            <w:pPr>
              <w:pStyle w:val="TableParagraph"/>
              <w:ind w:left="211" w:right="211"/>
              <w:rPr>
                <w:sz w:val="17"/>
              </w:rPr>
            </w:pPr>
            <w:r>
              <w:rPr>
                <w:color w:val="231F20"/>
                <w:w w:val="105"/>
                <w:sz w:val="17"/>
              </w:rPr>
              <w:t>2.7</w:t>
            </w:r>
          </w:p>
        </w:tc>
        <w:tc>
          <w:tcPr>
            <w:tcW w:w="664" w:type="dxa"/>
          </w:tcPr>
          <w:p>
            <w:pPr>
              <w:pStyle w:val="TableParagraph"/>
              <w:ind w:right="192"/>
              <w:jc w:val="right"/>
              <w:rPr>
                <w:sz w:val="17"/>
              </w:rPr>
            </w:pPr>
            <w:r>
              <w:rPr>
                <w:color w:val="231F20"/>
                <w:w w:val="105"/>
                <w:sz w:val="17"/>
              </w:rPr>
              <w:t>4.6</w:t>
            </w:r>
          </w:p>
        </w:tc>
        <w:tc>
          <w:tcPr>
            <w:tcW w:w="719" w:type="dxa"/>
          </w:tcPr>
          <w:p>
            <w:pPr>
              <w:pStyle w:val="TableParagraph"/>
              <w:ind w:left="173" w:right="127"/>
              <w:rPr>
                <w:sz w:val="17"/>
              </w:rPr>
            </w:pPr>
            <w:r>
              <w:rPr>
                <w:color w:val="231F20"/>
                <w:sz w:val="17"/>
              </w:rPr>
              <w:t>100</w:t>
            </w:r>
          </w:p>
        </w:tc>
      </w:tr>
      <w:tr>
        <w:trPr>
          <w:trHeight w:val="210" w:hRule="exact"/>
        </w:trPr>
        <w:tc>
          <w:tcPr>
            <w:tcW w:w="702" w:type="dxa"/>
          </w:tcPr>
          <w:p>
            <w:pPr>
              <w:pStyle w:val="TableParagraph"/>
              <w:ind w:left="164" w:right="162"/>
              <w:rPr>
                <w:sz w:val="17"/>
              </w:rPr>
            </w:pPr>
            <w:r>
              <w:rPr>
                <w:color w:val="231F20"/>
                <w:w w:val="105"/>
                <w:sz w:val="17"/>
              </w:rPr>
              <w:t>12.8</w:t>
            </w:r>
          </w:p>
        </w:tc>
        <w:tc>
          <w:tcPr>
            <w:tcW w:w="704" w:type="dxa"/>
          </w:tcPr>
          <w:p>
            <w:pPr>
              <w:pStyle w:val="TableParagraph"/>
              <w:ind w:left="163" w:right="164"/>
              <w:rPr>
                <w:sz w:val="17"/>
              </w:rPr>
            </w:pPr>
            <w:r>
              <w:rPr>
                <w:color w:val="231F20"/>
                <w:w w:val="105"/>
                <w:sz w:val="17"/>
              </w:rPr>
              <w:t>16.4</w:t>
            </w:r>
          </w:p>
        </w:tc>
        <w:tc>
          <w:tcPr>
            <w:tcW w:w="708" w:type="dxa"/>
          </w:tcPr>
          <w:p>
            <w:pPr>
              <w:pStyle w:val="TableParagraph"/>
              <w:ind w:left="167" w:right="167"/>
              <w:rPr>
                <w:sz w:val="17"/>
              </w:rPr>
            </w:pPr>
            <w:r>
              <w:rPr>
                <w:color w:val="231F20"/>
                <w:w w:val="105"/>
                <w:sz w:val="17"/>
              </w:rPr>
              <w:t>17.5</w:t>
            </w:r>
          </w:p>
        </w:tc>
        <w:tc>
          <w:tcPr>
            <w:tcW w:w="705" w:type="dxa"/>
          </w:tcPr>
          <w:p>
            <w:pPr>
              <w:pStyle w:val="TableParagraph"/>
              <w:ind w:left="166" w:right="163"/>
              <w:rPr>
                <w:sz w:val="17"/>
              </w:rPr>
            </w:pPr>
            <w:r>
              <w:rPr>
                <w:color w:val="231F20"/>
                <w:w w:val="105"/>
                <w:sz w:val="17"/>
              </w:rPr>
              <w:t>16.3</w:t>
            </w:r>
          </w:p>
        </w:tc>
        <w:tc>
          <w:tcPr>
            <w:tcW w:w="729" w:type="dxa"/>
          </w:tcPr>
          <w:p>
            <w:pPr>
              <w:pStyle w:val="TableParagraph"/>
              <w:ind w:left="165" w:right="189"/>
              <w:rPr>
                <w:sz w:val="17"/>
              </w:rPr>
            </w:pPr>
            <w:r>
              <w:rPr>
                <w:color w:val="231F20"/>
                <w:w w:val="105"/>
                <w:sz w:val="17"/>
              </w:rPr>
              <w:t>12.9</w:t>
            </w:r>
          </w:p>
        </w:tc>
        <w:tc>
          <w:tcPr>
            <w:tcW w:w="684" w:type="dxa"/>
          </w:tcPr>
          <w:p>
            <w:pPr>
              <w:pStyle w:val="TableParagraph"/>
              <w:ind w:left="193" w:right="214"/>
              <w:rPr>
                <w:sz w:val="17"/>
              </w:rPr>
            </w:pPr>
            <w:r>
              <w:rPr>
                <w:color w:val="231F20"/>
                <w:w w:val="105"/>
                <w:sz w:val="17"/>
              </w:rPr>
              <w:t>9.0</w:t>
            </w:r>
          </w:p>
        </w:tc>
        <w:tc>
          <w:tcPr>
            <w:tcW w:w="702" w:type="dxa"/>
          </w:tcPr>
          <w:p>
            <w:pPr>
              <w:pStyle w:val="TableParagraph"/>
              <w:ind w:left="216" w:right="210"/>
              <w:rPr>
                <w:sz w:val="17"/>
              </w:rPr>
            </w:pPr>
            <w:r>
              <w:rPr>
                <w:color w:val="231F20"/>
                <w:w w:val="105"/>
                <w:sz w:val="17"/>
              </w:rPr>
              <w:t>5.9</w:t>
            </w:r>
          </w:p>
        </w:tc>
        <w:tc>
          <w:tcPr>
            <w:tcW w:w="699" w:type="dxa"/>
          </w:tcPr>
          <w:p>
            <w:pPr>
              <w:pStyle w:val="TableParagraph"/>
              <w:ind w:left="211" w:right="211"/>
              <w:rPr>
                <w:sz w:val="17"/>
              </w:rPr>
            </w:pPr>
            <w:r>
              <w:rPr>
                <w:color w:val="231F20"/>
                <w:w w:val="105"/>
                <w:sz w:val="17"/>
              </w:rPr>
              <w:t>3.8</w:t>
            </w:r>
          </w:p>
        </w:tc>
        <w:tc>
          <w:tcPr>
            <w:tcW w:w="664" w:type="dxa"/>
          </w:tcPr>
          <w:p>
            <w:pPr>
              <w:pStyle w:val="TableParagraph"/>
              <w:ind w:right="192"/>
              <w:jc w:val="right"/>
              <w:rPr>
                <w:sz w:val="17"/>
              </w:rPr>
            </w:pPr>
            <w:r>
              <w:rPr>
                <w:color w:val="231F20"/>
                <w:w w:val="105"/>
                <w:sz w:val="17"/>
              </w:rPr>
              <w:t>5.4</w:t>
            </w:r>
          </w:p>
        </w:tc>
        <w:tc>
          <w:tcPr>
            <w:tcW w:w="719" w:type="dxa"/>
          </w:tcPr>
          <w:p>
            <w:pPr>
              <w:pStyle w:val="TableParagraph"/>
              <w:ind w:left="173" w:right="127"/>
              <w:rPr>
                <w:sz w:val="17"/>
              </w:rPr>
            </w:pPr>
            <w:r>
              <w:rPr>
                <w:color w:val="231F20"/>
                <w:sz w:val="17"/>
              </w:rPr>
              <w:t>100</w:t>
            </w:r>
          </w:p>
        </w:tc>
      </w:tr>
      <w:tr>
        <w:trPr>
          <w:trHeight w:val="210" w:hRule="exact"/>
        </w:trPr>
        <w:tc>
          <w:tcPr>
            <w:tcW w:w="702" w:type="dxa"/>
          </w:tcPr>
          <w:p>
            <w:pPr>
              <w:pStyle w:val="TableParagraph"/>
              <w:ind w:left="164" w:right="162"/>
              <w:rPr>
                <w:sz w:val="17"/>
              </w:rPr>
            </w:pPr>
            <w:r>
              <w:rPr>
                <w:color w:val="231F20"/>
                <w:w w:val="105"/>
                <w:sz w:val="17"/>
              </w:rPr>
              <w:t>12.1</w:t>
            </w:r>
          </w:p>
        </w:tc>
        <w:tc>
          <w:tcPr>
            <w:tcW w:w="704" w:type="dxa"/>
          </w:tcPr>
          <w:p>
            <w:pPr>
              <w:pStyle w:val="TableParagraph"/>
              <w:ind w:left="163" w:right="164"/>
              <w:rPr>
                <w:sz w:val="17"/>
              </w:rPr>
            </w:pPr>
            <w:r>
              <w:rPr>
                <w:color w:val="231F20"/>
                <w:w w:val="105"/>
                <w:sz w:val="17"/>
              </w:rPr>
              <w:t>15.1</w:t>
            </w:r>
          </w:p>
        </w:tc>
        <w:tc>
          <w:tcPr>
            <w:tcW w:w="708" w:type="dxa"/>
          </w:tcPr>
          <w:p>
            <w:pPr>
              <w:pStyle w:val="TableParagraph"/>
              <w:ind w:left="167" w:right="167"/>
              <w:rPr>
                <w:sz w:val="17"/>
              </w:rPr>
            </w:pPr>
            <w:r>
              <w:rPr>
                <w:color w:val="231F20"/>
                <w:w w:val="105"/>
                <w:sz w:val="17"/>
              </w:rPr>
              <w:t>15.1</w:t>
            </w:r>
          </w:p>
        </w:tc>
        <w:tc>
          <w:tcPr>
            <w:tcW w:w="705" w:type="dxa"/>
          </w:tcPr>
          <w:p>
            <w:pPr>
              <w:pStyle w:val="TableParagraph"/>
              <w:ind w:left="166" w:right="163"/>
              <w:rPr>
                <w:sz w:val="17"/>
              </w:rPr>
            </w:pPr>
            <w:r>
              <w:rPr>
                <w:color w:val="231F20"/>
                <w:w w:val="105"/>
                <w:sz w:val="17"/>
              </w:rPr>
              <w:t>14.2</w:t>
            </w:r>
          </w:p>
        </w:tc>
        <w:tc>
          <w:tcPr>
            <w:tcW w:w="729" w:type="dxa"/>
          </w:tcPr>
          <w:p>
            <w:pPr>
              <w:pStyle w:val="TableParagraph"/>
              <w:ind w:left="165" w:right="189"/>
              <w:rPr>
                <w:sz w:val="17"/>
              </w:rPr>
            </w:pPr>
            <w:r>
              <w:rPr>
                <w:color w:val="231F20"/>
                <w:w w:val="105"/>
                <w:sz w:val="17"/>
              </w:rPr>
              <w:t>12.0</w:t>
            </w:r>
          </w:p>
        </w:tc>
        <w:tc>
          <w:tcPr>
            <w:tcW w:w="684" w:type="dxa"/>
          </w:tcPr>
          <w:p>
            <w:pPr>
              <w:pStyle w:val="TableParagraph"/>
              <w:ind w:left="193" w:right="214"/>
              <w:rPr>
                <w:sz w:val="17"/>
              </w:rPr>
            </w:pPr>
            <w:r>
              <w:rPr>
                <w:color w:val="231F20"/>
                <w:w w:val="105"/>
                <w:sz w:val="17"/>
              </w:rPr>
              <w:t>9.5</w:t>
            </w:r>
          </w:p>
        </w:tc>
        <w:tc>
          <w:tcPr>
            <w:tcW w:w="702" w:type="dxa"/>
          </w:tcPr>
          <w:p>
            <w:pPr>
              <w:pStyle w:val="TableParagraph"/>
              <w:ind w:left="216" w:right="210"/>
              <w:rPr>
                <w:sz w:val="17"/>
              </w:rPr>
            </w:pPr>
            <w:r>
              <w:rPr>
                <w:color w:val="231F20"/>
                <w:w w:val="105"/>
                <w:sz w:val="17"/>
              </w:rPr>
              <w:t>7.1</w:t>
            </w:r>
          </w:p>
        </w:tc>
        <w:tc>
          <w:tcPr>
            <w:tcW w:w="699" w:type="dxa"/>
          </w:tcPr>
          <w:p>
            <w:pPr>
              <w:pStyle w:val="TableParagraph"/>
              <w:ind w:left="211" w:right="211"/>
              <w:rPr>
                <w:sz w:val="17"/>
              </w:rPr>
            </w:pPr>
            <w:r>
              <w:rPr>
                <w:color w:val="231F20"/>
                <w:w w:val="105"/>
                <w:sz w:val="17"/>
              </w:rPr>
              <w:t>5.1</w:t>
            </w:r>
          </w:p>
        </w:tc>
        <w:tc>
          <w:tcPr>
            <w:tcW w:w="664" w:type="dxa"/>
          </w:tcPr>
          <w:p>
            <w:pPr>
              <w:pStyle w:val="TableParagraph"/>
              <w:ind w:right="192"/>
              <w:jc w:val="right"/>
              <w:rPr>
                <w:sz w:val="17"/>
              </w:rPr>
            </w:pPr>
            <w:r>
              <w:rPr>
                <w:color w:val="231F20"/>
                <w:w w:val="105"/>
                <w:sz w:val="17"/>
              </w:rPr>
              <w:t>9.8</w:t>
            </w:r>
          </w:p>
        </w:tc>
        <w:tc>
          <w:tcPr>
            <w:tcW w:w="719" w:type="dxa"/>
          </w:tcPr>
          <w:p>
            <w:pPr>
              <w:pStyle w:val="TableParagraph"/>
              <w:ind w:left="173" w:right="127"/>
              <w:rPr>
                <w:sz w:val="17"/>
              </w:rPr>
            </w:pPr>
            <w:r>
              <w:rPr>
                <w:color w:val="231F20"/>
                <w:sz w:val="17"/>
              </w:rPr>
              <w:t>100</w:t>
            </w:r>
          </w:p>
        </w:tc>
      </w:tr>
      <w:tr>
        <w:trPr>
          <w:trHeight w:val="210" w:hRule="exact"/>
        </w:trPr>
        <w:tc>
          <w:tcPr>
            <w:tcW w:w="702" w:type="dxa"/>
          </w:tcPr>
          <w:p>
            <w:pPr>
              <w:pStyle w:val="TableParagraph"/>
              <w:ind w:left="164" w:right="162"/>
              <w:rPr>
                <w:sz w:val="17"/>
              </w:rPr>
            </w:pPr>
            <w:r>
              <w:rPr>
                <w:color w:val="231F20"/>
                <w:w w:val="105"/>
                <w:sz w:val="17"/>
              </w:rPr>
              <w:t>14.0</w:t>
            </w:r>
          </w:p>
        </w:tc>
        <w:tc>
          <w:tcPr>
            <w:tcW w:w="704" w:type="dxa"/>
          </w:tcPr>
          <w:p>
            <w:pPr>
              <w:pStyle w:val="TableParagraph"/>
              <w:ind w:left="163" w:right="164"/>
              <w:rPr>
                <w:sz w:val="17"/>
              </w:rPr>
            </w:pPr>
            <w:r>
              <w:rPr>
                <w:color w:val="231F20"/>
                <w:w w:val="105"/>
                <w:sz w:val="17"/>
              </w:rPr>
              <w:t>16.0</w:t>
            </w:r>
          </w:p>
        </w:tc>
        <w:tc>
          <w:tcPr>
            <w:tcW w:w="708" w:type="dxa"/>
          </w:tcPr>
          <w:p>
            <w:pPr>
              <w:pStyle w:val="TableParagraph"/>
              <w:ind w:left="167" w:right="167"/>
              <w:rPr>
                <w:sz w:val="17"/>
              </w:rPr>
            </w:pPr>
            <w:r>
              <w:rPr>
                <w:color w:val="231F20"/>
                <w:w w:val="105"/>
                <w:sz w:val="17"/>
              </w:rPr>
              <w:t>16.6</w:t>
            </w:r>
          </w:p>
        </w:tc>
        <w:tc>
          <w:tcPr>
            <w:tcW w:w="705" w:type="dxa"/>
          </w:tcPr>
          <w:p>
            <w:pPr>
              <w:pStyle w:val="TableParagraph"/>
              <w:ind w:left="166" w:right="163"/>
              <w:rPr>
                <w:sz w:val="17"/>
              </w:rPr>
            </w:pPr>
            <w:r>
              <w:rPr>
                <w:color w:val="231F20"/>
                <w:w w:val="105"/>
                <w:sz w:val="17"/>
              </w:rPr>
              <w:t>15.2</w:t>
            </w:r>
          </w:p>
        </w:tc>
        <w:tc>
          <w:tcPr>
            <w:tcW w:w="729" w:type="dxa"/>
          </w:tcPr>
          <w:p>
            <w:pPr>
              <w:pStyle w:val="TableParagraph"/>
              <w:ind w:left="165" w:right="189"/>
              <w:rPr>
                <w:sz w:val="17"/>
              </w:rPr>
            </w:pPr>
            <w:r>
              <w:rPr>
                <w:color w:val="231F20"/>
                <w:w w:val="105"/>
                <w:sz w:val="17"/>
              </w:rPr>
              <w:t>12.6</w:t>
            </w:r>
          </w:p>
        </w:tc>
        <w:tc>
          <w:tcPr>
            <w:tcW w:w="684" w:type="dxa"/>
          </w:tcPr>
          <w:p>
            <w:pPr>
              <w:pStyle w:val="TableParagraph"/>
              <w:ind w:left="193" w:right="214"/>
              <w:rPr>
                <w:sz w:val="17"/>
              </w:rPr>
            </w:pPr>
            <w:r>
              <w:rPr>
                <w:color w:val="231F20"/>
                <w:w w:val="105"/>
                <w:sz w:val="17"/>
              </w:rPr>
              <w:t>9.3</w:t>
            </w:r>
          </w:p>
        </w:tc>
        <w:tc>
          <w:tcPr>
            <w:tcW w:w="702" w:type="dxa"/>
          </w:tcPr>
          <w:p>
            <w:pPr>
              <w:pStyle w:val="TableParagraph"/>
              <w:ind w:left="216" w:right="210"/>
              <w:rPr>
                <w:sz w:val="17"/>
              </w:rPr>
            </w:pPr>
            <w:r>
              <w:rPr>
                <w:color w:val="231F20"/>
                <w:w w:val="105"/>
                <w:sz w:val="17"/>
              </w:rPr>
              <w:t>6.3</w:t>
            </w:r>
          </w:p>
        </w:tc>
        <w:tc>
          <w:tcPr>
            <w:tcW w:w="699" w:type="dxa"/>
          </w:tcPr>
          <w:p>
            <w:pPr>
              <w:pStyle w:val="TableParagraph"/>
              <w:ind w:left="211" w:right="211"/>
              <w:rPr>
                <w:sz w:val="17"/>
              </w:rPr>
            </w:pPr>
            <w:r>
              <w:rPr>
                <w:color w:val="231F20"/>
                <w:w w:val="105"/>
                <w:sz w:val="17"/>
              </w:rPr>
              <w:t>4.1</w:t>
            </w:r>
          </w:p>
        </w:tc>
        <w:tc>
          <w:tcPr>
            <w:tcW w:w="664" w:type="dxa"/>
          </w:tcPr>
          <w:p>
            <w:pPr>
              <w:pStyle w:val="TableParagraph"/>
              <w:ind w:right="192"/>
              <w:jc w:val="right"/>
              <w:rPr>
                <w:sz w:val="17"/>
              </w:rPr>
            </w:pPr>
            <w:r>
              <w:rPr>
                <w:color w:val="231F20"/>
                <w:w w:val="105"/>
                <w:sz w:val="17"/>
              </w:rPr>
              <w:t>5.9</w:t>
            </w:r>
          </w:p>
        </w:tc>
        <w:tc>
          <w:tcPr>
            <w:tcW w:w="719" w:type="dxa"/>
          </w:tcPr>
          <w:p>
            <w:pPr>
              <w:pStyle w:val="TableParagraph"/>
              <w:ind w:left="173" w:right="127"/>
              <w:rPr>
                <w:sz w:val="17"/>
              </w:rPr>
            </w:pPr>
            <w:r>
              <w:rPr>
                <w:color w:val="231F20"/>
                <w:sz w:val="17"/>
              </w:rPr>
              <w:t>100</w:t>
            </w:r>
          </w:p>
        </w:tc>
      </w:tr>
      <w:tr>
        <w:trPr>
          <w:trHeight w:val="210" w:hRule="exact"/>
        </w:trPr>
        <w:tc>
          <w:tcPr>
            <w:tcW w:w="702" w:type="dxa"/>
          </w:tcPr>
          <w:p>
            <w:pPr>
              <w:pStyle w:val="TableParagraph"/>
              <w:ind w:left="164" w:right="162"/>
              <w:rPr>
                <w:sz w:val="17"/>
              </w:rPr>
            </w:pPr>
            <w:r>
              <w:rPr>
                <w:color w:val="231F20"/>
                <w:w w:val="105"/>
                <w:sz w:val="17"/>
              </w:rPr>
              <w:t>13.6</w:t>
            </w:r>
          </w:p>
        </w:tc>
        <w:tc>
          <w:tcPr>
            <w:tcW w:w="704" w:type="dxa"/>
          </w:tcPr>
          <w:p>
            <w:pPr>
              <w:pStyle w:val="TableParagraph"/>
              <w:ind w:left="163" w:right="164"/>
              <w:rPr>
                <w:sz w:val="17"/>
              </w:rPr>
            </w:pPr>
            <w:r>
              <w:rPr>
                <w:color w:val="231F20"/>
                <w:w w:val="105"/>
                <w:sz w:val="17"/>
              </w:rPr>
              <w:t>16.7</w:t>
            </w:r>
          </w:p>
        </w:tc>
        <w:tc>
          <w:tcPr>
            <w:tcW w:w="708" w:type="dxa"/>
          </w:tcPr>
          <w:p>
            <w:pPr>
              <w:pStyle w:val="TableParagraph"/>
              <w:ind w:left="167" w:right="167"/>
              <w:rPr>
                <w:sz w:val="17"/>
              </w:rPr>
            </w:pPr>
            <w:r>
              <w:rPr>
                <w:color w:val="231F20"/>
                <w:w w:val="105"/>
                <w:sz w:val="17"/>
              </w:rPr>
              <w:t>17.0</w:t>
            </w:r>
          </w:p>
        </w:tc>
        <w:tc>
          <w:tcPr>
            <w:tcW w:w="705" w:type="dxa"/>
          </w:tcPr>
          <w:p>
            <w:pPr>
              <w:pStyle w:val="TableParagraph"/>
              <w:ind w:left="166" w:right="163"/>
              <w:rPr>
                <w:sz w:val="17"/>
              </w:rPr>
            </w:pPr>
            <w:r>
              <w:rPr>
                <w:color w:val="231F20"/>
                <w:w w:val="105"/>
                <w:sz w:val="17"/>
              </w:rPr>
              <w:t>15.3</w:t>
            </w:r>
          </w:p>
        </w:tc>
        <w:tc>
          <w:tcPr>
            <w:tcW w:w="729" w:type="dxa"/>
          </w:tcPr>
          <w:p>
            <w:pPr>
              <w:pStyle w:val="TableParagraph"/>
              <w:ind w:left="165" w:right="189"/>
              <w:rPr>
                <w:sz w:val="17"/>
              </w:rPr>
            </w:pPr>
            <w:r>
              <w:rPr>
                <w:color w:val="231F20"/>
                <w:w w:val="105"/>
                <w:sz w:val="17"/>
              </w:rPr>
              <w:t>12.4</w:t>
            </w:r>
          </w:p>
        </w:tc>
        <w:tc>
          <w:tcPr>
            <w:tcW w:w="684" w:type="dxa"/>
          </w:tcPr>
          <w:p>
            <w:pPr>
              <w:pStyle w:val="TableParagraph"/>
              <w:ind w:left="193" w:right="214"/>
              <w:rPr>
                <w:sz w:val="17"/>
              </w:rPr>
            </w:pPr>
            <w:r>
              <w:rPr>
                <w:color w:val="231F20"/>
                <w:w w:val="105"/>
                <w:sz w:val="17"/>
              </w:rPr>
              <w:t>9.0</w:t>
            </w:r>
          </w:p>
        </w:tc>
        <w:tc>
          <w:tcPr>
            <w:tcW w:w="702" w:type="dxa"/>
          </w:tcPr>
          <w:p>
            <w:pPr>
              <w:pStyle w:val="TableParagraph"/>
              <w:ind w:left="216" w:right="210"/>
              <w:rPr>
                <w:sz w:val="17"/>
              </w:rPr>
            </w:pPr>
            <w:r>
              <w:rPr>
                <w:color w:val="231F20"/>
                <w:w w:val="105"/>
                <w:sz w:val="17"/>
              </w:rPr>
              <w:t>6.0</w:t>
            </w:r>
          </w:p>
        </w:tc>
        <w:tc>
          <w:tcPr>
            <w:tcW w:w="699" w:type="dxa"/>
          </w:tcPr>
          <w:p>
            <w:pPr>
              <w:pStyle w:val="TableParagraph"/>
              <w:ind w:left="211" w:right="211"/>
              <w:rPr>
                <w:sz w:val="17"/>
              </w:rPr>
            </w:pPr>
            <w:r>
              <w:rPr>
                <w:color w:val="231F20"/>
                <w:w w:val="105"/>
                <w:sz w:val="17"/>
              </w:rPr>
              <w:t>3.8</w:t>
            </w:r>
          </w:p>
        </w:tc>
        <w:tc>
          <w:tcPr>
            <w:tcW w:w="664" w:type="dxa"/>
          </w:tcPr>
          <w:p>
            <w:pPr>
              <w:pStyle w:val="TableParagraph"/>
              <w:ind w:right="192"/>
              <w:jc w:val="right"/>
              <w:rPr>
                <w:sz w:val="17"/>
              </w:rPr>
            </w:pPr>
            <w:r>
              <w:rPr>
                <w:color w:val="231F20"/>
                <w:w w:val="105"/>
                <w:sz w:val="17"/>
              </w:rPr>
              <w:t>6.1</w:t>
            </w:r>
          </w:p>
        </w:tc>
        <w:tc>
          <w:tcPr>
            <w:tcW w:w="719" w:type="dxa"/>
          </w:tcPr>
          <w:p>
            <w:pPr>
              <w:pStyle w:val="TableParagraph"/>
              <w:ind w:left="173" w:right="127"/>
              <w:rPr>
                <w:sz w:val="17"/>
              </w:rPr>
            </w:pPr>
            <w:r>
              <w:rPr>
                <w:color w:val="231F20"/>
                <w:sz w:val="17"/>
              </w:rPr>
              <w:t>100</w:t>
            </w:r>
          </w:p>
        </w:tc>
      </w:tr>
      <w:tr>
        <w:trPr>
          <w:trHeight w:val="210" w:hRule="exact"/>
        </w:trPr>
        <w:tc>
          <w:tcPr>
            <w:tcW w:w="702" w:type="dxa"/>
          </w:tcPr>
          <w:p>
            <w:pPr>
              <w:pStyle w:val="TableParagraph"/>
              <w:ind w:left="164" w:right="162"/>
              <w:rPr>
                <w:sz w:val="17"/>
              </w:rPr>
            </w:pPr>
            <w:r>
              <w:rPr>
                <w:color w:val="231F20"/>
                <w:w w:val="105"/>
                <w:sz w:val="17"/>
              </w:rPr>
              <w:t>15.1</w:t>
            </w:r>
          </w:p>
        </w:tc>
        <w:tc>
          <w:tcPr>
            <w:tcW w:w="704" w:type="dxa"/>
          </w:tcPr>
          <w:p>
            <w:pPr>
              <w:pStyle w:val="TableParagraph"/>
              <w:ind w:left="163" w:right="164"/>
              <w:rPr>
                <w:sz w:val="17"/>
              </w:rPr>
            </w:pPr>
            <w:r>
              <w:rPr>
                <w:color w:val="231F20"/>
                <w:w w:val="105"/>
                <w:sz w:val="17"/>
              </w:rPr>
              <w:t>18.3</w:t>
            </w:r>
          </w:p>
        </w:tc>
        <w:tc>
          <w:tcPr>
            <w:tcW w:w="708" w:type="dxa"/>
          </w:tcPr>
          <w:p>
            <w:pPr>
              <w:pStyle w:val="TableParagraph"/>
              <w:ind w:left="167" w:right="167"/>
              <w:rPr>
                <w:sz w:val="17"/>
              </w:rPr>
            </w:pPr>
            <w:r>
              <w:rPr>
                <w:color w:val="231F20"/>
                <w:w w:val="105"/>
                <w:sz w:val="17"/>
              </w:rPr>
              <w:t>16.9</w:t>
            </w:r>
          </w:p>
        </w:tc>
        <w:tc>
          <w:tcPr>
            <w:tcW w:w="705" w:type="dxa"/>
          </w:tcPr>
          <w:p>
            <w:pPr>
              <w:pStyle w:val="TableParagraph"/>
              <w:ind w:left="166" w:right="163"/>
              <w:rPr>
                <w:sz w:val="17"/>
              </w:rPr>
            </w:pPr>
            <w:r>
              <w:rPr>
                <w:color w:val="231F20"/>
                <w:w w:val="105"/>
                <w:sz w:val="17"/>
              </w:rPr>
              <w:t>14.6</w:t>
            </w:r>
          </w:p>
        </w:tc>
        <w:tc>
          <w:tcPr>
            <w:tcW w:w="729" w:type="dxa"/>
          </w:tcPr>
          <w:p>
            <w:pPr>
              <w:pStyle w:val="TableParagraph"/>
              <w:ind w:left="165" w:right="189"/>
              <w:rPr>
                <w:sz w:val="17"/>
              </w:rPr>
            </w:pPr>
            <w:r>
              <w:rPr>
                <w:color w:val="231F20"/>
                <w:w w:val="105"/>
                <w:sz w:val="17"/>
              </w:rPr>
              <w:t>11.6</w:t>
            </w:r>
          </w:p>
        </w:tc>
        <w:tc>
          <w:tcPr>
            <w:tcW w:w="684" w:type="dxa"/>
          </w:tcPr>
          <w:p>
            <w:pPr>
              <w:pStyle w:val="TableParagraph"/>
              <w:ind w:left="193" w:right="214"/>
              <w:rPr>
                <w:sz w:val="17"/>
              </w:rPr>
            </w:pPr>
            <w:r>
              <w:rPr>
                <w:color w:val="231F20"/>
                <w:w w:val="105"/>
                <w:sz w:val="17"/>
              </w:rPr>
              <w:t>8.4</w:t>
            </w:r>
          </w:p>
        </w:tc>
        <w:tc>
          <w:tcPr>
            <w:tcW w:w="702" w:type="dxa"/>
          </w:tcPr>
          <w:p>
            <w:pPr>
              <w:pStyle w:val="TableParagraph"/>
              <w:ind w:left="216" w:right="210"/>
              <w:rPr>
                <w:sz w:val="17"/>
              </w:rPr>
            </w:pPr>
            <w:r>
              <w:rPr>
                <w:color w:val="231F20"/>
                <w:w w:val="105"/>
                <w:sz w:val="17"/>
              </w:rPr>
              <w:t>5.6</w:t>
            </w:r>
          </w:p>
        </w:tc>
        <w:tc>
          <w:tcPr>
            <w:tcW w:w="699" w:type="dxa"/>
          </w:tcPr>
          <w:p>
            <w:pPr>
              <w:pStyle w:val="TableParagraph"/>
              <w:ind w:left="211" w:right="211"/>
              <w:rPr>
                <w:sz w:val="17"/>
              </w:rPr>
            </w:pPr>
            <w:r>
              <w:rPr>
                <w:color w:val="231F20"/>
                <w:w w:val="105"/>
                <w:sz w:val="17"/>
              </w:rPr>
              <w:t>3.8</w:t>
            </w:r>
          </w:p>
        </w:tc>
        <w:tc>
          <w:tcPr>
            <w:tcW w:w="664" w:type="dxa"/>
          </w:tcPr>
          <w:p>
            <w:pPr>
              <w:pStyle w:val="TableParagraph"/>
              <w:ind w:right="192"/>
              <w:jc w:val="right"/>
              <w:rPr>
                <w:sz w:val="17"/>
              </w:rPr>
            </w:pPr>
            <w:r>
              <w:rPr>
                <w:color w:val="231F20"/>
                <w:w w:val="105"/>
                <w:sz w:val="17"/>
              </w:rPr>
              <w:t>5.8</w:t>
            </w:r>
          </w:p>
        </w:tc>
        <w:tc>
          <w:tcPr>
            <w:tcW w:w="719" w:type="dxa"/>
          </w:tcPr>
          <w:p>
            <w:pPr>
              <w:pStyle w:val="TableParagraph"/>
              <w:ind w:left="173" w:right="127"/>
              <w:rPr>
                <w:sz w:val="17"/>
              </w:rPr>
            </w:pPr>
            <w:r>
              <w:rPr>
                <w:color w:val="231F20"/>
                <w:sz w:val="17"/>
              </w:rPr>
              <w:t>100</w:t>
            </w:r>
          </w:p>
        </w:tc>
      </w:tr>
      <w:tr>
        <w:trPr>
          <w:trHeight w:val="210" w:hRule="exact"/>
        </w:trPr>
        <w:tc>
          <w:tcPr>
            <w:tcW w:w="702" w:type="dxa"/>
          </w:tcPr>
          <w:p>
            <w:pPr>
              <w:pStyle w:val="TableParagraph"/>
              <w:ind w:left="164" w:right="162"/>
              <w:rPr>
                <w:sz w:val="17"/>
              </w:rPr>
            </w:pPr>
            <w:r>
              <w:rPr>
                <w:color w:val="231F20"/>
                <w:w w:val="105"/>
                <w:sz w:val="17"/>
              </w:rPr>
              <w:t>9.4</w:t>
            </w:r>
          </w:p>
        </w:tc>
        <w:tc>
          <w:tcPr>
            <w:tcW w:w="704" w:type="dxa"/>
          </w:tcPr>
          <w:p>
            <w:pPr>
              <w:pStyle w:val="TableParagraph"/>
              <w:ind w:left="163" w:right="164"/>
              <w:rPr>
                <w:sz w:val="17"/>
              </w:rPr>
            </w:pPr>
            <w:r>
              <w:rPr>
                <w:color w:val="231F20"/>
                <w:w w:val="105"/>
                <w:sz w:val="17"/>
              </w:rPr>
              <w:t>15.0</w:t>
            </w:r>
          </w:p>
        </w:tc>
        <w:tc>
          <w:tcPr>
            <w:tcW w:w="708" w:type="dxa"/>
          </w:tcPr>
          <w:p>
            <w:pPr>
              <w:pStyle w:val="TableParagraph"/>
              <w:ind w:left="167" w:right="167"/>
              <w:rPr>
                <w:sz w:val="17"/>
              </w:rPr>
            </w:pPr>
            <w:r>
              <w:rPr>
                <w:color w:val="231F20"/>
                <w:w w:val="105"/>
                <w:sz w:val="17"/>
              </w:rPr>
              <w:t>17.7</w:t>
            </w:r>
          </w:p>
        </w:tc>
        <w:tc>
          <w:tcPr>
            <w:tcW w:w="705" w:type="dxa"/>
          </w:tcPr>
          <w:p>
            <w:pPr>
              <w:pStyle w:val="TableParagraph"/>
              <w:ind w:left="166" w:right="163"/>
              <w:rPr>
                <w:sz w:val="17"/>
              </w:rPr>
            </w:pPr>
            <w:r>
              <w:rPr>
                <w:color w:val="231F20"/>
                <w:w w:val="105"/>
                <w:sz w:val="17"/>
              </w:rPr>
              <w:t>16.8</w:t>
            </w:r>
          </w:p>
        </w:tc>
        <w:tc>
          <w:tcPr>
            <w:tcW w:w="729" w:type="dxa"/>
          </w:tcPr>
          <w:p>
            <w:pPr>
              <w:pStyle w:val="TableParagraph"/>
              <w:ind w:left="165" w:right="189"/>
              <w:rPr>
                <w:sz w:val="17"/>
              </w:rPr>
            </w:pPr>
            <w:r>
              <w:rPr>
                <w:color w:val="231F20"/>
                <w:w w:val="105"/>
                <w:sz w:val="17"/>
              </w:rPr>
              <w:t>13.5</w:t>
            </w:r>
          </w:p>
        </w:tc>
        <w:tc>
          <w:tcPr>
            <w:tcW w:w="684" w:type="dxa"/>
          </w:tcPr>
          <w:p>
            <w:pPr>
              <w:pStyle w:val="TableParagraph"/>
              <w:ind w:left="193" w:right="214"/>
              <w:rPr>
                <w:sz w:val="17"/>
              </w:rPr>
            </w:pPr>
            <w:r>
              <w:rPr>
                <w:color w:val="231F20"/>
                <w:w w:val="105"/>
                <w:sz w:val="17"/>
              </w:rPr>
              <w:t>9.6</w:t>
            </w:r>
          </w:p>
        </w:tc>
        <w:tc>
          <w:tcPr>
            <w:tcW w:w="702" w:type="dxa"/>
          </w:tcPr>
          <w:p>
            <w:pPr>
              <w:pStyle w:val="TableParagraph"/>
              <w:ind w:left="216" w:right="210"/>
              <w:rPr>
                <w:sz w:val="17"/>
              </w:rPr>
            </w:pPr>
            <w:r>
              <w:rPr>
                <w:color w:val="231F20"/>
                <w:w w:val="105"/>
                <w:sz w:val="17"/>
              </w:rPr>
              <w:t>6.5</w:t>
            </w:r>
          </w:p>
        </w:tc>
        <w:tc>
          <w:tcPr>
            <w:tcW w:w="699" w:type="dxa"/>
          </w:tcPr>
          <w:p>
            <w:pPr>
              <w:pStyle w:val="TableParagraph"/>
              <w:ind w:left="211" w:right="211"/>
              <w:rPr>
                <w:sz w:val="17"/>
              </w:rPr>
            </w:pPr>
            <w:r>
              <w:rPr>
                <w:color w:val="231F20"/>
                <w:w w:val="105"/>
                <w:sz w:val="17"/>
              </w:rPr>
              <w:t>4.2</w:t>
            </w:r>
          </w:p>
        </w:tc>
        <w:tc>
          <w:tcPr>
            <w:tcW w:w="664" w:type="dxa"/>
          </w:tcPr>
          <w:p>
            <w:pPr>
              <w:pStyle w:val="TableParagraph"/>
              <w:ind w:right="192"/>
              <w:jc w:val="right"/>
              <w:rPr>
                <w:sz w:val="17"/>
              </w:rPr>
            </w:pPr>
            <w:r>
              <w:rPr>
                <w:color w:val="231F20"/>
                <w:w w:val="105"/>
                <w:sz w:val="17"/>
              </w:rPr>
              <w:t>7.2</w:t>
            </w:r>
          </w:p>
        </w:tc>
        <w:tc>
          <w:tcPr>
            <w:tcW w:w="719" w:type="dxa"/>
          </w:tcPr>
          <w:p>
            <w:pPr>
              <w:pStyle w:val="TableParagraph"/>
              <w:ind w:left="173" w:right="127"/>
              <w:rPr>
                <w:sz w:val="17"/>
              </w:rPr>
            </w:pPr>
            <w:r>
              <w:rPr>
                <w:color w:val="231F20"/>
                <w:sz w:val="17"/>
              </w:rPr>
              <w:t>100</w:t>
            </w:r>
          </w:p>
        </w:tc>
      </w:tr>
      <w:tr>
        <w:trPr>
          <w:trHeight w:val="210" w:hRule="exact"/>
        </w:trPr>
        <w:tc>
          <w:tcPr>
            <w:tcW w:w="702" w:type="dxa"/>
          </w:tcPr>
          <w:p>
            <w:pPr>
              <w:pStyle w:val="TableParagraph"/>
              <w:ind w:left="164" w:right="162"/>
              <w:rPr>
                <w:sz w:val="17"/>
              </w:rPr>
            </w:pPr>
            <w:r>
              <w:rPr>
                <w:color w:val="231F20"/>
                <w:w w:val="105"/>
                <w:sz w:val="17"/>
              </w:rPr>
              <w:t>14.7</w:t>
            </w:r>
          </w:p>
        </w:tc>
        <w:tc>
          <w:tcPr>
            <w:tcW w:w="704" w:type="dxa"/>
          </w:tcPr>
          <w:p>
            <w:pPr>
              <w:pStyle w:val="TableParagraph"/>
              <w:ind w:left="163" w:right="164"/>
              <w:rPr>
                <w:sz w:val="17"/>
              </w:rPr>
            </w:pPr>
            <w:r>
              <w:rPr>
                <w:color w:val="231F20"/>
                <w:w w:val="105"/>
                <w:sz w:val="17"/>
              </w:rPr>
              <w:t>16.8</w:t>
            </w:r>
          </w:p>
        </w:tc>
        <w:tc>
          <w:tcPr>
            <w:tcW w:w="708" w:type="dxa"/>
          </w:tcPr>
          <w:p>
            <w:pPr>
              <w:pStyle w:val="TableParagraph"/>
              <w:ind w:left="167" w:right="167"/>
              <w:rPr>
                <w:sz w:val="17"/>
              </w:rPr>
            </w:pPr>
            <w:r>
              <w:rPr>
                <w:color w:val="231F20"/>
                <w:w w:val="105"/>
                <w:sz w:val="17"/>
              </w:rPr>
              <w:t>15.9</w:t>
            </w:r>
          </w:p>
        </w:tc>
        <w:tc>
          <w:tcPr>
            <w:tcW w:w="705" w:type="dxa"/>
          </w:tcPr>
          <w:p>
            <w:pPr>
              <w:pStyle w:val="TableParagraph"/>
              <w:ind w:left="166" w:right="163"/>
              <w:rPr>
                <w:sz w:val="17"/>
              </w:rPr>
            </w:pPr>
            <w:r>
              <w:rPr>
                <w:color w:val="231F20"/>
                <w:w w:val="105"/>
                <w:sz w:val="17"/>
              </w:rPr>
              <w:t>14.5</w:t>
            </w:r>
          </w:p>
        </w:tc>
        <w:tc>
          <w:tcPr>
            <w:tcW w:w="729" w:type="dxa"/>
          </w:tcPr>
          <w:p>
            <w:pPr>
              <w:pStyle w:val="TableParagraph"/>
              <w:ind w:left="165" w:right="189"/>
              <w:rPr>
                <w:sz w:val="17"/>
              </w:rPr>
            </w:pPr>
            <w:r>
              <w:rPr>
                <w:color w:val="231F20"/>
                <w:w w:val="105"/>
                <w:sz w:val="17"/>
              </w:rPr>
              <w:t>11.9</w:t>
            </w:r>
          </w:p>
        </w:tc>
        <w:tc>
          <w:tcPr>
            <w:tcW w:w="684" w:type="dxa"/>
          </w:tcPr>
          <w:p>
            <w:pPr>
              <w:pStyle w:val="TableParagraph"/>
              <w:ind w:left="193" w:right="214"/>
              <w:rPr>
                <w:sz w:val="17"/>
              </w:rPr>
            </w:pPr>
            <w:r>
              <w:rPr>
                <w:color w:val="231F20"/>
                <w:w w:val="105"/>
                <w:sz w:val="17"/>
              </w:rPr>
              <w:t>8.9</w:t>
            </w:r>
          </w:p>
        </w:tc>
        <w:tc>
          <w:tcPr>
            <w:tcW w:w="702" w:type="dxa"/>
          </w:tcPr>
          <w:p>
            <w:pPr>
              <w:pStyle w:val="TableParagraph"/>
              <w:ind w:left="216" w:right="210"/>
              <w:rPr>
                <w:sz w:val="17"/>
              </w:rPr>
            </w:pPr>
            <w:r>
              <w:rPr>
                <w:color w:val="231F20"/>
                <w:w w:val="105"/>
                <w:sz w:val="17"/>
              </w:rPr>
              <w:t>6.4</w:t>
            </w:r>
          </w:p>
        </w:tc>
        <w:tc>
          <w:tcPr>
            <w:tcW w:w="699" w:type="dxa"/>
          </w:tcPr>
          <w:p>
            <w:pPr>
              <w:pStyle w:val="TableParagraph"/>
              <w:ind w:left="211" w:right="211"/>
              <w:rPr>
                <w:sz w:val="17"/>
              </w:rPr>
            </w:pPr>
            <w:r>
              <w:rPr>
                <w:color w:val="231F20"/>
                <w:w w:val="105"/>
                <w:sz w:val="17"/>
              </w:rPr>
              <w:t>4.3</w:t>
            </w:r>
          </w:p>
        </w:tc>
        <w:tc>
          <w:tcPr>
            <w:tcW w:w="664" w:type="dxa"/>
          </w:tcPr>
          <w:p>
            <w:pPr>
              <w:pStyle w:val="TableParagraph"/>
              <w:ind w:right="192"/>
              <w:jc w:val="right"/>
              <w:rPr>
                <w:sz w:val="17"/>
              </w:rPr>
            </w:pPr>
            <w:r>
              <w:rPr>
                <w:color w:val="231F20"/>
                <w:w w:val="105"/>
                <w:sz w:val="17"/>
              </w:rPr>
              <w:t>6.6</w:t>
            </w:r>
          </w:p>
        </w:tc>
        <w:tc>
          <w:tcPr>
            <w:tcW w:w="719" w:type="dxa"/>
          </w:tcPr>
          <w:p>
            <w:pPr>
              <w:pStyle w:val="TableParagraph"/>
              <w:ind w:left="173" w:right="127"/>
              <w:rPr>
                <w:sz w:val="17"/>
              </w:rPr>
            </w:pPr>
            <w:r>
              <w:rPr>
                <w:color w:val="231F20"/>
                <w:sz w:val="17"/>
              </w:rPr>
              <w:t>100</w:t>
            </w:r>
          </w:p>
        </w:tc>
      </w:tr>
      <w:tr>
        <w:trPr>
          <w:trHeight w:val="210" w:hRule="exact"/>
        </w:trPr>
        <w:tc>
          <w:tcPr>
            <w:tcW w:w="702" w:type="dxa"/>
          </w:tcPr>
          <w:p>
            <w:pPr>
              <w:pStyle w:val="TableParagraph"/>
              <w:ind w:left="164" w:right="162"/>
              <w:rPr>
                <w:sz w:val="17"/>
              </w:rPr>
            </w:pPr>
            <w:r>
              <w:rPr>
                <w:color w:val="231F20"/>
                <w:w w:val="105"/>
                <w:sz w:val="17"/>
              </w:rPr>
              <w:t>13.6</w:t>
            </w:r>
          </w:p>
        </w:tc>
        <w:tc>
          <w:tcPr>
            <w:tcW w:w="704" w:type="dxa"/>
          </w:tcPr>
          <w:p>
            <w:pPr>
              <w:pStyle w:val="TableParagraph"/>
              <w:ind w:left="163" w:right="164"/>
              <w:rPr>
                <w:sz w:val="17"/>
              </w:rPr>
            </w:pPr>
            <w:r>
              <w:rPr>
                <w:color w:val="231F20"/>
                <w:w w:val="105"/>
                <w:sz w:val="17"/>
              </w:rPr>
              <w:t>17.5</w:t>
            </w:r>
          </w:p>
        </w:tc>
        <w:tc>
          <w:tcPr>
            <w:tcW w:w="708" w:type="dxa"/>
          </w:tcPr>
          <w:p>
            <w:pPr>
              <w:pStyle w:val="TableParagraph"/>
              <w:ind w:left="167" w:right="167"/>
              <w:rPr>
                <w:sz w:val="17"/>
              </w:rPr>
            </w:pPr>
            <w:r>
              <w:rPr>
                <w:color w:val="231F20"/>
                <w:w w:val="105"/>
                <w:sz w:val="17"/>
              </w:rPr>
              <w:t>18.2</w:t>
            </w:r>
          </w:p>
        </w:tc>
        <w:tc>
          <w:tcPr>
            <w:tcW w:w="705" w:type="dxa"/>
          </w:tcPr>
          <w:p>
            <w:pPr>
              <w:pStyle w:val="TableParagraph"/>
              <w:ind w:left="166" w:right="163"/>
              <w:rPr>
                <w:sz w:val="17"/>
              </w:rPr>
            </w:pPr>
            <w:r>
              <w:rPr>
                <w:color w:val="231F20"/>
                <w:w w:val="105"/>
                <w:sz w:val="17"/>
              </w:rPr>
              <w:t>16.2</w:t>
            </w:r>
          </w:p>
        </w:tc>
        <w:tc>
          <w:tcPr>
            <w:tcW w:w="729" w:type="dxa"/>
          </w:tcPr>
          <w:p>
            <w:pPr>
              <w:pStyle w:val="TableParagraph"/>
              <w:ind w:left="165" w:right="189"/>
              <w:rPr>
                <w:sz w:val="17"/>
              </w:rPr>
            </w:pPr>
            <w:r>
              <w:rPr>
                <w:color w:val="231F20"/>
                <w:w w:val="105"/>
                <w:sz w:val="17"/>
              </w:rPr>
              <w:t>12.4</w:t>
            </w:r>
          </w:p>
        </w:tc>
        <w:tc>
          <w:tcPr>
            <w:tcW w:w="684" w:type="dxa"/>
          </w:tcPr>
          <w:p>
            <w:pPr>
              <w:pStyle w:val="TableParagraph"/>
              <w:ind w:left="193" w:right="214"/>
              <w:rPr>
                <w:sz w:val="17"/>
              </w:rPr>
            </w:pPr>
            <w:r>
              <w:rPr>
                <w:color w:val="231F20"/>
                <w:w w:val="105"/>
                <w:sz w:val="17"/>
              </w:rPr>
              <w:t>8.3</w:t>
            </w:r>
          </w:p>
        </w:tc>
        <w:tc>
          <w:tcPr>
            <w:tcW w:w="702" w:type="dxa"/>
          </w:tcPr>
          <w:p>
            <w:pPr>
              <w:pStyle w:val="TableParagraph"/>
              <w:ind w:left="216" w:right="210"/>
              <w:rPr>
                <w:sz w:val="17"/>
              </w:rPr>
            </w:pPr>
            <w:r>
              <w:rPr>
                <w:color w:val="231F20"/>
                <w:w w:val="105"/>
                <w:sz w:val="17"/>
              </w:rPr>
              <w:t>5.5</w:t>
            </w:r>
          </w:p>
        </w:tc>
        <w:tc>
          <w:tcPr>
            <w:tcW w:w="699" w:type="dxa"/>
          </w:tcPr>
          <w:p>
            <w:pPr>
              <w:pStyle w:val="TableParagraph"/>
              <w:ind w:left="211" w:right="211"/>
              <w:rPr>
                <w:sz w:val="17"/>
              </w:rPr>
            </w:pPr>
            <w:r>
              <w:rPr>
                <w:color w:val="231F20"/>
                <w:w w:val="105"/>
                <w:sz w:val="17"/>
              </w:rPr>
              <w:t>3.2</w:t>
            </w:r>
          </w:p>
        </w:tc>
        <w:tc>
          <w:tcPr>
            <w:tcW w:w="664" w:type="dxa"/>
          </w:tcPr>
          <w:p>
            <w:pPr>
              <w:pStyle w:val="TableParagraph"/>
              <w:ind w:right="192"/>
              <w:jc w:val="right"/>
              <w:rPr>
                <w:sz w:val="17"/>
              </w:rPr>
            </w:pPr>
            <w:r>
              <w:rPr>
                <w:color w:val="231F20"/>
                <w:w w:val="105"/>
                <w:sz w:val="17"/>
              </w:rPr>
              <w:t>5.1</w:t>
            </w:r>
          </w:p>
        </w:tc>
        <w:tc>
          <w:tcPr>
            <w:tcW w:w="719" w:type="dxa"/>
          </w:tcPr>
          <w:p>
            <w:pPr>
              <w:pStyle w:val="TableParagraph"/>
              <w:ind w:left="173" w:right="127"/>
              <w:rPr>
                <w:sz w:val="17"/>
              </w:rPr>
            </w:pPr>
            <w:r>
              <w:rPr>
                <w:color w:val="231F20"/>
                <w:sz w:val="17"/>
              </w:rPr>
              <w:t>100</w:t>
            </w:r>
          </w:p>
        </w:tc>
      </w:tr>
      <w:tr>
        <w:trPr>
          <w:trHeight w:val="210" w:hRule="exact"/>
        </w:trPr>
        <w:tc>
          <w:tcPr>
            <w:tcW w:w="702" w:type="dxa"/>
          </w:tcPr>
          <w:p>
            <w:pPr>
              <w:pStyle w:val="TableParagraph"/>
              <w:ind w:left="164" w:right="162"/>
              <w:rPr>
                <w:sz w:val="17"/>
              </w:rPr>
            </w:pPr>
            <w:r>
              <w:rPr>
                <w:color w:val="231F20"/>
                <w:w w:val="105"/>
                <w:sz w:val="17"/>
              </w:rPr>
              <w:t>16.5</w:t>
            </w:r>
          </w:p>
        </w:tc>
        <w:tc>
          <w:tcPr>
            <w:tcW w:w="704" w:type="dxa"/>
          </w:tcPr>
          <w:p>
            <w:pPr>
              <w:pStyle w:val="TableParagraph"/>
              <w:ind w:left="163" w:right="164"/>
              <w:rPr>
                <w:sz w:val="17"/>
              </w:rPr>
            </w:pPr>
            <w:r>
              <w:rPr>
                <w:color w:val="231F20"/>
                <w:w w:val="105"/>
                <w:sz w:val="17"/>
              </w:rPr>
              <w:t>18.3</w:t>
            </w:r>
          </w:p>
        </w:tc>
        <w:tc>
          <w:tcPr>
            <w:tcW w:w="708" w:type="dxa"/>
          </w:tcPr>
          <w:p>
            <w:pPr>
              <w:pStyle w:val="TableParagraph"/>
              <w:ind w:left="167" w:right="167"/>
              <w:rPr>
                <w:sz w:val="17"/>
              </w:rPr>
            </w:pPr>
            <w:r>
              <w:rPr>
                <w:color w:val="231F20"/>
                <w:w w:val="105"/>
                <w:sz w:val="17"/>
              </w:rPr>
              <w:t>17.0</w:t>
            </w:r>
          </w:p>
        </w:tc>
        <w:tc>
          <w:tcPr>
            <w:tcW w:w="705" w:type="dxa"/>
          </w:tcPr>
          <w:p>
            <w:pPr>
              <w:pStyle w:val="TableParagraph"/>
              <w:ind w:left="166" w:right="163"/>
              <w:rPr>
                <w:sz w:val="17"/>
              </w:rPr>
            </w:pPr>
            <w:r>
              <w:rPr>
                <w:color w:val="231F20"/>
                <w:w w:val="105"/>
                <w:sz w:val="17"/>
              </w:rPr>
              <w:t>15.0</w:t>
            </w:r>
          </w:p>
        </w:tc>
        <w:tc>
          <w:tcPr>
            <w:tcW w:w="729" w:type="dxa"/>
          </w:tcPr>
          <w:p>
            <w:pPr>
              <w:pStyle w:val="TableParagraph"/>
              <w:ind w:left="165" w:right="189"/>
              <w:rPr>
                <w:sz w:val="17"/>
              </w:rPr>
            </w:pPr>
            <w:r>
              <w:rPr>
                <w:color w:val="231F20"/>
                <w:w w:val="105"/>
                <w:sz w:val="17"/>
              </w:rPr>
              <w:t>12.0</w:t>
            </w:r>
          </w:p>
        </w:tc>
        <w:tc>
          <w:tcPr>
            <w:tcW w:w="684" w:type="dxa"/>
          </w:tcPr>
          <w:p>
            <w:pPr>
              <w:pStyle w:val="TableParagraph"/>
              <w:ind w:left="193" w:right="214"/>
              <w:rPr>
                <w:sz w:val="17"/>
              </w:rPr>
            </w:pPr>
            <w:r>
              <w:rPr>
                <w:color w:val="231F20"/>
                <w:w w:val="105"/>
                <w:sz w:val="17"/>
              </w:rPr>
              <w:t>8.6</w:t>
            </w:r>
          </w:p>
        </w:tc>
        <w:tc>
          <w:tcPr>
            <w:tcW w:w="702" w:type="dxa"/>
          </w:tcPr>
          <w:p>
            <w:pPr>
              <w:pStyle w:val="TableParagraph"/>
              <w:ind w:left="216" w:right="210"/>
              <w:rPr>
                <w:sz w:val="17"/>
              </w:rPr>
            </w:pPr>
            <w:r>
              <w:rPr>
                <w:color w:val="231F20"/>
                <w:w w:val="105"/>
                <w:sz w:val="17"/>
              </w:rPr>
              <w:t>5.0</w:t>
            </w:r>
          </w:p>
        </w:tc>
        <w:tc>
          <w:tcPr>
            <w:tcW w:w="699" w:type="dxa"/>
          </w:tcPr>
          <w:p>
            <w:pPr>
              <w:pStyle w:val="TableParagraph"/>
              <w:ind w:left="211" w:right="211"/>
              <w:rPr>
                <w:sz w:val="17"/>
              </w:rPr>
            </w:pPr>
            <w:r>
              <w:rPr>
                <w:color w:val="231F20"/>
                <w:w w:val="105"/>
                <w:sz w:val="17"/>
              </w:rPr>
              <w:t>3.4</w:t>
            </w:r>
          </w:p>
        </w:tc>
        <w:tc>
          <w:tcPr>
            <w:tcW w:w="664" w:type="dxa"/>
          </w:tcPr>
          <w:p>
            <w:pPr>
              <w:pStyle w:val="TableParagraph"/>
              <w:ind w:right="192"/>
              <w:jc w:val="right"/>
              <w:rPr>
                <w:sz w:val="17"/>
              </w:rPr>
            </w:pPr>
            <w:r>
              <w:rPr>
                <w:color w:val="231F20"/>
                <w:w w:val="105"/>
                <w:sz w:val="17"/>
              </w:rPr>
              <w:t>4.2</w:t>
            </w:r>
          </w:p>
        </w:tc>
        <w:tc>
          <w:tcPr>
            <w:tcW w:w="719" w:type="dxa"/>
          </w:tcPr>
          <w:p>
            <w:pPr>
              <w:pStyle w:val="TableParagraph"/>
              <w:ind w:left="173" w:right="127"/>
              <w:rPr>
                <w:sz w:val="17"/>
              </w:rPr>
            </w:pPr>
            <w:r>
              <w:rPr>
                <w:color w:val="231F20"/>
                <w:sz w:val="17"/>
              </w:rPr>
              <w:t>100</w:t>
            </w:r>
          </w:p>
        </w:tc>
      </w:tr>
      <w:tr>
        <w:trPr>
          <w:trHeight w:val="210" w:hRule="exact"/>
        </w:trPr>
        <w:tc>
          <w:tcPr>
            <w:tcW w:w="702" w:type="dxa"/>
          </w:tcPr>
          <w:p>
            <w:pPr>
              <w:pStyle w:val="TableParagraph"/>
              <w:ind w:left="164" w:right="162"/>
              <w:rPr>
                <w:sz w:val="17"/>
              </w:rPr>
            </w:pPr>
            <w:r>
              <w:rPr>
                <w:color w:val="231F20"/>
                <w:w w:val="105"/>
                <w:sz w:val="17"/>
              </w:rPr>
              <w:t>15.0</w:t>
            </w:r>
          </w:p>
        </w:tc>
        <w:tc>
          <w:tcPr>
            <w:tcW w:w="704" w:type="dxa"/>
          </w:tcPr>
          <w:p>
            <w:pPr>
              <w:pStyle w:val="TableParagraph"/>
              <w:ind w:left="163" w:right="164"/>
              <w:rPr>
                <w:sz w:val="17"/>
              </w:rPr>
            </w:pPr>
            <w:r>
              <w:rPr>
                <w:color w:val="231F20"/>
                <w:w w:val="105"/>
                <w:sz w:val="17"/>
              </w:rPr>
              <w:t>19.4</w:t>
            </w:r>
          </w:p>
        </w:tc>
        <w:tc>
          <w:tcPr>
            <w:tcW w:w="708" w:type="dxa"/>
          </w:tcPr>
          <w:p>
            <w:pPr>
              <w:pStyle w:val="TableParagraph"/>
              <w:ind w:left="167" w:right="167"/>
              <w:rPr>
                <w:sz w:val="17"/>
              </w:rPr>
            </w:pPr>
            <w:r>
              <w:rPr>
                <w:color w:val="231F20"/>
                <w:w w:val="105"/>
                <w:sz w:val="17"/>
              </w:rPr>
              <w:t>18.2</w:t>
            </w:r>
          </w:p>
        </w:tc>
        <w:tc>
          <w:tcPr>
            <w:tcW w:w="705" w:type="dxa"/>
          </w:tcPr>
          <w:p>
            <w:pPr>
              <w:pStyle w:val="TableParagraph"/>
              <w:ind w:left="166" w:right="163"/>
              <w:rPr>
                <w:sz w:val="17"/>
              </w:rPr>
            </w:pPr>
            <w:r>
              <w:rPr>
                <w:color w:val="231F20"/>
                <w:w w:val="105"/>
                <w:sz w:val="17"/>
              </w:rPr>
              <w:t>15.6</w:t>
            </w:r>
          </w:p>
        </w:tc>
        <w:tc>
          <w:tcPr>
            <w:tcW w:w="729" w:type="dxa"/>
          </w:tcPr>
          <w:p>
            <w:pPr>
              <w:pStyle w:val="TableParagraph"/>
              <w:ind w:left="165" w:right="189"/>
              <w:rPr>
                <w:sz w:val="17"/>
              </w:rPr>
            </w:pPr>
            <w:r>
              <w:rPr>
                <w:color w:val="231F20"/>
                <w:w w:val="105"/>
                <w:sz w:val="17"/>
              </w:rPr>
              <w:t>12.0</w:t>
            </w:r>
          </w:p>
        </w:tc>
        <w:tc>
          <w:tcPr>
            <w:tcW w:w="684" w:type="dxa"/>
          </w:tcPr>
          <w:p>
            <w:pPr>
              <w:pStyle w:val="TableParagraph"/>
              <w:ind w:left="193" w:right="214"/>
              <w:rPr>
                <w:sz w:val="17"/>
              </w:rPr>
            </w:pPr>
            <w:r>
              <w:rPr>
                <w:color w:val="231F20"/>
                <w:w w:val="105"/>
                <w:sz w:val="17"/>
              </w:rPr>
              <w:t>7.8</w:t>
            </w:r>
          </w:p>
        </w:tc>
        <w:tc>
          <w:tcPr>
            <w:tcW w:w="702" w:type="dxa"/>
          </w:tcPr>
          <w:p>
            <w:pPr>
              <w:pStyle w:val="TableParagraph"/>
              <w:ind w:left="216" w:right="210"/>
              <w:rPr>
                <w:sz w:val="17"/>
              </w:rPr>
            </w:pPr>
            <w:r>
              <w:rPr>
                <w:color w:val="231F20"/>
                <w:w w:val="105"/>
                <w:sz w:val="17"/>
              </w:rPr>
              <w:t>4.9</w:t>
            </w:r>
          </w:p>
        </w:tc>
        <w:tc>
          <w:tcPr>
            <w:tcW w:w="699" w:type="dxa"/>
          </w:tcPr>
          <w:p>
            <w:pPr>
              <w:pStyle w:val="TableParagraph"/>
              <w:ind w:left="211" w:right="211"/>
              <w:rPr>
                <w:sz w:val="17"/>
              </w:rPr>
            </w:pPr>
            <w:r>
              <w:rPr>
                <w:color w:val="231F20"/>
                <w:w w:val="105"/>
                <w:sz w:val="17"/>
              </w:rPr>
              <w:t>3.0</w:t>
            </w:r>
          </w:p>
        </w:tc>
        <w:tc>
          <w:tcPr>
            <w:tcW w:w="664" w:type="dxa"/>
          </w:tcPr>
          <w:p>
            <w:pPr>
              <w:pStyle w:val="TableParagraph"/>
              <w:ind w:right="192"/>
              <w:jc w:val="right"/>
              <w:rPr>
                <w:sz w:val="17"/>
              </w:rPr>
            </w:pPr>
            <w:r>
              <w:rPr>
                <w:color w:val="231F20"/>
                <w:w w:val="105"/>
                <w:sz w:val="17"/>
              </w:rPr>
              <w:t>4.2</w:t>
            </w:r>
          </w:p>
        </w:tc>
        <w:tc>
          <w:tcPr>
            <w:tcW w:w="719" w:type="dxa"/>
          </w:tcPr>
          <w:p>
            <w:pPr>
              <w:pStyle w:val="TableParagraph"/>
              <w:ind w:left="173" w:right="127"/>
              <w:rPr>
                <w:sz w:val="17"/>
              </w:rPr>
            </w:pPr>
            <w:r>
              <w:rPr>
                <w:color w:val="231F20"/>
                <w:sz w:val="17"/>
              </w:rPr>
              <w:t>100</w:t>
            </w:r>
          </w:p>
        </w:tc>
      </w:tr>
      <w:tr>
        <w:trPr>
          <w:trHeight w:val="210" w:hRule="exact"/>
        </w:trPr>
        <w:tc>
          <w:tcPr>
            <w:tcW w:w="702" w:type="dxa"/>
          </w:tcPr>
          <w:p>
            <w:pPr>
              <w:pStyle w:val="TableParagraph"/>
              <w:ind w:left="164" w:right="162"/>
              <w:rPr>
                <w:sz w:val="17"/>
              </w:rPr>
            </w:pPr>
            <w:r>
              <w:rPr>
                <w:color w:val="231F20"/>
                <w:w w:val="105"/>
                <w:sz w:val="17"/>
              </w:rPr>
              <w:t>16.1</w:t>
            </w:r>
          </w:p>
        </w:tc>
        <w:tc>
          <w:tcPr>
            <w:tcW w:w="704" w:type="dxa"/>
          </w:tcPr>
          <w:p>
            <w:pPr>
              <w:pStyle w:val="TableParagraph"/>
              <w:ind w:left="163" w:right="164"/>
              <w:rPr>
                <w:sz w:val="17"/>
              </w:rPr>
            </w:pPr>
            <w:r>
              <w:rPr>
                <w:color w:val="231F20"/>
                <w:w w:val="105"/>
                <w:sz w:val="17"/>
              </w:rPr>
              <w:t>17.3</w:t>
            </w:r>
          </w:p>
        </w:tc>
        <w:tc>
          <w:tcPr>
            <w:tcW w:w="708" w:type="dxa"/>
          </w:tcPr>
          <w:p>
            <w:pPr>
              <w:pStyle w:val="TableParagraph"/>
              <w:ind w:left="167" w:right="167"/>
              <w:rPr>
                <w:sz w:val="17"/>
              </w:rPr>
            </w:pPr>
            <w:r>
              <w:rPr>
                <w:color w:val="231F20"/>
                <w:w w:val="105"/>
                <w:sz w:val="17"/>
              </w:rPr>
              <w:t>16.4</w:t>
            </w:r>
          </w:p>
        </w:tc>
        <w:tc>
          <w:tcPr>
            <w:tcW w:w="705" w:type="dxa"/>
          </w:tcPr>
          <w:p>
            <w:pPr>
              <w:pStyle w:val="TableParagraph"/>
              <w:ind w:left="166" w:right="163"/>
              <w:rPr>
                <w:sz w:val="17"/>
              </w:rPr>
            </w:pPr>
            <w:r>
              <w:rPr>
                <w:color w:val="231F20"/>
                <w:w w:val="105"/>
                <w:sz w:val="17"/>
              </w:rPr>
              <w:t>14.9</w:t>
            </w:r>
          </w:p>
        </w:tc>
        <w:tc>
          <w:tcPr>
            <w:tcW w:w="729" w:type="dxa"/>
          </w:tcPr>
          <w:p>
            <w:pPr>
              <w:pStyle w:val="TableParagraph"/>
              <w:ind w:left="165" w:right="189"/>
              <w:rPr>
                <w:sz w:val="17"/>
              </w:rPr>
            </w:pPr>
            <w:r>
              <w:rPr>
                <w:color w:val="231F20"/>
                <w:w w:val="105"/>
                <w:sz w:val="17"/>
              </w:rPr>
              <w:t>11.9</w:t>
            </w:r>
          </w:p>
        </w:tc>
        <w:tc>
          <w:tcPr>
            <w:tcW w:w="684" w:type="dxa"/>
          </w:tcPr>
          <w:p>
            <w:pPr>
              <w:pStyle w:val="TableParagraph"/>
              <w:ind w:left="193" w:right="214"/>
              <w:rPr>
                <w:sz w:val="17"/>
              </w:rPr>
            </w:pPr>
            <w:r>
              <w:rPr>
                <w:color w:val="231F20"/>
                <w:w w:val="105"/>
                <w:sz w:val="17"/>
              </w:rPr>
              <w:t>8.8</w:t>
            </w:r>
          </w:p>
        </w:tc>
        <w:tc>
          <w:tcPr>
            <w:tcW w:w="702" w:type="dxa"/>
          </w:tcPr>
          <w:p>
            <w:pPr>
              <w:pStyle w:val="TableParagraph"/>
              <w:ind w:left="216" w:right="210"/>
              <w:rPr>
                <w:sz w:val="17"/>
              </w:rPr>
            </w:pPr>
            <w:r>
              <w:rPr>
                <w:color w:val="231F20"/>
                <w:w w:val="105"/>
                <w:sz w:val="17"/>
              </w:rPr>
              <w:t>5.8</w:t>
            </w:r>
          </w:p>
        </w:tc>
        <w:tc>
          <w:tcPr>
            <w:tcW w:w="699" w:type="dxa"/>
          </w:tcPr>
          <w:p>
            <w:pPr>
              <w:pStyle w:val="TableParagraph"/>
              <w:ind w:left="211" w:right="211"/>
              <w:rPr>
                <w:sz w:val="17"/>
              </w:rPr>
            </w:pPr>
            <w:r>
              <w:rPr>
                <w:color w:val="231F20"/>
                <w:w w:val="105"/>
                <w:sz w:val="17"/>
              </w:rPr>
              <w:t>3.6</w:t>
            </w:r>
          </w:p>
        </w:tc>
        <w:tc>
          <w:tcPr>
            <w:tcW w:w="664" w:type="dxa"/>
          </w:tcPr>
          <w:p>
            <w:pPr>
              <w:pStyle w:val="TableParagraph"/>
              <w:ind w:right="192"/>
              <w:jc w:val="right"/>
              <w:rPr>
                <w:sz w:val="17"/>
              </w:rPr>
            </w:pPr>
            <w:r>
              <w:rPr>
                <w:color w:val="231F20"/>
                <w:w w:val="105"/>
                <w:sz w:val="17"/>
              </w:rPr>
              <w:t>5.3</w:t>
            </w:r>
          </w:p>
        </w:tc>
        <w:tc>
          <w:tcPr>
            <w:tcW w:w="719" w:type="dxa"/>
          </w:tcPr>
          <w:p>
            <w:pPr>
              <w:pStyle w:val="TableParagraph"/>
              <w:ind w:left="173" w:right="127"/>
              <w:rPr>
                <w:sz w:val="17"/>
              </w:rPr>
            </w:pPr>
            <w:r>
              <w:rPr>
                <w:color w:val="231F20"/>
                <w:sz w:val="17"/>
              </w:rPr>
              <w:t>100</w:t>
            </w:r>
          </w:p>
        </w:tc>
      </w:tr>
      <w:tr>
        <w:trPr>
          <w:trHeight w:val="210" w:hRule="exact"/>
        </w:trPr>
        <w:tc>
          <w:tcPr>
            <w:tcW w:w="702" w:type="dxa"/>
          </w:tcPr>
          <w:p>
            <w:pPr>
              <w:pStyle w:val="TableParagraph"/>
              <w:ind w:left="164" w:right="162"/>
              <w:rPr>
                <w:sz w:val="17"/>
              </w:rPr>
            </w:pPr>
            <w:r>
              <w:rPr>
                <w:color w:val="231F20"/>
                <w:w w:val="105"/>
                <w:sz w:val="17"/>
              </w:rPr>
              <w:t>13.0</w:t>
            </w:r>
          </w:p>
        </w:tc>
        <w:tc>
          <w:tcPr>
            <w:tcW w:w="704" w:type="dxa"/>
          </w:tcPr>
          <w:p>
            <w:pPr>
              <w:pStyle w:val="TableParagraph"/>
              <w:ind w:left="163" w:right="164"/>
              <w:rPr>
                <w:sz w:val="17"/>
              </w:rPr>
            </w:pPr>
            <w:r>
              <w:rPr>
                <w:color w:val="231F20"/>
                <w:w w:val="105"/>
                <w:sz w:val="17"/>
              </w:rPr>
              <w:t>16.4</w:t>
            </w:r>
          </w:p>
        </w:tc>
        <w:tc>
          <w:tcPr>
            <w:tcW w:w="708" w:type="dxa"/>
          </w:tcPr>
          <w:p>
            <w:pPr>
              <w:pStyle w:val="TableParagraph"/>
              <w:ind w:left="167" w:right="167"/>
              <w:rPr>
                <w:sz w:val="17"/>
              </w:rPr>
            </w:pPr>
            <w:r>
              <w:rPr>
                <w:color w:val="231F20"/>
                <w:w w:val="105"/>
                <w:sz w:val="17"/>
              </w:rPr>
              <w:t>16.7</w:t>
            </w:r>
          </w:p>
        </w:tc>
        <w:tc>
          <w:tcPr>
            <w:tcW w:w="705" w:type="dxa"/>
          </w:tcPr>
          <w:p>
            <w:pPr>
              <w:pStyle w:val="TableParagraph"/>
              <w:ind w:left="166" w:right="163"/>
              <w:rPr>
                <w:sz w:val="17"/>
              </w:rPr>
            </w:pPr>
            <w:r>
              <w:rPr>
                <w:color w:val="231F20"/>
                <w:w w:val="105"/>
                <w:sz w:val="17"/>
              </w:rPr>
              <w:t>15.0</w:t>
            </w:r>
          </w:p>
        </w:tc>
        <w:tc>
          <w:tcPr>
            <w:tcW w:w="729" w:type="dxa"/>
          </w:tcPr>
          <w:p>
            <w:pPr>
              <w:pStyle w:val="TableParagraph"/>
              <w:ind w:left="165" w:right="189"/>
              <w:rPr>
                <w:sz w:val="17"/>
              </w:rPr>
            </w:pPr>
            <w:r>
              <w:rPr>
                <w:color w:val="231F20"/>
                <w:w w:val="105"/>
                <w:sz w:val="17"/>
              </w:rPr>
              <w:t>12.3</w:t>
            </w:r>
          </w:p>
        </w:tc>
        <w:tc>
          <w:tcPr>
            <w:tcW w:w="684" w:type="dxa"/>
          </w:tcPr>
          <w:p>
            <w:pPr>
              <w:pStyle w:val="TableParagraph"/>
              <w:ind w:left="193" w:right="214"/>
              <w:rPr>
                <w:sz w:val="17"/>
              </w:rPr>
            </w:pPr>
            <w:r>
              <w:rPr>
                <w:color w:val="231F20"/>
                <w:w w:val="105"/>
                <w:sz w:val="17"/>
              </w:rPr>
              <w:t>9.1</w:t>
            </w:r>
          </w:p>
        </w:tc>
        <w:tc>
          <w:tcPr>
            <w:tcW w:w="702" w:type="dxa"/>
          </w:tcPr>
          <w:p>
            <w:pPr>
              <w:pStyle w:val="TableParagraph"/>
              <w:ind w:left="216" w:right="210"/>
              <w:rPr>
                <w:sz w:val="17"/>
              </w:rPr>
            </w:pPr>
            <w:r>
              <w:rPr>
                <w:color w:val="231F20"/>
                <w:w w:val="105"/>
                <w:sz w:val="17"/>
              </w:rPr>
              <w:t>6.3</w:t>
            </w:r>
          </w:p>
        </w:tc>
        <w:tc>
          <w:tcPr>
            <w:tcW w:w="699" w:type="dxa"/>
          </w:tcPr>
          <w:p>
            <w:pPr>
              <w:pStyle w:val="TableParagraph"/>
              <w:ind w:left="211" w:right="211"/>
              <w:rPr>
                <w:sz w:val="17"/>
              </w:rPr>
            </w:pPr>
            <w:r>
              <w:rPr>
                <w:color w:val="231F20"/>
                <w:w w:val="105"/>
                <w:sz w:val="17"/>
              </w:rPr>
              <w:t>4.3</w:t>
            </w:r>
          </w:p>
        </w:tc>
        <w:tc>
          <w:tcPr>
            <w:tcW w:w="664" w:type="dxa"/>
          </w:tcPr>
          <w:p>
            <w:pPr>
              <w:pStyle w:val="TableParagraph"/>
              <w:ind w:right="192"/>
              <w:jc w:val="right"/>
              <w:rPr>
                <w:sz w:val="17"/>
              </w:rPr>
            </w:pPr>
            <w:r>
              <w:rPr>
                <w:color w:val="231F20"/>
                <w:w w:val="105"/>
                <w:sz w:val="17"/>
              </w:rPr>
              <w:t>6.9</w:t>
            </w:r>
          </w:p>
        </w:tc>
        <w:tc>
          <w:tcPr>
            <w:tcW w:w="719" w:type="dxa"/>
          </w:tcPr>
          <w:p>
            <w:pPr>
              <w:pStyle w:val="TableParagraph"/>
              <w:ind w:left="173" w:right="127"/>
              <w:rPr>
                <w:sz w:val="17"/>
              </w:rPr>
            </w:pPr>
            <w:r>
              <w:rPr>
                <w:color w:val="231F20"/>
                <w:sz w:val="17"/>
              </w:rPr>
              <w:t>100</w:t>
            </w:r>
          </w:p>
        </w:tc>
      </w:tr>
      <w:tr>
        <w:trPr>
          <w:trHeight w:val="210" w:hRule="exact"/>
        </w:trPr>
        <w:tc>
          <w:tcPr>
            <w:tcW w:w="702" w:type="dxa"/>
          </w:tcPr>
          <w:p>
            <w:pPr>
              <w:pStyle w:val="TableParagraph"/>
              <w:ind w:left="164" w:right="162"/>
              <w:rPr>
                <w:sz w:val="17"/>
              </w:rPr>
            </w:pPr>
            <w:r>
              <w:rPr>
                <w:color w:val="231F20"/>
                <w:w w:val="105"/>
                <w:sz w:val="17"/>
              </w:rPr>
              <w:t>12.4</w:t>
            </w:r>
          </w:p>
        </w:tc>
        <w:tc>
          <w:tcPr>
            <w:tcW w:w="704" w:type="dxa"/>
          </w:tcPr>
          <w:p>
            <w:pPr>
              <w:pStyle w:val="TableParagraph"/>
              <w:ind w:left="163" w:right="164"/>
              <w:rPr>
                <w:sz w:val="17"/>
              </w:rPr>
            </w:pPr>
            <w:r>
              <w:rPr>
                <w:color w:val="231F20"/>
                <w:w w:val="105"/>
                <w:sz w:val="17"/>
              </w:rPr>
              <w:t>16.6</w:t>
            </w:r>
          </w:p>
        </w:tc>
        <w:tc>
          <w:tcPr>
            <w:tcW w:w="708" w:type="dxa"/>
          </w:tcPr>
          <w:p>
            <w:pPr>
              <w:pStyle w:val="TableParagraph"/>
              <w:ind w:left="167" w:right="167"/>
              <w:rPr>
                <w:sz w:val="17"/>
              </w:rPr>
            </w:pPr>
            <w:r>
              <w:rPr>
                <w:color w:val="231F20"/>
                <w:w w:val="105"/>
                <w:sz w:val="17"/>
              </w:rPr>
              <w:t>16.8</w:t>
            </w:r>
          </w:p>
        </w:tc>
        <w:tc>
          <w:tcPr>
            <w:tcW w:w="705" w:type="dxa"/>
          </w:tcPr>
          <w:p>
            <w:pPr>
              <w:pStyle w:val="TableParagraph"/>
              <w:ind w:left="166" w:right="163"/>
              <w:rPr>
                <w:sz w:val="17"/>
              </w:rPr>
            </w:pPr>
            <w:r>
              <w:rPr>
                <w:color w:val="231F20"/>
                <w:w w:val="105"/>
                <w:sz w:val="17"/>
              </w:rPr>
              <w:t>15.0</w:t>
            </w:r>
          </w:p>
        </w:tc>
        <w:tc>
          <w:tcPr>
            <w:tcW w:w="729" w:type="dxa"/>
          </w:tcPr>
          <w:p>
            <w:pPr>
              <w:pStyle w:val="TableParagraph"/>
              <w:ind w:left="165" w:right="189"/>
              <w:rPr>
                <w:sz w:val="17"/>
              </w:rPr>
            </w:pPr>
            <w:r>
              <w:rPr>
                <w:color w:val="231F20"/>
                <w:w w:val="105"/>
                <w:sz w:val="17"/>
              </w:rPr>
              <w:t>12.0</w:t>
            </w:r>
          </w:p>
        </w:tc>
        <w:tc>
          <w:tcPr>
            <w:tcW w:w="684" w:type="dxa"/>
          </w:tcPr>
          <w:p>
            <w:pPr>
              <w:pStyle w:val="TableParagraph"/>
              <w:ind w:left="193" w:right="214"/>
              <w:rPr>
                <w:sz w:val="17"/>
              </w:rPr>
            </w:pPr>
            <w:r>
              <w:rPr>
                <w:color w:val="231F20"/>
                <w:w w:val="105"/>
                <w:sz w:val="17"/>
              </w:rPr>
              <w:t>8.9</w:t>
            </w:r>
          </w:p>
        </w:tc>
        <w:tc>
          <w:tcPr>
            <w:tcW w:w="702" w:type="dxa"/>
          </w:tcPr>
          <w:p>
            <w:pPr>
              <w:pStyle w:val="TableParagraph"/>
              <w:ind w:left="216" w:right="210"/>
              <w:rPr>
                <w:sz w:val="17"/>
              </w:rPr>
            </w:pPr>
            <w:r>
              <w:rPr>
                <w:color w:val="231F20"/>
                <w:w w:val="105"/>
                <w:sz w:val="17"/>
              </w:rPr>
              <w:t>6.2</w:t>
            </w:r>
          </w:p>
        </w:tc>
        <w:tc>
          <w:tcPr>
            <w:tcW w:w="699" w:type="dxa"/>
          </w:tcPr>
          <w:p>
            <w:pPr>
              <w:pStyle w:val="TableParagraph"/>
              <w:ind w:left="211" w:right="211"/>
              <w:rPr>
                <w:sz w:val="17"/>
              </w:rPr>
            </w:pPr>
            <w:r>
              <w:rPr>
                <w:color w:val="231F20"/>
                <w:w w:val="105"/>
                <w:sz w:val="17"/>
              </w:rPr>
              <w:t>4.5</w:t>
            </w:r>
          </w:p>
        </w:tc>
        <w:tc>
          <w:tcPr>
            <w:tcW w:w="664" w:type="dxa"/>
          </w:tcPr>
          <w:p>
            <w:pPr>
              <w:pStyle w:val="TableParagraph"/>
              <w:ind w:right="192"/>
              <w:jc w:val="right"/>
              <w:rPr>
                <w:sz w:val="17"/>
              </w:rPr>
            </w:pPr>
            <w:r>
              <w:rPr>
                <w:color w:val="231F20"/>
                <w:w w:val="105"/>
                <w:sz w:val="17"/>
              </w:rPr>
              <w:t>7.6</w:t>
            </w:r>
          </w:p>
        </w:tc>
        <w:tc>
          <w:tcPr>
            <w:tcW w:w="719" w:type="dxa"/>
          </w:tcPr>
          <w:p>
            <w:pPr>
              <w:pStyle w:val="TableParagraph"/>
              <w:ind w:left="173" w:right="127"/>
              <w:rPr>
                <w:sz w:val="17"/>
              </w:rPr>
            </w:pPr>
            <w:r>
              <w:rPr>
                <w:color w:val="231F20"/>
                <w:sz w:val="17"/>
              </w:rPr>
              <w:t>100</w:t>
            </w:r>
          </w:p>
        </w:tc>
      </w:tr>
      <w:tr>
        <w:trPr>
          <w:trHeight w:val="210" w:hRule="exact"/>
        </w:trPr>
        <w:tc>
          <w:tcPr>
            <w:tcW w:w="702" w:type="dxa"/>
          </w:tcPr>
          <w:p>
            <w:pPr>
              <w:pStyle w:val="TableParagraph"/>
              <w:ind w:left="164" w:right="162"/>
              <w:rPr>
                <w:sz w:val="17"/>
              </w:rPr>
            </w:pPr>
            <w:r>
              <w:rPr>
                <w:color w:val="231F20"/>
                <w:w w:val="105"/>
                <w:sz w:val="17"/>
              </w:rPr>
              <w:t>11.0</w:t>
            </w:r>
          </w:p>
        </w:tc>
        <w:tc>
          <w:tcPr>
            <w:tcW w:w="704" w:type="dxa"/>
          </w:tcPr>
          <w:p>
            <w:pPr>
              <w:pStyle w:val="TableParagraph"/>
              <w:ind w:left="163" w:right="164"/>
              <w:rPr>
                <w:sz w:val="17"/>
              </w:rPr>
            </w:pPr>
            <w:r>
              <w:rPr>
                <w:color w:val="231F20"/>
                <w:w w:val="105"/>
                <w:sz w:val="17"/>
              </w:rPr>
              <w:t>17.8</w:t>
            </w:r>
          </w:p>
        </w:tc>
        <w:tc>
          <w:tcPr>
            <w:tcW w:w="708" w:type="dxa"/>
          </w:tcPr>
          <w:p>
            <w:pPr>
              <w:pStyle w:val="TableParagraph"/>
              <w:ind w:left="167" w:right="167"/>
              <w:rPr>
                <w:sz w:val="17"/>
              </w:rPr>
            </w:pPr>
            <w:r>
              <w:rPr>
                <w:color w:val="231F20"/>
                <w:w w:val="105"/>
                <w:sz w:val="17"/>
              </w:rPr>
              <w:t>19.8</w:t>
            </w:r>
          </w:p>
        </w:tc>
        <w:tc>
          <w:tcPr>
            <w:tcW w:w="705" w:type="dxa"/>
          </w:tcPr>
          <w:p>
            <w:pPr>
              <w:pStyle w:val="TableParagraph"/>
              <w:ind w:left="166" w:right="163"/>
              <w:rPr>
                <w:sz w:val="17"/>
              </w:rPr>
            </w:pPr>
            <w:r>
              <w:rPr>
                <w:color w:val="231F20"/>
                <w:w w:val="105"/>
                <w:sz w:val="17"/>
              </w:rPr>
              <w:t>17.5</w:t>
            </w:r>
          </w:p>
        </w:tc>
        <w:tc>
          <w:tcPr>
            <w:tcW w:w="729" w:type="dxa"/>
          </w:tcPr>
          <w:p>
            <w:pPr>
              <w:pStyle w:val="TableParagraph"/>
              <w:ind w:left="165" w:right="189"/>
              <w:rPr>
                <w:sz w:val="17"/>
              </w:rPr>
            </w:pPr>
            <w:r>
              <w:rPr>
                <w:color w:val="231F20"/>
                <w:w w:val="105"/>
                <w:sz w:val="17"/>
              </w:rPr>
              <w:t>12.4</w:t>
            </w:r>
          </w:p>
        </w:tc>
        <w:tc>
          <w:tcPr>
            <w:tcW w:w="684" w:type="dxa"/>
          </w:tcPr>
          <w:p>
            <w:pPr>
              <w:pStyle w:val="TableParagraph"/>
              <w:ind w:left="193" w:right="214"/>
              <w:rPr>
                <w:sz w:val="17"/>
              </w:rPr>
            </w:pPr>
            <w:r>
              <w:rPr>
                <w:color w:val="231F20"/>
                <w:w w:val="105"/>
                <w:sz w:val="17"/>
              </w:rPr>
              <w:t>8.1</w:t>
            </w:r>
          </w:p>
        </w:tc>
        <w:tc>
          <w:tcPr>
            <w:tcW w:w="702" w:type="dxa"/>
          </w:tcPr>
          <w:p>
            <w:pPr>
              <w:pStyle w:val="TableParagraph"/>
              <w:ind w:left="216" w:right="210"/>
              <w:rPr>
                <w:sz w:val="17"/>
              </w:rPr>
            </w:pPr>
            <w:r>
              <w:rPr>
                <w:color w:val="231F20"/>
                <w:w w:val="105"/>
                <w:sz w:val="17"/>
              </w:rPr>
              <w:t>5.6</w:t>
            </w:r>
          </w:p>
        </w:tc>
        <w:tc>
          <w:tcPr>
            <w:tcW w:w="699" w:type="dxa"/>
          </w:tcPr>
          <w:p>
            <w:pPr>
              <w:pStyle w:val="TableParagraph"/>
              <w:ind w:left="211" w:right="211"/>
              <w:rPr>
                <w:sz w:val="17"/>
              </w:rPr>
            </w:pPr>
            <w:r>
              <w:rPr>
                <w:color w:val="231F20"/>
                <w:w w:val="105"/>
                <w:sz w:val="17"/>
              </w:rPr>
              <w:t>2.9</w:t>
            </w:r>
          </w:p>
        </w:tc>
        <w:tc>
          <w:tcPr>
            <w:tcW w:w="664" w:type="dxa"/>
          </w:tcPr>
          <w:p>
            <w:pPr>
              <w:pStyle w:val="TableParagraph"/>
              <w:ind w:right="192"/>
              <w:jc w:val="right"/>
              <w:rPr>
                <w:sz w:val="17"/>
              </w:rPr>
            </w:pPr>
            <w:r>
              <w:rPr>
                <w:color w:val="231F20"/>
                <w:w w:val="105"/>
                <w:sz w:val="17"/>
              </w:rPr>
              <w:t>4.7</w:t>
            </w:r>
          </w:p>
        </w:tc>
        <w:tc>
          <w:tcPr>
            <w:tcW w:w="719" w:type="dxa"/>
          </w:tcPr>
          <w:p>
            <w:pPr>
              <w:pStyle w:val="TableParagraph"/>
              <w:ind w:left="173" w:right="127"/>
              <w:rPr>
                <w:sz w:val="17"/>
              </w:rPr>
            </w:pPr>
            <w:r>
              <w:rPr>
                <w:color w:val="231F20"/>
                <w:sz w:val="17"/>
              </w:rPr>
              <w:t>100</w:t>
            </w:r>
          </w:p>
        </w:tc>
      </w:tr>
      <w:tr>
        <w:trPr>
          <w:trHeight w:val="210" w:hRule="exact"/>
        </w:trPr>
        <w:tc>
          <w:tcPr>
            <w:tcW w:w="702" w:type="dxa"/>
          </w:tcPr>
          <w:p>
            <w:pPr>
              <w:pStyle w:val="TableParagraph"/>
              <w:ind w:left="164" w:right="162"/>
              <w:rPr>
                <w:sz w:val="17"/>
              </w:rPr>
            </w:pPr>
            <w:r>
              <w:rPr>
                <w:color w:val="231F20"/>
                <w:w w:val="105"/>
                <w:sz w:val="17"/>
              </w:rPr>
              <w:t>12.8</w:t>
            </w:r>
          </w:p>
        </w:tc>
        <w:tc>
          <w:tcPr>
            <w:tcW w:w="704" w:type="dxa"/>
          </w:tcPr>
          <w:p>
            <w:pPr>
              <w:pStyle w:val="TableParagraph"/>
              <w:ind w:left="163" w:right="164"/>
              <w:rPr>
                <w:sz w:val="17"/>
              </w:rPr>
            </w:pPr>
            <w:r>
              <w:rPr>
                <w:color w:val="231F20"/>
                <w:w w:val="105"/>
                <w:sz w:val="17"/>
              </w:rPr>
              <w:t>16.9</w:t>
            </w:r>
          </w:p>
        </w:tc>
        <w:tc>
          <w:tcPr>
            <w:tcW w:w="708" w:type="dxa"/>
          </w:tcPr>
          <w:p>
            <w:pPr>
              <w:pStyle w:val="TableParagraph"/>
              <w:ind w:left="167" w:right="167"/>
              <w:rPr>
                <w:sz w:val="17"/>
              </w:rPr>
            </w:pPr>
            <w:r>
              <w:rPr>
                <w:color w:val="231F20"/>
                <w:w w:val="105"/>
                <w:sz w:val="17"/>
              </w:rPr>
              <w:t>16.8</w:t>
            </w:r>
          </w:p>
        </w:tc>
        <w:tc>
          <w:tcPr>
            <w:tcW w:w="705" w:type="dxa"/>
          </w:tcPr>
          <w:p>
            <w:pPr>
              <w:pStyle w:val="TableParagraph"/>
              <w:ind w:left="166" w:right="163"/>
              <w:rPr>
                <w:sz w:val="17"/>
              </w:rPr>
            </w:pPr>
            <w:r>
              <w:rPr>
                <w:color w:val="231F20"/>
                <w:w w:val="105"/>
                <w:sz w:val="17"/>
              </w:rPr>
              <w:t>15.1</w:t>
            </w:r>
          </w:p>
        </w:tc>
        <w:tc>
          <w:tcPr>
            <w:tcW w:w="729" w:type="dxa"/>
          </w:tcPr>
          <w:p>
            <w:pPr>
              <w:pStyle w:val="TableParagraph"/>
              <w:ind w:left="165" w:right="189"/>
              <w:rPr>
                <w:sz w:val="17"/>
              </w:rPr>
            </w:pPr>
            <w:r>
              <w:rPr>
                <w:color w:val="231F20"/>
                <w:w w:val="105"/>
                <w:sz w:val="17"/>
              </w:rPr>
              <w:t>12.3</w:t>
            </w:r>
          </w:p>
        </w:tc>
        <w:tc>
          <w:tcPr>
            <w:tcW w:w="684" w:type="dxa"/>
          </w:tcPr>
          <w:p>
            <w:pPr>
              <w:pStyle w:val="TableParagraph"/>
              <w:ind w:left="193" w:right="214"/>
              <w:rPr>
                <w:sz w:val="17"/>
              </w:rPr>
            </w:pPr>
            <w:r>
              <w:rPr>
                <w:color w:val="231F20"/>
                <w:w w:val="105"/>
                <w:sz w:val="17"/>
              </w:rPr>
              <w:t>9.2</w:t>
            </w:r>
          </w:p>
        </w:tc>
        <w:tc>
          <w:tcPr>
            <w:tcW w:w="702" w:type="dxa"/>
          </w:tcPr>
          <w:p>
            <w:pPr>
              <w:pStyle w:val="TableParagraph"/>
              <w:ind w:left="216" w:right="210"/>
              <w:rPr>
                <w:sz w:val="17"/>
              </w:rPr>
            </w:pPr>
            <w:r>
              <w:rPr>
                <w:color w:val="231F20"/>
                <w:w w:val="105"/>
                <w:sz w:val="17"/>
              </w:rPr>
              <w:t>6.4</w:t>
            </w:r>
          </w:p>
        </w:tc>
        <w:tc>
          <w:tcPr>
            <w:tcW w:w="699" w:type="dxa"/>
          </w:tcPr>
          <w:p>
            <w:pPr>
              <w:pStyle w:val="TableParagraph"/>
              <w:ind w:left="211" w:right="211"/>
              <w:rPr>
                <w:sz w:val="17"/>
              </w:rPr>
            </w:pPr>
            <w:r>
              <w:rPr>
                <w:color w:val="231F20"/>
                <w:w w:val="105"/>
                <w:sz w:val="17"/>
              </w:rPr>
              <w:t>4.0</w:t>
            </w:r>
          </w:p>
        </w:tc>
        <w:tc>
          <w:tcPr>
            <w:tcW w:w="664" w:type="dxa"/>
          </w:tcPr>
          <w:p>
            <w:pPr>
              <w:pStyle w:val="TableParagraph"/>
              <w:ind w:right="192"/>
              <w:jc w:val="right"/>
              <w:rPr>
                <w:sz w:val="17"/>
              </w:rPr>
            </w:pPr>
            <w:r>
              <w:rPr>
                <w:color w:val="231F20"/>
                <w:w w:val="105"/>
                <w:sz w:val="17"/>
              </w:rPr>
              <w:t>6.4</w:t>
            </w:r>
          </w:p>
        </w:tc>
        <w:tc>
          <w:tcPr>
            <w:tcW w:w="719" w:type="dxa"/>
          </w:tcPr>
          <w:p>
            <w:pPr>
              <w:pStyle w:val="TableParagraph"/>
              <w:ind w:left="173" w:right="127"/>
              <w:rPr>
                <w:sz w:val="17"/>
              </w:rPr>
            </w:pPr>
            <w:r>
              <w:rPr>
                <w:color w:val="231F20"/>
                <w:sz w:val="17"/>
              </w:rPr>
              <w:t>100</w:t>
            </w:r>
          </w:p>
        </w:tc>
      </w:tr>
      <w:tr>
        <w:trPr>
          <w:trHeight w:val="210" w:hRule="exact"/>
        </w:trPr>
        <w:tc>
          <w:tcPr>
            <w:tcW w:w="702" w:type="dxa"/>
          </w:tcPr>
          <w:p>
            <w:pPr>
              <w:pStyle w:val="TableParagraph"/>
              <w:ind w:left="164" w:right="162"/>
              <w:rPr>
                <w:sz w:val="17"/>
              </w:rPr>
            </w:pPr>
            <w:r>
              <w:rPr>
                <w:color w:val="231F20"/>
                <w:w w:val="105"/>
                <w:sz w:val="17"/>
              </w:rPr>
              <w:t>10.6</w:t>
            </w:r>
          </w:p>
        </w:tc>
        <w:tc>
          <w:tcPr>
            <w:tcW w:w="704" w:type="dxa"/>
          </w:tcPr>
          <w:p>
            <w:pPr>
              <w:pStyle w:val="TableParagraph"/>
              <w:ind w:left="163" w:right="164"/>
              <w:rPr>
                <w:sz w:val="17"/>
              </w:rPr>
            </w:pPr>
            <w:r>
              <w:rPr>
                <w:color w:val="231F20"/>
                <w:w w:val="105"/>
                <w:sz w:val="17"/>
              </w:rPr>
              <w:t>15.4</w:t>
            </w:r>
          </w:p>
        </w:tc>
        <w:tc>
          <w:tcPr>
            <w:tcW w:w="708" w:type="dxa"/>
          </w:tcPr>
          <w:p>
            <w:pPr>
              <w:pStyle w:val="TableParagraph"/>
              <w:ind w:left="167" w:right="167"/>
              <w:rPr>
                <w:sz w:val="17"/>
              </w:rPr>
            </w:pPr>
            <w:r>
              <w:rPr>
                <w:color w:val="231F20"/>
                <w:w w:val="105"/>
                <w:sz w:val="17"/>
              </w:rPr>
              <w:t>16.7</w:t>
            </w:r>
          </w:p>
        </w:tc>
        <w:tc>
          <w:tcPr>
            <w:tcW w:w="705" w:type="dxa"/>
          </w:tcPr>
          <w:p>
            <w:pPr>
              <w:pStyle w:val="TableParagraph"/>
              <w:ind w:left="166" w:right="163"/>
              <w:rPr>
                <w:sz w:val="17"/>
              </w:rPr>
            </w:pPr>
            <w:r>
              <w:rPr>
                <w:color w:val="231F20"/>
                <w:w w:val="105"/>
                <w:sz w:val="17"/>
              </w:rPr>
              <w:t>15.9</w:t>
            </w:r>
          </w:p>
        </w:tc>
        <w:tc>
          <w:tcPr>
            <w:tcW w:w="729" w:type="dxa"/>
          </w:tcPr>
          <w:p>
            <w:pPr>
              <w:pStyle w:val="TableParagraph"/>
              <w:ind w:left="165" w:right="189"/>
              <w:rPr>
                <w:sz w:val="17"/>
              </w:rPr>
            </w:pPr>
            <w:r>
              <w:rPr>
                <w:color w:val="231F20"/>
                <w:w w:val="105"/>
                <w:sz w:val="17"/>
              </w:rPr>
              <w:t>13.7</w:t>
            </w:r>
          </w:p>
        </w:tc>
        <w:tc>
          <w:tcPr>
            <w:tcW w:w="684" w:type="dxa"/>
          </w:tcPr>
          <w:p>
            <w:pPr>
              <w:pStyle w:val="TableParagraph"/>
              <w:ind w:left="193" w:right="214"/>
              <w:rPr>
                <w:sz w:val="17"/>
              </w:rPr>
            </w:pPr>
            <w:r>
              <w:rPr>
                <w:color w:val="231F20"/>
                <w:w w:val="105"/>
                <w:sz w:val="17"/>
              </w:rPr>
              <w:t>9.8</w:t>
            </w:r>
          </w:p>
        </w:tc>
        <w:tc>
          <w:tcPr>
            <w:tcW w:w="702" w:type="dxa"/>
          </w:tcPr>
          <w:p>
            <w:pPr>
              <w:pStyle w:val="TableParagraph"/>
              <w:ind w:left="216" w:right="210"/>
              <w:rPr>
                <w:sz w:val="17"/>
              </w:rPr>
            </w:pPr>
            <w:r>
              <w:rPr>
                <w:color w:val="231F20"/>
                <w:w w:val="105"/>
                <w:sz w:val="17"/>
              </w:rPr>
              <w:t>6.7</w:t>
            </w:r>
          </w:p>
        </w:tc>
        <w:tc>
          <w:tcPr>
            <w:tcW w:w="699" w:type="dxa"/>
          </w:tcPr>
          <w:p>
            <w:pPr>
              <w:pStyle w:val="TableParagraph"/>
              <w:ind w:left="211" w:right="211"/>
              <w:rPr>
                <w:sz w:val="17"/>
              </w:rPr>
            </w:pPr>
            <w:r>
              <w:rPr>
                <w:color w:val="231F20"/>
                <w:w w:val="105"/>
                <w:sz w:val="17"/>
              </w:rPr>
              <w:t>4.2</w:t>
            </w:r>
          </w:p>
        </w:tc>
        <w:tc>
          <w:tcPr>
            <w:tcW w:w="664" w:type="dxa"/>
          </w:tcPr>
          <w:p>
            <w:pPr>
              <w:pStyle w:val="TableParagraph"/>
              <w:ind w:right="192"/>
              <w:jc w:val="right"/>
              <w:rPr>
                <w:sz w:val="17"/>
              </w:rPr>
            </w:pPr>
            <w:r>
              <w:rPr>
                <w:color w:val="231F20"/>
                <w:w w:val="105"/>
                <w:sz w:val="17"/>
              </w:rPr>
              <w:t>6.8</w:t>
            </w:r>
          </w:p>
        </w:tc>
        <w:tc>
          <w:tcPr>
            <w:tcW w:w="719" w:type="dxa"/>
          </w:tcPr>
          <w:p>
            <w:pPr>
              <w:pStyle w:val="TableParagraph"/>
              <w:ind w:left="173" w:right="127"/>
              <w:rPr>
                <w:sz w:val="17"/>
              </w:rPr>
            </w:pPr>
            <w:r>
              <w:rPr>
                <w:color w:val="231F20"/>
                <w:sz w:val="17"/>
              </w:rPr>
              <w:t>100</w:t>
            </w:r>
          </w:p>
        </w:tc>
      </w:tr>
      <w:tr>
        <w:trPr>
          <w:trHeight w:val="210" w:hRule="exact"/>
        </w:trPr>
        <w:tc>
          <w:tcPr>
            <w:tcW w:w="702" w:type="dxa"/>
          </w:tcPr>
          <w:p>
            <w:pPr>
              <w:pStyle w:val="TableParagraph"/>
              <w:ind w:left="164" w:right="162"/>
              <w:rPr>
                <w:sz w:val="17"/>
              </w:rPr>
            </w:pPr>
            <w:r>
              <w:rPr>
                <w:color w:val="231F20"/>
                <w:w w:val="105"/>
                <w:sz w:val="17"/>
              </w:rPr>
              <w:t>10.8</w:t>
            </w:r>
          </w:p>
        </w:tc>
        <w:tc>
          <w:tcPr>
            <w:tcW w:w="704" w:type="dxa"/>
          </w:tcPr>
          <w:p>
            <w:pPr>
              <w:pStyle w:val="TableParagraph"/>
              <w:ind w:left="163" w:right="164"/>
              <w:rPr>
                <w:sz w:val="17"/>
              </w:rPr>
            </w:pPr>
            <w:r>
              <w:rPr>
                <w:color w:val="231F20"/>
                <w:w w:val="105"/>
                <w:sz w:val="17"/>
              </w:rPr>
              <w:t>17.2</w:t>
            </w:r>
          </w:p>
        </w:tc>
        <w:tc>
          <w:tcPr>
            <w:tcW w:w="708" w:type="dxa"/>
          </w:tcPr>
          <w:p>
            <w:pPr>
              <w:pStyle w:val="TableParagraph"/>
              <w:ind w:left="167" w:right="167"/>
              <w:rPr>
                <w:sz w:val="17"/>
              </w:rPr>
            </w:pPr>
            <w:r>
              <w:rPr>
                <w:color w:val="231F20"/>
                <w:w w:val="105"/>
                <w:sz w:val="17"/>
              </w:rPr>
              <w:t>18.6</w:t>
            </w:r>
          </w:p>
        </w:tc>
        <w:tc>
          <w:tcPr>
            <w:tcW w:w="705" w:type="dxa"/>
          </w:tcPr>
          <w:p>
            <w:pPr>
              <w:pStyle w:val="TableParagraph"/>
              <w:ind w:left="166" w:right="163"/>
              <w:rPr>
                <w:sz w:val="17"/>
              </w:rPr>
            </w:pPr>
            <w:r>
              <w:rPr>
                <w:color w:val="231F20"/>
                <w:w w:val="105"/>
                <w:sz w:val="17"/>
              </w:rPr>
              <w:t>17.0</w:t>
            </w:r>
          </w:p>
        </w:tc>
        <w:tc>
          <w:tcPr>
            <w:tcW w:w="729" w:type="dxa"/>
          </w:tcPr>
          <w:p>
            <w:pPr>
              <w:pStyle w:val="TableParagraph"/>
              <w:ind w:left="165" w:right="189"/>
              <w:rPr>
                <w:sz w:val="17"/>
              </w:rPr>
            </w:pPr>
            <w:r>
              <w:rPr>
                <w:color w:val="231F20"/>
                <w:w w:val="105"/>
                <w:sz w:val="17"/>
              </w:rPr>
              <w:t>13.2</w:t>
            </w:r>
          </w:p>
        </w:tc>
        <w:tc>
          <w:tcPr>
            <w:tcW w:w="684" w:type="dxa"/>
          </w:tcPr>
          <w:p>
            <w:pPr>
              <w:pStyle w:val="TableParagraph"/>
              <w:ind w:left="193" w:right="214"/>
              <w:rPr>
                <w:sz w:val="17"/>
              </w:rPr>
            </w:pPr>
            <w:r>
              <w:rPr>
                <w:color w:val="231F20"/>
                <w:w w:val="105"/>
                <w:sz w:val="17"/>
              </w:rPr>
              <w:t>9.4</w:t>
            </w:r>
          </w:p>
        </w:tc>
        <w:tc>
          <w:tcPr>
            <w:tcW w:w="702" w:type="dxa"/>
          </w:tcPr>
          <w:p>
            <w:pPr>
              <w:pStyle w:val="TableParagraph"/>
              <w:ind w:left="216" w:right="210"/>
              <w:rPr>
                <w:sz w:val="17"/>
              </w:rPr>
            </w:pPr>
            <w:r>
              <w:rPr>
                <w:color w:val="231F20"/>
                <w:w w:val="105"/>
                <w:sz w:val="17"/>
              </w:rPr>
              <w:t>5.7</w:t>
            </w:r>
          </w:p>
        </w:tc>
        <w:tc>
          <w:tcPr>
            <w:tcW w:w="699" w:type="dxa"/>
          </w:tcPr>
          <w:p>
            <w:pPr>
              <w:pStyle w:val="TableParagraph"/>
              <w:ind w:left="211" w:right="211"/>
              <w:rPr>
                <w:sz w:val="17"/>
              </w:rPr>
            </w:pPr>
            <w:r>
              <w:rPr>
                <w:color w:val="231F20"/>
                <w:w w:val="105"/>
                <w:sz w:val="17"/>
              </w:rPr>
              <w:t>3.5</w:t>
            </w:r>
          </w:p>
        </w:tc>
        <w:tc>
          <w:tcPr>
            <w:tcW w:w="664" w:type="dxa"/>
          </w:tcPr>
          <w:p>
            <w:pPr>
              <w:pStyle w:val="TableParagraph"/>
              <w:ind w:right="192"/>
              <w:jc w:val="right"/>
              <w:rPr>
                <w:sz w:val="17"/>
              </w:rPr>
            </w:pPr>
            <w:r>
              <w:rPr>
                <w:color w:val="231F20"/>
                <w:w w:val="105"/>
                <w:sz w:val="17"/>
              </w:rPr>
              <w:t>4.8</w:t>
            </w:r>
          </w:p>
        </w:tc>
        <w:tc>
          <w:tcPr>
            <w:tcW w:w="719" w:type="dxa"/>
          </w:tcPr>
          <w:p>
            <w:pPr>
              <w:pStyle w:val="TableParagraph"/>
              <w:ind w:left="173" w:right="127"/>
              <w:rPr>
                <w:sz w:val="17"/>
              </w:rPr>
            </w:pPr>
            <w:r>
              <w:rPr>
                <w:color w:val="231F20"/>
                <w:sz w:val="17"/>
              </w:rPr>
              <w:t>100</w:t>
            </w:r>
          </w:p>
        </w:tc>
      </w:tr>
      <w:tr>
        <w:trPr>
          <w:trHeight w:val="210" w:hRule="exact"/>
        </w:trPr>
        <w:tc>
          <w:tcPr>
            <w:tcW w:w="702" w:type="dxa"/>
          </w:tcPr>
          <w:p>
            <w:pPr>
              <w:pStyle w:val="TableParagraph"/>
              <w:ind w:left="164" w:right="162"/>
              <w:rPr>
                <w:sz w:val="17"/>
              </w:rPr>
            </w:pPr>
            <w:r>
              <w:rPr>
                <w:color w:val="231F20"/>
                <w:w w:val="105"/>
                <w:sz w:val="17"/>
              </w:rPr>
              <w:t>10.2</w:t>
            </w:r>
          </w:p>
        </w:tc>
        <w:tc>
          <w:tcPr>
            <w:tcW w:w="704" w:type="dxa"/>
          </w:tcPr>
          <w:p>
            <w:pPr>
              <w:pStyle w:val="TableParagraph"/>
              <w:ind w:left="163" w:right="164"/>
              <w:rPr>
                <w:sz w:val="17"/>
              </w:rPr>
            </w:pPr>
            <w:r>
              <w:rPr>
                <w:color w:val="231F20"/>
                <w:w w:val="105"/>
                <w:sz w:val="17"/>
              </w:rPr>
              <w:t>16.2</w:t>
            </w:r>
          </w:p>
        </w:tc>
        <w:tc>
          <w:tcPr>
            <w:tcW w:w="708" w:type="dxa"/>
          </w:tcPr>
          <w:p>
            <w:pPr>
              <w:pStyle w:val="TableParagraph"/>
              <w:ind w:left="167" w:right="167"/>
              <w:rPr>
                <w:sz w:val="17"/>
              </w:rPr>
            </w:pPr>
            <w:r>
              <w:rPr>
                <w:color w:val="231F20"/>
                <w:w w:val="105"/>
                <w:sz w:val="17"/>
              </w:rPr>
              <w:t>17.5</w:t>
            </w:r>
          </w:p>
        </w:tc>
        <w:tc>
          <w:tcPr>
            <w:tcW w:w="705" w:type="dxa"/>
          </w:tcPr>
          <w:p>
            <w:pPr>
              <w:pStyle w:val="TableParagraph"/>
              <w:ind w:left="166" w:right="163"/>
              <w:rPr>
                <w:sz w:val="17"/>
              </w:rPr>
            </w:pPr>
            <w:r>
              <w:rPr>
                <w:color w:val="231F20"/>
                <w:w w:val="105"/>
                <w:sz w:val="17"/>
              </w:rPr>
              <w:t>16.3</w:t>
            </w:r>
          </w:p>
        </w:tc>
        <w:tc>
          <w:tcPr>
            <w:tcW w:w="729" w:type="dxa"/>
          </w:tcPr>
          <w:p>
            <w:pPr>
              <w:pStyle w:val="TableParagraph"/>
              <w:ind w:left="165" w:right="189"/>
              <w:rPr>
                <w:sz w:val="17"/>
              </w:rPr>
            </w:pPr>
            <w:r>
              <w:rPr>
                <w:color w:val="231F20"/>
                <w:w w:val="105"/>
                <w:sz w:val="17"/>
              </w:rPr>
              <w:t>13.2</w:t>
            </w:r>
          </w:p>
        </w:tc>
        <w:tc>
          <w:tcPr>
            <w:tcW w:w="684" w:type="dxa"/>
          </w:tcPr>
          <w:p>
            <w:pPr>
              <w:pStyle w:val="TableParagraph"/>
              <w:ind w:left="193" w:right="214"/>
              <w:rPr>
                <w:sz w:val="17"/>
              </w:rPr>
            </w:pPr>
            <w:r>
              <w:rPr>
                <w:color w:val="231F20"/>
                <w:w w:val="105"/>
                <w:sz w:val="17"/>
              </w:rPr>
              <w:t>9.3</w:t>
            </w:r>
          </w:p>
        </w:tc>
        <w:tc>
          <w:tcPr>
            <w:tcW w:w="702" w:type="dxa"/>
          </w:tcPr>
          <w:p>
            <w:pPr>
              <w:pStyle w:val="TableParagraph"/>
              <w:ind w:left="216" w:right="210"/>
              <w:rPr>
                <w:sz w:val="17"/>
              </w:rPr>
            </w:pPr>
            <w:r>
              <w:rPr>
                <w:color w:val="231F20"/>
                <w:w w:val="105"/>
                <w:sz w:val="17"/>
              </w:rPr>
              <w:t>6.4</w:t>
            </w:r>
          </w:p>
        </w:tc>
        <w:tc>
          <w:tcPr>
            <w:tcW w:w="699" w:type="dxa"/>
          </w:tcPr>
          <w:p>
            <w:pPr>
              <w:pStyle w:val="TableParagraph"/>
              <w:ind w:left="211" w:right="211"/>
              <w:rPr>
                <w:sz w:val="17"/>
              </w:rPr>
            </w:pPr>
            <w:r>
              <w:rPr>
                <w:color w:val="231F20"/>
                <w:w w:val="105"/>
                <w:sz w:val="17"/>
              </w:rPr>
              <w:t>4.0</w:t>
            </w:r>
          </w:p>
        </w:tc>
        <w:tc>
          <w:tcPr>
            <w:tcW w:w="664" w:type="dxa"/>
          </w:tcPr>
          <w:p>
            <w:pPr>
              <w:pStyle w:val="TableParagraph"/>
              <w:ind w:right="192"/>
              <w:jc w:val="right"/>
              <w:rPr>
                <w:sz w:val="17"/>
              </w:rPr>
            </w:pPr>
            <w:r>
              <w:rPr>
                <w:color w:val="231F20"/>
                <w:w w:val="105"/>
                <w:sz w:val="17"/>
              </w:rPr>
              <w:t>6.7</w:t>
            </w:r>
          </w:p>
        </w:tc>
        <w:tc>
          <w:tcPr>
            <w:tcW w:w="719" w:type="dxa"/>
          </w:tcPr>
          <w:p>
            <w:pPr>
              <w:pStyle w:val="TableParagraph"/>
              <w:ind w:left="173" w:right="127"/>
              <w:rPr>
                <w:sz w:val="17"/>
              </w:rPr>
            </w:pPr>
            <w:r>
              <w:rPr>
                <w:color w:val="231F20"/>
                <w:sz w:val="17"/>
              </w:rPr>
              <w:t>100</w:t>
            </w:r>
          </w:p>
        </w:tc>
      </w:tr>
      <w:tr>
        <w:trPr>
          <w:trHeight w:val="210" w:hRule="exact"/>
        </w:trPr>
        <w:tc>
          <w:tcPr>
            <w:tcW w:w="702" w:type="dxa"/>
          </w:tcPr>
          <w:p>
            <w:pPr>
              <w:pStyle w:val="TableParagraph"/>
              <w:ind w:left="164" w:right="163"/>
              <w:rPr>
                <w:sz w:val="17"/>
              </w:rPr>
            </w:pPr>
            <w:r>
              <w:rPr>
                <w:color w:val="231F20"/>
                <w:w w:val="105"/>
                <w:sz w:val="17"/>
              </w:rPr>
              <w:t>15.6</w:t>
            </w:r>
          </w:p>
        </w:tc>
        <w:tc>
          <w:tcPr>
            <w:tcW w:w="704" w:type="dxa"/>
          </w:tcPr>
          <w:p>
            <w:pPr>
              <w:pStyle w:val="TableParagraph"/>
              <w:ind w:left="162" w:right="165"/>
              <w:rPr>
                <w:sz w:val="17"/>
              </w:rPr>
            </w:pPr>
            <w:r>
              <w:rPr>
                <w:color w:val="231F20"/>
                <w:w w:val="105"/>
                <w:sz w:val="17"/>
              </w:rPr>
              <w:t>19.5</w:t>
            </w:r>
          </w:p>
        </w:tc>
        <w:tc>
          <w:tcPr>
            <w:tcW w:w="708" w:type="dxa"/>
          </w:tcPr>
          <w:p>
            <w:pPr>
              <w:pStyle w:val="TableParagraph"/>
              <w:ind w:left="167" w:right="167"/>
              <w:rPr>
                <w:sz w:val="17"/>
              </w:rPr>
            </w:pPr>
            <w:r>
              <w:rPr>
                <w:color w:val="231F20"/>
                <w:w w:val="105"/>
                <w:sz w:val="17"/>
              </w:rPr>
              <w:t>18.7</w:t>
            </w:r>
          </w:p>
        </w:tc>
        <w:tc>
          <w:tcPr>
            <w:tcW w:w="705" w:type="dxa"/>
          </w:tcPr>
          <w:p>
            <w:pPr>
              <w:pStyle w:val="TableParagraph"/>
              <w:ind w:left="166" w:right="163"/>
              <w:rPr>
                <w:sz w:val="17"/>
              </w:rPr>
            </w:pPr>
            <w:r>
              <w:rPr>
                <w:color w:val="231F20"/>
                <w:w w:val="105"/>
                <w:sz w:val="17"/>
              </w:rPr>
              <w:t>16.0</w:t>
            </w:r>
          </w:p>
        </w:tc>
        <w:tc>
          <w:tcPr>
            <w:tcW w:w="729" w:type="dxa"/>
          </w:tcPr>
          <w:p>
            <w:pPr>
              <w:pStyle w:val="TableParagraph"/>
              <w:ind w:left="164" w:right="189"/>
              <w:rPr>
                <w:sz w:val="17"/>
              </w:rPr>
            </w:pPr>
            <w:r>
              <w:rPr>
                <w:color w:val="231F20"/>
                <w:w w:val="105"/>
                <w:sz w:val="17"/>
              </w:rPr>
              <w:t>11.6</w:t>
            </w:r>
          </w:p>
        </w:tc>
        <w:tc>
          <w:tcPr>
            <w:tcW w:w="684" w:type="dxa"/>
          </w:tcPr>
          <w:p>
            <w:pPr>
              <w:pStyle w:val="TableParagraph"/>
              <w:ind w:left="193" w:right="215"/>
              <w:rPr>
                <w:sz w:val="17"/>
              </w:rPr>
            </w:pPr>
            <w:r>
              <w:rPr>
                <w:color w:val="231F20"/>
                <w:w w:val="105"/>
                <w:sz w:val="17"/>
              </w:rPr>
              <w:t>7.6</w:t>
            </w:r>
          </w:p>
        </w:tc>
        <w:tc>
          <w:tcPr>
            <w:tcW w:w="702" w:type="dxa"/>
          </w:tcPr>
          <w:p>
            <w:pPr>
              <w:pStyle w:val="TableParagraph"/>
              <w:ind w:left="216" w:right="210"/>
              <w:rPr>
                <w:sz w:val="17"/>
              </w:rPr>
            </w:pPr>
            <w:r>
              <w:rPr>
                <w:color w:val="231F20"/>
                <w:w w:val="105"/>
                <w:sz w:val="17"/>
              </w:rPr>
              <w:t>4.7</w:t>
            </w:r>
          </w:p>
        </w:tc>
        <w:tc>
          <w:tcPr>
            <w:tcW w:w="699" w:type="dxa"/>
          </w:tcPr>
          <w:p>
            <w:pPr>
              <w:pStyle w:val="TableParagraph"/>
              <w:ind w:left="210" w:right="212"/>
              <w:rPr>
                <w:sz w:val="17"/>
              </w:rPr>
            </w:pPr>
            <w:r>
              <w:rPr>
                <w:color w:val="231F20"/>
                <w:w w:val="105"/>
                <w:sz w:val="17"/>
              </w:rPr>
              <w:t>2.7</w:t>
            </w:r>
          </w:p>
        </w:tc>
        <w:tc>
          <w:tcPr>
            <w:tcW w:w="664" w:type="dxa"/>
          </w:tcPr>
          <w:p>
            <w:pPr>
              <w:pStyle w:val="TableParagraph"/>
              <w:ind w:right="192"/>
              <w:jc w:val="right"/>
              <w:rPr>
                <w:sz w:val="17"/>
              </w:rPr>
            </w:pPr>
            <w:r>
              <w:rPr>
                <w:color w:val="231F20"/>
                <w:w w:val="105"/>
                <w:sz w:val="17"/>
              </w:rPr>
              <w:t>3.5</w:t>
            </w:r>
          </w:p>
        </w:tc>
        <w:tc>
          <w:tcPr>
            <w:tcW w:w="719" w:type="dxa"/>
          </w:tcPr>
          <w:p>
            <w:pPr>
              <w:pStyle w:val="TableParagraph"/>
              <w:ind w:left="173" w:right="127"/>
              <w:rPr>
                <w:sz w:val="17"/>
              </w:rPr>
            </w:pPr>
            <w:r>
              <w:rPr>
                <w:color w:val="231F20"/>
                <w:sz w:val="17"/>
              </w:rPr>
              <w:t>100</w:t>
            </w:r>
          </w:p>
        </w:tc>
      </w:tr>
      <w:tr>
        <w:trPr>
          <w:trHeight w:val="210" w:hRule="exact"/>
        </w:trPr>
        <w:tc>
          <w:tcPr>
            <w:tcW w:w="702" w:type="dxa"/>
          </w:tcPr>
          <w:p>
            <w:pPr>
              <w:pStyle w:val="TableParagraph"/>
              <w:ind w:left="164" w:right="163"/>
              <w:rPr>
                <w:sz w:val="17"/>
              </w:rPr>
            </w:pPr>
            <w:r>
              <w:rPr>
                <w:color w:val="231F20"/>
                <w:w w:val="105"/>
                <w:sz w:val="17"/>
              </w:rPr>
              <w:t>13.6</w:t>
            </w:r>
          </w:p>
        </w:tc>
        <w:tc>
          <w:tcPr>
            <w:tcW w:w="704" w:type="dxa"/>
          </w:tcPr>
          <w:p>
            <w:pPr>
              <w:pStyle w:val="TableParagraph"/>
              <w:ind w:left="163" w:right="165"/>
              <w:rPr>
                <w:sz w:val="17"/>
              </w:rPr>
            </w:pPr>
            <w:r>
              <w:rPr>
                <w:color w:val="231F20"/>
                <w:w w:val="105"/>
                <w:sz w:val="17"/>
              </w:rPr>
              <w:t>15.0</w:t>
            </w:r>
          </w:p>
        </w:tc>
        <w:tc>
          <w:tcPr>
            <w:tcW w:w="708" w:type="dxa"/>
          </w:tcPr>
          <w:p>
            <w:pPr>
              <w:pStyle w:val="TableParagraph"/>
              <w:ind w:left="167" w:right="167"/>
              <w:rPr>
                <w:sz w:val="17"/>
              </w:rPr>
            </w:pPr>
            <w:r>
              <w:rPr>
                <w:color w:val="231F20"/>
                <w:w w:val="105"/>
                <w:sz w:val="17"/>
              </w:rPr>
              <w:t>16.2</w:t>
            </w:r>
          </w:p>
        </w:tc>
        <w:tc>
          <w:tcPr>
            <w:tcW w:w="705" w:type="dxa"/>
          </w:tcPr>
          <w:p>
            <w:pPr>
              <w:pStyle w:val="TableParagraph"/>
              <w:ind w:left="166" w:right="164"/>
              <w:rPr>
                <w:sz w:val="17"/>
              </w:rPr>
            </w:pPr>
            <w:r>
              <w:rPr>
                <w:color w:val="231F20"/>
                <w:w w:val="105"/>
                <w:sz w:val="17"/>
              </w:rPr>
              <w:t>14.8</w:t>
            </w:r>
          </w:p>
        </w:tc>
        <w:tc>
          <w:tcPr>
            <w:tcW w:w="729" w:type="dxa"/>
          </w:tcPr>
          <w:p>
            <w:pPr>
              <w:pStyle w:val="TableParagraph"/>
              <w:ind w:left="164" w:right="189"/>
              <w:rPr>
                <w:sz w:val="17"/>
              </w:rPr>
            </w:pPr>
            <w:r>
              <w:rPr>
                <w:color w:val="231F20"/>
                <w:w w:val="105"/>
                <w:sz w:val="17"/>
              </w:rPr>
              <w:t>12.7</w:t>
            </w:r>
          </w:p>
        </w:tc>
        <w:tc>
          <w:tcPr>
            <w:tcW w:w="684" w:type="dxa"/>
          </w:tcPr>
          <w:p>
            <w:pPr>
              <w:pStyle w:val="TableParagraph"/>
              <w:ind w:left="193" w:right="215"/>
              <w:rPr>
                <w:sz w:val="17"/>
              </w:rPr>
            </w:pPr>
            <w:r>
              <w:rPr>
                <w:color w:val="231F20"/>
                <w:w w:val="105"/>
                <w:sz w:val="17"/>
              </w:rPr>
              <w:t>9.4</w:t>
            </w:r>
          </w:p>
        </w:tc>
        <w:tc>
          <w:tcPr>
            <w:tcW w:w="702" w:type="dxa"/>
          </w:tcPr>
          <w:p>
            <w:pPr>
              <w:pStyle w:val="TableParagraph"/>
              <w:ind w:left="215" w:right="210"/>
              <w:rPr>
                <w:sz w:val="17"/>
              </w:rPr>
            </w:pPr>
            <w:r>
              <w:rPr>
                <w:color w:val="231F20"/>
                <w:w w:val="105"/>
                <w:sz w:val="17"/>
              </w:rPr>
              <w:t>6.4</w:t>
            </w:r>
          </w:p>
        </w:tc>
        <w:tc>
          <w:tcPr>
            <w:tcW w:w="699" w:type="dxa"/>
          </w:tcPr>
          <w:p>
            <w:pPr>
              <w:pStyle w:val="TableParagraph"/>
              <w:ind w:left="211" w:right="212"/>
              <w:rPr>
                <w:sz w:val="17"/>
              </w:rPr>
            </w:pPr>
            <w:r>
              <w:rPr>
                <w:color w:val="231F20"/>
                <w:w w:val="105"/>
                <w:sz w:val="17"/>
              </w:rPr>
              <w:t>4.4</w:t>
            </w:r>
          </w:p>
        </w:tc>
        <w:tc>
          <w:tcPr>
            <w:tcW w:w="664" w:type="dxa"/>
          </w:tcPr>
          <w:p>
            <w:pPr>
              <w:pStyle w:val="TableParagraph"/>
              <w:ind w:right="192"/>
              <w:jc w:val="right"/>
              <w:rPr>
                <w:sz w:val="17"/>
              </w:rPr>
            </w:pPr>
            <w:r>
              <w:rPr>
                <w:color w:val="231F20"/>
                <w:w w:val="105"/>
                <w:sz w:val="17"/>
              </w:rPr>
              <w:t>7.5</w:t>
            </w:r>
          </w:p>
        </w:tc>
        <w:tc>
          <w:tcPr>
            <w:tcW w:w="719" w:type="dxa"/>
          </w:tcPr>
          <w:p>
            <w:pPr>
              <w:pStyle w:val="TableParagraph"/>
              <w:ind w:left="173" w:right="127"/>
              <w:rPr>
                <w:sz w:val="17"/>
              </w:rPr>
            </w:pPr>
            <w:r>
              <w:rPr>
                <w:color w:val="231F20"/>
                <w:sz w:val="17"/>
              </w:rPr>
              <w:t>100</w:t>
            </w:r>
          </w:p>
        </w:tc>
      </w:tr>
      <w:tr>
        <w:trPr>
          <w:trHeight w:val="210" w:hRule="exact"/>
        </w:trPr>
        <w:tc>
          <w:tcPr>
            <w:tcW w:w="702" w:type="dxa"/>
          </w:tcPr>
          <w:p>
            <w:pPr>
              <w:pStyle w:val="TableParagraph"/>
              <w:ind w:left="164" w:right="163"/>
              <w:rPr>
                <w:sz w:val="17"/>
              </w:rPr>
            </w:pPr>
            <w:r>
              <w:rPr>
                <w:color w:val="231F20"/>
                <w:w w:val="105"/>
                <w:sz w:val="17"/>
              </w:rPr>
              <w:t>12.7</w:t>
            </w:r>
          </w:p>
        </w:tc>
        <w:tc>
          <w:tcPr>
            <w:tcW w:w="704" w:type="dxa"/>
          </w:tcPr>
          <w:p>
            <w:pPr>
              <w:pStyle w:val="TableParagraph"/>
              <w:ind w:left="163" w:right="165"/>
              <w:rPr>
                <w:sz w:val="17"/>
              </w:rPr>
            </w:pPr>
            <w:r>
              <w:rPr>
                <w:color w:val="231F20"/>
                <w:w w:val="105"/>
                <w:sz w:val="17"/>
              </w:rPr>
              <w:t>17.7</w:t>
            </w:r>
          </w:p>
        </w:tc>
        <w:tc>
          <w:tcPr>
            <w:tcW w:w="708" w:type="dxa"/>
          </w:tcPr>
          <w:p>
            <w:pPr>
              <w:pStyle w:val="TableParagraph"/>
              <w:ind w:left="167" w:right="167"/>
              <w:rPr>
                <w:sz w:val="17"/>
              </w:rPr>
            </w:pPr>
            <w:r>
              <w:rPr>
                <w:color w:val="231F20"/>
                <w:w w:val="105"/>
                <w:sz w:val="17"/>
              </w:rPr>
              <w:t>18.5</w:t>
            </w:r>
          </w:p>
        </w:tc>
        <w:tc>
          <w:tcPr>
            <w:tcW w:w="705" w:type="dxa"/>
          </w:tcPr>
          <w:p>
            <w:pPr>
              <w:pStyle w:val="TableParagraph"/>
              <w:ind w:left="166" w:right="164"/>
              <w:rPr>
                <w:sz w:val="17"/>
              </w:rPr>
            </w:pPr>
            <w:r>
              <w:rPr>
                <w:color w:val="231F20"/>
                <w:w w:val="105"/>
                <w:sz w:val="17"/>
              </w:rPr>
              <w:t>16.1</w:t>
            </w:r>
          </w:p>
        </w:tc>
        <w:tc>
          <w:tcPr>
            <w:tcW w:w="729" w:type="dxa"/>
          </w:tcPr>
          <w:p>
            <w:pPr>
              <w:pStyle w:val="TableParagraph"/>
              <w:ind w:left="164" w:right="189"/>
              <w:rPr>
                <w:sz w:val="17"/>
              </w:rPr>
            </w:pPr>
            <w:r>
              <w:rPr>
                <w:color w:val="231F20"/>
                <w:w w:val="105"/>
                <w:sz w:val="17"/>
              </w:rPr>
              <w:t>12.2</w:t>
            </w:r>
          </w:p>
        </w:tc>
        <w:tc>
          <w:tcPr>
            <w:tcW w:w="684" w:type="dxa"/>
          </w:tcPr>
          <w:p>
            <w:pPr>
              <w:pStyle w:val="TableParagraph"/>
              <w:ind w:left="193" w:right="215"/>
              <w:rPr>
                <w:sz w:val="17"/>
              </w:rPr>
            </w:pPr>
            <w:r>
              <w:rPr>
                <w:color w:val="231F20"/>
                <w:w w:val="105"/>
                <w:sz w:val="17"/>
              </w:rPr>
              <w:t>8.4</w:t>
            </w:r>
          </w:p>
        </w:tc>
        <w:tc>
          <w:tcPr>
            <w:tcW w:w="702" w:type="dxa"/>
          </w:tcPr>
          <w:p>
            <w:pPr>
              <w:pStyle w:val="TableParagraph"/>
              <w:ind w:left="215" w:right="210"/>
              <w:rPr>
                <w:sz w:val="17"/>
              </w:rPr>
            </w:pPr>
            <w:r>
              <w:rPr>
                <w:color w:val="231F20"/>
                <w:w w:val="105"/>
                <w:sz w:val="17"/>
              </w:rPr>
              <w:t>5.6</w:t>
            </w:r>
          </w:p>
        </w:tc>
        <w:tc>
          <w:tcPr>
            <w:tcW w:w="699" w:type="dxa"/>
          </w:tcPr>
          <w:p>
            <w:pPr>
              <w:pStyle w:val="TableParagraph"/>
              <w:ind w:left="211" w:right="212"/>
              <w:rPr>
                <w:sz w:val="17"/>
              </w:rPr>
            </w:pPr>
            <w:r>
              <w:rPr>
                <w:color w:val="231F20"/>
                <w:w w:val="105"/>
                <w:sz w:val="17"/>
              </w:rPr>
              <w:t>3.6</w:t>
            </w:r>
          </w:p>
        </w:tc>
        <w:tc>
          <w:tcPr>
            <w:tcW w:w="664" w:type="dxa"/>
          </w:tcPr>
          <w:p>
            <w:pPr>
              <w:pStyle w:val="TableParagraph"/>
              <w:ind w:right="192"/>
              <w:jc w:val="right"/>
              <w:rPr>
                <w:sz w:val="17"/>
              </w:rPr>
            </w:pPr>
            <w:r>
              <w:rPr>
                <w:color w:val="231F20"/>
                <w:w w:val="105"/>
                <w:sz w:val="17"/>
              </w:rPr>
              <w:t>5.2</w:t>
            </w:r>
          </w:p>
        </w:tc>
        <w:tc>
          <w:tcPr>
            <w:tcW w:w="719" w:type="dxa"/>
          </w:tcPr>
          <w:p>
            <w:pPr>
              <w:pStyle w:val="TableParagraph"/>
              <w:ind w:left="173" w:right="127"/>
              <w:rPr>
                <w:sz w:val="17"/>
              </w:rPr>
            </w:pPr>
            <w:r>
              <w:rPr>
                <w:color w:val="231F20"/>
                <w:sz w:val="17"/>
              </w:rPr>
              <w:t>100</w:t>
            </w:r>
          </w:p>
        </w:tc>
      </w:tr>
      <w:tr>
        <w:trPr>
          <w:trHeight w:val="210" w:hRule="exact"/>
        </w:trPr>
        <w:tc>
          <w:tcPr>
            <w:tcW w:w="702" w:type="dxa"/>
          </w:tcPr>
          <w:p>
            <w:pPr>
              <w:pStyle w:val="TableParagraph"/>
              <w:ind w:left="164" w:right="163"/>
              <w:rPr>
                <w:sz w:val="17"/>
              </w:rPr>
            </w:pPr>
            <w:r>
              <w:rPr>
                <w:color w:val="231F20"/>
                <w:w w:val="105"/>
                <w:sz w:val="17"/>
              </w:rPr>
              <w:t>15.0</w:t>
            </w:r>
          </w:p>
        </w:tc>
        <w:tc>
          <w:tcPr>
            <w:tcW w:w="704" w:type="dxa"/>
          </w:tcPr>
          <w:p>
            <w:pPr>
              <w:pStyle w:val="TableParagraph"/>
              <w:ind w:left="163" w:right="165"/>
              <w:rPr>
                <w:sz w:val="17"/>
              </w:rPr>
            </w:pPr>
            <w:r>
              <w:rPr>
                <w:color w:val="231F20"/>
                <w:w w:val="105"/>
                <w:sz w:val="17"/>
              </w:rPr>
              <w:t>19.6</w:t>
            </w:r>
          </w:p>
        </w:tc>
        <w:tc>
          <w:tcPr>
            <w:tcW w:w="708" w:type="dxa"/>
          </w:tcPr>
          <w:p>
            <w:pPr>
              <w:pStyle w:val="TableParagraph"/>
              <w:ind w:left="167" w:right="167"/>
              <w:rPr>
                <w:sz w:val="17"/>
              </w:rPr>
            </w:pPr>
            <w:r>
              <w:rPr>
                <w:color w:val="231F20"/>
                <w:w w:val="105"/>
                <w:sz w:val="17"/>
              </w:rPr>
              <w:t>18.3</w:t>
            </w:r>
          </w:p>
        </w:tc>
        <w:tc>
          <w:tcPr>
            <w:tcW w:w="705" w:type="dxa"/>
          </w:tcPr>
          <w:p>
            <w:pPr>
              <w:pStyle w:val="TableParagraph"/>
              <w:ind w:left="166" w:right="164"/>
              <w:rPr>
                <w:sz w:val="17"/>
              </w:rPr>
            </w:pPr>
            <w:r>
              <w:rPr>
                <w:color w:val="231F20"/>
                <w:w w:val="105"/>
                <w:sz w:val="17"/>
              </w:rPr>
              <w:t>15.2</w:t>
            </w:r>
          </w:p>
        </w:tc>
        <w:tc>
          <w:tcPr>
            <w:tcW w:w="729" w:type="dxa"/>
          </w:tcPr>
          <w:p>
            <w:pPr>
              <w:pStyle w:val="TableParagraph"/>
              <w:ind w:left="164" w:right="189"/>
              <w:rPr>
                <w:sz w:val="17"/>
              </w:rPr>
            </w:pPr>
            <w:r>
              <w:rPr>
                <w:color w:val="231F20"/>
                <w:w w:val="105"/>
                <w:sz w:val="17"/>
              </w:rPr>
              <w:t>11.5</w:t>
            </w:r>
          </w:p>
        </w:tc>
        <w:tc>
          <w:tcPr>
            <w:tcW w:w="684" w:type="dxa"/>
          </w:tcPr>
          <w:p>
            <w:pPr>
              <w:pStyle w:val="TableParagraph"/>
              <w:ind w:left="193" w:right="215"/>
              <w:rPr>
                <w:sz w:val="17"/>
              </w:rPr>
            </w:pPr>
            <w:r>
              <w:rPr>
                <w:color w:val="231F20"/>
                <w:w w:val="105"/>
                <w:sz w:val="17"/>
              </w:rPr>
              <w:t>7.8</w:t>
            </w:r>
          </w:p>
        </w:tc>
        <w:tc>
          <w:tcPr>
            <w:tcW w:w="702" w:type="dxa"/>
          </w:tcPr>
          <w:p>
            <w:pPr>
              <w:pStyle w:val="TableParagraph"/>
              <w:ind w:left="215" w:right="210"/>
              <w:rPr>
                <w:sz w:val="17"/>
              </w:rPr>
            </w:pPr>
            <w:r>
              <w:rPr>
                <w:color w:val="231F20"/>
                <w:w w:val="105"/>
                <w:sz w:val="17"/>
              </w:rPr>
              <w:t>4.7</w:t>
            </w:r>
          </w:p>
        </w:tc>
        <w:tc>
          <w:tcPr>
            <w:tcW w:w="699" w:type="dxa"/>
          </w:tcPr>
          <w:p>
            <w:pPr>
              <w:pStyle w:val="TableParagraph"/>
              <w:ind w:left="211" w:right="212"/>
              <w:rPr>
                <w:sz w:val="17"/>
              </w:rPr>
            </w:pPr>
            <w:r>
              <w:rPr>
                <w:color w:val="231F20"/>
                <w:w w:val="105"/>
                <w:sz w:val="17"/>
              </w:rPr>
              <w:t>3.1</w:t>
            </w:r>
          </w:p>
        </w:tc>
        <w:tc>
          <w:tcPr>
            <w:tcW w:w="664" w:type="dxa"/>
          </w:tcPr>
          <w:p>
            <w:pPr>
              <w:pStyle w:val="TableParagraph"/>
              <w:ind w:right="192"/>
              <w:jc w:val="right"/>
              <w:rPr>
                <w:sz w:val="17"/>
              </w:rPr>
            </w:pPr>
            <w:r>
              <w:rPr>
                <w:color w:val="231F20"/>
                <w:w w:val="105"/>
                <w:sz w:val="17"/>
              </w:rPr>
              <w:t>4.7</w:t>
            </w:r>
          </w:p>
        </w:tc>
        <w:tc>
          <w:tcPr>
            <w:tcW w:w="719" w:type="dxa"/>
          </w:tcPr>
          <w:p>
            <w:pPr>
              <w:pStyle w:val="TableParagraph"/>
              <w:ind w:left="173" w:right="127"/>
              <w:rPr>
                <w:sz w:val="17"/>
              </w:rPr>
            </w:pPr>
            <w:r>
              <w:rPr>
                <w:color w:val="231F20"/>
                <w:sz w:val="17"/>
              </w:rPr>
              <w:t>100</w:t>
            </w:r>
          </w:p>
        </w:tc>
      </w:tr>
      <w:tr>
        <w:trPr>
          <w:trHeight w:val="276" w:hRule="exact"/>
        </w:trPr>
        <w:tc>
          <w:tcPr>
            <w:tcW w:w="702" w:type="dxa"/>
            <w:tcBorders>
              <w:bottom w:val="single" w:sz="3" w:space="0" w:color="231F20"/>
            </w:tcBorders>
          </w:tcPr>
          <w:p>
            <w:pPr>
              <w:pStyle w:val="TableParagraph"/>
              <w:ind w:left="164" w:right="163"/>
              <w:rPr>
                <w:sz w:val="17"/>
              </w:rPr>
            </w:pPr>
            <w:r>
              <w:rPr>
                <w:color w:val="231F20"/>
                <w:w w:val="105"/>
                <w:sz w:val="17"/>
              </w:rPr>
              <w:t>16.4</w:t>
            </w:r>
          </w:p>
        </w:tc>
        <w:tc>
          <w:tcPr>
            <w:tcW w:w="704" w:type="dxa"/>
            <w:tcBorders>
              <w:bottom w:val="single" w:sz="3" w:space="0" w:color="231F20"/>
            </w:tcBorders>
          </w:tcPr>
          <w:p>
            <w:pPr>
              <w:pStyle w:val="TableParagraph"/>
              <w:ind w:left="163" w:right="165"/>
              <w:rPr>
                <w:sz w:val="17"/>
              </w:rPr>
            </w:pPr>
            <w:r>
              <w:rPr>
                <w:color w:val="231F20"/>
                <w:w w:val="105"/>
                <w:sz w:val="17"/>
              </w:rPr>
              <w:t>17.3</w:t>
            </w:r>
          </w:p>
        </w:tc>
        <w:tc>
          <w:tcPr>
            <w:tcW w:w="708" w:type="dxa"/>
            <w:tcBorders>
              <w:bottom w:val="single" w:sz="3" w:space="0" w:color="231F20"/>
            </w:tcBorders>
          </w:tcPr>
          <w:p>
            <w:pPr>
              <w:pStyle w:val="TableParagraph"/>
              <w:ind w:left="167" w:right="167"/>
              <w:rPr>
                <w:sz w:val="17"/>
              </w:rPr>
            </w:pPr>
            <w:r>
              <w:rPr>
                <w:color w:val="231F20"/>
                <w:w w:val="105"/>
                <w:sz w:val="17"/>
              </w:rPr>
              <w:t>15.7</w:t>
            </w:r>
          </w:p>
        </w:tc>
        <w:tc>
          <w:tcPr>
            <w:tcW w:w="705" w:type="dxa"/>
            <w:tcBorders>
              <w:bottom w:val="single" w:sz="3" w:space="0" w:color="231F20"/>
            </w:tcBorders>
          </w:tcPr>
          <w:p>
            <w:pPr>
              <w:pStyle w:val="TableParagraph"/>
              <w:ind w:left="166" w:right="164"/>
              <w:rPr>
                <w:sz w:val="17"/>
              </w:rPr>
            </w:pPr>
            <w:r>
              <w:rPr>
                <w:color w:val="231F20"/>
                <w:w w:val="105"/>
                <w:sz w:val="17"/>
              </w:rPr>
              <w:t>14.0</w:t>
            </w:r>
          </w:p>
        </w:tc>
        <w:tc>
          <w:tcPr>
            <w:tcW w:w="729" w:type="dxa"/>
            <w:tcBorders>
              <w:bottom w:val="single" w:sz="3" w:space="0" w:color="231F20"/>
            </w:tcBorders>
          </w:tcPr>
          <w:p>
            <w:pPr>
              <w:pStyle w:val="TableParagraph"/>
              <w:ind w:left="164" w:right="189"/>
              <w:rPr>
                <w:sz w:val="17"/>
              </w:rPr>
            </w:pPr>
            <w:r>
              <w:rPr>
                <w:color w:val="231F20"/>
                <w:w w:val="105"/>
                <w:sz w:val="17"/>
              </w:rPr>
              <w:t>11.5</w:t>
            </w:r>
          </w:p>
        </w:tc>
        <w:tc>
          <w:tcPr>
            <w:tcW w:w="684" w:type="dxa"/>
            <w:tcBorders>
              <w:bottom w:val="single" w:sz="3" w:space="0" w:color="231F20"/>
            </w:tcBorders>
          </w:tcPr>
          <w:p>
            <w:pPr>
              <w:pStyle w:val="TableParagraph"/>
              <w:ind w:left="193" w:right="215"/>
              <w:rPr>
                <w:sz w:val="17"/>
              </w:rPr>
            </w:pPr>
            <w:r>
              <w:rPr>
                <w:color w:val="231F20"/>
                <w:w w:val="105"/>
                <w:sz w:val="17"/>
              </w:rPr>
              <w:t>8.6</w:t>
            </w:r>
          </w:p>
        </w:tc>
        <w:tc>
          <w:tcPr>
            <w:tcW w:w="702" w:type="dxa"/>
            <w:tcBorders>
              <w:bottom w:val="single" w:sz="3" w:space="0" w:color="231F20"/>
            </w:tcBorders>
          </w:tcPr>
          <w:p>
            <w:pPr>
              <w:pStyle w:val="TableParagraph"/>
              <w:ind w:left="215" w:right="210"/>
              <w:rPr>
                <w:sz w:val="17"/>
              </w:rPr>
            </w:pPr>
            <w:r>
              <w:rPr>
                <w:color w:val="231F20"/>
                <w:w w:val="105"/>
                <w:sz w:val="17"/>
              </w:rPr>
              <w:t>6.2</w:t>
            </w:r>
          </w:p>
        </w:tc>
        <w:tc>
          <w:tcPr>
            <w:tcW w:w="699" w:type="dxa"/>
            <w:tcBorders>
              <w:bottom w:val="single" w:sz="3" w:space="0" w:color="231F20"/>
            </w:tcBorders>
          </w:tcPr>
          <w:p>
            <w:pPr>
              <w:pStyle w:val="TableParagraph"/>
              <w:ind w:left="211" w:right="212"/>
              <w:rPr>
                <w:sz w:val="17"/>
              </w:rPr>
            </w:pPr>
            <w:r>
              <w:rPr>
                <w:color w:val="231F20"/>
                <w:w w:val="105"/>
                <w:sz w:val="17"/>
              </w:rPr>
              <w:t>4.2</w:t>
            </w:r>
          </w:p>
        </w:tc>
        <w:tc>
          <w:tcPr>
            <w:tcW w:w="664" w:type="dxa"/>
            <w:tcBorders>
              <w:bottom w:val="single" w:sz="3" w:space="0" w:color="231F20"/>
            </w:tcBorders>
          </w:tcPr>
          <w:p>
            <w:pPr>
              <w:pStyle w:val="TableParagraph"/>
              <w:ind w:right="192"/>
              <w:jc w:val="right"/>
              <w:rPr>
                <w:sz w:val="17"/>
              </w:rPr>
            </w:pPr>
            <w:r>
              <w:rPr>
                <w:color w:val="231F20"/>
                <w:w w:val="105"/>
                <w:sz w:val="17"/>
              </w:rPr>
              <w:t>5.9</w:t>
            </w:r>
          </w:p>
        </w:tc>
        <w:tc>
          <w:tcPr>
            <w:tcW w:w="719" w:type="dxa"/>
            <w:tcBorders>
              <w:bottom w:val="single" w:sz="3" w:space="0" w:color="231F20"/>
            </w:tcBorders>
          </w:tcPr>
          <w:p>
            <w:pPr>
              <w:pStyle w:val="TableParagraph"/>
              <w:ind w:left="173" w:right="127"/>
              <w:rPr>
                <w:sz w:val="17"/>
              </w:rPr>
            </w:pPr>
            <w:r>
              <w:rPr>
                <w:color w:val="231F20"/>
                <w:sz w:val="17"/>
              </w:rPr>
              <w:t>100</w:t>
            </w:r>
          </w:p>
        </w:tc>
      </w:tr>
    </w:tbl>
    <w:p>
      <w:pPr>
        <w:spacing w:after="0"/>
        <w:rPr>
          <w:sz w:val="17"/>
        </w:rPr>
        <w:sectPr>
          <w:pgSz w:w="9520" w:h="12920"/>
          <w:pgMar w:header="0" w:footer="1344" w:top="1220" w:bottom="1540" w:left="940" w:right="1320"/>
        </w:sectPr>
      </w:pPr>
    </w:p>
    <w:p>
      <w:pPr>
        <w:pStyle w:val="BodyText"/>
        <w:spacing w:line="295" w:lineRule="auto" w:before="42"/>
        <w:ind w:left="124" w:right="113"/>
        <w:jc w:val="both"/>
      </w:pPr>
      <w:r>
        <w:rPr>
          <w:color w:val="231F20"/>
          <w:w w:val="110"/>
        </w:rPr>
        <w:t>Hernández, 2008), o personas casadas o unidas que han decidido vivir se- paradas por las exigencias del empleo actual o algún otro motivo que hace que las familias y/o parejas estén juntas pero separadas. En contraste, tenemos que los hogares de más de cinco miembros son cada vez menos importantes en términos de su peso relativo (véanse cuadros 9 y 10).</w:t>
      </w:r>
    </w:p>
    <w:p>
      <w:pPr>
        <w:pStyle w:val="BodyText"/>
        <w:spacing w:line="295" w:lineRule="auto"/>
        <w:ind w:left="124" w:right="110" w:firstLine="360"/>
        <w:jc w:val="both"/>
      </w:pPr>
      <w:r>
        <w:rPr>
          <w:color w:val="231F20"/>
          <w:w w:val="110"/>
        </w:rPr>
        <w:t>En general, la información sobre la distribución porcentual de hogares con jefe de sexo masculino según número de miembros por entidad fede- rativa muestra un aumento de los hogares con menos miembros entre 1990 y 2010. No encontramos grandes contrastes entre entidades que nos permitan establecer relaciones entre el grado de desarrollo y tamaño del hogar, o alguna otra variable.</w:t>
      </w:r>
    </w:p>
    <w:p>
      <w:pPr>
        <w:pStyle w:val="BodyText"/>
        <w:spacing w:line="295" w:lineRule="auto"/>
        <w:ind w:left="124" w:right="114" w:firstLine="360"/>
        <w:jc w:val="both"/>
      </w:pPr>
      <w:r>
        <w:rPr>
          <w:color w:val="231F20"/>
          <w:w w:val="110"/>
        </w:rPr>
        <w:t>En el caso de la distribución porcentual de hogares con jefe de sexo femenino según número de miembros por entidad federativa en el 2010 vemos que existe un gran número de hogares unipersonales; los estados con mayores porcentajes son Oaxaca, Zacatecas, Distrito Federal, Nayarit y Michoacán, aspecto que está relacionado con altas proporciones de per- sonas adultas mayores, ruptura de uniones y con emigración de la pobla- ción</w:t>
      </w:r>
      <w:r>
        <w:rPr>
          <w:color w:val="231F20"/>
          <w:spacing w:val="13"/>
          <w:w w:val="110"/>
        </w:rPr>
        <w:t> </w:t>
      </w:r>
      <w:r>
        <w:rPr>
          <w:color w:val="231F20"/>
          <w:w w:val="110"/>
        </w:rPr>
        <w:t>joven.</w:t>
      </w:r>
    </w:p>
    <w:p>
      <w:pPr>
        <w:pStyle w:val="BodyText"/>
        <w:spacing w:line="295" w:lineRule="auto"/>
        <w:ind w:left="124" w:right="113" w:firstLine="360"/>
        <w:jc w:val="both"/>
      </w:pPr>
      <w:r>
        <w:rPr>
          <w:color w:val="231F20"/>
          <w:w w:val="110"/>
        </w:rPr>
        <w:t>Los porcentajes más altos de jefatura femenina corresponden a hoga- res de entre dos y tres miembros, casos que pueden indicar hogares con madres solteras o alguna vez  unidas.</w:t>
      </w:r>
    </w:p>
    <w:p>
      <w:pPr>
        <w:pStyle w:val="BodyText"/>
        <w:spacing w:line="295" w:lineRule="auto"/>
        <w:ind w:left="124" w:right="113" w:firstLine="360"/>
        <w:jc w:val="both"/>
      </w:pPr>
      <w:r>
        <w:rPr>
          <w:color w:val="231F20"/>
          <w:w w:val="110"/>
        </w:rPr>
        <w:t>Ahora el divorcio y la separación forman parte de la biografía de más personas.</w:t>
      </w:r>
      <w:r>
        <w:rPr>
          <w:color w:val="231F20"/>
          <w:spacing w:val="-6"/>
          <w:w w:val="110"/>
        </w:rPr>
        <w:t> </w:t>
      </w:r>
      <w:r>
        <w:rPr>
          <w:color w:val="231F20"/>
          <w:w w:val="110"/>
        </w:rPr>
        <w:t>Los</w:t>
      </w:r>
      <w:r>
        <w:rPr>
          <w:color w:val="231F20"/>
          <w:spacing w:val="-6"/>
          <w:w w:val="110"/>
        </w:rPr>
        <w:t> </w:t>
      </w:r>
      <w:r>
        <w:rPr>
          <w:color w:val="231F20"/>
          <w:w w:val="110"/>
        </w:rPr>
        <w:t>compromisos</w:t>
      </w:r>
      <w:r>
        <w:rPr>
          <w:color w:val="231F20"/>
          <w:spacing w:val="-6"/>
          <w:w w:val="110"/>
        </w:rPr>
        <w:t> </w:t>
      </w:r>
      <w:r>
        <w:rPr>
          <w:color w:val="231F20"/>
          <w:w w:val="110"/>
        </w:rPr>
        <w:t>tradicionales</w:t>
      </w:r>
      <w:r>
        <w:rPr>
          <w:color w:val="231F20"/>
          <w:spacing w:val="-6"/>
          <w:w w:val="110"/>
        </w:rPr>
        <w:t> </w:t>
      </w:r>
      <w:r>
        <w:rPr>
          <w:color w:val="231F20"/>
          <w:w w:val="110"/>
        </w:rPr>
        <w:t>que</w:t>
      </w:r>
      <w:r>
        <w:rPr>
          <w:color w:val="231F20"/>
          <w:spacing w:val="-6"/>
          <w:w w:val="110"/>
        </w:rPr>
        <w:t> </w:t>
      </w:r>
      <w:r>
        <w:rPr>
          <w:color w:val="231F20"/>
          <w:w w:val="110"/>
        </w:rPr>
        <w:t>formaban</w:t>
      </w:r>
      <w:r>
        <w:rPr>
          <w:color w:val="231F20"/>
          <w:spacing w:val="-6"/>
          <w:w w:val="110"/>
        </w:rPr>
        <w:t> </w:t>
      </w:r>
      <w:r>
        <w:rPr>
          <w:color w:val="231F20"/>
          <w:w w:val="110"/>
        </w:rPr>
        <w:t>parte</w:t>
      </w:r>
      <w:r>
        <w:rPr>
          <w:color w:val="231F20"/>
          <w:spacing w:val="-6"/>
          <w:w w:val="110"/>
        </w:rPr>
        <w:t> </w:t>
      </w:r>
      <w:r>
        <w:rPr>
          <w:color w:val="231F20"/>
          <w:w w:val="110"/>
        </w:rPr>
        <w:t>del</w:t>
      </w:r>
      <w:r>
        <w:rPr>
          <w:color w:val="231F20"/>
          <w:spacing w:val="-6"/>
          <w:w w:val="110"/>
        </w:rPr>
        <w:t> </w:t>
      </w:r>
      <w:r>
        <w:rPr>
          <w:color w:val="231F20"/>
          <w:w w:val="110"/>
        </w:rPr>
        <w:t>imagina- rio colectivo de unión idealizado han desaparecido, o por lo menos han reducido de manera drástica su vigencia. La población ya no se rige por</w:t>
      </w:r>
      <w:r>
        <w:rPr>
          <w:color w:val="231F20"/>
          <w:spacing w:val="-22"/>
          <w:w w:val="110"/>
        </w:rPr>
        <w:t> </w:t>
      </w:r>
      <w:r>
        <w:rPr>
          <w:color w:val="231F20"/>
          <w:w w:val="110"/>
        </w:rPr>
        <w:t>“lo </w:t>
      </w:r>
      <w:r>
        <w:rPr>
          <w:color w:val="231F20"/>
          <w:spacing w:val="2"/>
          <w:w w:val="110"/>
        </w:rPr>
        <w:t>que </w:t>
      </w:r>
      <w:r>
        <w:rPr>
          <w:color w:val="231F20"/>
          <w:spacing w:val="3"/>
          <w:w w:val="110"/>
        </w:rPr>
        <w:t>Dios </w:t>
      </w:r>
      <w:r>
        <w:rPr>
          <w:color w:val="231F20"/>
          <w:w w:val="110"/>
        </w:rPr>
        <w:t>ha </w:t>
      </w:r>
      <w:r>
        <w:rPr>
          <w:color w:val="231F20"/>
          <w:spacing w:val="3"/>
          <w:w w:val="110"/>
        </w:rPr>
        <w:t>unido </w:t>
      </w:r>
      <w:r>
        <w:rPr>
          <w:color w:val="231F20"/>
          <w:spacing w:val="2"/>
          <w:w w:val="110"/>
        </w:rPr>
        <w:t>que </w:t>
      </w:r>
      <w:r>
        <w:rPr>
          <w:color w:val="231F20"/>
          <w:w w:val="110"/>
        </w:rPr>
        <w:t>no lo </w:t>
      </w:r>
      <w:r>
        <w:rPr>
          <w:color w:val="231F20"/>
          <w:spacing w:val="3"/>
          <w:w w:val="110"/>
        </w:rPr>
        <w:t>separe </w:t>
      </w:r>
      <w:r>
        <w:rPr>
          <w:color w:val="231F20"/>
          <w:w w:val="110"/>
        </w:rPr>
        <w:t>el </w:t>
      </w:r>
      <w:r>
        <w:rPr>
          <w:color w:val="231F20"/>
          <w:spacing w:val="3"/>
          <w:w w:val="110"/>
        </w:rPr>
        <w:t>hombre” </w:t>
      </w:r>
      <w:r>
        <w:rPr>
          <w:color w:val="231F20"/>
          <w:w w:val="110"/>
        </w:rPr>
        <w:t>ni </w:t>
      </w:r>
      <w:r>
        <w:rPr>
          <w:color w:val="231F20"/>
          <w:spacing w:val="3"/>
          <w:w w:val="110"/>
        </w:rPr>
        <w:t>tampoco </w:t>
      </w:r>
      <w:r>
        <w:rPr>
          <w:color w:val="231F20"/>
          <w:spacing w:val="2"/>
          <w:w w:val="110"/>
        </w:rPr>
        <w:t>por </w:t>
      </w:r>
      <w:r>
        <w:rPr>
          <w:color w:val="231F20"/>
          <w:w w:val="110"/>
        </w:rPr>
        <w:t>el </w:t>
      </w:r>
      <w:r>
        <w:rPr>
          <w:color w:val="231F20"/>
          <w:spacing w:val="3"/>
          <w:w w:val="110"/>
        </w:rPr>
        <w:t>“has-   </w:t>
      </w:r>
      <w:r>
        <w:rPr>
          <w:color w:val="231F20"/>
          <w:w w:val="110"/>
        </w:rPr>
        <w:t>ta que la muerte los</w:t>
      </w:r>
      <w:r>
        <w:rPr>
          <w:color w:val="231F20"/>
          <w:spacing w:val="46"/>
          <w:w w:val="110"/>
        </w:rPr>
        <w:t> </w:t>
      </w:r>
      <w:r>
        <w:rPr>
          <w:color w:val="231F20"/>
          <w:w w:val="110"/>
        </w:rPr>
        <w:t>separe”.</w:t>
      </w:r>
    </w:p>
    <w:p>
      <w:pPr>
        <w:pStyle w:val="BodyText"/>
        <w:spacing w:line="295" w:lineRule="auto"/>
        <w:ind w:left="124" w:right="113" w:firstLine="360"/>
        <w:jc w:val="both"/>
      </w:pPr>
      <w:r>
        <w:rPr>
          <w:color w:val="231F20"/>
          <w:w w:val="110"/>
        </w:rPr>
        <w:t>De hecho la vida en familia o en hogares es cada vez más compleja. En la sociedad preindustrial la comunidad familiar, centrada en el trabajo y la economía, se reunía en un solo </w:t>
      </w:r>
      <w:r>
        <w:rPr>
          <w:color w:val="231F20"/>
          <w:spacing w:val="-2"/>
          <w:w w:val="110"/>
        </w:rPr>
        <w:t>lugar, </w:t>
      </w:r>
      <w:r>
        <w:rPr>
          <w:color w:val="231F20"/>
          <w:w w:val="110"/>
        </w:rPr>
        <w:t>la hacienda o el taller; el radio de movimiento de las personas era pequeño. En la vida familiar actual de las sociedades</w:t>
      </w:r>
      <w:r>
        <w:rPr>
          <w:color w:val="231F20"/>
          <w:spacing w:val="-17"/>
          <w:w w:val="110"/>
        </w:rPr>
        <w:t> </w:t>
      </w:r>
      <w:r>
        <w:rPr>
          <w:color w:val="231F20"/>
          <w:w w:val="110"/>
        </w:rPr>
        <w:t>altamente</w:t>
      </w:r>
      <w:r>
        <w:rPr>
          <w:color w:val="231F20"/>
          <w:spacing w:val="-17"/>
          <w:w w:val="110"/>
        </w:rPr>
        <w:t> </w:t>
      </w:r>
      <w:r>
        <w:rPr>
          <w:color w:val="231F20"/>
          <w:w w:val="110"/>
        </w:rPr>
        <w:t>individualizadas</w:t>
      </w:r>
      <w:r>
        <w:rPr>
          <w:color w:val="231F20"/>
          <w:spacing w:val="-17"/>
          <w:w w:val="110"/>
        </w:rPr>
        <w:t> </w:t>
      </w:r>
      <w:r>
        <w:rPr>
          <w:color w:val="231F20"/>
          <w:w w:val="110"/>
        </w:rPr>
        <w:t>la</w:t>
      </w:r>
      <w:r>
        <w:rPr>
          <w:color w:val="231F20"/>
          <w:spacing w:val="-17"/>
          <w:w w:val="110"/>
        </w:rPr>
        <w:t> </w:t>
      </w:r>
      <w:r>
        <w:rPr>
          <w:color w:val="231F20"/>
          <w:w w:val="110"/>
        </w:rPr>
        <w:t>mayoría</w:t>
      </w:r>
      <w:r>
        <w:rPr>
          <w:color w:val="231F20"/>
          <w:spacing w:val="-17"/>
          <w:w w:val="110"/>
        </w:rPr>
        <w:t> </w:t>
      </w:r>
      <w:r>
        <w:rPr>
          <w:color w:val="231F20"/>
          <w:w w:val="110"/>
        </w:rPr>
        <w:t>de</w:t>
      </w:r>
      <w:r>
        <w:rPr>
          <w:color w:val="231F20"/>
          <w:spacing w:val="-17"/>
          <w:w w:val="110"/>
        </w:rPr>
        <w:t> </w:t>
      </w:r>
      <w:r>
        <w:rPr>
          <w:color w:val="231F20"/>
          <w:w w:val="110"/>
        </w:rPr>
        <w:t>los</w:t>
      </w:r>
      <w:r>
        <w:rPr>
          <w:color w:val="231F20"/>
          <w:spacing w:val="-17"/>
          <w:w w:val="110"/>
        </w:rPr>
        <w:t> </w:t>
      </w:r>
      <w:r>
        <w:rPr>
          <w:color w:val="231F20"/>
          <w:w w:val="110"/>
        </w:rPr>
        <w:t>ciudadanos</w:t>
      </w:r>
      <w:r>
        <w:rPr>
          <w:color w:val="231F20"/>
          <w:spacing w:val="-17"/>
          <w:w w:val="110"/>
        </w:rPr>
        <w:t> </w:t>
      </w:r>
      <w:r>
        <w:rPr>
          <w:color w:val="231F20"/>
          <w:w w:val="110"/>
        </w:rPr>
        <w:t>trabaja fuera de la casa, éste ocurre en varios lugares y con diversos horarios. </w:t>
      </w:r>
      <w:r>
        <w:rPr>
          <w:color w:val="231F20"/>
          <w:spacing w:val="-5"/>
          <w:w w:val="110"/>
        </w:rPr>
        <w:t>Todo </w:t>
      </w:r>
      <w:r>
        <w:rPr>
          <w:color w:val="231F20"/>
          <w:w w:val="110"/>
        </w:rPr>
        <w:t>ello complica la organización familiar y las necesidades de continui- dad, estabilidad y coordinación (Beck U. y E. Beck-Gernsheim, </w:t>
      </w:r>
      <w:r>
        <w:rPr>
          <w:color w:val="231F20"/>
          <w:spacing w:val="13"/>
          <w:w w:val="110"/>
        </w:rPr>
        <w:t> </w:t>
      </w:r>
      <w:r>
        <w:rPr>
          <w:color w:val="231F20"/>
          <w:w w:val="110"/>
        </w:rPr>
        <w:t>2012).</w:t>
      </w:r>
    </w:p>
    <w:p>
      <w:pPr>
        <w:spacing w:after="0" w:line="295" w:lineRule="auto"/>
        <w:jc w:val="both"/>
        <w:sectPr>
          <w:pgSz w:w="9520" w:h="12920"/>
          <w:pgMar w:header="0" w:footer="1344" w:top="880" w:bottom="1540" w:left="1320" w:right="1000"/>
        </w:sectPr>
      </w:pPr>
    </w:p>
    <w:p>
      <w:pPr>
        <w:spacing w:line="185" w:lineRule="exact" w:before="65"/>
        <w:ind w:left="457" w:right="457" w:firstLine="0"/>
        <w:jc w:val="center"/>
        <w:rPr>
          <w:sz w:val="16"/>
        </w:rPr>
      </w:pPr>
      <w:r>
        <w:rPr>
          <w:color w:val="231F20"/>
          <w:sz w:val="16"/>
        </w:rPr>
        <w:t>Mapa 3</w:t>
      </w:r>
    </w:p>
    <w:p>
      <w:pPr>
        <w:spacing w:line="220" w:lineRule="exact" w:before="0"/>
        <w:ind w:left="457" w:right="457" w:firstLine="0"/>
        <w:jc w:val="center"/>
        <w:rPr>
          <w:sz w:val="19"/>
        </w:rPr>
      </w:pPr>
      <w:r>
        <w:rPr>
          <w:color w:val="231F20"/>
          <w:w w:val="90"/>
          <w:sz w:val="19"/>
        </w:rPr>
        <w:t>Porcentaje de hogares censales con jefatura femenina, 2010. México</w:t>
      </w:r>
    </w:p>
    <w:p>
      <w:pPr>
        <w:pStyle w:val="BodyText"/>
        <w:spacing w:before="6"/>
        <w:rPr>
          <w:sz w:val="14"/>
        </w:rPr>
      </w:pPr>
      <w:r>
        <w:rPr/>
        <w:drawing>
          <wp:anchor distT="0" distB="0" distL="0" distR="0" allowOverlap="1" layoutInCell="1" locked="0" behindDoc="0" simplePos="0" relativeHeight="2488">
            <wp:simplePos x="0" y="0"/>
            <wp:positionH relativeFrom="page">
              <wp:posOffset>939606</wp:posOffset>
            </wp:positionH>
            <wp:positionV relativeFrom="paragraph">
              <wp:posOffset>133343</wp:posOffset>
            </wp:positionV>
            <wp:extent cx="4006932" cy="2938272"/>
            <wp:effectExtent l="0" t="0" r="0" b="0"/>
            <wp:wrapTopAndBottom/>
            <wp:docPr id="11" name="image43.jpeg" descr=""/>
            <wp:cNvGraphicFramePr>
              <a:graphicFrameLocks noChangeAspect="1"/>
            </wp:cNvGraphicFramePr>
            <a:graphic>
              <a:graphicData uri="http://schemas.openxmlformats.org/drawingml/2006/picture">
                <pic:pic>
                  <pic:nvPicPr>
                    <pic:cNvPr id="12" name="image43.jpeg"/>
                    <pic:cNvPicPr/>
                  </pic:nvPicPr>
                  <pic:blipFill>
                    <a:blip r:embed="rId101" cstate="print"/>
                    <a:stretch>
                      <a:fillRect/>
                    </a:stretch>
                  </pic:blipFill>
                  <pic:spPr>
                    <a:xfrm>
                      <a:off x="0" y="0"/>
                      <a:ext cx="4006932" cy="2938272"/>
                    </a:xfrm>
                    <a:prstGeom prst="rect">
                      <a:avLst/>
                    </a:prstGeom>
                  </pic:spPr>
                </pic:pic>
              </a:graphicData>
            </a:graphic>
          </wp:anchor>
        </w:drawing>
      </w:r>
    </w:p>
    <w:p>
      <w:pPr>
        <w:spacing w:before="71"/>
        <w:ind w:left="480" w:right="0" w:firstLine="0"/>
        <w:jc w:val="left"/>
        <w:rPr>
          <w:sz w:val="15"/>
        </w:rPr>
      </w:pPr>
      <w:r>
        <w:rPr>
          <w:color w:val="231F20"/>
          <w:w w:val="110"/>
          <w:sz w:val="15"/>
        </w:rPr>
        <w:t>Fuentes: Elaboración propia con datos del Censo de Población y Vivienda de 2010, </w:t>
      </w:r>
      <w:r>
        <w:rPr>
          <w:rFonts w:ascii="Times New Roman" w:hAnsi="Times New Roman"/>
          <w:color w:val="231F20"/>
          <w:w w:val="110"/>
          <w:sz w:val="12"/>
        </w:rPr>
        <w:t>INEGI</w:t>
      </w:r>
      <w:r>
        <w:rPr>
          <w:color w:val="231F20"/>
          <w:w w:val="110"/>
          <w:sz w:val="15"/>
        </w:rPr>
        <w:t>, 2013.</w:t>
      </w:r>
    </w:p>
    <w:p>
      <w:pPr>
        <w:pStyle w:val="BodyText"/>
        <w:rPr>
          <w:sz w:val="14"/>
        </w:rPr>
      </w:pPr>
    </w:p>
    <w:p>
      <w:pPr>
        <w:pStyle w:val="BodyText"/>
        <w:rPr>
          <w:sz w:val="15"/>
        </w:rPr>
      </w:pPr>
    </w:p>
    <w:p>
      <w:pPr>
        <w:pStyle w:val="BodyText"/>
        <w:spacing w:line="288" w:lineRule="auto"/>
        <w:ind w:left="119" w:right="115" w:firstLine="360"/>
        <w:jc w:val="both"/>
      </w:pPr>
      <w:r>
        <w:rPr>
          <w:color w:val="231F20"/>
          <w:w w:val="110"/>
        </w:rPr>
        <w:t>Así, frente a la complejidad de mantener una pareja y frente a la deci- sión de postergar la unión, o de ser madre —ya sea dentro de una unión que después se rompe o siendo soltera— es que cada vez hay más hogares con jefas del sexo femenino, sobre todo en las regiones menos tradiciona- les y con los menores niveles de marginación, como se puede apreciar en el siguiente mapa (véase mapa 3). En algunos municipios la jefatura feme- nina de hogar alcanza casi 50 por ciento. Algunos de los municipios o delegaciones pertenecen a Sonora, Durango, Distrito Federal y Puebla, entre otros.</w:t>
      </w:r>
    </w:p>
    <w:p>
      <w:pPr>
        <w:pStyle w:val="BodyText"/>
        <w:spacing w:line="288" w:lineRule="auto"/>
        <w:ind w:left="119" w:right="117" w:firstLine="360"/>
        <w:jc w:val="both"/>
      </w:pPr>
      <w:r>
        <w:rPr>
          <w:color w:val="231F20"/>
          <w:w w:val="110"/>
        </w:rPr>
        <w:t>No obstante, es importante señalar que si bien se ha presentado un notable crecimiento de la jefatura femenina, los varones siguen siendo mayoritariamente los jefes del hogar en México (véase mapa 4); concen- tran las mayores proporciones en los estados más rurales o en los menos desarrollados como podemos apreciar al ver las zonas más obscuras, refe- ridas a los municipios en donde hay más hogares con jefatura   masculina,</w:t>
      </w:r>
    </w:p>
    <w:p>
      <w:pPr>
        <w:spacing w:after="0" w:line="288" w:lineRule="auto"/>
        <w:jc w:val="both"/>
        <w:sectPr>
          <w:pgSz w:w="9520" w:h="12920"/>
          <w:pgMar w:header="0" w:footer="1344" w:top="880" w:bottom="1540" w:left="1000" w:right="1320"/>
        </w:sectPr>
      </w:pPr>
    </w:p>
    <w:p>
      <w:pPr>
        <w:spacing w:line="185" w:lineRule="exact" w:before="65"/>
        <w:ind w:left="465" w:right="457" w:firstLine="0"/>
        <w:jc w:val="center"/>
        <w:rPr>
          <w:sz w:val="16"/>
        </w:rPr>
      </w:pPr>
      <w:r>
        <w:rPr>
          <w:color w:val="231F20"/>
          <w:sz w:val="16"/>
        </w:rPr>
        <w:t>Mapa 4</w:t>
      </w:r>
    </w:p>
    <w:p>
      <w:pPr>
        <w:spacing w:line="220" w:lineRule="exact" w:before="0"/>
        <w:ind w:left="465" w:right="457" w:firstLine="0"/>
        <w:jc w:val="center"/>
        <w:rPr>
          <w:sz w:val="19"/>
        </w:rPr>
      </w:pPr>
      <w:r>
        <w:rPr>
          <w:color w:val="231F20"/>
          <w:w w:val="90"/>
          <w:sz w:val="19"/>
        </w:rPr>
        <w:t>Porcentaje de hogares censales con jefatura masculina, 2010. México</w:t>
      </w:r>
    </w:p>
    <w:p>
      <w:pPr>
        <w:pStyle w:val="BodyText"/>
        <w:spacing w:before="4"/>
        <w:rPr>
          <w:sz w:val="14"/>
        </w:rPr>
      </w:pPr>
      <w:r>
        <w:rPr/>
        <w:drawing>
          <wp:anchor distT="0" distB="0" distL="0" distR="0" allowOverlap="1" layoutInCell="1" locked="0" behindDoc="0" simplePos="0" relativeHeight="2512">
            <wp:simplePos x="0" y="0"/>
            <wp:positionH relativeFrom="page">
              <wp:posOffset>1386941</wp:posOffset>
            </wp:positionH>
            <wp:positionV relativeFrom="paragraph">
              <wp:posOffset>132077</wp:posOffset>
            </wp:positionV>
            <wp:extent cx="3659943" cy="2737104"/>
            <wp:effectExtent l="0" t="0" r="0" b="0"/>
            <wp:wrapTopAndBottom/>
            <wp:docPr id="13" name="image44.jpeg" descr=""/>
            <wp:cNvGraphicFramePr>
              <a:graphicFrameLocks noChangeAspect="1"/>
            </wp:cNvGraphicFramePr>
            <a:graphic>
              <a:graphicData uri="http://schemas.openxmlformats.org/drawingml/2006/picture">
                <pic:pic>
                  <pic:nvPicPr>
                    <pic:cNvPr id="14" name="image44.jpeg"/>
                    <pic:cNvPicPr/>
                  </pic:nvPicPr>
                  <pic:blipFill>
                    <a:blip r:embed="rId102" cstate="print"/>
                    <a:stretch>
                      <a:fillRect/>
                    </a:stretch>
                  </pic:blipFill>
                  <pic:spPr>
                    <a:xfrm>
                      <a:off x="0" y="0"/>
                      <a:ext cx="3659943" cy="2737104"/>
                    </a:xfrm>
                    <a:prstGeom prst="rect">
                      <a:avLst/>
                    </a:prstGeom>
                  </pic:spPr>
                </pic:pic>
              </a:graphicData>
            </a:graphic>
          </wp:anchor>
        </w:drawing>
      </w:r>
    </w:p>
    <w:p>
      <w:pPr>
        <w:spacing w:before="0"/>
        <w:ind w:left="484" w:right="0" w:firstLine="0"/>
        <w:jc w:val="left"/>
        <w:rPr>
          <w:sz w:val="15"/>
        </w:rPr>
      </w:pPr>
      <w:r>
        <w:rPr>
          <w:color w:val="231F20"/>
          <w:w w:val="110"/>
          <w:sz w:val="15"/>
        </w:rPr>
        <w:t>Fuentes: Elaboración propia con datos del Censo de Población y Vivienda de 2010, </w:t>
      </w:r>
      <w:r>
        <w:rPr>
          <w:rFonts w:ascii="Times New Roman" w:hAnsi="Times New Roman"/>
          <w:color w:val="231F20"/>
          <w:w w:val="110"/>
          <w:sz w:val="12"/>
        </w:rPr>
        <w:t>INEGI</w:t>
      </w:r>
      <w:r>
        <w:rPr>
          <w:color w:val="231F20"/>
          <w:w w:val="110"/>
          <w:sz w:val="15"/>
        </w:rPr>
        <w:t>, 2013.</w:t>
      </w:r>
    </w:p>
    <w:p>
      <w:pPr>
        <w:pStyle w:val="BodyText"/>
        <w:rPr>
          <w:sz w:val="14"/>
        </w:rPr>
      </w:pPr>
    </w:p>
    <w:p>
      <w:pPr>
        <w:pStyle w:val="BodyText"/>
        <w:spacing w:before="8"/>
        <w:rPr>
          <w:sz w:val="14"/>
        </w:rPr>
      </w:pPr>
    </w:p>
    <w:p>
      <w:pPr>
        <w:pStyle w:val="BodyText"/>
        <w:spacing w:line="285" w:lineRule="auto"/>
        <w:ind w:left="124" w:right="113"/>
        <w:jc w:val="both"/>
      </w:pPr>
      <w:r>
        <w:rPr>
          <w:color w:val="231F20"/>
          <w:w w:val="110"/>
        </w:rPr>
        <w:t>situadas en los extremos de la República Mexicana. En el centro del país, caracterizado con mayor nivel de desarrollo y urbanización, están los me- nores porcentajes.</w:t>
      </w:r>
    </w:p>
    <w:p>
      <w:pPr>
        <w:pStyle w:val="BodyText"/>
      </w:pPr>
    </w:p>
    <w:p>
      <w:pPr>
        <w:pStyle w:val="BodyText"/>
        <w:spacing w:before="6"/>
        <w:rPr>
          <w:sz w:val="21"/>
        </w:rPr>
      </w:pPr>
    </w:p>
    <w:p>
      <w:pPr>
        <w:spacing w:before="0"/>
        <w:ind w:left="124" w:right="0" w:firstLine="0"/>
        <w:jc w:val="both"/>
        <w:rPr>
          <w:rFonts w:ascii="Times New Roman"/>
          <w:i/>
          <w:sz w:val="19"/>
        </w:rPr>
      </w:pPr>
      <w:r>
        <w:rPr>
          <w:rFonts w:ascii="Times New Roman"/>
          <w:i/>
          <w:color w:val="231F20"/>
          <w:w w:val="95"/>
          <w:sz w:val="24"/>
        </w:rPr>
        <w:t>A</w:t>
      </w:r>
      <w:r>
        <w:rPr>
          <w:rFonts w:ascii="Times New Roman"/>
          <w:i/>
          <w:color w:val="231F20"/>
          <w:w w:val="95"/>
          <w:sz w:val="19"/>
        </w:rPr>
        <w:t>LGUNAS CONCLUSIONES</w:t>
      </w:r>
    </w:p>
    <w:p>
      <w:pPr>
        <w:pStyle w:val="BodyText"/>
        <w:spacing w:before="7"/>
        <w:rPr>
          <w:rFonts w:ascii="Times New Roman"/>
          <w:i/>
          <w:sz w:val="27"/>
        </w:rPr>
      </w:pPr>
    </w:p>
    <w:p>
      <w:pPr>
        <w:pStyle w:val="BodyText"/>
        <w:spacing w:line="285" w:lineRule="auto"/>
        <w:ind w:left="124" w:right="112"/>
        <w:jc w:val="both"/>
      </w:pPr>
      <w:r>
        <w:rPr>
          <w:color w:val="231F20"/>
          <w:w w:val="110"/>
        </w:rPr>
        <w:t>Los incrementos en la unión libre, el divorcio y las separaciones, así como los descensos en los matrimonios y en la viudez encontrados muestran la urgencia del análisis de la situación conyugal de las personas como ele- mento que no ha perdido vigencia para dar cuenta del volumen y de las estructuras poblacionales actuales y del cambio social experimentado en las últimas décadas.</w:t>
      </w:r>
    </w:p>
    <w:p>
      <w:pPr>
        <w:pStyle w:val="BodyText"/>
        <w:spacing w:line="288" w:lineRule="auto" w:before="1"/>
        <w:ind w:left="124" w:right="113" w:firstLine="360"/>
        <w:jc w:val="both"/>
      </w:pPr>
      <w:r>
        <w:rPr>
          <w:color w:val="231F20"/>
          <w:w w:val="110"/>
        </w:rPr>
        <w:t>Estas mismas transformaciones sugieren la desinstitucionalización del matrimonio y el surgimiento de un nuevo modelo de unión libre que coe- xiste con el tradicionalmente observado, tal y como Quilodrán (2006) lo sostiene. Esta nueva pauta podría estar relacionada con una individualiza-</w:t>
      </w:r>
    </w:p>
    <w:p>
      <w:pPr>
        <w:spacing w:after="0" w:line="288" w:lineRule="auto"/>
        <w:jc w:val="both"/>
        <w:sectPr>
          <w:pgSz w:w="9520" w:h="12920"/>
          <w:pgMar w:header="0" w:footer="1344" w:top="880" w:bottom="1540" w:left="1320" w:right="1000"/>
        </w:sectPr>
      </w:pPr>
    </w:p>
    <w:p>
      <w:pPr>
        <w:pStyle w:val="BodyText"/>
        <w:spacing w:line="288" w:lineRule="auto" w:before="42"/>
        <w:ind w:left="120" w:right="117"/>
        <w:jc w:val="both"/>
      </w:pPr>
      <w:r>
        <w:rPr>
          <w:color w:val="231F20"/>
          <w:w w:val="110"/>
        </w:rPr>
        <w:t>ción de las personas que hace que su toma de decisiones sea más racional, basada en los riesgos de la segunda modernidad, los riesgos sobre todo a perder el empleo y a los efectos derivados de una eventual separación  conyugal.</w:t>
      </w:r>
    </w:p>
    <w:p>
      <w:pPr>
        <w:pStyle w:val="BodyText"/>
        <w:spacing w:line="288" w:lineRule="auto"/>
        <w:ind w:left="120" w:right="117" w:firstLine="360"/>
        <w:jc w:val="both"/>
      </w:pPr>
      <w:r>
        <w:rPr>
          <w:color w:val="231F20"/>
          <w:w w:val="110"/>
        </w:rPr>
        <w:t>No es posible estudiar los fenómenos de fecundidad, mortalidad y mi- gración haciendo a un lado la formación familiar. Y menos ahora que las </w:t>
      </w:r>
      <w:r>
        <w:rPr>
          <w:color w:val="231F20"/>
          <w:spacing w:val="2"/>
          <w:w w:val="110"/>
        </w:rPr>
        <w:t>opciones </w:t>
      </w:r>
      <w:r>
        <w:rPr>
          <w:color w:val="231F20"/>
          <w:w w:val="110"/>
        </w:rPr>
        <w:t>de </w:t>
      </w:r>
      <w:r>
        <w:rPr>
          <w:color w:val="231F20"/>
          <w:spacing w:val="2"/>
          <w:w w:val="110"/>
        </w:rPr>
        <w:t>elección </w:t>
      </w:r>
      <w:r>
        <w:rPr>
          <w:color w:val="231F20"/>
          <w:w w:val="110"/>
        </w:rPr>
        <w:t>de </w:t>
      </w:r>
      <w:r>
        <w:rPr>
          <w:color w:val="231F20"/>
          <w:spacing w:val="2"/>
          <w:w w:val="110"/>
        </w:rPr>
        <w:t>pareja </w:t>
      </w:r>
      <w:r>
        <w:rPr>
          <w:color w:val="231F20"/>
          <w:w w:val="110"/>
        </w:rPr>
        <w:t>se han </w:t>
      </w:r>
      <w:r>
        <w:rPr>
          <w:color w:val="231F20"/>
          <w:spacing w:val="2"/>
          <w:w w:val="110"/>
        </w:rPr>
        <w:t>diversificado </w:t>
      </w:r>
      <w:r>
        <w:rPr>
          <w:color w:val="231F20"/>
          <w:w w:val="110"/>
        </w:rPr>
        <w:t>y su </w:t>
      </w:r>
      <w:r>
        <w:rPr>
          <w:color w:val="231F20"/>
          <w:spacing w:val="2"/>
          <w:w w:val="110"/>
        </w:rPr>
        <w:t>análisis </w:t>
      </w:r>
      <w:r>
        <w:rPr>
          <w:color w:val="231F20"/>
          <w:w w:val="110"/>
        </w:rPr>
        <w:t>se ha complejizado por un mayor número de formas familiares. Por ejemplo, ahora la familia nuclear tradicional es sólo un modelo de entre muchas ti- pologías que se pueden adquirir. Al mismo tiempo, el aumento en el</w:t>
      </w:r>
      <w:r>
        <w:rPr>
          <w:color w:val="231F20"/>
          <w:spacing w:val="-10"/>
          <w:w w:val="110"/>
        </w:rPr>
        <w:t> </w:t>
      </w:r>
      <w:r>
        <w:rPr>
          <w:color w:val="231F20"/>
          <w:w w:val="110"/>
        </w:rPr>
        <w:t>divor- cio, la separación y la viudez tiene implicaciones en los arreglos</w:t>
      </w:r>
      <w:r>
        <w:rPr>
          <w:color w:val="231F20"/>
          <w:spacing w:val="-20"/>
          <w:w w:val="110"/>
        </w:rPr>
        <w:t> </w:t>
      </w:r>
      <w:r>
        <w:rPr>
          <w:color w:val="231F20"/>
          <w:w w:val="110"/>
        </w:rPr>
        <w:t>familiares, una de ellas es el aumento en la jefatura femenina de </w:t>
      </w:r>
      <w:r>
        <w:rPr>
          <w:color w:val="231F20"/>
          <w:spacing w:val="-3"/>
          <w:w w:val="110"/>
        </w:rPr>
        <w:t>hogar. </w:t>
      </w:r>
      <w:r>
        <w:rPr>
          <w:color w:val="231F20"/>
          <w:w w:val="110"/>
        </w:rPr>
        <w:t>Otra más es que debido al incremento en la esperanza de vida de las personas se pue- den vivir más años en pareja y por tanto existe un mayor riesgo de ruptu- ra voluntaria de la</w:t>
      </w:r>
      <w:r>
        <w:rPr>
          <w:color w:val="231F20"/>
          <w:spacing w:val="19"/>
          <w:w w:val="110"/>
        </w:rPr>
        <w:t> </w:t>
      </w:r>
      <w:r>
        <w:rPr>
          <w:color w:val="231F20"/>
          <w:w w:val="110"/>
        </w:rPr>
        <w:t>misma.</w:t>
      </w:r>
    </w:p>
    <w:p>
      <w:pPr>
        <w:pStyle w:val="BodyText"/>
        <w:spacing w:line="288" w:lineRule="auto"/>
        <w:ind w:left="120" w:right="119" w:firstLine="360"/>
        <w:jc w:val="both"/>
      </w:pPr>
      <w:r>
        <w:rPr>
          <w:color w:val="231F20"/>
          <w:w w:val="110"/>
        </w:rPr>
        <w:t>El aumento en la esperanza de vida, aunado a la disminución de la fe- cundidad, trae como consecuencia mayor coexistencia de varias genera- ciones en las unidades familiares y simultáneamente menos número de miembros en las  mismas.</w:t>
      </w:r>
    </w:p>
    <w:p>
      <w:pPr>
        <w:pStyle w:val="BodyText"/>
        <w:spacing w:line="288" w:lineRule="auto"/>
        <w:ind w:left="120" w:right="117" w:firstLine="360"/>
        <w:jc w:val="both"/>
      </w:pPr>
      <w:r>
        <w:rPr>
          <w:color w:val="231F20"/>
          <w:w w:val="110"/>
        </w:rPr>
        <w:t>Es también necesario mantener la generación de información que per- mita analizar el tamaño y dinámica de los hogares en sus distintos niveles de análisis: nacional, estatal y municipal, por la heterogeneidad misma del país. Se requiere de un análisis más profundo a nivel estatal, que permita encontrar las causas y las consecuencias de estos cambios tan diversos en la formación familiar.</w:t>
      </w:r>
    </w:p>
    <w:p>
      <w:pPr>
        <w:pStyle w:val="BodyText"/>
        <w:spacing w:line="288" w:lineRule="auto"/>
        <w:ind w:left="119" w:right="114" w:firstLine="360"/>
        <w:jc w:val="both"/>
      </w:pPr>
      <w:r>
        <w:rPr>
          <w:color w:val="231F20"/>
          <w:w w:val="110"/>
        </w:rPr>
        <w:t>Por</w:t>
      </w:r>
      <w:r>
        <w:rPr>
          <w:color w:val="231F20"/>
          <w:spacing w:val="-8"/>
          <w:w w:val="110"/>
        </w:rPr>
        <w:t> </w:t>
      </w:r>
      <w:r>
        <w:rPr>
          <w:color w:val="231F20"/>
          <w:w w:val="110"/>
        </w:rPr>
        <w:t>tanto,</w:t>
      </w:r>
      <w:r>
        <w:rPr>
          <w:color w:val="231F20"/>
          <w:spacing w:val="-8"/>
          <w:w w:val="110"/>
        </w:rPr>
        <w:t> </w:t>
      </w:r>
      <w:r>
        <w:rPr>
          <w:color w:val="231F20"/>
          <w:w w:val="110"/>
        </w:rPr>
        <w:t>es</w:t>
      </w:r>
      <w:r>
        <w:rPr>
          <w:color w:val="231F20"/>
          <w:spacing w:val="-8"/>
          <w:w w:val="110"/>
        </w:rPr>
        <w:t> </w:t>
      </w:r>
      <w:r>
        <w:rPr>
          <w:color w:val="231F20"/>
          <w:w w:val="110"/>
        </w:rPr>
        <w:t>importante</w:t>
      </w:r>
      <w:r>
        <w:rPr>
          <w:color w:val="231F20"/>
          <w:spacing w:val="-8"/>
          <w:w w:val="110"/>
        </w:rPr>
        <w:t> </w:t>
      </w:r>
      <w:r>
        <w:rPr>
          <w:color w:val="231F20"/>
          <w:w w:val="110"/>
        </w:rPr>
        <w:t>reconocer</w:t>
      </w:r>
      <w:r>
        <w:rPr>
          <w:color w:val="231F20"/>
          <w:spacing w:val="-8"/>
          <w:w w:val="110"/>
        </w:rPr>
        <w:t> </w:t>
      </w:r>
      <w:r>
        <w:rPr>
          <w:color w:val="231F20"/>
          <w:w w:val="110"/>
        </w:rPr>
        <w:t>la</w:t>
      </w:r>
      <w:r>
        <w:rPr>
          <w:color w:val="231F20"/>
          <w:spacing w:val="-8"/>
          <w:w w:val="110"/>
        </w:rPr>
        <w:t> </w:t>
      </w:r>
      <w:r>
        <w:rPr>
          <w:color w:val="231F20"/>
          <w:w w:val="110"/>
        </w:rPr>
        <w:t>diversidad</w:t>
      </w:r>
      <w:r>
        <w:rPr>
          <w:color w:val="231F20"/>
          <w:spacing w:val="-8"/>
          <w:w w:val="110"/>
        </w:rPr>
        <w:t> </w:t>
      </w:r>
      <w:r>
        <w:rPr>
          <w:color w:val="231F20"/>
          <w:w w:val="110"/>
        </w:rPr>
        <w:t>que</w:t>
      </w:r>
      <w:r>
        <w:rPr>
          <w:color w:val="231F20"/>
          <w:spacing w:val="-8"/>
          <w:w w:val="110"/>
        </w:rPr>
        <w:t> </w:t>
      </w:r>
      <w:r>
        <w:rPr>
          <w:color w:val="231F20"/>
          <w:w w:val="110"/>
        </w:rPr>
        <w:t>se</w:t>
      </w:r>
      <w:r>
        <w:rPr>
          <w:color w:val="231F20"/>
          <w:spacing w:val="-8"/>
          <w:w w:val="110"/>
        </w:rPr>
        <w:t> </w:t>
      </w:r>
      <w:r>
        <w:rPr>
          <w:color w:val="231F20"/>
          <w:w w:val="110"/>
        </w:rPr>
        <w:t>muestra</w:t>
      </w:r>
      <w:r>
        <w:rPr>
          <w:color w:val="231F20"/>
          <w:spacing w:val="-8"/>
          <w:w w:val="110"/>
        </w:rPr>
        <w:t> </w:t>
      </w:r>
      <w:r>
        <w:rPr>
          <w:color w:val="231F20"/>
          <w:w w:val="110"/>
        </w:rPr>
        <w:t>a</w:t>
      </w:r>
      <w:r>
        <w:rPr>
          <w:color w:val="231F20"/>
          <w:spacing w:val="-8"/>
          <w:w w:val="110"/>
        </w:rPr>
        <w:t> </w:t>
      </w:r>
      <w:r>
        <w:rPr>
          <w:color w:val="231F20"/>
          <w:w w:val="110"/>
        </w:rPr>
        <w:t>nivel de </w:t>
      </w:r>
      <w:r>
        <w:rPr>
          <w:rFonts w:ascii="Times New Roman" w:hAnsi="Times New Roman"/>
          <w:color w:val="231F20"/>
          <w:w w:val="110"/>
          <w:sz w:val="16"/>
        </w:rPr>
        <w:t>AGEB </w:t>
      </w:r>
      <w:r>
        <w:rPr>
          <w:color w:val="231F20"/>
          <w:w w:val="110"/>
        </w:rPr>
        <w:t>en los mapas presentados. Si bien existen tendencias regionales definidas de manera geográfica, es decir norte, centro y </w:t>
      </w:r>
      <w:r>
        <w:rPr>
          <w:color w:val="231F20"/>
          <w:spacing w:val="-4"/>
          <w:w w:val="110"/>
        </w:rPr>
        <w:t>sur, </w:t>
      </w:r>
      <w:r>
        <w:rPr>
          <w:color w:val="231F20"/>
          <w:w w:val="110"/>
        </w:rPr>
        <w:t>es evidente que podemos ver que a nivel de </w:t>
      </w:r>
      <w:r>
        <w:rPr>
          <w:rFonts w:ascii="Times New Roman" w:hAnsi="Times New Roman"/>
          <w:color w:val="231F20"/>
          <w:w w:val="110"/>
          <w:sz w:val="16"/>
        </w:rPr>
        <w:t>AGEB </w:t>
      </w:r>
      <w:r>
        <w:rPr>
          <w:color w:val="231F20"/>
          <w:w w:val="110"/>
        </w:rPr>
        <w:t>las variaciones son también impor- tantes. Las zonas metropolitanas son buen ejemplo de esta diversidad y</w:t>
      </w:r>
      <w:r>
        <w:rPr>
          <w:color w:val="231F20"/>
          <w:spacing w:val="-24"/>
          <w:w w:val="110"/>
        </w:rPr>
        <w:t> </w:t>
      </w:r>
      <w:r>
        <w:rPr>
          <w:color w:val="231F20"/>
          <w:w w:val="110"/>
        </w:rPr>
        <w:t>en ocasiones hasta contrastantes; por lo que aun en zonas más “modernas” y con mejores niveles de desarrollo existen algunos indicadores en niveles que pueden sorprender. El caso de la unión a edades tempranas o la je- fatura femenina son ejemplo de ello. Pero esto una vez más nos confirma  la gran pluralidad que existe en el mosaico nacional, por lo que políticas    y  programas demográficos deben ser flexibles para lugares específicos   </w:t>
      </w:r>
      <w:r>
        <w:rPr>
          <w:color w:val="231F20"/>
          <w:spacing w:val="8"/>
          <w:w w:val="110"/>
        </w:rPr>
        <w:t> </w:t>
      </w:r>
      <w:r>
        <w:rPr>
          <w:color w:val="231F20"/>
          <w:w w:val="110"/>
        </w:rPr>
        <w:t>y</w:t>
      </w:r>
    </w:p>
    <w:p>
      <w:pPr>
        <w:spacing w:after="0" w:line="288" w:lineRule="auto"/>
        <w:jc w:val="both"/>
        <w:sectPr>
          <w:pgSz w:w="9520" w:h="12920"/>
          <w:pgMar w:header="0" w:footer="1344" w:top="880" w:bottom="1540" w:left="1000" w:right="1320"/>
        </w:sectPr>
      </w:pPr>
    </w:p>
    <w:p>
      <w:pPr>
        <w:pStyle w:val="BodyText"/>
        <w:spacing w:line="288" w:lineRule="auto" w:before="42"/>
        <w:ind w:left="124"/>
      </w:pPr>
      <w:r>
        <w:rPr>
          <w:color w:val="231F20"/>
          <w:w w:val="110"/>
        </w:rPr>
        <w:t>respetar usos y costumbres locales, siempre y cuando no contradigan los derechos humanos.</w:t>
      </w:r>
    </w:p>
    <w:p>
      <w:pPr>
        <w:pStyle w:val="BodyText"/>
        <w:spacing w:line="288" w:lineRule="auto"/>
        <w:ind w:left="124" w:right="113" w:firstLine="360"/>
        <w:jc w:val="both"/>
      </w:pPr>
      <w:r>
        <w:rPr>
          <w:color w:val="231F20"/>
          <w:w w:val="110"/>
        </w:rPr>
        <w:t>En general encontramos comportamientos considerados como </w:t>
      </w:r>
      <w:r>
        <w:rPr>
          <w:color w:val="231F20"/>
          <w:spacing w:val="2"/>
          <w:w w:val="110"/>
        </w:rPr>
        <w:t>“mo- </w:t>
      </w:r>
      <w:r>
        <w:rPr>
          <w:color w:val="231F20"/>
          <w:w w:val="110"/>
        </w:rPr>
        <w:t>dernos” en los estados del centro del país y algunos del norte, lo cuales en general presentan un mayor nivel de desarrollo económico y social. Estas conductas se refieren al postergamiento en la edad a la unión o matrimo- nio, mayores proporciones de solteros definitivos, mayores proporciones de personas en unión libre y aumento de divorcios y separaciones;</w:t>
      </w:r>
      <w:r>
        <w:rPr>
          <w:color w:val="231F20"/>
          <w:spacing w:val="-27"/>
          <w:w w:val="110"/>
        </w:rPr>
        <w:t> </w:t>
      </w:r>
      <w:r>
        <w:rPr>
          <w:color w:val="231F20"/>
          <w:w w:val="110"/>
        </w:rPr>
        <w:t>aunque en algunos de los casos desconocemos si estas pautas están relacionadas </w:t>
      </w:r>
      <w:r>
        <w:rPr>
          <w:color w:val="231F20"/>
          <w:spacing w:val="-3"/>
          <w:w w:val="110"/>
        </w:rPr>
        <w:t>con</w:t>
      </w:r>
      <w:r>
        <w:rPr>
          <w:color w:val="231F20"/>
          <w:spacing w:val="-8"/>
          <w:w w:val="110"/>
        </w:rPr>
        <w:t> </w:t>
      </w:r>
      <w:r>
        <w:rPr>
          <w:color w:val="231F20"/>
          <w:spacing w:val="-3"/>
          <w:w w:val="110"/>
        </w:rPr>
        <w:t>este</w:t>
      </w:r>
      <w:r>
        <w:rPr>
          <w:color w:val="231F20"/>
          <w:spacing w:val="-8"/>
          <w:w w:val="110"/>
        </w:rPr>
        <w:t> </w:t>
      </w:r>
      <w:r>
        <w:rPr>
          <w:color w:val="231F20"/>
          <w:spacing w:val="-4"/>
          <w:w w:val="110"/>
        </w:rPr>
        <w:t>nivel</w:t>
      </w:r>
      <w:r>
        <w:rPr>
          <w:color w:val="231F20"/>
          <w:spacing w:val="-8"/>
          <w:w w:val="110"/>
        </w:rPr>
        <w:t> </w:t>
      </w:r>
      <w:r>
        <w:rPr>
          <w:color w:val="231F20"/>
          <w:w w:val="110"/>
        </w:rPr>
        <w:t>de</w:t>
      </w:r>
      <w:r>
        <w:rPr>
          <w:color w:val="231F20"/>
          <w:spacing w:val="-8"/>
          <w:w w:val="110"/>
        </w:rPr>
        <w:t> </w:t>
      </w:r>
      <w:r>
        <w:rPr>
          <w:color w:val="231F20"/>
          <w:spacing w:val="-4"/>
          <w:w w:val="110"/>
        </w:rPr>
        <w:t>desarrollo</w:t>
      </w:r>
      <w:r>
        <w:rPr>
          <w:color w:val="231F20"/>
          <w:spacing w:val="-8"/>
          <w:w w:val="110"/>
        </w:rPr>
        <w:t> </w:t>
      </w:r>
      <w:r>
        <w:rPr>
          <w:color w:val="231F20"/>
          <w:w w:val="110"/>
        </w:rPr>
        <w:t>o</w:t>
      </w:r>
      <w:r>
        <w:rPr>
          <w:color w:val="231F20"/>
          <w:spacing w:val="-8"/>
          <w:w w:val="110"/>
        </w:rPr>
        <w:t> </w:t>
      </w:r>
      <w:r>
        <w:rPr>
          <w:color w:val="231F20"/>
          <w:spacing w:val="-3"/>
          <w:w w:val="110"/>
        </w:rPr>
        <w:t>son</w:t>
      </w:r>
      <w:r>
        <w:rPr>
          <w:color w:val="231F20"/>
          <w:spacing w:val="-8"/>
          <w:w w:val="110"/>
        </w:rPr>
        <w:t> </w:t>
      </w:r>
      <w:r>
        <w:rPr>
          <w:color w:val="231F20"/>
          <w:spacing w:val="-4"/>
          <w:w w:val="110"/>
        </w:rPr>
        <w:t>producto</w:t>
      </w:r>
      <w:r>
        <w:rPr>
          <w:color w:val="231F20"/>
          <w:spacing w:val="-8"/>
          <w:w w:val="110"/>
        </w:rPr>
        <w:t> </w:t>
      </w:r>
      <w:r>
        <w:rPr>
          <w:color w:val="231F20"/>
          <w:w w:val="110"/>
        </w:rPr>
        <w:t>de</w:t>
      </w:r>
      <w:r>
        <w:rPr>
          <w:color w:val="231F20"/>
          <w:spacing w:val="-8"/>
          <w:w w:val="110"/>
        </w:rPr>
        <w:t> </w:t>
      </w:r>
      <w:r>
        <w:rPr>
          <w:color w:val="231F20"/>
          <w:spacing w:val="-4"/>
          <w:w w:val="110"/>
        </w:rPr>
        <w:t>migraciones</w:t>
      </w:r>
      <w:r>
        <w:rPr>
          <w:color w:val="231F20"/>
          <w:spacing w:val="-8"/>
          <w:w w:val="110"/>
        </w:rPr>
        <w:t> </w:t>
      </w:r>
      <w:r>
        <w:rPr>
          <w:color w:val="231F20"/>
          <w:w w:val="110"/>
        </w:rPr>
        <w:t>o</w:t>
      </w:r>
      <w:r>
        <w:rPr>
          <w:color w:val="231F20"/>
          <w:spacing w:val="-8"/>
          <w:w w:val="110"/>
        </w:rPr>
        <w:t> </w:t>
      </w:r>
      <w:r>
        <w:rPr>
          <w:color w:val="231F20"/>
          <w:w w:val="110"/>
        </w:rPr>
        <w:t>de</w:t>
      </w:r>
      <w:r>
        <w:rPr>
          <w:color w:val="231F20"/>
          <w:spacing w:val="-8"/>
          <w:w w:val="110"/>
        </w:rPr>
        <w:t> </w:t>
      </w:r>
      <w:r>
        <w:rPr>
          <w:color w:val="231F20"/>
          <w:spacing w:val="-4"/>
          <w:w w:val="110"/>
        </w:rPr>
        <w:t>algunos</w:t>
      </w:r>
      <w:r>
        <w:rPr>
          <w:color w:val="231F20"/>
          <w:spacing w:val="-8"/>
          <w:w w:val="110"/>
        </w:rPr>
        <w:t> </w:t>
      </w:r>
      <w:r>
        <w:rPr>
          <w:color w:val="231F20"/>
          <w:spacing w:val="-4"/>
          <w:w w:val="110"/>
        </w:rPr>
        <w:t>otros </w:t>
      </w:r>
      <w:r>
        <w:rPr>
          <w:color w:val="231F20"/>
          <w:spacing w:val="3"/>
          <w:w w:val="110"/>
        </w:rPr>
        <w:t>patrones culturales regionales. Queda entonces pendiente ahondar </w:t>
      </w:r>
      <w:r>
        <w:rPr>
          <w:color w:val="231F20"/>
          <w:w w:val="110"/>
        </w:rPr>
        <w:t>en </w:t>
      </w:r>
      <w:r>
        <w:rPr>
          <w:color w:val="231F20"/>
          <w:spacing w:val="2"/>
          <w:w w:val="110"/>
        </w:rPr>
        <w:t>las </w:t>
      </w:r>
      <w:r>
        <w:rPr>
          <w:color w:val="231F20"/>
          <w:w w:val="110"/>
        </w:rPr>
        <w:t>características de las personas que consideramos tienen un comporta- </w:t>
      </w:r>
      <w:r>
        <w:rPr>
          <w:color w:val="231F20"/>
          <w:spacing w:val="2"/>
          <w:w w:val="110"/>
        </w:rPr>
        <w:t>miento </w:t>
      </w:r>
      <w:r>
        <w:rPr>
          <w:color w:val="231F20"/>
          <w:w w:val="110"/>
        </w:rPr>
        <w:t>que </w:t>
      </w:r>
      <w:r>
        <w:rPr>
          <w:color w:val="231F20"/>
          <w:spacing w:val="2"/>
          <w:w w:val="110"/>
        </w:rPr>
        <w:t>rompe </w:t>
      </w:r>
      <w:r>
        <w:rPr>
          <w:color w:val="231F20"/>
          <w:w w:val="110"/>
        </w:rPr>
        <w:t>los </w:t>
      </w:r>
      <w:r>
        <w:rPr>
          <w:color w:val="231F20"/>
          <w:spacing w:val="2"/>
          <w:w w:val="110"/>
        </w:rPr>
        <w:t>esquemas tradicionales para poder conocer </w:t>
      </w:r>
      <w:r>
        <w:rPr>
          <w:color w:val="231F20"/>
          <w:w w:val="110"/>
        </w:rPr>
        <w:t>qué está provocando este</w:t>
      </w:r>
      <w:r>
        <w:rPr>
          <w:color w:val="231F20"/>
          <w:spacing w:val="18"/>
          <w:w w:val="110"/>
        </w:rPr>
        <w:t> </w:t>
      </w:r>
      <w:r>
        <w:rPr>
          <w:color w:val="231F20"/>
          <w:w w:val="110"/>
        </w:rPr>
        <w:t>cambio.</w:t>
      </w:r>
    </w:p>
    <w:p>
      <w:pPr>
        <w:pStyle w:val="BodyText"/>
        <w:spacing w:line="288" w:lineRule="auto"/>
        <w:ind w:left="124" w:right="112" w:firstLine="360"/>
        <w:jc w:val="both"/>
      </w:pPr>
      <w:r>
        <w:rPr>
          <w:color w:val="231F20"/>
          <w:w w:val="110"/>
        </w:rPr>
        <w:t>Es importante señalar que los cuadros presentados a lo largo del</w:t>
      </w:r>
      <w:r>
        <w:rPr>
          <w:color w:val="231F20"/>
          <w:spacing w:val="-27"/>
          <w:w w:val="110"/>
        </w:rPr>
        <w:t> </w:t>
      </w:r>
      <w:r>
        <w:rPr>
          <w:color w:val="231F20"/>
          <w:w w:val="110"/>
        </w:rPr>
        <w:t>docu- mento</w:t>
      </w:r>
      <w:r>
        <w:rPr>
          <w:color w:val="231F20"/>
          <w:spacing w:val="-17"/>
          <w:w w:val="110"/>
        </w:rPr>
        <w:t> </w:t>
      </w:r>
      <w:r>
        <w:rPr>
          <w:color w:val="231F20"/>
          <w:w w:val="110"/>
        </w:rPr>
        <w:t>tienen</w:t>
      </w:r>
      <w:r>
        <w:rPr>
          <w:color w:val="231F20"/>
          <w:spacing w:val="-17"/>
          <w:w w:val="110"/>
        </w:rPr>
        <w:t> </w:t>
      </w:r>
      <w:r>
        <w:rPr>
          <w:color w:val="231F20"/>
          <w:w w:val="110"/>
        </w:rPr>
        <w:t>múltiples</w:t>
      </w:r>
      <w:r>
        <w:rPr>
          <w:color w:val="231F20"/>
          <w:spacing w:val="-17"/>
          <w:w w:val="110"/>
        </w:rPr>
        <w:t> </w:t>
      </w:r>
      <w:r>
        <w:rPr>
          <w:color w:val="231F20"/>
          <w:w w:val="110"/>
        </w:rPr>
        <w:t>lecturas</w:t>
      </w:r>
      <w:r>
        <w:rPr>
          <w:color w:val="231F20"/>
          <w:spacing w:val="-17"/>
          <w:w w:val="110"/>
        </w:rPr>
        <w:t> </w:t>
      </w:r>
      <w:r>
        <w:rPr>
          <w:color w:val="231F20"/>
          <w:w w:val="110"/>
        </w:rPr>
        <w:t>posibles,</w:t>
      </w:r>
      <w:r>
        <w:rPr>
          <w:color w:val="231F20"/>
          <w:spacing w:val="-17"/>
          <w:w w:val="110"/>
        </w:rPr>
        <w:t> </w:t>
      </w:r>
      <w:r>
        <w:rPr>
          <w:color w:val="231F20"/>
          <w:w w:val="110"/>
        </w:rPr>
        <w:t>y</w:t>
      </w:r>
      <w:r>
        <w:rPr>
          <w:color w:val="231F20"/>
          <w:spacing w:val="-17"/>
          <w:w w:val="110"/>
        </w:rPr>
        <w:t> </w:t>
      </w:r>
      <w:r>
        <w:rPr>
          <w:color w:val="231F20"/>
          <w:w w:val="110"/>
        </w:rPr>
        <w:t>que</w:t>
      </w:r>
      <w:r>
        <w:rPr>
          <w:color w:val="231F20"/>
          <w:spacing w:val="-17"/>
          <w:w w:val="110"/>
        </w:rPr>
        <w:t> </w:t>
      </w:r>
      <w:r>
        <w:rPr>
          <w:color w:val="231F20"/>
          <w:w w:val="110"/>
        </w:rPr>
        <w:t>resulta</w:t>
      </w:r>
      <w:r>
        <w:rPr>
          <w:color w:val="231F20"/>
          <w:spacing w:val="-17"/>
          <w:w w:val="110"/>
        </w:rPr>
        <w:t> </w:t>
      </w:r>
      <w:r>
        <w:rPr>
          <w:color w:val="231F20"/>
          <w:w w:val="110"/>
        </w:rPr>
        <w:t>demasiado</w:t>
      </w:r>
      <w:r>
        <w:rPr>
          <w:color w:val="231F20"/>
          <w:spacing w:val="-17"/>
          <w:w w:val="110"/>
        </w:rPr>
        <w:t> </w:t>
      </w:r>
      <w:r>
        <w:rPr>
          <w:color w:val="231F20"/>
          <w:w w:val="110"/>
        </w:rPr>
        <w:t>detallado presentarlas todas, por lo que nos centramos sólo en las que considera- mos más relevantes y preferimos que los lectores profundicen en ellas de acuerdo con sus intereses particulares, ya sea siguiendo la comparación por momento histórico, sexo, generación o entidad. Nuestro interés</w:t>
      </w:r>
      <w:r>
        <w:rPr>
          <w:color w:val="231F20"/>
          <w:spacing w:val="-32"/>
          <w:w w:val="110"/>
        </w:rPr>
        <w:t> </w:t>
      </w:r>
      <w:r>
        <w:rPr>
          <w:color w:val="231F20"/>
          <w:w w:val="110"/>
        </w:rPr>
        <w:t>princi- </w:t>
      </w:r>
      <w:r>
        <w:rPr>
          <w:color w:val="231F20"/>
          <w:spacing w:val="-3"/>
          <w:w w:val="110"/>
        </w:rPr>
        <w:t>pal</w:t>
      </w:r>
      <w:r>
        <w:rPr>
          <w:color w:val="231F20"/>
          <w:spacing w:val="-5"/>
          <w:w w:val="110"/>
        </w:rPr>
        <w:t> </w:t>
      </w:r>
      <w:r>
        <w:rPr>
          <w:color w:val="231F20"/>
          <w:w w:val="110"/>
        </w:rPr>
        <w:t>es</w:t>
      </w:r>
      <w:r>
        <w:rPr>
          <w:color w:val="231F20"/>
          <w:spacing w:val="-5"/>
          <w:w w:val="110"/>
        </w:rPr>
        <w:t> </w:t>
      </w:r>
      <w:r>
        <w:rPr>
          <w:color w:val="231F20"/>
          <w:spacing w:val="-4"/>
          <w:w w:val="110"/>
        </w:rPr>
        <w:t>mostrar</w:t>
      </w:r>
      <w:r>
        <w:rPr>
          <w:color w:val="231F20"/>
          <w:spacing w:val="-5"/>
          <w:w w:val="110"/>
        </w:rPr>
        <w:t> </w:t>
      </w:r>
      <w:r>
        <w:rPr>
          <w:color w:val="231F20"/>
          <w:w w:val="110"/>
        </w:rPr>
        <w:t>el</w:t>
      </w:r>
      <w:r>
        <w:rPr>
          <w:color w:val="231F20"/>
          <w:spacing w:val="-5"/>
          <w:w w:val="110"/>
        </w:rPr>
        <w:t> </w:t>
      </w:r>
      <w:r>
        <w:rPr>
          <w:color w:val="231F20"/>
          <w:spacing w:val="-4"/>
          <w:w w:val="110"/>
        </w:rPr>
        <w:t>contraste,</w:t>
      </w:r>
      <w:r>
        <w:rPr>
          <w:color w:val="231F20"/>
          <w:spacing w:val="-5"/>
          <w:w w:val="110"/>
        </w:rPr>
        <w:t> </w:t>
      </w:r>
      <w:r>
        <w:rPr>
          <w:color w:val="231F20"/>
          <w:w w:val="110"/>
        </w:rPr>
        <w:t>el</w:t>
      </w:r>
      <w:r>
        <w:rPr>
          <w:color w:val="231F20"/>
          <w:spacing w:val="-5"/>
          <w:w w:val="110"/>
        </w:rPr>
        <w:t> </w:t>
      </w:r>
      <w:r>
        <w:rPr>
          <w:color w:val="231F20"/>
          <w:spacing w:val="-4"/>
          <w:w w:val="110"/>
        </w:rPr>
        <w:t>cambio</w:t>
      </w:r>
      <w:r>
        <w:rPr>
          <w:color w:val="231F20"/>
          <w:spacing w:val="-5"/>
          <w:w w:val="110"/>
        </w:rPr>
        <w:t> </w:t>
      </w:r>
      <w:r>
        <w:rPr>
          <w:color w:val="231F20"/>
          <w:w w:val="110"/>
        </w:rPr>
        <w:t>y</w:t>
      </w:r>
      <w:r>
        <w:rPr>
          <w:color w:val="231F20"/>
          <w:spacing w:val="-5"/>
          <w:w w:val="110"/>
        </w:rPr>
        <w:t> </w:t>
      </w:r>
      <w:r>
        <w:rPr>
          <w:color w:val="231F20"/>
          <w:w w:val="110"/>
        </w:rPr>
        <w:t>la</w:t>
      </w:r>
      <w:r>
        <w:rPr>
          <w:color w:val="231F20"/>
          <w:spacing w:val="-5"/>
          <w:w w:val="110"/>
        </w:rPr>
        <w:t> </w:t>
      </w:r>
      <w:r>
        <w:rPr>
          <w:color w:val="231F20"/>
          <w:spacing w:val="-4"/>
          <w:w w:val="110"/>
        </w:rPr>
        <w:t>diversidad</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spacing w:val="-4"/>
          <w:w w:val="110"/>
        </w:rPr>
        <w:t>formación</w:t>
      </w:r>
      <w:r>
        <w:rPr>
          <w:color w:val="231F20"/>
          <w:spacing w:val="-5"/>
          <w:w w:val="110"/>
        </w:rPr>
        <w:t> </w:t>
      </w:r>
      <w:r>
        <w:rPr>
          <w:color w:val="231F20"/>
          <w:spacing w:val="-6"/>
          <w:w w:val="110"/>
        </w:rPr>
        <w:t>familiar, </w:t>
      </w:r>
      <w:r>
        <w:rPr>
          <w:color w:val="231F20"/>
          <w:w w:val="110"/>
        </w:rPr>
        <w:t>de los hogares y de la jefatura de </w:t>
      </w:r>
      <w:r>
        <w:rPr>
          <w:color w:val="231F20"/>
          <w:spacing w:val="-3"/>
          <w:w w:val="110"/>
        </w:rPr>
        <w:t>hogar, </w:t>
      </w:r>
      <w:r>
        <w:rPr>
          <w:color w:val="231F20"/>
          <w:w w:val="110"/>
        </w:rPr>
        <w:t>resultando cada vez más</w:t>
      </w:r>
      <w:r>
        <w:rPr>
          <w:color w:val="231F20"/>
          <w:spacing w:val="-25"/>
          <w:w w:val="110"/>
        </w:rPr>
        <w:t> </w:t>
      </w:r>
      <w:r>
        <w:rPr>
          <w:color w:val="231F20"/>
          <w:w w:val="110"/>
        </w:rPr>
        <w:t>adecuado hablar de “los hogares mexicanos”, y no “el hogar mexicano  </w:t>
      </w:r>
      <w:r>
        <w:rPr>
          <w:color w:val="231F20"/>
          <w:spacing w:val="19"/>
          <w:w w:val="110"/>
        </w:rPr>
        <w:t> </w:t>
      </w:r>
      <w:r>
        <w:rPr>
          <w:color w:val="231F20"/>
          <w:w w:val="110"/>
        </w:rPr>
        <w:t>[…]”.</w:t>
      </w:r>
    </w:p>
    <w:p>
      <w:pPr>
        <w:pStyle w:val="BodyText"/>
        <w:spacing w:line="288" w:lineRule="auto"/>
        <w:ind w:left="124" w:right="112" w:firstLine="360"/>
        <w:jc w:val="both"/>
      </w:pPr>
      <w:r>
        <w:rPr>
          <w:color w:val="231F20"/>
          <w:w w:val="110"/>
        </w:rPr>
        <w:t>Asimismo, se hace necesario, para un futuro cercano, conocer los nue- vos modelos de hogares de personas no heterosexuales, y de las familias separadas. Es </w:t>
      </w:r>
      <w:r>
        <w:rPr>
          <w:color w:val="231F20"/>
          <w:spacing w:val="-3"/>
          <w:w w:val="110"/>
        </w:rPr>
        <w:t>decir, </w:t>
      </w:r>
      <w:r>
        <w:rPr>
          <w:color w:val="231F20"/>
          <w:w w:val="110"/>
        </w:rPr>
        <w:t>los arreglos que van más allá de las formas que po- dríamos</w:t>
      </w:r>
      <w:r>
        <w:rPr>
          <w:color w:val="231F20"/>
          <w:spacing w:val="-22"/>
          <w:w w:val="110"/>
        </w:rPr>
        <w:t> </w:t>
      </w:r>
      <w:r>
        <w:rPr>
          <w:color w:val="231F20"/>
          <w:w w:val="110"/>
        </w:rPr>
        <w:t>reconocer</w:t>
      </w:r>
      <w:r>
        <w:rPr>
          <w:color w:val="231F20"/>
          <w:spacing w:val="-22"/>
          <w:w w:val="110"/>
        </w:rPr>
        <w:t> </w:t>
      </w:r>
      <w:r>
        <w:rPr>
          <w:color w:val="231F20"/>
          <w:w w:val="110"/>
        </w:rPr>
        <w:t>como</w:t>
      </w:r>
      <w:r>
        <w:rPr>
          <w:color w:val="231F20"/>
          <w:spacing w:val="-22"/>
          <w:w w:val="110"/>
        </w:rPr>
        <w:t> </w:t>
      </w:r>
      <w:r>
        <w:rPr>
          <w:color w:val="231F20"/>
          <w:w w:val="110"/>
        </w:rPr>
        <w:t>tradicionales.</w:t>
      </w:r>
      <w:r>
        <w:rPr>
          <w:color w:val="231F20"/>
          <w:spacing w:val="-22"/>
          <w:w w:val="110"/>
        </w:rPr>
        <w:t> </w:t>
      </w:r>
      <w:r>
        <w:rPr>
          <w:color w:val="231F20"/>
          <w:w w:val="110"/>
        </w:rPr>
        <w:t>Si</w:t>
      </w:r>
      <w:r>
        <w:rPr>
          <w:color w:val="231F20"/>
          <w:spacing w:val="-22"/>
          <w:w w:val="110"/>
        </w:rPr>
        <w:t> </w:t>
      </w:r>
      <w:r>
        <w:rPr>
          <w:color w:val="231F20"/>
          <w:w w:val="110"/>
        </w:rPr>
        <w:t>consideramos</w:t>
      </w:r>
      <w:r>
        <w:rPr>
          <w:color w:val="231F20"/>
          <w:spacing w:val="-22"/>
          <w:w w:val="110"/>
        </w:rPr>
        <w:t> </w:t>
      </w:r>
      <w:r>
        <w:rPr>
          <w:color w:val="231F20"/>
          <w:w w:val="110"/>
        </w:rPr>
        <w:t>que</w:t>
      </w:r>
      <w:r>
        <w:rPr>
          <w:color w:val="231F20"/>
          <w:spacing w:val="-22"/>
          <w:w w:val="110"/>
        </w:rPr>
        <w:t> </w:t>
      </w:r>
      <w:r>
        <w:rPr>
          <w:color w:val="231F20"/>
          <w:w w:val="110"/>
        </w:rPr>
        <w:t>en</w:t>
      </w:r>
      <w:r>
        <w:rPr>
          <w:color w:val="231F20"/>
          <w:spacing w:val="-22"/>
          <w:w w:val="110"/>
        </w:rPr>
        <w:t> </w:t>
      </w:r>
      <w:r>
        <w:rPr>
          <w:color w:val="231F20"/>
          <w:w w:val="110"/>
        </w:rPr>
        <w:t>la</w:t>
      </w:r>
      <w:r>
        <w:rPr>
          <w:color w:val="231F20"/>
          <w:spacing w:val="-22"/>
          <w:w w:val="110"/>
        </w:rPr>
        <w:t> </w:t>
      </w:r>
      <w:r>
        <w:rPr>
          <w:color w:val="231F20"/>
          <w:w w:val="110"/>
        </w:rPr>
        <w:t>actualidad el tamaño de los hogares disminuye, es seguramente por el descenso de la fecundidad y el aumento en la ruptura de uniones. En un contexto donde </w:t>
      </w:r>
      <w:r>
        <w:rPr>
          <w:color w:val="231F20"/>
          <w:spacing w:val="2"/>
          <w:w w:val="110"/>
        </w:rPr>
        <w:t>nuevos arreglos familiares </w:t>
      </w:r>
      <w:r>
        <w:rPr>
          <w:color w:val="231F20"/>
          <w:w w:val="110"/>
        </w:rPr>
        <w:t>son </w:t>
      </w:r>
      <w:r>
        <w:rPr>
          <w:color w:val="231F20"/>
          <w:spacing w:val="2"/>
          <w:w w:val="110"/>
        </w:rPr>
        <w:t>cada </w:t>
      </w:r>
      <w:r>
        <w:rPr>
          <w:color w:val="231F20"/>
          <w:w w:val="110"/>
        </w:rPr>
        <w:t>vez más </w:t>
      </w:r>
      <w:r>
        <w:rPr>
          <w:color w:val="231F20"/>
          <w:spacing w:val="2"/>
          <w:w w:val="110"/>
        </w:rPr>
        <w:t>frecuentes </w:t>
      </w:r>
      <w:r>
        <w:rPr>
          <w:color w:val="231F20"/>
          <w:w w:val="110"/>
        </w:rPr>
        <w:t>y </w:t>
      </w:r>
      <w:r>
        <w:rPr>
          <w:color w:val="231F20"/>
          <w:spacing w:val="2"/>
          <w:w w:val="110"/>
        </w:rPr>
        <w:t>alejados </w:t>
      </w:r>
      <w:r>
        <w:rPr>
          <w:color w:val="231F20"/>
          <w:w w:val="110"/>
        </w:rPr>
        <w:t>del </w:t>
      </w:r>
      <w:r>
        <w:rPr>
          <w:color w:val="231F20"/>
          <w:spacing w:val="2"/>
          <w:w w:val="110"/>
        </w:rPr>
        <w:t>hogar nuclear </w:t>
      </w:r>
      <w:r>
        <w:rPr>
          <w:color w:val="231F20"/>
          <w:w w:val="110"/>
        </w:rPr>
        <w:t>de </w:t>
      </w:r>
      <w:r>
        <w:rPr>
          <w:color w:val="231F20"/>
          <w:spacing w:val="2"/>
          <w:w w:val="110"/>
        </w:rPr>
        <w:t>cuatro miembros, </w:t>
      </w:r>
      <w:r>
        <w:rPr>
          <w:color w:val="231F20"/>
          <w:w w:val="110"/>
        </w:rPr>
        <w:t>con </w:t>
      </w:r>
      <w:r>
        <w:rPr>
          <w:color w:val="231F20"/>
          <w:spacing w:val="2"/>
          <w:w w:val="110"/>
        </w:rPr>
        <w:t>altas proporciones </w:t>
      </w:r>
      <w:r>
        <w:rPr>
          <w:color w:val="231F20"/>
          <w:w w:val="110"/>
        </w:rPr>
        <w:t>de </w:t>
      </w:r>
      <w:r>
        <w:rPr>
          <w:color w:val="231F20"/>
          <w:spacing w:val="2"/>
          <w:w w:val="110"/>
        </w:rPr>
        <w:t>hogares </w:t>
      </w:r>
      <w:r>
        <w:rPr>
          <w:color w:val="231F20"/>
          <w:w w:val="110"/>
        </w:rPr>
        <w:t>unipersonales —producto del envejecimiento poblacional, la ruptura de uniones y la emigración— se vuelve una necesidad saber cuál es la orga- nización en el interior de éstos, cuál es el impacto del aumento de la incor- poración femenina al mercado laboral formal y cómo se redistribuyen las funciones entre géneros y generaciones en los  </w:t>
      </w:r>
      <w:r>
        <w:rPr>
          <w:color w:val="231F20"/>
          <w:spacing w:val="3"/>
          <w:w w:val="110"/>
        </w:rPr>
        <w:t> </w:t>
      </w:r>
      <w:r>
        <w:rPr>
          <w:color w:val="231F20"/>
          <w:w w:val="110"/>
        </w:rPr>
        <w:t>hogares.</w:t>
      </w:r>
    </w:p>
    <w:p>
      <w:pPr>
        <w:spacing w:after="0" w:line="288" w:lineRule="auto"/>
        <w:jc w:val="both"/>
        <w:sectPr>
          <w:footerReference w:type="default" r:id="rId103"/>
          <w:footerReference w:type="even" r:id="rId104"/>
          <w:pgSz w:w="9520" w:h="12920"/>
          <w:pgMar w:footer="1344" w:header="0" w:top="880" w:bottom="1540" w:left="1320" w:right="1000"/>
        </w:sectPr>
      </w:pPr>
    </w:p>
    <w:p>
      <w:pPr>
        <w:spacing w:before="39"/>
        <w:ind w:left="120" w:right="0" w:firstLine="0"/>
        <w:jc w:val="left"/>
        <w:rPr>
          <w:rFonts w:ascii="Times New Roman" w:hAnsi="Times New Roman"/>
          <w:i/>
          <w:sz w:val="19"/>
        </w:rPr>
      </w:pPr>
      <w:r>
        <w:rPr>
          <w:rFonts w:ascii="Times New Roman" w:hAnsi="Times New Roman"/>
          <w:i/>
          <w:color w:val="231F20"/>
          <w:sz w:val="24"/>
        </w:rPr>
        <w:t>B</w:t>
      </w:r>
      <w:r>
        <w:rPr>
          <w:rFonts w:ascii="Times New Roman" w:hAnsi="Times New Roman"/>
          <w:i/>
          <w:color w:val="231F20"/>
          <w:sz w:val="19"/>
        </w:rPr>
        <w:t>IBLIOGRAFÍA</w:t>
      </w:r>
    </w:p>
    <w:p>
      <w:pPr>
        <w:pStyle w:val="BodyText"/>
        <w:spacing w:before="8"/>
        <w:rPr>
          <w:rFonts w:ascii="Times New Roman"/>
          <w:i/>
          <w:sz w:val="25"/>
        </w:rPr>
      </w:pPr>
    </w:p>
    <w:p>
      <w:pPr>
        <w:spacing w:line="266" w:lineRule="auto" w:before="0"/>
        <w:ind w:left="479" w:right="117" w:hanging="360"/>
        <w:jc w:val="both"/>
        <w:rPr>
          <w:sz w:val="19"/>
        </w:rPr>
      </w:pPr>
      <w:r>
        <w:rPr>
          <w:rFonts w:ascii="Times New Roman" w:hAnsi="Times New Roman"/>
          <w:color w:val="231F20"/>
          <w:w w:val="105"/>
          <w:sz w:val="19"/>
        </w:rPr>
        <w:t>B</w:t>
      </w:r>
      <w:r>
        <w:rPr>
          <w:rFonts w:ascii="Times New Roman" w:hAnsi="Times New Roman"/>
          <w:color w:val="231F20"/>
          <w:w w:val="105"/>
          <w:sz w:val="15"/>
        </w:rPr>
        <w:t>ECK</w:t>
      </w:r>
      <w:r>
        <w:rPr>
          <w:rFonts w:ascii="Times New Roman" w:hAnsi="Times New Roman"/>
          <w:color w:val="231F20"/>
          <w:w w:val="105"/>
          <w:sz w:val="19"/>
        </w:rPr>
        <w:t>, </w:t>
      </w:r>
      <w:r>
        <w:rPr>
          <w:color w:val="231F20"/>
          <w:w w:val="105"/>
          <w:sz w:val="19"/>
        </w:rPr>
        <w:t>Ulrich y Elisabeth Beck-Gersheim (2012), </w:t>
      </w:r>
      <w:r>
        <w:rPr>
          <w:i/>
          <w:color w:val="231F20"/>
          <w:w w:val="105"/>
          <w:sz w:val="19"/>
        </w:rPr>
        <w:t>La individualización. El indivi- </w:t>
      </w:r>
      <w:r>
        <w:rPr>
          <w:i/>
          <w:color w:val="231F20"/>
          <w:w w:val="105"/>
          <w:sz w:val="19"/>
        </w:rPr>
        <w:t>dualismo institucionalizado y sus consecuencias sociales y políticas</w:t>
      </w:r>
      <w:r>
        <w:rPr>
          <w:color w:val="231F20"/>
          <w:w w:val="105"/>
          <w:sz w:val="19"/>
        </w:rPr>
        <w:t>, España, Paidós.</w:t>
      </w:r>
    </w:p>
    <w:p>
      <w:pPr>
        <w:spacing w:line="266" w:lineRule="auto" w:before="0"/>
        <w:ind w:left="480" w:right="117" w:hanging="360"/>
        <w:jc w:val="both"/>
        <w:rPr>
          <w:sz w:val="19"/>
        </w:rPr>
      </w:pPr>
      <w:r>
        <w:rPr>
          <w:rFonts w:ascii="Times New Roman" w:hAnsi="Times New Roman"/>
          <w:color w:val="231F20"/>
          <w:w w:val="110"/>
          <w:sz w:val="19"/>
        </w:rPr>
        <w:t>D</w:t>
      </w:r>
      <w:r>
        <w:rPr>
          <w:rFonts w:ascii="Times New Roman" w:hAnsi="Times New Roman"/>
          <w:color w:val="231F20"/>
          <w:w w:val="110"/>
          <w:sz w:val="15"/>
        </w:rPr>
        <w:t>ÍAZ</w:t>
      </w:r>
      <w:r>
        <w:rPr>
          <w:rFonts w:ascii="Times New Roman" w:hAnsi="Times New Roman"/>
          <w:color w:val="231F20"/>
          <w:w w:val="110"/>
          <w:sz w:val="19"/>
        </w:rPr>
        <w:t>, </w:t>
      </w:r>
      <w:r>
        <w:rPr>
          <w:color w:val="231F20"/>
          <w:w w:val="110"/>
          <w:sz w:val="19"/>
        </w:rPr>
        <w:t>Ilse (2014), “Factores socioculturales que determinan la reducción de la fecundidad</w:t>
      </w:r>
      <w:r>
        <w:rPr>
          <w:color w:val="231F20"/>
          <w:spacing w:val="-4"/>
          <w:w w:val="110"/>
          <w:sz w:val="19"/>
        </w:rPr>
        <w:t> </w:t>
      </w:r>
      <w:r>
        <w:rPr>
          <w:color w:val="231F20"/>
          <w:w w:val="110"/>
          <w:sz w:val="19"/>
        </w:rPr>
        <w:t>en</w:t>
      </w:r>
      <w:r>
        <w:rPr>
          <w:color w:val="231F20"/>
          <w:spacing w:val="-4"/>
          <w:w w:val="110"/>
          <w:sz w:val="19"/>
        </w:rPr>
        <w:t> </w:t>
      </w:r>
      <w:r>
        <w:rPr>
          <w:color w:val="231F20"/>
          <w:w w:val="110"/>
          <w:sz w:val="19"/>
        </w:rPr>
        <w:t>mujeres</w:t>
      </w:r>
      <w:r>
        <w:rPr>
          <w:color w:val="231F20"/>
          <w:spacing w:val="-4"/>
          <w:w w:val="110"/>
          <w:sz w:val="19"/>
        </w:rPr>
        <w:t> </w:t>
      </w:r>
      <w:r>
        <w:rPr>
          <w:color w:val="231F20"/>
          <w:w w:val="110"/>
          <w:sz w:val="19"/>
        </w:rPr>
        <w:t>con</w:t>
      </w:r>
      <w:r>
        <w:rPr>
          <w:color w:val="231F20"/>
          <w:spacing w:val="-4"/>
          <w:w w:val="110"/>
          <w:sz w:val="19"/>
        </w:rPr>
        <w:t> </w:t>
      </w:r>
      <w:r>
        <w:rPr>
          <w:color w:val="231F20"/>
          <w:w w:val="110"/>
          <w:sz w:val="19"/>
        </w:rPr>
        <w:t>estudios</w:t>
      </w:r>
      <w:r>
        <w:rPr>
          <w:color w:val="231F20"/>
          <w:spacing w:val="-4"/>
          <w:w w:val="110"/>
          <w:sz w:val="19"/>
        </w:rPr>
        <w:t> </w:t>
      </w:r>
      <w:r>
        <w:rPr>
          <w:color w:val="231F20"/>
          <w:w w:val="110"/>
          <w:sz w:val="19"/>
        </w:rPr>
        <w:t>universitarios</w:t>
      </w:r>
      <w:r>
        <w:rPr>
          <w:color w:val="231F20"/>
          <w:spacing w:val="-4"/>
          <w:w w:val="110"/>
          <w:sz w:val="19"/>
        </w:rPr>
        <w:t> </w:t>
      </w:r>
      <w:r>
        <w:rPr>
          <w:color w:val="231F20"/>
          <w:w w:val="110"/>
          <w:sz w:val="19"/>
        </w:rPr>
        <w:t>de</w:t>
      </w:r>
      <w:r>
        <w:rPr>
          <w:color w:val="231F20"/>
          <w:spacing w:val="-4"/>
          <w:w w:val="110"/>
          <w:sz w:val="19"/>
        </w:rPr>
        <w:t> </w:t>
      </w:r>
      <w:r>
        <w:rPr>
          <w:color w:val="231F20"/>
          <w:w w:val="110"/>
          <w:sz w:val="19"/>
        </w:rPr>
        <w:t>la</w:t>
      </w:r>
      <w:r>
        <w:rPr>
          <w:color w:val="231F20"/>
          <w:spacing w:val="-4"/>
          <w:w w:val="110"/>
          <w:sz w:val="19"/>
        </w:rPr>
        <w:t> </w:t>
      </w:r>
      <w:r>
        <w:rPr>
          <w:color w:val="231F20"/>
          <w:w w:val="110"/>
          <w:sz w:val="19"/>
        </w:rPr>
        <w:t>Ciudad</w:t>
      </w:r>
      <w:r>
        <w:rPr>
          <w:color w:val="231F20"/>
          <w:spacing w:val="-4"/>
          <w:w w:val="110"/>
          <w:sz w:val="19"/>
        </w:rPr>
        <w:t> </w:t>
      </w:r>
      <w:r>
        <w:rPr>
          <w:color w:val="231F20"/>
          <w:w w:val="110"/>
          <w:sz w:val="19"/>
        </w:rPr>
        <w:t>de</w:t>
      </w:r>
      <w:r>
        <w:rPr>
          <w:color w:val="231F20"/>
          <w:spacing w:val="-4"/>
          <w:w w:val="110"/>
          <w:sz w:val="19"/>
        </w:rPr>
        <w:t> Toluca”, </w:t>
      </w:r>
      <w:r>
        <w:rPr>
          <w:color w:val="231F20"/>
          <w:w w:val="110"/>
          <w:sz w:val="19"/>
        </w:rPr>
        <w:t>tesis de maestría, México, Facultad de Antropología</w:t>
      </w:r>
      <w:r>
        <w:rPr>
          <w:color w:val="231F20"/>
          <w:spacing w:val="24"/>
          <w:w w:val="110"/>
          <w:sz w:val="19"/>
        </w:rPr>
        <w:t> </w:t>
      </w:r>
      <w:r>
        <w:rPr>
          <w:rFonts w:ascii="Times New Roman" w:hAnsi="Times New Roman"/>
          <w:color w:val="231F20"/>
          <w:w w:val="110"/>
          <w:sz w:val="15"/>
        </w:rPr>
        <w:t>UAEM</w:t>
      </w:r>
      <w:r>
        <w:rPr>
          <w:color w:val="231F20"/>
          <w:w w:val="110"/>
          <w:sz w:val="19"/>
        </w:rPr>
        <w:t>.</w:t>
      </w:r>
    </w:p>
    <w:p>
      <w:pPr>
        <w:spacing w:line="266" w:lineRule="auto" w:before="0"/>
        <w:ind w:left="480" w:right="119" w:hanging="360"/>
        <w:jc w:val="both"/>
        <w:rPr>
          <w:sz w:val="19"/>
        </w:rPr>
      </w:pPr>
      <w:r>
        <w:rPr>
          <w:rFonts w:ascii="Times New Roman" w:hAnsi="Times New Roman"/>
          <w:color w:val="231F20"/>
          <w:w w:val="110"/>
          <w:sz w:val="19"/>
        </w:rPr>
        <w:t>G</w:t>
      </w:r>
      <w:r>
        <w:rPr>
          <w:rFonts w:ascii="Times New Roman" w:hAnsi="Times New Roman"/>
          <w:color w:val="231F20"/>
          <w:w w:val="110"/>
          <w:sz w:val="15"/>
        </w:rPr>
        <w:t>ARCÍA</w:t>
      </w:r>
      <w:r>
        <w:rPr>
          <w:color w:val="231F20"/>
          <w:w w:val="110"/>
          <w:sz w:val="19"/>
        </w:rPr>
        <w:t>, Brígida y Olga Rojas (2004), “Las uniones conyugales en América La- tina: transformaciones en un marco de desigualdad social y de género”, </w:t>
      </w:r>
      <w:r>
        <w:rPr>
          <w:i/>
          <w:color w:val="231F20"/>
          <w:w w:val="110"/>
          <w:sz w:val="19"/>
        </w:rPr>
        <w:t>Notas de Población</w:t>
      </w:r>
      <w:r>
        <w:rPr>
          <w:color w:val="231F20"/>
          <w:w w:val="110"/>
          <w:sz w:val="19"/>
        </w:rPr>
        <w:t>, núm. 78, diciembre, División de Población de la </w:t>
      </w:r>
      <w:r>
        <w:rPr>
          <w:rFonts w:ascii="Times New Roman" w:hAnsi="Times New Roman"/>
          <w:color w:val="231F20"/>
          <w:w w:val="110"/>
          <w:sz w:val="15"/>
        </w:rPr>
        <w:t>CEPAL</w:t>
      </w:r>
      <w:r>
        <w:rPr>
          <w:color w:val="231F20"/>
          <w:w w:val="110"/>
          <w:sz w:val="19"/>
        </w:rPr>
        <w:t>, pp. 65-96.</w:t>
      </w:r>
    </w:p>
    <w:p>
      <w:pPr>
        <w:spacing w:line="266" w:lineRule="auto" w:before="0"/>
        <w:ind w:left="479" w:right="118" w:hanging="360"/>
        <w:jc w:val="both"/>
        <w:rPr>
          <w:sz w:val="19"/>
        </w:rPr>
      </w:pPr>
      <w:r>
        <w:rPr>
          <w:color w:val="231F20"/>
          <w:w w:val="110"/>
          <w:sz w:val="19"/>
        </w:rPr>
        <w:t>Instituto Nacional de Estadística Geografía e Informática </w:t>
      </w:r>
      <w:r>
        <w:rPr>
          <w:rFonts w:ascii="Times New Roman" w:hAnsi="Times New Roman"/>
          <w:color w:val="231F20"/>
          <w:w w:val="110"/>
          <w:sz w:val="19"/>
        </w:rPr>
        <w:t>(</w:t>
      </w:r>
      <w:r>
        <w:rPr>
          <w:rFonts w:ascii="Times New Roman" w:hAnsi="Times New Roman"/>
          <w:color w:val="231F20"/>
          <w:w w:val="110"/>
          <w:sz w:val="15"/>
        </w:rPr>
        <w:t>INEGI</w:t>
      </w:r>
      <w:r>
        <w:rPr>
          <w:rFonts w:ascii="Times New Roman" w:hAnsi="Times New Roman"/>
          <w:color w:val="231F20"/>
          <w:w w:val="110"/>
          <w:sz w:val="19"/>
        </w:rPr>
        <w:t>)</w:t>
      </w:r>
      <w:r>
        <w:rPr>
          <w:color w:val="231F20"/>
          <w:w w:val="110"/>
          <w:sz w:val="19"/>
        </w:rPr>
        <w:t>, Base de datos de Estadísticas Vitales de Matrimonios de 1985 a 2010, México.</w:t>
      </w:r>
    </w:p>
    <w:p>
      <w:pPr>
        <w:spacing w:line="266" w:lineRule="auto" w:before="0"/>
        <w:ind w:left="479" w:right="118" w:hanging="360"/>
        <w:jc w:val="both"/>
        <w:rPr>
          <w:sz w:val="19"/>
        </w:rPr>
      </w:pPr>
      <w:r>
        <w:rPr>
          <w:rFonts w:ascii="Times New Roman" w:hAnsi="Times New Roman"/>
          <w:color w:val="231F20"/>
          <w:w w:val="110"/>
          <w:sz w:val="15"/>
        </w:rPr>
        <w:t>INEGI</w:t>
      </w:r>
      <w:r>
        <w:rPr>
          <w:color w:val="231F20"/>
          <w:w w:val="110"/>
          <w:sz w:val="19"/>
        </w:rPr>
        <w:t>,</w:t>
      </w:r>
      <w:r>
        <w:rPr>
          <w:color w:val="231F20"/>
          <w:spacing w:val="-4"/>
          <w:w w:val="110"/>
          <w:sz w:val="19"/>
        </w:rPr>
        <w:t> </w:t>
      </w:r>
      <w:r>
        <w:rPr>
          <w:color w:val="231F20"/>
          <w:w w:val="110"/>
          <w:sz w:val="19"/>
        </w:rPr>
        <w:t>Base</w:t>
      </w:r>
      <w:r>
        <w:rPr>
          <w:color w:val="231F20"/>
          <w:spacing w:val="-4"/>
          <w:w w:val="110"/>
          <w:sz w:val="19"/>
        </w:rPr>
        <w:t> </w:t>
      </w:r>
      <w:r>
        <w:rPr>
          <w:color w:val="231F20"/>
          <w:w w:val="110"/>
          <w:sz w:val="19"/>
        </w:rPr>
        <w:t>de</w:t>
      </w:r>
      <w:r>
        <w:rPr>
          <w:color w:val="231F20"/>
          <w:spacing w:val="-4"/>
          <w:w w:val="110"/>
          <w:sz w:val="19"/>
        </w:rPr>
        <w:t> </w:t>
      </w:r>
      <w:r>
        <w:rPr>
          <w:color w:val="231F20"/>
          <w:w w:val="110"/>
          <w:sz w:val="19"/>
        </w:rPr>
        <w:t>datos</w:t>
      </w:r>
      <w:r>
        <w:rPr>
          <w:color w:val="231F20"/>
          <w:spacing w:val="-4"/>
          <w:w w:val="110"/>
          <w:sz w:val="19"/>
        </w:rPr>
        <w:t> </w:t>
      </w:r>
      <w:r>
        <w:rPr>
          <w:color w:val="231F20"/>
          <w:w w:val="110"/>
          <w:sz w:val="19"/>
        </w:rPr>
        <w:t>de</w:t>
      </w:r>
      <w:r>
        <w:rPr>
          <w:color w:val="231F20"/>
          <w:spacing w:val="-4"/>
          <w:w w:val="110"/>
          <w:sz w:val="19"/>
        </w:rPr>
        <w:t> </w:t>
      </w:r>
      <w:r>
        <w:rPr>
          <w:color w:val="231F20"/>
          <w:w w:val="110"/>
          <w:sz w:val="19"/>
        </w:rPr>
        <w:t>la</w:t>
      </w:r>
      <w:r>
        <w:rPr>
          <w:color w:val="231F20"/>
          <w:spacing w:val="-4"/>
          <w:w w:val="110"/>
          <w:sz w:val="19"/>
        </w:rPr>
        <w:t> </w:t>
      </w:r>
      <w:r>
        <w:rPr>
          <w:color w:val="231F20"/>
          <w:w w:val="110"/>
          <w:sz w:val="19"/>
        </w:rPr>
        <w:t>Encuesta</w:t>
      </w:r>
      <w:r>
        <w:rPr>
          <w:color w:val="231F20"/>
          <w:spacing w:val="-4"/>
          <w:w w:val="110"/>
          <w:sz w:val="19"/>
        </w:rPr>
        <w:t> </w:t>
      </w:r>
      <w:r>
        <w:rPr>
          <w:color w:val="231F20"/>
          <w:w w:val="110"/>
          <w:sz w:val="19"/>
        </w:rPr>
        <w:t>Nacional</w:t>
      </w:r>
      <w:r>
        <w:rPr>
          <w:color w:val="231F20"/>
          <w:spacing w:val="-4"/>
          <w:w w:val="110"/>
          <w:sz w:val="19"/>
        </w:rPr>
        <w:t> </w:t>
      </w:r>
      <w:r>
        <w:rPr>
          <w:color w:val="231F20"/>
          <w:w w:val="110"/>
          <w:sz w:val="19"/>
        </w:rPr>
        <w:t>de</w:t>
      </w:r>
      <w:r>
        <w:rPr>
          <w:color w:val="231F20"/>
          <w:spacing w:val="-4"/>
          <w:w w:val="110"/>
          <w:sz w:val="19"/>
        </w:rPr>
        <w:t> </w:t>
      </w:r>
      <w:r>
        <w:rPr>
          <w:color w:val="231F20"/>
          <w:w w:val="110"/>
          <w:sz w:val="19"/>
        </w:rPr>
        <w:t>la</w:t>
      </w:r>
      <w:r>
        <w:rPr>
          <w:color w:val="231F20"/>
          <w:spacing w:val="-4"/>
          <w:w w:val="110"/>
          <w:sz w:val="19"/>
        </w:rPr>
        <w:t> </w:t>
      </w:r>
      <w:r>
        <w:rPr>
          <w:color w:val="231F20"/>
          <w:w w:val="110"/>
          <w:sz w:val="19"/>
        </w:rPr>
        <w:t>Dinámica</w:t>
      </w:r>
      <w:r>
        <w:rPr>
          <w:color w:val="231F20"/>
          <w:spacing w:val="-4"/>
          <w:w w:val="110"/>
          <w:sz w:val="19"/>
        </w:rPr>
        <w:t> </w:t>
      </w:r>
      <w:r>
        <w:rPr>
          <w:color w:val="231F20"/>
          <w:w w:val="110"/>
          <w:sz w:val="19"/>
        </w:rPr>
        <w:t>Demográfica</w:t>
      </w:r>
      <w:r>
        <w:rPr>
          <w:color w:val="231F20"/>
          <w:spacing w:val="-4"/>
          <w:w w:val="110"/>
          <w:sz w:val="19"/>
        </w:rPr>
        <w:t> </w:t>
      </w:r>
      <w:r>
        <w:rPr>
          <w:color w:val="231F20"/>
          <w:w w:val="110"/>
          <w:sz w:val="19"/>
        </w:rPr>
        <w:t>2009, México.</w:t>
      </w:r>
    </w:p>
    <w:p>
      <w:pPr>
        <w:spacing w:line="266" w:lineRule="auto" w:before="0"/>
        <w:ind w:left="479" w:right="117" w:hanging="360"/>
        <w:jc w:val="both"/>
        <w:rPr>
          <w:sz w:val="19"/>
        </w:rPr>
      </w:pPr>
      <w:r>
        <w:rPr>
          <w:rFonts w:ascii="Times New Roman" w:hAnsi="Times New Roman"/>
          <w:color w:val="231F20"/>
          <w:w w:val="110"/>
          <w:sz w:val="15"/>
        </w:rPr>
        <w:t>INEGI</w:t>
      </w:r>
      <w:r>
        <w:rPr>
          <w:color w:val="231F20"/>
          <w:w w:val="110"/>
          <w:sz w:val="19"/>
        </w:rPr>
        <w:t>, Base de datos de los Censos de Población y Vivienda, 1990, 2000 y</w:t>
      </w:r>
      <w:r>
        <w:rPr>
          <w:color w:val="231F20"/>
          <w:spacing w:val="-29"/>
          <w:w w:val="110"/>
          <w:sz w:val="19"/>
        </w:rPr>
        <w:t> </w:t>
      </w:r>
      <w:r>
        <w:rPr>
          <w:color w:val="231F20"/>
          <w:w w:val="110"/>
          <w:sz w:val="19"/>
        </w:rPr>
        <w:t>2010, México.</w:t>
      </w:r>
    </w:p>
    <w:p>
      <w:pPr>
        <w:spacing w:line="266" w:lineRule="auto" w:before="0"/>
        <w:ind w:left="479" w:right="119" w:hanging="360"/>
        <w:jc w:val="both"/>
        <w:rPr>
          <w:sz w:val="19"/>
        </w:rPr>
      </w:pPr>
      <w:r>
        <w:rPr>
          <w:rFonts w:ascii="Times New Roman" w:hAnsi="Times New Roman"/>
          <w:color w:val="231F20"/>
          <w:w w:val="105"/>
          <w:sz w:val="19"/>
        </w:rPr>
        <w:t>L</w:t>
      </w:r>
      <w:r>
        <w:rPr>
          <w:rFonts w:ascii="Times New Roman" w:hAnsi="Times New Roman"/>
          <w:color w:val="231F20"/>
          <w:w w:val="105"/>
          <w:sz w:val="15"/>
        </w:rPr>
        <w:t>EYVA</w:t>
      </w:r>
      <w:r>
        <w:rPr>
          <w:color w:val="231F20"/>
          <w:w w:val="105"/>
          <w:sz w:val="19"/>
        </w:rPr>
        <w:t>, Gerardo (2014), </w:t>
      </w:r>
      <w:r>
        <w:rPr>
          <w:color w:val="231F20"/>
          <w:spacing w:val="3"/>
          <w:w w:val="105"/>
          <w:sz w:val="19"/>
        </w:rPr>
        <w:t>“Los </w:t>
      </w:r>
      <w:r>
        <w:rPr>
          <w:color w:val="231F20"/>
          <w:w w:val="105"/>
          <w:sz w:val="19"/>
        </w:rPr>
        <w:t>hogares pequeños viven mejor… ¿o no?”, </w:t>
      </w:r>
      <w:r>
        <w:rPr>
          <w:i/>
          <w:color w:val="231F20"/>
          <w:w w:val="105"/>
          <w:sz w:val="19"/>
        </w:rPr>
        <w:t>Coyun-  </w:t>
      </w:r>
      <w:r>
        <w:rPr>
          <w:i/>
          <w:color w:val="231F20"/>
          <w:w w:val="105"/>
          <w:sz w:val="19"/>
        </w:rPr>
        <w:t>tura Demográfica. Revista sobre los Procesos Demográficos en México  Hoy</w:t>
      </w:r>
      <w:r>
        <w:rPr>
          <w:color w:val="231F20"/>
          <w:w w:val="105"/>
          <w:sz w:val="19"/>
        </w:rPr>
        <w:t>, núm.  6,  julio,  Sociedad  Mexicana  de  Demografía,  pp.</w:t>
      </w:r>
      <w:r>
        <w:rPr>
          <w:color w:val="231F20"/>
          <w:spacing w:val="9"/>
          <w:w w:val="105"/>
          <w:sz w:val="19"/>
        </w:rPr>
        <w:t> </w:t>
      </w:r>
      <w:r>
        <w:rPr>
          <w:color w:val="231F20"/>
          <w:w w:val="105"/>
          <w:sz w:val="19"/>
        </w:rPr>
        <w:t>21-28.</w:t>
      </w:r>
    </w:p>
    <w:p>
      <w:pPr>
        <w:spacing w:line="266" w:lineRule="auto" w:before="0"/>
        <w:ind w:left="480" w:right="115" w:hanging="360"/>
        <w:jc w:val="both"/>
        <w:rPr>
          <w:sz w:val="19"/>
        </w:rPr>
      </w:pPr>
      <w:r>
        <w:rPr>
          <w:rFonts w:ascii="Times New Roman" w:hAnsi="Times New Roman"/>
          <w:color w:val="231F20"/>
          <w:spacing w:val="2"/>
          <w:w w:val="105"/>
          <w:sz w:val="19"/>
        </w:rPr>
        <w:t>L</w:t>
      </w:r>
      <w:r>
        <w:rPr>
          <w:rFonts w:ascii="Times New Roman" w:hAnsi="Times New Roman"/>
          <w:color w:val="231F20"/>
          <w:spacing w:val="2"/>
          <w:w w:val="105"/>
          <w:sz w:val="15"/>
        </w:rPr>
        <w:t>ESTHAEGUE</w:t>
      </w:r>
      <w:r>
        <w:rPr>
          <w:color w:val="231F20"/>
          <w:spacing w:val="2"/>
          <w:w w:val="105"/>
          <w:sz w:val="19"/>
        </w:rPr>
        <w:t>, </w:t>
      </w:r>
      <w:r>
        <w:rPr>
          <w:color w:val="231F20"/>
          <w:w w:val="105"/>
          <w:sz w:val="19"/>
        </w:rPr>
        <w:t>Ron </w:t>
      </w:r>
      <w:r>
        <w:rPr>
          <w:color w:val="231F20"/>
          <w:spacing w:val="2"/>
          <w:w w:val="105"/>
          <w:sz w:val="19"/>
        </w:rPr>
        <w:t>(1991), </w:t>
      </w:r>
      <w:r>
        <w:rPr>
          <w:color w:val="231F20"/>
          <w:w w:val="105"/>
          <w:sz w:val="19"/>
        </w:rPr>
        <w:t>“ The </w:t>
      </w:r>
      <w:r>
        <w:rPr>
          <w:color w:val="231F20"/>
          <w:spacing w:val="2"/>
          <w:w w:val="105"/>
          <w:sz w:val="19"/>
        </w:rPr>
        <w:t>Second Demographic Transition </w:t>
      </w:r>
      <w:r>
        <w:rPr>
          <w:color w:val="231F20"/>
          <w:w w:val="105"/>
          <w:sz w:val="19"/>
        </w:rPr>
        <w:t>in Western Countries: an interpretation”, en K.O. Mason and A.M. Jenson, </w:t>
      </w:r>
      <w:r>
        <w:rPr>
          <w:i/>
          <w:color w:val="231F20"/>
          <w:w w:val="105"/>
          <w:sz w:val="19"/>
        </w:rPr>
        <w:t>Gender and </w:t>
      </w:r>
      <w:r>
        <w:rPr>
          <w:i/>
          <w:color w:val="231F20"/>
          <w:w w:val="105"/>
          <w:sz w:val="19"/>
        </w:rPr>
        <w:t>Family </w:t>
      </w:r>
      <w:r>
        <w:rPr>
          <w:i/>
          <w:color w:val="231F20"/>
          <w:spacing w:val="3"/>
          <w:w w:val="105"/>
          <w:sz w:val="19"/>
        </w:rPr>
        <w:t>Change </w:t>
      </w:r>
      <w:r>
        <w:rPr>
          <w:i/>
          <w:color w:val="231F20"/>
          <w:w w:val="105"/>
          <w:sz w:val="19"/>
        </w:rPr>
        <w:t>in </w:t>
      </w:r>
      <w:r>
        <w:rPr>
          <w:i/>
          <w:color w:val="231F20"/>
          <w:spacing w:val="3"/>
          <w:w w:val="105"/>
          <w:sz w:val="19"/>
        </w:rPr>
        <w:t>Industrialized Countries</w:t>
      </w:r>
      <w:r>
        <w:rPr>
          <w:color w:val="231F20"/>
          <w:spacing w:val="3"/>
          <w:w w:val="105"/>
          <w:sz w:val="19"/>
        </w:rPr>
        <w:t>,  Brussels,  University  </w:t>
      </w:r>
      <w:r>
        <w:rPr>
          <w:color w:val="231F20"/>
          <w:w w:val="105"/>
          <w:sz w:val="19"/>
        </w:rPr>
        <w:t>Library,  pp.</w:t>
      </w:r>
      <w:r>
        <w:rPr>
          <w:color w:val="231F20"/>
          <w:spacing w:val="22"/>
          <w:w w:val="105"/>
          <w:sz w:val="19"/>
        </w:rPr>
        <w:t> </w:t>
      </w:r>
      <w:r>
        <w:rPr>
          <w:color w:val="231F20"/>
          <w:w w:val="105"/>
          <w:sz w:val="19"/>
        </w:rPr>
        <w:t>17-61.</w:t>
      </w:r>
    </w:p>
    <w:p>
      <w:pPr>
        <w:spacing w:line="266" w:lineRule="auto" w:before="0"/>
        <w:ind w:left="479" w:right="119" w:hanging="360"/>
        <w:jc w:val="both"/>
        <w:rPr>
          <w:sz w:val="19"/>
        </w:rPr>
      </w:pPr>
      <w:r>
        <w:rPr>
          <w:rFonts w:ascii="Times New Roman" w:hAnsi="Times New Roman"/>
          <w:color w:val="231F20"/>
          <w:w w:val="105"/>
          <w:sz w:val="19"/>
        </w:rPr>
        <w:t>O</w:t>
      </w:r>
      <w:r>
        <w:rPr>
          <w:rFonts w:ascii="Times New Roman" w:hAnsi="Times New Roman"/>
          <w:color w:val="231F20"/>
          <w:w w:val="105"/>
          <w:sz w:val="15"/>
        </w:rPr>
        <w:t>JEDA</w:t>
      </w:r>
      <w:r>
        <w:rPr>
          <w:color w:val="231F20"/>
          <w:w w:val="105"/>
          <w:sz w:val="19"/>
        </w:rPr>
        <w:t>, Norma (2013), </w:t>
      </w:r>
      <w:r>
        <w:rPr>
          <w:color w:val="231F20"/>
          <w:spacing w:val="4"/>
          <w:w w:val="105"/>
          <w:sz w:val="19"/>
        </w:rPr>
        <w:t>“Las </w:t>
      </w:r>
      <w:r>
        <w:rPr>
          <w:color w:val="231F20"/>
          <w:w w:val="105"/>
          <w:sz w:val="19"/>
        </w:rPr>
        <w:t>uniones libres o consensuales en la frontera norte     de México”, </w:t>
      </w:r>
      <w:r>
        <w:rPr>
          <w:i/>
          <w:color w:val="231F20"/>
          <w:w w:val="105"/>
          <w:sz w:val="19"/>
        </w:rPr>
        <w:t>Estudios Demográficos y Urbanos</w:t>
      </w:r>
      <w:r>
        <w:rPr>
          <w:color w:val="231F20"/>
          <w:w w:val="105"/>
          <w:sz w:val="19"/>
        </w:rPr>
        <w:t>, vol. 28, núm. 3 (84), septiem- bre-diciembre,  México,  El  Colegio  de </w:t>
      </w:r>
      <w:r>
        <w:rPr>
          <w:color w:val="231F20"/>
          <w:spacing w:val="35"/>
          <w:w w:val="105"/>
          <w:sz w:val="19"/>
        </w:rPr>
        <w:t> </w:t>
      </w:r>
      <w:r>
        <w:rPr>
          <w:color w:val="231F20"/>
          <w:w w:val="105"/>
          <w:sz w:val="19"/>
        </w:rPr>
        <w:t>México.</w:t>
      </w:r>
    </w:p>
    <w:p>
      <w:pPr>
        <w:spacing w:line="266" w:lineRule="auto" w:before="0"/>
        <w:ind w:left="480" w:right="117" w:hanging="360"/>
        <w:jc w:val="both"/>
        <w:rPr>
          <w:sz w:val="19"/>
        </w:rPr>
      </w:pPr>
      <w:r>
        <w:rPr>
          <w:rFonts w:ascii="Times New Roman" w:hAnsi="Times New Roman"/>
          <w:color w:val="231F20"/>
          <w:w w:val="110"/>
          <w:sz w:val="19"/>
        </w:rPr>
        <w:t>Q</w:t>
      </w:r>
      <w:r>
        <w:rPr>
          <w:rFonts w:ascii="Times New Roman" w:hAnsi="Times New Roman"/>
          <w:color w:val="231F20"/>
          <w:w w:val="110"/>
          <w:sz w:val="15"/>
        </w:rPr>
        <w:t>UILODRÁN</w:t>
      </w:r>
      <w:r>
        <w:rPr>
          <w:color w:val="231F20"/>
          <w:w w:val="110"/>
          <w:sz w:val="19"/>
        </w:rPr>
        <w:t>,</w:t>
      </w:r>
      <w:r>
        <w:rPr>
          <w:color w:val="231F20"/>
          <w:spacing w:val="-8"/>
          <w:w w:val="110"/>
          <w:sz w:val="19"/>
        </w:rPr>
        <w:t> </w:t>
      </w:r>
      <w:r>
        <w:rPr>
          <w:color w:val="231F20"/>
          <w:w w:val="110"/>
          <w:sz w:val="19"/>
        </w:rPr>
        <w:t>Julieta</w:t>
      </w:r>
      <w:r>
        <w:rPr>
          <w:color w:val="231F20"/>
          <w:spacing w:val="-8"/>
          <w:w w:val="110"/>
          <w:sz w:val="19"/>
        </w:rPr>
        <w:t> </w:t>
      </w:r>
      <w:r>
        <w:rPr>
          <w:color w:val="231F20"/>
          <w:w w:val="110"/>
          <w:sz w:val="19"/>
        </w:rPr>
        <w:t>(2001),</w:t>
      </w:r>
      <w:r>
        <w:rPr>
          <w:color w:val="231F20"/>
          <w:spacing w:val="-9"/>
          <w:w w:val="110"/>
          <w:sz w:val="19"/>
        </w:rPr>
        <w:t> </w:t>
      </w:r>
      <w:r>
        <w:rPr>
          <w:i/>
          <w:color w:val="231F20"/>
          <w:w w:val="110"/>
          <w:sz w:val="19"/>
        </w:rPr>
        <w:t>Un</w:t>
      </w:r>
      <w:r>
        <w:rPr>
          <w:i/>
          <w:color w:val="231F20"/>
          <w:spacing w:val="-12"/>
          <w:w w:val="110"/>
          <w:sz w:val="19"/>
        </w:rPr>
        <w:t> </w:t>
      </w:r>
      <w:r>
        <w:rPr>
          <w:i/>
          <w:color w:val="231F20"/>
          <w:w w:val="110"/>
          <w:sz w:val="19"/>
        </w:rPr>
        <w:t>siglo</w:t>
      </w:r>
      <w:r>
        <w:rPr>
          <w:i/>
          <w:color w:val="231F20"/>
          <w:spacing w:val="-12"/>
          <w:w w:val="110"/>
          <w:sz w:val="19"/>
        </w:rPr>
        <w:t> </w:t>
      </w:r>
      <w:r>
        <w:rPr>
          <w:i/>
          <w:color w:val="231F20"/>
          <w:w w:val="110"/>
          <w:sz w:val="19"/>
        </w:rPr>
        <w:t>de</w:t>
      </w:r>
      <w:r>
        <w:rPr>
          <w:i/>
          <w:color w:val="231F20"/>
          <w:spacing w:val="-12"/>
          <w:w w:val="110"/>
          <w:sz w:val="19"/>
        </w:rPr>
        <w:t> </w:t>
      </w:r>
      <w:r>
        <w:rPr>
          <w:i/>
          <w:color w:val="231F20"/>
          <w:w w:val="110"/>
          <w:sz w:val="19"/>
        </w:rPr>
        <w:t>matrimonio</w:t>
      </w:r>
      <w:r>
        <w:rPr>
          <w:i/>
          <w:color w:val="231F20"/>
          <w:spacing w:val="-12"/>
          <w:w w:val="110"/>
          <w:sz w:val="19"/>
        </w:rPr>
        <w:t> </w:t>
      </w:r>
      <w:r>
        <w:rPr>
          <w:i/>
          <w:color w:val="231F20"/>
          <w:w w:val="110"/>
          <w:sz w:val="19"/>
        </w:rPr>
        <w:t>en</w:t>
      </w:r>
      <w:r>
        <w:rPr>
          <w:i/>
          <w:color w:val="231F20"/>
          <w:spacing w:val="-12"/>
          <w:w w:val="110"/>
          <w:sz w:val="19"/>
        </w:rPr>
        <w:t> </w:t>
      </w:r>
      <w:r>
        <w:rPr>
          <w:i/>
          <w:color w:val="231F20"/>
          <w:w w:val="110"/>
          <w:sz w:val="19"/>
        </w:rPr>
        <w:t>México</w:t>
      </w:r>
      <w:r>
        <w:rPr>
          <w:color w:val="231F20"/>
          <w:w w:val="110"/>
          <w:sz w:val="19"/>
        </w:rPr>
        <w:t>,</w:t>
      </w:r>
      <w:r>
        <w:rPr>
          <w:color w:val="231F20"/>
          <w:spacing w:val="-8"/>
          <w:w w:val="110"/>
          <w:sz w:val="19"/>
        </w:rPr>
        <w:t> </w:t>
      </w:r>
      <w:r>
        <w:rPr>
          <w:color w:val="231F20"/>
          <w:w w:val="110"/>
          <w:sz w:val="19"/>
        </w:rPr>
        <w:t>México,</w:t>
      </w:r>
      <w:r>
        <w:rPr>
          <w:color w:val="231F20"/>
          <w:spacing w:val="-8"/>
          <w:w w:val="110"/>
          <w:sz w:val="19"/>
        </w:rPr>
        <w:t> </w:t>
      </w:r>
      <w:r>
        <w:rPr>
          <w:color w:val="231F20"/>
          <w:w w:val="110"/>
          <w:sz w:val="19"/>
        </w:rPr>
        <w:t>El</w:t>
      </w:r>
      <w:r>
        <w:rPr>
          <w:color w:val="231F20"/>
          <w:spacing w:val="-8"/>
          <w:w w:val="110"/>
          <w:sz w:val="19"/>
        </w:rPr>
        <w:t> </w:t>
      </w:r>
      <w:r>
        <w:rPr>
          <w:color w:val="231F20"/>
          <w:w w:val="110"/>
          <w:sz w:val="19"/>
        </w:rPr>
        <w:t>Colegio de</w:t>
      </w:r>
      <w:r>
        <w:rPr>
          <w:color w:val="231F20"/>
          <w:spacing w:val="27"/>
          <w:w w:val="110"/>
          <w:sz w:val="19"/>
        </w:rPr>
        <w:t> </w:t>
      </w:r>
      <w:r>
        <w:rPr>
          <w:color w:val="231F20"/>
          <w:w w:val="110"/>
          <w:sz w:val="19"/>
        </w:rPr>
        <w:t>México.</w:t>
      </w:r>
    </w:p>
    <w:p>
      <w:pPr>
        <w:tabs>
          <w:tab w:pos="839" w:val="left" w:leader="none"/>
        </w:tabs>
        <w:spacing w:line="266" w:lineRule="auto" w:before="0"/>
        <w:ind w:left="480" w:right="117" w:hanging="360"/>
        <w:jc w:val="both"/>
        <w:rPr>
          <w:sz w:val="19"/>
        </w:rPr>
      </w:pPr>
      <w:r>
        <w:rPr>
          <w:color w:val="231F20"/>
          <w:w w:val="128"/>
          <w:sz w:val="19"/>
          <w:u w:val="single" w:color="231F20"/>
        </w:rPr>
        <w:t> </w:t>
      </w:r>
      <w:r>
        <w:rPr>
          <w:color w:val="231F20"/>
          <w:sz w:val="19"/>
          <w:u w:val="single" w:color="231F20"/>
        </w:rPr>
        <w:tab/>
        <w:tab/>
      </w:r>
      <w:r>
        <w:rPr>
          <w:color w:val="231F20"/>
          <w:sz w:val="19"/>
        </w:rPr>
        <w:t> </w:t>
      </w:r>
      <w:r>
        <w:rPr>
          <w:color w:val="231F20"/>
          <w:spacing w:val="-12"/>
          <w:sz w:val="19"/>
        </w:rPr>
        <w:t> </w:t>
      </w:r>
      <w:r>
        <w:rPr>
          <w:color w:val="231F20"/>
          <w:w w:val="110"/>
          <w:sz w:val="19"/>
        </w:rPr>
        <w:t>(2010), “Hacia un nuevo modelo de nupcialidad”, en Brígida </w:t>
      </w:r>
      <w:r>
        <w:rPr>
          <w:color w:val="231F20"/>
          <w:spacing w:val="23"/>
          <w:w w:val="110"/>
          <w:sz w:val="19"/>
        </w:rPr>
        <w:t> </w:t>
      </w:r>
      <w:r>
        <w:rPr>
          <w:color w:val="231F20"/>
          <w:w w:val="110"/>
          <w:sz w:val="19"/>
        </w:rPr>
        <w:t>García</w:t>
      </w:r>
      <w:r>
        <w:rPr>
          <w:color w:val="231F20"/>
          <w:spacing w:val="7"/>
          <w:w w:val="110"/>
          <w:sz w:val="19"/>
        </w:rPr>
        <w:t> </w:t>
      </w:r>
      <w:r>
        <w:rPr>
          <w:color w:val="231F20"/>
          <w:w w:val="110"/>
          <w:sz w:val="19"/>
        </w:rPr>
        <w:t>y</w:t>
      </w:r>
      <w:r>
        <w:rPr>
          <w:color w:val="231F20"/>
          <w:w w:val="108"/>
          <w:sz w:val="19"/>
        </w:rPr>
        <w:t> </w:t>
      </w:r>
      <w:r>
        <w:rPr>
          <w:color w:val="231F20"/>
          <w:w w:val="110"/>
          <w:sz w:val="19"/>
        </w:rPr>
        <w:t>Manuel Ordorica (coords.), </w:t>
      </w:r>
      <w:r>
        <w:rPr>
          <w:i/>
          <w:color w:val="231F20"/>
          <w:w w:val="110"/>
          <w:sz w:val="19"/>
        </w:rPr>
        <w:t>Los grandes problemas de México</w:t>
      </w:r>
      <w:r>
        <w:rPr>
          <w:color w:val="231F20"/>
          <w:w w:val="110"/>
          <w:sz w:val="19"/>
        </w:rPr>
        <w:t>, México, El Colegio de México, pp.</w:t>
      </w:r>
      <w:r>
        <w:rPr>
          <w:color w:val="231F20"/>
          <w:spacing w:val="17"/>
          <w:w w:val="110"/>
          <w:sz w:val="19"/>
        </w:rPr>
        <w:t> </w:t>
      </w:r>
      <w:r>
        <w:rPr>
          <w:color w:val="231F20"/>
          <w:w w:val="110"/>
          <w:sz w:val="19"/>
        </w:rPr>
        <w:t>173-212.</w:t>
      </w:r>
    </w:p>
    <w:p>
      <w:pPr>
        <w:tabs>
          <w:tab w:pos="839" w:val="left" w:leader="none"/>
        </w:tabs>
        <w:spacing w:line="266" w:lineRule="auto" w:before="0"/>
        <w:ind w:left="479" w:right="117" w:hanging="360"/>
        <w:jc w:val="both"/>
        <w:rPr>
          <w:sz w:val="19"/>
        </w:rPr>
      </w:pPr>
      <w:r>
        <w:rPr>
          <w:color w:val="231F20"/>
          <w:w w:val="128"/>
          <w:sz w:val="19"/>
          <w:u w:val="single" w:color="231F20"/>
        </w:rPr>
        <w:t> </w:t>
      </w:r>
      <w:r>
        <w:rPr>
          <w:color w:val="231F20"/>
          <w:sz w:val="19"/>
          <w:u w:val="single" w:color="231F20"/>
        </w:rPr>
        <w:tab/>
        <w:tab/>
      </w:r>
      <w:r>
        <w:rPr>
          <w:color w:val="231F20"/>
          <w:sz w:val="19"/>
        </w:rPr>
        <w:t> </w:t>
      </w:r>
      <w:r>
        <w:rPr>
          <w:color w:val="231F20"/>
          <w:spacing w:val="-10"/>
          <w:sz w:val="19"/>
        </w:rPr>
        <w:t> </w:t>
      </w:r>
      <w:r>
        <w:rPr>
          <w:color w:val="231F20"/>
          <w:w w:val="105"/>
          <w:sz w:val="19"/>
        </w:rPr>
        <w:t>y  Rossana  Hernández  (2008),  “Vivir  juntos  aunque</w:t>
      </w:r>
      <w:r>
        <w:rPr>
          <w:color w:val="231F20"/>
          <w:spacing w:val="34"/>
          <w:w w:val="105"/>
          <w:sz w:val="19"/>
        </w:rPr>
        <w:t> </w:t>
      </w:r>
      <w:r>
        <w:rPr>
          <w:color w:val="231F20"/>
          <w:w w:val="105"/>
          <w:sz w:val="19"/>
        </w:rPr>
        <w:t>separados</w:t>
      </w:r>
      <w:r>
        <w:rPr>
          <w:color w:val="231F20"/>
          <w:spacing w:val="42"/>
          <w:w w:val="105"/>
          <w:sz w:val="19"/>
        </w:rPr>
        <w:t> </w:t>
      </w:r>
      <w:r>
        <w:rPr>
          <w:color w:val="231F20"/>
          <w:w w:val="105"/>
          <w:sz w:val="19"/>
        </w:rPr>
        <w:t>(LAT):</w:t>
      </w:r>
      <w:r>
        <w:rPr>
          <w:color w:val="231F20"/>
          <w:w w:val="104"/>
          <w:sz w:val="19"/>
        </w:rPr>
        <w:t> </w:t>
      </w:r>
      <w:r>
        <w:rPr>
          <w:color w:val="231F20"/>
          <w:w w:val="105"/>
          <w:sz w:val="19"/>
        </w:rPr>
        <w:t>el </w:t>
      </w:r>
      <w:r>
        <w:rPr>
          <w:color w:val="231F20"/>
          <w:spacing w:val="3"/>
          <w:w w:val="105"/>
          <w:sz w:val="19"/>
        </w:rPr>
        <w:t>surgimiento </w:t>
      </w:r>
      <w:r>
        <w:rPr>
          <w:color w:val="231F20"/>
          <w:w w:val="105"/>
          <w:sz w:val="19"/>
        </w:rPr>
        <w:t>de </w:t>
      </w:r>
      <w:r>
        <w:rPr>
          <w:color w:val="231F20"/>
          <w:spacing w:val="2"/>
          <w:w w:val="105"/>
          <w:sz w:val="19"/>
        </w:rPr>
        <w:t>una </w:t>
      </w:r>
      <w:r>
        <w:rPr>
          <w:color w:val="231F20"/>
          <w:spacing w:val="3"/>
          <w:w w:val="105"/>
          <w:sz w:val="19"/>
        </w:rPr>
        <w:t>nueva modalidad </w:t>
      </w:r>
      <w:r>
        <w:rPr>
          <w:color w:val="231F20"/>
          <w:w w:val="105"/>
          <w:sz w:val="19"/>
        </w:rPr>
        <w:t>de </w:t>
      </w:r>
      <w:r>
        <w:rPr>
          <w:color w:val="231F20"/>
          <w:spacing w:val="3"/>
          <w:w w:val="105"/>
          <w:sz w:val="19"/>
        </w:rPr>
        <w:t>convivencia conyugal”, </w:t>
      </w:r>
      <w:r>
        <w:rPr>
          <w:color w:val="231F20"/>
          <w:w w:val="105"/>
          <w:sz w:val="19"/>
        </w:rPr>
        <w:t>en Mónica Ghirardi (organizadora), </w:t>
      </w:r>
      <w:r>
        <w:rPr>
          <w:i/>
          <w:color w:val="231F20"/>
          <w:w w:val="105"/>
          <w:sz w:val="19"/>
        </w:rPr>
        <w:t>Familias iberoamericanas ayer y </w:t>
      </w:r>
      <w:r>
        <w:rPr>
          <w:i/>
          <w:color w:val="231F20"/>
          <w:spacing w:val="-6"/>
          <w:w w:val="105"/>
          <w:sz w:val="19"/>
        </w:rPr>
        <w:t>hoy. </w:t>
      </w:r>
      <w:r>
        <w:rPr>
          <w:i/>
          <w:color w:val="231F20"/>
          <w:w w:val="105"/>
          <w:sz w:val="19"/>
        </w:rPr>
        <w:t>Una </w:t>
      </w:r>
      <w:r>
        <w:rPr>
          <w:i/>
          <w:color w:val="231F20"/>
          <w:w w:val="105"/>
          <w:sz w:val="19"/>
        </w:rPr>
        <w:t>mirada interdisciplinaria, </w:t>
      </w:r>
      <w:r>
        <w:rPr>
          <w:color w:val="231F20"/>
          <w:spacing w:val="-5"/>
          <w:w w:val="105"/>
          <w:sz w:val="19"/>
        </w:rPr>
        <w:t>ALAP, </w:t>
      </w:r>
      <w:r>
        <w:rPr>
          <w:color w:val="231F20"/>
          <w:w w:val="105"/>
          <w:sz w:val="19"/>
        </w:rPr>
        <w:t>Contenido Serie Investigaciones, Argentina, núm.  2,  pp.</w:t>
      </w:r>
      <w:r>
        <w:rPr>
          <w:color w:val="231F20"/>
          <w:spacing w:val="-7"/>
          <w:w w:val="105"/>
          <w:sz w:val="19"/>
        </w:rPr>
        <w:t> </w:t>
      </w:r>
      <w:r>
        <w:rPr>
          <w:color w:val="231F20"/>
          <w:w w:val="105"/>
          <w:sz w:val="19"/>
        </w:rPr>
        <w:t>369-394.</w:t>
      </w:r>
    </w:p>
    <w:p>
      <w:pPr>
        <w:tabs>
          <w:tab w:pos="839" w:val="left" w:leader="none"/>
        </w:tabs>
        <w:spacing w:line="266" w:lineRule="auto" w:before="0"/>
        <w:ind w:left="479" w:right="117" w:hanging="360"/>
        <w:jc w:val="both"/>
        <w:rPr>
          <w:sz w:val="19"/>
        </w:rPr>
      </w:pPr>
      <w:r>
        <w:rPr>
          <w:color w:val="231F20"/>
          <w:w w:val="128"/>
          <w:sz w:val="19"/>
          <w:u w:val="single" w:color="231F20"/>
        </w:rPr>
        <w:t> </w:t>
      </w:r>
      <w:r>
        <w:rPr>
          <w:color w:val="231F20"/>
          <w:sz w:val="19"/>
          <w:u w:val="single" w:color="231F20"/>
        </w:rPr>
        <w:tab/>
        <w:tab/>
      </w:r>
      <w:r>
        <w:rPr>
          <w:color w:val="231F20"/>
          <w:sz w:val="19"/>
        </w:rPr>
        <w:t> </w:t>
      </w:r>
      <w:r>
        <w:rPr>
          <w:color w:val="231F20"/>
          <w:spacing w:val="-7"/>
          <w:sz w:val="19"/>
        </w:rPr>
        <w:t> </w:t>
      </w:r>
      <w:r>
        <w:rPr>
          <w:color w:val="231F20"/>
          <w:w w:val="110"/>
          <w:sz w:val="19"/>
        </w:rPr>
        <w:t>(2006), “¿Está cambiando la naturaleza de la unión libre  </w:t>
      </w:r>
      <w:r>
        <w:rPr>
          <w:color w:val="231F20"/>
          <w:spacing w:val="8"/>
          <w:w w:val="110"/>
          <w:sz w:val="19"/>
        </w:rPr>
        <w:t> </w:t>
      </w:r>
      <w:r>
        <w:rPr>
          <w:color w:val="231F20"/>
          <w:w w:val="110"/>
          <w:sz w:val="19"/>
        </w:rPr>
        <w:t>en</w:t>
      </w:r>
      <w:r>
        <w:rPr>
          <w:color w:val="231F20"/>
          <w:spacing w:val="11"/>
          <w:w w:val="110"/>
          <w:sz w:val="19"/>
        </w:rPr>
        <w:t> </w:t>
      </w:r>
      <w:r>
        <w:rPr>
          <w:color w:val="231F20"/>
          <w:w w:val="110"/>
          <w:sz w:val="19"/>
        </w:rPr>
        <w:t>América</w:t>
      </w:r>
      <w:r>
        <w:rPr>
          <w:color w:val="231F20"/>
          <w:w w:val="108"/>
          <w:sz w:val="19"/>
        </w:rPr>
        <w:t> </w:t>
      </w:r>
      <w:r>
        <w:rPr>
          <w:color w:val="231F20"/>
          <w:w w:val="110"/>
          <w:sz w:val="19"/>
        </w:rPr>
        <w:t>Latina?</w:t>
      </w:r>
      <w:r>
        <w:rPr>
          <w:color w:val="231F20"/>
          <w:spacing w:val="17"/>
          <w:w w:val="110"/>
          <w:sz w:val="19"/>
        </w:rPr>
        <w:t> </w:t>
      </w:r>
      <w:r>
        <w:rPr>
          <w:color w:val="231F20"/>
          <w:w w:val="110"/>
          <w:sz w:val="19"/>
        </w:rPr>
        <w:t>Los</w:t>
      </w:r>
      <w:r>
        <w:rPr>
          <w:color w:val="231F20"/>
          <w:spacing w:val="17"/>
          <w:w w:val="110"/>
          <w:sz w:val="19"/>
        </w:rPr>
        <w:t> </w:t>
      </w:r>
      <w:r>
        <w:rPr>
          <w:color w:val="231F20"/>
          <w:w w:val="110"/>
          <w:sz w:val="19"/>
        </w:rPr>
        <w:t>ejemplos</w:t>
      </w:r>
      <w:r>
        <w:rPr>
          <w:color w:val="231F20"/>
          <w:spacing w:val="17"/>
          <w:w w:val="110"/>
          <w:sz w:val="19"/>
        </w:rPr>
        <w:t> </w:t>
      </w:r>
      <w:r>
        <w:rPr>
          <w:color w:val="231F20"/>
          <w:w w:val="110"/>
          <w:sz w:val="19"/>
        </w:rPr>
        <w:t>de</w:t>
      </w:r>
      <w:r>
        <w:rPr>
          <w:color w:val="231F20"/>
          <w:spacing w:val="17"/>
          <w:w w:val="110"/>
          <w:sz w:val="19"/>
        </w:rPr>
        <w:t> </w:t>
      </w:r>
      <w:r>
        <w:rPr>
          <w:color w:val="231F20"/>
          <w:w w:val="110"/>
          <w:sz w:val="19"/>
        </w:rPr>
        <w:t>Brasil,</w:t>
      </w:r>
      <w:r>
        <w:rPr>
          <w:color w:val="231F20"/>
          <w:spacing w:val="17"/>
          <w:w w:val="110"/>
          <w:sz w:val="19"/>
        </w:rPr>
        <w:t> </w:t>
      </w:r>
      <w:r>
        <w:rPr>
          <w:color w:val="231F20"/>
          <w:w w:val="110"/>
          <w:sz w:val="19"/>
        </w:rPr>
        <w:t>México</w:t>
      </w:r>
      <w:r>
        <w:rPr>
          <w:color w:val="231F20"/>
          <w:spacing w:val="17"/>
          <w:w w:val="110"/>
          <w:sz w:val="19"/>
        </w:rPr>
        <w:t> </w:t>
      </w:r>
      <w:r>
        <w:rPr>
          <w:color w:val="231F20"/>
          <w:w w:val="110"/>
          <w:sz w:val="19"/>
        </w:rPr>
        <w:t>y</w:t>
      </w:r>
      <w:r>
        <w:rPr>
          <w:color w:val="231F20"/>
          <w:spacing w:val="17"/>
          <w:w w:val="110"/>
          <w:sz w:val="19"/>
        </w:rPr>
        <w:t> </w:t>
      </w:r>
      <w:r>
        <w:rPr>
          <w:color w:val="231F20"/>
          <w:w w:val="110"/>
          <w:sz w:val="19"/>
        </w:rPr>
        <w:t>República</w:t>
      </w:r>
      <w:r>
        <w:rPr>
          <w:color w:val="231F20"/>
          <w:spacing w:val="17"/>
          <w:w w:val="110"/>
          <w:sz w:val="19"/>
        </w:rPr>
        <w:t> </w:t>
      </w:r>
      <w:r>
        <w:rPr>
          <w:color w:val="231F20"/>
          <w:w w:val="110"/>
          <w:sz w:val="19"/>
        </w:rPr>
        <w:t>Dominicana”,</w:t>
      </w:r>
      <w:r>
        <w:rPr>
          <w:color w:val="231F20"/>
          <w:spacing w:val="17"/>
          <w:w w:val="110"/>
          <w:sz w:val="19"/>
        </w:rPr>
        <w:t> </w:t>
      </w:r>
      <w:r>
        <w:rPr>
          <w:color w:val="231F20"/>
          <w:w w:val="110"/>
          <w:sz w:val="19"/>
        </w:rPr>
        <w:t>en</w:t>
      </w:r>
      <w:r>
        <w:rPr>
          <w:color w:val="231F20"/>
          <w:spacing w:val="17"/>
          <w:w w:val="110"/>
          <w:sz w:val="19"/>
        </w:rPr>
        <w:t> </w:t>
      </w:r>
      <w:r>
        <w:rPr>
          <w:color w:val="231F20"/>
          <w:w w:val="110"/>
          <w:sz w:val="19"/>
        </w:rPr>
        <w:t>José</w:t>
      </w:r>
    </w:p>
    <w:p>
      <w:pPr>
        <w:spacing w:after="0" w:line="266" w:lineRule="auto"/>
        <w:jc w:val="both"/>
        <w:rPr>
          <w:sz w:val="19"/>
        </w:rPr>
        <w:sectPr>
          <w:pgSz w:w="9520" w:h="12920"/>
          <w:pgMar w:header="0" w:footer="1344" w:top="880" w:bottom="1540" w:left="1000" w:right="1320"/>
        </w:sectPr>
      </w:pPr>
    </w:p>
    <w:p>
      <w:pPr>
        <w:spacing w:line="266" w:lineRule="auto" w:before="44"/>
        <w:ind w:left="124" w:right="112" w:firstLine="360"/>
        <w:jc w:val="right"/>
        <w:rPr>
          <w:sz w:val="19"/>
        </w:rPr>
      </w:pPr>
      <w:r>
        <w:rPr>
          <w:color w:val="231F20"/>
          <w:spacing w:val="-3"/>
          <w:w w:val="105"/>
          <w:sz w:val="19"/>
        </w:rPr>
        <w:t>Luis </w:t>
      </w:r>
      <w:r>
        <w:rPr>
          <w:color w:val="231F20"/>
          <w:w w:val="105"/>
          <w:sz w:val="19"/>
        </w:rPr>
        <w:t>Lezama y José B. Morelos (coords.),</w:t>
      </w:r>
      <w:r>
        <w:rPr>
          <w:color w:val="231F20"/>
          <w:spacing w:val="36"/>
          <w:w w:val="105"/>
          <w:sz w:val="19"/>
        </w:rPr>
        <w:t> </w:t>
      </w:r>
      <w:r>
        <w:rPr>
          <w:i/>
          <w:color w:val="231F20"/>
          <w:spacing w:val="-4"/>
          <w:w w:val="105"/>
          <w:sz w:val="19"/>
        </w:rPr>
        <w:t>Población, </w:t>
      </w:r>
      <w:r>
        <w:rPr>
          <w:i/>
          <w:color w:val="231F20"/>
          <w:w w:val="105"/>
          <w:sz w:val="19"/>
        </w:rPr>
        <w:t>ciudad y medio</w:t>
      </w:r>
      <w:r>
        <w:rPr>
          <w:i/>
          <w:color w:val="231F20"/>
          <w:spacing w:val="15"/>
          <w:w w:val="105"/>
          <w:sz w:val="19"/>
        </w:rPr>
        <w:t> </w:t>
      </w:r>
      <w:r>
        <w:rPr>
          <w:i/>
          <w:color w:val="231F20"/>
          <w:w w:val="105"/>
          <w:sz w:val="19"/>
        </w:rPr>
        <w:t>ambiente</w:t>
      </w:r>
      <w:r>
        <w:rPr>
          <w:i/>
          <w:color w:val="231F20"/>
          <w:w w:val="106"/>
          <w:sz w:val="19"/>
        </w:rPr>
        <w:t> </w:t>
      </w:r>
      <w:r>
        <w:rPr>
          <w:i/>
          <w:color w:val="231F20"/>
          <w:w w:val="105"/>
          <w:sz w:val="19"/>
        </w:rPr>
        <w:t>en el México contemporáneo, </w:t>
      </w:r>
      <w:r>
        <w:rPr>
          <w:color w:val="231F20"/>
          <w:w w:val="105"/>
          <w:sz w:val="19"/>
        </w:rPr>
        <w:t>México, </w:t>
      </w:r>
      <w:r>
        <w:rPr>
          <w:color w:val="231F20"/>
          <w:spacing w:val="-8"/>
          <w:w w:val="105"/>
          <w:sz w:val="19"/>
        </w:rPr>
        <w:t>D.F., </w:t>
      </w:r>
      <w:r>
        <w:rPr>
          <w:color w:val="231F20"/>
          <w:w w:val="105"/>
          <w:sz w:val="19"/>
        </w:rPr>
        <w:t>El Colegio de México,</w:t>
      </w:r>
      <w:r>
        <w:rPr>
          <w:color w:val="231F20"/>
          <w:spacing w:val="6"/>
          <w:w w:val="105"/>
          <w:sz w:val="19"/>
        </w:rPr>
        <w:t> </w:t>
      </w:r>
      <w:r>
        <w:rPr>
          <w:color w:val="231F20"/>
          <w:w w:val="105"/>
          <w:sz w:val="19"/>
        </w:rPr>
        <w:t>pp.</w:t>
      </w:r>
      <w:r>
        <w:rPr>
          <w:color w:val="231F20"/>
          <w:spacing w:val="19"/>
          <w:w w:val="105"/>
          <w:sz w:val="19"/>
        </w:rPr>
        <w:t> </w:t>
      </w:r>
      <w:r>
        <w:rPr>
          <w:color w:val="231F20"/>
          <w:w w:val="105"/>
          <w:sz w:val="19"/>
        </w:rPr>
        <w:t>149-183.</w:t>
      </w:r>
      <w:r>
        <w:rPr>
          <w:color w:val="231F20"/>
          <w:w w:val="128"/>
          <w:sz w:val="19"/>
        </w:rPr>
        <w:t> </w:t>
      </w:r>
      <w:r>
        <w:rPr>
          <w:rFonts w:ascii="Times New Roman" w:hAnsi="Times New Roman"/>
          <w:color w:val="231F20"/>
          <w:w w:val="105"/>
          <w:sz w:val="19"/>
        </w:rPr>
        <w:t>S</w:t>
      </w:r>
      <w:r>
        <w:rPr>
          <w:rFonts w:ascii="Times New Roman" w:hAnsi="Times New Roman"/>
          <w:color w:val="231F20"/>
          <w:w w:val="105"/>
          <w:sz w:val="15"/>
        </w:rPr>
        <w:t>OLÍS</w:t>
      </w:r>
      <w:r>
        <w:rPr>
          <w:color w:val="231F20"/>
          <w:w w:val="105"/>
          <w:sz w:val="19"/>
        </w:rPr>
        <w:t>,</w:t>
      </w:r>
      <w:r>
        <w:rPr>
          <w:color w:val="231F20"/>
          <w:spacing w:val="23"/>
          <w:w w:val="105"/>
          <w:sz w:val="19"/>
        </w:rPr>
        <w:t> </w:t>
      </w:r>
      <w:r>
        <w:rPr>
          <w:color w:val="231F20"/>
          <w:w w:val="105"/>
          <w:sz w:val="19"/>
        </w:rPr>
        <w:t>Patricio</w:t>
      </w:r>
      <w:r>
        <w:rPr>
          <w:color w:val="231F20"/>
          <w:spacing w:val="23"/>
          <w:w w:val="105"/>
          <w:sz w:val="19"/>
        </w:rPr>
        <w:t> </w:t>
      </w:r>
      <w:r>
        <w:rPr>
          <w:color w:val="231F20"/>
          <w:w w:val="105"/>
          <w:sz w:val="19"/>
        </w:rPr>
        <w:t>y</w:t>
      </w:r>
      <w:r>
        <w:rPr>
          <w:color w:val="231F20"/>
          <w:spacing w:val="23"/>
          <w:w w:val="105"/>
          <w:sz w:val="19"/>
        </w:rPr>
        <w:t> </w:t>
      </w:r>
      <w:r>
        <w:rPr>
          <w:color w:val="231F20"/>
          <w:w w:val="105"/>
          <w:sz w:val="19"/>
        </w:rPr>
        <w:t>Puga</w:t>
      </w:r>
      <w:r>
        <w:rPr>
          <w:color w:val="231F20"/>
          <w:spacing w:val="23"/>
          <w:w w:val="105"/>
          <w:sz w:val="19"/>
        </w:rPr>
        <w:t> </w:t>
      </w:r>
      <w:r>
        <w:rPr>
          <w:color w:val="231F20"/>
          <w:w w:val="105"/>
          <w:sz w:val="19"/>
        </w:rPr>
        <w:t>(2009),</w:t>
      </w:r>
      <w:r>
        <w:rPr>
          <w:color w:val="231F20"/>
          <w:spacing w:val="23"/>
          <w:w w:val="105"/>
          <w:sz w:val="19"/>
        </w:rPr>
        <w:t> </w:t>
      </w:r>
      <w:r>
        <w:rPr>
          <w:color w:val="231F20"/>
          <w:spacing w:val="3"/>
          <w:w w:val="105"/>
          <w:sz w:val="19"/>
        </w:rPr>
        <w:t>“Los</w:t>
      </w:r>
      <w:r>
        <w:rPr>
          <w:color w:val="231F20"/>
          <w:spacing w:val="23"/>
          <w:w w:val="105"/>
          <w:sz w:val="19"/>
        </w:rPr>
        <w:t> </w:t>
      </w:r>
      <w:r>
        <w:rPr>
          <w:color w:val="231F20"/>
          <w:w w:val="105"/>
          <w:sz w:val="19"/>
        </w:rPr>
        <w:t>nuevos</w:t>
      </w:r>
      <w:r>
        <w:rPr>
          <w:color w:val="231F20"/>
          <w:spacing w:val="23"/>
          <w:w w:val="105"/>
          <w:sz w:val="19"/>
        </w:rPr>
        <w:t> </w:t>
      </w:r>
      <w:r>
        <w:rPr>
          <w:color w:val="231F20"/>
          <w:w w:val="105"/>
          <w:sz w:val="19"/>
        </w:rPr>
        <w:t>senderos</w:t>
      </w:r>
      <w:r>
        <w:rPr>
          <w:color w:val="231F20"/>
          <w:spacing w:val="23"/>
          <w:w w:val="105"/>
          <w:sz w:val="19"/>
        </w:rPr>
        <w:t> </w:t>
      </w:r>
      <w:r>
        <w:rPr>
          <w:color w:val="231F20"/>
          <w:w w:val="105"/>
          <w:sz w:val="19"/>
        </w:rPr>
        <w:t>de</w:t>
      </w:r>
      <w:r>
        <w:rPr>
          <w:color w:val="231F20"/>
          <w:spacing w:val="23"/>
          <w:w w:val="105"/>
          <w:sz w:val="19"/>
        </w:rPr>
        <w:t> </w:t>
      </w:r>
      <w:r>
        <w:rPr>
          <w:color w:val="231F20"/>
          <w:w w:val="105"/>
          <w:sz w:val="19"/>
        </w:rPr>
        <w:t>la</w:t>
      </w:r>
      <w:r>
        <w:rPr>
          <w:color w:val="231F20"/>
          <w:spacing w:val="23"/>
          <w:w w:val="105"/>
          <w:sz w:val="19"/>
        </w:rPr>
        <w:t> </w:t>
      </w:r>
      <w:r>
        <w:rPr>
          <w:color w:val="231F20"/>
          <w:w w:val="105"/>
          <w:sz w:val="19"/>
        </w:rPr>
        <w:t>nupcialidad:</w:t>
      </w:r>
      <w:r>
        <w:rPr>
          <w:color w:val="231F20"/>
          <w:spacing w:val="23"/>
          <w:w w:val="105"/>
          <w:sz w:val="19"/>
        </w:rPr>
        <w:t> </w:t>
      </w:r>
      <w:r>
        <w:rPr>
          <w:color w:val="231F20"/>
          <w:w w:val="105"/>
          <w:sz w:val="19"/>
        </w:rPr>
        <w:t>cambios</w:t>
      </w:r>
      <w:r>
        <w:rPr>
          <w:color w:val="231F20"/>
          <w:w w:val="110"/>
          <w:sz w:val="19"/>
        </w:rPr>
        <w:t> </w:t>
      </w:r>
      <w:r>
        <w:rPr>
          <w:color w:val="231F20"/>
          <w:w w:val="105"/>
          <w:sz w:val="19"/>
        </w:rPr>
        <w:t>en los </w:t>
      </w:r>
      <w:r>
        <w:rPr>
          <w:color w:val="231F20"/>
          <w:spacing w:val="2"/>
          <w:w w:val="105"/>
          <w:sz w:val="19"/>
        </w:rPr>
        <w:t>patrones </w:t>
      </w:r>
      <w:r>
        <w:rPr>
          <w:color w:val="231F20"/>
          <w:w w:val="105"/>
          <w:sz w:val="19"/>
        </w:rPr>
        <w:t>de </w:t>
      </w:r>
      <w:r>
        <w:rPr>
          <w:color w:val="231F20"/>
          <w:spacing w:val="2"/>
          <w:w w:val="105"/>
          <w:sz w:val="19"/>
        </w:rPr>
        <w:t>formación </w:t>
      </w:r>
      <w:r>
        <w:rPr>
          <w:color w:val="231F20"/>
          <w:w w:val="105"/>
          <w:sz w:val="19"/>
        </w:rPr>
        <w:t>y </w:t>
      </w:r>
      <w:r>
        <w:rPr>
          <w:color w:val="231F20"/>
          <w:spacing w:val="2"/>
          <w:w w:val="105"/>
          <w:sz w:val="19"/>
        </w:rPr>
        <w:t>disolución </w:t>
      </w:r>
      <w:r>
        <w:rPr>
          <w:color w:val="231F20"/>
          <w:w w:val="105"/>
          <w:sz w:val="19"/>
        </w:rPr>
        <w:t>de las </w:t>
      </w:r>
      <w:r>
        <w:rPr>
          <w:color w:val="231F20"/>
          <w:spacing w:val="2"/>
          <w:w w:val="105"/>
          <w:sz w:val="19"/>
        </w:rPr>
        <w:t>primeras</w:t>
      </w:r>
      <w:r>
        <w:rPr>
          <w:color w:val="231F20"/>
          <w:spacing w:val="22"/>
          <w:w w:val="105"/>
          <w:sz w:val="19"/>
        </w:rPr>
        <w:t> </w:t>
      </w:r>
      <w:r>
        <w:rPr>
          <w:color w:val="231F20"/>
          <w:spacing w:val="2"/>
          <w:w w:val="105"/>
          <w:sz w:val="19"/>
        </w:rPr>
        <w:t>uniones</w:t>
      </w:r>
      <w:r>
        <w:rPr>
          <w:color w:val="231F20"/>
          <w:spacing w:val="10"/>
          <w:w w:val="105"/>
          <w:sz w:val="19"/>
        </w:rPr>
        <w:t> </w:t>
      </w:r>
      <w:r>
        <w:rPr>
          <w:color w:val="231F20"/>
          <w:w w:val="105"/>
          <w:sz w:val="19"/>
        </w:rPr>
        <w:t>en</w:t>
      </w:r>
      <w:r>
        <w:rPr>
          <w:color w:val="231F20"/>
          <w:w w:val="111"/>
          <w:sz w:val="19"/>
        </w:rPr>
        <w:t> </w:t>
      </w:r>
      <w:r>
        <w:rPr>
          <w:color w:val="231F20"/>
          <w:w w:val="105"/>
          <w:sz w:val="19"/>
        </w:rPr>
        <w:t>México”, en Cecilia Rabell Romero (coord.), </w:t>
      </w:r>
      <w:r>
        <w:rPr>
          <w:i/>
          <w:color w:val="231F20"/>
          <w:w w:val="105"/>
          <w:sz w:val="19"/>
        </w:rPr>
        <w:t>Tramas Familiares en</w:t>
      </w:r>
      <w:r>
        <w:rPr>
          <w:i/>
          <w:color w:val="231F20"/>
          <w:spacing w:val="-16"/>
          <w:w w:val="105"/>
          <w:sz w:val="19"/>
        </w:rPr>
        <w:t> </w:t>
      </w:r>
      <w:r>
        <w:rPr>
          <w:i/>
          <w:color w:val="231F20"/>
          <w:w w:val="105"/>
          <w:sz w:val="19"/>
        </w:rPr>
        <w:t>el</w:t>
      </w:r>
      <w:r>
        <w:rPr>
          <w:i/>
          <w:color w:val="231F20"/>
          <w:spacing w:val="23"/>
          <w:w w:val="105"/>
          <w:sz w:val="19"/>
        </w:rPr>
        <w:t> </w:t>
      </w:r>
      <w:r>
        <w:rPr>
          <w:i/>
          <w:color w:val="231F20"/>
          <w:w w:val="105"/>
          <w:sz w:val="19"/>
        </w:rPr>
        <w:t>México</w:t>
      </w:r>
      <w:r>
        <w:rPr>
          <w:i/>
          <w:color w:val="231F20"/>
          <w:w w:val="110"/>
          <w:sz w:val="19"/>
        </w:rPr>
        <w:t> </w:t>
      </w:r>
      <w:r>
        <w:rPr>
          <w:i/>
          <w:color w:val="231F20"/>
          <w:w w:val="105"/>
          <w:sz w:val="19"/>
        </w:rPr>
        <w:t>contemporáneo. Una perspectiva sociodemográfica</w:t>
      </w:r>
      <w:r>
        <w:rPr>
          <w:color w:val="231F20"/>
          <w:w w:val="105"/>
          <w:sz w:val="19"/>
        </w:rPr>
        <w:t>, México, Instituto</w:t>
      </w:r>
      <w:r>
        <w:rPr>
          <w:color w:val="231F20"/>
          <w:spacing w:val="32"/>
          <w:w w:val="105"/>
          <w:sz w:val="19"/>
        </w:rPr>
        <w:t> </w:t>
      </w:r>
      <w:r>
        <w:rPr>
          <w:color w:val="231F20"/>
          <w:w w:val="105"/>
          <w:sz w:val="19"/>
        </w:rPr>
        <w:t>de</w:t>
      </w:r>
      <w:r>
        <w:rPr>
          <w:color w:val="231F20"/>
          <w:spacing w:val="2"/>
          <w:w w:val="105"/>
          <w:sz w:val="19"/>
        </w:rPr>
        <w:t> </w:t>
      </w:r>
      <w:r>
        <w:rPr>
          <w:color w:val="231F20"/>
          <w:w w:val="105"/>
          <w:sz w:val="19"/>
        </w:rPr>
        <w:t>In-</w:t>
      </w:r>
      <w:r>
        <w:rPr>
          <w:color w:val="231F20"/>
          <w:w w:val="93"/>
          <w:sz w:val="19"/>
        </w:rPr>
        <w:t> </w:t>
      </w:r>
      <w:r>
        <w:rPr>
          <w:color w:val="231F20"/>
          <w:w w:val="105"/>
          <w:sz w:val="19"/>
        </w:rPr>
        <w:t>vestigaciones  Sociales  de  la  Universidad  Nacional  Autónoma  de</w:t>
      </w:r>
      <w:r>
        <w:rPr>
          <w:color w:val="231F20"/>
          <w:spacing w:val="-5"/>
          <w:w w:val="105"/>
          <w:sz w:val="19"/>
        </w:rPr>
        <w:t> </w:t>
      </w:r>
      <w:r>
        <w:rPr>
          <w:color w:val="231F20"/>
          <w:w w:val="105"/>
          <w:sz w:val="19"/>
        </w:rPr>
        <w:t>México/El</w:t>
      </w:r>
    </w:p>
    <w:p>
      <w:pPr>
        <w:spacing w:before="0"/>
        <w:ind w:left="484" w:right="0" w:firstLine="0"/>
        <w:jc w:val="left"/>
        <w:rPr>
          <w:sz w:val="19"/>
        </w:rPr>
      </w:pPr>
      <w:r>
        <w:rPr>
          <w:color w:val="231F20"/>
          <w:w w:val="110"/>
          <w:sz w:val="19"/>
        </w:rPr>
        <w:t>Colegio de México.</w:t>
      </w:r>
    </w:p>
    <w:p>
      <w:pPr>
        <w:spacing w:line="266" w:lineRule="auto" w:before="25"/>
        <w:ind w:left="484" w:right="113" w:hanging="360"/>
        <w:jc w:val="both"/>
        <w:rPr>
          <w:sz w:val="19"/>
        </w:rPr>
      </w:pPr>
      <w:r>
        <w:rPr>
          <w:rFonts w:ascii="Times New Roman" w:hAnsi="Times New Roman"/>
          <w:color w:val="231F20"/>
          <w:w w:val="110"/>
          <w:sz w:val="19"/>
        </w:rPr>
        <w:t>S</w:t>
      </w:r>
      <w:r>
        <w:rPr>
          <w:rFonts w:ascii="Times New Roman" w:hAnsi="Times New Roman"/>
          <w:color w:val="231F20"/>
          <w:w w:val="110"/>
          <w:sz w:val="15"/>
        </w:rPr>
        <w:t>OSA</w:t>
      </w:r>
      <w:r>
        <w:rPr>
          <w:rFonts w:ascii="Times New Roman" w:hAnsi="Times New Roman"/>
          <w:color w:val="231F20"/>
          <w:w w:val="110"/>
          <w:sz w:val="19"/>
        </w:rPr>
        <w:t>, </w:t>
      </w:r>
      <w:r>
        <w:rPr>
          <w:color w:val="231F20"/>
          <w:w w:val="110"/>
          <w:sz w:val="19"/>
        </w:rPr>
        <w:t>Viridiana (2011), “¿Quién se casa con quién? Sus distintas dimensiones de análisis: una perspectiva espacial e intergeneracional”, tesis de doctor- ado, Centro de Estudios Demográficos, Urbanos y Ambientales de El Cole- gio de México.</w:t>
      </w:r>
    </w:p>
    <w:p>
      <w:pPr>
        <w:tabs>
          <w:tab w:pos="844" w:val="left" w:leader="none"/>
        </w:tabs>
        <w:spacing w:line="266" w:lineRule="auto" w:before="0"/>
        <w:ind w:left="484" w:right="111" w:hanging="360"/>
        <w:jc w:val="both"/>
        <w:rPr>
          <w:sz w:val="19"/>
        </w:rPr>
      </w:pPr>
      <w:r>
        <w:rPr>
          <w:color w:val="231F20"/>
          <w:w w:val="128"/>
          <w:sz w:val="19"/>
          <w:u w:val="single" w:color="231F20"/>
        </w:rPr>
        <w:t> </w:t>
      </w:r>
      <w:r>
        <w:rPr>
          <w:color w:val="231F20"/>
          <w:sz w:val="19"/>
          <w:u w:val="single" w:color="231F20"/>
        </w:rPr>
        <w:tab/>
        <w:tab/>
      </w:r>
      <w:r>
        <w:rPr>
          <w:color w:val="231F20"/>
          <w:sz w:val="19"/>
        </w:rPr>
        <w:t> </w:t>
      </w:r>
      <w:r>
        <w:rPr>
          <w:color w:val="231F20"/>
          <w:spacing w:val="-4"/>
          <w:sz w:val="19"/>
        </w:rPr>
        <w:t> </w:t>
      </w:r>
      <w:r>
        <w:rPr>
          <w:color w:val="231F20"/>
          <w:w w:val="110"/>
          <w:sz w:val="19"/>
        </w:rPr>
        <w:t>(2011),</w:t>
      </w:r>
      <w:r>
        <w:rPr>
          <w:color w:val="231F20"/>
          <w:spacing w:val="20"/>
          <w:w w:val="110"/>
          <w:sz w:val="19"/>
        </w:rPr>
        <w:t> </w:t>
      </w:r>
      <w:r>
        <w:rPr>
          <w:color w:val="231F20"/>
          <w:spacing w:val="6"/>
          <w:w w:val="110"/>
          <w:sz w:val="19"/>
        </w:rPr>
        <w:t>“La</w:t>
      </w:r>
      <w:r>
        <w:rPr>
          <w:color w:val="231F20"/>
          <w:spacing w:val="20"/>
          <w:w w:val="110"/>
          <w:sz w:val="19"/>
        </w:rPr>
        <w:t> </w:t>
      </w:r>
      <w:r>
        <w:rPr>
          <w:color w:val="231F20"/>
          <w:w w:val="110"/>
          <w:sz w:val="19"/>
        </w:rPr>
        <w:t>nupcialidad</w:t>
      </w:r>
      <w:r>
        <w:rPr>
          <w:color w:val="231F20"/>
          <w:spacing w:val="20"/>
          <w:w w:val="110"/>
          <w:sz w:val="19"/>
        </w:rPr>
        <w:t> </w:t>
      </w:r>
      <w:r>
        <w:rPr>
          <w:color w:val="231F20"/>
          <w:w w:val="110"/>
          <w:sz w:val="19"/>
        </w:rPr>
        <w:t>en</w:t>
      </w:r>
      <w:r>
        <w:rPr>
          <w:color w:val="231F20"/>
          <w:spacing w:val="20"/>
          <w:w w:val="110"/>
          <w:sz w:val="19"/>
        </w:rPr>
        <w:t> </w:t>
      </w:r>
      <w:r>
        <w:rPr>
          <w:color w:val="231F20"/>
          <w:w w:val="110"/>
          <w:sz w:val="19"/>
        </w:rPr>
        <w:t>México</w:t>
      </w:r>
      <w:r>
        <w:rPr>
          <w:color w:val="231F20"/>
          <w:spacing w:val="20"/>
          <w:w w:val="110"/>
          <w:sz w:val="19"/>
        </w:rPr>
        <w:t> </w:t>
      </w:r>
      <w:r>
        <w:rPr>
          <w:color w:val="231F20"/>
          <w:w w:val="110"/>
          <w:sz w:val="19"/>
        </w:rPr>
        <w:t>vista</w:t>
      </w:r>
      <w:r>
        <w:rPr>
          <w:color w:val="231F20"/>
          <w:spacing w:val="20"/>
          <w:w w:val="110"/>
          <w:sz w:val="19"/>
        </w:rPr>
        <w:t> </w:t>
      </w:r>
      <w:r>
        <w:rPr>
          <w:color w:val="231F20"/>
          <w:w w:val="110"/>
          <w:sz w:val="19"/>
        </w:rPr>
        <w:t>a</w:t>
      </w:r>
      <w:r>
        <w:rPr>
          <w:color w:val="231F20"/>
          <w:spacing w:val="20"/>
          <w:w w:val="110"/>
          <w:sz w:val="19"/>
        </w:rPr>
        <w:t> </w:t>
      </w:r>
      <w:r>
        <w:rPr>
          <w:color w:val="231F20"/>
          <w:w w:val="110"/>
          <w:sz w:val="19"/>
        </w:rPr>
        <w:t>través</w:t>
      </w:r>
      <w:r>
        <w:rPr>
          <w:color w:val="231F20"/>
          <w:spacing w:val="20"/>
          <w:w w:val="110"/>
          <w:sz w:val="19"/>
        </w:rPr>
        <w:t> </w:t>
      </w:r>
      <w:r>
        <w:rPr>
          <w:color w:val="231F20"/>
          <w:w w:val="110"/>
          <w:sz w:val="19"/>
        </w:rPr>
        <w:t>de</w:t>
      </w:r>
      <w:r>
        <w:rPr>
          <w:color w:val="231F20"/>
          <w:spacing w:val="20"/>
          <w:w w:val="110"/>
          <w:sz w:val="19"/>
        </w:rPr>
        <w:t> </w:t>
      </w:r>
      <w:r>
        <w:rPr>
          <w:color w:val="231F20"/>
          <w:w w:val="110"/>
          <w:sz w:val="19"/>
        </w:rPr>
        <w:t>las</w:t>
      </w:r>
      <w:r>
        <w:rPr>
          <w:color w:val="231F20"/>
          <w:spacing w:val="20"/>
          <w:w w:val="110"/>
          <w:sz w:val="19"/>
        </w:rPr>
        <w:t> </w:t>
      </w:r>
      <w:r>
        <w:rPr>
          <w:color w:val="231F20"/>
          <w:w w:val="110"/>
          <w:sz w:val="19"/>
        </w:rPr>
        <w:t>estadísticas</w:t>
      </w:r>
      <w:r>
        <w:rPr>
          <w:color w:val="231F20"/>
          <w:w w:val="118"/>
          <w:sz w:val="19"/>
        </w:rPr>
        <w:t> </w:t>
      </w:r>
      <w:r>
        <w:rPr>
          <w:color w:val="231F20"/>
          <w:w w:val="110"/>
          <w:sz w:val="19"/>
        </w:rPr>
        <w:t>vitales de matrimonios y divorcios”, en Luz María </w:t>
      </w:r>
      <w:r>
        <w:rPr>
          <w:color w:val="231F20"/>
          <w:spacing w:val="-3"/>
          <w:w w:val="110"/>
          <w:sz w:val="19"/>
        </w:rPr>
        <w:t>Valdés, </w:t>
      </w:r>
      <w:r>
        <w:rPr>
          <w:i/>
          <w:color w:val="231F20"/>
          <w:w w:val="110"/>
          <w:sz w:val="19"/>
        </w:rPr>
        <w:t>Conmemoración </w:t>
      </w:r>
      <w:r>
        <w:rPr>
          <w:i/>
          <w:color w:val="231F20"/>
          <w:w w:val="110"/>
          <w:sz w:val="19"/>
        </w:rPr>
        <w:t>del 150 Aniversario del Registro Civil</w:t>
      </w:r>
      <w:r>
        <w:rPr>
          <w:color w:val="231F20"/>
          <w:w w:val="110"/>
          <w:sz w:val="19"/>
        </w:rPr>
        <w:t>, México, Instituto de Investigaciones Jurídicas-</w:t>
      </w:r>
      <w:r>
        <w:rPr>
          <w:rFonts w:ascii="Times New Roman" w:hAnsi="Times New Roman"/>
          <w:color w:val="231F20"/>
          <w:w w:val="110"/>
          <w:sz w:val="15"/>
        </w:rPr>
        <w:t>UNAM</w:t>
      </w:r>
      <w:r>
        <w:rPr>
          <w:color w:val="231F20"/>
          <w:w w:val="110"/>
          <w:sz w:val="19"/>
        </w:rPr>
        <w:t>.</w:t>
      </w:r>
    </w:p>
    <w:p>
      <w:pPr>
        <w:spacing w:line="266" w:lineRule="auto" w:before="0"/>
        <w:ind w:left="484" w:right="113" w:hanging="360"/>
        <w:jc w:val="both"/>
        <w:rPr>
          <w:sz w:val="19"/>
        </w:rPr>
      </w:pPr>
      <w:r>
        <w:rPr>
          <w:rFonts w:ascii="Times New Roman" w:hAnsi="Times New Roman"/>
          <w:color w:val="231F20"/>
          <w:w w:val="110"/>
          <w:sz w:val="19"/>
        </w:rPr>
        <w:t>V</w:t>
      </w:r>
      <w:r>
        <w:rPr>
          <w:rFonts w:ascii="Times New Roman" w:hAnsi="Times New Roman"/>
          <w:color w:val="231F20"/>
          <w:w w:val="110"/>
          <w:sz w:val="15"/>
        </w:rPr>
        <w:t>AN DE </w:t>
      </w:r>
      <w:r>
        <w:rPr>
          <w:rFonts w:ascii="Times New Roman" w:hAnsi="Times New Roman"/>
          <w:color w:val="231F20"/>
          <w:w w:val="110"/>
          <w:sz w:val="19"/>
        </w:rPr>
        <w:t>K</w:t>
      </w:r>
      <w:r>
        <w:rPr>
          <w:rFonts w:ascii="Times New Roman" w:hAnsi="Times New Roman"/>
          <w:color w:val="231F20"/>
          <w:w w:val="110"/>
          <w:sz w:val="15"/>
        </w:rPr>
        <w:t>AA</w:t>
      </w:r>
      <w:r>
        <w:rPr>
          <w:rFonts w:ascii="Times New Roman" w:hAnsi="Times New Roman"/>
          <w:color w:val="231F20"/>
          <w:w w:val="110"/>
          <w:sz w:val="19"/>
        </w:rPr>
        <w:t>, </w:t>
      </w:r>
      <w:r>
        <w:rPr>
          <w:color w:val="231F20"/>
          <w:w w:val="110"/>
          <w:sz w:val="19"/>
        </w:rPr>
        <w:t>Dirk (1987), “Europe’s Second Demographic Transition”, </w:t>
      </w:r>
      <w:r>
        <w:rPr>
          <w:i/>
          <w:color w:val="231F20"/>
          <w:w w:val="110"/>
          <w:sz w:val="19"/>
        </w:rPr>
        <w:t>Popula- </w:t>
      </w:r>
      <w:r>
        <w:rPr>
          <w:i/>
          <w:color w:val="231F20"/>
          <w:w w:val="110"/>
          <w:sz w:val="19"/>
        </w:rPr>
        <w:t>tion Bulletin</w:t>
      </w:r>
      <w:r>
        <w:rPr>
          <w:color w:val="231F20"/>
          <w:w w:val="110"/>
          <w:sz w:val="19"/>
        </w:rPr>
        <w:t>, 42(1), Washington, The Population Reference Bureau.</w:t>
      </w:r>
    </w:p>
    <w:p>
      <w:pPr>
        <w:pStyle w:val="BodyText"/>
        <w:spacing w:before="4"/>
        <w:rPr>
          <w:sz w:val="25"/>
        </w:rPr>
      </w:pPr>
    </w:p>
    <w:p>
      <w:pPr>
        <w:pStyle w:val="Heading3"/>
        <w:jc w:val="left"/>
        <w:rPr>
          <w:i/>
        </w:rPr>
      </w:pPr>
      <w:r>
        <w:rPr>
          <w:i/>
          <w:color w:val="231F20"/>
        </w:rPr>
        <w:t>Paginas consultadas</w:t>
      </w:r>
    </w:p>
    <w:p>
      <w:pPr>
        <w:pStyle w:val="BodyText"/>
        <w:spacing w:before="4"/>
        <w:rPr>
          <w:rFonts w:ascii="Calibri"/>
          <w:i/>
        </w:rPr>
      </w:pPr>
    </w:p>
    <w:p>
      <w:pPr>
        <w:spacing w:before="0"/>
        <w:ind w:left="124" w:right="0" w:firstLine="0"/>
        <w:jc w:val="left"/>
        <w:rPr>
          <w:sz w:val="19"/>
        </w:rPr>
      </w:pPr>
      <w:r>
        <w:rPr>
          <w:rFonts w:ascii="Times New Roman"/>
          <w:color w:val="231F20"/>
          <w:w w:val="110"/>
          <w:sz w:val="15"/>
        </w:rPr>
        <w:t>INEGI</w:t>
      </w:r>
      <w:r>
        <w:rPr>
          <w:color w:val="231F20"/>
          <w:w w:val="110"/>
          <w:sz w:val="19"/>
        </w:rPr>
        <w:t>, 2013 </w:t>
      </w:r>
      <w:hyperlink r:id="rId106">
        <w:r>
          <w:rPr>
            <w:color w:val="231F20"/>
            <w:w w:val="110"/>
            <w:sz w:val="19"/>
          </w:rPr>
          <w:t>www.inegi.org.mx,</w:t>
        </w:r>
      </w:hyperlink>
      <w:r>
        <w:rPr>
          <w:color w:val="231F20"/>
          <w:w w:val="110"/>
          <w:sz w:val="19"/>
        </w:rPr>
        <w:t> recuperado en mayo de 2014.</w:t>
      </w:r>
    </w:p>
    <w:p>
      <w:pPr>
        <w:spacing w:after="0"/>
        <w:jc w:val="left"/>
        <w:rPr>
          <w:sz w:val="19"/>
        </w:rPr>
        <w:sectPr>
          <w:footerReference w:type="default" r:id="rId105"/>
          <w:pgSz w:w="9520" w:h="12920"/>
          <w:pgMar w:footer="0" w:header="0" w:top="880" w:bottom="280" w:left="1320" w:right="1000"/>
        </w:sectPr>
      </w:pPr>
    </w:p>
    <w:p>
      <w:pPr>
        <w:pStyle w:val="Heading1"/>
        <w:ind w:left="2495" w:firstLine="804"/>
      </w:pPr>
      <w:r>
        <w:rPr>
          <w:i/>
          <w:color w:val="231F20"/>
          <w:w w:val="70"/>
        </w:rPr>
        <w:t>Implicaciones</w:t>
      </w:r>
      <w:r>
        <w:rPr>
          <w:i/>
          <w:color w:val="231F20"/>
          <w:spacing w:val="-47"/>
          <w:w w:val="70"/>
        </w:rPr>
        <w:t> </w:t>
      </w:r>
      <w:r>
        <w:rPr>
          <w:i/>
          <w:color w:val="231F20"/>
          <w:w w:val="70"/>
        </w:rPr>
        <w:t>de</w:t>
      </w:r>
      <w:r>
        <w:rPr>
          <w:i/>
          <w:color w:val="231F20"/>
          <w:spacing w:val="-47"/>
          <w:w w:val="70"/>
        </w:rPr>
        <w:t> </w:t>
      </w:r>
      <w:r>
        <w:rPr>
          <w:i/>
          <w:color w:val="231F20"/>
          <w:w w:val="70"/>
        </w:rPr>
        <w:t>la</w:t>
      </w:r>
      <w:r>
        <w:rPr>
          <w:i/>
          <w:color w:val="231F20"/>
          <w:spacing w:val="-47"/>
          <w:w w:val="70"/>
        </w:rPr>
        <w:t> </w:t>
      </w:r>
      <w:r>
        <w:rPr>
          <w:i/>
          <w:color w:val="231F20"/>
          <w:w w:val="70"/>
        </w:rPr>
        <w:t>unión</w:t>
      </w:r>
      <w:r>
        <w:rPr>
          <w:i/>
          <w:color w:val="231F20"/>
          <w:spacing w:val="-47"/>
          <w:w w:val="70"/>
        </w:rPr>
        <w:t> </w:t>
      </w:r>
      <w:r>
        <w:rPr>
          <w:i/>
          <w:color w:val="231F20"/>
          <w:w w:val="70"/>
        </w:rPr>
        <w:t>conyugal</w:t>
      </w:r>
      <w:r>
        <w:rPr>
          <w:color w:val="231F20"/>
          <w:w w:val="68"/>
        </w:rPr>
        <w:t> </w:t>
      </w:r>
      <w:r>
        <w:rPr>
          <w:color w:val="231F20"/>
          <w:w w:val="70"/>
        </w:rPr>
        <w:t>en</w:t>
      </w:r>
      <w:r>
        <w:rPr>
          <w:color w:val="231F20"/>
          <w:spacing w:val="-38"/>
          <w:w w:val="70"/>
        </w:rPr>
        <w:t> </w:t>
      </w:r>
      <w:r>
        <w:rPr>
          <w:color w:val="231F20"/>
          <w:w w:val="70"/>
        </w:rPr>
        <w:t>la</w:t>
      </w:r>
      <w:r>
        <w:rPr>
          <w:color w:val="231F20"/>
          <w:spacing w:val="-38"/>
          <w:w w:val="70"/>
        </w:rPr>
        <w:t> </w:t>
      </w:r>
      <w:r>
        <w:rPr>
          <w:color w:val="231F20"/>
          <w:w w:val="70"/>
        </w:rPr>
        <w:t>educación</w:t>
      </w:r>
      <w:r>
        <w:rPr>
          <w:color w:val="231F20"/>
          <w:spacing w:val="-38"/>
          <w:w w:val="70"/>
        </w:rPr>
        <w:t> </w:t>
      </w:r>
      <w:r>
        <w:rPr>
          <w:color w:val="231F20"/>
          <w:w w:val="70"/>
        </w:rPr>
        <w:t>y</w:t>
      </w:r>
      <w:r>
        <w:rPr>
          <w:color w:val="231F20"/>
          <w:spacing w:val="-38"/>
          <w:w w:val="70"/>
        </w:rPr>
        <w:t> </w:t>
      </w:r>
      <w:r>
        <w:rPr>
          <w:color w:val="231F20"/>
          <w:w w:val="70"/>
        </w:rPr>
        <w:t>el</w:t>
      </w:r>
      <w:r>
        <w:rPr>
          <w:color w:val="231F20"/>
          <w:spacing w:val="-38"/>
          <w:w w:val="70"/>
        </w:rPr>
        <w:t> </w:t>
      </w:r>
      <w:r>
        <w:rPr>
          <w:color w:val="231F20"/>
          <w:w w:val="70"/>
        </w:rPr>
        <w:t>empleo</w:t>
      </w:r>
      <w:r>
        <w:rPr>
          <w:color w:val="231F20"/>
          <w:spacing w:val="-38"/>
          <w:w w:val="70"/>
        </w:rPr>
        <w:t> </w:t>
      </w:r>
      <w:r>
        <w:rPr>
          <w:color w:val="231F20"/>
          <w:w w:val="70"/>
        </w:rPr>
        <w:t>de</w:t>
      </w:r>
      <w:r>
        <w:rPr>
          <w:color w:val="231F20"/>
          <w:spacing w:val="-38"/>
          <w:w w:val="70"/>
        </w:rPr>
        <w:t> </w:t>
      </w:r>
      <w:r>
        <w:rPr>
          <w:color w:val="231F20"/>
          <w:w w:val="70"/>
        </w:rPr>
        <w:t>los</w:t>
      </w:r>
      <w:r>
        <w:rPr>
          <w:color w:val="231F20"/>
          <w:spacing w:val="-38"/>
          <w:w w:val="70"/>
        </w:rPr>
        <w:t> </w:t>
      </w:r>
      <w:r>
        <w:rPr>
          <w:color w:val="231F20"/>
          <w:w w:val="70"/>
        </w:rPr>
        <w:t>jóvenes</w:t>
      </w:r>
    </w:p>
    <w:p>
      <w:pPr>
        <w:spacing w:line="400" w:lineRule="exact" w:before="0"/>
        <w:ind w:left="100" w:right="117" w:firstLine="0"/>
        <w:jc w:val="right"/>
        <w:rPr>
          <w:rFonts w:ascii="Trebuchet MS" w:hAnsi="Trebuchet MS"/>
          <w:i/>
          <w:sz w:val="36"/>
        </w:rPr>
      </w:pPr>
      <w:r>
        <w:rPr>
          <w:rFonts w:ascii="Trebuchet MS" w:hAnsi="Trebuchet MS"/>
          <w:i/>
          <w:color w:val="231F20"/>
          <w:w w:val="70"/>
          <w:sz w:val="36"/>
        </w:rPr>
        <w:t>del Estado de México, 2010</w:t>
      </w:r>
    </w:p>
    <w:p>
      <w:pPr>
        <w:pStyle w:val="Heading2"/>
        <w:rPr>
          <w:i/>
        </w:rPr>
      </w:pPr>
      <w:bookmarkStart w:name="_TOC_250008" w:id="6"/>
      <w:bookmarkEnd w:id="6"/>
      <w:r>
        <w:rPr>
          <w:i/>
          <w:color w:val="231F20"/>
          <w:w w:val="65"/>
        </w:rPr>
        <w:t>Andrea Bautista León</w:t>
      </w:r>
    </w:p>
    <w:p>
      <w:pPr>
        <w:pStyle w:val="BodyText"/>
        <w:rPr>
          <w:rFonts w:ascii="Trebuchet MS"/>
          <w:i/>
        </w:rPr>
      </w:pPr>
    </w:p>
    <w:p>
      <w:pPr>
        <w:pStyle w:val="BodyText"/>
        <w:rPr>
          <w:rFonts w:ascii="Trebuchet MS"/>
          <w:i/>
        </w:rPr>
      </w:pPr>
    </w:p>
    <w:p>
      <w:pPr>
        <w:pStyle w:val="BodyText"/>
        <w:rPr>
          <w:rFonts w:ascii="Trebuchet MS"/>
          <w:i/>
        </w:rPr>
      </w:pPr>
    </w:p>
    <w:p>
      <w:pPr>
        <w:pStyle w:val="BodyText"/>
        <w:spacing w:before="4"/>
        <w:rPr>
          <w:rFonts w:ascii="Trebuchet MS"/>
          <w:i/>
          <w:sz w:val="18"/>
        </w:rPr>
      </w:pPr>
    </w:p>
    <w:p>
      <w:pPr>
        <w:spacing w:before="68"/>
        <w:ind w:left="100" w:right="0" w:firstLine="0"/>
        <w:jc w:val="both"/>
        <w:rPr>
          <w:rFonts w:ascii="Times New Roman" w:hAnsi="Times New Roman"/>
          <w:i/>
          <w:sz w:val="19"/>
        </w:rPr>
      </w:pPr>
      <w:r>
        <w:rPr>
          <w:rFonts w:ascii="Times New Roman" w:hAnsi="Times New Roman"/>
          <w:i/>
          <w:color w:val="231F20"/>
          <w:sz w:val="24"/>
        </w:rPr>
        <w:t>P</w:t>
      </w:r>
      <w:r>
        <w:rPr>
          <w:rFonts w:ascii="Times New Roman" w:hAnsi="Times New Roman"/>
          <w:i/>
          <w:color w:val="231F20"/>
          <w:sz w:val="19"/>
        </w:rPr>
        <w:t>RESENTACIÓN</w:t>
      </w:r>
    </w:p>
    <w:p>
      <w:pPr>
        <w:pStyle w:val="BodyText"/>
        <w:spacing w:before="6"/>
        <w:rPr>
          <w:rFonts w:ascii="Times New Roman"/>
          <w:i/>
          <w:sz w:val="28"/>
        </w:rPr>
      </w:pPr>
    </w:p>
    <w:p>
      <w:pPr>
        <w:pStyle w:val="BodyText"/>
        <w:spacing w:line="297" w:lineRule="auto"/>
        <w:ind w:left="100" w:right="118"/>
        <w:jc w:val="both"/>
      </w:pPr>
      <w:r>
        <w:rPr>
          <w:color w:val="231F20"/>
          <w:w w:val="110"/>
        </w:rPr>
        <w:t>Este</w:t>
      </w:r>
      <w:r>
        <w:rPr>
          <w:color w:val="231F20"/>
          <w:spacing w:val="-8"/>
          <w:w w:val="110"/>
        </w:rPr>
        <w:t> </w:t>
      </w:r>
      <w:r>
        <w:rPr>
          <w:color w:val="231F20"/>
          <w:w w:val="110"/>
        </w:rPr>
        <w:t>trabajo</w:t>
      </w:r>
      <w:r>
        <w:rPr>
          <w:color w:val="231F20"/>
          <w:spacing w:val="-8"/>
          <w:w w:val="110"/>
        </w:rPr>
        <w:t> </w:t>
      </w:r>
      <w:r>
        <w:rPr>
          <w:color w:val="231F20"/>
          <w:spacing w:val="-3"/>
          <w:w w:val="110"/>
        </w:rPr>
        <w:t>explora</w:t>
      </w:r>
      <w:r>
        <w:rPr>
          <w:color w:val="231F20"/>
          <w:spacing w:val="-8"/>
          <w:w w:val="110"/>
        </w:rPr>
        <w:t> </w:t>
      </w:r>
      <w:r>
        <w:rPr>
          <w:color w:val="231F20"/>
          <w:w w:val="110"/>
        </w:rPr>
        <w:t>la</w:t>
      </w:r>
      <w:r>
        <w:rPr>
          <w:color w:val="231F20"/>
          <w:spacing w:val="-8"/>
          <w:w w:val="110"/>
        </w:rPr>
        <w:t> </w:t>
      </w:r>
      <w:r>
        <w:rPr>
          <w:color w:val="231F20"/>
          <w:w w:val="110"/>
        </w:rPr>
        <w:t>forma</w:t>
      </w:r>
      <w:r>
        <w:rPr>
          <w:color w:val="231F20"/>
          <w:spacing w:val="-8"/>
          <w:w w:val="110"/>
        </w:rPr>
        <w:t> </w:t>
      </w:r>
      <w:r>
        <w:rPr>
          <w:color w:val="231F20"/>
          <w:w w:val="110"/>
        </w:rPr>
        <w:t>en</w:t>
      </w:r>
      <w:r>
        <w:rPr>
          <w:color w:val="231F20"/>
          <w:spacing w:val="-8"/>
          <w:w w:val="110"/>
        </w:rPr>
        <w:t> </w:t>
      </w:r>
      <w:r>
        <w:rPr>
          <w:color w:val="231F20"/>
          <w:w w:val="110"/>
        </w:rPr>
        <w:t>que</w:t>
      </w:r>
      <w:r>
        <w:rPr>
          <w:color w:val="231F20"/>
          <w:spacing w:val="-8"/>
          <w:w w:val="110"/>
        </w:rPr>
        <w:t> </w:t>
      </w:r>
      <w:r>
        <w:rPr>
          <w:color w:val="231F20"/>
          <w:w w:val="110"/>
        </w:rPr>
        <w:t>los</w:t>
      </w:r>
      <w:r>
        <w:rPr>
          <w:color w:val="231F20"/>
          <w:spacing w:val="-8"/>
          <w:w w:val="110"/>
        </w:rPr>
        <w:t> </w:t>
      </w:r>
      <w:r>
        <w:rPr>
          <w:color w:val="231F20"/>
          <w:w w:val="110"/>
        </w:rPr>
        <w:t>jóvenes</w:t>
      </w:r>
      <w:r>
        <w:rPr>
          <w:color w:val="231F20"/>
          <w:spacing w:val="-8"/>
          <w:w w:val="110"/>
        </w:rPr>
        <w:t> </w:t>
      </w:r>
      <w:r>
        <w:rPr>
          <w:color w:val="231F20"/>
          <w:spacing w:val="-3"/>
          <w:w w:val="110"/>
        </w:rPr>
        <w:t>mexiquenses</w:t>
      </w:r>
      <w:r>
        <w:rPr>
          <w:color w:val="231F20"/>
          <w:spacing w:val="-8"/>
          <w:w w:val="110"/>
        </w:rPr>
        <w:t> </w:t>
      </w:r>
      <w:r>
        <w:rPr>
          <w:color w:val="231F20"/>
          <w:spacing w:val="-3"/>
          <w:w w:val="110"/>
        </w:rPr>
        <w:t>experimentan </w:t>
      </w:r>
      <w:r>
        <w:rPr>
          <w:color w:val="231F20"/>
          <w:w w:val="110"/>
        </w:rPr>
        <w:t>su tránsito a la adultez, enfocándose especialmente en el efecto que tienen las uniones conyugales sobre la educación y empleo. Algunos autores di- rían que son tiempos de incertidumbre (Giorguli y Angoa, 2013) debido a que la situación política, social y económica en la que se encuentra el país </w:t>
      </w:r>
      <w:r>
        <w:rPr>
          <w:color w:val="231F20"/>
          <w:spacing w:val="2"/>
          <w:w w:val="110"/>
        </w:rPr>
        <w:t>crea algunas paradojas </w:t>
      </w:r>
      <w:r>
        <w:rPr>
          <w:color w:val="231F20"/>
          <w:w w:val="110"/>
        </w:rPr>
        <w:t>a </w:t>
      </w:r>
      <w:r>
        <w:rPr>
          <w:color w:val="231F20"/>
          <w:spacing w:val="2"/>
          <w:w w:val="110"/>
        </w:rPr>
        <w:t>nivel nacional </w:t>
      </w:r>
      <w:r>
        <w:rPr>
          <w:color w:val="231F20"/>
          <w:w w:val="110"/>
        </w:rPr>
        <w:t>y </w:t>
      </w:r>
      <w:r>
        <w:rPr>
          <w:color w:val="231F20"/>
          <w:spacing w:val="2"/>
          <w:w w:val="110"/>
        </w:rPr>
        <w:t>local. </w:t>
      </w:r>
      <w:r>
        <w:rPr>
          <w:color w:val="231F20"/>
          <w:w w:val="110"/>
        </w:rPr>
        <w:t>Por </w:t>
      </w:r>
      <w:r>
        <w:rPr>
          <w:color w:val="231F20"/>
          <w:spacing w:val="2"/>
          <w:w w:val="110"/>
        </w:rPr>
        <w:t>ejemplo, </w:t>
      </w:r>
      <w:r>
        <w:rPr>
          <w:color w:val="231F20"/>
          <w:w w:val="110"/>
        </w:rPr>
        <w:t>si </w:t>
      </w:r>
      <w:r>
        <w:rPr>
          <w:color w:val="231F20"/>
          <w:spacing w:val="2"/>
          <w:w w:val="110"/>
        </w:rPr>
        <w:t>bien </w:t>
      </w:r>
      <w:r>
        <w:rPr>
          <w:color w:val="231F20"/>
          <w:w w:val="110"/>
        </w:rPr>
        <w:t>es cierto que la matrícula escolar en los niveles medio superior y superior ha aumentado sustantivamente en el Estado de México, el acceso a empleos con prestaciones sociales es escaso y los empleos disponibles requieren de jornadas de trabajo prolongadas. Estas condiciones poco favorecen a brindar elementos que den certeza a los jóvenes para planear su futuro y son bajo las cuales se convierten en adultos. </w:t>
      </w:r>
      <w:r>
        <w:rPr>
          <w:color w:val="231F20"/>
          <w:spacing w:val="2"/>
          <w:w w:val="110"/>
        </w:rPr>
        <w:t>La </w:t>
      </w:r>
      <w:r>
        <w:rPr>
          <w:color w:val="231F20"/>
          <w:w w:val="110"/>
        </w:rPr>
        <w:t>pregunta que guía este trabajo es: ¿cómo las uniones tempranas de los jóvenes los diferencian en escolaridad</w:t>
      </w:r>
      <w:r>
        <w:rPr>
          <w:color w:val="231F20"/>
          <w:spacing w:val="-12"/>
          <w:w w:val="110"/>
        </w:rPr>
        <w:t> </w:t>
      </w:r>
      <w:r>
        <w:rPr>
          <w:color w:val="231F20"/>
          <w:w w:val="110"/>
        </w:rPr>
        <w:t>y</w:t>
      </w:r>
      <w:r>
        <w:rPr>
          <w:color w:val="231F20"/>
          <w:spacing w:val="-12"/>
          <w:w w:val="110"/>
        </w:rPr>
        <w:t> </w:t>
      </w:r>
      <w:r>
        <w:rPr>
          <w:color w:val="231F20"/>
          <w:w w:val="110"/>
        </w:rPr>
        <w:t>condiciones</w:t>
      </w:r>
      <w:r>
        <w:rPr>
          <w:color w:val="231F20"/>
          <w:spacing w:val="-12"/>
          <w:w w:val="110"/>
        </w:rPr>
        <w:t> </w:t>
      </w:r>
      <w:r>
        <w:rPr>
          <w:color w:val="231F20"/>
          <w:w w:val="110"/>
        </w:rPr>
        <w:t>laborales?</w:t>
      </w:r>
      <w:r>
        <w:rPr>
          <w:color w:val="231F20"/>
          <w:spacing w:val="-12"/>
          <w:w w:val="110"/>
        </w:rPr>
        <w:t> </w:t>
      </w:r>
      <w:r>
        <w:rPr>
          <w:color w:val="231F20"/>
          <w:w w:val="110"/>
        </w:rPr>
        <w:t>La</w:t>
      </w:r>
      <w:r>
        <w:rPr>
          <w:color w:val="231F20"/>
          <w:spacing w:val="-12"/>
          <w:w w:val="110"/>
        </w:rPr>
        <w:t> </w:t>
      </w:r>
      <w:r>
        <w:rPr>
          <w:color w:val="231F20"/>
          <w:w w:val="110"/>
        </w:rPr>
        <w:t>fuente</w:t>
      </w:r>
      <w:r>
        <w:rPr>
          <w:color w:val="231F20"/>
          <w:spacing w:val="-12"/>
          <w:w w:val="110"/>
        </w:rPr>
        <w:t> </w:t>
      </w:r>
      <w:r>
        <w:rPr>
          <w:color w:val="231F20"/>
          <w:w w:val="110"/>
        </w:rPr>
        <w:t>de</w:t>
      </w:r>
      <w:r>
        <w:rPr>
          <w:color w:val="231F20"/>
          <w:spacing w:val="-12"/>
          <w:w w:val="110"/>
        </w:rPr>
        <w:t> </w:t>
      </w:r>
      <w:r>
        <w:rPr>
          <w:color w:val="231F20"/>
          <w:w w:val="110"/>
        </w:rPr>
        <w:t>información</w:t>
      </w:r>
      <w:r>
        <w:rPr>
          <w:color w:val="231F20"/>
          <w:spacing w:val="-12"/>
          <w:w w:val="110"/>
        </w:rPr>
        <w:t> </w:t>
      </w:r>
      <w:r>
        <w:rPr>
          <w:color w:val="231F20"/>
          <w:w w:val="110"/>
        </w:rPr>
        <w:t>utilizada</w:t>
      </w:r>
      <w:r>
        <w:rPr>
          <w:color w:val="231F20"/>
          <w:spacing w:val="-12"/>
          <w:w w:val="110"/>
        </w:rPr>
        <w:t> </w:t>
      </w:r>
      <w:r>
        <w:rPr>
          <w:color w:val="231F20"/>
          <w:w w:val="110"/>
        </w:rPr>
        <w:t>son los microdatos del Censo de Población y Vivienda 2010, los cuales mues- tran una fotografía de la situación de la juventud en el Estado de México, entidad con el mayor número de habitantes del país. Esta investigación se lleva a cabo considerando cuatro marcadores propios del proceso de tran- sitar a la adultez, los cuales son: unirse en pareja, tener hijos, continuar o no en la escuela y conseguir un empleo, marcadores que se vuelven deci- siones a las que se enfrentan los jóvenes día con día en diferentes circuns- tancias.</w:t>
      </w:r>
    </w:p>
    <w:p>
      <w:pPr>
        <w:pStyle w:val="BodyText"/>
        <w:spacing w:before="1"/>
        <w:rPr>
          <w:sz w:val="28"/>
        </w:rPr>
      </w:pPr>
    </w:p>
    <w:p>
      <w:pPr>
        <w:spacing w:before="75"/>
        <w:ind w:left="1388" w:right="1407" w:firstLine="0"/>
        <w:jc w:val="center"/>
        <w:rPr>
          <w:rFonts w:ascii="Calibri"/>
          <w:i/>
          <w:sz w:val="16"/>
        </w:rPr>
      </w:pPr>
      <w:r>
        <w:rPr>
          <w:rFonts w:ascii="Calibri"/>
          <w:i/>
          <w:color w:val="231F20"/>
          <w:w w:val="95"/>
          <w:sz w:val="16"/>
        </w:rPr>
        <w:t>103</w:t>
      </w:r>
    </w:p>
    <w:p>
      <w:pPr>
        <w:spacing w:after="0"/>
        <w:jc w:val="center"/>
        <w:rPr>
          <w:rFonts w:ascii="Calibri"/>
          <w:sz w:val="16"/>
        </w:rPr>
        <w:sectPr>
          <w:footerReference w:type="even" r:id="rId107"/>
          <w:pgSz w:w="9520" w:h="12920"/>
          <w:pgMar w:footer="0" w:header="0" w:top="1220" w:bottom="280" w:left="1020" w:right="1320"/>
        </w:sectPr>
      </w:pPr>
    </w:p>
    <w:p>
      <w:pPr>
        <w:spacing w:before="39"/>
        <w:ind w:left="124" w:right="0" w:firstLine="0"/>
        <w:jc w:val="both"/>
        <w:rPr>
          <w:rFonts w:ascii="Times New Roman" w:hAnsi="Times New Roman"/>
          <w:i/>
          <w:sz w:val="19"/>
        </w:rPr>
      </w:pPr>
      <w:r>
        <w:rPr>
          <w:rFonts w:ascii="Times New Roman" w:hAnsi="Times New Roman"/>
          <w:i/>
          <w:color w:val="231F20"/>
          <w:w w:val="95"/>
          <w:sz w:val="24"/>
        </w:rPr>
        <w:t>E</w:t>
      </w:r>
      <w:r>
        <w:rPr>
          <w:rFonts w:ascii="Times New Roman" w:hAnsi="Times New Roman"/>
          <w:i/>
          <w:color w:val="231F20"/>
          <w:w w:val="95"/>
          <w:sz w:val="19"/>
        </w:rPr>
        <w:t>L TRÁNSITO A LA ADULTEZ</w:t>
      </w:r>
    </w:p>
    <w:p>
      <w:pPr>
        <w:pStyle w:val="BodyText"/>
        <w:spacing w:before="9"/>
        <w:rPr>
          <w:rFonts w:ascii="Times New Roman"/>
          <w:i/>
          <w:sz w:val="27"/>
        </w:rPr>
      </w:pPr>
    </w:p>
    <w:p>
      <w:pPr>
        <w:pStyle w:val="BodyText"/>
        <w:spacing w:line="288" w:lineRule="auto"/>
        <w:ind w:left="124" w:right="112"/>
        <w:jc w:val="both"/>
      </w:pPr>
      <w:r>
        <w:rPr>
          <w:color w:val="231F20"/>
          <w:w w:val="110"/>
        </w:rPr>
        <w:t>Estudiar las características que presentan los jóvenes es relevante debido a que es en el periodo de juventud cuando se delinean muchas de las ca- racterísticas que impactarán de manera importante la forma en la que vi- van su adultez. Filardo (2011: 13) menciona que la juventud es un: “lapso de alta intensidad de ocurrencia de eventos definitorios en las</w:t>
      </w:r>
      <w:r>
        <w:rPr>
          <w:color w:val="231F20"/>
          <w:spacing w:val="-32"/>
          <w:w w:val="110"/>
        </w:rPr>
        <w:t> </w:t>
      </w:r>
      <w:r>
        <w:rPr>
          <w:color w:val="231F20"/>
          <w:w w:val="110"/>
        </w:rPr>
        <w:t>trayectorias futuras, en este periodo se juega la integración social”. Entre estos eventos (que</w:t>
      </w:r>
      <w:r>
        <w:rPr>
          <w:color w:val="231F20"/>
          <w:spacing w:val="-5"/>
          <w:w w:val="110"/>
        </w:rPr>
        <w:t> </w:t>
      </w:r>
      <w:r>
        <w:rPr>
          <w:color w:val="231F20"/>
          <w:w w:val="110"/>
        </w:rPr>
        <w:t>si</w:t>
      </w:r>
      <w:r>
        <w:rPr>
          <w:color w:val="231F20"/>
          <w:spacing w:val="-5"/>
          <w:w w:val="110"/>
        </w:rPr>
        <w:t> </w:t>
      </w:r>
      <w:r>
        <w:rPr>
          <w:color w:val="231F20"/>
          <w:w w:val="110"/>
        </w:rPr>
        <w:t>bien</w:t>
      </w:r>
      <w:r>
        <w:rPr>
          <w:color w:val="231F20"/>
          <w:spacing w:val="-5"/>
          <w:w w:val="110"/>
        </w:rPr>
        <w:t> </w:t>
      </w:r>
      <w:r>
        <w:rPr>
          <w:color w:val="231F20"/>
          <w:w w:val="110"/>
        </w:rPr>
        <w:t>pueden</w:t>
      </w:r>
      <w:r>
        <w:rPr>
          <w:color w:val="231F20"/>
          <w:spacing w:val="-5"/>
          <w:w w:val="110"/>
        </w:rPr>
        <w:t> </w:t>
      </w:r>
      <w:r>
        <w:rPr>
          <w:color w:val="231F20"/>
          <w:w w:val="110"/>
        </w:rPr>
        <w:t>no</w:t>
      </w:r>
      <w:r>
        <w:rPr>
          <w:color w:val="231F20"/>
          <w:spacing w:val="-5"/>
          <w:w w:val="110"/>
        </w:rPr>
        <w:t> </w:t>
      </w:r>
      <w:r>
        <w:rPr>
          <w:color w:val="231F20"/>
          <w:w w:val="110"/>
        </w:rPr>
        <w:t>ser</w:t>
      </w:r>
      <w:r>
        <w:rPr>
          <w:color w:val="231F20"/>
          <w:spacing w:val="-5"/>
          <w:w w:val="110"/>
        </w:rPr>
        <w:t> </w:t>
      </w:r>
      <w:r>
        <w:rPr>
          <w:color w:val="231F20"/>
          <w:w w:val="110"/>
        </w:rPr>
        <w:t>definitorios</w:t>
      </w:r>
      <w:r>
        <w:rPr>
          <w:color w:val="231F20"/>
          <w:spacing w:val="-5"/>
          <w:w w:val="110"/>
        </w:rPr>
        <w:t> </w:t>
      </w:r>
      <w:r>
        <w:rPr>
          <w:color w:val="231F20"/>
          <w:w w:val="110"/>
        </w:rPr>
        <w:t>ya</w:t>
      </w:r>
      <w:r>
        <w:rPr>
          <w:color w:val="231F20"/>
          <w:spacing w:val="-5"/>
          <w:w w:val="110"/>
        </w:rPr>
        <w:t> </w:t>
      </w:r>
      <w:r>
        <w:rPr>
          <w:color w:val="231F20"/>
          <w:w w:val="110"/>
        </w:rPr>
        <w:t>que</w:t>
      </w:r>
      <w:r>
        <w:rPr>
          <w:color w:val="231F20"/>
          <w:spacing w:val="-5"/>
          <w:w w:val="110"/>
        </w:rPr>
        <w:t> </w:t>
      </w:r>
      <w:r>
        <w:rPr>
          <w:color w:val="231F20"/>
          <w:w w:val="110"/>
        </w:rPr>
        <w:t>los</w:t>
      </w:r>
      <w:r>
        <w:rPr>
          <w:color w:val="231F20"/>
          <w:spacing w:val="-5"/>
          <w:w w:val="110"/>
        </w:rPr>
        <w:t> </w:t>
      </w:r>
      <w:r>
        <w:rPr>
          <w:color w:val="231F20"/>
          <w:w w:val="110"/>
        </w:rPr>
        <w:t>jóvenes</w:t>
      </w:r>
      <w:r>
        <w:rPr>
          <w:color w:val="231F20"/>
          <w:spacing w:val="-5"/>
          <w:w w:val="110"/>
        </w:rPr>
        <w:t> </w:t>
      </w:r>
      <w:r>
        <w:rPr>
          <w:color w:val="231F20"/>
          <w:w w:val="110"/>
        </w:rPr>
        <w:t>podrían</w:t>
      </w:r>
      <w:r>
        <w:rPr>
          <w:color w:val="231F20"/>
          <w:spacing w:val="-5"/>
          <w:w w:val="110"/>
        </w:rPr>
        <w:t> </w:t>
      </w:r>
      <w:r>
        <w:rPr>
          <w:color w:val="231F20"/>
          <w:w w:val="110"/>
        </w:rPr>
        <w:t>en</w:t>
      </w:r>
      <w:r>
        <w:rPr>
          <w:color w:val="231F20"/>
          <w:spacing w:val="-5"/>
          <w:w w:val="110"/>
        </w:rPr>
        <w:t> </w:t>
      </w:r>
      <w:r>
        <w:rPr>
          <w:color w:val="231F20"/>
          <w:w w:val="110"/>
        </w:rPr>
        <w:t>algún punto cambiar su situación) se encuentran la formación de uniones con- yugales, la llegada del primer hijo, la salida de la escuela y la entrada al mercado de trabajo. Sucesos que no se dan en el vacío, sino que están relacionados con las características y el posicionamiento en la estructura social del hogar de origen de los jóvenes, eventos individuales de sus bio- grafías y las condiciones de protección social (políticas públicas) a las que pueden o no acceder (Filardo,</w:t>
      </w:r>
      <w:r>
        <w:rPr>
          <w:color w:val="231F20"/>
          <w:spacing w:val="-29"/>
          <w:w w:val="110"/>
        </w:rPr>
        <w:t> </w:t>
      </w:r>
      <w:r>
        <w:rPr>
          <w:color w:val="231F20"/>
          <w:w w:val="110"/>
        </w:rPr>
        <w:t>2011).</w:t>
      </w:r>
    </w:p>
    <w:p>
      <w:pPr>
        <w:pStyle w:val="BodyText"/>
        <w:spacing w:line="288" w:lineRule="auto"/>
        <w:ind w:left="124" w:right="112" w:firstLine="360"/>
        <w:jc w:val="both"/>
      </w:pPr>
      <w:r>
        <w:rPr>
          <w:color w:val="231F20"/>
          <w:w w:val="110"/>
        </w:rPr>
        <w:t>La delimitación etaria de juventud que se utiliza comprende de los 15 a 24 años. Aunque usualmente se usa el criterio de edad hasta los 29 años para estudiar a los jóvenes, se considera que en el rango seleccionado se aprecian las características de éstos que han tenido una unión conyugal temprana, la cual tendría efectos positivos o negativos en los siguientes años de vida del individuo. Además, este estudio se restringe al análisis de </w:t>
      </w:r>
      <w:r>
        <w:rPr>
          <w:color w:val="231F20"/>
          <w:spacing w:val="-3"/>
          <w:w w:val="110"/>
        </w:rPr>
        <w:t>los</w:t>
      </w:r>
      <w:r>
        <w:rPr>
          <w:color w:val="231F20"/>
          <w:spacing w:val="-15"/>
          <w:w w:val="110"/>
        </w:rPr>
        <w:t> </w:t>
      </w:r>
      <w:r>
        <w:rPr>
          <w:color w:val="231F20"/>
          <w:spacing w:val="-4"/>
          <w:w w:val="110"/>
        </w:rPr>
        <w:t>jóvenes</w:t>
      </w:r>
      <w:r>
        <w:rPr>
          <w:color w:val="231F20"/>
          <w:spacing w:val="-15"/>
          <w:w w:val="110"/>
        </w:rPr>
        <w:t> </w:t>
      </w:r>
      <w:r>
        <w:rPr>
          <w:color w:val="231F20"/>
          <w:spacing w:val="-3"/>
          <w:w w:val="110"/>
        </w:rPr>
        <w:t>que</w:t>
      </w:r>
      <w:r>
        <w:rPr>
          <w:color w:val="231F20"/>
          <w:spacing w:val="-15"/>
          <w:w w:val="110"/>
        </w:rPr>
        <w:t> </w:t>
      </w:r>
      <w:r>
        <w:rPr>
          <w:color w:val="231F20"/>
          <w:w w:val="110"/>
        </w:rPr>
        <w:t>en</w:t>
      </w:r>
      <w:r>
        <w:rPr>
          <w:color w:val="231F20"/>
          <w:spacing w:val="-15"/>
          <w:w w:val="110"/>
        </w:rPr>
        <w:t> </w:t>
      </w:r>
      <w:r>
        <w:rPr>
          <w:color w:val="231F20"/>
          <w:w w:val="110"/>
        </w:rPr>
        <w:t>el</w:t>
      </w:r>
      <w:r>
        <w:rPr>
          <w:color w:val="231F20"/>
          <w:spacing w:val="-15"/>
          <w:w w:val="110"/>
        </w:rPr>
        <w:t> </w:t>
      </w:r>
      <w:r>
        <w:rPr>
          <w:color w:val="231F20"/>
          <w:spacing w:val="-3"/>
          <w:w w:val="110"/>
        </w:rPr>
        <w:t>2010</w:t>
      </w:r>
      <w:r>
        <w:rPr>
          <w:color w:val="231F20"/>
          <w:spacing w:val="-15"/>
          <w:w w:val="110"/>
        </w:rPr>
        <w:t> </w:t>
      </w:r>
      <w:r>
        <w:rPr>
          <w:color w:val="231F20"/>
          <w:spacing w:val="-4"/>
          <w:w w:val="110"/>
        </w:rPr>
        <w:t>declararon</w:t>
      </w:r>
      <w:r>
        <w:rPr>
          <w:color w:val="231F20"/>
          <w:spacing w:val="-15"/>
          <w:w w:val="110"/>
        </w:rPr>
        <w:t> </w:t>
      </w:r>
      <w:r>
        <w:rPr>
          <w:color w:val="231F20"/>
          <w:spacing w:val="-4"/>
          <w:w w:val="110"/>
        </w:rPr>
        <w:t>vivir</w:t>
      </w:r>
      <w:r>
        <w:rPr>
          <w:color w:val="231F20"/>
          <w:spacing w:val="-15"/>
          <w:w w:val="110"/>
        </w:rPr>
        <w:t> </w:t>
      </w:r>
      <w:r>
        <w:rPr>
          <w:color w:val="231F20"/>
          <w:w w:val="110"/>
        </w:rPr>
        <w:t>en</w:t>
      </w:r>
      <w:r>
        <w:rPr>
          <w:color w:val="231F20"/>
          <w:spacing w:val="-15"/>
          <w:w w:val="110"/>
        </w:rPr>
        <w:t> </w:t>
      </w:r>
      <w:r>
        <w:rPr>
          <w:color w:val="231F20"/>
          <w:w w:val="110"/>
        </w:rPr>
        <w:t>el</w:t>
      </w:r>
      <w:r>
        <w:rPr>
          <w:color w:val="231F20"/>
          <w:spacing w:val="-15"/>
          <w:w w:val="110"/>
        </w:rPr>
        <w:t> </w:t>
      </w:r>
      <w:r>
        <w:rPr>
          <w:color w:val="231F20"/>
          <w:spacing w:val="-4"/>
          <w:w w:val="110"/>
        </w:rPr>
        <w:t>Estado</w:t>
      </w:r>
      <w:r>
        <w:rPr>
          <w:color w:val="231F20"/>
          <w:spacing w:val="-15"/>
          <w:w w:val="110"/>
        </w:rPr>
        <w:t> </w:t>
      </w:r>
      <w:r>
        <w:rPr>
          <w:color w:val="231F20"/>
          <w:w w:val="110"/>
        </w:rPr>
        <w:t>de</w:t>
      </w:r>
      <w:r>
        <w:rPr>
          <w:color w:val="231F20"/>
          <w:spacing w:val="-15"/>
          <w:w w:val="110"/>
        </w:rPr>
        <w:t> </w:t>
      </w:r>
      <w:r>
        <w:rPr>
          <w:color w:val="231F20"/>
          <w:spacing w:val="-4"/>
          <w:w w:val="110"/>
        </w:rPr>
        <w:t>México.</w:t>
      </w:r>
      <w:r>
        <w:rPr>
          <w:color w:val="231F20"/>
          <w:spacing w:val="-15"/>
          <w:w w:val="110"/>
        </w:rPr>
        <w:t> </w:t>
      </w:r>
      <w:r>
        <w:rPr>
          <w:color w:val="231F20"/>
          <w:w w:val="110"/>
        </w:rPr>
        <w:t>De</w:t>
      </w:r>
      <w:r>
        <w:rPr>
          <w:color w:val="231F20"/>
          <w:spacing w:val="-15"/>
          <w:w w:val="110"/>
        </w:rPr>
        <w:t> </w:t>
      </w:r>
      <w:r>
        <w:rPr>
          <w:color w:val="231F20"/>
          <w:spacing w:val="-4"/>
          <w:w w:val="110"/>
        </w:rPr>
        <w:t>acuerdo </w:t>
      </w:r>
      <w:r>
        <w:rPr>
          <w:color w:val="231F20"/>
          <w:w w:val="110"/>
        </w:rPr>
        <w:t>con el Censo de Población y Vivienda de 2010, en el Estado de México vi- vían</w:t>
      </w:r>
      <w:r>
        <w:rPr>
          <w:color w:val="231F20"/>
          <w:spacing w:val="-9"/>
          <w:w w:val="110"/>
        </w:rPr>
        <w:t> </w:t>
      </w:r>
      <w:r>
        <w:rPr>
          <w:color w:val="231F20"/>
          <w:w w:val="110"/>
        </w:rPr>
        <w:t>15’123,304</w:t>
      </w:r>
      <w:r>
        <w:rPr>
          <w:color w:val="231F20"/>
          <w:spacing w:val="-9"/>
          <w:w w:val="110"/>
        </w:rPr>
        <w:t> </w:t>
      </w:r>
      <w:r>
        <w:rPr>
          <w:color w:val="231F20"/>
          <w:w w:val="110"/>
        </w:rPr>
        <w:t>personas,</w:t>
      </w:r>
      <w:r>
        <w:rPr>
          <w:color w:val="231F20"/>
          <w:spacing w:val="-9"/>
          <w:w w:val="110"/>
        </w:rPr>
        <w:t> </w:t>
      </w:r>
      <w:r>
        <w:rPr>
          <w:color w:val="231F20"/>
          <w:w w:val="110"/>
        </w:rPr>
        <w:t>de</w:t>
      </w:r>
      <w:r>
        <w:rPr>
          <w:color w:val="231F20"/>
          <w:spacing w:val="-9"/>
          <w:w w:val="110"/>
        </w:rPr>
        <w:t> </w:t>
      </w:r>
      <w:r>
        <w:rPr>
          <w:color w:val="231F20"/>
          <w:w w:val="110"/>
        </w:rPr>
        <w:t>las</w:t>
      </w:r>
      <w:r>
        <w:rPr>
          <w:color w:val="231F20"/>
          <w:spacing w:val="-9"/>
          <w:w w:val="110"/>
        </w:rPr>
        <w:t> </w:t>
      </w:r>
      <w:r>
        <w:rPr>
          <w:color w:val="231F20"/>
          <w:w w:val="110"/>
        </w:rPr>
        <w:t>cuales</w:t>
      </w:r>
      <w:r>
        <w:rPr>
          <w:color w:val="231F20"/>
          <w:spacing w:val="-9"/>
          <w:w w:val="110"/>
        </w:rPr>
        <w:t> </w:t>
      </w:r>
      <w:r>
        <w:rPr>
          <w:color w:val="231F20"/>
          <w:w w:val="110"/>
        </w:rPr>
        <w:t>18.8</w:t>
      </w:r>
      <w:r>
        <w:rPr>
          <w:color w:val="231F20"/>
          <w:spacing w:val="-9"/>
          <w:w w:val="110"/>
        </w:rPr>
        <w:t> </w:t>
      </w:r>
      <w:r>
        <w:rPr>
          <w:color w:val="231F20"/>
          <w:w w:val="110"/>
        </w:rPr>
        <w:t>por</w:t>
      </w:r>
      <w:r>
        <w:rPr>
          <w:color w:val="231F20"/>
          <w:spacing w:val="-9"/>
          <w:w w:val="110"/>
        </w:rPr>
        <w:t> </w:t>
      </w:r>
      <w:r>
        <w:rPr>
          <w:color w:val="231F20"/>
          <w:w w:val="110"/>
        </w:rPr>
        <w:t>ciento</w:t>
      </w:r>
      <w:r>
        <w:rPr>
          <w:color w:val="231F20"/>
          <w:spacing w:val="-9"/>
          <w:w w:val="110"/>
        </w:rPr>
        <w:t> </w:t>
      </w:r>
      <w:r>
        <w:rPr>
          <w:color w:val="231F20"/>
          <w:w w:val="110"/>
        </w:rPr>
        <w:t>era</w:t>
      </w:r>
      <w:r>
        <w:rPr>
          <w:color w:val="231F20"/>
          <w:spacing w:val="-9"/>
          <w:w w:val="110"/>
        </w:rPr>
        <w:t> </w:t>
      </w:r>
      <w:r>
        <w:rPr>
          <w:color w:val="231F20"/>
          <w:w w:val="110"/>
        </w:rPr>
        <w:t>población</w:t>
      </w:r>
      <w:r>
        <w:rPr>
          <w:color w:val="231F20"/>
          <w:spacing w:val="-9"/>
          <w:w w:val="110"/>
        </w:rPr>
        <w:t> </w:t>
      </w:r>
      <w:r>
        <w:rPr>
          <w:color w:val="231F20"/>
          <w:w w:val="110"/>
        </w:rPr>
        <w:t>joven de entre 15 y 24</w:t>
      </w:r>
      <w:r>
        <w:rPr>
          <w:color w:val="231F20"/>
          <w:spacing w:val="22"/>
          <w:w w:val="110"/>
        </w:rPr>
        <w:t> </w:t>
      </w:r>
      <w:r>
        <w:rPr>
          <w:color w:val="231F20"/>
          <w:w w:val="110"/>
        </w:rPr>
        <w:t>años.</w:t>
      </w:r>
    </w:p>
    <w:p>
      <w:pPr>
        <w:pStyle w:val="BodyText"/>
      </w:pPr>
    </w:p>
    <w:p>
      <w:pPr>
        <w:pStyle w:val="BodyText"/>
        <w:spacing w:before="10"/>
        <w:rPr>
          <w:sz w:val="24"/>
        </w:rPr>
      </w:pPr>
    </w:p>
    <w:p>
      <w:pPr>
        <w:spacing w:before="0"/>
        <w:ind w:left="124" w:right="0" w:firstLine="0"/>
        <w:jc w:val="both"/>
        <w:rPr>
          <w:rFonts w:ascii="Times New Roman"/>
          <w:i/>
          <w:sz w:val="19"/>
        </w:rPr>
      </w:pPr>
      <w:r>
        <w:rPr>
          <w:rFonts w:ascii="Times New Roman"/>
          <w:i/>
          <w:color w:val="231F20"/>
          <w:w w:val="95"/>
          <w:sz w:val="24"/>
        </w:rPr>
        <w:t>U</w:t>
      </w:r>
      <w:r>
        <w:rPr>
          <w:rFonts w:ascii="Times New Roman"/>
          <w:i/>
          <w:color w:val="231F20"/>
          <w:w w:val="95"/>
          <w:sz w:val="19"/>
        </w:rPr>
        <w:t>NIRSE EN PAREJA</w:t>
      </w:r>
    </w:p>
    <w:p>
      <w:pPr>
        <w:pStyle w:val="BodyText"/>
        <w:spacing w:before="9"/>
        <w:rPr>
          <w:rFonts w:ascii="Times New Roman"/>
          <w:i/>
          <w:sz w:val="27"/>
        </w:rPr>
      </w:pPr>
    </w:p>
    <w:p>
      <w:pPr>
        <w:pStyle w:val="BodyText"/>
        <w:spacing w:line="288" w:lineRule="auto"/>
        <w:ind w:left="124" w:right="113"/>
        <w:jc w:val="both"/>
      </w:pPr>
      <w:r>
        <w:rPr>
          <w:color w:val="231F20"/>
          <w:w w:val="110"/>
        </w:rPr>
        <w:t>Algunas investigaciones (Echarri y Pére, 2007) precisan que las</w:t>
      </w:r>
      <w:r>
        <w:rPr>
          <w:color w:val="231F20"/>
          <w:spacing w:val="-32"/>
          <w:w w:val="110"/>
        </w:rPr>
        <w:t> </w:t>
      </w:r>
      <w:r>
        <w:rPr>
          <w:color w:val="231F20"/>
          <w:w w:val="110"/>
        </w:rPr>
        <w:t>caracterís- ticas del hogar de origen como la educación de la madre y el nivel socioe- conómico tienen un efecto en los patrones de nupcialidad en México. Esto es, cuando la madre tiene mayor escolaridad y se pertenece a un mejor nivel socioeconómico se inician más tardíamente las uniones conyugales. Sin</w:t>
      </w:r>
      <w:r>
        <w:rPr>
          <w:color w:val="231F20"/>
          <w:spacing w:val="23"/>
          <w:w w:val="110"/>
        </w:rPr>
        <w:t> </w:t>
      </w:r>
      <w:r>
        <w:rPr>
          <w:color w:val="231F20"/>
          <w:w w:val="110"/>
        </w:rPr>
        <w:t>embargo,</w:t>
      </w:r>
      <w:r>
        <w:rPr>
          <w:color w:val="231F20"/>
          <w:spacing w:val="23"/>
          <w:w w:val="110"/>
        </w:rPr>
        <w:t> </w:t>
      </w:r>
      <w:r>
        <w:rPr>
          <w:color w:val="231F20"/>
          <w:w w:val="110"/>
        </w:rPr>
        <w:t>habría</w:t>
      </w:r>
      <w:r>
        <w:rPr>
          <w:color w:val="231F20"/>
          <w:spacing w:val="23"/>
          <w:w w:val="110"/>
        </w:rPr>
        <w:t> </w:t>
      </w:r>
      <w:r>
        <w:rPr>
          <w:color w:val="231F20"/>
          <w:w w:val="110"/>
        </w:rPr>
        <w:t>que</w:t>
      </w:r>
      <w:r>
        <w:rPr>
          <w:color w:val="231F20"/>
          <w:spacing w:val="23"/>
          <w:w w:val="110"/>
        </w:rPr>
        <w:t> </w:t>
      </w:r>
      <w:r>
        <w:rPr>
          <w:color w:val="231F20"/>
          <w:w w:val="110"/>
        </w:rPr>
        <w:t>resaltar</w:t>
      </w:r>
      <w:r>
        <w:rPr>
          <w:color w:val="231F20"/>
          <w:spacing w:val="23"/>
          <w:w w:val="110"/>
        </w:rPr>
        <w:t> </w:t>
      </w:r>
      <w:r>
        <w:rPr>
          <w:color w:val="231F20"/>
          <w:w w:val="110"/>
        </w:rPr>
        <w:t>que</w:t>
      </w:r>
      <w:r>
        <w:rPr>
          <w:color w:val="231F20"/>
          <w:spacing w:val="23"/>
          <w:w w:val="110"/>
        </w:rPr>
        <w:t> </w:t>
      </w:r>
      <w:r>
        <w:rPr>
          <w:color w:val="231F20"/>
          <w:w w:val="110"/>
        </w:rPr>
        <w:t>existen</w:t>
      </w:r>
      <w:r>
        <w:rPr>
          <w:color w:val="231F20"/>
          <w:spacing w:val="23"/>
          <w:w w:val="110"/>
        </w:rPr>
        <w:t> </w:t>
      </w:r>
      <w:r>
        <w:rPr>
          <w:color w:val="231F20"/>
          <w:w w:val="110"/>
        </w:rPr>
        <w:t>diferencias</w:t>
      </w:r>
      <w:r>
        <w:rPr>
          <w:color w:val="231F20"/>
          <w:spacing w:val="23"/>
          <w:w w:val="110"/>
        </w:rPr>
        <w:t> </w:t>
      </w:r>
      <w:r>
        <w:rPr>
          <w:color w:val="231F20"/>
          <w:w w:val="110"/>
        </w:rPr>
        <w:t>importantes</w:t>
      </w:r>
      <w:r>
        <w:rPr>
          <w:color w:val="231F20"/>
          <w:spacing w:val="23"/>
          <w:w w:val="110"/>
        </w:rPr>
        <w:t> </w:t>
      </w:r>
      <w:r>
        <w:rPr>
          <w:color w:val="231F20"/>
          <w:w w:val="110"/>
        </w:rPr>
        <w:t>de</w:t>
      </w:r>
    </w:p>
    <w:p>
      <w:pPr>
        <w:spacing w:after="0" w:line="288" w:lineRule="auto"/>
        <w:jc w:val="both"/>
        <w:sectPr>
          <w:footerReference w:type="even" r:id="rId108"/>
          <w:footerReference w:type="default" r:id="rId109"/>
          <w:pgSz w:w="9520" w:h="12920"/>
          <w:pgMar w:footer="1344" w:header="0" w:top="880" w:bottom="1540" w:left="1320" w:right="1000"/>
          <w:pgNumType w:start="104"/>
        </w:sectPr>
      </w:pPr>
    </w:p>
    <w:p>
      <w:pPr>
        <w:pStyle w:val="BodyText"/>
        <w:spacing w:line="288" w:lineRule="auto" w:before="42"/>
        <w:ind w:left="120" w:right="117"/>
        <w:jc w:val="both"/>
      </w:pPr>
      <w:r>
        <w:rPr>
          <w:color w:val="231F20"/>
          <w:w w:val="110"/>
        </w:rPr>
        <w:t>género y lugar de residencia (ámbito rural o urbano). Entonces, resulta conveniente estudiar cuál es la relación de este marcador con respecto a otros como la salida de la escuela y la entrada al mercado de trabajo. Con la fuente de datos disponible no podemos saber con certeza si se trata de la primera unión, sin embargo, por el grupo de edad seleccionado se con- sidera que muy probablemente así sea.</w:t>
      </w:r>
    </w:p>
    <w:p>
      <w:pPr>
        <w:pStyle w:val="BodyText"/>
        <w:spacing w:line="288" w:lineRule="auto"/>
        <w:ind w:left="119" w:right="118" w:firstLine="360"/>
        <w:jc w:val="both"/>
      </w:pPr>
      <w:r>
        <w:rPr>
          <w:color w:val="231F20"/>
          <w:w w:val="110"/>
        </w:rPr>
        <w:t>Las categorías bajo las cuales se estudia este fenómeno de la unión conyugal (que incluye cohabitación y matrimonio civil o religioso) compa- ran a aquellos unidos con autonomía residencial (unidos autónomos),</w:t>
      </w:r>
      <w:r>
        <w:rPr>
          <w:color w:val="231F20"/>
          <w:spacing w:val="-11"/>
          <w:w w:val="110"/>
        </w:rPr>
        <w:t> </w:t>
      </w:r>
      <w:r>
        <w:rPr>
          <w:color w:val="231F20"/>
          <w:w w:val="110"/>
        </w:rPr>
        <w:t>esto es,</w:t>
      </w:r>
      <w:r>
        <w:rPr>
          <w:color w:val="231F20"/>
          <w:spacing w:val="-10"/>
          <w:w w:val="110"/>
        </w:rPr>
        <w:t> </w:t>
      </w:r>
      <w:r>
        <w:rPr>
          <w:color w:val="231F20"/>
          <w:w w:val="110"/>
        </w:rPr>
        <w:t>que</w:t>
      </w:r>
      <w:r>
        <w:rPr>
          <w:color w:val="231F20"/>
          <w:spacing w:val="-10"/>
          <w:w w:val="110"/>
        </w:rPr>
        <w:t> </w:t>
      </w:r>
      <w:r>
        <w:rPr>
          <w:color w:val="231F20"/>
          <w:w w:val="110"/>
        </w:rPr>
        <w:t>se</w:t>
      </w:r>
      <w:r>
        <w:rPr>
          <w:color w:val="231F20"/>
          <w:spacing w:val="-10"/>
          <w:w w:val="110"/>
        </w:rPr>
        <w:t> </w:t>
      </w:r>
      <w:r>
        <w:rPr>
          <w:color w:val="231F20"/>
          <w:w w:val="110"/>
        </w:rPr>
        <w:t>declararon</w:t>
      </w:r>
      <w:r>
        <w:rPr>
          <w:color w:val="231F20"/>
          <w:spacing w:val="-10"/>
          <w:w w:val="110"/>
        </w:rPr>
        <w:t> </w:t>
      </w:r>
      <w:r>
        <w:rPr>
          <w:color w:val="231F20"/>
          <w:w w:val="110"/>
        </w:rPr>
        <w:t>ser</w:t>
      </w:r>
      <w:r>
        <w:rPr>
          <w:color w:val="231F20"/>
          <w:spacing w:val="-10"/>
          <w:w w:val="110"/>
        </w:rPr>
        <w:t> </w:t>
      </w:r>
      <w:r>
        <w:rPr>
          <w:color w:val="231F20"/>
          <w:w w:val="110"/>
        </w:rPr>
        <w:t>jefes</w:t>
      </w:r>
      <w:r>
        <w:rPr>
          <w:color w:val="231F20"/>
          <w:spacing w:val="-10"/>
          <w:w w:val="110"/>
        </w:rPr>
        <w:t> </w:t>
      </w:r>
      <w:r>
        <w:rPr>
          <w:color w:val="231F20"/>
          <w:w w:val="110"/>
        </w:rPr>
        <w:t>de</w:t>
      </w:r>
      <w:r>
        <w:rPr>
          <w:color w:val="231F20"/>
          <w:spacing w:val="-10"/>
          <w:w w:val="110"/>
        </w:rPr>
        <w:t> </w:t>
      </w:r>
      <w:r>
        <w:rPr>
          <w:color w:val="231F20"/>
          <w:w w:val="110"/>
        </w:rPr>
        <w:t>hogar</w:t>
      </w:r>
      <w:r>
        <w:rPr>
          <w:color w:val="231F20"/>
          <w:spacing w:val="-10"/>
          <w:w w:val="110"/>
        </w:rPr>
        <w:t> </w:t>
      </w:r>
      <w:r>
        <w:rPr>
          <w:color w:val="231F20"/>
          <w:w w:val="110"/>
        </w:rPr>
        <w:t>o</w:t>
      </w:r>
      <w:r>
        <w:rPr>
          <w:color w:val="231F20"/>
          <w:spacing w:val="-10"/>
          <w:w w:val="110"/>
        </w:rPr>
        <w:t> </w:t>
      </w:r>
      <w:r>
        <w:rPr>
          <w:color w:val="231F20"/>
          <w:w w:val="110"/>
        </w:rPr>
        <w:t>ser</w:t>
      </w:r>
      <w:r>
        <w:rPr>
          <w:color w:val="231F20"/>
          <w:spacing w:val="-10"/>
          <w:w w:val="110"/>
        </w:rPr>
        <w:t> </w:t>
      </w:r>
      <w:r>
        <w:rPr>
          <w:color w:val="231F20"/>
          <w:w w:val="110"/>
        </w:rPr>
        <w:t>cónyuges</w:t>
      </w:r>
      <w:r>
        <w:rPr>
          <w:color w:val="231F20"/>
          <w:spacing w:val="-10"/>
          <w:w w:val="110"/>
        </w:rPr>
        <w:t> </w:t>
      </w:r>
      <w:r>
        <w:rPr>
          <w:color w:val="231F20"/>
          <w:w w:val="110"/>
        </w:rPr>
        <w:t>del</w:t>
      </w:r>
      <w:r>
        <w:rPr>
          <w:color w:val="231F20"/>
          <w:spacing w:val="-10"/>
          <w:w w:val="110"/>
        </w:rPr>
        <w:t> </w:t>
      </w:r>
      <w:r>
        <w:rPr>
          <w:color w:val="231F20"/>
          <w:w w:val="110"/>
        </w:rPr>
        <w:t>jefe,</w:t>
      </w:r>
      <w:r>
        <w:rPr>
          <w:color w:val="231F20"/>
          <w:spacing w:val="-10"/>
          <w:w w:val="110"/>
        </w:rPr>
        <w:t> </w:t>
      </w:r>
      <w:r>
        <w:rPr>
          <w:color w:val="231F20"/>
          <w:w w:val="110"/>
        </w:rPr>
        <w:t>con</w:t>
      </w:r>
      <w:r>
        <w:rPr>
          <w:color w:val="231F20"/>
          <w:spacing w:val="-10"/>
          <w:w w:val="110"/>
        </w:rPr>
        <w:t> </w:t>
      </w:r>
      <w:r>
        <w:rPr>
          <w:color w:val="231F20"/>
          <w:w w:val="110"/>
        </w:rPr>
        <w:t>aquellos no autónomos (</w:t>
      </w:r>
      <w:r>
        <w:rPr>
          <w:i/>
          <w:color w:val="231F20"/>
          <w:w w:val="110"/>
        </w:rPr>
        <w:t>Unidos no autónomos</w:t>
      </w:r>
      <w:r>
        <w:rPr>
          <w:color w:val="231F20"/>
          <w:w w:val="110"/>
        </w:rPr>
        <w:t>) es </w:t>
      </w:r>
      <w:r>
        <w:rPr>
          <w:color w:val="231F20"/>
          <w:spacing w:val="-3"/>
          <w:w w:val="110"/>
        </w:rPr>
        <w:t>decir, </w:t>
      </w:r>
      <w:r>
        <w:rPr>
          <w:color w:val="231F20"/>
          <w:w w:val="110"/>
        </w:rPr>
        <w:t>que viven en pareja bajo la jefatura de otro miembro del hogar; y con los que no declararon unión conyugal</w:t>
      </w:r>
      <w:r>
        <w:rPr>
          <w:color w:val="231F20"/>
          <w:spacing w:val="21"/>
          <w:w w:val="110"/>
        </w:rPr>
        <w:t> </w:t>
      </w:r>
      <w:r>
        <w:rPr>
          <w:color w:val="231F20"/>
          <w:w w:val="110"/>
        </w:rPr>
        <w:t>alguna.</w:t>
      </w:r>
    </w:p>
    <w:p>
      <w:pPr>
        <w:pStyle w:val="BodyText"/>
        <w:spacing w:line="288" w:lineRule="auto"/>
        <w:ind w:left="119" w:right="119" w:firstLine="360"/>
        <w:jc w:val="both"/>
      </w:pPr>
      <w:r>
        <w:rPr>
          <w:color w:val="231F20"/>
          <w:w w:val="110"/>
        </w:rPr>
        <w:t>El cuadro siguiente muestra los resultados globales de las uniones de estos jóvenes.</w:t>
      </w:r>
    </w:p>
    <w:p>
      <w:pPr>
        <w:pStyle w:val="BodyText"/>
        <w:spacing w:before="4"/>
      </w:pPr>
    </w:p>
    <w:p>
      <w:pPr>
        <w:spacing w:line="185" w:lineRule="exact" w:before="0"/>
        <w:ind w:left="457" w:right="457" w:firstLine="0"/>
        <w:jc w:val="center"/>
        <w:rPr>
          <w:sz w:val="16"/>
        </w:rPr>
      </w:pPr>
      <w:r>
        <w:rPr>
          <w:color w:val="231F20"/>
          <w:w w:val="105"/>
          <w:sz w:val="16"/>
        </w:rPr>
        <w:t>Cuadro 1</w:t>
      </w:r>
    </w:p>
    <w:p>
      <w:pPr>
        <w:spacing w:line="210" w:lineRule="exact" w:before="9"/>
        <w:ind w:left="1290" w:right="1289" w:firstLine="0"/>
        <w:jc w:val="center"/>
        <w:rPr>
          <w:sz w:val="19"/>
        </w:rPr>
      </w:pPr>
      <w:r>
        <w:rPr>
          <w:color w:val="231F20"/>
          <w:w w:val="90"/>
          <w:sz w:val="19"/>
        </w:rPr>
        <w:t>2010. Estado de México. Proporción de jóvenes de 15 a 24 años </w:t>
      </w:r>
      <w:r>
        <w:rPr>
          <w:color w:val="231F20"/>
          <w:w w:val="95"/>
          <w:sz w:val="19"/>
        </w:rPr>
        <w:t>de edad no unidos y unidos por tipo de unión</w:t>
      </w:r>
    </w:p>
    <w:p>
      <w:pPr>
        <w:pStyle w:val="BodyText"/>
        <w:spacing w:before="2"/>
        <w:rPr>
          <w:sz w:val="17"/>
        </w:rPr>
      </w:pP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36"/>
        <w:gridCol w:w="1601"/>
        <w:gridCol w:w="806"/>
        <w:gridCol w:w="1617"/>
      </w:tblGrid>
      <w:tr>
        <w:trPr>
          <w:trHeight w:val="370" w:hRule="exact"/>
        </w:trPr>
        <w:tc>
          <w:tcPr>
            <w:tcW w:w="4537" w:type="dxa"/>
            <w:gridSpan w:val="2"/>
            <w:tcBorders>
              <w:top w:val="single" w:sz="3" w:space="0" w:color="231F20"/>
            </w:tcBorders>
          </w:tcPr>
          <w:p>
            <w:pPr/>
          </w:p>
        </w:tc>
        <w:tc>
          <w:tcPr>
            <w:tcW w:w="806" w:type="dxa"/>
            <w:tcBorders>
              <w:top w:val="single" w:sz="3" w:space="0" w:color="231F20"/>
              <w:bottom w:val="single" w:sz="3" w:space="0" w:color="231F20"/>
            </w:tcBorders>
          </w:tcPr>
          <w:p>
            <w:pPr>
              <w:pStyle w:val="TableParagraph"/>
              <w:spacing w:line="240" w:lineRule="auto" w:before="84"/>
              <w:ind w:left="231"/>
              <w:jc w:val="left"/>
              <w:rPr>
                <w:i/>
                <w:sz w:val="17"/>
              </w:rPr>
            </w:pPr>
            <w:r>
              <w:rPr>
                <w:i/>
                <w:color w:val="231F20"/>
                <w:w w:val="115"/>
                <w:sz w:val="17"/>
              </w:rPr>
              <w:t>Sexo</w:t>
            </w:r>
          </w:p>
        </w:tc>
        <w:tc>
          <w:tcPr>
            <w:tcW w:w="1617" w:type="dxa"/>
            <w:tcBorders>
              <w:top w:val="single" w:sz="3" w:space="0" w:color="231F20"/>
              <w:bottom w:val="single" w:sz="3" w:space="0" w:color="231F20"/>
            </w:tcBorders>
          </w:tcPr>
          <w:p>
            <w:pPr/>
          </w:p>
        </w:tc>
      </w:tr>
      <w:tr>
        <w:trPr>
          <w:trHeight w:val="350" w:hRule="exact"/>
        </w:trPr>
        <w:tc>
          <w:tcPr>
            <w:tcW w:w="2936" w:type="dxa"/>
            <w:tcBorders>
              <w:bottom w:val="single" w:sz="3" w:space="0" w:color="231F20"/>
            </w:tcBorders>
          </w:tcPr>
          <w:p>
            <w:pPr>
              <w:pStyle w:val="TableParagraph"/>
              <w:spacing w:line="240" w:lineRule="auto" w:before="68"/>
              <w:ind w:left="1029"/>
              <w:jc w:val="left"/>
              <w:rPr>
                <w:i/>
                <w:sz w:val="17"/>
              </w:rPr>
            </w:pPr>
            <w:r>
              <w:rPr>
                <w:i/>
                <w:color w:val="231F20"/>
                <w:w w:val="105"/>
                <w:sz w:val="17"/>
              </w:rPr>
              <w:t>Condición  de unión</w:t>
            </w:r>
          </w:p>
        </w:tc>
        <w:tc>
          <w:tcPr>
            <w:tcW w:w="1601" w:type="dxa"/>
            <w:tcBorders>
              <w:top w:val="single" w:sz="3" w:space="0" w:color="231F20"/>
              <w:bottom w:val="single" w:sz="3" w:space="0" w:color="231F20"/>
            </w:tcBorders>
          </w:tcPr>
          <w:p>
            <w:pPr>
              <w:pStyle w:val="TableParagraph"/>
              <w:spacing w:line="240" w:lineRule="auto" w:before="64"/>
              <w:ind w:right="267"/>
              <w:jc w:val="right"/>
              <w:rPr>
                <w:i/>
                <w:sz w:val="17"/>
              </w:rPr>
            </w:pPr>
            <w:r>
              <w:rPr>
                <w:i/>
                <w:color w:val="231F20"/>
                <w:w w:val="105"/>
                <w:sz w:val="17"/>
              </w:rPr>
              <w:t>Hombres</w:t>
            </w:r>
          </w:p>
        </w:tc>
        <w:tc>
          <w:tcPr>
            <w:tcW w:w="806" w:type="dxa"/>
            <w:tcBorders>
              <w:top w:val="single" w:sz="3" w:space="0" w:color="231F20"/>
              <w:bottom w:val="single" w:sz="3" w:space="0" w:color="231F20"/>
            </w:tcBorders>
          </w:tcPr>
          <w:p>
            <w:pPr/>
          </w:p>
        </w:tc>
        <w:tc>
          <w:tcPr>
            <w:tcW w:w="1617" w:type="dxa"/>
            <w:tcBorders>
              <w:top w:val="single" w:sz="3" w:space="0" w:color="231F20"/>
              <w:bottom w:val="single" w:sz="3" w:space="0" w:color="231F20"/>
            </w:tcBorders>
          </w:tcPr>
          <w:p>
            <w:pPr>
              <w:pStyle w:val="TableParagraph"/>
              <w:spacing w:line="240" w:lineRule="auto" w:before="64"/>
              <w:ind w:left="191" w:right="616"/>
              <w:rPr>
                <w:i/>
                <w:sz w:val="17"/>
              </w:rPr>
            </w:pPr>
            <w:r>
              <w:rPr>
                <w:i/>
                <w:color w:val="231F20"/>
                <w:w w:val="110"/>
                <w:sz w:val="17"/>
              </w:rPr>
              <w:t>Mujeres</w:t>
            </w:r>
          </w:p>
        </w:tc>
      </w:tr>
      <w:tr>
        <w:trPr>
          <w:trHeight w:val="303" w:hRule="exact"/>
        </w:trPr>
        <w:tc>
          <w:tcPr>
            <w:tcW w:w="2936" w:type="dxa"/>
            <w:tcBorders>
              <w:top w:val="single" w:sz="3" w:space="0" w:color="231F20"/>
            </w:tcBorders>
          </w:tcPr>
          <w:p>
            <w:pPr>
              <w:pStyle w:val="TableParagraph"/>
              <w:spacing w:line="240" w:lineRule="auto" w:before="84"/>
              <w:ind w:left="579"/>
              <w:jc w:val="left"/>
              <w:rPr>
                <w:sz w:val="17"/>
              </w:rPr>
            </w:pPr>
            <w:r>
              <w:rPr>
                <w:color w:val="231F20"/>
                <w:w w:val="110"/>
                <w:sz w:val="17"/>
              </w:rPr>
              <w:t>No unidos</w:t>
            </w:r>
          </w:p>
        </w:tc>
        <w:tc>
          <w:tcPr>
            <w:tcW w:w="1601" w:type="dxa"/>
            <w:tcBorders>
              <w:top w:val="single" w:sz="3" w:space="0" w:color="231F20"/>
            </w:tcBorders>
          </w:tcPr>
          <w:p>
            <w:pPr>
              <w:pStyle w:val="TableParagraph"/>
              <w:spacing w:line="240" w:lineRule="auto" w:before="84"/>
              <w:ind w:right="229"/>
              <w:jc w:val="right"/>
              <w:rPr>
                <w:sz w:val="17"/>
              </w:rPr>
            </w:pPr>
            <w:r>
              <w:rPr>
                <w:color w:val="231F20"/>
                <w:sz w:val="17"/>
              </w:rPr>
              <w:t>1’143,817</w:t>
            </w:r>
          </w:p>
        </w:tc>
        <w:tc>
          <w:tcPr>
            <w:tcW w:w="806" w:type="dxa"/>
            <w:tcBorders>
              <w:top w:val="single" w:sz="3" w:space="0" w:color="231F20"/>
            </w:tcBorders>
          </w:tcPr>
          <w:p>
            <w:pPr/>
          </w:p>
        </w:tc>
        <w:tc>
          <w:tcPr>
            <w:tcW w:w="1617" w:type="dxa"/>
            <w:tcBorders>
              <w:top w:val="single" w:sz="3" w:space="0" w:color="231F20"/>
            </w:tcBorders>
          </w:tcPr>
          <w:p>
            <w:pPr>
              <w:pStyle w:val="TableParagraph"/>
              <w:spacing w:line="240" w:lineRule="auto" w:before="84"/>
              <w:ind w:left="191" w:right="616"/>
              <w:rPr>
                <w:sz w:val="17"/>
              </w:rPr>
            </w:pPr>
            <w:r>
              <w:rPr>
                <w:color w:val="231F20"/>
                <w:w w:val="105"/>
                <w:sz w:val="17"/>
              </w:rPr>
              <w:t>1’028,351</w:t>
            </w:r>
          </w:p>
        </w:tc>
      </w:tr>
      <w:tr>
        <w:trPr>
          <w:trHeight w:val="210" w:hRule="exact"/>
        </w:trPr>
        <w:tc>
          <w:tcPr>
            <w:tcW w:w="2936" w:type="dxa"/>
          </w:tcPr>
          <w:p>
            <w:pPr/>
          </w:p>
        </w:tc>
        <w:tc>
          <w:tcPr>
            <w:tcW w:w="1601" w:type="dxa"/>
          </w:tcPr>
          <w:p>
            <w:pPr>
              <w:pStyle w:val="TableParagraph"/>
              <w:ind w:left="823"/>
              <w:jc w:val="left"/>
              <w:rPr>
                <w:sz w:val="17"/>
              </w:rPr>
            </w:pPr>
            <w:r>
              <w:rPr>
                <w:color w:val="231F20"/>
                <w:w w:val="105"/>
                <w:sz w:val="17"/>
              </w:rPr>
              <w:t>81.0</w:t>
            </w:r>
          </w:p>
        </w:tc>
        <w:tc>
          <w:tcPr>
            <w:tcW w:w="806" w:type="dxa"/>
          </w:tcPr>
          <w:p>
            <w:pPr/>
          </w:p>
        </w:tc>
        <w:tc>
          <w:tcPr>
            <w:tcW w:w="1617" w:type="dxa"/>
          </w:tcPr>
          <w:p>
            <w:pPr>
              <w:pStyle w:val="TableParagraph"/>
              <w:ind w:left="191" w:right="616"/>
              <w:rPr>
                <w:sz w:val="17"/>
              </w:rPr>
            </w:pPr>
            <w:r>
              <w:rPr>
                <w:color w:val="231F20"/>
                <w:w w:val="105"/>
                <w:sz w:val="17"/>
              </w:rPr>
              <w:t>71.5</w:t>
            </w:r>
          </w:p>
        </w:tc>
      </w:tr>
      <w:tr>
        <w:trPr>
          <w:trHeight w:val="210" w:hRule="exact"/>
        </w:trPr>
        <w:tc>
          <w:tcPr>
            <w:tcW w:w="2936" w:type="dxa"/>
          </w:tcPr>
          <w:p>
            <w:pPr>
              <w:pStyle w:val="TableParagraph"/>
              <w:ind w:left="579"/>
              <w:jc w:val="left"/>
              <w:rPr>
                <w:sz w:val="17"/>
              </w:rPr>
            </w:pPr>
            <w:r>
              <w:rPr>
                <w:color w:val="231F20"/>
                <w:w w:val="110"/>
                <w:sz w:val="17"/>
              </w:rPr>
              <w:t>Unidos autónomos</w:t>
            </w:r>
          </w:p>
        </w:tc>
        <w:tc>
          <w:tcPr>
            <w:tcW w:w="1601" w:type="dxa"/>
          </w:tcPr>
          <w:p>
            <w:pPr>
              <w:pStyle w:val="TableParagraph"/>
              <w:ind w:right="298"/>
              <w:jc w:val="right"/>
              <w:rPr>
                <w:sz w:val="17"/>
              </w:rPr>
            </w:pPr>
            <w:r>
              <w:rPr>
                <w:color w:val="231F20"/>
                <w:sz w:val="17"/>
              </w:rPr>
              <w:t>119,867</w:t>
            </w:r>
          </w:p>
        </w:tc>
        <w:tc>
          <w:tcPr>
            <w:tcW w:w="806" w:type="dxa"/>
          </w:tcPr>
          <w:p>
            <w:pPr/>
          </w:p>
        </w:tc>
        <w:tc>
          <w:tcPr>
            <w:tcW w:w="1617" w:type="dxa"/>
          </w:tcPr>
          <w:p>
            <w:pPr>
              <w:pStyle w:val="TableParagraph"/>
              <w:ind w:left="191" w:right="616"/>
              <w:rPr>
                <w:sz w:val="17"/>
              </w:rPr>
            </w:pPr>
            <w:r>
              <w:rPr>
                <w:color w:val="231F20"/>
                <w:w w:val="105"/>
                <w:sz w:val="17"/>
              </w:rPr>
              <w:t>206,779</w:t>
            </w:r>
          </w:p>
        </w:tc>
      </w:tr>
      <w:tr>
        <w:trPr>
          <w:trHeight w:val="210" w:hRule="exact"/>
        </w:trPr>
        <w:tc>
          <w:tcPr>
            <w:tcW w:w="2936" w:type="dxa"/>
          </w:tcPr>
          <w:p>
            <w:pPr/>
          </w:p>
        </w:tc>
        <w:tc>
          <w:tcPr>
            <w:tcW w:w="1601" w:type="dxa"/>
          </w:tcPr>
          <w:p>
            <w:pPr>
              <w:pStyle w:val="TableParagraph"/>
              <w:ind w:left="871"/>
              <w:jc w:val="left"/>
              <w:rPr>
                <w:sz w:val="17"/>
              </w:rPr>
            </w:pPr>
            <w:r>
              <w:rPr>
                <w:color w:val="231F20"/>
                <w:w w:val="105"/>
                <w:sz w:val="17"/>
              </w:rPr>
              <w:t>8.5</w:t>
            </w:r>
          </w:p>
        </w:tc>
        <w:tc>
          <w:tcPr>
            <w:tcW w:w="806" w:type="dxa"/>
          </w:tcPr>
          <w:p>
            <w:pPr/>
          </w:p>
        </w:tc>
        <w:tc>
          <w:tcPr>
            <w:tcW w:w="1617" w:type="dxa"/>
          </w:tcPr>
          <w:p>
            <w:pPr>
              <w:pStyle w:val="TableParagraph"/>
              <w:ind w:left="191" w:right="616"/>
              <w:rPr>
                <w:sz w:val="17"/>
              </w:rPr>
            </w:pPr>
            <w:r>
              <w:rPr>
                <w:color w:val="231F20"/>
                <w:w w:val="105"/>
                <w:sz w:val="17"/>
              </w:rPr>
              <w:t>14.4</w:t>
            </w:r>
          </w:p>
        </w:tc>
      </w:tr>
      <w:tr>
        <w:trPr>
          <w:trHeight w:val="210" w:hRule="exact"/>
        </w:trPr>
        <w:tc>
          <w:tcPr>
            <w:tcW w:w="2936" w:type="dxa"/>
          </w:tcPr>
          <w:p>
            <w:pPr>
              <w:pStyle w:val="TableParagraph"/>
              <w:ind w:left="580"/>
              <w:jc w:val="left"/>
              <w:rPr>
                <w:sz w:val="17"/>
              </w:rPr>
            </w:pPr>
            <w:r>
              <w:rPr>
                <w:color w:val="231F20"/>
                <w:w w:val="110"/>
                <w:sz w:val="17"/>
              </w:rPr>
              <w:t>Unidos  No autónomos</w:t>
            </w:r>
          </w:p>
        </w:tc>
        <w:tc>
          <w:tcPr>
            <w:tcW w:w="1601" w:type="dxa"/>
          </w:tcPr>
          <w:p>
            <w:pPr>
              <w:pStyle w:val="TableParagraph"/>
              <w:ind w:right="298"/>
              <w:jc w:val="right"/>
              <w:rPr>
                <w:sz w:val="17"/>
              </w:rPr>
            </w:pPr>
            <w:r>
              <w:rPr>
                <w:color w:val="231F20"/>
                <w:sz w:val="17"/>
              </w:rPr>
              <w:t>148,007</w:t>
            </w:r>
          </w:p>
        </w:tc>
        <w:tc>
          <w:tcPr>
            <w:tcW w:w="806" w:type="dxa"/>
          </w:tcPr>
          <w:p>
            <w:pPr/>
          </w:p>
        </w:tc>
        <w:tc>
          <w:tcPr>
            <w:tcW w:w="1617" w:type="dxa"/>
          </w:tcPr>
          <w:p>
            <w:pPr>
              <w:pStyle w:val="TableParagraph"/>
              <w:ind w:left="191" w:right="616"/>
              <w:rPr>
                <w:sz w:val="17"/>
              </w:rPr>
            </w:pPr>
            <w:r>
              <w:rPr>
                <w:color w:val="231F20"/>
                <w:w w:val="105"/>
                <w:sz w:val="17"/>
              </w:rPr>
              <w:t>203,604</w:t>
            </w:r>
          </w:p>
        </w:tc>
      </w:tr>
      <w:tr>
        <w:trPr>
          <w:trHeight w:val="210" w:hRule="exact"/>
        </w:trPr>
        <w:tc>
          <w:tcPr>
            <w:tcW w:w="2936" w:type="dxa"/>
          </w:tcPr>
          <w:p>
            <w:pPr/>
          </w:p>
        </w:tc>
        <w:tc>
          <w:tcPr>
            <w:tcW w:w="1601" w:type="dxa"/>
          </w:tcPr>
          <w:p>
            <w:pPr>
              <w:pStyle w:val="TableParagraph"/>
              <w:ind w:left="823"/>
              <w:jc w:val="left"/>
              <w:rPr>
                <w:sz w:val="17"/>
              </w:rPr>
            </w:pPr>
            <w:r>
              <w:rPr>
                <w:color w:val="231F20"/>
                <w:w w:val="105"/>
                <w:sz w:val="17"/>
              </w:rPr>
              <w:t>10.5</w:t>
            </w:r>
          </w:p>
        </w:tc>
        <w:tc>
          <w:tcPr>
            <w:tcW w:w="806" w:type="dxa"/>
          </w:tcPr>
          <w:p>
            <w:pPr/>
          </w:p>
        </w:tc>
        <w:tc>
          <w:tcPr>
            <w:tcW w:w="1617" w:type="dxa"/>
          </w:tcPr>
          <w:p>
            <w:pPr>
              <w:pStyle w:val="TableParagraph"/>
              <w:ind w:left="191" w:right="616"/>
              <w:rPr>
                <w:sz w:val="17"/>
              </w:rPr>
            </w:pPr>
            <w:r>
              <w:rPr>
                <w:color w:val="231F20"/>
                <w:w w:val="105"/>
                <w:sz w:val="17"/>
              </w:rPr>
              <w:t>14.2</w:t>
            </w:r>
          </w:p>
        </w:tc>
      </w:tr>
      <w:tr>
        <w:trPr>
          <w:trHeight w:val="276" w:hRule="exact"/>
        </w:trPr>
        <w:tc>
          <w:tcPr>
            <w:tcW w:w="2936" w:type="dxa"/>
            <w:tcBorders>
              <w:bottom w:val="single" w:sz="3" w:space="0" w:color="231F20"/>
            </w:tcBorders>
          </w:tcPr>
          <w:p>
            <w:pPr>
              <w:pStyle w:val="TableParagraph"/>
              <w:ind w:left="580"/>
              <w:jc w:val="left"/>
              <w:rPr>
                <w:sz w:val="17"/>
              </w:rPr>
            </w:pPr>
            <w:r>
              <w:rPr>
                <w:color w:val="231F20"/>
                <w:w w:val="105"/>
                <w:sz w:val="17"/>
              </w:rPr>
              <w:t>Total</w:t>
            </w:r>
          </w:p>
        </w:tc>
        <w:tc>
          <w:tcPr>
            <w:tcW w:w="1601" w:type="dxa"/>
            <w:tcBorders>
              <w:bottom w:val="single" w:sz="3" w:space="0" w:color="231F20"/>
            </w:tcBorders>
          </w:tcPr>
          <w:p>
            <w:pPr>
              <w:pStyle w:val="TableParagraph"/>
              <w:ind w:right="229"/>
              <w:jc w:val="right"/>
              <w:rPr>
                <w:sz w:val="17"/>
              </w:rPr>
            </w:pPr>
            <w:r>
              <w:rPr>
                <w:color w:val="231F20"/>
                <w:sz w:val="17"/>
              </w:rPr>
              <w:t>1’411,691</w:t>
            </w:r>
          </w:p>
        </w:tc>
        <w:tc>
          <w:tcPr>
            <w:tcW w:w="806" w:type="dxa"/>
            <w:tcBorders>
              <w:bottom w:val="single" w:sz="3" w:space="0" w:color="231F20"/>
            </w:tcBorders>
          </w:tcPr>
          <w:p>
            <w:pPr/>
          </w:p>
        </w:tc>
        <w:tc>
          <w:tcPr>
            <w:tcW w:w="1617" w:type="dxa"/>
            <w:tcBorders>
              <w:bottom w:val="single" w:sz="3" w:space="0" w:color="231F20"/>
            </w:tcBorders>
          </w:tcPr>
          <w:p>
            <w:pPr>
              <w:pStyle w:val="TableParagraph"/>
              <w:ind w:left="191" w:right="616"/>
              <w:rPr>
                <w:sz w:val="17"/>
              </w:rPr>
            </w:pPr>
            <w:r>
              <w:rPr>
                <w:color w:val="231F20"/>
                <w:w w:val="105"/>
                <w:sz w:val="17"/>
              </w:rPr>
              <w:t>1’438,734</w:t>
            </w:r>
          </w:p>
        </w:tc>
      </w:tr>
    </w:tbl>
    <w:p>
      <w:pPr>
        <w:spacing w:before="63"/>
        <w:ind w:left="480" w:right="0" w:firstLine="0"/>
        <w:jc w:val="left"/>
        <w:rPr>
          <w:sz w:val="15"/>
        </w:rPr>
      </w:pPr>
      <w:r>
        <w:rPr>
          <w:color w:val="231F20"/>
          <w:w w:val="110"/>
          <w:sz w:val="15"/>
        </w:rPr>
        <w:t>Fuente: Elaboración propia con base en </w:t>
      </w:r>
      <w:r>
        <w:rPr>
          <w:rFonts w:ascii="Times New Roman" w:hAnsi="Times New Roman"/>
          <w:color w:val="231F20"/>
          <w:w w:val="110"/>
          <w:sz w:val="12"/>
        </w:rPr>
        <w:t>INEGI</w:t>
      </w:r>
      <w:r>
        <w:rPr>
          <w:rFonts w:ascii="Times New Roman" w:hAnsi="Times New Roman"/>
          <w:color w:val="231F20"/>
          <w:w w:val="110"/>
          <w:sz w:val="15"/>
        </w:rPr>
        <w:t>, </w:t>
      </w:r>
      <w:r>
        <w:rPr>
          <w:color w:val="231F20"/>
          <w:w w:val="110"/>
          <w:sz w:val="15"/>
        </w:rPr>
        <w:t>XIII Censo de Población y Vivienda  2010.</w:t>
      </w:r>
    </w:p>
    <w:p>
      <w:pPr>
        <w:pStyle w:val="BodyText"/>
        <w:rPr>
          <w:sz w:val="14"/>
        </w:rPr>
      </w:pPr>
    </w:p>
    <w:p>
      <w:pPr>
        <w:pStyle w:val="BodyText"/>
        <w:rPr>
          <w:sz w:val="15"/>
        </w:rPr>
      </w:pPr>
    </w:p>
    <w:p>
      <w:pPr>
        <w:pStyle w:val="BodyText"/>
        <w:spacing w:line="288" w:lineRule="auto"/>
        <w:ind w:left="120" w:right="115" w:firstLine="360"/>
        <w:jc w:val="both"/>
      </w:pPr>
      <w:r>
        <w:rPr>
          <w:color w:val="231F20"/>
          <w:w w:val="110"/>
        </w:rPr>
        <w:t>Los hombres y las mujeres mexiquenses jóvenes se comportan dife- rente en relación con el momento de unirse; mientras que la proporción de hombres no unidos es de 81 por ciento, entre las mujeres dicha</w:t>
      </w:r>
      <w:r>
        <w:rPr>
          <w:color w:val="231F20"/>
          <w:spacing w:val="-19"/>
          <w:w w:val="110"/>
        </w:rPr>
        <w:t> </w:t>
      </w:r>
      <w:r>
        <w:rPr>
          <w:color w:val="231F20"/>
          <w:w w:val="110"/>
        </w:rPr>
        <w:t>propor- ción es de 71.5. En el capítulo anterior, los autores mostraron que la edad media a la primera unión en el Estado de México fue de 26.8 años para los hombres y 24.1 para las mujeres en 2009, lo que implica un diferencial en la edad de la unión por sexos. Las mujeres unidas se reparten en</w:t>
      </w:r>
      <w:r>
        <w:rPr>
          <w:color w:val="231F20"/>
          <w:spacing w:val="38"/>
          <w:w w:val="110"/>
        </w:rPr>
        <w:t> </w:t>
      </w:r>
      <w:r>
        <w:rPr>
          <w:color w:val="231F20"/>
          <w:w w:val="110"/>
        </w:rPr>
        <w:t>idénticas</w:t>
      </w:r>
    </w:p>
    <w:p>
      <w:pPr>
        <w:spacing w:after="0" w:line="288" w:lineRule="auto"/>
        <w:jc w:val="both"/>
        <w:sectPr>
          <w:pgSz w:w="9520" w:h="12920"/>
          <w:pgMar w:header="0" w:footer="1344" w:top="880" w:bottom="1540" w:left="1000" w:right="1320"/>
        </w:sectPr>
      </w:pPr>
    </w:p>
    <w:p>
      <w:pPr>
        <w:pStyle w:val="BodyText"/>
        <w:spacing w:line="288" w:lineRule="auto" w:before="42"/>
        <w:ind w:left="124" w:right="114"/>
        <w:jc w:val="both"/>
      </w:pPr>
      <w:r>
        <w:rPr>
          <w:color w:val="231F20"/>
          <w:w w:val="110"/>
        </w:rPr>
        <w:t>proporciones entre autónomas y no autónomas. En cambio, entre los va- rones unidos predominan aquellos para quienes haberse unido no supuso la</w:t>
      </w:r>
      <w:r>
        <w:rPr>
          <w:color w:val="231F20"/>
          <w:spacing w:val="-6"/>
          <w:w w:val="110"/>
        </w:rPr>
        <w:t> </w:t>
      </w:r>
      <w:r>
        <w:rPr>
          <w:color w:val="231F20"/>
          <w:w w:val="110"/>
        </w:rPr>
        <w:t>jefatura</w:t>
      </w:r>
      <w:r>
        <w:rPr>
          <w:color w:val="231F20"/>
          <w:spacing w:val="-6"/>
          <w:w w:val="110"/>
        </w:rPr>
        <w:t> </w:t>
      </w:r>
      <w:r>
        <w:rPr>
          <w:color w:val="231F20"/>
          <w:w w:val="110"/>
        </w:rPr>
        <w:t>del</w:t>
      </w:r>
      <w:r>
        <w:rPr>
          <w:color w:val="231F20"/>
          <w:spacing w:val="-6"/>
          <w:w w:val="110"/>
        </w:rPr>
        <w:t> </w:t>
      </w:r>
      <w:r>
        <w:rPr>
          <w:color w:val="231F20"/>
          <w:w w:val="110"/>
        </w:rPr>
        <w:t>hogar</w:t>
      </w:r>
      <w:r>
        <w:rPr>
          <w:color w:val="231F20"/>
          <w:spacing w:val="-6"/>
          <w:w w:val="110"/>
        </w:rPr>
        <w:t> </w:t>
      </w:r>
      <w:r>
        <w:rPr>
          <w:color w:val="231F20"/>
          <w:w w:val="110"/>
        </w:rPr>
        <w:t>ni</w:t>
      </w:r>
      <w:r>
        <w:rPr>
          <w:color w:val="231F20"/>
          <w:spacing w:val="-6"/>
          <w:w w:val="110"/>
        </w:rPr>
        <w:t> </w:t>
      </w:r>
      <w:r>
        <w:rPr>
          <w:color w:val="231F20"/>
          <w:w w:val="110"/>
        </w:rPr>
        <w:t>la</w:t>
      </w:r>
      <w:r>
        <w:rPr>
          <w:color w:val="231F20"/>
          <w:spacing w:val="-6"/>
          <w:w w:val="110"/>
        </w:rPr>
        <w:t> </w:t>
      </w:r>
      <w:r>
        <w:rPr>
          <w:color w:val="231F20"/>
          <w:w w:val="110"/>
        </w:rPr>
        <w:t>autonomía</w:t>
      </w:r>
      <w:r>
        <w:rPr>
          <w:color w:val="231F20"/>
          <w:spacing w:val="-6"/>
          <w:w w:val="110"/>
        </w:rPr>
        <w:t> </w:t>
      </w:r>
      <w:r>
        <w:rPr>
          <w:color w:val="231F20"/>
          <w:w w:val="110"/>
        </w:rPr>
        <w:t>residencial.</w:t>
      </w:r>
      <w:r>
        <w:rPr>
          <w:color w:val="231F20"/>
          <w:spacing w:val="-6"/>
          <w:w w:val="110"/>
        </w:rPr>
        <w:t> </w:t>
      </w:r>
      <w:r>
        <w:rPr>
          <w:color w:val="231F20"/>
          <w:w w:val="110"/>
        </w:rPr>
        <w:t>Es</w:t>
      </w:r>
      <w:r>
        <w:rPr>
          <w:color w:val="231F20"/>
          <w:spacing w:val="-6"/>
          <w:w w:val="110"/>
        </w:rPr>
        <w:t> </w:t>
      </w:r>
      <w:r>
        <w:rPr>
          <w:color w:val="231F20"/>
          <w:w w:val="110"/>
        </w:rPr>
        <w:t>más</w:t>
      </w:r>
      <w:r>
        <w:rPr>
          <w:color w:val="231F20"/>
          <w:spacing w:val="-6"/>
          <w:w w:val="110"/>
        </w:rPr>
        <w:t> </w:t>
      </w:r>
      <w:r>
        <w:rPr>
          <w:color w:val="231F20"/>
          <w:w w:val="110"/>
        </w:rPr>
        <w:t>frecuente</w:t>
      </w:r>
      <w:r>
        <w:rPr>
          <w:color w:val="231F20"/>
          <w:spacing w:val="-6"/>
          <w:w w:val="110"/>
        </w:rPr>
        <w:t> </w:t>
      </w:r>
      <w:r>
        <w:rPr>
          <w:color w:val="231F20"/>
          <w:w w:val="110"/>
        </w:rPr>
        <w:t>entre</w:t>
      </w:r>
      <w:r>
        <w:rPr>
          <w:color w:val="231F20"/>
          <w:spacing w:val="-6"/>
          <w:w w:val="110"/>
        </w:rPr>
        <w:t> </w:t>
      </w:r>
      <w:r>
        <w:rPr>
          <w:color w:val="231F20"/>
          <w:w w:val="110"/>
        </w:rPr>
        <w:t>las mujeres</w:t>
      </w:r>
      <w:r>
        <w:rPr>
          <w:color w:val="231F20"/>
          <w:spacing w:val="-15"/>
          <w:w w:val="110"/>
        </w:rPr>
        <w:t> </w:t>
      </w:r>
      <w:r>
        <w:rPr>
          <w:color w:val="231F20"/>
          <w:w w:val="110"/>
        </w:rPr>
        <w:t>que</w:t>
      </w:r>
      <w:r>
        <w:rPr>
          <w:color w:val="231F20"/>
          <w:spacing w:val="-15"/>
          <w:w w:val="110"/>
        </w:rPr>
        <w:t> </w:t>
      </w:r>
      <w:r>
        <w:rPr>
          <w:color w:val="231F20"/>
          <w:w w:val="110"/>
        </w:rPr>
        <w:t>entre</w:t>
      </w:r>
      <w:r>
        <w:rPr>
          <w:color w:val="231F20"/>
          <w:spacing w:val="-15"/>
          <w:w w:val="110"/>
        </w:rPr>
        <w:t> </w:t>
      </w:r>
      <w:r>
        <w:rPr>
          <w:color w:val="231F20"/>
          <w:w w:val="110"/>
        </w:rPr>
        <w:t>los</w:t>
      </w:r>
      <w:r>
        <w:rPr>
          <w:color w:val="231F20"/>
          <w:spacing w:val="-15"/>
          <w:w w:val="110"/>
        </w:rPr>
        <w:t> </w:t>
      </w:r>
      <w:r>
        <w:rPr>
          <w:color w:val="231F20"/>
          <w:w w:val="110"/>
        </w:rPr>
        <w:t>hombres</w:t>
      </w:r>
      <w:r>
        <w:rPr>
          <w:color w:val="231F20"/>
          <w:spacing w:val="-15"/>
          <w:w w:val="110"/>
        </w:rPr>
        <w:t> </w:t>
      </w:r>
      <w:r>
        <w:rPr>
          <w:color w:val="231F20"/>
          <w:w w:val="110"/>
        </w:rPr>
        <w:t>que</w:t>
      </w:r>
      <w:r>
        <w:rPr>
          <w:color w:val="231F20"/>
          <w:spacing w:val="-15"/>
          <w:w w:val="110"/>
        </w:rPr>
        <w:t> </w:t>
      </w:r>
      <w:r>
        <w:rPr>
          <w:color w:val="231F20"/>
          <w:w w:val="110"/>
        </w:rPr>
        <w:t>la</w:t>
      </w:r>
      <w:r>
        <w:rPr>
          <w:color w:val="231F20"/>
          <w:spacing w:val="-15"/>
          <w:w w:val="110"/>
        </w:rPr>
        <w:t> </w:t>
      </w:r>
      <w:r>
        <w:rPr>
          <w:color w:val="231F20"/>
          <w:w w:val="110"/>
        </w:rPr>
        <w:t>unión</w:t>
      </w:r>
      <w:r>
        <w:rPr>
          <w:color w:val="231F20"/>
          <w:spacing w:val="-15"/>
          <w:w w:val="110"/>
        </w:rPr>
        <w:t> </w:t>
      </w:r>
      <w:r>
        <w:rPr>
          <w:color w:val="231F20"/>
          <w:w w:val="110"/>
        </w:rPr>
        <w:t>conyugal</w:t>
      </w:r>
      <w:r>
        <w:rPr>
          <w:color w:val="231F20"/>
          <w:spacing w:val="-15"/>
          <w:w w:val="110"/>
        </w:rPr>
        <w:t> </w:t>
      </w:r>
      <w:r>
        <w:rPr>
          <w:color w:val="231F20"/>
          <w:w w:val="110"/>
        </w:rPr>
        <w:t>sea</w:t>
      </w:r>
      <w:r>
        <w:rPr>
          <w:color w:val="231F20"/>
          <w:spacing w:val="-15"/>
          <w:w w:val="110"/>
        </w:rPr>
        <w:t> </w:t>
      </w:r>
      <w:r>
        <w:rPr>
          <w:color w:val="231F20"/>
          <w:w w:val="110"/>
        </w:rPr>
        <w:t>de</w:t>
      </w:r>
      <w:r>
        <w:rPr>
          <w:color w:val="231F20"/>
          <w:spacing w:val="-15"/>
          <w:w w:val="110"/>
        </w:rPr>
        <w:t> </w:t>
      </w:r>
      <w:r>
        <w:rPr>
          <w:color w:val="231F20"/>
          <w:w w:val="110"/>
        </w:rPr>
        <w:t>tipo</w:t>
      </w:r>
      <w:r>
        <w:rPr>
          <w:color w:val="231F20"/>
          <w:spacing w:val="-15"/>
          <w:w w:val="110"/>
        </w:rPr>
        <w:t> </w:t>
      </w:r>
      <w:r>
        <w:rPr>
          <w:color w:val="231F20"/>
          <w:w w:val="110"/>
        </w:rPr>
        <w:t>autónoma.</w:t>
      </w:r>
    </w:p>
    <w:p>
      <w:pPr>
        <w:pStyle w:val="BodyText"/>
      </w:pPr>
    </w:p>
    <w:p>
      <w:pPr>
        <w:pStyle w:val="BodyText"/>
        <w:spacing w:before="10"/>
        <w:rPr>
          <w:sz w:val="24"/>
        </w:rPr>
      </w:pPr>
    </w:p>
    <w:p>
      <w:pPr>
        <w:spacing w:before="0"/>
        <w:ind w:left="124" w:right="0" w:firstLine="0"/>
        <w:jc w:val="both"/>
        <w:rPr>
          <w:rFonts w:ascii="Times New Roman"/>
          <w:i/>
          <w:sz w:val="19"/>
        </w:rPr>
      </w:pPr>
      <w:r>
        <w:rPr>
          <w:rFonts w:ascii="Times New Roman"/>
          <w:i/>
          <w:color w:val="231F20"/>
          <w:w w:val="95"/>
          <w:sz w:val="24"/>
        </w:rPr>
        <w:t>T</w:t>
      </w:r>
      <w:r>
        <w:rPr>
          <w:rFonts w:ascii="Times New Roman"/>
          <w:i/>
          <w:color w:val="231F20"/>
          <w:w w:val="95"/>
          <w:sz w:val="19"/>
        </w:rPr>
        <w:t>ENER HIJOS</w:t>
      </w:r>
    </w:p>
    <w:p>
      <w:pPr>
        <w:pStyle w:val="BodyText"/>
        <w:spacing w:before="9"/>
        <w:rPr>
          <w:rFonts w:ascii="Times New Roman"/>
          <w:i/>
          <w:sz w:val="27"/>
        </w:rPr>
      </w:pPr>
    </w:p>
    <w:p>
      <w:pPr>
        <w:pStyle w:val="BodyText"/>
        <w:spacing w:line="288" w:lineRule="auto"/>
        <w:ind w:left="124" w:right="112"/>
        <w:jc w:val="both"/>
      </w:pPr>
      <w:r>
        <w:rPr>
          <w:color w:val="231F20"/>
          <w:w w:val="110"/>
        </w:rPr>
        <w:t>La</w:t>
      </w:r>
      <w:r>
        <w:rPr>
          <w:color w:val="231F20"/>
          <w:spacing w:val="-8"/>
          <w:w w:val="110"/>
        </w:rPr>
        <w:t> </w:t>
      </w:r>
      <w:r>
        <w:rPr>
          <w:color w:val="231F20"/>
          <w:w w:val="110"/>
        </w:rPr>
        <w:t>llegada</w:t>
      </w:r>
      <w:r>
        <w:rPr>
          <w:color w:val="231F20"/>
          <w:spacing w:val="-8"/>
          <w:w w:val="110"/>
        </w:rPr>
        <w:t> </w:t>
      </w:r>
      <w:r>
        <w:rPr>
          <w:color w:val="231F20"/>
          <w:w w:val="110"/>
        </w:rPr>
        <w:t>del</w:t>
      </w:r>
      <w:r>
        <w:rPr>
          <w:color w:val="231F20"/>
          <w:spacing w:val="-8"/>
          <w:w w:val="110"/>
        </w:rPr>
        <w:t> </w:t>
      </w:r>
      <w:r>
        <w:rPr>
          <w:color w:val="231F20"/>
          <w:w w:val="110"/>
        </w:rPr>
        <w:t>primer</w:t>
      </w:r>
      <w:r>
        <w:rPr>
          <w:color w:val="231F20"/>
          <w:spacing w:val="-8"/>
          <w:w w:val="110"/>
        </w:rPr>
        <w:t> </w:t>
      </w:r>
      <w:r>
        <w:rPr>
          <w:color w:val="231F20"/>
          <w:w w:val="110"/>
        </w:rPr>
        <w:t>hijo</w:t>
      </w:r>
      <w:r>
        <w:rPr>
          <w:color w:val="231F20"/>
          <w:spacing w:val="-8"/>
          <w:w w:val="110"/>
        </w:rPr>
        <w:t> </w:t>
      </w:r>
      <w:r>
        <w:rPr>
          <w:color w:val="231F20"/>
          <w:w w:val="110"/>
        </w:rPr>
        <w:t>es</w:t>
      </w:r>
      <w:r>
        <w:rPr>
          <w:color w:val="231F20"/>
          <w:spacing w:val="-8"/>
          <w:w w:val="110"/>
        </w:rPr>
        <w:t> </w:t>
      </w:r>
      <w:r>
        <w:rPr>
          <w:color w:val="231F20"/>
          <w:w w:val="110"/>
        </w:rPr>
        <w:t>otro</w:t>
      </w:r>
      <w:r>
        <w:rPr>
          <w:color w:val="231F20"/>
          <w:spacing w:val="-8"/>
          <w:w w:val="110"/>
        </w:rPr>
        <w:t> </w:t>
      </w:r>
      <w:r>
        <w:rPr>
          <w:color w:val="231F20"/>
          <w:w w:val="110"/>
        </w:rPr>
        <w:t>marcador</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transición</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adultez.</w:t>
      </w:r>
      <w:r>
        <w:rPr>
          <w:color w:val="231F20"/>
          <w:spacing w:val="-8"/>
          <w:w w:val="110"/>
        </w:rPr>
        <w:t> </w:t>
      </w:r>
      <w:r>
        <w:rPr>
          <w:color w:val="231F20"/>
          <w:w w:val="110"/>
        </w:rPr>
        <w:t>La- </w:t>
      </w:r>
      <w:r>
        <w:rPr>
          <w:color w:val="231F20"/>
          <w:spacing w:val="2"/>
          <w:w w:val="110"/>
        </w:rPr>
        <w:t>mentablemente </w:t>
      </w:r>
      <w:r>
        <w:rPr>
          <w:color w:val="231F20"/>
          <w:w w:val="110"/>
        </w:rPr>
        <w:t>con </w:t>
      </w:r>
      <w:r>
        <w:rPr>
          <w:color w:val="231F20"/>
          <w:spacing w:val="2"/>
          <w:w w:val="110"/>
        </w:rPr>
        <w:t>nuestra fuente </w:t>
      </w:r>
      <w:r>
        <w:rPr>
          <w:color w:val="231F20"/>
          <w:w w:val="110"/>
        </w:rPr>
        <w:t>de </w:t>
      </w:r>
      <w:r>
        <w:rPr>
          <w:color w:val="231F20"/>
          <w:spacing w:val="2"/>
          <w:w w:val="110"/>
        </w:rPr>
        <w:t>datos sólo puede obtenerse esta </w:t>
      </w:r>
      <w:r>
        <w:rPr>
          <w:color w:val="231F20"/>
          <w:w w:val="110"/>
        </w:rPr>
        <w:t>información para el caso de las mujeres. Este evento resulta un aconteci- miento clave en la biografía de los jóvenes, pues las parejas adquieren</w:t>
      </w:r>
      <w:r>
        <w:rPr>
          <w:color w:val="231F20"/>
          <w:spacing w:val="-15"/>
          <w:w w:val="110"/>
        </w:rPr>
        <w:t> </w:t>
      </w:r>
      <w:r>
        <w:rPr>
          <w:color w:val="231F20"/>
          <w:w w:val="110"/>
        </w:rPr>
        <w:t>más responsabilidades relacionadas con la manutención no sólo de ellos mis- mos, sino del nuevo integrante de su familia, además de la necesidad de inversión de tiempo en el cuidado de</w:t>
      </w:r>
      <w:r>
        <w:rPr>
          <w:color w:val="231F20"/>
          <w:spacing w:val="41"/>
          <w:w w:val="110"/>
        </w:rPr>
        <w:t> </w:t>
      </w:r>
      <w:r>
        <w:rPr>
          <w:color w:val="231F20"/>
          <w:w w:val="110"/>
        </w:rPr>
        <w:t>éste.</w:t>
      </w:r>
    </w:p>
    <w:p>
      <w:pPr>
        <w:pStyle w:val="BodyText"/>
        <w:spacing w:before="4"/>
      </w:pPr>
    </w:p>
    <w:p>
      <w:pPr>
        <w:spacing w:line="185" w:lineRule="exact" w:before="0"/>
        <w:ind w:left="465" w:right="457" w:firstLine="0"/>
        <w:jc w:val="center"/>
        <w:rPr>
          <w:sz w:val="16"/>
        </w:rPr>
      </w:pPr>
      <w:r>
        <w:rPr>
          <w:color w:val="231F20"/>
          <w:w w:val="105"/>
          <w:sz w:val="16"/>
        </w:rPr>
        <w:t>Cuadro 2</w:t>
      </w:r>
    </w:p>
    <w:p>
      <w:pPr>
        <w:spacing w:line="220" w:lineRule="exact" w:before="0"/>
        <w:ind w:left="465" w:right="457" w:firstLine="0"/>
        <w:jc w:val="center"/>
        <w:rPr>
          <w:sz w:val="19"/>
        </w:rPr>
      </w:pPr>
      <w:r>
        <w:rPr>
          <w:color w:val="231F20"/>
          <w:w w:val="90"/>
          <w:sz w:val="19"/>
        </w:rPr>
        <w:t>2010. Estado de México. Proporción de mujeres de 15 a 24 años de edad con hijos</w:t>
      </w:r>
    </w:p>
    <w:p>
      <w:pPr>
        <w:pStyle w:val="BodyText"/>
        <w:spacing w:before="2"/>
        <w:rPr>
          <w:sz w:val="17"/>
        </w:rPr>
      </w:pPr>
    </w:p>
    <w:tbl>
      <w:tblPr>
        <w:tblW w:w="0" w:type="auto"/>
        <w:jc w:val="left"/>
        <w:tblInd w:w="12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36"/>
        <w:gridCol w:w="840"/>
        <w:gridCol w:w="883"/>
        <w:gridCol w:w="714"/>
        <w:gridCol w:w="1987"/>
      </w:tblGrid>
      <w:tr>
        <w:trPr>
          <w:trHeight w:val="350" w:hRule="exact"/>
        </w:trPr>
        <w:tc>
          <w:tcPr>
            <w:tcW w:w="4259" w:type="dxa"/>
            <w:gridSpan w:val="3"/>
            <w:tcBorders>
              <w:top w:val="single" w:sz="3" w:space="0" w:color="231F20"/>
            </w:tcBorders>
          </w:tcPr>
          <w:p>
            <w:pPr/>
          </w:p>
        </w:tc>
        <w:tc>
          <w:tcPr>
            <w:tcW w:w="714" w:type="dxa"/>
            <w:tcBorders>
              <w:top w:val="single" w:sz="3" w:space="0" w:color="231F20"/>
              <w:bottom w:val="single" w:sz="3" w:space="0" w:color="231F20"/>
            </w:tcBorders>
          </w:tcPr>
          <w:p>
            <w:pPr>
              <w:pStyle w:val="TableParagraph"/>
              <w:spacing w:line="240" w:lineRule="auto" w:before="84"/>
              <w:ind w:left="296"/>
              <w:jc w:val="left"/>
              <w:rPr>
                <w:i/>
                <w:sz w:val="17"/>
              </w:rPr>
            </w:pPr>
            <w:r>
              <w:rPr>
                <w:i/>
                <w:color w:val="231F20"/>
                <w:w w:val="110"/>
                <w:sz w:val="17"/>
              </w:rPr>
              <w:t>Hijos</w:t>
            </w:r>
          </w:p>
        </w:tc>
        <w:tc>
          <w:tcPr>
            <w:tcW w:w="1987" w:type="dxa"/>
            <w:tcBorders>
              <w:top w:val="single" w:sz="3" w:space="0" w:color="231F20"/>
              <w:bottom w:val="single" w:sz="3" w:space="0" w:color="231F20"/>
            </w:tcBorders>
          </w:tcPr>
          <w:p>
            <w:pPr/>
          </w:p>
        </w:tc>
      </w:tr>
      <w:tr>
        <w:trPr>
          <w:trHeight w:val="370" w:hRule="exact"/>
        </w:trPr>
        <w:tc>
          <w:tcPr>
            <w:tcW w:w="2536" w:type="dxa"/>
            <w:tcBorders>
              <w:bottom w:val="single" w:sz="3" w:space="0" w:color="231F20"/>
            </w:tcBorders>
          </w:tcPr>
          <w:p>
            <w:pPr>
              <w:pStyle w:val="TableParagraph"/>
              <w:spacing w:line="240" w:lineRule="auto" w:before="88"/>
              <w:ind w:left="526"/>
              <w:jc w:val="left"/>
              <w:rPr>
                <w:i/>
                <w:sz w:val="17"/>
              </w:rPr>
            </w:pPr>
            <w:r>
              <w:rPr>
                <w:i/>
                <w:color w:val="231F20"/>
                <w:w w:val="105"/>
                <w:sz w:val="17"/>
              </w:rPr>
              <w:t>Condición  de Unión</w:t>
            </w:r>
          </w:p>
        </w:tc>
        <w:tc>
          <w:tcPr>
            <w:tcW w:w="840" w:type="dxa"/>
            <w:tcBorders>
              <w:top w:val="single" w:sz="3" w:space="0" w:color="231F20"/>
              <w:bottom w:val="single" w:sz="3" w:space="0" w:color="231F20"/>
            </w:tcBorders>
          </w:tcPr>
          <w:p>
            <w:pPr>
              <w:pStyle w:val="TableParagraph"/>
              <w:spacing w:line="240" w:lineRule="auto" w:before="64"/>
              <w:ind w:left="233" w:right="233"/>
              <w:rPr>
                <w:i/>
                <w:sz w:val="17"/>
              </w:rPr>
            </w:pPr>
            <w:r>
              <w:rPr>
                <w:i/>
                <w:color w:val="231F20"/>
                <w:w w:val="115"/>
                <w:sz w:val="17"/>
              </w:rPr>
              <w:t>Sí</w:t>
            </w:r>
          </w:p>
        </w:tc>
        <w:tc>
          <w:tcPr>
            <w:tcW w:w="883" w:type="dxa"/>
            <w:tcBorders>
              <w:top w:val="single" w:sz="3" w:space="0" w:color="231F20"/>
              <w:bottom w:val="single" w:sz="3" w:space="0" w:color="231F20"/>
            </w:tcBorders>
          </w:tcPr>
          <w:p>
            <w:pPr>
              <w:pStyle w:val="TableParagraph"/>
              <w:spacing w:line="240" w:lineRule="auto" w:before="64"/>
              <w:ind w:left="234" w:right="275"/>
              <w:rPr>
                <w:i/>
                <w:sz w:val="17"/>
              </w:rPr>
            </w:pPr>
            <w:r>
              <w:rPr>
                <w:i/>
                <w:color w:val="231F20"/>
                <w:w w:val="105"/>
                <w:sz w:val="17"/>
              </w:rPr>
              <w:t>No</w:t>
            </w:r>
          </w:p>
        </w:tc>
        <w:tc>
          <w:tcPr>
            <w:tcW w:w="714" w:type="dxa"/>
            <w:tcBorders>
              <w:top w:val="single" w:sz="3" w:space="0" w:color="231F20"/>
              <w:bottom w:val="single" w:sz="3" w:space="0" w:color="231F20"/>
            </w:tcBorders>
          </w:tcPr>
          <w:p>
            <w:pPr/>
          </w:p>
        </w:tc>
        <w:tc>
          <w:tcPr>
            <w:tcW w:w="1987" w:type="dxa"/>
            <w:tcBorders>
              <w:top w:val="single" w:sz="3" w:space="0" w:color="231F20"/>
              <w:bottom w:val="single" w:sz="3" w:space="0" w:color="231F20"/>
            </w:tcBorders>
          </w:tcPr>
          <w:p>
            <w:pPr>
              <w:pStyle w:val="TableParagraph"/>
              <w:spacing w:line="240" w:lineRule="auto" w:before="64"/>
              <w:ind w:left="17" w:right="772"/>
              <w:rPr>
                <w:i/>
                <w:sz w:val="17"/>
              </w:rPr>
            </w:pPr>
            <w:r>
              <w:rPr>
                <w:i/>
                <w:color w:val="231F20"/>
                <w:w w:val="105"/>
                <w:sz w:val="17"/>
              </w:rPr>
              <w:t>No especificado</w:t>
            </w:r>
          </w:p>
        </w:tc>
      </w:tr>
      <w:tr>
        <w:trPr>
          <w:trHeight w:val="303" w:hRule="exact"/>
        </w:trPr>
        <w:tc>
          <w:tcPr>
            <w:tcW w:w="2536" w:type="dxa"/>
            <w:tcBorders>
              <w:top w:val="single" w:sz="3" w:space="0" w:color="231F20"/>
            </w:tcBorders>
          </w:tcPr>
          <w:p>
            <w:pPr>
              <w:pStyle w:val="TableParagraph"/>
              <w:spacing w:line="240" w:lineRule="auto" w:before="84"/>
              <w:ind w:left="479"/>
              <w:jc w:val="left"/>
              <w:rPr>
                <w:sz w:val="17"/>
              </w:rPr>
            </w:pPr>
            <w:r>
              <w:rPr>
                <w:color w:val="231F20"/>
                <w:w w:val="115"/>
                <w:sz w:val="17"/>
              </w:rPr>
              <w:t>No unidas</w:t>
            </w:r>
          </w:p>
        </w:tc>
        <w:tc>
          <w:tcPr>
            <w:tcW w:w="840" w:type="dxa"/>
            <w:tcBorders>
              <w:top w:val="single" w:sz="3" w:space="0" w:color="231F20"/>
            </w:tcBorders>
          </w:tcPr>
          <w:p>
            <w:pPr>
              <w:pStyle w:val="TableParagraph"/>
              <w:spacing w:line="240" w:lineRule="auto" w:before="84"/>
              <w:ind w:left="233" w:right="137"/>
              <w:rPr>
                <w:sz w:val="17"/>
              </w:rPr>
            </w:pPr>
            <w:r>
              <w:rPr>
                <w:color w:val="231F20"/>
                <w:w w:val="105"/>
                <w:sz w:val="17"/>
              </w:rPr>
              <w:t>9.3</w:t>
            </w:r>
          </w:p>
        </w:tc>
        <w:tc>
          <w:tcPr>
            <w:tcW w:w="883" w:type="dxa"/>
            <w:tcBorders>
              <w:top w:val="single" w:sz="3" w:space="0" w:color="231F20"/>
            </w:tcBorders>
          </w:tcPr>
          <w:p>
            <w:pPr>
              <w:pStyle w:val="TableParagraph"/>
              <w:spacing w:line="240" w:lineRule="auto" w:before="84"/>
              <w:ind w:left="234" w:right="275"/>
              <w:rPr>
                <w:sz w:val="17"/>
              </w:rPr>
            </w:pPr>
            <w:r>
              <w:rPr>
                <w:color w:val="231F20"/>
                <w:w w:val="105"/>
                <w:sz w:val="17"/>
              </w:rPr>
              <w:t>83.6</w:t>
            </w:r>
          </w:p>
        </w:tc>
        <w:tc>
          <w:tcPr>
            <w:tcW w:w="714" w:type="dxa"/>
            <w:tcBorders>
              <w:top w:val="single" w:sz="3" w:space="0" w:color="231F20"/>
            </w:tcBorders>
          </w:tcPr>
          <w:p>
            <w:pPr/>
          </w:p>
        </w:tc>
        <w:tc>
          <w:tcPr>
            <w:tcW w:w="1987" w:type="dxa"/>
            <w:tcBorders>
              <w:top w:val="single" w:sz="3" w:space="0" w:color="231F20"/>
            </w:tcBorders>
          </w:tcPr>
          <w:p>
            <w:pPr>
              <w:pStyle w:val="TableParagraph"/>
              <w:spacing w:line="240" w:lineRule="auto" w:before="84"/>
              <w:ind w:left="17" w:right="771"/>
              <w:rPr>
                <w:sz w:val="17"/>
              </w:rPr>
            </w:pPr>
            <w:r>
              <w:rPr>
                <w:color w:val="231F20"/>
                <w:w w:val="105"/>
                <w:sz w:val="17"/>
              </w:rPr>
              <w:t>7.1</w:t>
            </w:r>
          </w:p>
        </w:tc>
      </w:tr>
      <w:tr>
        <w:trPr>
          <w:trHeight w:val="210" w:hRule="exact"/>
        </w:trPr>
        <w:tc>
          <w:tcPr>
            <w:tcW w:w="2536" w:type="dxa"/>
          </w:tcPr>
          <w:p>
            <w:pPr>
              <w:pStyle w:val="TableParagraph"/>
              <w:ind w:left="479"/>
              <w:jc w:val="left"/>
              <w:rPr>
                <w:sz w:val="17"/>
              </w:rPr>
            </w:pPr>
            <w:r>
              <w:rPr>
                <w:color w:val="231F20"/>
                <w:w w:val="110"/>
                <w:sz w:val="17"/>
              </w:rPr>
              <w:t>Unidas autónomas</w:t>
            </w:r>
          </w:p>
        </w:tc>
        <w:tc>
          <w:tcPr>
            <w:tcW w:w="840" w:type="dxa"/>
          </w:tcPr>
          <w:p>
            <w:pPr>
              <w:pStyle w:val="TableParagraph"/>
              <w:ind w:left="233" w:right="233"/>
              <w:rPr>
                <w:sz w:val="17"/>
              </w:rPr>
            </w:pPr>
            <w:r>
              <w:rPr>
                <w:color w:val="231F20"/>
                <w:w w:val="105"/>
                <w:sz w:val="17"/>
              </w:rPr>
              <w:t>83.8</w:t>
            </w:r>
          </w:p>
        </w:tc>
        <w:tc>
          <w:tcPr>
            <w:tcW w:w="883" w:type="dxa"/>
          </w:tcPr>
          <w:p>
            <w:pPr>
              <w:pStyle w:val="TableParagraph"/>
              <w:ind w:left="234" w:right="275"/>
              <w:rPr>
                <w:sz w:val="17"/>
              </w:rPr>
            </w:pPr>
            <w:r>
              <w:rPr>
                <w:color w:val="231F20"/>
                <w:w w:val="105"/>
                <w:sz w:val="17"/>
              </w:rPr>
              <w:t>14.4</w:t>
            </w:r>
          </w:p>
        </w:tc>
        <w:tc>
          <w:tcPr>
            <w:tcW w:w="714" w:type="dxa"/>
          </w:tcPr>
          <w:p>
            <w:pPr/>
          </w:p>
        </w:tc>
        <w:tc>
          <w:tcPr>
            <w:tcW w:w="1987" w:type="dxa"/>
          </w:tcPr>
          <w:p>
            <w:pPr>
              <w:pStyle w:val="TableParagraph"/>
              <w:ind w:left="17" w:right="771"/>
              <w:rPr>
                <w:sz w:val="17"/>
              </w:rPr>
            </w:pPr>
            <w:r>
              <w:rPr>
                <w:color w:val="231F20"/>
                <w:w w:val="105"/>
                <w:sz w:val="17"/>
              </w:rPr>
              <w:t>1.8</w:t>
            </w:r>
          </w:p>
        </w:tc>
      </w:tr>
      <w:tr>
        <w:trPr>
          <w:trHeight w:val="276" w:hRule="exact"/>
        </w:trPr>
        <w:tc>
          <w:tcPr>
            <w:tcW w:w="2536" w:type="dxa"/>
            <w:tcBorders>
              <w:bottom w:val="single" w:sz="3" w:space="0" w:color="231F20"/>
            </w:tcBorders>
          </w:tcPr>
          <w:p>
            <w:pPr>
              <w:pStyle w:val="TableParagraph"/>
              <w:ind w:left="479"/>
              <w:jc w:val="left"/>
              <w:rPr>
                <w:sz w:val="17"/>
              </w:rPr>
            </w:pPr>
            <w:r>
              <w:rPr>
                <w:color w:val="231F20"/>
                <w:w w:val="110"/>
                <w:sz w:val="17"/>
              </w:rPr>
              <w:t>Unidas  No autónomas</w:t>
            </w:r>
          </w:p>
        </w:tc>
        <w:tc>
          <w:tcPr>
            <w:tcW w:w="840" w:type="dxa"/>
            <w:tcBorders>
              <w:bottom w:val="single" w:sz="3" w:space="0" w:color="231F20"/>
            </w:tcBorders>
          </w:tcPr>
          <w:p>
            <w:pPr>
              <w:pStyle w:val="TableParagraph"/>
              <w:ind w:left="233" w:right="233"/>
              <w:rPr>
                <w:sz w:val="17"/>
              </w:rPr>
            </w:pPr>
            <w:r>
              <w:rPr>
                <w:color w:val="231F20"/>
                <w:w w:val="105"/>
                <w:sz w:val="17"/>
              </w:rPr>
              <w:t>70.9</w:t>
            </w:r>
          </w:p>
        </w:tc>
        <w:tc>
          <w:tcPr>
            <w:tcW w:w="883" w:type="dxa"/>
            <w:tcBorders>
              <w:bottom w:val="single" w:sz="3" w:space="0" w:color="231F20"/>
            </w:tcBorders>
          </w:tcPr>
          <w:p>
            <w:pPr>
              <w:pStyle w:val="TableParagraph"/>
              <w:ind w:left="234" w:right="275"/>
              <w:rPr>
                <w:sz w:val="17"/>
              </w:rPr>
            </w:pPr>
            <w:r>
              <w:rPr>
                <w:color w:val="231F20"/>
                <w:w w:val="105"/>
                <w:sz w:val="17"/>
              </w:rPr>
              <w:t>26.6</w:t>
            </w:r>
          </w:p>
        </w:tc>
        <w:tc>
          <w:tcPr>
            <w:tcW w:w="714" w:type="dxa"/>
            <w:tcBorders>
              <w:bottom w:val="single" w:sz="3" w:space="0" w:color="231F20"/>
            </w:tcBorders>
          </w:tcPr>
          <w:p>
            <w:pPr/>
          </w:p>
        </w:tc>
        <w:tc>
          <w:tcPr>
            <w:tcW w:w="1987" w:type="dxa"/>
            <w:tcBorders>
              <w:bottom w:val="single" w:sz="3" w:space="0" w:color="231F20"/>
            </w:tcBorders>
          </w:tcPr>
          <w:p>
            <w:pPr>
              <w:pStyle w:val="TableParagraph"/>
              <w:ind w:left="17" w:right="771"/>
              <w:rPr>
                <w:sz w:val="17"/>
              </w:rPr>
            </w:pPr>
            <w:r>
              <w:rPr>
                <w:color w:val="231F20"/>
                <w:w w:val="105"/>
                <w:sz w:val="17"/>
              </w:rPr>
              <w:t>2.4</w:t>
            </w:r>
          </w:p>
        </w:tc>
      </w:tr>
    </w:tbl>
    <w:p>
      <w:pPr>
        <w:spacing w:before="63"/>
        <w:ind w:left="484" w:right="0" w:firstLine="0"/>
        <w:jc w:val="left"/>
        <w:rPr>
          <w:sz w:val="15"/>
        </w:rPr>
      </w:pPr>
      <w:r>
        <w:rPr>
          <w:color w:val="231F20"/>
          <w:w w:val="110"/>
          <w:sz w:val="15"/>
        </w:rPr>
        <w:t>Fuente: Elaboración propia con base en </w:t>
      </w:r>
      <w:r>
        <w:rPr>
          <w:rFonts w:ascii="Times New Roman" w:hAnsi="Times New Roman"/>
          <w:color w:val="231F20"/>
          <w:w w:val="110"/>
          <w:sz w:val="12"/>
        </w:rPr>
        <w:t>INEGI</w:t>
      </w:r>
      <w:r>
        <w:rPr>
          <w:rFonts w:ascii="Times New Roman" w:hAnsi="Times New Roman"/>
          <w:color w:val="231F20"/>
          <w:w w:val="110"/>
          <w:sz w:val="15"/>
        </w:rPr>
        <w:t>, </w:t>
      </w:r>
      <w:r>
        <w:rPr>
          <w:color w:val="231F20"/>
          <w:w w:val="110"/>
          <w:sz w:val="15"/>
        </w:rPr>
        <w:t>XIII Censo de Población y Vivienda  2010.</w:t>
      </w:r>
    </w:p>
    <w:p>
      <w:pPr>
        <w:pStyle w:val="BodyText"/>
        <w:rPr>
          <w:sz w:val="14"/>
        </w:rPr>
      </w:pPr>
    </w:p>
    <w:p>
      <w:pPr>
        <w:pStyle w:val="BodyText"/>
        <w:spacing w:before="6"/>
        <w:rPr>
          <w:sz w:val="14"/>
        </w:rPr>
      </w:pPr>
    </w:p>
    <w:p>
      <w:pPr>
        <w:pStyle w:val="BodyText"/>
        <w:spacing w:line="283" w:lineRule="auto"/>
        <w:ind w:left="124" w:right="112" w:firstLine="360"/>
        <w:jc w:val="both"/>
      </w:pPr>
      <w:r>
        <w:rPr>
          <w:color w:val="231F20"/>
          <w:w w:val="110"/>
        </w:rPr>
        <w:t>El cuadro anterior nos muestra que existe una fuerte asociación entre la unión conyugal y la llegada del primer hijo, 83.6 por ciento de las muje- res que aún no han establecido una unión conyugal permanece sin hijos. No obstante, resulta de interés que casi una de cada 10 de las jóvenes no unidas haya tenido un hijo. Entre las mujeres unidas, la condición de auto- nomía marca algunas diferencias en la llegada del primer hijo. Así, es más frecuente haber tenido hijos si se está en una unión autónoma (83.8 por ciento) que si se está en condición de no autonomía (70.9 por ciento). En resumen,</w:t>
      </w:r>
      <w:r>
        <w:rPr>
          <w:color w:val="231F20"/>
          <w:spacing w:val="-7"/>
          <w:w w:val="110"/>
        </w:rPr>
        <w:t> </w:t>
      </w:r>
      <w:r>
        <w:rPr>
          <w:color w:val="231F20"/>
          <w:w w:val="110"/>
        </w:rPr>
        <w:t>estos</w:t>
      </w:r>
      <w:r>
        <w:rPr>
          <w:color w:val="231F20"/>
          <w:spacing w:val="-7"/>
          <w:w w:val="110"/>
        </w:rPr>
        <w:t> </w:t>
      </w:r>
      <w:r>
        <w:rPr>
          <w:color w:val="231F20"/>
          <w:w w:val="110"/>
        </w:rPr>
        <w:t>hallazgos</w:t>
      </w:r>
      <w:r>
        <w:rPr>
          <w:color w:val="231F20"/>
          <w:spacing w:val="-7"/>
          <w:w w:val="110"/>
        </w:rPr>
        <w:t> </w:t>
      </w:r>
      <w:r>
        <w:rPr>
          <w:color w:val="231F20"/>
          <w:w w:val="110"/>
        </w:rPr>
        <w:t>apuntan</w:t>
      </w:r>
      <w:r>
        <w:rPr>
          <w:color w:val="231F20"/>
          <w:spacing w:val="-7"/>
          <w:w w:val="110"/>
        </w:rPr>
        <w:t> </w:t>
      </w:r>
      <w:r>
        <w:rPr>
          <w:color w:val="231F20"/>
          <w:w w:val="110"/>
        </w:rPr>
        <w:t>a</w:t>
      </w:r>
      <w:r>
        <w:rPr>
          <w:color w:val="231F20"/>
          <w:spacing w:val="-7"/>
          <w:w w:val="110"/>
        </w:rPr>
        <w:t> </w:t>
      </w:r>
      <w:r>
        <w:rPr>
          <w:color w:val="231F20"/>
          <w:w w:val="110"/>
        </w:rPr>
        <w:t>la</w:t>
      </w:r>
      <w:r>
        <w:rPr>
          <w:color w:val="231F20"/>
          <w:spacing w:val="-7"/>
          <w:w w:val="110"/>
        </w:rPr>
        <w:t> </w:t>
      </w:r>
      <w:r>
        <w:rPr>
          <w:color w:val="231F20"/>
          <w:w w:val="110"/>
        </w:rPr>
        <w:t>ligera</w:t>
      </w:r>
      <w:r>
        <w:rPr>
          <w:color w:val="231F20"/>
          <w:spacing w:val="-7"/>
          <w:w w:val="110"/>
        </w:rPr>
        <w:t> </w:t>
      </w:r>
      <w:r>
        <w:rPr>
          <w:color w:val="231F20"/>
          <w:w w:val="110"/>
        </w:rPr>
        <w:t>postergación</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maternidad por parte de aquellas jóvenes que, aunque están unidas, su pareja no se declaró jefe de</w:t>
      </w:r>
      <w:r>
        <w:rPr>
          <w:color w:val="231F20"/>
          <w:spacing w:val="23"/>
          <w:w w:val="110"/>
        </w:rPr>
        <w:t> </w:t>
      </w:r>
      <w:r>
        <w:rPr>
          <w:color w:val="231F20"/>
          <w:spacing w:val="-3"/>
          <w:w w:val="110"/>
        </w:rPr>
        <w:t>hogar.</w:t>
      </w:r>
    </w:p>
    <w:p>
      <w:pPr>
        <w:spacing w:after="0" w:line="283" w:lineRule="auto"/>
        <w:jc w:val="both"/>
        <w:sectPr>
          <w:pgSz w:w="9520" w:h="12920"/>
          <w:pgMar w:header="0" w:footer="1344" w:top="880" w:bottom="1540" w:left="1320" w:right="1000"/>
        </w:sectPr>
      </w:pPr>
    </w:p>
    <w:p>
      <w:pPr>
        <w:spacing w:before="39"/>
        <w:ind w:left="120" w:right="0" w:firstLine="0"/>
        <w:jc w:val="both"/>
        <w:rPr>
          <w:rFonts w:ascii="Times New Roman"/>
          <w:i/>
          <w:sz w:val="19"/>
        </w:rPr>
      </w:pPr>
      <w:r>
        <w:rPr>
          <w:rFonts w:ascii="Times New Roman"/>
          <w:i/>
          <w:color w:val="231F20"/>
          <w:w w:val="95"/>
          <w:sz w:val="24"/>
        </w:rPr>
        <w:t>C</w:t>
      </w:r>
      <w:r>
        <w:rPr>
          <w:rFonts w:ascii="Times New Roman"/>
          <w:i/>
          <w:color w:val="231F20"/>
          <w:w w:val="95"/>
          <w:sz w:val="19"/>
        </w:rPr>
        <w:t>ONTINUAR EN LA ESCUELA</w:t>
      </w:r>
    </w:p>
    <w:p>
      <w:pPr>
        <w:pStyle w:val="BodyText"/>
        <w:spacing w:before="1"/>
        <w:rPr>
          <w:rFonts w:ascii="Times New Roman"/>
          <w:i/>
          <w:sz w:val="27"/>
        </w:rPr>
      </w:pPr>
    </w:p>
    <w:p>
      <w:pPr>
        <w:pStyle w:val="BodyText"/>
        <w:spacing w:line="280" w:lineRule="auto"/>
        <w:ind w:left="120" w:right="115"/>
        <w:jc w:val="both"/>
      </w:pPr>
      <w:r>
        <w:rPr>
          <w:color w:val="231F20"/>
          <w:w w:val="110"/>
        </w:rPr>
        <w:t>Analizar la escolaridad de los jóvenes que están unidos o no, revela las oportunidades</w:t>
      </w:r>
      <w:r>
        <w:rPr>
          <w:color w:val="231F20"/>
          <w:spacing w:val="-10"/>
          <w:w w:val="110"/>
        </w:rPr>
        <w:t> </w:t>
      </w:r>
      <w:r>
        <w:rPr>
          <w:color w:val="231F20"/>
          <w:w w:val="110"/>
        </w:rPr>
        <w:t>que</w:t>
      </w:r>
      <w:r>
        <w:rPr>
          <w:color w:val="231F20"/>
          <w:spacing w:val="-10"/>
          <w:w w:val="110"/>
        </w:rPr>
        <w:t> </w:t>
      </w:r>
      <w:r>
        <w:rPr>
          <w:color w:val="231F20"/>
          <w:w w:val="110"/>
        </w:rPr>
        <w:t>el</w:t>
      </w:r>
      <w:r>
        <w:rPr>
          <w:color w:val="231F20"/>
          <w:spacing w:val="-10"/>
          <w:w w:val="110"/>
        </w:rPr>
        <w:t> </w:t>
      </w:r>
      <w:r>
        <w:rPr>
          <w:color w:val="231F20"/>
          <w:w w:val="110"/>
        </w:rPr>
        <w:t>entorno</w:t>
      </w:r>
      <w:r>
        <w:rPr>
          <w:color w:val="231F20"/>
          <w:spacing w:val="-10"/>
          <w:w w:val="110"/>
        </w:rPr>
        <w:t> </w:t>
      </w:r>
      <w:r>
        <w:rPr>
          <w:color w:val="231F20"/>
          <w:w w:val="110"/>
        </w:rPr>
        <w:t>institucional</w:t>
      </w:r>
      <w:r>
        <w:rPr>
          <w:color w:val="231F20"/>
          <w:spacing w:val="-10"/>
          <w:w w:val="110"/>
        </w:rPr>
        <w:t> </w:t>
      </w:r>
      <w:r>
        <w:rPr>
          <w:color w:val="231F20"/>
          <w:w w:val="110"/>
        </w:rPr>
        <w:t>les</w:t>
      </w:r>
      <w:r>
        <w:rPr>
          <w:color w:val="231F20"/>
          <w:spacing w:val="-10"/>
          <w:w w:val="110"/>
        </w:rPr>
        <w:t> </w:t>
      </w:r>
      <w:r>
        <w:rPr>
          <w:color w:val="231F20"/>
          <w:w w:val="110"/>
        </w:rPr>
        <w:t>proporciona</w:t>
      </w:r>
      <w:r>
        <w:rPr>
          <w:color w:val="231F20"/>
          <w:spacing w:val="-10"/>
          <w:w w:val="110"/>
        </w:rPr>
        <w:t> </w:t>
      </w:r>
      <w:r>
        <w:rPr>
          <w:color w:val="231F20"/>
          <w:w w:val="110"/>
        </w:rPr>
        <w:t>independiente- </w:t>
      </w:r>
      <w:r>
        <w:rPr>
          <w:color w:val="231F20"/>
          <w:spacing w:val="3"/>
          <w:w w:val="110"/>
        </w:rPr>
        <w:t>mente </w:t>
      </w:r>
      <w:r>
        <w:rPr>
          <w:color w:val="231F20"/>
          <w:w w:val="110"/>
        </w:rPr>
        <w:t>de </w:t>
      </w:r>
      <w:r>
        <w:rPr>
          <w:color w:val="231F20"/>
          <w:spacing w:val="2"/>
          <w:w w:val="110"/>
        </w:rPr>
        <w:t>los </w:t>
      </w:r>
      <w:r>
        <w:rPr>
          <w:color w:val="231F20"/>
          <w:spacing w:val="3"/>
          <w:w w:val="110"/>
        </w:rPr>
        <w:t>eventos individuales </w:t>
      </w:r>
      <w:r>
        <w:rPr>
          <w:color w:val="231F20"/>
          <w:spacing w:val="2"/>
          <w:w w:val="110"/>
        </w:rPr>
        <w:t>que </w:t>
      </w:r>
      <w:r>
        <w:rPr>
          <w:color w:val="231F20"/>
          <w:spacing w:val="3"/>
          <w:w w:val="110"/>
        </w:rPr>
        <w:t>hayan experimentado como </w:t>
      </w:r>
      <w:r>
        <w:rPr>
          <w:color w:val="231F20"/>
          <w:w w:val="110"/>
        </w:rPr>
        <w:t>un embarazo y/o una</w:t>
      </w:r>
      <w:r>
        <w:rPr>
          <w:color w:val="231F20"/>
          <w:spacing w:val="-5"/>
          <w:w w:val="110"/>
        </w:rPr>
        <w:t> </w:t>
      </w:r>
      <w:r>
        <w:rPr>
          <w:color w:val="231F20"/>
          <w:w w:val="110"/>
        </w:rPr>
        <w:t>unión.</w:t>
      </w:r>
    </w:p>
    <w:p>
      <w:pPr>
        <w:pStyle w:val="BodyText"/>
        <w:spacing w:line="280" w:lineRule="auto"/>
        <w:ind w:left="120" w:right="116" w:firstLine="360"/>
        <w:jc w:val="both"/>
      </w:pPr>
      <w:r>
        <w:rPr>
          <w:color w:val="231F20"/>
          <w:w w:val="105"/>
        </w:rPr>
        <w:t>Es sabido que lograr la cobertura total en la educación de todos los niveles es una tarea pendiente en el  país.  Sin  embargo,  los  avances  que  han ocurrido en materia de expansión del sistema educativo suponen una mejora con respecto a décadas anteriores. La importancia de la educación media superior (</w:t>
      </w:r>
      <w:r>
        <w:rPr>
          <w:rFonts w:ascii="Times New Roman" w:hAnsi="Times New Roman"/>
          <w:color w:val="231F20"/>
          <w:w w:val="105"/>
          <w:sz w:val="16"/>
        </w:rPr>
        <w:t>EMS</w:t>
      </w:r>
      <w:r>
        <w:rPr>
          <w:color w:val="231F20"/>
          <w:w w:val="105"/>
        </w:rPr>
        <w:t>) y de la educación superior (</w:t>
      </w:r>
      <w:r>
        <w:rPr>
          <w:rFonts w:ascii="Times New Roman" w:hAnsi="Times New Roman"/>
          <w:color w:val="231F20"/>
          <w:w w:val="105"/>
          <w:sz w:val="16"/>
        </w:rPr>
        <w:t>ES</w:t>
      </w:r>
      <w:r>
        <w:rPr>
          <w:color w:val="231F20"/>
          <w:w w:val="105"/>
        </w:rPr>
        <w:t>) se fundamenta en su papel esencial para el desarrollo del país, pues las personas que alcanzan estos niveles educativos, se esperaría que tuvieran la oportunidad de con- seguir empleos mejor remunerados. Lograr una mejora en la cobertura y       la </w:t>
      </w:r>
      <w:r>
        <w:rPr>
          <w:color w:val="231F20"/>
          <w:spacing w:val="2"/>
          <w:w w:val="105"/>
        </w:rPr>
        <w:t>calidad </w:t>
      </w:r>
      <w:r>
        <w:rPr>
          <w:color w:val="231F20"/>
          <w:w w:val="105"/>
        </w:rPr>
        <w:t>de </w:t>
      </w:r>
      <w:r>
        <w:rPr>
          <w:color w:val="231F20"/>
          <w:spacing w:val="2"/>
          <w:w w:val="105"/>
        </w:rPr>
        <w:t>estos </w:t>
      </w:r>
      <w:r>
        <w:rPr>
          <w:color w:val="231F20"/>
          <w:spacing w:val="3"/>
          <w:w w:val="105"/>
        </w:rPr>
        <w:t>servicios </w:t>
      </w:r>
      <w:r>
        <w:rPr>
          <w:color w:val="231F20"/>
          <w:spacing w:val="2"/>
          <w:w w:val="105"/>
        </w:rPr>
        <w:t>proporcionaría </w:t>
      </w:r>
      <w:r>
        <w:rPr>
          <w:color w:val="231F20"/>
          <w:w w:val="105"/>
        </w:rPr>
        <w:t>la </w:t>
      </w:r>
      <w:r>
        <w:rPr>
          <w:color w:val="231F20"/>
          <w:spacing w:val="2"/>
          <w:w w:val="105"/>
        </w:rPr>
        <w:t>formación </w:t>
      </w:r>
      <w:r>
        <w:rPr>
          <w:color w:val="231F20"/>
          <w:w w:val="105"/>
        </w:rPr>
        <w:t>de </w:t>
      </w:r>
      <w:r>
        <w:rPr>
          <w:color w:val="231F20"/>
          <w:spacing w:val="2"/>
          <w:w w:val="105"/>
        </w:rPr>
        <w:t>individuos </w:t>
      </w:r>
      <w:r>
        <w:rPr>
          <w:color w:val="231F20"/>
          <w:w w:val="105"/>
        </w:rPr>
        <w:t>mejor</w:t>
      </w:r>
      <w:r>
        <w:rPr>
          <w:color w:val="231F20"/>
          <w:spacing w:val="34"/>
          <w:w w:val="105"/>
        </w:rPr>
        <w:t> </w:t>
      </w:r>
      <w:r>
        <w:rPr>
          <w:color w:val="231F20"/>
          <w:w w:val="105"/>
        </w:rPr>
        <w:t>capacitados,</w:t>
      </w:r>
      <w:r>
        <w:rPr>
          <w:color w:val="231F20"/>
          <w:spacing w:val="34"/>
          <w:w w:val="105"/>
        </w:rPr>
        <w:t> </w:t>
      </w:r>
      <w:r>
        <w:rPr>
          <w:color w:val="231F20"/>
          <w:w w:val="105"/>
        </w:rPr>
        <w:t>lo</w:t>
      </w:r>
      <w:r>
        <w:rPr>
          <w:color w:val="231F20"/>
          <w:spacing w:val="34"/>
          <w:w w:val="105"/>
        </w:rPr>
        <w:t> </w:t>
      </w:r>
      <w:r>
        <w:rPr>
          <w:color w:val="231F20"/>
          <w:w w:val="105"/>
        </w:rPr>
        <w:t>cual</w:t>
      </w:r>
      <w:r>
        <w:rPr>
          <w:color w:val="231F20"/>
          <w:spacing w:val="34"/>
          <w:w w:val="105"/>
        </w:rPr>
        <w:t> </w:t>
      </w:r>
      <w:r>
        <w:rPr>
          <w:color w:val="231F20"/>
          <w:w w:val="105"/>
        </w:rPr>
        <w:t>elevaría</w:t>
      </w:r>
      <w:r>
        <w:rPr>
          <w:color w:val="231F20"/>
          <w:spacing w:val="34"/>
          <w:w w:val="105"/>
        </w:rPr>
        <w:t> </w:t>
      </w:r>
      <w:r>
        <w:rPr>
          <w:color w:val="231F20"/>
          <w:w w:val="105"/>
        </w:rPr>
        <w:t>la</w:t>
      </w:r>
      <w:r>
        <w:rPr>
          <w:color w:val="231F20"/>
          <w:spacing w:val="34"/>
          <w:w w:val="105"/>
        </w:rPr>
        <w:t> </w:t>
      </w:r>
      <w:r>
        <w:rPr>
          <w:color w:val="231F20"/>
          <w:w w:val="105"/>
        </w:rPr>
        <w:t>productividad</w:t>
      </w:r>
      <w:r>
        <w:rPr>
          <w:color w:val="231F20"/>
          <w:spacing w:val="34"/>
          <w:w w:val="105"/>
        </w:rPr>
        <w:t> </w:t>
      </w:r>
      <w:r>
        <w:rPr>
          <w:color w:val="231F20"/>
          <w:w w:val="105"/>
        </w:rPr>
        <w:t>del</w:t>
      </w:r>
      <w:r>
        <w:rPr>
          <w:color w:val="231F20"/>
          <w:spacing w:val="34"/>
          <w:w w:val="105"/>
        </w:rPr>
        <w:t> </w:t>
      </w:r>
      <w:r>
        <w:rPr>
          <w:color w:val="231F20"/>
          <w:w w:val="105"/>
        </w:rPr>
        <w:t>país.</w:t>
      </w:r>
    </w:p>
    <w:p>
      <w:pPr>
        <w:pStyle w:val="BodyText"/>
        <w:spacing w:line="280" w:lineRule="auto"/>
        <w:ind w:left="119" w:right="117" w:firstLine="360"/>
        <w:jc w:val="both"/>
      </w:pPr>
      <w:r>
        <w:rPr>
          <w:color w:val="231F20"/>
          <w:w w:val="110"/>
        </w:rPr>
        <w:t>La </w:t>
      </w:r>
      <w:r>
        <w:rPr>
          <w:rFonts w:ascii="Times New Roman" w:hAnsi="Times New Roman"/>
          <w:color w:val="231F20"/>
          <w:w w:val="110"/>
          <w:sz w:val="16"/>
        </w:rPr>
        <w:t>EMS </w:t>
      </w:r>
      <w:r>
        <w:rPr>
          <w:color w:val="231F20"/>
          <w:w w:val="110"/>
        </w:rPr>
        <w:t>y la </w:t>
      </w:r>
      <w:r>
        <w:rPr>
          <w:rFonts w:ascii="Times New Roman" w:hAnsi="Times New Roman"/>
          <w:color w:val="231F20"/>
          <w:w w:val="110"/>
          <w:sz w:val="16"/>
        </w:rPr>
        <w:t>ES </w:t>
      </w:r>
      <w:r>
        <w:rPr>
          <w:color w:val="231F20"/>
          <w:w w:val="110"/>
        </w:rPr>
        <w:t>fueron por muchos años en México niveles a los cuales sólo podían acceder las clases sociales más acomodadas. Fue hasta media- dos del siglo pasado que se presentó la necesidad de incluir a más jóvenes </w:t>
      </w:r>
      <w:r>
        <w:rPr>
          <w:color w:val="231F20"/>
          <w:spacing w:val="2"/>
          <w:w w:val="110"/>
        </w:rPr>
        <w:t>dentro </w:t>
      </w:r>
      <w:r>
        <w:rPr>
          <w:color w:val="231F20"/>
          <w:w w:val="110"/>
        </w:rPr>
        <w:t>de </w:t>
      </w:r>
      <w:r>
        <w:rPr>
          <w:color w:val="231F20"/>
          <w:spacing w:val="2"/>
          <w:w w:val="110"/>
        </w:rPr>
        <w:t>estos sistemas educativos cuando fenómenos como </w:t>
      </w:r>
      <w:r>
        <w:rPr>
          <w:color w:val="231F20"/>
          <w:w w:val="110"/>
        </w:rPr>
        <w:t>el </w:t>
      </w:r>
      <w:r>
        <w:rPr>
          <w:color w:val="231F20"/>
          <w:spacing w:val="3"/>
          <w:w w:val="110"/>
        </w:rPr>
        <w:t>creci- </w:t>
      </w:r>
      <w:r>
        <w:rPr>
          <w:color w:val="231F20"/>
          <w:spacing w:val="2"/>
          <w:w w:val="110"/>
        </w:rPr>
        <w:t>miento demográfico, </w:t>
      </w:r>
      <w:r>
        <w:rPr>
          <w:color w:val="231F20"/>
          <w:w w:val="110"/>
        </w:rPr>
        <w:t>la </w:t>
      </w:r>
      <w:r>
        <w:rPr>
          <w:color w:val="231F20"/>
          <w:spacing w:val="2"/>
          <w:w w:val="110"/>
        </w:rPr>
        <w:t>urbanización </w:t>
      </w:r>
      <w:r>
        <w:rPr>
          <w:color w:val="231F20"/>
          <w:w w:val="110"/>
        </w:rPr>
        <w:t>y el </w:t>
      </w:r>
      <w:r>
        <w:rPr>
          <w:color w:val="231F20"/>
          <w:spacing w:val="2"/>
          <w:w w:val="110"/>
        </w:rPr>
        <w:t>cambio económico ejercieron </w:t>
      </w:r>
      <w:r>
        <w:rPr>
          <w:color w:val="231F20"/>
          <w:w w:val="110"/>
        </w:rPr>
        <w:t>presión y favorecieron el aumento de la cobertura educativa. El descenso de</w:t>
      </w:r>
      <w:r>
        <w:rPr>
          <w:color w:val="231F20"/>
          <w:spacing w:val="-6"/>
          <w:w w:val="110"/>
        </w:rPr>
        <w:t> </w:t>
      </w:r>
      <w:r>
        <w:rPr>
          <w:color w:val="231F20"/>
          <w:w w:val="110"/>
        </w:rPr>
        <w:t>la</w:t>
      </w:r>
      <w:r>
        <w:rPr>
          <w:color w:val="231F20"/>
          <w:spacing w:val="-6"/>
          <w:w w:val="110"/>
        </w:rPr>
        <w:t> </w:t>
      </w:r>
      <w:r>
        <w:rPr>
          <w:color w:val="231F20"/>
          <w:w w:val="110"/>
        </w:rPr>
        <w:t>mortalidad</w:t>
      </w:r>
      <w:r>
        <w:rPr>
          <w:color w:val="231F20"/>
          <w:spacing w:val="-6"/>
          <w:w w:val="110"/>
        </w:rPr>
        <w:t> </w:t>
      </w:r>
      <w:r>
        <w:rPr>
          <w:color w:val="231F20"/>
          <w:w w:val="110"/>
        </w:rPr>
        <w:t>infantil</w:t>
      </w:r>
      <w:r>
        <w:rPr>
          <w:color w:val="231F20"/>
          <w:spacing w:val="-6"/>
          <w:w w:val="110"/>
        </w:rPr>
        <w:t> </w:t>
      </w:r>
      <w:r>
        <w:rPr>
          <w:color w:val="231F20"/>
          <w:w w:val="110"/>
        </w:rPr>
        <w:t>a</w:t>
      </w:r>
      <w:r>
        <w:rPr>
          <w:color w:val="231F20"/>
          <w:spacing w:val="-6"/>
          <w:w w:val="110"/>
        </w:rPr>
        <w:t> </w:t>
      </w:r>
      <w:r>
        <w:rPr>
          <w:color w:val="231F20"/>
          <w:w w:val="110"/>
        </w:rPr>
        <w:t>principios</w:t>
      </w:r>
      <w:r>
        <w:rPr>
          <w:color w:val="231F20"/>
          <w:spacing w:val="-6"/>
          <w:w w:val="110"/>
        </w:rPr>
        <w:t> </w:t>
      </w:r>
      <w:r>
        <w:rPr>
          <w:color w:val="231F20"/>
          <w:w w:val="110"/>
        </w:rPr>
        <w:t>del</w:t>
      </w:r>
      <w:r>
        <w:rPr>
          <w:color w:val="231F20"/>
          <w:spacing w:val="-6"/>
          <w:w w:val="110"/>
        </w:rPr>
        <w:t> </w:t>
      </w:r>
      <w:r>
        <w:rPr>
          <w:color w:val="231F20"/>
          <w:w w:val="110"/>
        </w:rPr>
        <w:t>siglo</w:t>
      </w:r>
      <w:r>
        <w:rPr>
          <w:color w:val="231F20"/>
          <w:spacing w:val="-6"/>
          <w:w w:val="110"/>
        </w:rPr>
        <w:t> </w:t>
      </w:r>
      <w:r>
        <w:rPr>
          <w:rFonts w:ascii="Times New Roman" w:hAnsi="Times New Roman"/>
          <w:color w:val="231F20"/>
          <w:w w:val="110"/>
          <w:sz w:val="16"/>
        </w:rPr>
        <w:t>XX</w:t>
      </w:r>
      <w:r>
        <w:rPr>
          <w:rFonts w:ascii="Times New Roman" w:hAnsi="Times New Roman"/>
          <w:color w:val="231F20"/>
          <w:spacing w:val="-2"/>
          <w:w w:val="110"/>
          <w:sz w:val="16"/>
        </w:rPr>
        <w:t> </w:t>
      </w:r>
      <w:r>
        <w:rPr>
          <w:color w:val="231F20"/>
          <w:w w:val="110"/>
        </w:rPr>
        <w:t>provocó</w:t>
      </w:r>
      <w:r>
        <w:rPr>
          <w:color w:val="231F20"/>
          <w:spacing w:val="-6"/>
          <w:w w:val="110"/>
        </w:rPr>
        <w:t> </w:t>
      </w:r>
      <w:r>
        <w:rPr>
          <w:color w:val="231F20"/>
          <w:w w:val="110"/>
        </w:rPr>
        <w:t>que</w:t>
      </w:r>
      <w:r>
        <w:rPr>
          <w:color w:val="231F20"/>
          <w:spacing w:val="-6"/>
          <w:w w:val="110"/>
        </w:rPr>
        <w:t> </w:t>
      </w:r>
      <w:r>
        <w:rPr>
          <w:color w:val="231F20"/>
          <w:w w:val="110"/>
        </w:rPr>
        <w:t>se</w:t>
      </w:r>
      <w:r>
        <w:rPr>
          <w:color w:val="231F20"/>
          <w:spacing w:val="-6"/>
          <w:w w:val="110"/>
        </w:rPr>
        <w:t> </w:t>
      </w:r>
      <w:r>
        <w:rPr>
          <w:color w:val="231F20"/>
          <w:w w:val="110"/>
        </w:rPr>
        <w:t>incremen- tara el volumen de niños que necesitaba cursar la educación básica con el </w:t>
      </w:r>
      <w:r>
        <w:rPr>
          <w:color w:val="231F20"/>
          <w:spacing w:val="-4"/>
          <w:w w:val="110"/>
        </w:rPr>
        <w:t>consecuente</w:t>
      </w:r>
      <w:r>
        <w:rPr>
          <w:color w:val="231F20"/>
          <w:spacing w:val="-8"/>
          <w:w w:val="110"/>
        </w:rPr>
        <w:t> </w:t>
      </w:r>
      <w:r>
        <w:rPr>
          <w:color w:val="231F20"/>
          <w:spacing w:val="-4"/>
          <w:w w:val="110"/>
        </w:rPr>
        <w:t>incremento</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spacing w:val="-4"/>
          <w:w w:val="110"/>
        </w:rPr>
        <w:t>población</w:t>
      </w:r>
      <w:r>
        <w:rPr>
          <w:color w:val="231F20"/>
          <w:spacing w:val="-8"/>
          <w:w w:val="110"/>
        </w:rPr>
        <w:t> </w:t>
      </w:r>
      <w:r>
        <w:rPr>
          <w:color w:val="231F20"/>
          <w:w w:val="110"/>
        </w:rPr>
        <w:t>en</w:t>
      </w:r>
      <w:r>
        <w:rPr>
          <w:color w:val="231F20"/>
          <w:spacing w:val="-8"/>
          <w:w w:val="110"/>
        </w:rPr>
        <w:t> </w:t>
      </w:r>
      <w:r>
        <w:rPr>
          <w:color w:val="231F20"/>
          <w:spacing w:val="-4"/>
          <w:w w:val="110"/>
        </w:rPr>
        <w:t>edades</w:t>
      </w:r>
      <w:r>
        <w:rPr>
          <w:color w:val="231F20"/>
          <w:spacing w:val="-8"/>
          <w:w w:val="110"/>
        </w:rPr>
        <w:t> </w:t>
      </w:r>
      <w:r>
        <w:rPr>
          <w:color w:val="231F20"/>
          <w:spacing w:val="-4"/>
          <w:w w:val="110"/>
        </w:rPr>
        <w:t>juveniles,</w:t>
      </w:r>
      <w:r>
        <w:rPr>
          <w:color w:val="231F20"/>
          <w:spacing w:val="-8"/>
          <w:w w:val="110"/>
        </w:rPr>
        <w:t> </w:t>
      </w:r>
      <w:r>
        <w:rPr>
          <w:color w:val="231F20"/>
          <w:w w:val="110"/>
        </w:rPr>
        <w:t>lo</w:t>
      </w:r>
      <w:r>
        <w:rPr>
          <w:color w:val="231F20"/>
          <w:spacing w:val="-8"/>
          <w:w w:val="110"/>
        </w:rPr>
        <w:t> </w:t>
      </w:r>
      <w:r>
        <w:rPr>
          <w:color w:val="231F20"/>
          <w:spacing w:val="-3"/>
          <w:w w:val="110"/>
        </w:rPr>
        <w:t>que</w:t>
      </w:r>
      <w:r>
        <w:rPr>
          <w:color w:val="231F20"/>
          <w:spacing w:val="-8"/>
          <w:w w:val="110"/>
        </w:rPr>
        <w:t> </w:t>
      </w:r>
      <w:r>
        <w:rPr>
          <w:color w:val="231F20"/>
          <w:spacing w:val="-4"/>
          <w:w w:val="110"/>
        </w:rPr>
        <w:t>trajo</w:t>
      </w:r>
      <w:r>
        <w:rPr>
          <w:color w:val="231F20"/>
          <w:spacing w:val="-8"/>
          <w:w w:val="110"/>
        </w:rPr>
        <w:t> </w:t>
      </w:r>
      <w:r>
        <w:rPr>
          <w:color w:val="231F20"/>
          <w:spacing w:val="-3"/>
          <w:w w:val="110"/>
        </w:rPr>
        <w:t>con- </w:t>
      </w:r>
      <w:r>
        <w:rPr>
          <w:color w:val="231F20"/>
          <w:w w:val="110"/>
        </w:rPr>
        <w:t>sigo la demanda de mayor capacidad de </w:t>
      </w:r>
      <w:r>
        <w:rPr>
          <w:rFonts w:ascii="Times New Roman" w:hAnsi="Times New Roman"/>
          <w:color w:val="231F20"/>
          <w:w w:val="110"/>
          <w:sz w:val="16"/>
        </w:rPr>
        <w:t>EMS </w:t>
      </w:r>
      <w:r>
        <w:rPr>
          <w:color w:val="231F20"/>
          <w:w w:val="110"/>
        </w:rPr>
        <w:t>y </w:t>
      </w:r>
      <w:r>
        <w:rPr>
          <w:rFonts w:ascii="Times New Roman" w:hAnsi="Times New Roman"/>
          <w:color w:val="231F20"/>
          <w:w w:val="110"/>
          <w:sz w:val="16"/>
        </w:rPr>
        <w:t>ES</w:t>
      </w:r>
      <w:r>
        <w:rPr>
          <w:color w:val="231F20"/>
          <w:w w:val="110"/>
        </w:rPr>
        <w:t>. Del proceso de urbani- zación, se puede decir que gracias a que la población se concentró en po- blaciones urbanas fue posible atender con mayor facilidad la demanda de servicios educativos, por lo que resulta benéfica para el logro de la cober- tura</w:t>
      </w:r>
      <w:r>
        <w:rPr>
          <w:color w:val="231F20"/>
          <w:spacing w:val="-8"/>
          <w:w w:val="110"/>
        </w:rPr>
        <w:t> </w:t>
      </w:r>
      <w:r>
        <w:rPr>
          <w:color w:val="231F20"/>
          <w:w w:val="110"/>
        </w:rPr>
        <w:t>educativa.</w:t>
      </w:r>
    </w:p>
    <w:p>
      <w:pPr>
        <w:pStyle w:val="BodyText"/>
        <w:spacing w:line="280" w:lineRule="auto"/>
        <w:ind w:left="119" w:right="116" w:firstLine="360"/>
        <w:jc w:val="both"/>
      </w:pPr>
      <w:r>
        <w:rPr>
          <w:color w:val="231F20"/>
          <w:w w:val="110"/>
        </w:rPr>
        <w:t>Por</w:t>
      </w:r>
      <w:r>
        <w:rPr>
          <w:color w:val="231F20"/>
          <w:spacing w:val="-5"/>
          <w:w w:val="110"/>
        </w:rPr>
        <w:t> </w:t>
      </w:r>
      <w:r>
        <w:rPr>
          <w:color w:val="231F20"/>
          <w:w w:val="110"/>
        </w:rPr>
        <w:t>otra</w:t>
      </w:r>
      <w:r>
        <w:rPr>
          <w:color w:val="231F20"/>
          <w:spacing w:val="-5"/>
          <w:w w:val="110"/>
        </w:rPr>
        <w:t> </w:t>
      </w:r>
      <w:r>
        <w:rPr>
          <w:color w:val="231F20"/>
          <w:w w:val="110"/>
        </w:rPr>
        <w:t>parte,</w:t>
      </w:r>
      <w:r>
        <w:rPr>
          <w:color w:val="231F20"/>
          <w:spacing w:val="-5"/>
          <w:w w:val="110"/>
        </w:rPr>
        <w:t> </w:t>
      </w:r>
      <w:r>
        <w:rPr>
          <w:color w:val="231F20"/>
          <w:w w:val="110"/>
        </w:rPr>
        <w:t>las</w:t>
      </w:r>
      <w:r>
        <w:rPr>
          <w:color w:val="231F20"/>
          <w:spacing w:val="-5"/>
          <w:w w:val="110"/>
        </w:rPr>
        <w:t> </w:t>
      </w:r>
      <w:r>
        <w:rPr>
          <w:color w:val="231F20"/>
          <w:w w:val="110"/>
        </w:rPr>
        <w:t>transformaciones</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sistema</w:t>
      </w:r>
      <w:r>
        <w:rPr>
          <w:color w:val="231F20"/>
          <w:spacing w:val="-5"/>
          <w:w w:val="110"/>
        </w:rPr>
        <w:t> </w:t>
      </w:r>
      <w:r>
        <w:rPr>
          <w:color w:val="231F20"/>
          <w:w w:val="110"/>
        </w:rPr>
        <w:t>económico</w:t>
      </w:r>
      <w:r>
        <w:rPr>
          <w:color w:val="231F20"/>
          <w:spacing w:val="-5"/>
          <w:w w:val="110"/>
        </w:rPr>
        <w:t> </w:t>
      </w:r>
      <w:r>
        <w:rPr>
          <w:color w:val="231F20"/>
          <w:w w:val="110"/>
        </w:rPr>
        <w:t>impactan en el tipo de enseñanza que se les proporciona a los jóvenes, pues según los requerimientos del mercado laboral ocurren transformaciones en el modelo</w:t>
      </w:r>
      <w:r>
        <w:rPr>
          <w:color w:val="231F20"/>
          <w:spacing w:val="-6"/>
          <w:w w:val="110"/>
        </w:rPr>
        <w:t> </w:t>
      </w:r>
      <w:r>
        <w:rPr>
          <w:color w:val="231F20"/>
          <w:w w:val="110"/>
        </w:rPr>
        <w:t>educativo.</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actualidad,</w:t>
      </w:r>
      <w:r>
        <w:rPr>
          <w:color w:val="231F20"/>
          <w:spacing w:val="-6"/>
          <w:w w:val="110"/>
        </w:rPr>
        <w:t> </w:t>
      </w:r>
      <w:r>
        <w:rPr>
          <w:color w:val="231F20"/>
          <w:w w:val="110"/>
        </w:rPr>
        <w:t>se</w:t>
      </w:r>
      <w:r>
        <w:rPr>
          <w:color w:val="231F20"/>
          <w:spacing w:val="-6"/>
          <w:w w:val="110"/>
        </w:rPr>
        <w:t> </w:t>
      </w:r>
      <w:r>
        <w:rPr>
          <w:color w:val="231F20"/>
          <w:w w:val="110"/>
        </w:rPr>
        <w:t>identifica</w:t>
      </w:r>
      <w:r>
        <w:rPr>
          <w:color w:val="231F20"/>
          <w:spacing w:val="-6"/>
          <w:w w:val="110"/>
        </w:rPr>
        <w:t> </w:t>
      </w:r>
      <w:r>
        <w:rPr>
          <w:color w:val="231F20"/>
          <w:w w:val="110"/>
        </w:rPr>
        <w:t>que</w:t>
      </w:r>
      <w:r>
        <w:rPr>
          <w:color w:val="231F20"/>
          <w:spacing w:val="-6"/>
          <w:w w:val="110"/>
        </w:rPr>
        <w:t> </w:t>
      </w:r>
      <w:r>
        <w:rPr>
          <w:color w:val="231F20"/>
          <w:w w:val="110"/>
        </w:rPr>
        <w:t>en</w:t>
      </w:r>
      <w:r>
        <w:rPr>
          <w:color w:val="231F20"/>
          <w:spacing w:val="-6"/>
          <w:w w:val="110"/>
        </w:rPr>
        <w:t> </w:t>
      </w:r>
      <w:r>
        <w:rPr>
          <w:color w:val="231F20"/>
          <w:w w:val="110"/>
        </w:rPr>
        <w:t>ambos</w:t>
      </w:r>
      <w:r>
        <w:rPr>
          <w:color w:val="231F20"/>
          <w:spacing w:val="-6"/>
          <w:w w:val="110"/>
        </w:rPr>
        <w:t> </w:t>
      </w:r>
      <w:r>
        <w:rPr>
          <w:color w:val="231F20"/>
          <w:w w:val="110"/>
        </w:rPr>
        <w:t>niveles</w:t>
      </w:r>
      <w:r>
        <w:rPr>
          <w:color w:val="231F20"/>
          <w:spacing w:val="-6"/>
          <w:w w:val="110"/>
        </w:rPr>
        <w:t> </w:t>
      </w:r>
      <w:r>
        <w:rPr>
          <w:color w:val="231F20"/>
          <w:w w:val="110"/>
        </w:rPr>
        <w:t>edu- cativos,</w:t>
      </w:r>
      <w:r>
        <w:rPr>
          <w:color w:val="231F20"/>
          <w:spacing w:val="-5"/>
          <w:w w:val="110"/>
        </w:rPr>
        <w:t> </w:t>
      </w:r>
      <w:r>
        <w:rPr>
          <w:color w:val="231F20"/>
          <w:w w:val="110"/>
        </w:rPr>
        <w:t>el</w:t>
      </w:r>
      <w:r>
        <w:rPr>
          <w:color w:val="231F20"/>
          <w:spacing w:val="-5"/>
          <w:w w:val="110"/>
        </w:rPr>
        <w:t> </w:t>
      </w:r>
      <w:r>
        <w:rPr>
          <w:color w:val="231F20"/>
          <w:w w:val="110"/>
        </w:rPr>
        <w:t>medio</w:t>
      </w:r>
      <w:r>
        <w:rPr>
          <w:color w:val="231F20"/>
          <w:spacing w:val="-5"/>
          <w:w w:val="110"/>
        </w:rPr>
        <w:t> </w:t>
      </w:r>
      <w:r>
        <w:rPr>
          <w:color w:val="231F20"/>
          <w:w w:val="110"/>
        </w:rPr>
        <w:t>superior</w:t>
      </w:r>
      <w:r>
        <w:rPr>
          <w:color w:val="231F20"/>
          <w:spacing w:val="-5"/>
          <w:w w:val="110"/>
        </w:rPr>
        <w:t> </w:t>
      </w:r>
      <w:r>
        <w:rPr>
          <w:color w:val="231F20"/>
          <w:w w:val="110"/>
        </w:rPr>
        <w:t>y</w:t>
      </w:r>
      <w:r>
        <w:rPr>
          <w:color w:val="231F20"/>
          <w:spacing w:val="-5"/>
          <w:w w:val="110"/>
        </w:rPr>
        <w:t> </w:t>
      </w:r>
      <w:r>
        <w:rPr>
          <w:color w:val="231F20"/>
          <w:w w:val="110"/>
        </w:rPr>
        <w:t>el</w:t>
      </w:r>
      <w:r>
        <w:rPr>
          <w:color w:val="231F20"/>
          <w:spacing w:val="-5"/>
          <w:w w:val="110"/>
        </w:rPr>
        <w:t> </w:t>
      </w:r>
      <w:r>
        <w:rPr>
          <w:color w:val="231F20"/>
          <w:spacing w:val="-4"/>
          <w:w w:val="110"/>
        </w:rPr>
        <w:t>superior,</w:t>
      </w:r>
      <w:r>
        <w:rPr>
          <w:color w:val="231F20"/>
          <w:spacing w:val="-5"/>
          <w:w w:val="110"/>
        </w:rPr>
        <w:t> </w:t>
      </w:r>
      <w:r>
        <w:rPr>
          <w:color w:val="231F20"/>
          <w:w w:val="110"/>
        </w:rPr>
        <w:t>se</w:t>
      </w:r>
      <w:r>
        <w:rPr>
          <w:color w:val="231F20"/>
          <w:spacing w:val="-5"/>
          <w:w w:val="110"/>
        </w:rPr>
        <w:t> </w:t>
      </w:r>
      <w:r>
        <w:rPr>
          <w:color w:val="231F20"/>
          <w:w w:val="110"/>
        </w:rPr>
        <w:t>presentan</w:t>
      </w:r>
      <w:r>
        <w:rPr>
          <w:color w:val="231F20"/>
          <w:spacing w:val="-5"/>
          <w:w w:val="110"/>
        </w:rPr>
        <w:t> </w:t>
      </w:r>
      <w:r>
        <w:rPr>
          <w:color w:val="231F20"/>
          <w:w w:val="110"/>
        </w:rPr>
        <w:t>subsistemas</w:t>
      </w:r>
      <w:r>
        <w:rPr>
          <w:color w:val="231F20"/>
          <w:spacing w:val="-5"/>
          <w:w w:val="110"/>
        </w:rPr>
        <w:t> </w:t>
      </w:r>
      <w:r>
        <w:rPr>
          <w:color w:val="231F20"/>
          <w:w w:val="110"/>
        </w:rPr>
        <w:t>a</w:t>
      </w:r>
      <w:r>
        <w:rPr>
          <w:color w:val="231F20"/>
          <w:spacing w:val="-5"/>
          <w:w w:val="110"/>
        </w:rPr>
        <w:t> </w:t>
      </w:r>
      <w:r>
        <w:rPr>
          <w:color w:val="231F20"/>
          <w:w w:val="110"/>
        </w:rPr>
        <w:t>su</w:t>
      </w:r>
      <w:r>
        <w:rPr>
          <w:color w:val="231F20"/>
          <w:spacing w:val="-5"/>
          <w:w w:val="110"/>
        </w:rPr>
        <w:t> </w:t>
      </w:r>
      <w:r>
        <w:rPr>
          <w:color w:val="231F20"/>
          <w:w w:val="110"/>
        </w:rPr>
        <w:t>inte- rior y se encuentran diferenciados también por el tipo de financiamiento que tienen, el cual puede ser público o </w:t>
      </w:r>
      <w:r>
        <w:rPr>
          <w:color w:val="231F20"/>
          <w:spacing w:val="16"/>
          <w:w w:val="110"/>
        </w:rPr>
        <w:t> </w:t>
      </w:r>
      <w:r>
        <w:rPr>
          <w:color w:val="231F20"/>
          <w:w w:val="110"/>
        </w:rPr>
        <w:t>privado.</w:t>
      </w:r>
    </w:p>
    <w:p>
      <w:pPr>
        <w:spacing w:after="0" w:line="280" w:lineRule="auto"/>
        <w:jc w:val="both"/>
        <w:sectPr>
          <w:pgSz w:w="9520" w:h="12920"/>
          <w:pgMar w:header="0" w:footer="1344" w:top="880" w:bottom="1540" w:left="1000" w:right="1320"/>
        </w:sectPr>
      </w:pPr>
    </w:p>
    <w:p>
      <w:pPr>
        <w:pStyle w:val="BodyText"/>
        <w:spacing w:line="288" w:lineRule="auto" w:before="42"/>
        <w:ind w:left="124" w:right="111" w:firstLine="360"/>
        <w:jc w:val="both"/>
      </w:pPr>
      <w:r>
        <w:rPr>
          <w:color w:val="231F20"/>
          <w:w w:val="110"/>
        </w:rPr>
        <w:t>A nivel nacional se ha presentado un cambio favorable en el número de </w:t>
      </w:r>
      <w:r>
        <w:rPr>
          <w:color w:val="231F20"/>
          <w:spacing w:val="2"/>
          <w:w w:val="110"/>
        </w:rPr>
        <w:t>espacios para </w:t>
      </w:r>
      <w:r>
        <w:rPr>
          <w:color w:val="231F20"/>
          <w:w w:val="110"/>
        </w:rPr>
        <w:t>la </w:t>
      </w:r>
      <w:r>
        <w:rPr>
          <w:color w:val="231F20"/>
          <w:spacing w:val="2"/>
          <w:w w:val="110"/>
        </w:rPr>
        <w:t>enseñanza </w:t>
      </w:r>
      <w:r>
        <w:rPr>
          <w:color w:val="231F20"/>
          <w:w w:val="110"/>
        </w:rPr>
        <w:t>de </w:t>
      </w:r>
      <w:r>
        <w:rPr>
          <w:color w:val="231F20"/>
          <w:spacing w:val="2"/>
          <w:w w:val="110"/>
        </w:rPr>
        <w:t>nivel medio. </w:t>
      </w:r>
      <w:r>
        <w:rPr>
          <w:color w:val="231F20"/>
          <w:w w:val="110"/>
        </w:rPr>
        <w:t>En el año </w:t>
      </w:r>
      <w:r>
        <w:rPr>
          <w:color w:val="231F20"/>
          <w:spacing w:val="2"/>
          <w:w w:val="110"/>
        </w:rPr>
        <w:t>2000 existían </w:t>
      </w:r>
      <w:r>
        <w:rPr>
          <w:color w:val="231F20"/>
          <w:w w:val="110"/>
        </w:rPr>
        <w:t>2’961,385 lugares en las diferentes modalidades existentes (esto es,</w:t>
      </w:r>
      <w:r>
        <w:rPr>
          <w:color w:val="231F20"/>
          <w:spacing w:val="-22"/>
          <w:w w:val="110"/>
        </w:rPr>
        <w:t> </w:t>
      </w:r>
      <w:r>
        <w:rPr>
          <w:color w:val="231F20"/>
          <w:w w:val="110"/>
        </w:rPr>
        <w:t>bachi- llerato</w:t>
      </w:r>
      <w:r>
        <w:rPr>
          <w:color w:val="231F20"/>
          <w:spacing w:val="-8"/>
          <w:w w:val="110"/>
        </w:rPr>
        <w:t> </w:t>
      </w:r>
      <w:r>
        <w:rPr>
          <w:color w:val="231F20"/>
          <w:w w:val="110"/>
        </w:rPr>
        <w:t>general,</w:t>
      </w:r>
      <w:r>
        <w:rPr>
          <w:color w:val="231F20"/>
          <w:spacing w:val="-8"/>
          <w:w w:val="110"/>
        </w:rPr>
        <w:t> </w:t>
      </w:r>
      <w:r>
        <w:rPr>
          <w:color w:val="231F20"/>
          <w:w w:val="110"/>
        </w:rPr>
        <w:t>técnico</w:t>
      </w:r>
      <w:r>
        <w:rPr>
          <w:color w:val="231F20"/>
          <w:spacing w:val="-8"/>
          <w:w w:val="110"/>
        </w:rPr>
        <w:t> </w:t>
      </w:r>
      <w:r>
        <w:rPr>
          <w:color w:val="231F20"/>
          <w:w w:val="110"/>
        </w:rPr>
        <w:t>y</w:t>
      </w:r>
      <w:r>
        <w:rPr>
          <w:color w:val="231F20"/>
          <w:spacing w:val="-8"/>
          <w:w w:val="110"/>
        </w:rPr>
        <w:t> </w:t>
      </w:r>
      <w:r>
        <w:rPr>
          <w:color w:val="231F20"/>
          <w:w w:val="110"/>
        </w:rPr>
        <w:t>educación</w:t>
      </w:r>
      <w:r>
        <w:rPr>
          <w:color w:val="231F20"/>
          <w:spacing w:val="-8"/>
          <w:w w:val="110"/>
        </w:rPr>
        <w:t> </w:t>
      </w:r>
      <w:r>
        <w:rPr>
          <w:color w:val="231F20"/>
          <w:w w:val="110"/>
        </w:rPr>
        <w:t>profesional</w:t>
      </w:r>
      <w:r>
        <w:rPr>
          <w:color w:val="231F20"/>
          <w:spacing w:val="-8"/>
          <w:w w:val="110"/>
        </w:rPr>
        <w:t> </w:t>
      </w:r>
      <w:r>
        <w:rPr>
          <w:color w:val="231F20"/>
          <w:w w:val="110"/>
        </w:rPr>
        <w:t>técnica),</w:t>
      </w:r>
      <w:r>
        <w:rPr>
          <w:color w:val="231F20"/>
          <w:spacing w:val="-8"/>
          <w:w w:val="110"/>
        </w:rPr>
        <w:t> </w:t>
      </w:r>
      <w:r>
        <w:rPr>
          <w:color w:val="231F20"/>
          <w:w w:val="110"/>
        </w:rPr>
        <w:t>mientras</w:t>
      </w:r>
      <w:r>
        <w:rPr>
          <w:color w:val="231F20"/>
          <w:spacing w:val="-8"/>
          <w:w w:val="110"/>
        </w:rPr>
        <w:t> </w:t>
      </w:r>
      <w:r>
        <w:rPr>
          <w:color w:val="231F20"/>
          <w:w w:val="110"/>
        </w:rPr>
        <w:t>que</w:t>
      </w:r>
      <w:r>
        <w:rPr>
          <w:color w:val="231F20"/>
          <w:spacing w:val="-8"/>
          <w:w w:val="110"/>
        </w:rPr>
        <w:t> </w:t>
      </w:r>
      <w:r>
        <w:rPr>
          <w:color w:val="231F20"/>
          <w:w w:val="110"/>
        </w:rPr>
        <w:t>para 2010,</w:t>
      </w:r>
      <w:r>
        <w:rPr>
          <w:color w:val="231F20"/>
          <w:spacing w:val="-21"/>
          <w:w w:val="110"/>
        </w:rPr>
        <w:t> </w:t>
      </w:r>
      <w:r>
        <w:rPr>
          <w:color w:val="231F20"/>
          <w:w w:val="110"/>
        </w:rPr>
        <w:t>esta</w:t>
      </w:r>
      <w:r>
        <w:rPr>
          <w:color w:val="231F20"/>
          <w:spacing w:val="-21"/>
          <w:w w:val="110"/>
        </w:rPr>
        <w:t> </w:t>
      </w:r>
      <w:r>
        <w:rPr>
          <w:color w:val="231F20"/>
          <w:w w:val="110"/>
        </w:rPr>
        <w:t>cantidad</w:t>
      </w:r>
      <w:r>
        <w:rPr>
          <w:color w:val="231F20"/>
          <w:spacing w:val="-21"/>
          <w:w w:val="110"/>
        </w:rPr>
        <w:t> </w:t>
      </w:r>
      <w:r>
        <w:rPr>
          <w:color w:val="231F20"/>
          <w:w w:val="110"/>
        </w:rPr>
        <w:t>casi</w:t>
      </w:r>
      <w:r>
        <w:rPr>
          <w:color w:val="231F20"/>
          <w:spacing w:val="-21"/>
          <w:w w:val="110"/>
        </w:rPr>
        <w:t> </w:t>
      </w:r>
      <w:r>
        <w:rPr>
          <w:color w:val="231F20"/>
          <w:w w:val="110"/>
        </w:rPr>
        <w:t>se</w:t>
      </w:r>
      <w:r>
        <w:rPr>
          <w:color w:val="231F20"/>
          <w:spacing w:val="-21"/>
          <w:w w:val="110"/>
        </w:rPr>
        <w:t> </w:t>
      </w:r>
      <w:r>
        <w:rPr>
          <w:color w:val="231F20"/>
          <w:w w:val="110"/>
        </w:rPr>
        <w:t>duplicó</w:t>
      </w:r>
      <w:r>
        <w:rPr>
          <w:color w:val="231F20"/>
          <w:spacing w:val="-21"/>
          <w:w w:val="110"/>
        </w:rPr>
        <w:t> </w:t>
      </w:r>
      <w:r>
        <w:rPr>
          <w:color w:val="231F20"/>
          <w:w w:val="110"/>
        </w:rPr>
        <w:t>a</w:t>
      </w:r>
      <w:r>
        <w:rPr>
          <w:color w:val="231F20"/>
          <w:spacing w:val="-21"/>
          <w:w w:val="110"/>
        </w:rPr>
        <w:t> </w:t>
      </w:r>
      <w:r>
        <w:rPr>
          <w:color w:val="231F20"/>
          <w:w w:val="110"/>
        </w:rPr>
        <w:t>4’173,014,</w:t>
      </w:r>
      <w:r>
        <w:rPr>
          <w:color w:val="231F20"/>
          <w:spacing w:val="-21"/>
          <w:w w:val="110"/>
        </w:rPr>
        <w:t> </w:t>
      </w:r>
      <w:r>
        <w:rPr>
          <w:color w:val="231F20"/>
          <w:w w:val="110"/>
        </w:rPr>
        <w:t>con</w:t>
      </w:r>
      <w:r>
        <w:rPr>
          <w:color w:val="231F20"/>
          <w:spacing w:val="-21"/>
          <w:w w:val="110"/>
        </w:rPr>
        <w:t> </w:t>
      </w:r>
      <w:r>
        <w:rPr>
          <w:color w:val="231F20"/>
          <w:w w:val="110"/>
        </w:rPr>
        <w:t>un</w:t>
      </w:r>
      <w:r>
        <w:rPr>
          <w:color w:val="231F20"/>
          <w:spacing w:val="-21"/>
          <w:w w:val="110"/>
        </w:rPr>
        <w:t> </w:t>
      </w:r>
      <w:r>
        <w:rPr>
          <w:color w:val="231F20"/>
          <w:w w:val="110"/>
        </w:rPr>
        <w:t>crecimiento</w:t>
      </w:r>
      <w:r>
        <w:rPr>
          <w:color w:val="231F20"/>
          <w:spacing w:val="-21"/>
          <w:w w:val="110"/>
        </w:rPr>
        <w:t> </w:t>
      </w:r>
      <w:r>
        <w:rPr>
          <w:color w:val="231F20"/>
          <w:w w:val="110"/>
        </w:rPr>
        <w:t>de</w:t>
      </w:r>
      <w:r>
        <w:rPr>
          <w:color w:val="231F20"/>
          <w:spacing w:val="-21"/>
          <w:w w:val="110"/>
        </w:rPr>
        <w:t> </w:t>
      </w:r>
      <w:r>
        <w:rPr>
          <w:color w:val="231F20"/>
          <w:w w:val="110"/>
        </w:rPr>
        <w:t>35</w:t>
      </w:r>
      <w:r>
        <w:rPr>
          <w:color w:val="231F20"/>
          <w:spacing w:val="-21"/>
          <w:w w:val="110"/>
        </w:rPr>
        <w:t> </w:t>
      </w:r>
      <w:r>
        <w:rPr>
          <w:color w:val="231F20"/>
          <w:w w:val="110"/>
        </w:rPr>
        <w:t>por cada mil anualmente. El Estado de México tuvo un crecimiento más acele- rado con 45 por cada mil del año 2000 al 2010, y aumentó su matrícula escolar</w:t>
      </w:r>
      <w:r>
        <w:rPr>
          <w:color w:val="231F20"/>
          <w:spacing w:val="-16"/>
          <w:w w:val="110"/>
        </w:rPr>
        <w:t> </w:t>
      </w:r>
      <w:r>
        <w:rPr>
          <w:color w:val="231F20"/>
          <w:w w:val="110"/>
        </w:rPr>
        <w:t>de</w:t>
      </w:r>
      <w:r>
        <w:rPr>
          <w:color w:val="231F20"/>
          <w:spacing w:val="-16"/>
          <w:w w:val="110"/>
        </w:rPr>
        <w:t> </w:t>
      </w:r>
      <w:r>
        <w:rPr>
          <w:color w:val="231F20"/>
          <w:w w:val="110"/>
        </w:rPr>
        <w:t>330,320</w:t>
      </w:r>
      <w:r>
        <w:rPr>
          <w:color w:val="231F20"/>
          <w:spacing w:val="-16"/>
          <w:w w:val="110"/>
        </w:rPr>
        <w:t> </w:t>
      </w:r>
      <w:r>
        <w:rPr>
          <w:color w:val="231F20"/>
          <w:w w:val="110"/>
        </w:rPr>
        <w:t>a</w:t>
      </w:r>
      <w:r>
        <w:rPr>
          <w:color w:val="231F20"/>
          <w:spacing w:val="-16"/>
          <w:w w:val="110"/>
        </w:rPr>
        <w:t> </w:t>
      </w:r>
      <w:r>
        <w:rPr>
          <w:color w:val="231F20"/>
          <w:w w:val="110"/>
        </w:rPr>
        <w:t>510,717.</w:t>
      </w:r>
      <w:r>
        <w:rPr>
          <w:color w:val="231F20"/>
          <w:spacing w:val="-16"/>
          <w:w w:val="110"/>
        </w:rPr>
        <w:t> </w:t>
      </w:r>
      <w:r>
        <w:rPr>
          <w:color w:val="231F20"/>
          <w:w w:val="110"/>
        </w:rPr>
        <w:t>Lo</w:t>
      </w:r>
      <w:r>
        <w:rPr>
          <w:color w:val="231F20"/>
          <w:spacing w:val="-16"/>
          <w:w w:val="110"/>
        </w:rPr>
        <w:t> </w:t>
      </w:r>
      <w:r>
        <w:rPr>
          <w:color w:val="231F20"/>
          <w:w w:val="110"/>
        </w:rPr>
        <w:t>anterior</w:t>
      </w:r>
      <w:r>
        <w:rPr>
          <w:color w:val="231F20"/>
          <w:spacing w:val="-16"/>
          <w:w w:val="110"/>
        </w:rPr>
        <w:t> </w:t>
      </w:r>
      <w:r>
        <w:rPr>
          <w:color w:val="231F20"/>
          <w:w w:val="110"/>
        </w:rPr>
        <w:t>posiciona</w:t>
      </w:r>
      <w:r>
        <w:rPr>
          <w:color w:val="231F20"/>
          <w:spacing w:val="-16"/>
          <w:w w:val="110"/>
        </w:rPr>
        <w:t> </w:t>
      </w:r>
      <w:r>
        <w:rPr>
          <w:color w:val="231F20"/>
          <w:w w:val="110"/>
        </w:rPr>
        <w:t>a</w:t>
      </w:r>
      <w:r>
        <w:rPr>
          <w:color w:val="231F20"/>
          <w:spacing w:val="-16"/>
          <w:w w:val="110"/>
        </w:rPr>
        <w:t> </w:t>
      </w:r>
      <w:r>
        <w:rPr>
          <w:color w:val="231F20"/>
          <w:w w:val="110"/>
        </w:rPr>
        <w:t>la</w:t>
      </w:r>
      <w:r>
        <w:rPr>
          <w:color w:val="231F20"/>
          <w:spacing w:val="-16"/>
          <w:w w:val="110"/>
        </w:rPr>
        <w:t> </w:t>
      </w:r>
      <w:r>
        <w:rPr>
          <w:color w:val="231F20"/>
          <w:w w:val="110"/>
        </w:rPr>
        <w:t>entidad</w:t>
      </w:r>
      <w:r>
        <w:rPr>
          <w:color w:val="231F20"/>
          <w:spacing w:val="-16"/>
          <w:w w:val="110"/>
        </w:rPr>
        <w:t> </w:t>
      </w:r>
      <w:r>
        <w:rPr>
          <w:color w:val="231F20"/>
          <w:w w:val="110"/>
        </w:rPr>
        <w:t>como</w:t>
      </w:r>
      <w:r>
        <w:rPr>
          <w:color w:val="231F20"/>
          <w:spacing w:val="-16"/>
          <w:w w:val="110"/>
        </w:rPr>
        <w:t> </w:t>
      </w:r>
      <w:r>
        <w:rPr>
          <w:color w:val="231F20"/>
          <w:w w:val="110"/>
        </w:rPr>
        <w:t>la</w:t>
      </w:r>
      <w:r>
        <w:rPr>
          <w:color w:val="231F20"/>
          <w:spacing w:val="-16"/>
          <w:w w:val="110"/>
        </w:rPr>
        <w:t> </w:t>
      </w:r>
      <w:r>
        <w:rPr>
          <w:color w:val="231F20"/>
          <w:w w:val="110"/>
        </w:rPr>
        <w:t>que mayor matricula de nivel medio superior presentó para el periodo escolar 2010-2011.</w:t>
      </w:r>
    </w:p>
    <w:p>
      <w:pPr>
        <w:pStyle w:val="BodyText"/>
        <w:spacing w:line="288" w:lineRule="auto"/>
        <w:ind w:left="124" w:right="111" w:firstLine="360"/>
        <w:jc w:val="both"/>
      </w:pPr>
      <w:r>
        <w:rPr>
          <w:color w:val="231F20"/>
          <w:w w:val="110"/>
        </w:rPr>
        <w:t>En el año 2010 el nivel superior tuvo una matrícula en los sistemas público,</w:t>
      </w:r>
      <w:r>
        <w:rPr>
          <w:color w:val="231F20"/>
          <w:spacing w:val="-5"/>
          <w:w w:val="110"/>
        </w:rPr>
        <w:t> </w:t>
      </w:r>
      <w:r>
        <w:rPr>
          <w:color w:val="231F20"/>
          <w:w w:val="110"/>
        </w:rPr>
        <w:t>privado</w:t>
      </w:r>
      <w:r>
        <w:rPr>
          <w:color w:val="231F20"/>
          <w:spacing w:val="-5"/>
          <w:w w:val="110"/>
        </w:rPr>
        <w:t> </w:t>
      </w:r>
      <w:r>
        <w:rPr>
          <w:color w:val="231F20"/>
          <w:w w:val="110"/>
        </w:rPr>
        <w:t>y</w:t>
      </w:r>
      <w:r>
        <w:rPr>
          <w:color w:val="231F20"/>
          <w:spacing w:val="-5"/>
          <w:w w:val="110"/>
        </w:rPr>
        <w:t> </w:t>
      </w:r>
      <w:r>
        <w:rPr>
          <w:color w:val="231F20"/>
          <w:w w:val="110"/>
        </w:rPr>
        <w:t>de</w:t>
      </w:r>
      <w:r>
        <w:rPr>
          <w:color w:val="231F20"/>
          <w:spacing w:val="-5"/>
          <w:w w:val="110"/>
        </w:rPr>
        <w:t> </w:t>
      </w:r>
      <w:r>
        <w:rPr>
          <w:color w:val="231F20"/>
          <w:w w:val="110"/>
        </w:rPr>
        <w:t>normal</w:t>
      </w:r>
      <w:r>
        <w:rPr>
          <w:color w:val="231F20"/>
          <w:spacing w:val="-5"/>
          <w:w w:val="110"/>
        </w:rPr>
        <w:t> </w:t>
      </w:r>
      <w:r>
        <w:rPr>
          <w:color w:val="231F20"/>
          <w:w w:val="110"/>
        </w:rPr>
        <w:t>superior</w:t>
      </w:r>
      <w:r>
        <w:rPr>
          <w:color w:val="231F20"/>
          <w:spacing w:val="-5"/>
          <w:w w:val="110"/>
        </w:rPr>
        <w:t> </w:t>
      </w:r>
      <w:r>
        <w:rPr>
          <w:color w:val="231F20"/>
          <w:w w:val="110"/>
        </w:rPr>
        <w:t>igual</w:t>
      </w:r>
      <w:r>
        <w:rPr>
          <w:color w:val="231F20"/>
          <w:spacing w:val="-5"/>
          <w:w w:val="110"/>
        </w:rPr>
        <w:t> </w:t>
      </w:r>
      <w:r>
        <w:rPr>
          <w:color w:val="231F20"/>
          <w:w w:val="110"/>
        </w:rPr>
        <w:t>a</w:t>
      </w:r>
      <w:r>
        <w:rPr>
          <w:color w:val="231F20"/>
          <w:spacing w:val="-5"/>
          <w:w w:val="110"/>
        </w:rPr>
        <w:t> </w:t>
      </w:r>
      <w:r>
        <w:rPr>
          <w:color w:val="231F20"/>
          <w:w w:val="110"/>
        </w:rPr>
        <w:t>2’773,088</w:t>
      </w:r>
      <w:r>
        <w:rPr>
          <w:color w:val="231F20"/>
          <w:spacing w:val="-5"/>
          <w:w w:val="110"/>
        </w:rPr>
        <w:t> </w:t>
      </w:r>
      <w:r>
        <w:rPr>
          <w:color w:val="231F20"/>
          <w:w w:val="110"/>
        </w:rPr>
        <w:t>estudiantes</w:t>
      </w:r>
      <w:r>
        <w:rPr>
          <w:color w:val="231F20"/>
          <w:spacing w:val="-5"/>
          <w:w w:val="110"/>
        </w:rPr>
        <w:t> </w:t>
      </w:r>
      <w:r>
        <w:rPr>
          <w:color w:val="231F20"/>
          <w:w w:val="110"/>
        </w:rPr>
        <w:t>a</w:t>
      </w:r>
      <w:r>
        <w:rPr>
          <w:color w:val="231F20"/>
          <w:spacing w:val="-5"/>
          <w:w w:val="110"/>
        </w:rPr>
        <w:t> </w:t>
      </w:r>
      <w:r>
        <w:rPr>
          <w:color w:val="231F20"/>
          <w:w w:val="110"/>
        </w:rPr>
        <w:t>nivel nacional, lo que significó un crecimiento anual de 38 por cada mil</w:t>
      </w:r>
      <w:r>
        <w:rPr>
          <w:color w:val="231F20"/>
          <w:spacing w:val="-7"/>
          <w:w w:val="110"/>
        </w:rPr>
        <w:t> </w:t>
      </w:r>
      <w:r>
        <w:rPr>
          <w:color w:val="231F20"/>
          <w:w w:val="110"/>
        </w:rPr>
        <w:t>alumnos respecto al año 2000. En la entidad bajo estudio hubo 297,265</w:t>
      </w:r>
      <w:r>
        <w:rPr>
          <w:color w:val="231F20"/>
          <w:spacing w:val="-10"/>
          <w:w w:val="110"/>
        </w:rPr>
        <w:t> </w:t>
      </w:r>
      <w:r>
        <w:rPr>
          <w:color w:val="231F20"/>
          <w:w w:val="110"/>
        </w:rPr>
        <w:t>estudiantes </w:t>
      </w:r>
      <w:r>
        <w:rPr>
          <w:color w:val="231F20"/>
          <w:spacing w:val="-4"/>
          <w:w w:val="110"/>
        </w:rPr>
        <w:t>matriculados</w:t>
      </w:r>
      <w:r>
        <w:rPr>
          <w:color w:val="231F20"/>
          <w:spacing w:val="-10"/>
          <w:w w:val="110"/>
        </w:rPr>
        <w:t> </w:t>
      </w:r>
      <w:r>
        <w:rPr>
          <w:color w:val="231F20"/>
          <w:w w:val="110"/>
        </w:rPr>
        <w:t>en</w:t>
      </w:r>
      <w:r>
        <w:rPr>
          <w:color w:val="231F20"/>
          <w:spacing w:val="-10"/>
          <w:w w:val="110"/>
        </w:rPr>
        <w:t> </w:t>
      </w:r>
      <w:r>
        <w:rPr>
          <w:color w:val="231F20"/>
          <w:spacing w:val="-4"/>
          <w:w w:val="110"/>
        </w:rPr>
        <w:t>2010,</w:t>
      </w:r>
      <w:r>
        <w:rPr>
          <w:color w:val="231F20"/>
          <w:spacing w:val="-10"/>
          <w:w w:val="110"/>
        </w:rPr>
        <w:t> </w:t>
      </w:r>
      <w:r>
        <w:rPr>
          <w:color w:val="231F20"/>
          <w:w w:val="110"/>
        </w:rPr>
        <w:t>lo</w:t>
      </w:r>
      <w:r>
        <w:rPr>
          <w:color w:val="231F20"/>
          <w:spacing w:val="-10"/>
          <w:w w:val="110"/>
        </w:rPr>
        <w:t> </w:t>
      </w:r>
      <w:r>
        <w:rPr>
          <w:color w:val="231F20"/>
          <w:spacing w:val="-3"/>
          <w:w w:val="110"/>
        </w:rPr>
        <w:t>que</w:t>
      </w:r>
      <w:r>
        <w:rPr>
          <w:color w:val="231F20"/>
          <w:spacing w:val="-10"/>
          <w:w w:val="110"/>
        </w:rPr>
        <w:t> </w:t>
      </w:r>
      <w:r>
        <w:rPr>
          <w:color w:val="231F20"/>
          <w:spacing w:val="-4"/>
          <w:w w:val="110"/>
        </w:rPr>
        <w:t>supuso</w:t>
      </w:r>
      <w:r>
        <w:rPr>
          <w:color w:val="231F20"/>
          <w:spacing w:val="-10"/>
          <w:w w:val="110"/>
        </w:rPr>
        <w:t> </w:t>
      </w:r>
      <w:r>
        <w:rPr>
          <w:color w:val="231F20"/>
          <w:w w:val="110"/>
        </w:rPr>
        <w:t>un</w:t>
      </w:r>
      <w:r>
        <w:rPr>
          <w:color w:val="231F20"/>
          <w:spacing w:val="-10"/>
          <w:w w:val="110"/>
        </w:rPr>
        <w:t> </w:t>
      </w:r>
      <w:r>
        <w:rPr>
          <w:color w:val="231F20"/>
          <w:spacing w:val="-4"/>
          <w:w w:val="110"/>
        </w:rPr>
        <w:t>aumento</w:t>
      </w:r>
      <w:r>
        <w:rPr>
          <w:color w:val="231F20"/>
          <w:spacing w:val="-10"/>
          <w:w w:val="110"/>
        </w:rPr>
        <w:t> </w:t>
      </w:r>
      <w:r>
        <w:rPr>
          <w:color w:val="231F20"/>
          <w:spacing w:val="-4"/>
          <w:w w:val="110"/>
        </w:rPr>
        <w:t>anual</w:t>
      </w:r>
      <w:r>
        <w:rPr>
          <w:color w:val="231F20"/>
          <w:spacing w:val="-10"/>
          <w:w w:val="110"/>
        </w:rPr>
        <w:t> </w:t>
      </w:r>
      <w:r>
        <w:rPr>
          <w:color w:val="231F20"/>
          <w:w w:val="110"/>
        </w:rPr>
        <w:t>de</w:t>
      </w:r>
      <w:r>
        <w:rPr>
          <w:color w:val="231F20"/>
          <w:spacing w:val="-10"/>
          <w:w w:val="110"/>
        </w:rPr>
        <w:t> </w:t>
      </w:r>
      <w:r>
        <w:rPr>
          <w:color w:val="231F20"/>
          <w:w w:val="110"/>
        </w:rPr>
        <w:t>61</w:t>
      </w:r>
      <w:r>
        <w:rPr>
          <w:color w:val="231F20"/>
          <w:spacing w:val="-10"/>
          <w:w w:val="110"/>
        </w:rPr>
        <w:t> </w:t>
      </w:r>
      <w:r>
        <w:rPr>
          <w:color w:val="231F20"/>
          <w:spacing w:val="-4"/>
          <w:w w:val="110"/>
        </w:rPr>
        <w:t>estudiantes</w:t>
      </w:r>
      <w:r>
        <w:rPr>
          <w:color w:val="231F20"/>
          <w:spacing w:val="-10"/>
          <w:w w:val="110"/>
        </w:rPr>
        <w:t> </w:t>
      </w:r>
      <w:r>
        <w:rPr>
          <w:color w:val="231F20"/>
          <w:spacing w:val="-3"/>
          <w:w w:val="110"/>
        </w:rPr>
        <w:t>por </w:t>
      </w:r>
      <w:r>
        <w:rPr>
          <w:color w:val="231F20"/>
          <w:w w:val="110"/>
        </w:rPr>
        <w:t>cada mil inscritos al inicio de la década. Por lo que el crecimiento de la matrícula</w:t>
      </w:r>
      <w:r>
        <w:rPr>
          <w:color w:val="231F20"/>
          <w:spacing w:val="-24"/>
          <w:w w:val="110"/>
        </w:rPr>
        <w:t> </w:t>
      </w:r>
      <w:r>
        <w:rPr>
          <w:color w:val="231F20"/>
          <w:w w:val="110"/>
        </w:rPr>
        <w:t>estatal</w:t>
      </w:r>
      <w:r>
        <w:rPr>
          <w:color w:val="231F20"/>
          <w:spacing w:val="-24"/>
          <w:w w:val="110"/>
        </w:rPr>
        <w:t> </w:t>
      </w:r>
      <w:r>
        <w:rPr>
          <w:color w:val="231F20"/>
          <w:w w:val="110"/>
        </w:rPr>
        <w:t>fue</w:t>
      </w:r>
      <w:r>
        <w:rPr>
          <w:color w:val="231F20"/>
          <w:spacing w:val="-24"/>
          <w:w w:val="110"/>
        </w:rPr>
        <w:t> </w:t>
      </w:r>
      <w:r>
        <w:rPr>
          <w:color w:val="231F20"/>
          <w:w w:val="110"/>
        </w:rPr>
        <w:t>superior</w:t>
      </w:r>
      <w:r>
        <w:rPr>
          <w:color w:val="231F20"/>
          <w:spacing w:val="-24"/>
          <w:w w:val="110"/>
        </w:rPr>
        <w:t> </w:t>
      </w:r>
      <w:r>
        <w:rPr>
          <w:color w:val="231F20"/>
          <w:w w:val="110"/>
        </w:rPr>
        <w:t>al</w:t>
      </w:r>
      <w:r>
        <w:rPr>
          <w:color w:val="231F20"/>
          <w:spacing w:val="-24"/>
          <w:w w:val="110"/>
        </w:rPr>
        <w:t> </w:t>
      </w:r>
      <w:r>
        <w:rPr>
          <w:color w:val="231F20"/>
          <w:w w:val="110"/>
        </w:rPr>
        <w:t>promedio</w:t>
      </w:r>
      <w:r>
        <w:rPr>
          <w:color w:val="231F20"/>
          <w:spacing w:val="-24"/>
          <w:w w:val="110"/>
        </w:rPr>
        <w:t> </w:t>
      </w:r>
      <w:r>
        <w:rPr>
          <w:color w:val="231F20"/>
          <w:w w:val="110"/>
        </w:rPr>
        <w:t>nacional.</w:t>
      </w:r>
      <w:r>
        <w:rPr>
          <w:color w:val="231F20"/>
          <w:spacing w:val="-24"/>
          <w:w w:val="110"/>
        </w:rPr>
        <w:t> </w:t>
      </w:r>
      <w:r>
        <w:rPr>
          <w:color w:val="231F20"/>
          <w:w w:val="110"/>
        </w:rPr>
        <w:t>Los</w:t>
      </w:r>
      <w:r>
        <w:rPr>
          <w:color w:val="231F20"/>
          <w:spacing w:val="-24"/>
          <w:w w:val="110"/>
        </w:rPr>
        <w:t> </w:t>
      </w:r>
      <w:r>
        <w:rPr>
          <w:color w:val="231F20"/>
          <w:w w:val="110"/>
        </w:rPr>
        <w:t>datos</w:t>
      </w:r>
      <w:r>
        <w:rPr>
          <w:color w:val="231F20"/>
          <w:spacing w:val="-24"/>
          <w:w w:val="110"/>
        </w:rPr>
        <w:t> </w:t>
      </w:r>
      <w:r>
        <w:rPr>
          <w:color w:val="231F20"/>
          <w:w w:val="110"/>
        </w:rPr>
        <w:t>anteriores</w:t>
      </w:r>
      <w:r>
        <w:rPr>
          <w:color w:val="231F20"/>
          <w:spacing w:val="-24"/>
          <w:w w:val="110"/>
        </w:rPr>
        <w:t> </w:t>
      </w:r>
      <w:r>
        <w:rPr>
          <w:color w:val="231F20"/>
          <w:w w:val="110"/>
        </w:rPr>
        <w:t>nos muestran un panorama que resulta favorable para los jóvenes, al haber más espacios se esperaría un incremento en las posibilidades de que éstos eleven su escolaridad. Sin embargo, en términos demográficos esta pobla- ción también aumentó en volumen, por lo que las oportunidades de acce- der a estos niveles educativos se pueden ver disminuidas por la presión poblacional.</w:t>
      </w:r>
    </w:p>
    <w:p>
      <w:pPr>
        <w:pStyle w:val="BodyText"/>
        <w:spacing w:line="288" w:lineRule="auto"/>
        <w:ind w:left="124" w:right="112" w:firstLine="360"/>
        <w:jc w:val="both"/>
      </w:pPr>
      <w:r>
        <w:rPr>
          <w:color w:val="231F20"/>
          <w:w w:val="110"/>
        </w:rPr>
        <w:t>De los jóvenes mexiquenses de entre 15 y 19 años, 55.1 por ciento asiste a la escuela, mientras que sólo 19.5 por ciento de aquéllos con 20 a 24 años lo hacen. Estos datos revelan que la permanencia en la escuela es mucho menos frecuente después de los 19 años; únicamente dos de cada 10 jóvenes de entre 20 y 24 años se encontraba cursando algún tipo de enseñanza formal, por lo que a pesar del incremento en la matrícula aún  es muy selecto el grupo de jóvenes que acceden al nivel  </w:t>
      </w:r>
      <w:r>
        <w:rPr>
          <w:color w:val="231F20"/>
          <w:spacing w:val="1"/>
          <w:w w:val="110"/>
        </w:rPr>
        <w:t> </w:t>
      </w:r>
      <w:r>
        <w:rPr>
          <w:color w:val="231F20"/>
          <w:w w:val="110"/>
        </w:rPr>
        <w:t>superior.</w:t>
      </w:r>
    </w:p>
    <w:p>
      <w:pPr>
        <w:pStyle w:val="BodyText"/>
        <w:spacing w:line="288" w:lineRule="auto"/>
        <w:ind w:left="124" w:right="113" w:firstLine="360"/>
        <w:jc w:val="both"/>
      </w:pPr>
      <w:r>
        <w:rPr>
          <w:color w:val="231F20"/>
          <w:w w:val="110"/>
        </w:rPr>
        <w:t>El cuadro 3 muestra las proporciones de jóvenes mexiquenses por grupo de edad, condición de asistencia y escolaridad  alcanzada.</w:t>
      </w:r>
    </w:p>
    <w:p>
      <w:pPr>
        <w:pStyle w:val="BodyText"/>
        <w:spacing w:line="288" w:lineRule="auto"/>
        <w:ind w:left="124" w:right="110" w:firstLine="360"/>
        <w:jc w:val="both"/>
      </w:pPr>
      <w:r>
        <w:rPr>
          <w:color w:val="231F20"/>
          <w:w w:val="110"/>
        </w:rPr>
        <w:t>Como se esperaba, el primer grupo de edad observado es el que más asiste a la escuela en términos generales. Sin embargo, la unión es un evento decisivo en la trayectoria escolar de los jóvenes. Más de dos tercios de los jóvenes no unidos asisten aún a la escuela, 61.3 por ciento de   hom-</w:t>
      </w:r>
    </w:p>
    <w:p>
      <w:pPr>
        <w:spacing w:after="0" w:line="288" w:lineRule="auto"/>
        <w:jc w:val="both"/>
        <w:sectPr>
          <w:pgSz w:w="9520" w:h="12920"/>
          <w:pgMar w:header="0" w:footer="1344" w:top="880" w:bottom="1540" w:left="1320" w:right="1000"/>
        </w:sectPr>
      </w:pPr>
    </w:p>
    <w:p>
      <w:pPr>
        <w:pStyle w:val="BodyText"/>
        <w:spacing w:line="288" w:lineRule="auto" w:before="42"/>
        <w:ind w:left="100" w:right="117"/>
        <w:jc w:val="both"/>
      </w:pPr>
      <w:r>
        <w:rPr>
          <w:color w:val="231F20"/>
          <w:w w:val="110"/>
        </w:rPr>
        <w:t>bres y 68.3 de mujeres. Por otra parte, entre quienes se declararon</w:t>
      </w:r>
      <w:r>
        <w:rPr>
          <w:color w:val="231F20"/>
          <w:spacing w:val="-20"/>
          <w:w w:val="110"/>
        </w:rPr>
        <w:t> </w:t>
      </w:r>
      <w:r>
        <w:rPr>
          <w:color w:val="231F20"/>
          <w:w w:val="110"/>
        </w:rPr>
        <w:t>unidos, </w:t>
      </w:r>
      <w:r>
        <w:rPr>
          <w:color w:val="231F20"/>
          <w:spacing w:val="-3"/>
          <w:w w:val="110"/>
        </w:rPr>
        <w:t>las </w:t>
      </w:r>
      <w:r>
        <w:rPr>
          <w:color w:val="231F20"/>
          <w:spacing w:val="-4"/>
          <w:w w:val="110"/>
        </w:rPr>
        <w:t>proporciones </w:t>
      </w:r>
      <w:r>
        <w:rPr>
          <w:color w:val="231F20"/>
          <w:spacing w:val="-3"/>
          <w:w w:val="110"/>
        </w:rPr>
        <w:t>son </w:t>
      </w:r>
      <w:r>
        <w:rPr>
          <w:color w:val="231F20"/>
          <w:spacing w:val="-4"/>
          <w:w w:val="110"/>
        </w:rPr>
        <w:t>notablemente menores. Entre </w:t>
      </w:r>
      <w:r>
        <w:rPr>
          <w:color w:val="231F20"/>
          <w:spacing w:val="-3"/>
          <w:w w:val="110"/>
        </w:rPr>
        <w:t>los </w:t>
      </w:r>
      <w:r>
        <w:rPr>
          <w:color w:val="231F20"/>
          <w:spacing w:val="-4"/>
          <w:w w:val="110"/>
        </w:rPr>
        <w:t>unidos autónomos,</w:t>
      </w:r>
      <w:r>
        <w:rPr>
          <w:color w:val="231F20"/>
          <w:spacing w:val="-6"/>
          <w:w w:val="110"/>
        </w:rPr>
        <w:t> </w:t>
      </w:r>
      <w:r>
        <w:rPr>
          <w:color w:val="231F20"/>
          <w:w w:val="110"/>
        </w:rPr>
        <w:t>no más de 5 por ciento se mantiene en la escuela, y en los no autónomos 10 por ciento o menos. La diferencia positiva está relacionada con la disponi- bilidad de mayores recursos de los que pueden hacerse llegar los jóvenes que aun en pareja viven bajo la jefatura de algún otro miembro del </w:t>
      </w:r>
      <w:r>
        <w:rPr>
          <w:color w:val="231F20"/>
          <w:spacing w:val="-3"/>
          <w:w w:val="110"/>
        </w:rPr>
        <w:t>hogar. </w:t>
      </w:r>
      <w:r>
        <w:rPr>
          <w:color w:val="231F20"/>
          <w:w w:val="110"/>
        </w:rPr>
        <w:t>Además, resulta evidente que el establecimiento de una unión conyugal y el asumir la jefatura de hogar o de cónyuge de un jefe de </w:t>
      </w:r>
      <w:r>
        <w:rPr>
          <w:color w:val="231F20"/>
          <w:spacing w:val="-3"/>
          <w:w w:val="110"/>
        </w:rPr>
        <w:t>hogar, </w:t>
      </w:r>
      <w:r>
        <w:rPr>
          <w:color w:val="231F20"/>
          <w:w w:val="110"/>
        </w:rPr>
        <w:t>constitu- yen circunstancias que impactan en la permanencia de los jóvenes en el sistema</w:t>
      </w:r>
      <w:r>
        <w:rPr>
          <w:color w:val="231F20"/>
          <w:spacing w:val="-9"/>
          <w:w w:val="110"/>
        </w:rPr>
        <w:t> </w:t>
      </w:r>
      <w:r>
        <w:rPr>
          <w:color w:val="231F20"/>
          <w:w w:val="110"/>
        </w:rPr>
        <w:t>educativo.</w:t>
      </w:r>
      <w:r>
        <w:rPr>
          <w:color w:val="231F20"/>
          <w:spacing w:val="-9"/>
          <w:w w:val="110"/>
        </w:rPr>
        <w:t> </w:t>
      </w:r>
      <w:r>
        <w:rPr>
          <w:color w:val="231F20"/>
          <w:w w:val="110"/>
        </w:rPr>
        <w:t>Otro</w:t>
      </w:r>
      <w:r>
        <w:rPr>
          <w:color w:val="231F20"/>
          <w:spacing w:val="-9"/>
          <w:w w:val="110"/>
        </w:rPr>
        <w:t> </w:t>
      </w:r>
      <w:r>
        <w:rPr>
          <w:color w:val="231F20"/>
          <w:w w:val="110"/>
        </w:rPr>
        <w:t>hallazgo</w:t>
      </w:r>
      <w:r>
        <w:rPr>
          <w:color w:val="231F20"/>
          <w:spacing w:val="-9"/>
          <w:w w:val="110"/>
        </w:rPr>
        <w:t> </w:t>
      </w:r>
      <w:r>
        <w:rPr>
          <w:color w:val="231F20"/>
          <w:w w:val="110"/>
        </w:rPr>
        <w:t>interesante</w:t>
      </w:r>
      <w:r>
        <w:rPr>
          <w:color w:val="231F20"/>
          <w:spacing w:val="-9"/>
          <w:w w:val="110"/>
        </w:rPr>
        <w:t> </w:t>
      </w:r>
      <w:r>
        <w:rPr>
          <w:color w:val="231F20"/>
          <w:w w:val="110"/>
        </w:rPr>
        <w:t>es</w:t>
      </w:r>
      <w:r>
        <w:rPr>
          <w:color w:val="231F20"/>
          <w:spacing w:val="-9"/>
          <w:w w:val="110"/>
        </w:rPr>
        <w:t> </w:t>
      </w:r>
      <w:r>
        <w:rPr>
          <w:color w:val="231F20"/>
          <w:w w:val="110"/>
        </w:rPr>
        <w:t>que</w:t>
      </w:r>
      <w:r>
        <w:rPr>
          <w:color w:val="231F20"/>
          <w:spacing w:val="-9"/>
          <w:w w:val="110"/>
        </w:rPr>
        <w:t> </w:t>
      </w:r>
      <w:r>
        <w:rPr>
          <w:color w:val="231F20"/>
          <w:w w:val="110"/>
        </w:rPr>
        <w:t>ser</w:t>
      </w:r>
      <w:r>
        <w:rPr>
          <w:color w:val="231F20"/>
          <w:spacing w:val="-9"/>
          <w:w w:val="110"/>
        </w:rPr>
        <w:t> </w:t>
      </w:r>
      <w:r>
        <w:rPr>
          <w:color w:val="231F20"/>
          <w:w w:val="110"/>
        </w:rPr>
        <w:t>hombre</w:t>
      </w:r>
      <w:r>
        <w:rPr>
          <w:color w:val="231F20"/>
          <w:spacing w:val="-9"/>
          <w:w w:val="110"/>
        </w:rPr>
        <w:t> </w:t>
      </w:r>
      <w:r>
        <w:rPr>
          <w:color w:val="231F20"/>
          <w:w w:val="110"/>
        </w:rPr>
        <w:t>o</w:t>
      </w:r>
      <w:r>
        <w:rPr>
          <w:color w:val="231F20"/>
          <w:spacing w:val="-9"/>
          <w:w w:val="110"/>
        </w:rPr>
        <w:t> </w:t>
      </w:r>
      <w:r>
        <w:rPr>
          <w:color w:val="231F20"/>
          <w:w w:val="110"/>
        </w:rPr>
        <w:t>ser</w:t>
      </w:r>
      <w:r>
        <w:rPr>
          <w:color w:val="231F20"/>
          <w:spacing w:val="-9"/>
          <w:w w:val="110"/>
        </w:rPr>
        <w:t> </w:t>
      </w:r>
      <w:r>
        <w:rPr>
          <w:color w:val="231F20"/>
          <w:w w:val="110"/>
        </w:rPr>
        <w:t>mujer no supone prácticamente ninguna diferencia en este análisis, importa más estar o no</w:t>
      </w:r>
      <w:r>
        <w:rPr>
          <w:color w:val="231F20"/>
          <w:spacing w:val="30"/>
          <w:w w:val="110"/>
        </w:rPr>
        <w:t> </w:t>
      </w:r>
      <w:r>
        <w:rPr>
          <w:color w:val="231F20"/>
          <w:w w:val="110"/>
        </w:rPr>
        <w:t>unido.</w:t>
      </w:r>
    </w:p>
    <w:p>
      <w:pPr>
        <w:pStyle w:val="BodyText"/>
        <w:spacing w:line="288" w:lineRule="auto"/>
        <w:ind w:left="100" w:right="114" w:firstLine="360"/>
        <w:jc w:val="both"/>
      </w:pPr>
      <w:r>
        <w:rPr>
          <w:color w:val="231F20"/>
          <w:w w:val="110"/>
        </w:rPr>
        <w:t>En relación con la escolaridad alcanzada, es necesario apuntar que, de haber cursado normativamente los grados de la primaria y la secundaria, los </w:t>
      </w:r>
      <w:r>
        <w:rPr>
          <w:color w:val="231F20"/>
          <w:spacing w:val="2"/>
          <w:w w:val="110"/>
        </w:rPr>
        <w:t>jóvenes </w:t>
      </w:r>
      <w:r>
        <w:rPr>
          <w:color w:val="231F20"/>
          <w:w w:val="110"/>
        </w:rPr>
        <w:t>de </w:t>
      </w:r>
      <w:r>
        <w:rPr>
          <w:color w:val="231F20"/>
          <w:spacing w:val="2"/>
          <w:w w:val="110"/>
        </w:rPr>
        <w:t>este grupo deberían estar cursando </w:t>
      </w:r>
      <w:r>
        <w:rPr>
          <w:color w:val="231F20"/>
          <w:w w:val="110"/>
        </w:rPr>
        <w:t>la </w:t>
      </w:r>
      <w:r>
        <w:rPr>
          <w:color w:val="231F20"/>
          <w:spacing w:val="2"/>
          <w:w w:val="110"/>
        </w:rPr>
        <w:t>educación media </w:t>
      </w:r>
      <w:r>
        <w:rPr>
          <w:color w:val="231F20"/>
          <w:w w:val="110"/>
        </w:rPr>
        <w:t>superior</w:t>
      </w:r>
      <w:r>
        <w:rPr>
          <w:color w:val="231F20"/>
          <w:spacing w:val="-7"/>
          <w:w w:val="110"/>
        </w:rPr>
        <w:t> </w:t>
      </w:r>
      <w:r>
        <w:rPr>
          <w:color w:val="231F20"/>
          <w:w w:val="110"/>
        </w:rPr>
        <w:t>como</w:t>
      </w:r>
      <w:r>
        <w:rPr>
          <w:color w:val="231F20"/>
          <w:spacing w:val="-7"/>
          <w:w w:val="110"/>
        </w:rPr>
        <w:t> </w:t>
      </w:r>
      <w:r>
        <w:rPr>
          <w:color w:val="231F20"/>
          <w:w w:val="110"/>
        </w:rPr>
        <w:t>corresponde</w:t>
      </w:r>
      <w:r>
        <w:rPr>
          <w:color w:val="231F20"/>
          <w:spacing w:val="-7"/>
          <w:w w:val="110"/>
        </w:rPr>
        <w:t> </w:t>
      </w:r>
      <w:r>
        <w:rPr>
          <w:color w:val="231F20"/>
          <w:w w:val="110"/>
        </w:rPr>
        <w:t>a</w:t>
      </w:r>
      <w:r>
        <w:rPr>
          <w:color w:val="231F20"/>
          <w:spacing w:val="-7"/>
          <w:w w:val="110"/>
        </w:rPr>
        <w:t> </w:t>
      </w:r>
      <w:r>
        <w:rPr>
          <w:color w:val="231F20"/>
          <w:w w:val="110"/>
        </w:rPr>
        <w:t>las</w:t>
      </w:r>
      <w:r>
        <w:rPr>
          <w:color w:val="231F20"/>
          <w:spacing w:val="-7"/>
          <w:w w:val="110"/>
        </w:rPr>
        <w:t> </w:t>
      </w:r>
      <w:r>
        <w:rPr>
          <w:color w:val="231F20"/>
          <w:w w:val="110"/>
        </w:rPr>
        <w:t>edades</w:t>
      </w:r>
      <w:r>
        <w:rPr>
          <w:color w:val="231F20"/>
          <w:spacing w:val="-7"/>
          <w:w w:val="110"/>
        </w:rPr>
        <w:t> </w:t>
      </w:r>
      <w:r>
        <w:rPr>
          <w:color w:val="231F20"/>
          <w:w w:val="110"/>
        </w:rPr>
        <w:t>15</w:t>
      </w:r>
      <w:r>
        <w:rPr>
          <w:color w:val="231F20"/>
          <w:spacing w:val="-7"/>
          <w:w w:val="110"/>
        </w:rPr>
        <w:t> </w:t>
      </w:r>
      <w:r>
        <w:rPr>
          <w:color w:val="231F20"/>
          <w:w w:val="110"/>
        </w:rPr>
        <w:t>a</w:t>
      </w:r>
      <w:r>
        <w:rPr>
          <w:color w:val="231F20"/>
          <w:spacing w:val="-7"/>
          <w:w w:val="110"/>
        </w:rPr>
        <w:t> </w:t>
      </w:r>
      <w:r>
        <w:rPr>
          <w:color w:val="231F20"/>
          <w:w w:val="110"/>
        </w:rPr>
        <w:t>18</w:t>
      </w:r>
      <w:r>
        <w:rPr>
          <w:color w:val="231F20"/>
          <w:spacing w:val="-7"/>
          <w:w w:val="110"/>
        </w:rPr>
        <w:t> </w:t>
      </w:r>
      <w:r>
        <w:rPr>
          <w:color w:val="231F20"/>
          <w:w w:val="110"/>
        </w:rPr>
        <w:t>años,</w:t>
      </w:r>
      <w:r>
        <w:rPr>
          <w:color w:val="231F20"/>
          <w:spacing w:val="-7"/>
          <w:w w:val="110"/>
        </w:rPr>
        <w:t> </w:t>
      </w:r>
      <w:r>
        <w:rPr>
          <w:color w:val="231F20"/>
          <w:w w:val="110"/>
        </w:rPr>
        <w:t>y</w:t>
      </w:r>
      <w:r>
        <w:rPr>
          <w:color w:val="231F20"/>
          <w:spacing w:val="-7"/>
          <w:w w:val="110"/>
        </w:rPr>
        <w:t> </w:t>
      </w:r>
      <w:r>
        <w:rPr>
          <w:color w:val="231F20"/>
          <w:w w:val="110"/>
        </w:rPr>
        <w:t>algunos</w:t>
      </w:r>
      <w:r>
        <w:rPr>
          <w:color w:val="231F20"/>
          <w:spacing w:val="-7"/>
          <w:w w:val="110"/>
        </w:rPr>
        <w:t> </w:t>
      </w:r>
      <w:r>
        <w:rPr>
          <w:color w:val="231F20"/>
          <w:w w:val="110"/>
        </w:rPr>
        <w:t>de</w:t>
      </w:r>
      <w:r>
        <w:rPr>
          <w:color w:val="231F20"/>
          <w:spacing w:val="-7"/>
          <w:w w:val="110"/>
        </w:rPr>
        <w:t> </w:t>
      </w:r>
      <w:r>
        <w:rPr>
          <w:color w:val="231F20"/>
          <w:w w:val="110"/>
        </w:rPr>
        <w:t>19</w:t>
      </w:r>
      <w:r>
        <w:rPr>
          <w:color w:val="231F20"/>
          <w:spacing w:val="-7"/>
          <w:w w:val="110"/>
        </w:rPr>
        <w:t> </w:t>
      </w:r>
      <w:r>
        <w:rPr>
          <w:color w:val="231F20"/>
          <w:w w:val="110"/>
        </w:rPr>
        <w:t>años el</w:t>
      </w:r>
      <w:r>
        <w:rPr>
          <w:color w:val="231F20"/>
          <w:spacing w:val="-8"/>
          <w:w w:val="110"/>
        </w:rPr>
        <w:t> </w:t>
      </w:r>
      <w:r>
        <w:rPr>
          <w:color w:val="231F20"/>
          <w:w w:val="110"/>
        </w:rPr>
        <w:t>primer</w:t>
      </w:r>
      <w:r>
        <w:rPr>
          <w:color w:val="231F20"/>
          <w:spacing w:val="-8"/>
          <w:w w:val="110"/>
        </w:rPr>
        <w:t> </w:t>
      </w:r>
      <w:r>
        <w:rPr>
          <w:color w:val="231F20"/>
          <w:w w:val="110"/>
        </w:rPr>
        <w:t>año</w:t>
      </w:r>
      <w:r>
        <w:rPr>
          <w:color w:val="231F20"/>
          <w:spacing w:val="-8"/>
          <w:w w:val="110"/>
        </w:rPr>
        <w:t> </w:t>
      </w:r>
      <w:r>
        <w:rPr>
          <w:color w:val="231F20"/>
          <w:w w:val="110"/>
        </w:rPr>
        <w:t>de</w:t>
      </w:r>
      <w:r>
        <w:rPr>
          <w:color w:val="231F20"/>
          <w:spacing w:val="-8"/>
          <w:w w:val="110"/>
        </w:rPr>
        <w:t> </w:t>
      </w:r>
      <w:r>
        <w:rPr>
          <w:color w:val="231F20"/>
          <w:w w:val="110"/>
        </w:rPr>
        <w:t>universidad.</w:t>
      </w:r>
      <w:r>
        <w:rPr>
          <w:color w:val="231F20"/>
          <w:spacing w:val="-8"/>
          <w:w w:val="110"/>
        </w:rPr>
        <w:t> </w:t>
      </w:r>
      <w:r>
        <w:rPr>
          <w:color w:val="231F20"/>
          <w:w w:val="110"/>
        </w:rPr>
        <w:t>De</w:t>
      </w:r>
      <w:r>
        <w:rPr>
          <w:color w:val="231F20"/>
          <w:spacing w:val="-8"/>
          <w:w w:val="110"/>
        </w:rPr>
        <w:t> </w:t>
      </w:r>
      <w:r>
        <w:rPr>
          <w:color w:val="231F20"/>
          <w:w w:val="110"/>
        </w:rPr>
        <w:t>manera</w:t>
      </w:r>
      <w:r>
        <w:rPr>
          <w:color w:val="231F20"/>
          <w:spacing w:val="-8"/>
          <w:w w:val="110"/>
        </w:rPr>
        <w:t> </w:t>
      </w:r>
      <w:r>
        <w:rPr>
          <w:color w:val="231F20"/>
          <w:w w:val="110"/>
        </w:rPr>
        <w:t>global</w:t>
      </w:r>
      <w:r>
        <w:rPr>
          <w:color w:val="231F20"/>
          <w:spacing w:val="-8"/>
          <w:w w:val="110"/>
        </w:rPr>
        <w:t> </w:t>
      </w:r>
      <w:r>
        <w:rPr>
          <w:color w:val="231F20"/>
          <w:w w:val="110"/>
        </w:rPr>
        <w:t>32.7</w:t>
      </w:r>
      <w:r>
        <w:rPr>
          <w:color w:val="231F20"/>
          <w:spacing w:val="-8"/>
          <w:w w:val="110"/>
        </w:rPr>
        <w:t> </w:t>
      </w:r>
      <w:r>
        <w:rPr>
          <w:color w:val="231F20"/>
          <w:w w:val="110"/>
        </w:rPr>
        <w:t>por</w:t>
      </w:r>
      <w:r>
        <w:rPr>
          <w:color w:val="231F20"/>
          <w:spacing w:val="-8"/>
          <w:w w:val="110"/>
        </w:rPr>
        <w:t> </w:t>
      </w:r>
      <w:r>
        <w:rPr>
          <w:color w:val="231F20"/>
          <w:w w:val="110"/>
        </w:rPr>
        <w:t>ciento</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hom- bres cursan este nivel mientras que 37.0 de las mujeres lo hace. Mientras que 2.5 por ciento de los hombres cursan el nivel superior (contando la normal superior) y 3.4 de las</w:t>
      </w:r>
      <w:r>
        <w:rPr>
          <w:color w:val="231F20"/>
          <w:spacing w:val="31"/>
          <w:w w:val="110"/>
        </w:rPr>
        <w:t> </w:t>
      </w:r>
      <w:r>
        <w:rPr>
          <w:color w:val="231F20"/>
          <w:w w:val="110"/>
        </w:rPr>
        <w:t>mujeres.</w:t>
      </w:r>
    </w:p>
    <w:p>
      <w:pPr>
        <w:pStyle w:val="BodyText"/>
        <w:spacing w:line="288" w:lineRule="auto"/>
        <w:ind w:left="100" w:right="114" w:firstLine="360"/>
        <w:jc w:val="both"/>
      </w:pPr>
      <w:r>
        <w:rPr>
          <w:color w:val="231F20"/>
          <w:w w:val="110"/>
        </w:rPr>
        <w:t>La no unión significa para los jóvenes de 15 a 19 años una mayor edu- cación, pues en el nivel medio se presenta una proporción de 37.5 por ciento de hombres y 43.1 de las mujeres, mientras que 3.0 por ciento de los</w:t>
      </w:r>
      <w:r>
        <w:rPr>
          <w:color w:val="231F20"/>
          <w:spacing w:val="-4"/>
          <w:w w:val="110"/>
        </w:rPr>
        <w:t> </w:t>
      </w:r>
      <w:r>
        <w:rPr>
          <w:color w:val="231F20"/>
          <w:w w:val="110"/>
        </w:rPr>
        <w:t>varones</w:t>
      </w:r>
      <w:r>
        <w:rPr>
          <w:color w:val="231F20"/>
          <w:spacing w:val="-4"/>
          <w:w w:val="110"/>
        </w:rPr>
        <w:t> </w:t>
      </w:r>
      <w:r>
        <w:rPr>
          <w:color w:val="231F20"/>
          <w:w w:val="110"/>
        </w:rPr>
        <w:t>cursan</w:t>
      </w:r>
      <w:r>
        <w:rPr>
          <w:color w:val="231F20"/>
          <w:spacing w:val="-4"/>
          <w:w w:val="110"/>
        </w:rPr>
        <w:t> </w:t>
      </w:r>
      <w:r>
        <w:rPr>
          <w:color w:val="231F20"/>
          <w:w w:val="110"/>
        </w:rPr>
        <w:t>el</w:t>
      </w:r>
      <w:r>
        <w:rPr>
          <w:color w:val="231F20"/>
          <w:spacing w:val="-4"/>
          <w:w w:val="110"/>
        </w:rPr>
        <w:t> </w:t>
      </w:r>
      <w:r>
        <w:rPr>
          <w:color w:val="231F20"/>
          <w:w w:val="110"/>
        </w:rPr>
        <w:t>nivel</w:t>
      </w:r>
      <w:r>
        <w:rPr>
          <w:color w:val="231F20"/>
          <w:spacing w:val="-4"/>
          <w:w w:val="110"/>
        </w:rPr>
        <w:t> </w:t>
      </w:r>
      <w:r>
        <w:rPr>
          <w:color w:val="231F20"/>
          <w:w w:val="110"/>
        </w:rPr>
        <w:t>superior</w:t>
      </w:r>
      <w:r>
        <w:rPr>
          <w:color w:val="231F20"/>
          <w:spacing w:val="-4"/>
          <w:w w:val="110"/>
        </w:rPr>
        <w:t> </w:t>
      </w:r>
      <w:r>
        <w:rPr>
          <w:color w:val="231F20"/>
          <w:w w:val="110"/>
        </w:rPr>
        <w:t>y</w:t>
      </w:r>
      <w:r>
        <w:rPr>
          <w:color w:val="231F20"/>
          <w:spacing w:val="-4"/>
          <w:w w:val="110"/>
        </w:rPr>
        <w:t> </w:t>
      </w:r>
      <w:r>
        <w:rPr>
          <w:color w:val="231F20"/>
          <w:w w:val="110"/>
        </w:rPr>
        <w:t>4.6</w:t>
      </w:r>
      <w:r>
        <w:rPr>
          <w:color w:val="231F20"/>
          <w:spacing w:val="-4"/>
          <w:w w:val="110"/>
        </w:rPr>
        <w:t> </w:t>
      </w:r>
      <w:r>
        <w:rPr>
          <w:color w:val="231F20"/>
          <w:w w:val="110"/>
        </w:rPr>
        <w:t>de</w:t>
      </w:r>
      <w:r>
        <w:rPr>
          <w:color w:val="231F20"/>
          <w:spacing w:val="-4"/>
          <w:w w:val="110"/>
        </w:rPr>
        <w:t> </w:t>
      </w:r>
      <w:r>
        <w:rPr>
          <w:color w:val="231F20"/>
          <w:w w:val="110"/>
        </w:rPr>
        <w:t>las</w:t>
      </w:r>
      <w:r>
        <w:rPr>
          <w:color w:val="231F20"/>
          <w:spacing w:val="-4"/>
          <w:w w:val="110"/>
        </w:rPr>
        <w:t> </w:t>
      </w:r>
      <w:r>
        <w:rPr>
          <w:color w:val="231F20"/>
          <w:w w:val="110"/>
        </w:rPr>
        <w:t>mujeres.</w:t>
      </w:r>
      <w:r>
        <w:rPr>
          <w:color w:val="231F20"/>
          <w:spacing w:val="-4"/>
          <w:w w:val="110"/>
        </w:rPr>
        <w:t> </w:t>
      </w:r>
      <w:r>
        <w:rPr>
          <w:color w:val="231F20"/>
          <w:spacing w:val="-3"/>
          <w:w w:val="110"/>
        </w:rPr>
        <w:t>Por</w:t>
      </w:r>
      <w:r>
        <w:rPr>
          <w:color w:val="231F20"/>
          <w:spacing w:val="-4"/>
          <w:w w:val="110"/>
        </w:rPr>
        <w:t> </w:t>
      </w:r>
      <w:r>
        <w:rPr>
          <w:color w:val="231F20"/>
          <w:w w:val="110"/>
        </w:rPr>
        <w:t>otra</w:t>
      </w:r>
      <w:r>
        <w:rPr>
          <w:color w:val="231F20"/>
          <w:spacing w:val="-4"/>
          <w:w w:val="110"/>
        </w:rPr>
        <w:t> </w:t>
      </w:r>
      <w:r>
        <w:rPr>
          <w:color w:val="231F20"/>
          <w:w w:val="110"/>
        </w:rPr>
        <w:t>parte,</w:t>
      </w:r>
      <w:r>
        <w:rPr>
          <w:color w:val="231F20"/>
          <w:spacing w:val="-4"/>
          <w:w w:val="110"/>
        </w:rPr>
        <w:t> </w:t>
      </w:r>
      <w:r>
        <w:rPr>
          <w:color w:val="231F20"/>
          <w:w w:val="110"/>
        </w:rPr>
        <w:t>los unidos no autónomos tienen una proporción en el nivel medio de 21.7 por ciento</w:t>
      </w:r>
      <w:r>
        <w:rPr>
          <w:color w:val="231F20"/>
          <w:spacing w:val="-5"/>
          <w:w w:val="110"/>
        </w:rPr>
        <w:t> </w:t>
      </w:r>
      <w:r>
        <w:rPr>
          <w:color w:val="231F20"/>
          <w:w w:val="110"/>
        </w:rPr>
        <w:t>de</w:t>
      </w:r>
      <w:r>
        <w:rPr>
          <w:color w:val="231F20"/>
          <w:spacing w:val="-5"/>
          <w:w w:val="110"/>
        </w:rPr>
        <w:t> </w:t>
      </w:r>
      <w:r>
        <w:rPr>
          <w:color w:val="231F20"/>
          <w:w w:val="110"/>
        </w:rPr>
        <w:t>hombres</w:t>
      </w:r>
      <w:r>
        <w:rPr>
          <w:color w:val="231F20"/>
          <w:spacing w:val="-5"/>
          <w:w w:val="110"/>
        </w:rPr>
        <w:t> </w:t>
      </w:r>
      <w:r>
        <w:rPr>
          <w:color w:val="231F20"/>
          <w:w w:val="110"/>
        </w:rPr>
        <w:t>y</w:t>
      </w:r>
      <w:r>
        <w:rPr>
          <w:color w:val="231F20"/>
          <w:spacing w:val="-5"/>
          <w:w w:val="110"/>
        </w:rPr>
        <w:t> </w:t>
      </w:r>
      <w:r>
        <w:rPr>
          <w:color w:val="231F20"/>
          <w:w w:val="110"/>
        </w:rPr>
        <w:t>26.2</w:t>
      </w:r>
      <w:r>
        <w:rPr>
          <w:color w:val="231F20"/>
          <w:spacing w:val="-5"/>
          <w:w w:val="110"/>
        </w:rPr>
        <w:t> </w:t>
      </w:r>
      <w:r>
        <w:rPr>
          <w:color w:val="231F20"/>
          <w:w w:val="110"/>
        </w:rPr>
        <w:t>de</w:t>
      </w:r>
      <w:r>
        <w:rPr>
          <w:color w:val="231F20"/>
          <w:spacing w:val="-5"/>
          <w:w w:val="110"/>
        </w:rPr>
        <w:t> </w:t>
      </w:r>
      <w:r>
        <w:rPr>
          <w:color w:val="231F20"/>
          <w:w w:val="110"/>
        </w:rPr>
        <w:t>mujeres,</w:t>
      </w:r>
      <w:r>
        <w:rPr>
          <w:color w:val="231F20"/>
          <w:spacing w:val="-5"/>
          <w:w w:val="110"/>
        </w:rPr>
        <w:t> </w:t>
      </w:r>
      <w:r>
        <w:rPr>
          <w:color w:val="231F20"/>
          <w:w w:val="110"/>
        </w:rPr>
        <w:t>0.6</w:t>
      </w:r>
      <w:r>
        <w:rPr>
          <w:color w:val="231F20"/>
          <w:spacing w:val="-5"/>
          <w:w w:val="110"/>
        </w:rPr>
        <w:t> </w:t>
      </w:r>
      <w:r>
        <w:rPr>
          <w:color w:val="231F20"/>
          <w:w w:val="110"/>
        </w:rPr>
        <w:t>por</w:t>
      </w:r>
      <w:r>
        <w:rPr>
          <w:color w:val="231F20"/>
          <w:spacing w:val="-5"/>
          <w:w w:val="110"/>
        </w:rPr>
        <w:t> </w:t>
      </w:r>
      <w:r>
        <w:rPr>
          <w:color w:val="231F20"/>
          <w:w w:val="110"/>
        </w:rPr>
        <w:t>ciento</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nivel</w:t>
      </w:r>
      <w:r>
        <w:rPr>
          <w:color w:val="231F20"/>
          <w:spacing w:val="-5"/>
          <w:w w:val="110"/>
        </w:rPr>
        <w:t> </w:t>
      </w:r>
      <w:r>
        <w:rPr>
          <w:color w:val="231F20"/>
          <w:w w:val="110"/>
        </w:rPr>
        <w:t>superior</w:t>
      </w:r>
      <w:r>
        <w:rPr>
          <w:color w:val="231F20"/>
          <w:spacing w:val="-5"/>
          <w:w w:val="110"/>
        </w:rPr>
        <w:t> </w:t>
      </w:r>
      <w:r>
        <w:rPr>
          <w:color w:val="231F20"/>
          <w:w w:val="110"/>
        </w:rPr>
        <w:t>los hombres y 1.1 las mujeres. El tercer grupo de unidos autónomos tiene la proporción de escolaridad más baja en estos niveles con 17.5 por ciento los hombres y 23.3 de las mujeres, en el nivel superior se presenta una proporción de 0.6 de los hombres y 0.7 de las </w:t>
      </w:r>
      <w:r>
        <w:rPr>
          <w:color w:val="231F20"/>
          <w:spacing w:val="39"/>
          <w:w w:val="110"/>
        </w:rPr>
        <w:t> </w:t>
      </w:r>
      <w:r>
        <w:rPr>
          <w:color w:val="231F20"/>
          <w:w w:val="110"/>
        </w:rPr>
        <w:t>mujeres.</w:t>
      </w:r>
    </w:p>
    <w:p>
      <w:pPr>
        <w:pStyle w:val="BodyText"/>
        <w:spacing w:line="288" w:lineRule="auto"/>
        <w:ind w:left="100" w:right="118" w:firstLine="360"/>
        <w:jc w:val="both"/>
      </w:pPr>
      <w:r>
        <w:rPr>
          <w:color w:val="231F20"/>
          <w:w w:val="110"/>
        </w:rPr>
        <w:t>La decisión de unirse que muchas veces para este grupo de jóvenes está asociada con la llegada de un hijo supone exponerse al riesgo de no continuar en la escuela. Además, el no contar con el soporte familiar</w:t>
      </w:r>
      <w:r>
        <w:rPr>
          <w:color w:val="231F20"/>
          <w:spacing w:val="-7"/>
          <w:w w:val="110"/>
        </w:rPr>
        <w:t> </w:t>
      </w:r>
      <w:r>
        <w:rPr>
          <w:color w:val="231F20"/>
          <w:w w:val="110"/>
        </w:rPr>
        <w:t>incre- menta la vulnerabilidad de</w:t>
      </w:r>
      <w:r>
        <w:rPr>
          <w:color w:val="231F20"/>
          <w:spacing w:val="6"/>
          <w:w w:val="110"/>
        </w:rPr>
        <w:t> </w:t>
      </w:r>
      <w:r>
        <w:rPr>
          <w:color w:val="231F20"/>
          <w:w w:val="110"/>
        </w:rPr>
        <w:t>éstos.</w:t>
      </w:r>
    </w:p>
    <w:p>
      <w:pPr>
        <w:pStyle w:val="BodyText"/>
        <w:spacing w:line="288" w:lineRule="auto"/>
        <w:ind w:left="100" w:right="117" w:firstLine="360"/>
        <w:jc w:val="both"/>
      </w:pPr>
      <w:r>
        <w:rPr>
          <w:color w:val="231F20"/>
          <w:w w:val="110"/>
        </w:rPr>
        <w:t>La segunda parte del cuadro muestra a los jóvenes de 20 a 24 años, de los cuales, como se expuso anteriormente sólo 19.5 por ciento asiste a la</w:t>
      </w:r>
    </w:p>
    <w:p>
      <w:pPr>
        <w:spacing w:after="0" w:line="288" w:lineRule="auto"/>
        <w:jc w:val="both"/>
        <w:sectPr>
          <w:pgSz w:w="9520" w:h="12920"/>
          <w:pgMar w:header="0" w:footer="1344" w:top="880" w:bottom="1540" w:left="1020" w:right="1320"/>
        </w:sectPr>
      </w:pPr>
    </w:p>
    <w:p>
      <w:pPr>
        <w:spacing w:line="185" w:lineRule="exact" w:before="65"/>
        <w:ind w:left="144" w:right="0" w:firstLine="0"/>
        <w:jc w:val="left"/>
        <w:rPr>
          <w:sz w:val="16"/>
        </w:rPr>
      </w:pPr>
      <w:r>
        <w:rPr>
          <w:color w:val="231F20"/>
          <w:w w:val="105"/>
          <w:sz w:val="16"/>
        </w:rPr>
        <w:t>Cuadro 3</w:t>
      </w:r>
    </w:p>
    <w:p>
      <w:pPr>
        <w:spacing w:line="220" w:lineRule="exact" w:before="0"/>
        <w:ind w:left="144" w:right="0" w:firstLine="0"/>
        <w:jc w:val="left"/>
        <w:rPr>
          <w:sz w:val="19"/>
        </w:rPr>
      </w:pPr>
      <w:r>
        <w:rPr>
          <w:color w:val="231F20"/>
          <w:w w:val="90"/>
          <w:sz w:val="19"/>
        </w:rPr>
        <w:t>2010. Estado de México. Características educativas jóvenes de 15 a 24 años de edad</w:t>
      </w:r>
    </w:p>
    <w:p>
      <w:pPr>
        <w:pStyle w:val="BodyText"/>
        <w:spacing w:before="6"/>
        <w:rPr>
          <w:sz w:val="13"/>
        </w:rPr>
      </w:pPr>
      <w:r>
        <w:rPr/>
        <w:pict>
          <v:group style="position:absolute;margin-left:72.019997pt;margin-top:9.889389pt;width:348.4pt;height:.4pt;mso-position-horizontal-relative:page;mso-position-vertical-relative:paragraph;z-index:2536;mso-wrap-distance-left:0;mso-wrap-distance-right:0" coordorigin="1440,198" coordsize="6968,8">
            <v:line style="position:absolute" from="1444,202" to="4124,202" stroked="true" strokeweight=".4pt" strokecolor="#231f20"/>
            <v:line style="position:absolute" from="4124,202" to="4912,202" stroked="true" strokeweight=".4pt" strokecolor="#231f20"/>
            <v:line style="position:absolute" from="4912,202" to="5721,202" stroked="true" strokeweight=".4pt" strokecolor="#231f20"/>
            <v:line style="position:absolute" from="5721,202" to="6530,202" stroked="true" strokeweight=".4pt" strokecolor="#231f20"/>
            <v:line style="position:absolute" from="6530,202" to="7345,202" stroked="true" strokeweight=".4pt" strokecolor="#231f20"/>
            <v:line style="position:absolute" from="7345,202" to="8404,202" stroked="true" strokeweight=".4pt" strokecolor="#231f20"/>
            <w10:wrap type="topAndBottom"/>
          </v:group>
        </w:pict>
      </w:r>
    </w:p>
    <w:p>
      <w:pPr>
        <w:spacing w:before="55" w:after="78"/>
        <w:ind w:left="2708" w:right="0" w:firstLine="0"/>
        <w:jc w:val="center"/>
        <w:rPr>
          <w:i/>
          <w:sz w:val="17"/>
        </w:rPr>
      </w:pPr>
      <w:r>
        <w:rPr>
          <w:i/>
          <w:color w:val="231F20"/>
          <w:w w:val="105"/>
          <w:sz w:val="17"/>
        </w:rPr>
        <w:t>Grupo de edad 15-19 años</w:t>
      </w:r>
    </w:p>
    <w:p>
      <w:pPr>
        <w:pStyle w:val="BodyText"/>
        <w:spacing w:line="20" w:lineRule="exact"/>
        <w:ind w:left="140"/>
        <w:rPr>
          <w:sz w:val="2"/>
        </w:rPr>
      </w:pPr>
      <w:r>
        <w:rPr>
          <w:sz w:val="2"/>
        </w:rPr>
        <w:pict>
          <v:group style="width:348.4pt;height:.4pt;mso-position-horizontal-relative:char;mso-position-vertical-relative:line" coordorigin="0,0" coordsize="6968,8">
            <v:line style="position:absolute" from="4,4" to="2684,4" stroked="true" strokeweight=".4pt" strokecolor="#231f20"/>
            <v:line style="position:absolute" from="2684,4" to="3472,4" stroked="true" strokeweight=".4pt" strokecolor="#231f20"/>
            <v:line style="position:absolute" from="3472,4" to="4281,4" stroked="true" strokeweight=".4pt" strokecolor="#231f20"/>
            <v:line style="position:absolute" from="4281,4" to="5090,4" stroked="true" strokeweight=".4pt" strokecolor="#231f20"/>
            <v:line style="position:absolute" from="5090,4" to="5905,4" stroked="true" strokeweight=".4pt" strokecolor="#231f20"/>
            <v:line style="position:absolute" from="5905,4" to="6964,4" stroked="true" strokeweight=".4pt" strokecolor="#231f20"/>
          </v:group>
        </w:pict>
      </w:r>
      <w:r>
        <w:rPr>
          <w:sz w:val="2"/>
        </w:rPr>
      </w:r>
    </w:p>
    <w:p>
      <w:pPr>
        <w:tabs>
          <w:tab w:pos="4146" w:val="left" w:leader="none"/>
          <w:tab w:pos="5929" w:val="left" w:leader="none"/>
        </w:tabs>
        <w:spacing w:before="72"/>
        <w:ind w:left="2859" w:right="0" w:firstLine="0"/>
        <w:jc w:val="center"/>
        <w:rPr>
          <w:i/>
          <w:sz w:val="17"/>
        </w:rPr>
      </w:pPr>
      <w:r>
        <w:rPr/>
        <w:pict>
          <v:group style="position:absolute;margin-left:72.019997pt;margin-top:12.188634pt;width:348.4pt;height:11.4pt;mso-position-horizontal-relative:page;mso-position-vertical-relative:paragraph;z-index:-456304" coordorigin="1440,244" coordsize="6968,228">
            <v:shape style="position:absolute;left:1444;top:354;width:6960;height:2" coordorigin="1444,354" coordsize="6960,0" path="m1444,354l4124,354m4124,354l4912,354m4912,354l5721,354m5721,354l6530,354m6530,354l7345,354m7345,354l8404,354e" filled="false" stroked="true" strokeweight=".4pt" strokecolor="#231f20">
              <v:path arrowok="t"/>
            </v:shape>
            <v:line style="position:absolute" from="4094,268" to="4094,448" stroked="true" strokeweight="2.4pt" strokecolor="#ffffff"/>
            <v:shape style="position:absolute;left:5724;top:268;width:1660;height:180" coordorigin="5724,268" coordsize="1660,180" path="m5724,268l5724,448m7384,268l7384,448e" filled="false" stroked="true" strokeweight="2.4pt" strokecolor="#ffffff">
              <v:path arrowok="t"/>
            </v:shape>
            <w10:wrap type="none"/>
          </v:group>
        </w:pict>
      </w:r>
      <w:r>
        <w:rPr>
          <w:i/>
          <w:color w:val="231F20"/>
          <w:w w:val="110"/>
          <w:sz w:val="17"/>
        </w:rPr>
        <w:t>No</w:t>
      </w:r>
      <w:r>
        <w:rPr>
          <w:i/>
          <w:color w:val="231F20"/>
          <w:spacing w:val="1"/>
          <w:w w:val="110"/>
          <w:sz w:val="17"/>
        </w:rPr>
        <w:t> </w:t>
      </w:r>
      <w:r>
        <w:rPr>
          <w:i/>
          <w:color w:val="231F20"/>
          <w:w w:val="110"/>
          <w:sz w:val="17"/>
        </w:rPr>
        <w:t>unidos</w:t>
        <w:tab/>
        <w:t>Unidos</w:t>
      </w:r>
      <w:r>
        <w:rPr>
          <w:i/>
          <w:color w:val="231F20"/>
          <w:spacing w:val="-4"/>
          <w:w w:val="110"/>
          <w:sz w:val="17"/>
        </w:rPr>
        <w:t> </w:t>
      </w:r>
      <w:r>
        <w:rPr>
          <w:i/>
          <w:color w:val="231F20"/>
          <w:w w:val="110"/>
          <w:sz w:val="17"/>
        </w:rPr>
        <w:t>autónomos</w:t>
        <w:tab/>
        <w:t>Unidos</w:t>
      </w:r>
    </w:p>
    <w:p>
      <w:pPr>
        <w:pStyle w:val="BodyText"/>
        <w:spacing w:before="1"/>
        <w:rPr>
          <w:i/>
          <w:sz w:val="8"/>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86"/>
        <w:gridCol w:w="835"/>
        <w:gridCol w:w="778"/>
        <w:gridCol w:w="836"/>
        <w:gridCol w:w="849"/>
        <w:gridCol w:w="1011"/>
      </w:tblGrid>
      <w:tr>
        <w:trPr>
          <w:trHeight w:val="357" w:hRule="exact"/>
        </w:trPr>
        <w:tc>
          <w:tcPr>
            <w:tcW w:w="2686" w:type="dxa"/>
            <w:tcBorders>
              <w:bottom w:val="single" w:sz="3" w:space="0" w:color="231F20"/>
            </w:tcBorders>
          </w:tcPr>
          <w:p>
            <w:pPr>
              <w:pStyle w:val="TableParagraph"/>
              <w:spacing w:line="240" w:lineRule="auto" w:before="75"/>
              <w:ind w:left="275"/>
              <w:jc w:val="left"/>
              <w:rPr>
                <w:i/>
                <w:sz w:val="17"/>
              </w:rPr>
            </w:pPr>
            <w:r>
              <w:rPr>
                <w:i/>
                <w:color w:val="231F20"/>
                <w:w w:val="105"/>
                <w:sz w:val="17"/>
              </w:rPr>
              <w:t>Características seleccionadas</w:t>
            </w:r>
          </w:p>
        </w:tc>
        <w:tc>
          <w:tcPr>
            <w:tcW w:w="835" w:type="dxa"/>
            <w:tcBorders>
              <w:bottom w:val="single" w:sz="3" w:space="0" w:color="231F20"/>
            </w:tcBorders>
          </w:tcPr>
          <w:p>
            <w:pPr>
              <w:pStyle w:val="TableParagraph"/>
              <w:spacing w:line="240" w:lineRule="auto" w:before="75"/>
              <w:ind w:left="81" w:right="71"/>
              <w:rPr>
                <w:i/>
                <w:sz w:val="17"/>
              </w:rPr>
            </w:pPr>
            <w:r>
              <w:rPr>
                <w:i/>
                <w:color w:val="231F20"/>
                <w:w w:val="105"/>
                <w:sz w:val="17"/>
              </w:rPr>
              <w:t>hombres</w:t>
            </w:r>
          </w:p>
        </w:tc>
        <w:tc>
          <w:tcPr>
            <w:tcW w:w="778" w:type="dxa"/>
            <w:tcBorders>
              <w:bottom w:val="single" w:sz="3" w:space="0" w:color="231F20"/>
            </w:tcBorders>
          </w:tcPr>
          <w:p>
            <w:pPr>
              <w:pStyle w:val="TableParagraph"/>
              <w:spacing w:line="240" w:lineRule="auto" w:before="75"/>
              <w:ind w:left="58" w:right="61"/>
              <w:rPr>
                <w:i/>
                <w:sz w:val="17"/>
              </w:rPr>
            </w:pPr>
            <w:r>
              <w:rPr>
                <w:i/>
                <w:color w:val="231F20"/>
                <w:w w:val="110"/>
                <w:sz w:val="17"/>
              </w:rPr>
              <w:t>mujeres</w:t>
            </w:r>
          </w:p>
        </w:tc>
        <w:tc>
          <w:tcPr>
            <w:tcW w:w="836" w:type="dxa"/>
            <w:tcBorders>
              <w:bottom w:val="single" w:sz="3" w:space="0" w:color="231F20"/>
            </w:tcBorders>
          </w:tcPr>
          <w:p>
            <w:pPr>
              <w:pStyle w:val="TableParagraph"/>
              <w:spacing w:line="240" w:lineRule="auto" w:before="75"/>
              <w:ind w:left="76" w:right="77"/>
              <w:rPr>
                <w:i/>
                <w:sz w:val="17"/>
              </w:rPr>
            </w:pPr>
            <w:r>
              <w:rPr>
                <w:i/>
                <w:color w:val="231F20"/>
                <w:w w:val="105"/>
                <w:sz w:val="17"/>
              </w:rPr>
              <w:t>hombres</w:t>
            </w:r>
          </w:p>
        </w:tc>
        <w:tc>
          <w:tcPr>
            <w:tcW w:w="849" w:type="dxa"/>
            <w:tcBorders>
              <w:bottom w:val="single" w:sz="3" w:space="0" w:color="231F20"/>
            </w:tcBorders>
          </w:tcPr>
          <w:p>
            <w:pPr>
              <w:pStyle w:val="TableParagraph"/>
              <w:spacing w:line="240" w:lineRule="auto" w:before="75"/>
              <w:ind w:left="65" w:right="125"/>
              <w:rPr>
                <w:i/>
                <w:sz w:val="17"/>
              </w:rPr>
            </w:pPr>
            <w:r>
              <w:rPr>
                <w:i/>
                <w:color w:val="231F20"/>
                <w:w w:val="110"/>
                <w:sz w:val="17"/>
              </w:rPr>
              <w:t>mujeres</w:t>
            </w:r>
          </w:p>
        </w:tc>
        <w:tc>
          <w:tcPr>
            <w:tcW w:w="1011" w:type="dxa"/>
            <w:tcBorders>
              <w:bottom w:val="single" w:sz="3" w:space="0" w:color="231F20"/>
            </w:tcBorders>
          </w:tcPr>
          <w:p>
            <w:pPr>
              <w:pStyle w:val="TableParagraph"/>
              <w:spacing w:line="240" w:lineRule="auto" w:before="75"/>
              <w:ind w:left="140" w:right="186"/>
              <w:rPr>
                <w:i/>
                <w:sz w:val="17"/>
              </w:rPr>
            </w:pPr>
            <w:r>
              <w:rPr>
                <w:i/>
                <w:color w:val="231F20"/>
                <w:w w:val="105"/>
                <w:sz w:val="17"/>
              </w:rPr>
              <w:t>hombres</w:t>
            </w:r>
          </w:p>
        </w:tc>
      </w:tr>
      <w:tr>
        <w:trPr>
          <w:trHeight w:val="303" w:hRule="exact"/>
        </w:trPr>
        <w:tc>
          <w:tcPr>
            <w:tcW w:w="2686" w:type="dxa"/>
            <w:tcBorders>
              <w:top w:val="single" w:sz="3" w:space="0" w:color="231F20"/>
            </w:tcBorders>
          </w:tcPr>
          <w:p>
            <w:pPr>
              <w:pStyle w:val="TableParagraph"/>
              <w:spacing w:line="240" w:lineRule="auto" w:before="84"/>
              <w:ind w:left="35"/>
              <w:jc w:val="left"/>
              <w:rPr>
                <w:i/>
                <w:sz w:val="17"/>
              </w:rPr>
            </w:pPr>
            <w:r>
              <w:rPr>
                <w:i/>
                <w:color w:val="231F20"/>
                <w:w w:val="105"/>
                <w:sz w:val="17"/>
              </w:rPr>
              <w:t>Asistencia a la  escuela</w:t>
            </w:r>
          </w:p>
        </w:tc>
        <w:tc>
          <w:tcPr>
            <w:tcW w:w="835" w:type="dxa"/>
            <w:tcBorders>
              <w:top w:val="single" w:sz="3" w:space="0" w:color="231F20"/>
            </w:tcBorders>
          </w:tcPr>
          <w:p>
            <w:pPr/>
          </w:p>
        </w:tc>
        <w:tc>
          <w:tcPr>
            <w:tcW w:w="778" w:type="dxa"/>
            <w:tcBorders>
              <w:top w:val="single" w:sz="3" w:space="0" w:color="231F20"/>
            </w:tcBorders>
          </w:tcPr>
          <w:p>
            <w:pPr/>
          </w:p>
        </w:tc>
        <w:tc>
          <w:tcPr>
            <w:tcW w:w="836" w:type="dxa"/>
            <w:tcBorders>
              <w:top w:val="single" w:sz="3" w:space="0" w:color="231F20"/>
            </w:tcBorders>
          </w:tcPr>
          <w:p>
            <w:pPr/>
          </w:p>
        </w:tc>
        <w:tc>
          <w:tcPr>
            <w:tcW w:w="849" w:type="dxa"/>
            <w:tcBorders>
              <w:top w:val="single" w:sz="3" w:space="0" w:color="231F20"/>
            </w:tcBorders>
          </w:tcPr>
          <w:p>
            <w:pPr/>
          </w:p>
        </w:tc>
        <w:tc>
          <w:tcPr>
            <w:tcW w:w="1011" w:type="dxa"/>
            <w:tcBorders>
              <w:top w:val="single" w:sz="3" w:space="0" w:color="231F20"/>
            </w:tcBorders>
          </w:tcPr>
          <w:p>
            <w:pPr/>
          </w:p>
        </w:tc>
      </w:tr>
      <w:tr>
        <w:trPr>
          <w:trHeight w:val="210" w:hRule="exact"/>
        </w:trPr>
        <w:tc>
          <w:tcPr>
            <w:tcW w:w="2686" w:type="dxa"/>
          </w:tcPr>
          <w:p>
            <w:pPr>
              <w:pStyle w:val="TableParagraph"/>
              <w:ind w:left="35"/>
              <w:jc w:val="left"/>
              <w:rPr>
                <w:sz w:val="17"/>
              </w:rPr>
            </w:pPr>
            <w:r>
              <w:rPr>
                <w:color w:val="231F20"/>
                <w:w w:val="110"/>
                <w:sz w:val="17"/>
              </w:rPr>
              <w:t>Sí</w:t>
            </w:r>
          </w:p>
        </w:tc>
        <w:tc>
          <w:tcPr>
            <w:tcW w:w="835" w:type="dxa"/>
          </w:tcPr>
          <w:p>
            <w:pPr>
              <w:pStyle w:val="TableParagraph"/>
              <w:ind w:left="81" w:right="71"/>
              <w:rPr>
                <w:sz w:val="17"/>
              </w:rPr>
            </w:pPr>
            <w:r>
              <w:rPr>
                <w:color w:val="231F20"/>
                <w:w w:val="105"/>
                <w:sz w:val="17"/>
              </w:rPr>
              <w:t>61.3</w:t>
            </w:r>
          </w:p>
        </w:tc>
        <w:tc>
          <w:tcPr>
            <w:tcW w:w="778" w:type="dxa"/>
          </w:tcPr>
          <w:p>
            <w:pPr>
              <w:pStyle w:val="TableParagraph"/>
              <w:ind w:left="58" w:right="61"/>
              <w:rPr>
                <w:sz w:val="17"/>
              </w:rPr>
            </w:pPr>
            <w:r>
              <w:rPr>
                <w:color w:val="231F20"/>
                <w:w w:val="105"/>
                <w:sz w:val="17"/>
              </w:rPr>
              <w:t>68.3</w:t>
            </w:r>
          </w:p>
        </w:tc>
        <w:tc>
          <w:tcPr>
            <w:tcW w:w="836" w:type="dxa"/>
          </w:tcPr>
          <w:p>
            <w:pPr>
              <w:pStyle w:val="TableParagraph"/>
              <w:ind w:left="76" w:right="77"/>
              <w:rPr>
                <w:sz w:val="17"/>
              </w:rPr>
            </w:pPr>
            <w:r>
              <w:rPr>
                <w:color w:val="231F20"/>
                <w:w w:val="105"/>
                <w:sz w:val="17"/>
              </w:rPr>
              <w:t>5.1</w:t>
            </w:r>
          </w:p>
        </w:tc>
        <w:tc>
          <w:tcPr>
            <w:tcW w:w="849" w:type="dxa"/>
          </w:tcPr>
          <w:p>
            <w:pPr>
              <w:pStyle w:val="TableParagraph"/>
              <w:ind w:left="65" w:right="125"/>
              <w:rPr>
                <w:sz w:val="17"/>
              </w:rPr>
            </w:pPr>
            <w:r>
              <w:rPr>
                <w:color w:val="231F20"/>
                <w:w w:val="105"/>
                <w:sz w:val="17"/>
              </w:rPr>
              <w:t>4.6</w:t>
            </w:r>
          </w:p>
        </w:tc>
        <w:tc>
          <w:tcPr>
            <w:tcW w:w="1011" w:type="dxa"/>
          </w:tcPr>
          <w:p>
            <w:pPr>
              <w:pStyle w:val="TableParagraph"/>
              <w:ind w:left="140" w:right="186"/>
              <w:rPr>
                <w:sz w:val="17"/>
              </w:rPr>
            </w:pPr>
            <w:r>
              <w:rPr>
                <w:color w:val="231F20"/>
                <w:w w:val="105"/>
                <w:sz w:val="17"/>
              </w:rPr>
              <w:t>10.4</w:t>
            </w:r>
          </w:p>
        </w:tc>
      </w:tr>
      <w:tr>
        <w:trPr>
          <w:trHeight w:val="210" w:hRule="exact"/>
        </w:trPr>
        <w:tc>
          <w:tcPr>
            <w:tcW w:w="2686" w:type="dxa"/>
          </w:tcPr>
          <w:p>
            <w:pPr>
              <w:pStyle w:val="TableParagraph"/>
              <w:ind w:left="35"/>
              <w:jc w:val="left"/>
              <w:rPr>
                <w:sz w:val="17"/>
              </w:rPr>
            </w:pPr>
            <w:r>
              <w:rPr>
                <w:color w:val="231F20"/>
                <w:w w:val="115"/>
                <w:sz w:val="17"/>
              </w:rPr>
              <w:t>No</w:t>
            </w:r>
          </w:p>
        </w:tc>
        <w:tc>
          <w:tcPr>
            <w:tcW w:w="835" w:type="dxa"/>
          </w:tcPr>
          <w:p>
            <w:pPr>
              <w:pStyle w:val="TableParagraph"/>
              <w:ind w:left="81" w:right="71"/>
              <w:rPr>
                <w:sz w:val="17"/>
              </w:rPr>
            </w:pPr>
            <w:r>
              <w:rPr>
                <w:color w:val="231F20"/>
                <w:w w:val="105"/>
                <w:sz w:val="17"/>
              </w:rPr>
              <w:t>38.4</w:t>
            </w:r>
          </w:p>
        </w:tc>
        <w:tc>
          <w:tcPr>
            <w:tcW w:w="778" w:type="dxa"/>
          </w:tcPr>
          <w:p>
            <w:pPr>
              <w:pStyle w:val="TableParagraph"/>
              <w:ind w:left="58" w:right="61"/>
              <w:rPr>
                <w:sz w:val="17"/>
              </w:rPr>
            </w:pPr>
            <w:r>
              <w:rPr>
                <w:color w:val="231F20"/>
                <w:w w:val="105"/>
                <w:sz w:val="17"/>
              </w:rPr>
              <w:t>31.4</w:t>
            </w:r>
          </w:p>
        </w:tc>
        <w:tc>
          <w:tcPr>
            <w:tcW w:w="836" w:type="dxa"/>
          </w:tcPr>
          <w:p>
            <w:pPr>
              <w:pStyle w:val="TableParagraph"/>
              <w:ind w:left="76" w:right="77"/>
              <w:rPr>
                <w:sz w:val="17"/>
              </w:rPr>
            </w:pPr>
            <w:r>
              <w:rPr>
                <w:color w:val="231F20"/>
                <w:w w:val="105"/>
                <w:sz w:val="17"/>
              </w:rPr>
              <w:t>94.4</w:t>
            </w:r>
          </w:p>
        </w:tc>
        <w:tc>
          <w:tcPr>
            <w:tcW w:w="849" w:type="dxa"/>
          </w:tcPr>
          <w:p>
            <w:pPr>
              <w:pStyle w:val="TableParagraph"/>
              <w:ind w:left="65" w:right="125"/>
              <w:rPr>
                <w:sz w:val="17"/>
              </w:rPr>
            </w:pPr>
            <w:r>
              <w:rPr>
                <w:color w:val="231F20"/>
                <w:w w:val="105"/>
                <w:sz w:val="17"/>
              </w:rPr>
              <w:t>94.3</w:t>
            </w:r>
          </w:p>
        </w:tc>
        <w:tc>
          <w:tcPr>
            <w:tcW w:w="1011" w:type="dxa"/>
          </w:tcPr>
          <w:p>
            <w:pPr>
              <w:pStyle w:val="TableParagraph"/>
              <w:ind w:left="140" w:right="186"/>
              <w:rPr>
                <w:sz w:val="17"/>
              </w:rPr>
            </w:pPr>
            <w:r>
              <w:rPr>
                <w:color w:val="231F20"/>
                <w:w w:val="105"/>
                <w:sz w:val="17"/>
              </w:rPr>
              <w:t>88.9</w:t>
            </w:r>
          </w:p>
        </w:tc>
      </w:tr>
      <w:tr>
        <w:trPr>
          <w:trHeight w:val="230" w:hRule="exact"/>
        </w:trPr>
        <w:tc>
          <w:tcPr>
            <w:tcW w:w="2686" w:type="dxa"/>
          </w:tcPr>
          <w:p>
            <w:pPr>
              <w:pStyle w:val="TableParagraph"/>
              <w:ind w:left="35"/>
              <w:jc w:val="left"/>
              <w:rPr>
                <w:sz w:val="17"/>
              </w:rPr>
            </w:pPr>
            <w:r>
              <w:rPr>
                <w:color w:val="231F20"/>
                <w:w w:val="110"/>
                <w:sz w:val="17"/>
              </w:rPr>
              <w:t>No especificado</w:t>
            </w:r>
          </w:p>
        </w:tc>
        <w:tc>
          <w:tcPr>
            <w:tcW w:w="835" w:type="dxa"/>
          </w:tcPr>
          <w:p>
            <w:pPr>
              <w:pStyle w:val="TableParagraph"/>
              <w:ind w:left="81" w:right="71"/>
              <w:rPr>
                <w:sz w:val="17"/>
              </w:rPr>
            </w:pPr>
            <w:r>
              <w:rPr>
                <w:color w:val="231F20"/>
                <w:w w:val="105"/>
                <w:sz w:val="17"/>
              </w:rPr>
              <w:t>0.3</w:t>
            </w:r>
          </w:p>
        </w:tc>
        <w:tc>
          <w:tcPr>
            <w:tcW w:w="778" w:type="dxa"/>
          </w:tcPr>
          <w:p>
            <w:pPr>
              <w:pStyle w:val="TableParagraph"/>
              <w:ind w:left="58" w:right="61"/>
              <w:rPr>
                <w:sz w:val="17"/>
              </w:rPr>
            </w:pPr>
            <w:r>
              <w:rPr>
                <w:color w:val="231F20"/>
                <w:w w:val="105"/>
                <w:sz w:val="17"/>
              </w:rPr>
              <w:t>0.2</w:t>
            </w:r>
          </w:p>
        </w:tc>
        <w:tc>
          <w:tcPr>
            <w:tcW w:w="836" w:type="dxa"/>
          </w:tcPr>
          <w:p>
            <w:pPr>
              <w:pStyle w:val="TableParagraph"/>
              <w:ind w:left="76" w:right="77"/>
              <w:rPr>
                <w:sz w:val="17"/>
              </w:rPr>
            </w:pPr>
            <w:r>
              <w:rPr>
                <w:color w:val="231F20"/>
                <w:w w:val="105"/>
                <w:sz w:val="17"/>
              </w:rPr>
              <w:t>0.5</w:t>
            </w:r>
          </w:p>
        </w:tc>
        <w:tc>
          <w:tcPr>
            <w:tcW w:w="849" w:type="dxa"/>
          </w:tcPr>
          <w:p>
            <w:pPr>
              <w:pStyle w:val="TableParagraph"/>
              <w:ind w:left="65" w:right="125"/>
              <w:rPr>
                <w:sz w:val="17"/>
              </w:rPr>
            </w:pPr>
            <w:r>
              <w:rPr>
                <w:color w:val="231F20"/>
                <w:w w:val="105"/>
                <w:sz w:val="17"/>
              </w:rPr>
              <w:t>1.1</w:t>
            </w:r>
          </w:p>
        </w:tc>
        <w:tc>
          <w:tcPr>
            <w:tcW w:w="1011" w:type="dxa"/>
          </w:tcPr>
          <w:p>
            <w:pPr>
              <w:pStyle w:val="TableParagraph"/>
              <w:ind w:left="140" w:right="186"/>
              <w:rPr>
                <w:sz w:val="17"/>
              </w:rPr>
            </w:pPr>
            <w:r>
              <w:rPr>
                <w:color w:val="231F20"/>
                <w:w w:val="105"/>
                <w:sz w:val="17"/>
              </w:rPr>
              <w:t>0.6</w:t>
            </w:r>
          </w:p>
        </w:tc>
      </w:tr>
      <w:tr>
        <w:trPr>
          <w:trHeight w:val="270" w:hRule="exact"/>
        </w:trPr>
        <w:tc>
          <w:tcPr>
            <w:tcW w:w="2686" w:type="dxa"/>
          </w:tcPr>
          <w:p>
            <w:pPr>
              <w:pStyle w:val="TableParagraph"/>
              <w:spacing w:line="240" w:lineRule="auto" w:before="15"/>
              <w:ind w:left="35"/>
              <w:jc w:val="left"/>
              <w:rPr>
                <w:i/>
                <w:sz w:val="17"/>
              </w:rPr>
            </w:pPr>
            <w:r>
              <w:rPr>
                <w:i/>
                <w:color w:val="231F20"/>
                <w:w w:val="105"/>
                <w:sz w:val="17"/>
              </w:rPr>
              <w:t>Último grado aprobado</w:t>
            </w:r>
          </w:p>
        </w:tc>
        <w:tc>
          <w:tcPr>
            <w:tcW w:w="835" w:type="dxa"/>
          </w:tcPr>
          <w:p>
            <w:pPr/>
          </w:p>
        </w:tc>
        <w:tc>
          <w:tcPr>
            <w:tcW w:w="778" w:type="dxa"/>
          </w:tcPr>
          <w:p>
            <w:pPr/>
          </w:p>
        </w:tc>
        <w:tc>
          <w:tcPr>
            <w:tcW w:w="836" w:type="dxa"/>
          </w:tcPr>
          <w:p>
            <w:pPr/>
          </w:p>
        </w:tc>
        <w:tc>
          <w:tcPr>
            <w:tcW w:w="849" w:type="dxa"/>
          </w:tcPr>
          <w:p>
            <w:pPr/>
          </w:p>
        </w:tc>
        <w:tc>
          <w:tcPr>
            <w:tcW w:w="1011" w:type="dxa"/>
          </w:tcPr>
          <w:p>
            <w:pPr/>
          </w:p>
        </w:tc>
      </w:tr>
      <w:tr>
        <w:trPr>
          <w:trHeight w:val="250" w:hRule="exact"/>
        </w:trPr>
        <w:tc>
          <w:tcPr>
            <w:tcW w:w="2686" w:type="dxa"/>
          </w:tcPr>
          <w:p>
            <w:pPr>
              <w:pStyle w:val="TableParagraph"/>
              <w:spacing w:line="240" w:lineRule="auto" w:before="35"/>
              <w:ind w:left="35"/>
              <w:jc w:val="left"/>
              <w:rPr>
                <w:sz w:val="17"/>
              </w:rPr>
            </w:pPr>
            <w:r>
              <w:rPr>
                <w:color w:val="231F20"/>
                <w:w w:val="110"/>
                <w:sz w:val="17"/>
              </w:rPr>
              <w:t>Ninguno</w:t>
            </w:r>
          </w:p>
        </w:tc>
        <w:tc>
          <w:tcPr>
            <w:tcW w:w="835" w:type="dxa"/>
          </w:tcPr>
          <w:p>
            <w:pPr>
              <w:pStyle w:val="TableParagraph"/>
              <w:spacing w:line="240" w:lineRule="auto" w:before="35"/>
              <w:ind w:left="81" w:right="71"/>
              <w:rPr>
                <w:sz w:val="17"/>
              </w:rPr>
            </w:pPr>
            <w:r>
              <w:rPr>
                <w:color w:val="231F20"/>
                <w:w w:val="105"/>
                <w:sz w:val="17"/>
              </w:rPr>
              <w:t>0.6</w:t>
            </w:r>
          </w:p>
        </w:tc>
        <w:tc>
          <w:tcPr>
            <w:tcW w:w="778" w:type="dxa"/>
          </w:tcPr>
          <w:p>
            <w:pPr>
              <w:pStyle w:val="TableParagraph"/>
              <w:spacing w:line="240" w:lineRule="auto" w:before="35"/>
              <w:ind w:left="58" w:right="61"/>
              <w:rPr>
                <w:sz w:val="17"/>
              </w:rPr>
            </w:pPr>
            <w:r>
              <w:rPr>
                <w:color w:val="231F20"/>
                <w:w w:val="105"/>
                <w:sz w:val="17"/>
              </w:rPr>
              <w:t>0.5</w:t>
            </w:r>
          </w:p>
        </w:tc>
        <w:tc>
          <w:tcPr>
            <w:tcW w:w="836" w:type="dxa"/>
          </w:tcPr>
          <w:p>
            <w:pPr>
              <w:pStyle w:val="TableParagraph"/>
              <w:spacing w:line="240" w:lineRule="auto" w:before="35"/>
              <w:ind w:left="76" w:right="77"/>
              <w:rPr>
                <w:sz w:val="17"/>
              </w:rPr>
            </w:pPr>
            <w:r>
              <w:rPr>
                <w:color w:val="231F20"/>
                <w:w w:val="105"/>
                <w:sz w:val="17"/>
              </w:rPr>
              <w:t>1.0</w:t>
            </w:r>
          </w:p>
        </w:tc>
        <w:tc>
          <w:tcPr>
            <w:tcW w:w="849" w:type="dxa"/>
          </w:tcPr>
          <w:p>
            <w:pPr>
              <w:pStyle w:val="TableParagraph"/>
              <w:spacing w:line="240" w:lineRule="auto" w:before="35"/>
              <w:ind w:left="65" w:right="125"/>
              <w:rPr>
                <w:sz w:val="17"/>
              </w:rPr>
            </w:pPr>
            <w:r>
              <w:rPr>
                <w:color w:val="231F20"/>
                <w:w w:val="105"/>
                <w:sz w:val="17"/>
              </w:rPr>
              <w:t>0.6</w:t>
            </w:r>
          </w:p>
        </w:tc>
        <w:tc>
          <w:tcPr>
            <w:tcW w:w="1011" w:type="dxa"/>
          </w:tcPr>
          <w:p>
            <w:pPr>
              <w:pStyle w:val="TableParagraph"/>
              <w:spacing w:line="240" w:lineRule="auto" w:before="35"/>
              <w:ind w:left="140" w:right="186"/>
              <w:rPr>
                <w:sz w:val="17"/>
              </w:rPr>
            </w:pPr>
            <w:r>
              <w:rPr>
                <w:color w:val="231F20"/>
                <w:w w:val="105"/>
                <w:sz w:val="17"/>
              </w:rPr>
              <w:t>0.5</w:t>
            </w:r>
          </w:p>
        </w:tc>
      </w:tr>
      <w:tr>
        <w:trPr>
          <w:trHeight w:val="210" w:hRule="exact"/>
        </w:trPr>
        <w:tc>
          <w:tcPr>
            <w:tcW w:w="2686" w:type="dxa"/>
          </w:tcPr>
          <w:p>
            <w:pPr>
              <w:pStyle w:val="TableParagraph"/>
              <w:ind w:left="35"/>
              <w:jc w:val="left"/>
              <w:rPr>
                <w:sz w:val="17"/>
              </w:rPr>
            </w:pPr>
            <w:r>
              <w:rPr>
                <w:color w:val="231F20"/>
                <w:w w:val="110"/>
                <w:sz w:val="17"/>
              </w:rPr>
              <w:t>Preescolar</w:t>
            </w:r>
          </w:p>
        </w:tc>
        <w:tc>
          <w:tcPr>
            <w:tcW w:w="835" w:type="dxa"/>
          </w:tcPr>
          <w:p>
            <w:pPr>
              <w:pStyle w:val="TableParagraph"/>
              <w:ind w:left="81" w:right="71"/>
              <w:rPr>
                <w:sz w:val="17"/>
              </w:rPr>
            </w:pPr>
            <w:r>
              <w:rPr>
                <w:color w:val="231F20"/>
                <w:w w:val="105"/>
                <w:sz w:val="17"/>
              </w:rPr>
              <w:t>0.1</w:t>
            </w:r>
          </w:p>
        </w:tc>
        <w:tc>
          <w:tcPr>
            <w:tcW w:w="778" w:type="dxa"/>
          </w:tcPr>
          <w:p>
            <w:pPr>
              <w:pStyle w:val="TableParagraph"/>
              <w:ind w:left="58" w:right="61"/>
              <w:rPr>
                <w:sz w:val="17"/>
              </w:rPr>
            </w:pPr>
            <w:r>
              <w:rPr>
                <w:color w:val="231F20"/>
                <w:w w:val="105"/>
                <w:sz w:val="17"/>
              </w:rPr>
              <w:t>0.1</w:t>
            </w:r>
          </w:p>
        </w:tc>
        <w:tc>
          <w:tcPr>
            <w:tcW w:w="836" w:type="dxa"/>
          </w:tcPr>
          <w:p>
            <w:pPr>
              <w:pStyle w:val="TableParagraph"/>
              <w:ind w:left="76" w:right="77"/>
              <w:rPr>
                <w:sz w:val="17"/>
              </w:rPr>
            </w:pPr>
            <w:r>
              <w:rPr>
                <w:color w:val="231F20"/>
                <w:w w:val="105"/>
                <w:sz w:val="17"/>
              </w:rPr>
              <w:t>0.3</w:t>
            </w:r>
          </w:p>
        </w:tc>
        <w:tc>
          <w:tcPr>
            <w:tcW w:w="849" w:type="dxa"/>
          </w:tcPr>
          <w:p>
            <w:pPr>
              <w:pStyle w:val="TableParagraph"/>
              <w:ind w:left="65" w:right="125"/>
              <w:rPr>
                <w:sz w:val="17"/>
              </w:rPr>
            </w:pPr>
            <w:r>
              <w:rPr>
                <w:color w:val="231F20"/>
                <w:w w:val="105"/>
                <w:sz w:val="17"/>
              </w:rPr>
              <w:t>0.9</w:t>
            </w:r>
          </w:p>
        </w:tc>
        <w:tc>
          <w:tcPr>
            <w:tcW w:w="1011" w:type="dxa"/>
          </w:tcPr>
          <w:p>
            <w:pPr>
              <w:pStyle w:val="TableParagraph"/>
              <w:ind w:left="140" w:right="186"/>
              <w:rPr>
                <w:sz w:val="17"/>
              </w:rPr>
            </w:pPr>
            <w:r>
              <w:rPr>
                <w:color w:val="231F20"/>
                <w:w w:val="105"/>
                <w:sz w:val="17"/>
              </w:rPr>
              <w:t>0.0</w:t>
            </w:r>
          </w:p>
        </w:tc>
      </w:tr>
      <w:tr>
        <w:trPr>
          <w:trHeight w:val="210" w:hRule="exact"/>
        </w:trPr>
        <w:tc>
          <w:tcPr>
            <w:tcW w:w="2686" w:type="dxa"/>
          </w:tcPr>
          <w:p>
            <w:pPr>
              <w:pStyle w:val="TableParagraph"/>
              <w:ind w:left="35"/>
              <w:jc w:val="left"/>
              <w:rPr>
                <w:sz w:val="17"/>
              </w:rPr>
            </w:pPr>
            <w:r>
              <w:rPr>
                <w:color w:val="231F20"/>
                <w:w w:val="105"/>
                <w:sz w:val="17"/>
              </w:rPr>
              <w:t>Primaria</w:t>
            </w:r>
          </w:p>
        </w:tc>
        <w:tc>
          <w:tcPr>
            <w:tcW w:w="835" w:type="dxa"/>
          </w:tcPr>
          <w:p>
            <w:pPr>
              <w:pStyle w:val="TableParagraph"/>
              <w:ind w:left="81" w:right="71"/>
              <w:rPr>
                <w:sz w:val="17"/>
              </w:rPr>
            </w:pPr>
            <w:r>
              <w:rPr>
                <w:color w:val="231F20"/>
                <w:w w:val="105"/>
                <w:sz w:val="17"/>
              </w:rPr>
              <w:t>8.4</w:t>
            </w:r>
          </w:p>
        </w:tc>
        <w:tc>
          <w:tcPr>
            <w:tcW w:w="778" w:type="dxa"/>
          </w:tcPr>
          <w:p>
            <w:pPr>
              <w:pStyle w:val="TableParagraph"/>
              <w:ind w:left="58" w:right="61"/>
              <w:rPr>
                <w:sz w:val="17"/>
              </w:rPr>
            </w:pPr>
            <w:r>
              <w:rPr>
                <w:color w:val="231F20"/>
                <w:w w:val="105"/>
                <w:sz w:val="17"/>
              </w:rPr>
              <w:t>6.3</w:t>
            </w:r>
          </w:p>
        </w:tc>
        <w:tc>
          <w:tcPr>
            <w:tcW w:w="836" w:type="dxa"/>
          </w:tcPr>
          <w:p>
            <w:pPr>
              <w:pStyle w:val="TableParagraph"/>
              <w:ind w:left="76" w:right="77"/>
              <w:rPr>
                <w:sz w:val="17"/>
              </w:rPr>
            </w:pPr>
            <w:r>
              <w:rPr>
                <w:color w:val="231F20"/>
                <w:w w:val="105"/>
                <w:sz w:val="17"/>
              </w:rPr>
              <w:t>22.9</w:t>
            </w:r>
          </w:p>
        </w:tc>
        <w:tc>
          <w:tcPr>
            <w:tcW w:w="849" w:type="dxa"/>
          </w:tcPr>
          <w:p>
            <w:pPr>
              <w:pStyle w:val="TableParagraph"/>
              <w:ind w:left="65" w:right="125"/>
              <w:rPr>
                <w:sz w:val="17"/>
              </w:rPr>
            </w:pPr>
            <w:r>
              <w:rPr>
                <w:color w:val="231F20"/>
                <w:w w:val="105"/>
                <w:sz w:val="17"/>
              </w:rPr>
              <w:t>19.4</w:t>
            </w:r>
          </w:p>
        </w:tc>
        <w:tc>
          <w:tcPr>
            <w:tcW w:w="1011" w:type="dxa"/>
          </w:tcPr>
          <w:p>
            <w:pPr>
              <w:pStyle w:val="TableParagraph"/>
              <w:ind w:left="140" w:right="186"/>
              <w:rPr>
                <w:sz w:val="17"/>
              </w:rPr>
            </w:pPr>
            <w:r>
              <w:rPr>
                <w:color w:val="231F20"/>
                <w:w w:val="105"/>
                <w:sz w:val="17"/>
              </w:rPr>
              <w:t>17.8</w:t>
            </w:r>
          </w:p>
        </w:tc>
      </w:tr>
      <w:tr>
        <w:trPr>
          <w:trHeight w:val="210" w:hRule="exact"/>
        </w:trPr>
        <w:tc>
          <w:tcPr>
            <w:tcW w:w="2686" w:type="dxa"/>
          </w:tcPr>
          <w:p>
            <w:pPr>
              <w:pStyle w:val="TableParagraph"/>
              <w:ind w:left="35"/>
              <w:jc w:val="left"/>
              <w:rPr>
                <w:sz w:val="17"/>
              </w:rPr>
            </w:pPr>
            <w:r>
              <w:rPr>
                <w:color w:val="231F20"/>
                <w:w w:val="110"/>
                <w:sz w:val="17"/>
              </w:rPr>
              <w:t>Secundaria</w:t>
            </w:r>
          </w:p>
        </w:tc>
        <w:tc>
          <w:tcPr>
            <w:tcW w:w="835" w:type="dxa"/>
          </w:tcPr>
          <w:p>
            <w:pPr>
              <w:pStyle w:val="TableParagraph"/>
              <w:ind w:left="81" w:right="71"/>
              <w:rPr>
                <w:sz w:val="17"/>
              </w:rPr>
            </w:pPr>
            <w:r>
              <w:rPr>
                <w:color w:val="231F20"/>
                <w:w w:val="105"/>
                <w:sz w:val="17"/>
              </w:rPr>
              <w:t>48.2</w:t>
            </w:r>
          </w:p>
        </w:tc>
        <w:tc>
          <w:tcPr>
            <w:tcW w:w="778" w:type="dxa"/>
          </w:tcPr>
          <w:p>
            <w:pPr>
              <w:pStyle w:val="TableParagraph"/>
              <w:ind w:left="58" w:right="61"/>
              <w:rPr>
                <w:sz w:val="17"/>
              </w:rPr>
            </w:pPr>
            <w:r>
              <w:rPr>
                <w:color w:val="231F20"/>
                <w:w w:val="105"/>
                <w:sz w:val="17"/>
              </w:rPr>
              <w:t>42.5</w:t>
            </w:r>
          </w:p>
        </w:tc>
        <w:tc>
          <w:tcPr>
            <w:tcW w:w="836" w:type="dxa"/>
          </w:tcPr>
          <w:p>
            <w:pPr>
              <w:pStyle w:val="TableParagraph"/>
              <w:ind w:left="76" w:right="77"/>
              <w:rPr>
                <w:sz w:val="17"/>
              </w:rPr>
            </w:pPr>
            <w:r>
              <w:rPr>
                <w:color w:val="231F20"/>
                <w:w w:val="105"/>
                <w:sz w:val="17"/>
              </w:rPr>
              <w:t>56.9</w:t>
            </w:r>
          </w:p>
        </w:tc>
        <w:tc>
          <w:tcPr>
            <w:tcW w:w="849" w:type="dxa"/>
          </w:tcPr>
          <w:p>
            <w:pPr>
              <w:pStyle w:val="TableParagraph"/>
              <w:ind w:left="65" w:right="125"/>
              <w:rPr>
                <w:sz w:val="17"/>
              </w:rPr>
            </w:pPr>
            <w:r>
              <w:rPr>
                <w:color w:val="231F20"/>
                <w:w w:val="105"/>
                <w:sz w:val="17"/>
              </w:rPr>
              <w:t>53.5</w:t>
            </w:r>
          </w:p>
        </w:tc>
        <w:tc>
          <w:tcPr>
            <w:tcW w:w="1011" w:type="dxa"/>
          </w:tcPr>
          <w:p>
            <w:pPr>
              <w:pStyle w:val="TableParagraph"/>
              <w:ind w:left="140" w:right="186"/>
              <w:rPr>
                <w:sz w:val="17"/>
              </w:rPr>
            </w:pPr>
            <w:r>
              <w:rPr>
                <w:color w:val="231F20"/>
                <w:w w:val="105"/>
                <w:sz w:val="17"/>
              </w:rPr>
              <w:t>57.0</w:t>
            </w:r>
          </w:p>
        </w:tc>
      </w:tr>
      <w:tr>
        <w:trPr>
          <w:trHeight w:val="210" w:hRule="exact"/>
        </w:trPr>
        <w:tc>
          <w:tcPr>
            <w:tcW w:w="2686" w:type="dxa"/>
          </w:tcPr>
          <w:p>
            <w:pPr>
              <w:pStyle w:val="TableParagraph"/>
              <w:ind w:left="35"/>
              <w:jc w:val="left"/>
              <w:rPr>
                <w:sz w:val="17"/>
              </w:rPr>
            </w:pPr>
            <w:r>
              <w:rPr>
                <w:color w:val="231F20"/>
                <w:w w:val="105"/>
                <w:sz w:val="17"/>
              </w:rPr>
              <w:t>Preparatoria  o bachillerato</w:t>
            </w:r>
          </w:p>
        </w:tc>
        <w:tc>
          <w:tcPr>
            <w:tcW w:w="835" w:type="dxa"/>
          </w:tcPr>
          <w:p>
            <w:pPr>
              <w:pStyle w:val="TableParagraph"/>
              <w:ind w:left="81" w:right="71"/>
              <w:rPr>
                <w:sz w:val="17"/>
              </w:rPr>
            </w:pPr>
            <w:r>
              <w:rPr>
                <w:color w:val="231F20"/>
                <w:w w:val="105"/>
                <w:sz w:val="17"/>
              </w:rPr>
              <w:t>37.5</w:t>
            </w:r>
          </w:p>
        </w:tc>
        <w:tc>
          <w:tcPr>
            <w:tcW w:w="778" w:type="dxa"/>
          </w:tcPr>
          <w:p>
            <w:pPr>
              <w:pStyle w:val="TableParagraph"/>
              <w:ind w:left="58" w:right="61"/>
              <w:rPr>
                <w:sz w:val="17"/>
              </w:rPr>
            </w:pPr>
            <w:r>
              <w:rPr>
                <w:color w:val="231F20"/>
                <w:w w:val="105"/>
                <w:sz w:val="17"/>
              </w:rPr>
              <w:t>43.1</w:t>
            </w:r>
          </w:p>
        </w:tc>
        <w:tc>
          <w:tcPr>
            <w:tcW w:w="836" w:type="dxa"/>
          </w:tcPr>
          <w:p>
            <w:pPr>
              <w:pStyle w:val="TableParagraph"/>
              <w:ind w:left="76" w:right="77"/>
              <w:rPr>
                <w:sz w:val="17"/>
              </w:rPr>
            </w:pPr>
            <w:r>
              <w:rPr>
                <w:color w:val="231F20"/>
                <w:w w:val="105"/>
                <w:sz w:val="17"/>
              </w:rPr>
              <w:t>17.5</w:t>
            </w:r>
          </w:p>
        </w:tc>
        <w:tc>
          <w:tcPr>
            <w:tcW w:w="849" w:type="dxa"/>
          </w:tcPr>
          <w:p>
            <w:pPr>
              <w:pStyle w:val="TableParagraph"/>
              <w:ind w:left="65" w:right="125"/>
              <w:rPr>
                <w:sz w:val="17"/>
              </w:rPr>
            </w:pPr>
            <w:r>
              <w:rPr>
                <w:color w:val="231F20"/>
                <w:w w:val="105"/>
                <w:sz w:val="17"/>
              </w:rPr>
              <w:t>23.3</w:t>
            </w:r>
          </w:p>
        </w:tc>
        <w:tc>
          <w:tcPr>
            <w:tcW w:w="1011" w:type="dxa"/>
          </w:tcPr>
          <w:p>
            <w:pPr>
              <w:pStyle w:val="TableParagraph"/>
              <w:ind w:left="140" w:right="186"/>
              <w:rPr>
                <w:sz w:val="17"/>
              </w:rPr>
            </w:pPr>
            <w:r>
              <w:rPr>
                <w:color w:val="231F20"/>
                <w:w w:val="105"/>
                <w:sz w:val="17"/>
              </w:rPr>
              <w:t>21.7</w:t>
            </w:r>
          </w:p>
        </w:tc>
      </w:tr>
      <w:tr>
        <w:trPr>
          <w:trHeight w:val="380" w:hRule="exact"/>
        </w:trPr>
        <w:tc>
          <w:tcPr>
            <w:tcW w:w="2686" w:type="dxa"/>
          </w:tcPr>
          <w:p>
            <w:pPr>
              <w:pStyle w:val="TableParagraph"/>
              <w:spacing w:line="190" w:lineRule="exact" w:before="4"/>
              <w:ind w:left="140" w:hanging="106"/>
              <w:jc w:val="left"/>
              <w:rPr>
                <w:sz w:val="17"/>
              </w:rPr>
            </w:pPr>
            <w:r>
              <w:rPr>
                <w:color w:val="231F20"/>
                <w:w w:val="110"/>
                <w:sz w:val="17"/>
              </w:rPr>
              <w:t>Estudios técnicos o comerciales con primaria terminada</w:t>
            </w:r>
          </w:p>
        </w:tc>
        <w:tc>
          <w:tcPr>
            <w:tcW w:w="835" w:type="dxa"/>
          </w:tcPr>
          <w:p>
            <w:pPr>
              <w:pStyle w:val="TableParagraph"/>
              <w:spacing w:line="240" w:lineRule="auto" w:before="9"/>
              <w:jc w:val="left"/>
              <w:rPr>
                <w:i/>
                <w:sz w:val="15"/>
              </w:rPr>
            </w:pPr>
          </w:p>
          <w:p>
            <w:pPr>
              <w:pStyle w:val="TableParagraph"/>
              <w:spacing w:line="240" w:lineRule="auto"/>
              <w:ind w:left="81" w:right="71"/>
              <w:rPr>
                <w:sz w:val="17"/>
              </w:rPr>
            </w:pPr>
            <w:r>
              <w:rPr>
                <w:color w:val="231F20"/>
                <w:w w:val="105"/>
                <w:sz w:val="17"/>
              </w:rPr>
              <w:t>0.1</w:t>
            </w:r>
          </w:p>
        </w:tc>
        <w:tc>
          <w:tcPr>
            <w:tcW w:w="778" w:type="dxa"/>
          </w:tcPr>
          <w:p>
            <w:pPr>
              <w:pStyle w:val="TableParagraph"/>
              <w:spacing w:line="240" w:lineRule="auto" w:before="9"/>
              <w:jc w:val="left"/>
              <w:rPr>
                <w:i/>
                <w:sz w:val="15"/>
              </w:rPr>
            </w:pPr>
          </w:p>
          <w:p>
            <w:pPr>
              <w:pStyle w:val="TableParagraph"/>
              <w:spacing w:line="240" w:lineRule="auto"/>
              <w:ind w:left="58" w:right="61"/>
              <w:rPr>
                <w:sz w:val="17"/>
              </w:rPr>
            </w:pPr>
            <w:r>
              <w:rPr>
                <w:color w:val="231F20"/>
                <w:w w:val="105"/>
                <w:sz w:val="17"/>
              </w:rPr>
              <w:t>0.2</w:t>
            </w:r>
          </w:p>
        </w:tc>
        <w:tc>
          <w:tcPr>
            <w:tcW w:w="836" w:type="dxa"/>
          </w:tcPr>
          <w:p>
            <w:pPr>
              <w:pStyle w:val="TableParagraph"/>
              <w:spacing w:line="240" w:lineRule="auto" w:before="9"/>
              <w:jc w:val="left"/>
              <w:rPr>
                <w:i/>
                <w:sz w:val="15"/>
              </w:rPr>
            </w:pPr>
          </w:p>
          <w:p>
            <w:pPr>
              <w:pStyle w:val="TableParagraph"/>
              <w:spacing w:line="240" w:lineRule="auto"/>
              <w:ind w:left="76" w:right="77"/>
              <w:rPr>
                <w:sz w:val="17"/>
              </w:rPr>
            </w:pPr>
            <w:r>
              <w:rPr>
                <w:color w:val="231F20"/>
                <w:w w:val="105"/>
                <w:sz w:val="17"/>
              </w:rPr>
              <w:t>0.1</w:t>
            </w:r>
          </w:p>
        </w:tc>
        <w:tc>
          <w:tcPr>
            <w:tcW w:w="849" w:type="dxa"/>
          </w:tcPr>
          <w:p>
            <w:pPr>
              <w:pStyle w:val="TableParagraph"/>
              <w:spacing w:line="240" w:lineRule="auto" w:before="9"/>
              <w:jc w:val="left"/>
              <w:rPr>
                <w:i/>
                <w:sz w:val="15"/>
              </w:rPr>
            </w:pPr>
          </w:p>
          <w:p>
            <w:pPr>
              <w:pStyle w:val="TableParagraph"/>
              <w:spacing w:line="240" w:lineRule="auto"/>
              <w:ind w:left="65" w:right="125"/>
              <w:rPr>
                <w:sz w:val="17"/>
              </w:rPr>
            </w:pPr>
            <w:r>
              <w:rPr>
                <w:color w:val="231F20"/>
                <w:w w:val="105"/>
                <w:sz w:val="17"/>
              </w:rPr>
              <w:t>0.3</w:t>
            </w:r>
          </w:p>
        </w:tc>
        <w:tc>
          <w:tcPr>
            <w:tcW w:w="1011" w:type="dxa"/>
          </w:tcPr>
          <w:p>
            <w:pPr>
              <w:pStyle w:val="TableParagraph"/>
              <w:spacing w:line="240" w:lineRule="auto" w:before="9"/>
              <w:jc w:val="left"/>
              <w:rPr>
                <w:i/>
                <w:sz w:val="15"/>
              </w:rPr>
            </w:pPr>
          </w:p>
          <w:p>
            <w:pPr>
              <w:pStyle w:val="TableParagraph"/>
              <w:spacing w:line="240" w:lineRule="auto"/>
              <w:ind w:left="140" w:right="186"/>
              <w:rPr>
                <w:sz w:val="17"/>
              </w:rPr>
            </w:pPr>
            <w:r>
              <w:rPr>
                <w:color w:val="231F20"/>
                <w:w w:val="105"/>
                <w:sz w:val="17"/>
              </w:rPr>
              <w:t>0.2</w:t>
            </w:r>
          </w:p>
        </w:tc>
      </w:tr>
      <w:tr>
        <w:trPr>
          <w:trHeight w:val="220" w:hRule="exact"/>
        </w:trPr>
        <w:tc>
          <w:tcPr>
            <w:tcW w:w="2686" w:type="dxa"/>
          </w:tcPr>
          <w:p>
            <w:pPr>
              <w:pStyle w:val="TableParagraph"/>
              <w:spacing w:line="240" w:lineRule="auto" w:before="15"/>
              <w:ind w:left="35"/>
              <w:jc w:val="left"/>
              <w:rPr>
                <w:sz w:val="17"/>
              </w:rPr>
            </w:pPr>
            <w:r>
              <w:rPr>
                <w:color w:val="231F20"/>
                <w:w w:val="110"/>
                <w:sz w:val="17"/>
              </w:rPr>
              <w:t>Estudios técnicos o comerciales</w:t>
            </w:r>
          </w:p>
        </w:tc>
        <w:tc>
          <w:tcPr>
            <w:tcW w:w="835" w:type="dxa"/>
          </w:tcPr>
          <w:p>
            <w:pPr/>
          </w:p>
        </w:tc>
        <w:tc>
          <w:tcPr>
            <w:tcW w:w="778" w:type="dxa"/>
          </w:tcPr>
          <w:p>
            <w:pPr/>
          </w:p>
        </w:tc>
        <w:tc>
          <w:tcPr>
            <w:tcW w:w="836" w:type="dxa"/>
          </w:tcPr>
          <w:p>
            <w:pPr/>
          </w:p>
        </w:tc>
        <w:tc>
          <w:tcPr>
            <w:tcW w:w="849" w:type="dxa"/>
          </w:tcPr>
          <w:p>
            <w:pPr/>
          </w:p>
        </w:tc>
        <w:tc>
          <w:tcPr>
            <w:tcW w:w="1011" w:type="dxa"/>
          </w:tcPr>
          <w:p>
            <w:pPr/>
          </w:p>
        </w:tc>
      </w:tr>
      <w:tr>
        <w:trPr>
          <w:trHeight w:val="200" w:hRule="exact"/>
        </w:trPr>
        <w:tc>
          <w:tcPr>
            <w:tcW w:w="2686" w:type="dxa"/>
          </w:tcPr>
          <w:p>
            <w:pPr>
              <w:pStyle w:val="TableParagraph"/>
              <w:spacing w:line="174" w:lineRule="exact"/>
              <w:ind w:left="140"/>
              <w:jc w:val="left"/>
              <w:rPr>
                <w:sz w:val="17"/>
              </w:rPr>
            </w:pPr>
            <w:r>
              <w:rPr>
                <w:color w:val="231F20"/>
                <w:w w:val="110"/>
                <w:sz w:val="17"/>
              </w:rPr>
              <w:t>con secundaria terminada</w:t>
            </w:r>
          </w:p>
        </w:tc>
        <w:tc>
          <w:tcPr>
            <w:tcW w:w="835" w:type="dxa"/>
          </w:tcPr>
          <w:p>
            <w:pPr>
              <w:pStyle w:val="TableParagraph"/>
              <w:spacing w:line="174" w:lineRule="exact"/>
              <w:ind w:left="81" w:right="71"/>
              <w:rPr>
                <w:sz w:val="17"/>
              </w:rPr>
            </w:pPr>
            <w:r>
              <w:rPr>
                <w:color w:val="231F20"/>
                <w:w w:val="105"/>
                <w:sz w:val="17"/>
              </w:rPr>
              <w:t>1.0</w:t>
            </w:r>
          </w:p>
        </w:tc>
        <w:tc>
          <w:tcPr>
            <w:tcW w:w="778" w:type="dxa"/>
          </w:tcPr>
          <w:p>
            <w:pPr>
              <w:pStyle w:val="TableParagraph"/>
              <w:spacing w:line="174" w:lineRule="exact"/>
              <w:ind w:left="58" w:right="61"/>
              <w:rPr>
                <w:sz w:val="17"/>
              </w:rPr>
            </w:pPr>
            <w:r>
              <w:rPr>
                <w:color w:val="231F20"/>
                <w:w w:val="105"/>
                <w:sz w:val="17"/>
              </w:rPr>
              <w:t>1.5</w:t>
            </w:r>
          </w:p>
        </w:tc>
        <w:tc>
          <w:tcPr>
            <w:tcW w:w="836" w:type="dxa"/>
          </w:tcPr>
          <w:p>
            <w:pPr>
              <w:pStyle w:val="TableParagraph"/>
              <w:spacing w:line="174" w:lineRule="exact"/>
              <w:ind w:left="76" w:right="77"/>
              <w:rPr>
                <w:sz w:val="17"/>
              </w:rPr>
            </w:pPr>
            <w:r>
              <w:rPr>
                <w:color w:val="231F20"/>
                <w:w w:val="105"/>
                <w:sz w:val="17"/>
              </w:rPr>
              <w:t>0.2</w:t>
            </w:r>
          </w:p>
        </w:tc>
        <w:tc>
          <w:tcPr>
            <w:tcW w:w="849" w:type="dxa"/>
          </w:tcPr>
          <w:p>
            <w:pPr>
              <w:pStyle w:val="TableParagraph"/>
              <w:spacing w:line="174" w:lineRule="exact"/>
              <w:ind w:left="65" w:right="125"/>
              <w:rPr>
                <w:sz w:val="17"/>
              </w:rPr>
            </w:pPr>
            <w:r>
              <w:rPr>
                <w:color w:val="231F20"/>
                <w:w w:val="105"/>
                <w:sz w:val="17"/>
              </w:rPr>
              <w:t>0.7</w:t>
            </w:r>
          </w:p>
        </w:tc>
        <w:tc>
          <w:tcPr>
            <w:tcW w:w="1011" w:type="dxa"/>
          </w:tcPr>
          <w:p>
            <w:pPr>
              <w:pStyle w:val="TableParagraph"/>
              <w:spacing w:line="174" w:lineRule="exact"/>
              <w:ind w:left="140" w:right="186"/>
              <w:rPr>
                <w:sz w:val="17"/>
              </w:rPr>
            </w:pPr>
            <w:r>
              <w:rPr>
                <w:color w:val="231F20"/>
                <w:w w:val="105"/>
                <w:sz w:val="17"/>
              </w:rPr>
              <w:t>1.0</w:t>
            </w:r>
          </w:p>
        </w:tc>
      </w:tr>
      <w:tr>
        <w:trPr>
          <w:trHeight w:val="400" w:hRule="exact"/>
        </w:trPr>
        <w:tc>
          <w:tcPr>
            <w:tcW w:w="2686" w:type="dxa"/>
          </w:tcPr>
          <w:p>
            <w:pPr>
              <w:pStyle w:val="TableParagraph"/>
              <w:spacing w:line="190" w:lineRule="exact" w:before="4"/>
              <w:ind w:left="140" w:hanging="106"/>
              <w:jc w:val="left"/>
              <w:rPr>
                <w:sz w:val="17"/>
              </w:rPr>
            </w:pPr>
            <w:r>
              <w:rPr>
                <w:color w:val="231F20"/>
                <w:w w:val="110"/>
                <w:sz w:val="17"/>
              </w:rPr>
              <w:t>Estudios técnicos o comerciales con preparatoria terminada</w:t>
            </w:r>
          </w:p>
        </w:tc>
        <w:tc>
          <w:tcPr>
            <w:tcW w:w="835" w:type="dxa"/>
          </w:tcPr>
          <w:p>
            <w:pPr>
              <w:pStyle w:val="TableParagraph"/>
              <w:spacing w:line="240" w:lineRule="auto" w:before="9"/>
              <w:jc w:val="left"/>
              <w:rPr>
                <w:i/>
                <w:sz w:val="15"/>
              </w:rPr>
            </w:pPr>
          </w:p>
          <w:p>
            <w:pPr>
              <w:pStyle w:val="TableParagraph"/>
              <w:spacing w:line="240" w:lineRule="auto"/>
              <w:ind w:left="81" w:right="71"/>
              <w:rPr>
                <w:sz w:val="17"/>
              </w:rPr>
            </w:pPr>
            <w:r>
              <w:rPr>
                <w:color w:val="231F20"/>
                <w:w w:val="105"/>
                <w:sz w:val="17"/>
              </w:rPr>
              <w:t>0.6</w:t>
            </w:r>
          </w:p>
        </w:tc>
        <w:tc>
          <w:tcPr>
            <w:tcW w:w="778" w:type="dxa"/>
          </w:tcPr>
          <w:p>
            <w:pPr>
              <w:pStyle w:val="TableParagraph"/>
              <w:spacing w:line="240" w:lineRule="auto" w:before="9"/>
              <w:jc w:val="left"/>
              <w:rPr>
                <w:i/>
                <w:sz w:val="15"/>
              </w:rPr>
            </w:pPr>
          </w:p>
          <w:p>
            <w:pPr>
              <w:pStyle w:val="TableParagraph"/>
              <w:spacing w:line="240" w:lineRule="auto"/>
              <w:ind w:left="58" w:right="61"/>
              <w:rPr>
                <w:sz w:val="17"/>
              </w:rPr>
            </w:pPr>
            <w:r>
              <w:rPr>
                <w:color w:val="231F20"/>
                <w:w w:val="105"/>
                <w:sz w:val="17"/>
              </w:rPr>
              <w:t>0.8</w:t>
            </w:r>
          </w:p>
        </w:tc>
        <w:tc>
          <w:tcPr>
            <w:tcW w:w="836" w:type="dxa"/>
          </w:tcPr>
          <w:p>
            <w:pPr>
              <w:pStyle w:val="TableParagraph"/>
              <w:spacing w:line="240" w:lineRule="auto" w:before="9"/>
              <w:jc w:val="left"/>
              <w:rPr>
                <w:i/>
                <w:sz w:val="15"/>
              </w:rPr>
            </w:pPr>
          </w:p>
          <w:p>
            <w:pPr>
              <w:pStyle w:val="TableParagraph"/>
              <w:spacing w:line="240" w:lineRule="auto"/>
              <w:ind w:left="76" w:right="77"/>
              <w:rPr>
                <w:sz w:val="17"/>
              </w:rPr>
            </w:pPr>
            <w:r>
              <w:rPr>
                <w:color w:val="231F20"/>
                <w:w w:val="105"/>
                <w:sz w:val="17"/>
              </w:rPr>
              <w:t>0.3</w:t>
            </w:r>
          </w:p>
        </w:tc>
        <w:tc>
          <w:tcPr>
            <w:tcW w:w="849" w:type="dxa"/>
          </w:tcPr>
          <w:p>
            <w:pPr>
              <w:pStyle w:val="TableParagraph"/>
              <w:spacing w:line="240" w:lineRule="auto" w:before="9"/>
              <w:jc w:val="left"/>
              <w:rPr>
                <w:i/>
                <w:sz w:val="15"/>
              </w:rPr>
            </w:pPr>
          </w:p>
          <w:p>
            <w:pPr>
              <w:pStyle w:val="TableParagraph"/>
              <w:spacing w:line="240" w:lineRule="auto"/>
              <w:ind w:left="65" w:right="125"/>
              <w:rPr>
                <w:sz w:val="17"/>
              </w:rPr>
            </w:pPr>
            <w:r>
              <w:rPr>
                <w:color w:val="231F20"/>
                <w:w w:val="105"/>
                <w:sz w:val="17"/>
              </w:rPr>
              <w:t>0.5</w:t>
            </w:r>
          </w:p>
        </w:tc>
        <w:tc>
          <w:tcPr>
            <w:tcW w:w="1011" w:type="dxa"/>
          </w:tcPr>
          <w:p>
            <w:pPr>
              <w:pStyle w:val="TableParagraph"/>
              <w:spacing w:line="240" w:lineRule="auto" w:before="9"/>
              <w:jc w:val="left"/>
              <w:rPr>
                <w:i/>
                <w:sz w:val="15"/>
              </w:rPr>
            </w:pPr>
          </w:p>
          <w:p>
            <w:pPr>
              <w:pStyle w:val="TableParagraph"/>
              <w:spacing w:line="240" w:lineRule="auto"/>
              <w:ind w:left="140" w:right="186"/>
              <w:rPr>
                <w:sz w:val="17"/>
              </w:rPr>
            </w:pPr>
            <w:r>
              <w:rPr>
                <w:color w:val="231F20"/>
                <w:w w:val="105"/>
                <w:sz w:val="17"/>
              </w:rPr>
              <w:t>1.1</w:t>
            </w:r>
          </w:p>
        </w:tc>
      </w:tr>
      <w:tr>
        <w:trPr>
          <w:trHeight w:val="210" w:hRule="exact"/>
        </w:trPr>
        <w:tc>
          <w:tcPr>
            <w:tcW w:w="2686" w:type="dxa"/>
          </w:tcPr>
          <w:p>
            <w:pPr>
              <w:pStyle w:val="TableParagraph"/>
              <w:ind w:left="35"/>
              <w:jc w:val="left"/>
              <w:rPr>
                <w:sz w:val="17"/>
              </w:rPr>
            </w:pPr>
            <w:r>
              <w:rPr>
                <w:color w:val="231F20"/>
                <w:w w:val="110"/>
                <w:sz w:val="17"/>
              </w:rPr>
              <w:t>Normal de licenciatura</w:t>
            </w:r>
          </w:p>
        </w:tc>
        <w:tc>
          <w:tcPr>
            <w:tcW w:w="835" w:type="dxa"/>
          </w:tcPr>
          <w:p>
            <w:pPr>
              <w:pStyle w:val="TableParagraph"/>
              <w:ind w:left="81" w:right="71"/>
              <w:rPr>
                <w:sz w:val="17"/>
              </w:rPr>
            </w:pPr>
            <w:r>
              <w:rPr>
                <w:color w:val="231F20"/>
                <w:w w:val="105"/>
                <w:sz w:val="17"/>
              </w:rPr>
              <w:t>0.4</w:t>
            </w:r>
          </w:p>
        </w:tc>
        <w:tc>
          <w:tcPr>
            <w:tcW w:w="778" w:type="dxa"/>
          </w:tcPr>
          <w:p>
            <w:pPr>
              <w:pStyle w:val="TableParagraph"/>
              <w:ind w:left="58" w:right="61"/>
              <w:rPr>
                <w:sz w:val="17"/>
              </w:rPr>
            </w:pPr>
            <w:r>
              <w:rPr>
                <w:color w:val="231F20"/>
                <w:w w:val="105"/>
                <w:sz w:val="17"/>
              </w:rPr>
              <w:t>0.8</w:t>
            </w:r>
          </w:p>
        </w:tc>
        <w:tc>
          <w:tcPr>
            <w:tcW w:w="836" w:type="dxa"/>
          </w:tcPr>
          <w:p>
            <w:pPr>
              <w:pStyle w:val="TableParagraph"/>
              <w:ind w:left="76" w:right="77"/>
              <w:rPr>
                <w:sz w:val="17"/>
              </w:rPr>
            </w:pPr>
            <w:r>
              <w:rPr>
                <w:color w:val="231F20"/>
                <w:w w:val="105"/>
                <w:sz w:val="17"/>
              </w:rPr>
              <w:t>0.2</w:t>
            </w:r>
          </w:p>
        </w:tc>
        <w:tc>
          <w:tcPr>
            <w:tcW w:w="849" w:type="dxa"/>
          </w:tcPr>
          <w:p>
            <w:pPr>
              <w:pStyle w:val="TableParagraph"/>
              <w:ind w:left="65" w:right="125"/>
              <w:rPr>
                <w:sz w:val="17"/>
              </w:rPr>
            </w:pPr>
            <w:r>
              <w:rPr>
                <w:color w:val="231F20"/>
                <w:w w:val="105"/>
                <w:sz w:val="17"/>
              </w:rPr>
              <w:t>0.1</w:t>
            </w:r>
          </w:p>
        </w:tc>
        <w:tc>
          <w:tcPr>
            <w:tcW w:w="1011" w:type="dxa"/>
          </w:tcPr>
          <w:p>
            <w:pPr>
              <w:pStyle w:val="TableParagraph"/>
              <w:ind w:left="140" w:right="186"/>
              <w:rPr>
                <w:sz w:val="17"/>
              </w:rPr>
            </w:pPr>
            <w:r>
              <w:rPr>
                <w:color w:val="231F20"/>
                <w:w w:val="105"/>
                <w:sz w:val="17"/>
              </w:rPr>
              <w:t>0.1</w:t>
            </w:r>
          </w:p>
        </w:tc>
      </w:tr>
      <w:tr>
        <w:trPr>
          <w:trHeight w:val="210" w:hRule="exact"/>
        </w:trPr>
        <w:tc>
          <w:tcPr>
            <w:tcW w:w="2686" w:type="dxa"/>
          </w:tcPr>
          <w:p>
            <w:pPr>
              <w:pStyle w:val="TableParagraph"/>
              <w:ind w:left="35"/>
              <w:jc w:val="left"/>
              <w:rPr>
                <w:sz w:val="17"/>
              </w:rPr>
            </w:pPr>
            <w:r>
              <w:rPr>
                <w:color w:val="231F20"/>
                <w:w w:val="110"/>
                <w:sz w:val="17"/>
              </w:rPr>
              <w:t>Licenciatura o profesional</w:t>
            </w:r>
          </w:p>
        </w:tc>
        <w:tc>
          <w:tcPr>
            <w:tcW w:w="835" w:type="dxa"/>
          </w:tcPr>
          <w:p>
            <w:pPr>
              <w:pStyle w:val="TableParagraph"/>
              <w:ind w:left="81" w:right="71"/>
              <w:rPr>
                <w:sz w:val="17"/>
              </w:rPr>
            </w:pPr>
            <w:r>
              <w:rPr>
                <w:color w:val="231F20"/>
                <w:w w:val="105"/>
                <w:sz w:val="17"/>
              </w:rPr>
              <w:t>2.7</w:t>
            </w:r>
          </w:p>
        </w:tc>
        <w:tc>
          <w:tcPr>
            <w:tcW w:w="778" w:type="dxa"/>
          </w:tcPr>
          <w:p>
            <w:pPr>
              <w:pStyle w:val="TableParagraph"/>
              <w:ind w:left="58" w:right="61"/>
              <w:rPr>
                <w:sz w:val="17"/>
              </w:rPr>
            </w:pPr>
            <w:r>
              <w:rPr>
                <w:color w:val="231F20"/>
                <w:w w:val="105"/>
                <w:sz w:val="17"/>
              </w:rPr>
              <w:t>3.8</w:t>
            </w:r>
          </w:p>
        </w:tc>
        <w:tc>
          <w:tcPr>
            <w:tcW w:w="836" w:type="dxa"/>
          </w:tcPr>
          <w:p>
            <w:pPr>
              <w:pStyle w:val="TableParagraph"/>
              <w:ind w:left="76" w:right="77"/>
              <w:rPr>
                <w:sz w:val="17"/>
              </w:rPr>
            </w:pPr>
            <w:r>
              <w:rPr>
                <w:color w:val="231F20"/>
                <w:w w:val="105"/>
                <w:sz w:val="17"/>
              </w:rPr>
              <w:t>0.4</w:t>
            </w:r>
          </w:p>
        </w:tc>
        <w:tc>
          <w:tcPr>
            <w:tcW w:w="849" w:type="dxa"/>
          </w:tcPr>
          <w:p>
            <w:pPr>
              <w:pStyle w:val="TableParagraph"/>
              <w:ind w:left="65" w:right="125"/>
              <w:rPr>
                <w:sz w:val="17"/>
              </w:rPr>
            </w:pPr>
            <w:r>
              <w:rPr>
                <w:color w:val="231F20"/>
                <w:w w:val="105"/>
                <w:sz w:val="17"/>
              </w:rPr>
              <w:t>0.6</w:t>
            </w:r>
          </w:p>
        </w:tc>
        <w:tc>
          <w:tcPr>
            <w:tcW w:w="1011" w:type="dxa"/>
          </w:tcPr>
          <w:p>
            <w:pPr>
              <w:pStyle w:val="TableParagraph"/>
              <w:ind w:left="140" w:right="186"/>
              <w:rPr>
                <w:sz w:val="17"/>
              </w:rPr>
            </w:pPr>
            <w:r>
              <w:rPr>
                <w:color w:val="231F20"/>
                <w:w w:val="105"/>
                <w:sz w:val="17"/>
              </w:rPr>
              <w:t>0.5</w:t>
            </w:r>
          </w:p>
        </w:tc>
      </w:tr>
      <w:tr>
        <w:trPr>
          <w:trHeight w:val="210" w:hRule="exact"/>
        </w:trPr>
        <w:tc>
          <w:tcPr>
            <w:tcW w:w="2686" w:type="dxa"/>
          </w:tcPr>
          <w:p>
            <w:pPr>
              <w:pStyle w:val="TableParagraph"/>
              <w:ind w:left="35"/>
              <w:jc w:val="left"/>
              <w:rPr>
                <w:sz w:val="17"/>
              </w:rPr>
            </w:pPr>
            <w:r>
              <w:rPr>
                <w:color w:val="231F20"/>
                <w:w w:val="110"/>
                <w:sz w:val="17"/>
              </w:rPr>
              <w:t>Posgrado</w:t>
            </w:r>
          </w:p>
        </w:tc>
        <w:tc>
          <w:tcPr>
            <w:tcW w:w="835" w:type="dxa"/>
          </w:tcPr>
          <w:p>
            <w:pPr>
              <w:pStyle w:val="TableParagraph"/>
              <w:ind w:left="81" w:right="71"/>
              <w:rPr>
                <w:sz w:val="17"/>
              </w:rPr>
            </w:pPr>
            <w:r>
              <w:rPr>
                <w:color w:val="231F20"/>
                <w:w w:val="105"/>
                <w:sz w:val="17"/>
              </w:rPr>
              <w:t>0.0</w:t>
            </w:r>
          </w:p>
        </w:tc>
        <w:tc>
          <w:tcPr>
            <w:tcW w:w="778" w:type="dxa"/>
          </w:tcPr>
          <w:p>
            <w:pPr>
              <w:pStyle w:val="TableParagraph"/>
              <w:ind w:left="58" w:right="61"/>
              <w:rPr>
                <w:sz w:val="17"/>
              </w:rPr>
            </w:pPr>
            <w:r>
              <w:rPr>
                <w:color w:val="231F20"/>
                <w:w w:val="105"/>
                <w:sz w:val="17"/>
              </w:rPr>
              <w:t>0.0</w:t>
            </w:r>
          </w:p>
        </w:tc>
        <w:tc>
          <w:tcPr>
            <w:tcW w:w="836" w:type="dxa"/>
          </w:tcPr>
          <w:p>
            <w:pPr>
              <w:pStyle w:val="TableParagraph"/>
              <w:ind w:left="76" w:right="77"/>
              <w:rPr>
                <w:sz w:val="17"/>
              </w:rPr>
            </w:pPr>
            <w:r>
              <w:rPr>
                <w:color w:val="231F20"/>
                <w:w w:val="105"/>
                <w:sz w:val="17"/>
              </w:rPr>
              <w:t>0.0</w:t>
            </w:r>
          </w:p>
        </w:tc>
        <w:tc>
          <w:tcPr>
            <w:tcW w:w="849" w:type="dxa"/>
          </w:tcPr>
          <w:p>
            <w:pPr>
              <w:pStyle w:val="TableParagraph"/>
              <w:ind w:left="65" w:right="125"/>
              <w:rPr>
                <w:sz w:val="17"/>
              </w:rPr>
            </w:pPr>
            <w:r>
              <w:rPr>
                <w:color w:val="231F20"/>
                <w:w w:val="105"/>
                <w:sz w:val="17"/>
              </w:rPr>
              <w:t>0.0</w:t>
            </w:r>
          </w:p>
        </w:tc>
        <w:tc>
          <w:tcPr>
            <w:tcW w:w="1011" w:type="dxa"/>
          </w:tcPr>
          <w:p>
            <w:pPr>
              <w:pStyle w:val="TableParagraph"/>
              <w:ind w:left="140" w:right="186"/>
              <w:rPr>
                <w:sz w:val="17"/>
              </w:rPr>
            </w:pPr>
            <w:r>
              <w:rPr>
                <w:color w:val="231F20"/>
                <w:w w:val="105"/>
                <w:sz w:val="17"/>
              </w:rPr>
              <w:t>0.0</w:t>
            </w:r>
          </w:p>
        </w:tc>
      </w:tr>
      <w:tr>
        <w:trPr>
          <w:trHeight w:val="219" w:hRule="exact"/>
        </w:trPr>
        <w:tc>
          <w:tcPr>
            <w:tcW w:w="2686" w:type="dxa"/>
          </w:tcPr>
          <w:p>
            <w:pPr>
              <w:pStyle w:val="TableParagraph"/>
              <w:ind w:left="35"/>
              <w:jc w:val="left"/>
              <w:rPr>
                <w:sz w:val="17"/>
              </w:rPr>
            </w:pPr>
            <w:r>
              <w:rPr>
                <w:color w:val="231F20"/>
                <w:w w:val="110"/>
                <w:sz w:val="17"/>
              </w:rPr>
              <w:t>No especificado</w:t>
            </w:r>
          </w:p>
        </w:tc>
        <w:tc>
          <w:tcPr>
            <w:tcW w:w="835" w:type="dxa"/>
          </w:tcPr>
          <w:p>
            <w:pPr>
              <w:pStyle w:val="TableParagraph"/>
              <w:ind w:left="81" w:right="71"/>
              <w:rPr>
                <w:sz w:val="17"/>
              </w:rPr>
            </w:pPr>
            <w:r>
              <w:rPr>
                <w:color w:val="231F20"/>
                <w:w w:val="105"/>
                <w:sz w:val="17"/>
              </w:rPr>
              <w:t>0.4</w:t>
            </w:r>
          </w:p>
        </w:tc>
        <w:tc>
          <w:tcPr>
            <w:tcW w:w="778" w:type="dxa"/>
          </w:tcPr>
          <w:p>
            <w:pPr>
              <w:pStyle w:val="TableParagraph"/>
              <w:ind w:left="58" w:right="61"/>
              <w:rPr>
                <w:sz w:val="17"/>
              </w:rPr>
            </w:pPr>
            <w:r>
              <w:rPr>
                <w:color w:val="231F20"/>
                <w:w w:val="105"/>
                <w:sz w:val="17"/>
              </w:rPr>
              <w:t>0.5</w:t>
            </w:r>
          </w:p>
        </w:tc>
        <w:tc>
          <w:tcPr>
            <w:tcW w:w="836" w:type="dxa"/>
          </w:tcPr>
          <w:p>
            <w:pPr>
              <w:pStyle w:val="TableParagraph"/>
              <w:ind w:left="76" w:right="77"/>
              <w:rPr>
                <w:sz w:val="17"/>
              </w:rPr>
            </w:pPr>
            <w:r>
              <w:rPr>
                <w:color w:val="231F20"/>
                <w:w w:val="105"/>
                <w:sz w:val="17"/>
              </w:rPr>
              <w:t>0.2</w:t>
            </w:r>
          </w:p>
        </w:tc>
        <w:tc>
          <w:tcPr>
            <w:tcW w:w="849" w:type="dxa"/>
          </w:tcPr>
          <w:p>
            <w:pPr>
              <w:pStyle w:val="TableParagraph"/>
              <w:ind w:left="65" w:right="125"/>
              <w:rPr>
                <w:sz w:val="17"/>
              </w:rPr>
            </w:pPr>
            <w:r>
              <w:rPr>
                <w:color w:val="231F20"/>
                <w:w w:val="105"/>
                <w:sz w:val="17"/>
              </w:rPr>
              <w:t>0.2</w:t>
            </w:r>
          </w:p>
        </w:tc>
        <w:tc>
          <w:tcPr>
            <w:tcW w:w="1011" w:type="dxa"/>
          </w:tcPr>
          <w:p>
            <w:pPr>
              <w:pStyle w:val="TableParagraph"/>
              <w:ind w:left="140" w:right="186"/>
              <w:rPr>
                <w:sz w:val="17"/>
              </w:rPr>
            </w:pPr>
            <w:r>
              <w:rPr>
                <w:color w:val="231F20"/>
                <w:w w:val="105"/>
                <w:sz w:val="17"/>
              </w:rPr>
              <w:t>0.1</w:t>
            </w:r>
          </w:p>
        </w:tc>
      </w:tr>
    </w:tbl>
    <w:p>
      <w:pPr>
        <w:spacing w:before="6"/>
        <w:ind w:left="504" w:right="0" w:firstLine="0"/>
        <w:jc w:val="left"/>
        <w:rPr>
          <w:sz w:val="15"/>
        </w:rPr>
      </w:pPr>
      <w:r>
        <w:rPr>
          <w:color w:val="231F20"/>
          <w:w w:val="110"/>
          <w:sz w:val="15"/>
        </w:rPr>
        <w:t>Fuente: Elaboración propia con base en </w:t>
      </w:r>
      <w:r>
        <w:rPr>
          <w:rFonts w:ascii="Times New Roman" w:hAnsi="Times New Roman"/>
          <w:color w:val="231F20"/>
          <w:w w:val="110"/>
          <w:sz w:val="12"/>
        </w:rPr>
        <w:t>INEGI</w:t>
      </w:r>
      <w:r>
        <w:rPr>
          <w:rFonts w:ascii="Times New Roman" w:hAnsi="Times New Roman"/>
          <w:color w:val="231F20"/>
          <w:w w:val="110"/>
          <w:sz w:val="15"/>
        </w:rPr>
        <w:t>, </w:t>
      </w:r>
      <w:r>
        <w:rPr>
          <w:color w:val="231F20"/>
          <w:w w:val="110"/>
          <w:sz w:val="15"/>
        </w:rPr>
        <w:t>XIII Censo de Población y Vivienda  2010.</w:t>
      </w:r>
    </w:p>
    <w:p>
      <w:pPr>
        <w:spacing w:after="0"/>
        <w:jc w:val="left"/>
        <w:rPr>
          <w:sz w:val="15"/>
        </w:rPr>
        <w:sectPr>
          <w:pgSz w:w="9520" w:h="12920"/>
          <w:pgMar w:header="0" w:footer="1344" w:top="880" w:bottom="1540" w:left="1300" w:right="1000"/>
        </w:sectPr>
      </w:pPr>
    </w:p>
    <w:p>
      <w:pPr>
        <w:pStyle w:val="BodyText"/>
        <w:spacing w:before="4"/>
        <w:rPr>
          <w:sz w:val="25"/>
        </w:rPr>
      </w:pPr>
    </w:p>
    <w:p>
      <w:pPr>
        <w:pStyle w:val="BodyText"/>
        <w:spacing w:line="20" w:lineRule="exact"/>
        <w:ind w:left="116"/>
        <w:rPr>
          <w:sz w:val="2"/>
        </w:rPr>
      </w:pPr>
      <w:r>
        <w:rPr>
          <w:sz w:val="2"/>
        </w:rPr>
        <w:pict>
          <v:group style="width:342.4pt;height:.4pt;mso-position-horizontal-relative:char;mso-position-vertical-relative:line" coordorigin="0,0" coordsize="6848,8">
            <v:line style="position:absolute" from="4,4" to="1116,4" stroked="true" strokeweight=".4pt" strokecolor="#231f20"/>
            <v:line style="position:absolute" from="1116,4" to="2072,4" stroked="true" strokeweight=".4pt" strokecolor="#231f20"/>
            <v:line style="position:absolute" from="2072,4" to="2928,4" stroked="true" strokeweight=".4pt" strokecolor="#231f20"/>
            <v:line style="position:absolute" from="2928,4" to="3840,4" stroked="true" strokeweight=".4pt" strokecolor="#231f20"/>
            <v:line style="position:absolute" from="3840,4" to="4727,4" stroked="true" strokeweight=".4pt" strokecolor="#231f20"/>
            <v:line style="position:absolute" from="4727,4" to="5832,4" stroked="true" strokeweight=".4pt" strokecolor="#231f20"/>
            <v:line style="position:absolute" from="5832,4" to="6844,4" stroked="true" strokeweight=".4pt" strokecolor="#231f20"/>
          </v:group>
        </w:pict>
      </w:r>
      <w:r>
        <w:rPr>
          <w:sz w:val="2"/>
        </w:rPr>
      </w:r>
    </w:p>
    <w:p>
      <w:pPr>
        <w:spacing w:before="72"/>
        <w:ind w:left="3119" w:right="0" w:firstLine="0"/>
        <w:jc w:val="left"/>
        <w:rPr>
          <w:i/>
          <w:sz w:val="17"/>
        </w:rPr>
      </w:pPr>
      <w:r>
        <w:rPr/>
        <w:pict>
          <v:group style="position:absolute;margin-left:55.799999pt;margin-top:17.476652pt;width:342.4pt;height:.4pt;mso-position-horizontal-relative:page;mso-position-vertical-relative:paragraph;z-index:2632;mso-wrap-distance-left:0;mso-wrap-distance-right:0" coordorigin="1116,350" coordsize="6848,8">
            <v:line style="position:absolute" from="1120,354" to="2232,354" stroked="true" strokeweight=".4pt" strokecolor="#231f20"/>
            <v:line style="position:absolute" from="2232,354" to="3188,354" stroked="true" strokeweight=".4pt" strokecolor="#231f20"/>
            <v:line style="position:absolute" from="3188,354" to="4044,354" stroked="true" strokeweight=".4pt" strokecolor="#231f20"/>
            <v:line style="position:absolute" from="4044,354" to="4956,354" stroked="true" strokeweight=".4pt" strokecolor="#231f20"/>
            <v:line style="position:absolute" from="4956,354" to="5843,354" stroked="true" strokeweight=".4pt" strokecolor="#231f20"/>
            <v:line style="position:absolute" from="5843,354" to="6948,354" stroked="true" strokeweight=".4pt" strokecolor="#231f20"/>
            <v:line style="position:absolute" from="6948,354" to="7960,354" stroked="true" strokeweight=".4pt" strokecolor="#231f20"/>
            <w10:wrap type="topAndBottom"/>
          </v:group>
        </w:pict>
      </w:r>
      <w:r>
        <w:rPr/>
        <w:pict>
          <v:group style="position:absolute;margin-left:55.799999pt;margin-top:32.182652pt;width:342.4pt;height:11.4pt;mso-position-horizontal-relative:page;mso-position-vertical-relative:paragraph;z-index:-456232" coordorigin="1116,644" coordsize="6848,228">
            <v:shape style="position:absolute;left:1120;top:723;width:6840;height:2" coordorigin="1120,723" coordsize="6840,0" path="m1120,723l2232,723m2232,723l3188,723m3188,723l4044,723m4044,723l4956,723m4956,723l5843,723m5843,723l6948,723m6948,723l7960,723e" filled="false" stroked="true" strokeweight=".4pt" strokecolor="#231f20">
              <v:path arrowok="t"/>
            </v:shape>
            <v:shape style="position:absolute;left:2302;top:668;width:1736;height:180" coordorigin="2302,668" coordsize="1736,180" path="m2302,668l2302,848m4038,668l4038,848e" filled="false" stroked="true" strokeweight="2.4pt" strokecolor="#ffffff">
              <v:path arrowok="t"/>
            </v:shape>
            <v:line style="position:absolute" from="5858,668" to="5858,848" stroked="true" strokeweight="2.4pt" strokecolor="#ffffff"/>
            <w10:wrap type="none"/>
          </v:group>
        </w:pict>
      </w:r>
      <w:r>
        <w:rPr>
          <w:i/>
          <w:color w:val="231F20"/>
          <w:w w:val="105"/>
          <w:sz w:val="17"/>
        </w:rPr>
        <w:t>Grupo de edad 20-24 años</w:t>
      </w:r>
    </w:p>
    <w:p>
      <w:pPr>
        <w:tabs>
          <w:tab w:pos="1753" w:val="left" w:leader="none"/>
          <w:tab w:pos="3234" w:val="left" w:leader="none"/>
          <w:tab w:pos="5075" w:val="left" w:leader="none"/>
        </w:tabs>
        <w:spacing w:before="55"/>
        <w:ind w:left="140" w:right="0" w:firstLine="0"/>
        <w:jc w:val="left"/>
        <w:rPr>
          <w:i/>
          <w:sz w:val="17"/>
        </w:rPr>
      </w:pPr>
      <w:r>
        <w:rPr>
          <w:i/>
          <w:color w:val="231F20"/>
          <w:w w:val="105"/>
          <w:sz w:val="17"/>
        </w:rPr>
        <w:t>no</w:t>
      </w:r>
      <w:r>
        <w:rPr>
          <w:i/>
          <w:color w:val="231F20"/>
          <w:spacing w:val="11"/>
          <w:w w:val="105"/>
          <w:sz w:val="17"/>
        </w:rPr>
        <w:t> </w:t>
      </w:r>
      <w:r>
        <w:rPr>
          <w:i/>
          <w:color w:val="231F20"/>
          <w:w w:val="105"/>
          <w:sz w:val="17"/>
        </w:rPr>
        <w:t>autónomos</w:t>
        <w:tab/>
        <w:t>No</w:t>
      </w:r>
      <w:r>
        <w:rPr>
          <w:i/>
          <w:color w:val="231F20"/>
          <w:spacing w:val="14"/>
          <w:w w:val="105"/>
          <w:sz w:val="17"/>
        </w:rPr>
        <w:t> </w:t>
      </w:r>
      <w:r>
        <w:rPr>
          <w:i/>
          <w:color w:val="231F20"/>
          <w:w w:val="105"/>
          <w:sz w:val="17"/>
        </w:rPr>
        <w:t>unidos</w:t>
        <w:tab/>
        <w:t>Unidos</w:t>
      </w:r>
      <w:r>
        <w:rPr>
          <w:i/>
          <w:color w:val="231F20"/>
          <w:spacing w:val="18"/>
          <w:w w:val="105"/>
          <w:sz w:val="17"/>
        </w:rPr>
        <w:t> </w:t>
      </w:r>
      <w:r>
        <w:rPr>
          <w:i/>
          <w:color w:val="231F20"/>
          <w:w w:val="105"/>
          <w:sz w:val="17"/>
        </w:rPr>
        <w:t>autónomos</w:t>
        <w:tab/>
        <w:t>Unidos  no</w:t>
      </w:r>
      <w:r>
        <w:rPr>
          <w:i/>
          <w:color w:val="231F20"/>
          <w:spacing w:val="9"/>
          <w:w w:val="105"/>
          <w:sz w:val="17"/>
        </w:rPr>
        <w:t> </w:t>
      </w:r>
      <w:r>
        <w:rPr>
          <w:i/>
          <w:color w:val="231F20"/>
          <w:w w:val="105"/>
          <w:sz w:val="17"/>
        </w:rPr>
        <w:t>autónomos</w:t>
      </w:r>
    </w:p>
    <w:p>
      <w:pPr>
        <w:pStyle w:val="BodyText"/>
        <w:spacing w:before="1"/>
        <w:rPr>
          <w:i/>
          <w:sz w:val="8"/>
        </w:rPr>
      </w:pP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60"/>
        <w:gridCol w:w="996"/>
        <w:gridCol w:w="869"/>
        <w:gridCol w:w="918"/>
        <w:gridCol w:w="922"/>
        <w:gridCol w:w="1053"/>
        <w:gridCol w:w="1022"/>
      </w:tblGrid>
      <w:tr>
        <w:trPr>
          <w:trHeight w:val="357" w:hRule="exact"/>
        </w:trPr>
        <w:tc>
          <w:tcPr>
            <w:tcW w:w="1060" w:type="dxa"/>
            <w:tcBorders>
              <w:bottom w:val="single" w:sz="3" w:space="0" w:color="231F20"/>
            </w:tcBorders>
          </w:tcPr>
          <w:p>
            <w:pPr>
              <w:pStyle w:val="TableParagraph"/>
              <w:spacing w:line="240" w:lineRule="auto" w:before="75"/>
              <w:ind w:left="226" w:right="175"/>
              <w:rPr>
                <w:i/>
                <w:sz w:val="17"/>
              </w:rPr>
            </w:pPr>
            <w:r>
              <w:rPr>
                <w:i/>
                <w:color w:val="231F20"/>
                <w:w w:val="110"/>
                <w:sz w:val="17"/>
              </w:rPr>
              <w:t>mujeres</w:t>
            </w:r>
          </w:p>
        </w:tc>
        <w:tc>
          <w:tcPr>
            <w:tcW w:w="996" w:type="dxa"/>
            <w:tcBorders>
              <w:bottom w:val="single" w:sz="3" w:space="0" w:color="231F20"/>
            </w:tcBorders>
          </w:tcPr>
          <w:p>
            <w:pPr>
              <w:pStyle w:val="TableParagraph"/>
              <w:spacing w:line="240" w:lineRule="auto" w:before="75"/>
              <w:ind w:left="187" w:right="124"/>
              <w:rPr>
                <w:i/>
                <w:sz w:val="17"/>
              </w:rPr>
            </w:pPr>
            <w:r>
              <w:rPr>
                <w:i/>
                <w:color w:val="231F20"/>
                <w:w w:val="105"/>
                <w:sz w:val="17"/>
              </w:rPr>
              <w:t>hombres</w:t>
            </w:r>
          </w:p>
        </w:tc>
        <w:tc>
          <w:tcPr>
            <w:tcW w:w="869" w:type="dxa"/>
            <w:tcBorders>
              <w:bottom w:val="single" w:sz="3" w:space="0" w:color="231F20"/>
            </w:tcBorders>
          </w:tcPr>
          <w:p>
            <w:pPr>
              <w:pStyle w:val="TableParagraph"/>
              <w:spacing w:line="240" w:lineRule="auto" w:before="75"/>
              <w:ind w:left="110" w:right="100"/>
              <w:rPr>
                <w:i/>
                <w:sz w:val="17"/>
              </w:rPr>
            </w:pPr>
            <w:r>
              <w:rPr>
                <w:i/>
                <w:color w:val="231F20"/>
                <w:w w:val="110"/>
                <w:sz w:val="17"/>
              </w:rPr>
              <w:t>mujeres</w:t>
            </w:r>
          </w:p>
        </w:tc>
        <w:tc>
          <w:tcPr>
            <w:tcW w:w="918" w:type="dxa"/>
            <w:tcBorders>
              <w:bottom w:val="single" w:sz="3" w:space="0" w:color="231F20"/>
            </w:tcBorders>
          </w:tcPr>
          <w:p>
            <w:pPr>
              <w:pStyle w:val="TableParagraph"/>
              <w:spacing w:line="240" w:lineRule="auto" w:before="75"/>
              <w:ind w:left="114" w:right="119"/>
              <w:rPr>
                <w:i/>
                <w:sz w:val="17"/>
              </w:rPr>
            </w:pPr>
            <w:r>
              <w:rPr>
                <w:i/>
                <w:color w:val="231F20"/>
                <w:w w:val="105"/>
                <w:sz w:val="17"/>
              </w:rPr>
              <w:t>hombres</w:t>
            </w:r>
          </w:p>
        </w:tc>
        <w:tc>
          <w:tcPr>
            <w:tcW w:w="922" w:type="dxa"/>
            <w:tcBorders>
              <w:bottom w:val="single" w:sz="3" w:space="0" w:color="231F20"/>
            </w:tcBorders>
          </w:tcPr>
          <w:p>
            <w:pPr>
              <w:pStyle w:val="TableParagraph"/>
              <w:spacing w:line="240" w:lineRule="auto" w:before="75"/>
              <w:ind w:left="109" w:right="155"/>
              <w:rPr>
                <w:i/>
                <w:sz w:val="17"/>
              </w:rPr>
            </w:pPr>
            <w:r>
              <w:rPr>
                <w:i/>
                <w:color w:val="231F20"/>
                <w:w w:val="110"/>
                <w:sz w:val="17"/>
              </w:rPr>
              <w:t>mujeres</w:t>
            </w:r>
          </w:p>
        </w:tc>
        <w:tc>
          <w:tcPr>
            <w:tcW w:w="1053" w:type="dxa"/>
            <w:tcBorders>
              <w:bottom w:val="single" w:sz="3" w:space="0" w:color="231F20"/>
            </w:tcBorders>
          </w:tcPr>
          <w:p>
            <w:pPr>
              <w:pStyle w:val="TableParagraph"/>
              <w:spacing w:line="240" w:lineRule="auto" w:before="75"/>
              <w:ind w:left="170" w:right="199"/>
              <w:rPr>
                <w:i/>
                <w:sz w:val="17"/>
              </w:rPr>
            </w:pPr>
            <w:r>
              <w:rPr>
                <w:i/>
                <w:color w:val="231F20"/>
                <w:w w:val="105"/>
                <w:sz w:val="17"/>
              </w:rPr>
              <w:t>hombres</w:t>
            </w:r>
          </w:p>
        </w:tc>
        <w:tc>
          <w:tcPr>
            <w:tcW w:w="1022" w:type="dxa"/>
            <w:tcBorders>
              <w:bottom w:val="single" w:sz="3" w:space="0" w:color="231F20"/>
            </w:tcBorders>
          </w:tcPr>
          <w:p>
            <w:pPr>
              <w:pStyle w:val="TableParagraph"/>
              <w:spacing w:line="240" w:lineRule="auto" w:before="75"/>
              <w:ind w:left="187" w:right="177"/>
              <w:rPr>
                <w:i/>
                <w:sz w:val="17"/>
              </w:rPr>
            </w:pPr>
            <w:r>
              <w:rPr>
                <w:i/>
                <w:color w:val="231F20"/>
                <w:w w:val="110"/>
                <w:sz w:val="17"/>
              </w:rPr>
              <w:t>mujeres</w:t>
            </w:r>
          </w:p>
        </w:tc>
      </w:tr>
      <w:tr>
        <w:trPr>
          <w:trHeight w:val="517" w:hRule="exact"/>
        </w:trPr>
        <w:tc>
          <w:tcPr>
            <w:tcW w:w="1060" w:type="dxa"/>
            <w:tcBorders>
              <w:top w:val="single" w:sz="3" w:space="0" w:color="231F20"/>
            </w:tcBorders>
          </w:tcPr>
          <w:p>
            <w:pPr>
              <w:pStyle w:val="TableParagraph"/>
              <w:spacing w:line="240" w:lineRule="auto"/>
              <w:jc w:val="left"/>
              <w:rPr>
                <w:i/>
                <w:sz w:val="16"/>
              </w:rPr>
            </w:pPr>
          </w:p>
          <w:p>
            <w:pPr>
              <w:pStyle w:val="TableParagraph"/>
              <w:spacing w:line="240" w:lineRule="auto" w:before="110"/>
              <w:ind w:left="226" w:right="175"/>
              <w:rPr>
                <w:sz w:val="17"/>
              </w:rPr>
            </w:pPr>
            <w:r>
              <w:rPr>
                <w:color w:val="231F20"/>
                <w:w w:val="105"/>
                <w:sz w:val="17"/>
              </w:rPr>
              <w:t>8.5</w:t>
            </w:r>
          </w:p>
        </w:tc>
        <w:tc>
          <w:tcPr>
            <w:tcW w:w="996" w:type="dxa"/>
            <w:tcBorders>
              <w:top w:val="single" w:sz="3" w:space="0" w:color="231F20"/>
            </w:tcBorders>
          </w:tcPr>
          <w:p>
            <w:pPr>
              <w:pStyle w:val="TableParagraph"/>
              <w:spacing w:line="240" w:lineRule="auto"/>
              <w:jc w:val="left"/>
              <w:rPr>
                <w:i/>
                <w:sz w:val="16"/>
              </w:rPr>
            </w:pPr>
          </w:p>
          <w:p>
            <w:pPr>
              <w:pStyle w:val="TableParagraph"/>
              <w:spacing w:line="240" w:lineRule="auto" w:before="110"/>
              <w:ind w:left="187" w:right="124"/>
              <w:rPr>
                <w:sz w:val="17"/>
              </w:rPr>
            </w:pPr>
            <w:r>
              <w:rPr>
                <w:color w:val="231F20"/>
                <w:w w:val="105"/>
                <w:sz w:val="17"/>
              </w:rPr>
              <w:t>32.4</w:t>
            </w:r>
          </w:p>
        </w:tc>
        <w:tc>
          <w:tcPr>
            <w:tcW w:w="869" w:type="dxa"/>
            <w:tcBorders>
              <w:top w:val="single" w:sz="3" w:space="0" w:color="231F20"/>
            </w:tcBorders>
          </w:tcPr>
          <w:p>
            <w:pPr>
              <w:pStyle w:val="TableParagraph"/>
              <w:spacing w:line="240" w:lineRule="auto"/>
              <w:jc w:val="left"/>
              <w:rPr>
                <w:i/>
                <w:sz w:val="16"/>
              </w:rPr>
            </w:pPr>
          </w:p>
          <w:p>
            <w:pPr>
              <w:pStyle w:val="TableParagraph"/>
              <w:spacing w:line="240" w:lineRule="auto" w:before="110"/>
              <w:ind w:left="110" w:right="100"/>
              <w:rPr>
                <w:sz w:val="17"/>
              </w:rPr>
            </w:pPr>
            <w:r>
              <w:rPr>
                <w:color w:val="231F20"/>
                <w:w w:val="105"/>
                <w:sz w:val="17"/>
              </w:rPr>
              <w:t>36.4</w:t>
            </w:r>
          </w:p>
        </w:tc>
        <w:tc>
          <w:tcPr>
            <w:tcW w:w="918" w:type="dxa"/>
            <w:tcBorders>
              <w:top w:val="single" w:sz="3" w:space="0" w:color="231F20"/>
            </w:tcBorders>
          </w:tcPr>
          <w:p>
            <w:pPr>
              <w:pStyle w:val="TableParagraph"/>
              <w:spacing w:line="240" w:lineRule="auto"/>
              <w:jc w:val="left"/>
              <w:rPr>
                <w:i/>
                <w:sz w:val="16"/>
              </w:rPr>
            </w:pPr>
          </w:p>
          <w:p>
            <w:pPr>
              <w:pStyle w:val="TableParagraph"/>
              <w:spacing w:line="240" w:lineRule="auto" w:before="110"/>
              <w:ind w:left="114" w:right="119"/>
              <w:rPr>
                <w:sz w:val="17"/>
              </w:rPr>
            </w:pPr>
            <w:r>
              <w:rPr>
                <w:color w:val="231F20"/>
                <w:w w:val="105"/>
                <w:sz w:val="17"/>
              </w:rPr>
              <w:t>3.1</w:t>
            </w:r>
          </w:p>
        </w:tc>
        <w:tc>
          <w:tcPr>
            <w:tcW w:w="922" w:type="dxa"/>
            <w:tcBorders>
              <w:top w:val="single" w:sz="3" w:space="0" w:color="231F20"/>
            </w:tcBorders>
          </w:tcPr>
          <w:p>
            <w:pPr>
              <w:pStyle w:val="TableParagraph"/>
              <w:spacing w:line="240" w:lineRule="auto"/>
              <w:jc w:val="left"/>
              <w:rPr>
                <w:i/>
                <w:sz w:val="16"/>
              </w:rPr>
            </w:pPr>
          </w:p>
          <w:p>
            <w:pPr>
              <w:pStyle w:val="TableParagraph"/>
              <w:spacing w:line="240" w:lineRule="auto" w:before="110"/>
              <w:ind w:left="109" w:right="155"/>
              <w:rPr>
                <w:sz w:val="17"/>
              </w:rPr>
            </w:pPr>
            <w:r>
              <w:rPr>
                <w:color w:val="231F20"/>
                <w:w w:val="105"/>
                <w:sz w:val="17"/>
              </w:rPr>
              <w:t>4.0</w:t>
            </w:r>
          </w:p>
        </w:tc>
        <w:tc>
          <w:tcPr>
            <w:tcW w:w="1053" w:type="dxa"/>
            <w:tcBorders>
              <w:top w:val="single" w:sz="3" w:space="0" w:color="231F20"/>
            </w:tcBorders>
          </w:tcPr>
          <w:p>
            <w:pPr>
              <w:pStyle w:val="TableParagraph"/>
              <w:spacing w:line="240" w:lineRule="auto"/>
              <w:jc w:val="left"/>
              <w:rPr>
                <w:i/>
                <w:sz w:val="16"/>
              </w:rPr>
            </w:pPr>
          </w:p>
          <w:p>
            <w:pPr>
              <w:pStyle w:val="TableParagraph"/>
              <w:spacing w:line="240" w:lineRule="auto" w:before="110"/>
              <w:ind w:left="170" w:right="199"/>
              <w:rPr>
                <w:sz w:val="17"/>
              </w:rPr>
            </w:pPr>
            <w:r>
              <w:rPr>
                <w:color w:val="231F20"/>
                <w:w w:val="105"/>
                <w:sz w:val="17"/>
              </w:rPr>
              <w:t>4.7</w:t>
            </w:r>
          </w:p>
        </w:tc>
        <w:tc>
          <w:tcPr>
            <w:tcW w:w="1022" w:type="dxa"/>
            <w:tcBorders>
              <w:top w:val="single" w:sz="3" w:space="0" w:color="231F20"/>
            </w:tcBorders>
          </w:tcPr>
          <w:p>
            <w:pPr>
              <w:pStyle w:val="TableParagraph"/>
              <w:spacing w:line="240" w:lineRule="auto"/>
              <w:jc w:val="left"/>
              <w:rPr>
                <w:i/>
                <w:sz w:val="16"/>
              </w:rPr>
            </w:pPr>
          </w:p>
          <w:p>
            <w:pPr>
              <w:pStyle w:val="TableParagraph"/>
              <w:spacing w:line="240" w:lineRule="auto" w:before="110"/>
              <w:ind w:left="187" w:right="177"/>
              <w:rPr>
                <w:sz w:val="17"/>
              </w:rPr>
            </w:pPr>
            <w:r>
              <w:rPr>
                <w:color w:val="231F20"/>
                <w:w w:val="105"/>
                <w:sz w:val="17"/>
              </w:rPr>
              <w:t>5.9</w:t>
            </w:r>
          </w:p>
        </w:tc>
      </w:tr>
      <w:tr>
        <w:trPr>
          <w:trHeight w:val="210" w:hRule="exact"/>
        </w:trPr>
        <w:tc>
          <w:tcPr>
            <w:tcW w:w="1060" w:type="dxa"/>
          </w:tcPr>
          <w:p>
            <w:pPr>
              <w:pStyle w:val="TableParagraph"/>
              <w:ind w:left="226" w:right="175"/>
              <w:rPr>
                <w:sz w:val="17"/>
              </w:rPr>
            </w:pPr>
            <w:r>
              <w:rPr>
                <w:color w:val="231F20"/>
                <w:w w:val="105"/>
                <w:sz w:val="17"/>
              </w:rPr>
              <w:t>90.3</w:t>
            </w:r>
          </w:p>
        </w:tc>
        <w:tc>
          <w:tcPr>
            <w:tcW w:w="996" w:type="dxa"/>
          </w:tcPr>
          <w:p>
            <w:pPr>
              <w:pStyle w:val="TableParagraph"/>
              <w:ind w:left="187" w:right="124"/>
              <w:rPr>
                <w:sz w:val="17"/>
              </w:rPr>
            </w:pPr>
            <w:r>
              <w:rPr>
                <w:color w:val="231F20"/>
                <w:w w:val="105"/>
                <w:sz w:val="17"/>
              </w:rPr>
              <w:t>66.9</w:t>
            </w:r>
          </w:p>
        </w:tc>
        <w:tc>
          <w:tcPr>
            <w:tcW w:w="869" w:type="dxa"/>
          </w:tcPr>
          <w:p>
            <w:pPr>
              <w:pStyle w:val="TableParagraph"/>
              <w:ind w:left="110" w:right="100"/>
              <w:rPr>
                <w:sz w:val="17"/>
              </w:rPr>
            </w:pPr>
            <w:r>
              <w:rPr>
                <w:color w:val="231F20"/>
                <w:w w:val="105"/>
                <w:sz w:val="17"/>
              </w:rPr>
              <w:t>62.9</w:t>
            </w:r>
          </w:p>
        </w:tc>
        <w:tc>
          <w:tcPr>
            <w:tcW w:w="918" w:type="dxa"/>
          </w:tcPr>
          <w:p>
            <w:pPr>
              <w:pStyle w:val="TableParagraph"/>
              <w:ind w:left="114" w:right="119"/>
              <w:rPr>
                <w:sz w:val="17"/>
              </w:rPr>
            </w:pPr>
            <w:r>
              <w:rPr>
                <w:color w:val="231F20"/>
                <w:w w:val="105"/>
                <w:sz w:val="17"/>
              </w:rPr>
              <w:t>96.1</w:t>
            </w:r>
          </w:p>
        </w:tc>
        <w:tc>
          <w:tcPr>
            <w:tcW w:w="922" w:type="dxa"/>
          </w:tcPr>
          <w:p>
            <w:pPr>
              <w:pStyle w:val="TableParagraph"/>
              <w:ind w:left="109" w:right="155"/>
              <w:rPr>
                <w:sz w:val="17"/>
              </w:rPr>
            </w:pPr>
            <w:r>
              <w:rPr>
                <w:color w:val="231F20"/>
                <w:w w:val="105"/>
                <w:sz w:val="17"/>
              </w:rPr>
              <w:t>94.8</w:t>
            </w:r>
          </w:p>
        </w:tc>
        <w:tc>
          <w:tcPr>
            <w:tcW w:w="1053" w:type="dxa"/>
          </w:tcPr>
          <w:p>
            <w:pPr>
              <w:pStyle w:val="TableParagraph"/>
              <w:ind w:left="170" w:right="199"/>
              <w:rPr>
                <w:sz w:val="17"/>
              </w:rPr>
            </w:pPr>
            <w:r>
              <w:rPr>
                <w:color w:val="231F20"/>
                <w:w w:val="105"/>
                <w:sz w:val="17"/>
              </w:rPr>
              <w:t>94.6</w:t>
            </w:r>
          </w:p>
        </w:tc>
        <w:tc>
          <w:tcPr>
            <w:tcW w:w="1022" w:type="dxa"/>
          </w:tcPr>
          <w:p>
            <w:pPr>
              <w:pStyle w:val="TableParagraph"/>
              <w:ind w:left="187" w:right="177"/>
              <w:rPr>
                <w:sz w:val="17"/>
              </w:rPr>
            </w:pPr>
            <w:r>
              <w:rPr>
                <w:color w:val="231F20"/>
                <w:w w:val="105"/>
                <w:sz w:val="17"/>
              </w:rPr>
              <w:t>93.0</w:t>
            </w:r>
          </w:p>
        </w:tc>
      </w:tr>
      <w:tr>
        <w:trPr>
          <w:trHeight w:val="375" w:hRule="exact"/>
        </w:trPr>
        <w:tc>
          <w:tcPr>
            <w:tcW w:w="1060" w:type="dxa"/>
          </w:tcPr>
          <w:p>
            <w:pPr>
              <w:pStyle w:val="TableParagraph"/>
              <w:ind w:left="226" w:right="175"/>
              <w:rPr>
                <w:sz w:val="17"/>
              </w:rPr>
            </w:pPr>
            <w:r>
              <w:rPr>
                <w:color w:val="231F20"/>
                <w:w w:val="105"/>
                <w:sz w:val="17"/>
              </w:rPr>
              <w:t>1.1</w:t>
            </w:r>
          </w:p>
        </w:tc>
        <w:tc>
          <w:tcPr>
            <w:tcW w:w="996" w:type="dxa"/>
          </w:tcPr>
          <w:p>
            <w:pPr>
              <w:pStyle w:val="TableParagraph"/>
              <w:ind w:left="187" w:right="124"/>
              <w:rPr>
                <w:sz w:val="17"/>
              </w:rPr>
            </w:pPr>
            <w:r>
              <w:rPr>
                <w:color w:val="231F20"/>
                <w:w w:val="105"/>
                <w:sz w:val="17"/>
              </w:rPr>
              <w:t>0.7</w:t>
            </w:r>
          </w:p>
        </w:tc>
        <w:tc>
          <w:tcPr>
            <w:tcW w:w="869" w:type="dxa"/>
          </w:tcPr>
          <w:p>
            <w:pPr>
              <w:pStyle w:val="TableParagraph"/>
              <w:ind w:left="110" w:right="100"/>
              <w:rPr>
                <w:sz w:val="17"/>
              </w:rPr>
            </w:pPr>
            <w:r>
              <w:rPr>
                <w:color w:val="231F20"/>
                <w:w w:val="105"/>
                <w:sz w:val="17"/>
              </w:rPr>
              <w:t>0.7</w:t>
            </w:r>
          </w:p>
        </w:tc>
        <w:tc>
          <w:tcPr>
            <w:tcW w:w="918" w:type="dxa"/>
          </w:tcPr>
          <w:p>
            <w:pPr>
              <w:pStyle w:val="TableParagraph"/>
              <w:ind w:left="114" w:right="119"/>
              <w:rPr>
                <w:sz w:val="17"/>
              </w:rPr>
            </w:pPr>
            <w:r>
              <w:rPr>
                <w:color w:val="231F20"/>
                <w:w w:val="105"/>
                <w:sz w:val="17"/>
              </w:rPr>
              <w:t>0.9</w:t>
            </w:r>
          </w:p>
        </w:tc>
        <w:tc>
          <w:tcPr>
            <w:tcW w:w="922" w:type="dxa"/>
          </w:tcPr>
          <w:p>
            <w:pPr>
              <w:pStyle w:val="TableParagraph"/>
              <w:ind w:left="109" w:right="155"/>
              <w:rPr>
                <w:sz w:val="17"/>
              </w:rPr>
            </w:pPr>
            <w:r>
              <w:rPr>
                <w:color w:val="231F20"/>
                <w:w w:val="105"/>
                <w:sz w:val="17"/>
              </w:rPr>
              <w:t>1.2</w:t>
            </w:r>
          </w:p>
        </w:tc>
        <w:tc>
          <w:tcPr>
            <w:tcW w:w="1053" w:type="dxa"/>
          </w:tcPr>
          <w:p>
            <w:pPr>
              <w:pStyle w:val="TableParagraph"/>
              <w:ind w:left="170" w:right="199"/>
              <w:rPr>
                <w:sz w:val="17"/>
              </w:rPr>
            </w:pPr>
            <w:r>
              <w:rPr>
                <w:color w:val="231F20"/>
                <w:w w:val="105"/>
                <w:sz w:val="17"/>
              </w:rPr>
              <w:t>0.7</w:t>
            </w:r>
          </w:p>
        </w:tc>
        <w:tc>
          <w:tcPr>
            <w:tcW w:w="1022" w:type="dxa"/>
          </w:tcPr>
          <w:p>
            <w:pPr>
              <w:pStyle w:val="TableParagraph"/>
              <w:ind w:left="187" w:right="177"/>
              <w:rPr>
                <w:sz w:val="17"/>
              </w:rPr>
            </w:pPr>
            <w:r>
              <w:rPr>
                <w:color w:val="231F20"/>
                <w:w w:val="105"/>
                <w:sz w:val="17"/>
              </w:rPr>
              <w:t>1.2</w:t>
            </w:r>
          </w:p>
        </w:tc>
      </w:tr>
      <w:tr>
        <w:trPr>
          <w:trHeight w:val="375" w:hRule="exact"/>
        </w:trPr>
        <w:tc>
          <w:tcPr>
            <w:tcW w:w="1060" w:type="dxa"/>
          </w:tcPr>
          <w:p>
            <w:pPr>
              <w:pStyle w:val="TableParagraph"/>
              <w:spacing w:line="240" w:lineRule="auto" w:before="7"/>
              <w:jc w:val="left"/>
              <w:rPr>
                <w:i/>
                <w:sz w:val="13"/>
              </w:rPr>
            </w:pPr>
          </w:p>
          <w:p>
            <w:pPr>
              <w:pStyle w:val="TableParagraph"/>
              <w:spacing w:line="240" w:lineRule="auto"/>
              <w:ind w:left="226" w:right="175"/>
              <w:rPr>
                <w:sz w:val="17"/>
              </w:rPr>
            </w:pPr>
            <w:r>
              <w:rPr>
                <w:color w:val="231F20"/>
                <w:w w:val="105"/>
                <w:sz w:val="17"/>
              </w:rPr>
              <w:t>0.4</w:t>
            </w:r>
          </w:p>
        </w:tc>
        <w:tc>
          <w:tcPr>
            <w:tcW w:w="996" w:type="dxa"/>
          </w:tcPr>
          <w:p>
            <w:pPr>
              <w:pStyle w:val="TableParagraph"/>
              <w:spacing w:line="240" w:lineRule="auto" w:before="7"/>
              <w:jc w:val="left"/>
              <w:rPr>
                <w:i/>
                <w:sz w:val="13"/>
              </w:rPr>
            </w:pPr>
          </w:p>
          <w:p>
            <w:pPr>
              <w:pStyle w:val="TableParagraph"/>
              <w:spacing w:line="240" w:lineRule="auto"/>
              <w:ind w:left="187" w:right="124"/>
              <w:rPr>
                <w:sz w:val="17"/>
              </w:rPr>
            </w:pPr>
            <w:r>
              <w:rPr>
                <w:color w:val="231F20"/>
                <w:w w:val="105"/>
                <w:sz w:val="17"/>
              </w:rPr>
              <w:t>1.0</w:t>
            </w:r>
          </w:p>
        </w:tc>
        <w:tc>
          <w:tcPr>
            <w:tcW w:w="869" w:type="dxa"/>
          </w:tcPr>
          <w:p>
            <w:pPr>
              <w:pStyle w:val="TableParagraph"/>
              <w:spacing w:line="240" w:lineRule="auto" w:before="7"/>
              <w:jc w:val="left"/>
              <w:rPr>
                <w:i/>
                <w:sz w:val="13"/>
              </w:rPr>
            </w:pPr>
          </w:p>
          <w:p>
            <w:pPr>
              <w:pStyle w:val="TableParagraph"/>
              <w:spacing w:line="240" w:lineRule="auto"/>
              <w:ind w:left="110" w:right="100"/>
              <w:rPr>
                <w:sz w:val="17"/>
              </w:rPr>
            </w:pPr>
            <w:r>
              <w:rPr>
                <w:color w:val="231F20"/>
                <w:w w:val="105"/>
                <w:sz w:val="17"/>
              </w:rPr>
              <w:t>0.8</w:t>
            </w:r>
          </w:p>
        </w:tc>
        <w:tc>
          <w:tcPr>
            <w:tcW w:w="918" w:type="dxa"/>
          </w:tcPr>
          <w:p>
            <w:pPr>
              <w:pStyle w:val="TableParagraph"/>
              <w:spacing w:line="240" w:lineRule="auto" w:before="7"/>
              <w:jc w:val="left"/>
              <w:rPr>
                <w:i/>
                <w:sz w:val="13"/>
              </w:rPr>
            </w:pPr>
          </w:p>
          <w:p>
            <w:pPr>
              <w:pStyle w:val="TableParagraph"/>
              <w:spacing w:line="240" w:lineRule="auto"/>
              <w:ind w:left="114" w:right="119"/>
              <w:rPr>
                <w:sz w:val="17"/>
              </w:rPr>
            </w:pPr>
            <w:r>
              <w:rPr>
                <w:color w:val="231F20"/>
                <w:w w:val="105"/>
                <w:sz w:val="17"/>
              </w:rPr>
              <w:t>1.1</w:t>
            </w:r>
          </w:p>
        </w:tc>
        <w:tc>
          <w:tcPr>
            <w:tcW w:w="922" w:type="dxa"/>
          </w:tcPr>
          <w:p>
            <w:pPr>
              <w:pStyle w:val="TableParagraph"/>
              <w:spacing w:line="240" w:lineRule="auto" w:before="7"/>
              <w:jc w:val="left"/>
              <w:rPr>
                <w:i/>
                <w:sz w:val="13"/>
              </w:rPr>
            </w:pPr>
          </w:p>
          <w:p>
            <w:pPr>
              <w:pStyle w:val="TableParagraph"/>
              <w:spacing w:line="240" w:lineRule="auto"/>
              <w:ind w:left="109" w:right="155"/>
              <w:rPr>
                <w:sz w:val="17"/>
              </w:rPr>
            </w:pPr>
            <w:r>
              <w:rPr>
                <w:color w:val="231F20"/>
                <w:w w:val="105"/>
                <w:sz w:val="17"/>
              </w:rPr>
              <w:t>1.3</w:t>
            </w:r>
          </w:p>
        </w:tc>
        <w:tc>
          <w:tcPr>
            <w:tcW w:w="1053" w:type="dxa"/>
          </w:tcPr>
          <w:p>
            <w:pPr>
              <w:pStyle w:val="TableParagraph"/>
              <w:spacing w:line="240" w:lineRule="auto" w:before="7"/>
              <w:jc w:val="left"/>
              <w:rPr>
                <w:i/>
                <w:sz w:val="13"/>
              </w:rPr>
            </w:pPr>
          </w:p>
          <w:p>
            <w:pPr>
              <w:pStyle w:val="TableParagraph"/>
              <w:spacing w:line="240" w:lineRule="auto"/>
              <w:ind w:left="170" w:right="199"/>
              <w:rPr>
                <w:sz w:val="17"/>
              </w:rPr>
            </w:pPr>
            <w:r>
              <w:rPr>
                <w:color w:val="231F20"/>
                <w:w w:val="105"/>
                <w:sz w:val="17"/>
              </w:rPr>
              <w:t>0.6</w:t>
            </w:r>
          </w:p>
        </w:tc>
        <w:tc>
          <w:tcPr>
            <w:tcW w:w="1022" w:type="dxa"/>
          </w:tcPr>
          <w:p>
            <w:pPr>
              <w:pStyle w:val="TableParagraph"/>
              <w:spacing w:line="240" w:lineRule="auto" w:before="7"/>
              <w:jc w:val="left"/>
              <w:rPr>
                <w:i/>
                <w:sz w:val="13"/>
              </w:rPr>
            </w:pPr>
          </w:p>
          <w:p>
            <w:pPr>
              <w:pStyle w:val="TableParagraph"/>
              <w:spacing w:line="240" w:lineRule="auto"/>
              <w:ind w:left="187" w:right="177"/>
              <w:rPr>
                <w:sz w:val="17"/>
              </w:rPr>
            </w:pPr>
            <w:r>
              <w:rPr>
                <w:color w:val="231F20"/>
                <w:w w:val="105"/>
                <w:sz w:val="17"/>
              </w:rPr>
              <w:t>0.4</w:t>
            </w:r>
          </w:p>
        </w:tc>
      </w:tr>
      <w:tr>
        <w:trPr>
          <w:trHeight w:val="210" w:hRule="exact"/>
        </w:trPr>
        <w:tc>
          <w:tcPr>
            <w:tcW w:w="1060" w:type="dxa"/>
          </w:tcPr>
          <w:p>
            <w:pPr>
              <w:pStyle w:val="TableParagraph"/>
              <w:ind w:left="226" w:right="175"/>
              <w:rPr>
                <w:sz w:val="17"/>
              </w:rPr>
            </w:pPr>
            <w:r>
              <w:rPr>
                <w:color w:val="231F20"/>
                <w:w w:val="105"/>
                <w:sz w:val="17"/>
              </w:rPr>
              <w:t>0.0</w:t>
            </w:r>
          </w:p>
        </w:tc>
        <w:tc>
          <w:tcPr>
            <w:tcW w:w="996" w:type="dxa"/>
          </w:tcPr>
          <w:p>
            <w:pPr>
              <w:pStyle w:val="TableParagraph"/>
              <w:ind w:left="187" w:right="124"/>
              <w:rPr>
                <w:sz w:val="17"/>
              </w:rPr>
            </w:pPr>
            <w:r>
              <w:rPr>
                <w:color w:val="231F20"/>
                <w:w w:val="105"/>
                <w:sz w:val="17"/>
              </w:rPr>
              <w:t>0.1</w:t>
            </w:r>
          </w:p>
        </w:tc>
        <w:tc>
          <w:tcPr>
            <w:tcW w:w="869" w:type="dxa"/>
          </w:tcPr>
          <w:p>
            <w:pPr>
              <w:pStyle w:val="TableParagraph"/>
              <w:ind w:left="110" w:right="100"/>
              <w:rPr>
                <w:sz w:val="17"/>
              </w:rPr>
            </w:pPr>
            <w:r>
              <w:rPr>
                <w:color w:val="231F20"/>
                <w:w w:val="105"/>
                <w:sz w:val="17"/>
              </w:rPr>
              <w:t>0.1</w:t>
            </w:r>
          </w:p>
        </w:tc>
        <w:tc>
          <w:tcPr>
            <w:tcW w:w="918" w:type="dxa"/>
          </w:tcPr>
          <w:p>
            <w:pPr>
              <w:pStyle w:val="TableParagraph"/>
              <w:ind w:left="114" w:right="119"/>
              <w:rPr>
                <w:sz w:val="17"/>
              </w:rPr>
            </w:pPr>
            <w:r>
              <w:rPr>
                <w:color w:val="231F20"/>
                <w:w w:val="105"/>
                <w:sz w:val="17"/>
              </w:rPr>
              <w:t>0.1</w:t>
            </w:r>
          </w:p>
        </w:tc>
        <w:tc>
          <w:tcPr>
            <w:tcW w:w="922" w:type="dxa"/>
          </w:tcPr>
          <w:p>
            <w:pPr>
              <w:pStyle w:val="TableParagraph"/>
              <w:ind w:left="109" w:right="155"/>
              <w:rPr>
                <w:sz w:val="17"/>
              </w:rPr>
            </w:pPr>
            <w:r>
              <w:rPr>
                <w:color w:val="231F20"/>
                <w:w w:val="105"/>
                <w:sz w:val="17"/>
              </w:rPr>
              <w:t>0.2</w:t>
            </w:r>
          </w:p>
        </w:tc>
        <w:tc>
          <w:tcPr>
            <w:tcW w:w="1053" w:type="dxa"/>
          </w:tcPr>
          <w:p>
            <w:pPr>
              <w:pStyle w:val="TableParagraph"/>
              <w:ind w:left="170" w:right="199"/>
              <w:rPr>
                <w:sz w:val="17"/>
              </w:rPr>
            </w:pPr>
            <w:r>
              <w:rPr>
                <w:color w:val="231F20"/>
                <w:w w:val="105"/>
                <w:sz w:val="17"/>
              </w:rPr>
              <w:t>0.0</w:t>
            </w:r>
          </w:p>
        </w:tc>
        <w:tc>
          <w:tcPr>
            <w:tcW w:w="1022" w:type="dxa"/>
          </w:tcPr>
          <w:p>
            <w:pPr>
              <w:pStyle w:val="TableParagraph"/>
              <w:ind w:left="187" w:right="177"/>
              <w:rPr>
                <w:sz w:val="17"/>
              </w:rPr>
            </w:pPr>
            <w:r>
              <w:rPr>
                <w:color w:val="231F20"/>
                <w:w w:val="105"/>
                <w:sz w:val="17"/>
              </w:rPr>
              <w:t>0.1</w:t>
            </w:r>
          </w:p>
        </w:tc>
      </w:tr>
      <w:tr>
        <w:trPr>
          <w:trHeight w:val="210" w:hRule="exact"/>
        </w:trPr>
        <w:tc>
          <w:tcPr>
            <w:tcW w:w="1060" w:type="dxa"/>
          </w:tcPr>
          <w:p>
            <w:pPr>
              <w:pStyle w:val="TableParagraph"/>
              <w:ind w:left="226" w:right="175"/>
              <w:rPr>
                <w:sz w:val="17"/>
              </w:rPr>
            </w:pPr>
            <w:r>
              <w:rPr>
                <w:color w:val="231F20"/>
                <w:w w:val="105"/>
                <w:sz w:val="17"/>
              </w:rPr>
              <w:t>14.6</w:t>
            </w:r>
          </w:p>
        </w:tc>
        <w:tc>
          <w:tcPr>
            <w:tcW w:w="996" w:type="dxa"/>
          </w:tcPr>
          <w:p>
            <w:pPr>
              <w:pStyle w:val="TableParagraph"/>
              <w:ind w:left="187" w:right="124"/>
              <w:rPr>
                <w:sz w:val="17"/>
              </w:rPr>
            </w:pPr>
            <w:r>
              <w:rPr>
                <w:color w:val="231F20"/>
                <w:w w:val="105"/>
                <w:sz w:val="17"/>
              </w:rPr>
              <w:t>8.1</w:t>
            </w:r>
          </w:p>
        </w:tc>
        <w:tc>
          <w:tcPr>
            <w:tcW w:w="869" w:type="dxa"/>
          </w:tcPr>
          <w:p>
            <w:pPr>
              <w:pStyle w:val="TableParagraph"/>
              <w:ind w:left="110" w:right="100"/>
              <w:rPr>
                <w:sz w:val="17"/>
              </w:rPr>
            </w:pPr>
            <w:r>
              <w:rPr>
                <w:color w:val="231F20"/>
                <w:w w:val="105"/>
                <w:sz w:val="17"/>
              </w:rPr>
              <w:t>6.7</w:t>
            </w:r>
          </w:p>
        </w:tc>
        <w:tc>
          <w:tcPr>
            <w:tcW w:w="918" w:type="dxa"/>
          </w:tcPr>
          <w:p>
            <w:pPr>
              <w:pStyle w:val="TableParagraph"/>
              <w:ind w:left="114" w:right="119"/>
              <w:rPr>
                <w:sz w:val="17"/>
              </w:rPr>
            </w:pPr>
            <w:r>
              <w:rPr>
                <w:color w:val="231F20"/>
                <w:w w:val="105"/>
                <w:sz w:val="17"/>
              </w:rPr>
              <w:t>20.3</w:t>
            </w:r>
          </w:p>
        </w:tc>
        <w:tc>
          <w:tcPr>
            <w:tcW w:w="922" w:type="dxa"/>
          </w:tcPr>
          <w:p>
            <w:pPr>
              <w:pStyle w:val="TableParagraph"/>
              <w:ind w:left="109" w:right="155"/>
              <w:rPr>
                <w:sz w:val="17"/>
              </w:rPr>
            </w:pPr>
            <w:r>
              <w:rPr>
                <w:color w:val="231F20"/>
                <w:w w:val="105"/>
                <w:sz w:val="17"/>
              </w:rPr>
              <w:t>17.8</w:t>
            </w:r>
          </w:p>
        </w:tc>
        <w:tc>
          <w:tcPr>
            <w:tcW w:w="1053" w:type="dxa"/>
          </w:tcPr>
          <w:p>
            <w:pPr>
              <w:pStyle w:val="TableParagraph"/>
              <w:ind w:left="170" w:right="199"/>
              <w:rPr>
                <w:sz w:val="17"/>
              </w:rPr>
            </w:pPr>
            <w:r>
              <w:rPr>
                <w:color w:val="231F20"/>
                <w:w w:val="105"/>
                <w:sz w:val="17"/>
              </w:rPr>
              <w:t>16.0</w:t>
            </w:r>
          </w:p>
        </w:tc>
        <w:tc>
          <w:tcPr>
            <w:tcW w:w="1022" w:type="dxa"/>
          </w:tcPr>
          <w:p>
            <w:pPr>
              <w:pStyle w:val="TableParagraph"/>
              <w:ind w:left="187" w:right="177"/>
              <w:rPr>
                <w:sz w:val="17"/>
              </w:rPr>
            </w:pPr>
            <w:r>
              <w:rPr>
                <w:color w:val="231F20"/>
                <w:w w:val="105"/>
                <w:sz w:val="17"/>
              </w:rPr>
              <w:t>12.3</w:t>
            </w:r>
          </w:p>
        </w:tc>
      </w:tr>
      <w:tr>
        <w:trPr>
          <w:trHeight w:val="210" w:hRule="exact"/>
        </w:trPr>
        <w:tc>
          <w:tcPr>
            <w:tcW w:w="1060" w:type="dxa"/>
          </w:tcPr>
          <w:p>
            <w:pPr>
              <w:pStyle w:val="TableParagraph"/>
              <w:ind w:left="226" w:right="175"/>
              <w:rPr>
                <w:sz w:val="17"/>
              </w:rPr>
            </w:pPr>
            <w:r>
              <w:rPr>
                <w:color w:val="231F20"/>
                <w:w w:val="105"/>
                <w:sz w:val="17"/>
              </w:rPr>
              <w:t>55.1</w:t>
            </w:r>
          </w:p>
        </w:tc>
        <w:tc>
          <w:tcPr>
            <w:tcW w:w="996" w:type="dxa"/>
          </w:tcPr>
          <w:p>
            <w:pPr>
              <w:pStyle w:val="TableParagraph"/>
              <w:ind w:left="187" w:right="124"/>
              <w:rPr>
                <w:sz w:val="17"/>
              </w:rPr>
            </w:pPr>
            <w:r>
              <w:rPr>
                <w:color w:val="231F20"/>
                <w:w w:val="105"/>
                <w:sz w:val="17"/>
              </w:rPr>
              <w:t>26.6</w:t>
            </w:r>
          </w:p>
        </w:tc>
        <w:tc>
          <w:tcPr>
            <w:tcW w:w="869" w:type="dxa"/>
          </w:tcPr>
          <w:p>
            <w:pPr>
              <w:pStyle w:val="TableParagraph"/>
              <w:ind w:left="110" w:right="100"/>
              <w:rPr>
                <w:sz w:val="17"/>
              </w:rPr>
            </w:pPr>
            <w:r>
              <w:rPr>
                <w:color w:val="231F20"/>
                <w:w w:val="105"/>
                <w:sz w:val="17"/>
              </w:rPr>
              <w:t>20.8</w:t>
            </w:r>
          </w:p>
        </w:tc>
        <w:tc>
          <w:tcPr>
            <w:tcW w:w="918" w:type="dxa"/>
          </w:tcPr>
          <w:p>
            <w:pPr>
              <w:pStyle w:val="TableParagraph"/>
              <w:ind w:left="114" w:right="119"/>
              <w:rPr>
                <w:sz w:val="17"/>
              </w:rPr>
            </w:pPr>
            <w:r>
              <w:rPr>
                <w:color w:val="231F20"/>
                <w:w w:val="105"/>
                <w:sz w:val="17"/>
              </w:rPr>
              <w:t>49.5</w:t>
            </w:r>
          </w:p>
        </w:tc>
        <w:tc>
          <w:tcPr>
            <w:tcW w:w="922" w:type="dxa"/>
          </w:tcPr>
          <w:p>
            <w:pPr>
              <w:pStyle w:val="TableParagraph"/>
              <w:ind w:left="109" w:right="155"/>
              <w:rPr>
                <w:sz w:val="17"/>
              </w:rPr>
            </w:pPr>
            <w:r>
              <w:rPr>
                <w:color w:val="231F20"/>
                <w:w w:val="105"/>
                <w:sz w:val="17"/>
              </w:rPr>
              <w:t>44.4</w:t>
            </w:r>
          </w:p>
        </w:tc>
        <w:tc>
          <w:tcPr>
            <w:tcW w:w="1053" w:type="dxa"/>
          </w:tcPr>
          <w:p>
            <w:pPr>
              <w:pStyle w:val="TableParagraph"/>
              <w:ind w:left="170" w:right="199"/>
              <w:rPr>
                <w:sz w:val="17"/>
              </w:rPr>
            </w:pPr>
            <w:r>
              <w:rPr>
                <w:color w:val="231F20"/>
                <w:w w:val="105"/>
                <w:sz w:val="17"/>
              </w:rPr>
              <w:t>47.6</w:t>
            </w:r>
          </w:p>
        </w:tc>
        <w:tc>
          <w:tcPr>
            <w:tcW w:w="1022" w:type="dxa"/>
          </w:tcPr>
          <w:p>
            <w:pPr>
              <w:pStyle w:val="TableParagraph"/>
              <w:ind w:left="187" w:right="177"/>
              <w:rPr>
                <w:sz w:val="17"/>
              </w:rPr>
            </w:pPr>
            <w:r>
              <w:rPr>
                <w:color w:val="231F20"/>
                <w:w w:val="105"/>
                <w:sz w:val="17"/>
              </w:rPr>
              <w:t>41.8</w:t>
            </w:r>
          </w:p>
        </w:tc>
      </w:tr>
      <w:tr>
        <w:trPr>
          <w:trHeight w:val="305" w:hRule="exact"/>
        </w:trPr>
        <w:tc>
          <w:tcPr>
            <w:tcW w:w="1060" w:type="dxa"/>
          </w:tcPr>
          <w:p>
            <w:pPr>
              <w:pStyle w:val="TableParagraph"/>
              <w:ind w:left="226" w:right="175"/>
              <w:rPr>
                <w:sz w:val="17"/>
              </w:rPr>
            </w:pPr>
            <w:r>
              <w:rPr>
                <w:color w:val="231F20"/>
                <w:w w:val="105"/>
                <w:sz w:val="17"/>
              </w:rPr>
              <w:t>26.2</w:t>
            </w:r>
          </w:p>
        </w:tc>
        <w:tc>
          <w:tcPr>
            <w:tcW w:w="996" w:type="dxa"/>
          </w:tcPr>
          <w:p>
            <w:pPr>
              <w:pStyle w:val="TableParagraph"/>
              <w:ind w:left="187" w:right="124"/>
              <w:rPr>
                <w:sz w:val="17"/>
              </w:rPr>
            </w:pPr>
            <w:r>
              <w:rPr>
                <w:color w:val="231F20"/>
                <w:w w:val="105"/>
                <w:sz w:val="17"/>
              </w:rPr>
              <w:t>31.5</w:t>
            </w:r>
          </w:p>
        </w:tc>
        <w:tc>
          <w:tcPr>
            <w:tcW w:w="869" w:type="dxa"/>
          </w:tcPr>
          <w:p>
            <w:pPr>
              <w:pStyle w:val="TableParagraph"/>
              <w:ind w:left="110" w:right="100"/>
              <w:rPr>
                <w:sz w:val="17"/>
              </w:rPr>
            </w:pPr>
            <w:r>
              <w:rPr>
                <w:color w:val="231F20"/>
                <w:w w:val="105"/>
                <w:sz w:val="17"/>
              </w:rPr>
              <w:t>29.6</w:t>
            </w:r>
          </w:p>
        </w:tc>
        <w:tc>
          <w:tcPr>
            <w:tcW w:w="918" w:type="dxa"/>
          </w:tcPr>
          <w:p>
            <w:pPr>
              <w:pStyle w:val="TableParagraph"/>
              <w:ind w:left="114" w:right="119"/>
              <w:rPr>
                <w:sz w:val="17"/>
              </w:rPr>
            </w:pPr>
            <w:r>
              <w:rPr>
                <w:color w:val="231F20"/>
                <w:w w:val="105"/>
                <w:sz w:val="17"/>
              </w:rPr>
              <w:t>22.2</w:t>
            </w:r>
          </w:p>
        </w:tc>
        <w:tc>
          <w:tcPr>
            <w:tcW w:w="922" w:type="dxa"/>
          </w:tcPr>
          <w:p>
            <w:pPr>
              <w:pStyle w:val="TableParagraph"/>
              <w:ind w:left="109" w:right="155"/>
              <w:rPr>
                <w:sz w:val="17"/>
              </w:rPr>
            </w:pPr>
            <w:r>
              <w:rPr>
                <w:color w:val="231F20"/>
                <w:w w:val="105"/>
                <w:sz w:val="17"/>
              </w:rPr>
              <w:t>25.8</w:t>
            </w:r>
          </w:p>
        </w:tc>
        <w:tc>
          <w:tcPr>
            <w:tcW w:w="1053" w:type="dxa"/>
          </w:tcPr>
          <w:p>
            <w:pPr>
              <w:pStyle w:val="TableParagraph"/>
              <w:ind w:left="170" w:right="199"/>
              <w:rPr>
                <w:sz w:val="17"/>
              </w:rPr>
            </w:pPr>
            <w:r>
              <w:rPr>
                <w:color w:val="231F20"/>
                <w:w w:val="105"/>
                <w:sz w:val="17"/>
              </w:rPr>
              <w:t>27.1</w:t>
            </w:r>
          </w:p>
        </w:tc>
        <w:tc>
          <w:tcPr>
            <w:tcW w:w="1022" w:type="dxa"/>
          </w:tcPr>
          <w:p>
            <w:pPr>
              <w:pStyle w:val="TableParagraph"/>
              <w:ind w:left="187" w:right="177"/>
              <w:rPr>
                <w:sz w:val="17"/>
              </w:rPr>
            </w:pPr>
            <w:r>
              <w:rPr>
                <w:color w:val="231F20"/>
                <w:w w:val="105"/>
                <w:sz w:val="17"/>
              </w:rPr>
              <w:t>31.0</w:t>
            </w:r>
          </w:p>
        </w:tc>
      </w:tr>
      <w:tr>
        <w:trPr>
          <w:trHeight w:val="400" w:hRule="exact"/>
        </w:trPr>
        <w:tc>
          <w:tcPr>
            <w:tcW w:w="1060" w:type="dxa"/>
          </w:tcPr>
          <w:p>
            <w:pPr>
              <w:pStyle w:val="TableParagraph"/>
              <w:spacing w:line="240" w:lineRule="auto" w:before="90"/>
              <w:ind w:left="226" w:right="175"/>
              <w:rPr>
                <w:sz w:val="17"/>
              </w:rPr>
            </w:pPr>
            <w:r>
              <w:rPr>
                <w:color w:val="231F20"/>
                <w:w w:val="105"/>
                <w:sz w:val="17"/>
              </w:rPr>
              <w:t>0.1</w:t>
            </w:r>
          </w:p>
        </w:tc>
        <w:tc>
          <w:tcPr>
            <w:tcW w:w="996" w:type="dxa"/>
          </w:tcPr>
          <w:p>
            <w:pPr>
              <w:pStyle w:val="TableParagraph"/>
              <w:spacing w:line="240" w:lineRule="auto" w:before="90"/>
              <w:ind w:left="187" w:right="124"/>
              <w:rPr>
                <w:sz w:val="17"/>
              </w:rPr>
            </w:pPr>
            <w:r>
              <w:rPr>
                <w:color w:val="231F20"/>
                <w:w w:val="105"/>
                <w:sz w:val="17"/>
              </w:rPr>
              <w:t>0.2</w:t>
            </w:r>
          </w:p>
        </w:tc>
        <w:tc>
          <w:tcPr>
            <w:tcW w:w="869" w:type="dxa"/>
          </w:tcPr>
          <w:p>
            <w:pPr>
              <w:pStyle w:val="TableParagraph"/>
              <w:spacing w:line="240" w:lineRule="auto" w:before="90"/>
              <w:ind w:left="110" w:right="100"/>
              <w:rPr>
                <w:sz w:val="17"/>
              </w:rPr>
            </w:pPr>
            <w:r>
              <w:rPr>
                <w:color w:val="231F20"/>
                <w:w w:val="105"/>
                <w:sz w:val="17"/>
              </w:rPr>
              <w:t>0.3</w:t>
            </w:r>
          </w:p>
        </w:tc>
        <w:tc>
          <w:tcPr>
            <w:tcW w:w="918" w:type="dxa"/>
          </w:tcPr>
          <w:p>
            <w:pPr>
              <w:pStyle w:val="TableParagraph"/>
              <w:spacing w:line="240" w:lineRule="auto" w:before="90"/>
              <w:ind w:left="114" w:right="119"/>
              <w:rPr>
                <w:sz w:val="17"/>
              </w:rPr>
            </w:pPr>
            <w:r>
              <w:rPr>
                <w:color w:val="231F20"/>
                <w:w w:val="105"/>
                <w:sz w:val="17"/>
              </w:rPr>
              <w:t>0.1</w:t>
            </w:r>
          </w:p>
        </w:tc>
        <w:tc>
          <w:tcPr>
            <w:tcW w:w="922" w:type="dxa"/>
          </w:tcPr>
          <w:p>
            <w:pPr>
              <w:pStyle w:val="TableParagraph"/>
              <w:spacing w:line="240" w:lineRule="auto" w:before="90"/>
              <w:ind w:left="109" w:right="155"/>
              <w:rPr>
                <w:sz w:val="17"/>
              </w:rPr>
            </w:pPr>
            <w:r>
              <w:rPr>
                <w:color w:val="231F20"/>
                <w:w w:val="105"/>
                <w:sz w:val="17"/>
              </w:rPr>
              <w:t>0.2</w:t>
            </w:r>
          </w:p>
        </w:tc>
        <w:tc>
          <w:tcPr>
            <w:tcW w:w="1053" w:type="dxa"/>
          </w:tcPr>
          <w:p>
            <w:pPr>
              <w:pStyle w:val="TableParagraph"/>
              <w:spacing w:line="240" w:lineRule="auto" w:before="90"/>
              <w:ind w:left="170" w:right="199"/>
              <w:rPr>
                <w:sz w:val="17"/>
              </w:rPr>
            </w:pPr>
            <w:r>
              <w:rPr>
                <w:color w:val="231F20"/>
                <w:w w:val="105"/>
                <w:sz w:val="17"/>
              </w:rPr>
              <w:t>0.1</w:t>
            </w:r>
          </w:p>
        </w:tc>
        <w:tc>
          <w:tcPr>
            <w:tcW w:w="1022" w:type="dxa"/>
          </w:tcPr>
          <w:p>
            <w:pPr>
              <w:pStyle w:val="TableParagraph"/>
              <w:spacing w:line="240" w:lineRule="auto" w:before="90"/>
              <w:ind w:left="187" w:right="177"/>
              <w:rPr>
                <w:sz w:val="17"/>
              </w:rPr>
            </w:pPr>
            <w:r>
              <w:rPr>
                <w:color w:val="231F20"/>
                <w:w w:val="105"/>
                <w:sz w:val="17"/>
              </w:rPr>
              <w:t>0.3</w:t>
            </w:r>
          </w:p>
        </w:tc>
      </w:tr>
      <w:tr>
        <w:trPr>
          <w:trHeight w:val="400" w:hRule="exact"/>
        </w:trPr>
        <w:tc>
          <w:tcPr>
            <w:tcW w:w="1060" w:type="dxa"/>
          </w:tcPr>
          <w:p>
            <w:pPr>
              <w:pStyle w:val="TableParagraph"/>
              <w:spacing w:line="240" w:lineRule="auto" w:before="90"/>
              <w:ind w:left="226" w:right="175"/>
              <w:rPr>
                <w:sz w:val="17"/>
              </w:rPr>
            </w:pPr>
            <w:r>
              <w:rPr>
                <w:color w:val="231F20"/>
                <w:w w:val="105"/>
                <w:sz w:val="17"/>
              </w:rPr>
              <w:t>1.2</w:t>
            </w:r>
          </w:p>
        </w:tc>
        <w:tc>
          <w:tcPr>
            <w:tcW w:w="996" w:type="dxa"/>
          </w:tcPr>
          <w:p>
            <w:pPr>
              <w:pStyle w:val="TableParagraph"/>
              <w:spacing w:line="240" w:lineRule="auto" w:before="90"/>
              <w:ind w:left="187" w:right="124"/>
              <w:rPr>
                <w:sz w:val="17"/>
              </w:rPr>
            </w:pPr>
            <w:r>
              <w:rPr>
                <w:color w:val="231F20"/>
                <w:w w:val="105"/>
                <w:sz w:val="17"/>
              </w:rPr>
              <w:t>1.6</w:t>
            </w:r>
          </w:p>
        </w:tc>
        <w:tc>
          <w:tcPr>
            <w:tcW w:w="869" w:type="dxa"/>
          </w:tcPr>
          <w:p>
            <w:pPr>
              <w:pStyle w:val="TableParagraph"/>
              <w:spacing w:line="240" w:lineRule="auto" w:before="90"/>
              <w:ind w:left="110" w:right="100"/>
              <w:rPr>
                <w:sz w:val="17"/>
              </w:rPr>
            </w:pPr>
            <w:r>
              <w:rPr>
                <w:color w:val="231F20"/>
                <w:w w:val="105"/>
                <w:sz w:val="17"/>
              </w:rPr>
              <w:t>2.4</w:t>
            </w:r>
          </w:p>
        </w:tc>
        <w:tc>
          <w:tcPr>
            <w:tcW w:w="918" w:type="dxa"/>
          </w:tcPr>
          <w:p>
            <w:pPr>
              <w:pStyle w:val="TableParagraph"/>
              <w:spacing w:line="240" w:lineRule="auto" w:before="90"/>
              <w:ind w:left="114" w:right="119"/>
              <w:rPr>
                <w:sz w:val="17"/>
              </w:rPr>
            </w:pPr>
            <w:r>
              <w:rPr>
                <w:color w:val="231F20"/>
                <w:w w:val="105"/>
                <w:sz w:val="17"/>
              </w:rPr>
              <w:t>1.5</w:t>
            </w:r>
          </w:p>
        </w:tc>
        <w:tc>
          <w:tcPr>
            <w:tcW w:w="922" w:type="dxa"/>
          </w:tcPr>
          <w:p>
            <w:pPr>
              <w:pStyle w:val="TableParagraph"/>
              <w:spacing w:line="240" w:lineRule="auto" w:before="90"/>
              <w:ind w:left="109" w:right="155"/>
              <w:rPr>
                <w:sz w:val="17"/>
              </w:rPr>
            </w:pPr>
            <w:r>
              <w:rPr>
                <w:color w:val="231F20"/>
                <w:w w:val="105"/>
                <w:sz w:val="17"/>
              </w:rPr>
              <w:t>2.7</w:t>
            </w:r>
          </w:p>
        </w:tc>
        <w:tc>
          <w:tcPr>
            <w:tcW w:w="1053" w:type="dxa"/>
          </w:tcPr>
          <w:p>
            <w:pPr>
              <w:pStyle w:val="TableParagraph"/>
              <w:spacing w:line="240" w:lineRule="auto" w:before="90"/>
              <w:ind w:left="170" w:right="199"/>
              <w:rPr>
                <w:sz w:val="17"/>
              </w:rPr>
            </w:pPr>
            <w:r>
              <w:rPr>
                <w:color w:val="231F20"/>
                <w:w w:val="105"/>
                <w:sz w:val="17"/>
              </w:rPr>
              <w:t>1.6</w:t>
            </w:r>
          </w:p>
        </w:tc>
        <w:tc>
          <w:tcPr>
            <w:tcW w:w="1022" w:type="dxa"/>
          </w:tcPr>
          <w:p>
            <w:pPr>
              <w:pStyle w:val="TableParagraph"/>
              <w:spacing w:line="240" w:lineRule="auto" w:before="90"/>
              <w:ind w:left="187" w:right="177"/>
              <w:rPr>
                <w:sz w:val="17"/>
              </w:rPr>
            </w:pPr>
            <w:r>
              <w:rPr>
                <w:color w:val="231F20"/>
                <w:w w:val="105"/>
                <w:sz w:val="17"/>
              </w:rPr>
              <w:t>3.0</w:t>
            </w:r>
          </w:p>
        </w:tc>
      </w:tr>
      <w:tr>
        <w:trPr>
          <w:trHeight w:val="305" w:hRule="exact"/>
        </w:trPr>
        <w:tc>
          <w:tcPr>
            <w:tcW w:w="1060" w:type="dxa"/>
          </w:tcPr>
          <w:p>
            <w:pPr>
              <w:pStyle w:val="TableParagraph"/>
              <w:spacing w:line="240" w:lineRule="auto" w:before="90"/>
              <w:ind w:left="226" w:right="175"/>
              <w:rPr>
                <w:sz w:val="17"/>
              </w:rPr>
            </w:pPr>
            <w:r>
              <w:rPr>
                <w:color w:val="231F20"/>
                <w:w w:val="105"/>
                <w:sz w:val="17"/>
              </w:rPr>
              <w:t>0.8</w:t>
            </w:r>
          </w:p>
        </w:tc>
        <w:tc>
          <w:tcPr>
            <w:tcW w:w="996" w:type="dxa"/>
          </w:tcPr>
          <w:p>
            <w:pPr>
              <w:pStyle w:val="TableParagraph"/>
              <w:spacing w:line="240" w:lineRule="auto" w:before="90"/>
              <w:ind w:left="187" w:right="124"/>
              <w:rPr>
                <w:sz w:val="17"/>
              </w:rPr>
            </w:pPr>
            <w:r>
              <w:rPr>
                <w:color w:val="231F20"/>
                <w:w w:val="105"/>
                <w:sz w:val="17"/>
              </w:rPr>
              <w:t>2.6</w:t>
            </w:r>
          </w:p>
        </w:tc>
        <w:tc>
          <w:tcPr>
            <w:tcW w:w="869" w:type="dxa"/>
          </w:tcPr>
          <w:p>
            <w:pPr>
              <w:pStyle w:val="TableParagraph"/>
              <w:spacing w:line="240" w:lineRule="auto" w:before="90"/>
              <w:ind w:left="110" w:right="100"/>
              <w:rPr>
                <w:sz w:val="17"/>
              </w:rPr>
            </w:pPr>
            <w:r>
              <w:rPr>
                <w:color w:val="231F20"/>
                <w:w w:val="105"/>
                <w:sz w:val="17"/>
              </w:rPr>
              <w:t>3.3</w:t>
            </w:r>
          </w:p>
        </w:tc>
        <w:tc>
          <w:tcPr>
            <w:tcW w:w="918" w:type="dxa"/>
          </w:tcPr>
          <w:p>
            <w:pPr>
              <w:pStyle w:val="TableParagraph"/>
              <w:spacing w:line="240" w:lineRule="auto" w:before="90"/>
              <w:ind w:left="114" w:right="119"/>
              <w:rPr>
                <w:sz w:val="17"/>
              </w:rPr>
            </w:pPr>
            <w:r>
              <w:rPr>
                <w:color w:val="231F20"/>
                <w:w w:val="105"/>
                <w:sz w:val="17"/>
              </w:rPr>
              <w:t>1.4</w:t>
            </w:r>
          </w:p>
        </w:tc>
        <w:tc>
          <w:tcPr>
            <w:tcW w:w="922" w:type="dxa"/>
          </w:tcPr>
          <w:p>
            <w:pPr>
              <w:pStyle w:val="TableParagraph"/>
              <w:spacing w:line="240" w:lineRule="auto" w:before="90"/>
              <w:ind w:left="109" w:right="155"/>
              <w:rPr>
                <w:sz w:val="17"/>
              </w:rPr>
            </w:pPr>
            <w:r>
              <w:rPr>
                <w:color w:val="231F20"/>
                <w:w w:val="105"/>
                <w:sz w:val="17"/>
              </w:rPr>
              <w:t>1.9</w:t>
            </w:r>
          </w:p>
        </w:tc>
        <w:tc>
          <w:tcPr>
            <w:tcW w:w="1053" w:type="dxa"/>
          </w:tcPr>
          <w:p>
            <w:pPr>
              <w:pStyle w:val="TableParagraph"/>
              <w:spacing w:line="240" w:lineRule="auto" w:before="90"/>
              <w:ind w:left="170" w:right="199"/>
              <w:rPr>
                <w:sz w:val="17"/>
              </w:rPr>
            </w:pPr>
            <w:r>
              <w:rPr>
                <w:color w:val="231F20"/>
                <w:w w:val="105"/>
                <w:sz w:val="17"/>
              </w:rPr>
              <w:t>1.7</w:t>
            </w:r>
          </w:p>
        </w:tc>
        <w:tc>
          <w:tcPr>
            <w:tcW w:w="1022" w:type="dxa"/>
          </w:tcPr>
          <w:p>
            <w:pPr>
              <w:pStyle w:val="TableParagraph"/>
              <w:spacing w:line="240" w:lineRule="auto" w:before="90"/>
              <w:ind w:left="187" w:right="177"/>
              <w:rPr>
                <w:sz w:val="17"/>
              </w:rPr>
            </w:pPr>
            <w:r>
              <w:rPr>
                <w:color w:val="231F20"/>
                <w:w w:val="105"/>
                <w:sz w:val="17"/>
              </w:rPr>
              <w:t>2.2</w:t>
            </w:r>
          </w:p>
        </w:tc>
      </w:tr>
      <w:tr>
        <w:trPr>
          <w:trHeight w:val="210" w:hRule="exact"/>
        </w:trPr>
        <w:tc>
          <w:tcPr>
            <w:tcW w:w="1060" w:type="dxa"/>
          </w:tcPr>
          <w:p>
            <w:pPr>
              <w:pStyle w:val="TableParagraph"/>
              <w:ind w:left="226" w:right="175"/>
              <w:rPr>
                <w:sz w:val="17"/>
              </w:rPr>
            </w:pPr>
            <w:r>
              <w:rPr>
                <w:color w:val="231F20"/>
                <w:w w:val="105"/>
                <w:sz w:val="17"/>
              </w:rPr>
              <w:t>0.3</w:t>
            </w:r>
          </w:p>
        </w:tc>
        <w:tc>
          <w:tcPr>
            <w:tcW w:w="996" w:type="dxa"/>
          </w:tcPr>
          <w:p>
            <w:pPr>
              <w:pStyle w:val="TableParagraph"/>
              <w:ind w:left="187" w:right="124"/>
              <w:rPr>
                <w:sz w:val="17"/>
              </w:rPr>
            </w:pPr>
            <w:r>
              <w:rPr>
                <w:color w:val="231F20"/>
                <w:w w:val="105"/>
                <w:sz w:val="17"/>
              </w:rPr>
              <w:t>2.8</w:t>
            </w:r>
          </w:p>
        </w:tc>
        <w:tc>
          <w:tcPr>
            <w:tcW w:w="869" w:type="dxa"/>
          </w:tcPr>
          <w:p>
            <w:pPr>
              <w:pStyle w:val="TableParagraph"/>
              <w:ind w:left="110" w:right="100"/>
              <w:rPr>
                <w:sz w:val="17"/>
              </w:rPr>
            </w:pPr>
            <w:r>
              <w:rPr>
                <w:color w:val="231F20"/>
                <w:w w:val="105"/>
                <w:sz w:val="17"/>
              </w:rPr>
              <w:t>4.5</w:t>
            </w:r>
          </w:p>
        </w:tc>
        <w:tc>
          <w:tcPr>
            <w:tcW w:w="918" w:type="dxa"/>
          </w:tcPr>
          <w:p>
            <w:pPr>
              <w:pStyle w:val="TableParagraph"/>
              <w:ind w:left="114" w:right="119"/>
              <w:rPr>
                <w:sz w:val="17"/>
              </w:rPr>
            </w:pPr>
            <w:r>
              <w:rPr>
                <w:color w:val="231F20"/>
                <w:w w:val="105"/>
                <w:sz w:val="17"/>
              </w:rPr>
              <w:t>0.7</w:t>
            </w:r>
          </w:p>
        </w:tc>
        <w:tc>
          <w:tcPr>
            <w:tcW w:w="922" w:type="dxa"/>
          </w:tcPr>
          <w:p>
            <w:pPr>
              <w:pStyle w:val="TableParagraph"/>
              <w:ind w:left="109" w:right="155"/>
              <w:rPr>
                <w:sz w:val="17"/>
              </w:rPr>
            </w:pPr>
            <w:r>
              <w:rPr>
                <w:color w:val="231F20"/>
                <w:w w:val="105"/>
                <w:sz w:val="17"/>
              </w:rPr>
              <w:t>0.7</w:t>
            </w:r>
          </w:p>
        </w:tc>
        <w:tc>
          <w:tcPr>
            <w:tcW w:w="1053" w:type="dxa"/>
          </w:tcPr>
          <w:p>
            <w:pPr>
              <w:pStyle w:val="TableParagraph"/>
              <w:ind w:left="170" w:right="199"/>
              <w:rPr>
                <w:sz w:val="17"/>
              </w:rPr>
            </w:pPr>
            <w:r>
              <w:rPr>
                <w:color w:val="231F20"/>
                <w:w w:val="105"/>
                <w:sz w:val="17"/>
              </w:rPr>
              <w:t>0.5</w:t>
            </w:r>
          </w:p>
        </w:tc>
        <w:tc>
          <w:tcPr>
            <w:tcW w:w="1022" w:type="dxa"/>
          </w:tcPr>
          <w:p>
            <w:pPr>
              <w:pStyle w:val="TableParagraph"/>
              <w:ind w:left="187" w:right="177"/>
              <w:rPr>
                <w:sz w:val="17"/>
              </w:rPr>
            </w:pPr>
            <w:r>
              <w:rPr>
                <w:color w:val="231F20"/>
                <w:w w:val="105"/>
                <w:sz w:val="17"/>
              </w:rPr>
              <w:t>0.9</w:t>
            </w:r>
          </w:p>
        </w:tc>
      </w:tr>
      <w:tr>
        <w:trPr>
          <w:trHeight w:val="210" w:hRule="exact"/>
        </w:trPr>
        <w:tc>
          <w:tcPr>
            <w:tcW w:w="1060" w:type="dxa"/>
          </w:tcPr>
          <w:p>
            <w:pPr>
              <w:pStyle w:val="TableParagraph"/>
              <w:ind w:left="226" w:right="175"/>
              <w:rPr>
                <w:sz w:val="17"/>
              </w:rPr>
            </w:pPr>
            <w:r>
              <w:rPr>
                <w:color w:val="231F20"/>
                <w:w w:val="105"/>
                <w:sz w:val="17"/>
              </w:rPr>
              <w:t>0.8</w:t>
            </w:r>
          </w:p>
        </w:tc>
        <w:tc>
          <w:tcPr>
            <w:tcW w:w="996" w:type="dxa"/>
          </w:tcPr>
          <w:p>
            <w:pPr>
              <w:pStyle w:val="TableParagraph"/>
              <w:ind w:left="187" w:right="124"/>
              <w:rPr>
                <w:sz w:val="17"/>
              </w:rPr>
            </w:pPr>
            <w:r>
              <w:rPr>
                <w:color w:val="231F20"/>
                <w:w w:val="105"/>
                <w:sz w:val="17"/>
              </w:rPr>
              <w:t>24.9</w:t>
            </w:r>
          </w:p>
        </w:tc>
        <w:tc>
          <w:tcPr>
            <w:tcW w:w="869" w:type="dxa"/>
          </w:tcPr>
          <w:p>
            <w:pPr>
              <w:pStyle w:val="TableParagraph"/>
              <w:ind w:left="110" w:right="100"/>
              <w:rPr>
                <w:sz w:val="17"/>
              </w:rPr>
            </w:pPr>
            <w:r>
              <w:rPr>
                <w:color w:val="231F20"/>
                <w:w w:val="105"/>
                <w:sz w:val="17"/>
              </w:rPr>
              <w:t>30.5</w:t>
            </w:r>
          </w:p>
        </w:tc>
        <w:tc>
          <w:tcPr>
            <w:tcW w:w="918" w:type="dxa"/>
          </w:tcPr>
          <w:p>
            <w:pPr>
              <w:pStyle w:val="TableParagraph"/>
              <w:ind w:left="114" w:right="119"/>
              <w:rPr>
                <w:sz w:val="17"/>
              </w:rPr>
            </w:pPr>
            <w:r>
              <w:rPr>
                <w:color w:val="231F20"/>
                <w:w w:val="105"/>
                <w:sz w:val="17"/>
              </w:rPr>
              <w:t>3.1</w:t>
            </w:r>
          </w:p>
        </w:tc>
        <w:tc>
          <w:tcPr>
            <w:tcW w:w="922" w:type="dxa"/>
          </w:tcPr>
          <w:p>
            <w:pPr>
              <w:pStyle w:val="TableParagraph"/>
              <w:ind w:left="109" w:right="155"/>
              <w:rPr>
                <w:sz w:val="17"/>
              </w:rPr>
            </w:pPr>
            <w:r>
              <w:rPr>
                <w:color w:val="231F20"/>
                <w:w w:val="105"/>
                <w:sz w:val="17"/>
              </w:rPr>
              <w:t>4.6</w:t>
            </w:r>
          </w:p>
        </w:tc>
        <w:tc>
          <w:tcPr>
            <w:tcW w:w="1053" w:type="dxa"/>
          </w:tcPr>
          <w:p>
            <w:pPr>
              <w:pStyle w:val="TableParagraph"/>
              <w:ind w:left="170" w:right="199"/>
              <w:rPr>
                <w:sz w:val="17"/>
              </w:rPr>
            </w:pPr>
            <w:r>
              <w:rPr>
                <w:color w:val="231F20"/>
                <w:w w:val="105"/>
                <w:sz w:val="17"/>
              </w:rPr>
              <w:t>4.3</w:t>
            </w:r>
          </w:p>
        </w:tc>
        <w:tc>
          <w:tcPr>
            <w:tcW w:w="1022" w:type="dxa"/>
          </w:tcPr>
          <w:p>
            <w:pPr>
              <w:pStyle w:val="TableParagraph"/>
              <w:ind w:left="187" w:right="177"/>
              <w:rPr>
                <w:sz w:val="17"/>
              </w:rPr>
            </w:pPr>
            <w:r>
              <w:rPr>
                <w:color w:val="231F20"/>
                <w:w w:val="105"/>
                <w:sz w:val="17"/>
              </w:rPr>
              <w:t>7.7</w:t>
            </w:r>
          </w:p>
        </w:tc>
      </w:tr>
      <w:tr>
        <w:trPr>
          <w:trHeight w:val="210" w:hRule="exact"/>
        </w:trPr>
        <w:tc>
          <w:tcPr>
            <w:tcW w:w="1060" w:type="dxa"/>
          </w:tcPr>
          <w:p>
            <w:pPr>
              <w:pStyle w:val="TableParagraph"/>
              <w:ind w:left="226" w:right="175"/>
              <w:rPr>
                <w:sz w:val="17"/>
              </w:rPr>
            </w:pPr>
            <w:r>
              <w:rPr>
                <w:color w:val="231F20"/>
                <w:w w:val="105"/>
                <w:sz w:val="17"/>
              </w:rPr>
              <w:t>0.0</w:t>
            </w:r>
          </w:p>
        </w:tc>
        <w:tc>
          <w:tcPr>
            <w:tcW w:w="996" w:type="dxa"/>
          </w:tcPr>
          <w:p>
            <w:pPr>
              <w:pStyle w:val="TableParagraph"/>
              <w:ind w:left="187" w:right="124"/>
              <w:rPr>
                <w:sz w:val="17"/>
              </w:rPr>
            </w:pPr>
            <w:r>
              <w:rPr>
                <w:color w:val="231F20"/>
                <w:w w:val="105"/>
                <w:sz w:val="17"/>
              </w:rPr>
              <w:t>0.1</w:t>
            </w:r>
          </w:p>
        </w:tc>
        <w:tc>
          <w:tcPr>
            <w:tcW w:w="869" w:type="dxa"/>
          </w:tcPr>
          <w:p>
            <w:pPr>
              <w:pStyle w:val="TableParagraph"/>
              <w:ind w:left="110" w:right="100"/>
              <w:rPr>
                <w:sz w:val="17"/>
              </w:rPr>
            </w:pPr>
            <w:r>
              <w:rPr>
                <w:color w:val="231F20"/>
                <w:w w:val="105"/>
                <w:sz w:val="17"/>
              </w:rPr>
              <w:t>0.4</w:t>
            </w:r>
          </w:p>
        </w:tc>
        <w:tc>
          <w:tcPr>
            <w:tcW w:w="918" w:type="dxa"/>
          </w:tcPr>
          <w:p>
            <w:pPr>
              <w:pStyle w:val="TableParagraph"/>
              <w:ind w:left="114" w:right="119"/>
              <w:rPr>
                <w:sz w:val="17"/>
              </w:rPr>
            </w:pPr>
            <w:r>
              <w:rPr>
                <w:color w:val="231F20"/>
                <w:w w:val="105"/>
                <w:sz w:val="17"/>
              </w:rPr>
              <w:t>0.0</w:t>
            </w:r>
          </w:p>
        </w:tc>
        <w:tc>
          <w:tcPr>
            <w:tcW w:w="922" w:type="dxa"/>
          </w:tcPr>
          <w:p>
            <w:pPr>
              <w:pStyle w:val="TableParagraph"/>
              <w:ind w:left="109" w:right="155"/>
              <w:rPr>
                <w:sz w:val="17"/>
              </w:rPr>
            </w:pPr>
            <w:r>
              <w:rPr>
                <w:color w:val="231F20"/>
                <w:w w:val="105"/>
                <w:sz w:val="17"/>
              </w:rPr>
              <w:t>0.1</w:t>
            </w:r>
          </w:p>
        </w:tc>
        <w:tc>
          <w:tcPr>
            <w:tcW w:w="1053" w:type="dxa"/>
          </w:tcPr>
          <w:p>
            <w:pPr>
              <w:pStyle w:val="TableParagraph"/>
              <w:ind w:left="170" w:right="199"/>
              <w:rPr>
                <w:sz w:val="17"/>
              </w:rPr>
            </w:pPr>
            <w:r>
              <w:rPr>
                <w:color w:val="231F20"/>
                <w:w w:val="105"/>
                <w:sz w:val="17"/>
              </w:rPr>
              <w:t>0.0</w:t>
            </w:r>
          </w:p>
        </w:tc>
        <w:tc>
          <w:tcPr>
            <w:tcW w:w="1022" w:type="dxa"/>
          </w:tcPr>
          <w:p>
            <w:pPr>
              <w:pStyle w:val="TableParagraph"/>
              <w:ind w:left="187" w:right="177"/>
              <w:rPr>
                <w:sz w:val="17"/>
              </w:rPr>
            </w:pPr>
            <w:r>
              <w:rPr>
                <w:color w:val="231F20"/>
                <w:w w:val="105"/>
                <w:sz w:val="17"/>
              </w:rPr>
              <w:t>0.0</w:t>
            </w:r>
          </w:p>
        </w:tc>
      </w:tr>
      <w:tr>
        <w:trPr>
          <w:trHeight w:val="290" w:hRule="exact"/>
        </w:trPr>
        <w:tc>
          <w:tcPr>
            <w:tcW w:w="1060" w:type="dxa"/>
          </w:tcPr>
          <w:p>
            <w:pPr>
              <w:pStyle w:val="TableParagraph"/>
              <w:ind w:left="226" w:right="175"/>
              <w:rPr>
                <w:sz w:val="17"/>
              </w:rPr>
            </w:pPr>
            <w:r>
              <w:rPr>
                <w:color w:val="231F20"/>
                <w:w w:val="105"/>
                <w:sz w:val="17"/>
              </w:rPr>
              <w:t>0.5</w:t>
            </w:r>
          </w:p>
        </w:tc>
        <w:tc>
          <w:tcPr>
            <w:tcW w:w="996" w:type="dxa"/>
          </w:tcPr>
          <w:p>
            <w:pPr>
              <w:pStyle w:val="TableParagraph"/>
              <w:ind w:left="187" w:right="124"/>
              <w:rPr>
                <w:sz w:val="17"/>
              </w:rPr>
            </w:pPr>
            <w:r>
              <w:rPr>
                <w:color w:val="231F20"/>
                <w:w w:val="105"/>
                <w:sz w:val="17"/>
              </w:rPr>
              <w:t>0.7</w:t>
            </w:r>
          </w:p>
        </w:tc>
        <w:tc>
          <w:tcPr>
            <w:tcW w:w="869" w:type="dxa"/>
          </w:tcPr>
          <w:p>
            <w:pPr>
              <w:pStyle w:val="TableParagraph"/>
              <w:ind w:left="110" w:right="100"/>
              <w:rPr>
                <w:sz w:val="17"/>
              </w:rPr>
            </w:pPr>
            <w:r>
              <w:rPr>
                <w:color w:val="231F20"/>
                <w:w w:val="105"/>
                <w:sz w:val="17"/>
              </w:rPr>
              <w:t>0.7</w:t>
            </w:r>
          </w:p>
        </w:tc>
        <w:tc>
          <w:tcPr>
            <w:tcW w:w="918" w:type="dxa"/>
          </w:tcPr>
          <w:p>
            <w:pPr>
              <w:pStyle w:val="TableParagraph"/>
              <w:ind w:left="114" w:right="119"/>
              <w:rPr>
                <w:sz w:val="17"/>
              </w:rPr>
            </w:pPr>
            <w:r>
              <w:rPr>
                <w:color w:val="231F20"/>
                <w:w w:val="105"/>
                <w:sz w:val="17"/>
              </w:rPr>
              <w:t>0.1</w:t>
            </w:r>
          </w:p>
        </w:tc>
        <w:tc>
          <w:tcPr>
            <w:tcW w:w="922" w:type="dxa"/>
          </w:tcPr>
          <w:p>
            <w:pPr>
              <w:pStyle w:val="TableParagraph"/>
              <w:ind w:left="109" w:right="155"/>
              <w:rPr>
                <w:sz w:val="17"/>
              </w:rPr>
            </w:pPr>
            <w:r>
              <w:rPr>
                <w:color w:val="231F20"/>
                <w:w w:val="105"/>
                <w:sz w:val="17"/>
              </w:rPr>
              <w:t>0.2</w:t>
            </w:r>
          </w:p>
        </w:tc>
        <w:tc>
          <w:tcPr>
            <w:tcW w:w="1053" w:type="dxa"/>
          </w:tcPr>
          <w:p>
            <w:pPr>
              <w:pStyle w:val="TableParagraph"/>
              <w:ind w:left="170" w:right="199"/>
              <w:rPr>
                <w:sz w:val="17"/>
              </w:rPr>
            </w:pPr>
            <w:r>
              <w:rPr>
                <w:color w:val="231F20"/>
                <w:w w:val="105"/>
                <w:sz w:val="17"/>
              </w:rPr>
              <w:t>0.3</w:t>
            </w:r>
          </w:p>
        </w:tc>
        <w:tc>
          <w:tcPr>
            <w:tcW w:w="1022" w:type="dxa"/>
          </w:tcPr>
          <w:p>
            <w:pPr>
              <w:pStyle w:val="TableParagraph"/>
              <w:ind w:left="187" w:right="177"/>
              <w:rPr>
                <w:sz w:val="17"/>
              </w:rPr>
            </w:pPr>
            <w:r>
              <w:rPr>
                <w:color w:val="231F20"/>
                <w:w w:val="105"/>
                <w:sz w:val="17"/>
              </w:rPr>
              <w:t>0.3</w:t>
            </w:r>
          </w:p>
        </w:tc>
      </w:tr>
    </w:tbl>
    <w:p>
      <w:pPr>
        <w:spacing w:after="0"/>
        <w:rPr>
          <w:sz w:val="17"/>
        </w:rPr>
        <w:sectPr>
          <w:footerReference w:type="even" r:id="rId110"/>
          <w:footerReference w:type="default" r:id="rId111"/>
          <w:pgSz w:w="9520" w:h="12920"/>
          <w:pgMar w:footer="1344" w:header="0" w:top="1220" w:bottom="1540" w:left="1000" w:right="1320"/>
        </w:sectPr>
      </w:pPr>
    </w:p>
    <w:p>
      <w:pPr>
        <w:pStyle w:val="BodyText"/>
        <w:spacing w:line="280" w:lineRule="auto" w:before="42"/>
        <w:ind w:left="124" w:right="112"/>
        <w:jc w:val="both"/>
      </w:pPr>
      <w:r>
        <w:rPr>
          <w:color w:val="231F20"/>
          <w:w w:val="110"/>
        </w:rPr>
        <w:t>escuela, es </w:t>
      </w:r>
      <w:r>
        <w:rPr>
          <w:color w:val="231F20"/>
          <w:spacing w:val="-3"/>
          <w:w w:val="110"/>
        </w:rPr>
        <w:t>decir, </w:t>
      </w:r>
      <w:r>
        <w:rPr>
          <w:color w:val="231F20"/>
          <w:w w:val="110"/>
        </w:rPr>
        <w:t>aproximadamente 50 por ciento menos que el grupo an- terior de 15 a 19 años. Se aprecia que los jóvenes no unidos muestran una mayor</w:t>
      </w:r>
      <w:r>
        <w:rPr>
          <w:color w:val="231F20"/>
          <w:spacing w:val="-5"/>
          <w:w w:val="110"/>
        </w:rPr>
        <w:t> </w:t>
      </w:r>
      <w:r>
        <w:rPr>
          <w:color w:val="231F20"/>
          <w:w w:val="110"/>
        </w:rPr>
        <w:t>asistencia,</w:t>
      </w:r>
      <w:r>
        <w:rPr>
          <w:color w:val="231F20"/>
          <w:spacing w:val="-5"/>
          <w:w w:val="110"/>
        </w:rPr>
        <w:t> </w:t>
      </w:r>
      <w:r>
        <w:rPr>
          <w:color w:val="231F20"/>
          <w:w w:val="110"/>
        </w:rPr>
        <w:t>32.4</w:t>
      </w:r>
      <w:r>
        <w:rPr>
          <w:color w:val="231F20"/>
          <w:spacing w:val="-5"/>
          <w:w w:val="110"/>
        </w:rPr>
        <w:t> </w:t>
      </w:r>
      <w:r>
        <w:rPr>
          <w:color w:val="231F20"/>
          <w:w w:val="110"/>
        </w:rPr>
        <w:t>por</w:t>
      </w:r>
      <w:r>
        <w:rPr>
          <w:color w:val="231F20"/>
          <w:spacing w:val="-5"/>
          <w:w w:val="110"/>
        </w:rPr>
        <w:t> </w:t>
      </w:r>
      <w:r>
        <w:rPr>
          <w:color w:val="231F20"/>
          <w:w w:val="110"/>
        </w:rPr>
        <w:t>ciento</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hombres</w:t>
      </w:r>
      <w:r>
        <w:rPr>
          <w:color w:val="231F20"/>
          <w:spacing w:val="-5"/>
          <w:w w:val="110"/>
        </w:rPr>
        <w:t> </w:t>
      </w:r>
      <w:r>
        <w:rPr>
          <w:color w:val="231F20"/>
          <w:w w:val="110"/>
        </w:rPr>
        <w:t>y</w:t>
      </w:r>
      <w:r>
        <w:rPr>
          <w:color w:val="231F20"/>
          <w:spacing w:val="-5"/>
          <w:w w:val="110"/>
        </w:rPr>
        <w:t> </w:t>
      </w:r>
      <w:r>
        <w:rPr>
          <w:color w:val="231F20"/>
          <w:w w:val="110"/>
        </w:rPr>
        <w:t>36.4</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mujeres.</w:t>
      </w:r>
      <w:r>
        <w:rPr>
          <w:color w:val="231F20"/>
          <w:spacing w:val="-5"/>
          <w:w w:val="110"/>
        </w:rPr>
        <w:t> </w:t>
      </w:r>
      <w:r>
        <w:rPr>
          <w:color w:val="231F20"/>
          <w:w w:val="110"/>
        </w:rPr>
        <w:t>Por otra parte, de los hombres unidos que no están declarados como jefes de </w:t>
      </w:r>
      <w:r>
        <w:rPr>
          <w:color w:val="231F20"/>
          <w:spacing w:val="2"/>
          <w:w w:val="110"/>
        </w:rPr>
        <w:t>hogar </w:t>
      </w:r>
      <w:r>
        <w:rPr>
          <w:color w:val="231F20"/>
          <w:w w:val="110"/>
        </w:rPr>
        <w:t>o </w:t>
      </w:r>
      <w:r>
        <w:rPr>
          <w:color w:val="231F20"/>
          <w:spacing w:val="2"/>
          <w:w w:val="110"/>
        </w:rPr>
        <w:t>cónyuges asiste </w:t>
      </w:r>
      <w:r>
        <w:rPr>
          <w:color w:val="231F20"/>
          <w:w w:val="110"/>
        </w:rPr>
        <w:t>4.7 por </w:t>
      </w:r>
      <w:r>
        <w:rPr>
          <w:color w:val="231F20"/>
          <w:spacing w:val="2"/>
          <w:w w:val="110"/>
        </w:rPr>
        <w:t>ciento </w:t>
      </w:r>
      <w:r>
        <w:rPr>
          <w:color w:val="231F20"/>
          <w:w w:val="110"/>
        </w:rPr>
        <w:t>y 5.9 de las </w:t>
      </w:r>
      <w:r>
        <w:rPr>
          <w:color w:val="231F20"/>
          <w:spacing w:val="2"/>
          <w:w w:val="110"/>
        </w:rPr>
        <w:t>mujeres. </w:t>
      </w:r>
      <w:r>
        <w:rPr>
          <w:color w:val="231F20"/>
          <w:spacing w:val="3"/>
          <w:w w:val="110"/>
        </w:rPr>
        <w:t>La </w:t>
      </w:r>
      <w:r>
        <w:rPr>
          <w:color w:val="231F20"/>
          <w:spacing w:val="2"/>
          <w:w w:val="110"/>
        </w:rPr>
        <w:t>menor </w:t>
      </w:r>
      <w:r>
        <w:rPr>
          <w:color w:val="231F20"/>
          <w:w w:val="110"/>
        </w:rPr>
        <w:t>asistencia a la escuela la tienen aquellos unidos autónomos, de los cuales sólo 3.1 por ciento de los hombres lo hace y 4.0 de las  </w:t>
      </w:r>
      <w:r>
        <w:rPr>
          <w:color w:val="231F20"/>
          <w:spacing w:val="30"/>
          <w:w w:val="110"/>
        </w:rPr>
        <w:t> </w:t>
      </w:r>
      <w:r>
        <w:rPr>
          <w:color w:val="231F20"/>
          <w:w w:val="110"/>
        </w:rPr>
        <w:t>mujeres.</w:t>
      </w:r>
    </w:p>
    <w:p>
      <w:pPr>
        <w:pStyle w:val="BodyText"/>
        <w:spacing w:line="280" w:lineRule="auto"/>
        <w:ind w:left="124" w:right="109" w:firstLine="360"/>
        <w:jc w:val="both"/>
      </w:pPr>
      <w:r>
        <w:rPr>
          <w:color w:val="231F20"/>
          <w:w w:val="110"/>
        </w:rPr>
        <w:t>Con lo anterior podemos decir que en ambos grupos de edad estar no unido aumenta las posibilidades de continuar estudiando por encima del promedio</w:t>
      </w:r>
      <w:r>
        <w:rPr>
          <w:color w:val="231F20"/>
          <w:spacing w:val="-14"/>
          <w:w w:val="110"/>
        </w:rPr>
        <w:t> </w:t>
      </w:r>
      <w:r>
        <w:rPr>
          <w:color w:val="231F20"/>
          <w:w w:val="110"/>
        </w:rPr>
        <w:t>en</w:t>
      </w:r>
      <w:r>
        <w:rPr>
          <w:color w:val="231F20"/>
          <w:spacing w:val="-14"/>
          <w:w w:val="110"/>
        </w:rPr>
        <w:t> </w:t>
      </w:r>
      <w:r>
        <w:rPr>
          <w:color w:val="231F20"/>
          <w:w w:val="110"/>
        </w:rPr>
        <w:t>el</w:t>
      </w:r>
      <w:r>
        <w:rPr>
          <w:color w:val="231F20"/>
          <w:spacing w:val="-14"/>
          <w:w w:val="110"/>
        </w:rPr>
        <w:t> </w:t>
      </w:r>
      <w:r>
        <w:rPr>
          <w:color w:val="231F20"/>
          <w:w w:val="110"/>
        </w:rPr>
        <w:t>grupo</w:t>
      </w:r>
      <w:r>
        <w:rPr>
          <w:color w:val="231F20"/>
          <w:spacing w:val="-14"/>
          <w:w w:val="110"/>
        </w:rPr>
        <w:t> </w:t>
      </w:r>
      <w:r>
        <w:rPr>
          <w:color w:val="231F20"/>
          <w:w w:val="110"/>
        </w:rPr>
        <w:t>de</w:t>
      </w:r>
      <w:r>
        <w:rPr>
          <w:color w:val="231F20"/>
          <w:spacing w:val="-14"/>
          <w:w w:val="110"/>
        </w:rPr>
        <w:t> </w:t>
      </w:r>
      <w:r>
        <w:rPr>
          <w:color w:val="231F20"/>
          <w:w w:val="110"/>
        </w:rPr>
        <w:t>edad</w:t>
      </w:r>
      <w:r>
        <w:rPr>
          <w:color w:val="231F20"/>
          <w:spacing w:val="-14"/>
          <w:w w:val="110"/>
        </w:rPr>
        <w:t> </w:t>
      </w:r>
      <w:r>
        <w:rPr>
          <w:color w:val="231F20"/>
          <w:w w:val="110"/>
        </w:rPr>
        <w:t>y</w:t>
      </w:r>
      <w:r>
        <w:rPr>
          <w:color w:val="231F20"/>
          <w:spacing w:val="-14"/>
          <w:w w:val="110"/>
        </w:rPr>
        <w:t> </w:t>
      </w:r>
      <w:r>
        <w:rPr>
          <w:color w:val="231F20"/>
          <w:w w:val="110"/>
        </w:rPr>
        <w:t>que</w:t>
      </w:r>
      <w:r>
        <w:rPr>
          <w:color w:val="231F20"/>
          <w:spacing w:val="-14"/>
          <w:w w:val="110"/>
        </w:rPr>
        <w:t> </w:t>
      </w:r>
      <w:r>
        <w:rPr>
          <w:color w:val="231F20"/>
          <w:w w:val="110"/>
        </w:rPr>
        <w:t>la</w:t>
      </w:r>
      <w:r>
        <w:rPr>
          <w:color w:val="231F20"/>
          <w:spacing w:val="-14"/>
          <w:w w:val="110"/>
        </w:rPr>
        <w:t> </w:t>
      </w:r>
      <w:r>
        <w:rPr>
          <w:color w:val="231F20"/>
          <w:w w:val="110"/>
        </w:rPr>
        <w:t>unión</w:t>
      </w:r>
      <w:r>
        <w:rPr>
          <w:color w:val="231F20"/>
          <w:spacing w:val="-14"/>
          <w:w w:val="110"/>
        </w:rPr>
        <w:t> </w:t>
      </w:r>
      <w:r>
        <w:rPr>
          <w:color w:val="231F20"/>
          <w:w w:val="110"/>
        </w:rPr>
        <w:t>no</w:t>
      </w:r>
      <w:r>
        <w:rPr>
          <w:color w:val="231F20"/>
          <w:spacing w:val="-14"/>
          <w:w w:val="110"/>
        </w:rPr>
        <w:t> </w:t>
      </w:r>
      <w:r>
        <w:rPr>
          <w:color w:val="231F20"/>
          <w:w w:val="110"/>
        </w:rPr>
        <w:t>autónoma,</w:t>
      </w:r>
      <w:r>
        <w:rPr>
          <w:color w:val="231F20"/>
          <w:spacing w:val="-14"/>
          <w:w w:val="110"/>
        </w:rPr>
        <w:t> </w:t>
      </w:r>
      <w:r>
        <w:rPr>
          <w:color w:val="231F20"/>
          <w:w w:val="110"/>
        </w:rPr>
        <w:t>es</w:t>
      </w:r>
      <w:r>
        <w:rPr>
          <w:color w:val="231F20"/>
          <w:spacing w:val="-14"/>
          <w:w w:val="110"/>
        </w:rPr>
        <w:t> </w:t>
      </w:r>
      <w:r>
        <w:rPr>
          <w:color w:val="231F20"/>
          <w:spacing w:val="-5"/>
          <w:w w:val="110"/>
        </w:rPr>
        <w:t>decir,</w:t>
      </w:r>
      <w:r>
        <w:rPr>
          <w:color w:val="231F20"/>
          <w:spacing w:val="-14"/>
          <w:w w:val="110"/>
        </w:rPr>
        <w:t> </w:t>
      </w:r>
      <w:r>
        <w:rPr>
          <w:color w:val="231F20"/>
          <w:w w:val="110"/>
        </w:rPr>
        <w:t>aquellos unidos que habitan con sus familiares, tienen una mayor asistencia, lo cual es</w:t>
      </w:r>
      <w:r>
        <w:rPr>
          <w:color w:val="231F20"/>
          <w:spacing w:val="-5"/>
          <w:w w:val="110"/>
        </w:rPr>
        <w:t> </w:t>
      </w:r>
      <w:r>
        <w:rPr>
          <w:color w:val="231F20"/>
          <w:w w:val="110"/>
        </w:rPr>
        <w:t>reflejo</w:t>
      </w:r>
      <w:r>
        <w:rPr>
          <w:color w:val="231F20"/>
          <w:spacing w:val="-5"/>
          <w:w w:val="110"/>
        </w:rPr>
        <w:t> </w:t>
      </w:r>
      <w:r>
        <w:rPr>
          <w:color w:val="231F20"/>
          <w:w w:val="110"/>
        </w:rPr>
        <w:t>del</w:t>
      </w:r>
      <w:r>
        <w:rPr>
          <w:color w:val="231F20"/>
          <w:spacing w:val="-5"/>
          <w:w w:val="110"/>
        </w:rPr>
        <w:t> </w:t>
      </w:r>
      <w:r>
        <w:rPr>
          <w:color w:val="231F20"/>
          <w:w w:val="110"/>
        </w:rPr>
        <w:t>apoyo</w:t>
      </w:r>
      <w:r>
        <w:rPr>
          <w:color w:val="231F20"/>
          <w:spacing w:val="-5"/>
          <w:w w:val="110"/>
        </w:rPr>
        <w:t> </w:t>
      </w:r>
      <w:r>
        <w:rPr>
          <w:color w:val="231F20"/>
          <w:w w:val="110"/>
        </w:rPr>
        <w:t>familiar</w:t>
      </w:r>
      <w:r>
        <w:rPr>
          <w:color w:val="231F20"/>
          <w:spacing w:val="-5"/>
          <w:w w:val="110"/>
        </w:rPr>
        <w:t> </w:t>
      </w:r>
      <w:r>
        <w:rPr>
          <w:color w:val="231F20"/>
          <w:w w:val="110"/>
        </w:rPr>
        <w:t>que</w:t>
      </w:r>
      <w:r>
        <w:rPr>
          <w:color w:val="231F20"/>
          <w:spacing w:val="-5"/>
          <w:w w:val="110"/>
        </w:rPr>
        <w:t> </w:t>
      </w:r>
      <w:r>
        <w:rPr>
          <w:color w:val="231F20"/>
          <w:w w:val="110"/>
        </w:rPr>
        <w:t>les</w:t>
      </w:r>
      <w:r>
        <w:rPr>
          <w:color w:val="231F20"/>
          <w:spacing w:val="-5"/>
          <w:w w:val="110"/>
        </w:rPr>
        <w:t> </w:t>
      </w:r>
      <w:r>
        <w:rPr>
          <w:color w:val="231F20"/>
          <w:w w:val="110"/>
        </w:rPr>
        <w:t>es</w:t>
      </w:r>
      <w:r>
        <w:rPr>
          <w:color w:val="231F20"/>
          <w:spacing w:val="-5"/>
          <w:w w:val="110"/>
        </w:rPr>
        <w:t> </w:t>
      </w:r>
      <w:r>
        <w:rPr>
          <w:color w:val="231F20"/>
          <w:w w:val="110"/>
        </w:rPr>
        <w:t>brindado,</w:t>
      </w:r>
      <w:r>
        <w:rPr>
          <w:color w:val="231F20"/>
          <w:spacing w:val="-5"/>
          <w:w w:val="110"/>
        </w:rPr>
        <w:t> </w:t>
      </w:r>
      <w:r>
        <w:rPr>
          <w:color w:val="231F20"/>
          <w:w w:val="110"/>
        </w:rPr>
        <w:t>pues</w:t>
      </w:r>
      <w:r>
        <w:rPr>
          <w:color w:val="231F20"/>
          <w:spacing w:val="-5"/>
          <w:w w:val="110"/>
        </w:rPr>
        <w:t> </w:t>
      </w:r>
      <w:r>
        <w:rPr>
          <w:color w:val="231F20"/>
          <w:w w:val="110"/>
        </w:rPr>
        <w:t>aquellos</w:t>
      </w:r>
      <w:r>
        <w:rPr>
          <w:color w:val="231F20"/>
          <w:spacing w:val="-5"/>
          <w:w w:val="110"/>
        </w:rPr>
        <w:t> </w:t>
      </w:r>
      <w:r>
        <w:rPr>
          <w:color w:val="231F20"/>
          <w:w w:val="110"/>
        </w:rPr>
        <w:t>jóvenes</w:t>
      </w:r>
      <w:r>
        <w:rPr>
          <w:color w:val="231F20"/>
          <w:spacing w:val="-5"/>
          <w:w w:val="110"/>
        </w:rPr>
        <w:t> </w:t>
      </w:r>
      <w:r>
        <w:rPr>
          <w:color w:val="231F20"/>
          <w:w w:val="110"/>
        </w:rPr>
        <w:t>que son jefes o cónyuges del jefe asisten menos a la escuela, lo que puede significar que estén más ocupados realizando actividades en el mercado laboral para el sostenimiento de su</w:t>
      </w:r>
      <w:r>
        <w:rPr>
          <w:color w:val="231F20"/>
          <w:spacing w:val="17"/>
          <w:w w:val="110"/>
        </w:rPr>
        <w:t> </w:t>
      </w:r>
      <w:r>
        <w:rPr>
          <w:color w:val="231F20"/>
          <w:w w:val="110"/>
        </w:rPr>
        <w:t>familia.</w:t>
      </w:r>
    </w:p>
    <w:p>
      <w:pPr>
        <w:pStyle w:val="BodyText"/>
        <w:spacing w:line="280" w:lineRule="auto"/>
        <w:ind w:left="124" w:right="113" w:firstLine="360"/>
        <w:jc w:val="both"/>
      </w:pPr>
      <w:r>
        <w:rPr>
          <w:color w:val="231F20"/>
          <w:w w:val="110"/>
        </w:rPr>
        <w:t>Se estimó también la proporción de jóvenes por nivel educativo. Obte- niendo que en promedio 26.8 por ciento de los hombres y 26.4 de mujeres </w:t>
      </w:r>
      <w:r>
        <w:rPr>
          <w:color w:val="231F20"/>
          <w:spacing w:val="-4"/>
          <w:w w:val="110"/>
        </w:rPr>
        <w:t>asisten </w:t>
      </w:r>
      <w:r>
        <w:rPr>
          <w:color w:val="231F20"/>
          <w:w w:val="110"/>
        </w:rPr>
        <w:t>al </w:t>
      </w:r>
      <w:r>
        <w:rPr>
          <w:color w:val="231F20"/>
          <w:spacing w:val="-4"/>
          <w:w w:val="110"/>
        </w:rPr>
        <w:t>nivel medio superior mientras </w:t>
      </w:r>
      <w:r>
        <w:rPr>
          <w:color w:val="231F20"/>
          <w:spacing w:val="-3"/>
          <w:w w:val="110"/>
        </w:rPr>
        <w:t>que 17.3 por </w:t>
      </w:r>
      <w:r>
        <w:rPr>
          <w:color w:val="231F20"/>
          <w:spacing w:val="-4"/>
          <w:w w:val="110"/>
        </w:rPr>
        <w:t>ciento </w:t>
      </w:r>
      <w:r>
        <w:rPr>
          <w:color w:val="231F20"/>
          <w:w w:val="110"/>
        </w:rPr>
        <w:t>de </w:t>
      </w:r>
      <w:r>
        <w:rPr>
          <w:color w:val="231F20"/>
          <w:spacing w:val="-3"/>
          <w:w w:val="110"/>
        </w:rPr>
        <w:t>los </w:t>
      </w:r>
      <w:r>
        <w:rPr>
          <w:color w:val="231F20"/>
          <w:spacing w:val="-4"/>
          <w:w w:val="110"/>
        </w:rPr>
        <w:t>varones </w:t>
      </w:r>
      <w:r>
        <w:rPr>
          <w:color w:val="231F20"/>
          <w:w w:val="110"/>
        </w:rPr>
        <w:t>y</w:t>
      </w:r>
    </w:p>
    <w:p>
      <w:pPr>
        <w:pStyle w:val="BodyText"/>
        <w:spacing w:line="234" w:lineRule="exact"/>
        <w:ind w:left="124"/>
        <w:jc w:val="both"/>
      </w:pPr>
      <w:r>
        <w:rPr>
          <w:color w:val="231F20"/>
          <w:w w:val="110"/>
        </w:rPr>
        <w:t>19.8 por ciento de las mujeres tienen algún grado en el nivel  superior.</w:t>
      </w:r>
    </w:p>
    <w:p>
      <w:pPr>
        <w:pStyle w:val="BodyText"/>
        <w:spacing w:line="280" w:lineRule="auto" w:before="39"/>
        <w:ind w:left="124" w:right="111" w:firstLine="360"/>
        <w:jc w:val="both"/>
      </w:pPr>
      <w:r>
        <w:rPr>
          <w:color w:val="231F20"/>
          <w:w w:val="110"/>
        </w:rPr>
        <w:t>Al analizar la información por condición de unión se encuentra un patrón como el visto en el grupo anterior, los no unidos tienen una mayor escolaridad que aquellos que están unidos. 31.5 por ciento de los varones no unidos tiene algún grado de estudio en el nivel medio, mientras que</w:t>
      </w:r>
    </w:p>
    <w:p>
      <w:pPr>
        <w:pStyle w:val="BodyText"/>
        <w:spacing w:line="280" w:lineRule="auto"/>
        <w:ind w:left="124" w:right="112"/>
        <w:jc w:val="both"/>
      </w:pPr>
      <w:r>
        <w:rPr>
          <w:color w:val="231F20"/>
          <w:w w:val="110"/>
        </w:rPr>
        <w:t>29.6 de las mujeres lo tiene. En el nivel superior la proporción de jóvenes en éste es elevada con respecto al promedio mencionado    anteriormente,</w:t>
      </w:r>
    </w:p>
    <w:p>
      <w:pPr>
        <w:pStyle w:val="BodyText"/>
        <w:spacing w:line="280" w:lineRule="auto"/>
        <w:ind w:left="124" w:right="114"/>
        <w:jc w:val="both"/>
      </w:pPr>
      <w:r>
        <w:rPr>
          <w:color w:val="231F20"/>
          <w:w w:val="110"/>
        </w:rPr>
        <w:t>27.7 por ciento de los hombres tienen estudios en algún grado de licencia- tura y 35 por ciento de las mujeres lo ha cursado. Podemos observar    que</w:t>
      </w:r>
    </w:p>
    <w:p>
      <w:pPr>
        <w:pStyle w:val="BodyText"/>
        <w:spacing w:line="280" w:lineRule="auto"/>
        <w:ind w:left="124" w:right="112"/>
        <w:jc w:val="both"/>
      </w:pPr>
      <w:r>
        <w:rPr>
          <w:color w:val="231F20"/>
          <w:w w:val="110"/>
        </w:rPr>
        <w:t>27.1 por ciento de los unidos no autónomos varones tienen un nivel</w:t>
      </w:r>
      <w:r>
        <w:rPr>
          <w:color w:val="231F20"/>
          <w:spacing w:val="-25"/>
          <w:w w:val="110"/>
        </w:rPr>
        <w:t> </w:t>
      </w:r>
      <w:r>
        <w:rPr>
          <w:color w:val="231F20"/>
          <w:w w:val="110"/>
        </w:rPr>
        <w:t>medio de escolaridad mientras que 31 por ciento de las mujeres lo tiene, </w:t>
      </w:r>
      <w:r>
        <w:rPr>
          <w:color w:val="231F20"/>
          <w:spacing w:val="2"/>
          <w:w w:val="110"/>
        </w:rPr>
        <w:t>pro-  </w:t>
      </w:r>
      <w:r>
        <w:rPr>
          <w:color w:val="231F20"/>
          <w:w w:val="110"/>
        </w:rPr>
        <w:t>porción</w:t>
      </w:r>
      <w:r>
        <w:rPr>
          <w:color w:val="231F20"/>
          <w:spacing w:val="-9"/>
          <w:w w:val="110"/>
        </w:rPr>
        <w:t> </w:t>
      </w:r>
      <w:r>
        <w:rPr>
          <w:color w:val="231F20"/>
          <w:w w:val="110"/>
        </w:rPr>
        <w:t>ligeramente</w:t>
      </w:r>
      <w:r>
        <w:rPr>
          <w:color w:val="231F20"/>
          <w:spacing w:val="-9"/>
          <w:w w:val="110"/>
        </w:rPr>
        <w:t> </w:t>
      </w:r>
      <w:r>
        <w:rPr>
          <w:color w:val="231F20"/>
          <w:w w:val="110"/>
        </w:rPr>
        <w:t>mayor</w:t>
      </w:r>
      <w:r>
        <w:rPr>
          <w:color w:val="231F20"/>
          <w:spacing w:val="-9"/>
          <w:w w:val="110"/>
        </w:rPr>
        <w:t> </w:t>
      </w:r>
      <w:r>
        <w:rPr>
          <w:color w:val="231F20"/>
          <w:w w:val="110"/>
        </w:rPr>
        <w:t>que</w:t>
      </w:r>
      <w:r>
        <w:rPr>
          <w:color w:val="231F20"/>
          <w:spacing w:val="-9"/>
          <w:w w:val="110"/>
        </w:rPr>
        <w:t> </w:t>
      </w:r>
      <w:r>
        <w:rPr>
          <w:color w:val="231F20"/>
          <w:w w:val="110"/>
        </w:rPr>
        <w:t>aquellas</w:t>
      </w:r>
      <w:r>
        <w:rPr>
          <w:color w:val="231F20"/>
          <w:spacing w:val="-9"/>
          <w:w w:val="110"/>
        </w:rPr>
        <w:t> </w:t>
      </w:r>
      <w:r>
        <w:rPr>
          <w:color w:val="231F20"/>
          <w:w w:val="110"/>
        </w:rPr>
        <w:t>no</w:t>
      </w:r>
      <w:r>
        <w:rPr>
          <w:color w:val="231F20"/>
          <w:spacing w:val="-9"/>
          <w:w w:val="110"/>
        </w:rPr>
        <w:t> </w:t>
      </w:r>
      <w:r>
        <w:rPr>
          <w:color w:val="231F20"/>
          <w:w w:val="110"/>
        </w:rPr>
        <w:t>unidas.</w:t>
      </w:r>
      <w:r>
        <w:rPr>
          <w:color w:val="231F20"/>
          <w:spacing w:val="-9"/>
          <w:w w:val="110"/>
        </w:rPr>
        <w:t> </w:t>
      </w:r>
      <w:r>
        <w:rPr>
          <w:color w:val="231F20"/>
          <w:w w:val="110"/>
        </w:rPr>
        <w:t>Por</w:t>
      </w:r>
      <w:r>
        <w:rPr>
          <w:color w:val="231F20"/>
          <w:spacing w:val="-9"/>
          <w:w w:val="110"/>
        </w:rPr>
        <w:t> </w:t>
      </w:r>
      <w:r>
        <w:rPr>
          <w:color w:val="231F20"/>
          <w:w w:val="110"/>
        </w:rPr>
        <w:t>otra</w:t>
      </w:r>
      <w:r>
        <w:rPr>
          <w:color w:val="231F20"/>
          <w:spacing w:val="-9"/>
          <w:w w:val="110"/>
        </w:rPr>
        <w:t> </w:t>
      </w:r>
      <w:r>
        <w:rPr>
          <w:color w:val="231F20"/>
          <w:w w:val="110"/>
        </w:rPr>
        <w:t>parte,</w:t>
      </w:r>
      <w:r>
        <w:rPr>
          <w:color w:val="231F20"/>
          <w:spacing w:val="-9"/>
          <w:w w:val="110"/>
        </w:rPr>
        <w:t> </w:t>
      </w:r>
      <w:r>
        <w:rPr>
          <w:color w:val="231F20"/>
          <w:w w:val="110"/>
        </w:rPr>
        <w:t>22.2</w:t>
      </w:r>
      <w:r>
        <w:rPr>
          <w:color w:val="231F20"/>
          <w:spacing w:val="-9"/>
          <w:w w:val="110"/>
        </w:rPr>
        <w:t> </w:t>
      </w:r>
      <w:r>
        <w:rPr>
          <w:color w:val="231F20"/>
          <w:w w:val="110"/>
        </w:rPr>
        <w:t>por ciento de los hombres unidos autónomos han cursado la educación media y 25.8 de las mujeres lo ha hecho. Existe una aparente similitud en la es- colaridad de jóvenes en el nivel medio superior, que se diluye al observar las proporciones de escolaridad en el nivel superior pues los no unidos alcanzan una proporción de alrededor de 30 por ciento para ambos sexos, mientras que de los unidos la proporción mayor es la de las mujeres en unión no autónoma con 8.5 por  ciento.</w:t>
      </w:r>
    </w:p>
    <w:p>
      <w:pPr>
        <w:spacing w:after="0" w:line="280" w:lineRule="auto"/>
        <w:jc w:val="both"/>
        <w:sectPr>
          <w:pgSz w:w="9520" w:h="12920"/>
          <w:pgMar w:header="0" w:footer="1344" w:top="880" w:bottom="1540" w:left="1320" w:right="1000"/>
        </w:sectPr>
      </w:pPr>
    </w:p>
    <w:p>
      <w:pPr>
        <w:pStyle w:val="BodyText"/>
        <w:spacing w:line="288" w:lineRule="auto" w:before="42"/>
        <w:ind w:left="100" w:right="117" w:firstLine="360"/>
        <w:jc w:val="both"/>
      </w:pPr>
      <w:r>
        <w:rPr>
          <w:color w:val="231F20"/>
          <w:w w:val="110"/>
        </w:rPr>
        <w:t>El hecho de que poco más de 90 por ciento de la población unida no asiste a la escuela (en ambos grupos de edad) apoya la idea de que la</w:t>
      </w:r>
      <w:r>
        <w:rPr>
          <w:color w:val="231F20"/>
          <w:spacing w:val="-15"/>
          <w:w w:val="110"/>
        </w:rPr>
        <w:t> </w:t>
      </w:r>
      <w:r>
        <w:rPr>
          <w:color w:val="231F20"/>
          <w:w w:val="110"/>
        </w:rPr>
        <w:t>esco- laridad</w:t>
      </w:r>
      <w:r>
        <w:rPr>
          <w:color w:val="231F20"/>
          <w:spacing w:val="-16"/>
          <w:w w:val="110"/>
        </w:rPr>
        <w:t> </w:t>
      </w:r>
      <w:r>
        <w:rPr>
          <w:color w:val="231F20"/>
          <w:w w:val="110"/>
        </w:rPr>
        <w:t>alcanzada,</w:t>
      </w:r>
      <w:r>
        <w:rPr>
          <w:color w:val="231F20"/>
          <w:spacing w:val="-16"/>
          <w:w w:val="110"/>
        </w:rPr>
        <w:t> </w:t>
      </w:r>
      <w:r>
        <w:rPr>
          <w:color w:val="231F20"/>
          <w:w w:val="110"/>
        </w:rPr>
        <w:t>podría</w:t>
      </w:r>
      <w:r>
        <w:rPr>
          <w:color w:val="231F20"/>
          <w:spacing w:val="-16"/>
          <w:w w:val="110"/>
        </w:rPr>
        <w:t> </w:t>
      </w:r>
      <w:r>
        <w:rPr>
          <w:color w:val="231F20"/>
          <w:w w:val="110"/>
        </w:rPr>
        <w:t>ser</w:t>
      </w:r>
      <w:r>
        <w:rPr>
          <w:color w:val="231F20"/>
          <w:spacing w:val="-16"/>
          <w:w w:val="110"/>
        </w:rPr>
        <w:t> </w:t>
      </w:r>
      <w:r>
        <w:rPr>
          <w:color w:val="231F20"/>
          <w:w w:val="110"/>
        </w:rPr>
        <w:t>la</w:t>
      </w:r>
      <w:r>
        <w:rPr>
          <w:color w:val="231F20"/>
          <w:spacing w:val="-16"/>
          <w:w w:val="110"/>
        </w:rPr>
        <w:t> </w:t>
      </w:r>
      <w:r>
        <w:rPr>
          <w:color w:val="231F20"/>
          <w:w w:val="110"/>
        </w:rPr>
        <w:t>definitiva</w:t>
      </w:r>
      <w:r>
        <w:rPr>
          <w:color w:val="231F20"/>
          <w:spacing w:val="-16"/>
          <w:w w:val="110"/>
        </w:rPr>
        <w:t> </w:t>
      </w:r>
      <w:r>
        <w:rPr>
          <w:color w:val="231F20"/>
          <w:w w:val="110"/>
        </w:rPr>
        <w:t>para</w:t>
      </w:r>
      <w:r>
        <w:rPr>
          <w:color w:val="231F20"/>
          <w:spacing w:val="-16"/>
          <w:w w:val="110"/>
        </w:rPr>
        <w:t> </w:t>
      </w:r>
      <w:r>
        <w:rPr>
          <w:color w:val="231F20"/>
          <w:w w:val="110"/>
        </w:rPr>
        <w:t>muchos</w:t>
      </w:r>
      <w:r>
        <w:rPr>
          <w:color w:val="231F20"/>
          <w:spacing w:val="-16"/>
          <w:w w:val="110"/>
        </w:rPr>
        <w:t> </w:t>
      </w:r>
      <w:r>
        <w:rPr>
          <w:color w:val="231F20"/>
          <w:w w:val="110"/>
        </w:rPr>
        <w:t>de</w:t>
      </w:r>
      <w:r>
        <w:rPr>
          <w:color w:val="231F20"/>
          <w:spacing w:val="-16"/>
          <w:w w:val="110"/>
        </w:rPr>
        <w:t> </w:t>
      </w:r>
      <w:r>
        <w:rPr>
          <w:color w:val="231F20"/>
          <w:w w:val="110"/>
        </w:rPr>
        <w:t>ellos,</w:t>
      </w:r>
      <w:r>
        <w:rPr>
          <w:color w:val="231F20"/>
          <w:spacing w:val="-16"/>
          <w:w w:val="110"/>
        </w:rPr>
        <w:t> </w:t>
      </w:r>
      <w:r>
        <w:rPr>
          <w:color w:val="231F20"/>
          <w:w w:val="110"/>
        </w:rPr>
        <w:t>aunque</w:t>
      </w:r>
      <w:r>
        <w:rPr>
          <w:color w:val="231F20"/>
          <w:spacing w:val="-16"/>
          <w:w w:val="110"/>
        </w:rPr>
        <w:t> </w:t>
      </w:r>
      <w:r>
        <w:rPr>
          <w:color w:val="231F20"/>
          <w:w w:val="110"/>
        </w:rPr>
        <w:t>esto no</w:t>
      </w:r>
      <w:r>
        <w:rPr>
          <w:color w:val="231F20"/>
          <w:spacing w:val="-4"/>
          <w:w w:val="110"/>
        </w:rPr>
        <w:t> </w:t>
      </w:r>
      <w:r>
        <w:rPr>
          <w:color w:val="231F20"/>
          <w:w w:val="110"/>
        </w:rPr>
        <w:t>significa</w:t>
      </w:r>
      <w:r>
        <w:rPr>
          <w:color w:val="231F20"/>
          <w:spacing w:val="-4"/>
          <w:w w:val="110"/>
        </w:rPr>
        <w:t> </w:t>
      </w:r>
      <w:r>
        <w:rPr>
          <w:color w:val="231F20"/>
          <w:w w:val="110"/>
        </w:rPr>
        <w:t>que</w:t>
      </w:r>
      <w:r>
        <w:rPr>
          <w:color w:val="231F20"/>
          <w:spacing w:val="-4"/>
          <w:w w:val="110"/>
        </w:rPr>
        <w:t> </w:t>
      </w:r>
      <w:r>
        <w:rPr>
          <w:color w:val="231F20"/>
          <w:w w:val="110"/>
        </w:rPr>
        <w:t>posteriormente</w:t>
      </w:r>
      <w:r>
        <w:rPr>
          <w:color w:val="231F20"/>
          <w:spacing w:val="-4"/>
          <w:w w:val="110"/>
        </w:rPr>
        <w:t> </w:t>
      </w:r>
      <w:r>
        <w:rPr>
          <w:color w:val="231F20"/>
          <w:w w:val="110"/>
        </w:rPr>
        <w:t>no</w:t>
      </w:r>
      <w:r>
        <w:rPr>
          <w:color w:val="231F20"/>
          <w:spacing w:val="-4"/>
          <w:w w:val="110"/>
        </w:rPr>
        <w:t> </w:t>
      </w:r>
      <w:r>
        <w:rPr>
          <w:color w:val="231F20"/>
          <w:w w:val="110"/>
        </w:rPr>
        <w:t>pudieran</w:t>
      </w:r>
      <w:r>
        <w:rPr>
          <w:color w:val="231F20"/>
          <w:spacing w:val="-4"/>
          <w:w w:val="110"/>
        </w:rPr>
        <w:t> </w:t>
      </w:r>
      <w:r>
        <w:rPr>
          <w:color w:val="231F20"/>
          <w:w w:val="110"/>
        </w:rPr>
        <w:t>retomar</w:t>
      </w:r>
      <w:r>
        <w:rPr>
          <w:color w:val="231F20"/>
          <w:spacing w:val="-4"/>
          <w:w w:val="110"/>
        </w:rPr>
        <w:t> </w:t>
      </w:r>
      <w:r>
        <w:rPr>
          <w:color w:val="231F20"/>
          <w:w w:val="110"/>
        </w:rPr>
        <w:t>sus</w:t>
      </w:r>
      <w:r>
        <w:rPr>
          <w:color w:val="231F20"/>
          <w:spacing w:val="-4"/>
          <w:w w:val="110"/>
        </w:rPr>
        <w:t> </w:t>
      </w:r>
      <w:r>
        <w:rPr>
          <w:color w:val="231F20"/>
          <w:w w:val="110"/>
        </w:rPr>
        <w:t>estudios.</w:t>
      </w:r>
      <w:r>
        <w:rPr>
          <w:color w:val="231F20"/>
          <w:spacing w:val="-4"/>
          <w:w w:val="110"/>
        </w:rPr>
        <w:t> </w:t>
      </w:r>
      <w:r>
        <w:rPr>
          <w:color w:val="231F20"/>
          <w:w w:val="110"/>
        </w:rPr>
        <w:t>Sin</w:t>
      </w:r>
      <w:r>
        <w:rPr>
          <w:color w:val="231F20"/>
          <w:spacing w:val="-4"/>
          <w:w w:val="110"/>
        </w:rPr>
        <w:t> </w:t>
      </w:r>
      <w:r>
        <w:rPr>
          <w:color w:val="231F20"/>
          <w:w w:val="110"/>
        </w:rPr>
        <w:t>em- bargo,</w:t>
      </w:r>
      <w:r>
        <w:rPr>
          <w:color w:val="231F20"/>
          <w:spacing w:val="-7"/>
          <w:w w:val="110"/>
        </w:rPr>
        <w:t> </w:t>
      </w:r>
      <w:r>
        <w:rPr>
          <w:color w:val="231F20"/>
          <w:w w:val="110"/>
        </w:rPr>
        <w:t>la</w:t>
      </w:r>
      <w:r>
        <w:rPr>
          <w:color w:val="231F20"/>
          <w:spacing w:val="-7"/>
          <w:w w:val="110"/>
        </w:rPr>
        <w:t> </w:t>
      </w:r>
      <w:r>
        <w:rPr>
          <w:color w:val="231F20"/>
          <w:w w:val="110"/>
        </w:rPr>
        <w:t>estratificación</w:t>
      </w:r>
      <w:r>
        <w:rPr>
          <w:color w:val="231F20"/>
          <w:spacing w:val="-7"/>
          <w:w w:val="110"/>
        </w:rPr>
        <w:t> </w:t>
      </w:r>
      <w:r>
        <w:rPr>
          <w:color w:val="231F20"/>
          <w:w w:val="110"/>
        </w:rPr>
        <w:t>actual</w:t>
      </w:r>
      <w:r>
        <w:rPr>
          <w:color w:val="231F20"/>
          <w:spacing w:val="-7"/>
          <w:w w:val="110"/>
        </w:rPr>
        <w:t> </w:t>
      </w:r>
      <w:r>
        <w:rPr>
          <w:color w:val="231F20"/>
          <w:w w:val="110"/>
        </w:rPr>
        <w:t>del</w:t>
      </w:r>
      <w:r>
        <w:rPr>
          <w:color w:val="231F20"/>
          <w:spacing w:val="-7"/>
          <w:w w:val="110"/>
        </w:rPr>
        <w:t> </w:t>
      </w:r>
      <w:r>
        <w:rPr>
          <w:color w:val="231F20"/>
          <w:w w:val="110"/>
        </w:rPr>
        <w:t>nivel</w:t>
      </w:r>
      <w:r>
        <w:rPr>
          <w:color w:val="231F20"/>
          <w:spacing w:val="-7"/>
          <w:w w:val="110"/>
        </w:rPr>
        <w:t> </w:t>
      </w:r>
      <w:r>
        <w:rPr>
          <w:color w:val="231F20"/>
          <w:w w:val="110"/>
        </w:rPr>
        <w:t>medio</w:t>
      </w:r>
      <w:r>
        <w:rPr>
          <w:color w:val="231F20"/>
          <w:spacing w:val="-7"/>
          <w:w w:val="110"/>
        </w:rPr>
        <w:t> </w:t>
      </w:r>
      <w:r>
        <w:rPr>
          <w:color w:val="231F20"/>
          <w:w w:val="110"/>
        </w:rPr>
        <w:t>superior</w:t>
      </w:r>
      <w:r>
        <w:rPr>
          <w:color w:val="231F20"/>
          <w:spacing w:val="-7"/>
          <w:w w:val="110"/>
        </w:rPr>
        <w:t> </w:t>
      </w:r>
      <w:r>
        <w:rPr>
          <w:color w:val="231F20"/>
          <w:w w:val="110"/>
        </w:rPr>
        <w:t>no</w:t>
      </w:r>
      <w:r>
        <w:rPr>
          <w:color w:val="231F20"/>
          <w:spacing w:val="-7"/>
          <w:w w:val="110"/>
        </w:rPr>
        <w:t> </w:t>
      </w:r>
      <w:r>
        <w:rPr>
          <w:color w:val="231F20"/>
          <w:w w:val="110"/>
        </w:rPr>
        <w:t>permite</w:t>
      </w:r>
      <w:r>
        <w:rPr>
          <w:color w:val="231F20"/>
          <w:spacing w:val="-7"/>
          <w:w w:val="110"/>
        </w:rPr>
        <w:t> </w:t>
      </w:r>
      <w:r>
        <w:rPr>
          <w:color w:val="231F20"/>
          <w:w w:val="110"/>
        </w:rPr>
        <w:t>transfe- rir los cursos tomados previamente de una institución a otra, por lo que si un joven quisiera regresar a la escuela tendría muchas veces que hacerlo comenzando de</w:t>
      </w:r>
      <w:r>
        <w:rPr>
          <w:color w:val="231F20"/>
          <w:spacing w:val="34"/>
          <w:w w:val="110"/>
        </w:rPr>
        <w:t> </w:t>
      </w:r>
      <w:r>
        <w:rPr>
          <w:color w:val="231F20"/>
          <w:w w:val="110"/>
        </w:rPr>
        <w:t>nuevo.</w:t>
      </w:r>
    </w:p>
    <w:p>
      <w:pPr>
        <w:pStyle w:val="BodyText"/>
        <w:spacing w:line="288" w:lineRule="auto"/>
        <w:ind w:left="100" w:right="117" w:firstLine="360"/>
        <w:jc w:val="both"/>
      </w:pPr>
      <w:r>
        <w:rPr>
          <w:color w:val="231F20"/>
          <w:w w:val="110"/>
        </w:rPr>
        <w:t>Además, es notable que en casi todas las categorías de los niveles me- dio superior y superior las proporciones de mujeres sean mayores, lo cual refleja una disminución en la brecha de acceso a la escuela que existía en décadas anteriores.</w:t>
      </w:r>
    </w:p>
    <w:p>
      <w:pPr>
        <w:pStyle w:val="BodyText"/>
        <w:spacing w:line="288" w:lineRule="auto"/>
        <w:ind w:left="100" w:right="114" w:firstLine="360"/>
        <w:jc w:val="both"/>
      </w:pPr>
      <w:r>
        <w:rPr>
          <w:color w:val="231F20"/>
          <w:w w:val="110"/>
        </w:rPr>
        <w:t>Las diferencias de escolaridad entre los unidos y no unidos revelan que al transitar a la adultez cuando se ha tenido una unión conyugal se disminuyen las posibilidades de educación, lo cual está asociado con la incorporación a trabajos de baja calificación y en condiciones precarias. Si bien en la entidad mexiquense se han hecho esfuerzos importantes por incrementar</w:t>
      </w:r>
      <w:r>
        <w:rPr>
          <w:color w:val="231F20"/>
          <w:spacing w:val="-5"/>
          <w:w w:val="110"/>
        </w:rPr>
        <w:t> </w:t>
      </w:r>
      <w:r>
        <w:rPr>
          <w:color w:val="231F20"/>
          <w:w w:val="110"/>
        </w:rPr>
        <w:t>el</w:t>
      </w:r>
      <w:r>
        <w:rPr>
          <w:color w:val="231F20"/>
          <w:spacing w:val="-5"/>
          <w:w w:val="110"/>
        </w:rPr>
        <w:t> </w:t>
      </w:r>
      <w:r>
        <w:rPr>
          <w:color w:val="231F20"/>
          <w:w w:val="110"/>
        </w:rPr>
        <w:t>número</w:t>
      </w:r>
      <w:r>
        <w:rPr>
          <w:color w:val="231F20"/>
          <w:spacing w:val="-5"/>
          <w:w w:val="110"/>
        </w:rPr>
        <w:t> </w:t>
      </w:r>
      <w:r>
        <w:rPr>
          <w:color w:val="231F20"/>
          <w:w w:val="110"/>
        </w:rPr>
        <w:t>de</w:t>
      </w:r>
      <w:r>
        <w:rPr>
          <w:color w:val="231F20"/>
          <w:spacing w:val="-5"/>
          <w:w w:val="110"/>
        </w:rPr>
        <w:t> </w:t>
      </w:r>
      <w:r>
        <w:rPr>
          <w:color w:val="231F20"/>
          <w:w w:val="110"/>
        </w:rPr>
        <w:t>espacios</w:t>
      </w:r>
      <w:r>
        <w:rPr>
          <w:color w:val="231F20"/>
          <w:spacing w:val="-5"/>
          <w:w w:val="110"/>
        </w:rPr>
        <w:t> </w:t>
      </w:r>
      <w:r>
        <w:rPr>
          <w:color w:val="231F20"/>
          <w:w w:val="110"/>
        </w:rPr>
        <w:t>en</w:t>
      </w:r>
      <w:r>
        <w:rPr>
          <w:color w:val="231F20"/>
          <w:spacing w:val="-5"/>
          <w:w w:val="110"/>
        </w:rPr>
        <w:t> </w:t>
      </w:r>
      <w:r>
        <w:rPr>
          <w:color w:val="231F20"/>
          <w:w w:val="110"/>
        </w:rPr>
        <w:t>las</w:t>
      </w:r>
      <w:r>
        <w:rPr>
          <w:color w:val="231F20"/>
          <w:spacing w:val="-5"/>
          <w:w w:val="110"/>
        </w:rPr>
        <w:t> </w:t>
      </w:r>
      <w:r>
        <w:rPr>
          <w:color w:val="231F20"/>
          <w:w w:val="110"/>
        </w:rPr>
        <w:t>aulas,</w:t>
      </w:r>
      <w:r>
        <w:rPr>
          <w:color w:val="231F20"/>
          <w:spacing w:val="-5"/>
          <w:w w:val="110"/>
        </w:rPr>
        <w:t> </w:t>
      </w:r>
      <w:r>
        <w:rPr>
          <w:color w:val="231F20"/>
          <w:w w:val="110"/>
        </w:rPr>
        <w:t>es</w:t>
      </w:r>
      <w:r>
        <w:rPr>
          <w:color w:val="231F20"/>
          <w:spacing w:val="-5"/>
          <w:w w:val="110"/>
        </w:rPr>
        <w:t> </w:t>
      </w:r>
      <w:r>
        <w:rPr>
          <w:color w:val="231F20"/>
          <w:w w:val="110"/>
        </w:rPr>
        <w:t>también</w:t>
      </w:r>
      <w:r>
        <w:rPr>
          <w:color w:val="231F20"/>
          <w:spacing w:val="-5"/>
          <w:w w:val="110"/>
        </w:rPr>
        <w:t> </w:t>
      </w:r>
      <w:r>
        <w:rPr>
          <w:color w:val="231F20"/>
          <w:w w:val="110"/>
        </w:rPr>
        <w:t>necesario</w:t>
      </w:r>
      <w:r>
        <w:rPr>
          <w:color w:val="231F20"/>
          <w:spacing w:val="-5"/>
          <w:w w:val="110"/>
        </w:rPr>
        <w:t> </w:t>
      </w:r>
      <w:r>
        <w:rPr>
          <w:color w:val="231F20"/>
          <w:w w:val="110"/>
        </w:rPr>
        <w:t>foca- lizar estos esfuerzos en los jóvenes unidos para que no pierdan la oportu- nidad de estudiar y poder acceder o un mejor empleo, además de atender a la población que no sigue en la escuela por otra serie de razones como  la falta de recursos económicos, desinterés, </w:t>
      </w:r>
      <w:r>
        <w:rPr>
          <w:color w:val="231F20"/>
          <w:spacing w:val="8"/>
          <w:w w:val="110"/>
        </w:rPr>
        <w:t> </w:t>
      </w:r>
      <w:r>
        <w:rPr>
          <w:color w:val="231F20"/>
          <w:w w:val="110"/>
        </w:rPr>
        <w:t>etcétera.</w:t>
      </w:r>
    </w:p>
    <w:p>
      <w:pPr>
        <w:pStyle w:val="BodyText"/>
      </w:pPr>
    </w:p>
    <w:p>
      <w:pPr>
        <w:pStyle w:val="BodyText"/>
        <w:spacing w:before="10"/>
        <w:rPr>
          <w:sz w:val="24"/>
        </w:rPr>
      </w:pPr>
    </w:p>
    <w:p>
      <w:pPr>
        <w:spacing w:before="0"/>
        <w:ind w:left="100" w:right="0" w:firstLine="0"/>
        <w:jc w:val="both"/>
        <w:rPr>
          <w:rFonts w:ascii="Times New Roman"/>
          <w:i/>
          <w:sz w:val="19"/>
        </w:rPr>
      </w:pPr>
      <w:r>
        <w:rPr>
          <w:rFonts w:ascii="Times New Roman"/>
          <w:i/>
          <w:color w:val="231F20"/>
          <w:w w:val="95"/>
          <w:sz w:val="24"/>
        </w:rPr>
        <w:t>C</w:t>
      </w:r>
      <w:r>
        <w:rPr>
          <w:rFonts w:ascii="Times New Roman"/>
          <w:i/>
          <w:color w:val="231F20"/>
          <w:w w:val="95"/>
          <w:sz w:val="19"/>
        </w:rPr>
        <w:t>ONSEGUIR UN EMPLEO</w:t>
      </w:r>
    </w:p>
    <w:p>
      <w:pPr>
        <w:pStyle w:val="BodyText"/>
        <w:spacing w:before="9"/>
        <w:rPr>
          <w:rFonts w:ascii="Times New Roman"/>
          <w:i/>
          <w:sz w:val="27"/>
        </w:rPr>
      </w:pPr>
    </w:p>
    <w:p>
      <w:pPr>
        <w:pStyle w:val="BodyText"/>
        <w:spacing w:line="288" w:lineRule="auto"/>
        <w:ind w:left="100" w:right="117"/>
        <w:jc w:val="both"/>
      </w:pP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actualidad,</w:t>
      </w:r>
      <w:r>
        <w:rPr>
          <w:color w:val="231F20"/>
          <w:spacing w:val="-6"/>
          <w:w w:val="110"/>
        </w:rPr>
        <w:t> </w:t>
      </w:r>
      <w:r>
        <w:rPr>
          <w:color w:val="231F20"/>
          <w:w w:val="110"/>
        </w:rPr>
        <w:t>se</w:t>
      </w:r>
      <w:r>
        <w:rPr>
          <w:color w:val="231F20"/>
          <w:spacing w:val="-6"/>
          <w:w w:val="110"/>
        </w:rPr>
        <w:t> </w:t>
      </w:r>
      <w:r>
        <w:rPr>
          <w:color w:val="231F20"/>
          <w:w w:val="110"/>
        </w:rPr>
        <w:t>cuenta</w:t>
      </w:r>
      <w:r>
        <w:rPr>
          <w:color w:val="231F20"/>
          <w:spacing w:val="-6"/>
          <w:w w:val="110"/>
        </w:rPr>
        <w:t> </w:t>
      </w:r>
      <w:r>
        <w:rPr>
          <w:color w:val="231F20"/>
          <w:w w:val="110"/>
        </w:rPr>
        <w:t>con</w:t>
      </w:r>
      <w:r>
        <w:rPr>
          <w:color w:val="231F20"/>
          <w:spacing w:val="-6"/>
          <w:w w:val="110"/>
        </w:rPr>
        <w:t> </w:t>
      </w:r>
      <w:r>
        <w:rPr>
          <w:color w:val="231F20"/>
          <w:w w:val="110"/>
        </w:rPr>
        <w:t>una</w:t>
      </w:r>
      <w:r>
        <w:rPr>
          <w:color w:val="231F20"/>
          <w:spacing w:val="-6"/>
          <w:w w:val="110"/>
        </w:rPr>
        <w:t> </w:t>
      </w:r>
      <w:r>
        <w:rPr>
          <w:color w:val="231F20"/>
          <w:w w:val="110"/>
        </w:rPr>
        <w:t>variedad</w:t>
      </w:r>
      <w:r>
        <w:rPr>
          <w:color w:val="231F20"/>
          <w:spacing w:val="-6"/>
          <w:w w:val="110"/>
        </w:rPr>
        <w:t> </w:t>
      </w:r>
      <w:r>
        <w:rPr>
          <w:color w:val="231F20"/>
          <w:w w:val="110"/>
        </w:rPr>
        <w:t>importante</w:t>
      </w:r>
      <w:r>
        <w:rPr>
          <w:color w:val="231F20"/>
          <w:spacing w:val="-6"/>
          <w:w w:val="110"/>
        </w:rPr>
        <w:t> </w:t>
      </w:r>
      <w:r>
        <w:rPr>
          <w:color w:val="231F20"/>
          <w:w w:val="110"/>
        </w:rPr>
        <w:t>de</w:t>
      </w:r>
      <w:r>
        <w:rPr>
          <w:color w:val="231F20"/>
          <w:spacing w:val="-6"/>
          <w:w w:val="110"/>
        </w:rPr>
        <w:t> </w:t>
      </w:r>
      <w:r>
        <w:rPr>
          <w:color w:val="231F20"/>
          <w:w w:val="110"/>
        </w:rPr>
        <w:t>estudios</w:t>
      </w:r>
      <w:r>
        <w:rPr>
          <w:color w:val="231F20"/>
          <w:spacing w:val="-6"/>
          <w:w w:val="110"/>
        </w:rPr>
        <w:t> </w:t>
      </w:r>
      <w:r>
        <w:rPr>
          <w:color w:val="231F20"/>
          <w:w w:val="110"/>
        </w:rPr>
        <w:t>acerca del empleo al que acceden los jóvenes en México y en América Latina, los cuales difieren en la selección de edades y en el enfoque que tienen acerca del tema. Navarrete (2001) proporciona una distinción de estos estudios</w:t>
      </w:r>
      <w:r>
        <w:rPr>
          <w:color w:val="231F20"/>
          <w:spacing w:val="-7"/>
          <w:w w:val="110"/>
        </w:rPr>
        <w:t> </w:t>
      </w:r>
      <w:r>
        <w:rPr>
          <w:color w:val="231F20"/>
          <w:w w:val="110"/>
        </w:rPr>
        <w:t>y considera que se pueden diferenciar en dos tipos: el agregado de indivi- duos y las unidades domésticas de las cuales forman parte. El primer tipo estima la participación y tendencia de mano de obra de los jóvenes; el se- gundo analiza la presencia de éstos en el mercado laboral como parte de las estrategias de sobrevivencia familiar. Por otra parte, también hay algu- nos</w:t>
      </w:r>
      <w:r>
        <w:rPr>
          <w:color w:val="231F20"/>
          <w:spacing w:val="18"/>
          <w:w w:val="110"/>
        </w:rPr>
        <w:t> </w:t>
      </w:r>
      <w:r>
        <w:rPr>
          <w:color w:val="231F20"/>
          <w:w w:val="110"/>
        </w:rPr>
        <w:t>trabajos</w:t>
      </w:r>
      <w:r>
        <w:rPr>
          <w:color w:val="231F20"/>
          <w:spacing w:val="18"/>
          <w:w w:val="110"/>
        </w:rPr>
        <w:t> </w:t>
      </w:r>
      <w:r>
        <w:rPr>
          <w:color w:val="231F20"/>
          <w:w w:val="110"/>
        </w:rPr>
        <w:t>que</w:t>
      </w:r>
      <w:r>
        <w:rPr>
          <w:color w:val="231F20"/>
          <w:spacing w:val="18"/>
          <w:w w:val="110"/>
        </w:rPr>
        <w:t> </w:t>
      </w:r>
      <w:r>
        <w:rPr>
          <w:color w:val="231F20"/>
          <w:w w:val="110"/>
        </w:rPr>
        <w:t>abordan</w:t>
      </w:r>
      <w:r>
        <w:rPr>
          <w:color w:val="231F20"/>
          <w:spacing w:val="18"/>
          <w:w w:val="110"/>
        </w:rPr>
        <w:t> </w:t>
      </w:r>
      <w:r>
        <w:rPr>
          <w:color w:val="231F20"/>
          <w:w w:val="110"/>
        </w:rPr>
        <w:t>el</w:t>
      </w:r>
      <w:r>
        <w:rPr>
          <w:color w:val="231F20"/>
          <w:spacing w:val="18"/>
          <w:w w:val="110"/>
        </w:rPr>
        <w:t> </w:t>
      </w:r>
      <w:r>
        <w:rPr>
          <w:color w:val="231F20"/>
          <w:w w:val="110"/>
        </w:rPr>
        <w:t>tema</w:t>
      </w:r>
      <w:r>
        <w:rPr>
          <w:color w:val="231F20"/>
          <w:spacing w:val="18"/>
          <w:w w:val="110"/>
        </w:rPr>
        <w:t> </w:t>
      </w:r>
      <w:r>
        <w:rPr>
          <w:color w:val="231F20"/>
          <w:w w:val="110"/>
        </w:rPr>
        <w:t>bajo</w:t>
      </w:r>
      <w:r>
        <w:rPr>
          <w:color w:val="231F20"/>
          <w:spacing w:val="18"/>
          <w:w w:val="110"/>
        </w:rPr>
        <w:t> </w:t>
      </w:r>
      <w:r>
        <w:rPr>
          <w:color w:val="231F20"/>
          <w:w w:val="110"/>
        </w:rPr>
        <w:t>un</w:t>
      </w:r>
      <w:r>
        <w:rPr>
          <w:color w:val="231F20"/>
          <w:spacing w:val="18"/>
          <w:w w:val="110"/>
        </w:rPr>
        <w:t> </w:t>
      </w:r>
      <w:r>
        <w:rPr>
          <w:color w:val="231F20"/>
          <w:w w:val="110"/>
        </w:rPr>
        <w:t>enfoque</w:t>
      </w:r>
      <w:r>
        <w:rPr>
          <w:color w:val="231F20"/>
          <w:spacing w:val="18"/>
          <w:w w:val="110"/>
        </w:rPr>
        <w:t> </w:t>
      </w:r>
      <w:r>
        <w:rPr>
          <w:color w:val="231F20"/>
          <w:w w:val="110"/>
        </w:rPr>
        <w:t>de</w:t>
      </w:r>
      <w:r>
        <w:rPr>
          <w:color w:val="231F20"/>
          <w:spacing w:val="18"/>
          <w:w w:val="110"/>
        </w:rPr>
        <w:t> </w:t>
      </w:r>
      <w:r>
        <w:rPr>
          <w:color w:val="231F20"/>
          <w:w w:val="110"/>
        </w:rPr>
        <w:t>precarización,</w:t>
      </w:r>
      <w:r>
        <w:rPr>
          <w:color w:val="231F20"/>
          <w:spacing w:val="18"/>
          <w:w w:val="110"/>
        </w:rPr>
        <w:t> </w:t>
      </w:r>
      <w:r>
        <w:rPr>
          <w:color w:val="231F20"/>
          <w:w w:val="110"/>
        </w:rPr>
        <w:t>dis-</w:t>
      </w:r>
    </w:p>
    <w:p>
      <w:pPr>
        <w:spacing w:after="0" w:line="288" w:lineRule="auto"/>
        <w:jc w:val="both"/>
        <w:sectPr>
          <w:footerReference w:type="default" r:id="rId112"/>
          <w:footerReference w:type="even" r:id="rId113"/>
          <w:pgSz w:w="9520" w:h="12920"/>
          <w:pgMar w:footer="1344" w:header="0" w:top="880" w:bottom="1540" w:left="1020" w:right="1320"/>
          <w:pgNumType w:start="113"/>
        </w:sectPr>
      </w:pPr>
    </w:p>
    <w:p>
      <w:pPr>
        <w:pStyle w:val="BodyText"/>
        <w:spacing w:line="280" w:lineRule="auto" w:before="42"/>
        <w:ind w:left="124" w:right="112"/>
        <w:jc w:val="both"/>
      </w:pPr>
      <w:r>
        <w:rPr>
          <w:color w:val="231F20"/>
          <w:w w:val="110"/>
        </w:rPr>
        <w:t>cutiendo en torno a las precarias condiciones laborales de los jóvenes y </w:t>
      </w:r>
      <w:r>
        <w:rPr>
          <w:color w:val="231F20"/>
          <w:spacing w:val="5"/>
          <w:w w:val="110"/>
        </w:rPr>
        <w:t>considerando </w:t>
      </w:r>
      <w:r>
        <w:rPr>
          <w:color w:val="231F20"/>
          <w:spacing w:val="4"/>
          <w:w w:val="110"/>
        </w:rPr>
        <w:t>que éstas </w:t>
      </w:r>
      <w:r>
        <w:rPr>
          <w:color w:val="231F20"/>
          <w:spacing w:val="5"/>
          <w:w w:val="110"/>
        </w:rPr>
        <w:t>pueden acentuarse </w:t>
      </w:r>
      <w:r>
        <w:rPr>
          <w:color w:val="231F20"/>
          <w:spacing w:val="4"/>
          <w:w w:val="110"/>
        </w:rPr>
        <w:t>con </w:t>
      </w:r>
      <w:r>
        <w:rPr>
          <w:color w:val="231F20"/>
          <w:spacing w:val="3"/>
          <w:w w:val="110"/>
        </w:rPr>
        <w:t>el </w:t>
      </w:r>
      <w:r>
        <w:rPr>
          <w:color w:val="231F20"/>
          <w:spacing w:val="5"/>
          <w:w w:val="110"/>
        </w:rPr>
        <w:t>abandono escolar </w:t>
      </w:r>
      <w:r>
        <w:rPr>
          <w:color w:val="231F20"/>
          <w:spacing w:val="2"/>
          <w:w w:val="110"/>
        </w:rPr>
        <w:t>(De </w:t>
      </w:r>
      <w:r>
        <w:rPr>
          <w:color w:val="231F20"/>
          <w:w w:val="110"/>
        </w:rPr>
        <w:t>Oliveira, 2006). Otro tipo de estudio con el que se cuenta en la actuali- </w:t>
      </w:r>
      <w:r>
        <w:rPr>
          <w:color w:val="231F20"/>
          <w:spacing w:val="-3"/>
          <w:w w:val="110"/>
        </w:rPr>
        <w:t>dad </w:t>
      </w:r>
      <w:r>
        <w:rPr>
          <w:color w:val="231F20"/>
          <w:w w:val="110"/>
        </w:rPr>
        <w:t>es el </w:t>
      </w:r>
      <w:r>
        <w:rPr>
          <w:color w:val="231F20"/>
          <w:spacing w:val="-3"/>
          <w:w w:val="110"/>
        </w:rPr>
        <w:t>que </w:t>
      </w:r>
      <w:r>
        <w:rPr>
          <w:color w:val="231F20"/>
          <w:spacing w:val="-4"/>
          <w:w w:val="110"/>
        </w:rPr>
        <w:t>vincula directamente </w:t>
      </w:r>
      <w:r>
        <w:rPr>
          <w:color w:val="231F20"/>
          <w:w w:val="110"/>
        </w:rPr>
        <w:t>la </w:t>
      </w:r>
      <w:r>
        <w:rPr>
          <w:color w:val="231F20"/>
          <w:spacing w:val="-4"/>
          <w:w w:val="110"/>
        </w:rPr>
        <w:t>educación </w:t>
      </w:r>
      <w:r>
        <w:rPr>
          <w:color w:val="231F20"/>
          <w:w w:val="110"/>
        </w:rPr>
        <w:t>de </w:t>
      </w:r>
      <w:r>
        <w:rPr>
          <w:color w:val="231F20"/>
          <w:spacing w:val="-3"/>
          <w:w w:val="110"/>
        </w:rPr>
        <w:t>los </w:t>
      </w:r>
      <w:r>
        <w:rPr>
          <w:color w:val="231F20"/>
          <w:spacing w:val="-4"/>
          <w:w w:val="110"/>
        </w:rPr>
        <w:t>jóvenes </w:t>
      </w:r>
      <w:r>
        <w:rPr>
          <w:color w:val="231F20"/>
          <w:spacing w:val="-3"/>
          <w:w w:val="110"/>
        </w:rPr>
        <w:t>con </w:t>
      </w:r>
      <w:r>
        <w:rPr>
          <w:color w:val="231F20"/>
          <w:w w:val="110"/>
        </w:rPr>
        <w:t>el</w:t>
      </w:r>
      <w:r>
        <w:rPr>
          <w:color w:val="231F20"/>
          <w:spacing w:val="-8"/>
          <w:w w:val="110"/>
        </w:rPr>
        <w:t> </w:t>
      </w:r>
      <w:r>
        <w:rPr>
          <w:color w:val="231F20"/>
          <w:spacing w:val="-4"/>
          <w:w w:val="110"/>
        </w:rPr>
        <w:t>trabajo, </w:t>
      </w:r>
      <w:r>
        <w:rPr>
          <w:color w:val="231F20"/>
          <w:w w:val="110"/>
        </w:rPr>
        <w:t>considera a la educación como un factor de movilidad social que permite la</w:t>
      </w:r>
      <w:r>
        <w:rPr>
          <w:color w:val="231F20"/>
          <w:spacing w:val="-8"/>
          <w:w w:val="110"/>
        </w:rPr>
        <w:t> </w:t>
      </w:r>
      <w:r>
        <w:rPr>
          <w:color w:val="231F20"/>
          <w:w w:val="110"/>
        </w:rPr>
        <w:t>mejora</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calidad</w:t>
      </w:r>
      <w:r>
        <w:rPr>
          <w:color w:val="231F20"/>
          <w:spacing w:val="-8"/>
          <w:w w:val="110"/>
        </w:rPr>
        <w:t> </w:t>
      </w:r>
      <w:r>
        <w:rPr>
          <w:color w:val="231F20"/>
          <w:w w:val="110"/>
        </w:rPr>
        <w:t>de</w:t>
      </w:r>
      <w:r>
        <w:rPr>
          <w:color w:val="231F20"/>
          <w:spacing w:val="-8"/>
          <w:w w:val="110"/>
        </w:rPr>
        <w:t> </w:t>
      </w:r>
      <w:r>
        <w:rPr>
          <w:color w:val="231F20"/>
          <w:w w:val="110"/>
        </w:rPr>
        <w:t>vida</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jóvenes</w:t>
      </w:r>
      <w:r>
        <w:rPr>
          <w:color w:val="231F20"/>
          <w:spacing w:val="-8"/>
          <w:w w:val="110"/>
        </w:rPr>
        <w:t> </w:t>
      </w:r>
      <w:r>
        <w:rPr>
          <w:color w:val="231F20"/>
          <w:w w:val="110"/>
        </w:rPr>
        <w:t>(Pieck,</w:t>
      </w:r>
      <w:r>
        <w:rPr>
          <w:color w:val="231F20"/>
          <w:spacing w:val="-8"/>
          <w:w w:val="110"/>
        </w:rPr>
        <w:t> </w:t>
      </w:r>
      <w:r>
        <w:rPr>
          <w:color w:val="231F20"/>
          <w:w w:val="110"/>
        </w:rPr>
        <w:t>2001).</w:t>
      </w:r>
      <w:r>
        <w:rPr>
          <w:color w:val="231F20"/>
          <w:spacing w:val="-8"/>
          <w:w w:val="110"/>
        </w:rPr>
        <w:t> </w:t>
      </w:r>
      <w:r>
        <w:rPr>
          <w:color w:val="231F20"/>
          <w:w w:val="110"/>
        </w:rPr>
        <w:t>A</w:t>
      </w:r>
      <w:r>
        <w:rPr>
          <w:color w:val="231F20"/>
          <w:spacing w:val="-8"/>
          <w:w w:val="110"/>
        </w:rPr>
        <w:t> </w:t>
      </w:r>
      <w:r>
        <w:rPr>
          <w:color w:val="231F20"/>
          <w:w w:val="110"/>
        </w:rPr>
        <w:t>las</w:t>
      </w:r>
      <w:r>
        <w:rPr>
          <w:color w:val="231F20"/>
          <w:spacing w:val="-8"/>
          <w:w w:val="110"/>
        </w:rPr>
        <w:t> </w:t>
      </w:r>
      <w:r>
        <w:rPr>
          <w:color w:val="231F20"/>
          <w:w w:val="110"/>
        </w:rPr>
        <w:t>anteriores clasificaciones, además hay que agregar los estudios que vinculan la hete- rogeneidad de los mercados laborales y la calidad del empleo (García y   De Oliveira, 2001; Sánchez, 2011) y las que se refieren a la incorporación del mercado laboral por parte de los jóvenes como un proceso de transi- ción a la adultez (Giorguli, varios años; Ariza y De Oliveira, 2001; Filardo 2011), enfoque que se utiliza en la presente</w:t>
      </w:r>
      <w:r>
        <w:rPr>
          <w:color w:val="231F20"/>
          <w:spacing w:val="10"/>
          <w:w w:val="110"/>
        </w:rPr>
        <w:t> </w:t>
      </w:r>
      <w:r>
        <w:rPr>
          <w:color w:val="231F20"/>
          <w:w w:val="110"/>
        </w:rPr>
        <w:t>investigación.</w:t>
      </w:r>
    </w:p>
    <w:p>
      <w:pPr>
        <w:pStyle w:val="BodyText"/>
        <w:spacing w:line="280" w:lineRule="auto"/>
        <w:ind w:left="124" w:right="109" w:firstLine="360"/>
        <w:jc w:val="both"/>
      </w:pPr>
      <w:r>
        <w:rPr>
          <w:color w:val="231F20"/>
          <w:w w:val="110"/>
        </w:rPr>
        <w:t>Las definiciones bajo las cuales se puede estudiar a la población que tiene un empleo o no, son varias, pues difieren de un país a otro, pero re- gularmente siguen las recomendaciones de la Organización Internacional del Trabajo (</w:t>
      </w:r>
      <w:r>
        <w:rPr>
          <w:rFonts w:ascii="Times New Roman" w:hAnsi="Times New Roman"/>
          <w:color w:val="231F20"/>
          <w:w w:val="110"/>
          <w:sz w:val="16"/>
        </w:rPr>
        <w:t>OIT</w:t>
      </w:r>
      <w:r>
        <w:rPr>
          <w:color w:val="231F20"/>
          <w:w w:val="110"/>
        </w:rPr>
        <w:t>) y del sistema de cuentas nacionales y balances de las Naciones Unidas. En México se define a la actividad económica como la “acción</w:t>
      </w:r>
      <w:r>
        <w:rPr>
          <w:color w:val="231F20"/>
          <w:spacing w:val="-4"/>
          <w:w w:val="110"/>
        </w:rPr>
        <w:t> </w:t>
      </w:r>
      <w:r>
        <w:rPr>
          <w:color w:val="231F20"/>
          <w:w w:val="110"/>
        </w:rPr>
        <w:t>destinada</w:t>
      </w:r>
      <w:r>
        <w:rPr>
          <w:color w:val="231F20"/>
          <w:spacing w:val="-4"/>
          <w:w w:val="110"/>
        </w:rPr>
        <w:t> </w:t>
      </w:r>
      <w:r>
        <w:rPr>
          <w:color w:val="231F20"/>
          <w:w w:val="110"/>
        </w:rPr>
        <w:t>a</w:t>
      </w:r>
      <w:r>
        <w:rPr>
          <w:color w:val="231F20"/>
          <w:spacing w:val="-4"/>
          <w:w w:val="110"/>
        </w:rPr>
        <w:t> </w:t>
      </w:r>
      <w:r>
        <w:rPr>
          <w:color w:val="231F20"/>
          <w:w w:val="110"/>
        </w:rPr>
        <w:t>producir</w:t>
      </w:r>
      <w:r>
        <w:rPr>
          <w:color w:val="231F20"/>
          <w:spacing w:val="-4"/>
          <w:w w:val="110"/>
        </w:rPr>
        <w:t> </w:t>
      </w:r>
      <w:r>
        <w:rPr>
          <w:color w:val="231F20"/>
          <w:w w:val="110"/>
        </w:rPr>
        <w:t>bienes</w:t>
      </w:r>
      <w:r>
        <w:rPr>
          <w:color w:val="231F20"/>
          <w:spacing w:val="-4"/>
          <w:w w:val="110"/>
        </w:rPr>
        <w:t> </w:t>
      </w:r>
      <w:r>
        <w:rPr>
          <w:color w:val="231F20"/>
          <w:w w:val="110"/>
        </w:rPr>
        <w:t>y</w:t>
      </w:r>
      <w:r>
        <w:rPr>
          <w:color w:val="231F20"/>
          <w:spacing w:val="-4"/>
          <w:w w:val="110"/>
        </w:rPr>
        <w:t> </w:t>
      </w:r>
      <w:r>
        <w:rPr>
          <w:color w:val="231F20"/>
          <w:w w:val="110"/>
        </w:rPr>
        <w:t>servicios</w:t>
      </w:r>
      <w:r>
        <w:rPr>
          <w:color w:val="231F20"/>
          <w:spacing w:val="-4"/>
          <w:w w:val="110"/>
        </w:rPr>
        <w:t> </w:t>
      </w:r>
      <w:r>
        <w:rPr>
          <w:color w:val="231F20"/>
          <w:w w:val="110"/>
        </w:rPr>
        <w:t>para</w:t>
      </w:r>
      <w:r>
        <w:rPr>
          <w:color w:val="231F20"/>
          <w:spacing w:val="-4"/>
          <w:w w:val="110"/>
        </w:rPr>
        <w:t> </w:t>
      </w:r>
      <w:r>
        <w:rPr>
          <w:color w:val="231F20"/>
          <w:w w:val="110"/>
        </w:rPr>
        <w:t>el</w:t>
      </w:r>
      <w:r>
        <w:rPr>
          <w:color w:val="231F20"/>
          <w:spacing w:val="-4"/>
          <w:w w:val="110"/>
        </w:rPr>
        <w:t> </w:t>
      </w:r>
      <w:r>
        <w:rPr>
          <w:color w:val="231F20"/>
          <w:w w:val="110"/>
        </w:rPr>
        <w:t>mercado”.</w:t>
      </w:r>
      <w:r>
        <w:rPr>
          <w:color w:val="231F20"/>
          <w:spacing w:val="-4"/>
          <w:w w:val="110"/>
        </w:rPr>
        <w:t> </w:t>
      </w:r>
      <w:r>
        <w:rPr>
          <w:color w:val="231F20"/>
          <w:w w:val="110"/>
        </w:rPr>
        <w:t>La</w:t>
      </w:r>
      <w:r>
        <w:rPr>
          <w:color w:val="231F20"/>
          <w:spacing w:val="-4"/>
          <w:w w:val="110"/>
        </w:rPr>
        <w:t> </w:t>
      </w:r>
      <w:r>
        <w:rPr>
          <w:color w:val="231F20"/>
          <w:w w:val="110"/>
        </w:rPr>
        <w:t>pobla- ción económicamente activa (</w:t>
      </w:r>
      <w:r>
        <w:rPr>
          <w:rFonts w:ascii="Times New Roman" w:hAnsi="Times New Roman"/>
          <w:color w:val="231F20"/>
          <w:w w:val="110"/>
          <w:sz w:val="16"/>
        </w:rPr>
        <w:t>PEA</w:t>
      </w:r>
      <w:r>
        <w:rPr>
          <w:color w:val="231F20"/>
          <w:w w:val="110"/>
        </w:rPr>
        <w:t>) “son personas de 12 o más años que en la</w:t>
      </w:r>
      <w:r>
        <w:rPr>
          <w:color w:val="231F20"/>
          <w:spacing w:val="-4"/>
          <w:w w:val="110"/>
        </w:rPr>
        <w:t> </w:t>
      </w:r>
      <w:r>
        <w:rPr>
          <w:color w:val="231F20"/>
          <w:w w:val="110"/>
        </w:rPr>
        <w:t>semana</w:t>
      </w:r>
      <w:r>
        <w:rPr>
          <w:color w:val="231F20"/>
          <w:spacing w:val="-4"/>
          <w:w w:val="110"/>
        </w:rPr>
        <w:t> </w:t>
      </w:r>
      <w:r>
        <w:rPr>
          <w:color w:val="231F20"/>
          <w:w w:val="110"/>
        </w:rPr>
        <w:t>de</w:t>
      </w:r>
      <w:r>
        <w:rPr>
          <w:color w:val="231F20"/>
          <w:spacing w:val="-4"/>
          <w:w w:val="110"/>
        </w:rPr>
        <w:t> </w:t>
      </w:r>
      <w:r>
        <w:rPr>
          <w:color w:val="231F20"/>
          <w:w w:val="110"/>
        </w:rPr>
        <w:t>referencia</w:t>
      </w:r>
      <w:r>
        <w:rPr>
          <w:color w:val="231F20"/>
          <w:spacing w:val="-4"/>
          <w:w w:val="110"/>
        </w:rPr>
        <w:t> </w:t>
      </w:r>
      <w:r>
        <w:rPr>
          <w:color w:val="231F20"/>
          <w:w w:val="110"/>
        </w:rPr>
        <w:t>se</w:t>
      </w:r>
      <w:r>
        <w:rPr>
          <w:color w:val="231F20"/>
          <w:spacing w:val="-4"/>
          <w:w w:val="110"/>
        </w:rPr>
        <w:t> </w:t>
      </w:r>
      <w:r>
        <w:rPr>
          <w:color w:val="231F20"/>
          <w:w w:val="110"/>
        </w:rPr>
        <w:t>encontraban</w:t>
      </w:r>
      <w:r>
        <w:rPr>
          <w:color w:val="231F20"/>
          <w:spacing w:val="-4"/>
          <w:w w:val="110"/>
        </w:rPr>
        <w:t> </w:t>
      </w:r>
      <w:r>
        <w:rPr>
          <w:color w:val="231F20"/>
          <w:w w:val="110"/>
        </w:rPr>
        <w:t>ocupadas</w:t>
      </w:r>
      <w:r>
        <w:rPr>
          <w:color w:val="231F20"/>
          <w:spacing w:val="-4"/>
          <w:w w:val="110"/>
        </w:rPr>
        <w:t> </w:t>
      </w:r>
      <w:r>
        <w:rPr>
          <w:color w:val="231F20"/>
          <w:w w:val="110"/>
        </w:rPr>
        <w:t>o</w:t>
      </w:r>
      <w:r>
        <w:rPr>
          <w:color w:val="231F20"/>
          <w:spacing w:val="-4"/>
          <w:w w:val="110"/>
        </w:rPr>
        <w:t> </w:t>
      </w:r>
      <w:r>
        <w:rPr>
          <w:color w:val="231F20"/>
          <w:w w:val="110"/>
        </w:rPr>
        <w:t>desocupadas”.</w:t>
      </w:r>
      <w:r>
        <w:rPr>
          <w:color w:val="231F20"/>
          <w:spacing w:val="-4"/>
          <w:w w:val="110"/>
        </w:rPr>
        <w:t> </w:t>
      </w:r>
      <w:r>
        <w:rPr>
          <w:color w:val="231F20"/>
          <w:w w:val="110"/>
        </w:rPr>
        <w:t>Semana de referencia es el periodo que comprende la semana anterior a la que se realizó</w:t>
      </w:r>
      <w:r>
        <w:rPr>
          <w:color w:val="231F20"/>
          <w:spacing w:val="-14"/>
          <w:w w:val="110"/>
        </w:rPr>
        <w:t> </w:t>
      </w:r>
      <w:r>
        <w:rPr>
          <w:color w:val="231F20"/>
          <w:w w:val="110"/>
        </w:rPr>
        <w:t>la</w:t>
      </w:r>
      <w:r>
        <w:rPr>
          <w:color w:val="231F20"/>
          <w:spacing w:val="-14"/>
          <w:w w:val="110"/>
        </w:rPr>
        <w:t> </w:t>
      </w:r>
      <w:r>
        <w:rPr>
          <w:color w:val="231F20"/>
          <w:w w:val="110"/>
        </w:rPr>
        <w:t>entrevista</w:t>
      </w:r>
      <w:r>
        <w:rPr>
          <w:color w:val="231F20"/>
          <w:spacing w:val="-14"/>
          <w:w w:val="110"/>
        </w:rPr>
        <w:t> </w:t>
      </w:r>
      <w:r>
        <w:rPr>
          <w:color w:val="231F20"/>
          <w:w w:val="110"/>
        </w:rPr>
        <w:t>y</w:t>
      </w:r>
      <w:r>
        <w:rPr>
          <w:color w:val="231F20"/>
          <w:spacing w:val="-14"/>
          <w:w w:val="110"/>
        </w:rPr>
        <w:t> </w:t>
      </w:r>
      <w:r>
        <w:rPr>
          <w:color w:val="231F20"/>
          <w:w w:val="110"/>
        </w:rPr>
        <w:t>a</w:t>
      </w:r>
      <w:r>
        <w:rPr>
          <w:color w:val="231F20"/>
          <w:spacing w:val="-14"/>
          <w:w w:val="110"/>
        </w:rPr>
        <w:t> </w:t>
      </w:r>
      <w:r>
        <w:rPr>
          <w:color w:val="231F20"/>
          <w:w w:val="110"/>
        </w:rPr>
        <w:t>la</w:t>
      </w:r>
      <w:r>
        <w:rPr>
          <w:color w:val="231F20"/>
          <w:spacing w:val="-14"/>
          <w:w w:val="110"/>
        </w:rPr>
        <w:t> </w:t>
      </w:r>
      <w:r>
        <w:rPr>
          <w:color w:val="231F20"/>
          <w:w w:val="110"/>
        </w:rPr>
        <w:t>cual</w:t>
      </w:r>
      <w:r>
        <w:rPr>
          <w:color w:val="231F20"/>
          <w:spacing w:val="-14"/>
          <w:w w:val="110"/>
        </w:rPr>
        <w:t> </w:t>
      </w:r>
      <w:r>
        <w:rPr>
          <w:color w:val="231F20"/>
          <w:w w:val="110"/>
        </w:rPr>
        <w:t>se</w:t>
      </w:r>
      <w:r>
        <w:rPr>
          <w:color w:val="231F20"/>
          <w:spacing w:val="-14"/>
          <w:w w:val="110"/>
        </w:rPr>
        <w:t> </w:t>
      </w:r>
      <w:r>
        <w:rPr>
          <w:color w:val="231F20"/>
          <w:w w:val="110"/>
        </w:rPr>
        <w:t>refieren</w:t>
      </w:r>
      <w:r>
        <w:rPr>
          <w:color w:val="231F20"/>
          <w:spacing w:val="-14"/>
          <w:w w:val="110"/>
        </w:rPr>
        <w:t> </w:t>
      </w:r>
      <w:r>
        <w:rPr>
          <w:color w:val="231F20"/>
          <w:w w:val="110"/>
        </w:rPr>
        <w:t>las</w:t>
      </w:r>
      <w:r>
        <w:rPr>
          <w:color w:val="231F20"/>
          <w:spacing w:val="-14"/>
          <w:w w:val="110"/>
        </w:rPr>
        <w:t> </w:t>
      </w:r>
      <w:r>
        <w:rPr>
          <w:color w:val="231F20"/>
          <w:w w:val="110"/>
        </w:rPr>
        <w:t>características</w:t>
      </w:r>
      <w:r>
        <w:rPr>
          <w:color w:val="231F20"/>
          <w:spacing w:val="-14"/>
          <w:w w:val="110"/>
        </w:rPr>
        <w:t> </w:t>
      </w:r>
      <w:r>
        <w:rPr>
          <w:color w:val="231F20"/>
          <w:w w:val="110"/>
        </w:rPr>
        <w:t>que</w:t>
      </w:r>
      <w:r>
        <w:rPr>
          <w:color w:val="231F20"/>
          <w:spacing w:val="-14"/>
          <w:w w:val="110"/>
        </w:rPr>
        <w:t> </w:t>
      </w:r>
      <w:r>
        <w:rPr>
          <w:color w:val="231F20"/>
          <w:w w:val="110"/>
        </w:rPr>
        <w:t>se</w:t>
      </w:r>
      <w:r>
        <w:rPr>
          <w:color w:val="231F20"/>
          <w:spacing w:val="-14"/>
          <w:w w:val="110"/>
        </w:rPr>
        <w:t> </w:t>
      </w:r>
      <w:r>
        <w:rPr>
          <w:color w:val="231F20"/>
          <w:w w:val="110"/>
        </w:rPr>
        <w:t>captaron de la población activa e inactiva. Ocupado, es la persona que realizó</w:t>
      </w:r>
      <w:r>
        <w:rPr>
          <w:color w:val="231F20"/>
          <w:spacing w:val="-30"/>
          <w:w w:val="110"/>
        </w:rPr>
        <w:t> </w:t>
      </w:r>
      <w:r>
        <w:rPr>
          <w:color w:val="231F20"/>
          <w:w w:val="110"/>
        </w:rPr>
        <w:t>alguna actividad económica, al menos una hora en la semana de referencia a cam- bio de un sueldo, salario o cualquier tipo de pago en especie; incluye a las </w:t>
      </w:r>
      <w:r>
        <w:rPr>
          <w:color w:val="231F20"/>
          <w:spacing w:val="-4"/>
          <w:w w:val="110"/>
        </w:rPr>
        <w:t>personas</w:t>
      </w:r>
      <w:r>
        <w:rPr>
          <w:color w:val="231F20"/>
          <w:spacing w:val="-12"/>
          <w:w w:val="110"/>
        </w:rPr>
        <w:t> </w:t>
      </w:r>
      <w:r>
        <w:rPr>
          <w:color w:val="231F20"/>
          <w:spacing w:val="-3"/>
          <w:w w:val="110"/>
        </w:rPr>
        <w:t>que</w:t>
      </w:r>
      <w:r>
        <w:rPr>
          <w:color w:val="231F20"/>
          <w:spacing w:val="-12"/>
          <w:w w:val="110"/>
        </w:rPr>
        <w:t> </w:t>
      </w:r>
      <w:r>
        <w:rPr>
          <w:color w:val="231F20"/>
          <w:spacing w:val="-4"/>
          <w:w w:val="110"/>
        </w:rPr>
        <w:t>tenían</w:t>
      </w:r>
      <w:r>
        <w:rPr>
          <w:color w:val="231F20"/>
          <w:spacing w:val="-12"/>
          <w:w w:val="110"/>
        </w:rPr>
        <w:t> </w:t>
      </w:r>
      <w:r>
        <w:rPr>
          <w:color w:val="231F20"/>
          <w:spacing w:val="-4"/>
          <w:w w:val="110"/>
        </w:rPr>
        <w:t>trabajo</w:t>
      </w:r>
      <w:r>
        <w:rPr>
          <w:color w:val="231F20"/>
          <w:spacing w:val="-12"/>
          <w:w w:val="110"/>
        </w:rPr>
        <w:t> </w:t>
      </w:r>
      <w:r>
        <w:rPr>
          <w:color w:val="231F20"/>
          <w:spacing w:val="-3"/>
          <w:w w:val="110"/>
        </w:rPr>
        <w:t>pero</w:t>
      </w:r>
      <w:r>
        <w:rPr>
          <w:color w:val="231F20"/>
          <w:spacing w:val="-12"/>
          <w:w w:val="110"/>
        </w:rPr>
        <w:t> </w:t>
      </w:r>
      <w:r>
        <w:rPr>
          <w:color w:val="231F20"/>
          <w:w w:val="110"/>
        </w:rPr>
        <w:t>no</w:t>
      </w:r>
      <w:r>
        <w:rPr>
          <w:color w:val="231F20"/>
          <w:spacing w:val="-12"/>
          <w:w w:val="110"/>
        </w:rPr>
        <w:t> </w:t>
      </w:r>
      <w:r>
        <w:rPr>
          <w:color w:val="231F20"/>
          <w:spacing w:val="-4"/>
          <w:w w:val="110"/>
        </w:rPr>
        <w:t>laboraron</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spacing w:val="-4"/>
          <w:w w:val="110"/>
        </w:rPr>
        <w:t>semana</w:t>
      </w:r>
      <w:r>
        <w:rPr>
          <w:color w:val="231F20"/>
          <w:spacing w:val="-12"/>
          <w:w w:val="110"/>
        </w:rPr>
        <w:t> </w:t>
      </w:r>
      <w:r>
        <w:rPr>
          <w:color w:val="231F20"/>
          <w:w w:val="110"/>
        </w:rPr>
        <w:t>de</w:t>
      </w:r>
      <w:r>
        <w:rPr>
          <w:color w:val="231F20"/>
          <w:spacing w:val="-12"/>
          <w:w w:val="110"/>
        </w:rPr>
        <w:t> </w:t>
      </w:r>
      <w:r>
        <w:rPr>
          <w:color w:val="231F20"/>
          <w:spacing w:val="-4"/>
          <w:w w:val="110"/>
        </w:rPr>
        <w:t>referencia</w:t>
      </w:r>
      <w:r>
        <w:rPr>
          <w:color w:val="231F20"/>
          <w:spacing w:val="-12"/>
          <w:w w:val="110"/>
        </w:rPr>
        <w:t> </w:t>
      </w:r>
      <w:r>
        <w:rPr>
          <w:color w:val="231F20"/>
          <w:spacing w:val="-3"/>
          <w:w w:val="110"/>
        </w:rPr>
        <w:t>por </w:t>
      </w:r>
      <w:r>
        <w:rPr>
          <w:color w:val="231F20"/>
          <w:w w:val="110"/>
        </w:rPr>
        <w:t>alguna causa temporal, sin que hayan perdido el vínculo con su trabajo. Desocupado, es la persona de 12 años o más, que en la semana de refe- rencia no tenía trabajo pero lo buscó activamente. Población no económi- camente activa (</w:t>
      </w:r>
      <w:r>
        <w:rPr>
          <w:rFonts w:ascii="Times New Roman" w:hAnsi="Times New Roman"/>
          <w:color w:val="231F20"/>
          <w:w w:val="110"/>
          <w:sz w:val="16"/>
        </w:rPr>
        <w:t>PNEA</w:t>
      </w:r>
      <w:r>
        <w:rPr>
          <w:color w:val="231F20"/>
          <w:w w:val="110"/>
        </w:rPr>
        <w:t>), está formada por las personas que no</w:t>
      </w:r>
      <w:r>
        <w:rPr>
          <w:color w:val="231F20"/>
          <w:spacing w:val="-28"/>
          <w:w w:val="110"/>
        </w:rPr>
        <w:t> </w:t>
      </w:r>
      <w:r>
        <w:rPr>
          <w:color w:val="231F20"/>
          <w:w w:val="110"/>
        </w:rPr>
        <w:t>intercambian en el mercado el producto de su energía: quienes son exclusivamente es- tudiantes, personas que se dedican a realizar trabajo doméstico, rentistas, jubilados, pensionados, y aquellas que están física y/o mentalmente inca- pacitadas</w:t>
      </w:r>
      <w:r>
        <w:rPr>
          <w:color w:val="231F20"/>
          <w:spacing w:val="-5"/>
          <w:w w:val="110"/>
        </w:rPr>
        <w:t> </w:t>
      </w:r>
      <w:r>
        <w:rPr>
          <w:color w:val="231F20"/>
          <w:w w:val="110"/>
        </w:rPr>
        <w:t>para</w:t>
      </w:r>
      <w:r>
        <w:rPr>
          <w:color w:val="231F20"/>
          <w:spacing w:val="-5"/>
          <w:w w:val="110"/>
        </w:rPr>
        <w:t> </w:t>
      </w:r>
      <w:r>
        <w:rPr>
          <w:color w:val="231F20"/>
          <w:w w:val="110"/>
        </w:rPr>
        <w:t>trabajar</w:t>
      </w:r>
      <w:r>
        <w:rPr>
          <w:color w:val="231F20"/>
          <w:spacing w:val="-5"/>
          <w:w w:val="110"/>
        </w:rPr>
        <w:t> </w:t>
      </w:r>
      <w:r>
        <w:rPr>
          <w:color w:val="231F20"/>
          <w:w w:val="110"/>
        </w:rPr>
        <w:t>(Partida,</w:t>
      </w:r>
      <w:r>
        <w:rPr>
          <w:color w:val="231F20"/>
          <w:spacing w:val="-5"/>
          <w:w w:val="110"/>
        </w:rPr>
        <w:t> </w:t>
      </w:r>
      <w:r>
        <w:rPr>
          <w:color w:val="231F20"/>
          <w:w w:val="110"/>
        </w:rPr>
        <w:t>2011);</w:t>
      </w:r>
      <w:r>
        <w:rPr>
          <w:color w:val="231F20"/>
          <w:spacing w:val="-5"/>
          <w:w w:val="110"/>
        </w:rPr>
        <w:t> </w:t>
      </w:r>
      <w:r>
        <w:rPr>
          <w:color w:val="231F20"/>
          <w:w w:val="110"/>
        </w:rPr>
        <w:t>tratándose</w:t>
      </w:r>
      <w:r>
        <w:rPr>
          <w:color w:val="231F20"/>
          <w:spacing w:val="-5"/>
          <w:w w:val="110"/>
        </w:rPr>
        <w:t> </w:t>
      </w:r>
      <w:r>
        <w:rPr>
          <w:color w:val="231F20"/>
          <w:w w:val="110"/>
        </w:rPr>
        <w:t>de</w:t>
      </w:r>
      <w:r>
        <w:rPr>
          <w:color w:val="231F20"/>
          <w:spacing w:val="-5"/>
          <w:w w:val="110"/>
        </w:rPr>
        <w:t> </w:t>
      </w:r>
      <w:r>
        <w:rPr>
          <w:color w:val="231F20"/>
          <w:w w:val="110"/>
        </w:rPr>
        <w:t>un</w:t>
      </w:r>
      <w:r>
        <w:rPr>
          <w:color w:val="231F20"/>
          <w:spacing w:val="-5"/>
          <w:w w:val="110"/>
        </w:rPr>
        <w:t> </w:t>
      </w:r>
      <w:r>
        <w:rPr>
          <w:color w:val="231F20"/>
          <w:w w:val="110"/>
        </w:rPr>
        <w:t>grupo</w:t>
      </w:r>
      <w:r>
        <w:rPr>
          <w:color w:val="231F20"/>
          <w:spacing w:val="-5"/>
          <w:w w:val="110"/>
        </w:rPr>
        <w:t> </w:t>
      </w:r>
      <w:r>
        <w:rPr>
          <w:color w:val="231F20"/>
          <w:w w:val="110"/>
        </w:rPr>
        <w:t>de</w:t>
      </w:r>
      <w:r>
        <w:rPr>
          <w:color w:val="231F20"/>
          <w:spacing w:val="-5"/>
          <w:w w:val="110"/>
        </w:rPr>
        <w:t> </w:t>
      </w:r>
      <w:r>
        <w:rPr>
          <w:color w:val="231F20"/>
          <w:w w:val="110"/>
        </w:rPr>
        <w:t>jóvenes como el que estamos analizando, la mayoría de la población no económi- camente activa está en esta situación por ser estudiantes de tiempo com- pleto o bien por dedicarse a realizar trabajo</w:t>
      </w:r>
      <w:r>
        <w:rPr>
          <w:color w:val="231F20"/>
          <w:spacing w:val="5"/>
          <w:w w:val="110"/>
        </w:rPr>
        <w:t> </w:t>
      </w:r>
      <w:r>
        <w:rPr>
          <w:color w:val="231F20"/>
          <w:w w:val="110"/>
        </w:rPr>
        <w:t>doméstico.</w:t>
      </w:r>
    </w:p>
    <w:p>
      <w:pPr>
        <w:spacing w:after="0" w:line="280" w:lineRule="auto"/>
        <w:jc w:val="both"/>
        <w:sectPr>
          <w:pgSz w:w="9520" w:h="12920"/>
          <w:pgMar w:header="0" w:footer="1344" w:top="880" w:bottom="1540" w:left="1320" w:right="1000"/>
        </w:sectPr>
      </w:pPr>
    </w:p>
    <w:p>
      <w:pPr>
        <w:pStyle w:val="BodyText"/>
        <w:spacing w:line="288" w:lineRule="auto" w:before="42"/>
        <w:ind w:left="100" w:right="117" w:firstLine="360"/>
        <w:jc w:val="both"/>
      </w:pPr>
      <w:r>
        <w:rPr>
          <w:color w:val="231F20"/>
          <w:w w:val="110"/>
        </w:rPr>
        <w:t>El cuadro siguiente reúne datos acerca de la condición de actividad de los jóvenes mexiquenses en el año 2010. Se muestra si contaron o no con una prestación laboral que les diera servicio médico, lo que habla de la precariedad del empleo y las horas de trabajo a la semana, de acuerdo con la condición de unión, sexo y grupo de  edad.</w:t>
      </w:r>
    </w:p>
    <w:p>
      <w:pPr>
        <w:pStyle w:val="BodyText"/>
        <w:spacing w:line="288" w:lineRule="auto"/>
        <w:ind w:left="100" w:right="118" w:firstLine="360"/>
        <w:jc w:val="both"/>
      </w:pPr>
      <w:r>
        <w:rPr>
          <w:color w:val="231F20"/>
          <w:w w:val="110"/>
        </w:rPr>
        <w:t>La participación más alta en el mercado laboral de los varones de 15 a 19 años, la presentan aquellos que están unidos y son autónomos, estando</w:t>
      </w:r>
    </w:p>
    <w:p>
      <w:pPr>
        <w:pStyle w:val="BodyText"/>
        <w:spacing w:line="288" w:lineRule="auto"/>
        <w:ind w:left="100" w:right="118"/>
        <w:jc w:val="both"/>
      </w:pPr>
      <w:r>
        <w:rPr>
          <w:color w:val="231F20"/>
          <w:w w:val="110"/>
        </w:rPr>
        <w:t>89.3 por ciento ocupados y 5.5 por ciento desocupados, es decir, en busca de un empleo. Esta proporción es importante y elevada con respecto a aquellos que están unidos y no autónomos (79.7 por ciento de ocupados y</w:t>
      </w:r>
    </w:p>
    <w:p>
      <w:pPr>
        <w:pStyle w:val="BodyText"/>
        <w:spacing w:line="288" w:lineRule="auto"/>
        <w:ind w:left="100" w:right="117"/>
        <w:jc w:val="both"/>
      </w:pPr>
      <w:r>
        <w:rPr>
          <w:color w:val="231F20"/>
          <w:w w:val="110"/>
        </w:rPr>
        <w:t>6.0 por ciento desocupados) y lo es más en relación con los que no están unidos, de los cuales sólo 28.3 por ciento tiene un trabajo y 4.8 por ciento de éstos busca incorporarse a alguno. </w:t>
      </w:r>
      <w:r>
        <w:rPr>
          <w:color w:val="231F20"/>
          <w:spacing w:val="3"/>
          <w:w w:val="110"/>
        </w:rPr>
        <w:t>La </w:t>
      </w:r>
      <w:r>
        <w:rPr>
          <w:color w:val="231F20"/>
          <w:w w:val="110"/>
        </w:rPr>
        <w:t>proporción más alta con una prestación de servicio médico la tienen los unidos autónomos con 26.4</w:t>
      </w:r>
      <w:r>
        <w:rPr>
          <w:color w:val="231F20"/>
          <w:spacing w:val="-31"/>
          <w:w w:val="110"/>
        </w:rPr>
        <w:t> </w:t>
      </w:r>
      <w:r>
        <w:rPr>
          <w:color w:val="231F20"/>
          <w:w w:val="110"/>
        </w:rPr>
        <w:t>por ciento, lo cual nos habla de que poco más de 70 por ciento de los jóvenes que se hacen cargo de una familia no cuentan con atención médica, situa- ción muy preocupante. Por otra parte, este grupo es el que en proporción (55.6 por </w:t>
      </w:r>
      <w:r>
        <w:rPr>
          <w:color w:val="231F20"/>
          <w:spacing w:val="2"/>
          <w:w w:val="110"/>
        </w:rPr>
        <w:t>ciento) </w:t>
      </w:r>
      <w:r>
        <w:rPr>
          <w:color w:val="231F20"/>
          <w:w w:val="110"/>
        </w:rPr>
        <w:t>trabaja más de 48 horas a la semana, </w:t>
      </w:r>
      <w:r>
        <w:rPr>
          <w:color w:val="231F20"/>
          <w:spacing w:val="2"/>
          <w:w w:val="110"/>
        </w:rPr>
        <w:t>seguidos </w:t>
      </w:r>
      <w:r>
        <w:rPr>
          <w:color w:val="231F20"/>
          <w:w w:val="110"/>
        </w:rPr>
        <w:t>de los unidos no autónomos con 29.1 por ciento y finalmente los no unidos, de los cuales sólo 35.4 por ciento se encontró en esta </w:t>
      </w:r>
      <w:r>
        <w:rPr>
          <w:color w:val="231F20"/>
          <w:spacing w:val="39"/>
          <w:w w:val="110"/>
        </w:rPr>
        <w:t> </w:t>
      </w:r>
      <w:r>
        <w:rPr>
          <w:color w:val="231F20"/>
          <w:w w:val="110"/>
        </w:rPr>
        <w:t>situación.</w:t>
      </w:r>
    </w:p>
    <w:p>
      <w:pPr>
        <w:pStyle w:val="BodyText"/>
        <w:spacing w:line="288" w:lineRule="auto"/>
        <w:ind w:left="100" w:right="115" w:firstLine="360"/>
        <w:jc w:val="both"/>
      </w:pPr>
      <w:r>
        <w:rPr>
          <w:color w:val="231F20"/>
          <w:w w:val="110"/>
        </w:rPr>
        <w:t>Las mujeres tienen una dinámica distinta en relación con su participa- ción en el mercado laboral. Las féminas de 15 a 19 años que más trabajan son aquellas que no están unidas (15.2 por ciento), seguidas de las unidas autónomas y de las no autónomas. Aunque las no unidas declararon estar ocupadas en mayor proporción, no parece haber un efecto significativo causado por la unión. Se aprecia que la proporción de población no activa de las unidas autónomas es de 85.6 por ciento, de 84.4 por ciento de las</w:t>
      </w:r>
      <w:r>
        <w:rPr>
          <w:color w:val="231F20"/>
          <w:spacing w:val="-22"/>
          <w:w w:val="110"/>
        </w:rPr>
        <w:t> </w:t>
      </w:r>
      <w:r>
        <w:rPr>
          <w:color w:val="231F20"/>
          <w:w w:val="110"/>
        </w:rPr>
        <w:t>no autónomas y de 79.1 para las no unidas. De estas jóvenes que se encuen- tran fuera del mercado laboral, es muy posible que las unidas se encuen- tren en esta situación debido a la realización de trabajo doméstico, pues recordemos que más de 70 por ciento de éstas tienen al menos un hijo, y en el caso de las no unidas se encuentren así porque permanecen en la escuela.</w:t>
      </w:r>
    </w:p>
    <w:p>
      <w:pPr>
        <w:pStyle w:val="BodyText"/>
        <w:spacing w:line="288" w:lineRule="auto"/>
        <w:ind w:left="100" w:right="117" w:firstLine="360"/>
        <w:jc w:val="both"/>
      </w:pPr>
      <w:r>
        <w:rPr>
          <w:color w:val="231F20"/>
          <w:w w:val="110"/>
        </w:rPr>
        <w:t>Ahora bien, estudiando al grupo de jóvenes de 20 a 24 años de edad, observamos que el patrón de participación permanece para los varones, y se incrementa un poco para los unidos, mientras que para los no unidos</w:t>
      </w:r>
    </w:p>
    <w:p>
      <w:pPr>
        <w:spacing w:after="0" w:line="288" w:lineRule="auto"/>
        <w:jc w:val="both"/>
        <w:sectPr>
          <w:pgSz w:w="9520" w:h="12920"/>
          <w:pgMar w:header="0" w:footer="1344" w:top="880" w:bottom="1540" w:left="1020" w:right="1320"/>
        </w:sectPr>
      </w:pPr>
    </w:p>
    <w:p>
      <w:pPr>
        <w:spacing w:line="185" w:lineRule="exact" w:before="65"/>
        <w:ind w:left="144" w:right="0" w:firstLine="0"/>
        <w:jc w:val="left"/>
        <w:rPr>
          <w:sz w:val="16"/>
        </w:rPr>
      </w:pPr>
      <w:r>
        <w:rPr>
          <w:color w:val="231F20"/>
          <w:w w:val="105"/>
          <w:sz w:val="16"/>
        </w:rPr>
        <w:t>Cuadro 4</w:t>
      </w:r>
    </w:p>
    <w:p>
      <w:pPr>
        <w:spacing w:line="220" w:lineRule="exact" w:before="0"/>
        <w:ind w:left="144" w:right="0" w:firstLine="0"/>
        <w:jc w:val="left"/>
        <w:rPr>
          <w:sz w:val="19"/>
        </w:rPr>
      </w:pPr>
      <w:r>
        <w:rPr>
          <w:color w:val="231F20"/>
          <w:w w:val="90"/>
          <w:sz w:val="19"/>
        </w:rPr>
        <w:t>2010. Estado de México. Características de empleo jóvenes de 15 a 24 años de edad</w:t>
      </w:r>
    </w:p>
    <w:p>
      <w:pPr>
        <w:pStyle w:val="BodyText"/>
        <w:spacing w:before="6"/>
        <w:rPr>
          <w:sz w:val="13"/>
        </w:rPr>
      </w:pPr>
      <w:r>
        <w:rPr/>
        <w:pict>
          <v:group style="position:absolute;margin-left:72.019997pt;margin-top:9.889389pt;width:348.4pt;height:.4pt;mso-position-horizontal-relative:page;mso-position-vertical-relative:paragraph;z-index:2680;mso-wrap-distance-left:0;mso-wrap-distance-right:0" coordorigin="1440,198" coordsize="6968,8">
            <v:line style="position:absolute" from="1444,202" to="4124,202" stroked="true" strokeweight=".4pt" strokecolor="#231f20"/>
            <v:line style="position:absolute" from="4124,202" to="4912,202" stroked="true" strokeweight=".4pt" strokecolor="#231f20"/>
            <v:line style="position:absolute" from="4912,202" to="5721,202" stroked="true" strokeweight=".4pt" strokecolor="#231f20"/>
            <v:line style="position:absolute" from="5721,202" to="6530,202" stroked="true" strokeweight=".4pt" strokecolor="#231f20"/>
            <v:line style="position:absolute" from="6530,202" to="7345,202" stroked="true" strokeweight=".4pt" strokecolor="#231f20"/>
            <v:line style="position:absolute" from="7345,202" to="8404,202" stroked="true" strokeweight=".4pt" strokecolor="#231f20"/>
            <w10:wrap type="topAndBottom"/>
          </v:group>
        </w:pict>
      </w:r>
    </w:p>
    <w:p>
      <w:pPr>
        <w:spacing w:before="55" w:after="78"/>
        <w:ind w:left="3987" w:right="0" w:firstLine="0"/>
        <w:jc w:val="left"/>
        <w:rPr>
          <w:i/>
          <w:sz w:val="17"/>
        </w:rPr>
      </w:pPr>
      <w:r>
        <w:rPr>
          <w:i/>
          <w:color w:val="231F20"/>
          <w:w w:val="105"/>
          <w:sz w:val="17"/>
        </w:rPr>
        <w:t>Grupo de edad 15-19 años</w:t>
      </w:r>
    </w:p>
    <w:p>
      <w:pPr>
        <w:pStyle w:val="BodyText"/>
        <w:spacing w:line="20" w:lineRule="exact"/>
        <w:ind w:left="140"/>
        <w:rPr>
          <w:sz w:val="2"/>
        </w:rPr>
      </w:pPr>
      <w:r>
        <w:rPr>
          <w:sz w:val="2"/>
        </w:rPr>
        <w:pict>
          <v:group style="width:348.4pt;height:.4pt;mso-position-horizontal-relative:char;mso-position-vertical-relative:line" coordorigin="0,0" coordsize="6968,8">
            <v:line style="position:absolute" from="4,4" to="2684,4" stroked="true" strokeweight=".4pt" strokecolor="#231f20"/>
            <v:line style="position:absolute" from="2684,4" to="3472,4" stroked="true" strokeweight=".4pt" strokecolor="#231f20"/>
            <v:line style="position:absolute" from="3472,4" to="4281,4" stroked="true" strokeweight=".4pt" strokecolor="#231f20"/>
            <v:line style="position:absolute" from="4281,4" to="5090,4" stroked="true" strokeweight=".4pt" strokecolor="#231f20"/>
            <v:line style="position:absolute" from="5090,4" to="5905,4" stroked="true" strokeweight=".4pt" strokecolor="#231f20"/>
            <v:line style="position:absolute" from="5905,4" to="6964,4" stroked="true" strokeweight=".4pt" strokecolor="#231f20"/>
          </v:group>
        </w:pict>
      </w:r>
      <w:r>
        <w:rPr>
          <w:sz w:val="2"/>
        </w:rPr>
      </w:r>
    </w:p>
    <w:p>
      <w:pPr>
        <w:tabs>
          <w:tab w:pos="2889" w:val="left" w:leader="none"/>
          <w:tab w:pos="4524" w:val="left" w:leader="none"/>
          <w:tab w:pos="6246" w:val="left" w:leader="none"/>
          <w:tab w:pos="6308" w:val="left" w:leader="none"/>
        </w:tabs>
        <w:spacing w:line="446" w:lineRule="auto" w:before="72"/>
        <w:ind w:left="384" w:right="314" w:firstLine="2853"/>
        <w:jc w:val="left"/>
        <w:rPr>
          <w:i/>
          <w:sz w:val="17"/>
        </w:rPr>
      </w:pPr>
      <w:r>
        <w:rPr/>
        <w:pict>
          <v:group style="position:absolute;margin-left:72.019997pt;margin-top:12.188634pt;width:348.4pt;height:11.4pt;mso-position-horizontal-relative:page;mso-position-vertical-relative:paragraph;z-index:-456160" coordorigin="1440,244" coordsize="6968,228">
            <v:shape style="position:absolute;left:1444;top:354;width:6960;height:2" coordorigin="1444,354" coordsize="6960,0" path="m1444,354l4124,354m4124,354l4912,354m4912,354l5721,354m5721,354l6530,354m6530,354l7345,354m7345,354l8404,354e" filled="false" stroked="true" strokeweight=".4pt" strokecolor="#231f20">
              <v:path arrowok="t"/>
            </v:shape>
            <v:line style="position:absolute" from="4094,268" to="4094,448" stroked="true" strokeweight="2.4pt" strokecolor="#ffffff"/>
            <v:shape style="position:absolute;left:5724;top:268;width:1660;height:180" coordorigin="5724,268" coordsize="1660,180" path="m5724,268l5724,448m7384,268l7384,448e" filled="false" stroked="true" strokeweight="2.4pt" strokecolor="#ffffff">
              <v:path arrowok="t"/>
            </v:shape>
            <w10:wrap type="none"/>
          </v:group>
        </w:pict>
      </w:r>
      <w:r>
        <w:rPr/>
        <w:pict>
          <v:shape style="position:absolute;margin-left:70.470009pt;margin-top:36.170734pt;width:349.75pt;height:169.85pt;mso-position-horizontal-relative:page;mso-position-vertical-relative:paragraph;z-index:275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16"/>
                    <w:gridCol w:w="905"/>
                    <w:gridCol w:w="799"/>
                    <w:gridCol w:w="802"/>
                    <w:gridCol w:w="887"/>
                    <w:gridCol w:w="986"/>
                  </w:tblGrid>
                  <w:tr>
                    <w:trPr>
                      <w:trHeight w:val="513" w:hRule="exact"/>
                    </w:trPr>
                    <w:tc>
                      <w:tcPr>
                        <w:tcW w:w="2616" w:type="dxa"/>
                        <w:tcBorders>
                          <w:top w:val="single" w:sz="3" w:space="0" w:color="231F20"/>
                        </w:tcBorders>
                      </w:tcPr>
                      <w:p>
                        <w:pPr>
                          <w:pStyle w:val="TableParagraph"/>
                          <w:spacing w:line="240" w:lineRule="auto" w:before="84"/>
                          <w:ind w:left="35" w:right="601"/>
                          <w:jc w:val="left"/>
                          <w:rPr>
                            <w:i/>
                            <w:sz w:val="17"/>
                          </w:rPr>
                        </w:pPr>
                        <w:r>
                          <w:rPr>
                            <w:i/>
                            <w:color w:val="231F20"/>
                            <w:w w:val="105"/>
                            <w:sz w:val="17"/>
                          </w:rPr>
                          <w:t>Condición de actividad</w:t>
                        </w:r>
                      </w:p>
                      <w:p>
                        <w:pPr>
                          <w:pStyle w:val="TableParagraph"/>
                          <w:spacing w:line="240" w:lineRule="auto" w:before="10"/>
                          <w:ind w:left="35" w:right="601"/>
                          <w:jc w:val="left"/>
                          <w:rPr>
                            <w:sz w:val="17"/>
                          </w:rPr>
                        </w:pPr>
                        <w:r>
                          <w:rPr>
                            <w:color w:val="231F20"/>
                            <w:w w:val="110"/>
                            <w:sz w:val="17"/>
                          </w:rPr>
                          <w:t>ocupado</w:t>
                        </w:r>
                      </w:p>
                    </w:tc>
                    <w:tc>
                      <w:tcPr>
                        <w:tcW w:w="905" w:type="dxa"/>
                        <w:tcBorders>
                          <w:top w:val="single" w:sz="3" w:space="0" w:color="231F20"/>
                        </w:tcBorders>
                      </w:tcPr>
                      <w:p>
                        <w:pPr>
                          <w:pStyle w:val="TableParagraph"/>
                          <w:spacing w:line="240" w:lineRule="auto"/>
                          <w:jc w:val="left"/>
                          <w:rPr>
                            <w:sz w:val="16"/>
                          </w:rPr>
                        </w:pPr>
                      </w:p>
                      <w:p>
                        <w:pPr>
                          <w:pStyle w:val="TableParagraph"/>
                          <w:spacing w:line="240" w:lineRule="auto" w:before="106"/>
                          <w:ind w:right="237"/>
                          <w:jc w:val="right"/>
                          <w:rPr>
                            <w:sz w:val="17"/>
                          </w:rPr>
                        </w:pPr>
                        <w:r>
                          <w:rPr>
                            <w:color w:val="231F20"/>
                            <w:sz w:val="17"/>
                          </w:rPr>
                          <w:t>28.3</w:t>
                        </w:r>
                      </w:p>
                    </w:tc>
                    <w:tc>
                      <w:tcPr>
                        <w:tcW w:w="799" w:type="dxa"/>
                        <w:tcBorders>
                          <w:top w:val="single" w:sz="3" w:space="0" w:color="231F20"/>
                        </w:tcBorders>
                      </w:tcPr>
                      <w:p>
                        <w:pPr>
                          <w:pStyle w:val="TableParagraph"/>
                          <w:spacing w:line="240" w:lineRule="auto"/>
                          <w:jc w:val="left"/>
                          <w:rPr>
                            <w:sz w:val="16"/>
                          </w:rPr>
                        </w:pPr>
                      </w:p>
                      <w:p>
                        <w:pPr>
                          <w:pStyle w:val="TableParagraph"/>
                          <w:spacing w:line="240" w:lineRule="auto" w:before="106"/>
                          <w:ind w:left="216" w:right="207"/>
                          <w:rPr>
                            <w:sz w:val="17"/>
                          </w:rPr>
                        </w:pPr>
                        <w:r>
                          <w:rPr>
                            <w:color w:val="231F20"/>
                            <w:w w:val="105"/>
                            <w:sz w:val="17"/>
                          </w:rPr>
                          <w:t>15.2</w:t>
                        </w:r>
                      </w:p>
                    </w:tc>
                    <w:tc>
                      <w:tcPr>
                        <w:tcW w:w="802" w:type="dxa"/>
                        <w:tcBorders>
                          <w:top w:val="single" w:sz="3" w:space="0" w:color="231F20"/>
                        </w:tcBorders>
                      </w:tcPr>
                      <w:p>
                        <w:pPr>
                          <w:pStyle w:val="TableParagraph"/>
                          <w:spacing w:line="240" w:lineRule="auto"/>
                          <w:jc w:val="left"/>
                          <w:rPr>
                            <w:sz w:val="16"/>
                          </w:rPr>
                        </w:pPr>
                      </w:p>
                      <w:p>
                        <w:pPr>
                          <w:pStyle w:val="TableParagraph"/>
                          <w:spacing w:line="240" w:lineRule="auto" w:before="106"/>
                          <w:ind w:right="240"/>
                          <w:jc w:val="right"/>
                          <w:rPr>
                            <w:sz w:val="17"/>
                          </w:rPr>
                        </w:pPr>
                        <w:r>
                          <w:rPr>
                            <w:color w:val="231F20"/>
                            <w:sz w:val="17"/>
                          </w:rPr>
                          <w:t>89.3</w:t>
                        </w:r>
                      </w:p>
                    </w:tc>
                    <w:tc>
                      <w:tcPr>
                        <w:tcW w:w="887" w:type="dxa"/>
                        <w:tcBorders>
                          <w:top w:val="single" w:sz="3" w:space="0" w:color="231F20"/>
                        </w:tcBorders>
                      </w:tcPr>
                      <w:p>
                        <w:pPr>
                          <w:pStyle w:val="TableParagraph"/>
                          <w:spacing w:line="240" w:lineRule="auto"/>
                          <w:jc w:val="left"/>
                          <w:rPr>
                            <w:sz w:val="16"/>
                          </w:rPr>
                        </w:pPr>
                      </w:p>
                      <w:p>
                        <w:pPr>
                          <w:pStyle w:val="TableParagraph"/>
                          <w:spacing w:line="240" w:lineRule="auto" w:before="106"/>
                          <w:ind w:right="312"/>
                          <w:jc w:val="right"/>
                          <w:rPr>
                            <w:sz w:val="17"/>
                          </w:rPr>
                        </w:pPr>
                        <w:r>
                          <w:rPr>
                            <w:color w:val="231F20"/>
                            <w:sz w:val="17"/>
                          </w:rPr>
                          <w:t>13.0</w:t>
                        </w:r>
                      </w:p>
                    </w:tc>
                    <w:tc>
                      <w:tcPr>
                        <w:tcW w:w="986" w:type="dxa"/>
                        <w:tcBorders>
                          <w:top w:val="single" w:sz="3" w:space="0" w:color="231F20"/>
                        </w:tcBorders>
                      </w:tcPr>
                      <w:p>
                        <w:pPr>
                          <w:pStyle w:val="TableParagraph"/>
                          <w:spacing w:line="240" w:lineRule="auto"/>
                          <w:jc w:val="left"/>
                          <w:rPr>
                            <w:sz w:val="16"/>
                          </w:rPr>
                        </w:pPr>
                      </w:p>
                      <w:p>
                        <w:pPr>
                          <w:pStyle w:val="TableParagraph"/>
                          <w:spacing w:line="240" w:lineRule="auto" w:before="106"/>
                          <w:ind w:left="292" w:right="318"/>
                          <w:rPr>
                            <w:sz w:val="17"/>
                          </w:rPr>
                        </w:pPr>
                        <w:r>
                          <w:rPr>
                            <w:color w:val="231F20"/>
                            <w:w w:val="105"/>
                            <w:sz w:val="17"/>
                          </w:rPr>
                          <w:t>79.7</w:t>
                        </w:r>
                      </w:p>
                    </w:tc>
                  </w:tr>
                  <w:tr>
                    <w:trPr>
                      <w:trHeight w:val="210" w:hRule="exact"/>
                    </w:trPr>
                    <w:tc>
                      <w:tcPr>
                        <w:tcW w:w="2616" w:type="dxa"/>
                      </w:tcPr>
                      <w:p>
                        <w:pPr>
                          <w:pStyle w:val="TableParagraph"/>
                          <w:ind w:left="35" w:right="601"/>
                          <w:jc w:val="left"/>
                          <w:rPr>
                            <w:sz w:val="17"/>
                          </w:rPr>
                        </w:pPr>
                        <w:r>
                          <w:rPr>
                            <w:color w:val="231F20"/>
                            <w:w w:val="110"/>
                            <w:sz w:val="17"/>
                          </w:rPr>
                          <w:t>desocupado</w:t>
                        </w:r>
                      </w:p>
                    </w:tc>
                    <w:tc>
                      <w:tcPr>
                        <w:tcW w:w="905" w:type="dxa"/>
                      </w:tcPr>
                      <w:p>
                        <w:pPr>
                          <w:pStyle w:val="TableParagraph"/>
                          <w:ind w:right="237"/>
                          <w:jc w:val="right"/>
                          <w:rPr>
                            <w:sz w:val="17"/>
                          </w:rPr>
                        </w:pPr>
                        <w:r>
                          <w:rPr>
                            <w:color w:val="231F20"/>
                            <w:w w:val="105"/>
                            <w:sz w:val="17"/>
                          </w:rPr>
                          <w:t>4.8</w:t>
                        </w:r>
                      </w:p>
                    </w:tc>
                    <w:tc>
                      <w:tcPr>
                        <w:tcW w:w="799" w:type="dxa"/>
                      </w:tcPr>
                      <w:p>
                        <w:pPr>
                          <w:pStyle w:val="TableParagraph"/>
                          <w:ind w:left="217" w:right="111"/>
                          <w:rPr>
                            <w:sz w:val="17"/>
                          </w:rPr>
                        </w:pPr>
                        <w:r>
                          <w:rPr>
                            <w:color w:val="231F20"/>
                            <w:w w:val="105"/>
                            <w:sz w:val="17"/>
                          </w:rPr>
                          <w:t>1.7</w:t>
                        </w:r>
                      </w:p>
                    </w:tc>
                    <w:tc>
                      <w:tcPr>
                        <w:tcW w:w="802" w:type="dxa"/>
                      </w:tcPr>
                      <w:p>
                        <w:pPr>
                          <w:pStyle w:val="TableParagraph"/>
                          <w:ind w:right="240"/>
                          <w:jc w:val="right"/>
                          <w:rPr>
                            <w:sz w:val="17"/>
                          </w:rPr>
                        </w:pPr>
                        <w:r>
                          <w:rPr>
                            <w:color w:val="231F20"/>
                            <w:w w:val="105"/>
                            <w:sz w:val="17"/>
                          </w:rPr>
                          <w:t>5.5</w:t>
                        </w:r>
                      </w:p>
                    </w:tc>
                    <w:tc>
                      <w:tcPr>
                        <w:tcW w:w="887" w:type="dxa"/>
                      </w:tcPr>
                      <w:p>
                        <w:pPr>
                          <w:pStyle w:val="TableParagraph"/>
                          <w:ind w:right="312"/>
                          <w:jc w:val="right"/>
                          <w:rPr>
                            <w:sz w:val="17"/>
                          </w:rPr>
                        </w:pPr>
                        <w:r>
                          <w:rPr>
                            <w:color w:val="231F20"/>
                            <w:w w:val="105"/>
                            <w:sz w:val="17"/>
                          </w:rPr>
                          <w:t>0.2</w:t>
                        </w:r>
                      </w:p>
                    </w:tc>
                    <w:tc>
                      <w:tcPr>
                        <w:tcW w:w="986" w:type="dxa"/>
                      </w:tcPr>
                      <w:p>
                        <w:pPr>
                          <w:pStyle w:val="TableParagraph"/>
                          <w:ind w:left="293" w:right="224"/>
                          <w:rPr>
                            <w:sz w:val="17"/>
                          </w:rPr>
                        </w:pPr>
                        <w:r>
                          <w:rPr>
                            <w:color w:val="231F20"/>
                            <w:w w:val="105"/>
                            <w:sz w:val="17"/>
                          </w:rPr>
                          <w:t>6.0</w:t>
                        </w:r>
                      </w:p>
                    </w:tc>
                  </w:tr>
                  <w:tr>
                    <w:trPr>
                      <w:trHeight w:val="210" w:hRule="exact"/>
                    </w:trPr>
                    <w:tc>
                      <w:tcPr>
                        <w:tcW w:w="2616" w:type="dxa"/>
                      </w:tcPr>
                      <w:p>
                        <w:pPr>
                          <w:pStyle w:val="TableParagraph"/>
                          <w:ind w:left="35" w:right="601"/>
                          <w:jc w:val="left"/>
                          <w:rPr>
                            <w:sz w:val="17"/>
                          </w:rPr>
                        </w:pPr>
                        <w:r>
                          <w:rPr>
                            <w:color w:val="231F20"/>
                            <w:w w:val="105"/>
                            <w:sz w:val="17"/>
                          </w:rPr>
                          <w:t>inactivo</w:t>
                        </w:r>
                      </w:p>
                    </w:tc>
                    <w:tc>
                      <w:tcPr>
                        <w:tcW w:w="905" w:type="dxa"/>
                      </w:tcPr>
                      <w:p>
                        <w:pPr>
                          <w:pStyle w:val="TableParagraph"/>
                          <w:ind w:right="237"/>
                          <w:jc w:val="right"/>
                          <w:rPr>
                            <w:sz w:val="17"/>
                          </w:rPr>
                        </w:pPr>
                        <w:r>
                          <w:rPr>
                            <w:color w:val="231F20"/>
                            <w:sz w:val="17"/>
                          </w:rPr>
                          <w:t>59.9</w:t>
                        </w:r>
                      </w:p>
                    </w:tc>
                    <w:tc>
                      <w:tcPr>
                        <w:tcW w:w="799" w:type="dxa"/>
                      </w:tcPr>
                      <w:p>
                        <w:pPr>
                          <w:pStyle w:val="TableParagraph"/>
                          <w:ind w:left="216" w:right="207"/>
                          <w:rPr>
                            <w:sz w:val="17"/>
                          </w:rPr>
                        </w:pPr>
                        <w:r>
                          <w:rPr>
                            <w:color w:val="231F20"/>
                            <w:w w:val="105"/>
                            <w:sz w:val="17"/>
                          </w:rPr>
                          <w:t>79.1</w:t>
                        </w:r>
                      </w:p>
                    </w:tc>
                    <w:tc>
                      <w:tcPr>
                        <w:tcW w:w="802" w:type="dxa"/>
                      </w:tcPr>
                      <w:p>
                        <w:pPr>
                          <w:pStyle w:val="TableParagraph"/>
                          <w:ind w:right="240"/>
                          <w:jc w:val="right"/>
                          <w:rPr>
                            <w:sz w:val="17"/>
                          </w:rPr>
                        </w:pPr>
                        <w:r>
                          <w:rPr>
                            <w:color w:val="231F20"/>
                            <w:w w:val="105"/>
                            <w:sz w:val="17"/>
                          </w:rPr>
                          <w:t>3.7</w:t>
                        </w:r>
                      </w:p>
                    </w:tc>
                    <w:tc>
                      <w:tcPr>
                        <w:tcW w:w="887" w:type="dxa"/>
                      </w:tcPr>
                      <w:p>
                        <w:pPr>
                          <w:pStyle w:val="TableParagraph"/>
                          <w:ind w:right="312"/>
                          <w:jc w:val="right"/>
                          <w:rPr>
                            <w:sz w:val="17"/>
                          </w:rPr>
                        </w:pPr>
                        <w:r>
                          <w:rPr>
                            <w:color w:val="231F20"/>
                            <w:sz w:val="17"/>
                          </w:rPr>
                          <w:t>85.6</w:t>
                        </w:r>
                      </w:p>
                    </w:tc>
                    <w:tc>
                      <w:tcPr>
                        <w:tcW w:w="986" w:type="dxa"/>
                      </w:tcPr>
                      <w:p>
                        <w:pPr>
                          <w:pStyle w:val="TableParagraph"/>
                          <w:ind w:left="292" w:right="318"/>
                          <w:rPr>
                            <w:sz w:val="17"/>
                          </w:rPr>
                        </w:pPr>
                        <w:r>
                          <w:rPr>
                            <w:color w:val="231F20"/>
                            <w:w w:val="105"/>
                            <w:sz w:val="17"/>
                          </w:rPr>
                          <w:t>10.3</w:t>
                        </w:r>
                      </w:p>
                    </w:tc>
                  </w:tr>
                  <w:tr>
                    <w:trPr>
                      <w:trHeight w:val="230" w:hRule="exact"/>
                    </w:trPr>
                    <w:tc>
                      <w:tcPr>
                        <w:tcW w:w="2616" w:type="dxa"/>
                      </w:tcPr>
                      <w:p>
                        <w:pPr>
                          <w:pStyle w:val="TableParagraph"/>
                          <w:ind w:left="35" w:right="601"/>
                          <w:jc w:val="left"/>
                          <w:rPr>
                            <w:sz w:val="17"/>
                          </w:rPr>
                        </w:pPr>
                        <w:r>
                          <w:rPr>
                            <w:color w:val="231F20"/>
                            <w:w w:val="110"/>
                            <w:sz w:val="17"/>
                          </w:rPr>
                          <w:t>No especificado</w:t>
                        </w:r>
                      </w:p>
                    </w:tc>
                    <w:tc>
                      <w:tcPr>
                        <w:tcW w:w="905" w:type="dxa"/>
                      </w:tcPr>
                      <w:p>
                        <w:pPr>
                          <w:pStyle w:val="TableParagraph"/>
                          <w:ind w:right="237"/>
                          <w:jc w:val="right"/>
                          <w:rPr>
                            <w:sz w:val="17"/>
                          </w:rPr>
                        </w:pPr>
                        <w:r>
                          <w:rPr>
                            <w:color w:val="231F20"/>
                            <w:w w:val="105"/>
                            <w:sz w:val="17"/>
                          </w:rPr>
                          <w:t>7.0</w:t>
                        </w:r>
                      </w:p>
                    </w:tc>
                    <w:tc>
                      <w:tcPr>
                        <w:tcW w:w="799" w:type="dxa"/>
                      </w:tcPr>
                      <w:p>
                        <w:pPr>
                          <w:pStyle w:val="TableParagraph"/>
                          <w:ind w:left="217" w:right="111"/>
                          <w:rPr>
                            <w:sz w:val="17"/>
                          </w:rPr>
                        </w:pPr>
                        <w:r>
                          <w:rPr>
                            <w:color w:val="231F20"/>
                            <w:w w:val="105"/>
                            <w:sz w:val="17"/>
                          </w:rPr>
                          <w:t>4.1</w:t>
                        </w:r>
                      </w:p>
                    </w:tc>
                    <w:tc>
                      <w:tcPr>
                        <w:tcW w:w="802" w:type="dxa"/>
                      </w:tcPr>
                      <w:p>
                        <w:pPr>
                          <w:pStyle w:val="TableParagraph"/>
                          <w:ind w:right="240"/>
                          <w:jc w:val="right"/>
                          <w:rPr>
                            <w:sz w:val="17"/>
                          </w:rPr>
                        </w:pPr>
                        <w:r>
                          <w:rPr>
                            <w:color w:val="231F20"/>
                            <w:w w:val="105"/>
                            <w:sz w:val="17"/>
                          </w:rPr>
                          <w:t>1.4</w:t>
                        </w:r>
                      </w:p>
                    </w:tc>
                    <w:tc>
                      <w:tcPr>
                        <w:tcW w:w="887" w:type="dxa"/>
                      </w:tcPr>
                      <w:p>
                        <w:pPr>
                          <w:pStyle w:val="TableParagraph"/>
                          <w:ind w:right="312"/>
                          <w:jc w:val="right"/>
                          <w:rPr>
                            <w:sz w:val="17"/>
                          </w:rPr>
                        </w:pPr>
                        <w:r>
                          <w:rPr>
                            <w:color w:val="231F20"/>
                            <w:w w:val="105"/>
                            <w:sz w:val="17"/>
                          </w:rPr>
                          <w:t>1.2</w:t>
                        </w:r>
                      </w:p>
                    </w:tc>
                    <w:tc>
                      <w:tcPr>
                        <w:tcW w:w="986" w:type="dxa"/>
                      </w:tcPr>
                      <w:p>
                        <w:pPr>
                          <w:pStyle w:val="TableParagraph"/>
                          <w:ind w:left="293" w:right="224"/>
                          <w:rPr>
                            <w:sz w:val="17"/>
                          </w:rPr>
                        </w:pPr>
                        <w:r>
                          <w:rPr>
                            <w:color w:val="231F20"/>
                            <w:w w:val="105"/>
                            <w:sz w:val="17"/>
                          </w:rPr>
                          <w:t>4.0</w:t>
                        </w:r>
                      </w:p>
                    </w:tc>
                  </w:tr>
                  <w:tr>
                    <w:trPr>
                      <w:trHeight w:val="650" w:hRule="exact"/>
                    </w:trPr>
                    <w:tc>
                      <w:tcPr>
                        <w:tcW w:w="2616" w:type="dxa"/>
                      </w:tcPr>
                      <w:p>
                        <w:pPr>
                          <w:pStyle w:val="TableParagraph"/>
                          <w:spacing w:line="252" w:lineRule="auto" w:before="15"/>
                          <w:ind w:left="35" w:right="601"/>
                          <w:jc w:val="left"/>
                          <w:rPr>
                            <w:i/>
                            <w:sz w:val="17"/>
                          </w:rPr>
                        </w:pPr>
                        <w:r>
                          <w:rPr>
                            <w:i/>
                            <w:color w:val="231F20"/>
                            <w:w w:val="105"/>
                            <w:sz w:val="17"/>
                          </w:rPr>
                          <w:t>Prestación Laboral</w:t>
                        </w:r>
                        <w:r>
                          <w:rPr>
                            <w:i/>
                            <w:color w:val="231F20"/>
                            <w:w w:val="102"/>
                            <w:sz w:val="17"/>
                          </w:rPr>
                          <w:t> </w:t>
                        </w:r>
                        <w:r>
                          <w:rPr>
                            <w:i/>
                            <w:color w:val="231F20"/>
                            <w:w w:val="105"/>
                            <w:sz w:val="17"/>
                          </w:rPr>
                          <w:t>Servicio médico</w:t>
                        </w:r>
                      </w:p>
                      <w:p>
                        <w:pPr>
                          <w:pStyle w:val="TableParagraph"/>
                          <w:spacing w:line="240" w:lineRule="auto"/>
                          <w:ind w:left="35" w:right="601"/>
                          <w:jc w:val="left"/>
                          <w:rPr>
                            <w:sz w:val="17"/>
                          </w:rPr>
                        </w:pPr>
                        <w:r>
                          <w:rPr>
                            <w:color w:val="231F20"/>
                            <w:w w:val="110"/>
                            <w:sz w:val="17"/>
                          </w:rPr>
                          <w:t>Sí</w:t>
                        </w:r>
                      </w:p>
                    </w:tc>
                    <w:tc>
                      <w:tcPr>
                        <w:tcW w:w="905" w:type="dxa"/>
                      </w:tcPr>
                      <w:p>
                        <w:pPr>
                          <w:pStyle w:val="TableParagraph"/>
                          <w:spacing w:line="240" w:lineRule="auto"/>
                          <w:jc w:val="left"/>
                          <w:rPr>
                            <w:sz w:val="16"/>
                          </w:rPr>
                        </w:pPr>
                      </w:p>
                      <w:p>
                        <w:pPr>
                          <w:pStyle w:val="TableParagraph"/>
                          <w:spacing w:line="240" w:lineRule="auto"/>
                          <w:jc w:val="left"/>
                          <w:rPr>
                            <w:sz w:val="21"/>
                          </w:rPr>
                        </w:pPr>
                      </w:p>
                      <w:p>
                        <w:pPr>
                          <w:pStyle w:val="TableParagraph"/>
                          <w:spacing w:line="240" w:lineRule="auto" w:before="1"/>
                          <w:ind w:right="237"/>
                          <w:jc w:val="right"/>
                          <w:rPr>
                            <w:sz w:val="17"/>
                          </w:rPr>
                        </w:pPr>
                        <w:r>
                          <w:rPr>
                            <w:color w:val="231F20"/>
                            <w:sz w:val="17"/>
                          </w:rPr>
                          <w:t>14.7</w:t>
                        </w:r>
                      </w:p>
                    </w:tc>
                    <w:tc>
                      <w:tcPr>
                        <w:tcW w:w="799" w:type="dxa"/>
                      </w:tcPr>
                      <w:p>
                        <w:pPr>
                          <w:pStyle w:val="TableParagraph"/>
                          <w:spacing w:line="240" w:lineRule="auto"/>
                          <w:jc w:val="left"/>
                          <w:rPr>
                            <w:sz w:val="16"/>
                          </w:rPr>
                        </w:pPr>
                      </w:p>
                      <w:p>
                        <w:pPr>
                          <w:pStyle w:val="TableParagraph"/>
                          <w:spacing w:line="240" w:lineRule="auto"/>
                          <w:jc w:val="left"/>
                          <w:rPr>
                            <w:sz w:val="21"/>
                          </w:rPr>
                        </w:pPr>
                      </w:p>
                      <w:p>
                        <w:pPr>
                          <w:pStyle w:val="TableParagraph"/>
                          <w:spacing w:line="240" w:lineRule="auto" w:before="1"/>
                          <w:ind w:left="217" w:right="207"/>
                          <w:rPr>
                            <w:sz w:val="17"/>
                          </w:rPr>
                        </w:pPr>
                        <w:r>
                          <w:rPr>
                            <w:color w:val="231F20"/>
                            <w:w w:val="105"/>
                            <w:sz w:val="17"/>
                          </w:rPr>
                          <w:t>22.9</w:t>
                        </w:r>
                      </w:p>
                    </w:tc>
                    <w:tc>
                      <w:tcPr>
                        <w:tcW w:w="802" w:type="dxa"/>
                      </w:tcPr>
                      <w:p>
                        <w:pPr>
                          <w:pStyle w:val="TableParagraph"/>
                          <w:spacing w:line="240" w:lineRule="auto"/>
                          <w:jc w:val="left"/>
                          <w:rPr>
                            <w:sz w:val="16"/>
                          </w:rPr>
                        </w:pPr>
                      </w:p>
                      <w:p>
                        <w:pPr>
                          <w:pStyle w:val="TableParagraph"/>
                          <w:spacing w:line="240" w:lineRule="auto"/>
                          <w:jc w:val="left"/>
                          <w:rPr>
                            <w:sz w:val="21"/>
                          </w:rPr>
                        </w:pPr>
                      </w:p>
                      <w:p>
                        <w:pPr>
                          <w:pStyle w:val="TableParagraph"/>
                          <w:spacing w:line="240" w:lineRule="auto" w:before="1"/>
                          <w:ind w:right="240"/>
                          <w:jc w:val="right"/>
                          <w:rPr>
                            <w:sz w:val="17"/>
                          </w:rPr>
                        </w:pPr>
                        <w:r>
                          <w:rPr>
                            <w:color w:val="231F20"/>
                            <w:sz w:val="17"/>
                          </w:rPr>
                          <w:t>26.4</w:t>
                        </w:r>
                      </w:p>
                    </w:tc>
                    <w:tc>
                      <w:tcPr>
                        <w:tcW w:w="887" w:type="dxa"/>
                      </w:tcPr>
                      <w:p>
                        <w:pPr>
                          <w:pStyle w:val="TableParagraph"/>
                          <w:spacing w:line="240" w:lineRule="auto"/>
                          <w:jc w:val="left"/>
                          <w:rPr>
                            <w:sz w:val="16"/>
                          </w:rPr>
                        </w:pPr>
                      </w:p>
                      <w:p>
                        <w:pPr>
                          <w:pStyle w:val="TableParagraph"/>
                          <w:spacing w:line="240" w:lineRule="auto"/>
                          <w:jc w:val="left"/>
                          <w:rPr>
                            <w:sz w:val="21"/>
                          </w:rPr>
                        </w:pPr>
                      </w:p>
                      <w:p>
                        <w:pPr>
                          <w:pStyle w:val="TableParagraph"/>
                          <w:spacing w:line="240" w:lineRule="auto" w:before="1"/>
                          <w:ind w:right="312"/>
                          <w:jc w:val="right"/>
                          <w:rPr>
                            <w:sz w:val="17"/>
                          </w:rPr>
                        </w:pPr>
                        <w:r>
                          <w:rPr>
                            <w:color w:val="231F20"/>
                            <w:sz w:val="17"/>
                          </w:rPr>
                          <w:t>16.9</w:t>
                        </w:r>
                      </w:p>
                    </w:tc>
                    <w:tc>
                      <w:tcPr>
                        <w:tcW w:w="986" w:type="dxa"/>
                      </w:tcPr>
                      <w:p>
                        <w:pPr>
                          <w:pStyle w:val="TableParagraph"/>
                          <w:spacing w:line="240" w:lineRule="auto"/>
                          <w:jc w:val="left"/>
                          <w:rPr>
                            <w:sz w:val="16"/>
                          </w:rPr>
                        </w:pPr>
                      </w:p>
                      <w:p>
                        <w:pPr>
                          <w:pStyle w:val="TableParagraph"/>
                          <w:spacing w:line="240" w:lineRule="auto"/>
                          <w:jc w:val="left"/>
                          <w:rPr>
                            <w:sz w:val="21"/>
                          </w:rPr>
                        </w:pPr>
                      </w:p>
                      <w:p>
                        <w:pPr>
                          <w:pStyle w:val="TableParagraph"/>
                          <w:spacing w:line="240" w:lineRule="auto" w:before="1"/>
                          <w:ind w:left="293" w:right="317"/>
                          <w:rPr>
                            <w:sz w:val="17"/>
                          </w:rPr>
                        </w:pPr>
                        <w:r>
                          <w:rPr>
                            <w:color w:val="231F20"/>
                            <w:w w:val="105"/>
                            <w:sz w:val="17"/>
                          </w:rPr>
                          <w:t>22.5</w:t>
                        </w:r>
                      </w:p>
                    </w:tc>
                  </w:tr>
                  <w:tr>
                    <w:trPr>
                      <w:trHeight w:val="210" w:hRule="exact"/>
                    </w:trPr>
                    <w:tc>
                      <w:tcPr>
                        <w:tcW w:w="2616" w:type="dxa"/>
                      </w:tcPr>
                      <w:p>
                        <w:pPr>
                          <w:pStyle w:val="TableParagraph"/>
                          <w:ind w:left="35" w:right="601"/>
                          <w:jc w:val="left"/>
                          <w:rPr>
                            <w:sz w:val="17"/>
                          </w:rPr>
                        </w:pPr>
                        <w:r>
                          <w:rPr>
                            <w:color w:val="231F20"/>
                            <w:w w:val="115"/>
                            <w:sz w:val="17"/>
                          </w:rPr>
                          <w:t>No</w:t>
                        </w:r>
                      </w:p>
                    </w:tc>
                    <w:tc>
                      <w:tcPr>
                        <w:tcW w:w="905" w:type="dxa"/>
                      </w:tcPr>
                      <w:p>
                        <w:pPr>
                          <w:pStyle w:val="TableParagraph"/>
                          <w:ind w:right="237"/>
                          <w:jc w:val="right"/>
                          <w:rPr>
                            <w:sz w:val="17"/>
                          </w:rPr>
                        </w:pPr>
                        <w:r>
                          <w:rPr>
                            <w:color w:val="231F20"/>
                            <w:sz w:val="17"/>
                          </w:rPr>
                          <w:t>83.1</w:t>
                        </w:r>
                      </w:p>
                    </w:tc>
                    <w:tc>
                      <w:tcPr>
                        <w:tcW w:w="799" w:type="dxa"/>
                      </w:tcPr>
                      <w:p>
                        <w:pPr>
                          <w:pStyle w:val="TableParagraph"/>
                          <w:ind w:left="217" w:right="207"/>
                          <w:rPr>
                            <w:sz w:val="17"/>
                          </w:rPr>
                        </w:pPr>
                        <w:r>
                          <w:rPr>
                            <w:color w:val="231F20"/>
                            <w:w w:val="105"/>
                            <w:sz w:val="17"/>
                          </w:rPr>
                          <w:t>75.6</w:t>
                        </w:r>
                      </w:p>
                    </w:tc>
                    <w:tc>
                      <w:tcPr>
                        <w:tcW w:w="802" w:type="dxa"/>
                      </w:tcPr>
                      <w:p>
                        <w:pPr>
                          <w:pStyle w:val="TableParagraph"/>
                          <w:ind w:right="240"/>
                          <w:jc w:val="right"/>
                          <w:rPr>
                            <w:sz w:val="17"/>
                          </w:rPr>
                        </w:pPr>
                        <w:r>
                          <w:rPr>
                            <w:color w:val="231F20"/>
                            <w:sz w:val="17"/>
                          </w:rPr>
                          <w:t>72.0</w:t>
                        </w:r>
                      </w:p>
                    </w:tc>
                    <w:tc>
                      <w:tcPr>
                        <w:tcW w:w="887" w:type="dxa"/>
                      </w:tcPr>
                      <w:p>
                        <w:pPr>
                          <w:pStyle w:val="TableParagraph"/>
                          <w:ind w:right="312"/>
                          <w:jc w:val="right"/>
                          <w:rPr>
                            <w:sz w:val="17"/>
                          </w:rPr>
                        </w:pPr>
                        <w:r>
                          <w:rPr>
                            <w:color w:val="231F20"/>
                            <w:sz w:val="17"/>
                          </w:rPr>
                          <w:t>82.5</w:t>
                        </w:r>
                      </w:p>
                    </w:tc>
                    <w:tc>
                      <w:tcPr>
                        <w:tcW w:w="986" w:type="dxa"/>
                      </w:tcPr>
                      <w:p>
                        <w:pPr>
                          <w:pStyle w:val="TableParagraph"/>
                          <w:ind w:left="293" w:right="317"/>
                          <w:rPr>
                            <w:sz w:val="17"/>
                          </w:rPr>
                        </w:pPr>
                        <w:r>
                          <w:rPr>
                            <w:color w:val="231F20"/>
                            <w:w w:val="105"/>
                            <w:sz w:val="17"/>
                          </w:rPr>
                          <w:t>76.1</w:t>
                        </w:r>
                      </w:p>
                    </w:tc>
                  </w:tr>
                  <w:tr>
                    <w:trPr>
                      <w:trHeight w:val="230" w:hRule="exact"/>
                    </w:trPr>
                    <w:tc>
                      <w:tcPr>
                        <w:tcW w:w="2616" w:type="dxa"/>
                      </w:tcPr>
                      <w:p>
                        <w:pPr/>
                      </w:p>
                    </w:tc>
                    <w:tc>
                      <w:tcPr>
                        <w:tcW w:w="905" w:type="dxa"/>
                      </w:tcPr>
                      <w:p>
                        <w:pPr>
                          <w:pStyle w:val="TableParagraph"/>
                          <w:ind w:right="237"/>
                          <w:jc w:val="right"/>
                          <w:rPr>
                            <w:sz w:val="17"/>
                          </w:rPr>
                        </w:pPr>
                        <w:r>
                          <w:rPr>
                            <w:color w:val="231F20"/>
                            <w:w w:val="105"/>
                            <w:sz w:val="17"/>
                          </w:rPr>
                          <w:t>2.2</w:t>
                        </w:r>
                      </w:p>
                    </w:tc>
                    <w:tc>
                      <w:tcPr>
                        <w:tcW w:w="799" w:type="dxa"/>
                      </w:tcPr>
                      <w:p>
                        <w:pPr>
                          <w:pStyle w:val="TableParagraph"/>
                          <w:ind w:left="217" w:right="111"/>
                          <w:rPr>
                            <w:sz w:val="17"/>
                          </w:rPr>
                        </w:pPr>
                        <w:r>
                          <w:rPr>
                            <w:color w:val="231F20"/>
                            <w:w w:val="105"/>
                            <w:sz w:val="17"/>
                          </w:rPr>
                          <w:t>1.5</w:t>
                        </w:r>
                      </w:p>
                    </w:tc>
                    <w:tc>
                      <w:tcPr>
                        <w:tcW w:w="802" w:type="dxa"/>
                      </w:tcPr>
                      <w:p>
                        <w:pPr>
                          <w:pStyle w:val="TableParagraph"/>
                          <w:ind w:right="240"/>
                          <w:jc w:val="right"/>
                          <w:rPr>
                            <w:sz w:val="17"/>
                          </w:rPr>
                        </w:pPr>
                        <w:r>
                          <w:rPr>
                            <w:color w:val="231F20"/>
                            <w:w w:val="105"/>
                            <w:sz w:val="17"/>
                          </w:rPr>
                          <w:t>1.6</w:t>
                        </w:r>
                      </w:p>
                    </w:tc>
                    <w:tc>
                      <w:tcPr>
                        <w:tcW w:w="887" w:type="dxa"/>
                      </w:tcPr>
                      <w:p>
                        <w:pPr>
                          <w:pStyle w:val="TableParagraph"/>
                          <w:ind w:right="312"/>
                          <w:jc w:val="right"/>
                          <w:rPr>
                            <w:sz w:val="17"/>
                          </w:rPr>
                        </w:pPr>
                        <w:r>
                          <w:rPr>
                            <w:color w:val="231F20"/>
                            <w:w w:val="105"/>
                            <w:sz w:val="17"/>
                          </w:rPr>
                          <w:t>0.6</w:t>
                        </w:r>
                      </w:p>
                    </w:tc>
                    <w:tc>
                      <w:tcPr>
                        <w:tcW w:w="986" w:type="dxa"/>
                      </w:tcPr>
                      <w:p>
                        <w:pPr>
                          <w:pStyle w:val="TableParagraph"/>
                          <w:ind w:left="293" w:right="224"/>
                          <w:rPr>
                            <w:sz w:val="17"/>
                          </w:rPr>
                        </w:pPr>
                        <w:r>
                          <w:rPr>
                            <w:color w:val="231F20"/>
                            <w:w w:val="105"/>
                            <w:sz w:val="17"/>
                          </w:rPr>
                          <w:t>1.4</w:t>
                        </w:r>
                      </w:p>
                    </w:tc>
                  </w:tr>
                  <w:tr>
                    <w:trPr>
                      <w:trHeight w:val="440" w:hRule="exact"/>
                    </w:trPr>
                    <w:tc>
                      <w:tcPr>
                        <w:tcW w:w="2616" w:type="dxa"/>
                      </w:tcPr>
                      <w:p>
                        <w:pPr>
                          <w:pStyle w:val="TableParagraph"/>
                          <w:spacing w:line="240" w:lineRule="auto" w:before="15"/>
                          <w:ind w:left="35"/>
                          <w:jc w:val="left"/>
                          <w:rPr>
                            <w:i/>
                            <w:sz w:val="17"/>
                          </w:rPr>
                        </w:pPr>
                        <w:r>
                          <w:rPr>
                            <w:i/>
                            <w:color w:val="231F20"/>
                            <w:w w:val="105"/>
                            <w:sz w:val="17"/>
                          </w:rPr>
                          <w:t>Horas trabajadas a la semana</w:t>
                        </w:r>
                      </w:p>
                      <w:p>
                        <w:pPr>
                          <w:pStyle w:val="TableParagraph"/>
                          <w:spacing w:line="240" w:lineRule="auto" w:before="10"/>
                          <w:ind w:left="35" w:right="601"/>
                          <w:jc w:val="left"/>
                          <w:rPr>
                            <w:sz w:val="17"/>
                          </w:rPr>
                        </w:pPr>
                        <w:r>
                          <w:rPr>
                            <w:color w:val="231F20"/>
                            <w:w w:val="110"/>
                            <w:sz w:val="17"/>
                          </w:rPr>
                          <w:t>Menos de 35 hrs</w:t>
                        </w:r>
                      </w:p>
                    </w:tc>
                    <w:tc>
                      <w:tcPr>
                        <w:tcW w:w="905" w:type="dxa"/>
                      </w:tcPr>
                      <w:p>
                        <w:pPr>
                          <w:pStyle w:val="TableParagraph"/>
                          <w:spacing w:line="240" w:lineRule="auto" w:before="2"/>
                          <w:jc w:val="left"/>
                          <w:rPr>
                            <w:sz w:val="19"/>
                          </w:rPr>
                        </w:pPr>
                      </w:p>
                      <w:p>
                        <w:pPr>
                          <w:pStyle w:val="TableParagraph"/>
                          <w:spacing w:line="240" w:lineRule="auto"/>
                          <w:ind w:right="235"/>
                          <w:jc w:val="right"/>
                          <w:rPr>
                            <w:sz w:val="17"/>
                          </w:rPr>
                        </w:pPr>
                        <w:r>
                          <w:rPr>
                            <w:color w:val="231F20"/>
                            <w:sz w:val="17"/>
                          </w:rPr>
                          <w:t>28.0</w:t>
                        </w:r>
                      </w:p>
                    </w:tc>
                    <w:tc>
                      <w:tcPr>
                        <w:tcW w:w="799" w:type="dxa"/>
                      </w:tcPr>
                      <w:p>
                        <w:pPr>
                          <w:pStyle w:val="TableParagraph"/>
                          <w:spacing w:line="240" w:lineRule="auto" w:before="2"/>
                          <w:jc w:val="left"/>
                          <w:rPr>
                            <w:sz w:val="19"/>
                          </w:rPr>
                        </w:pPr>
                      </w:p>
                      <w:p>
                        <w:pPr>
                          <w:pStyle w:val="TableParagraph"/>
                          <w:spacing w:line="240" w:lineRule="auto"/>
                          <w:ind w:left="217" w:right="207"/>
                          <w:rPr>
                            <w:sz w:val="17"/>
                          </w:rPr>
                        </w:pPr>
                        <w:r>
                          <w:rPr>
                            <w:color w:val="231F20"/>
                            <w:w w:val="105"/>
                            <w:sz w:val="17"/>
                          </w:rPr>
                          <w:t>33.3</w:t>
                        </w:r>
                      </w:p>
                    </w:tc>
                    <w:tc>
                      <w:tcPr>
                        <w:tcW w:w="802" w:type="dxa"/>
                      </w:tcPr>
                      <w:p>
                        <w:pPr>
                          <w:pStyle w:val="TableParagraph"/>
                          <w:spacing w:line="240" w:lineRule="auto" w:before="2"/>
                          <w:jc w:val="left"/>
                          <w:rPr>
                            <w:sz w:val="19"/>
                          </w:rPr>
                        </w:pPr>
                      </w:p>
                      <w:p>
                        <w:pPr>
                          <w:pStyle w:val="TableParagraph"/>
                          <w:spacing w:line="240" w:lineRule="auto"/>
                          <w:ind w:right="238"/>
                          <w:jc w:val="right"/>
                          <w:rPr>
                            <w:sz w:val="17"/>
                          </w:rPr>
                        </w:pPr>
                        <w:r>
                          <w:rPr>
                            <w:color w:val="231F20"/>
                            <w:sz w:val="17"/>
                          </w:rPr>
                          <w:t>12.6</w:t>
                        </w:r>
                      </w:p>
                    </w:tc>
                    <w:tc>
                      <w:tcPr>
                        <w:tcW w:w="887" w:type="dxa"/>
                      </w:tcPr>
                      <w:p>
                        <w:pPr>
                          <w:pStyle w:val="TableParagraph"/>
                          <w:spacing w:line="240" w:lineRule="auto" w:before="2"/>
                          <w:jc w:val="left"/>
                          <w:rPr>
                            <w:sz w:val="19"/>
                          </w:rPr>
                        </w:pPr>
                      </w:p>
                      <w:p>
                        <w:pPr>
                          <w:pStyle w:val="TableParagraph"/>
                          <w:spacing w:line="240" w:lineRule="auto"/>
                          <w:ind w:right="312"/>
                          <w:jc w:val="right"/>
                          <w:rPr>
                            <w:sz w:val="17"/>
                          </w:rPr>
                        </w:pPr>
                        <w:r>
                          <w:rPr>
                            <w:color w:val="231F20"/>
                            <w:sz w:val="17"/>
                          </w:rPr>
                          <w:t>40.6</w:t>
                        </w:r>
                      </w:p>
                    </w:tc>
                    <w:tc>
                      <w:tcPr>
                        <w:tcW w:w="986" w:type="dxa"/>
                      </w:tcPr>
                      <w:p>
                        <w:pPr>
                          <w:pStyle w:val="TableParagraph"/>
                          <w:spacing w:line="240" w:lineRule="auto" w:before="2"/>
                          <w:jc w:val="left"/>
                          <w:rPr>
                            <w:sz w:val="19"/>
                          </w:rPr>
                        </w:pPr>
                      </w:p>
                      <w:p>
                        <w:pPr>
                          <w:pStyle w:val="TableParagraph"/>
                          <w:spacing w:line="240" w:lineRule="auto"/>
                          <w:ind w:left="293" w:right="317"/>
                          <w:rPr>
                            <w:sz w:val="17"/>
                          </w:rPr>
                        </w:pPr>
                        <w:r>
                          <w:rPr>
                            <w:color w:val="231F20"/>
                            <w:w w:val="105"/>
                            <w:sz w:val="17"/>
                          </w:rPr>
                          <w:t>12.5</w:t>
                        </w:r>
                      </w:p>
                    </w:tc>
                  </w:tr>
                  <w:tr>
                    <w:trPr>
                      <w:trHeight w:val="210" w:hRule="exact"/>
                    </w:trPr>
                    <w:tc>
                      <w:tcPr>
                        <w:tcW w:w="2616" w:type="dxa"/>
                      </w:tcPr>
                      <w:p>
                        <w:pPr>
                          <w:pStyle w:val="TableParagraph"/>
                          <w:ind w:left="35" w:right="601"/>
                          <w:jc w:val="left"/>
                          <w:rPr>
                            <w:sz w:val="17"/>
                          </w:rPr>
                        </w:pPr>
                        <w:r>
                          <w:rPr>
                            <w:color w:val="231F20"/>
                            <w:w w:val="110"/>
                            <w:sz w:val="17"/>
                          </w:rPr>
                          <w:t>De 35hrs a 48 hrs</w:t>
                        </w:r>
                      </w:p>
                    </w:tc>
                    <w:tc>
                      <w:tcPr>
                        <w:tcW w:w="905" w:type="dxa"/>
                      </w:tcPr>
                      <w:p>
                        <w:pPr>
                          <w:pStyle w:val="TableParagraph"/>
                          <w:ind w:right="235"/>
                          <w:jc w:val="right"/>
                          <w:rPr>
                            <w:sz w:val="17"/>
                          </w:rPr>
                        </w:pPr>
                        <w:r>
                          <w:rPr>
                            <w:color w:val="231F20"/>
                            <w:sz w:val="17"/>
                          </w:rPr>
                          <w:t>34.9</w:t>
                        </w:r>
                      </w:p>
                    </w:tc>
                    <w:tc>
                      <w:tcPr>
                        <w:tcW w:w="799" w:type="dxa"/>
                      </w:tcPr>
                      <w:p>
                        <w:pPr>
                          <w:pStyle w:val="TableParagraph"/>
                          <w:ind w:left="217" w:right="207"/>
                          <w:rPr>
                            <w:sz w:val="17"/>
                          </w:rPr>
                        </w:pPr>
                        <w:r>
                          <w:rPr>
                            <w:color w:val="231F20"/>
                            <w:w w:val="105"/>
                            <w:sz w:val="17"/>
                          </w:rPr>
                          <w:t>33.0</w:t>
                        </w:r>
                      </w:p>
                    </w:tc>
                    <w:tc>
                      <w:tcPr>
                        <w:tcW w:w="802" w:type="dxa"/>
                      </w:tcPr>
                      <w:p>
                        <w:pPr>
                          <w:pStyle w:val="TableParagraph"/>
                          <w:ind w:right="238"/>
                          <w:jc w:val="right"/>
                          <w:rPr>
                            <w:sz w:val="17"/>
                          </w:rPr>
                        </w:pPr>
                        <w:r>
                          <w:rPr>
                            <w:color w:val="231F20"/>
                            <w:sz w:val="17"/>
                          </w:rPr>
                          <w:t>30.9</w:t>
                        </w:r>
                      </w:p>
                    </w:tc>
                    <w:tc>
                      <w:tcPr>
                        <w:tcW w:w="887" w:type="dxa"/>
                      </w:tcPr>
                      <w:p>
                        <w:pPr>
                          <w:pStyle w:val="TableParagraph"/>
                          <w:ind w:right="312"/>
                          <w:jc w:val="right"/>
                          <w:rPr>
                            <w:sz w:val="17"/>
                          </w:rPr>
                        </w:pPr>
                        <w:r>
                          <w:rPr>
                            <w:color w:val="231F20"/>
                            <w:sz w:val="17"/>
                          </w:rPr>
                          <w:t>26.0</w:t>
                        </w:r>
                      </w:p>
                    </w:tc>
                    <w:tc>
                      <w:tcPr>
                        <w:tcW w:w="986" w:type="dxa"/>
                      </w:tcPr>
                      <w:p>
                        <w:pPr>
                          <w:pStyle w:val="TableParagraph"/>
                          <w:ind w:left="293" w:right="317"/>
                          <w:rPr>
                            <w:sz w:val="17"/>
                          </w:rPr>
                        </w:pPr>
                        <w:r>
                          <w:rPr>
                            <w:color w:val="231F20"/>
                            <w:w w:val="105"/>
                            <w:sz w:val="17"/>
                          </w:rPr>
                          <w:t>36.7</w:t>
                        </w:r>
                      </w:p>
                    </w:tc>
                  </w:tr>
                  <w:tr>
                    <w:trPr>
                      <w:trHeight w:val="210" w:hRule="exact"/>
                    </w:trPr>
                    <w:tc>
                      <w:tcPr>
                        <w:tcW w:w="2616" w:type="dxa"/>
                      </w:tcPr>
                      <w:p>
                        <w:pPr>
                          <w:pStyle w:val="TableParagraph"/>
                          <w:ind w:left="35" w:right="601"/>
                          <w:jc w:val="left"/>
                          <w:rPr>
                            <w:sz w:val="17"/>
                          </w:rPr>
                        </w:pPr>
                        <w:r>
                          <w:rPr>
                            <w:color w:val="231F20"/>
                            <w:w w:val="110"/>
                            <w:sz w:val="17"/>
                          </w:rPr>
                          <w:t>Más de 48hrs</w:t>
                        </w:r>
                      </w:p>
                    </w:tc>
                    <w:tc>
                      <w:tcPr>
                        <w:tcW w:w="905" w:type="dxa"/>
                      </w:tcPr>
                      <w:p>
                        <w:pPr>
                          <w:pStyle w:val="TableParagraph"/>
                          <w:ind w:right="235"/>
                          <w:jc w:val="right"/>
                          <w:rPr>
                            <w:sz w:val="17"/>
                          </w:rPr>
                        </w:pPr>
                        <w:r>
                          <w:rPr>
                            <w:color w:val="231F20"/>
                            <w:sz w:val="17"/>
                          </w:rPr>
                          <w:t>35.4</w:t>
                        </w:r>
                      </w:p>
                    </w:tc>
                    <w:tc>
                      <w:tcPr>
                        <w:tcW w:w="799" w:type="dxa"/>
                      </w:tcPr>
                      <w:p>
                        <w:pPr>
                          <w:pStyle w:val="TableParagraph"/>
                          <w:ind w:left="217" w:right="207"/>
                          <w:rPr>
                            <w:sz w:val="17"/>
                          </w:rPr>
                        </w:pPr>
                        <w:r>
                          <w:rPr>
                            <w:color w:val="231F20"/>
                            <w:w w:val="105"/>
                            <w:sz w:val="17"/>
                          </w:rPr>
                          <w:t>32.3</w:t>
                        </w:r>
                      </w:p>
                    </w:tc>
                    <w:tc>
                      <w:tcPr>
                        <w:tcW w:w="802" w:type="dxa"/>
                      </w:tcPr>
                      <w:p>
                        <w:pPr>
                          <w:pStyle w:val="TableParagraph"/>
                          <w:ind w:right="238"/>
                          <w:jc w:val="right"/>
                          <w:rPr>
                            <w:sz w:val="17"/>
                          </w:rPr>
                        </w:pPr>
                        <w:r>
                          <w:rPr>
                            <w:color w:val="231F20"/>
                            <w:sz w:val="17"/>
                          </w:rPr>
                          <w:t>55.6</w:t>
                        </w:r>
                      </w:p>
                    </w:tc>
                    <w:tc>
                      <w:tcPr>
                        <w:tcW w:w="887" w:type="dxa"/>
                      </w:tcPr>
                      <w:p>
                        <w:pPr>
                          <w:pStyle w:val="TableParagraph"/>
                          <w:ind w:right="312"/>
                          <w:jc w:val="right"/>
                          <w:rPr>
                            <w:sz w:val="17"/>
                          </w:rPr>
                        </w:pPr>
                        <w:r>
                          <w:rPr>
                            <w:color w:val="231F20"/>
                            <w:sz w:val="17"/>
                          </w:rPr>
                          <w:t>31.7</w:t>
                        </w:r>
                      </w:p>
                    </w:tc>
                    <w:tc>
                      <w:tcPr>
                        <w:tcW w:w="986" w:type="dxa"/>
                      </w:tcPr>
                      <w:p>
                        <w:pPr>
                          <w:pStyle w:val="TableParagraph"/>
                          <w:ind w:left="293" w:right="317"/>
                          <w:rPr>
                            <w:sz w:val="17"/>
                          </w:rPr>
                        </w:pPr>
                        <w:r>
                          <w:rPr>
                            <w:color w:val="231F20"/>
                            <w:w w:val="105"/>
                            <w:sz w:val="17"/>
                          </w:rPr>
                          <w:t>49.1</w:t>
                        </w:r>
                      </w:p>
                    </w:tc>
                  </w:tr>
                  <w:tr>
                    <w:trPr>
                      <w:trHeight w:val="276" w:hRule="exact"/>
                    </w:trPr>
                    <w:tc>
                      <w:tcPr>
                        <w:tcW w:w="2616" w:type="dxa"/>
                        <w:tcBorders>
                          <w:bottom w:val="single" w:sz="3" w:space="0" w:color="231F20"/>
                        </w:tcBorders>
                      </w:tcPr>
                      <w:p>
                        <w:pPr>
                          <w:pStyle w:val="TableParagraph"/>
                          <w:ind w:left="35" w:right="601"/>
                          <w:jc w:val="left"/>
                          <w:rPr>
                            <w:sz w:val="17"/>
                          </w:rPr>
                        </w:pPr>
                        <w:r>
                          <w:rPr>
                            <w:color w:val="231F20"/>
                            <w:w w:val="110"/>
                            <w:sz w:val="17"/>
                          </w:rPr>
                          <w:t>No especificado</w:t>
                        </w:r>
                      </w:p>
                    </w:tc>
                    <w:tc>
                      <w:tcPr>
                        <w:tcW w:w="905" w:type="dxa"/>
                        <w:tcBorders>
                          <w:bottom w:val="single" w:sz="3" w:space="0" w:color="231F20"/>
                        </w:tcBorders>
                      </w:tcPr>
                      <w:p>
                        <w:pPr>
                          <w:pStyle w:val="TableParagraph"/>
                          <w:ind w:right="237"/>
                          <w:jc w:val="right"/>
                          <w:rPr>
                            <w:sz w:val="17"/>
                          </w:rPr>
                        </w:pPr>
                        <w:r>
                          <w:rPr>
                            <w:color w:val="231F20"/>
                            <w:w w:val="105"/>
                            <w:sz w:val="17"/>
                          </w:rPr>
                          <w:t>1.6</w:t>
                        </w:r>
                      </w:p>
                    </w:tc>
                    <w:tc>
                      <w:tcPr>
                        <w:tcW w:w="799" w:type="dxa"/>
                        <w:tcBorders>
                          <w:bottom w:val="single" w:sz="3" w:space="0" w:color="231F20"/>
                        </w:tcBorders>
                      </w:tcPr>
                      <w:p>
                        <w:pPr>
                          <w:pStyle w:val="TableParagraph"/>
                          <w:ind w:left="217" w:right="111"/>
                          <w:rPr>
                            <w:sz w:val="17"/>
                          </w:rPr>
                        </w:pPr>
                        <w:r>
                          <w:rPr>
                            <w:color w:val="231F20"/>
                            <w:w w:val="105"/>
                            <w:sz w:val="17"/>
                          </w:rPr>
                          <w:t>1.4</w:t>
                        </w:r>
                      </w:p>
                    </w:tc>
                    <w:tc>
                      <w:tcPr>
                        <w:tcW w:w="802" w:type="dxa"/>
                        <w:tcBorders>
                          <w:bottom w:val="single" w:sz="3" w:space="0" w:color="231F20"/>
                        </w:tcBorders>
                      </w:tcPr>
                      <w:p>
                        <w:pPr>
                          <w:pStyle w:val="TableParagraph"/>
                          <w:ind w:right="238"/>
                          <w:jc w:val="right"/>
                          <w:rPr>
                            <w:sz w:val="17"/>
                          </w:rPr>
                        </w:pPr>
                        <w:r>
                          <w:rPr>
                            <w:color w:val="231F20"/>
                            <w:w w:val="105"/>
                            <w:sz w:val="17"/>
                          </w:rPr>
                          <w:t>0.9</w:t>
                        </w:r>
                      </w:p>
                    </w:tc>
                    <w:tc>
                      <w:tcPr>
                        <w:tcW w:w="887" w:type="dxa"/>
                        <w:tcBorders>
                          <w:bottom w:val="single" w:sz="3" w:space="0" w:color="231F20"/>
                        </w:tcBorders>
                      </w:tcPr>
                      <w:p>
                        <w:pPr>
                          <w:pStyle w:val="TableParagraph"/>
                          <w:ind w:right="312"/>
                          <w:jc w:val="right"/>
                          <w:rPr>
                            <w:sz w:val="17"/>
                          </w:rPr>
                        </w:pPr>
                        <w:r>
                          <w:rPr>
                            <w:color w:val="231F20"/>
                            <w:w w:val="105"/>
                            <w:sz w:val="17"/>
                          </w:rPr>
                          <w:t>1.6</w:t>
                        </w:r>
                      </w:p>
                    </w:tc>
                    <w:tc>
                      <w:tcPr>
                        <w:tcW w:w="986" w:type="dxa"/>
                        <w:tcBorders>
                          <w:bottom w:val="single" w:sz="3" w:space="0" w:color="231F20"/>
                        </w:tcBorders>
                      </w:tcPr>
                      <w:p>
                        <w:pPr>
                          <w:pStyle w:val="TableParagraph"/>
                          <w:ind w:left="293" w:right="224"/>
                          <w:rPr>
                            <w:sz w:val="17"/>
                          </w:rPr>
                        </w:pPr>
                        <w:r>
                          <w:rPr>
                            <w:color w:val="231F20"/>
                            <w:w w:val="105"/>
                            <w:sz w:val="17"/>
                          </w:rPr>
                          <w:t>1.7</w:t>
                        </w:r>
                      </w:p>
                    </w:tc>
                  </w:tr>
                </w:tbl>
                <w:p>
                  <w:pPr>
                    <w:pStyle w:val="BodyText"/>
                  </w:pPr>
                </w:p>
              </w:txbxContent>
            </v:textbox>
            <w10:wrap type="none"/>
          </v:shape>
        </w:pict>
      </w:r>
      <w:r>
        <w:rPr>
          <w:i/>
          <w:color w:val="231F20"/>
          <w:w w:val="110"/>
          <w:sz w:val="17"/>
        </w:rPr>
        <w:t>No</w:t>
      </w:r>
      <w:r>
        <w:rPr>
          <w:i/>
          <w:color w:val="231F20"/>
          <w:spacing w:val="1"/>
          <w:w w:val="110"/>
          <w:sz w:val="17"/>
        </w:rPr>
        <w:t> </w:t>
      </w:r>
      <w:r>
        <w:rPr>
          <w:i/>
          <w:color w:val="231F20"/>
          <w:w w:val="110"/>
          <w:sz w:val="17"/>
        </w:rPr>
        <w:t>unidos</w:t>
        <w:tab/>
        <w:t>Unidos</w:t>
      </w:r>
      <w:r>
        <w:rPr>
          <w:i/>
          <w:color w:val="231F20"/>
          <w:spacing w:val="-4"/>
          <w:w w:val="110"/>
          <w:sz w:val="17"/>
        </w:rPr>
        <w:t> </w:t>
      </w:r>
      <w:r>
        <w:rPr>
          <w:i/>
          <w:color w:val="231F20"/>
          <w:w w:val="110"/>
          <w:sz w:val="17"/>
        </w:rPr>
        <w:t>autónomos</w:t>
        <w:tab/>
        <w:tab/>
        <w:t>Unidos </w:t>
      </w:r>
      <w:r>
        <w:rPr>
          <w:i/>
          <w:color w:val="231F20"/>
          <w:w w:val="110"/>
          <w:sz w:val="17"/>
        </w:rPr>
        <w:t>Características</w:t>
      </w:r>
      <w:r>
        <w:rPr>
          <w:i/>
          <w:color w:val="231F20"/>
          <w:spacing w:val="-21"/>
          <w:w w:val="110"/>
          <w:sz w:val="17"/>
        </w:rPr>
        <w:t> </w:t>
      </w:r>
      <w:r>
        <w:rPr>
          <w:i/>
          <w:color w:val="231F20"/>
          <w:w w:val="110"/>
          <w:sz w:val="17"/>
        </w:rPr>
        <w:t>seleccionadas</w:t>
        <w:tab/>
        <w:t>hombres    mujeres  </w:t>
      </w:r>
      <w:r>
        <w:rPr>
          <w:i/>
          <w:color w:val="231F20"/>
          <w:spacing w:val="24"/>
          <w:w w:val="110"/>
          <w:sz w:val="17"/>
        </w:rPr>
        <w:t> </w:t>
      </w:r>
      <w:r>
        <w:rPr>
          <w:i/>
          <w:color w:val="231F20"/>
          <w:w w:val="110"/>
          <w:sz w:val="17"/>
        </w:rPr>
        <w:t>hombres  </w:t>
      </w:r>
      <w:r>
        <w:rPr>
          <w:i/>
          <w:color w:val="231F20"/>
          <w:spacing w:val="40"/>
          <w:w w:val="110"/>
          <w:sz w:val="17"/>
        </w:rPr>
        <w:t> </w:t>
      </w:r>
      <w:r>
        <w:rPr>
          <w:i/>
          <w:color w:val="231F20"/>
          <w:w w:val="110"/>
          <w:sz w:val="17"/>
        </w:rPr>
        <w:t>mujeres</w:t>
        <w:tab/>
      </w:r>
      <w:r>
        <w:rPr>
          <w:i/>
          <w:color w:val="231F20"/>
          <w:w w:val="105"/>
          <w:sz w:val="17"/>
        </w:rPr>
        <w:t>hombres</w:t>
      </w: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spacing w:before="9"/>
        <w:rPr>
          <w:i/>
        </w:rPr>
      </w:pPr>
    </w:p>
    <w:p>
      <w:pPr>
        <w:spacing w:before="79"/>
        <w:ind w:left="504" w:right="0" w:firstLine="0"/>
        <w:jc w:val="left"/>
        <w:rPr>
          <w:sz w:val="15"/>
        </w:rPr>
      </w:pPr>
      <w:r>
        <w:rPr>
          <w:color w:val="231F20"/>
          <w:w w:val="110"/>
          <w:sz w:val="15"/>
        </w:rPr>
        <w:t>Fuente: Elaboración propia con base en </w:t>
      </w:r>
      <w:r>
        <w:rPr>
          <w:rFonts w:ascii="Times New Roman" w:hAnsi="Times New Roman"/>
          <w:color w:val="231F20"/>
          <w:w w:val="110"/>
          <w:sz w:val="12"/>
        </w:rPr>
        <w:t>INEGI</w:t>
      </w:r>
      <w:r>
        <w:rPr>
          <w:rFonts w:ascii="Times New Roman" w:hAnsi="Times New Roman"/>
          <w:color w:val="231F20"/>
          <w:w w:val="110"/>
          <w:sz w:val="15"/>
        </w:rPr>
        <w:t>, </w:t>
      </w:r>
      <w:r>
        <w:rPr>
          <w:color w:val="231F20"/>
          <w:w w:val="110"/>
          <w:sz w:val="15"/>
        </w:rPr>
        <w:t>XIII Censo de Población y Vivienda  2010.</w:t>
      </w:r>
    </w:p>
    <w:p>
      <w:pPr>
        <w:spacing w:after="0"/>
        <w:jc w:val="left"/>
        <w:rPr>
          <w:sz w:val="15"/>
        </w:rPr>
        <w:sectPr>
          <w:pgSz w:w="9520" w:h="12920"/>
          <w:pgMar w:header="0" w:footer="1344" w:top="880" w:bottom="1540" w:left="1300" w:right="1000"/>
        </w:sectPr>
      </w:pPr>
    </w:p>
    <w:p>
      <w:pPr>
        <w:pStyle w:val="BodyText"/>
        <w:spacing w:before="4"/>
        <w:rPr>
          <w:sz w:val="25"/>
        </w:rPr>
      </w:pPr>
    </w:p>
    <w:p>
      <w:pPr>
        <w:pStyle w:val="BodyText"/>
        <w:spacing w:line="20" w:lineRule="exact"/>
        <w:ind w:left="116"/>
        <w:rPr>
          <w:sz w:val="2"/>
        </w:rPr>
      </w:pPr>
      <w:r>
        <w:rPr>
          <w:sz w:val="2"/>
        </w:rPr>
        <w:pict>
          <v:group style="width:342.4pt;height:.4pt;mso-position-horizontal-relative:char;mso-position-vertical-relative:line" coordorigin="0,0" coordsize="6848,8">
            <v:line style="position:absolute" from="4,4" to="1116,4" stroked="true" strokeweight=".4pt" strokecolor="#231f20"/>
            <v:line style="position:absolute" from="1116,4" to="2072,4" stroked="true" strokeweight=".4pt" strokecolor="#231f20"/>
            <v:line style="position:absolute" from="2072,4" to="2928,4" stroked="true" strokeweight=".4pt" strokecolor="#231f20"/>
            <v:line style="position:absolute" from="2928,4" to="3840,4" stroked="true" strokeweight=".4pt" strokecolor="#231f20"/>
            <v:line style="position:absolute" from="3840,4" to="4727,4" stroked="true" strokeweight=".4pt" strokecolor="#231f20"/>
            <v:line style="position:absolute" from="4727,4" to="5832,4" stroked="true" strokeweight=".4pt" strokecolor="#231f20"/>
            <v:line style="position:absolute" from="5832,4" to="6844,4" stroked="true" strokeweight=".4pt" strokecolor="#231f20"/>
          </v:group>
        </w:pict>
      </w:r>
      <w:r>
        <w:rPr>
          <w:sz w:val="2"/>
        </w:rPr>
      </w:r>
    </w:p>
    <w:p>
      <w:pPr>
        <w:spacing w:before="72"/>
        <w:ind w:left="3119" w:right="0" w:firstLine="0"/>
        <w:jc w:val="left"/>
        <w:rPr>
          <w:i/>
          <w:sz w:val="17"/>
        </w:rPr>
      </w:pPr>
      <w:r>
        <w:rPr/>
        <w:pict>
          <v:group style="position:absolute;margin-left:55.799999pt;margin-top:17.476652pt;width:342.4pt;height:.4pt;mso-position-horizontal-relative:page;mso-position-vertical-relative:paragraph;z-index:2800;mso-wrap-distance-left:0;mso-wrap-distance-right:0" coordorigin="1116,350" coordsize="6848,8">
            <v:line style="position:absolute" from="1120,354" to="2232,354" stroked="true" strokeweight=".4pt" strokecolor="#231f20"/>
            <v:line style="position:absolute" from="2232,354" to="3188,354" stroked="true" strokeweight=".4pt" strokecolor="#231f20"/>
            <v:line style="position:absolute" from="3188,354" to="4044,354" stroked="true" strokeweight=".4pt" strokecolor="#231f20"/>
            <v:line style="position:absolute" from="4044,354" to="4956,354" stroked="true" strokeweight=".4pt" strokecolor="#231f20"/>
            <v:line style="position:absolute" from="4956,354" to="5843,354" stroked="true" strokeweight=".4pt" strokecolor="#231f20"/>
            <v:line style="position:absolute" from="5843,354" to="6948,354" stroked="true" strokeweight=".4pt" strokecolor="#231f20"/>
            <v:line style="position:absolute" from="6948,354" to="7960,354" stroked="true" strokeweight=".4pt" strokecolor="#231f20"/>
            <w10:wrap type="topAndBottom"/>
          </v:group>
        </w:pict>
      </w:r>
      <w:r>
        <w:rPr/>
        <w:pict>
          <v:group style="position:absolute;margin-left:55.799999pt;margin-top:32.182652pt;width:342.4pt;height:11.4pt;mso-position-horizontal-relative:page;mso-position-vertical-relative:paragraph;z-index:-456064" coordorigin="1116,644" coordsize="6848,228">
            <v:shape style="position:absolute;left:1120;top:723;width:6840;height:2" coordorigin="1120,723" coordsize="6840,0" path="m1120,723l2232,723m2232,723l3188,723m3188,723l4044,723m4044,723l4956,723m4956,723l5843,723m5843,723l6948,723m6948,723l7960,723e" filled="false" stroked="true" strokeweight=".4pt" strokecolor="#231f20">
              <v:path arrowok="t"/>
            </v:shape>
            <v:shape style="position:absolute;left:2302;top:668;width:1736;height:180" coordorigin="2302,668" coordsize="1736,180" path="m2302,668l2302,848m4038,668l4038,848e" filled="false" stroked="true" strokeweight="2.4pt" strokecolor="#ffffff">
              <v:path arrowok="t"/>
            </v:shape>
            <v:line style="position:absolute" from="5858,668" to="5858,848" stroked="true" strokeweight="2.4pt" strokecolor="#ffffff"/>
            <w10:wrap type="none"/>
          </v:group>
        </w:pict>
      </w:r>
      <w:r>
        <w:rPr>
          <w:i/>
          <w:color w:val="231F20"/>
          <w:w w:val="105"/>
          <w:sz w:val="17"/>
        </w:rPr>
        <w:t>Grupo de edad 20-24 años</w:t>
      </w:r>
    </w:p>
    <w:p>
      <w:pPr>
        <w:tabs>
          <w:tab w:pos="1753" w:val="left" w:leader="none"/>
          <w:tab w:pos="3234" w:val="left" w:leader="none"/>
          <w:tab w:pos="5075" w:val="left" w:leader="none"/>
        </w:tabs>
        <w:spacing w:before="55"/>
        <w:ind w:left="140" w:right="0" w:firstLine="0"/>
        <w:jc w:val="left"/>
        <w:rPr>
          <w:i/>
          <w:sz w:val="17"/>
        </w:rPr>
      </w:pPr>
      <w:r>
        <w:rPr>
          <w:i/>
          <w:color w:val="231F20"/>
          <w:w w:val="105"/>
          <w:sz w:val="17"/>
        </w:rPr>
        <w:t>no</w:t>
      </w:r>
      <w:r>
        <w:rPr>
          <w:i/>
          <w:color w:val="231F20"/>
          <w:spacing w:val="11"/>
          <w:w w:val="105"/>
          <w:sz w:val="17"/>
        </w:rPr>
        <w:t> </w:t>
      </w:r>
      <w:r>
        <w:rPr>
          <w:i/>
          <w:color w:val="231F20"/>
          <w:w w:val="105"/>
          <w:sz w:val="17"/>
        </w:rPr>
        <w:t>autónomos</w:t>
        <w:tab/>
        <w:t>No</w:t>
      </w:r>
      <w:r>
        <w:rPr>
          <w:i/>
          <w:color w:val="231F20"/>
          <w:spacing w:val="14"/>
          <w:w w:val="105"/>
          <w:sz w:val="17"/>
        </w:rPr>
        <w:t> </w:t>
      </w:r>
      <w:r>
        <w:rPr>
          <w:i/>
          <w:color w:val="231F20"/>
          <w:w w:val="105"/>
          <w:sz w:val="17"/>
        </w:rPr>
        <w:t>unidos</w:t>
        <w:tab/>
        <w:t>Unidos</w:t>
      </w:r>
      <w:r>
        <w:rPr>
          <w:i/>
          <w:color w:val="231F20"/>
          <w:spacing w:val="18"/>
          <w:w w:val="105"/>
          <w:sz w:val="17"/>
        </w:rPr>
        <w:t> </w:t>
      </w:r>
      <w:r>
        <w:rPr>
          <w:i/>
          <w:color w:val="231F20"/>
          <w:w w:val="105"/>
          <w:sz w:val="17"/>
        </w:rPr>
        <w:t>autónomos</w:t>
        <w:tab/>
        <w:t>Unidos  no</w:t>
      </w:r>
      <w:r>
        <w:rPr>
          <w:i/>
          <w:color w:val="231F20"/>
          <w:spacing w:val="9"/>
          <w:w w:val="105"/>
          <w:sz w:val="17"/>
        </w:rPr>
        <w:t> </w:t>
      </w:r>
      <w:r>
        <w:rPr>
          <w:i/>
          <w:color w:val="231F20"/>
          <w:w w:val="105"/>
          <w:sz w:val="17"/>
        </w:rPr>
        <w:t>autónomos</w:t>
      </w:r>
    </w:p>
    <w:p>
      <w:pPr>
        <w:pStyle w:val="BodyText"/>
        <w:spacing w:before="1"/>
        <w:rPr>
          <w:i/>
          <w:sz w:val="8"/>
        </w:rPr>
      </w:pP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60"/>
        <w:gridCol w:w="996"/>
        <w:gridCol w:w="869"/>
        <w:gridCol w:w="918"/>
        <w:gridCol w:w="922"/>
        <w:gridCol w:w="1053"/>
        <w:gridCol w:w="1022"/>
      </w:tblGrid>
      <w:tr>
        <w:trPr>
          <w:trHeight w:val="357" w:hRule="exact"/>
        </w:trPr>
        <w:tc>
          <w:tcPr>
            <w:tcW w:w="1060" w:type="dxa"/>
            <w:tcBorders>
              <w:bottom w:val="single" w:sz="3" w:space="0" w:color="231F20"/>
            </w:tcBorders>
          </w:tcPr>
          <w:p>
            <w:pPr>
              <w:pStyle w:val="TableParagraph"/>
              <w:spacing w:line="240" w:lineRule="auto" w:before="75"/>
              <w:ind w:left="226" w:right="175"/>
              <w:rPr>
                <w:i/>
                <w:sz w:val="17"/>
              </w:rPr>
            </w:pPr>
            <w:r>
              <w:rPr>
                <w:i/>
                <w:color w:val="231F20"/>
                <w:w w:val="110"/>
                <w:sz w:val="17"/>
              </w:rPr>
              <w:t>mujeres</w:t>
            </w:r>
          </w:p>
        </w:tc>
        <w:tc>
          <w:tcPr>
            <w:tcW w:w="996" w:type="dxa"/>
            <w:tcBorders>
              <w:bottom w:val="single" w:sz="3" w:space="0" w:color="231F20"/>
            </w:tcBorders>
          </w:tcPr>
          <w:p>
            <w:pPr>
              <w:pStyle w:val="TableParagraph"/>
              <w:spacing w:line="240" w:lineRule="auto" w:before="75"/>
              <w:ind w:left="187" w:right="124"/>
              <w:rPr>
                <w:i/>
                <w:sz w:val="17"/>
              </w:rPr>
            </w:pPr>
            <w:r>
              <w:rPr>
                <w:i/>
                <w:color w:val="231F20"/>
                <w:w w:val="105"/>
                <w:sz w:val="17"/>
              </w:rPr>
              <w:t>hombres</w:t>
            </w:r>
          </w:p>
        </w:tc>
        <w:tc>
          <w:tcPr>
            <w:tcW w:w="869" w:type="dxa"/>
            <w:tcBorders>
              <w:bottom w:val="single" w:sz="3" w:space="0" w:color="231F20"/>
            </w:tcBorders>
          </w:tcPr>
          <w:p>
            <w:pPr>
              <w:pStyle w:val="TableParagraph"/>
              <w:spacing w:line="240" w:lineRule="auto" w:before="75"/>
              <w:ind w:left="137"/>
              <w:jc w:val="left"/>
              <w:rPr>
                <w:i/>
                <w:sz w:val="17"/>
              </w:rPr>
            </w:pPr>
            <w:r>
              <w:rPr>
                <w:i/>
                <w:color w:val="231F20"/>
                <w:w w:val="110"/>
                <w:sz w:val="17"/>
              </w:rPr>
              <w:t>mujeres</w:t>
            </w:r>
          </w:p>
        </w:tc>
        <w:tc>
          <w:tcPr>
            <w:tcW w:w="918" w:type="dxa"/>
            <w:tcBorders>
              <w:bottom w:val="single" w:sz="3" w:space="0" w:color="231F20"/>
            </w:tcBorders>
          </w:tcPr>
          <w:p>
            <w:pPr>
              <w:pStyle w:val="TableParagraph"/>
              <w:spacing w:line="240" w:lineRule="auto" w:before="75"/>
              <w:ind w:left="114" w:right="119"/>
              <w:rPr>
                <w:i/>
                <w:sz w:val="17"/>
              </w:rPr>
            </w:pPr>
            <w:r>
              <w:rPr>
                <w:i/>
                <w:color w:val="231F20"/>
                <w:w w:val="105"/>
                <w:sz w:val="17"/>
              </w:rPr>
              <w:t>hombres</w:t>
            </w:r>
          </w:p>
        </w:tc>
        <w:tc>
          <w:tcPr>
            <w:tcW w:w="922" w:type="dxa"/>
            <w:tcBorders>
              <w:bottom w:val="single" w:sz="3" w:space="0" w:color="231F20"/>
            </w:tcBorders>
          </w:tcPr>
          <w:p>
            <w:pPr>
              <w:pStyle w:val="TableParagraph"/>
              <w:spacing w:line="240" w:lineRule="auto" w:before="75"/>
              <w:ind w:left="109" w:right="155"/>
              <w:rPr>
                <w:i/>
                <w:sz w:val="17"/>
              </w:rPr>
            </w:pPr>
            <w:r>
              <w:rPr>
                <w:i/>
                <w:color w:val="231F20"/>
                <w:w w:val="110"/>
                <w:sz w:val="17"/>
              </w:rPr>
              <w:t>mujeres</w:t>
            </w:r>
          </w:p>
        </w:tc>
        <w:tc>
          <w:tcPr>
            <w:tcW w:w="1053" w:type="dxa"/>
            <w:tcBorders>
              <w:bottom w:val="single" w:sz="3" w:space="0" w:color="231F20"/>
            </w:tcBorders>
          </w:tcPr>
          <w:p>
            <w:pPr>
              <w:pStyle w:val="TableParagraph"/>
              <w:spacing w:line="240" w:lineRule="auto" w:before="75"/>
              <w:ind w:left="170" w:right="199"/>
              <w:rPr>
                <w:i/>
                <w:sz w:val="17"/>
              </w:rPr>
            </w:pPr>
            <w:r>
              <w:rPr>
                <w:i/>
                <w:color w:val="231F20"/>
                <w:w w:val="105"/>
                <w:sz w:val="17"/>
              </w:rPr>
              <w:t>hombres</w:t>
            </w:r>
          </w:p>
        </w:tc>
        <w:tc>
          <w:tcPr>
            <w:tcW w:w="1022" w:type="dxa"/>
            <w:tcBorders>
              <w:bottom w:val="single" w:sz="3" w:space="0" w:color="231F20"/>
            </w:tcBorders>
          </w:tcPr>
          <w:p>
            <w:pPr>
              <w:pStyle w:val="TableParagraph"/>
              <w:spacing w:line="240" w:lineRule="auto" w:before="75"/>
              <w:ind w:left="187" w:right="177"/>
              <w:rPr>
                <w:i/>
                <w:sz w:val="17"/>
              </w:rPr>
            </w:pPr>
            <w:r>
              <w:rPr>
                <w:i/>
                <w:color w:val="231F20"/>
                <w:w w:val="110"/>
                <w:sz w:val="17"/>
              </w:rPr>
              <w:t>mujeres</w:t>
            </w:r>
          </w:p>
        </w:tc>
      </w:tr>
      <w:tr>
        <w:trPr>
          <w:trHeight w:val="517" w:hRule="exact"/>
        </w:trPr>
        <w:tc>
          <w:tcPr>
            <w:tcW w:w="1060" w:type="dxa"/>
            <w:tcBorders>
              <w:top w:val="single" w:sz="3" w:space="0" w:color="231F20"/>
            </w:tcBorders>
          </w:tcPr>
          <w:p>
            <w:pPr>
              <w:pStyle w:val="TableParagraph"/>
              <w:spacing w:line="240" w:lineRule="auto"/>
              <w:jc w:val="left"/>
              <w:rPr>
                <w:i/>
                <w:sz w:val="16"/>
              </w:rPr>
            </w:pPr>
          </w:p>
          <w:p>
            <w:pPr>
              <w:pStyle w:val="TableParagraph"/>
              <w:spacing w:line="240" w:lineRule="auto" w:before="110"/>
              <w:ind w:left="226" w:right="156"/>
              <w:rPr>
                <w:sz w:val="17"/>
              </w:rPr>
            </w:pPr>
            <w:r>
              <w:rPr>
                <w:color w:val="231F20"/>
                <w:w w:val="105"/>
                <w:sz w:val="17"/>
              </w:rPr>
              <w:t>12.4</w:t>
            </w:r>
          </w:p>
        </w:tc>
        <w:tc>
          <w:tcPr>
            <w:tcW w:w="996" w:type="dxa"/>
            <w:tcBorders>
              <w:top w:val="single" w:sz="3" w:space="0" w:color="231F20"/>
            </w:tcBorders>
          </w:tcPr>
          <w:p>
            <w:pPr>
              <w:pStyle w:val="TableParagraph"/>
              <w:spacing w:line="240" w:lineRule="auto"/>
              <w:jc w:val="left"/>
              <w:rPr>
                <w:i/>
                <w:sz w:val="16"/>
              </w:rPr>
            </w:pPr>
          </w:p>
          <w:p>
            <w:pPr>
              <w:pStyle w:val="TableParagraph"/>
              <w:spacing w:line="240" w:lineRule="auto" w:before="110"/>
              <w:ind w:left="170" w:right="124"/>
              <w:rPr>
                <w:sz w:val="17"/>
              </w:rPr>
            </w:pPr>
            <w:r>
              <w:rPr>
                <w:color w:val="231F20"/>
                <w:w w:val="105"/>
                <w:sz w:val="17"/>
              </w:rPr>
              <w:t>58.3</w:t>
            </w:r>
          </w:p>
        </w:tc>
        <w:tc>
          <w:tcPr>
            <w:tcW w:w="869" w:type="dxa"/>
            <w:tcBorders>
              <w:top w:val="single" w:sz="3" w:space="0" w:color="231F20"/>
            </w:tcBorders>
          </w:tcPr>
          <w:p>
            <w:pPr>
              <w:pStyle w:val="TableParagraph"/>
              <w:spacing w:line="240" w:lineRule="auto"/>
              <w:jc w:val="left"/>
              <w:rPr>
                <w:i/>
                <w:sz w:val="16"/>
              </w:rPr>
            </w:pPr>
          </w:p>
          <w:p>
            <w:pPr>
              <w:pStyle w:val="TableParagraph"/>
              <w:spacing w:line="240" w:lineRule="auto" w:before="110"/>
              <w:ind w:left="295"/>
              <w:jc w:val="left"/>
              <w:rPr>
                <w:sz w:val="17"/>
              </w:rPr>
            </w:pPr>
            <w:r>
              <w:rPr>
                <w:color w:val="231F20"/>
                <w:w w:val="105"/>
                <w:sz w:val="17"/>
              </w:rPr>
              <w:t>46.8</w:t>
            </w:r>
          </w:p>
        </w:tc>
        <w:tc>
          <w:tcPr>
            <w:tcW w:w="918" w:type="dxa"/>
            <w:tcBorders>
              <w:top w:val="single" w:sz="3" w:space="0" w:color="231F20"/>
            </w:tcBorders>
          </w:tcPr>
          <w:p>
            <w:pPr>
              <w:pStyle w:val="TableParagraph"/>
              <w:spacing w:line="240" w:lineRule="auto"/>
              <w:jc w:val="left"/>
              <w:rPr>
                <w:i/>
                <w:sz w:val="16"/>
              </w:rPr>
            </w:pPr>
          </w:p>
          <w:p>
            <w:pPr>
              <w:pStyle w:val="TableParagraph"/>
              <w:spacing w:line="240" w:lineRule="auto" w:before="110"/>
              <w:ind w:left="53" w:right="119"/>
              <w:rPr>
                <w:sz w:val="17"/>
              </w:rPr>
            </w:pPr>
            <w:r>
              <w:rPr>
                <w:color w:val="231F20"/>
                <w:w w:val="105"/>
                <w:sz w:val="17"/>
              </w:rPr>
              <w:t>92.7</w:t>
            </w:r>
          </w:p>
        </w:tc>
        <w:tc>
          <w:tcPr>
            <w:tcW w:w="922" w:type="dxa"/>
            <w:tcBorders>
              <w:top w:val="single" w:sz="3" w:space="0" w:color="231F20"/>
            </w:tcBorders>
          </w:tcPr>
          <w:p>
            <w:pPr>
              <w:pStyle w:val="TableParagraph"/>
              <w:spacing w:line="240" w:lineRule="auto"/>
              <w:jc w:val="left"/>
              <w:rPr>
                <w:i/>
                <w:sz w:val="16"/>
              </w:rPr>
            </w:pPr>
          </w:p>
          <w:p>
            <w:pPr>
              <w:pStyle w:val="TableParagraph"/>
              <w:spacing w:line="240" w:lineRule="auto" w:before="110"/>
              <w:ind w:left="63" w:right="155"/>
              <w:rPr>
                <w:sz w:val="17"/>
              </w:rPr>
            </w:pPr>
            <w:r>
              <w:rPr>
                <w:color w:val="231F20"/>
                <w:w w:val="105"/>
                <w:sz w:val="17"/>
              </w:rPr>
              <w:t>21.9</w:t>
            </w:r>
          </w:p>
        </w:tc>
        <w:tc>
          <w:tcPr>
            <w:tcW w:w="1053" w:type="dxa"/>
            <w:tcBorders>
              <w:top w:val="single" w:sz="3" w:space="0" w:color="231F20"/>
            </w:tcBorders>
          </w:tcPr>
          <w:p>
            <w:pPr>
              <w:pStyle w:val="TableParagraph"/>
              <w:spacing w:line="240" w:lineRule="auto"/>
              <w:jc w:val="left"/>
              <w:rPr>
                <w:i/>
                <w:sz w:val="16"/>
              </w:rPr>
            </w:pPr>
          </w:p>
          <w:p>
            <w:pPr>
              <w:pStyle w:val="TableParagraph"/>
              <w:spacing w:line="240" w:lineRule="auto" w:before="110"/>
              <w:ind w:left="170" w:right="187"/>
              <w:rPr>
                <w:sz w:val="17"/>
              </w:rPr>
            </w:pPr>
            <w:r>
              <w:rPr>
                <w:color w:val="231F20"/>
                <w:w w:val="105"/>
                <w:sz w:val="17"/>
              </w:rPr>
              <w:t>89.1</w:t>
            </w:r>
          </w:p>
        </w:tc>
        <w:tc>
          <w:tcPr>
            <w:tcW w:w="1022" w:type="dxa"/>
            <w:tcBorders>
              <w:top w:val="single" w:sz="3" w:space="0" w:color="231F20"/>
            </w:tcBorders>
          </w:tcPr>
          <w:p>
            <w:pPr>
              <w:pStyle w:val="TableParagraph"/>
              <w:spacing w:line="240" w:lineRule="auto"/>
              <w:jc w:val="left"/>
              <w:rPr>
                <w:i/>
                <w:sz w:val="16"/>
              </w:rPr>
            </w:pPr>
          </w:p>
          <w:p>
            <w:pPr>
              <w:pStyle w:val="TableParagraph"/>
              <w:spacing w:line="240" w:lineRule="auto" w:before="110"/>
              <w:ind w:left="186" w:right="177"/>
              <w:rPr>
                <w:sz w:val="17"/>
              </w:rPr>
            </w:pPr>
            <w:r>
              <w:rPr>
                <w:color w:val="231F20"/>
                <w:w w:val="105"/>
                <w:sz w:val="17"/>
              </w:rPr>
              <w:t>25.1</w:t>
            </w:r>
          </w:p>
        </w:tc>
      </w:tr>
      <w:tr>
        <w:trPr>
          <w:trHeight w:val="210" w:hRule="exact"/>
        </w:trPr>
        <w:tc>
          <w:tcPr>
            <w:tcW w:w="1060" w:type="dxa"/>
          </w:tcPr>
          <w:p>
            <w:pPr>
              <w:pStyle w:val="TableParagraph"/>
              <w:ind w:left="226" w:right="60"/>
              <w:rPr>
                <w:sz w:val="17"/>
              </w:rPr>
            </w:pPr>
            <w:r>
              <w:rPr>
                <w:color w:val="231F20"/>
                <w:w w:val="105"/>
                <w:sz w:val="17"/>
              </w:rPr>
              <w:t>1.0</w:t>
            </w:r>
          </w:p>
        </w:tc>
        <w:tc>
          <w:tcPr>
            <w:tcW w:w="996" w:type="dxa"/>
          </w:tcPr>
          <w:p>
            <w:pPr>
              <w:pStyle w:val="TableParagraph"/>
              <w:ind w:left="187" w:right="44"/>
              <w:rPr>
                <w:sz w:val="17"/>
              </w:rPr>
            </w:pPr>
            <w:r>
              <w:rPr>
                <w:color w:val="231F20"/>
                <w:w w:val="105"/>
                <w:sz w:val="17"/>
              </w:rPr>
              <w:t>7.8</w:t>
            </w:r>
          </w:p>
        </w:tc>
        <w:tc>
          <w:tcPr>
            <w:tcW w:w="869" w:type="dxa"/>
          </w:tcPr>
          <w:p>
            <w:pPr>
              <w:pStyle w:val="TableParagraph"/>
              <w:ind w:left="391"/>
              <w:jc w:val="left"/>
              <w:rPr>
                <w:sz w:val="17"/>
              </w:rPr>
            </w:pPr>
            <w:r>
              <w:rPr>
                <w:color w:val="231F20"/>
                <w:w w:val="105"/>
                <w:sz w:val="17"/>
              </w:rPr>
              <w:t>4.3</w:t>
            </w:r>
          </w:p>
        </w:tc>
        <w:tc>
          <w:tcPr>
            <w:tcW w:w="918" w:type="dxa"/>
          </w:tcPr>
          <w:p>
            <w:pPr>
              <w:pStyle w:val="TableParagraph"/>
              <w:ind w:left="114" w:right="87"/>
              <w:rPr>
                <w:sz w:val="17"/>
              </w:rPr>
            </w:pPr>
            <w:r>
              <w:rPr>
                <w:color w:val="231F20"/>
                <w:w w:val="105"/>
                <w:sz w:val="17"/>
              </w:rPr>
              <w:t>3.6</w:t>
            </w:r>
          </w:p>
        </w:tc>
        <w:tc>
          <w:tcPr>
            <w:tcW w:w="922" w:type="dxa"/>
          </w:tcPr>
          <w:p>
            <w:pPr>
              <w:pStyle w:val="TableParagraph"/>
              <w:ind w:left="109" w:right="108"/>
              <w:rPr>
                <w:sz w:val="17"/>
              </w:rPr>
            </w:pPr>
            <w:r>
              <w:rPr>
                <w:color w:val="231F20"/>
                <w:w w:val="105"/>
                <w:sz w:val="17"/>
              </w:rPr>
              <w:t>0.4</w:t>
            </w:r>
          </w:p>
        </w:tc>
        <w:tc>
          <w:tcPr>
            <w:tcW w:w="1053" w:type="dxa"/>
          </w:tcPr>
          <w:p>
            <w:pPr>
              <w:pStyle w:val="TableParagraph"/>
              <w:ind w:left="170" w:right="94"/>
              <w:rPr>
                <w:sz w:val="17"/>
              </w:rPr>
            </w:pPr>
            <w:r>
              <w:rPr>
                <w:color w:val="231F20"/>
                <w:w w:val="105"/>
                <w:sz w:val="17"/>
              </w:rPr>
              <w:t>5.7</w:t>
            </w:r>
          </w:p>
        </w:tc>
        <w:tc>
          <w:tcPr>
            <w:tcW w:w="1022" w:type="dxa"/>
          </w:tcPr>
          <w:p>
            <w:pPr>
              <w:pStyle w:val="TableParagraph"/>
              <w:ind w:left="187" w:right="82"/>
              <w:rPr>
                <w:sz w:val="17"/>
              </w:rPr>
            </w:pPr>
            <w:r>
              <w:rPr>
                <w:color w:val="231F20"/>
                <w:w w:val="105"/>
                <w:sz w:val="17"/>
              </w:rPr>
              <w:t>0.5</w:t>
            </w:r>
          </w:p>
        </w:tc>
      </w:tr>
      <w:tr>
        <w:trPr>
          <w:trHeight w:val="210" w:hRule="exact"/>
        </w:trPr>
        <w:tc>
          <w:tcPr>
            <w:tcW w:w="1060" w:type="dxa"/>
          </w:tcPr>
          <w:p>
            <w:pPr>
              <w:pStyle w:val="TableParagraph"/>
              <w:ind w:left="226" w:right="156"/>
              <w:rPr>
                <w:sz w:val="17"/>
              </w:rPr>
            </w:pPr>
            <w:r>
              <w:rPr>
                <w:color w:val="231F20"/>
                <w:w w:val="105"/>
                <w:sz w:val="17"/>
              </w:rPr>
              <w:t>84.4</w:t>
            </w:r>
          </w:p>
        </w:tc>
        <w:tc>
          <w:tcPr>
            <w:tcW w:w="996" w:type="dxa"/>
          </w:tcPr>
          <w:p>
            <w:pPr>
              <w:pStyle w:val="TableParagraph"/>
              <w:ind w:left="170" w:right="124"/>
              <w:rPr>
                <w:sz w:val="17"/>
              </w:rPr>
            </w:pPr>
            <w:r>
              <w:rPr>
                <w:color w:val="231F20"/>
                <w:w w:val="105"/>
                <w:sz w:val="17"/>
              </w:rPr>
              <w:t>28.3</w:t>
            </w:r>
          </w:p>
        </w:tc>
        <w:tc>
          <w:tcPr>
            <w:tcW w:w="869" w:type="dxa"/>
          </w:tcPr>
          <w:p>
            <w:pPr>
              <w:pStyle w:val="TableParagraph"/>
              <w:ind w:left="295"/>
              <w:jc w:val="left"/>
              <w:rPr>
                <w:sz w:val="17"/>
              </w:rPr>
            </w:pPr>
            <w:r>
              <w:rPr>
                <w:color w:val="231F20"/>
                <w:w w:val="105"/>
                <w:sz w:val="17"/>
              </w:rPr>
              <w:t>45.1</w:t>
            </w:r>
          </w:p>
        </w:tc>
        <w:tc>
          <w:tcPr>
            <w:tcW w:w="918" w:type="dxa"/>
          </w:tcPr>
          <w:p>
            <w:pPr>
              <w:pStyle w:val="TableParagraph"/>
              <w:ind w:left="114" w:right="87"/>
              <w:rPr>
                <w:sz w:val="17"/>
              </w:rPr>
            </w:pPr>
            <w:r>
              <w:rPr>
                <w:color w:val="231F20"/>
                <w:w w:val="105"/>
                <w:sz w:val="17"/>
              </w:rPr>
              <w:t>2.0</w:t>
            </w:r>
          </w:p>
        </w:tc>
        <w:tc>
          <w:tcPr>
            <w:tcW w:w="922" w:type="dxa"/>
          </w:tcPr>
          <w:p>
            <w:pPr>
              <w:pStyle w:val="TableParagraph"/>
              <w:ind w:left="63" w:right="155"/>
              <w:rPr>
                <w:sz w:val="17"/>
              </w:rPr>
            </w:pPr>
            <w:r>
              <w:rPr>
                <w:color w:val="231F20"/>
                <w:w w:val="105"/>
                <w:sz w:val="17"/>
              </w:rPr>
              <w:t>76.4</w:t>
            </w:r>
          </w:p>
        </w:tc>
        <w:tc>
          <w:tcPr>
            <w:tcW w:w="1053" w:type="dxa"/>
          </w:tcPr>
          <w:p>
            <w:pPr>
              <w:pStyle w:val="TableParagraph"/>
              <w:ind w:left="170" w:right="94"/>
              <w:rPr>
                <w:sz w:val="17"/>
              </w:rPr>
            </w:pPr>
            <w:r>
              <w:rPr>
                <w:color w:val="231F20"/>
                <w:w w:val="105"/>
                <w:sz w:val="17"/>
              </w:rPr>
              <w:t>2.5</w:t>
            </w:r>
          </w:p>
        </w:tc>
        <w:tc>
          <w:tcPr>
            <w:tcW w:w="1022" w:type="dxa"/>
          </w:tcPr>
          <w:p>
            <w:pPr>
              <w:pStyle w:val="TableParagraph"/>
              <w:ind w:left="186" w:right="177"/>
              <w:rPr>
                <w:sz w:val="17"/>
              </w:rPr>
            </w:pPr>
            <w:r>
              <w:rPr>
                <w:color w:val="231F20"/>
                <w:w w:val="105"/>
                <w:sz w:val="17"/>
              </w:rPr>
              <w:t>72.7</w:t>
            </w:r>
          </w:p>
        </w:tc>
      </w:tr>
      <w:tr>
        <w:trPr>
          <w:trHeight w:val="440" w:hRule="exact"/>
        </w:trPr>
        <w:tc>
          <w:tcPr>
            <w:tcW w:w="1060" w:type="dxa"/>
          </w:tcPr>
          <w:p>
            <w:pPr>
              <w:pStyle w:val="TableParagraph"/>
              <w:ind w:left="226" w:right="60"/>
              <w:rPr>
                <w:sz w:val="17"/>
              </w:rPr>
            </w:pPr>
            <w:r>
              <w:rPr>
                <w:color w:val="231F20"/>
                <w:w w:val="105"/>
                <w:sz w:val="17"/>
              </w:rPr>
              <w:t>2.3</w:t>
            </w:r>
          </w:p>
        </w:tc>
        <w:tc>
          <w:tcPr>
            <w:tcW w:w="996" w:type="dxa"/>
          </w:tcPr>
          <w:p>
            <w:pPr>
              <w:pStyle w:val="TableParagraph"/>
              <w:ind w:left="187" w:right="44"/>
              <w:rPr>
                <w:sz w:val="17"/>
              </w:rPr>
            </w:pPr>
            <w:r>
              <w:rPr>
                <w:color w:val="231F20"/>
                <w:w w:val="105"/>
                <w:sz w:val="17"/>
              </w:rPr>
              <w:t>5.6</w:t>
            </w:r>
          </w:p>
        </w:tc>
        <w:tc>
          <w:tcPr>
            <w:tcW w:w="869" w:type="dxa"/>
          </w:tcPr>
          <w:p>
            <w:pPr>
              <w:pStyle w:val="TableParagraph"/>
              <w:ind w:left="391"/>
              <w:jc w:val="left"/>
              <w:rPr>
                <w:sz w:val="17"/>
              </w:rPr>
            </w:pPr>
            <w:r>
              <w:rPr>
                <w:color w:val="231F20"/>
                <w:w w:val="105"/>
                <w:sz w:val="17"/>
              </w:rPr>
              <w:t>3.8</w:t>
            </w:r>
          </w:p>
        </w:tc>
        <w:tc>
          <w:tcPr>
            <w:tcW w:w="918" w:type="dxa"/>
          </w:tcPr>
          <w:p>
            <w:pPr>
              <w:pStyle w:val="TableParagraph"/>
              <w:ind w:left="114" w:right="87"/>
              <w:rPr>
                <w:sz w:val="17"/>
              </w:rPr>
            </w:pPr>
            <w:r>
              <w:rPr>
                <w:color w:val="231F20"/>
                <w:w w:val="105"/>
                <w:sz w:val="17"/>
              </w:rPr>
              <w:t>1.8</w:t>
            </w:r>
          </w:p>
        </w:tc>
        <w:tc>
          <w:tcPr>
            <w:tcW w:w="922" w:type="dxa"/>
          </w:tcPr>
          <w:p>
            <w:pPr>
              <w:pStyle w:val="TableParagraph"/>
              <w:ind w:left="109" w:right="108"/>
              <w:rPr>
                <w:sz w:val="17"/>
              </w:rPr>
            </w:pPr>
            <w:r>
              <w:rPr>
                <w:color w:val="231F20"/>
                <w:w w:val="105"/>
                <w:sz w:val="17"/>
              </w:rPr>
              <w:t>1.2</w:t>
            </w:r>
          </w:p>
        </w:tc>
        <w:tc>
          <w:tcPr>
            <w:tcW w:w="1053" w:type="dxa"/>
          </w:tcPr>
          <w:p>
            <w:pPr>
              <w:pStyle w:val="TableParagraph"/>
              <w:ind w:left="170" w:right="94"/>
              <w:rPr>
                <w:sz w:val="17"/>
              </w:rPr>
            </w:pPr>
            <w:r>
              <w:rPr>
                <w:color w:val="231F20"/>
                <w:w w:val="105"/>
                <w:sz w:val="17"/>
              </w:rPr>
              <w:t>2.7</w:t>
            </w:r>
          </w:p>
        </w:tc>
        <w:tc>
          <w:tcPr>
            <w:tcW w:w="1022" w:type="dxa"/>
          </w:tcPr>
          <w:p>
            <w:pPr>
              <w:pStyle w:val="TableParagraph"/>
              <w:ind w:left="187" w:right="82"/>
              <w:rPr>
                <w:sz w:val="17"/>
              </w:rPr>
            </w:pPr>
            <w:r>
              <w:rPr>
                <w:color w:val="231F20"/>
                <w:w w:val="105"/>
                <w:sz w:val="17"/>
              </w:rPr>
              <w:t>1.6</w:t>
            </w:r>
          </w:p>
        </w:tc>
      </w:tr>
      <w:tr>
        <w:trPr>
          <w:trHeight w:val="440" w:hRule="exact"/>
        </w:trPr>
        <w:tc>
          <w:tcPr>
            <w:tcW w:w="1060" w:type="dxa"/>
          </w:tcPr>
          <w:p>
            <w:pPr>
              <w:pStyle w:val="TableParagraph"/>
              <w:spacing w:line="240" w:lineRule="auto" w:before="2"/>
              <w:jc w:val="left"/>
              <w:rPr>
                <w:i/>
                <w:sz w:val="19"/>
              </w:rPr>
            </w:pPr>
          </w:p>
          <w:p>
            <w:pPr>
              <w:pStyle w:val="TableParagraph"/>
              <w:spacing w:line="240" w:lineRule="auto"/>
              <w:ind w:left="226" w:right="156"/>
              <w:rPr>
                <w:sz w:val="17"/>
              </w:rPr>
            </w:pPr>
            <w:r>
              <w:rPr>
                <w:color w:val="231F20"/>
                <w:w w:val="105"/>
                <w:sz w:val="17"/>
              </w:rPr>
              <w:t>19.4</w:t>
            </w:r>
          </w:p>
        </w:tc>
        <w:tc>
          <w:tcPr>
            <w:tcW w:w="996" w:type="dxa"/>
          </w:tcPr>
          <w:p>
            <w:pPr>
              <w:pStyle w:val="TableParagraph"/>
              <w:spacing w:line="240" w:lineRule="auto" w:before="2"/>
              <w:jc w:val="left"/>
              <w:rPr>
                <w:i/>
                <w:sz w:val="19"/>
              </w:rPr>
            </w:pPr>
          </w:p>
          <w:p>
            <w:pPr>
              <w:pStyle w:val="TableParagraph"/>
              <w:spacing w:line="240" w:lineRule="auto"/>
              <w:ind w:left="170" w:right="124"/>
              <w:rPr>
                <w:sz w:val="17"/>
              </w:rPr>
            </w:pPr>
            <w:r>
              <w:rPr>
                <w:color w:val="231F20"/>
                <w:w w:val="105"/>
                <w:sz w:val="17"/>
              </w:rPr>
              <w:t>41.1</w:t>
            </w:r>
          </w:p>
        </w:tc>
        <w:tc>
          <w:tcPr>
            <w:tcW w:w="869" w:type="dxa"/>
          </w:tcPr>
          <w:p>
            <w:pPr>
              <w:pStyle w:val="TableParagraph"/>
              <w:spacing w:line="240" w:lineRule="auto" w:before="2"/>
              <w:jc w:val="left"/>
              <w:rPr>
                <w:i/>
                <w:sz w:val="19"/>
              </w:rPr>
            </w:pPr>
          </w:p>
          <w:p>
            <w:pPr>
              <w:pStyle w:val="TableParagraph"/>
              <w:spacing w:line="240" w:lineRule="auto"/>
              <w:ind w:left="295"/>
              <w:jc w:val="left"/>
              <w:rPr>
                <w:sz w:val="17"/>
              </w:rPr>
            </w:pPr>
            <w:r>
              <w:rPr>
                <w:color w:val="231F20"/>
                <w:w w:val="105"/>
                <w:sz w:val="17"/>
              </w:rPr>
              <w:t>45.8</w:t>
            </w:r>
          </w:p>
        </w:tc>
        <w:tc>
          <w:tcPr>
            <w:tcW w:w="918" w:type="dxa"/>
          </w:tcPr>
          <w:p>
            <w:pPr>
              <w:pStyle w:val="TableParagraph"/>
              <w:spacing w:line="240" w:lineRule="auto" w:before="2"/>
              <w:jc w:val="left"/>
              <w:rPr>
                <w:i/>
                <w:sz w:val="19"/>
              </w:rPr>
            </w:pPr>
          </w:p>
          <w:p>
            <w:pPr>
              <w:pStyle w:val="TableParagraph"/>
              <w:spacing w:line="240" w:lineRule="auto"/>
              <w:ind w:left="53" w:right="119"/>
              <w:rPr>
                <w:sz w:val="17"/>
              </w:rPr>
            </w:pPr>
            <w:r>
              <w:rPr>
                <w:color w:val="231F20"/>
                <w:w w:val="105"/>
                <w:sz w:val="17"/>
              </w:rPr>
              <w:t>36.8</w:t>
            </w:r>
          </w:p>
        </w:tc>
        <w:tc>
          <w:tcPr>
            <w:tcW w:w="922" w:type="dxa"/>
          </w:tcPr>
          <w:p>
            <w:pPr>
              <w:pStyle w:val="TableParagraph"/>
              <w:spacing w:line="240" w:lineRule="auto" w:before="2"/>
              <w:jc w:val="left"/>
              <w:rPr>
                <w:i/>
                <w:sz w:val="19"/>
              </w:rPr>
            </w:pPr>
          </w:p>
          <w:p>
            <w:pPr>
              <w:pStyle w:val="TableParagraph"/>
              <w:spacing w:line="240" w:lineRule="auto"/>
              <w:ind w:left="63" w:right="155"/>
              <w:rPr>
                <w:sz w:val="17"/>
              </w:rPr>
            </w:pPr>
            <w:r>
              <w:rPr>
                <w:color w:val="231F20"/>
                <w:w w:val="105"/>
                <w:sz w:val="17"/>
              </w:rPr>
              <w:t>40.4</w:t>
            </w:r>
          </w:p>
        </w:tc>
        <w:tc>
          <w:tcPr>
            <w:tcW w:w="1053" w:type="dxa"/>
          </w:tcPr>
          <w:p>
            <w:pPr>
              <w:pStyle w:val="TableParagraph"/>
              <w:spacing w:line="240" w:lineRule="auto" w:before="2"/>
              <w:jc w:val="left"/>
              <w:rPr>
                <w:i/>
                <w:sz w:val="19"/>
              </w:rPr>
            </w:pPr>
          </w:p>
          <w:p>
            <w:pPr>
              <w:pStyle w:val="TableParagraph"/>
              <w:spacing w:line="240" w:lineRule="auto"/>
              <w:ind w:left="170" w:right="187"/>
              <w:rPr>
                <w:sz w:val="17"/>
              </w:rPr>
            </w:pPr>
            <w:r>
              <w:rPr>
                <w:color w:val="231F20"/>
                <w:w w:val="105"/>
                <w:sz w:val="17"/>
              </w:rPr>
              <w:t>40.2</w:t>
            </w:r>
          </w:p>
        </w:tc>
        <w:tc>
          <w:tcPr>
            <w:tcW w:w="1022" w:type="dxa"/>
          </w:tcPr>
          <w:p>
            <w:pPr>
              <w:pStyle w:val="TableParagraph"/>
              <w:spacing w:line="240" w:lineRule="auto" w:before="2"/>
              <w:jc w:val="left"/>
              <w:rPr>
                <w:i/>
                <w:sz w:val="19"/>
              </w:rPr>
            </w:pPr>
          </w:p>
          <w:p>
            <w:pPr>
              <w:pStyle w:val="TableParagraph"/>
              <w:spacing w:line="240" w:lineRule="auto"/>
              <w:ind w:left="186" w:right="177"/>
              <w:rPr>
                <w:sz w:val="17"/>
              </w:rPr>
            </w:pPr>
            <w:r>
              <w:rPr>
                <w:color w:val="231F20"/>
                <w:w w:val="105"/>
                <w:sz w:val="17"/>
              </w:rPr>
              <w:t>54.4</w:t>
            </w:r>
          </w:p>
        </w:tc>
      </w:tr>
      <w:tr>
        <w:trPr>
          <w:trHeight w:val="210" w:hRule="exact"/>
        </w:trPr>
        <w:tc>
          <w:tcPr>
            <w:tcW w:w="1060" w:type="dxa"/>
          </w:tcPr>
          <w:p>
            <w:pPr>
              <w:pStyle w:val="TableParagraph"/>
              <w:ind w:left="226" w:right="156"/>
              <w:rPr>
                <w:sz w:val="17"/>
              </w:rPr>
            </w:pPr>
            <w:r>
              <w:rPr>
                <w:color w:val="231F20"/>
                <w:w w:val="105"/>
                <w:sz w:val="17"/>
              </w:rPr>
              <w:t>79.0</w:t>
            </w:r>
          </w:p>
        </w:tc>
        <w:tc>
          <w:tcPr>
            <w:tcW w:w="996" w:type="dxa"/>
          </w:tcPr>
          <w:p>
            <w:pPr>
              <w:pStyle w:val="TableParagraph"/>
              <w:ind w:left="170" w:right="124"/>
              <w:rPr>
                <w:sz w:val="17"/>
              </w:rPr>
            </w:pPr>
            <w:r>
              <w:rPr>
                <w:color w:val="231F20"/>
                <w:w w:val="105"/>
                <w:sz w:val="17"/>
              </w:rPr>
              <w:t>57.5</w:t>
            </w:r>
          </w:p>
        </w:tc>
        <w:tc>
          <w:tcPr>
            <w:tcW w:w="869" w:type="dxa"/>
          </w:tcPr>
          <w:p>
            <w:pPr>
              <w:pStyle w:val="TableParagraph"/>
              <w:ind w:left="295"/>
              <w:jc w:val="left"/>
              <w:rPr>
                <w:sz w:val="17"/>
              </w:rPr>
            </w:pPr>
            <w:r>
              <w:rPr>
                <w:color w:val="231F20"/>
                <w:w w:val="105"/>
                <w:sz w:val="17"/>
              </w:rPr>
              <w:t>53.1</w:t>
            </w:r>
          </w:p>
        </w:tc>
        <w:tc>
          <w:tcPr>
            <w:tcW w:w="918" w:type="dxa"/>
          </w:tcPr>
          <w:p>
            <w:pPr>
              <w:pStyle w:val="TableParagraph"/>
              <w:ind w:left="53" w:right="119"/>
              <w:rPr>
                <w:sz w:val="17"/>
              </w:rPr>
            </w:pPr>
            <w:r>
              <w:rPr>
                <w:color w:val="231F20"/>
                <w:w w:val="105"/>
                <w:sz w:val="17"/>
              </w:rPr>
              <w:t>62.2</w:t>
            </w:r>
          </w:p>
        </w:tc>
        <w:tc>
          <w:tcPr>
            <w:tcW w:w="922" w:type="dxa"/>
          </w:tcPr>
          <w:p>
            <w:pPr>
              <w:pStyle w:val="TableParagraph"/>
              <w:ind w:left="63" w:right="155"/>
              <w:rPr>
                <w:sz w:val="17"/>
              </w:rPr>
            </w:pPr>
            <w:r>
              <w:rPr>
                <w:color w:val="231F20"/>
                <w:w w:val="105"/>
                <w:sz w:val="17"/>
              </w:rPr>
              <w:t>58.3</w:t>
            </w:r>
          </w:p>
        </w:tc>
        <w:tc>
          <w:tcPr>
            <w:tcW w:w="1053" w:type="dxa"/>
          </w:tcPr>
          <w:p>
            <w:pPr>
              <w:pStyle w:val="TableParagraph"/>
              <w:ind w:left="170" w:right="187"/>
              <w:rPr>
                <w:sz w:val="17"/>
              </w:rPr>
            </w:pPr>
            <w:r>
              <w:rPr>
                <w:color w:val="231F20"/>
                <w:w w:val="105"/>
                <w:sz w:val="17"/>
              </w:rPr>
              <w:t>58.4</w:t>
            </w:r>
          </w:p>
        </w:tc>
        <w:tc>
          <w:tcPr>
            <w:tcW w:w="1022" w:type="dxa"/>
          </w:tcPr>
          <w:p>
            <w:pPr>
              <w:pStyle w:val="TableParagraph"/>
              <w:ind w:left="186" w:right="177"/>
              <w:rPr>
                <w:sz w:val="17"/>
              </w:rPr>
            </w:pPr>
            <w:r>
              <w:rPr>
                <w:color w:val="231F20"/>
                <w:w w:val="105"/>
                <w:sz w:val="17"/>
              </w:rPr>
              <w:t>44.0</w:t>
            </w:r>
          </w:p>
        </w:tc>
      </w:tr>
      <w:tr>
        <w:trPr>
          <w:trHeight w:val="335" w:hRule="exact"/>
        </w:trPr>
        <w:tc>
          <w:tcPr>
            <w:tcW w:w="1060" w:type="dxa"/>
          </w:tcPr>
          <w:p>
            <w:pPr>
              <w:pStyle w:val="TableParagraph"/>
              <w:ind w:left="226" w:right="60"/>
              <w:rPr>
                <w:sz w:val="17"/>
              </w:rPr>
            </w:pPr>
            <w:r>
              <w:rPr>
                <w:color w:val="231F20"/>
                <w:w w:val="105"/>
                <w:sz w:val="17"/>
              </w:rPr>
              <w:t>1.6</w:t>
            </w:r>
          </w:p>
        </w:tc>
        <w:tc>
          <w:tcPr>
            <w:tcW w:w="996" w:type="dxa"/>
          </w:tcPr>
          <w:p>
            <w:pPr>
              <w:pStyle w:val="TableParagraph"/>
              <w:ind w:left="187" w:right="44"/>
              <w:rPr>
                <w:sz w:val="17"/>
              </w:rPr>
            </w:pPr>
            <w:r>
              <w:rPr>
                <w:color w:val="231F20"/>
                <w:w w:val="105"/>
                <w:sz w:val="17"/>
              </w:rPr>
              <w:t>1.3</w:t>
            </w:r>
          </w:p>
        </w:tc>
        <w:tc>
          <w:tcPr>
            <w:tcW w:w="869" w:type="dxa"/>
          </w:tcPr>
          <w:p>
            <w:pPr>
              <w:pStyle w:val="TableParagraph"/>
              <w:ind w:left="391"/>
              <w:jc w:val="left"/>
              <w:rPr>
                <w:sz w:val="17"/>
              </w:rPr>
            </w:pPr>
            <w:r>
              <w:rPr>
                <w:color w:val="231F20"/>
                <w:w w:val="105"/>
                <w:sz w:val="17"/>
              </w:rPr>
              <w:t>1.1</w:t>
            </w:r>
          </w:p>
        </w:tc>
        <w:tc>
          <w:tcPr>
            <w:tcW w:w="918" w:type="dxa"/>
          </w:tcPr>
          <w:p>
            <w:pPr>
              <w:pStyle w:val="TableParagraph"/>
              <w:ind w:left="114" w:right="87"/>
              <w:rPr>
                <w:sz w:val="17"/>
              </w:rPr>
            </w:pPr>
            <w:r>
              <w:rPr>
                <w:color w:val="231F20"/>
                <w:w w:val="105"/>
                <w:sz w:val="17"/>
              </w:rPr>
              <w:t>1.0</w:t>
            </w:r>
          </w:p>
        </w:tc>
        <w:tc>
          <w:tcPr>
            <w:tcW w:w="922" w:type="dxa"/>
          </w:tcPr>
          <w:p>
            <w:pPr>
              <w:pStyle w:val="TableParagraph"/>
              <w:ind w:left="109" w:right="108"/>
              <w:rPr>
                <w:sz w:val="17"/>
              </w:rPr>
            </w:pPr>
            <w:r>
              <w:rPr>
                <w:color w:val="231F20"/>
                <w:w w:val="105"/>
                <w:sz w:val="17"/>
              </w:rPr>
              <w:t>1.3</w:t>
            </w:r>
          </w:p>
        </w:tc>
        <w:tc>
          <w:tcPr>
            <w:tcW w:w="1053" w:type="dxa"/>
          </w:tcPr>
          <w:p>
            <w:pPr>
              <w:pStyle w:val="TableParagraph"/>
              <w:ind w:left="170" w:right="94"/>
              <w:rPr>
                <w:sz w:val="17"/>
              </w:rPr>
            </w:pPr>
            <w:r>
              <w:rPr>
                <w:color w:val="231F20"/>
                <w:w w:val="105"/>
                <w:sz w:val="17"/>
              </w:rPr>
              <w:t>1.4</w:t>
            </w:r>
          </w:p>
        </w:tc>
        <w:tc>
          <w:tcPr>
            <w:tcW w:w="1022" w:type="dxa"/>
          </w:tcPr>
          <w:p>
            <w:pPr>
              <w:pStyle w:val="TableParagraph"/>
              <w:ind w:left="187" w:right="82"/>
              <w:rPr>
                <w:sz w:val="17"/>
              </w:rPr>
            </w:pPr>
            <w:r>
              <w:rPr>
                <w:color w:val="231F20"/>
                <w:w w:val="105"/>
                <w:sz w:val="17"/>
              </w:rPr>
              <w:t>1.6</w:t>
            </w:r>
          </w:p>
        </w:tc>
      </w:tr>
      <w:tr>
        <w:trPr>
          <w:trHeight w:val="335" w:hRule="exact"/>
        </w:trPr>
        <w:tc>
          <w:tcPr>
            <w:tcW w:w="1060" w:type="dxa"/>
          </w:tcPr>
          <w:p>
            <w:pPr>
              <w:pStyle w:val="TableParagraph"/>
              <w:spacing w:line="240" w:lineRule="auto" w:before="120"/>
              <w:ind w:left="226" w:right="156"/>
              <w:rPr>
                <w:sz w:val="17"/>
              </w:rPr>
            </w:pPr>
            <w:r>
              <w:rPr>
                <w:color w:val="231F20"/>
                <w:w w:val="105"/>
                <w:sz w:val="17"/>
              </w:rPr>
              <w:t>37.6</w:t>
            </w:r>
          </w:p>
        </w:tc>
        <w:tc>
          <w:tcPr>
            <w:tcW w:w="996" w:type="dxa"/>
          </w:tcPr>
          <w:p>
            <w:pPr>
              <w:pStyle w:val="TableParagraph"/>
              <w:spacing w:line="240" w:lineRule="auto" w:before="120"/>
              <w:ind w:left="170" w:right="124"/>
              <w:rPr>
                <w:sz w:val="17"/>
              </w:rPr>
            </w:pPr>
            <w:r>
              <w:rPr>
                <w:color w:val="231F20"/>
                <w:w w:val="105"/>
                <w:sz w:val="17"/>
              </w:rPr>
              <w:t>16.9</w:t>
            </w:r>
          </w:p>
        </w:tc>
        <w:tc>
          <w:tcPr>
            <w:tcW w:w="869" w:type="dxa"/>
          </w:tcPr>
          <w:p>
            <w:pPr>
              <w:pStyle w:val="TableParagraph"/>
              <w:spacing w:line="240" w:lineRule="auto" w:before="120"/>
              <w:ind w:left="295"/>
              <w:jc w:val="left"/>
              <w:rPr>
                <w:sz w:val="17"/>
              </w:rPr>
            </w:pPr>
            <w:r>
              <w:rPr>
                <w:color w:val="231F20"/>
                <w:w w:val="105"/>
                <w:sz w:val="17"/>
              </w:rPr>
              <w:t>21.9</w:t>
            </w:r>
          </w:p>
        </w:tc>
        <w:tc>
          <w:tcPr>
            <w:tcW w:w="918" w:type="dxa"/>
          </w:tcPr>
          <w:p>
            <w:pPr>
              <w:pStyle w:val="TableParagraph"/>
              <w:spacing w:line="240" w:lineRule="auto" w:before="120"/>
              <w:ind w:left="114" w:right="87"/>
              <w:rPr>
                <w:sz w:val="17"/>
              </w:rPr>
            </w:pPr>
            <w:r>
              <w:rPr>
                <w:color w:val="231F20"/>
                <w:w w:val="105"/>
                <w:sz w:val="17"/>
              </w:rPr>
              <w:t>7.6</w:t>
            </w:r>
          </w:p>
        </w:tc>
        <w:tc>
          <w:tcPr>
            <w:tcW w:w="922" w:type="dxa"/>
          </w:tcPr>
          <w:p>
            <w:pPr>
              <w:pStyle w:val="TableParagraph"/>
              <w:spacing w:line="240" w:lineRule="auto" w:before="120"/>
              <w:ind w:left="63" w:right="155"/>
              <w:rPr>
                <w:sz w:val="17"/>
              </w:rPr>
            </w:pPr>
            <w:r>
              <w:rPr>
                <w:color w:val="231F20"/>
                <w:w w:val="105"/>
                <w:sz w:val="17"/>
              </w:rPr>
              <w:t>37.1</w:t>
            </w:r>
          </w:p>
        </w:tc>
        <w:tc>
          <w:tcPr>
            <w:tcW w:w="1053" w:type="dxa"/>
          </w:tcPr>
          <w:p>
            <w:pPr>
              <w:pStyle w:val="TableParagraph"/>
              <w:spacing w:line="240" w:lineRule="auto" w:before="120"/>
              <w:ind w:left="170" w:right="94"/>
              <w:rPr>
                <w:sz w:val="17"/>
              </w:rPr>
            </w:pPr>
            <w:r>
              <w:rPr>
                <w:color w:val="231F20"/>
                <w:w w:val="105"/>
                <w:sz w:val="17"/>
              </w:rPr>
              <w:t>9.7</w:t>
            </w:r>
          </w:p>
        </w:tc>
        <w:tc>
          <w:tcPr>
            <w:tcW w:w="1022" w:type="dxa"/>
          </w:tcPr>
          <w:p>
            <w:pPr>
              <w:pStyle w:val="TableParagraph"/>
              <w:spacing w:line="240" w:lineRule="auto" w:before="120"/>
              <w:ind w:left="186" w:right="177"/>
              <w:rPr>
                <w:sz w:val="17"/>
              </w:rPr>
            </w:pPr>
            <w:r>
              <w:rPr>
                <w:color w:val="231F20"/>
                <w:w w:val="105"/>
                <w:sz w:val="17"/>
              </w:rPr>
              <w:t>28.2</w:t>
            </w:r>
          </w:p>
        </w:tc>
      </w:tr>
      <w:tr>
        <w:trPr>
          <w:trHeight w:val="210" w:hRule="exact"/>
        </w:trPr>
        <w:tc>
          <w:tcPr>
            <w:tcW w:w="1060" w:type="dxa"/>
          </w:tcPr>
          <w:p>
            <w:pPr>
              <w:pStyle w:val="TableParagraph"/>
              <w:ind w:left="226" w:right="156"/>
              <w:rPr>
                <w:sz w:val="17"/>
              </w:rPr>
            </w:pPr>
            <w:r>
              <w:rPr>
                <w:color w:val="231F20"/>
                <w:w w:val="105"/>
                <w:sz w:val="17"/>
              </w:rPr>
              <w:t>29.8</w:t>
            </w:r>
          </w:p>
        </w:tc>
        <w:tc>
          <w:tcPr>
            <w:tcW w:w="996" w:type="dxa"/>
          </w:tcPr>
          <w:p>
            <w:pPr>
              <w:pStyle w:val="TableParagraph"/>
              <w:ind w:left="170" w:right="124"/>
              <w:rPr>
                <w:sz w:val="17"/>
              </w:rPr>
            </w:pPr>
            <w:r>
              <w:rPr>
                <w:color w:val="231F20"/>
                <w:w w:val="105"/>
                <w:sz w:val="17"/>
              </w:rPr>
              <w:t>43.2</w:t>
            </w:r>
          </w:p>
        </w:tc>
        <w:tc>
          <w:tcPr>
            <w:tcW w:w="869" w:type="dxa"/>
          </w:tcPr>
          <w:p>
            <w:pPr>
              <w:pStyle w:val="TableParagraph"/>
              <w:ind w:left="295"/>
              <w:jc w:val="left"/>
              <w:rPr>
                <w:sz w:val="17"/>
              </w:rPr>
            </w:pPr>
            <w:r>
              <w:rPr>
                <w:color w:val="231F20"/>
                <w:w w:val="105"/>
                <w:sz w:val="17"/>
              </w:rPr>
              <w:t>45.1</w:t>
            </w:r>
          </w:p>
        </w:tc>
        <w:tc>
          <w:tcPr>
            <w:tcW w:w="918" w:type="dxa"/>
          </w:tcPr>
          <w:p>
            <w:pPr>
              <w:pStyle w:val="TableParagraph"/>
              <w:ind w:left="53" w:right="119"/>
              <w:rPr>
                <w:sz w:val="17"/>
              </w:rPr>
            </w:pPr>
            <w:r>
              <w:rPr>
                <w:color w:val="231F20"/>
                <w:w w:val="105"/>
                <w:sz w:val="17"/>
              </w:rPr>
              <w:t>35.7</w:t>
            </w:r>
          </w:p>
        </w:tc>
        <w:tc>
          <w:tcPr>
            <w:tcW w:w="922" w:type="dxa"/>
          </w:tcPr>
          <w:p>
            <w:pPr>
              <w:pStyle w:val="TableParagraph"/>
              <w:ind w:left="63" w:right="155"/>
              <w:rPr>
                <w:sz w:val="17"/>
              </w:rPr>
            </w:pPr>
            <w:r>
              <w:rPr>
                <w:color w:val="231F20"/>
                <w:w w:val="105"/>
                <w:sz w:val="17"/>
              </w:rPr>
              <w:t>33.8</w:t>
            </w:r>
          </w:p>
        </w:tc>
        <w:tc>
          <w:tcPr>
            <w:tcW w:w="1053" w:type="dxa"/>
          </w:tcPr>
          <w:p>
            <w:pPr>
              <w:pStyle w:val="TableParagraph"/>
              <w:ind w:left="170" w:right="187"/>
              <w:rPr>
                <w:sz w:val="17"/>
              </w:rPr>
            </w:pPr>
            <w:r>
              <w:rPr>
                <w:color w:val="231F20"/>
                <w:w w:val="105"/>
                <w:sz w:val="17"/>
              </w:rPr>
              <w:t>38.0</w:t>
            </w:r>
          </w:p>
        </w:tc>
        <w:tc>
          <w:tcPr>
            <w:tcW w:w="1022" w:type="dxa"/>
          </w:tcPr>
          <w:p>
            <w:pPr>
              <w:pStyle w:val="TableParagraph"/>
              <w:ind w:left="186" w:right="177"/>
              <w:rPr>
                <w:sz w:val="17"/>
              </w:rPr>
            </w:pPr>
            <w:r>
              <w:rPr>
                <w:color w:val="231F20"/>
                <w:w w:val="105"/>
                <w:sz w:val="17"/>
              </w:rPr>
              <w:t>38.0</w:t>
            </w:r>
          </w:p>
        </w:tc>
      </w:tr>
      <w:tr>
        <w:trPr>
          <w:trHeight w:val="210" w:hRule="exact"/>
        </w:trPr>
        <w:tc>
          <w:tcPr>
            <w:tcW w:w="1060" w:type="dxa"/>
          </w:tcPr>
          <w:p>
            <w:pPr>
              <w:pStyle w:val="TableParagraph"/>
              <w:ind w:left="226" w:right="156"/>
              <w:rPr>
                <w:sz w:val="17"/>
              </w:rPr>
            </w:pPr>
            <w:r>
              <w:rPr>
                <w:color w:val="231F20"/>
                <w:w w:val="105"/>
                <w:sz w:val="17"/>
              </w:rPr>
              <w:t>31.3</w:t>
            </w:r>
          </w:p>
        </w:tc>
        <w:tc>
          <w:tcPr>
            <w:tcW w:w="996" w:type="dxa"/>
          </w:tcPr>
          <w:p>
            <w:pPr>
              <w:pStyle w:val="TableParagraph"/>
              <w:ind w:left="170" w:right="124"/>
              <w:rPr>
                <w:sz w:val="17"/>
              </w:rPr>
            </w:pPr>
            <w:r>
              <w:rPr>
                <w:color w:val="231F20"/>
                <w:w w:val="105"/>
                <w:sz w:val="17"/>
              </w:rPr>
              <w:t>38.2</w:t>
            </w:r>
          </w:p>
        </w:tc>
        <w:tc>
          <w:tcPr>
            <w:tcW w:w="869" w:type="dxa"/>
          </w:tcPr>
          <w:p>
            <w:pPr>
              <w:pStyle w:val="TableParagraph"/>
              <w:ind w:left="295"/>
              <w:jc w:val="left"/>
              <w:rPr>
                <w:sz w:val="17"/>
              </w:rPr>
            </w:pPr>
            <w:r>
              <w:rPr>
                <w:color w:val="231F20"/>
                <w:w w:val="105"/>
                <w:sz w:val="17"/>
              </w:rPr>
              <w:t>31.7</w:t>
            </w:r>
          </w:p>
        </w:tc>
        <w:tc>
          <w:tcPr>
            <w:tcW w:w="918" w:type="dxa"/>
          </w:tcPr>
          <w:p>
            <w:pPr>
              <w:pStyle w:val="TableParagraph"/>
              <w:ind w:left="53" w:right="119"/>
              <w:rPr>
                <w:sz w:val="17"/>
              </w:rPr>
            </w:pPr>
            <w:r>
              <w:rPr>
                <w:color w:val="231F20"/>
                <w:w w:val="105"/>
                <w:sz w:val="17"/>
              </w:rPr>
              <w:t>55.4</w:t>
            </w:r>
          </w:p>
        </w:tc>
        <w:tc>
          <w:tcPr>
            <w:tcW w:w="922" w:type="dxa"/>
          </w:tcPr>
          <w:p>
            <w:pPr>
              <w:pStyle w:val="TableParagraph"/>
              <w:ind w:left="63" w:right="155"/>
              <w:rPr>
                <w:sz w:val="17"/>
              </w:rPr>
            </w:pPr>
            <w:r>
              <w:rPr>
                <w:color w:val="231F20"/>
                <w:w w:val="105"/>
                <w:sz w:val="17"/>
              </w:rPr>
              <w:t>26.5</w:t>
            </w:r>
          </w:p>
        </w:tc>
        <w:tc>
          <w:tcPr>
            <w:tcW w:w="1053" w:type="dxa"/>
          </w:tcPr>
          <w:p>
            <w:pPr>
              <w:pStyle w:val="TableParagraph"/>
              <w:ind w:left="170" w:right="187"/>
              <w:rPr>
                <w:sz w:val="17"/>
              </w:rPr>
            </w:pPr>
            <w:r>
              <w:rPr>
                <w:color w:val="231F20"/>
                <w:w w:val="105"/>
                <w:sz w:val="17"/>
              </w:rPr>
              <w:t>51.3</w:t>
            </w:r>
          </w:p>
        </w:tc>
        <w:tc>
          <w:tcPr>
            <w:tcW w:w="1022" w:type="dxa"/>
          </w:tcPr>
          <w:p>
            <w:pPr>
              <w:pStyle w:val="TableParagraph"/>
              <w:ind w:left="186" w:right="177"/>
              <w:rPr>
                <w:sz w:val="17"/>
              </w:rPr>
            </w:pPr>
            <w:r>
              <w:rPr>
                <w:color w:val="231F20"/>
                <w:w w:val="105"/>
                <w:sz w:val="17"/>
              </w:rPr>
              <w:t>32.8</w:t>
            </w:r>
          </w:p>
        </w:tc>
      </w:tr>
      <w:tr>
        <w:trPr>
          <w:trHeight w:val="276" w:hRule="exact"/>
        </w:trPr>
        <w:tc>
          <w:tcPr>
            <w:tcW w:w="1060" w:type="dxa"/>
            <w:tcBorders>
              <w:bottom w:val="single" w:sz="3" w:space="0" w:color="231F20"/>
            </w:tcBorders>
          </w:tcPr>
          <w:p>
            <w:pPr>
              <w:pStyle w:val="TableParagraph"/>
              <w:ind w:left="226" w:right="60"/>
              <w:rPr>
                <w:sz w:val="17"/>
              </w:rPr>
            </w:pPr>
            <w:r>
              <w:rPr>
                <w:color w:val="231F20"/>
                <w:w w:val="105"/>
                <w:sz w:val="17"/>
              </w:rPr>
              <w:t>1.3</w:t>
            </w:r>
          </w:p>
        </w:tc>
        <w:tc>
          <w:tcPr>
            <w:tcW w:w="996" w:type="dxa"/>
            <w:tcBorders>
              <w:bottom w:val="single" w:sz="3" w:space="0" w:color="231F20"/>
            </w:tcBorders>
          </w:tcPr>
          <w:p>
            <w:pPr>
              <w:pStyle w:val="TableParagraph"/>
              <w:ind w:left="187" w:right="44"/>
              <w:rPr>
                <w:sz w:val="17"/>
              </w:rPr>
            </w:pPr>
            <w:r>
              <w:rPr>
                <w:color w:val="231F20"/>
                <w:w w:val="105"/>
                <w:sz w:val="17"/>
              </w:rPr>
              <w:t>1.7</w:t>
            </w:r>
          </w:p>
        </w:tc>
        <w:tc>
          <w:tcPr>
            <w:tcW w:w="869" w:type="dxa"/>
            <w:tcBorders>
              <w:bottom w:val="single" w:sz="3" w:space="0" w:color="231F20"/>
            </w:tcBorders>
          </w:tcPr>
          <w:p>
            <w:pPr>
              <w:pStyle w:val="TableParagraph"/>
              <w:ind w:left="391"/>
              <w:jc w:val="left"/>
              <w:rPr>
                <w:sz w:val="17"/>
              </w:rPr>
            </w:pPr>
            <w:r>
              <w:rPr>
                <w:color w:val="231F20"/>
                <w:w w:val="105"/>
                <w:sz w:val="17"/>
              </w:rPr>
              <w:t>1.3</w:t>
            </w:r>
          </w:p>
        </w:tc>
        <w:tc>
          <w:tcPr>
            <w:tcW w:w="918" w:type="dxa"/>
            <w:tcBorders>
              <w:bottom w:val="single" w:sz="3" w:space="0" w:color="231F20"/>
            </w:tcBorders>
          </w:tcPr>
          <w:p>
            <w:pPr>
              <w:pStyle w:val="TableParagraph"/>
              <w:ind w:left="114" w:right="87"/>
              <w:rPr>
                <w:sz w:val="17"/>
              </w:rPr>
            </w:pPr>
            <w:r>
              <w:rPr>
                <w:color w:val="231F20"/>
                <w:w w:val="105"/>
                <w:sz w:val="17"/>
              </w:rPr>
              <w:t>1.2</w:t>
            </w:r>
          </w:p>
        </w:tc>
        <w:tc>
          <w:tcPr>
            <w:tcW w:w="922" w:type="dxa"/>
            <w:tcBorders>
              <w:bottom w:val="single" w:sz="3" w:space="0" w:color="231F20"/>
            </w:tcBorders>
          </w:tcPr>
          <w:p>
            <w:pPr>
              <w:pStyle w:val="TableParagraph"/>
              <w:ind w:left="109" w:right="108"/>
              <w:rPr>
                <w:sz w:val="17"/>
              </w:rPr>
            </w:pPr>
            <w:r>
              <w:rPr>
                <w:color w:val="231F20"/>
                <w:w w:val="105"/>
                <w:sz w:val="17"/>
              </w:rPr>
              <w:t>2.6</w:t>
            </w:r>
          </w:p>
        </w:tc>
        <w:tc>
          <w:tcPr>
            <w:tcW w:w="1053" w:type="dxa"/>
            <w:tcBorders>
              <w:bottom w:val="single" w:sz="3" w:space="0" w:color="231F20"/>
            </w:tcBorders>
          </w:tcPr>
          <w:p>
            <w:pPr>
              <w:pStyle w:val="TableParagraph"/>
              <w:ind w:left="170" w:right="94"/>
              <w:rPr>
                <w:sz w:val="17"/>
              </w:rPr>
            </w:pPr>
            <w:r>
              <w:rPr>
                <w:color w:val="231F20"/>
                <w:w w:val="105"/>
                <w:sz w:val="17"/>
              </w:rPr>
              <w:t>1.0</w:t>
            </w:r>
          </w:p>
        </w:tc>
        <w:tc>
          <w:tcPr>
            <w:tcW w:w="1022" w:type="dxa"/>
            <w:tcBorders>
              <w:bottom w:val="single" w:sz="3" w:space="0" w:color="231F20"/>
            </w:tcBorders>
          </w:tcPr>
          <w:p>
            <w:pPr>
              <w:pStyle w:val="TableParagraph"/>
              <w:ind w:left="187" w:right="82"/>
              <w:rPr>
                <w:sz w:val="17"/>
              </w:rPr>
            </w:pPr>
            <w:r>
              <w:rPr>
                <w:color w:val="231F20"/>
                <w:w w:val="105"/>
                <w:sz w:val="17"/>
              </w:rPr>
              <w:t>1.0</w:t>
            </w:r>
          </w:p>
        </w:tc>
      </w:tr>
    </w:tbl>
    <w:p>
      <w:pPr>
        <w:spacing w:after="0"/>
        <w:rPr>
          <w:sz w:val="17"/>
        </w:rPr>
        <w:sectPr>
          <w:pgSz w:w="9520" w:h="12920"/>
          <w:pgMar w:header="0" w:footer="1344" w:top="1220" w:bottom="1540" w:left="1000" w:right="1320"/>
        </w:sectPr>
      </w:pPr>
    </w:p>
    <w:p>
      <w:pPr>
        <w:pStyle w:val="BodyText"/>
        <w:spacing w:line="288" w:lineRule="auto" w:before="42"/>
        <w:ind w:left="124" w:right="109"/>
        <w:jc w:val="both"/>
      </w:pPr>
      <w:r>
        <w:rPr>
          <w:color w:val="231F20"/>
          <w:w w:val="110"/>
        </w:rPr>
        <w:t>la ganancia en puntos porcentuales es </w:t>
      </w:r>
      <w:r>
        <w:rPr>
          <w:color w:val="231F20"/>
          <w:spacing w:val="-3"/>
          <w:w w:val="110"/>
        </w:rPr>
        <w:t>mayor, </w:t>
      </w:r>
      <w:r>
        <w:rPr>
          <w:color w:val="231F20"/>
          <w:w w:val="110"/>
        </w:rPr>
        <w:t>estando 58.3 por ciento de éstos ocupados y 7.8 por ciento en busca de un empleo. En cuanto a la tenencia de un servicio médico como prestación laboral, las proporciones de ésta aumentan para todos los casos, pero de los jóvenes unidos autóno- mos </w:t>
      </w:r>
      <w:r>
        <w:rPr>
          <w:color w:val="231F20"/>
          <w:spacing w:val="2"/>
          <w:w w:val="110"/>
        </w:rPr>
        <w:t>sólo 36.8 </w:t>
      </w:r>
      <w:r>
        <w:rPr>
          <w:color w:val="231F20"/>
          <w:w w:val="110"/>
        </w:rPr>
        <w:t>por </w:t>
      </w:r>
      <w:r>
        <w:rPr>
          <w:color w:val="231F20"/>
          <w:spacing w:val="2"/>
          <w:w w:val="110"/>
        </w:rPr>
        <w:t>ciento accede </w:t>
      </w:r>
      <w:r>
        <w:rPr>
          <w:color w:val="231F20"/>
          <w:w w:val="110"/>
        </w:rPr>
        <w:t>a </w:t>
      </w:r>
      <w:r>
        <w:rPr>
          <w:color w:val="231F20"/>
          <w:spacing w:val="2"/>
          <w:w w:val="110"/>
        </w:rPr>
        <w:t>ésta. </w:t>
      </w:r>
      <w:r>
        <w:rPr>
          <w:color w:val="231F20"/>
          <w:w w:val="110"/>
        </w:rPr>
        <w:t>Y </w:t>
      </w:r>
      <w:r>
        <w:rPr>
          <w:color w:val="231F20"/>
          <w:spacing w:val="2"/>
          <w:w w:val="110"/>
        </w:rPr>
        <w:t>ahora </w:t>
      </w:r>
      <w:r>
        <w:rPr>
          <w:color w:val="231F20"/>
          <w:w w:val="110"/>
        </w:rPr>
        <w:t>los que más </w:t>
      </w:r>
      <w:r>
        <w:rPr>
          <w:color w:val="231F20"/>
          <w:spacing w:val="2"/>
          <w:w w:val="110"/>
        </w:rPr>
        <w:t>tienen </w:t>
      </w:r>
      <w:r>
        <w:rPr>
          <w:color w:val="231F20"/>
          <w:w w:val="110"/>
        </w:rPr>
        <w:t>la prestación laboral son aquellos que no están unidos, lo cual puede</w:t>
      </w:r>
      <w:r>
        <w:rPr>
          <w:color w:val="231F20"/>
          <w:spacing w:val="-27"/>
          <w:w w:val="110"/>
        </w:rPr>
        <w:t> </w:t>
      </w:r>
      <w:r>
        <w:rPr>
          <w:color w:val="231F20"/>
          <w:w w:val="110"/>
        </w:rPr>
        <w:t>deberse a que, como vimos anteriormente estos jóvenes son los más escolarizados y los trabajos que pueden conseguir tienen mejores condiciones. En rela- ción con las horas laboradas, los jóvenes unidos autónomos siguen en   este grupo de edad como en el anteriormente visto, siendo los que más horas a la semana trabajan (55.4 por ciento) seguidos de los unidos no autónomos (51.3 por ciento) y de los no unidos (38.2 por</w:t>
      </w:r>
      <w:r>
        <w:rPr>
          <w:color w:val="231F20"/>
          <w:spacing w:val="-27"/>
          <w:w w:val="110"/>
        </w:rPr>
        <w:t> </w:t>
      </w:r>
      <w:r>
        <w:rPr>
          <w:color w:val="231F20"/>
          <w:w w:val="110"/>
        </w:rPr>
        <w:t>ciento).</w:t>
      </w:r>
    </w:p>
    <w:p>
      <w:pPr>
        <w:pStyle w:val="BodyText"/>
        <w:spacing w:line="288" w:lineRule="auto"/>
        <w:ind w:left="124" w:right="110" w:firstLine="360"/>
        <w:jc w:val="both"/>
      </w:pPr>
      <w:r>
        <w:rPr>
          <w:color w:val="231F20"/>
          <w:w w:val="110"/>
        </w:rPr>
        <w:t>La proporción de mujeres que están ocupadas, es mayor en aquellas no unidas, estando 46.8 por ciento realizando un trabajo y 4.3 por ciento desocupadas, podemos recordar que estas jóvenes son las que tienen una escolaridad más alta, y que en proporción tienen menos hijos, lo cual hace posible que más fácilmente se incorporen a un empleo fuera del </w:t>
      </w:r>
      <w:r>
        <w:rPr>
          <w:color w:val="231F20"/>
          <w:spacing w:val="-3"/>
          <w:w w:val="110"/>
        </w:rPr>
        <w:t>hogar. </w:t>
      </w:r>
      <w:r>
        <w:rPr>
          <w:color w:val="231F20"/>
          <w:w w:val="110"/>
        </w:rPr>
        <w:t>Las que menos realizan trabajo fuera de casa son las unidas autónomas con</w:t>
      </w:r>
    </w:p>
    <w:p>
      <w:pPr>
        <w:pStyle w:val="BodyText"/>
        <w:ind w:left="124"/>
        <w:jc w:val="both"/>
      </w:pPr>
      <w:r>
        <w:rPr>
          <w:color w:val="231F20"/>
          <w:w w:val="110"/>
        </w:rPr>
        <w:t>21.9 por ciento y las no autónomas con 25.1 por  ciento.</w:t>
      </w:r>
    </w:p>
    <w:p>
      <w:pPr>
        <w:pStyle w:val="BodyText"/>
        <w:spacing w:line="288" w:lineRule="auto" w:before="47"/>
        <w:ind w:left="124" w:right="112" w:firstLine="360"/>
        <w:jc w:val="both"/>
      </w:pPr>
      <w:r>
        <w:rPr>
          <w:color w:val="231F20"/>
          <w:w w:val="110"/>
        </w:rPr>
        <w:t>Para cerrar este apartado, podemos decir que la situación de vulnera- bilidad</w:t>
      </w:r>
      <w:r>
        <w:rPr>
          <w:color w:val="231F20"/>
          <w:spacing w:val="-4"/>
          <w:w w:val="110"/>
        </w:rPr>
        <w:t> </w:t>
      </w:r>
      <w:r>
        <w:rPr>
          <w:color w:val="231F20"/>
          <w:w w:val="110"/>
        </w:rPr>
        <w:t>(muchas</w:t>
      </w:r>
      <w:r>
        <w:rPr>
          <w:color w:val="231F20"/>
          <w:spacing w:val="-4"/>
          <w:w w:val="110"/>
        </w:rPr>
        <w:t> </w:t>
      </w:r>
      <w:r>
        <w:rPr>
          <w:color w:val="231F20"/>
          <w:w w:val="110"/>
        </w:rPr>
        <w:t>horas</w:t>
      </w:r>
      <w:r>
        <w:rPr>
          <w:color w:val="231F20"/>
          <w:spacing w:val="-4"/>
          <w:w w:val="110"/>
        </w:rPr>
        <w:t> </w:t>
      </w:r>
      <w:r>
        <w:rPr>
          <w:color w:val="231F20"/>
          <w:w w:val="110"/>
        </w:rPr>
        <w:t>de</w:t>
      </w:r>
      <w:r>
        <w:rPr>
          <w:color w:val="231F20"/>
          <w:spacing w:val="-4"/>
          <w:w w:val="110"/>
        </w:rPr>
        <w:t> </w:t>
      </w:r>
      <w:r>
        <w:rPr>
          <w:color w:val="231F20"/>
          <w:w w:val="110"/>
        </w:rPr>
        <w:t>trabajo</w:t>
      </w:r>
      <w:r>
        <w:rPr>
          <w:color w:val="231F20"/>
          <w:spacing w:val="-4"/>
          <w:w w:val="110"/>
        </w:rPr>
        <w:t> </w:t>
      </w:r>
      <w:r>
        <w:rPr>
          <w:color w:val="231F20"/>
          <w:w w:val="110"/>
        </w:rPr>
        <w:t>y</w:t>
      </w:r>
      <w:r>
        <w:rPr>
          <w:color w:val="231F20"/>
          <w:spacing w:val="-4"/>
          <w:w w:val="110"/>
        </w:rPr>
        <w:t> </w:t>
      </w:r>
      <w:r>
        <w:rPr>
          <w:color w:val="231F20"/>
          <w:w w:val="110"/>
        </w:rPr>
        <w:t>muy</w:t>
      </w:r>
      <w:r>
        <w:rPr>
          <w:color w:val="231F20"/>
          <w:spacing w:val="-4"/>
          <w:w w:val="110"/>
        </w:rPr>
        <w:t> </w:t>
      </w:r>
      <w:r>
        <w:rPr>
          <w:color w:val="231F20"/>
          <w:w w:val="110"/>
        </w:rPr>
        <w:t>bajas</w:t>
      </w:r>
      <w:r>
        <w:rPr>
          <w:color w:val="231F20"/>
          <w:spacing w:val="-4"/>
          <w:w w:val="110"/>
        </w:rPr>
        <w:t> </w:t>
      </w:r>
      <w:r>
        <w:rPr>
          <w:color w:val="231F20"/>
          <w:w w:val="110"/>
        </w:rPr>
        <w:t>proporciones</w:t>
      </w:r>
      <w:r>
        <w:rPr>
          <w:color w:val="231F20"/>
          <w:spacing w:val="-4"/>
          <w:w w:val="110"/>
        </w:rPr>
        <w:t> </w:t>
      </w:r>
      <w:r>
        <w:rPr>
          <w:color w:val="231F20"/>
          <w:w w:val="110"/>
        </w:rPr>
        <w:t>de</w:t>
      </w:r>
      <w:r>
        <w:rPr>
          <w:color w:val="231F20"/>
          <w:spacing w:val="-4"/>
          <w:w w:val="110"/>
        </w:rPr>
        <w:t> </w:t>
      </w:r>
      <w:r>
        <w:rPr>
          <w:color w:val="231F20"/>
          <w:w w:val="110"/>
        </w:rPr>
        <w:t>jóvenes</w:t>
      </w:r>
      <w:r>
        <w:rPr>
          <w:color w:val="231F20"/>
          <w:spacing w:val="-4"/>
          <w:w w:val="110"/>
        </w:rPr>
        <w:t> </w:t>
      </w:r>
      <w:r>
        <w:rPr>
          <w:color w:val="231F20"/>
          <w:w w:val="110"/>
        </w:rPr>
        <w:t>con acceso a servicio médico como parte de sus prestaciones laborales) en el empleo de los jóvenes unidos autónomos se relaciona con la baja escolari- dad mostrada anteriormente y con el asumir el rol de proveedor de su </w:t>
      </w:r>
      <w:r>
        <w:rPr>
          <w:color w:val="231F20"/>
          <w:spacing w:val="-3"/>
          <w:w w:val="110"/>
        </w:rPr>
        <w:t>hogar. </w:t>
      </w:r>
      <w:r>
        <w:rPr>
          <w:color w:val="231F20"/>
          <w:w w:val="110"/>
        </w:rPr>
        <w:t>Además, con respecto a las jóvenes, observamos que tienen poca participación en el mercado laboral cuando están unidas, lo cual está au- nado a la alta proporción de éstas que tienen hijos y a la baja escolaridad que tienen en relación con las no unidas que participan más de la activi- dad</w:t>
      </w:r>
      <w:r>
        <w:rPr>
          <w:color w:val="231F20"/>
          <w:spacing w:val="22"/>
          <w:w w:val="110"/>
        </w:rPr>
        <w:t> </w:t>
      </w:r>
      <w:r>
        <w:rPr>
          <w:color w:val="231F20"/>
          <w:w w:val="110"/>
        </w:rPr>
        <w:t>económica.</w:t>
      </w:r>
    </w:p>
    <w:p>
      <w:pPr>
        <w:pStyle w:val="BodyText"/>
      </w:pPr>
    </w:p>
    <w:p>
      <w:pPr>
        <w:pStyle w:val="BodyText"/>
        <w:spacing w:before="10"/>
        <w:rPr>
          <w:sz w:val="24"/>
        </w:rPr>
      </w:pPr>
    </w:p>
    <w:p>
      <w:pPr>
        <w:spacing w:before="0"/>
        <w:ind w:left="124" w:right="0" w:firstLine="0"/>
        <w:jc w:val="both"/>
        <w:rPr>
          <w:rFonts w:ascii="Times New Roman"/>
          <w:i/>
          <w:sz w:val="19"/>
        </w:rPr>
      </w:pPr>
      <w:r>
        <w:rPr>
          <w:rFonts w:ascii="Times New Roman"/>
          <w:i/>
          <w:color w:val="231F20"/>
          <w:w w:val="95"/>
          <w:sz w:val="24"/>
        </w:rPr>
        <w:t>C</w:t>
      </w:r>
      <w:r>
        <w:rPr>
          <w:rFonts w:ascii="Times New Roman"/>
          <w:i/>
          <w:color w:val="231F20"/>
          <w:w w:val="95"/>
          <w:sz w:val="19"/>
        </w:rPr>
        <w:t>OMENTARIOS FINALES</w:t>
      </w:r>
    </w:p>
    <w:p>
      <w:pPr>
        <w:pStyle w:val="BodyText"/>
        <w:spacing w:before="9"/>
        <w:rPr>
          <w:rFonts w:ascii="Times New Roman"/>
          <w:i/>
          <w:sz w:val="27"/>
        </w:rPr>
      </w:pPr>
    </w:p>
    <w:p>
      <w:pPr>
        <w:pStyle w:val="BodyText"/>
        <w:spacing w:line="288" w:lineRule="auto"/>
        <w:ind w:left="124" w:right="113"/>
        <w:jc w:val="both"/>
      </w:pPr>
      <w:r>
        <w:rPr>
          <w:color w:val="231F20"/>
          <w:w w:val="110"/>
        </w:rPr>
        <w:t>La unión conyugal de los jóvenes entre los 15 y 24 años en el Estado de México crea una diferenciación negativa importante con sus contrapartes en cuanto al acceso a la educación media, superior y a mejores condicio-</w:t>
      </w:r>
    </w:p>
    <w:p>
      <w:pPr>
        <w:spacing w:after="0" w:line="288" w:lineRule="auto"/>
        <w:jc w:val="both"/>
        <w:sectPr>
          <w:pgSz w:w="9520" w:h="12920"/>
          <w:pgMar w:header="0" w:footer="1344" w:top="880" w:bottom="1540" w:left="1320" w:right="1000"/>
        </w:sectPr>
      </w:pPr>
    </w:p>
    <w:p>
      <w:pPr>
        <w:pStyle w:val="BodyText"/>
        <w:spacing w:line="288" w:lineRule="auto" w:before="42"/>
        <w:ind w:left="100" w:right="116"/>
        <w:jc w:val="both"/>
      </w:pPr>
      <w:r>
        <w:rPr>
          <w:color w:val="231F20"/>
          <w:w w:val="110"/>
        </w:rPr>
        <w:t>nes de empleo. Si bien en este trabajo se exploran los inicios de la transi- ción a la adultez, el hecho de que estos jóvenes se hayan unido puede</w:t>
      </w:r>
      <w:r>
        <w:rPr>
          <w:color w:val="231F20"/>
          <w:spacing w:val="-28"/>
          <w:w w:val="110"/>
        </w:rPr>
        <w:t> </w:t>
      </w:r>
      <w:r>
        <w:rPr>
          <w:color w:val="231F20"/>
          <w:w w:val="110"/>
        </w:rPr>
        <w:t>estar fuertemente relacionado con un efecto de desventajas acumuladas desde la infancia, análisis que debe explorarse en untrabajo futuro para la enti- dad mexiquense. Otra corriente de investigaciones al respecto de las unio- nes conyugales (Echarri y Pérez, 2007) mencionan que el inicio de la acti- vidad sexual es seguido muchas veces de otras transiciones a la adultez relacionadas con la formación de una familia; lo que puede ser un indica- dor de la falta de educación sexual de la población joven o bien se encuen- tre </w:t>
      </w:r>
      <w:r>
        <w:rPr>
          <w:color w:val="231F20"/>
          <w:spacing w:val="2"/>
          <w:w w:val="110"/>
        </w:rPr>
        <w:t>relacionado </w:t>
      </w:r>
      <w:r>
        <w:rPr>
          <w:color w:val="231F20"/>
          <w:w w:val="110"/>
        </w:rPr>
        <w:t>con una </w:t>
      </w:r>
      <w:r>
        <w:rPr>
          <w:color w:val="231F20"/>
          <w:spacing w:val="2"/>
          <w:w w:val="110"/>
        </w:rPr>
        <w:t>serie </w:t>
      </w:r>
      <w:r>
        <w:rPr>
          <w:color w:val="231F20"/>
          <w:w w:val="110"/>
        </w:rPr>
        <w:t>de </w:t>
      </w:r>
      <w:r>
        <w:rPr>
          <w:color w:val="231F20"/>
          <w:spacing w:val="2"/>
          <w:w w:val="110"/>
        </w:rPr>
        <w:t>factores culturales </w:t>
      </w:r>
      <w:r>
        <w:rPr>
          <w:color w:val="231F20"/>
          <w:w w:val="110"/>
        </w:rPr>
        <w:t>que </w:t>
      </w:r>
      <w:r>
        <w:rPr>
          <w:color w:val="231F20"/>
          <w:spacing w:val="2"/>
          <w:w w:val="110"/>
        </w:rPr>
        <w:t>influyen </w:t>
      </w:r>
      <w:r>
        <w:rPr>
          <w:color w:val="231F20"/>
          <w:w w:val="110"/>
        </w:rPr>
        <w:t>en el proceso, ya que muchas veces el tener un hijo es un modo de consolidar   la unión ante la sociedad, y también es una manera en la que las mujeres jóvenes adquieren un estatus reconocido dentro de su grupo </w:t>
      </w:r>
      <w:r>
        <w:rPr>
          <w:color w:val="231F20"/>
          <w:spacing w:val="37"/>
          <w:w w:val="110"/>
        </w:rPr>
        <w:t> </w:t>
      </w:r>
      <w:r>
        <w:rPr>
          <w:color w:val="231F20"/>
          <w:w w:val="110"/>
        </w:rPr>
        <w:t>social.</w:t>
      </w:r>
    </w:p>
    <w:p>
      <w:pPr>
        <w:pStyle w:val="BodyText"/>
        <w:spacing w:line="288" w:lineRule="auto"/>
        <w:ind w:left="100" w:right="117" w:firstLine="360"/>
        <w:jc w:val="both"/>
      </w:pPr>
      <w:r>
        <w:rPr>
          <w:color w:val="231F20"/>
          <w:w w:val="110"/>
        </w:rPr>
        <w:t>Por otro lado, la autonomía de los jóvenes tiene un precio alto, pues aquellos que viven con independencia de otro hogar se enfrentan a condi- ciones</w:t>
      </w:r>
      <w:r>
        <w:rPr>
          <w:color w:val="231F20"/>
          <w:spacing w:val="-10"/>
          <w:w w:val="110"/>
        </w:rPr>
        <w:t> </w:t>
      </w:r>
      <w:r>
        <w:rPr>
          <w:color w:val="231F20"/>
          <w:w w:val="110"/>
        </w:rPr>
        <w:t>más</w:t>
      </w:r>
      <w:r>
        <w:rPr>
          <w:color w:val="231F20"/>
          <w:spacing w:val="-10"/>
          <w:w w:val="110"/>
        </w:rPr>
        <w:t> </w:t>
      </w:r>
      <w:r>
        <w:rPr>
          <w:color w:val="231F20"/>
          <w:w w:val="110"/>
        </w:rPr>
        <w:t>precarias</w:t>
      </w:r>
      <w:r>
        <w:rPr>
          <w:color w:val="231F20"/>
          <w:spacing w:val="-10"/>
          <w:w w:val="110"/>
        </w:rPr>
        <w:t> </w:t>
      </w:r>
      <w:r>
        <w:rPr>
          <w:color w:val="231F20"/>
          <w:w w:val="110"/>
        </w:rPr>
        <w:t>de</w:t>
      </w:r>
      <w:r>
        <w:rPr>
          <w:color w:val="231F20"/>
          <w:spacing w:val="-10"/>
          <w:w w:val="110"/>
        </w:rPr>
        <w:t> </w:t>
      </w:r>
      <w:r>
        <w:rPr>
          <w:color w:val="231F20"/>
          <w:w w:val="110"/>
        </w:rPr>
        <w:t>acceso</w:t>
      </w:r>
      <w:r>
        <w:rPr>
          <w:color w:val="231F20"/>
          <w:spacing w:val="-10"/>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w w:val="110"/>
        </w:rPr>
        <w:t>educación</w:t>
      </w:r>
      <w:r>
        <w:rPr>
          <w:color w:val="231F20"/>
          <w:spacing w:val="-10"/>
          <w:w w:val="110"/>
        </w:rPr>
        <w:t> </w:t>
      </w:r>
      <w:r>
        <w:rPr>
          <w:color w:val="231F20"/>
          <w:w w:val="110"/>
        </w:rPr>
        <w:t>y</w:t>
      </w:r>
      <w:r>
        <w:rPr>
          <w:color w:val="231F20"/>
          <w:spacing w:val="-10"/>
          <w:w w:val="110"/>
        </w:rPr>
        <w:t> </w:t>
      </w:r>
      <w:r>
        <w:rPr>
          <w:color w:val="231F20"/>
          <w:w w:val="110"/>
        </w:rPr>
        <w:t>de</w:t>
      </w:r>
      <w:r>
        <w:rPr>
          <w:color w:val="231F20"/>
          <w:spacing w:val="-10"/>
          <w:w w:val="110"/>
        </w:rPr>
        <w:t> </w:t>
      </w:r>
      <w:r>
        <w:rPr>
          <w:color w:val="231F20"/>
          <w:w w:val="110"/>
        </w:rPr>
        <w:t>empleo.</w:t>
      </w:r>
      <w:r>
        <w:rPr>
          <w:color w:val="231F20"/>
          <w:spacing w:val="-10"/>
          <w:w w:val="110"/>
        </w:rPr>
        <w:t> </w:t>
      </w:r>
      <w:r>
        <w:rPr>
          <w:color w:val="231F20"/>
          <w:w w:val="110"/>
        </w:rPr>
        <w:t>Los</w:t>
      </w:r>
      <w:r>
        <w:rPr>
          <w:color w:val="231F20"/>
          <w:spacing w:val="-10"/>
          <w:w w:val="110"/>
        </w:rPr>
        <w:t> </w:t>
      </w:r>
      <w:r>
        <w:rPr>
          <w:color w:val="231F20"/>
          <w:w w:val="110"/>
        </w:rPr>
        <w:t>que</w:t>
      </w:r>
      <w:r>
        <w:rPr>
          <w:color w:val="231F20"/>
          <w:spacing w:val="-10"/>
          <w:w w:val="110"/>
        </w:rPr>
        <w:t> </w:t>
      </w:r>
      <w:r>
        <w:rPr>
          <w:color w:val="231F20"/>
          <w:w w:val="110"/>
        </w:rPr>
        <w:t>decidie- ron</w:t>
      </w:r>
      <w:r>
        <w:rPr>
          <w:color w:val="231F20"/>
          <w:spacing w:val="-4"/>
          <w:w w:val="110"/>
        </w:rPr>
        <w:t> </w:t>
      </w:r>
      <w:r>
        <w:rPr>
          <w:color w:val="231F20"/>
          <w:w w:val="110"/>
        </w:rPr>
        <w:t>unirse</w:t>
      </w:r>
      <w:r>
        <w:rPr>
          <w:color w:val="231F20"/>
          <w:spacing w:val="-4"/>
          <w:w w:val="110"/>
        </w:rPr>
        <w:t> </w:t>
      </w:r>
      <w:r>
        <w:rPr>
          <w:color w:val="231F20"/>
          <w:w w:val="110"/>
        </w:rPr>
        <w:t>y</w:t>
      </w:r>
      <w:r>
        <w:rPr>
          <w:color w:val="231F20"/>
          <w:spacing w:val="-4"/>
          <w:w w:val="110"/>
        </w:rPr>
        <w:t> </w:t>
      </w:r>
      <w:r>
        <w:rPr>
          <w:color w:val="231F20"/>
          <w:w w:val="110"/>
        </w:rPr>
        <w:t>que</w:t>
      </w:r>
      <w:r>
        <w:rPr>
          <w:color w:val="231F20"/>
          <w:spacing w:val="-4"/>
          <w:w w:val="110"/>
        </w:rPr>
        <w:t> </w:t>
      </w:r>
      <w:r>
        <w:rPr>
          <w:color w:val="231F20"/>
          <w:w w:val="110"/>
        </w:rPr>
        <w:t>viven</w:t>
      </w:r>
      <w:r>
        <w:rPr>
          <w:color w:val="231F20"/>
          <w:spacing w:val="-4"/>
          <w:w w:val="110"/>
        </w:rPr>
        <w:t> </w:t>
      </w:r>
      <w:r>
        <w:rPr>
          <w:color w:val="231F20"/>
          <w:w w:val="110"/>
        </w:rPr>
        <w:t>dentro</w:t>
      </w:r>
      <w:r>
        <w:rPr>
          <w:color w:val="231F20"/>
          <w:spacing w:val="-4"/>
          <w:w w:val="110"/>
        </w:rPr>
        <w:t> </w:t>
      </w:r>
      <w:r>
        <w:rPr>
          <w:color w:val="231F20"/>
          <w:w w:val="110"/>
        </w:rPr>
        <w:t>de</w:t>
      </w:r>
      <w:r>
        <w:rPr>
          <w:color w:val="231F20"/>
          <w:spacing w:val="-4"/>
          <w:w w:val="110"/>
        </w:rPr>
        <w:t> </w:t>
      </w:r>
      <w:r>
        <w:rPr>
          <w:color w:val="231F20"/>
          <w:w w:val="110"/>
        </w:rPr>
        <w:t>un</w:t>
      </w:r>
      <w:r>
        <w:rPr>
          <w:color w:val="231F20"/>
          <w:spacing w:val="-4"/>
          <w:w w:val="110"/>
        </w:rPr>
        <w:t> </w:t>
      </w:r>
      <w:r>
        <w:rPr>
          <w:color w:val="231F20"/>
          <w:w w:val="110"/>
        </w:rPr>
        <w:t>hogar</w:t>
      </w:r>
      <w:r>
        <w:rPr>
          <w:color w:val="231F20"/>
          <w:spacing w:val="-4"/>
          <w:w w:val="110"/>
        </w:rPr>
        <w:t> </w:t>
      </w:r>
      <w:r>
        <w:rPr>
          <w:color w:val="231F20"/>
          <w:w w:val="110"/>
        </w:rPr>
        <w:t>más</w:t>
      </w:r>
      <w:r>
        <w:rPr>
          <w:color w:val="231F20"/>
          <w:spacing w:val="-4"/>
          <w:w w:val="110"/>
        </w:rPr>
        <w:t> </w:t>
      </w:r>
      <w:r>
        <w:rPr>
          <w:color w:val="231F20"/>
          <w:spacing w:val="-3"/>
          <w:w w:val="110"/>
        </w:rPr>
        <w:t>extenso,</w:t>
      </w:r>
      <w:r>
        <w:rPr>
          <w:color w:val="231F20"/>
          <w:spacing w:val="-4"/>
          <w:w w:val="110"/>
        </w:rPr>
        <w:t> </w:t>
      </w:r>
      <w:r>
        <w:rPr>
          <w:color w:val="231F20"/>
          <w:w w:val="110"/>
        </w:rPr>
        <w:t>tienen</w:t>
      </w:r>
      <w:r>
        <w:rPr>
          <w:color w:val="231F20"/>
          <w:spacing w:val="-4"/>
          <w:w w:val="110"/>
        </w:rPr>
        <w:t> </w:t>
      </w:r>
      <w:r>
        <w:rPr>
          <w:color w:val="231F20"/>
          <w:w w:val="110"/>
        </w:rPr>
        <w:t>ligeramente mejores condiciones que los anteriores, sin embargo, también muestran signos de precariedad laboral importante y baja escolaridad. En general, los hombres y las mujeres unidos dejaron de asistir a la escuela para de- </w:t>
      </w:r>
      <w:r>
        <w:rPr>
          <w:color w:val="231F20"/>
          <w:spacing w:val="2"/>
          <w:w w:val="110"/>
        </w:rPr>
        <w:t>dicarse </w:t>
      </w:r>
      <w:r>
        <w:rPr>
          <w:color w:val="231F20"/>
          <w:w w:val="110"/>
        </w:rPr>
        <w:t>a </w:t>
      </w:r>
      <w:r>
        <w:rPr>
          <w:color w:val="231F20"/>
          <w:spacing w:val="2"/>
          <w:w w:val="110"/>
        </w:rPr>
        <w:t>otras actividades, </w:t>
      </w:r>
      <w:r>
        <w:rPr>
          <w:color w:val="231F20"/>
          <w:w w:val="110"/>
        </w:rPr>
        <w:t>lo que los </w:t>
      </w:r>
      <w:r>
        <w:rPr>
          <w:color w:val="231F20"/>
          <w:spacing w:val="2"/>
          <w:w w:val="110"/>
        </w:rPr>
        <w:t>posiciona como </w:t>
      </w:r>
      <w:r>
        <w:rPr>
          <w:color w:val="231F20"/>
          <w:w w:val="110"/>
        </w:rPr>
        <w:t>los </w:t>
      </w:r>
      <w:r>
        <w:rPr>
          <w:color w:val="231F20"/>
          <w:spacing w:val="2"/>
          <w:w w:val="110"/>
        </w:rPr>
        <w:t>jóvenes </w:t>
      </w:r>
      <w:r>
        <w:rPr>
          <w:color w:val="231F20"/>
          <w:w w:val="110"/>
        </w:rPr>
        <w:t>con menor educación. La mayoría de los varones tuvo que conseguir un em- pleo con condiciones precarias donde no cuentan con seguridad social y trabajan largas jornadas. Además, es relevante que para la mayoría de las mujeres la unión conyugal supone la salida del sistema educativo y poca adquisición de experiencia</w:t>
      </w:r>
      <w:r>
        <w:rPr>
          <w:color w:val="231F20"/>
          <w:spacing w:val="2"/>
          <w:w w:val="110"/>
        </w:rPr>
        <w:t> </w:t>
      </w:r>
      <w:r>
        <w:rPr>
          <w:color w:val="231F20"/>
          <w:w w:val="110"/>
        </w:rPr>
        <w:t>laboral.</w:t>
      </w:r>
    </w:p>
    <w:p>
      <w:pPr>
        <w:pStyle w:val="BodyText"/>
        <w:spacing w:line="288" w:lineRule="auto"/>
        <w:ind w:left="100" w:right="117" w:firstLine="360"/>
        <w:jc w:val="both"/>
      </w:pPr>
      <w:r>
        <w:rPr>
          <w:color w:val="231F20"/>
          <w:w w:val="110"/>
        </w:rPr>
        <w:t>Al </w:t>
      </w:r>
      <w:r>
        <w:rPr>
          <w:color w:val="231F20"/>
          <w:spacing w:val="2"/>
          <w:w w:val="110"/>
        </w:rPr>
        <w:t>observar </w:t>
      </w:r>
      <w:r>
        <w:rPr>
          <w:color w:val="231F20"/>
          <w:w w:val="110"/>
        </w:rPr>
        <w:t>el proceso de tránsito a la adultez de los jóvenes mexi- quenses se revelan carencias institucionales importantes. Si es el caso, en cuanto a salud, una demanda insatisfecha de anticonceptivos. En materia de educación, se puede decir que las oportunidades creadas con la expan- sión del sistema educativo de nivel medio y superior están restringidas para aquellos que presentaron una unión en el año 2010 dentro de la enti- dad mexiquense, lo cual es un punto clave para trabajar en medidas foca- lizadas</w:t>
      </w:r>
      <w:r>
        <w:rPr>
          <w:color w:val="231F20"/>
          <w:spacing w:val="-16"/>
          <w:w w:val="110"/>
        </w:rPr>
        <w:t> </w:t>
      </w:r>
      <w:r>
        <w:rPr>
          <w:color w:val="231F20"/>
          <w:w w:val="110"/>
        </w:rPr>
        <w:t>para</w:t>
      </w:r>
      <w:r>
        <w:rPr>
          <w:color w:val="231F20"/>
          <w:spacing w:val="-16"/>
          <w:w w:val="110"/>
        </w:rPr>
        <w:t> </w:t>
      </w:r>
      <w:r>
        <w:rPr>
          <w:color w:val="231F20"/>
          <w:w w:val="110"/>
        </w:rPr>
        <w:t>esta</w:t>
      </w:r>
      <w:r>
        <w:rPr>
          <w:color w:val="231F20"/>
          <w:spacing w:val="-16"/>
          <w:w w:val="110"/>
        </w:rPr>
        <w:t> </w:t>
      </w:r>
      <w:r>
        <w:rPr>
          <w:color w:val="231F20"/>
          <w:w w:val="110"/>
        </w:rPr>
        <w:t>población,</w:t>
      </w:r>
      <w:r>
        <w:rPr>
          <w:color w:val="231F20"/>
          <w:spacing w:val="-16"/>
          <w:w w:val="110"/>
        </w:rPr>
        <w:t> </w:t>
      </w:r>
      <w:r>
        <w:rPr>
          <w:color w:val="231F20"/>
          <w:w w:val="110"/>
        </w:rPr>
        <w:t>el</w:t>
      </w:r>
      <w:r>
        <w:rPr>
          <w:color w:val="231F20"/>
          <w:spacing w:val="-16"/>
          <w:w w:val="110"/>
        </w:rPr>
        <w:t> </w:t>
      </w:r>
      <w:r>
        <w:rPr>
          <w:color w:val="231F20"/>
          <w:w w:val="110"/>
        </w:rPr>
        <w:t>que</w:t>
      </w:r>
      <w:r>
        <w:rPr>
          <w:color w:val="231F20"/>
          <w:spacing w:val="-16"/>
          <w:w w:val="110"/>
        </w:rPr>
        <w:t> </w:t>
      </w:r>
      <w:r>
        <w:rPr>
          <w:color w:val="231F20"/>
          <w:w w:val="110"/>
        </w:rPr>
        <w:t>no</w:t>
      </w:r>
      <w:r>
        <w:rPr>
          <w:color w:val="231F20"/>
          <w:spacing w:val="-16"/>
          <w:w w:val="110"/>
        </w:rPr>
        <w:t> </w:t>
      </w:r>
      <w:r>
        <w:rPr>
          <w:color w:val="231F20"/>
          <w:w w:val="110"/>
        </w:rPr>
        <w:t>puedan</w:t>
      </w:r>
      <w:r>
        <w:rPr>
          <w:color w:val="231F20"/>
          <w:spacing w:val="-16"/>
          <w:w w:val="110"/>
        </w:rPr>
        <w:t> </w:t>
      </w:r>
      <w:r>
        <w:rPr>
          <w:color w:val="231F20"/>
          <w:w w:val="110"/>
        </w:rPr>
        <w:t>seguir</w:t>
      </w:r>
      <w:r>
        <w:rPr>
          <w:color w:val="231F20"/>
          <w:spacing w:val="-16"/>
          <w:w w:val="110"/>
        </w:rPr>
        <w:t> </w:t>
      </w:r>
      <w:r>
        <w:rPr>
          <w:color w:val="231F20"/>
          <w:w w:val="110"/>
        </w:rPr>
        <w:t>estudiando</w:t>
      </w:r>
      <w:r>
        <w:rPr>
          <w:color w:val="231F20"/>
          <w:spacing w:val="-16"/>
          <w:w w:val="110"/>
        </w:rPr>
        <w:t> </w:t>
      </w:r>
      <w:r>
        <w:rPr>
          <w:color w:val="231F20"/>
          <w:w w:val="110"/>
        </w:rPr>
        <w:t>los</w:t>
      </w:r>
      <w:r>
        <w:rPr>
          <w:color w:val="231F20"/>
          <w:spacing w:val="-16"/>
          <w:w w:val="110"/>
        </w:rPr>
        <w:t> </w:t>
      </w:r>
      <w:r>
        <w:rPr>
          <w:color w:val="231F20"/>
          <w:w w:val="110"/>
        </w:rPr>
        <w:t>condena a un círculo vicioso de empleo precario y pobreza. En términos de empleo, el acceso a trabajos precarios no sólo afecta dentro de los unidos al  </w:t>
      </w:r>
      <w:r>
        <w:rPr>
          <w:color w:val="231F20"/>
          <w:spacing w:val="32"/>
          <w:w w:val="110"/>
        </w:rPr>
        <w:t> </w:t>
      </w:r>
      <w:r>
        <w:rPr>
          <w:color w:val="231F20"/>
          <w:w w:val="110"/>
        </w:rPr>
        <w:t>joven</w:t>
      </w:r>
    </w:p>
    <w:p>
      <w:pPr>
        <w:spacing w:after="0" w:line="288" w:lineRule="auto"/>
        <w:jc w:val="both"/>
        <w:sectPr>
          <w:pgSz w:w="9520" w:h="12920"/>
          <w:pgMar w:header="0" w:footer="1344" w:top="880" w:bottom="1540" w:left="1020" w:right="1320"/>
        </w:sectPr>
      </w:pPr>
    </w:p>
    <w:p>
      <w:pPr>
        <w:pStyle w:val="BodyText"/>
        <w:spacing w:line="288" w:lineRule="auto" w:before="42"/>
        <w:ind w:left="120" w:right="112"/>
        <w:jc w:val="right"/>
      </w:pPr>
      <w:r>
        <w:rPr>
          <w:color w:val="231F20"/>
          <w:w w:val="110"/>
        </w:rPr>
        <w:t>que</w:t>
      </w:r>
      <w:r>
        <w:rPr>
          <w:color w:val="231F20"/>
          <w:spacing w:val="30"/>
          <w:w w:val="110"/>
        </w:rPr>
        <w:t> </w:t>
      </w:r>
      <w:r>
        <w:rPr>
          <w:color w:val="231F20"/>
          <w:w w:val="110"/>
        </w:rPr>
        <w:t>está</w:t>
      </w:r>
      <w:r>
        <w:rPr>
          <w:color w:val="231F20"/>
          <w:spacing w:val="30"/>
          <w:w w:val="110"/>
        </w:rPr>
        <w:t> </w:t>
      </w:r>
      <w:r>
        <w:rPr>
          <w:color w:val="231F20"/>
          <w:w w:val="110"/>
        </w:rPr>
        <w:t>laborando,</w:t>
      </w:r>
      <w:r>
        <w:rPr>
          <w:color w:val="231F20"/>
          <w:spacing w:val="30"/>
          <w:w w:val="110"/>
        </w:rPr>
        <w:t> </w:t>
      </w:r>
      <w:r>
        <w:rPr>
          <w:color w:val="231F20"/>
          <w:w w:val="110"/>
        </w:rPr>
        <w:t>sino</w:t>
      </w:r>
      <w:r>
        <w:rPr>
          <w:color w:val="231F20"/>
          <w:spacing w:val="30"/>
          <w:w w:val="110"/>
        </w:rPr>
        <w:t> </w:t>
      </w:r>
      <w:r>
        <w:rPr>
          <w:color w:val="231F20"/>
          <w:w w:val="110"/>
        </w:rPr>
        <w:t>también</w:t>
      </w:r>
      <w:r>
        <w:rPr>
          <w:color w:val="231F20"/>
          <w:spacing w:val="30"/>
          <w:w w:val="110"/>
        </w:rPr>
        <w:t> </w:t>
      </w:r>
      <w:r>
        <w:rPr>
          <w:color w:val="231F20"/>
          <w:w w:val="110"/>
        </w:rPr>
        <w:t>a</w:t>
      </w:r>
      <w:r>
        <w:rPr>
          <w:color w:val="231F20"/>
          <w:spacing w:val="30"/>
          <w:w w:val="110"/>
        </w:rPr>
        <w:t> </w:t>
      </w:r>
      <w:r>
        <w:rPr>
          <w:color w:val="231F20"/>
          <w:w w:val="110"/>
        </w:rPr>
        <w:t>la</w:t>
      </w:r>
      <w:r>
        <w:rPr>
          <w:color w:val="231F20"/>
          <w:spacing w:val="30"/>
          <w:w w:val="110"/>
        </w:rPr>
        <w:t> </w:t>
      </w:r>
      <w:r>
        <w:rPr>
          <w:color w:val="231F20"/>
          <w:w w:val="110"/>
        </w:rPr>
        <w:t>pareja</w:t>
      </w:r>
      <w:r>
        <w:rPr>
          <w:color w:val="231F20"/>
          <w:spacing w:val="30"/>
          <w:w w:val="110"/>
        </w:rPr>
        <w:t> </w:t>
      </w:r>
      <w:r>
        <w:rPr>
          <w:color w:val="231F20"/>
          <w:w w:val="110"/>
        </w:rPr>
        <w:t>y</w:t>
      </w:r>
      <w:r>
        <w:rPr>
          <w:color w:val="231F20"/>
          <w:spacing w:val="30"/>
          <w:w w:val="110"/>
        </w:rPr>
        <w:t> </w:t>
      </w:r>
      <w:r>
        <w:rPr>
          <w:color w:val="231F20"/>
          <w:w w:val="110"/>
        </w:rPr>
        <w:t>a</w:t>
      </w:r>
      <w:r>
        <w:rPr>
          <w:color w:val="231F20"/>
          <w:spacing w:val="30"/>
          <w:w w:val="110"/>
        </w:rPr>
        <w:t> </w:t>
      </w:r>
      <w:r>
        <w:rPr>
          <w:color w:val="231F20"/>
          <w:w w:val="110"/>
        </w:rPr>
        <w:t>los</w:t>
      </w:r>
      <w:r>
        <w:rPr>
          <w:color w:val="231F20"/>
          <w:spacing w:val="30"/>
          <w:w w:val="110"/>
        </w:rPr>
        <w:t> </w:t>
      </w:r>
      <w:r>
        <w:rPr>
          <w:color w:val="231F20"/>
          <w:w w:val="110"/>
        </w:rPr>
        <w:t>hijos</w:t>
      </w:r>
      <w:r>
        <w:rPr>
          <w:color w:val="231F20"/>
          <w:spacing w:val="30"/>
          <w:w w:val="110"/>
        </w:rPr>
        <w:t> </w:t>
      </w:r>
      <w:r>
        <w:rPr>
          <w:color w:val="231F20"/>
          <w:w w:val="110"/>
        </w:rPr>
        <w:t>que</w:t>
      </w:r>
      <w:r>
        <w:rPr>
          <w:color w:val="231F20"/>
          <w:spacing w:val="30"/>
          <w:w w:val="110"/>
        </w:rPr>
        <w:t> </w:t>
      </w:r>
      <w:r>
        <w:rPr>
          <w:color w:val="231F20"/>
          <w:w w:val="110"/>
        </w:rPr>
        <w:t>pudieran</w:t>
      </w:r>
      <w:r>
        <w:rPr>
          <w:color w:val="231F20"/>
          <w:w w:val="111"/>
        </w:rPr>
        <w:t> </w:t>
      </w:r>
      <w:r>
        <w:rPr>
          <w:color w:val="231F20"/>
          <w:spacing w:val="-3"/>
          <w:w w:val="110"/>
        </w:rPr>
        <w:t>tener. </w:t>
      </w:r>
      <w:r>
        <w:rPr>
          <w:color w:val="231F20"/>
          <w:w w:val="110"/>
        </w:rPr>
        <w:t>Por último, la poca frecuencia con que las nuevas</w:t>
      </w:r>
      <w:r>
        <w:rPr>
          <w:color w:val="231F20"/>
          <w:spacing w:val="35"/>
          <w:w w:val="110"/>
        </w:rPr>
        <w:t> </w:t>
      </w:r>
      <w:r>
        <w:rPr>
          <w:color w:val="231F20"/>
          <w:w w:val="110"/>
        </w:rPr>
        <w:t>uniones</w:t>
      </w:r>
      <w:r>
        <w:rPr>
          <w:color w:val="231F20"/>
          <w:spacing w:val="8"/>
          <w:w w:val="110"/>
        </w:rPr>
        <w:t> </w:t>
      </w:r>
      <w:r>
        <w:rPr>
          <w:color w:val="231F20"/>
          <w:w w:val="110"/>
        </w:rPr>
        <w:t>conyuga-</w:t>
      </w:r>
      <w:r>
        <w:rPr>
          <w:color w:val="231F20"/>
          <w:w w:val="93"/>
        </w:rPr>
        <w:t> </w:t>
      </w:r>
      <w:r>
        <w:rPr>
          <w:color w:val="231F20"/>
          <w:w w:val="110"/>
        </w:rPr>
        <w:t>les tienen autonomía residencial, revela la falta de mecanismos</w:t>
      </w:r>
      <w:r>
        <w:rPr>
          <w:color w:val="231F20"/>
          <w:spacing w:val="1"/>
          <w:w w:val="110"/>
        </w:rPr>
        <w:t> </w:t>
      </w:r>
      <w:r>
        <w:rPr>
          <w:color w:val="231F20"/>
          <w:w w:val="110"/>
        </w:rPr>
        <w:t>de</w:t>
      </w:r>
      <w:r>
        <w:rPr>
          <w:color w:val="231F20"/>
          <w:spacing w:val="16"/>
          <w:w w:val="110"/>
        </w:rPr>
        <w:t> </w:t>
      </w:r>
      <w:r>
        <w:rPr>
          <w:color w:val="231F20"/>
          <w:w w:val="110"/>
        </w:rPr>
        <w:t>apoyo</w:t>
      </w:r>
      <w:r>
        <w:rPr>
          <w:color w:val="231F20"/>
          <w:w w:val="108"/>
        </w:rPr>
        <w:t> </w:t>
      </w:r>
      <w:r>
        <w:rPr>
          <w:color w:val="231F20"/>
          <w:w w:val="110"/>
        </w:rPr>
        <w:t>que creen condiciones de acceso a vivienda asequible para los</w:t>
      </w:r>
      <w:r>
        <w:rPr>
          <w:color w:val="231F20"/>
          <w:spacing w:val="32"/>
          <w:w w:val="110"/>
        </w:rPr>
        <w:t> </w:t>
      </w:r>
      <w:r>
        <w:rPr>
          <w:color w:val="231F20"/>
          <w:w w:val="110"/>
        </w:rPr>
        <w:t>jóvenes,</w:t>
      </w:r>
      <w:r>
        <w:rPr>
          <w:color w:val="231F20"/>
          <w:spacing w:val="12"/>
          <w:w w:val="110"/>
        </w:rPr>
        <w:t> </w:t>
      </w:r>
      <w:r>
        <w:rPr>
          <w:color w:val="231F20"/>
          <w:w w:val="110"/>
        </w:rPr>
        <w:t>la</w:t>
      </w:r>
      <w:r>
        <w:rPr>
          <w:color w:val="231F20"/>
          <w:w w:val="106"/>
        </w:rPr>
        <w:t> </w:t>
      </w:r>
      <w:r>
        <w:rPr>
          <w:color w:val="231F20"/>
          <w:w w:val="110"/>
        </w:rPr>
        <w:t>cual</w:t>
      </w:r>
      <w:r>
        <w:rPr>
          <w:color w:val="231F20"/>
          <w:spacing w:val="-9"/>
          <w:w w:val="110"/>
        </w:rPr>
        <w:t> </w:t>
      </w:r>
      <w:r>
        <w:rPr>
          <w:color w:val="231F20"/>
          <w:w w:val="110"/>
        </w:rPr>
        <w:t>en</w:t>
      </w:r>
      <w:r>
        <w:rPr>
          <w:color w:val="231F20"/>
          <w:spacing w:val="-9"/>
          <w:w w:val="110"/>
        </w:rPr>
        <w:t> </w:t>
      </w:r>
      <w:r>
        <w:rPr>
          <w:color w:val="231F20"/>
          <w:w w:val="110"/>
        </w:rPr>
        <w:t>algunos</w:t>
      </w:r>
      <w:r>
        <w:rPr>
          <w:color w:val="231F20"/>
          <w:spacing w:val="-9"/>
          <w:w w:val="110"/>
        </w:rPr>
        <w:t> </w:t>
      </w:r>
      <w:r>
        <w:rPr>
          <w:color w:val="231F20"/>
          <w:w w:val="110"/>
        </w:rPr>
        <w:t>casos</w:t>
      </w:r>
      <w:r>
        <w:rPr>
          <w:color w:val="231F20"/>
          <w:spacing w:val="-9"/>
          <w:w w:val="110"/>
        </w:rPr>
        <w:t> </w:t>
      </w:r>
      <w:r>
        <w:rPr>
          <w:color w:val="231F20"/>
          <w:w w:val="110"/>
        </w:rPr>
        <w:t>es</w:t>
      </w:r>
      <w:r>
        <w:rPr>
          <w:color w:val="231F20"/>
          <w:spacing w:val="-9"/>
          <w:w w:val="110"/>
        </w:rPr>
        <w:t> </w:t>
      </w:r>
      <w:r>
        <w:rPr>
          <w:color w:val="231F20"/>
          <w:w w:val="110"/>
        </w:rPr>
        <w:t>compensada</w:t>
      </w:r>
      <w:r>
        <w:rPr>
          <w:color w:val="231F20"/>
          <w:spacing w:val="-9"/>
          <w:w w:val="110"/>
        </w:rPr>
        <w:t> </w:t>
      </w:r>
      <w:r>
        <w:rPr>
          <w:color w:val="231F20"/>
          <w:w w:val="110"/>
        </w:rPr>
        <w:t>con</w:t>
      </w:r>
      <w:r>
        <w:rPr>
          <w:color w:val="231F20"/>
          <w:spacing w:val="-9"/>
          <w:w w:val="110"/>
        </w:rPr>
        <w:t> </w:t>
      </w:r>
      <w:r>
        <w:rPr>
          <w:color w:val="231F20"/>
          <w:w w:val="110"/>
        </w:rPr>
        <w:t>el</w:t>
      </w:r>
      <w:r>
        <w:rPr>
          <w:color w:val="231F20"/>
          <w:spacing w:val="-9"/>
          <w:w w:val="110"/>
        </w:rPr>
        <w:t> </w:t>
      </w:r>
      <w:r>
        <w:rPr>
          <w:color w:val="231F20"/>
          <w:w w:val="110"/>
        </w:rPr>
        <w:t>apoyo</w:t>
      </w:r>
      <w:r>
        <w:rPr>
          <w:color w:val="231F20"/>
          <w:spacing w:val="-9"/>
          <w:w w:val="110"/>
        </w:rPr>
        <w:t> </w:t>
      </w:r>
      <w:r>
        <w:rPr>
          <w:color w:val="231F20"/>
          <w:w w:val="110"/>
        </w:rPr>
        <w:t>de</w:t>
      </w:r>
      <w:r>
        <w:rPr>
          <w:color w:val="231F20"/>
          <w:spacing w:val="-9"/>
          <w:w w:val="110"/>
        </w:rPr>
        <w:t> </w:t>
      </w:r>
      <w:r>
        <w:rPr>
          <w:color w:val="231F20"/>
          <w:w w:val="110"/>
        </w:rPr>
        <w:t>las</w:t>
      </w:r>
      <w:r>
        <w:rPr>
          <w:color w:val="231F20"/>
          <w:spacing w:val="-9"/>
          <w:w w:val="110"/>
        </w:rPr>
        <w:t> </w:t>
      </w:r>
      <w:r>
        <w:rPr>
          <w:color w:val="231F20"/>
          <w:w w:val="110"/>
        </w:rPr>
        <w:t>familias</w:t>
      </w:r>
      <w:r>
        <w:rPr>
          <w:color w:val="231F20"/>
          <w:spacing w:val="-9"/>
          <w:w w:val="110"/>
        </w:rPr>
        <w:t> </w:t>
      </w:r>
      <w:r>
        <w:rPr>
          <w:color w:val="231F20"/>
          <w:w w:val="110"/>
        </w:rPr>
        <w:t>de</w:t>
      </w:r>
      <w:r>
        <w:rPr>
          <w:color w:val="231F20"/>
          <w:spacing w:val="-9"/>
          <w:w w:val="110"/>
        </w:rPr>
        <w:t> </w:t>
      </w:r>
      <w:r>
        <w:rPr>
          <w:color w:val="231F20"/>
          <w:w w:val="110"/>
        </w:rPr>
        <w:t>origen.</w:t>
      </w:r>
      <w:r>
        <w:rPr>
          <w:color w:val="231F20"/>
          <w:w w:val="128"/>
        </w:rPr>
        <w:t> </w:t>
      </w:r>
      <w:r>
        <w:rPr>
          <w:color w:val="231F20"/>
          <w:spacing w:val="2"/>
          <w:w w:val="110"/>
        </w:rPr>
        <w:t>Finalmente, </w:t>
      </w:r>
      <w:r>
        <w:rPr>
          <w:color w:val="231F20"/>
          <w:w w:val="110"/>
        </w:rPr>
        <w:t>el </w:t>
      </w:r>
      <w:r>
        <w:rPr>
          <w:color w:val="231F20"/>
          <w:spacing w:val="2"/>
          <w:w w:val="110"/>
        </w:rPr>
        <w:t>escenario actual </w:t>
      </w:r>
      <w:r>
        <w:rPr>
          <w:color w:val="231F20"/>
          <w:w w:val="110"/>
        </w:rPr>
        <w:t>de </w:t>
      </w:r>
      <w:r>
        <w:rPr>
          <w:color w:val="231F20"/>
          <w:spacing w:val="2"/>
          <w:w w:val="110"/>
        </w:rPr>
        <w:t>desigualdad, paradojas</w:t>
      </w:r>
      <w:r>
        <w:rPr>
          <w:color w:val="231F20"/>
          <w:spacing w:val="24"/>
          <w:w w:val="110"/>
        </w:rPr>
        <w:t> </w:t>
      </w:r>
      <w:r>
        <w:rPr>
          <w:color w:val="231F20"/>
          <w:w w:val="110"/>
        </w:rPr>
        <w:t>e</w:t>
      </w:r>
      <w:r>
        <w:rPr>
          <w:color w:val="231F20"/>
          <w:spacing w:val="25"/>
          <w:w w:val="110"/>
        </w:rPr>
        <w:t> </w:t>
      </w:r>
      <w:r>
        <w:rPr>
          <w:color w:val="231F20"/>
          <w:spacing w:val="2"/>
          <w:w w:val="110"/>
        </w:rPr>
        <w:t>incerti-</w:t>
      </w:r>
      <w:r>
        <w:rPr>
          <w:color w:val="231F20"/>
          <w:w w:val="93"/>
        </w:rPr>
        <w:t> </w:t>
      </w:r>
      <w:r>
        <w:rPr>
          <w:color w:val="231F20"/>
          <w:w w:val="110"/>
        </w:rPr>
        <w:t>dumbre</w:t>
      </w:r>
      <w:r>
        <w:rPr>
          <w:color w:val="231F20"/>
          <w:spacing w:val="22"/>
          <w:w w:val="110"/>
        </w:rPr>
        <w:t> </w:t>
      </w:r>
      <w:r>
        <w:rPr>
          <w:color w:val="231F20"/>
          <w:w w:val="110"/>
        </w:rPr>
        <w:t>en</w:t>
      </w:r>
      <w:r>
        <w:rPr>
          <w:color w:val="231F20"/>
          <w:spacing w:val="22"/>
          <w:w w:val="110"/>
        </w:rPr>
        <w:t> </w:t>
      </w:r>
      <w:r>
        <w:rPr>
          <w:color w:val="231F20"/>
          <w:w w:val="110"/>
        </w:rPr>
        <w:t>México,</w:t>
      </w:r>
      <w:r>
        <w:rPr>
          <w:color w:val="231F20"/>
          <w:spacing w:val="22"/>
          <w:w w:val="110"/>
        </w:rPr>
        <w:t> </w:t>
      </w:r>
      <w:r>
        <w:rPr>
          <w:color w:val="231F20"/>
          <w:w w:val="110"/>
        </w:rPr>
        <w:t>es</w:t>
      </w:r>
      <w:r>
        <w:rPr>
          <w:color w:val="231F20"/>
          <w:spacing w:val="22"/>
          <w:w w:val="110"/>
        </w:rPr>
        <w:t> </w:t>
      </w:r>
      <w:r>
        <w:rPr>
          <w:color w:val="231F20"/>
          <w:w w:val="110"/>
        </w:rPr>
        <w:t>un</w:t>
      </w:r>
      <w:r>
        <w:rPr>
          <w:color w:val="231F20"/>
          <w:spacing w:val="22"/>
          <w:w w:val="110"/>
        </w:rPr>
        <w:t> </w:t>
      </w:r>
      <w:r>
        <w:rPr>
          <w:color w:val="231F20"/>
          <w:w w:val="110"/>
        </w:rPr>
        <w:t>periodo</w:t>
      </w:r>
      <w:r>
        <w:rPr>
          <w:color w:val="231F20"/>
          <w:spacing w:val="22"/>
          <w:w w:val="110"/>
        </w:rPr>
        <w:t> </w:t>
      </w:r>
      <w:r>
        <w:rPr>
          <w:color w:val="231F20"/>
          <w:w w:val="110"/>
        </w:rPr>
        <w:t>que</w:t>
      </w:r>
      <w:r>
        <w:rPr>
          <w:color w:val="231F20"/>
          <w:spacing w:val="22"/>
          <w:w w:val="110"/>
        </w:rPr>
        <w:t> </w:t>
      </w:r>
      <w:r>
        <w:rPr>
          <w:color w:val="231F20"/>
          <w:w w:val="110"/>
        </w:rPr>
        <w:t>supone</w:t>
      </w:r>
      <w:r>
        <w:rPr>
          <w:color w:val="231F20"/>
          <w:spacing w:val="22"/>
          <w:w w:val="110"/>
        </w:rPr>
        <w:t> </w:t>
      </w:r>
      <w:r>
        <w:rPr>
          <w:color w:val="231F20"/>
          <w:w w:val="110"/>
        </w:rPr>
        <w:t>retos</w:t>
      </w:r>
      <w:r>
        <w:rPr>
          <w:color w:val="231F20"/>
          <w:spacing w:val="22"/>
          <w:w w:val="110"/>
        </w:rPr>
        <w:t> </w:t>
      </w:r>
      <w:r>
        <w:rPr>
          <w:color w:val="231F20"/>
          <w:w w:val="110"/>
        </w:rPr>
        <w:t>importantes</w:t>
      </w:r>
      <w:r>
        <w:rPr>
          <w:color w:val="231F20"/>
          <w:spacing w:val="22"/>
          <w:w w:val="110"/>
        </w:rPr>
        <w:t> </w:t>
      </w:r>
      <w:r>
        <w:rPr>
          <w:color w:val="231F20"/>
          <w:w w:val="110"/>
        </w:rPr>
        <w:t>para</w:t>
      </w:r>
      <w:r>
        <w:rPr>
          <w:color w:val="231F20"/>
          <w:spacing w:val="22"/>
          <w:w w:val="110"/>
        </w:rPr>
        <w:t> </w:t>
      </w:r>
      <w:r>
        <w:rPr>
          <w:color w:val="231F20"/>
          <w:w w:val="110"/>
        </w:rPr>
        <w:t>el</w:t>
      </w:r>
      <w:r>
        <w:rPr>
          <w:color w:val="231F20"/>
          <w:w w:val="101"/>
        </w:rPr>
        <w:t> </w:t>
      </w:r>
      <w:r>
        <w:rPr>
          <w:color w:val="231F20"/>
          <w:w w:val="110"/>
        </w:rPr>
        <w:t>diseño de políticas públicas que se articulen en pro de la juventud</w:t>
      </w:r>
      <w:r>
        <w:rPr>
          <w:color w:val="231F20"/>
          <w:spacing w:val="23"/>
          <w:w w:val="110"/>
        </w:rPr>
        <w:t> </w:t>
      </w:r>
      <w:r>
        <w:rPr>
          <w:color w:val="231F20"/>
          <w:w w:val="110"/>
        </w:rPr>
        <w:t>y</w:t>
      </w:r>
      <w:r>
        <w:rPr>
          <w:color w:val="231F20"/>
          <w:spacing w:val="10"/>
          <w:w w:val="110"/>
        </w:rPr>
        <w:t> </w:t>
      </w:r>
      <w:r>
        <w:rPr>
          <w:color w:val="231F20"/>
          <w:w w:val="110"/>
        </w:rPr>
        <w:t>esta-</w:t>
      </w:r>
      <w:r>
        <w:rPr>
          <w:color w:val="231F20"/>
          <w:w w:val="93"/>
        </w:rPr>
        <w:t> </w:t>
      </w:r>
      <w:r>
        <w:rPr>
          <w:color w:val="231F20"/>
          <w:spacing w:val="2"/>
          <w:w w:val="110"/>
        </w:rPr>
        <w:t>blezcan condiciones </w:t>
      </w:r>
      <w:r>
        <w:rPr>
          <w:color w:val="231F20"/>
          <w:w w:val="110"/>
        </w:rPr>
        <w:t>que  la  </w:t>
      </w:r>
      <w:r>
        <w:rPr>
          <w:color w:val="231F20"/>
          <w:spacing w:val="2"/>
          <w:w w:val="110"/>
        </w:rPr>
        <w:t>acompañen </w:t>
      </w:r>
      <w:r>
        <w:rPr>
          <w:color w:val="231F20"/>
          <w:w w:val="110"/>
        </w:rPr>
        <w:t>y  </w:t>
      </w:r>
      <w:r>
        <w:rPr>
          <w:color w:val="231F20"/>
          <w:spacing w:val="2"/>
          <w:w w:val="110"/>
        </w:rPr>
        <w:t>resuelvan </w:t>
      </w:r>
      <w:r>
        <w:rPr>
          <w:color w:val="231F20"/>
          <w:w w:val="110"/>
        </w:rPr>
        <w:t>la  </w:t>
      </w:r>
      <w:r>
        <w:rPr>
          <w:color w:val="231F20"/>
          <w:spacing w:val="2"/>
          <w:w w:val="110"/>
        </w:rPr>
        <w:t>acumulación  </w:t>
      </w:r>
      <w:r>
        <w:rPr>
          <w:color w:val="231F20"/>
          <w:spacing w:val="21"/>
          <w:w w:val="110"/>
        </w:rPr>
        <w:t> </w:t>
      </w:r>
      <w:r>
        <w:rPr>
          <w:color w:val="231F20"/>
          <w:w w:val="110"/>
        </w:rPr>
        <w:t>de</w:t>
      </w:r>
    </w:p>
    <w:p>
      <w:pPr>
        <w:pStyle w:val="BodyText"/>
        <w:ind w:left="124"/>
      </w:pPr>
      <w:r>
        <w:rPr>
          <w:color w:val="231F20"/>
          <w:w w:val="110"/>
        </w:rPr>
        <w:t>desventajas en su tránsito a la adultez.</w:t>
      </w:r>
    </w:p>
    <w:p>
      <w:pPr>
        <w:pStyle w:val="BodyText"/>
      </w:pPr>
    </w:p>
    <w:p>
      <w:pPr>
        <w:pStyle w:val="BodyText"/>
        <w:spacing w:before="10"/>
        <w:rPr>
          <w:sz w:val="28"/>
        </w:rPr>
      </w:pPr>
    </w:p>
    <w:p>
      <w:pPr>
        <w:spacing w:before="0"/>
        <w:ind w:left="124" w:right="0" w:firstLine="0"/>
        <w:jc w:val="left"/>
        <w:rPr>
          <w:rFonts w:ascii="Times New Roman"/>
          <w:i/>
          <w:sz w:val="19"/>
        </w:rPr>
      </w:pPr>
      <w:r>
        <w:rPr>
          <w:rFonts w:ascii="Times New Roman"/>
          <w:i/>
          <w:color w:val="231F20"/>
          <w:w w:val="95"/>
          <w:sz w:val="24"/>
        </w:rPr>
        <w:t>F</w:t>
      </w:r>
      <w:r>
        <w:rPr>
          <w:rFonts w:ascii="Times New Roman"/>
          <w:i/>
          <w:color w:val="231F20"/>
          <w:w w:val="95"/>
          <w:sz w:val="19"/>
        </w:rPr>
        <w:t>UENTES CONSULTADAS</w:t>
      </w:r>
    </w:p>
    <w:p>
      <w:pPr>
        <w:pStyle w:val="BodyText"/>
        <w:spacing w:before="8"/>
        <w:rPr>
          <w:rFonts w:ascii="Times New Roman"/>
          <w:i/>
          <w:sz w:val="25"/>
        </w:rPr>
      </w:pPr>
    </w:p>
    <w:p>
      <w:pPr>
        <w:spacing w:line="266" w:lineRule="auto" w:before="0"/>
        <w:ind w:left="484" w:right="113" w:hanging="360"/>
        <w:jc w:val="both"/>
        <w:rPr>
          <w:sz w:val="19"/>
        </w:rPr>
      </w:pPr>
      <w:r>
        <w:rPr>
          <w:rFonts w:ascii="Times New Roman" w:hAnsi="Times New Roman"/>
          <w:color w:val="231F20"/>
          <w:w w:val="110"/>
          <w:sz w:val="19"/>
        </w:rPr>
        <w:t>A</w:t>
      </w:r>
      <w:r>
        <w:rPr>
          <w:rFonts w:ascii="Times New Roman" w:hAnsi="Times New Roman"/>
          <w:color w:val="231F20"/>
          <w:w w:val="110"/>
          <w:sz w:val="15"/>
        </w:rPr>
        <w:t>RIZA</w:t>
      </w:r>
      <w:r>
        <w:rPr>
          <w:color w:val="231F20"/>
          <w:w w:val="110"/>
          <w:sz w:val="19"/>
        </w:rPr>
        <w:t>,</w:t>
      </w:r>
      <w:r>
        <w:rPr>
          <w:color w:val="231F20"/>
          <w:spacing w:val="-14"/>
          <w:w w:val="110"/>
          <w:sz w:val="19"/>
        </w:rPr>
        <w:t> </w:t>
      </w:r>
      <w:r>
        <w:rPr>
          <w:color w:val="231F20"/>
          <w:w w:val="110"/>
          <w:sz w:val="19"/>
        </w:rPr>
        <w:t>M.</w:t>
      </w:r>
      <w:r>
        <w:rPr>
          <w:color w:val="231F20"/>
          <w:spacing w:val="-14"/>
          <w:w w:val="110"/>
          <w:sz w:val="19"/>
        </w:rPr>
        <w:t> </w:t>
      </w:r>
      <w:r>
        <w:rPr>
          <w:color w:val="231F20"/>
          <w:w w:val="110"/>
          <w:sz w:val="19"/>
        </w:rPr>
        <w:t>y</w:t>
      </w:r>
      <w:r>
        <w:rPr>
          <w:color w:val="231F20"/>
          <w:spacing w:val="-14"/>
          <w:w w:val="110"/>
          <w:sz w:val="19"/>
        </w:rPr>
        <w:t> </w:t>
      </w:r>
      <w:r>
        <w:rPr>
          <w:color w:val="231F20"/>
          <w:spacing w:val="-5"/>
          <w:w w:val="110"/>
          <w:sz w:val="19"/>
        </w:rPr>
        <w:t>O.</w:t>
      </w:r>
      <w:r>
        <w:rPr>
          <w:color w:val="231F20"/>
          <w:spacing w:val="-14"/>
          <w:w w:val="110"/>
          <w:sz w:val="19"/>
        </w:rPr>
        <w:t> </w:t>
      </w:r>
      <w:r>
        <w:rPr>
          <w:color w:val="231F20"/>
          <w:w w:val="110"/>
          <w:sz w:val="19"/>
        </w:rPr>
        <w:t>De</w:t>
      </w:r>
      <w:r>
        <w:rPr>
          <w:color w:val="231F20"/>
          <w:spacing w:val="-14"/>
          <w:w w:val="110"/>
          <w:sz w:val="19"/>
        </w:rPr>
        <w:t> </w:t>
      </w:r>
      <w:r>
        <w:rPr>
          <w:color w:val="231F20"/>
          <w:w w:val="110"/>
          <w:sz w:val="19"/>
        </w:rPr>
        <w:t>Oliveira,</w:t>
      </w:r>
      <w:r>
        <w:rPr>
          <w:color w:val="231F20"/>
          <w:spacing w:val="-14"/>
          <w:w w:val="110"/>
          <w:sz w:val="19"/>
        </w:rPr>
        <w:t> </w:t>
      </w:r>
      <w:r>
        <w:rPr>
          <w:color w:val="231F20"/>
          <w:w w:val="110"/>
          <w:sz w:val="19"/>
        </w:rPr>
        <w:t>(2001),</w:t>
      </w:r>
      <w:r>
        <w:rPr>
          <w:color w:val="231F20"/>
          <w:spacing w:val="-14"/>
          <w:w w:val="110"/>
          <w:sz w:val="19"/>
        </w:rPr>
        <w:t> </w:t>
      </w:r>
      <w:r>
        <w:rPr>
          <w:color w:val="231F20"/>
          <w:spacing w:val="-4"/>
          <w:w w:val="110"/>
          <w:sz w:val="19"/>
        </w:rPr>
        <w:t>“Familias</w:t>
      </w:r>
      <w:r>
        <w:rPr>
          <w:color w:val="231F20"/>
          <w:spacing w:val="-14"/>
          <w:w w:val="110"/>
          <w:sz w:val="19"/>
        </w:rPr>
        <w:t> </w:t>
      </w:r>
      <w:r>
        <w:rPr>
          <w:color w:val="231F20"/>
          <w:w w:val="110"/>
          <w:sz w:val="19"/>
        </w:rPr>
        <w:t>en</w:t>
      </w:r>
      <w:r>
        <w:rPr>
          <w:color w:val="231F20"/>
          <w:spacing w:val="-14"/>
          <w:w w:val="110"/>
          <w:sz w:val="19"/>
        </w:rPr>
        <w:t> </w:t>
      </w:r>
      <w:r>
        <w:rPr>
          <w:color w:val="231F20"/>
          <w:w w:val="110"/>
          <w:sz w:val="19"/>
        </w:rPr>
        <w:t>transición</w:t>
      </w:r>
      <w:r>
        <w:rPr>
          <w:color w:val="231F20"/>
          <w:spacing w:val="-14"/>
          <w:w w:val="110"/>
          <w:sz w:val="19"/>
        </w:rPr>
        <w:t> </w:t>
      </w:r>
      <w:r>
        <w:rPr>
          <w:color w:val="231F20"/>
          <w:w w:val="110"/>
          <w:sz w:val="19"/>
        </w:rPr>
        <w:t>y</w:t>
      </w:r>
      <w:r>
        <w:rPr>
          <w:color w:val="231F20"/>
          <w:spacing w:val="-14"/>
          <w:w w:val="110"/>
          <w:sz w:val="19"/>
        </w:rPr>
        <w:t> </w:t>
      </w:r>
      <w:r>
        <w:rPr>
          <w:color w:val="231F20"/>
          <w:w w:val="110"/>
          <w:sz w:val="19"/>
        </w:rPr>
        <w:t>marcos</w:t>
      </w:r>
      <w:r>
        <w:rPr>
          <w:color w:val="231F20"/>
          <w:spacing w:val="-14"/>
          <w:w w:val="110"/>
          <w:sz w:val="19"/>
        </w:rPr>
        <w:t> </w:t>
      </w:r>
      <w:r>
        <w:rPr>
          <w:color w:val="231F20"/>
          <w:w w:val="110"/>
          <w:sz w:val="19"/>
        </w:rPr>
        <w:t>conceptuales en redefinición</w:t>
      </w:r>
      <w:r>
        <w:rPr>
          <w:i/>
          <w:color w:val="231F20"/>
          <w:w w:val="110"/>
          <w:sz w:val="19"/>
        </w:rPr>
        <w:t>”, </w:t>
      </w:r>
      <w:r>
        <w:rPr>
          <w:i/>
          <w:color w:val="231F20"/>
          <w:spacing w:val="-3"/>
          <w:w w:val="110"/>
          <w:sz w:val="19"/>
        </w:rPr>
        <w:t>Papeles </w:t>
      </w:r>
      <w:r>
        <w:rPr>
          <w:i/>
          <w:color w:val="231F20"/>
          <w:w w:val="110"/>
          <w:sz w:val="19"/>
        </w:rPr>
        <w:t>de Población</w:t>
      </w:r>
      <w:r>
        <w:rPr>
          <w:color w:val="231F20"/>
          <w:w w:val="110"/>
          <w:sz w:val="19"/>
        </w:rPr>
        <w:t>, abril-julio,</w:t>
      </w:r>
      <w:r>
        <w:rPr>
          <w:color w:val="231F20"/>
          <w:spacing w:val="-30"/>
          <w:w w:val="110"/>
          <w:sz w:val="19"/>
        </w:rPr>
        <w:t> </w:t>
      </w:r>
      <w:r>
        <w:rPr>
          <w:color w:val="231F20"/>
          <w:spacing w:val="-3"/>
          <w:w w:val="110"/>
          <w:sz w:val="19"/>
        </w:rPr>
        <w:t>Toluca, </w:t>
      </w:r>
      <w:r>
        <w:rPr>
          <w:color w:val="231F20"/>
          <w:w w:val="110"/>
          <w:sz w:val="19"/>
        </w:rPr>
        <w:t>México.</w:t>
      </w:r>
    </w:p>
    <w:p>
      <w:pPr>
        <w:spacing w:line="266" w:lineRule="auto" w:before="0"/>
        <w:ind w:left="484" w:right="113" w:hanging="360"/>
        <w:jc w:val="both"/>
        <w:rPr>
          <w:sz w:val="19"/>
        </w:rPr>
      </w:pPr>
      <w:r>
        <w:rPr>
          <w:rFonts w:ascii="Times New Roman" w:hAnsi="Times New Roman"/>
          <w:color w:val="231F20"/>
          <w:w w:val="110"/>
          <w:sz w:val="19"/>
        </w:rPr>
        <w:t>D</w:t>
      </w:r>
      <w:r>
        <w:rPr>
          <w:rFonts w:ascii="Times New Roman" w:hAnsi="Times New Roman"/>
          <w:color w:val="231F20"/>
          <w:w w:val="110"/>
          <w:sz w:val="15"/>
        </w:rPr>
        <w:t>E </w:t>
      </w:r>
      <w:r>
        <w:rPr>
          <w:rFonts w:ascii="Times New Roman" w:hAnsi="Times New Roman"/>
          <w:color w:val="231F20"/>
          <w:w w:val="110"/>
          <w:sz w:val="19"/>
        </w:rPr>
        <w:t>O</w:t>
      </w:r>
      <w:r>
        <w:rPr>
          <w:rFonts w:ascii="Times New Roman" w:hAnsi="Times New Roman"/>
          <w:color w:val="231F20"/>
          <w:w w:val="110"/>
          <w:sz w:val="15"/>
        </w:rPr>
        <w:t>LIVEIRA</w:t>
      </w:r>
      <w:r>
        <w:rPr>
          <w:color w:val="231F20"/>
          <w:w w:val="110"/>
          <w:sz w:val="19"/>
        </w:rPr>
        <w:t>, O. (2006), “Jóvenes y precariedad laboral en México”, </w:t>
      </w:r>
      <w:r>
        <w:rPr>
          <w:i/>
          <w:color w:val="231F20"/>
          <w:w w:val="110"/>
          <w:sz w:val="19"/>
        </w:rPr>
        <w:t>Papeles de </w:t>
      </w:r>
      <w:r>
        <w:rPr>
          <w:i/>
          <w:color w:val="231F20"/>
          <w:w w:val="110"/>
          <w:sz w:val="19"/>
        </w:rPr>
        <w:t>población</w:t>
      </w:r>
      <w:r>
        <w:rPr>
          <w:color w:val="231F20"/>
          <w:w w:val="110"/>
          <w:sz w:val="19"/>
        </w:rPr>
        <w:t>, julio-septiembre, núm. 049, Toluca, México, Universidad Autó- noma del Estado de  México.</w:t>
      </w:r>
    </w:p>
    <w:p>
      <w:pPr>
        <w:spacing w:line="266" w:lineRule="auto" w:before="0"/>
        <w:ind w:left="484" w:right="113" w:hanging="360"/>
        <w:jc w:val="both"/>
        <w:rPr>
          <w:sz w:val="19"/>
        </w:rPr>
      </w:pPr>
      <w:r>
        <w:rPr>
          <w:rFonts w:ascii="Times New Roman" w:hAnsi="Times New Roman"/>
          <w:color w:val="231F20"/>
          <w:w w:val="105"/>
          <w:sz w:val="19"/>
        </w:rPr>
        <w:t>E</w:t>
      </w:r>
      <w:r>
        <w:rPr>
          <w:rFonts w:ascii="Times New Roman" w:hAnsi="Times New Roman"/>
          <w:color w:val="231F20"/>
          <w:w w:val="105"/>
          <w:sz w:val="15"/>
        </w:rPr>
        <w:t>CHARRI</w:t>
      </w:r>
      <w:r>
        <w:rPr>
          <w:rFonts w:ascii="Times New Roman" w:hAnsi="Times New Roman"/>
          <w:color w:val="231F20"/>
          <w:w w:val="105"/>
          <w:sz w:val="19"/>
        </w:rPr>
        <w:t>, </w:t>
      </w:r>
      <w:r>
        <w:rPr>
          <w:color w:val="231F20"/>
          <w:w w:val="105"/>
          <w:sz w:val="19"/>
        </w:rPr>
        <w:t>C. y </w:t>
      </w:r>
      <w:r>
        <w:rPr>
          <w:color w:val="231F20"/>
          <w:w w:val="125"/>
          <w:sz w:val="19"/>
        </w:rPr>
        <w:t>J. </w:t>
      </w:r>
      <w:r>
        <w:rPr>
          <w:color w:val="231F20"/>
          <w:w w:val="105"/>
          <w:sz w:val="19"/>
        </w:rPr>
        <w:t>Pérez (2007), “En tránsito a la adultez: eventos en el curso de   vida de los jóvenes en México”, </w:t>
      </w:r>
      <w:r>
        <w:rPr>
          <w:i/>
          <w:color w:val="231F20"/>
          <w:w w:val="105"/>
          <w:sz w:val="19"/>
        </w:rPr>
        <w:t>Estudios demográficos y  Urbanos</w:t>
      </w:r>
      <w:r>
        <w:rPr>
          <w:color w:val="231F20"/>
          <w:w w:val="105"/>
          <w:sz w:val="19"/>
        </w:rPr>
        <w:t>,  vol.  22, núm.  1,  enero-abril,  México,  El  Colegio  de  México,  pp.</w:t>
      </w:r>
      <w:r>
        <w:rPr>
          <w:color w:val="231F20"/>
          <w:spacing w:val="-1"/>
          <w:w w:val="105"/>
          <w:sz w:val="19"/>
        </w:rPr>
        <w:t> </w:t>
      </w:r>
      <w:r>
        <w:rPr>
          <w:color w:val="231F20"/>
          <w:w w:val="105"/>
          <w:sz w:val="19"/>
        </w:rPr>
        <w:t>43-77.</w:t>
      </w:r>
    </w:p>
    <w:p>
      <w:pPr>
        <w:spacing w:line="266" w:lineRule="auto" w:before="0"/>
        <w:ind w:left="484" w:right="113" w:hanging="360"/>
        <w:jc w:val="both"/>
        <w:rPr>
          <w:sz w:val="19"/>
        </w:rPr>
      </w:pPr>
      <w:r>
        <w:rPr>
          <w:rFonts w:ascii="Times New Roman" w:hAnsi="Times New Roman"/>
          <w:color w:val="231F20"/>
          <w:w w:val="105"/>
          <w:sz w:val="19"/>
        </w:rPr>
        <w:t>F</w:t>
      </w:r>
      <w:r>
        <w:rPr>
          <w:rFonts w:ascii="Times New Roman" w:hAnsi="Times New Roman"/>
          <w:color w:val="231F20"/>
          <w:w w:val="105"/>
          <w:sz w:val="15"/>
        </w:rPr>
        <w:t>ILARDO</w:t>
      </w:r>
      <w:r>
        <w:rPr>
          <w:rFonts w:ascii="Times New Roman" w:hAnsi="Times New Roman"/>
          <w:color w:val="231F20"/>
          <w:w w:val="105"/>
          <w:sz w:val="19"/>
        </w:rPr>
        <w:t>, </w:t>
      </w:r>
      <w:r>
        <w:rPr>
          <w:rFonts w:ascii="Times New Roman" w:hAnsi="Times New Roman"/>
          <w:color w:val="231F20"/>
          <w:spacing w:val="-18"/>
          <w:w w:val="105"/>
          <w:sz w:val="19"/>
        </w:rPr>
        <w:t>V</w:t>
      </w:r>
      <w:r>
        <w:rPr>
          <w:color w:val="231F20"/>
          <w:spacing w:val="-18"/>
          <w:w w:val="105"/>
          <w:sz w:val="19"/>
        </w:rPr>
        <w:t>. </w:t>
      </w:r>
      <w:r>
        <w:rPr>
          <w:color w:val="231F20"/>
          <w:w w:val="105"/>
          <w:sz w:val="19"/>
        </w:rPr>
        <w:t>(2011), “Transiciones a la adultez y educación”, en </w:t>
      </w:r>
      <w:r>
        <w:rPr>
          <w:i/>
          <w:color w:val="231F20"/>
          <w:w w:val="105"/>
          <w:sz w:val="19"/>
        </w:rPr>
        <w:t>Jóvenes en trán-  </w:t>
      </w:r>
      <w:r>
        <w:rPr>
          <w:i/>
          <w:color w:val="231F20"/>
          <w:w w:val="105"/>
          <w:sz w:val="19"/>
        </w:rPr>
        <w:t>sito oportunidades y obstáculos en las trayectorias hacia la vida adulta</w:t>
      </w:r>
      <w:r>
        <w:rPr>
          <w:color w:val="231F20"/>
          <w:w w:val="105"/>
          <w:sz w:val="19"/>
        </w:rPr>
        <w:t>, </w:t>
      </w:r>
      <w:r>
        <w:rPr>
          <w:rFonts w:ascii="Times New Roman" w:hAnsi="Times New Roman"/>
          <w:color w:val="231F20"/>
          <w:w w:val="105"/>
          <w:sz w:val="15"/>
        </w:rPr>
        <w:t>UNFPA</w:t>
      </w:r>
      <w:r>
        <w:rPr>
          <w:color w:val="231F20"/>
          <w:w w:val="105"/>
          <w:sz w:val="19"/>
        </w:rPr>
        <w:t>, pp.</w:t>
      </w:r>
      <w:r>
        <w:rPr>
          <w:color w:val="231F20"/>
          <w:spacing w:val="8"/>
          <w:w w:val="105"/>
          <w:sz w:val="19"/>
        </w:rPr>
        <w:t> </w:t>
      </w:r>
      <w:r>
        <w:rPr>
          <w:color w:val="231F20"/>
          <w:w w:val="105"/>
          <w:sz w:val="19"/>
        </w:rPr>
        <w:t>13-62</w:t>
      </w:r>
    </w:p>
    <w:p>
      <w:pPr>
        <w:spacing w:line="266" w:lineRule="auto" w:before="0"/>
        <w:ind w:left="484" w:right="113" w:hanging="360"/>
        <w:jc w:val="both"/>
        <w:rPr>
          <w:sz w:val="19"/>
        </w:rPr>
      </w:pPr>
      <w:r>
        <w:rPr>
          <w:rFonts w:ascii="Times New Roman" w:hAnsi="Times New Roman"/>
          <w:color w:val="231F20"/>
          <w:w w:val="110"/>
          <w:sz w:val="19"/>
        </w:rPr>
        <w:t>G</w:t>
      </w:r>
      <w:r>
        <w:rPr>
          <w:rFonts w:ascii="Times New Roman" w:hAnsi="Times New Roman"/>
          <w:color w:val="231F20"/>
          <w:w w:val="110"/>
          <w:sz w:val="15"/>
        </w:rPr>
        <w:t>ARCÍA </w:t>
      </w:r>
      <w:r>
        <w:rPr>
          <w:color w:val="231F20"/>
          <w:w w:val="110"/>
          <w:sz w:val="19"/>
        </w:rPr>
        <w:t>B. y O. De Oliveira (2001), “Heterogeneidad laboral y calidad de los empleos en las principales áreas urbanas de México”, </w:t>
      </w:r>
      <w:r>
        <w:rPr>
          <w:i/>
          <w:color w:val="231F20"/>
          <w:w w:val="110"/>
          <w:sz w:val="19"/>
        </w:rPr>
        <w:t>Revista Latinoameri- </w:t>
      </w:r>
      <w:r>
        <w:rPr>
          <w:i/>
          <w:color w:val="231F20"/>
          <w:w w:val="110"/>
          <w:sz w:val="19"/>
        </w:rPr>
        <w:t>cana de estudios del trabajo</w:t>
      </w:r>
      <w:r>
        <w:rPr>
          <w:color w:val="231F20"/>
          <w:w w:val="110"/>
          <w:sz w:val="19"/>
        </w:rPr>
        <w:t>, año 7, núm. 14.</w:t>
      </w:r>
    </w:p>
    <w:p>
      <w:pPr>
        <w:spacing w:line="266" w:lineRule="auto" w:before="0"/>
        <w:ind w:left="484" w:right="112" w:hanging="361"/>
        <w:jc w:val="both"/>
        <w:rPr>
          <w:sz w:val="19"/>
        </w:rPr>
      </w:pPr>
      <w:r>
        <w:rPr>
          <w:rFonts w:ascii="Times New Roman" w:hAnsi="Times New Roman"/>
          <w:color w:val="231F20"/>
          <w:w w:val="110"/>
          <w:sz w:val="19"/>
        </w:rPr>
        <w:t>G</w:t>
      </w:r>
      <w:r>
        <w:rPr>
          <w:rFonts w:ascii="Times New Roman" w:hAnsi="Times New Roman"/>
          <w:color w:val="231F20"/>
          <w:w w:val="110"/>
          <w:sz w:val="15"/>
        </w:rPr>
        <w:t>IORGULI </w:t>
      </w:r>
      <w:r>
        <w:rPr>
          <w:color w:val="231F20"/>
          <w:w w:val="110"/>
          <w:sz w:val="19"/>
        </w:rPr>
        <w:t>S., (2011), “Caminos divergentes hacia la adultez en México”, en Georgina Binstock y Joice Melo Vieira (coords.), </w:t>
      </w:r>
      <w:r>
        <w:rPr>
          <w:i/>
          <w:color w:val="231F20"/>
          <w:w w:val="110"/>
          <w:sz w:val="19"/>
        </w:rPr>
        <w:t>Nupcialidad y familia en la </w:t>
      </w:r>
      <w:r>
        <w:rPr>
          <w:i/>
          <w:color w:val="231F20"/>
          <w:w w:val="110"/>
          <w:sz w:val="19"/>
        </w:rPr>
        <w:t>América Latina actual</w:t>
      </w:r>
      <w:r>
        <w:rPr>
          <w:color w:val="231F20"/>
          <w:w w:val="110"/>
          <w:sz w:val="19"/>
        </w:rPr>
        <w:t>, Campinhs. </w:t>
      </w:r>
      <w:r>
        <w:rPr>
          <w:rFonts w:ascii="Times New Roman" w:hAnsi="Times New Roman"/>
          <w:color w:val="231F20"/>
          <w:w w:val="110"/>
          <w:sz w:val="15"/>
        </w:rPr>
        <w:t>UNICAMP</w:t>
      </w:r>
      <w:r>
        <w:rPr>
          <w:rFonts w:ascii="Times New Roman" w:hAnsi="Times New Roman"/>
          <w:color w:val="231F20"/>
          <w:w w:val="110"/>
          <w:sz w:val="19"/>
        </w:rPr>
        <w:t>/</w:t>
      </w:r>
      <w:r>
        <w:rPr>
          <w:rFonts w:ascii="Times New Roman" w:hAnsi="Times New Roman"/>
          <w:color w:val="231F20"/>
          <w:w w:val="110"/>
          <w:sz w:val="15"/>
        </w:rPr>
        <w:t>ALAP</w:t>
      </w:r>
      <w:r>
        <w:rPr>
          <w:color w:val="231F20"/>
          <w:w w:val="110"/>
          <w:sz w:val="19"/>
        </w:rPr>
        <w:t>, pp. 123-163.</w:t>
      </w:r>
    </w:p>
    <w:p>
      <w:pPr>
        <w:spacing w:line="266" w:lineRule="auto" w:before="0"/>
        <w:ind w:left="484" w:right="113" w:hanging="360"/>
        <w:jc w:val="both"/>
        <w:rPr>
          <w:sz w:val="19"/>
        </w:rPr>
      </w:pPr>
      <w:r>
        <w:rPr>
          <w:rFonts w:ascii="Times New Roman" w:hAnsi="Times New Roman"/>
          <w:color w:val="231F20"/>
          <w:w w:val="105"/>
          <w:sz w:val="19"/>
        </w:rPr>
        <w:t>G</w:t>
      </w:r>
      <w:r>
        <w:rPr>
          <w:rFonts w:ascii="Times New Roman" w:hAnsi="Times New Roman"/>
          <w:color w:val="231F20"/>
          <w:w w:val="105"/>
          <w:sz w:val="15"/>
        </w:rPr>
        <w:t>IORGULI</w:t>
      </w:r>
      <w:r>
        <w:rPr>
          <w:color w:val="231F20"/>
          <w:w w:val="105"/>
          <w:sz w:val="19"/>
        </w:rPr>
        <w:t>, S. y M.A. Angoa (2013), “El tránsito a la adultez en tiempos de incer- tidumbre”,  </w:t>
      </w:r>
      <w:r>
        <w:rPr>
          <w:i/>
          <w:color w:val="231F20"/>
          <w:w w:val="105"/>
          <w:sz w:val="19"/>
        </w:rPr>
        <w:t>Coyuntura demográfica</w:t>
      </w:r>
      <w:r>
        <w:rPr>
          <w:color w:val="231F20"/>
          <w:w w:val="105"/>
          <w:sz w:val="19"/>
        </w:rPr>
        <w:t>,  núm.  4,  pp. 39-45.</w:t>
      </w:r>
    </w:p>
    <w:p>
      <w:pPr>
        <w:spacing w:line="266" w:lineRule="auto" w:before="0"/>
        <w:ind w:left="484" w:right="113" w:hanging="360"/>
        <w:jc w:val="both"/>
        <w:rPr>
          <w:sz w:val="19"/>
        </w:rPr>
      </w:pPr>
      <w:r>
        <w:rPr>
          <w:color w:val="231F20"/>
          <w:w w:val="110"/>
          <w:sz w:val="19"/>
        </w:rPr>
        <w:t>Instituto Nacional de Estadística e Información Geográfica, XIII Censo de Po- blación y Vivienda 2010, </w:t>
      </w:r>
      <w:r>
        <w:rPr>
          <w:rFonts w:ascii="Times New Roman" w:hAnsi="Times New Roman"/>
          <w:color w:val="231F20"/>
          <w:w w:val="110"/>
          <w:sz w:val="15"/>
        </w:rPr>
        <w:t>INEGI</w:t>
      </w:r>
      <w:r>
        <w:rPr>
          <w:color w:val="231F20"/>
          <w:w w:val="110"/>
          <w:sz w:val="19"/>
        </w:rPr>
        <w:t>, micro datos.</w:t>
      </w:r>
    </w:p>
    <w:p>
      <w:pPr>
        <w:spacing w:line="266" w:lineRule="auto" w:before="0"/>
        <w:ind w:left="484" w:right="113" w:hanging="360"/>
        <w:jc w:val="both"/>
        <w:rPr>
          <w:sz w:val="19"/>
        </w:rPr>
      </w:pPr>
      <w:r>
        <w:rPr>
          <w:rFonts w:ascii="Times New Roman" w:hAnsi="Times New Roman"/>
          <w:color w:val="231F20"/>
          <w:spacing w:val="-3"/>
          <w:w w:val="110"/>
          <w:sz w:val="19"/>
        </w:rPr>
        <w:t>N</w:t>
      </w:r>
      <w:r>
        <w:rPr>
          <w:rFonts w:ascii="Times New Roman" w:hAnsi="Times New Roman"/>
          <w:color w:val="231F20"/>
          <w:spacing w:val="-3"/>
          <w:w w:val="110"/>
          <w:sz w:val="15"/>
        </w:rPr>
        <w:t>AVARRETE</w:t>
      </w:r>
      <w:r>
        <w:rPr>
          <w:color w:val="231F20"/>
          <w:spacing w:val="-3"/>
          <w:w w:val="110"/>
          <w:sz w:val="19"/>
        </w:rPr>
        <w:t>,</w:t>
      </w:r>
      <w:r>
        <w:rPr>
          <w:color w:val="231F20"/>
          <w:spacing w:val="-15"/>
          <w:w w:val="110"/>
          <w:sz w:val="19"/>
        </w:rPr>
        <w:t> </w:t>
      </w:r>
      <w:r>
        <w:rPr>
          <w:color w:val="231F20"/>
          <w:w w:val="110"/>
          <w:sz w:val="19"/>
        </w:rPr>
        <w:t>E.</w:t>
      </w:r>
      <w:r>
        <w:rPr>
          <w:color w:val="231F20"/>
          <w:spacing w:val="-15"/>
          <w:w w:val="110"/>
          <w:sz w:val="19"/>
        </w:rPr>
        <w:t> </w:t>
      </w:r>
      <w:r>
        <w:rPr>
          <w:color w:val="231F20"/>
          <w:w w:val="110"/>
          <w:sz w:val="19"/>
        </w:rPr>
        <w:t>L.</w:t>
      </w:r>
      <w:r>
        <w:rPr>
          <w:color w:val="231F20"/>
          <w:spacing w:val="-15"/>
          <w:w w:val="110"/>
          <w:sz w:val="19"/>
        </w:rPr>
        <w:t> </w:t>
      </w:r>
      <w:r>
        <w:rPr>
          <w:color w:val="231F20"/>
          <w:w w:val="110"/>
          <w:sz w:val="19"/>
        </w:rPr>
        <w:t>(2001),</w:t>
      </w:r>
      <w:r>
        <w:rPr>
          <w:color w:val="231F20"/>
          <w:spacing w:val="-15"/>
          <w:w w:val="110"/>
          <w:sz w:val="19"/>
        </w:rPr>
        <w:t> </w:t>
      </w:r>
      <w:r>
        <w:rPr>
          <w:i/>
          <w:color w:val="231F20"/>
          <w:w w:val="110"/>
          <w:sz w:val="19"/>
        </w:rPr>
        <w:t>Juventud</w:t>
      </w:r>
      <w:r>
        <w:rPr>
          <w:i/>
          <w:color w:val="231F20"/>
          <w:spacing w:val="-18"/>
          <w:w w:val="110"/>
          <w:sz w:val="19"/>
        </w:rPr>
        <w:t> </w:t>
      </w:r>
      <w:r>
        <w:rPr>
          <w:i/>
          <w:color w:val="231F20"/>
          <w:w w:val="110"/>
          <w:sz w:val="19"/>
        </w:rPr>
        <w:t>y</w:t>
      </w:r>
      <w:r>
        <w:rPr>
          <w:i/>
          <w:color w:val="231F20"/>
          <w:spacing w:val="-18"/>
          <w:w w:val="110"/>
          <w:sz w:val="19"/>
        </w:rPr>
        <w:t> </w:t>
      </w:r>
      <w:r>
        <w:rPr>
          <w:i/>
          <w:color w:val="231F20"/>
          <w:w w:val="110"/>
          <w:sz w:val="19"/>
        </w:rPr>
        <w:t>trabajo:</w:t>
      </w:r>
      <w:r>
        <w:rPr>
          <w:i/>
          <w:color w:val="231F20"/>
          <w:spacing w:val="-18"/>
          <w:w w:val="110"/>
          <w:sz w:val="19"/>
        </w:rPr>
        <w:t> </w:t>
      </w:r>
      <w:r>
        <w:rPr>
          <w:i/>
          <w:color w:val="231F20"/>
          <w:w w:val="110"/>
          <w:sz w:val="19"/>
        </w:rPr>
        <w:t>un</w:t>
      </w:r>
      <w:r>
        <w:rPr>
          <w:i/>
          <w:color w:val="231F20"/>
          <w:spacing w:val="-18"/>
          <w:w w:val="110"/>
          <w:sz w:val="19"/>
        </w:rPr>
        <w:t> </w:t>
      </w:r>
      <w:r>
        <w:rPr>
          <w:i/>
          <w:color w:val="231F20"/>
          <w:w w:val="110"/>
          <w:sz w:val="19"/>
        </w:rPr>
        <w:t>reto</w:t>
      </w:r>
      <w:r>
        <w:rPr>
          <w:i/>
          <w:color w:val="231F20"/>
          <w:spacing w:val="-18"/>
          <w:w w:val="110"/>
          <w:sz w:val="19"/>
        </w:rPr>
        <w:t> </w:t>
      </w:r>
      <w:r>
        <w:rPr>
          <w:i/>
          <w:color w:val="231F20"/>
          <w:w w:val="110"/>
          <w:sz w:val="19"/>
        </w:rPr>
        <w:t>para</w:t>
      </w:r>
      <w:r>
        <w:rPr>
          <w:i/>
          <w:color w:val="231F20"/>
          <w:spacing w:val="-18"/>
          <w:w w:val="110"/>
          <w:sz w:val="19"/>
        </w:rPr>
        <w:t> </w:t>
      </w:r>
      <w:r>
        <w:rPr>
          <w:i/>
          <w:color w:val="231F20"/>
          <w:w w:val="110"/>
          <w:sz w:val="19"/>
        </w:rPr>
        <w:t>principios</w:t>
      </w:r>
      <w:r>
        <w:rPr>
          <w:i/>
          <w:color w:val="231F20"/>
          <w:spacing w:val="-18"/>
          <w:w w:val="110"/>
          <w:sz w:val="19"/>
        </w:rPr>
        <w:t> </w:t>
      </w:r>
      <w:r>
        <w:rPr>
          <w:i/>
          <w:color w:val="231F20"/>
          <w:w w:val="110"/>
          <w:sz w:val="19"/>
        </w:rPr>
        <w:t>de</w:t>
      </w:r>
      <w:r>
        <w:rPr>
          <w:i/>
          <w:color w:val="231F20"/>
          <w:spacing w:val="-18"/>
          <w:w w:val="110"/>
          <w:sz w:val="19"/>
        </w:rPr>
        <w:t> </w:t>
      </w:r>
      <w:r>
        <w:rPr>
          <w:i/>
          <w:color w:val="231F20"/>
          <w:w w:val="110"/>
          <w:sz w:val="19"/>
        </w:rPr>
        <w:t>siglo</w:t>
      </w:r>
      <w:r>
        <w:rPr>
          <w:color w:val="231F20"/>
          <w:w w:val="110"/>
          <w:sz w:val="19"/>
        </w:rPr>
        <w:t>,</w:t>
      </w:r>
      <w:r>
        <w:rPr>
          <w:color w:val="231F20"/>
          <w:spacing w:val="-15"/>
          <w:w w:val="110"/>
          <w:sz w:val="19"/>
        </w:rPr>
        <w:t> </w:t>
      </w:r>
      <w:r>
        <w:rPr>
          <w:color w:val="231F20"/>
          <w:w w:val="110"/>
          <w:sz w:val="19"/>
        </w:rPr>
        <w:t>Zina- cantepec, México, El Colegio  </w:t>
      </w:r>
      <w:r>
        <w:rPr>
          <w:color w:val="231F20"/>
          <w:spacing w:val="7"/>
          <w:w w:val="110"/>
          <w:sz w:val="19"/>
        </w:rPr>
        <w:t> </w:t>
      </w:r>
      <w:r>
        <w:rPr>
          <w:color w:val="231F20"/>
          <w:w w:val="110"/>
          <w:sz w:val="19"/>
        </w:rPr>
        <w:t>Mexiquense.</w:t>
      </w:r>
    </w:p>
    <w:p>
      <w:pPr>
        <w:spacing w:line="266" w:lineRule="auto" w:before="0"/>
        <w:ind w:left="484" w:right="112" w:hanging="360"/>
        <w:jc w:val="both"/>
        <w:rPr>
          <w:sz w:val="19"/>
        </w:rPr>
      </w:pPr>
      <w:r>
        <w:rPr>
          <w:rFonts w:ascii="Times New Roman" w:hAnsi="Times New Roman"/>
          <w:color w:val="231F20"/>
          <w:w w:val="110"/>
          <w:sz w:val="19"/>
        </w:rPr>
        <w:t>P</w:t>
      </w:r>
      <w:r>
        <w:rPr>
          <w:rFonts w:ascii="Times New Roman" w:hAnsi="Times New Roman"/>
          <w:color w:val="231F20"/>
          <w:w w:val="110"/>
          <w:sz w:val="15"/>
        </w:rPr>
        <w:t>ARTIDA</w:t>
      </w:r>
      <w:r>
        <w:rPr>
          <w:color w:val="231F20"/>
          <w:w w:val="110"/>
          <w:sz w:val="19"/>
        </w:rPr>
        <w:t>, V., (2011) Población económicamente activa. Notas de clase inéditas, Facultad Latinoamericana de Ciencias Sociales,  México.</w:t>
      </w:r>
    </w:p>
    <w:p>
      <w:pPr>
        <w:spacing w:after="0" w:line="266" w:lineRule="auto"/>
        <w:jc w:val="both"/>
        <w:rPr>
          <w:sz w:val="19"/>
        </w:rPr>
        <w:sectPr>
          <w:pgSz w:w="9520" w:h="12920"/>
          <w:pgMar w:header="0" w:footer="1344" w:top="880" w:bottom="1540" w:left="1320" w:right="1000"/>
        </w:sectPr>
      </w:pPr>
    </w:p>
    <w:p>
      <w:pPr>
        <w:spacing w:line="266" w:lineRule="auto" w:before="44"/>
        <w:ind w:left="479" w:right="120" w:hanging="360"/>
        <w:jc w:val="both"/>
        <w:rPr>
          <w:sz w:val="19"/>
        </w:rPr>
      </w:pPr>
      <w:r>
        <w:rPr>
          <w:rFonts w:ascii="Times New Roman" w:hAnsi="Times New Roman"/>
          <w:color w:val="231F20"/>
          <w:w w:val="105"/>
          <w:sz w:val="19"/>
        </w:rPr>
        <w:t>P</w:t>
      </w:r>
      <w:r>
        <w:rPr>
          <w:rFonts w:ascii="Times New Roman" w:hAnsi="Times New Roman"/>
          <w:color w:val="231F20"/>
          <w:w w:val="105"/>
          <w:sz w:val="15"/>
        </w:rPr>
        <w:t>IECK</w:t>
      </w:r>
      <w:r>
        <w:rPr>
          <w:color w:val="231F20"/>
          <w:w w:val="105"/>
          <w:sz w:val="19"/>
        </w:rPr>
        <w:t>, E., (2001) Los jóvenes y el trabajo: la educación frente a  la  exclusión social.  </w:t>
      </w:r>
      <w:r>
        <w:rPr>
          <w:rFonts w:ascii="Times New Roman" w:hAnsi="Times New Roman"/>
          <w:color w:val="231F20"/>
          <w:w w:val="105"/>
          <w:sz w:val="15"/>
        </w:rPr>
        <w:t>UIA</w:t>
      </w:r>
      <w:r>
        <w:rPr>
          <w:color w:val="231F20"/>
          <w:w w:val="105"/>
          <w:sz w:val="19"/>
        </w:rPr>
        <w:t>/Unicef/Cinterfor-</w:t>
      </w:r>
      <w:r>
        <w:rPr>
          <w:rFonts w:ascii="Times New Roman" w:hAnsi="Times New Roman"/>
          <w:color w:val="231F20"/>
          <w:w w:val="105"/>
          <w:sz w:val="15"/>
        </w:rPr>
        <w:t>OIT</w:t>
      </w:r>
      <w:r>
        <w:rPr>
          <w:color w:val="231F20"/>
          <w:w w:val="105"/>
          <w:sz w:val="19"/>
        </w:rPr>
        <w:t>, </w:t>
      </w:r>
      <w:r>
        <w:rPr>
          <w:color w:val="231F20"/>
          <w:spacing w:val="31"/>
          <w:w w:val="105"/>
          <w:sz w:val="19"/>
        </w:rPr>
        <w:t> </w:t>
      </w:r>
      <w:r>
        <w:rPr>
          <w:color w:val="231F20"/>
          <w:w w:val="105"/>
          <w:sz w:val="19"/>
        </w:rPr>
        <w:t>México</w:t>
      </w:r>
    </w:p>
    <w:p>
      <w:pPr>
        <w:spacing w:line="266" w:lineRule="auto" w:before="0"/>
        <w:ind w:left="479" w:right="117" w:hanging="360"/>
        <w:jc w:val="both"/>
        <w:rPr>
          <w:sz w:val="19"/>
        </w:rPr>
      </w:pPr>
      <w:r>
        <w:rPr>
          <w:rFonts w:ascii="Times New Roman" w:hAnsi="Times New Roman"/>
          <w:color w:val="231F20"/>
          <w:w w:val="110"/>
          <w:sz w:val="19"/>
        </w:rPr>
        <w:t>Q</w:t>
      </w:r>
      <w:r>
        <w:rPr>
          <w:rFonts w:ascii="Times New Roman" w:hAnsi="Times New Roman"/>
          <w:color w:val="231F20"/>
          <w:w w:val="110"/>
          <w:sz w:val="15"/>
        </w:rPr>
        <w:t>UILODRÁN</w:t>
      </w:r>
      <w:r>
        <w:rPr>
          <w:color w:val="231F20"/>
          <w:w w:val="110"/>
          <w:sz w:val="19"/>
        </w:rPr>
        <w:t>, </w:t>
      </w:r>
      <w:r>
        <w:rPr>
          <w:color w:val="231F20"/>
          <w:w w:val="125"/>
          <w:sz w:val="19"/>
        </w:rPr>
        <w:t>J. </w:t>
      </w:r>
      <w:r>
        <w:rPr>
          <w:color w:val="231F20"/>
          <w:w w:val="110"/>
          <w:sz w:val="19"/>
        </w:rPr>
        <w:t>y V. Sosa (2011), “El emparejamiento conyugal: una dimensión poco estudiada de la formación de las parejas”, </w:t>
      </w:r>
      <w:r>
        <w:rPr>
          <w:i/>
          <w:color w:val="231F20"/>
          <w:w w:val="110"/>
          <w:sz w:val="19"/>
        </w:rPr>
        <w:t>Parejas Conyugales en </w:t>
      </w:r>
      <w:r>
        <w:rPr>
          <w:i/>
          <w:color w:val="231F20"/>
          <w:w w:val="110"/>
          <w:sz w:val="19"/>
        </w:rPr>
        <w:t>Transformación</w:t>
      </w:r>
      <w:r>
        <w:rPr>
          <w:color w:val="231F20"/>
          <w:w w:val="110"/>
          <w:sz w:val="19"/>
        </w:rPr>
        <w:t>, México, El Colegio de México.</w:t>
      </w:r>
    </w:p>
    <w:p>
      <w:pPr>
        <w:spacing w:line="266" w:lineRule="auto" w:before="0"/>
        <w:ind w:left="480" w:right="117" w:hanging="360"/>
        <w:jc w:val="both"/>
        <w:rPr>
          <w:sz w:val="19"/>
        </w:rPr>
      </w:pPr>
      <w:r>
        <w:rPr>
          <w:rFonts w:ascii="Times New Roman" w:hAnsi="Times New Roman"/>
          <w:color w:val="231F20"/>
          <w:w w:val="105"/>
          <w:sz w:val="19"/>
        </w:rPr>
        <w:t>S</w:t>
      </w:r>
      <w:r>
        <w:rPr>
          <w:rFonts w:ascii="Times New Roman" w:hAnsi="Times New Roman"/>
          <w:color w:val="231F20"/>
          <w:w w:val="105"/>
          <w:sz w:val="15"/>
        </w:rPr>
        <w:t>ÁNCHEZ</w:t>
      </w:r>
      <w:r>
        <w:rPr>
          <w:rFonts w:ascii="Times New Roman" w:hAnsi="Times New Roman"/>
          <w:color w:val="231F20"/>
          <w:w w:val="105"/>
          <w:sz w:val="19"/>
        </w:rPr>
        <w:t>, </w:t>
      </w:r>
      <w:r>
        <w:rPr>
          <w:color w:val="231F20"/>
          <w:w w:val="105"/>
          <w:sz w:val="19"/>
        </w:rPr>
        <w:t>L. (2011), </w:t>
      </w:r>
      <w:r>
        <w:rPr>
          <w:i/>
          <w:color w:val="231F20"/>
          <w:w w:val="105"/>
          <w:sz w:val="19"/>
        </w:rPr>
        <w:t>Activo demográfico y calidad del empleo en México: situación </w:t>
      </w:r>
      <w:r>
        <w:rPr>
          <w:i/>
          <w:color w:val="231F20"/>
          <w:w w:val="105"/>
          <w:sz w:val="19"/>
        </w:rPr>
        <w:t>en las entidades federativas del país en México demográfico</w:t>
      </w:r>
      <w:r>
        <w:rPr>
          <w:color w:val="231F20"/>
          <w:w w:val="105"/>
          <w:sz w:val="19"/>
        </w:rPr>
        <w:t>, México D.F., El Colegio  de  México.</w:t>
      </w:r>
    </w:p>
    <w:p>
      <w:pPr>
        <w:spacing w:line="266" w:lineRule="auto" w:before="0"/>
        <w:ind w:left="480" w:right="119" w:hanging="360"/>
        <w:jc w:val="both"/>
        <w:rPr>
          <w:sz w:val="19"/>
        </w:rPr>
      </w:pPr>
      <w:r>
        <w:rPr>
          <w:color w:val="231F20"/>
          <w:w w:val="110"/>
          <w:sz w:val="19"/>
        </w:rPr>
        <w:t>Secretaría</w:t>
      </w:r>
      <w:r>
        <w:rPr>
          <w:color w:val="231F20"/>
          <w:spacing w:val="-8"/>
          <w:w w:val="110"/>
          <w:sz w:val="19"/>
        </w:rPr>
        <w:t> </w:t>
      </w:r>
      <w:r>
        <w:rPr>
          <w:color w:val="231F20"/>
          <w:w w:val="110"/>
          <w:sz w:val="19"/>
        </w:rPr>
        <w:t>de</w:t>
      </w:r>
      <w:r>
        <w:rPr>
          <w:color w:val="231F20"/>
          <w:spacing w:val="-8"/>
          <w:w w:val="110"/>
          <w:sz w:val="19"/>
        </w:rPr>
        <w:t> </w:t>
      </w:r>
      <w:r>
        <w:rPr>
          <w:color w:val="231F20"/>
          <w:w w:val="110"/>
          <w:sz w:val="19"/>
        </w:rPr>
        <w:t>Educación</w:t>
      </w:r>
      <w:r>
        <w:rPr>
          <w:color w:val="231F20"/>
          <w:spacing w:val="-8"/>
          <w:w w:val="110"/>
          <w:sz w:val="19"/>
        </w:rPr>
        <w:t> </w:t>
      </w:r>
      <w:r>
        <w:rPr>
          <w:color w:val="231F20"/>
          <w:w w:val="110"/>
          <w:sz w:val="19"/>
        </w:rPr>
        <w:t>Pública</w:t>
      </w:r>
      <w:r>
        <w:rPr>
          <w:color w:val="231F20"/>
          <w:spacing w:val="-8"/>
          <w:w w:val="110"/>
          <w:sz w:val="19"/>
        </w:rPr>
        <w:t> </w:t>
      </w:r>
      <w:r>
        <w:rPr>
          <w:color w:val="231F20"/>
          <w:w w:val="110"/>
          <w:sz w:val="19"/>
        </w:rPr>
        <w:t>(</w:t>
      </w:r>
      <w:r>
        <w:rPr>
          <w:rFonts w:ascii="Times New Roman" w:hAnsi="Times New Roman"/>
          <w:color w:val="231F20"/>
          <w:w w:val="110"/>
          <w:sz w:val="15"/>
        </w:rPr>
        <w:t>SEP</w:t>
      </w:r>
      <w:r>
        <w:rPr>
          <w:color w:val="231F20"/>
          <w:w w:val="110"/>
          <w:sz w:val="19"/>
        </w:rPr>
        <w:t>),</w:t>
      </w:r>
      <w:r>
        <w:rPr>
          <w:color w:val="231F20"/>
          <w:spacing w:val="-8"/>
          <w:w w:val="110"/>
          <w:sz w:val="19"/>
        </w:rPr>
        <w:t> </w:t>
      </w:r>
      <w:r>
        <w:rPr>
          <w:color w:val="231F20"/>
          <w:w w:val="110"/>
          <w:sz w:val="19"/>
        </w:rPr>
        <w:t>Sistema</w:t>
      </w:r>
      <w:r>
        <w:rPr>
          <w:color w:val="231F20"/>
          <w:spacing w:val="-8"/>
          <w:w w:val="110"/>
          <w:sz w:val="19"/>
        </w:rPr>
        <w:t> </w:t>
      </w:r>
      <w:r>
        <w:rPr>
          <w:color w:val="231F20"/>
          <w:w w:val="110"/>
          <w:sz w:val="19"/>
        </w:rPr>
        <w:t>Nacional</w:t>
      </w:r>
      <w:r>
        <w:rPr>
          <w:color w:val="231F20"/>
          <w:spacing w:val="-8"/>
          <w:w w:val="110"/>
          <w:sz w:val="19"/>
        </w:rPr>
        <w:t> </w:t>
      </w:r>
      <w:r>
        <w:rPr>
          <w:color w:val="231F20"/>
          <w:w w:val="110"/>
          <w:sz w:val="19"/>
        </w:rPr>
        <w:t>de</w:t>
      </w:r>
      <w:r>
        <w:rPr>
          <w:color w:val="231F20"/>
          <w:spacing w:val="-8"/>
          <w:w w:val="110"/>
          <w:sz w:val="19"/>
        </w:rPr>
        <w:t> </w:t>
      </w:r>
      <w:r>
        <w:rPr>
          <w:color w:val="231F20"/>
          <w:w w:val="110"/>
          <w:sz w:val="19"/>
        </w:rPr>
        <w:t>Información</w:t>
      </w:r>
      <w:r>
        <w:rPr>
          <w:color w:val="231F20"/>
          <w:spacing w:val="-8"/>
          <w:w w:val="110"/>
          <w:sz w:val="19"/>
        </w:rPr>
        <w:t> </w:t>
      </w:r>
      <w:r>
        <w:rPr>
          <w:color w:val="231F20"/>
          <w:w w:val="110"/>
          <w:sz w:val="19"/>
        </w:rPr>
        <w:t>Educa- </w:t>
      </w:r>
      <w:r>
        <w:rPr>
          <w:color w:val="231F20"/>
          <w:spacing w:val="4"/>
          <w:w w:val="94"/>
          <w:sz w:val="19"/>
        </w:rPr>
        <w:t>t</w:t>
      </w:r>
      <w:r>
        <w:rPr>
          <w:color w:val="231F20"/>
          <w:spacing w:val="4"/>
          <w:w w:val="98"/>
          <w:sz w:val="19"/>
        </w:rPr>
        <w:t>i</w:t>
      </w:r>
      <w:r>
        <w:rPr>
          <w:color w:val="231F20"/>
          <w:spacing w:val="4"/>
          <w:w w:val="108"/>
          <w:sz w:val="19"/>
        </w:rPr>
        <w:t>v</w:t>
      </w:r>
      <w:r>
        <w:rPr>
          <w:color w:val="231F20"/>
          <w:spacing w:val="4"/>
          <w:w w:val="108"/>
          <w:sz w:val="19"/>
        </w:rPr>
        <w:t>a</w:t>
      </w:r>
      <w:r>
        <w:rPr>
          <w:color w:val="231F20"/>
          <w:w w:val="128"/>
          <w:sz w:val="19"/>
        </w:rPr>
        <w:t>,</w:t>
      </w:r>
      <w:r>
        <w:rPr>
          <w:color w:val="231F20"/>
          <w:sz w:val="19"/>
        </w:rPr>
        <w:t> </w:t>
      </w:r>
      <w:r>
        <w:rPr>
          <w:color w:val="231F20"/>
          <w:spacing w:val="-5"/>
          <w:sz w:val="19"/>
        </w:rPr>
        <w:t> </w:t>
      </w:r>
      <w:r>
        <w:rPr>
          <w:color w:val="231F20"/>
          <w:spacing w:val="4"/>
          <w:w w:val="115"/>
          <w:sz w:val="19"/>
        </w:rPr>
        <w:t>E</w:t>
      </w:r>
      <w:r>
        <w:rPr>
          <w:color w:val="231F20"/>
          <w:spacing w:val="4"/>
          <w:w w:val="118"/>
          <w:sz w:val="19"/>
        </w:rPr>
        <w:t>s</w:t>
      </w:r>
      <w:r>
        <w:rPr>
          <w:color w:val="231F20"/>
          <w:spacing w:val="4"/>
          <w:w w:val="94"/>
          <w:sz w:val="19"/>
        </w:rPr>
        <w:t>t</w:t>
      </w:r>
      <w:r>
        <w:rPr>
          <w:color w:val="231F20"/>
          <w:spacing w:val="4"/>
          <w:w w:val="108"/>
          <w:sz w:val="19"/>
        </w:rPr>
        <w:t>a</w:t>
      </w:r>
      <w:r>
        <w:rPr>
          <w:color w:val="231F20"/>
          <w:spacing w:val="4"/>
          <w:w w:val="107"/>
          <w:sz w:val="19"/>
        </w:rPr>
        <w:t>d</w:t>
      </w:r>
      <w:r>
        <w:rPr>
          <w:color w:val="231F20"/>
          <w:spacing w:val="4"/>
          <w:w w:val="98"/>
          <w:sz w:val="19"/>
        </w:rPr>
        <w:t>í</w:t>
      </w:r>
      <w:r>
        <w:rPr>
          <w:color w:val="231F20"/>
          <w:spacing w:val="4"/>
          <w:w w:val="118"/>
          <w:sz w:val="19"/>
        </w:rPr>
        <w:t>s</w:t>
      </w:r>
      <w:r>
        <w:rPr>
          <w:color w:val="231F20"/>
          <w:spacing w:val="4"/>
          <w:w w:val="94"/>
          <w:sz w:val="19"/>
        </w:rPr>
        <w:t>t</w:t>
      </w:r>
      <w:r>
        <w:rPr>
          <w:color w:val="231F20"/>
          <w:spacing w:val="4"/>
          <w:w w:val="98"/>
          <w:sz w:val="19"/>
        </w:rPr>
        <w:t>i</w:t>
      </w:r>
      <w:r>
        <w:rPr>
          <w:color w:val="231F20"/>
          <w:spacing w:val="4"/>
          <w:w w:val="115"/>
          <w:sz w:val="19"/>
        </w:rPr>
        <w:t>c</w:t>
      </w:r>
      <w:r>
        <w:rPr>
          <w:color w:val="231F20"/>
          <w:spacing w:val="4"/>
          <w:w w:val="108"/>
          <w:sz w:val="19"/>
        </w:rPr>
        <w:t>a</w:t>
      </w:r>
      <w:r>
        <w:rPr>
          <w:color w:val="231F20"/>
          <w:w w:val="118"/>
          <w:sz w:val="19"/>
        </w:rPr>
        <w:t>s</w:t>
      </w:r>
      <w:r>
        <w:rPr>
          <w:color w:val="231F20"/>
          <w:sz w:val="19"/>
        </w:rPr>
        <w:t> </w:t>
      </w:r>
      <w:r>
        <w:rPr>
          <w:color w:val="231F20"/>
          <w:spacing w:val="-5"/>
          <w:sz w:val="19"/>
        </w:rPr>
        <w:t> </w:t>
      </w:r>
      <w:r>
        <w:rPr>
          <w:color w:val="231F20"/>
          <w:spacing w:val="4"/>
          <w:w w:val="115"/>
          <w:sz w:val="19"/>
        </w:rPr>
        <w:t>E</w:t>
      </w:r>
      <w:r>
        <w:rPr>
          <w:color w:val="231F20"/>
          <w:spacing w:val="4"/>
          <w:w w:val="107"/>
          <w:sz w:val="19"/>
        </w:rPr>
        <w:t>d</w:t>
      </w:r>
      <w:r>
        <w:rPr>
          <w:color w:val="231F20"/>
          <w:spacing w:val="4"/>
          <w:w w:val="113"/>
          <w:sz w:val="19"/>
        </w:rPr>
        <w:t>u</w:t>
      </w:r>
      <w:r>
        <w:rPr>
          <w:color w:val="231F20"/>
          <w:spacing w:val="4"/>
          <w:w w:val="115"/>
          <w:sz w:val="19"/>
        </w:rPr>
        <w:t>c</w:t>
      </w:r>
      <w:r>
        <w:rPr>
          <w:color w:val="231F20"/>
          <w:spacing w:val="4"/>
          <w:w w:val="108"/>
          <w:sz w:val="19"/>
        </w:rPr>
        <w:t>a</w:t>
      </w:r>
      <w:r>
        <w:rPr>
          <w:color w:val="231F20"/>
          <w:spacing w:val="4"/>
          <w:w w:val="94"/>
          <w:sz w:val="19"/>
        </w:rPr>
        <w:t>t</w:t>
      </w:r>
      <w:r>
        <w:rPr>
          <w:color w:val="231F20"/>
          <w:spacing w:val="4"/>
          <w:w w:val="98"/>
          <w:sz w:val="19"/>
        </w:rPr>
        <w:t>i</w:t>
      </w:r>
      <w:r>
        <w:rPr>
          <w:color w:val="231F20"/>
          <w:spacing w:val="4"/>
          <w:w w:val="108"/>
          <w:sz w:val="19"/>
        </w:rPr>
        <w:t>v</w:t>
      </w:r>
      <w:r>
        <w:rPr>
          <w:color w:val="231F20"/>
          <w:spacing w:val="4"/>
          <w:w w:val="108"/>
          <w:sz w:val="19"/>
        </w:rPr>
        <w:t>a</w:t>
      </w:r>
      <w:r>
        <w:rPr>
          <w:color w:val="231F20"/>
          <w:w w:val="118"/>
          <w:sz w:val="19"/>
        </w:rPr>
        <w:t>s</w:t>
      </w:r>
      <w:r>
        <w:rPr>
          <w:color w:val="231F20"/>
          <w:sz w:val="19"/>
        </w:rPr>
        <w:t> </w:t>
      </w:r>
      <w:r>
        <w:rPr>
          <w:color w:val="231F20"/>
          <w:spacing w:val="-6"/>
          <w:sz w:val="19"/>
        </w:rPr>
        <w:t> </w:t>
      </w:r>
      <w:hyperlink r:id="rId115">
        <w:r>
          <w:rPr>
            <w:color w:val="231F20"/>
            <w:spacing w:val="4"/>
            <w:w w:val="113"/>
            <w:sz w:val="19"/>
          </w:rPr>
          <w:t>h</w:t>
        </w:r>
        <w:r>
          <w:rPr>
            <w:color w:val="231F20"/>
            <w:spacing w:val="4"/>
            <w:w w:val="94"/>
            <w:sz w:val="19"/>
          </w:rPr>
          <w:t>tt</w:t>
        </w:r>
        <w:r>
          <w:rPr>
            <w:color w:val="231F20"/>
            <w:spacing w:val="4"/>
            <w:w w:val="106"/>
            <w:sz w:val="19"/>
          </w:rPr>
          <w:t>p</w:t>
        </w:r>
        <w:r>
          <w:rPr>
            <w:color w:val="231F20"/>
            <w:spacing w:val="4"/>
            <w:w w:val="131"/>
            <w:sz w:val="19"/>
          </w:rPr>
          <w:t>:</w:t>
        </w:r>
        <w:r>
          <w:rPr>
            <w:color w:val="231F20"/>
            <w:spacing w:val="4"/>
            <w:w w:val="66"/>
            <w:sz w:val="19"/>
          </w:rPr>
          <w:t>//</w:t>
        </w:r>
        <w:r>
          <w:rPr>
            <w:color w:val="231F20"/>
            <w:spacing w:val="4"/>
            <w:w w:val="108"/>
            <w:sz w:val="19"/>
          </w:rPr>
          <w:t>ww</w:t>
        </w:r>
        <w:r>
          <w:rPr>
            <w:color w:val="231F20"/>
            <w:spacing w:val="-7"/>
            <w:w w:val="108"/>
            <w:sz w:val="19"/>
          </w:rPr>
          <w:t>w</w:t>
        </w:r>
        <w:r>
          <w:rPr>
            <w:color w:val="231F20"/>
            <w:spacing w:val="4"/>
            <w:w w:val="128"/>
            <w:sz w:val="19"/>
          </w:rPr>
          <w:t>.</w:t>
        </w:r>
        <w:r>
          <w:rPr>
            <w:color w:val="231F20"/>
            <w:spacing w:val="4"/>
            <w:w w:val="118"/>
            <w:sz w:val="19"/>
          </w:rPr>
          <w:t>s</w:t>
        </w:r>
        <w:r>
          <w:rPr>
            <w:color w:val="231F20"/>
            <w:spacing w:val="4"/>
            <w:w w:val="111"/>
            <w:sz w:val="19"/>
          </w:rPr>
          <w:t>n</w:t>
        </w:r>
        <w:r>
          <w:rPr>
            <w:color w:val="231F20"/>
            <w:spacing w:val="4"/>
            <w:w w:val="98"/>
            <w:sz w:val="19"/>
          </w:rPr>
          <w:t>i</w:t>
        </w:r>
        <w:r>
          <w:rPr>
            <w:color w:val="231F20"/>
            <w:spacing w:val="4"/>
            <w:w w:val="109"/>
            <w:sz w:val="19"/>
          </w:rPr>
          <w:t>e</w:t>
        </w:r>
        <w:r>
          <w:rPr>
            <w:color w:val="231F20"/>
            <w:spacing w:val="4"/>
            <w:w w:val="128"/>
            <w:sz w:val="19"/>
          </w:rPr>
          <w:t>.</w:t>
        </w:r>
        <w:r>
          <w:rPr>
            <w:color w:val="231F20"/>
            <w:spacing w:val="4"/>
            <w:w w:val="118"/>
            <w:sz w:val="19"/>
          </w:rPr>
          <w:t>s</w:t>
        </w:r>
        <w:r>
          <w:rPr>
            <w:color w:val="231F20"/>
            <w:spacing w:val="4"/>
            <w:w w:val="109"/>
            <w:sz w:val="19"/>
          </w:rPr>
          <w:t>e</w:t>
        </w:r>
        <w:r>
          <w:rPr>
            <w:color w:val="231F20"/>
            <w:spacing w:val="4"/>
            <w:w w:val="106"/>
            <w:sz w:val="19"/>
          </w:rPr>
          <w:t>p</w:t>
        </w:r>
        <w:r>
          <w:rPr>
            <w:color w:val="231F20"/>
            <w:spacing w:val="4"/>
            <w:w w:val="128"/>
            <w:sz w:val="19"/>
          </w:rPr>
          <w:t>.</w:t>
        </w:r>
        <w:r>
          <w:rPr>
            <w:color w:val="231F20"/>
            <w:spacing w:val="4"/>
            <w:w w:val="110"/>
            <w:sz w:val="19"/>
          </w:rPr>
          <w:t>g</w:t>
        </w:r>
        <w:r>
          <w:rPr>
            <w:color w:val="231F20"/>
            <w:spacing w:val="4"/>
            <w:w w:val="108"/>
            <w:sz w:val="19"/>
          </w:rPr>
          <w:t>o</w:t>
        </w:r>
        <w:r>
          <w:rPr>
            <w:color w:val="231F20"/>
            <w:spacing w:val="4"/>
            <w:w w:val="107"/>
            <w:sz w:val="19"/>
          </w:rPr>
          <w:t>b</w:t>
        </w:r>
        <w:r>
          <w:rPr>
            <w:color w:val="231F20"/>
            <w:spacing w:val="4"/>
            <w:w w:val="128"/>
            <w:sz w:val="19"/>
          </w:rPr>
          <w:t>.</w:t>
        </w:r>
        <w:r>
          <w:rPr>
            <w:color w:val="231F20"/>
            <w:spacing w:val="4"/>
            <w:w w:val="110"/>
            <w:sz w:val="19"/>
          </w:rPr>
          <w:t>m</w:t>
        </w:r>
        <w:r>
          <w:rPr>
            <w:color w:val="231F20"/>
            <w:spacing w:val="4"/>
            <w:w w:val="118"/>
            <w:sz w:val="19"/>
          </w:rPr>
          <w:t>x</w:t>
        </w:r>
        <w:r>
          <w:rPr>
            <w:color w:val="231F20"/>
            <w:spacing w:val="4"/>
            <w:w w:val="66"/>
            <w:sz w:val="19"/>
          </w:rPr>
          <w:t>/</w:t>
        </w:r>
        <w:r>
          <w:rPr>
            <w:color w:val="231F20"/>
            <w:spacing w:val="4"/>
            <w:w w:val="109"/>
            <w:sz w:val="19"/>
          </w:rPr>
          <w:t>e</w:t>
        </w:r>
        <w:r>
          <w:rPr>
            <w:color w:val="231F20"/>
            <w:spacing w:val="4"/>
            <w:w w:val="118"/>
            <w:sz w:val="19"/>
          </w:rPr>
          <w:t>s</w:t>
        </w:r>
        <w:r>
          <w:rPr>
            <w:color w:val="231F20"/>
            <w:spacing w:val="4"/>
            <w:w w:val="94"/>
            <w:sz w:val="19"/>
          </w:rPr>
          <w:t>t</w:t>
        </w:r>
        <w:r>
          <w:rPr>
            <w:color w:val="231F20"/>
            <w:spacing w:val="4"/>
            <w:w w:val="108"/>
            <w:sz w:val="19"/>
          </w:rPr>
          <w:t>a</w:t>
        </w:r>
        <w:r>
          <w:rPr>
            <w:color w:val="231F20"/>
            <w:spacing w:val="4"/>
            <w:w w:val="107"/>
            <w:sz w:val="19"/>
          </w:rPr>
          <w:t>d</w:t>
        </w:r>
        <w:r>
          <w:rPr>
            <w:color w:val="231F20"/>
            <w:spacing w:val="4"/>
            <w:w w:val="98"/>
            <w:sz w:val="19"/>
          </w:rPr>
          <w:t>i</w:t>
        </w:r>
        <w:r>
          <w:rPr>
            <w:color w:val="231F20"/>
            <w:spacing w:val="4"/>
            <w:w w:val="118"/>
            <w:sz w:val="19"/>
          </w:rPr>
          <w:t>s</w:t>
        </w:r>
        <w:r>
          <w:rPr>
            <w:color w:val="231F20"/>
            <w:spacing w:val="4"/>
            <w:w w:val="94"/>
            <w:sz w:val="19"/>
          </w:rPr>
          <w:t>t</w:t>
        </w:r>
        <w:r>
          <w:rPr>
            <w:color w:val="231F20"/>
            <w:spacing w:val="4"/>
            <w:w w:val="98"/>
            <w:sz w:val="19"/>
          </w:rPr>
          <w:t>i</w:t>
        </w:r>
        <w:r>
          <w:rPr>
            <w:color w:val="231F20"/>
            <w:spacing w:val="4"/>
            <w:w w:val="115"/>
            <w:sz w:val="19"/>
          </w:rPr>
          <w:t>c</w:t>
        </w:r>
        <w:r>
          <w:rPr>
            <w:color w:val="231F20"/>
            <w:spacing w:val="4"/>
            <w:w w:val="108"/>
            <w:sz w:val="19"/>
          </w:rPr>
          <w:t>a</w:t>
        </w:r>
        <w:r>
          <w:rPr>
            <w:color w:val="231F20"/>
            <w:spacing w:val="4"/>
            <w:w w:val="118"/>
            <w:sz w:val="19"/>
          </w:rPr>
          <w:t>s</w:t>
        </w:r>
        <w:r>
          <w:rPr>
            <w:color w:val="231F20"/>
            <w:w w:val="134"/>
            <w:sz w:val="19"/>
          </w:rPr>
          <w:t>_</w:t>
        </w:r>
      </w:hyperlink>
      <w:r>
        <w:rPr>
          <w:color w:val="231F20"/>
          <w:w w:val="134"/>
          <w:sz w:val="19"/>
        </w:rPr>
        <w:t> </w:t>
      </w:r>
      <w:r>
        <w:rPr>
          <w:color w:val="231F20"/>
          <w:w w:val="110"/>
          <w:sz w:val="19"/>
        </w:rPr>
        <w:t>educativas.html</w:t>
      </w:r>
    </w:p>
    <w:p>
      <w:pPr>
        <w:spacing w:after="0" w:line="266" w:lineRule="auto"/>
        <w:jc w:val="both"/>
        <w:rPr>
          <w:sz w:val="19"/>
        </w:rPr>
        <w:sectPr>
          <w:footerReference w:type="even" r:id="rId114"/>
          <w:pgSz w:w="9520" w:h="12920"/>
          <w:pgMar w:footer="0" w:header="0" w:top="880" w:bottom="280" w:left="1000" w:right="1320"/>
        </w:sectPr>
      </w:pPr>
    </w:p>
    <w:p>
      <w:pPr>
        <w:pStyle w:val="BodyText"/>
        <w:spacing w:before="4"/>
        <w:rPr>
          <w:rFonts w:ascii="Times New Roman"/>
          <w:sz w:val="17"/>
        </w:rPr>
      </w:pPr>
    </w:p>
    <w:p>
      <w:pPr>
        <w:spacing w:after="0"/>
        <w:rPr>
          <w:rFonts w:ascii="Times New Roman"/>
          <w:sz w:val="17"/>
        </w:rPr>
        <w:sectPr>
          <w:footerReference w:type="default" r:id="rId116"/>
          <w:pgSz w:w="9520" w:h="12920"/>
          <w:pgMar w:footer="0" w:header="0" w:top="1220" w:bottom="280" w:left="1320" w:right="1320"/>
        </w:sectPr>
      </w:pPr>
    </w:p>
    <w:p>
      <w:pPr>
        <w:pStyle w:val="Heading1"/>
        <w:ind w:left="2164" w:firstLine="1114"/>
      </w:pPr>
      <w:r>
        <w:rPr>
          <w:i/>
          <w:color w:val="231F20"/>
          <w:w w:val="65"/>
        </w:rPr>
        <w:t>Hogares,</w:t>
      </w:r>
      <w:r>
        <w:rPr>
          <w:i/>
          <w:color w:val="231F20"/>
          <w:spacing w:val="-2"/>
          <w:w w:val="65"/>
        </w:rPr>
        <w:t> </w:t>
      </w:r>
      <w:r>
        <w:rPr>
          <w:i/>
          <w:color w:val="231F20"/>
          <w:w w:val="65"/>
        </w:rPr>
        <w:t>configuraciones</w:t>
      </w:r>
      <w:r>
        <w:rPr>
          <w:i/>
          <w:color w:val="231F20"/>
          <w:spacing w:val="-2"/>
          <w:w w:val="65"/>
        </w:rPr>
        <w:t> </w:t>
      </w:r>
      <w:r>
        <w:rPr>
          <w:i/>
          <w:color w:val="231F20"/>
          <w:w w:val="65"/>
        </w:rPr>
        <w:t>familiares</w:t>
      </w:r>
      <w:r>
        <w:rPr>
          <w:color w:val="231F20"/>
          <w:w w:val="60"/>
        </w:rPr>
        <w:t> </w:t>
      </w:r>
      <w:r>
        <w:rPr>
          <w:color w:val="231F20"/>
          <w:w w:val="70"/>
        </w:rPr>
        <w:t>y</w:t>
      </w:r>
      <w:r>
        <w:rPr>
          <w:color w:val="231F20"/>
          <w:spacing w:val="-36"/>
          <w:w w:val="70"/>
        </w:rPr>
        <w:t> </w:t>
      </w:r>
      <w:r>
        <w:rPr>
          <w:color w:val="231F20"/>
          <w:w w:val="70"/>
        </w:rPr>
        <w:t>de</w:t>
      </w:r>
      <w:r>
        <w:rPr>
          <w:color w:val="231F20"/>
          <w:spacing w:val="-36"/>
          <w:w w:val="70"/>
        </w:rPr>
        <w:t> </w:t>
      </w:r>
      <w:r>
        <w:rPr>
          <w:color w:val="231F20"/>
          <w:w w:val="70"/>
        </w:rPr>
        <w:t>género</w:t>
      </w:r>
      <w:r>
        <w:rPr>
          <w:color w:val="231F20"/>
          <w:spacing w:val="-36"/>
          <w:w w:val="70"/>
        </w:rPr>
        <w:t> </w:t>
      </w:r>
      <w:r>
        <w:rPr>
          <w:color w:val="231F20"/>
          <w:w w:val="70"/>
        </w:rPr>
        <w:t>en</w:t>
      </w:r>
      <w:r>
        <w:rPr>
          <w:color w:val="231F20"/>
          <w:spacing w:val="-36"/>
          <w:w w:val="70"/>
        </w:rPr>
        <w:t> </w:t>
      </w:r>
      <w:r>
        <w:rPr>
          <w:color w:val="231F20"/>
          <w:w w:val="70"/>
        </w:rPr>
        <w:t>un</w:t>
      </w:r>
      <w:r>
        <w:rPr>
          <w:color w:val="231F20"/>
          <w:spacing w:val="-36"/>
          <w:w w:val="70"/>
        </w:rPr>
        <w:t> </w:t>
      </w:r>
      <w:r>
        <w:rPr>
          <w:color w:val="231F20"/>
          <w:w w:val="70"/>
        </w:rPr>
        <w:t>contexto</w:t>
      </w:r>
      <w:r>
        <w:rPr>
          <w:color w:val="231F20"/>
          <w:spacing w:val="-36"/>
          <w:w w:val="70"/>
        </w:rPr>
        <w:t> </w:t>
      </w:r>
      <w:r>
        <w:rPr>
          <w:color w:val="231F20"/>
          <w:w w:val="70"/>
        </w:rPr>
        <w:t>de</w:t>
      </w:r>
      <w:r>
        <w:rPr>
          <w:color w:val="231F20"/>
          <w:spacing w:val="-36"/>
          <w:w w:val="70"/>
        </w:rPr>
        <w:t> </w:t>
      </w:r>
      <w:r>
        <w:rPr>
          <w:color w:val="231F20"/>
          <w:w w:val="70"/>
        </w:rPr>
        <w:t>alta</w:t>
      </w:r>
      <w:r>
        <w:rPr>
          <w:color w:val="231F20"/>
          <w:spacing w:val="-36"/>
          <w:w w:val="70"/>
        </w:rPr>
        <w:t> </w:t>
      </w:r>
      <w:r>
        <w:rPr>
          <w:color w:val="231F20"/>
          <w:w w:val="70"/>
        </w:rPr>
        <w:t>migración</w:t>
      </w:r>
      <w:r>
        <w:rPr>
          <w:color w:val="231F20"/>
          <w:w w:val="66"/>
        </w:rPr>
        <w:t> </w:t>
      </w:r>
      <w:r>
        <w:rPr>
          <w:color w:val="231F20"/>
          <w:w w:val="65"/>
        </w:rPr>
        <w:t>internacional en el sur</w:t>
      </w:r>
      <w:r>
        <w:rPr>
          <w:color w:val="231F20"/>
          <w:spacing w:val="-7"/>
          <w:w w:val="65"/>
        </w:rPr>
        <w:t> </w:t>
      </w:r>
      <w:r>
        <w:rPr>
          <w:color w:val="231F20"/>
          <w:w w:val="65"/>
        </w:rPr>
        <w:t>mexiquense</w:t>
      </w:r>
    </w:p>
    <w:p>
      <w:pPr>
        <w:pStyle w:val="Heading2"/>
        <w:spacing w:line="259" w:lineRule="auto"/>
        <w:ind w:left="5652" w:firstLine="27"/>
      </w:pPr>
      <w:bookmarkStart w:name="_TOC_250007" w:id="7"/>
      <w:r>
        <w:rPr>
          <w:i/>
          <w:color w:val="231F20"/>
          <w:w w:val="65"/>
        </w:rPr>
        <w:t>Norma Baca Tavira</w:t>
      </w:r>
      <w:r>
        <w:rPr>
          <w:color w:val="231F20"/>
          <w:w w:val="62"/>
        </w:rPr>
        <w:t> </w:t>
      </w:r>
      <w:bookmarkEnd w:id="7"/>
      <w:r>
        <w:rPr>
          <w:color w:val="231F20"/>
          <w:w w:val="65"/>
        </w:rPr>
        <w:t>Renato Salas Alfaro</w:t>
      </w:r>
    </w:p>
    <w:p>
      <w:pPr>
        <w:pStyle w:val="BodyText"/>
        <w:rPr>
          <w:rFonts w:ascii="Trebuchet MS"/>
          <w:i/>
        </w:rPr>
      </w:pPr>
    </w:p>
    <w:p>
      <w:pPr>
        <w:pStyle w:val="BodyText"/>
        <w:rPr>
          <w:rFonts w:ascii="Trebuchet MS"/>
          <w:i/>
        </w:rPr>
      </w:pPr>
    </w:p>
    <w:p>
      <w:pPr>
        <w:spacing w:before="191"/>
        <w:ind w:left="100" w:right="0" w:firstLine="0"/>
        <w:jc w:val="both"/>
        <w:rPr>
          <w:rFonts w:ascii="Times New Roman" w:hAnsi="Times New Roman"/>
          <w:i/>
          <w:sz w:val="19"/>
        </w:rPr>
      </w:pPr>
      <w:r>
        <w:rPr>
          <w:rFonts w:ascii="Times New Roman" w:hAnsi="Times New Roman"/>
          <w:i/>
          <w:color w:val="231F20"/>
          <w:sz w:val="24"/>
        </w:rPr>
        <w:t>I</w:t>
      </w:r>
      <w:r>
        <w:rPr>
          <w:rFonts w:ascii="Times New Roman" w:hAnsi="Times New Roman"/>
          <w:i/>
          <w:color w:val="231F20"/>
          <w:sz w:val="19"/>
        </w:rPr>
        <w:t>NTRODUCCIÓN</w:t>
      </w:r>
    </w:p>
    <w:p>
      <w:pPr>
        <w:pStyle w:val="BodyText"/>
        <w:spacing w:before="9"/>
        <w:rPr>
          <w:rFonts w:ascii="Times New Roman"/>
          <w:i/>
          <w:sz w:val="27"/>
        </w:rPr>
      </w:pPr>
    </w:p>
    <w:p>
      <w:pPr>
        <w:pStyle w:val="BodyText"/>
        <w:spacing w:line="288" w:lineRule="auto"/>
        <w:ind w:left="100" w:right="118"/>
        <w:jc w:val="both"/>
      </w:pPr>
      <w:r>
        <w:rPr>
          <w:color w:val="231F20"/>
          <w:w w:val="110"/>
        </w:rPr>
        <w:t>En el caso de México, es conocido que diversos factores internos</w:t>
      </w:r>
      <w:r>
        <w:rPr>
          <w:color w:val="231F20"/>
          <w:spacing w:val="-26"/>
          <w:w w:val="110"/>
        </w:rPr>
        <w:t> </w:t>
      </w:r>
      <w:r>
        <w:rPr>
          <w:color w:val="231F20"/>
          <w:w w:val="110"/>
        </w:rPr>
        <w:t>estimulan la </w:t>
      </w:r>
      <w:r>
        <w:rPr>
          <w:color w:val="231F20"/>
          <w:spacing w:val="-4"/>
          <w:w w:val="110"/>
        </w:rPr>
        <w:t>migración </w:t>
      </w:r>
      <w:r>
        <w:rPr>
          <w:color w:val="231F20"/>
          <w:w w:val="110"/>
        </w:rPr>
        <w:t>de </w:t>
      </w:r>
      <w:r>
        <w:rPr>
          <w:color w:val="231F20"/>
          <w:spacing w:val="-4"/>
          <w:w w:val="110"/>
        </w:rPr>
        <w:t>personas, </w:t>
      </w:r>
      <w:r>
        <w:rPr>
          <w:color w:val="231F20"/>
          <w:w w:val="110"/>
        </w:rPr>
        <w:t>y </w:t>
      </w:r>
      <w:r>
        <w:rPr>
          <w:color w:val="231F20"/>
          <w:spacing w:val="-3"/>
          <w:w w:val="110"/>
        </w:rPr>
        <w:t>que </w:t>
      </w:r>
      <w:r>
        <w:rPr>
          <w:color w:val="231F20"/>
          <w:spacing w:val="-4"/>
          <w:w w:val="110"/>
        </w:rPr>
        <w:t>otros tantos </w:t>
      </w:r>
      <w:r>
        <w:rPr>
          <w:color w:val="231F20"/>
          <w:w w:val="110"/>
        </w:rPr>
        <w:t>la </w:t>
      </w:r>
      <w:r>
        <w:rPr>
          <w:color w:val="231F20"/>
          <w:spacing w:val="-4"/>
          <w:w w:val="110"/>
        </w:rPr>
        <w:t>atraen hacia </w:t>
      </w:r>
      <w:r>
        <w:rPr>
          <w:color w:val="231F20"/>
          <w:w w:val="110"/>
        </w:rPr>
        <w:t>el </w:t>
      </w:r>
      <w:r>
        <w:rPr>
          <w:color w:val="231F20"/>
          <w:spacing w:val="-4"/>
          <w:w w:val="110"/>
        </w:rPr>
        <w:t>exterior; </w:t>
      </w:r>
      <w:r>
        <w:rPr>
          <w:color w:val="231F20"/>
          <w:w w:val="110"/>
        </w:rPr>
        <w:t>en</w:t>
      </w:r>
      <w:r>
        <w:rPr>
          <w:color w:val="231F20"/>
          <w:spacing w:val="-19"/>
          <w:w w:val="110"/>
        </w:rPr>
        <w:t> </w:t>
      </w:r>
      <w:r>
        <w:rPr>
          <w:color w:val="231F20"/>
          <w:spacing w:val="-3"/>
          <w:w w:val="110"/>
        </w:rPr>
        <w:t>los </w:t>
      </w:r>
      <w:r>
        <w:rPr>
          <w:color w:val="231F20"/>
          <w:w w:val="110"/>
        </w:rPr>
        <w:t>primeros destacan las transformaciones demográficas, los ajustes a la</w:t>
      </w:r>
      <w:r>
        <w:rPr>
          <w:color w:val="231F20"/>
          <w:spacing w:val="-11"/>
          <w:w w:val="110"/>
        </w:rPr>
        <w:t> </w:t>
      </w:r>
      <w:r>
        <w:rPr>
          <w:color w:val="231F20"/>
          <w:w w:val="110"/>
        </w:rPr>
        <w:t>pro- piedad de la tierra, las recurrentes crisis económicas, la pobreza rural y urbana; en los segundos se encuentran la cercanía con Estados Unidos, la demanda de trabajadores que ese país origina. A su vez, esta práctica se</w:t>
      </w:r>
      <w:r>
        <w:rPr>
          <w:color w:val="231F20"/>
          <w:spacing w:val="-6"/>
          <w:w w:val="110"/>
        </w:rPr>
        <w:t> </w:t>
      </w:r>
      <w:r>
        <w:rPr>
          <w:color w:val="231F20"/>
          <w:w w:val="110"/>
        </w:rPr>
        <w:t>ve influenciada por las características sociodemográficas de las personas, la composición de los hogares, sus restricciones productivas y socioeconó- micas, la disposición, la cantidad y la calidad de los recursos productivos que poseen ambos, las </w:t>
      </w:r>
      <w:r>
        <w:rPr>
          <w:color w:val="231F20"/>
          <w:spacing w:val="-3"/>
          <w:w w:val="110"/>
        </w:rPr>
        <w:t>expectativas </w:t>
      </w:r>
      <w:r>
        <w:rPr>
          <w:color w:val="231F20"/>
          <w:w w:val="110"/>
        </w:rPr>
        <w:t>de mejora personal y </w:t>
      </w:r>
      <w:r>
        <w:rPr>
          <w:color w:val="231F20"/>
          <w:spacing w:val="-4"/>
          <w:w w:val="110"/>
        </w:rPr>
        <w:t>familiar, </w:t>
      </w:r>
      <w:r>
        <w:rPr>
          <w:color w:val="231F20"/>
          <w:w w:val="110"/>
        </w:rPr>
        <w:t>así como de</w:t>
      </w:r>
      <w:r>
        <w:rPr>
          <w:color w:val="231F20"/>
          <w:spacing w:val="-13"/>
          <w:w w:val="110"/>
        </w:rPr>
        <w:t> </w:t>
      </w:r>
      <w:r>
        <w:rPr>
          <w:color w:val="231F20"/>
          <w:w w:val="110"/>
        </w:rPr>
        <w:t>las</w:t>
      </w:r>
      <w:r>
        <w:rPr>
          <w:color w:val="231F20"/>
          <w:spacing w:val="-13"/>
          <w:w w:val="110"/>
        </w:rPr>
        <w:t> </w:t>
      </w:r>
      <w:r>
        <w:rPr>
          <w:color w:val="231F20"/>
          <w:w w:val="110"/>
        </w:rPr>
        <w:t>instituciones</w:t>
      </w:r>
      <w:r>
        <w:rPr>
          <w:color w:val="231F20"/>
          <w:spacing w:val="-13"/>
          <w:w w:val="110"/>
        </w:rPr>
        <w:t> </w:t>
      </w:r>
      <w:r>
        <w:rPr>
          <w:color w:val="231F20"/>
          <w:w w:val="110"/>
        </w:rPr>
        <w:t>formales</w:t>
      </w:r>
      <w:r>
        <w:rPr>
          <w:color w:val="231F20"/>
          <w:spacing w:val="-13"/>
          <w:w w:val="110"/>
        </w:rPr>
        <w:t> </w:t>
      </w:r>
      <w:r>
        <w:rPr>
          <w:color w:val="231F20"/>
          <w:w w:val="110"/>
        </w:rPr>
        <w:t>e</w:t>
      </w:r>
      <w:r>
        <w:rPr>
          <w:color w:val="231F20"/>
          <w:spacing w:val="-13"/>
          <w:w w:val="110"/>
        </w:rPr>
        <w:t> </w:t>
      </w:r>
      <w:r>
        <w:rPr>
          <w:color w:val="231F20"/>
          <w:w w:val="110"/>
        </w:rPr>
        <w:t>informales</w:t>
      </w:r>
      <w:r>
        <w:rPr>
          <w:color w:val="231F20"/>
          <w:spacing w:val="-13"/>
          <w:w w:val="110"/>
        </w:rPr>
        <w:t> </w:t>
      </w:r>
      <w:r>
        <w:rPr>
          <w:color w:val="231F20"/>
          <w:w w:val="110"/>
        </w:rPr>
        <w:t>que</w:t>
      </w:r>
      <w:r>
        <w:rPr>
          <w:color w:val="231F20"/>
          <w:spacing w:val="-13"/>
          <w:w w:val="110"/>
        </w:rPr>
        <w:t> </w:t>
      </w:r>
      <w:r>
        <w:rPr>
          <w:color w:val="231F20"/>
          <w:w w:val="110"/>
        </w:rPr>
        <w:t>permiten</w:t>
      </w:r>
      <w:r>
        <w:rPr>
          <w:color w:val="231F20"/>
          <w:spacing w:val="-13"/>
          <w:w w:val="110"/>
        </w:rPr>
        <w:t> </w:t>
      </w:r>
      <w:r>
        <w:rPr>
          <w:color w:val="231F20"/>
          <w:w w:val="110"/>
        </w:rPr>
        <w:t>la</w:t>
      </w:r>
      <w:r>
        <w:rPr>
          <w:color w:val="231F20"/>
          <w:spacing w:val="-13"/>
          <w:w w:val="110"/>
        </w:rPr>
        <w:t> </w:t>
      </w:r>
      <w:r>
        <w:rPr>
          <w:color w:val="231F20"/>
          <w:w w:val="110"/>
        </w:rPr>
        <w:t>interacción</w:t>
      </w:r>
      <w:r>
        <w:rPr>
          <w:color w:val="231F20"/>
          <w:spacing w:val="-13"/>
          <w:w w:val="110"/>
        </w:rPr>
        <w:t> </w:t>
      </w:r>
      <w:r>
        <w:rPr>
          <w:color w:val="231F20"/>
          <w:w w:val="110"/>
        </w:rPr>
        <w:t>entre individuos</w:t>
      </w:r>
      <w:r>
        <w:rPr>
          <w:color w:val="231F20"/>
          <w:spacing w:val="-13"/>
          <w:w w:val="110"/>
        </w:rPr>
        <w:t> </w:t>
      </w:r>
      <w:r>
        <w:rPr>
          <w:color w:val="231F20"/>
          <w:w w:val="110"/>
        </w:rPr>
        <w:t>y</w:t>
      </w:r>
      <w:r>
        <w:rPr>
          <w:color w:val="231F20"/>
          <w:spacing w:val="-13"/>
          <w:w w:val="110"/>
        </w:rPr>
        <w:t> </w:t>
      </w:r>
      <w:r>
        <w:rPr>
          <w:color w:val="231F20"/>
          <w:w w:val="110"/>
        </w:rPr>
        <w:t>hogares;</w:t>
      </w:r>
      <w:r>
        <w:rPr>
          <w:color w:val="231F20"/>
          <w:spacing w:val="-13"/>
          <w:w w:val="110"/>
        </w:rPr>
        <w:t> </w:t>
      </w:r>
      <w:r>
        <w:rPr>
          <w:color w:val="231F20"/>
          <w:w w:val="110"/>
        </w:rPr>
        <w:t>elementos</w:t>
      </w:r>
      <w:r>
        <w:rPr>
          <w:color w:val="231F20"/>
          <w:spacing w:val="-13"/>
          <w:w w:val="110"/>
        </w:rPr>
        <w:t> </w:t>
      </w:r>
      <w:r>
        <w:rPr>
          <w:color w:val="231F20"/>
          <w:w w:val="110"/>
        </w:rPr>
        <w:t>y</w:t>
      </w:r>
      <w:r>
        <w:rPr>
          <w:color w:val="231F20"/>
          <w:spacing w:val="-13"/>
          <w:w w:val="110"/>
        </w:rPr>
        <w:t> </w:t>
      </w:r>
      <w:r>
        <w:rPr>
          <w:color w:val="231F20"/>
          <w:w w:val="110"/>
        </w:rPr>
        <w:t>circunstancias</w:t>
      </w:r>
      <w:r>
        <w:rPr>
          <w:color w:val="231F20"/>
          <w:spacing w:val="-13"/>
          <w:w w:val="110"/>
        </w:rPr>
        <w:t> </w:t>
      </w:r>
      <w:r>
        <w:rPr>
          <w:color w:val="231F20"/>
          <w:w w:val="110"/>
        </w:rPr>
        <w:t>que</w:t>
      </w:r>
      <w:r>
        <w:rPr>
          <w:color w:val="231F20"/>
          <w:spacing w:val="-13"/>
          <w:w w:val="110"/>
        </w:rPr>
        <w:t> </w:t>
      </w:r>
      <w:r>
        <w:rPr>
          <w:color w:val="231F20"/>
          <w:w w:val="110"/>
        </w:rPr>
        <w:t>en</w:t>
      </w:r>
      <w:r>
        <w:rPr>
          <w:color w:val="231F20"/>
          <w:spacing w:val="-13"/>
          <w:w w:val="110"/>
        </w:rPr>
        <w:t> </w:t>
      </w:r>
      <w:r>
        <w:rPr>
          <w:color w:val="231F20"/>
          <w:w w:val="110"/>
        </w:rPr>
        <w:t>paralelo</w:t>
      </w:r>
      <w:r>
        <w:rPr>
          <w:color w:val="231F20"/>
          <w:spacing w:val="-13"/>
          <w:w w:val="110"/>
        </w:rPr>
        <w:t> </w:t>
      </w:r>
      <w:r>
        <w:rPr>
          <w:color w:val="231F20"/>
          <w:w w:val="110"/>
        </w:rPr>
        <w:t>son</w:t>
      </w:r>
      <w:r>
        <w:rPr>
          <w:color w:val="231F20"/>
          <w:spacing w:val="-13"/>
          <w:w w:val="110"/>
        </w:rPr>
        <w:t> </w:t>
      </w:r>
      <w:r>
        <w:rPr>
          <w:color w:val="231F20"/>
          <w:w w:val="110"/>
        </w:rPr>
        <w:t>trans- formadas por la propia migración en diversas</w:t>
      </w:r>
      <w:r>
        <w:rPr>
          <w:color w:val="231F20"/>
          <w:spacing w:val="47"/>
          <w:w w:val="110"/>
        </w:rPr>
        <w:t> </w:t>
      </w:r>
      <w:r>
        <w:rPr>
          <w:color w:val="231F20"/>
          <w:w w:val="110"/>
        </w:rPr>
        <w:t>formas.</w:t>
      </w:r>
    </w:p>
    <w:p>
      <w:pPr>
        <w:pStyle w:val="BodyText"/>
        <w:spacing w:line="288" w:lineRule="auto"/>
        <w:ind w:left="100" w:right="116" w:firstLine="360"/>
        <w:jc w:val="both"/>
      </w:pPr>
      <w:r>
        <w:rPr>
          <w:color w:val="231F20"/>
          <w:w w:val="110"/>
        </w:rPr>
        <w:t>Aunque la migración incluye y afecta a casi todo el país, la forma par- ticular</w:t>
      </w:r>
      <w:r>
        <w:rPr>
          <w:color w:val="231F20"/>
          <w:spacing w:val="-10"/>
          <w:w w:val="110"/>
        </w:rPr>
        <w:t> </w:t>
      </w:r>
      <w:r>
        <w:rPr>
          <w:color w:val="231F20"/>
          <w:w w:val="110"/>
        </w:rPr>
        <w:t>que</w:t>
      </w:r>
      <w:r>
        <w:rPr>
          <w:color w:val="231F20"/>
          <w:spacing w:val="-10"/>
          <w:w w:val="110"/>
        </w:rPr>
        <w:t> </w:t>
      </w:r>
      <w:r>
        <w:rPr>
          <w:color w:val="231F20"/>
          <w:w w:val="110"/>
        </w:rPr>
        <w:t>asume</w:t>
      </w:r>
      <w:r>
        <w:rPr>
          <w:color w:val="231F20"/>
          <w:spacing w:val="-10"/>
          <w:w w:val="110"/>
        </w:rPr>
        <w:t> </w:t>
      </w:r>
      <w:r>
        <w:rPr>
          <w:color w:val="231F20"/>
          <w:w w:val="110"/>
        </w:rPr>
        <w:t>en</w:t>
      </w:r>
      <w:r>
        <w:rPr>
          <w:color w:val="231F20"/>
          <w:spacing w:val="-10"/>
          <w:w w:val="110"/>
        </w:rPr>
        <w:t> </w:t>
      </w:r>
      <w:r>
        <w:rPr>
          <w:color w:val="231F20"/>
          <w:w w:val="110"/>
        </w:rPr>
        <w:t>hogares</w:t>
      </w:r>
      <w:r>
        <w:rPr>
          <w:color w:val="231F20"/>
          <w:spacing w:val="-10"/>
          <w:w w:val="110"/>
        </w:rPr>
        <w:t> </w:t>
      </w:r>
      <w:r>
        <w:rPr>
          <w:color w:val="231F20"/>
          <w:w w:val="110"/>
        </w:rPr>
        <w:t>e</w:t>
      </w:r>
      <w:r>
        <w:rPr>
          <w:color w:val="231F20"/>
          <w:spacing w:val="-10"/>
          <w:w w:val="110"/>
        </w:rPr>
        <w:t> </w:t>
      </w:r>
      <w:r>
        <w:rPr>
          <w:color w:val="231F20"/>
          <w:w w:val="110"/>
        </w:rPr>
        <w:t>individuos</w:t>
      </w:r>
      <w:r>
        <w:rPr>
          <w:color w:val="231F20"/>
          <w:spacing w:val="-10"/>
          <w:w w:val="110"/>
        </w:rPr>
        <w:t> </w:t>
      </w:r>
      <w:r>
        <w:rPr>
          <w:color w:val="231F20"/>
          <w:w w:val="110"/>
        </w:rPr>
        <w:t>cuando</w:t>
      </w:r>
      <w:r>
        <w:rPr>
          <w:color w:val="231F20"/>
          <w:spacing w:val="-10"/>
          <w:w w:val="110"/>
        </w:rPr>
        <w:t> </w:t>
      </w:r>
      <w:r>
        <w:rPr>
          <w:color w:val="231F20"/>
          <w:w w:val="110"/>
        </w:rPr>
        <w:t>migran</w:t>
      </w:r>
      <w:r>
        <w:rPr>
          <w:color w:val="231F20"/>
          <w:spacing w:val="-10"/>
          <w:w w:val="110"/>
        </w:rPr>
        <w:t> </w:t>
      </w:r>
      <w:r>
        <w:rPr>
          <w:color w:val="231F20"/>
          <w:w w:val="110"/>
        </w:rPr>
        <w:t>las</w:t>
      </w:r>
      <w:r>
        <w:rPr>
          <w:color w:val="231F20"/>
          <w:spacing w:val="-10"/>
          <w:w w:val="110"/>
        </w:rPr>
        <w:t> </w:t>
      </w:r>
      <w:r>
        <w:rPr>
          <w:color w:val="231F20"/>
          <w:w w:val="110"/>
        </w:rPr>
        <w:t>mujeres</w:t>
      </w:r>
      <w:r>
        <w:rPr>
          <w:color w:val="231F20"/>
          <w:spacing w:val="-10"/>
          <w:w w:val="110"/>
        </w:rPr>
        <w:t> </w:t>
      </w:r>
      <w:r>
        <w:rPr>
          <w:color w:val="231F20"/>
          <w:w w:val="110"/>
        </w:rPr>
        <w:t>suele ser</w:t>
      </w:r>
      <w:r>
        <w:rPr>
          <w:color w:val="231F20"/>
          <w:spacing w:val="-15"/>
          <w:w w:val="110"/>
        </w:rPr>
        <w:t> </w:t>
      </w:r>
      <w:r>
        <w:rPr>
          <w:color w:val="231F20"/>
          <w:w w:val="110"/>
        </w:rPr>
        <w:t>distinta</w:t>
      </w:r>
      <w:r>
        <w:rPr>
          <w:color w:val="231F20"/>
          <w:spacing w:val="-15"/>
          <w:w w:val="110"/>
        </w:rPr>
        <w:t> </w:t>
      </w:r>
      <w:r>
        <w:rPr>
          <w:color w:val="231F20"/>
          <w:w w:val="110"/>
        </w:rPr>
        <w:t>a</w:t>
      </w:r>
      <w:r>
        <w:rPr>
          <w:color w:val="231F20"/>
          <w:spacing w:val="-15"/>
          <w:w w:val="110"/>
        </w:rPr>
        <w:t> </w:t>
      </w:r>
      <w:r>
        <w:rPr>
          <w:color w:val="231F20"/>
          <w:w w:val="110"/>
        </w:rPr>
        <w:t>cuando</w:t>
      </w:r>
      <w:r>
        <w:rPr>
          <w:color w:val="231F20"/>
          <w:spacing w:val="-15"/>
          <w:w w:val="110"/>
        </w:rPr>
        <w:t> </w:t>
      </w:r>
      <w:r>
        <w:rPr>
          <w:color w:val="231F20"/>
          <w:w w:val="110"/>
        </w:rPr>
        <w:t>migran</w:t>
      </w:r>
      <w:r>
        <w:rPr>
          <w:color w:val="231F20"/>
          <w:spacing w:val="-15"/>
          <w:w w:val="110"/>
        </w:rPr>
        <w:t> </w:t>
      </w:r>
      <w:r>
        <w:rPr>
          <w:color w:val="231F20"/>
          <w:w w:val="110"/>
        </w:rPr>
        <w:t>los</w:t>
      </w:r>
      <w:r>
        <w:rPr>
          <w:color w:val="231F20"/>
          <w:spacing w:val="-15"/>
          <w:w w:val="110"/>
        </w:rPr>
        <w:t> </w:t>
      </w:r>
      <w:r>
        <w:rPr>
          <w:color w:val="231F20"/>
          <w:w w:val="110"/>
        </w:rPr>
        <w:t>hombres.</w:t>
      </w:r>
      <w:r>
        <w:rPr>
          <w:color w:val="231F20"/>
          <w:spacing w:val="-15"/>
          <w:w w:val="110"/>
        </w:rPr>
        <w:t> </w:t>
      </w:r>
      <w:r>
        <w:rPr>
          <w:color w:val="231F20"/>
          <w:w w:val="110"/>
        </w:rPr>
        <w:t>Estas</w:t>
      </w:r>
      <w:r>
        <w:rPr>
          <w:color w:val="231F20"/>
          <w:spacing w:val="-15"/>
          <w:w w:val="110"/>
        </w:rPr>
        <w:t> </w:t>
      </w:r>
      <w:r>
        <w:rPr>
          <w:color w:val="231F20"/>
          <w:w w:val="110"/>
        </w:rPr>
        <w:t>diferencias</w:t>
      </w:r>
      <w:r>
        <w:rPr>
          <w:color w:val="231F20"/>
          <w:spacing w:val="-15"/>
          <w:w w:val="110"/>
        </w:rPr>
        <w:t> </w:t>
      </w:r>
      <w:r>
        <w:rPr>
          <w:color w:val="231F20"/>
          <w:w w:val="110"/>
        </w:rPr>
        <w:t>se</w:t>
      </w:r>
      <w:r>
        <w:rPr>
          <w:color w:val="231F20"/>
          <w:spacing w:val="-15"/>
          <w:w w:val="110"/>
        </w:rPr>
        <w:t> </w:t>
      </w:r>
      <w:r>
        <w:rPr>
          <w:color w:val="231F20"/>
          <w:w w:val="110"/>
        </w:rPr>
        <w:t>reflejan</w:t>
      </w:r>
      <w:r>
        <w:rPr>
          <w:color w:val="231F20"/>
          <w:spacing w:val="-15"/>
          <w:w w:val="110"/>
        </w:rPr>
        <w:t> </w:t>
      </w:r>
      <w:r>
        <w:rPr>
          <w:color w:val="231F20"/>
          <w:w w:val="110"/>
        </w:rPr>
        <w:t>tanto en las formas en que las mujeres desarrollan dicha práctica, como en las barreras que deben </w:t>
      </w:r>
      <w:r>
        <w:rPr>
          <w:color w:val="231F20"/>
          <w:spacing w:val="-3"/>
          <w:w w:val="110"/>
        </w:rPr>
        <w:t>superar, </w:t>
      </w:r>
      <w:r>
        <w:rPr>
          <w:color w:val="231F20"/>
          <w:w w:val="110"/>
        </w:rPr>
        <w:t>en las intenciones personales y en los bene- ficios que obtienen. Cuando ellas migran, igual que en el caso de los hom- bres, mediante sus aprendizajes, sus vivencias, el llevar y traer ideas, acti- tudes y formas de </w:t>
      </w:r>
      <w:r>
        <w:rPr>
          <w:color w:val="231F20"/>
          <w:spacing w:val="-3"/>
          <w:w w:val="110"/>
        </w:rPr>
        <w:t>hacer, </w:t>
      </w:r>
      <w:r>
        <w:rPr>
          <w:color w:val="231F20"/>
          <w:w w:val="110"/>
        </w:rPr>
        <w:t>van introduciendo cambios que se friccionan y forcejean con aspectos tradicionales tanto de la persona, como del hogar   y la comunidad. Este proceso no sólo resulta en modificaciones de</w:t>
      </w:r>
      <w:r>
        <w:rPr>
          <w:color w:val="231F20"/>
          <w:spacing w:val="40"/>
          <w:w w:val="110"/>
        </w:rPr>
        <w:t> </w:t>
      </w:r>
      <w:r>
        <w:rPr>
          <w:color w:val="231F20"/>
          <w:w w:val="110"/>
        </w:rPr>
        <w:t>diversa</w:t>
      </w:r>
    </w:p>
    <w:p>
      <w:pPr>
        <w:pStyle w:val="BodyText"/>
        <w:spacing w:before="10"/>
        <w:rPr>
          <w:sz w:val="19"/>
        </w:rPr>
      </w:pPr>
    </w:p>
    <w:p>
      <w:pPr>
        <w:spacing w:before="75"/>
        <w:ind w:left="1388" w:right="1407" w:firstLine="0"/>
        <w:jc w:val="center"/>
        <w:rPr>
          <w:rFonts w:ascii="Calibri"/>
          <w:i/>
          <w:sz w:val="16"/>
        </w:rPr>
      </w:pPr>
      <w:r>
        <w:rPr>
          <w:rFonts w:ascii="Calibri"/>
          <w:i/>
          <w:color w:val="231F20"/>
          <w:w w:val="95"/>
          <w:sz w:val="16"/>
        </w:rPr>
        <w:t>123</w:t>
      </w:r>
    </w:p>
    <w:p>
      <w:pPr>
        <w:spacing w:after="0"/>
        <w:jc w:val="center"/>
        <w:rPr>
          <w:rFonts w:ascii="Calibri"/>
          <w:sz w:val="16"/>
        </w:rPr>
        <w:sectPr>
          <w:footerReference w:type="even" r:id="rId117"/>
          <w:pgSz w:w="9520" w:h="12920"/>
          <w:pgMar w:footer="0" w:header="0" w:top="1220" w:bottom="280" w:left="1020" w:right="1320"/>
        </w:sectPr>
      </w:pPr>
    </w:p>
    <w:p>
      <w:pPr>
        <w:pStyle w:val="BodyText"/>
        <w:spacing w:line="288" w:lineRule="auto" w:before="42"/>
        <w:ind w:left="124" w:right="112"/>
        <w:jc w:val="both"/>
      </w:pPr>
      <w:r>
        <w:rPr>
          <w:color w:val="231F20"/>
          <w:spacing w:val="-4"/>
          <w:w w:val="110"/>
        </w:rPr>
        <w:t>índole </w:t>
      </w:r>
      <w:r>
        <w:rPr>
          <w:color w:val="231F20"/>
          <w:w w:val="110"/>
        </w:rPr>
        <w:t>en </w:t>
      </w:r>
      <w:r>
        <w:rPr>
          <w:color w:val="231F20"/>
          <w:spacing w:val="-3"/>
          <w:w w:val="110"/>
        </w:rPr>
        <w:t>los </w:t>
      </w:r>
      <w:r>
        <w:rPr>
          <w:color w:val="231F20"/>
          <w:spacing w:val="-4"/>
          <w:w w:val="110"/>
        </w:rPr>
        <w:t>migrantes, </w:t>
      </w:r>
      <w:r>
        <w:rPr>
          <w:color w:val="231F20"/>
          <w:spacing w:val="-3"/>
          <w:w w:val="110"/>
        </w:rPr>
        <w:t>sus </w:t>
      </w:r>
      <w:r>
        <w:rPr>
          <w:color w:val="231F20"/>
          <w:spacing w:val="-4"/>
          <w:w w:val="110"/>
        </w:rPr>
        <w:t>hogares </w:t>
      </w:r>
      <w:r>
        <w:rPr>
          <w:color w:val="231F20"/>
          <w:w w:val="110"/>
        </w:rPr>
        <w:t>y </w:t>
      </w:r>
      <w:r>
        <w:rPr>
          <w:color w:val="231F20"/>
          <w:spacing w:val="-3"/>
          <w:w w:val="110"/>
        </w:rPr>
        <w:t>sus </w:t>
      </w:r>
      <w:r>
        <w:rPr>
          <w:color w:val="231F20"/>
          <w:spacing w:val="-4"/>
          <w:w w:val="110"/>
        </w:rPr>
        <w:t>comunidades; algunas cuestiones, </w:t>
      </w:r>
      <w:r>
        <w:rPr>
          <w:color w:val="231F20"/>
          <w:w w:val="110"/>
        </w:rPr>
        <w:t>tanto cotidianas como estructurales, permanecen inalteradas. En suma, la migración genera una gama de efectos, cambios y permanencias a nivel personal, del hogar y de la comunidad, efectos que incluyen aspectos eco- nómicos, sociales, culturales, religiosos; en este sentido, la noción de con- figuraciones familiares resulta útil para analizarlos (De Grammont, Lara y Sánchez, 2004: 381). Éstas remiten a la multiplicidad de arreglos entre los migrantes para desplazarse, las modalidades que adquieren los hogares con </w:t>
      </w:r>
      <w:r>
        <w:rPr>
          <w:color w:val="231F20"/>
          <w:spacing w:val="2"/>
          <w:w w:val="110"/>
        </w:rPr>
        <w:t>este desplazamiento, </w:t>
      </w:r>
      <w:r>
        <w:rPr>
          <w:color w:val="231F20"/>
          <w:w w:val="110"/>
        </w:rPr>
        <w:t>los </w:t>
      </w:r>
      <w:r>
        <w:rPr>
          <w:color w:val="231F20"/>
          <w:spacing w:val="2"/>
          <w:w w:val="110"/>
        </w:rPr>
        <w:t>lazos </w:t>
      </w:r>
      <w:r>
        <w:rPr>
          <w:color w:val="231F20"/>
          <w:w w:val="110"/>
        </w:rPr>
        <w:t>que </w:t>
      </w:r>
      <w:r>
        <w:rPr>
          <w:color w:val="231F20"/>
          <w:spacing w:val="2"/>
          <w:w w:val="110"/>
        </w:rPr>
        <w:t>unen </w:t>
      </w:r>
      <w:r>
        <w:rPr>
          <w:color w:val="231F20"/>
          <w:w w:val="110"/>
        </w:rPr>
        <w:t>al </w:t>
      </w:r>
      <w:r>
        <w:rPr>
          <w:color w:val="231F20"/>
          <w:spacing w:val="2"/>
          <w:w w:val="110"/>
        </w:rPr>
        <w:t>sujeto </w:t>
      </w:r>
      <w:r>
        <w:rPr>
          <w:color w:val="231F20"/>
          <w:w w:val="110"/>
        </w:rPr>
        <w:t>con su </w:t>
      </w:r>
      <w:r>
        <w:rPr>
          <w:color w:val="231F20"/>
          <w:spacing w:val="2"/>
          <w:w w:val="110"/>
        </w:rPr>
        <w:t>conjunto </w:t>
      </w:r>
      <w:r>
        <w:rPr>
          <w:color w:val="231F20"/>
          <w:w w:val="110"/>
        </w:rPr>
        <w:t>social, así como las alianzas y redes sociales de que dispone, entre   otras.</w:t>
      </w:r>
    </w:p>
    <w:p>
      <w:pPr>
        <w:pStyle w:val="BodyText"/>
        <w:spacing w:line="288" w:lineRule="auto"/>
        <w:ind w:left="124" w:right="113" w:firstLine="360"/>
        <w:jc w:val="both"/>
      </w:pPr>
      <w:r>
        <w:rPr>
          <w:color w:val="231F20"/>
          <w:w w:val="110"/>
        </w:rPr>
        <w:t>Desde esta perspectiva, este trabajo analiza cómo afecta a las configu- raciones</w:t>
      </w:r>
      <w:r>
        <w:rPr>
          <w:color w:val="231F20"/>
          <w:spacing w:val="-4"/>
          <w:w w:val="110"/>
        </w:rPr>
        <w:t> </w:t>
      </w:r>
      <w:r>
        <w:rPr>
          <w:color w:val="231F20"/>
          <w:w w:val="110"/>
        </w:rPr>
        <w:t>familiares</w:t>
      </w:r>
      <w:r>
        <w:rPr>
          <w:color w:val="231F20"/>
          <w:spacing w:val="-4"/>
          <w:w w:val="110"/>
        </w:rPr>
        <w:t> </w:t>
      </w:r>
      <w:r>
        <w:rPr>
          <w:color w:val="231F20"/>
          <w:w w:val="110"/>
        </w:rPr>
        <w:t>el</w:t>
      </w:r>
      <w:r>
        <w:rPr>
          <w:color w:val="231F20"/>
          <w:spacing w:val="-4"/>
          <w:w w:val="110"/>
        </w:rPr>
        <w:t> </w:t>
      </w:r>
      <w:r>
        <w:rPr>
          <w:color w:val="231F20"/>
          <w:w w:val="110"/>
        </w:rPr>
        <w:t>hecho</w:t>
      </w:r>
      <w:r>
        <w:rPr>
          <w:color w:val="231F20"/>
          <w:spacing w:val="-4"/>
          <w:w w:val="110"/>
        </w:rPr>
        <w:t> </w:t>
      </w:r>
      <w:r>
        <w:rPr>
          <w:color w:val="231F20"/>
          <w:w w:val="110"/>
        </w:rPr>
        <w:t>de</w:t>
      </w:r>
      <w:r>
        <w:rPr>
          <w:color w:val="231F20"/>
          <w:spacing w:val="-4"/>
          <w:w w:val="110"/>
        </w:rPr>
        <w:t> </w:t>
      </w:r>
      <w:r>
        <w:rPr>
          <w:color w:val="231F20"/>
          <w:w w:val="110"/>
        </w:rPr>
        <w:t>que</w:t>
      </w:r>
      <w:r>
        <w:rPr>
          <w:color w:val="231F20"/>
          <w:spacing w:val="-4"/>
          <w:w w:val="110"/>
        </w:rPr>
        <w:t> </w:t>
      </w:r>
      <w:r>
        <w:rPr>
          <w:color w:val="231F20"/>
          <w:w w:val="110"/>
        </w:rPr>
        <w:t>las</w:t>
      </w:r>
      <w:r>
        <w:rPr>
          <w:color w:val="231F20"/>
          <w:spacing w:val="-4"/>
          <w:w w:val="110"/>
        </w:rPr>
        <w:t> </w:t>
      </w:r>
      <w:r>
        <w:rPr>
          <w:color w:val="231F20"/>
          <w:w w:val="110"/>
        </w:rPr>
        <w:t>decisiones</w:t>
      </w:r>
      <w:r>
        <w:rPr>
          <w:color w:val="231F20"/>
          <w:spacing w:val="-4"/>
          <w:w w:val="110"/>
        </w:rPr>
        <w:t> </w:t>
      </w:r>
      <w:r>
        <w:rPr>
          <w:color w:val="231F20"/>
          <w:w w:val="110"/>
        </w:rPr>
        <w:t>de</w:t>
      </w:r>
      <w:r>
        <w:rPr>
          <w:color w:val="231F20"/>
          <w:spacing w:val="-4"/>
          <w:w w:val="110"/>
        </w:rPr>
        <w:t> </w:t>
      </w:r>
      <w:r>
        <w:rPr>
          <w:color w:val="231F20"/>
          <w:w w:val="110"/>
        </w:rPr>
        <w:t>migración</w:t>
      </w:r>
      <w:r>
        <w:rPr>
          <w:color w:val="231F20"/>
          <w:spacing w:val="-4"/>
          <w:w w:val="110"/>
        </w:rPr>
        <w:t> </w:t>
      </w:r>
      <w:r>
        <w:rPr>
          <w:color w:val="231F20"/>
          <w:w w:val="110"/>
        </w:rPr>
        <w:t>internacio- nal se tomen sobre la base de criterios de género y de generación tanto en </w:t>
      </w:r>
      <w:r>
        <w:rPr>
          <w:color w:val="231F20"/>
          <w:spacing w:val="-4"/>
          <w:w w:val="110"/>
        </w:rPr>
        <w:t>hogares </w:t>
      </w:r>
      <w:r>
        <w:rPr>
          <w:color w:val="231F20"/>
          <w:spacing w:val="-3"/>
          <w:w w:val="110"/>
        </w:rPr>
        <w:t>como </w:t>
      </w:r>
      <w:r>
        <w:rPr>
          <w:color w:val="231F20"/>
          <w:w w:val="110"/>
        </w:rPr>
        <w:t>en </w:t>
      </w:r>
      <w:r>
        <w:rPr>
          <w:color w:val="231F20"/>
          <w:spacing w:val="-4"/>
          <w:w w:val="110"/>
        </w:rPr>
        <w:t>redes </w:t>
      </w:r>
      <w:r>
        <w:rPr>
          <w:color w:val="231F20"/>
          <w:w w:val="110"/>
        </w:rPr>
        <w:t>de </w:t>
      </w:r>
      <w:r>
        <w:rPr>
          <w:color w:val="231F20"/>
          <w:spacing w:val="-4"/>
          <w:w w:val="110"/>
        </w:rPr>
        <w:t>parentesco. </w:t>
      </w:r>
      <w:r>
        <w:rPr>
          <w:color w:val="231F20"/>
          <w:w w:val="110"/>
        </w:rPr>
        <w:t>Es </w:t>
      </w:r>
      <w:r>
        <w:rPr>
          <w:color w:val="231F20"/>
          <w:spacing w:val="-7"/>
          <w:w w:val="110"/>
        </w:rPr>
        <w:t>decir, </w:t>
      </w:r>
      <w:r>
        <w:rPr>
          <w:color w:val="231F20"/>
          <w:spacing w:val="-4"/>
          <w:w w:val="110"/>
        </w:rPr>
        <w:t>aunque </w:t>
      </w:r>
      <w:r>
        <w:rPr>
          <w:color w:val="231F20"/>
          <w:w w:val="110"/>
        </w:rPr>
        <w:t>la </w:t>
      </w:r>
      <w:r>
        <w:rPr>
          <w:color w:val="231F20"/>
          <w:spacing w:val="-4"/>
          <w:w w:val="110"/>
        </w:rPr>
        <w:t>emigración </w:t>
      </w:r>
      <w:r>
        <w:rPr>
          <w:color w:val="231F20"/>
          <w:w w:val="110"/>
        </w:rPr>
        <w:t>es </w:t>
      </w:r>
      <w:r>
        <w:rPr>
          <w:color w:val="231F20"/>
          <w:spacing w:val="-3"/>
          <w:w w:val="110"/>
        </w:rPr>
        <w:t>una </w:t>
      </w:r>
      <w:r>
        <w:rPr>
          <w:color w:val="231F20"/>
          <w:w w:val="110"/>
        </w:rPr>
        <w:t>acción que busca una mejoría en la forma de vida, es posible que a nivel  de localidades, la migración de diversas mujeres produzca diferentes con- figuraciones</w:t>
      </w:r>
      <w:r>
        <w:rPr>
          <w:color w:val="231F20"/>
          <w:spacing w:val="-8"/>
          <w:w w:val="110"/>
        </w:rPr>
        <w:t> </w:t>
      </w:r>
      <w:r>
        <w:rPr>
          <w:color w:val="231F20"/>
          <w:w w:val="110"/>
        </w:rPr>
        <w:t>familiares,</w:t>
      </w:r>
      <w:r>
        <w:rPr>
          <w:color w:val="231F20"/>
          <w:spacing w:val="-8"/>
          <w:w w:val="110"/>
        </w:rPr>
        <w:t> </w:t>
      </w:r>
      <w:r>
        <w:rPr>
          <w:color w:val="231F20"/>
          <w:w w:val="110"/>
        </w:rPr>
        <w:t>de</w:t>
      </w:r>
      <w:r>
        <w:rPr>
          <w:color w:val="231F20"/>
          <w:spacing w:val="-8"/>
          <w:w w:val="110"/>
        </w:rPr>
        <w:t> </w:t>
      </w:r>
      <w:r>
        <w:rPr>
          <w:color w:val="231F20"/>
          <w:w w:val="110"/>
        </w:rPr>
        <w:t>manera</w:t>
      </w:r>
      <w:r>
        <w:rPr>
          <w:color w:val="231F20"/>
          <w:spacing w:val="-8"/>
          <w:w w:val="110"/>
        </w:rPr>
        <w:t> </w:t>
      </w:r>
      <w:r>
        <w:rPr>
          <w:color w:val="231F20"/>
          <w:w w:val="110"/>
        </w:rPr>
        <w:t>tal</w:t>
      </w:r>
      <w:r>
        <w:rPr>
          <w:color w:val="231F20"/>
          <w:spacing w:val="-8"/>
          <w:w w:val="110"/>
        </w:rPr>
        <w:t> </w:t>
      </w:r>
      <w:r>
        <w:rPr>
          <w:color w:val="231F20"/>
          <w:w w:val="110"/>
        </w:rPr>
        <w:t>que</w:t>
      </w:r>
      <w:r>
        <w:rPr>
          <w:color w:val="231F20"/>
          <w:spacing w:val="-8"/>
          <w:w w:val="110"/>
        </w:rPr>
        <w:t> </w:t>
      </w:r>
      <w:r>
        <w:rPr>
          <w:color w:val="231F20"/>
          <w:w w:val="110"/>
        </w:rPr>
        <w:t>mientras</w:t>
      </w:r>
      <w:r>
        <w:rPr>
          <w:color w:val="231F20"/>
          <w:spacing w:val="-8"/>
          <w:w w:val="110"/>
        </w:rPr>
        <w:t> </w:t>
      </w:r>
      <w:r>
        <w:rPr>
          <w:color w:val="231F20"/>
          <w:w w:val="110"/>
        </w:rPr>
        <w:t>en</w:t>
      </w:r>
      <w:r>
        <w:rPr>
          <w:color w:val="231F20"/>
          <w:spacing w:val="-8"/>
          <w:w w:val="110"/>
        </w:rPr>
        <w:t> </w:t>
      </w:r>
      <w:r>
        <w:rPr>
          <w:color w:val="231F20"/>
          <w:w w:val="110"/>
        </w:rPr>
        <w:t>algunas</w:t>
      </w:r>
      <w:r>
        <w:rPr>
          <w:color w:val="231F20"/>
          <w:spacing w:val="-8"/>
          <w:w w:val="110"/>
        </w:rPr>
        <w:t> </w:t>
      </w:r>
      <w:r>
        <w:rPr>
          <w:color w:val="231F20"/>
          <w:w w:val="110"/>
        </w:rPr>
        <w:t>se</w:t>
      </w:r>
      <w:r>
        <w:rPr>
          <w:color w:val="231F20"/>
          <w:spacing w:val="-8"/>
          <w:w w:val="110"/>
        </w:rPr>
        <w:t> </w:t>
      </w:r>
      <w:r>
        <w:rPr>
          <w:color w:val="231F20"/>
          <w:w w:val="110"/>
        </w:rPr>
        <w:t>observan cambios cotidianos y estructurales en la persona, hogar y comunidad, en otras más bien se tiende a reforzar la permanencia de rasgos tradicionales de</w:t>
      </w:r>
      <w:r>
        <w:rPr>
          <w:color w:val="231F20"/>
          <w:spacing w:val="-8"/>
          <w:w w:val="110"/>
        </w:rPr>
        <w:t> </w:t>
      </w:r>
      <w:r>
        <w:rPr>
          <w:color w:val="231F20"/>
          <w:spacing w:val="-3"/>
          <w:w w:val="110"/>
        </w:rPr>
        <w:t>organización.</w:t>
      </w:r>
      <w:r>
        <w:rPr>
          <w:color w:val="231F20"/>
          <w:spacing w:val="-8"/>
          <w:w w:val="110"/>
        </w:rPr>
        <w:t> </w:t>
      </w:r>
      <w:r>
        <w:rPr>
          <w:color w:val="231F20"/>
          <w:spacing w:val="-4"/>
          <w:w w:val="110"/>
        </w:rPr>
        <w:t>Para</w:t>
      </w:r>
      <w:r>
        <w:rPr>
          <w:color w:val="231F20"/>
          <w:spacing w:val="-8"/>
          <w:w w:val="110"/>
        </w:rPr>
        <w:t> </w:t>
      </w:r>
      <w:r>
        <w:rPr>
          <w:color w:val="231F20"/>
          <w:w w:val="110"/>
        </w:rPr>
        <w:t>realizar</w:t>
      </w:r>
      <w:r>
        <w:rPr>
          <w:color w:val="231F20"/>
          <w:spacing w:val="-8"/>
          <w:w w:val="110"/>
        </w:rPr>
        <w:t> </w:t>
      </w:r>
      <w:r>
        <w:rPr>
          <w:color w:val="231F20"/>
          <w:w w:val="110"/>
        </w:rPr>
        <w:t>este</w:t>
      </w:r>
      <w:r>
        <w:rPr>
          <w:color w:val="231F20"/>
          <w:spacing w:val="-8"/>
          <w:w w:val="110"/>
        </w:rPr>
        <w:t> </w:t>
      </w:r>
      <w:r>
        <w:rPr>
          <w:color w:val="231F20"/>
          <w:w w:val="110"/>
        </w:rPr>
        <w:t>análisis</w:t>
      </w:r>
      <w:r>
        <w:rPr>
          <w:color w:val="231F20"/>
          <w:spacing w:val="-8"/>
          <w:w w:val="110"/>
        </w:rPr>
        <w:t> </w:t>
      </w:r>
      <w:r>
        <w:rPr>
          <w:color w:val="231F20"/>
          <w:w w:val="110"/>
        </w:rPr>
        <w:t>se</w:t>
      </w:r>
      <w:r>
        <w:rPr>
          <w:color w:val="231F20"/>
          <w:spacing w:val="-8"/>
          <w:w w:val="110"/>
        </w:rPr>
        <w:t> </w:t>
      </w:r>
      <w:r>
        <w:rPr>
          <w:color w:val="231F20"/>
          <w:w w:val="110"/>
        </w:rPr>
        <w:t>toma</w:t>
      </w:r>
      <w:r>
        <w:rPr>
          <w:color w:val="231F20"/>
          <w:spacing w:val="-8"/>
          <w:w w:val="110"/>
        </w:rPr>
        <w:t> </w:t>
      </w:r>
      <w:r>
        <w:rPr>
          <w:color w:val="231F20"/>
          <w:w w:val="110"/>
        </w:rPr>
        <w:t>como</w:t>
      </w:r>
      <w:r>
        <w:rPr>
          <w:color w:val="231F20"/>
          <w:spacing w:val="-8"/>
          <w:w w:val="110"/>
        </w:rPr>
        <w:t> </w:t>
      </w:r>
      <w:r>
        <w:rPr>
          <w:color w:val="231F20"/>
          <w:w w:val="110"/>
        </w:rPr>
        <w:t>espacio</w:t>
      </w:r>
      <w:r>
        <w:rPr>
          <w:color w:val="231F20"/>
          <w:spacing w:val="-8"/>
          <w:w w:val="110"/>
        </w:rPr>
        <w:t> </w:t>
      </w:r>
      <w:r>
        <w:rPr>
          <w:color w:val="231F20"/>
          <w:w w:val="110"/>
        </w:rPr>
        <w:t>de</w:t>
      </w:r>
      <w:r>
        <w:rPr>
          <w:color w:val="231F20"/>
          <w:spacing w:val="-8"/>
          <w:w w:val="110"/>
        </w:rPr>
        <w:t> </w:t>
      </w:r>
      <w:r>
        <w:rPr>
          <w:color w:val="231F20"/>
          <w:w w:val="110"/>
        </w:rPr>
        <w:t>estudio una región del sur </w:t>
      </w:r>
      <w:r>
        <w:rPr>
          <w:color w:val="231F20"/>
          <w:spacing w:val="-3"/>
          <w:w w:val="110"/>
        </w:rPr>
        <w:t>mexiquense, </w:t>
      </w:r>
      <w:r>
        <w:rPr>
          <w:color w:val="231F20"/>
          <w:w w:val="110"/>
        </w:rPr>
        <w:t>que incluye localidades de reciente y añeja tradición</w:t>
      </w:r>
      <w:r>
        <w:rPr>
          <w:color w:val="231F20"/>
          <w:spacing w:val="-11"/>
          <w:w w:val="110"/>
        </w:rPr>
        <w:t> </w:t>
      </w:r>
      <w:r>
        <w:rPr>
          <w:color w:val="231F20"/>
          <w:w w:val="110"/>
        </w:rPr>
        <w:t>migratoria,</w:t>
      </w:r>
      <w:r>
        <w:rPr>
          <w:color w:val="231F20"/>
          <w:spacing w:val="-11"/>
          <w:w w:val="110"/>
        </w:rPr>
        <w:t> </w:t>
      </w:r>
      <w:r>
        <w:rPr>
          <w:color w:val="231F20"/>
          <w:w w:val="110"/>
        </w:rPr>
        <w:t>aquí</w:t>
      </w:r>
      <w:r>
        <w:rPr>
          <w:color w:val="231F20"/>
          <w:spacing w:val="-11"/>
          <w:w w:val="110"/>
        </w:rPr>
        <w:t> </w:t>
      </w:r>
      <w:r>
        <w:rPr>
          <w:color w:val="231F20"/>
          <w:w w:val="110"/>
        </w:rPr>
        <w:t>se</w:t>
      </w:r>
      <w:r>
        <w:rPr>
          <w:color w:val="231F20"/>
          <w:spacing w:val="-11"/>
          <w:w w:val="110"/>
        </w:rPr>
        <w:t> </w:t>
      </w:r>
      <w:r>
        <w:rPr>
          <w:color w:val="231F20"/>
          <w:w w:val="110"/>
        </w:rPr>
        <w:t>realizaron</w:t>
      </w:r>
      <w:r>
        <w:rPr>
          <w:color w:val="231F20"/>
          <w:spacing w:val="-11"/>
          <w:w w:val="110"/>
        </w:rPr>
        <w:t> </w:t>
      </w:r>
      <w:r>
        <w:rPr>
          <w:color w:val="231F20"/>
          <w:w w:val="110"/>
        </w:rPr>
        <w:t>84</w:t>
      </w:r>
      <w:r>
        <w:rPr>
          <w:color w:val="231F20"/>
          <w:spacing w:val="-11"/>
          <w:w w:val="110"/>
        </w:rPr>
        <w:t> </w:t>
      </w:r>
      <w:r>
        <w:rPr>
          <w:color w:val="231F20"/>
          <w:w w:val="110"/>
        </w:rPr>
        <w:t>entrevistas</w:t>
      </w:r>
      <w:r>
        <w:rPr>
          <w:color w:val="231F20"/>
          <w:spacing w:val="-11"/>
          <w:w w:val="110"/>
        </w:rPr>
        <w:t> </w:t>
      </w:r>
      <w:r>
        <w:rPr>
          <w:color w:val="231F20"/>
          <w:w w:val="110"/>
        </w:rPr>
        <w:t>en</w:t>
      </w:r>
      <w:r>
        <w:rPr>
          <w:color w:val="231F20"/>
          <w:spacing w:val="-11"/>
          <w:w w:val="110"/>
        </w:rPr>
        <w:t> </w:t>
      </w:r>
      <w:r>
        <w:rPr>
          <w:color w:val="231F20"/>
          <w:w w:val="110"/>
        </w:rPr>
        <w:t>hogares,</w:t>
      </w:r>
      <w:r>
        <w:rPr>
          <w:color w:val="231F20"/>
          <w:spacing w:val="-11"/>
          <w:w w:val="110"/>
        </w:rPr>
        <w:t> </w:t>
      </w:r>
      <w:r>
        <w:rPr>
          <w:color w:val="231F20"/>
          <w:w w:val="110"/>
        </w:rPr>
        <w:t>dirigidas al jefe o jefa, según quien ostentara esta función; además fueron entrevis- </w:t>
      </w:r>
      <w:r>
        <w:rPr>
          <w:color w:val="231F20"/>
          <w:spacing w:val="3"/>
          <w:w w:val="110"/>
        </w:rPr>
        <w:t>tadas </w:t>
      </w:r>
      <w:r>
        <w:rPr>
          <w:color w:val="231F20"/>
          <w:w w:val="110"/>
        </w:rPr>
        <w:t>a </w:t>
      </w:r>
      <w:r>
        <w:rPr>
          <w:color w:val="231F20"/>
          <w:spacing w:val="3"/>
          <w:w w:val="110"/>
        </w:rPr>
        <w:t>profundidad </w:t>
      </w:r>
      <w:r>
        <w:rPr>
          <w:color w:val="231F20"/>
          <w:w w:val="110"/>
        </w:rPr>
        <w:t>53 </w:t>
      </w:r>
      <w:r>
        <w:rPr>
          <w:color w:val="231F20"/>
          <w:spacing w:val="3"/>
          <w:w w:val="110"/>
        </w:rPr>
        <w:t>mujeres </w:t>
      </w:r>
      <w:r>
        <w:rPr>
          <w:color w:val="231F20"/>
          <w:spacing w:val="2"/>
          <w:w w:val="110"/>
        </w:rPr>
        <w:t>con </w:t>
      </w:r>
      <w:r>
        <w:rPr>
          <w:color w:val="231F20"/>
          <w:spacing w:val="3"/>
          <w:w w:val="110"/>
        </w:rPr>
        <w:t>experiencia migratoria laboral </w:t>
      </w:r>
      <w:r>
        <w:rPr>
          <w:color w:val="231F20"/>
          <w:w w:val="110"/>
        </w:rPr>
        <w:t>en Estados Unidos. El trabajo de campo se realizó de noviembre de 2009 a julio de</w:t>
      </w:r>
      <w:r>
        <w:rPr>
          <w:color w:val="231F20"/>
          <w:spacing w:val="-20"/>
          <w:w w:val="110"/>
        </w:rPr>
        <w:t> </w:t>
      </w:r>
      <w:r>
        <w:rPr>
          <w:color w:val="231F20"/>
          <w:w w:val="110"/>
        </w:rPr>
        <w:t>2010.</w:t>
      </w:r>
    </w:p>
    <w:p>
      <w:pPr>
        <w:pStyle w:val="BodyText"/>
      </w:pPr>
    </w:p>
    <w:p>
      <w:pPr>
        <w:pStyle w:val="BodyText"/>
        <w:spacing w:before="10"/>
        <w:rPr>
          <w:sz w:val="24"/>
        </w:rPr>
      </w:pPr>
    </w:p>
    <w:p>
      <w:pPr>
        <w:spacing w:before="0"/>
        <w:ind w:left="124" w:right="0" w:firstLine="0"/>
        <w:jc w:val="both"/>
        <w:rPr>
          <w:rFonts w:ascii="Times New Roman" w:hAnsi="Times New Roman"/>
          <w:i/>
          <w:sz w:val="19"/>
        </w:rPr>
      </w:pPr>
      <w:r>
        <w:rPr>
          <w:rFonts w:ascii="Times New Roman" w:hAnsi="Times New Roman"/>
          <w:i/>
          <w:color w:val="231F20"/>
          <w:w w:val="95"/>
          <w:sz w:val="24"/>
        </w:rPr>
        <w:t>F</w:t>
      </w:r>
      <w:r>
        <w:rPr>
          <w:rFonts w:ascii="Times New Roman" w:hAnsi="Times New Roman"/>
          <w:i/>
          <w:color w:val="231F20"/>
          <w:w w:val="95"/>
          <w:sz w:val="19"/>
        </w:rPr>
        <w:t>AMILIAS Y MIGRACIÓN</w:t>
      </w:r>
    </w:p>
    <w:p>
      <w:pPr>
        <w:pStyle w:val="BodyText"/>
        <w:spacing w:before="9"/>
        <w:rPr>
          <w:rFonts w:ascii="Times New Roman"/>
          <w:i/>
          <w:sz w:val="27"/>
        </w:rPr>
      </w:pPr>
    </w:p>
    <w:p>
      <w:pPr>
        <w:pStyle w:val="BodyText"/>
        <w:spacing w:line="288" w:lineRule="auto"/>
        <w:ind w:left="124" w:right="112"/>
        <w:jc w:val="both"/>
      </w:pPr>
      <w:r>
        <w:rPr>
          <w:color w:val="231F20"/>
          <w:w w:val="110"/>
        </w:rPr>
        <w:t>La familia es una de las instituciones sociales de referencia más importan- tes para las personas, constituye un microcosmos de relaciones de pro- ducción, reproducción y distribución con su propia estructura de poder y componentes ideológicos. En razón de que también es parte de procesos sociales y culturales más amplios, confluyen en ella tareas y objetivos co- lectivos, así como recursos, intereses y formaciones individuales, que no</w:t>
      </w:r>
    </w:p>
    <w:p>
      <w:pPr>
        <w:spacing w:after="0" w:line="288" w:lineRule="auto"/>
        <w:jc w:val="both"/>
        <w:sectPr>
          <w:footerReference w:type="even" r:id="rId118"/>
          <w:footerReference w:type="default" r:id="rId119"/>
          <w:pgSz w:w="9520" w:h="12920"/>
          <w:pgMar w:footer="1344" w:header="0" w:top="880" w:bottom="1540" w:left="1320" w:right="1000"/>
          <w:pgNumType w:start="124"/>
        </w:sectPr>
      </w:pPr>
    </w:p>
    <w:p>
      <w:pPr>
        <w:pStyle w:val="BodyText"/>
        <w:spacing w:line="288" w:lineRule="auto" w:before="42"/>
        <w:ind w:left="120" w:right="116"/>
        <w:jc w:val="both"/>
      </w:pPr>
      <w:r>
        <w:rPr>
          <w:color w:val="231F20"/>
          <w:spacing w:val="1"/>
          <w:w w:val="118"/>
        </w:rPr>
        <w:t>s</w:t>
      </w:r>
      <w:r>
        <w:rPr>
          <w:color w:val="231F20"/>
          <w:spacing w:val="1"/>
          <w:w w:val="98"/>
        </w:rPr>
        <w:t>i</w:t>
      </w:r>
      <w:r>
        <w:rPr>
          <w:color w:val="231F20"/>
          <w:spacing w:val="1"/>
          <w:w w:val="109"/>
        </w:rPr>
        <w:t>e</w:t>
      </w:r>
      <w:r>
        <w:rPr>
          <w:color w:val="231F20"/>
          <w:spacing w:val="1"/>
          <w:w w:val="110"/>
        </w:rPr>
        <w:t>m</w:t>
      </w:r>
      <w:r>
        <w:rPr>
          <w:color w:val="231F20"/>
          <w:spacing w:val="1"/>
          <w:w w:val="106"/>
        </w:rPr>
        <w:t>p</w:t>
      </w:r>
      <w:r>
        <w:rPr>
          <w:color w:val="231F20"/>
          <w:spacing w:val="1"/>
          <w:w w:val="105"/>
        </w:rPr>
        <w:t>r</w:t>
      </w:r>
      <w:r>
        <w:rPr>
          <w:color w:val="231F20"/>
          <w:w w:val="109"/>
        </w:rPr>
        <w:t>e</w:t>
      </w:r>
      <w:r>
        <w:rPr>
          <w:color w:val="231F20"/>
        </w:rPr>
        <w:t> </w:t>
      </w:r>
      <w:r>
        <w:rPr>
          <w:color w:val="231F20"/>
          <w:spacing w:val="-13"/>
        </w:rPr>
        <w:t> </w:t>
      </w:r>
      <w:r>
        <w:rPr>
          <w:color w:val="231F20"/>
          <w:spacing w:val="1"/>
          <w:w w:val="115"/>
        </w:rPr>
        <w:t>c</w:t>
      </w:r>
      <w:r>
        <w:rPr>
          <w:color w:val="231F20"/>
          <w:spacing w:val="1"/>
          <w:w w:val="108"/>
        </w:rPr>
        <w:t>o</w:t>
      </w:r>
      <w:r>
        <w:rPr>
          <w:color w:val="231F20"/>
          <w:spacing w:val="1"/>
          <w:w w:val="111"/>
        </w:rPr>
        <w:t>n</w:t>
      </w:r>
      <w:r>
        <w:rPr>
          <w:color w:val="231F20"/>
          <w:spacing w:val="1"/>
          <w:w w:val="108"/>
        </w:rPr>
        <w:t>v</w:t>
      </w:r>
      <w:r>
        <w:rPr>
          <w:color w:val="231F20"/>
          <w:spacing w:val="1"/>
          <w:w w:val="109"/>
        </w:rPr>
        <w:t>e</w:t>
      </w:r>
      <w:r>
        <w:rPr>
          <w:color w:val="231F20"/>
          <w:spacing w:val="-7"/>
          <w:w w:val="105"/>
        </w:rPr>
        <w:t>r</w:t>
      </w:r>
      <w:r>
        <w:rPr>
          <w:color w:val="231F20"/>
          <w:spacing w:val="1"/>
          <w:w w:val="110"/>
        </w:rPr>
        <w:t>g</w:t>
      </w:r>
      <w:r>
        <w:rPr>
          <w:color w:val="231F20"/>
          <w:spacing w:val="1"/>
          <w:w w:val="109"/>
        </w:rPr>
        <w:t>e</w:t>
      </w:r>
      <w:r>
        <w:rPr>
          <w:color w:val="231F20"/>
          <w:w w:val="111"/>
        </w:rPr>
        <w:t>n</w:t>
      </w:r>
      <w:r>
        <w:rPr>
          <w:color w:val="231F20"/>
        </w:rPr>
        <w:t> </w:t>
      </w:r>
      <w:r>
        <w:rPr>
          <w:color w:val="231F20"/>
          <w:spacing w:val="-13"/>
        </w:rPr>
        <w:t> </w:t>
      </w:r>
      <w:r>
        <w:rPr>
          <w:color w:val="231F20"/>
          <w:spacing w:val="1"/>
          <w:w w:val="81"/>
        </w:rPr>
        <w:t>(</w:t>
      </w:r>
      <w:r>
        <w:rPr>
          <w:color w:val="231F20"/>
          <w:spacing w:val="1"/>
          <w:w w:val="169"/>
        </w:rPr>
        <w:t>J</w:t>
      </w:r>
      <w:r>
        <w:rPr>
          <w:color w:val="231F20"/>
          <w:spacing w:val="1"/>
          <w:w w:val="109"/>
        </w:rPr>
        <w:t>e</w:t>
      </w:r>
      <w:r>
        <w:rPr>
          <w:color w:val="231F20"/>
          <w:spacing w:val="1"/>
          <w:w w:val="101"/>
        </w:rPr>
        <w:t>l</w:t>
      </w:r>
      <w:r>
        <w:rPr>
          <w:color w:val="231F20"/>
          <w:spacing w:val="1"/>
          <w:w w:val="98"/>
        </w:rPr>
        <w:t>i</w:t>
      </w:r>
      <w:r>
        <w:rPr>
          <w:color w:val="231F20"/>
          <w:spacing w:val="1"/>
          <w:w w:val="111"/>
        </w:rPr>
        <w:t>n</w:t>
      </w:r>
      <w:r>
        <w:rPr>
          <w:color w:val="231F20"/>
          <w:w w:val="128"/>
        </w:rPr>
        <w:t>,</w:t>
      </w:r>
      <w:r>
        <w:rPr>
          <w:color w:val="231F20"/>
        </w:rPr>
        <w:t> </w:t>
      </w:r>
      <w:r>
        <w:rPr>
          <w:color w:val="231F20"/>
          <w:spacing w:val="-13"/>
        </w:rPr>
        <w:t> </w:t>
      </w:r>
      <w:r>
        <w:rPr>
          <w:color w:val="231F20"/>
          <w:spacing w:val="1"/>
          <w:w w:val="102"/>
        </w:rPr>
        <w:t>2007</w:t>
      </w:r>
      <w:r>
        <w:rPr>
          <w:color w:val="231F20"/>
          <w:w w:val="131"/>
        </w:rPr>
        <w:t>:</w:t>
      </w:r>
      <w:r>
        <w:rPr>
          <w:color w:val="231F20"/>
        </w:rPr>
        <w:t> </w:t>
      </w:r>
      <w:r>
        <w:rPr>
          <w:color w:val="231F20"/>
          <w:spacing w:val="-13"/>
        </w:rPr>
        <w:t> </w:t>
      </w:r>
      <w:r>
        <w:rPr>
          <w:color w:val="231F20"/>
          <w:spacing w:val="1"/>
          <w:w w:val="102"/>
        </w:rPr>
        <w:t>95</w:t>
      </w:r>
      <w:r>
        <w:rPr>
          <w:color w:val="231F20"/>
          <w:spacing w:val="1"/>
          <w:w w:val="81"/>
        </w:rPr>
        <w:t>)</w:t>
      </w:r>
      <w:r>
        <w:rPr>
          <w:color w:val="231F20"/>
          <w:w w:val="128"/>
        </w:rPr>
        <w:t>.</w:t>
      </w:r>
      <w:r>
        <w:rPr>
          <w:color w:val="231F20"/>
        </w:rPr>
        <w:t> </w:t>
      </w:r>
      <w:r>
        <w:rPr>
          <w:color w:val="231F20"/>
          <w:spacing w:val="-13"/>
        </w:rPr>
        <w:t> </w:t>
      </w:r>
      <w:r>
        <w:rPr>
          <w:color w:val="231F20"/>
          <w:spacing w:val="1"/>
          <w:w w:val="126"/>
        </w:rPr>
        <w:t>C</w:t>
      </w:r>
      <w:r>
        <w:rPr>
          <w:color w:val="231F20"/>
          <w:spacing w:val="1"/>
          <w:w w:val="108"/>
        </w:rPr>
        <w:t>o</w:t>
      </w:r>
      <w:r>
        <w:rPr>
          <w:color w:val="231F20"/>
          <w:spacing w:val="1"/>
          <w:w w:val="108"/>
        </w:rPr>
        <w:t>a</w:t>
      </w:r>
      <w:r>
        <w:rPr>
          <w:color w:val="231F20"/>
          <w:spacing w:val="1"/>
          <w:w w:val="107"/>
        </w:rPr>
        <w:t>d</w:t>
      </w:r>
      <w:r>
        <w:rPr>
          <w:color w:val="231F20"/>
          <w:spacing w:val="1"/>
          <w:w w:val="108"/>
        </w:rPr>
        <w:t>y</w:t>
      </w:r>
      <w:r>
        <w:rPr>
          <w:color w:val="231F20"/>
          <w:spacing w:val="1"/>
          <w:w w:val="113"/>
        </w:rPr>
        <w:t>u</w:t>
      </w:r>
      <w:r>
        <w:rPr>
          <w:color w:val="231F20"/>
          <w:spacing w:val="1"/>
          <w:w w:val="108"/>
        </w:rPr>
        <w:t>v</w:t>
      </w:r>
      <w:r>
        <w:rPr>
          <w:color w:val="231F20"/>
          <w:w w:val="108"/>
        </w:rPr>
        <w:t>a</w:t>
      </w:r>
      <w:r>
        <w:rPr>
          <w:color w:val="231F20"/>
        </w:rPr>
        <w:t> </w:t>
      </w:r>
      <w:r>
        <w:rPr>
          <w:color w:val="231F20"/>
          <w:spacing w:val="-13"/>
        </w:rPr>
        <w:t> </w:t>
      </w:r>
      <w:r>
        <w:rPr>
          <w:color w:val="231F20"/>
          <w:w w:val="108"/>
        </w:rPr>
        <w:t>a</w:t>
      </w:r>
      <w:r>
        <w:rPr>
          <w:color w:val="231F20"/>
        </w:rPr>
        <w:t> </w:t>
      </w:r>
      <w:r>
        <w:rPr>
          <w:color w:val="231F20"/>
          <w:spacing w:val="-13"/>
        </w:rPr>
        <w:t> </w:t>
      </w:r>
      <w:r>
        <w:rPr>
          <w:color w:val="231F20"/>
          <w:spacing w:val="1"/>
          <w:w w:val="94"/>
        </w:rPr>
        <w:t>t</w:t>
      </w:r>
      <w:r>
        <w:rPr>
          <w:color w:val="231F20"/>
          <w:spacing w:val="1"/>
          <w:w w:val="105"/>
        </w:rPr>
        <w:t>r</w:t>
      </w:r>
      <w:r>
        <w:rPr>
          <w:color w:val="231F20"/>
          <w:spacing w:val="1"/>
          <w:w w:val="108"/>
        </w:rPr>
        <w:t>a</w:t>
      </w:r>
      <w:r>
        <w:rPr>
          <w:color w:val="231F20"/>
          <w:spacing w:val="1"/>
          <w:w w:val="111"/>
        </w:rPr>
        <w:t>n</w:t>
      </w:r>
      <w:r>
        <w:rPr>
          <w:color w:val="231F20"/>
          <w:spacing w:val="1"/>
          <w:w w:val="118"/>
        </w:rPr>
        <w:t>s</w:t>
      </w:r>
      <w:r>
        <w:rPr>
          <w:color w:val="231F20"/>
          <w:spacing w:val="1"/>
          <w:w w:val="110"/>
        </w:rPr>
        <w:t>m</w:t>
      </w:r>
      <w:r>
        <w:rPr>
          <w:color w:val="231F20"/>
          <w:spacing w:val="1"/>
          <w:w w:val="98"/>
        </w:rPr>
        <w:t>i</w:t>
      </w:r>
      <w:r>
        <w:rPr>
          <w:color w:val="231F20"/>
          <w:spacing w:val="1"/>
          <w:w w:val="94"/>
        </w:rPr>
        <w:t>t</w:t>
      </w:r>
      <w:r>
        <w:rPr>
          <w:color w:val="231F20"/>
          <w:spacing w:val="1"/>
          <w:w w:val="98"/>
        </w:rPr>
        <w:t>i</w:t>
      </w:r>
      <w:r>
        <w:rPr>
          <w:color w:val="231F20"/>
          <w:w w:val="105"/>
        </w:rPr>
        <w:t>r</w:t>
      </w:r>
      <w:r>
        <w:rPr>
          <w:color w:val="231F20"/>
        </w:rPr>
        <w:t> </w:t>
      </w:r>
      <w:r>
        <w:rPr>
          <w:color w:val="231F20"/>
          <w:spacing w:val="-13"/>
        </w:rPr>
        <w:t> </w:t>
      </w:r>
      <w:r>
        <w:rPr>
          <w:color w:val="231F20"/>
          <w:spacing w:val="1"/>
          <w:w w:val="101"/>
        </w:rPr>
        <w:t>l</w:t>
      </w:r>
      <w:r>
        <w:rPr>
          <w:color w:val="231F20"/>
          <w:spacing w:val="1"/>
          <w:w w:val="108"/>
        </w:rPr>
        <w:t>o</w:t>
      </w:r>
      <w:r>
        <w:rPr>
          <w:color w:val="231F20"/>
          <w:w w:val="118"/>
        </w:rPr>
        <w:t>s</w:t>
      </w:r>
      <w:r>
        <w:rPr>
          <w:color w:val="231F20"/>
        </w:rPr>
        <w:t> </w:t>
      </w:r>
      <w:r>
        <w:rPr>
          <w:color w:val="231F20"/>
          <w:spacing w:val="-13"/>
        </w:rPr>
        <w:t> </w:t>
      </w:r>
      <w:r>
        <w:rPr>
          <w:color w:val="231F20"/>
          <w:spacing w:val="1"/>
          <w:w w:val="115"/>
        </w:rPr>
        <w:t>c</w:t>
      </w:r>
      <w:r>
        <w:rPr>
          <w:color w:val="231F20"/>
          <w:spacing w:val="1"/>
          <w:w w:val="108"/>
        </w:rPr>
        <w:t>a</w:t>
      </w:r>
      <w:r>
        <w:rPr>
          <w:color w:val="231F20"/>
          <w:spacing w:val="1"/>
          <w:w w:val="106"/>
        </w:rPr>
        <w:t>p</w:t>
      </w:r>
      <w:r>
        <w:rPr>
          <w:color w:val="231F20"/>
          <w:spacing w:val="1"/>
          <w:w w:val="98"/>
        </w:rPr>
        <w:t>i</w:t>
      </w:r>
      <w:r>
        <w:rPr>
          <w:color w:val="231F20"/>
          <w:spacing w:val="1"/>
          <w:w w:val="94"/>
        </w:rPr>
        <w:t>t</w:t>
      </w:r>
      <w:r>
        <w:rPr>
          <w:color w:val="231F20"/>
          <w:spacing w:val="1"/>
          <w:w w:val="108"/>
        </w:rPr>
        <w:t>a</w:t>
      </w:r>
      <w:r>
        <w:rPr>
          <w:color w:val="231F20"/>
          <w:spacing w:val="1"/>
          <w:w w:val="101"/>
        </w:rPr>
        <w:t>l</w:t>
      </w:r>
      <w:r>
        <w:rPr>
          <w:color w:val="231F20"/>
          <w:spacing w:val="1"/>
          <w:w w:val="109"/>
        </w:rPr>
        <w:t>e</w:t>
      </w:r>
      <w:r>
        <w:rPr>
          <w:color w:val="231F20"/>
          <w:w w:val="118"/>
        </w:rPr>
        <w:t>s </w:t>
      </w:r>
      <w:r>
        <w:rPr>
          <w:color w:val="231F20"/>
          <w:w w:val="110"/>
        </w:rPr>
        <w:t>social</w:t>
      </w:r>
      <w:r>
        <w:rPr>
          <w:color w:val="231F20"/>
          <w:spacing w:val="-14"/>
          <w:w w:val="110"/>
        </w:rPr>
        <w:t> </w:t>
      </w:r>
      <w:r>
        <w:rPr>
          <w:color w:val="231F20"/>
          <w:w w:val="110"/>
        </w:rPr>
        <w:t>y</w:t>
      </w:r>
      <w:r>
        <w:rPr>
          <w:color w:val="231F20"/>
          <w:spacing w:val="-14"/>
          <w:w w:val="110"/>
        </w:rPr>
        <w:t> </w:t>
      </w:r>
      <w:r>
        <w:rPr>
          <w:color w:val="231F20"/>
          <w:w w:val="110"/>
        </w:rPr>
        <w:t>económico</w:t>
      </w:r>
      <w:r>
        <w:rPr>
          <w:color w:val="231F20"/>
          <w:spacing w:val="-14"/>
          <w:w w:val="110"/>
        </w:rPr>
        <w:t> </w:t>
      </w:r>
      <w:r>
        <w:rPr>
          <w:color w:val="231F20"/>
          <w:w w:val="110"/>
        </w:rPr>
        <w:t>entre</w:t>
      </w:r>
      <w:r>
        <w:rPr>
          <w:color w:val="231F20"/>
          <w:spacing w:val="-14"/>
          <w:w w:val="110"/>
        </w:rPr>
        <w:t> </w:t>
      </w:r>
      <w:r>
        <w:rPr>
          <w:color w:val="231F20"/>
          <w:w w:val="110"/>
        </w:rPr>
        <w:t>generaciones,</w:t>
      </w:r>
      <w:r>
        <w:rPr>
          <w:color w:val="231F20"/>
          <w:spacing w:val="-14"/>
          <w:w w:val="110"/>
        </w:rPr>
        <w:t> </w:t>
      </w:r>
      <w:r>
        <w:rPr>
          <w:color w:val="231F20"/>
          <w:w w:val="110"/>
        </w:rPr>
        <w:t>igual</w:t>
      </w:r>
      <w:r>
        <w:rPr>
          <w:color w:val="231F20"/>
          <w:spacing w:val="-14"/>
          <w:w w:val="110"/>
        </w:rPr>
        <w:t> </w:t>
      </w:r>
      <w:r>
        <w:rPr>
          <w:color w:val="231F20"/>
          <w:w w:val="110"/>
        </w:rPr>
        <w:t>que</w:t>
      </w:r>
      <w:r>
        <w:rPr>
          <w:color w:val="231F20"/>
          <w:spacing w:val="-14"/>
          <w:w w:val="110"/>
        </w:rPr>
        <w:t> </w:t>
      </w:r>
      <w:r>
        <w:rPr>
          <w:color w:val="231F20"/>
          <w:w w:val="110"/>
        </w:rPr>
        <w:t>la</w:t>
      </w:r>
      <w:r>
        <w:rPr>
          <w:color w:val="231F20"/>
          <w:spacing w:val="-14"/>
          <w:w w:val="110"/>
        </w:rPr>
        <w:t> </w:t>
      </w:r>
      <w:r>
        <w:rPr>
          <w:color w:val="231F20"/>
          <w:w w:val="110"/>
        </w:rPr>
        <w:t>identidad,</w:t>
      </w:r>
      <w:r>
        <w:rPr>
          <w:color w:val="231F20"/>
          <w:spacing w:val="-14"/>
          <w:w w:val="110"/>
        </w:rPr>
        <w:t> </w:t>
      </w:r>
      <w:r>
        <w:rPr>
          <w:color w:val="231F20"/>
          <w:w w:val="110"/>
        </w:rPr>
        <w:t>el</w:t>
      </w:r>
      <w:r>
        <w:rPr>
          <w:color w:val="231F20"/>
          <w:spacing w:val="-14"/>
          <w:w w:val="110"/>
        </w:rPr>
        <w:t> </w:t>
      </w:r>
      <w:r>
        <w:rPr>
          <w:color w:val="231F20"/>
          <w:w w:val="110"/>
        </w:rPr>
        <w:t>patrimonio cultural, las pautas de conducta y sociabilidad. Las grandes cosmovisiones religiosas destacan que su peso moral y afectivo es decisivo para la vida y que ésta debería protegerse más (Kliksberg, 2005: 14); no obstante,</w:t>
      </w:r>
      <w:r>
        <w:rPr>
          <w:color w:val="231F20"/>
          <w:spacing w:val="-9"/>
          <w:w w:val="110"/>
        </w:rPr>
        <w:t> </w:t>
      </w:r>
      <w:r>
        <w:rPr>
          <w:color w:val="231F20"/>
          <w:w w:val="110"/>
        </w:rPr>
        <w:t>diver- sas circunstancias actúan en su contra: la globalización, la migración, la polarización social, la marginación, la violencia de género y algunas insti- tuciones formales e informales que promueven el sesgo sociocultural y productivo entre hombres y mujeres </w:t>
      </w:r>
      <w:r>
        <w:rPr>
          <w:color w:val="231F20"/>
          <w:spacing w:val="-3"/>
          <w:w w:val="110"/>
        </w:rPr>
        <w:t>(</w:t>
      </w:r>
      <w:r>
        <w:rPr>
          <w:rFonts w:ascii="Times New Roman" w:hAnsi="Times New Roman"/>
          <w:color w:val="231F20"/>
          <w:spacing w:val="-3"/>
          <w:w w:val="110"/>
          <w:sz w:val="16"/>
        </w:rPr>
        <w:t>FAO</w:t>
      </w:r>
      <w:r>
        <w:rPr>
          <w:color w:val="231F20"/>
          <w:spacing w:val="-3"/>
          <w:w w:val="110"/>
        </w:rPr>
        <w:t>, </w:t>
      </w:r>
      <w:r>
        <w:rPr>
          <w:color w:val="231F20"/>
          <w:w w:val="110"/>
        </w:rPr>
        <w:t>2011; </w:t>
      </w:r>
      <w:r>
        <w:rPr>
          <w:color w:val="231F20"/>
          <w:spacing w:val="-5"/>
          <w:w w:val="110"/>
        </w:rPr>
        <w:t>Women’s </w:t>
      </w:r>
      <w:r>
        <w:rPr>
          <w:color w:val="231F20"/>
          <w:w w:val="110"/>
        </w:rPr>
        <w:t>Refugee Com- mission, 2009). </w:t>
      </w:r>
      <w:r>
        <w:rPr>
          <w:color w:val="231F20"/>
          <w:spacing w:val="-3"/>
          <w:w w:val="110"/>
        </w:rPr>
        <w:t>Aunque </w:t>
      </w:r>
      <w:r>
        <w:rPr>
          <w:color w:val="231F20"/>
          <w:w w:val="110"/>
        </w:rPr>
        <w:t>una línea de reflexión sugiere que el uso de la me- </w:t>
      </w:r>
      <w:r>
        <w:rPr>
          <w:color w:val="231F20"/>
          <w:spacing w:val="3"/>
          <w:w w:val="110"/>
        </w:rPr>
        <w:t>moria histórica (Long, 2007), cierta capacidad </w:t>
      </w:r>
      <w:r>
        <w:rPr>
          <w:color w:val="231F20"/>
          <w:w w:val="110"/>
        </w:rPr>
        <w:t>de </w:t>
      </w:r>
      <w:r>
        <w:rPr>
          <w:color w:val="231F20"/>
          <w:spacing w:val="3"/>
          <w:w w:val="110"/>
        </w:rPr>
        <w:t>resiliencia innata, </w:t>
      </w:r>
      <w:r>
        <w:rPr>
          <w:color w:val="231F20"/>
          <w:w w:val="110"/>
        </w:rPr>
        <w:t>de aprendizaje, de adecuación y hasta de agresividad positiva (Storr, 1991), permiten a las personas afrontar y obtener provecho de las calamidades. En </w:t>
      </w:r>
      <w:r>
        <w:rPr>
          <w:color w:val="231F20"/>
          <w:spacing w:val="-3"/>
          <w:w w:val="110"/>
        </w:rPr>
        <w:t>este </w:t>
      </w:r>
      <w:r>
        <w:rPr>
          <w:color w:val="231F20"/>
          <w:spacing w:val="-4"/>
          <w:w w:val="110"/>
        </w:rPr>
        <w:t>sentido, </w:t>
      </w:r>
      <w:r>
        <w:rPr>
          <w:color w:val="231F20"/>
          <w:w w:val="110"/>
        </w:rPr>
        <w:t>no </w:t>
      </w:r>
      <w:r>
        <w:rPr>
          <w:color w:val="231F20"/>
          <w:spacing w:val="-4"/>
          <w:w w:val="110"/>
        </w:rPr>
        <w:t>puede derivarse </w:t>
      </w:r>
      <w:r>
        <w:rPr>
          <w:color w:val="231F20"/>
          <w:w w:val="110"/>
        </w:rPr>
        <w:t>un </w:t>
      </w:r>
      <w:r>
        <w:rPr>
          <w:color w:val="231F20"/>
          <w:spacing w:val="-4"/>
          <w:w w:val="110"/>
        </w:rPr>
        <w:t>efecto lineal </w:t>
      </w:r>
      <w:r>
        <w:rPr>
          <w:color w:val="231F20"/>
          <w:w w:val="110"/>
        </w:rPr>
        <w:t>de </w:t>
      </w:r>
      <w:r>
        <w:rPr>
          <w:color w:val="231F20"/>
          <w:spacing w:val="-3"/>
          <w:w w:val="110"/>
        </w:rPr>
        <w:t>las </w:t>
      </w:r>
      <w:r>
        <w:rPr>
          <w:color w:val="231F20"/>
          <w:spacing w:val="-4"/>
          <w:w w:val="110"/>
        </w:rPr>
        <w:t>adversidades</w:t>
      </w:r>
      <w:r>
        <w:rPr>
          <w:color w:val="231F20"/>
          <w:spacing w:val="-29"/>
          <w:w w:val="110"/>
        </w:rPr>
        <w:t> </w:t>
      </w:r>
      <w:r>
        <w:rPr>
          <w:color w:val="231F20"/>
          <w:spacing w:val="-4"/>
          <w:w w:val="110"/>
        </w:rPr>
        <w:t>hacia </w:t>
      </w:r>
      <w:r>
        <w:rPr>
          <w:color w:val="231F20"/>
          <w:w w:val="110"/>
        </w:rPr>
        <w:t>las personas porque algunas de éstas, como en este caso, ocurre con la migración, incluso pueden inducir aprendizajes y resultar beneficiosas en el largo</w:t>
      </w:r>
      <w:r>
        <w:rPr>
          <w:color w:val="231F20"/>
          <w:spacing w:val="-1"/>
          <w:w w:val="110"/>
        </w:rPr>
        <w:t> </w:t>
      </w:r>
      <w:r>
        <w:rPr>
          <w:color w:val="231F20"/>
          <w:w w:val="110"/>
        </w:rPr>
        <w:t>plazo.</w:t>
      </w:r>
    </w:p>
    <w:p>
      <w:pPr>
        <w:pStyle w:val="BodyText"/>
        <w:spacing w:line="288" w:lineRule="auto"/>
        <w:ind w:left="119" w:right="117" w:firstLine="360"/>
        <w:jc w:val="both"/>
      </w:pPr>
      <w:r>
        <w:rPr>
          <w:color w:val="231F20"/>
          <w:w w:val="110"/>
        </w:rPr>
        <w:t>¿Cómo incide la migración en la estructura familiar?, su influencia co- </w:t>
      </w:r>
      <w:r>
        <w:rPr>
          <w:color w:val="231F20"/>
          <w:spacing w:val="2"/>
          <w:w w:val="110"/>
        </w:rPr>
        <w:t>mienza cuando </w:t>
      </w:r>
      <w:r>
        <w:rPr>
          <w:color w:val="231F20"/>
          <w:w w:val="110"/>
        </w:rPr>
        <w:t>se </w:t>
      </w:r>
      <w:r>
        <w:rPr>
          <w:color w:val="231F20"/>
          <w:spacing w:val="2"/>
          <w:w w:val="110"/>
        </w:rPr>
        <w:t>toma </w:t>
      </w:r>
      <w:r>
        <w:rPr>
          <w:color w:val="231F20"/>
          <w:w w:val="110"/>
        </w:rPr>
        <w:t>la </w:t>
      </w:r>
      <w:r>
        <w:rPr>
          <w:color w:val="231F20"/>
          <w:spacing w:val="2"/>
          <w:w w:val="110"/>
        </w:rPr>
        <w:t>decisión </w:t>
      </w:r>
      <w:r>
        <w:rPr>
          <w:color w:val="231F20"/>
          <w:w w:val="110"/>
        </w:rPr>
        <w:t>de migrar. </w:t>
      </w:r>
      <w:r>
        <w:rPr>
          <w:color w:val="231F20"/>
          <w:spacing w:val="2"/>
          <w:w w:val="110"/>
        </w:rPr>
        <w:t>Cuando </w:t>
      </w:r>
      <w:r>
        <w:rPr>
          <w:color w:val="231F20"/>
          <w:w w:val="110"/>
        </w:rPr>
        <w:t>en un </w:t>
      </w:r>
      <w:r>
        <w:rPr>
          <w:color w:val="231F20"/>
          <w:spacing w:val="2"/>
          <w:w w:val="110"/>
        </w:rPr>
        <w:t>hogar </w:t>
      </w:r>
      <w:r>
        <w:rPr>
          <w:color w:val="231F20"/>
          <w:w w:val="110"/>
        </w:rPr>
        <w:t>se evalúa</w:t>
      </w:r>
      <w:r>
        <w:rPr>
          <w:color w:val="231F20"/>
          <w:spacing w:val="-10"/>
          <w:w w:val="110"/>
        </w:rPr>
        <w:t> </w:t>
      </w:r>
      <w:r>
        <w:rPr>
          <w:color w:val="231F20"/>
          <w:w w:val="110"/>
        </w:rPr>
        <w:t>que</w:t>
      </w:r>
      <w:r>
        <w:rPr>
          <w:color w:val="231F20"/>
          <w:spacing w:val="-10"/>
          <w:w w:val="110"/>
        </w:rPr>
        <w:t> </w:t>
      </w:r>
      <w:r>
        <w:rPr>
          <w:color w:val="231F20"/>
          <w:w w:val="110"/>
        </w:rPr>
        <w:t>las</w:t>
      </w:r>
      <w:r>
        <w:rPr>
          <w:color w:val="231F20"/>
          <w:spacing w:val="-10"/>
          <w:w w:val="110"/>
        </w:rPr>
        <w:t> </w:t>
      </w:r>
      <w:r>
        <w:rPr>
          <w:color w:val="231F20"/>
          <w:w w:val="110"/>
        </w:rPr>
        <w:t>posibilidades</w:t>
      </w:r>
      <w:r>
        <w:rPr>
          <w:color w:val="231F20"/>
          <w:spacing w:val="-10"/>
          <w:w w:val="110"/>
        </w:rPr>
        <w:t> </w:t>
      </w:r>
      <w:r>
        <w:rPr>
          <w:color w:val="231F20"/>
          <w:w w:val="110"/>
        </w:rPr>
        <w:t>de</w:t>
      </w:r>
      <w:r>
        <w:rPr>
          <w:color w:val="231F20"/>
          <w:spacing w:val="-10"/>
          <w:w w:val="110"/>
        </w:rPr>
        <w:t> </w:t>
      </w:r>
      <w:r>
        <w:rPr>
          <w:color w:val="231F20"/>
          <w:w w:val="110"/>
        </w:rPr>
        <w:t>reproducción</w:t>
      </w:r>
      <w:r>
        <w:rPr>
          <w:color w:val="231F20"/>
          <w:spacing w:val="-10"/>
          <w:w w:val="110"/>
        </w:rPr>
        <w:t> </w:t>
      </w:r>
      <w:r>
        <w:rPr>
          <w:color w:val="231F20"/>
          <w:w w:val="110"/>
        </w:rPr>
        <w:t>material</w:t>
      </w:r>
      <w:r>
        <w:rPr>
          <w:color w:val="231F20"/>
          <w:spacing w:val="-10"/>
          <w:w w:val="110"/>
        </w:rPr>
        <w:t> </w:t>
      </w:r>
      <w:r>
        <w:rPr>
          <w:color w:val="231F20"/>
          <w:w w:val="110"/>
        </w:rPr>
        <w:t>que</w:t>
      </w:r>
      <w:r>
        <w:rPr>
          <w:color w:val="231F20"/>
          <w:spacing w:val="-10"/>
          <w:w w:val="110"/>
        </w:rPr>
        <w:t> </w:t>
      </w:r>
      <w:r>
        <w:rPr>
          <w:color w:val="231F20"/>
          <w:w w:val="110"/>
        </w:rPr>
        <w:t>pueden</w:t>
      </w:r>
      <w:r>
        <w:rPr>
          <w:color w:val="231F20"/>
          <w:spacing w:val="-10"/>
          <w:w w:val="110"/>
        </w:rPr>
        <w:t> </w:t>
      </w:r>
      <w:r>
        <w:rPr>
          <w:color w:val="231F20"/>
          <w:w w:val="110"/>
        </w:rPr>
        <w:t>alcanzar en su contexto local no son adecuadas, se despliegan acciones para obte- ner recursos en otros lados. En este sentido, la migración internacional se ha extendido velozmente en los últimos 30 años en México. No obstante, en razón de que en el medio rural la tarea de proveedor es asignada social y culturalmente a los hombres, tal asignación de roles de género había li- mitado el acceso de las mujeres a la migración internacional. Así, las rela- ciones de poder intrahogar, en correspondencia con el entorno</w:t>
      </w:r>
      <w:r>
        <w:rPr>
          <w:color w:val="231F20"/>
          <w:spacing w:val="-12"/>
          <w:w w:val="110"/>
        </w:rPr>
        <w:t> </w:t>
      </w:r>
      <w:r>
        <w:rPr>
          <w:color w:val="231F20"/>
          <w:w w:val="110"/>
        </w:rPr>
        <w:t>sociocultu- ral,</w:t>
      </w:r>
      <w:r>
        <w:rPr>
          <w:color w:val="231F20"/>
          <w:spacing w:val="-10"/>
          <w:w w:val="110"/>
        </w:rPr>
        <w:t> </w:t>
      </w:r>
      <w:r>
        <w:rPr>
          <w:color w:val="231F20"/>
          <w:w w:val="110"/>
        </w:rPr>
        <w:t>son</w:t>
      </w:r>
      <w:r>
        <w:rPr>
          <w:color w:val="231F20"/>
          <w:spacing w:val="-10"/>
          <w:w w:val="110"/>
        </w:rPr>
        <w:t> </w:t>
      </w:r>
      <w:r>
        <w:rPr>
          <w:color w:val="231F20"/>
          <w:w w:val="110"/>
        </w:rPr>
        <w:t>importantes</w:t>
      </w:r>
      <w:r>
        <w:rPr>
          <w:color w:val="231F20"/>
          <w:spacing w:val="-10"/>
          <w:w w:val="110"/>
        </w:rPr>
        <w:t> </w:t>
      </w:r>
      <w:r>
        <w:rPr>
          <w:color w:val="231F20"/>
          <w:w w:val="110"/>
        </w:rPr>
        <w:t>para</w:t>
      </w:r>
      <w:r>
        <w:rPr>
          <w:color w:val="231F20"/>
          <w:spacing w:val="-10"/>
          <w:w w:val="110"/>
        </w:rPr>
        <w:t> </w:t>
      </w:r>
      <w:r>
        <w:rPr>
          <w:color w:val="231F20"/>
          <w:w w:val="110"/>
        </w:rPr>
        <w:t>determinar</w:t>
      </w:r>
      <w:r>
        <w:rPr>
          <w:color w:val="231F20"/>
          <w:spacing w:val="-10"/>
          <w:w w:val="110"/>
        </w:rPr>
        <w:t> </w:t>
      </w:r>
      <w:r>
        <w:rPr>
          <w:color w:val="231F20"/>
          <w:w w:val="110"/>
        </w:rPr>
        <w:t>los</w:t>
      </w:r>
      <w:r>
        <w:rPr>
          <w:color w:val="231F20"/>
          <w:spacing w:val="-10"/>
          <w:w w:val="110"/>
        </w:rPr>
        <w:t> </w:t>
      </w:r>
      <w:r>
        <w:rPr>
          <w:color w:val="231F20"/>
          <w:w w:val="110"/>
        </w:rPr>
        <w:t>migrantes</w:t>
      </w:r>
      <w:r>
        <w:rPr>
          <w:color w:val="231F20"/>
          <w:spacing w:val="-10"/>
          <w:w w:val="110"/>
        </w:rPr>
        <w:t> </w:t>
      </w:r>
      <w:r>
        <w:rPr>
          <w:color w:val="231F20"/>
          <w:w w:val="110"/>
        </w:rPr>
        <w:t>específicos,</w:t>
      </w:r>
      <w:r>
        <w:rPr>
          <w:color w:val="231F20"/>
          <w:spacing w:val="-10"/>
          <w:w w:val="110"/>
        </w:rPr>
        <w:t> </w:t>
      </w:r>
      <w:r>
        <w:rPr>
          <w:color w:val="231F20"/>
          <w:w w:val="110"/>
        </w:rPr>
        <w:t>los</w:t>
      </w:r>
      <w:r>
        <w:rPr>
          <w:color w:val="231F20"/>
          <w:spacing w:val="-10"/>
          <w:w w:val="110"/>
        </w:rPr>
        <w:t> </w:t>
      </w:r>
      <w:r>
        <w:rPr>
          <w:color w:val="231F20"/>
          <w:w w:val="110"/>
        </w:rPr>
        <w:t>tiempos de la partida, las formas y sobre todo los forcejeos y fricciones posteriores que dan lugar a nuevas configuraciones familiares o que afianzan las for- mas de organización tradicionales. En todo caso, cuando ocurre la migra- ción de alguien en el </w:t>
      </w:r>
      <w:r>
        <w:rPr>
          <w:color w:val="231F20"/>
          <w:spacing w:val="-3"/>
          <w:w w:val="110"/>
        </w:rPr>
        <w:t>hogar, </w:t>
      </w:r>
      <w:r>
        <w:rPr>
          <w:color w:val="231F20"/>
          <w:w w:val="110"/>
        </w:rPr>
        <w:t>se produce una separación, ya sea de manera temporal o de mayor ausencia, y se consumen algunos de los escasos re- cursos</w:t>
      </w:r>
      <w:r>
        <w:rPr>
          <w:color w:val="231F20"/>
          <w:spacing w:val="-9"/>
          <w:w w:val="110"/>
        </w:rPr>
        <w:t> </w:t>
      </w:r>
      <w:r>
        <w:rPr>
          <w:color w:val="231F20"/>
          <w:w w:val="110"/>
        </w:rPr>
        <w:t>del</w:t>
      </w:r>
      <w:r>
        <w:rPr>
          <w:color w:val="231F20"/>
          <w:spacing w:val="-9"/>
          <w:w w:val="110"/>
        </w:rPr>
        <w:t> </w:t>
      </w:r>
      <w:r>
        <w:rPr>
          <w:color w:val="231F20"/>
          <w:w w:val="110"/>
        </w:rPr>
        <w:t>hogar</w:t>
      </w:r>
      <w:r>
        <w:rPr>
          <w:color w:val="231F20"/>
          <w:spacing w:val="-9"/>
          <w:w w:val="110"/>
        </w:rPr>
        <w:t> </w:t>
      </w:r>
      <w:r>
        <w:rPr>
          <w:color w:val="231F20"/>
          <w:w w:val="110"/>
        </w:rPr>
        <w:t>sin</w:t>
      </w:r>
      <w:r>
        <w:rPr>
          <w:color w:val="231F20"/>
          <w:spacing w:val="-9"/>
          <w:w w:val="110"/>
        </w:rPr>
        <w:t> </w:t>
      </w:r>
      <w:r>
        <w:rPr>
          <w:color w:val="231F20"/>
          <w:w w:val="110"/>
        </w:rPr>
        <w:t>que</w:t>
      </w:r>
      <w:r>
        <w:rPr>
          <w:color w:val="231F20"/>
          <w:spacing w:val="-9"/>
          <w:w w:val="110"/>
        </w:rPr>
        <w:t> </w:t>
      </w:r>
      <w:r>
        <w:rPr>
          <w:color w:val="231F20"/>
          <w:w w:val="110"/>
        </w:rPr>
        <w:t>ello</w:t>
      </w:r>
      <w:r>
        <w:rPr>
          <w:color w:val="231F20"/>
          <w:spacing w:val="-9"/>
          <w:w w:val="110"/>
        </w:rPr>
        <w:t> </w:t>
      </w:r>
      <w:r>
        <w:rPr>
          <w:color w:val="231F20"/>
          <w:w w:val="110"/>
        </w:rPr>
        <w:t>asegure</w:t>
      </w:r>
      <w:r>
        <w:rPr>
          <w:color w:val="231F20"/>
          <w:spacing w:val="-9"/>
          <w:w w:val="110"/>
        </w:rPr>
        <w:t> </w:t>
      </w:r>
      <w:r>
        <w:rPr>
          <w:color w:val="231F20"/>
          <w:w w:val="110"/>
        </w:rPr>
        <w:t>que</w:t>
      </w:r>
      <w:r>
        <w:rPr>
          <w:color w:val="231F20"/>
          <w:spacing w:val="-9"/>
          <w:w w:val="110"/>
        </w:rPr>
        <w:t> </w:t>
      </w:r>
      <w:r>
        <w:rPr>
          <w:color w:val="231F20"/>
          <w:w w:val="110"/>
        </w:rPr>
        <w:t>habrá</w:t>
      </w:r>
      <w:r>
        <w:rPr>
          <w:color w:val="231F20"/>
          <w:spacing w:val="-9"/>
          <w:w w:val="110"/>
        </w:rPr>
        <w:t> </w:t>
      </w:r>
      <w:r>
        <w:rPr>
          <w:color w:val="231F20"/>
          <w:w w:val="110"/>
        </w:rPr>
        <w:t>éxito,</w:t>
      </w:r>
      <w:r>
        <w:rPr>
          <w:color w:val="231F20"/>
          <w:spacing w:val="-9"/>
          <w:w w:val="110"/>
        </w:rPr>
        <w:t> </w:t>
      </w:r>
      <w:r>
        <w:rPr>
          <w:color w:val="231F20"/>
          <w:w w:val="110"/>
        </w:rPr>
        <w:t>lo</w:t>
      </w:r>
      <w:r>
        <w:rPr>
          <w:color w:val="231F20"/>
          <w:spacing w:val="-9"/>
          <w:w w:val="110"/>
        </w:rPr>
        <w:t> </w:t>
      </w:r>
      <w:r>
        <w:rPr>
          <w:color w:val="231F20"/>
          <w:w w:val="110"/>
        </w:rPr>
        <w:t>que</w:t>
      </w:r>
      <w:r>
        <w:rPr>
          <w:color w:val="231F20"/>
          <w:spacing w:val="-9"/>
          <w:w w:val="110"/>
        </w:rPr>
        <w:t> </w:t>
      </w:r>
      <w:r>
        <w:rPr>
          <w:color w:val="231F20"/>
          <w:w w:val="110"/>
        </w:rPr>
        <w:t>implica</w:t>
      </w:r>
      <w:r>
        <w:rPr>
          <w:color w:val="231F20"/>
          <w:spacing w:val="-9"/>
          <w:w w:val="110"/>
        </w:rPr>
        <w:t> </w:t>
      </w:r>
      <w:r>
        <w:rPr>
          <w:color w:val="231F20"/>
          <w:w w:val="110"/>
        </w:rPr>
        <w:t>que</w:t>
      </w:r>
      <w:r>
        <w:rPr>
          <w:color w:val="231F20"/>
          <w:spacing w:val="-9"/>
          <w:w w:val="110"/>
        </w:rPr>
        <w:t> </w:t>
      </w:r>
      <w:r>
        <w:rPr>
          <w:color w:val="231F20"/>
          <w:w w:val="110"/>
        </w:rPr>
        <w:t>los quedados deben reorganizarse en sus tareas para proveer mientras llegan las</w:t>
      </w:r>
      <w:r>
        <w:rPr>
          <w:color w:val="231F20"/>
          <w:spacing w:val="34"/>
          <w:w w:val="110"/>
        </w:rPr>
        <w:t> </w:t>
      </w:r>
      <w:r>
        <w:rPr>
          <w:color w:val="231F20"/>
          <w:w w:val="110"/>
        </w:rPr>
        <w:t>remesas.</w:t>
      </w:r>
      <w:r>
        <w:rPr>
          <w:color w:val="231F20"/>
          <w:spacing w:val="34"/>
          <w:w w:val="110"/>
        </w:rPr>
        <w:t> </w:t>
      </w:r>
      <w:r>
        <w:rPr>
          <w:color w:val="231F20"/>
          <w:w w:val="110"/>
        </w:rPr>
        <w:t>Las</w:t>
      </w:r>
      <w:r>
        <w:rPr>
          <w:color w:val="231F20"/>
          <w:spacing w:val="34"/>
          <w:w w:val="110"/>
        </w:rPr>
        <w:t> </w:t>
      </w:r>
      <w:r>
        <w:rPr>
          <w:color w:val="231F20"/>
          <w:w w:val="110"/>
        </w:rPr>
        <w:t>mujeres,</w:t>
      </w:r>
      <w:r>
        <w:rPr>
          <w:color w:val="231F20"/>
          <w:spacing w:val="34"/>
          <w:w w:val="110"/>
        </w:rPr>
        <w:t> </w:t>
      </w:r>
      <w:r>
        <w:rPr>
          <w:color w:val="231F20"/>
          <w:w w:val="110"/>
        </w:rPr>
        <w:t>los</w:t>
      </w:r>
      <w:r>
        <w:rPr>
          <w:color w:val="231F20"/>
          <w:spacing w:val="34"/>
          <w:w w:val="110"/>
        </w:rPr>
        <w:t> </w:t>
      </w:r>
      <w:r>
        <w:rPr>
          <w:color w:val="231F20"/>
          <w:w w:val="110"/>
        </w:rPr>
        <w:t>niños</w:t>
      </w:r>
      <w:r>
        <w:rPr>
          <w:color w:val="231F20"/>
          <w:spacing w:val="34"/>
          <w:w w:val="110"/>
        </w:rPr>
        <w:t> </w:t>
      </w:r>
      <w:r>
        <w:rPr>
          <w:color w:val="231F20"/>
          <w:w w:val="110"/>
        </w:rPr>
        <w:t>y</w:t>
      </w:r>
      <w:r>
        <w:rPr>
          <w:color w:val="231F20"/>
          <w:spacing w:val="34"/>
          <w:w w:val="110"/>
        </w:rPr>
        <w:t> </w:t>
      </w:r>
      <w:r>
        <w:rPr>
          <w:color w:val="231F20"/>
          <w:w w:val="110"/>
        </w:rPr>
        <w:t>los</w:t>
      </w:r>
      <w:r>
        <w:rPr>
          <w:color w:val="231F20"/>
          <w:spacing w:val="34"/>
          <w:w w:val="110"/>
        </w:rPr>
        <w:t> </w:t>
      </w:r>
      <w:r>
        <w:rPr>
          <w:color w:val="231F20"/>
          <w:w w:val="110"/>
        </w:rPr>
        <w:t>ancianos</w:t>
      </w:r>
      <w:r>
        <w:rPr>
          <w:color w:val="231F20"/>
          <w:spacing w:val="34"/>
          <w:w w:val="110"/>
        </w:rPr>
        <w:t> </w:t>
      </w:r>
      <w:r>
        <w:rPr>
          <w:color w:val="231F20"/>
          <w:w w:val="110"/>
        </w:rPr>
        <w:t>deben</w:t>
      </w:r>
      <w:r>
        <w:rPr>
          <w:color w:val="231F20"/>
          <w:spacing w:val="34"/>
          <w:w w:val="110"/>
        </w:rPr>
        <w:t> </w:t>
      </w:r>
      <w:r>
        <w:rPr>
          <w:color w:val="231F20"/>
          <w:w w:val="110"/>
        </w:rPr>
        <w:t>asumir</w:t>
      </w:r>
      <w:r>
        <w:rPr>
          <w:color w:val="231F20"/>
          <w:spacing w:val="34"/>
          <w:w w:val="110"/>
        </w:rPr>
        <w:t> </w:t>
      </w:r>
      <w:r>
        <w:rPr>
          <w:color w:val="231F20"/>
          <w:w w:val="110"/>
        </w:rPr>
        <w:t>tareas</w:t>
      </w:r>
    </w:p>
    <w:p>
      <w:pPr>
        <w:spacing w:after="0" w:line="288" w:lineRule="auto"/>
        <w:jc w:val="both"/>
        <w:sectPr>
          <w:pgSz w:w="9520" w:h="12920"/>
          <w:pgMar w:header="0" w:footer="1344" w:top="880" w:bottom="1540" w:left="1000" w:right="1320"/>
        </w:sectPr>
      </w:pPr>
    </w:p>
    <w:p>
      <w:pPr>
        <w:pStyle w:val="BodyText"/>
        <w:spacing w:line="288" w:lineRule="auto" w:before="42"/>
        <w:ind w:left="124" w:right="113"/>
        <w:jc w:val="both"/>
      </w:pPr>
      <w:r>
        <w:rPr>
          <w:color w:val="231F20"/>
          <w:w w:val="105"/>
        </w:rPr>
        <w:t>organizativas y productivas adicionales, incluso de resguardo del buen nombre del marido/padre; a veces la familia debe mudarse a la casa del suegro/suegra y encargarse de sus labores productivas, soportar la inje- rencia  de  terceras  personas  en  sus  vidas  privadas  y demás.</w:t>
      </w:r>
    </w:p>
    <w:p>
      <w:pPr>
        <w:pStyle w:val="BodyText"/>
        <w:spacing w:line="288" w:lineRule="auto"/>
        <w:ind w:left="124" w:right="113" w:firstLine="360"/>
        <w:jc w:val="both"/>
      </w:pPr>
      <w:r>
        <w:rPr>
          <w:color w:val="231F20"/>
          <w:w w:val="110"/>
        </w:rPr>
        <w:t>Aunque las evidencias muestran que, si bien las remesas sirven para retener</w:t>
      </w:r>
      <w:r>
        <w:rPr>
          <w:color w:val="231F20"/>
          <w:spacing w:val="-11"/>
          <w:w w:val="110"/>
        </w:rPr>
        <w:t> </w:t>
      </w:r>
      <w:r>
        <w:rPr>
          <w:color w:val="231F20"/>
          <w:w w:val="110"/>
        </w:rPr>
        <w:t>a</w:t>
      </w:r>
      <w:r>
        <w:rPr>
          <w:color w:val="231F20"/>
          <w:spacing w:val="-11"/>
          <w:w w:val="110"/>
        </w:rPr>
        <w:t> </w:t>
      </w:r>
      <w:r>
        <w:rPr>
          <w:color w:val="231F20"/>
          <w:w w:val="110"/>
        </w:rPr>
        <w:t>otros</w:t>
      </w:r>
      <w:r>
        <w:rPr>
          <w:color w:val="231F20"/>
          <w:spacing w:val="-11"/>
          <w:w w:val="110"/>
        </w:rPr>
        <w:t> </w:t>
      </w:r>
      <w:r>
        <w:rPr>
          <w:color w:val="231F20"/>
          <w:w w:val="110"/>
        </w:rPr>
        <w:t>integrantes</w:t>
      </w:r>
      <w:r>
        <w:rPr>
          <w:color w:val="231F20"/>
          <w:spacing w:val="-11"/>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localidad,</w:t>
      </w:r>
      <w:r>
        <w:rPr>
          <w:color w:val="231F20"/>
          <w:spacing w:val="-11"/>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spacing w:val="-4"/>
          <w:w w:val="110"/>
        </w:rPr>
        <w:t>largo</w:t>
      </w:r>
      <w:r>
        <w:rPr>
          <w:color w:val="231F20"/>
          <w:spacing w:val="-11"/>
          <w:w w:val="110"/>
        </w:rPr>
        <w:t> </w:t>
      </w:r>
      <w:r>
        <w:rPr>
          <w:color w:val="231F20"/>
          <w:w w:val="110"/>
        </w:rPr>
        <w:t>plazo</w:t>
      </w:r>
      <w:r>
        <w:rPr>
          <w:color w:val="231F20"/>
          <w:spacing w:val="-11"/>
          <w:w w:val="110"/>
        </w:rPr>
        <w:t> </w:t>
      </w:r>
      <w:r>
        <w:rPr>
          <w:color w:val="231F20"/>
          <w:w w:val="110"/>
        </w:rPr>
        <w:t>algunas</w:t>
      </w:r>
      <w:r>
        <w:rPr>
          <w:color w:val="231F20"/>
          <w:spacing w:val="-11"/>
          <w:w w:val="110"/>
        </w:rPr>
        <w:t> </w:t>
      </w:r>
      <w:r>
        <w:rPr>
          <w:color w:val="231F20"/>
          <w:w w:val="110"/>
        </w:rPr>
        <w:t>familias se vuelven dependientes de las remesas, algunos hogares se diferencian económicamente entre sí, no mejoran las condiciones estructurales y se van</w:t>
      </w:r>
      <w:r>
        <w:rPr>
          <w:color w:val="231F20"/>
          <w:spacing w:val="-8"/>
          <w:w w:val="110"/>
        </w:rPr>
        <w:t> </w:t>
      </w:r>
      <w:r>
        <w:rPr>
          <w:color w:val="231F20"/>
          <w:w w:val="110"/>
        </w:rPr>
        <w:t>formando</w:t>
      </w:r>
      <w:r>
        <w:rPr>
          <w:color w:val="231F20"/>
          <w:spacing w:val="-8"/>
          <w:w w:val="110"/>
        </w:rPr>
        <w:t> </w:t>
      </w:r>
      <w:r>
        <w:rPr>
          <w:color w:val="231F20"/>
          <w:w w:val="110"/>
        </w:rPr>
        <w:t>redes</w:t>
      </w:r>
      <w:r>
        <w:rPr>
          <w:color w:val="231F20"/>
          <w:spacing w:val="-8"/>
          <w:w w:val="110"/>
        </w:rPr>
        <w:t> </w:t>
      </w:r>
      <w:r>
        <w:rPr>
          <w:color w:val="231F20"/>
          <w:w w:val="110"/>
        </w:rPr>
        <w:t>que</w:t>
      </w:r>
      <w:r>
        <w:rPr>
          <w:color w:val="231F20"/>
          <w:spacing w:val="-8"/>
          <w:w w:val="110"/>
        </w:rPr>
        <w:t> </w:t>
      </w:r>
      <w:r>
        <w:rPr>
          <w:color w:val="231F20"/>
          <w:w w:val="110"/>
        </w:rPr>
        <w:t>sostienen</w:t>
      </w:r>
      <w:r>
        <w:rPr>
          <w:color w:val="231F20"/>
          <w:spacing w:val="-8"/>
          <w:w w:val="110"/>
        </w:rPr>
        <w:t> </w:t>
      </w:r>
      <w:r>
        <w:rPr>
          <w:color w:val="231F20"/>
          <w:w w:val="110"/>
        </w:rPr>
        <w:t>el</w:t>
      </w:r>
      <w:r>
        <w:rPr>
          <w:color w:val="231F20"/>
          <w:spacing w:val="-8"/>
          <w:w w:val="110"/>
        </w:rPr>
        <w:t> </w:t>
      </w:r>
      <w:r>
        <w:rPr>
          <w:color w:val="231F20"/>
          <w:w w:val="110"/>
        </w:rPr>
        <w:t>proceso</w:t>
      </w:r>
      <w:r>
        <w:rPr>
          <w:color w:val="231F20"/>
          <w:spacing w:val="-8"/>
          <w:w w:val="110"/>
        </w:rPr>
        <w:t> </w:t>
      </w:r>
      <w:r>
        <w:rPr>
          <w:color w:val="231F20"/>
          <w:w w:val="110"/>
        </w:rPr>
        <w:t>migratorio</w:t>
      </w:r>
      <w:r>
        <w:rPr>
          <w:color w:val="231F20"/>
          <w:spacing w:val="-8"/>
          <w:w w:val="110"/>
        </w:rPr>
        <w:t> </w:t>
      </w:r>
      <w:r>
        <w:rPr>
          <w:color w:val="231F20"/>
          <w:w w:val="110"/>
        </w:rPr>
        <w:t>(Stuart</w:t>
      </w:r>
      <w:r>
        <w:rPr>
          <w:color w:val="231F20"/>
          <w:spacing w:val="-8"/>
          <w:w w:val="110"/>
        </w:rPr>
        <w:t> </w:t>
      </w:r>
      <w:r>
        <w:rPr>
          <w:color w:val="231F20"/>
          <w:w w:val="110"/>
        </w:rPr>
        <w:t>y</w:t>
      </w:r>
      <w:r>
        <w:rPr>
          <w:color w:val="231F20"/>
          <w:spacing w:val="-8"/>
          <w:w w:val="110"/>
        </w:rPr>
        <w:t> </w:t>
      </w:r>
      <w:r>
        <w:rPr>
          <w:color w:val="231F20"/>
          <w:spacing w:val="-3"/>
          <w:w w:val="110"/>
        </w:rPr>
        <w:t>Kearney, </w:t>
      </w:r>
      <w:r>
        <w:rPr>
          <w:color w:val="231F20"/>
          <w:w w:val="110"/>
        </w:rPr>
        <w:t>1981:</w:t>
      </w:r>
      <w:r>
        <w:rPr>
          <w:color w:val="231F20"/>
          <w:spacing w:val="-13"/>
          <w:w w:val="110"/>
        </w:rPr>
        <w:t> </w:t>
      </w:r>
      <w:r>
        <w:rPr>
          <w:color w:val="231F20"/>
          <w:w w:val="110"/>
        </w:rPr>
        <w:t>26-29;</w:t>
      </w:r>
      <w:r>
        <w:rPr>
          <w:color w:val="231F20"/>
          <w:spacing w:val="-13"/>
          <w:w w:val="110"/>
        </w:rPr>
        <w:t> </w:t>
      </w:r>
      <w:r>
        <w:rPr>
          <w:color w:val="231F20"/>
          <w:w w:val="110"/>
        </w:rPr>
        <w:t>Dinerman,</w:t>
      </w:r>
      <w:r>
        <w:rPr>
          <w:color w:val="231F20"/>
          <w:spacing w:val="-13"/>
          <w:w w:val="110"/>
        </w:rPr>
        <w:t> </w:t>
      </w:r>
      <w:r>
        <w:rPr>
          <w:color w:val="231F20"/>
          <w:w w:val="110"/>
        </w:rPr>
        <w:t>1983;</w:t>
      </w:r>
      <w:r>
        <w:rPr>
          <w:color w:val="231F20"/>
          <w:spacing w:val="-13"/>
          <w:w w:val="110"/>
        </w:rPr>
        <w:t> </w:t>
      </w:r>
      <w:r>
        <w:rPr>
          <w:color w:val="231F20"/>
          <w:w w:val="110"/>
        </w:rPr>
        <w:t>Massey</w:t>
      </w:r>
      <w:r>
        <w:rPr>
          <w:color w:val="231F20"/>
          <w:spacing w:val="-13"/>
          <w:w w:val="110"/>
        </w:rPr>
        <w:t> </w:t>
      </w:r>
      <w:r>
        <w:rPr>
          <w:color w:val="231F20"/>
          <w:w w:val="110"/>
        </w:rPr>
        <w:t>y</w:t>
      </w:r>
      <w:r>
        <w:rPr>
          <w:color w:val="231F20"/>
          <w:spacing w:val="-13"/>
          <w:w w:val="110"/>
        </w:rPr>
        <w:t> </w:t>
      </w:r>
      <w:r>
        <w:rPr>
          <w:color w:val="231F20"/>
          <w:w w:val="110"/>
        </w:rPr>
        <w:t>Espinosa,</w:t>
      </w:r>
      <w:r>
        <w:rPr>
          <w:color w:val="231F20"/>
          <w:spacing w:val="-13"/>
          <w:w w:val="110"/>
        </w:rPr>
        <w:t> </w:t>
      </w:r>
      <w:r>
        <w:rPr>
          <w:color w:val="231F20"/>
          <w:w w:val="110"/>
        </w:rPr>
        <w:t>1997);</w:t>
      </w:r>
      <w:r>
        <w:rPr>
          <w:color w:val="231F20"/>
          <w:spacing w:val="-13"/>
          <w:w w:val="110"/>
        </w:rPr>
        <w:t> </w:t>
      </w:r>
      <w:r>
        <w:rPr>
          <w:color w:val="231F20"/>
          <w:w w:val="110"/>
        </w:rPr>
        <w:t>aunque</w:t>
      </w:r>
      <w:r>
        <w:rPr>
          <w:color w:val="231F20"/>
          <w:spacing w:val="-13"/>
          <w:w w:val="110"/>
        </w:rPr>
        <w:t> </w:t>
      </w:r>
      <w:r>
        <w:rPr>
          <w:color w:val="231F20"/>
          <w:w w:val="110"/>
        </w:rPr>
        <w:t>esta</w:t>
      </w:r>
      <w:r>
        <w:rPr>
          <w:color w:val="231F20"/>
          <w:spacing w:val="-13"/>
          <w:w w:val="110"/>
        </w:rPr>
        <w:t> </w:t>
      </w:r>
      <w:r>
        <w:rPr>
          <w:color w:val="231F20"/>
          <w:w w:val="110"/>
        </w:rPr>
        <w:t>prác- tica genera beneficios directos e indirectos tanto al migrante como a los </w:t>
      </w:r>
      <w:r>
        <w:rPr>
          <w:color w:val="231F20"/>
          <w:spacing w:val="-4"/>
          <w:w w:val="110"/>
        </w:rPr>
        <w:t>actores colaterales: acumular capacidades </w:t>
      </w:r>
      <w:r>
        <w:rPr>
          <w:color w:val="231F20"/>
          <w:w w:val="110"/>
        </w:rPr>
        <w:t>de </w:t>
      </w:r>
      <w:r>
        <w:rPr>
          <w:color w:val="231F20"/>
          <w:spacing w:val="-4"/>
          <w:w w:val="110"/>
        </w:rPr>
        <w:t>corto </w:t>
      </w:r>
      <w:r>
        <w:rPr>
          <w:color w:val="231F20"/>
          <w:w w:val="110"/>
        </w:rPr>
        <w:t>y </w:t>
      </w:r>
      <w:r>
        <w:rPr>
          <w:color w:val="231F20"/>
          <w:spacing w:val="-5"/>
          <w:w w:val="110"/>
        </w:rPr>
        <w:t>largo </w:t>
      </w:r>
      <w:r>
        <w:rPr>
          <w:color w:val="231F20"/>
          <w:spacing w:val="-4"/>
          <w:w w:val="110"/>
        </w:rPr>
        <w:t>plazo (educación, </w:t>
      </w:r>
      <w:r>
        <w:rPr>
          <w:color w:val="231F20"/>
          <w:w w:val="110"/>
        </w:rPr>
        <w:t>salud y nutrición), diversas habilidades sociopersonales, conocimientos técnicos,</w:t>
      </w:r>
      <w:r>
        <w:rPr>
          <w:color w:val="231F20"/>
          <w:spacing w:val="-5"/>
          <w:w w:val="110"/>
        </w:rPr>
        <w:t> </w:t>
      </w:r>
      <w:r>
        <w:rPr>
          <w:color w:val="231F20"/>
          <w:w w:val="110"/>
        </w:rPr>
        <w:t>nuevas</w:t>
      </w:r>
      <w:r>
        <w:rPr>
          <w:color w:val="231F20"/>
          <w:spacing w:val="-5"/>
          <w:w w:val="110"/>
        </w:rPr>
        <w:t> </w:t>
      </w:r>
      <w:r>
        <w:rPr>
          <w:color w:val="231F20"/>
          <w:w w:val="110"/>
        </w:rPr>
        <w:t>actitudes</w:t>
      </w:r>
      <w:r>
        <w:rPr>
          <w:color w:val="231F20"/>
          <w:spacing w:val="-5"/>
          <w:w w:val="110"/>
        </w:rPr>
        <w:t> </w:t>
      </w:r>
      <w:r>
        <w:rPr>
          <w:color w:val="231F20"/>
          <w:w w:val="110"/>
        </w:rPr>
        <w:t>y</w:t>
      </w:r>
      <w:r>
        <w:rPr>
          <w:color w:val="231F20"/>
          <w:spacing w:val="-5"/>
          <w:w w:val="110"/>
        </w:rPr>
        <w:t> </w:t>
      </w:r>
      <w:r>
        <w:rPr>
          <w:color w:val="231F20"/>
          <w:w w:val="110"/>
        </w:rPr>
        <w:t>valores,</w:t>
      </w:r>
      <w:r>
        <w:rPr>
          <w:color w:val="231F20"/>
          <w:spacing w:val="-5"/>
          <w:w w:val="110"/>
        </w:rPr>
        <w:t> </w:t>
      </w:r>
      <w:r>
        <w:rPr>
          <w:color w:val="231F20"/>
          <w:w w:val="110"/>
        </w:rPr>
        <w:t>asimismo,</w:t>
      </w:r>
      <w:r>
        <w:rPr>
          <w:color w:val="231F20"/>
          <w:spacing w:val="-5"/>
          <w:w w:val="110"/>
        </w:rPr>
        <w:t> </w:t>
      </w:r>
      <w:r>
        <w:rPr>
          <w:color w:val="231F20"/>
          <w:w w:val="110"/>
        </w:rPr>
        <w:t>pueden</w:t>
      </w:r>
      <w:r>
        <w:rPr>
          <w:color w:val="231F20"/>
          <w:spacing w:val="-5"/>
          <w:w w:val="110"/>
        </w:rPr>
        <w:t> </w:t>
      </w:r>
      <w:r>
        <w:rPr>
          <w:color w:val="231F20"/>
          <w:w w:val="110"/>
        </w:rPr>
        <w:t>construir</w:t>
      </w:r>
      <w:r>
        <w:rPr>
          <w:color w:val="231F20"/>
          <w:spacing w:val="-5"/>
          <w:w w:val="110"/>
        </w:rPr>
        <w:t> </w:t>
      </w:r>
      <w:r>
        <w:rPr>
          <w:color w:val="231F20"/>
          <w:w w:val="110"/>
        </w:rPr>
        <w:t>sus</w:t>
      </w:r>
      <w:r>
        <w:rPr>
          <w:color w:val="231F20"/>
          <w:spacing w:val="-5"/>
          <w:w w:val="110"/>
        </w:rPr>
        <w:t> </w:t>
      </w:r>
      <w:r>
        <w:rPr>
          <w:color w:val="231F20"/>
          <w:w w:val="110"/>
        </w:rPr>
        <w:t>casas, hacer ahorros líquidos y comprar activos físicos. A su vez, los hogares no </w:t>
      </w:r>
      <w:r>
        <w:rPr>
          <w:color w:val="231F20"/>
          <w:spacing w:val="2"/>
          <w:w w:val="110"/>
        </w:rPr>
        <w:t>migrantes pueden copiar </w:t>
      </w:r>
      <w:r>
        <w:rPr>
          <w:color w:val="231F20"/>
          <w:w w:val="110"/>
        </w:rPr>
        <w:t>la </w:t>
      </w:r>
      <w:r>
        <w:rPr>
          <w:color w:val="231F20"/>
          <w:spacing w:val="2"/>
          <w:w w:val="110"/>
        </w:rPr>
        <w:t>ruta para obtener recursos </w:t>
      </w:r>
      <w:r>
        <w:rPr>
          <w:color w:val="231F20"/>
          <w:w w:val="110"/>
        </w:rPr>
        <w:t>en </w:t>
      </w:r>
      <w:r>
        <w:rPr>
          <w:color w:val="231F20"/>
          <w:spacing w:val="2"/>
          <w:w w:val="110"/>
        </w:rPr>
        <w:t>otros lados, </w:t>
      </w:r>
      <w:r>
        <w:rPr>
          <w:color w:val="231F20"/>
          <w:spacing w:val="-4"/>
          <w:w w:val="110"/>
        </w:rPr>
        <w:t>aprovechar </w:t>
      </w:r>
      <w:r>
        <w:rPr>
          <w:color w:val="231F20"/>
          <w:spacing w:val="-3"/>
          <w:w w:val="110"/>
        </w:rPr>
        <w:t>las </w:t>
      </w:r>
      <w:r>
        <w:rPr>
          <w:color w:val="231F20"/>
          <w:spacing w:val="-4"/>
          <w:w w:val="110"/>
        </w:rPr>
        <w:t>redes sociales </w:t>
      </w:r>
      <w:r>
        <w:rPr>
          <w:color w:val="231F20"/>
          <w:spacing w:val="-3"/>
          <w:w w:val="110"/>
        </w:rPr>
        <w:t>para </w:t>
      </w:r>
      <w:r>
        <w:rPr>
          <w:color w:val="231F20"/>
          <w:spacing w:val="-6"/>
          <w:w w:val="110"/>
        </w:rPr>
        <w:t>migrar, </w:t>
      </w:r>
      <w:r>
        <w:rPr>
          <w:color w:val="231F20"/>
          <w:spacing w:val="-4"/>
          <w:w w:val="110"/>
        </w:rPr>
        <w:t>venderles productos </w:t>
      </w:r>
      <w:r>
        <w:rPr>
          <w:color w:val="231F20"/>
          <w:w w:val="110"/>
        </w:rPr>
        <w:t>y </w:t>
      </w:r>
      <w:r>
        <w:rPr>
          <w:color w:val="231F20"/>
          <w:spacing w:val="-4"/>
          <w:w w:val="110"/>
        </w:rPr>
        <w:t>servicios </w:t>
      </w:r>
      <w:r>
        <w:rPr>
          <w:color w:val="231F20"/>
          <w:w w:val="110"/>
        </w:rPr>
        <w:t>a los migrantes. Como se muestra más adelante, los sujetos aprenden, me- joran sus decisiones e influyen en su entorno, contribuyen a cambiarlo o mantenerlo vigente. En este caso, con la migración, los aprendizajes que favorece y las vivencias personales, pueden darse cambios en las institu- ciones formales e informales tradicionales que han sido construidas</w:t>
      </w:r>
      <w:r>
        <w:rPr>
          <w:color w:val="231F20"/>
          <w:spacing w:val="-30"/>
          <w:w w:val="110"/>
        </w:rPr>
        <w:t> </w:t>
      </w:r>
      <w:r>
        <w:rPr>
          <w:color w:val="231F20"/>
          <w:w w:val="110"/>
        </w:rPr>
        <w:t>social, cultural y económicamente y que asignan a las mujeres el rol de la repro- ducción doméstica y al varón el de proveedor. Si bien los hombres suelen migrar en busca de empleo, imponiendo y negociando tal decisión para cumplir</w:t>
      </w:r>
      <w:r>
        <w:rPr>
          <w:color w:val="231F20"/>
          <w:spacing w:val="-4"/>
          <w:w w:val="110"/>
        </w:rPr>
        <w:t> </w:t>
      </w:r>
      <w:r>
        <w:rPr>
          <w:color w:val="231F20"/>
          <w:w w:val="110"/>
        </w:rPr>
        <w:t>normas</w:t>
      </w:r>
      <w:r>
        <w:rPr>
          <w:color w:val="231F20"/>
          <w:spacing w:val="-4"/>
          <w:w w:val="110"/>
        </w:rPr>
        <w:t> </w:t>
      </w:r>
      <w:r>
        <w:rPr>
          <w:color w:val="231F20"/>
          <w:w w:val="110"/>
        </w:rPr>
        <w:t>sociales</w:t>
      </w:r>
      <w:r>
        <w:rPr>
          <w:color w:val="231F20"/>
          <w:spacing w:val="-4"/>
          <w:w w:val="110"/>
        </w:rPr>
        <w:t> </w:t>
      </w:r>
      <w:r>
        <w:rPr>
          <w:color w:val="231F20"/>
          <w:w w:val="110"/>
        </w:rPr>
        <w:t>que</w:t>
      </w:r>
      <w:r>
        <w:rPr>
          <w:color w:val="231F20"/>
          <w:spacing w:val="-4"/>
          <w:w w:val="110"/>
        </w:rPr>
        <w:t> </w:t>
      </w:r>
      <w:r>
        <w:rPr>
          <w:color w:val="231F20"/>
          <w:w w:val="110"/>
        </w:rPr>
        <w:t>le</w:t>
      </w:r>
      <w:r>
        <w:rPr>
          <w:color w:val="231F20"/>
          <w:spacing w:val="-4"/>
          <w:w w:val="110"/>
        </w:rPr>
        <w:t> </w:t>
      </w:r>
      <w:r>
        <w:rPr>
          <w:color w:val="231F20"/>
          <w:w w:val="110"/>
        </w:rPr>
        <w:t>asignan</w:t>
      </w:r>
      <w:r>
        <w:rPr>
          <w:color w:val="231F20"/>
          <w:spacing w:val="-4"/>
          <w:w w:val="110"/>
        </w:rPr>
        <w:t> </w:t>
      </w:r>
      <w:r>
        <w:rPr>
          <w:color w:val="231F20"/>
          <w:w w:val="110"/>
        </w:rPr>
        <w:t>el</w:t>
      </w:r>
      <w:r>
        <w:rPr>
          <w:color w:val="231F20"/>
          <w:spacing w:val="-4"/>
          <w:w w:val="110"/>
        </w:rPr>
        <w:t> </w:t>
      </w:r>
      <w:r>
        <w:rPr>
          <w:color w:val="231F20"/>
          <w:w w:val="110"/>
        </w:rPr>
        <w:t>rol</w:t>
      </w:r>
      <w:r>
        <w:rPr>
          <w:color w:val="231F20"/>
          <w:spacing w:val="-4"/>
          <w:w w:val="110"/>
        </w:rPr>
        <w:t> </w:t>
      </w:r>
      <w:r>
        <w:rPr>
          <w:color w:val="231F20"/>
          <w:w w:val="110"/>
        </w:rPr>
        <w:t>de</w:t>
      </w:r>
      <w:r>
        <w:rPr>
          <w:color w:val="231F20"/>
          <w:spacing w:val="-4"/>
          <w:w w:val="110"/>
        </w:rPr>
        <w:t> </w:t>
      </w:r>
      <w:r>
        <w:rPr>
          <w:color w:val="231F20"/>
          <w:w w:val="110"/>
        </w:rPr>
        <w:t>proveedor,</w:t>
      </w:r>
      <w:r>
        <w:rPr>
          <w:color w:val="231F20"/>
          <w:spacing w:val="-4"/>
          <w:w w:val="110"/>
        </w:rPr>
        <w:t> </w:t>
      </w:r>
      <w:r>
        <w:rPr>
          <w:color w:val="231F20"/>
          <w:w w:val="110"/>
        </w:rPr>
        <w:t>hay</w:t>
      </w:r>
      <w:r>
        <w:rPr>
          <w:color w:val="231F20"/>
          <w:spacing w:val="-4"/>
          <w:w w:val="110"/>
        </w:rPr>
        <w:t> </w:t>
      </w:r>
      <w:r>
        <w:rPr>
          <w:color w:val="231F20"/>
          <w:w w:val="110"/>
        </w:rPr>
        <w:t>evidencias de que las mujeres emigran y envían remesas también por estos motivos aunque enfrentan más restricciones. Por ejemplo, Salas, Baca y Alcántara (2013) reportaron que en el norte del Estado de México, más de la mitad de las mujeres entrevistadas migró por motivos propios relacionados con la </w:t>
      </w:r>
      <w:r>
        <w:rPr>
          <w:color w:val="231F20"/>
          <w:spacing w:val="2"/>
          <w:w w:val="110"/>
        </w:rPr>
        <w:t>consecución </w:t>
      </w:r>
      <w:r>
        <w:rPr>
          <w:color w:val="231F20"/>
          <w:w w:val="110"/>
        </w:rPr>
        <w:t>de una </w:t>
      </w:r>
      <w:r>
        <w:rPr>
          <w:color w:val="231F20"/>
          <w:spacing w:val="2"/>
          <w:w w:val="110"/>
        </w:rPr>
        <w:t>mejor vida para </w:t>
      </w:r>
      <w:r>
        <w:rPr>
          <w:color w:val="231F20"/>
          <w:w w:val="110"/>
        </w:rPr>
        <w:t>sus </w:t>
      </w:r>
      <w:r>
        <w:rPr>
          <w:color w:val="231F20"/>
          <w:spacing w:val="2"/>
          <w:w w:val="110"/>
        </w:rPr>
        <w:t>familias; </w:t>
      </w:r>
      <w:r>
        <w:rPr>
          <w:color w:val="231F20"/>
          <w:w w:val="110"/>
        </w:rPr>
        <w:t>en </w:t>
      </w:r>
      <w:r>
        <w:rPr>
          <w:color w:val="231F20"/>
          <w:spacing w:val="2"/>
          <w:w w:val="110"/>
        </w:rPr>
        <w:t>tanto Mercado  </w:t>
      </w:r>
      <w:r>
        <w:rPr>
          <w:color w:val="231F20"/>
          <w:w w:val="110"/>
        </w:rPr>
        <w:t>(2008: 34) encuentra que en Temascalcingo y San </w:t>
      </w:r>
      <w:r>
        <w:rPr>
          <w:color w:val="231F20"/>
          <w:spacing w:val="-3"/>
          <w:w w:val="110"/>
        </w:rPr>
        <w:t>Felipe </w:t>
      </w:r>
      <w:r>
        <w:rPr>
          <w:color w:val="231F20"/>
          <w:w w:val="110"/>
        </w:rPr>
        <w:t>del Progreso, la decisión de migración internacional fue tomada por las migrantes en fun- ción de los intereses de su familia sanguínea, aunque razones no económi- cas también las empujan a </w:t>
      </w:r>
      <w:r>
        <w:rPr>
          <w:color w:val="231F20"/>
          <w:spacing w:val="-3"/>
          <w:w w:val="110"/>
        </w:rPr>
        <w:t>migrar, </w:t>
      </w:r>
      <w:r>
        <w:rPr>
          <w:color w:val="231F20"/>
          <w:w w:val="110"/>
        </w:rPr>
        <w:t>por ejemplo salir de relaciones familia- res opresivas, distintas formas de violencia e intereses </w:t>
      </w:r>
      <w:r>
        <w:rPr>
          <w:color w:val="231F20"/>
          <w:spacing w:val="6"/>
          <w:w w:val="110"/>
        </w:rPr>
        <w:t> </w:t>
      </w:r>
      <w:r>
        <w:rPr>
          <w:color w:val="231F20"/>
          <w:w w:val="110"/>
        </w:rPr>
        <w:t>propios.</w:t>
      </w:r>
    </w:p>
    <w:p>
      <w:pPr>
        <w:spacing w:after="0" w:line="288" w:lineRule="auto"/>
        <w:jc w:val="both"/>
        <w:sectPr>
          <w:pgSz w:w="9520" w:h="12920"/>
          <w:pgMar w:header="0" w:footer="1344" w:top="880" w:bottom="1540" w:left="1320" w:right="1000"/>
        </w:sectPr>
      </w:pPr>
    </w:p>
    <w:p>
      <w:pPr>
        <w:spacing w:before="39"/>
        <w:ind w:left="120" w:right="0" w:firstLine="0"/>
        <w:jc w:val="both"/>
        <w:rPr>
          <w:rFonts w:ascii="Times New Roman" w:hAnsi="Times New Roman"/>
          <w:i/>
          <w:sz w:val="19"/>
        </w:rPr>
      </w:pPr>
      <w:r>
        <w:rPr>
          <w:rFonts w:ascii="Times New Roman" w:hAnsi="Times New Roman"/>
          <w:i/>
          <w:color w:val="231F20"/>
          <w:sz w:val="24"/>
        </w:rPr>
        <w:t>L</w:t>
      </w:r>
      <w:r>
        <w:rPr>
          <w:rFonts w:ascii="Times New Roman" w:hAnsi="Times New Roman"/>
          <w:i/>
          <w:color w:val="231F20"/>
          <w:sz w:val="19"/>
        </w:rPr>
        <w:t>A MIGRACIÓN EN LA REGIÓN DE ESTUDIO</w:t>
      </w:r>
    </w:p>
    <w:p>
      <w:pPr>
        <w:pStyle w:val="BodyText"/>
        <w:spacing w:before="9"/>
        <w:rPr>
          <w:rFonts w:ascii="Times New Roman"/>
          <w:i/>
          <w:sz w:val="27"/>
        </w:rPr>
      </w:pPr>
    </w:p>
    <w:p>
      <w:pPr>
        <w:pStyle w:val="BodyText"/>
        <w:spacing w:line="288" w:lineRule="auto"/>
        <w:ind w:left="120" w:right="115"/>
        <w:jc w:val="both"/>
      </w:pPr>
      <w:r>
        <w:rPr>
          <w:color w:val="231F20"/>
          <w:w w:val="110"/>
        </w:rPr>
        <w:t>Este</w:t>
      </w:r>
      <w:r>
        <w:rPr>
          <w:color w:val="231F20"/>
          <w:spacing w:val="-17"/>
          <w:w w:val="110"/>
        </w:rPr>
        <w:t> </w:t>
      </w:r>
      <w:r>
        <w:rPr>
          <w:color w:val="231F20"/>
          <w:w w:val="110"/>
        </w:rPr>
        <w:t>trabajo</w:t>
      </w:r>
      <w:r>
        <w:rPr>
          <w:color w:val="231F20"/>
          <w:spacing w:val="-17"/>
          <w:w w:val="110"/>
        </w:rPr>
        <w:t> </w:t>
      </w:r>
      <w:r>
        <w:rPr>
          <w:color w:val="231F20"/>
          <w:w w:val="110"/>
        </w:rPr>
        <w:t>incluye</w:t>
      </w:r>
      <w:r>
        <w:rPr>
          <w:color w:val="231F20"/>
          <w:spacing w:val="-17"/>
          <w:w w:val="110"/>
        </w:rPr>
        <w:t> </w:t>
      </w:r>
      <w:r>
        <w:rPr>
          <w:color w:val="231F20"/>
          <w:w w:val="110"/>
        </w:rPr>
        <w:t>el</w:t>
      </w:r>
      <w:r>
        <w:rPr>
          <w:color w:val="231F20"/>
          <w:spacing w:val="-17"/>
          <w:w w:val="110"/>
        </w:rPr>
        <w:t> </w:t>
      </w:r>
      <w:r>
        <w:rPr>
          <w:color w:val="231F20"/>
          <w:w w:val="110"/>
        </w:rPr>
        <w:t>análisis</w:t>
      </w:r>
      <w:r>
        <w:rPr>
          <w:color w:val="231F20"/>
          <w:spacing w:val="-17"/>
          <w:w w:val="110"/>
        </w:rPr>
        <w:t> </w:t>
      </w:r>
      <w:r>
        <w:rPr>
          <w:color w:val="231F20"/>
          <w:w w:val="110"/>
        </w:rPr>
        <w:t>de</w:t>
      </w:r>
      <w:r>
        <w:rPr>
          <w:color w:val="231F20"/>
          <w:spacing w:val="-17"/>
          <w:w w:val="110"/>
        </w:rPr>
        <w:t> </w:t>
      </w:r>
      <w:r>
        <w:rPr>
          <w:color w:val="231F20"/>
          <w:w w:val="110"/>
        </w:rPr>
        <w:t>84</w:t>
      </w:r>
      <w:r>
        <w:rPr>
          <w:color w:val="231F20"/>
          <w:spacing w:val="-17"/>
          <w:w w:val="110"/>
        </w:rPr>
        <w:t> </w:t>
      </w:r>
      <w:r>
        <w:rPr>
          <w:color w:val="231F20"/>
          <w:w w:val="110"/>
        </w:rPr>
        <w:t>entrevistas</w:t>
      </w:r>
      <w:r>
        <w:rPr>
          <w:color w:val="231F20"/>
          <w:spacing w:val="-17"/>
          <w:w w:val="110"/>
        </w:rPr>
        <w:t> </w:t>
      </w:r>
      <w:r>
        <w:rPr>
          <w:color w:val="231F20"/>
          <w:w w:val="110"/>
        </w:rPr>
        <w:t>estructuradas</w:t>
      </w:r>
      <w:r>
        <w:rPr>
          <w:color w:val="231F20"/>
          <w:spacing w:val="-17"/>
          <w:w w:val="110"/>
        </w:rPr>
        <w:t> </w:t>
      </w:r>
      <w:r>
        <w:rPr>
          <w:color w:val="231F20"/>
          <w:w w:val="110"/>
        </w:rPr>
        <w:t>realizadas</w:t>
      </w:r>
      <w:r>
        <w:rPr>
          <w:color w:val="231F20"/>
          <w:spacing w:val="-17"/>
          <w:w w:val="110"/>
        </w:rPr>
        <w:t> </w:t>
      </w:r>
      <w:r>
        <w:rPr>
          <w:color w:val="231F20"/>
          <w:w w:val="110"/>
        </w:rPr>
        <w:t>en hogares siguiendo el procedimiento de bola de nieve. Casi dos terceras partes de los hogares son de tipo nuclear (62 por ciento), en conjunto se incluyen 358 personas, 55.5 por ciento mujeres, 80 por ciento han estado por</w:t>
      </w:r>
      <w:r>
        <w:rPr>
          <w:color w:val="231F20"/>
          <w:spacing w:val="-3"/>
          <w:w w:val="110"/>
        </w:rPr>
        <w:t> </w:t>
      </w:r>
      <w:r>
        <w:rPr>
          <w:color w:val="231F20"/>
          <w:w w:val="110"/>
        </w:rPr>
        <w:t>lo</w:t>
      </w:r>
      <w:r>
        <w:rPr>
          <w:color w:val="231F20"/>
          <w:spacing w:val="-3"/>
          <w:w w:val="110"/>
        </w:rPr>
        <w:t> </w:t>
      </w:r>
      <w:r>
        <w:rPr>
          <w:color w:val="231F20"/>
          <w:w w:val="110"/>
        </w:rPr>
        <w:t>menos</w:t>
      </w:r>
      <w:r>
        <w:rPr>
          <w:color w:val="231F20"/>
          <w:spacing w:val="-3"/>
          <w:w w:val="110"/>
        </w:rPr>
        <w:t> </w:t>
      </w:r>
      <w:r>
        <w:rPr>
          <w:color w:val="231F20"/>
          <w:w w:val="110"/>
        </w:rPr>
        <w:t>una</w:t>
      </w:r>
      <w:r>
        <w:rPr>
          <w:color w:val="231F20"/>
          <w:spacing w:val="-3"/>
          <w:w w:val="110"/>
        </w:rPr>
        <w:t> </w:t>
      </w:r>
      <w:r>
        <w:rPr>
          <w:color w:val="231F20"/>
          <w:w w:val="110"/>
        </w:rPr>
        <w:t>vez</w:t>
      </w:r>
      <w:r>
        <w:rPr>
          <w:color w:val="231F20"/>
          <w:spacing w:val="-3"/>
          <w:w w:val="110"/>
        </w:rPr>
        <w:t> </w:t>
      </w:r>
      <w:r>
        <w:rPr>
          <w:color w:val="231F20"/>
          <w:w w:val="110"/>
        </w:rPr>
        <w:t>en</w:t>
      </w:r>
      <w:r>
        <w:rPr>
          <w:color w:val="231F20"/>
          <w:spacing w:val="-3"/>
          <w:w w:val="110"/>
        </w:rPr>
        <w:t> </w:t>
      </w:r>
      <w:r>
        <w:rPr>
          <w:color w:val="231F20"/>
          <w:w w:val="110"/>
        </w:rPr>
        <w:t>Estados</w:t>
      </w:r>
      <w:r>
        <w:rPr>
          <w:color w:val="231F20"/>
          <w:spacing w:val="-3"/>
          <w:w w:val="110"/>
        </w:rPr>
        <w:t> </w:t>
      </w:r>
      <w:r>
        <w:rPr>
          <w:color w:val="231F20"/>
          <w:w w:val="110"/>
        </w:rPr>
        <w:t>Unidos,</w:t>
      </w:r>
      <w:r>
        <w:rPr>
          <w:color w:val="231F20"/>
          <w:spacing w:val="-3"/>
          <w:w w:val="110"/>
        </w:rPr>
        <w:t> </w:t>
      </w:r>
      <w:r>
        <w:rPr>
          <w:color w:val="231F20"/>
          <w:w w:val="110"/>
        </w:rPr>
        <w:t>cuatro</w:t>
      </w:r>
      <w:r>
        <w:rPr>
          <w:color w:val="231F20"/>
          <w:spacing w:val="-3"/>
          <w:w w:val="110"/>
        </w:rPr>
        <w:t> </w:t>
      </w:r>
      <w:r>
        <w:rPr>
          <w:color w:val="231F20"/>
          <w:w w:val="110"/>
        </w:rPr>
        <w:t>de</w:t>
      </w:r>
      <w:r>
        <w:rPr>
          <w:color w:val="231F20"/>
          <w:spacing w:val="-3"/>
          <w:w w:val="110"/>
        </w:rPr>
        <w:t> </w:t>
      </w:r>
      <w:r>
        <w:rPr>
          <w:color w:val="231F20"/>
          <w:w w:val="110"/>
        </w:rPr>
        <w:t>cada</w:t>
      </w:r>
      <w:r>
        <w:rPr>
          <w:color w:val="231F20"/>
          <w:spacing w:val="-3"/>
          <w:w w:val="110"/>
        </w:rPr>
        <w:t> </w:t>
      </w:r>
      <w:r>
        <w:rPr>
          <w:color w:val="231F20"/>
          <w:w w:val="110"/>
        </w:rPr>
        <w:t>10</w:t>
      </w:r>
      <w:r>
        <w:rPr>
          <w:color w:val="231F20"/>
          <w:spacing w:val="-3"/>
          <w:w w:val="110"/>
        </w:rPr>
        <w:t> </w:t>
      </w:r>
      <w:r>
        <w:rPr>
          <w:color w:val="231F20"/>
          <w:w w:val="110"/>
        </w:rPr>
        <w:t>(41</w:t>
      </w:r>
      <w:r>
        <w:rPr>
          <w:color w:val="231F20"/>
          <w:spacing w:val="-3"/>
          <w:w w:val="110"/>
        </w:rPr>
        <w:t> </w:t>
      </w:r>
      <w:r>
        <w:rPr>
          <w:color w:val="231F20"/>
          <w:w w:val="110"/>
        </w:rPr>
        <w:t>por</w:t>
      </w:r>
      <w:r>
        <w:rPr>
          <w:color w:val="231F20"/>
          <w:spacing w:val="-3"/>
          <w:w w:val="110"/>
        </w:rPr>
        <w:t> </w:t>
      </w:r>
      <w:r>
        <w:rPr>
          <w:color w:val="231F20"/>
          <w:w w:val="110"/>
        </w:rPr>
        <w:t>ciento) tiene menos de 20 años, 30 por ciento (31 por ciento) se ubica entre</w:t>
      </w:r>
      <w:r>
        <w:rPr>
          <w:color w:val="231F20"/>
          <w:spacing w:val="-28"/>
          <w:w w:val="110"/>
        </w:rPr>
        <w:t> </w:t>
      </w:r>
      <w:r>
        <w:rPr>
          <w:color w:val="231F20"/>
          <w:w w:val="110"/>
        </w:rPr>
        <w:t>21-40 </w:t>
      </w:r>
      <w:r>
        <w:rPr>
          <w:color w:val="231F20"/>
          <w:spacing w:val="4"/>
          <w:w w:val="110"/>
        </w:rPr>
        <w:t>años, </w:t>
      </w:r>
      <w:r>
        <w:rPr>
          <w:color w:val="231F20"/>
          <w:spacing w:val="2"/>
          <w:w w:val="110"/>
        </w:rPr>
        <w:t>el </w:t>
      </w:r>
      <w:r>
        <w:rPr>
          <w:color w:val="231F20"/>
          <w:spacing w:val="4"/>
          <w:w w:val="110"/>
        </w:rPr>
        <w:t>resto </w:t>
      </w:r>
      <w:r>
        <w:rPr>
          <w:color w:val="231F20"/>
          <w:spacing w:val="3"/>
          <w:w w:val="110"/>
        </w:rPr>
        <w:t>(18 por </w:t>
      </w:r>
      <w:r>
        <w:rPr>
          <w:color w:val="231F20"/>
          <w:spacing w:val="4"/>
          <w:w w:val="110"/>
        </w:rPr>
        <w:t>ciento) tienen entre 41-60 años. </w:t>
      </w:r>
      <w:r>
        <w:rPr>
          <w:color w:val="231F20"/>
          <w:spacing w:val="2"/>
          <w:w w:val="110"/>
        </w:rPr>
        <w:t>En el </w:t>
      </w:r>
      <w:r>
        <w:rPr>
          <w:color w:val="231F20"/>
          <w:spacing w:val="4"/>
          <w:w w:val="110"/>
        </w:rPr>
        <w:t>grupo </w:t>
      </w:r>
      <w:r>
        <w:rPr>
          <w:color w:val="231F20"/>
          <w:spacing w:val="2"/>
          <w:w w:val="110"/>
        </w:rPr>
        <w:t>de </w:t>
      </w:r>
      <w:r>
        <w:rPr>
          <w:color w:val="231F20"/>
          <w:spacing w:val="3"/>
          <w:w w:val="110"/>
        </w:rPr>
        <w:t>21-40 </w:t>
      </w:r>
      <w:r>
        <w:rPr>
          <w:color w:val="231F20"/>
          <w:w w:val="110"/>
        </w:rPr>
        <w:t>años las mujeres son mayoría; edad en que se concentran los emi- grantes en esta región. Asimismo, se realizaron 53 entrevistas en profun- </w:t>
      </w:r>
      <w:r>
        <w:rPr>
          <w:color w:val="231F20"/>
          <w:spacing w:val="-3"/>
          <w:w w:val="110"/>
        </w:rPr>
        <w:t>didad</w:t>
      </w:r>
      <w:r>
        <w:rPr>
          <w:color w:val="231F20"/>
          <w:spacing w:val="-14"/>
          <w:w w:val="110"/>
        </w:rPr>
        <w:t> </w:t>
      </w:r>
      <w:r>
        <w:rPr>
          <w:color w:val="231F20"/>
          <w:spacing w:val="-4"/>
          <w:w w:val="110"/>
        </w:rPr>
        <w:t>con</w:t>
      </w:r>
      <w:r>
        <w:rPr>
          <w:color w:val="231F20"/>
          <w:spacing w:val="-14"/>
          <w:w w:val="110"/>
        </w:rPr>
        <w:t> </w:t>
      </w:r>
      <w:r>
        <w:rPr>
          <w:color w:val="231F20"/>
          <w:spacing w:val="-6"/>
          <w:w w:val="110"/>
        </w:rPr>
        <w:t>mujeres</w:t>
      </w:r>
      <w:r>
        <w:rPr>
          <w:color w:val="231F20"/>
          <w:spacing w:val="-14"/>
          <w:w w:val="110"/>
        </w:rPr>
        <w:t> </w:t>
      </w:r>
      <w:r>
        <w:rPr>
          <w:color w:val="231F20"/>
          <w:spacing w:val="-6"/>
          <w:w w:val="110"/>
        </w:rPr>
        <w:t>migrantes</w:t>
      </w:r>
      <w:r>
        <w:rPr>
          <w:color w:val="231F20"/>
          <w:spacing w:val="-14"/>
          <w:w w:val="110"/>
        </w:rPr>
        <w:t> </w:t>
      </w:r>
      <w:r>
        <w:rPr>
          <w:color w:val="231F20"/>
          <w:spacing w:val="-6"/>
          <w:w w:val="110"/>
        </w:rPr>
        <w:t>internacionales.</w:t>
      </w:r>
      <w:r>
        <w:rPr>
          <w:color w:val="231F20"/>
          <w:spacing w:val="-14"/>
          <w:w w:val="110"/>
        </w:rPr>
        <w:t> </w:t>
      </w:r>
      <w:r>
        <w:rPr>
          <w:color w:val="231F20"/>
          <w:spacing w:val="-3"/>
          <w:w w:val="110"/>
        </w:rPr>
        <w:t>El</w:t>
      </w:r>
      <w:r>
        <w:rPr>
          <w:color w:val="231F20"/>
          <w:spacing w:val="-14"/>
          <w:w w:val="110"/>
        </w:rPr>
        <w:t> </w:t>
      </w:r>
      <w:r>
        <w:rPr>
          <w:color w:val="231F20"/>
          <w:spacing w:val="-6"/>
          <w:w w:val="110"/>
        </w:rPr>
        <w:t>trabajo</w:t>
      </w:r>
      <w:r>
        <w:rPr>
          <w:color w:val="231F20"/>
          <w:spacing w:val="-14"/>
          <w:w w:val="110"/>
        </w:rPr>
        <w:t> </w:t>
      </w:r>
      <w:r>
        <w:rPr>
          <w:color w:val="231F20"/>
          <w:spacing w:val="-3"/>
          <w:w w:val="110"/>
        </w:rPr>
        <w:t>de</w:t>
      </w:r>
      <w:r>
        <w:rPr>
          <w:color w:val="231F20"/>
          <w:spacing w:val="-14"/>
          <w:w w:val="110"/>
        </w:rPr>
        <w:t> </w:t>
      </w:r>
      <w:r>
        <w:rPr>
          <w:color w:val="231F20"/>
          <w:spacing w:val="-5"/>
          <w:w w:val="110"/>
        </w:rPr>
        <w:t>campo</w:t>
      </w:r>
      <w:r>
        <w:rPr>
          <w:color w:val="231F20"/>
          <w:spacing w:val="-14"/>
          <w:w w:val="110"/>
        </w:rPr>
        <w:t> </w:t>
      </w:r>
      <w:r>
        <w:rPr>
          <w:color w:val="231F20"/>
          <w:spacing w:val="-4"/>
          <w:w w:val="110"/>
        </w:rPr>
        <w:t>fue</w:t>
      </w:r>
      <w:r>
        <w:rPr>
          <w:color w:val="231F20"/>
          <w:spacing w:val="-14"/>
          <w:w w:val="110"/>
        </w:rPr>
        <w:t> </w:t>
      </w:r>
      <w:r>
        <w:rPr>
          <w:color w:val="231F20"/>
          <w:spacing w:val="-6"/>
          <w:w w:val="110"/>
        </w:rPr>
        <w:t>realizado </w:t>
      </w:r>
      <w:r>
        <w:rPr>
          <w:color w:val="231F20"/>
          <w:w w:val="110"/>
        </w:rPr>
        <w:t>en 26 localidades del sur del Estado de México en los municipios de:</w:t>
      </w:r>
      <w:r>
        <w:rPr>
          <w:color w:val="231F20"/>
          <w:spacing w:val="-29"/>
          <w:w w:val="110"/>
        </w:rPr>
        <w:t> </w:t>
      </w:r>
      <w:r>
        <w:rPr>
          <w:color w:val="231F20"/>
          <w:w w:val="110"/>
        </w:rPr>
        <w:t>Almo- loya de Alquisiras, Coatepec Harinas, Ixtapan de la Sal, Tenancingo, </w:t>
      </w:r>
      <w:r>
        <w:rPr>
          <w:color w:val="231F20"/>
          <w:spacing w:val="-4"/>
          <w:w w:val="110"/>
        </w:rPr>
        <w:t>Tona- </w:t>
      </w:r>
      <w:r>
        <w:rPr>
          <w:color w:val="231F20"/>
          <w:w w:val="110"/>
        </w:rPr>
        <w:t>tico, Villa Guerrero y Zumpahuacán; se incluyen localidades con historia migratoria internacional desde el programa bracero y otras de migración emergente.</w:t>
      </w:r>
    </w:p>
    <w:p>
      <w:pPr>
        <w:pStyle w:val="BodyText"/>
        <w:spacing w:line="288" w:lineRule="auto"/>
        <w:ind w:left="119" w:right="116" w:firstLine="360"/>
        <w:jc w:val="both"/>
      </w:pPr>
      <w:r>
        <w:rPr>
          <w:color w:val="231F20"/>
          <w:w w:val="110"/>
        </w:rPr>
        <w:t>En</w:t>
      </w:r>
      <w:r>
        <w:rPr>
          <w:color w:val="231F20"/>
          <w:spacing w:val="-5"/>
          <w:w w:val="110"/>
        </w:rPr>
        <w:t> </w:t>
      </w:r>
      <w:r>
        <w:rPr>
          <w:color w:val="231F20"/>
          <w:w w:val="110"/>
        </w:rPr>
        <w:t>esta</w:t>
      </w:r>
      <w:r>
        <w:rPr>
          <w:color w:val="231F20"/>
          <w:spacing w:val="-5"/>
          <w:w w:val="110"/>
        </w:rPr>
        <w:t> </w:t>
      </w:r>
      <w:r>
        <w:rPr>
          <w:color w:val="231F20"/>
          <w:w w:val="110"/>
        </w:rPr>
        <w:t>zona</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entidad,</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década</w:t>
      </w:r>
      <w:r>
        <w:rPr>
          <w:color w:val="231F20"/>
          <w:spacing w:val="-5"/>
          <w:w w:val="110"/>
        </w:rPr>
        <w:t> </w:t>
      </w:r>
      <w:r>
        <w:rPr>
          <w:color w:val="231F20"/>
          <w:w w:val="110"/>
        </w:rPr>
        <w:t>de</w:t>
      </w:r>
      <w:r>
        <w:rPr>
          <w:color w:val="231F20"/>
          <w:spacing w:val="-5"/>
          <w:w w:val="110"/>
        </w:rPr>
        <w:t> </w:t>
      </w:r>
      <w:r>
        <w:rPr>
          <w:color w:val="231F20"/>
          <w:w w:val="110"/>
        </w:rPr>
        <w:t>1980</w:t>
      </w:r>
      <w:r>
        <w:rPr>
          <w:color w:val="231F20"/>
          <w:spacing w:val="-5"/>
          <w:w w:val="110"/>
        </w:rPr>
        <w:t> </w:t>
      </w:r>
      <w:r>
        <w:rPr>
          <w:color w:val="231F20"/>
          <w:w w:val="110"/>
        </w:rPr>
        <w:t>se</w:t>
      </w:r>
      <w:r>
        <w:rPr>
          <w:color w:val="231F20"/>
          <w:spacing w:val="-5"/>
          <w:w w:val="110"/>
        </w:rPr>
        <w:t> </w:t>
      </w:r>
      <w:r>
        <w:rPr>
          <w:color w:val="231F20"/>
          <w:w w:val="110"/>
        </w:rPr>
        <w:t>construyó</w:t>
      </w:r>
      <w:r>
        <w:rPr>
          <w:color w:val="231F20"/>
          <w:spacing w:val="-5"/>
          <w:w w:val="110"/>
        </w:rPr>
        <w:t> </w:t>
      </w:r>
      <w:r>
        <w:rPr>
          <w:color w:val="231F20"/>
          <w:w w:val="110"/>
        </w:rPr>
        <w:t>un</w:t>
      </w:r>
      <w:r>
        <w:rPr>
          <w:color w:val="231F20"/>
          <w:spacing w:val="-5"/>
          <w:w w:val="110"/>
        </w:rPr>
        <w:t> </w:t>
      </w:r>
      <w:r>
        <w:rPr>
          <w:color w:val="231F20"/>
          <w:w w:val="110"/>
        </w:rPr>
        <w:t>corre- dor florícola de invernadero (Villa Guerrero-Tenancingo), que aún se con- sidera la zona más importante en la producción y comercialización de flo- res en el país, pero los empleos que genera no han sido suficientes, ya que desde 1950 la región presenta un dinámico proceso de migración interna  e internacional que se mantiene hasta la fecha (Baca, 2011). Estos flujos hacia el exterior se fortalecieron en los años ochenta; por un lado, la apro- bación</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i/>
          <w:color w:val="231F20"/>
          <w:w w:val="110"/>
        </w:rPr>
        <w:t>Immigration</w:t>
      </w:r>
      <w:r>
        <w:rPr>
          <w:i/>
          <w:color w:val="231F20"/>
          <w:spacing w:val="-9"/>
          <w:w w:val="110"/>
        </w:rPr>
        <w:t> </w:t>
      </w:r>
      <w:r>
        <w:rPr>
          <w:i/>
          <w:color w:val="231F20"/>
          <w:w w:val="110"/>
        </w:rPr>
        <w:t>Reform</w:t>
      </w:r>
      <w:r>
        <w:rPr>
          <w:i/>
          <w:color w:val="231F20"/>
          <w:spacing w:val="-9"/>
          <w:w w:val="110"/>
        </w:rPr>
        <w:t> </w:t>
      </w:r>
      <w:r>
        <w:rPr>
          <w:i/>
          <w:color w:val="231F20"/>
          <w:w w:val="110"/>
        </w:rPr>
        <w:t>and</w:t>
      </w:r>
      <w:r>
        <w:rPr>
          <w:i/>
          <w:color w:val="231F20"/>
          <w:spacing w:val="-9"/>
          <w:w w:val="110"/>
        </w:rPr>
        <w:t> </w:t>
      </w:r>
      <w:r>
        <w:rPr>
          <w:i/>
          <w:color w:val="231F20"/>
          <w:w w:val="110"/>
        </w:rPr>
        <w:t>Control</w:t>
      </w:r>
      <w:r>
        <w:rPr>
          <w:i/>
          <w:color w:val="231F20"/>
          <w:spacing w:val="-9"/>
          <w:w w:val="110"/>
        </w:rPr>
        <w:t> </w:t>
      </w:r>
      <w:r>
        <w:rPr>
          <w:i/>
          <w:color w:val="231F20"/>
          <w:spacing w:val="-4"/>
          <w:w w:val="110"/>
        </w:rPr>
        <w:t>Act </w:t>
      </w:r>
      <w:r>
        <w:rPr>
          <w:color w:val="231F20"/>
          <w:w w:val="110"/>
        </w:rPr>
        <w:t>(</w:t>
      </w:r>
      <w:r>
        <w:rPr>
          <w:rFonts w:ascii="Times New Roman" w:hAnsi="Times New Roman"/>
          <w:color w:val="231F20"/>
          <w:w w:val="110"/>
          <w:sz w:val="16"/>
        </w:rPr>
        <w:t>IRCA</w:t>
      </w:r>
      <w:r>
        <w:rPr>
          <w:color w:val="231F20"/>
          <w:w w:val="110"/>
        </w:rPr>
        <w:t>),</w:t>
      </w:r>
      <w:r>
        <w:rPr>
          <w:color w:val="231F20"/>
          <w:spacing w:val="-4"/>
          <w:w w:val="110"/>
        </w:rPr>
        <w:t> </w:t>
      </w:r>
      <w:r>
        <w:rPr>
          <w:color w:val="231F20"/>
          <w:w w:val="110"/>
        </w:rPr>
        <w:t>en</w:t>
      </w:r>
      <w:r>
        <w:rPr>
          <w:color w:val="231F20"/>
          <w:spacing w:val="-4"/>
          <w:w w:val="110"/>
        </w:rPr>
        <w:t> </w:t>
      </w:r>
      <w:r>
        <w:rPr>
          <w:color w:val="231F20"/>
          <w:w w:val="110"/>
        </w:rPr>
        <w:t>Estados</w:t>
      </w:r>
      <w:r>
        <w:rPr>
          <w:color w:val="231F20"/>
          <w:spacing w:val="-4"/>
          <w:w w:val="110"/>
        </w:rPr>
        <w:t> </w:t>
      </w:r>
      <w:r>
        <w:rPr>
          <w:color w:val="231F20"/>
          <w:w w:val="110"/>
        </w:rPr>
        <w:t>Unidos, permitió que muchos migrantes de la región legalizaran su situación en ese país y se hicieran residentes, por otro, la crisis económica y la pobreza </w:t>
      </w:r>
      <w:r>
        <w:rPr>
          <w:color w:val="231F20"/>
          <w:spacing w:val="2"/>
          <w:w w:val="110"/>
        </w:rPr>
        <w:t>que </w:t>
      </w:r>
      <w:r>
        <w:rPr>
          <w:color w:val="231F20"/>
          <w:w w:val="110"/>
        </w:rPr>
        <w:t>se </w:t>
      </w:r>
      <w:r>
        <w:rPr>
          <w:color w:val="231F20"/>
          <w:spacing w:val="3"/>
          <w:w w:val="110"/>
        </w:rPr>
        <w:t>generó </w:t>
      </w:r>
      <w:r>
        <w:rPr>
          <w:color w:val="231F20"/>
          <w:w w:val="110"/>
        </w:rPr>
        <w:t>en  </w:t>
      </w:r>
      <w:r>
        <w:rPr>
          <w:color w:val="231F20"/>
          <w:spacing w:val="3"/>
          <w:w w:val="110"/>
        </w:rPr>
        <w:t>esta década impulsó </w:t>
      </w:r>
      <w:r>
        <w:rPr>
          <w:color w:val="231F20"/>
          <w:spacing w:val="2"/>
          <w:w w:val="110"/>
        </w:rPr>
        <w:t>una </w:t>
      </w:r>
      <w:r>
        <w:rPr>
          <w:color w:val="231F20"/>
          <w:spacing w:val="3"/>
          <w:w w:val="110"/>
        </w:rPr>
        <w:t>mayor migración. </w:t>
      </w:r>
      <w:r>
        <w:rPr>
          <w:color w:val="231F20"/>
          <w:w w:val="110"/>
        </w:rPr>
        <w:t>A  </w:t>
      </w:r>
      <w:r>
        <w:rPr>
          <w:color w:val="231F20"/>
          <w:spacing w:val="3"/>
          <w:w w:val="110"/>
        </w:rPr>
        <w:t>partir</w:t>
      </w:r>
      <w:r>
        <w:rPr>
          <w:color w:val="231F20"/>
          <w:spacing w:val="54"/>
          <w:w w:val="110"/>
        </w:rPr>
        <w:t> </w:t>
      </w:r>
      <w:r>
        <w:rPr>
          <w:color w:val="231F20"/>
          <w:w w:val="110"/>
        </w:rPr>
        <w:t>de los años noventa se incorporan nuevas localidades como expulsoras de migrantes internacionales y las mujeres aumentan su participación de</w:t>
      </w:r>
      <w:r>
        <w:rPr>
          <w:color w:val="231F20"/>
          <w:spacing w:val="-19"/>
          <w:w w:val="110"/>
        </w:rPr>
        <w:t> </w:t>
      </w:r>
      <w:r>
        <w:rPr>
          <w:color w:val="231F20"/>
          <w:w w:val="110"/>
        </w:rPr>
        <w:t>ma- nera sustantiva (Baca, 2011; Baca y Luna, 2015), circunstancia observable en</w:t>
      </w:r>
      <w:r>
        <w:rPr>
          <w:color w:val="231F20"/>
          <w:spacing w:val="-8"/>
          <w:w w:val="110"/>
        </w:rPr>
        <w:t> </w:t>
      </w:r>
      <w:r>
        <w:rPr>
          <w:color w:val="231F20"/>
          <w:w w:val="110"/>
        </w:rPr>
        <w:t>toda</w:t>
      </w:r>
      <w:r>
        <w:rPr>
          <w:color w:val="231F20"/>
          <w:spacing w:val="-8"/>
          <w:w w:val="110"/>
        </w:rPr>
        <w:t> </w:t>
      </w:r>
      <w:r>
        <w:rPr>
          <w:color w:val="231F20"/>
          <w:w w:val="110"/>
        </w:rPr>
        <w:t>la</w:t>
      </w:r>
      <w:r>
        <w:rPr>
          <w:color w:val="231F20"/>
          <w:spacing w:val="-8"/>
          <w:w w:val="110"/>
        </w:rPr>
        <w:t> </w:t>
      </w:r>
      <w:r>
        <w:rPr>
          <w:color w:val="231F20"/>
          <w:w w:val="110"/>
        </w:rPr>
        <w:t>entidad</w:t>
      </w:r>
      <w:r>
        <w:rPr>
          <w:color w:val="231F20"/>
          <w:spacing w:val="-8"/>
          <w:w w:val="110"/>
        </w:rPr>
        <w:t> </w:t>
      </w:r>
      <w:r>
        <w:rPr>
          <w:color w:val="231F20"/>
          <w:w w:val="110"/>
        </w:rPr>
        <w:t>(Salas,</w:t>
      </w:r>
      <w:r>
        <w:rPr>
          <w:color w:val="231F20"/>
          <w:spacing w:val="-8"/>
          <w:w w:val="110"/>
        </w:rPr>
        <w:t> </w:t>
      </w:r>
      <w:r>
        <w:rPr>
          <w:color w:val="231F20"/>
          <w:w w:val="110"/>
        </w:rPr>
        <w:t>2011).</w:t>
      </w:r>
    </w:p>
    <w:p>
      <w:pPr>
        <w:pStyle w:val="BodyText"/>
        <w:spacing w:line="288" w:lineRule="auto"/>
        <w:ind w:left="119" w:right="115" w:firstLine="360"/>
        <w:jc w:val="both"/>
      </w:pPr>
      <w:r>
        <w:rPr>
          <w:color w:val="231F20"/>
          <w:w w:val="110"/>
        </w:rPr>
        <w:t>Cinco estados de la Unión Americana fungen como principales desti- nos de los migrantes de esta región: Arizona, California, Illinois, Pensilva- nia y </w:t>
      </w:r>
      <w:r>
        <w:rPr>
          <w:color w:val="231F20"/>
          <w:spacing w:val="-3"/>
          <w:w w:val="110"/>
        </w:rPr>
        <w:t>Texas, </w:t>
      </w:r>
      <w:r>
        <w:rPr>
          <w:color w:val="231F20"/>
          <w:w w:val="110"/>
        </w:rPr>
        <w:t>pero éstos tienen presencia en 10 estados más. Además, la permanencia</w:t>
      </w:r>
      <w:r>
        <w:rPr>
          <w:color w:val="231F20"/>
          <w:spacing w:val="-7"/>
          <w:w w:val="110"/>
        </w:rPr>
        <w:t> </w:t>
      </w:r>
      <w:r>
        <w:rPr>
          <w:color w:val="231F20"/>
          <w:w w:val="110"/>
        </w:rPr>
        <w:t>del</w:t>
      </w:r>
      <w:r>
        <w:rPr>
          <w:color w:val="231F20"/>
          <w:spacing w:val="-7"/>
          <w:w w:val="110"/>
        </w:rPr>
        <w:t> </w:t>
      </w:r>
      <w:r>
        <w:rPr>
          <w:color w:val="231F20"/>
          <w:w w:val="110"/>
        </w:rPr>
        <w:t>proceso</w:t>
      </w:r>
      <w:r>
        <w:rPr>
          <w:color w:val="231F20"/>
          <w:spacing w:val="-7"/>
          <w:w w:val="110"/>
        </w:rPr>
        <w:t> </w:t>
      </w:r>
      <w:r>
        <w:rPr>
          <w:color w:val="231F20"/>
          <w:w w:val="110"/>
        </w:rPr>
        <w:t>migratorio</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región</w:t>
      </w:r>
      <w:r>
        <w:rPr>
          <w:color w:val="231F20"/>
          <w:spacing w:val="-7"/>
          <w:w w:val="110"/>
        </w:rPr>
        <w:t> </w:t>
      </w:r>
      <w:r>
        <w:rPr>
          <w:color w:val="231F20"/>
          <w:w w:val="110"/>
        </w:rPr>
        <w:t>ha</w:t>
      </w:r>
      <w:r>
        <w:rPr>
          <w:color w:val="231F20"/>
          <w:spacing w:val="-7"/>
          <w:w w:val="110"/>
        </w:rPr>
        <w:t> </w:t>
      </w:r>
      <w:r>
        <w:rPr>
          <w:color w:val="231F20"/>
          <w:w w:val="110"/>
        </w:rPr>
        <w:t>permitido</w:t>
      </w:r>
      <w:r>
        <w:rPr>
          <w:color w:val="231F20"/>
          <w:spacing w:val="-7"/>
          <w:w w:val="110"/>
        </w:rPr>
        <w:t> </w:t>
      </w:r>
      <w:r>
        <w:rPr>
          <w:color w:val="231F20"/>
          <w:w w:val="110"/>
        </w:rPr>
        <w:t>que</w:t>
      </w:r>
      <w:r>
        <w:rPr>
          <w:color w:val="231F20"/>
          <w:spacing w:val="-7"/>
          <w:w w:val="110"/>
        </w:rPr>
        <w:t> </w:t>
      </w:r>
      <w:r>
        <w:rPr>
          <w:color w:val="231F20"/>
          <w:w w:val="110"/>
        </w:rPr>
        <w:t>algunos</w:t>
      </w:r>
    </w:p>
    <w:p>
      <w:pPr>
        <w:spacing w:after="0" w:line="288" w:lineRule="auto"/>
        <w:jc w:val="both"/>
        <w:sectPr>
          <w:pgSz w:w="9520" w:h="12920"/>
          <w:pgMar w:header="0" w:footer="1344" w:top="880" w:bottom="1540" w:left="1000" w:right="1320"/>
        </w:sectPr>
      </w:pPr>
    </w:p>
    <w:p>
      <w:pPr>
        <w:pStyle w:val="BodyText"/>
        <w:spacing w:line="288" w:lineRule="auto" w:before="42"/>
        <w:ind w:left="124" w:right="112"/>
        <w:jc w:val="both"/>
      </w:pPr>
      <w:r>
        <w:rPr>
          <w:color w:val="231F20"/>
          <w:w w:val="110"/>
        </w:rPr>
        <w:t>destinos se vinculen con algunos lugares de origen formando circuitos migratorios, los más activos se ubican entre </w:t>
      </w:r>
      <w:r>
        <w:rPr>
          <w:color w:val="231F20"/>
          <w:spacing w:val="-3"/>
          <w:w w:val="110"/>
        </w:rPr>
        <w:t>Tonatico </w:t>
      </w:r>
      <w:r>
        <w:rPr>
          <w:color w:val="231F20"/>
          <w:w w:val="110"/>
        </w:rPr>
        <w:t>y Coatepec Harinas </w:t>
      </w:r>
      <w:r>
        <w:rPr>
          <w:color w:val="231F20"/>
          <w:spacing w:val="-3"/>
          <w:w w:val="110"/>
        </w:rPr>
        <w:t>con </w:t>
      </w:r>
      <w:r>
        <w:rPr>
          <w:color w:val="231F20"/>
          <w:spacing w:val="-4"/>
          <w:w w:val="110"/>
        </w:rPr>
        <w:t>Illinois, Almoloya </w:t>
      </w:r>
      <w:r>
        <w:rPr>
          <w:color w:val="231F20"/>
          <w:w w:val="110"/>
        </w:rPr>
        <w:t>de </w:t>
      </w:r>
      <w:r>
        <w:rPr>
          <w:color w:val="231F20"/>
          <w:spacing w:val="-5"/>
          <w:w w:val="110"/>
        </w:rPr>
        <w:t>Alquisiras-Pennsylvania </w:t>
      </w:r>
      <w:r>
        <w:rPr>
          <w:color w:val="231F20"/>
          <w:w w:val="110"/>
        </w:rPr>
        <w:t>y </w:t>
      </w:r>
      <w:r>
        <w:rPr>
          <w:color w:val="231F20"/>
          <w:spacing w:val="-5"/>
          <w:w w:val="110"/>
        </w:rPr>
        <w:t>Villa </w:t>
      </w:r>
      <w:r>
        <w:rPr>
          <w:color w:val="231F20"/>
          <w:spacing w:val="-4"/>
          <w:w w:val="110"/>
        </w:rPr>
        <w:t>Guerrero-California. </w:t>
      </w:r>
      <w:r>
        <w:rPr>
          <w:color w:val="231F20"/>
          <w:w w:val="110"/>
        </w:rPr>
        <w:t>Quienes pueden hacerlo, cada cierto tiempo se desplazan entre uno y otro lugar, de manera constante mantienen lazos con sus comunidades y en especial con sus familias a través del flujo de información, de bienes mate- riales y simbólicos (Baca, 2011).</w:t>
      </w:r>
    </w:p>
    <w:p>
      <w:pPr>
        <w:pStyle w:val="BodyText"/>
      </w:pPr>
    </w:p>
    <w:p>
      <w:pPr>
        <w:pStyle w:val="BodyText"/>
        <w:spacing w:before="10"/>
        <w:rPr>
          <w:sz w:val="24"/>
        </w:rPr>
      </w:pPr>
    </w:p>
    <w:p>
      <w:pPr>
        <w:spacing w:before="0"/>
        <w:ind w:left="124" w:right="0" w:firstLine="0"/>
        <w:jc w:val="both"/>
        <w:rPr>
          <w:rFonts w:ascii="Times New Roman" w:hAnsi="Times New Roman"/>
          <w:i/>
          <w:sz w:val="24"/>
        </w:rPr>
      </w:pPr>
      <w:r>
        <w:rPr>
          <w:rFonts w:ascii="Times New Roman" w:hAnsi="Times New Roman"/>
          <w:i/>
          <w:color w:val="231F20"/>
          <w:sz w:val="24"/>
        </w:rPr>
        <w:t>¿P</w:t>
      </w:r>
      <w:r>
        <w:rPr>
          <w:rFonts w:ascii="Times New Roman" w:hAnsi="Times New Roman"/>
          <w:i/>
          <w:color w:val="231F20"/>
          <w:sz w:val="19"/>
        </w:rPr>
        <w:t>OR QUÉ</w:t>
      </w:r>
      <w:r>
        <w:rPr>
          <w:rFonts w:ascii="Times New Roman" w:hAnsi="Times New Roman"/>
          <w:i/>
          <w:color w:val="231F20"/>
          <w:sz w:val="24"/>
        </w:rPr>
        <w:t>, </w:t>
      </w:r>
      <w:r>
        <w:rPr>
          <w:rFonts w:ascii="Times New Roman" w:hAnsi="Times New Roman"/>
          <w:i/>
          <w:color w:val="231F20"/>
          <w:sz w:val="19"/>
        </w:rPr>
        <w:t>A DÓNDE Y CÓMO MIGRAR</w:t>
      </w:r>
      <w:r>
        <w:rPr>
          <w:rFonts w:ascii="Times New Roman" w:hAnsi="Times New Roman"/>
          <w:i/>
          <w:color w:val="231F20"/>
          <w:sz w:val="24"/>
        </w:rPr>
        <w:t>?</w:t>
      </w:r>
    </w:p>
    <w:p>
      <w:pPr>
        <w:pStyle w:val="BodyText"/>
        <w:spacing w:before="9"/>
        <w:rPr>
          <w:rFonts w:ascii="Times New Roman"/>
          <w:i/>
          <w:sz w:val="27"/>
        </w:rPr>
      </w:pPr>
    </w:p>
    <w:p>
      <w:pPr>
        <w:pStyle w:val="BodyText"/>
        <w:spacing w:line="288" w:lineRule="auto"/>
        <w:ind w:left="124" w:right="110"/>
        <w:jc w:val="both"/>
      </w:pPr>
      <w:r>
        <w:rPr>
          <w:color w:val="231F20"/>
          <w:w w:val="110"/>
        </w:rPr>
        <w:t>Aunque existen hipótesis al respecto, poco se sabe sobre cómo se toma la decisión de emigrar, cómo las mujeres y los hombres acceden de forma efectiva a la migración, las restricciones que cada uno deben superar y los medios que emplean. Las perspectivas pioneras de la migración</w:t>
      </w:r>
      <w:r>
        <w:rPr>
          <w:color w:val="231F20"/>
          <w:spacing w:val="-30"/>
          <w:w w:val="110"/>
        </w:rPr>
        <w:t> </w:t>
      </w:r>
      <w:r>
        <w:rPr>
          <w:color w:val="231F20"/>
          <w:w w:val="110"/>
        </w:rPr>
        <w:t>proponían que</w:t>
      </w:r>
      <w:r>
        <w:rPr>
          <w:color w:val="231F20"/>
          <w:spacing w:val="-10"/>
          <w:w w:val="110"/>
        </w:rPr>
        <w:t> </w:t>
      </w:r>
      <w:r>
        <w:rPr>
          <w:color w:val="231F20"/>
          <w:w w:val="110"/>
        </w:rPr>
        <w:t>las</w:t>
      </w:r>
      <w:r>
        <w:rPr>
          <w:color w:val="231F20"/>
          <w:spacing w:val="-10"/>
          <w:w w:val="110"/>
        </w:rPr>
        <w:t> </w:t>
      </w:r>
      <w:r>
        <w:rPr>
          <w:color w:val="231F20"/>
          <w:w w:val="110"/>
        </w:rPr>
        <w:t>decisiones</w:t>
      </w:r>
      <w:r>
        <w:rPr>
          <w:color w:val="231F20"/>
          <w:spacing w:val="-10"/>
          <w:w w:val="110"/>
        </w:rPr>
        <w:t> </w:t>
      </w:r>
      <w:r>
        <w:rPr>
          <w:color w:val="231F20"/>
          <w:w w:val="110"/>
        </w:rPr>
        <w:t>de</w:t>
      </w:r>
      <w:r>
        <w:rPr>
          <w:color w:val="231F20"/>
          <w:spacing w:val="-10"/>
          <w:w w:val="110"/>
        </w:rPr>
        <w:t> </w:t>
      </w:r>
      <w:r>
        <w:rPr>
          <w:color w:val="231F20"/>
          <w:w w:val="110"/>
        </w:rPr>
        <w:t>migración</w:t>
      </w:r>
      <w:r>
        <w:rPr>
          <w:color w:val="231F20"/>
          <w:spacing w:val="-10"/>
          <w:w w:val="110"/>
        </w:rPr>
        <w:t> </w:t>
      </w:r>
      <w:r>
        <w:rPr>
          <w:color w:val="231F20"/>
          <w:w w:val="110"/>
        </w:rPr>
        <w:t>las</w:t>
      </w:r>
      <w:r>
        <w:rPr>
          <w:color w:val="231F20"/>
          <w:spacing w:val="-10"/>
          <w:w w:val="110"/>
        </w:rPr>
        <w:t> </w:t>
      </w:r>
      <w:r>
        <w:rPr>
          <w:color w:val="231F20"/>
          <w:w w:val="110"/>
        </w:rPr>
        <w:t>tomaban</w:t>
      </w:r>
      <w:r>
        <w:rPr>
          <w:color w:val="231F20"/>
          <w:spacing w:val="-10"/>
          <w:w w:val="110"/>
        </w:rPr>
        <w:t> </w:t>
      </w:r>
      <w:r>
        <w:rPr>
          <w:color w:val="231F20"/>
          <w:w w:val="110"/>
        </w:rPr>
        <w:t>los</w:t>
      </w:r>
      <w:r>
        <w:rPr>
          <w:color w:val="231F20"/>
          <w:spacing w:val="-10"/>
          <w:w w:val="110"/>
        </w:rPr>
        <w:t> </w:t>
      </w:r>
      <w:r>
        <w:rPr>
          <w:color w:val="231F20"/>
          <w:w w:val="110"/>
        </w:rPr>
        <w:t>individuos</w:t>
      </w:r>
      <w:r>
        <w:rPr>
          <w:color w:val="231F20"/>
          <w:spacing w:val="-10"/>
          <w:w w:val="110"/>
        </w:rPr>
        <w:t> </w:t>
      </w:r>
      <w:r>
        <w:rPr>
          <w:color w:val="231F20"/>
          <w:w w:val="110"/>
        </w:rPr>
        <w:t>como</w:t>
      </w:r>
      <w:r>
        <w:rPr>
          <w:color w:val="231F20"/>
          <w:spacing w:val="-10"/>
          <w:w w:val="110"/>
        </w:rPr>
        <w:t> </w:t>
      </w:r>
      <w:r>
        <w:rPr>
          <w:color w:val="231F20"/>
          <w:w w:val="110"/>
        </w:rPr>
        <w:t>respuesta a la diferencia salarial entre regiones (Lewis, 1954), además de la</w:t>
      </w:r>
      <w:r>
        <w:rPr>
          <w:color w:val="231F20"/>
          <w:spacing w:val="-27"/>
          <w:w w:val="110"/>
        </w:rPr>
        <w:t> </w:t>
      </w:r>
      <w:r>
        <w:rPr>
          <w:color w:val="231F20"/>
          <w:w w:val="110"/>
        </w:rPr>
        <w:t>probabi- lidad que el propio migrante asignaba a la idea de conseguir empleo en su destino (Todaro, 1969). Luego se argumentó que los ingresos familiares, más que individuales, motivaban la migración en razón de que una familia es menos móvil que un individuo </w:t>
      </w:r>
      <w:r>
        <w:rPr>
          <w:color w:val="231F20"/>
          <w:spacing w:val="-3"/>
          <w:w w:val="110"/>
        </w:rPr>
        <w:t>(Mincer, </w:t>
      </w:r>
      <w:r>
        <w:rPr>
          <w:color w:val="231F20"/>
          <w:w w:val="110"/>
        </w:rPr>
        <w:t>1978). En otra visión, las fami- lias consensan enviar los migrantes que garantizan incrementar el ingreso familiar que les ayuden a superar las restricciones de capital y</w:t>
      </w:r>
      <w:r>
        <w:rPr>
          <w:color w:val="231F20"/>
          <w:spacing w:val="-24"/>
          <w:w w:val="110"/>
        </w:rPr>
        <w:t> </w:t>
      </w:r>
      <w:r>
        <w:rPr>
          <w:color w:val="231F20"/>
          <w:w w:val="110"/>
        </w:rPr>
        <w:t>productivas </w:t>
      </w:r>
      <w:r>
        <w:rPr>
          <w:color w:val="231F20"/>
          <w:spacing w:val="-3"/>
          <w:w w:val="110"/>
        </w:rPr>
        <w:t>(Taylor, </w:t>
      </w:r>
      <w:r>
        <w:rPr>
          <w:color w:val="231F20"/>
          <w:w w:val="110"/>
        </w:rPr>
        <w:t>1995; Stark, 1982). Tomando como referencia el caso mexicano, otros autores (Massey y Espinosa, 1997), argumentan que la migración internacional es un proceso acumulativo, basado en la extensión de redes sociales y en las condiciones estructurales de las comunidades expulsoras. Murphy y Stepick (1991: 139), señalan que, en el caso concreto de ciertas comunidades oaxaqueñas, es la familia quien determina si debe o no mi- grar algún miembro, mientras otros autores sostienen que es la propia historia migratoria y los coyotes de la región los que incorporan a la gente (López y Runsten, 2004: 292; Dinerman, 1983:</w:t>
      </w:r>
      <w:r>
        <w:rPr>
          <w:color w:val="231F20"/>
          <w:spacing w:val="-10"/>
          <w:w w:val="110"/>
        </w:rPr>
        <w:t> </w:t>
      </w:r>
      <w:r>
        <w:rPr>
          <w:color w:val="231F20"/>
          <w:w w:val="110"/>
        </w:rPr>
        <w:t>29).</w:t>
      </w:r>
    </w:p>
    <w:p>
      <w:pPr>
        <w:pStyle w:val="BodyText"/>
        <w:spacing w:line="288" w:lineRule="auto"/>
        <w:ind w:left="124" w:right="112" w:firstLine="360"/>
        <w:jc w:val="both"/>
      </w:pPr>
      <w:r>
        <w:rPr>
          <w:color w:val="231F20"/>
          <w:w w:val="110"/>
        </w:rPr>
        <w:t>En</w:t>
      </w:r>
      <w:r>
        <w:rPr>
          <w:color w:val="231F20"/>
          <w:spacing w:val="-10"/>
          <w:w w:val="110"/>
        </w:rPr>
        <w:t> </w:t>
      </w:r>
      <w:r>
        <w:rPr>
          <w:color w:val="231F20"/>
          <w:w w:val="110"/>
        </w:rPr>
        <w:t>este</w:t>
      </w:r>
      <w:r>
        <w:rPr>
          <w:color w:val="231F20"/>
          <w:spacing w:val="-10"/>
          <w:w w:val="110"/>
        </w:rPr>
        <w:t> </w:t>
      </w:r>
      <w:r>
        <w:rPr>
          <w:color w:val="231F20"/>
          <w:w w:val="110"/>
        </w:rPr>
        <w:t>estudio,</w:t>
      </w:r>
      <w:r>
        <w:rPr>
          <w:color w:val="231F20"/>
          <w:spacing w:val="-10"/>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sur</w:t>
      </w:r>
      <w:r>
        <w:rPr>
          <w:color w:val="231F20"/>
          <w:spacing w:val="-10"/>
          <w:w w:val="110"/>
        </w:rPr>
        <w:t> </w:t>
      </w:r>
      <w:r>
        <w:rPr>
          <w:color w:val="231F20"/>
          <w:spacing w:val="-3"/>
          <w:w w:val="110"/>
        </w:rPr>
        <w:t>mexiquense,</w:t>
      </w:r>
      <w:r>
        <w:rPr>
          <w:color w:val="231F20"/>
          <w:spacing w:val="-10"/>
          <w:w w:val="110"/>
        </w:rPr>
        <w:t> </w:t>
      </w:r>
      <w:r>
        <w:rPr>
          <w:color w:val="231F20"/>
          <w:w w:val="110"/>
        </w:rPr>
        <w:t>la</w:t>
      </w:r>
      <w:r>
        <w:rPr>
          <w:color w:val="231F20"/>
          <w:spacing w:val="-10"/>
          <w:w w:val="110"/>
        </w:rPr>
        <w:t> </w:t>
      </w:r>
      <w:r>
        <w:rPr>
          <w:color w:val="231F20"/>
          <w:w w:val="110"/>
        </w:rPr>
        <w:t>información</w:t>
      </w:r>
      <w:r>
        <w:rPr>
          <w:color w:val="231F20"/>
          <w:spacing w:val="-10"/>
          <w:w w:val="110"/>
        </w:rPr>
        <w:t> </w:t>
      </w:r>
      <w:r>
        <w:rPr>
          <w:color w:val="231F20"/>
          <w:w w:val="110"/>
        </w:rPr>
        <w:t>de</w:t>
      </w:r>
      <w:r>
        <w:rPr>
          <w:color w:val="231F20"/>
          <w:spacing w:val="-10"/>
          <w:w w:val="110"/>
        </w:rPr>
        <w:t> </w:t>
      </w:r>
      <w:r>
        <w:rPr>
          <w:color w:val="231F20"/>
          <w:w w:val="110"/>
        </w:rPr>
        <w:t>campo</w:t>
      </w:r>
      <w:r>
        <w:rPr>
          <w:color w:val="231F20"/>
          <w:spacing w:val="-10"/>
          <w:w w:val="110"/>
        </w:rPr>
        <w:t> </w:t>
      </w:r>
      <w:r>
        <w:rPr>
          <w:color w:val="231F20"/>
          <w:w w:val="110"/>
        </w:rPr>
        <w:t>muestra una diferencia salarial entre el mercado laboral local y el de Estados Uni- dos, y ello aparece como el factor primario para iniciarse en esta</w:t>
      </w:r>
      <w:r>
        <w:rPr>
          <w:color w:val="231F20"/>
          <w:spacing w:val="-26"/>
          <w:w w:val="110"/>
        </w:rPr>
        <w:t> </w:t>
      </w:r>
      <w:r>
        <w:rPr>
          <w:color w:val="231F20"/>
          <w:w w:val="110"/>
        </w:rPr>
        <w:t>actividad, aunque en realidad hay más motivos para tomar la decisión y el riesgo </w:t>
      </w:r>
      <w:r>
        <w:rPr>
          <w:color w:val="231F20"/>
          <w:spacing w:val="41"/>
          <w:w w:val="110"/>
        </w:rPr>
        <w:t> </w:t>
      </w:r>
      <w:r>
        <w:rPr>
          <w:color w:val="231F20"/>
          <w:w w:val="110"/>
        </w:rPr>
        <w:t>de</w:t>
      </w:r>
    </w:p>
    <w:p>
      <w:pPr>
        <w:spacing w:after="0" w:line="288" w:lineRule="auto"/>
        <w:jc w:val="both"/>
        <w:sectPr>
          <w:pgSz w:w="9520" w:h="12920"/>
          <w:pgMar w:header="0" w:footer="1344" w:top="880" w:bottom="1540" w:left="1320" w:right="1000"/>
        </w:sectPr>
      </w:pPr>
    </w:p>
    <w:p>
      <w:pPr>
        <w:pStyle w:val="BodyText"/>
        <w:spacing w:line="288" w:lineRule="auto" w:before="42"/>
        <w:ind w:left="120" w:right="115"/>
        <w:jc w:val="both"/>
      </w:pPr>
      <w:r>
        <w:rPr>
          <w:color w:val="231F20"/>
          <w:spacing w:val="-3"/>
          <w:w w:val="110"/>
        </w:rPr>
        <w:t>migrar. </w:t>
      </w:r>
      <w:r>
        <w:rPr>
          <w:color w:val="231F20"/>
          <w:w w:val="110"/>
        </w:rPr>
        <w:t>Nueve de cada 10 migraron para buscar oportunidades socioeco- nómicas</w:t>
      </w:r>
      <w:r>
        <w:rPr>
          <w:color w:val="231F20"/>
          <w:spacing w:val="-7"/>
          <w:w w:val="110"/>
        </w:rPr>
        <w:t> </w:t>
      </w:r>
      <w:r>
        <w:rPr>
          <w:color w:val="231F20"/>
          <w:w w:val="110"/>
        </w:rPr>
        <w:t>(93</w:t>
      </w:r>
      <w:r>
        <w:rPr>
          <w:color w:val="231F20"/>
          <w:spacing w:val="-7"/>
          <w:w w:val="110"/>
        </w:rPr>
        <w:t> </w:t>
      </w:r>
      <w:r>
        <w:rPr>
          <w:color w:val="231F20"/>
          <w:w w:val="110"/>
        </w:rPr>
        <w:t>por</w:t>
      </w:r>
      <w:r>
        <w:rPr>
          <w:color w:val="231F20"/>
          <w:spacing w:val="-7"/>
          <w:w w:val="110"/>
        </w:rPr>
        <w:t> </w:t>
      </w:r>
      <w:r>
        <w:rPr>
          <w:color w:val="231F20"/>
          <w:w w:val="110"/>
        </w:rPr>
        <w:t>ciento).</w:t>
      </w:r>
      <w:r>
        <w:rPr>
          <w:color w:val="231F20"/>
          <w:spacing w:val="-7"/>
          <w:w w:val="110"/>
        </w:rPr>
        <w:t> </w:t>
      </w:r>
      <w:r>
        <w:rPr>
          <w:color w:val="231F20"/>
          <w:w w:val="110"/>
        </w:rPr>
        <w:t>En</w:t>
      </w:r>
      <w:r>
        <w:rPr>
          <w:color w:val="231F20"/>
          <w:spacing w:val="-7"/>
          <w:w w:val="110"/>
        </w:rPr>
        <w:t> </w:t>
      </w:r>
      <w:r>
        <w:rPr>
          <w:color w:val="231F20"/>
          <w:w w:val="110"/>
        </w:rPr>
        <w:t>10</w:t>
      </w:r>
      <w:r>
        <w:rPr>
          <w:color w:val="231F20"/>
          <w:spacing w:val="-7"/>
          <w:w w:val="110"/>
        </w:rPr>
        <w:t> </w:t>
      </w:r>
      <w:r>
        <w:rPr>
          <w:color w:val="231F20"/>
          <w:w w:val="110"/>
        </w:rPr>
        <w:t>migrantes,</w:t>
      </w:r>
      <w:r>
        <w:rPr>
          <w:color w:val="231F20"/>
          <w:spacing w:val="-7"/>
          <w:w w:val="110"/>
        </w:rPr>
        <w:t> </w:t>
      </w:r>
      <w:r>
        <w:rPr>
          <w:color w:val="231F20"/>
          <w:w w:val="110"/>
        </w:rPr>
        <w:t>casi</w:t>
      </w:r>
      <w:r>
        <w:rPr>
          <w:color w:val="231F20"/>
          <w:spacing w:val="-7"/>
          <w:w w:val="110"/>
        </w:rPr>
        <w:t> </w:t>
      </w:r>
      <w:r>
        <w:rPr>
          <w:color w:val="231F20"/>
          <w:w w:val="110"/>
        </w:rPr>
        <w:t>tres</w:t>
      </w:r>
      <w:r>
        <w:rPr>
          <w:color w:val="231F20"/>
          <w:spacing w:val="-7"/>
          <w:w w:val="110"/>
        </w:rPr>
        <w:t> </w:t>
      </w:r>
      <w:r>
        <w:rPr>
          <w:color w:val="231F20"/>
          <w:w w:val="110"/>
        </w:rPr>
        <w:t>mujeres</w:t>
      </w:r>
      <w:r>
        <w:rPr>
          <w:color w:val="231F20"/>
          <w:spacing w:val="-7"/>
          <w:w w:val="110"/>
        </w:rPr>
        <w:t> </w:t>
      </w:r>
      <w:r>
        <w:rPr>
          <w:color w:val="231F20"/>
          <w:w w:val="110"/>
        </w:rPr>
        <w:t>(29</w:t>
      </w:r>
      <w:r>
        <w:rPr>
          <w:color w:val="231F20"/>
          <w:spacing w:val="-7"/>
          <w:w w:val="110"/>
        </w:rPr>
        <w:t> </w:t>
      </w:r>
      <w:r>
        <w:rPr>
          <w:color w:val="231F20"/>
          <w:w w:val="110"/>
        </w:rPr>
        <w:t>por</w:t>
      </w:r>
      <w:r>
        <w:rPr>
          <w:color w:val="231F20"/>
          <w:spacing w:val="-7"/>
          <w:w w:val="110"/>
        </w:rPr>
        <w:t> </w:t>
      </w:r>
      <w:r>
        <w:rPr>
          <w:color w:val="231F20"/>
          <w:w w:val="110"/>
        </w:rPr>
        <w:t>ciento) y dos </w:t>
      </w:r>
      <w:r>
        <w:rPr>
          <w:color w:val="231F20"/>
          <w:spacing w:val="2"/>
          <w:w w:val="110"/>
        </w:rPr>
        <w:t>hombres </w:t>
      </w:r>
      <w:r>
        <w:rPr>
          <w:color w:val="231F20"/>
          <w:w w:val="110"/>
        </w:rPr>
        <w:t>(21 por </w:t>
      </w:r>
      <w:r>
        <w:rPr>
          <w:color w:val="231F20"/>
          <w:spacing w:val="2"/>
          <w:w w:val="110"/>
        </w:rPr>
        <w:t>ciento), migraron para conseguir empleo, otros </w:t>
      </w:r>
      <w:r>
        <w:rPr>
          <w:color w:val="231F20"/>
          <w:w w:val="110"/>
        </w:rPr>
        <w:t>cuatro (hombres y mujeres) se fueron por carecer de empleo estable, el </w:t>
      </w:r>
      <w:r>
        <w:rPr>
          <w:color w:val="231F20"/>
          <w:spacing w:val="-4"/>
          <w:w w:val="110"/>
        </w:rPr>
        <w:t>resto </w:t>
      </w:r>
      <w:r>
        <w:rPr>
          <w:color w:val="231F20"/>
          <w:spacing w:val="-3"/>
          <w:w w:val="110"/>
        </w:rPr>
        <w:t>por </w:t>
      </w:r>
      <w:r>
        <w:rPr>
          <w:color w:val="231F20"/>
          <w:spacing w:val="-4"/>
          <w:w w:val="110"/>
        </w:rPr>
        <w:t>otras causas. </w:t>
      </w:r>
      <w:r>
        <w:rPr>
          <w:color w:val="231F20"/>
          <w:w w:val="110"/>
        </w:rPr>
        <w:t>Si </w:t>
      </w:r>
      <w:r>
        <w:rPr>
          <w:color w:val="231F20"/>
          <w:spacing w:val="-3"/>
          <w:w w:val="110"/>
        </w:rPr>
        <w:t>bien las </w:t>
      </w:r>
      <w:r>
        <w:rPr>
          <w:color w:val="231F20"/>
          <w:spacing w:val="-4"/>
          <w:w w:val="110"/>
        </w:rPr>
        <w:t>personas migran buscando oportunidades, </w:t>
      </w:r>
      <w:r>
        <w:rPr>
          <w:color w:val="231F20"/>
          <w:w w:val="110"/>
        </w:rPr>
        <w:t>realmente cada uno busca distintos niveles de bienestar en el exterior;</w:t>
      </w:r>
      <w:r>
        <w:rPr>
          <w:color w:val="231F20"/>
          <w:spacing w:val="-15"/>
          <w:w w:val="110"/>
        </w:rPr>
        <w:t> </w:t>
      </w:r>
      <w:r>
        <w:rPr>
          <w:color w:val="231F20"/>
          <w:w w:val="110"/>
        </w:rPr>
        <w:t>por ejemplo, los migrantes iniciales buscan obtener empleos para construir sus casas y alimentar a sus familias, mientras que los migrantes recurren- tes buscan estabilidad económica y familiar, llevar a su familia para allá, hacer ahorros, establecer emprendimientos y objetivos más productivos. No todos los migrantes logran tener éxito; en este estudio se destaca que la migración internacional no es garantía. En la región, casi un tercio de hogares con migrantes no recibe remesas, los demás reciben a la quincena (41 por ciento), al mes (31 por ciento) y en tiempos</w:t>
      </w:r>
      <w:r>
        <w:rPr>
          <w:color w:val="231F20"/>
          <w:spacing w:val="-23"/>
          <w:w w:val="110"/>
        </w:rPr>
        <w:t> </w:t>
      </w:r>
      <w:r>
        <w:rPr>
          <w:color w:val="231F20"/>
          <w:w w:val="110"/>
        </w:rPr>
        <w:t>dispersos.</w:t>
      </w:r>
    </w:p>
    <w:p>
      <w:pPr>
        <w:pStyle w:val="BodyText"/>
        <w:spacing w:line="288" w:lineRule="auto"/>
        <w:ind w:left="120" w:right="118" w:firstLine="360"/>
        <w:jc w:val="both"/>
      </w:pPr>
      <w:r>
        <w:rPr>
          <w:color w:val="231F20"/>
          <w:w w:val="110"/>
        </w:rPr>
        <w:t>En</w:t>
      </w:r>
      <w:r>
        <w:rPr>
          <w:color w:val="231F20"/>
          <w:spacing w:val="-8"/>
          <w:w w:val="110"/>
        </w:rPr>
        <w:t> </w:t>
      </w:r>
      <w:r>
        <w:rPr>
          <w:color w:val="231F20"/>
          <w:w w:val="110"/>
        </w:rPr>
        <w:t>esta</w:t>
      </w:r>
      <w:r>
        <w:rPr>
          <w:color w:val="231F20"/>
          <w:spacing w:val="-8"/>
          <w:w w:val="110"/>
        </w:rPr>
        <w:t> </w:t>
      </w:r>
      <w:r>
        <w:rPr>
          <w:color w:val="231F20"/>
          <w:w w:val="110"/>
        </w:rPr>
        <w:t>región,</w:t>
      </w:r>
      <w:r>
        <w:rPr>
          <w:color w:val="231F20"/>
          <w:spacing w:val="-8"/>
          <w:w w:val="110"/>
        </w:rPr>
        <w:t> </w:t>
      </w:r>
      <w:r>
        <w:rPr>
          <w:color w:val="231F20"/>
          <w:w w:val="110"/>
        </w:rPr>
        <w:t>por</w:t>
      </w:r>
      <w:r>
        <w:rPr>
          <w:color w:val="231F20"/>
          <w:spacing w:val="-8"/>
          <w:w w:val="110"/>
        </w:rPr>
        <w:t> </w:t>
      </w:r>
      <w:r>
        <w:rPr>
          <w:color w:val="231F20"/>
          <w:w w:val="110"/>
        </w:rPr>
        <w:t>cada</w:t>
      </w:r>
      <w:r>
        <w:rPr>
          <w:color w:val="231F20"/>
          <w:spacing w:val="-8"/>
          <w:w w:val="110"/>
        </w:rPr>
        <w:t> </w:t>
      </w:r>
      <w:r>
        <w:rPr>
          <w:color w:val="231F20"/>
          <w:w w:val="110"/>
        </w:rPr>
        <w:t>mujer</w:t>
      </w:r>
      <w:r>
        <w:rPr>
          <w:color w:val="231F20"/>
          <w:spacing w:val="-8"/>
          <w:w w:val="110"/>
        </w:rPr>
        <w:t> </w:t>
      </w:r>
      <w:r>
        <w:rPr>
          <w:color w:val="231F20"/>
          <w:w w:val="110"/>
        </w:rPr>
        <w:t>migrante</w:t>
      </w:r>
      <w:r>
        <w:rPr>
          <w:color w:val="231F20"/>
          <w:spacing w:val="-8"/>
          <w:w w:val="110"/>
        </w:rPr>
        <w:t> </w:t>
      </w:r>
      <w:r>
        <w:rPr>
          <w:color w:val="231F20"/>
          <w:w w:val="110"/>
        </w:rPr>
        <w:t>hay</w:t>
      </w:r>
      <w:r>
        <w:rPr>
          <w:color w:val="231F20"/>
          <w:spacing w:val="-8"/>
          <w:w w:val="110"/>
        </w:rPr>
        <w:t> </w:t>
      </w:r>
      <w:r>
        <w:rPr>
          <w:color w:val="231F20"/>
          <w:w w:val="110"/>
        </w:rPr>
        <w:t>por</w:t>
      </w:r>
      <w:r>
        <w:rPr>
          <w:color w:val="231F20"/>
          <w:spacing w:val="-8"/>
          <w:w w:val="110"/>
        </w:rPr>
        <w:t> </w:t>
      </w:r>
      <w:r>
        <w:rPr>
          <w:color w:val="231F20"/>
          <w:w w:val="110"/>
        </w:rPr>
        <w:t>lo</w:t>
      </w:r>
      <w:r>
        <w:rPr>
          <w:color w:val="231F20"/>
          <w:spacing w:val="-8"/>
          <w:w w:val="110"/>
        </w:rPr>
        <w:t> </w:t>
      </w:r>
      <w:r>
        <w:rPr>
          <w:color w:val="231F20"/>
          <w:w w:val="110"/>
        </w:rPr>
        <w:t>menos</w:t>
      </w:r>
      <w:r>
        <w:rPr>
          <w:color w:val="231F20"/>
          <w:spacing w:val="-8"/>
          <w:w w:val="110"/>
        </w:rPr>
        <w:t> </w:t>
      </w:r>
      <w:r>
        <w:rPr>
          <w:color w:val="231F20"/>
          <w:w w:val="110"/>
        </w:rPr>
        <w:t>dos</w:t>
      </w:r>
      <w:r>
        <w:rPr>
          <w:color w:val="231F20"/>
          <w:spacing w:val="-8"/>
          <w:w w:val="110"/>
        </w:rPr>
        <w:t> </w:t>
      </w:r>
      <w:r>
        <w:rPr>
          <w:color w:val="231F20"/>
          <w:w w:val="110"/>
        </w:rPr>
        <w:t>hombres en promedio, aunque en las localidades de más tradición migratoria la di- ferencia es menor</w:t>
      </w:r>
      <w:r>
        <w:rPr>
          <w:color w:val="231F20"/>
          <w:w w:val="110"/>
          <w:position w:val="6"/>
          <w:sz w:val="11"/>
        </w:rPr>
        <w:t>1 </w:t>
      </w:r>
      <w:r>
        <w:rPr>
          <w:color w:val="231F20"/>
          <w:w w:val="110"/>
        </w:rPr>
        <w:t>pero sin lograr una relación de uno a uno. Se aprecia también una migración distintiva por género; hombres y mujeres persi- guen cosas diferentes, no tienen el mismo punto de partida, ni los apoyos, en </w:t>
      </w:r>
      <w:r>
        <w:rPr>
          <w:color w:val="231F20"/>
          <w:spacing w:val="-4"/>
          <w:w w:val="110"/>
        </w:rPr>
        <w:t>algunos casos ellas pueden emigrar </w:t>
      </w:r>
      <w:r>
        <w:rPr>
          <w:color w:val="231F20"/>
          <w:spacing w:val="-3"/>
          <w:w w:val="110"/>
        </w:rPr>
        <w:t>más </w:t>
      </w:r>
      <w:r>
        <w:rPr>
          <w:color w:val="231F20"/>
          <w:spacing w:val="-4"/>
          <w:w w:val="110"/>
        </w:rPr>
        <w:t>fácil, </w:t>
      </w:r>
      <w:r>
        <w:rPr>
          <w:color w:val="231F20"/>
          <w:w w:val="110"/>
        </w:rPr>
        <w:t>en </w:t>
      </w:r>
      <w:r>
        <w:rPr>
          <w:color w:val="231F20"/>
          <w:spacing w:val="-4"/>
          <w:w w:val="110"/>
        </w:rPr>
        <w:t>otros tienen </w:t>
      </w:r>
      <w:r>
        <w:rPr>
          <w:color w:val="231F20"/>
          <w:spacing w:val="-3"/>
          <w:w w:val="110"/>
        </w:rPr>
        <w:t>que </w:t>
      </w:r>
      <w:r>
        <w:rPr>
          <w:color w:val="231F20"/>
          <w:spacing w:val="-4"/>
          <w:w w:val="110"/>
        </w:rPr>
        <w:t>derribar </w:t>
      </w:r>
      <w:r>
        <w:rPr>
          <w:color w:val="231F20"/>
          <w:w w:val="110"/>
        </w:rPr>
        <w:t>muchas</w:t>
      </w:r>
      <w:r>
        <w:rPr>
          <w:color w:val="231F20"/>
          <w:spacing w:val="26"/>
          <w:w w:val="110"/>
        </w:rPr>
        <w:t> </w:t>
      </w:r>
      <w:r>
        <w:rPr>
          <w:color w:val="231F20"/>
          <w:w w:val="110"/>
        </w:rPr>
        <w:t>trabas.</w:t>
      </w:r>
    </w:p>
    <w:p>
      <w:pPr>
        <w:pStyle w:val="BodyText"/>
        <w:spacing w:line="288" w:lineRule="auto"/>
        <w:ind w:left="119" w:right="115" w:firstLine="360"/>
        <w:jc w:val="both"/>
      </w:pPr>
      <w:r>
        <w:rPr>
          <w:color w:val="231F20"/>
          <w:w w:val="110"/>
        </w:rPr>
        <w:t>¿Por qué ellas enfrentan más restricciones?, ¿cómo toman sus decisio- nes de emigración? La formación y funcionamiento histórico de las redes sociales en esta región ayudan a entender por qué la migración masculina fue dominante en el pasado y lo es en localidades de migración reciente. Dado que algunos migrantes pudieron legalizarse en la segunda mitad de los años ochenta con el </w:t>
      </w:r>
      <w:r>
        <w:rPr>
          <w:rFonts w:ascii="Times New Roman" w:hAnsi="Times New Roman"/>
          <w:color w:val="231F20"/>
          <w:w w:val="110"/>
          <w:sz w:val="16"/>
        </w:rPr>
        <w:t>IRCA </w:t>
      </w:r>
      <w:r>
        <w:rPr>
          <w:color w:val="231F20"/>
          <w:w w:val="110"/>
        </w:rPr>
        <w:t>y establecer residencia en Estados Unidos, ellos apoyaron la llegada de nuevos paisanos indocumentados y llevaron más migrantes con cada viaje que hacían hacia Estados Unidos. Éstos ges- taron apoyos económicos, logísticos y aceptación social que sirvió para incrementar el éxito en el traslado, el cruce y el establecimiento en otro país. Pero desde entonces, el apoyo comenzó siendo un asunto más bien familiar y de género. Desde su formación, las redes de apoyo no fueron</w:t>
      </w:r>
    </w:p>
    <w:p>
      <w:pPr>
        <w:pStyle w:val="BodyText"/>
        <w:spacing w:before="1"/>
        <w:rPr>
          <w:sz w:val="22"/>
        </w:rPr>
      </w:pPr>
    </w:p>
    <w:p>
      <w:pPr>
        <w:spacing w:line="256" w:lineRule="auto" w:before="1"/>
        <w:ind w:left="120" w:right="117" w:firstLine="360"/>
        <w:jc w:val="both"/>
        <w:rPr>
          <w:sz w:val="16"/>
        </w:rPr>
      </w:pPr>
      <w:r>
        <w:rPr>
          <w:color w:val="231F20"/>
          <w:w w:val="110"/>
          <w:position w:val="5"/>
          <w:sz w:val="9"/>
        </w:rPr>
        <w:t>1</w:t>
      </w:r>
      <w:r>
        <w:rPr>
          <w:color w:val="231F20"/>
          <w:spacing w:val="-6"/>
          <w:w w:val="110"/>
          <w:position w:val="5"/>
          <w:sz w:val="9"/>
        </w:rPr>
        <w:t> </w:t>
      </w:r>
      <w:r>
        <w:rPr>
          <w:color w:val="231F20"/>
          <w:w w:val="110"/>
          <w:sz w:val="16"/>
        </w:rPr>
        <w:t>El</w:t>
      </w:r>
      <w:r>
        <w:rPr>
          <w:color w:val="231F20"/>
          <w:spacing w:val="-8"/>
          <w:w w:val="110"/>
          <w:sz w:val="16"/>
        </w:rPr>
        <w:t> </w:t>
      </w:r>
      <w:r>
        <w:rPr>
          <w:color w:val="231F20"/>
          <w:w w:val="110"/>
          <w:sz w:val="16"/>
        </w:rPr>
        <w:t>caso</w:t>
      </w:r>
      <w:r>
        <w:rPr>
          <w:color w:val="231F20"/>
          <w:spacing w:val="-8"/>
          <w:w w:val="110"/>
          <w:sz w:val="16"/>
        </w:rPr>
        <w:t> </w:t>
      </w:r>
      <w:r>
        <w:rPr>
          <w:color w:val="231F20"/>
          <w:w w:val="110"/>
          <w:sz w:val="16"/>
        </w:rPr>
        <w:t>de</w:t>
      </w:r>
      <w:r>
        <w:rPr>
          <w:color w:val="231F20"/>
          <w:spacing w:val="-8"/>
          <w:w w:val="110"/>
          <w:sz w:val="16"/>
        </w:rPr>
        <w:t> </w:t>
      </w:r>
      <w:r>
        <w:rPr>
          <w:color w:val="231F20"/>
          <w:w w:val="110"/>
          <w:sz w:val="16"/>
        </w:rPr>
        <w:t>Tonatico</w:t>
      </w:r>
      <w:r>
        <w:rPr>
          <w:color w:val="231F20"/>
          <w:spacing w:val="-8"/>
          <w:w w:val="110"/>
          <w:sz w:val="16"/>
        </w:rPr>
        <w:t> </w:t>
      </w:r>
      <w:r>
        <w:rPr>
          <w:color w:val="231F20"/>
          <w:w w:val="110"/>
          <w:sz w:val="16"/>
        </w:rPr>
        <w:t>y</w:t>
      </w:r>
      <w:r>
        <w:rPr>
          <w:color w:val="231F20"/>
          <w:spacing w:val="-8"/>
          <w:w w:val="110"/>
          <w:sz w:val="16"/>
        </w:rPr>
        <w:t> </w:t>
      </w:r>
      <w:r>
        <w:rPr>
          <w:color w:val="231F20"/>
          <w:w w:val="110"/>
          <w:sz w:val="16"/>
        </w:rPr>
        <w:t>El</w:t>
      </w:r>
      <w:r>
        <w:rPr>
          <w:color w:val="231F20"/>
          <w:spacing w:val="-8"/>
          <w:w w:val="110"/>
          <w:sz w:val="16"/>
        </w:rPr>
        <w:t> </w:t>
      </w:r>
      <w:r>
        <w:rPr>
          <w:color w:val="231F20"/>
          <w:w w:val="110"/>
          <w:sz w:val="16"/>
        </w:rPr>
        <w:t>Terrero</w:t>
      </w:r>
      <w:r>
        <w:rPr>
          <w:color w:val="231F20"/>
          <w:spacing w:val="-8"/>
          <w:w w:val="110"/>
          <w:sz w:val="16"/>
        </w:rPr>
        <w:t> </w:t>
      </w:r>
      <w:r>
        <w:rPr>
          <w:color w:val="231F20"/>
          <w:w w:val="110"/>
          <w:sz w:val="16"/>
        </w:rPr>
        <w:t>(Tonatico);</w:t>
      </w:r>
      <w:r>
        <w:rPr>
          <w:color w:val="231F20"/>
          <w:spacing w:val="-8"/>
          <w:w w:val="110"/>
          <w:sz w:val="16"/>
        </w:rPr>
        <w:t> </w:t>
      </w:r>
      <w:r>
        <w:rPr>
          <w:color w:val="231F20"/>
          <w:w w:val="110"/>
          <w:sz w:val="16"/>
        </w:rPr>
        <w:t>Las</w:t>
      </w:r>
      <w:r>
        <w:rPr>
          <w:color w:val="231F20"/>
          <w:spacing w:val="-8"/>
          <w:w w:val="110"/>
          <w:sz w:val="16"/>
        </w:rPr>
        <w:t> </w:t>
      </w:r>
      <w:r>
        <w:rPr>
          <w:color w:val="231F20"/>
          <w:spacing w:val="-3"/>
          <w:w w:val="110"/>
          <w:sz w:val="16"/>
        </w:rPr>
        <w:t>Vueltas,</w:t>
      </w:r>
      <w:r>
        <w:rPr>
          <w:color w:val="231F20"/>
          <w:spacing w:val="-8"/>
          <w:w w:val="110"/>
          <w:sz w:val="16"/>
        </w:rPr>
        <w:t> </w:t>
      </w:r>
      <w:r>
        <w:rPr>
          <w:color w:val="231F20"/>
          <w:w w:val="110"/>
          <w:sz w:val="16"/>
        </w:rPr>
        <w:t>Acuitlapilco,</w:t>
      </w:r>
      <w:r>
        <w:rPr>
          <w:color w:val="231F20"/>
          <w:spacing w:val="-8"/>
          <w:w w:val="110"/>
          <w:sz w:val="16"/>
        </w:rPr>
        <w:t> </w:t>
      </w:r>
      <w:r>
        <w:rPr>
          <w:color w:val="231F20"/>
          <w:w w:val="110"/>
          <w:sz w:val="16"/>
        </w:rPr>
        <w:t>Chiltepec</w:t>
      </w:r>
      <w:r>
        <w:rPr>
          <w:color w:val="231F20"/>
          <w:spacing w:val="-8"/>
          <w:w w:val="110"/>
          <w:sz w:val="16"/>
        </w:rPr>
        <w:t> </w:t>
      </w:r>
      <w:r>
        <w:rPr>
          <w:color w:val="231F20"/>
          <w:w w:val="110"/>
          <w:sz w:val="16"/>
        </w:rPr>
        <w:t>y</w:t>
      </w:r>
      <w:r>
        <w:rPr>
          <w:color w:val="231F20"/>
          <w:spacing w:val="-8"/>
          <w:w w:val="110"/>
          <w:sz w:val="16"/>
        </w:rPr>
        <w:t> </w:t>
      </w:r>
      <w:r>
        <w:rPr>
          <w:color w:val="231F20"/>
          <w:w w:val="110"/>
          <w:sz w:val="16"/>
        </w:rPr>
        <w:t>Meyuca (Coatepec Harinas); Pachuquilla, La Unión y Tizates (Almoloya de Alquisiras); Totolmajac y Zacango (Villa Guerrero) y Llano de la Unión (Ixtapan de la </w:t>
      </w:r>
      <w:r>
        <w:rPr>
          <w:color w:val="231F20"/>
          <w:spacing w:val="5"/>
          <w:w w:val="110"/>
          <w:sz w:val="16"/>
        </w:rPr>
        <w:t> </w:t>
      </w:r>
      <w:r>
        <w:rPr>
          <w:color w:val="231F20"/>
          <w:w w:val="110"/>
          <w:sz w:val="16"/>
        </w:rPr>
        <w:t>Sal).</w:t>
      </w:r>
    </w:p>
    <w:p>
      <w:pPr>
        <w:spacing w:after="0" w:line="256" w:lineRule="auto"/>
        <w:jc w:val="both"/>
        <w:rPr>
          <w:sz w:val="16"/>
        </w:rPr>
        <w:sectPr>
          <w:pgSz w:w="9520" w:h="12920"/>
          <w:pgMar w:header="0" w:footer="1344" w:top="880" w:bottom="1540" w:left="1000" w:right="1320"/>
        </w:sectPr>
      </w:pPr>
    </w:p>
    <w:p>
      <w:pPr>
        <w:pStyle w:val="BodyText"/>
        <w:spacing w:line="285" w:lineRule="auto" w:before="42"/>
        <w:ind w:left="124" w:right="113"/>
        <w:jc w:val="both"/>
      </w:pPr>
      <w:r>
        <w:rPr>
          <w:color w:val="231F20"/>
          <w:w w:val="110"/>
        </w:rPr>
        <w:t>homogéneas, ni de libre acceso, estaban formadas por hombres y apoya- ban a parientes hombres, con la idea de que éstos trabajaran y proveyeran a  sus hogares.</w:t>
      </w:r>
    </w:p>
    <w:p>
      <w:pPr>
        <w:pStyle w:val="BodyText"/>
        <w:spacing w:line="285" w:lineRule="auto" w:before="1"/>
        <w:ind w:left="124" w:right="111" w:firstLine="360"/>
        <w:jc w:val="both"/>
      </w:pPr>
      <w:r>
        <w:rPr>
          <w:color w:val="231F20"/>
          <w:w w:val="110"/>
        </w:rPr>
        <w:t>Así,</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origen,</w:t>
      </w:r>
      <w:r>
        <w:rPr>
          <w:color w:val="231F20"/>
          <w:spacing w:val="-6"/>
          <w:w w:val="110"/>
        </w:rPr>
        <w:t> </w:t>
      </w:r>
      <w:r>
        <w:rPr>
          <w:color w:val="231F20"/>
          <w:w w:val="110"/>
        </w:rPr>
        <w:t>mientras</w:t>
      </w:r>
      <w:r>
        <w:rPr>
          <w:color w:val="231F20"/>
          <w:spacing w:val="-6"/>
          <w:w w:val="110"/>
        </w:rPr>
        <w:t> </w:t>
      </w:r>
      <w:r>
        <w:rPr>
          <w:color w:val="231F20"/>
          <w:w w:val="110"/>
        </w:rPr>
        <w:t>los</w:t>
      </w:r>
      <w:r>
        <w:rPr>
          <w:color w:val="231F20"/>
          <w:spacing w:val="-6"/>
          <w:w w:val="110"/>
        </w:rPr>
        <w:t> </w:t>
      </w:r>
      <w:r>
        <w:rPr>
          <w:color w:val="231F20"/>
          <w:w w:val="110"/>
        </w:rPr>
        <w:t>hombres</w:t>
      </w:r>
      <w:r>
        <w:rPr>
          <w:color w:val="231F20"/>
          <w:spacing w:val="-6"/>
          <w:w w:val="110"/>
        </w:rPr>
        <w:t> </w:t>
      </w:r>
      <w:r>
        <w:rPr>
          <w:color w:val="231F20"/>
          <w:w w:val="110"/>
        </w:rPr>
        <w:t>podían</w:t>
      </w:r>
      <w:r>
        <w:rPr>
          <w:color w:val="231F20"/>
          <w:spacing w:val="-6"/>
          <w:w w:val="110"/>
        </w:rPr>
        <w:t> </w:t>
      </w:r>
      <w:r>
        <w:rPr>
          <w:color w:val="231F20"/>
          <w:w w:val="110"/>
        </w:rPr>
        <w:t>y</w:t>
      </w:r>
      <w:r>
        <w:rPr>
          <w:color w:val="231F20"/>
          <w:spacing w:val="-6"/>
          <w:w w:val="110"/>
        </w:rPr>
        <w:t> </w:t>
      </w:r>
      <w:r>
        <w:rPr>
          <w:color w:val="231F20"/>
          <w:w w:val="110"/>
        </w:rPr>
        <w:t>en</w:t>
      </w:r>
      <w:r>
        <w:rPr>
          <w:color w:val="231F20"/>
          <w:spacing w:val="-6"/>
          <w:w w:val="110"/>
        </w:rPr>
        <w:t> </w:t>
      </w:r>
      <w:r>
        <w:rPr>
          <w:color w:val="231F20"/>
          <w:w w:val="110"/>
        </w:rPr>
        <w:t>algunos</w:t>
      </w:r>
      <w:r>
        <w:rPr>
          <w:color w:val="231F20"/>
          <w:spacing w:val="-6"/>
          <w:w w:val="110"/>
        </w:rPr>
        <w:t> </w:t>
      </w:r>
      <w:r>
        <w:rPr>
          <w:color w:val="231F20"/>
          <w:w w:val="110"/>
        </w:rPr>
        <w:t>casos</w:t>
      </w:r>
      <w:r>
        <w:rPr>
          <w:color w:val="231F20"/>
          <w:spacing w:val="-6"/>
          <w:w w:val="110"/>
        </w:rPr>
        <w:t> </w:t>
      </w:r>
      <w:r>
        <w:rPr>
          <w:color w:val="231F20"/>
          <w:w w:val="110"/>
        </w:rPr>
        <w:t>hasta debían probar su valor migrando sin apoyos; en las mujeres los patrones </w:t>
      </w:r>
      <w:r>
        <w:rPr>
          <w:color w:val="231F20"/>
          <w:spacing w:val="-4"/>
          <w:w w:val="110"/>
        </w:rPr>
        <w:t>culturales </w:t>
      </w:r>
      <w:r>
        <w:rPr>
          <w:color w:val="231F20"/>
          <w:w w:val="110"/>
        </w:rPr>
        <w:t>y </w:t>
      </w:r>
      <w:r>
        <w:rPr>
          <w:color w:val="231F20"/>
          <w:spacing w:val="-3"/>
          <w:w w:val="110"/>
        </w:rPr>
        <w:t>los </w:t>
      </w:r>
      <w:r>
        <w:rPr>
          <w:color w:val="231F20"/>
          <w:spacing w:val="-4"/>
          <w:w w:val="110"/>
        </w:rPr>
        <w:t>funcionamientos </w:t>
      </w:r>
      <w:r>
        <w:rPr>
          <w:color w:val="231F20"/>
          <w:w w:val="110"/>
        </w:rPr>
        <w:t>en </w:t>
      </w:r>
      <w:r>
        <w:rPr>
          <w:color w:val="231F20"/>
          <w:spacing w:val="-3"/>
          <w:w w:val="110"/>
        </w:rPr>
        <w:t>sus </w:t>
      </w:r>
      <w:r>
        <w:rPr>
          <w:color w:val="231F20"/>
          <w:spacing w:val="-4"/>
          <w:w w:val="110"/>
        </w:rPr>
        <w:t>hogares limitaban </w:t>
      </w:r>
      <w:r>
        <w:rPr>
          <w:color w:val="231F20"/>
          <w:spacing w:val="-3"/>
          <w:w w:val="110"/>
        </w:rPr>
        <w:t>esas </w:t>
      </w:r>
      <w:r>
        <w:rPr>
          <w:color w:val="231F20"/>
          <w:spacing w:val="-4"/>
          <w:w w:val="110"/>
        </w:rPr>
        <w:t>acciones, </w:t>
      </w:r>
      <w:r>
        <w:rPr>
          <w:color w:val="231F20"/>
          <w:spacing w:val="-3"/>
          <w:w w:val="110"/>
        </w:rPr>
        <w:t>por </w:t>
      </w:r>
      <w:r>
        <w:rPr>
          <w:color w:val="231F20"/>
          <w:w w:val="110"/>
        </w:rPr>
        <w:t>lo que su incorporación fue postergándose. Estas restricciones sostuvie- ron</w:t>
      </w:r>
      <w:r>
        <w:rPr>
          <w:color w:val="231F20"/>
          <w:spacing w:val="-6"/>
          <w:w w:val="110"/>
        </w:rPr>
        <w:t> </w:t>
      </w:r>
      <w:r>
        <w:rPr>
          <w:color w:val="231F20"/>
          <w:w w:val="110"/>
        </w:rPr>
        <w:t>la</w:t>
      </w:r>
      <w:r>
        <w:rPr>
          <w:color w:val="231F20"/>
          <w:spacing w:val="-6"/>
          <w:w w:val="110"/>
        </w:rPr>
        <w:t> </w:t>
      </w:r>
      <w:r>
        <w:rPr>
          <w:color w:val="231F20"/>
          <w:w w:val="110"/>
        </w:rPr>
        <w:t>dominancia</w:t>
      </w:r>
      <w:r>
        <w:rPr>
          <w:color w:val="231F20"/>
          <w:spacing w:val="-6"/>
          <w:w w:val="110"/>
        </w:rPr>
        <w:t> </w:t>
      </w:r>
      <w:r>
        <w:rPr>
          <w:color w:val="231F20"/>
          <w:w w:val="110"/>
        </w:rPr>
        <w:t>masculina,</w:t>
      </w:r>
      <w:r>
        <w:rPr>
          <w:color w:val="231F20"/>
          <w:spacing w:val="-6"/>
          <w:w w:val="110"/>
        </w:rPr>
        <w:t> </w:t>
      </w:r>
      <w:r>
        <w:rPr>
          <w:color w:val="231F20"/>
          <w:w w:val="110"/>
        </w:rPr>
        <w:t>una</w:t>
      </w:r>
      <w:r>
        <w:rPr>
          <w:color w:val="231F20"/>
          <w:spacing w:val="-6"/>
          <w:w w:val="110"/>
        </w:rPr>
        <w:t> </w:t>
      </w:r>
      <w:r>
        <w:rPr>
          <w:color w:val="231F20"/>
          <w:w w:val="110"/>
        </w:rPr>
        <w:t>que</w:t>
      </w:r>
      <w:r>
        <w:rPr>
          <w:color w:val="231F20"/>
          <w:spacing w:val="-6"/>
          <w:w w:val="110"/>
        </w:rPr>
        <w:t> </w:t>
      </w:r>
      <w:r>
        <w:rPr>
          <w:color w:val="231F20"/>
          <w:w w:val="110"/>
        </w:rPr>
        <w:t>actualmente</w:t>
      </w:r>
      <w:r>
        <w:rPr>
          <w:color w:val="231F20"/>
          <w:spacing w:val="-6"/>
          <w:w w:val="110"/>
        </w:rPr>
        <w:t> </w:t>
      </w:r>
      <w:r>
        <w:rPr>
          <w:color w:val="231F20"/>
          <w:w w:val="110"/>
        </w:rPr>
        <w:t>ha</w:t>
      </w:r>
      <w:r>
        <w:rPr>
          <w:color w:val="231F20"/>
          <w:spacing w:val="-6"/>
          <w:w w:val="110"/>
        </w:rPr>
        <w:t> </w:t>
      </w:r>
      <w:r>
        <w:rPr>
          <w:color w:val="231F20"/>
          <w:w w:val="110"/>
        </w:rPr>
        <w:t>disminuido</w:t>
      </w:r>
      <w:r>
        <w:rPr>
          <w:color w:val="231F20"/>
          <w:spacing w:val="-6"/>
          <w:w w:val="110"/>
        </w:rPr>
        <w:t> </w:t>
      </w:r>
      <w:r>
        <w:rPr>
          <w:color w:val="231F20"/>
          <w:w w:val="110"/>
        </w:rPr>
        <w:t>en</w:t>
      </w:r>
      <w:r>
        <w:rPr>
          <w:color w:val="231F20"/>
          <w:spacing w:val="-6"/>
          <w:w w:val="110"/>
        </w:rPr>
        <w:t> </w:t>
      </w:r>
      <w:r>
        <w:rPr>
          <w:color w:val="231F20"/>
          <w:w w:val="110"/>
        </w:rPr>
        <w:t>razón de la creciente incorporación femenina en esta región y en toda la entidad. Al respecto, más de un tercio de los migrantes entrevistados señala que </w:t>
      </w:r>
      <w:r>
        <w:rPr>
          <w:color w:val="231F20"/>
          <w:spacing w:val="-4"/>
          <w:w w:val="110"/>
        </w:rPr>
        <w:t>cuando estuvieron </w:t>
      </w:r>
      <w:r>
        <w:rPr>
          <w:color w:val="231F20"/>
          <w:w w:val="110"/>
        </w:rPr>
        <w:t>en </w:t>
      </w:r>
      <w:r>
        <w:rPr>
          <w:color w:val="231F20"/>
          <w:spacing w:val="-4"/>
          <w:w w:val="110"/>
        </w:rPr>
        <w:t>Estados Unidos apoyaron </w:t>
      </w:r>
      <w:r>
        <w:rPr>
          <w:color w:val="231F20"/>
          <w:spacing w:val="-3"/>
          <w:w w:val="110"/>
        </w:rPr>
        <w:t>para </w:t>
      </w:r>
      <w:r>
        <w:rPr>
          <w:color w:val="231F20"/>
          <w:spacing w:val="-4"/>
          <w:w w:val="110"/>
        </w:rPr>
        <w:t>emigrar (recursos, </w:t>
      </w:r>
      <w:r>
        <w:rPr>
          <w:color w:val="231F20"/>
          <w:spacing w:val="-3"/>
          <w:w w:val="110"/>
        </w:rPr>
        <w:t>ges- </w:t>
      </w:r>
      <w:r>
        <w:rPr>
          <w:color w:val="231F20"/>
          <w:spacing w:val="-4"/>
          <w:w w:val="110"/>
        </w:rPr>
        <w:t>tión,</w:t>
      </w:r>
      <w:r>
        <w:rPr>
          <w:color w:val="231F20"/>
          <w:spacing w:val="-12"/>
          <w:w w:val="110"/>
        </w:rPr>
        <w:t> </w:t>
      </w:r>
      <w:r>
        <w:rPr>
          <w:color w:val="231F20"/>
          <w:spacing w:val="-4"/>
          <w:w w:val="110"/>
        </w:rPr>
        <w:t>hospedaje,</w:t>
      </w:r>
      <w:r>
        <w:rPr>
          <w:color w:val="231F20"/>
          <w:spacing w:val="-12"/>
          <w:w w:val="110"/>
        </w:rPr>
        <w:t> </w:t>
      </w:r>
      <w:r>
        <w:rPr>
          <w:color w:val="231F20"/>
          <w:spacing w:val="-4"/>
          <w:w w:val="110"/>
        </w:rPr>
        <w:t>coyote)</w:t>
      </w:r>
      <w:r>
        <w:rPr>
          <w:color w:val="231F20"/>
          <w:spacing w:val="-12"/>
          <w:w w:val="110"/>
        </w:rPr>
        <w:t> </w:t>
      </w:r>
      <w:r>
        <w:rPr>
          <w:color w:val="231F20"/>
          <w:spacing w:val="-4"/>
          <w:w w:val="110"/>
        </w:rPr>
        <w:t>primeramente</w:t>
      </w:r>
      <w:r>
        <w:rPr>
          <w:color w:val="231F20"/>
          <w:spacing w:val="-12"/>
          <w:w w:val="110"/>
        </w:rPr>
        <w:t> </w:t>
      </w:r>
      <w:r>
        <w:rPr>
          <w:color w:val="231F20"/>
          <w:w w:val="110"/>
        </w:rPr>
        <w:t>a</w:t>
      </w:r>
      <w:r>
        <w:rPr>
          <w:color w:val="231F20"/>
          <w:spacing w:val="-12"/>
          <w:w w:val="110"/>
        </w:rPr>
        <w:t> </w:t>
      </w:r>
      <w:r>
        <w:rPr>
          <w:color w:val="231F20"/>
          <w:spacing w:val="-4"/>
          <w:w w:val="110"/>
        </w:rPr>
        <w:t>miembros</w:t>
      </w:r>
      <w:r>
        <w:rPr>
          <w:color w:val="231F20"/>
          <w:spacing w:val="-12"/>
          <w:w w:val="110"/>
        </w:rPr>
        <w:t> </w:t>
      </w:r>
      <w:r>
        <w:rPr>
          <w:color w:val="231F20"/>
          <w:w w:val="110"/>
        </w:rPr>
        <w:t>de</w:t>
      </w:r>
      <w:r>
        <w:rPr>
          <w:color w:val="231F20"/>
          <w:spacing w:val="-12"/>
          <w:w w:val="110"/>
        </w:rPr>
        <w:t> </w:t>
      </w:r>
      <w:r>
        <w:rPr>
          <w:color w:val="231F20"/>
          <w:w w:val="110"/>
        </w:rPr>
        <w:t>su</w:t>
      </w:r>
      <w:r>
        <w:rPr>
          <w:color w:val="231F20"/>
          <w:spacing w:val="-12"/>
          <w:w w:val="110"/>
        </w:rPr>
        <w:t> </w:t>
      </w:r>
      <w:r>
        <w:rPr>
          <w:color w:val="231F20"/>
          <w:spacing w:val="-4"/>
          <w:w w:val="110"/>
        </w:rPr>
        <w:t>familia</w:t>
      </w:r>
      <w:r>
        <w:rPr>
          <w:color w:val="231F20"/>
          <w:spacing w:val="-12"/>
          <w:w w:val="110"/>
        </w:rPr>
        <w:t> </w:t>
      </w:r>
      <w:r>
        <w:rPr>
          <w:color w:val="231F20"/>
          <w:w w:val="110"/>
        </w:rPr>
        <w:t>y</w:t>
      </w:r>
      <w:r>
        <w:rPr>
          <w:color w:val="231F20"/>
          <w:spacing w:val="-12"/>
          <w:w w:val="110"/>
        </w:rPr>
        <w:t> </w:t>
      </w:r>
      <w:r>
        <w:rPr>
          <w:color w:val="231F20"/>
          <w:spacing w:val="-3"/>
          <w:w w:val="110"/>
        </w:rPr>
        <w:t>por</w:t>
      </w:r>
      <w:r>
        <w:rPr>
          <w:color w:val="231F20"/>
          <w:spacing w:val="-12"/>
          <w:w w:val="110"/>
        </w:rPr>
        <w:t> </w:t>
      </w:r>
      <w:r>
        <w:rPr>
          <w:color w:val="231F20"/>
          <w:spacing w:val="-4"/>
          <w:w w:val="110"/>
        </w:rPr>
        <w:t>género. </w:t>
      </w:r>
      <w:r>
        <w:rPr>
          <w:color w:val="231F20"/>
          <w:w w:val="110"/>
        </w:rPr>
        <w:t>Tanto los </w:t>
      </w:r>
      <w:r>
        <w:rPr>
          <w:color w:val="231F20"/>
          <w:spacing w:val="2"/>
          <w:w w:val="110"/>
        </w:rPr>
        <w:t>hombres como </w:t>
      </w:r>
      <w:r>
        <w:rPr>
          <w:color w:val="231F20"/>
          <w:w w:val="110"/>
        </w:rPr>
        <w:t>las </w:t>
      </w:r>
      <w:r>
        <w:rPr>
          <w:color w:val="231F20"/>
          <w:spacing w:val="2"/>
          <w:w w:val="110"/>
        </w:rPr>
        <w:t>mujeres apoyaron </w:t>
      </w:r>
      <w:r>
        <w:rPr>
          <w:color w:val="231F20"/>
          <w:w w:val="110"/>
        </w:rPr>
        <w:t>en </w:t>
      </w:r>
      <w:r>
        <w:rPr>
          <w:color w:val="231F20"/>
          <w:spacing w:val="2"/>
          <w:w w:val="110"/>
        </w:rPr>
        <w:t>mayor proporción </w:t>
      </w:r>
      <w:r>
        <w:rPr>
          <w:color w:val="231F20"/>
          <w:w w:val="110"/>
        </w:rPr>
        <w:t>a alguien</w:t>
      </w:r>
      <w:r>
        <w:rPr>
          <w:color w:val="231F20"/>
          <w:spacing w:val="-6"/>
          <w:w w:val="110"/>
        </w:rPr>
        <w:t> </w:t>
      </w:r>
      <w:r>
        <w:rPr>
          <w:color w:val="231F20"/>
          <w:w w:val="110"/>
        </w:rPr>
        <w:t>del</w:t>
      </w:r>
      <w:r>
        <w:rPr>
          <w:color w:val="231F20"/>
          <w:spacing w:val="-6"/>
          <w:w w:val="110"/>
        </w:rPr>
        <w:t> </w:t>
      </w:r>
      <w:r>
        <w:rPr>
          <w:color w:val="231F20"/>
          <w:w w:val="110"/>
        </w:rPr>
        <w:t>mismo</w:t>
      </w:r>
      <w:r>
        <w:rPr>
          <w:color w:val="231F20"/>
          <w:spacing w:val="-6"/>
          <w:w w:val="110"/>
        </w:rPr>
        <w:t> </w:t>
      </w:r>
      <w:r>
        <w:rPr>
          <w:color w:val="231F20"/>
          <w:w w:val="110"/>
        </w:rPr>
        <w:t>sexo,</w:t>
      </w:r>
      <w:r>
        <w:rPr>
          <w:color w:val="231F20"/>
          <w:spacing w:val="-6"/>
          <w:w w:val="110"/>
        </w:rPr>
        <w:t> </w:t>
      </w:r>
      <w:r>
        <w:rPr>
          <w:color w:val="231F20"/>
          <w:w w:val="110"/>
        </w:rPr>
        <w:t>las</w:t>
      </w:r>
      <w:r>
        <w:rPr>
          <w:color w:val="231F20"/>
          <w:spacing w:val="-6"/>
          <w:w w:val="110"/>
        </w:rPr>
        <w:t> </w:t>
      </w:r>
      <w:r>
        <w:rPr>
          <w:color w:val="231F20"/>
          <w:w w:val="110"/>
        </w:rPr>
        <w:t>mujeres</w:t>
      </w:r>
      <w:r>
        <w:rPr>
          <w:color w:val="231F20"/>
          <w:spacing w:val="-6"/>
          <w:w w:val="110"/>
        </w:rPr>
        <w:t> </w:t>
      </w:r>
      <w:r>
        <w:rPr>
          <w:color w:val="231F20"/>
          <w:w w:val="110"/>
        </w:rPr>
        <w:t>respaldaron</w:t>
      </w:r>
      <w:r>
        <w:rPr>
          <w:color w:val="231F20"/>
          <w:spacing w:val="-6"/>
          <w:w w:val="110"/>
        </w:rPr>
        <w:t> </w:t>
      </w:r>
      <w:r>
        <w:rPr>
          <w:color w:val="231F20"/>
          <w:w w:val="110"/>
        </w:rPr>
        <w:t>a</w:t>
      </w:r>
      <w:r>
        <w:rPr>
          <w:color w:val="231F20"/>
          <w:spacing w:val="-6"/>
          <w:w w:val="110"/>
        </w:rPr>
        <w:t> </w:t>
      </w:r>
      <w:r>
        <w:rPr>
          <w:color w:val="231F20"/>
          <w:w w:val="110"/>
        </w:rPr>
        <w:t>mujeres</w:t>
      </w:r>
      <w:r>
        <w:rPr>
          <w:color w:val="231F20"/>
          <w:spacing w:val="-6"/>
          <w:w w:val="110"/>
        </w:rPr>
        <w:t> </w:t>
      </w:r>
      <w:r>
        <w:rPr>
          <w:color w:val="231F20"/>
          <w:w w:val="110"/>
        </w:rPr>
        <w:t>(53</w:t>
      </w:r>
      <w:r>
        <w:rPr>
          <w:color w:val="231F20"/>
          <w:spacing w:val="-6"/>
          <w:w w:val="110"/>
        </w:rPr>
        <w:t> </w:t>
      </w:r>
      <w:r>
        <w:rPr>
          <w:color w:val="231F20"/>
          <w:w w:val="110"/>
        </w:rPr>
        <w:t>por</w:t>
      </w:r>
      <w:r>
        <w:rPr>
          <w:color w:val="231F20"/>
          <w:spacing w:val="-6"/>
          <w:w w:val="110"/>
        </w:rPr>
        <w:t> </w:t>
      </w:r>
      <w:r>
        <w:rPr>
          <w:color w:val="231F20"/>
          <w:w w:val="110"/>
        </w:rPr>
        <w:t>ciento), los hombres a hombres (55 por</w:t>
      </w:r>
      <w:r>
        <w:rPr>
          <w:color w:val="231F20"/>
          <w:spacing w:val="5"/>
          <w:w w:val="110"/>
        </w:rPr>
        <w:t> </w:t>
      </w:r>
      <w:r>
        <w:rPr>
          <w:color w:val="231F20"/>
          <w:w w:val="110"/>
        </w:rPr>
        <w:t>ciento).</w:t>
      </w:r>
    </w:p>
    <w:p>
      <w:pPr>
        <w:pStyle w:val="BodyText"/>
        <w:spacing w:line="285" w:lineRule="auto" w:before="1"/>
        <w:ind w:left="124" w:right="112" w:firstLine="360"/>
        <w:jc w:val="both"/>
      </w:pPr>
      <w:r>
        <w:rPr>
          <w:color w:val="231F20"/>
          <w:w w:val="110"/>
        </w:rPr>
        <w:t>Esta forma de acceso a la red de apoyo explica una parte de la domi- nancia masculina. Otro aspecto que ha influido, es la forma en la que ellas accedían en forma concreta a la migración. </w:t>
      </w:r>
      <w:r>
        <w:rPr>
          <w:color w:val="231F20"/>
          <w:spacing w:val="-4"/>
          <w:w w:val="110"/>
        </w:rPr>
        <w:t>Varios </w:t>
      </w:r>
      <w:r>
        <w:rPr>
          <w:color w:val="231F20"/>
          <w:w w:val="110"/>
        </w:rPr>
        <w:t>rasgos ilustran el proce- so</w:t>
      </w:r>
      <w:r>
        <w:rPr>
          <w:color w:val="231F20"/>
          <w:spacing w:val="-4"/>
          <w:w w:val="110"/>
        </w:rPr>
        <w:t> </w:t>
      </w:r>
      <w:r>
        <w:rPr>
          <w:color w:val="231F20"/>
          <w:w w:val="110"/>
        </w:rPr>
        <w:t>que</w:t>
      </w:r>
      <w:r>
        <w:rPr>
          <w:color w:val="231F20"/>
          <w:spacing w:val="-4"/>
          <w:w w:val="110"/>
        </w:rPr>
        <w:t> </w:t>
      </w:r>
      <w:r>
        <w:rPr>
          <w:color w:val="231F20"/>
          <w:w w:val="110"/>
        </w:rPr>
        <w:t>vivieron</w:t>
      </w:r>
      <w:r>
        <w:rPr>
          <w:color w:val="231F20"/>
          <w:spacing w:val="-4"/>
          <w:w w:val="110"/>
        </w:rPr>
        <w:t> </w:t>
      </w:r>
      <w:r>
        <w:rPr>
          <w:color w:val="231F20"/>
          <w:w w:val="110"/>
        </w:rPr>
        <w:t>dentro</w:t>
      </w:r>
      <w:r>
        <w:rPr>
          <w:color w:val="231F20"/>
          <w:spacing w:val="-4"/>
          <w:w w:val="110"/>
        </w:rPr>
        <w:t> </w:t>
      </w:r>
      <w:r>
        <w:rPr>
          <w:color w:val="231F20"/>
          <w:w w:val="110"/>
        </w:rPr>
        <w:t>de</w:t>
      </w:r>
      <w:r>
        <w:rPr>
          <w:color w:val="231F20"/>
          <w:spacing w:val="-4"/>
          <w:w w:val="110"/>
        </w:rPr>
        <w:t> </w:t>
      </w:r>
      <w:r>
        <w:rPr>
          <w:color w:val="231F20"/>
          <w:w w:val="110"/>
        </w:rPr>
        <w:t>sus</w:t>
      </w:r>
      <w:r>
        <w:rPr>
          <w:color w:val="231F20"/>
          <w:spacing w:val="-4"/>
          <w:w w:val="110"/>
        </w:rPr>
        <w:t> </w:t>
      </w:r>
      <w:r>
        <w:rPr>
          <w:color w:val="231F20"/>
          <w:w w:val="110"/>
        </w:rPr>
        <w:t>hogares</w:t>
      </w:r>
      <w:r>
        <w:rPr>
          <w:color w:val="231F20"/>
          <w:spacing w:val="-4"/>
          <w:w w:val="110"/>
        </w:rPr>
        <w:t> </w:t>
      </w:r>
      <w:r>
        <w:rPr>
          <w:color w:val="231F20"/>
          <w:w w:val="110"/>
        </w:rPr>
        <w:t>para</w:t>
      </w:r>
      <w:r>
        <w:rPr>
          <w:color w:val="231F20"/>
          <w:spacing w:val="-4"/>
          <w:w w:val="110"/>
        </w:rPr>
        <w:t> </w:t>
      </w:r>
      <w:r>
        <w:rPr>
          <w:color w:val="231F20"/>
          <w:w w:val="110"/>
        </w:rPr>
        <w:t>poder</w:t>
      </w:r>
      <w:r>
        <w:rPr>
          <w:color w:val="231F20"/>
          <w:spacing w:val="-4"/>
          <w:w w:val="110"/>
        </w:rPr>
        <w:t> </w:t>
      </w:r>
      <w:r>
        <w:rPr>
          <w:color w:val="231F20"/>
          <w:spacing w:val="-3"/>
          <w:w w:val="110"/>
        </w:rPr>
        <w:t>migrar.</w:t>
      </w:r>
      <w:r>
        <w:rPr>
          <w:color w:val="231F20"/>
          <w:spacing w:val="-4"/>
          <w:w w:val="110"/>
        </w:rPr>
        <w:t> </w:t>
      </w:r>
      <w:r>
        <w:rPr>
          <w:color w:val="231F20"/>
          <w:w w:val="110"/>
        </w:rPr>
        <w:t>Para</w:t>
      </w:r>
      <w:r>
        <w:rPr>
          <w:color w:val="231F20"/>
          <w:spacing w:val="-4"/>
          <w:w w:val="110"/>
        </w:rPr>
        <w:t> </w:t>
      </w:r>
      <w:r>
        <w:rPr>
          <w:color w:val="231F20"/>
          <w:w w:val="110"/>
        </w:rPr>
        <w:t>un</w:t>
      </w:r>
      <w:r>
        <w:rPr>
          <w:color w:val="231F20"/>
          <w:spacing w:val="-4"/>
          <w:w w:val="110"/>
        </w:rPr>
        <w:t> </w:t>
      </w:r>
      <w:r>
        <w:rPr>
          <w:color w:val="231F20"/>
          <w:w w:val="110"/>
        </w:rPr>
        <w:t>tercio</w:t>
      </w:r>
      <w:r>
        <w:rPr>
          <w:color w:val="231F20"/>
          <w:spacing w:val="-4"/>
          <w:w w:val="110"/>
        </w:rPr>
        <w:t> </w:t>
      </w:r>
      <w:r>
        <w:rPr>
          <w:color w:val="231F20"/>
          <w:w w:val="110"/>
        </w:rPr>
        <w:t>de ellas (32 por ciento), su petición de emigrar no fue bien vista en sus hoga- res, muy pocas (12 por ciento) recibieron apoyo de padres y hermanos, la mayoría</w:t>
      </w:r>
      <w:r>
        <w:rPr>
          <w:color w:val="231F20"/>
          <w:spacing w:val="-6"/>
          <w:w w:val="110"/>
        </w:rPr>
        <w:t> </w:t>
      </w:r>
      <w:r>
        <w:rPr>
          <w:color w:val="231F20"/>
          <w:w w:val="110"/>
        </w:rPr>
        <w:t>(42</w:t>
      </w:r>
      <w:r>
        <w:rPr>
          <w:color w:val="231F20"/>
          <w:spacing w:val="-6"/>
          <w:w w:val="110"/>
        </w:rPr>
        <w:t> </w:t>
      </w:r>
      <w:r>
        <w:rPr>
          <w:color w:val="231F20"/>
          <w:w w:val="110"/>
        </w:rPr>
        <w:t>por</w:t>
      </w:r>
      <w:r>
        <w:rPr>
          <w:color w:val="231F20"/>
          <w:spacing w:val="-6"/>
          <w:w w:val="110"/>
        </w:rPr>
        <w:t> </w:t>
      </w:r>
      <w:r>
        <w:rPr>
          <w:color w:val="231F20"/>
          <w:w w:val="110"/>
        </w:rPr>
        <w:t>ciento),</w:t>
      </w:r>
      <w:r>
        <w:rPr>
          <w:color w:val="231F20"/>
          <w:spacing w:val="-6"/>
          <w:w w:val="110"/>
        </w:rPr>
        <w:t> </w:t>
      </w:r>
      <w:r>
        <w:rPr>
          <w:color w:val="231F20"/>
          <w:w w:val="110"/>
        </w:rPr>
        <w:t>recibió</w:t>
      </w:r>
      <w:r>
        <w:rPr>
          <w:color w:val="231F20"/>
          <w:spacing w:val="-6"/>
          <w:w w:val="110"/>
        </w:rPr>
        <w:t> </w:t>
      </w:r>
      <w:r>
        <w:rPr>
          <w:color w:val="231F20"/>
          <w:w w:val="110"/>
        </w:rPr>
        <w:t>apoyo</w:t>
      </w:r>
      <w:r>
        <w:rPr>
          <w:color w:val="231F20"/>
          <w:spacing w:val="-6"/>
          <w:w w:val="110"/>
        </w:rPr>
        <w:t> </w:t>
      </w:r>
      <w:r>
        <w:rPr>
          <w:color w:val="231F20"/>
          <w:w w:val="110"/>
        </w:rPr>
        <w:t>de</w:t>
      </w:r>
      <w:r>
        <w:rPr>
          <w:color w:val="231F20"/>
          <w:spacing w:val="-6"/>
          <w:w w:val="110"/>
        </w:rPr>
        <w:t> </w:t>
      </w:r>
      <w:r>
        <w:rPr>
          <w:color w:val="231F20"/>
          <w:w w:val="110"/>
        </w:rPr>
        <w:t>parte</w:t>
      </w:r>
      <w:r>
        <w:rPr>
          <w:color w:val="231F20"/>
          <w:spacing w:val="-6"/>
          <w:w w:val="110"/>
        </w:rPr>
        <w:t> </w:t>
      </w:r>
      <w:r>
        <w:rPr>
          <w:color w:val="231F20"/>
          <w:w w:val="110"/>
        </w:rPr>
        <w:t>de</w:t>
      </w:r>
      <w:r>
        <w:rPr>
          <w:color w:val="231F20"/>
          <w:spacing w:val="-6"/>
          <w:w w:val="110"/>
        </w:rPr>
        <w:t> </w:t>
      </w:r>
      <w:r>
        <w:rPr>
          <w:color w:val="231F20"/>
          <w:w w:val="110"/>
        </w:rPr>
        <w:t>sus</w:t>
      </w:r>
      <w:r>
        <w:rPr>
          <w:color w:val="231F20"/>
          <w:spacing w:val="-6"/>
          <w:w w:val="110"/>
        </w:rPr>
        <w:t> </w:t>
      </w:r>
      <w:r>
        <w:rPr>
          <w:color w:val="231F20"/>
          <w:w w:val="110"/>
        </w:rPr>
        <w:t>madres</w:t>
      </w:r>
      <w:r>
        <w:rPr>
          <w:color w:val="231F20"/>
          <w:spacing w:val="-6"/>
          <w:w w:val="110"/>
        </w:rPr>
        <w:t> </w:t>
      </w:r>
      <w:r>
        <w:rPr>
          <w:color w:val="231F20"/>
          <w:w w:val="110"/>
        </w:rPr>
        <w:t>y</w:t>
      </w:r>
      <w:r>
        <w:rPr>
          <w:color w:val="231F20"/>
          <w:spacing w:val="-6"/>
          <w:w w:val="110"/>
        </w:rPr>
        <w:t> </w:t>
      </w:r>
      <w:r>
        <w:rPr>
          <w:color w:val="231F20"/>
          <w:w w:val="110"/>
        </w:rPr>
        <w:t>hermanas. </w:t>
      </w:r>
      <w:r>
        <w:rPr>
          <w:color w:val="231F20"/>
          <w:spacing w:val="2"/>
          <w:w w:val="110"/>
        </w:rPr>
        <w:t>La </w:t>
      </w:r>
      <w:r>
        <w:rPr>
          <w:color w:val="231F20"/>
          <w:w w:val="110"/>
        </w:rPr>
        <w:t>oposición es máxima cuando la mujer plantea su decisión de migrar como</w:t>
      </w:r>
      <w:r>
        <w:rPr>
          <w:color w:val="231F20"/>
          <w:spacing w:val="-5"/>
          <w:w w:val="110"/>
        </w:rPr>
        <w:t> </w:t>
      </w:r>
      <w:r>
        <w:rPr>
          <w:color w:val="231F20"/>
          <w:w w:val="110"/>
        </w:rPr>
        <w:t>un</w:t>
      </w:r>
      <w:r>
        <w:rPr>
          <w:color w:val="231F20"/>
          <w:spacing w:val="-5"/>
          <w:w w:val="110"/>
        </w:rPr>
        <w:t> </w:t>
      </w:r>
      <w:r>
        <w:rPr>
          <w:color w:val="231F20"/>
          <w:w w:val="110"/>
        </w:rPr>
        <w:t>asunto</w:t>
      </w:r>
      <w:r>
        <w:rPr>
          <w:color w:val="231F20"/>
          <w:spacing w:val="-5"/>
          <w:w w:val="110"/>
        </w:rPr>
        <w:t> </w:t>
      </w:r>
      <w:r>
        <w:rPr>
          <w:color w:val="231F20"/>
          <w:w w:val="110"/>
        </w:rPr>
        <w:t>individual,</w:t>
      </w:r>
      <w:r>
        <w:rPr>
          <w:color w:val="231F20"/>
          <w:spacing w:val="-5"/>
          <w:w w:val="110"/>
        </w:rPr>
        <w:t> </w:t>
      </w:r>
      <w:r>
        <w:rPr>
          <w:color w:val="231F20"/>
          <w:w w:val="110"/>
        </w:rPr>
        <w:t>por</w:t>
      </w:r>
      <w:r>
        <w:rPr>
          <w:color w:val="231F20"/>
          <w:spacing w:val="-5"/>
          <w:w w:val="110"/>
        </w:rPr>
        <w:t> </w:t>
      </w:r>
      <w:r>
        <w:rPr>
          <w:color w:val="231F20"/>
          <w:w w:val="110"/>
        </w:rPr>
        <w:t>iniciativa</w:t>
      </w:r>
      <w:r>
        <w:rPr>
          <w:color w:val="231F20"/>
          <w:spacing w:val="-5"/>
          <w:w w:val="110"/>
        </w:rPr>
        <w:t> </w:t>
      </w:r>
      <w:r>
        <w:rPr>
          <w:color w:val="231F20"/>
          <w:w w:val="110"/>
        </w:rPr>
        <w:t>propia</w:t>
      </w:r>
      <w:r>
        <w:rPr>
          <w:color w:val="231F20"/>
          <w:spacing w:val="-5"/>
          <w:w w:val="110"/>
        </w:rPr>
        <w:t> </w:t>
      </w:r>
      <w:r>
        <w:rPr>
          <w:color w:val="231F20"/>
          <w:w w:val="110"/>
        </w:rPr>
        <w:t>o</w:t>
      </w:r>
      <w:r>
        <w:rPr>
          <w:color w:val="231F20"/>
          <w:spacing w:val="-5"/>
          <w:w w:val="110"/>
        </w:rPr>
        <w:t> </w:t>
      </w:r>
      <w:r>
        <w:rPr>
          <w:color w:val="231F20"/>
          <w:w w:val="110"/>
        </w:rPr>
        <w:t>como</w:t>
      </w:r>
      <w:r>
        <w:rPr>
          <w:color w:val="231F20"/>
          <w:spacing w:val="-5"/>
          <w:w w:val="110"/>
        </w:rPr>
        <w:t> </w:t>
      </w:r>
      <w:r>
        <w:rPr>
          <w:color w:val="231F20"/>
          <w:w w:val="110"/>
        </w:rPr>
        <w:t>forma</w:t>
      </w:r>
      <w:r>
        <w:rPr>
          <w:color w:val="231F20"/>
          <w:spacing w:val="-5"/>
          <w:w w:val="110"/>
        </w:rPr>
        <w:t> </w:t>
      </w:r>
      <w:r>
        <w:rPr>
          <w:color w:val="231F20"/>
          <w:w w:val="110"/>
        </w:rPr>
        <w:t>de</w:t>
      </w:r>
      <w:r>
        <w:rPr>
          <w:color w:val="231F20"/>
          <w:spacing w:val="-5"/>
          <w:w w:val="110"/>
        </w:rPr>
        <w:t> </w:t>
      </w:r>
      <w:r>
        <w:rPr>
          <w:color w:val="231F20"/>
          <w:w w:val="110"/>
        </w:rPr>
        <w:t>indepen- </w:t>
      </w:r>
      <w:r>
        <w:rPr>
          <w:color w:val="231F20"/>
          <w:spacing w:val="2"/>
          <w:w w:val="110"/>
        </w:rPr>
        <w:t>dencia personal. </w:t>
      </w:r>
      <w:r>
        <w:rPr>
          <w:color w:val="231F20"/>
          <w:w w:val="110"/>
        </w:rPr>
        <w:t>En el </w:t>
      </w:r>
      <w:r>
        <w:rPr>
          <w:color w:val="231F20"/>
          <w:spacing w:val="2"/>
          <w:w w:val="110"/>
        </w:rPr>
        <w:t>caso </w:t>
      </w:r>
      <w:r>
        <w:rPr>
          <w:color w:val="231F20"/>
          <w:w w:val="110"/>
        </w:rPr>
        <w:t>de las </w:t>
      </w:r>
      <w:r>
        <w:rPr>
          <w:color w:val="231F20"/>
          <w:spacing w:val="2"/>
          <w:w w:val="110"/>
        </w:rPr>
        <w:t>solteras, </w:t>
      </w:r>
      <w:r>
        <w:rPr>
          <w:color w:val="231F20"/>
          <w:w w:val="110"/>
        </w:rPr>
        <w:t>el </w:t>
      </w:r>
      <w:r>
        <w:rPr>
          <w:color w:val="231F20"/>
          <w:spacing w:val="2"/>
          <w:w w:val="110"/>
        </w:rPr>
        <w:t>padre </w:t>
      </w:r>
      <w:r>
        <w:rPr>
          <w:color w:val="231F20"/>
          <w:w w:val="110"/>
        </w:rPr>
        <w:t>(56 por </w:t>
      </w:r>
      <w:r>
        <w:rPr>
          <w:color w:val="231F20"/>
          <w:spacing w:val="2"/>
          <w:w w:val="110"/>
        </w:rPr>
        <w:t>ciento), </w:t>
      </w:r>
      <w:r>
        <w:rPr>
          <w:color w:val="231F20"/>
          <w:w w:val="110"/>
        </w:rPr>
        <w:t>la madre (22 por ciento), los hermanos y otros actores son quienes se opo- nen (22 por ciento); en el caso de las casadas, la principal oposición es del esposo, pero cuando la mujer plantea migrar con éste, como estrategia familiar, el proceso</w:t>
      </w:r>
      <w:r>
        <w:rPr>
          <w:color w:val="231F20"/>
          <w:spacing w:val="7"/>
          <w:w w:val="110"/>
        </w:rPr>
        <w:t> </w:t>
      </w:r>
      <w:r>
        <w:rPr>
          <w:color w:val="231F20"/>
          <w:w w:val="110"/>
        </w:rPr>
        <w:t>avanza.</w:t>
      </w:r>
    </w:p>
    <w:p>
      <w:pPr>
        <w:pStyle w:val="BodyText"/>
        <w:spacing w:line="285" w:lineRule="auto" w:before="1"/>
        <w:ind w:left="124" w:right="113" w:firstLine="360"/>
        <w:jc w:val="both"/>
      </w:pPr>
      <w:r>
        <w:rPr>
          <w:color w:val="231F20"/>
          <w:w w:val="110"/>
        </w:rPr>
        <w:t>Para</w:t>
      </w:r>
      <w:r>
        <w:rPr>
          <w:color w:val="231F20"/>
          <w:spacing w:val="-8"/>
          <w:w w:val="110"/>
        </w:rPr>
        <w:t> </w:t>
      </w:r>
      <w:r>
        <w:rPr>
          <w:color w:val="231F20"/>
          <w:w w:val="110"/>
        </w:rPr>
        <w:t>ilustrar,</w:t>
      </w:r>
      <w:r>
        <w:rPr>
          <w:color w:val="231F20"/>
          <w:spacing w:val="-8"/>
          <w:w w:val="110"/>
        </w:rPr>
        <w:t> </w:t>
      </w:r>
      <w:r>
        <w:rPr>
          <w:color w:val="231F20"/>
          <w:w w:val="110"/>
        </w:rPr>
        <w:t>tenemos</w:t>
      </w:r>
      <w:r>
        <w:rPr>
          <w:color w:val="231F20"/>
          <w:spacing w:val="-8"/>
          <w:w w:val="110"/>
        </w:rPr>
        <w:t> </w:t>
      </w:r>
      <w:r>
        <w:rPr>
          <w:color w:val="231F20"/>
          <w:w w:val="110"/>
        </w:rPr>
        <w:t>un</w:t>
      </w:r>
      <w:r>
        <w:rPr>
          <w:color w:val="231F20"/>
          <w:spacing w:val="-8"/>
          <w:w w:val="110"/>
        </w:rPr>
        <w:t> </w:t>
      </w:r>
      <w:r>
        <w:rPr>
          <w:color w:val="231F20"/>
          <w:w w:val="110"/>
        </w:rPr>
        <w:t>caso</w:t>
      </w:r>
      <w:r>
        <w:rPr>
          <w:color w:val="231F20"/>
          <w:spacing w:val="-8"/>
          <w:w w:val="110"/>
        </w:rPr>
        <w:t> </w:t>
      </w:r>
      <w:r>
        <w:rPr>
          <w:color w:val="231F20"/>
          <w:w w:val="110"/>
        </w:rPr>
        <w:t>narrado</w:t>
      </w:r>
      <w:r>
        <w:rPr>
          <w:color w:val="231F20"/>
          <w:spacing w:val="-8"/>
          <w:w w:val="110"/>
        </w:rPr>
        <w:t> </w:t>
      </w:r>
      <w:r>
        <w:rPr>
          <w:color w:val="231F20"/>
          <w:w w:val="110"/>
        </w:rPr>
        <w:t>por</w:t>
      </w:r>
      <w:r>
        <w:rPr>
          <w:color w:val="231F20"/>
          <w:spacing w:val="-8"/>
          <w:w w:val="110"/>
        </w:rPr>
        <w:t> </w:t>
      </w:r>
      <w:r>
        <w:rPr>
          <w:color w:val="231F20"/>
          <w:w w:val="110"/>
        </w:rPr>
        <w:t>Pedro,</w:t>
      </w:r>
      <w:r>
        <w:rPr>
          <w:color w:val="231F20"/>
          <w:spacing w:val="-8"/>
          <w:w w:val="110"/>
        </w:rPr>
        <w:t> </w:t>
      </w:r>
      <w:r>
        <w:rPr>
          <w:color w:val="231F20"/>
          <w:w w:val="110"/>
        </w:rPr>
        <w:t>migrante</w:t>
      </w:r>
      <w:r>
        <w:rPr>
          <w:color w:val="231F20"/>
          <w:spacing w:val="-8"/>
          <w:w w:val="110"/>
        </w:rPr>
        <w:t> </w:t>
      </w:r>
      <w:r>
        <w:rPr>
          <w:color w:val="231F20"/>
          <w:w w:val="110"/>
        </w:rPr>
        <w:t>internacio- nal</w:t>
      </w:r>
      <w:r>
        <w:rPr>
          <w:color w:val="231F20"/>
          <w:spacing w:val="-6"/>
          <w:w w:val="110"/>
        </w:rPr>
        <w:t> </w:t>
      </w:r>
      <w:r>
        <w:rPr>
          <w:color w:val="231F20"/>
          <w:w w:val="110"/>
        </w:rPr>
        <w:t>de</w:t>
      </w:r>
      <w:r>
        <w:rPr>
          <w:color w:val="231F20"/>
          <w:spacing w:val="-6"/>
          <w:w w:val="110"/>
        </w:rPr>
        <w:t> </w:t>
      </w:r>
      <w:r>
        <w:rPr>
          <w:color w:val="231F20"/>
          <w:w w:val="110"/>
        </w:rPr>
        <w:t>mediana</w:t>
      </w:r>
      <w:r>
        <w:rPr>
          <w:color w:val="231F20"/>
          <w:spacing w:val="-6"/>
          <w:w w:val="110"/>
        </w:rPr>
        <w:t> </w:t>
      </w:r>
      <w:r>
        <w:rPr>
          <w:color w:val="231F20"/>
          <w:w w:val="110"/>
        </w:rPr>
        <w:t>experiencia</w:t>
      </w:r>
      <w:r>
        <w:rPr>
          <w:color w:val="231F20"/>
          <w:spacing w:val="-6"/>
          <w:w w:val="110"/>
        </w:rPr>
        <w:t> </w:t>
      </w:r>
      <w:r>
        <w:rPr>
          <w:color w:val="231F20"/>
          <w:w w:val="110"/>
        </w:rPr>
        <w:t>migratoria</w:t>
      </w:r>
      <w:r>
        <w:rPr>
          <w:color w:val="231F20"/>
          <w:spacing w:val="-6"/>
          <w:w w:val="110"/>
        </w:rPr>
        <w:t> </w:t>
      </w:r>
      <w:r>
        <w:rPr>
          <w:color w:val="231F20"/>
          <w:w w:val="110"/>
        </w:rPr>
        <w:t>que</w:t>
      </w:r>
      <w:r>
        <w:rPr>
          <w:color w:val="231F20"/>
          <w:spacing w:val="-6"/>
          <w:w w:val="110"/>
        </w:rPr>
        <w:t> </w:t>
      </w:r>
      <w:r>
        <w:rPr>
          <w:color w:val="231F20"/>
          <w:w w:val="110"/>
        </w:rPr>
        <w:t>alterna</w:t>
      </w:r>
      <w:r>
        <w:rPr>
          <w:color w:val="231F20"/>
          <w:spacing w:val="-6"/>
          <w:w w:val="110"/>
        </w:rPr>
        <w:t> </w:t>
      </w:r>
      <w:r>
        <w:rPr>
          <w:color w:val="231F20"/>
          <w:w w:val="110"/>
        </w:rPr>
        <w:t>temporadas</w:t>
      </w:r>
      <w:r>
        <w:rPr>
          <w:color w:val="231F20"/>
          <w:spacing w:val="-6"/>
          <w:w w:val="110"/>
        </w:rPr>
        <w:t> </w:t>
      </w:r>
      <w:r>
        <w:rPr>
          <w:color w:val="231F20"/>
          <w:w w:val="110"/>
        </w:rPr>
        <w:t>de</w:t>
      </w:r>
      <w:r>
        <w:rPr>
          <w:color w:val="231F20"/>
          <w:spacing w:val="-6"/>
          <w:w w:val="110"/>
        </w:rPr>
        <w:t> </w:t>
      </w:r>
      <w:r>
        <w:rPr>
          <w:color w:val="231F20"/>
          <w:w w:val="110"/>
        </w:rPr>
        <w:t>estancia entre Estados Unidos y México, en ambos lados trabaja principalmente en actividades agrícolas y de</w:t>
      </w:r>
      <w:r>
        <w:rPr>
          <w:color w:val="231F20"/>
          <w:spacing w:val="34"/>
          <w:w w:val="110"/>
        </w:rPr>
        <w:t> </w:t>
      </w:r>
      <w:r>
        <w:rPr>
          <w:color w:val="231F20"/>
          <w:w w:val="110"/>
        </w:rPr>
        <w:t>construcción:</w:t>
      </w:r>
    </w:p>
    <w:p>
      <w:pPr>
        <w:pStyle w:val="BodyText"/>
        <w:rPr>
          <w:sz w:val="16"/>
        </w:rPr>
      </w:pPr>
    </w:p>
    <w:p>
      <w:pPr>
        <w:spacing w:line="283" w:lineRule="auto" w:before="0"/>
        <w:ind w:left="484" w:right="110" w:firstLine="0"/>
        <w:jc w:val="both"/>
        <w:rPr>
          <w:sz w:val="18"/>
        </w:rPr>
      </w:pPr>
      <w:r>
        <w:rPr>
          <w:color w:val="231F20"/>
          <w:w w:val="110"/>
          <w:sz w:val="18"/>
        </w:rPr>
        <w:t>[…] A Estados Unidos he ido y venido desde que tenía 17 años, fui con un amigo y con un cuñado… ahorita ya llevo aquí casi los ocho meses, pero ya tenía sin venir casi dos años, entonces ya extrañaba mi casa y ahorita ya me</w:t>
      </w:r>
    </w:p>
    <w:p>
      <w:pPr>
        <w:spacing w:after="0" w:line="283" w:lineRule="auto"/>
        <w:jc w:val="both"/>
        <w:rPr>
          <w:sz w:val="18"/>
        </w:rPr>
        <w:sectPr>
          <w:pgSz w:w="9520" w:h="12920"/>
          <w:pgMar w:header="0" w:footer="1344" w:top="880" w:bottom="1540" w:left="1320" w:right="1000"/>
        </w:sectPr>
      </w:pPr>
    </w:p>
    <w:p>
      <w:pPr>
        <w:spacing w:line="283" w:lineRule="auto" w:before="46"/>
        <w:ind w:left="479" w:right="116" w:firstLine="0"/>
        <w:jc w:val="both"/>
        <w:rPr>
          <w:sz w:val="18"/>
        </w:rPr>
      </w:pPr>
      <w:r>
        <w:rPr>
          <w:color w:val="231F20"/>
          <w:w w:val="110"/>
          <w:sz w:val="18"/>
        </w:rPr>
        <w:t>anda por irme [</w:t>
      </w:r>
      <w:r>
        <w:rPr>
          <w:i/>
          <w:color w:val="231F20"/>
          <w:w w:val="110"/>
          <w:sz w:val="18"/>
        </w:rPr>
        <w:t>¿Su esposa se va con usted?</w:t>
      </w:r>
      <w:r>
        <w:rPr>
          <w:color w:val="231F20"/>
          <w:w w:val="110"/>
          <w:sz w:val="18"/>
        </w:rPr>
        <w:t>], ehh, no, se queda, ella no va. No la quiero</w:t>
      </w:r>
      <w:r>
        <w:rPr>
          <w:color w:val="231F20"/>
          <w:spacing w:val="-6"/>
          <w:w w:val="110"/>
          <w:sz w:val="18"/>
        </w:rPr>
        <w:t> </w:t>
      </w:r>
      <w:r>
        <w:rPr>
          <w:color w:val="231F20"/>
          <w:w w:val="110"/>
          <w:sz w:val="18"/>
        </w:rPr>
        <w:t>allá,</w:t>
      </w:r>
      <w:r>
        <w:rPr>
          <w:color w:val="231F20"/>
          <w:spacing w:val="-6"/>
          <w:w w:val="110"/>
          <w:sz w:val="18"/>
        </w:rPr>
        <w:t> </w:t>
      </w:r>
      <w:r>
        <w:rPr>
          <w:color w:val="231F20"/>
          <w:w w:val="110"/>
          <w:sz w:val="18"/>
        </w:rPr>
        <w:t>aquí</w:t>
      </w:r>
      <w:r>
        <w:rPr>
          <w:color w:val="231F20"/>
          <w:spacing w:val="-6"/>
          <w:w w:val="110"/>
          <w:sz w:val="18"/>
        </w:rPr>
        <w:t> </w:t>
      </w:r>
      <w:r>
        <w:rPr>
          <w:color w:val="231F20"/>
          <w:w w:val="110"/>
          <w:sz w:val="18"/>
        </w:rPr>
        <w:t>tiene</w:t>
      </w:r>
      <w:r>
        <w:rPr>
          <w:color w:val="231F20"/>
          <w:spacing w:val="-6"/>
          <w:w w:val="110"/>
          <w:sz w:val="18"/>
        </w:rPr>
        <w:t> </w:t>
      </w:r>
      <w:r>
        <w:rPr>
          <w:color w:val="231F20"/>
          <w:w w:val="110"/>
          <w:sz w:val="18"/>
        </w:rPr>
        <w:t>mucho</w:t>
      </w:r>
      <w:r>
        <w:rPr>
          <w:color w:val="231F20"/>
          <w:spacing w:val="-6"/>
          <w:w w:val="110"/>
          <w:sz w:val="18"/>
        </w:rPr>
        <w:t> </w:t>
      </w:r>
      <w:r>
        <w:rPr>
          <w:color w:val="231F20"/>
          <w:w w:val="110"/>
          <w:sz w:val="18"/>
        </w:rPr>
        <w:t>trabajo</w:t>
      </w:r>
      <w:r>
        <w:rPr>
          <w:color w:val="231F20"/>
          <w:spacing w:val="-6"/>
          <w:w w:val="110"/>
          <w:sz w:val="18"/>
        </w:rPr>
        <w:t> </w:t>
      </w:r>
      <w:r>
        <w:rPr>
          <w:color w:val="231F20"/>
          <w:w w:val="110"/>
          <w:sz w:val="18"/>
        </w:rPr>
        <w:t>con</w:t>
      </w:r>
      <w:r>
        <w:rPr>
          <w:color w:val="231F20"/>
          <w:spacing w:val="-6"/>
          <w:w w:val="110"/>
          <w:sz w:val="18"/>
        </w:rPr>
        <w:t> </w:t>
      </w:r>
      <w:r>
        <w:rPr>
          <w:color w:val="231F20"/>
          <w:w w:val="110"/>
          <w:sz w:val="18"/>
        </w:rPr>
        <w:t>los</w:t>
      </w:r>
      <w:r>
        <w:rPr>
          <w:color w:val="231F20"/>
          <w:spacing w:val="-6"/>
          <w:w w:val="110"/>
          <w:sz w:val="18"/>
        </w:rPr>
        <w:t> </w:t>
      </w:r>
      <w:r>
        <w:rPr>
          <w:color w:val="231F20"/>
          <w:w w:val="110"/>
          <w:sz w:val="18"/>
        </w:rPr>
        <w:t>niños</w:t>
      </w:r>
      <w:r>
        <w:rPr>
          <w:color w:val="231F20"/>
          <w:spacing w:val="-6"/>
          <w:w w:val="110"/>
          <w:sz w:val="18"/>
        </w:rPr>
        <w:t> </w:t>
      </w:r>
      <w:r>
        <w:rPr>
          <w:color w:val="231F20"/>
          <w:w w:val="110"/>
          <w:sz w:val="18"/>
        </w:rPr>
        <w:t>[</w:t>
      </w:r>
      <w:r>
        <w:rPr>
          <w:i/>
          <w:color w:val="231F20"/>
          <w:w w:val="110"/>
          <w:sz w:val="18"/>
        </w:rPr>
        <w:t>¿Ella</w:t>
      </w:r>
      <w:r>
        <w:rPr>
          <w:i/>
          <w:color w:val="231F20"/>
          <w:spacing w:val="-10"/>
          <w:w w:val="110"/>
          <w:sz w:val="18"/>
        </w:rPr>
        <w:t> </w:t>
      </w:r>
      <w:r>
        <w:rPr>
          <w:i/>
          <w:color w:val="231F20"/>
          <w:w w:val="110"/>
          <w:sz w:val="18"/>
        </w:rPr>
        <w:t>ha</w:t>
      </w:r>
      <w:r>
        <w:rPr>
          <w:i/>
          <w:color w:val="231F20"/>
          <w:spacing w:val="-10"/>
          <w:w w:val="110"/>
          <w:sz w:val="18"/>
        </w:rPr>
        <w:t> </w:t>
      </w:r>
      <w:r>
        <w:rPr>
          <w:i/>
          <w:color w:val="231F20"/>
          <w:w w:val="110"/>
          <w:sz w:val="18"/>
        </w:rPr>
        <w:t>querido</w:t>
      </w:r>
      <w:r>
        <w:rPr>
          <w:i/>
          <w:color w:val="231F20"/>
          <w:spacing w:val="-10"/>
          <w:w w:val="110"/>
          <w:sz w:val="18"/>
        </w:rPr>
        <w:t> </w:t>
      </w:r>
      <w:r>
        <w:rPr>
          <w:i/>
          <w:color w:val="231F20"/>
          <w:w w:val="110"/>
          <w:sz w:val="18"/>
        </w:rPr>
        <w:t>ir</w:t>
      </w:r>
      <w:r>
        <w:rPr>
          <w:i/>
          <w:color w:val="231F20"/>
          <w:spacing w:val="-10"/>
          <w:w w:val="110"/>
          <w:sz w:val="18"/>
        </w:rPr>
        <w:t> </w:t>
      </w:r>
      <w:r>
        <w:rPr>
          <w:i/>
          <w:color w:val="231F20"/>
          <w:w w:val="110"/>
          <w:sz w:val="18"/>
        </w:rPr>
        <w:t>a</w:t>
      </w:r>
      <w:r>
        <w:rPr>
          <w:i/>
          <w:color w:val="231F20"/>
          <w:spacing w:val="-10"/>
          <w:w w:val="110"/>
          <w:sz w:val="18"/>
        </w:rPr>
        <w:t> </w:t>
      </w:r>
      <w:r>
        <w:rPr>
          <w:i/>
          <w:color w:val="231F20"/>
          <w:w w:val="110"/>
          <w:sz w:val="18"/>
        </w:rPr>
        <w:t>Estados </w:t>
      </w:r>
      <w:r>
        <w:rPr>
          <w:i/>
          <w:color w:val="231F20"/>
          <w:w w:val="110"/>
          <w:sz w:val="18"/>
        </w:rPr>
        <w:t>Unidos?</w:t>
      </w:r>
      <w:r>
        <w:rPr>
          <w:color w:val="231F20"/>
          <w:w w:val="110"/>
          <w:sz w:val="18"/>
        </w:rPr>
        <w:t>] Pues a ella sí le han dado ganas pero yo no estoy de acuerdo y no me la llevo porque viviendo uno solo para dondequiera se va, se puede acomodar, pero con la familia es diferente. Allá hay grupos de hombres que rentan apar- </w:t>
      </w:r>
      <w:r>
        <w:rPr>
          <w:color w:val="231F20"/>
          <w:spacing w:val="2"/>
          <w:w w:val="110"/>
          <w:sz w:val="18"/>
        </w:rPr>
        <w:t>tamentos </w:t>
      </w:r>
      <w:r>
        <w:rPr>
          <w:color w:val="231F20"/>
          <w:w w:val="110"/>
          <w:sz w:val="18"/>
        </w:rPr>
        <w:t>de </w:t>
      </w:r>
      <w:r>
        <w:rPr>
          <w:color w:val="231F20"/>
          <w:spacing w:val="3"/>
          <w:w w:val="110"/>
          <w:sz w:val="18"/>
        </w:rPr>
        <w:t>ocho-nueve </w:t>
      </w:r>
      <w:r>
        <w:rPr>
          <w:color w:val="231F20"/>
          <w:spacing w:val="2"/>
          <w:w w:val="110"/>
          <w:sz w:val="18"/>
        </w:rPr>
        <w:t>hombres </w:t>
      </w:r>
      <w:r>
        <w:rPr>
          <w:color w:val="231F20"/>
          <w:w w:val="110"/>
          <w:sz w:val="18"/>
        </w:rPr>
        <w:t>que </w:t>
      </w:r>
      <w:r>
        <w:rPr>
          <w:color w:val="231F20"/>
          <w:spacing w:val="2"/>
          <w:w w:val="110"/>
          <w:sz w:val="18"/>
        </w:rPr>
        <w:t>viven solos, </w:t>
      </w:r>
      <w:r>
        <w:rPr>
          <w:color w:val="231F20"/>
          <w:w w:val="110"/>
          <w:sz w:val="18"/>
        </w:rPr>
        <w:t>se </w:t>
      </w:r>
      <w:r>
        <w:rPr>
          <w:color w:val="231F20"/>
          <w:spacing w:val="2"/>
          <w:w w:val="110"/>
          <w:sz w:val="18"/>
        </w:rPr>
        <w:t>hacen </w:t>
      </w:r>
      <w:r>
        <w:rPr>
          <w:color w:val="231F20"/>
          <w:w w:val="110"/>
          <w:sz w:val="18"/>
        </w:rPr>
        <w:t>de comer, se planchan y todo, y pues una mujer ahí no va bien, es difícil para todos pero más para uno como marido. Entonces es mejor que ella se quede aquí y esté pendiente de la casa, ese es su trabajo[…] (Pedro, 31 años, entrevistado en Almoloya de</w:t>
      </w:r>
      <w:r>
        <w:rPr>
          <w:color w:val="231F20"/>
          <w:spacing w:val="2"/>
          <w:w w:val="110"/>
          <w:sz w:val="18"/>
        </w:rPr>
        <w:t> </w:t>
      </w:r>
      <w:r>
        <w:rPr>
          <w:color w:val="231F20"/>
          <w:w w:val="110"/>
          <w:sz w:val="18"/>
        </w:rPr>
        <w:t>Alquisiras).</w:t>
      </w:r>
    </w:p>
    <w:p>
      <w:pPr>
        <w:pStyle w:val="BodyText"/>
        <w:spacing w:before="7"/>
        <w:rPr>
          <w:sz w:val="21"/>
        </w:rPr>
      </w:pPr>
    </w:p>
    <w:p>
      <w:pPr>
        <w:pStyle w:val="BodyText"/>
        <w:spacing w:line="288" w:lineRule="auto"/>
        <w:ind w:left="120" w:right="114" w:firstLine="360"/>
        <w:jc w:val="both"/>
      </w:pPr>
      <w:r>
        <w:rPr>
          <w:color w:val="231F20"/>
          <w:spacing w:val="2"/>
          <w:w w:val="110"/>
        </w:rPr>
        <w:t>La </w:t>
      </w:r>
      <w:r>
        <w:rPr>
          <w:color w:val="231F20"/>
          <w:w w:val="110"/>
        </w:rPr>
        <w:t>incorporación de mujeres en esta región ha sido lenta y llena de trabas,</w:t>
      </w:r>
      <w:r>
        <w:rPr>
          <w:color w:val="231F20"/>
          <w:spacing w:val="-11"/>
          <w:w w:val="110"/>
        </w:rPr>
        <w:t> </w:t>
      </w:r>
      <w:r>
        <w:rPr>
          <w:color w:val="231F20"/>
          <w:w w:val="110"/>
        </w:rPr>
        <w:t>pero</w:t>
      </w:r>
      <w:r>
        <w:rPr>
          <w:color w:val="231F20"/>
          <w:spacing w:val="-11"/>
          <w:w w:val="110"/>
        </w:rPr>
        <w:t> </w:t>
      </w:r>
      <w:r>
        <w:rPr>
          <w:color w:val="231F20"/>
          <w:w w:val="110"/>
        </w:rPr>
        <w:t>avanza.</w:t>
      </w:r>
      <w:r>
        <w:rPr>
          <w:color w:val="231F20"/>
          <w:spacing w:val="-11"/>
          <w:w w:val="110"/>
        </w:rPr>
        <w:t> </w:t>
      </w:r>
      <w:r>
        <w:rPr>
          <w:color w:val="231F20"/>
          <w:w w:val="110"/>
        </w:rPr>
        <w:t>Sólo</w:t>
      </w:r>
      <w:r>
        <w:rPr>
          <w:color w:val="231F20"/>
          <w:spacing w:val="-11"/>
          <w:w w:val="110"/>
        </w:rPr>
        <w:t> </w:t>
      </w:r>
      <w:r>
        <w:rPr>
          <w:color w:val="231F20"/>
          <w:w w:val="110"/>
        </w:rPr>
        <w:t>que</w:t>
      </w:r>
      <w:r>
        <w:rPr>
          <w:color w:val="231F20"/>
          <w:spacing w:val="-11"/>
          <w:w w:val="110"/>
        </w:rPr>
        <w:t> </w:t>
      </w:r>
      <w:r>
        <w:rPr>
          <w:color w:val="231F20"/>
          <w:w w:val="110"/>
        </w:rPr>
        <w:t>merced</w:t>
      </w:r>
      <w:r>
        <w:rPr>
          <w:color w:val="231F20"/>
          <w:spacing w:val="-11"/>
          <w:w w:val="110"/>
        </w:rPr>
        <w:t> </w:t>
      </w:r>
      <w:r>
        <w:rPr>
          <w:color w:val="231F20"/>
          <w:w w:val="110"/>
        </w:rPr>
        <w:t>a</w:t>
      </w:r>
      <w:r>
        <w:rPr>
          <w:color w:val="231F20"/>
          <w:spacing w:val="-11"/>
          <w:w w:val="110"/>
        </w:rPr>
        <w:t> </w:t>
      </w:r>
      <w:r>
        <w:rPr>
          <w:color w:val="231F20"/>
          <w:w w:val="110"/>
        </w:rPr>
        <w:t>la</w:t>
      </w:r>
      <w:r>
        <w:rPr>
          <w:color w:val="231F20"/>
          <w:spacing w:val="-11"/>
          <w:w w:val="110"/>
        </w:rPr>
        <w:t> </w:t>
      </w:r>
      <w:r>
        <w:rPr>
          <w:color w:val="231F20"/>
          <w:w w:val="110"/>
        </w:rPr>
        <w:t>propia</w:t>
      </w:r>
      <w:r>
        <w:rPr>
          <w:color w:val="231F20"/>
          <w:spacing w:val="-11"/>
          <w:w w:val="110"/>
        </w:rPr>
        <w:t> </w:t>
      </w:r>
      <w:r>
        <w:rPr>
          <w:color w:val="231F20"/>
          <w:w w:val="110"/>
        </w:rPr>
        <w:t>dinámica</w:t>
      </w:r>
      <w:r>
        <w:rPr>
          <w:color w:val="231F20"/>
          <w:spacing w:val="-11"/>
          <w:w w:val="110"/>
        </w:rPr>
        <w:t> </w:t>
      </w:r>
      <w:r>
        <w:rPr>
          <w:color w:val="231F20"/>
          <w:w w:val="110"/>
        </w:rPr>
        <w:t>masculina</w:t>
      </w:r>
      <w:r>
        <w:rPr>
          <w:color w:val="231F20"/>
          <w:spacing w:val="-11"/>
          <w:w w:val="110"/>
        </w:rPr>
        <w:t> </w:t>
      </w:r>
      <w:r>
        <w:rPr>
          <w:color w:val="231F20"/>
          <w:w w:val="110"/>
        </w:rPr>
        <w:t>de</w:t>
      </w:r>
      <w:r>
        <w:rPr>
          <w:color w:val="231F20"/>
          <w:spacing w:val="-11"/>
          <w:w w:val="110"/>
        </w:rPr>
        <w:t> </w:t>
      </w:r>
      <w:r>
        <w:rPr>
          <w:color w:val="231F20"/>
          <w:w w:val="110"/>
        </w:rPr>
        <w:t>mi- gración pionera y la posibilidad que ellos tuvieron para legalizarse, en</w:t>
      </w:r>
      <w:r>
        <w:rPr>
          <w:color w:val="231F20"/>
          <w:spacing w:val="-26"/>
          <w:w w:val="110"/>
        </w:rPr>
        <w:t> </w:t>
      </w:r>
      <w:r>
        <w:rPr>
          <w:color w:val="231F20"/>
          <w:w w:val="110"/>
        </w:rPr>
        <w:t>esta región aún migran más de forma indocumentada</w:t>
      </w:r>
      <w:r>
        <w:rPr>
          <w:color w:val="231F20"/>
          <w:w w:val="110"/>
          <w:position w:val="6"/>
          <w:sz w:val="11"/>
        </w:rPr>
        <w:t>2 </w:t>
      </w:r>
      <w:r>
        <w:rPr>
          <w:color w:val="231F20"/>
          <w:w w:val="110"/>
        </w:rPr>
        <w:t>(78 por ciento), que los </w:t>
      </w:r>
      <w:r>
        <w:rPr>
          <w:color w:val="231F20"/>
          <w:spacing w:val="2"/>
          <w:w w:val="110"/>
        </w:rPr>
        <w:t>hombres </w:t>
      </w:r>
      <w:r>
        <w:rPr>
          <w:color w:val="231F20"/>
          <w:w w:val="110"/>
        </w:rPr>
        <w:t>(65 por </w:t>
      </w:r>
      <w:r>
        <w:rPr>
          <w:color w:val="231F20"/>
          <w:spacing w:val="2"/>
          <w:w w:val="110"/>
        </w:rPr>
        <w:t>ciento). </w:t>
      </w:r>
      <w:r>
        <w:rPr>
          <w:color w:val="231F20"/>
          <w:w w:val="110"/>
        </w:rPr>
        <w:t>No </w:t>
      </w:r>
      <w:r>
        <w:rPr>
          <w:color w:val="231F20"/>
          <w:spacing w:val="2"/>
          <w:w w:val="110"/>
        </w:rPr>
        <w:t>obstante, esta creciente participación </w:t>
      </w:r>
      <w:r>
        <w:rPr>
          <w:color w:val="231F20"/>
          <w:w w:val="110"/>
        </w:rPr>
        <w:t>y la forma en que lo hacen, muestra un proceso de cambio y adecuación emo- cional, social y cultural que permea en las comunidades y que deriva de </w:t>
      </w:r>
      <w:r>
        <w:rPr>
          <w:color w:val="231F20"/>
          <w:spacing w:val="3"/>
          <w:w w:val="110"/>
        </w:rPr>
        <w:t>varias circunstancias entre </w:t>
      </w:r>
      <w:r>
        <w:rPr>
          <w:color w:val="231F20"/>
          <w:spacing w:val="2"/>
          <w:w w:val="110"/>
        </w:rPr>
        <w:t>las que </w:t>
      </w:r>
      <w:r>
        <w:rPr>
          <w:color w:val="231F20"/>
          <w:spacing w:val="3"/>
          <w:w w:val="110"/>
        </w:rPr>
        <w:t>destaca </w:t>
      </w:r>
      <w:r>
        <w:rPr>
          <w:color w:val="231F20"/>
          <w:w w:val="110"/>
        </w:rPr>
        <w:t>la </w:t>
      </w:r>
      <w:r>
        <w:rPr>
          <w:color w:val="231F20"/>
          <w:spacing w:val="3"/>
          <w:w w:val="110"/>
        </w:rPr>
        <w:t>propia necesidad </w:t>
      </w:r>
      <w:r>
        <w:rPr>
          <w:color w:val="231F20"/>
          <w:w w:val="110"/>
        </w:rPr>
        <w:t>de </w:t>
      </w:r>
      <w:r>
        <w:rPr>
          <w:color w:val="231F20"/>
          <w:spacing w:val="2"/>
          <w:w w:val="110"/>
        </w:rPr>
        <w:t>ser </w:t>
      </w:r>
      <w:r>
        <w:rPr>
          <w:color w:val="231F20"/>
          <w:w w:val="110"/>
        </w:rPr>
        <w:t>pluriactivos para allegar ingresos a sus </w:t>
      </w:r>
      <w:r>
        <w:rPr>
          <w:color w:val="231F20"/>
          <w:spacing w:val="11"/>
          <w:w w:val="110"/>
        </w:rPr>
        <w:t> </w:t>
      </w:r>
      <w:r>
        <w:rPr>
          <w:color w:val="231F20"/>
          <w:w w:val="110"/>
        </w:rPr>
        <w:t>hogares.</w:t>
      </w:r>
    </w:p>
    <w:p>
      <w:pPr>
        <w:pStyle w:val="BodyText"/>
      </w:pPr>
    </w:p>
    <w:p>
      <w:pPr>
        <w:pStyle w:val="BodyText"/>
        <w:spacing w:before="10"/>
        <w:rPr>
          <w:sz w:val="24"/>
        </w:rPr>
      </w:pPr>
    </w:p>
    <w:p>
      <w:pPr>
        <w:spacing w:line="285" w:lineRule="auto" w:before="0"/>
        <w:ind w:left="120" w:right="3947" w:firstLine="0"/>
        <w:jc w:val="left"/>
        <w:rPr>
          <w:rFonts w:ascii="Times New Roman"/>
          <w:i/>
          <w:sz w:val="19"/>
        </w:rPr>
      </w:pPr>
      <w:r>
        <w:rPr>
          <w:rFonts w:ascii="Times New Roman"/>
          <w:i/>
          <w:color w:val="231F20"/>
          <w:w w:val="90"/>
          <w:sz w:val="24"/>
        </w:rPr>
        <w:t>L</w:t>
      </w:r>
      <w:r>
        <w:rPr>
          <w:rFonts w:ascii="Times New Roman"/>
          <w:i/>
          <w:color w:val="231F20"/>
          <w:w w:val="90"/>
          <w:sz w:val="19"/>
        </w:rPr>
        <w:t>AS CONFIGURACIONES FAMILIARES </w:t>
      </w:r>
      <w:r>
        <w:rPr>
          <w:rFonts w:ascii="Times New Roman"/>
          <w:i/>
          <w:color w:val="231F20"/>
          <w:w w:val="95"/>
          <w:sz w:val="19"/>
        </w:rPr>
        <w:t>EN EL SUR MEXIQUENSE</w:t>
      </w:r>
    </w:p>
    <w:p>
      <w:pPr>
        <w:pStyle w:val="BodyText"/>
        <w:spacing w:before="3"/>
        <w:rPr>
          <w:rFonts w:ascii="Times New Roman"/>
          <w:i/>
          <w:sz w:val="25"/>
        </w:rPr>
      </w:pPr>
    </w:p>
    <w:p>
      <w:pPr>
        <w:pStyle w:val="BodyText"/>
        <w:spacing w:line="288" w:lineRule="auto"/>
        <w:ind w:left="120" w:right="115"/>
        <w:jc w:val="both"/>
      </w:pPr>
      <w:r>
        <w:rPr>
          <w:color w:val="231F20"/>
          <w:w w:val="110"/>
        </w:rPr>
        <w:t>Los procesos de cambio e incorporación de nuevos sujetos a la migración </w:t>
      </w:r>
      <w:r>
        <w:rPr>
          <w:color w:val="231F20"/>
          <w:spacing w:val="-4"/>
          <w:w w:val="110"/>
        </w:rPr>
        <w:t>fueron</w:t>
      </w:r>
      <w:r>
        <w:rPr>
          <w:color w:val="231F20"/>
          <w:spacing w:val="-8"/>
          <w:w w:val="110"/>
        </w:rPr>
        <w:t> </w:t>
      </w:r>
      <w:r>
        <w:rPr>
          <w:color w:val="231F20"/>
          <w:spacing w:val="-4"/>
          <w:w w:val="110"/>
        </w:rPr>
        <w:t>configurando</w:t>
      </w:r>
      <w:r>
        <w:rPr>
          <w:color w:val="231F20"/>
          <w:spacing w:val="-8"/>
          <w:w w:val="110"/>
        </w:rPr>
        <w:t> </w:t>
      </w:r>
      <w:r>
        <w:rPr>
          <w:color w:val="231F20"/>
          <w:spacing w:val="-4"/>
          <w:w w:val="110"/>
        </w:rPr>
        <w:t>hogares</w:t>
      </w:r>
      <w:r>
        <w:rPr>
          <w:color w:val="231F20"/>
          <w:spacing w:val="-8"/>
          <w:w w:val="110"/>
        </w:rPr>
        <w:t> </w:t>
      </w:r>
      <w:r>
        <w:rPr>
          <w:color w:val="231F20"/>
          <w:spacing w:val="-3"/>
          <w:w w:val="110"/>
        </w:rPr>
        <w:t>con</w:t>
      </w:r>
      <w:r>
        <w:rPr>
          <w:color w:val="231F20"/>
          <w:spacing w:val="-8"/>
          <w:w w:val="110"/>
        </w:rPr>
        <w:t> </w:t>
      </w:r>
      <w:r>
        <w:rPr>
          <w:color w:val="231F20"/>
          <w:spacing w:val="-4"/>
          <w:w w:val="110"/>
        </w:rPr>
        <w:t>distintas</w:t>
      </w:r>
      <w:r>
        <w:rPr>
          <w:color w:val="231F20"/>
          <w:spacing w:val="-8"/>
          <w:w w:val="110"/>
        </w:rPr>
        <w:t> </w:t>
      </w:r>
      <w:r>
        <w:rPr>
          <w:color w:val="231F20"/>
          <w:spacing w:val="-4"/>
          <w:w w:val="110"/>
        </w:rPr>
        <w:t>generaciones</w:t>
      </w:r>
      <w:r>
        <w:rPr>
          <w:color w:val="231F20"/>
          <w:spacing w:val="-8"/>
          <w:w w:val="110"/>
        </w:rPr>
        <w:t> </w:t>
      </w:r>
      <w:r>
        <w:rPr>
          <w:color w:val="231F20"/>
          <w:w w:val="110"/>
        </w:rPr>
        <w:t>de</w:t>
      </w:r>
      <w:r>
        <w:rPr>
          <w:color w:val="231F20"/>
          <w:spacing w:val="-8"/>
          <w:w w:val="110"/>
        </w:rPr>
        <w:t> </w:t>
      </w:r>
      <w:r>
        <w:rPr>
          <w:color w:val="231F20"/>
          <w:spacing w:val="-4"/>
          <w:w w:val="110"/>
        </w:rPr>
        <w:t>migrantes,</w:t>
      </w:r>
      <w:r>
        <w:rPr>
          <w:color w:val="231F20"/>
          <w:spacing w:val="-8"/>
          <w:w w:val="110"/>
        </w:rPr>
        <w:t> </w:t>
      </w:r>
      <w:r>
        <w:rPr>
          <w:color w:val="231F20"/>
          <w:spacing w:val="-3"/>
          <w:w w:val="110"/>
        </w:rPr>
        <w:t>con</w:t>
      </w:r>
      <w:r>
        <w:rPr>
          <w:color w:val="231F20"/>
          <w:spacing w:val="-8"/>
          <w:w w:val="110"/>
        </w:rPr>
        <w:t> </w:t>
      </w:r>
      <w:r>
        <w:rPr>
          <w:color w:val="231F20"/>
          <w:spacing w:val="-3"/>
          <w:w w:val="110"/>
        </w:rPr>
        <w:t>di- </w:t>
      </w:r>
      <w:r>
        <w:rPr>
          <w:color w:val="231F20"/>
          <w:w w:val="110"/>
        </w:rPr>
        <w:t>versos  estatus  migratorio,  distintos  activos  acumulados  y</w:t>
      </w:r>
      <w:r>
        <w:rPr>
          <w:color w:val="231F20"/>
          <w:spacing w:val="-16"/>
          <w:w w:val="110"/>
        </w:rPr>
        <w:t> </w:t>
      </w:r>
      <w:r>
        <w:rPr>
          <w:color w:val="231F20"/>
          <w:w w:val="110"/>
        </w:rPr>
        <w:t>experiencias,</w:t>
      </w:r>
    </w:p>
    <w:p>
      <w:pPr>
        <w:pStyle w:val="BodyText"/>
        <w:spacing w:before="10"/>
        <w:rPr>
          <w:sz w:val="18"/>
        </w:rPr>
      </w:pPr>
    </w:p>
    <w:p>
      <w:pPr>
        <w:spacing w:line="256" w:lineRule="auto" w:before="0"/>
        <w:ind w:left="119" w:right="117" w:firstLine="360"/>
        <w:jc w:val="both"/>
        <w:rPr>
          <w:sz w:val="16"/>
        </w:rPr>
      </w:pPr>
      <w:r>
        <w:rPr>
          <w:color w:val="231F20"/>
          <w:w w:val="110"/>
          <w:position w:val="5"/>
          <w:sz w:val="9"/>
        </w:rPr>
        <w:t>2 </w:t>
      </w:r>
      <w:r>
        <w:rPr>
          <w:color w:val="231F20"/>
          <w:w w:val="110"/>
          <w:sz w:val="16"/>
        </w:rPr>
        <w:t>Migrante indocumentado es la persona que no tiene permiso legal para permanecer en un país de acogida. Pero no todos los migrantes irregulares entran o permanecen en un país sin autorización o documentación. Por ejemplo, las personas migrantes que son introducidas ilegalmente</w:t>
      </w:r>
      <w:r>
        <w:rPr>
          <w:color w:val="231F20"/>
          <w:spacing w:val="-4"/>
          <w:w w:val="110"/>
          <w:sz w:val="16"/>
        </w:rPr>
        <w:t> </w:t>
      </w:r>
      <w:r>
        <w:rPr>
          <w:color w:val="231F20"/>
          <w:w w:val="110"/>
          <w:sz w:val="16"/>
        </w:rPr>
        <w:t>en</w:t>
      </w:r>
      <w:r>
        <w:rPr>
          <w:color w:val="231F20"/>
          <w:spacing w:val="-4"/>
          <w:w w:val="110"/>
          <w:sz w:val="16"/>
        </w:rPr>
        <w:t> </w:t>
      </w:r>
      <w:r>
        <w:rPr>
          <w:color w:val="231F20"/>
          <w:w w:val="110"/>
          <w:sz w:val="16"/>
        </w:rPr>
        <w:t>un</w:t>
      </w:r>
      <w:r>
        <w:rPr>
          <w:color w:val="231F20"/>
          <w:spacing w:val="-4"/>
          <w:w w:val="110"/>
          <w:sz w:val="16"/>
        </w:rPr>
        <w:t> </w:t>
      </w:r>
      <w:r>
        <w:rPr>
          <w:color w:val="231F20"/>
          <w:w w:val="110"/>
          <w:sz w:val="16"/>
        </w:rPr>
        <w:t>país</w:t>
      </w:r>
      <w:r>
        <w:rPr>
          <w:color w:val="231F20"/>
          <w:spacing w:val="-4"/>
          <w:w w:val="110"/>
          <w:sz w:val="16"/>
        </w:rPr>
        <w:t> </w:t>
      </w:r>
      <w:r>
        <w:rPr>
          <w:color w:val="231F20"/>
          <w:w w:val="110"/>
          <w:sz w:val="16"/>
        </w:rPr>
        <w:t>para</w:t>
      </w:r>
      <w:r>
        <w:rPr>
          <w:color w:val="231F20"/>
          <w:spacing w:val="-4"/>
          <w:w w:val="110"/>
          <w:sz w:val="16"/>
        </w:rPr>
        <w:t> </w:t>
      </w:r>
      <w:r>
        <w:rPr>
          <w:color w:val="231F20"/>
          <w:w w:val="110"/>
          <w:sz w:val="16"/>
        </w:rPr>
        <w:t>trabajar</w:t>
      </w:r>
      <w:r>
        <w:rPr>
          <w:color w:val="231F20"/>
          <w:spacing w:val="-4"/>
          <w:w w:val="110"/>
          <w:sz w:val="16"/>
        </w:rPr>
        <w:t> </w:t>
      </w:r>
      <w:r>
        <w:rPr>
          <w:color w:val="231F20"/>
          <w:w w:val="110"/>
          <w:sz w:val="16"/>
        </w:rPr>
        <w:t>a</w:t>
      </w:r>
      <w:r>
        <w:rPr>
          <w:color w:val="231F20"/>
          <w:spacing w:val="-4"/>
          <w:w w:val="110"/>
          <w:sz w:val="16"/>
        </w:rPr>
        <w:t> </w:t>
      </w:r>
      <w:r>
        <w:rPr>
          <w:color w:val="231F20"/>
          <w:w w:val="110"/>
          <w:sz w:val="16"/>
        </w:rPr>
        <w:t>menudo</w:t>
      </w:r>
      <w:r>
        <w:rPr>
          <w:color w:val="231F20"/>
          <w:spacing w:val="-4"/>
          <w:w w:val="110"/>
          <w:sz w:val="16"/>
        </w:rPr>
        <w:t> </w:t>
      </w:r>
      <w:r>
        <w:rPr>
          <w:color w:val="231F20"/>
          <w:w w:val="110"/>
          <w:sz w:val="16"/>
        </w:rPr>
        <w:t>reciben</w:t>
      </w:r>
      <w:r>
        <w:rPr>
          <w:color w:val="231F20"/>
          <w:spacing w:val="-4"/>
          <w:w w:val="110"/>
          <w:sz w:val="16"/>
        </w:rPr>
        <w:t> </w:t>
      </w:r>
      <w:r>
        <w:rPr>
          <w:color w:val="231F20"/>
          <w:w w:val="110"/>
          <w:sz w:val="16"/>
        </w:rPr>
        <w:t>de</w:t>
      </w:r>
      <w:r>
        <w:rPr>
          <w:color w:val="231F20"/>
          <w:spacing w:val="-4"/>
          <w:w w:val="110"/>
          <w:sz w:val="16"/>
        </w:rPr>
        <w:t> </w:t>
      </w:r>
      <w:r>
        <w:rPr>
          <w:color w:val="231F20"/>
          <w:w w:val="110"/>
          <w:sz w:val="16"/>
        </w:rPr>
        <w:t>los</w:t>
      </w:r>
      <w:r>
        <w:rPr>
          <w:color w:val="231F20"/>
          <w:spacing w:val="-4"/>
          <w:w w:val="110"/>
          <w:sz w:val="16"/>
        </w:rPr>
        <w:t> </w:t>
      </w:r>
      <w:r>
        <w:rPr>
          <w:color w:val="231F20"/>
          <w:w w:val="110"/>
          <w:sz w:val="16"/>
        </w:rPr>
        <w:t>traficantes</w:t>
      </w:r>
      <w:r>
        <w:rPr>
          <w:color w:val="231F20"/>
          <w:spacing w:val="-4"/>
          <w:w w:val="110"/>
          <w:sz w:val="16"/>
        </w:rPr>
        <w:t> </w:t>
      </w:r>
      <w:r>
        <w:rPr>
          <w:color w:val="231F20"/>
          <w:w w:val="110"/>
          <w:sz w:val="16"/>
        </w:rPr>
        <w:t>documentación</w:t>
      </w:r>
      <w:r>
        <w:rPr>
          <w:color w:val="231F20"/>
          <w:spacing w:val="-4"/>
          <w:w w:val="110"/>
          <w:sz w:val="16"/>
        </w:rPr>
        <w:t> </w:t>
      </w:r>
      <w:r>
        <w:rPr>
          <w:color w:val="231F20"/>
          <w:w w:val="110"/>
          <w:sz w:val="16"/>
        </w:rPr>
        <w:t>falsa o los propios migrantes adquieren documentos falsos. Además, la condición de un migrante </w:t>
      </w:r>
      <w:r>
        <w:rPr>
          <w:color w:val="231F20"/>
          <w:spacing w:val="-4"/>
          <w:w w:val="110"/>
          <w:sz w:val="16"/>
        </w:rPr>
        <w:t>puede</w:t>
      </w:r>
      <w:r>
        <w:rPr>
          <w:color w:val="231F20"/>
          <w:spacing w:val="-10"/>
          <w:w w:val="110"/>
          <w:sz w:val="16"/>
        </w:rPr>
        <w:t> </w:t>
      </w:r>
      <w:r>
        <w:rPr>
          <w:color w:val="231F20"/>
          <w:spacing w:val="-4"/>
          <w:w w:val="110"/>
          <w:sz w:val="16"/>
        </w:rPr>
        <w:t>convertirse</w:t>
      </w:r>
      <w:r>
        <w:rPr>
          <w:color w:val="231F20"/>
          <w:spacing w:val="-10"/>
          <w:w w:val="110"/>
          <w:sz w:val="16"/>
        </w:rPr>
        <w:t> </w:t>
      </w:r>
      <w:r>
        <w:rPr>
          <w:color w:val="231F20"/>
          <w:w w:val="110"/>
          <w:sz w:val="16"/>
        </w:rPr>
        <w:t>en</w:t>
      </w:r>
      <w:r>
        <w:rPr>
          <w:color w:val="231F20"/>
          <w:spacing w:val="-10"/>
          <w:w w:val="110"/>
          <w:sz w:val="16"/>
        </w:rPr>
        <w:t> </w:t>
      </w:r>
      <w:r>
        <w:rPr>
          <w:color w:val="231F20"/>
          <w:spacing w:val="-4"/>
          <w:w w:val="110"/>
          <w:sz w:val="16"/>
        </w:rPr>
        <w:t>irregular</w:t>
      </w:r>
      <w:r>
        <w:rPr>
          <w:color w:val="231F20"/>
          <w:spacing w:val="-10"/>
          <w:w w:val="110"/>
          <w:sz w:val="16"/>
        </w:rPr>
        <w:t> </w:t>
      </w:r>
      <w:r>
        <w:rPr>
          <w:color w:val="231F20"/>
          <w:w w:val="110"/>
          <w:sz w:val="16"/>
        </w:rPr>
        <w:t>de</w:t>
      </w:r>
      <w:r>
        <w:rPr>
          <w:color w:val="231F20"/>
          <w:spacing w:val="-10"/>
          <w:w w:val="110"/>
          <w:sz w:val="16"/>
        </w:rPr>
        <w:t> </w:t>
      </w:r>
      <w:r>
        <w:rPr>
          <w:color w:val="231F20"/>
          <w:spacing w:val="-4"/>
          <w:w w:val="110"/>
          <w:sz w:val="16"/>
        </w:rPr>
        <w:t>varias</w:t>
      </w:r>
      <w:r>
        <w:rPr>
          <w:color w:val="231F20"/>
          <w:spacing w:val="-10"/>
          <w:w w:val="110"/>
          <w:sz w:val="16"/>
        </w:rPr>
        <w:t> </w:t>
      </w:r>
      <w:r>
        <w:rPr>
          <w:color w:val="231F20"/>
          <w:spacing w:val="-4"/>
          <w:w w:val="110"/>
          <w:sz w:val="16"/>
        </w:rPr>
        <w:t>formas,</w:t>
      </w:r>
      <w:r>
        <w:rPr>
          <w:color w:val="231F20"/>
          <w:spacing w:val="-10"/>
          <w:w w:val="110"/>
          <w:sz w:val="16"/>
        </w:rPr>
        <w:t> </w:t>
      </w:r>
      <w:r>
        <w:rPr>
          <w:color w:val="231F20"/>
          <w:w w:val="110"/>
          <w:sz w:val="16"/>
        </w:rPr>
        <w:t>de</w:t>
      </w:r>
      <w:r>
        <w:rPr>
          <w:color w:val="231F20"/>
          <w:spacing w:val="-10"/>
          <w:w w:val="110"/>
          <w:sz w:val="16"/>
        </w:rPr>
        <w:t> </w:t>
      </w:r>
      <w:r>
        <w:rPr>
          <w:color w:val="231F20"/>
          <w:spacing w:val="-4"/>
          <w:w w:val="110"/>
          <w:sz w:val="16"/>
        </w:rPr>
        <w:t>hecho,</w:t>
      </w:r>
      <w:r>
        <w:rPr>
          <w:color w:val="231F20"/>
          <w:spacing w:val="-10"/>
          <w:w w:val="110"/>
          <w:sz w:val="16"/>
        </w:rPr>
        <w:t> </w:t>
      </w:r>
      <w:r>
        <w:rPr>
          <w:color w:val="231F20"/>
          <w:w w:val="110"/>
          <w:sz w:val="16"/>
        </w:rPr>
        <w:t>en</w:t>
      </w:r>
      <w:r>
        <w:rPr>
          <w:color w:val="231F20"/>
          <w:spacing w:val="-10"/>
          <w:w w:val="110"/>
          <w:sz w:val="16"/>
        </w:rPr>
        <w:t> </w:t>
      </w:r>
      <w:r>
        <w:rPr>
          <w:color w:val="231F20"/>
          <w:w w:val="110"/>
          <w:sz w:val="16"/>
        </w:rPr>
        <w:t>el</w:t>
      </w:r>
      <w:r>
        <w:rPr>
          <w:color w:val="231F20"/>
          <w:spacing w:val="-10"/>
          <w:w w:val="110"/>
          <w:sz w:val="16"/>
        </w:rPr>
        <w:t> </w:t>
      </w:r>
      <w:r>
        <w:rPr>
          <w:color w:val="231F20"/>
          <w:spacing w:val="-4"/>
          <w:w w:val="110"/>
          <w:sz w:val="16"/>
        </w:rPr>
        <w:t>transcurso</w:t>
      </w:r>
      <w:r>
        <w:rPr>
          <w:color w:val="231F20"/>
          <w:spacing w:val="-10"/>
          <w:w w:val="110"/>
          <w:sz w:val="16"/>
        </w:rPr>
        <w:t> </w:t>
      </w:r>
      <w:r>
        <w:rPr>
          <w:color w:val="231F20"/>
          <w:w w:val="110"/>
          <w:sz w:val="16"/>
        </w:rPr>
        <w:t>de</w:t>
      </w:r>
      <w:r>
        <w:rPr>
          <w:color w:val="231F20"/>
          <w:spacing w:val="-10"/>
          <w:w w:val="110"/>
          <w:sz w:val="16"/>
        </w:rPr>
        <w:t> </w:t>
      </w:r>
      <w:r>
        <w:rPr>
          <w:color w:val="231F20"/>
          <w:w w:val="110"/>
          <w:sz w:val="16"/>
        </w:rPr>
        <w:t>un</w:t>
      </w:r>
      <w:r>
        <w:rPr>
          <w:color w:val="231F20"/>
          <w:spacing w:val="-10"/>
          <w:w w:val="110"/>
          <w:sz w:val="16"/>
        </w:rPr>
        <w:t> </w:t>
      </w:r>
      <w:r>
        <w:rPr>
          <w:color w:val="231F20"/>
          <w:spacing w:val="-3"/>
          <w:w w:val="110"/>
          <w:sz w:val="16"/>
        </w:rPr>
        <w:t>solo</w:t>
      </w:r>
      <w:r>
        <w:rPr>
          <w:color w:val="231F20"/>
          <w:spacing w:val="-10"/>
          <w:w w:val="110"/>
          <w:sz w:val="16"/>
        </w:rPr>
        <w:t> </w:t>
      </w:r>
      <w:r>
        <w:rPr>
          <w:color w:val="231F20"/>
          <w:spacing w:val="-4"/>
          <w:w w:val="110"/>
          <w:sz w:val="16"/>
        </w:rPr>
        <w:t>viaje</w:t>
      </w:r>
      <w:r>
        <w:rPr>
          <w:color w:val="231F20"/>
          <w:spacing w:val="-10"/>
          <w:w w:val="110"/>
          <w:sz w:val="16"/>
        </w:rPr>
        <w:t> </w:t>
      </w:r>
      <w:r>
        <w:rPr>
          <w:color w:val="231F20"/>
          <w:spacing w:val="-4"/>
          <w:w w:val="110"/>
          <w:sz w:val="16"/>
        </w:rPr>
        <w:t>puede </w:t>
      </w:r>
      <w:r>
        <w:rPr>
          <w:color w:val="231F20"/>
          <w:w w:val="110"/>
          <w:sz w:val="16"/>
        </w:rPr>
        <w:t>pasarse de ser documentado a irregular, un ejemplo simple es cuando una persona ingresa  al país de destino con la normativa de visado debidamente atendida pero se excede en el tiempo de estancia autorizado pasando a una condición de irregularidad según las políticas gubernamentales de esa nación. En síntesis, un migrante indocumentado es toda persona que carece de documentos que la autoricen a entrar o a permanecer legalmente en un país (Amnistía</w:t>
      </w:r>
      <w:r>
        <w:rPr>
          <w:color w:val="231F20"/>
          <w:spacing w:val="-15"/>
          <w:w w:val="110"/>
          <w:sz w:val="16"/>
        </w:rPr>
        <w:t> </w:t>
      </w:r>
      <w:r>
        <w:rPr>
          <w:color w:val="231F20"/>
          <w:w w:val="110"/>
          <w:sz w:val="16"/>
        </w:rPr>
        <w:t>Internacional,</w:t>
      </w:r>
      <w:r>
        <w:rPr>
          <w:color w:val="231F20"/>
          <w:spacing w:val="-15"/>
          <w:w w:val="110"/>
          <w:sz w:val="16"/>
        </w:rPr>
        <w:t> </w:t>
      </w:r>
      <w:r>
        <w:rPr>
          <w:color w:val="231F20"/>
          <w:w w:val="110"/>
          <w:sz w:val="16"/>
        </w:rPr>
        <w:t>2006:</w:t>
      </w:r>
      <w:r>
        <w:rPr>
          <w:color w:val="231F20"/>
          <w:spacing w:val="-15"/>
          <w:w w:val="110"/>
          <w:sz w:val="16"/>
        </w:rPr>
        <w:t> </w:t>
      </w:r>
      <w:r>
        <w:rPr>
          <w:color w:val="231F20"/>
          <w:w w:val="110"/>
          <w:sz w:val="16"/>
        </w:rPr>
        <w:t>15).</w:t>
      </w:r>
    </w:p>
    <w:p>
      <w:pPr>
        <w:spacing w:after="0" w:line="256" w:lineRule="auto"/>
        <w:jc w:val="both"/>
        <w:rPr>
          <w:sz w:val="16"/>
        </w:rPr>
        <w:sectPr>
          <w:footerReference w:type="even" r:id="rId120"/>
          <w:footerReference w:type="default" r:id="rId121"/>
          <w:pgSz w:w="9520" w:h="12920"/>
          <w:pgMar w:footer="1344" w:header="0" w:top="880" w:bottom="1540" w:left="1000" w:right="1320"/>
        </w:sectPr>
      </w:pPr>
    </w:p>
    <w:p>
      <w:pPr>
        <w:pStyle w:val="BodyText"/>
        <w:spacing w:line="288" w:lineRule="auto" w:before="42"/>
        <w:ind w:left="120" w:right="109"/>
        <w:jc w:val="right"/>
      </w:pPr>
      <w:r>
        <w:rPr>
          <w:color w:val="231F20"/>
          <w:spacing w:val="-4"/>
          <w:w w:val="110"/>
        </w:rPr>
        <w:t>con </w:t>
      </w:r>
      <w:r>
        <w:rPr>
          <w:color w:val="231F20"/>
          <w:spacing w:val="-6"/>
          <w:w w:val="110"/>
        </w:rPr>
        <w:t>ramificaciones familiares (hijos, nietos, yernos, nueras) </w:t>
      </w:r>
      <w:r>
        <w:rPr>
          <w:color w:val="231F20"/>
          <w:w w:val="110"/>
        </w:rPr>
        <w:t>y </w:t>
      </w:r>
      <w:r>
        <w:rPr>
          <w:color w:val="231F20"/>
          <w:spacing w:val="-6"/>
          <w:w w:val="110"/>
        </w:rPr>
        <w:t>circulación </w:t>
      </w:r>
      <w:r>
        <w:rPr>
          <w:color w:val="231F20"/>
          <w:spacing w:val="-5"/>
          <w:w w:val="110"/>
        </w:rPr>
        <w:t>hacia</w:t>
      </w:r>
      <w:r>
        <w:rPr>
          <w:color w:val="231F20"/>
          <w:w w:val="108"/>
        </w:rPr>
        <w:t> </w:t>
      </w:r>
      <w:r>
        <w:rPr>
          <w:color w:val="231F20"/>
          <w:w w:val="110"/>
        </w:rPr>
        <w:t>ambos países. En suma, existe una gama de configuraciones familiares en</w:t>
      </w:r>
      <w:r>
        <w:rPr>
          <w:color w:val="231F20"/>
          <w:w w:val="110"/>
        </w:rPr>
        <w:t> </w:t>
      </w:r>
      <w:r>
        <w:rPr>
          <w:color w:val="231F20"/>
          <w:w w:val="110"/>
        </w:rPr>
        <w:t>la región que desarrollan dinámicas cotidianas; algunas empujan cambios</w:t>
      </w:r>
      <w:r>
        <w:rPr>
          <w:color w:val="231F20"/>
          <w:w w:val="110"/>
        </w:rPr>
        <w:t> </w:t>
      </w:r>
      <w:r>
        <w:rPr>
          <w:color w:val="231F20"/>
          <w:w w:val="110"/>
        </w:rPr>
        <w:t>y otras pujan por las permanencias. Aunque persisten algunos rasgos de</w:t>
      </w:r>
      <w:r>
        <w:rPr>
          <w:color w:val="231F20"/>
          <w:w w:val="108"/>
        </w:rPr>
        <w:t> </w:t>
      </w:r>
      <w:r>
        <w:rPr>
          <w:color w:val="231F20"/>
          <w:w w:val="110"/>
        </w:rPr>
        <w:t>los inicios de la migración, el flujo migratorio es mucho más heterogéneo</w:t>
      </w:r>
      <w:r>
        <w:rPr>
          <w:color w:val="231F20"/>
          <w:w w:val="108"/>
        </w:rPr>
        <w:t> </w:t>
      </w:r>
      <w:r>
        <w:rPr>
          <w:color w:val="231F20"/>
          <w:w w:val="110"/>
        </w:rPr>
        <w:t>en edad, género, formación </w:t>
      </w:r>
      <w:r>
        <w:rPr>
          <w:color w:val="231F20"/>
          <w:spacing w:val="-3"/>
          <w:w w:val="110"/>
        </w:rPr>
        <w:t>escolar, </w:t>
      </w:r>
      <w:r>
        <w:rPr>
          <w:color w:val="231F20"/>
          <w:w w:val="110"/>
        </w:rPr>
        <w:t>experiencia laboral, sectores económi-</w:t>
      </w:r>
      <w:r>
        <w:rPr>
          <w:color w:val="231F20"/>
          <w:w w:val="93"/>
        </w:rPr>
        <w:t> </w:t>
      </w:r>
      <w:r>
        <w:rPr>
          <w:color w:val="231F20"/>
          <w:w w:val="110"/>
        </w:rPr>
        <w:t>cos en los que se insertan y de los que parten, logros y usos que dan a lo</w:t>
      </w:r>
      <w:r>
        <w:rPr>
          <w:color w:val="231F20"/>
          <w:w w:val="106"/>
        </w:rPr>
        <w:t> </w:t>
      </w:r>
      <w:r>
        <w:rPr>
          <w:color w:val="231F20"/>
          <w:w w:val="110"/>
        </w:rPr>
        <w:t>que ahorran. Los migrantes pioneros eran varones, aptos para el trabajo</w:t>
      </w:r>
      <w:r>
        <w:rPr>
          <w:color w:val="231F20"/>
          <w:w w:val="105"/>
        </w:rPr>
        <w:t> </w:t>
      </w:r>
      <w:r>
        <w:rPr>
          <w:color w:val="231F20"/>
          <w:w w:val="110"/>
        </w:rPr>
        <w:t>agrícola temporal, la migración era circular y patriarcal; en ese entonces</w:t>
      </w:r>
      <w:r>
        <w:rPr>
          <w:color w:val="231F20"/>
          <w:w w:val="118"/>
        </w:rPr>
        <w:t> </w:t>
      </w:r>
      <w:r>
        <w:rPr>
          <w:color w:val="231F20"/>
          <w:w w:val="110"/>
        </w:rPr>
        <w:t>procedían de Almoloya de Alquisiras, Coatepec Harinas, Villa Guerrero y</w:t>
      </w:r>
      <w:r>
        <w:rPr>
          <w:color w:val="231F20"/>
          <w:w w:val="108"/>
        </w:rPr>
        <w:t> </w:t>
      </w:r>
      <w:r>
        <w:rPr>
          <w:color w:val="231F20"/>
          <w:spacing w:val="-6"/>
          <w:w w:val="110"/>
        </w:rPr>
        <w:t>Tonatico; </w:t>
      </w:r>
      <w:r>
        <w:rPr>
          <w:color w:val="231F20"/>
          <w:spacing w:val="-4"/>
          <w:w w:val="110"/>
        </w:rPr>
        <w:t>ahora provienen </w:t>
      </w:r>
      <w:r>
        <w:rPr>
          <w:color w:val="231F20"/>
          <w:w w:val="110"/>
        </w:rPr>
        <w:t>de </w:t>
      </w:r>
      <w:r>
        <w:rPr>
          <w:color w:val="231F20"/>
          <w:spacing w:val="-4"/>
          <w:w w:val="110"/>
        </w:rPr>
        <w:t>todas </w:t>
      </w:r>
      <w:r>
        <w:rPr>
          <w:color w:val="231F20"/>
          <w:spacing w:val="-3"/>
          <w:w w:val="110"/>
        </w:rPr>
        <w:t>las </w:t>
      </w:r>
      <w:r>
        <w:rPr>
          <w:color w:val="231F20"/>
          <w:spacing w:val="-4"/>
          <w:w w:val="110"/>
        </w:rPr>
        <w:t>localidades estudiadas </w:t>
      </w:r>
      <w:r>
        <w:rPr>
          <w:color w:val="231F20"/>
          <w:w w:val="110"/>
        </w:rPr>
        <w:t>en </w:t>
      </w:r>
      <w:r>
        <w:rPr>
          <w:color w:val="231F20"/>
          <w:spacing w:val="-3"/>
          <w:w w:val="110"/>
        </w:rPr>
        <w:t>esta </w:t>
      </w:r>
      <w:r>
        <w:rPr>
          <w:color w:val="231F20"/>
          <w:spacing w:val="-4"/>
          <w:w w:val="110"/>
        </w:rPr>
        <w:t>región.</w:t>
      </w:r>
      <w:r>
        <w:rPr>
          <w:color w:val="231F20"/>
          <w:w w:val="128"/>
        </w:rPr>
        <w:t> </w:t>
      </w:r>
      <w:r>
        <w:rPr>
          <w:color w:val="231F20"/>
          <w:w w:val="110"/>
        </w:rPr>
        <w:t>La migración internacional tiene una influencia poderosa en las socie-</w:t>
      </w:r>
      <w:r>
        <w:rPr>
          <w:color w:val="231F20"/>
          <w:w w:val="93"/>
        </w:rPr>
        <w:t> </w:t>
      </w:r>
      <w:r>
        <w:rPr>
          <w:color w:val="231F20"/>
          <w:w w:val="110"/>
        </w:rPr>
        <w:t>dades y en esta región ha dejado su huella, pueden observarse cambios</w:t>
      </w:r>
      <w:r>
        <w:rPr>
          <w:color w:val="231F20"/>
          <w:w w:val="118"/>
        </w:rPr>
        <w:t> </w:t>
      </w:r>
      <w:r>
        <w:rPr>
          <w:color w:val="231F20"/>
          <w:spacing w:val="2"/>
          <w:w w:val="110"/>
        </w:rPr>
        <w:t>cotidianos </w:t>
      </w:r>
      <w:r>
        <w:rPr>
          <w:color w:val="231F20"/>
          <w:w w:val="110"/>
        </w:rPr>
        <w:t>y </w:t>
      </w:r>
      <w:r>
        <w:rPr>
          <w:color w:val="231F20"/>
          <w:spacing w:val="2"/>
          <w:w w:val="110"/>
        </w:rPr>
        <w:t>estructurales. </w:t>
      </w:r>
      <w:r>
        <w:rPr>
          <w:color w:val="231F20"/>
          <w:spacing w:val="3"/>
          <w:w w:val="110"/>
        </w:rPr>
        <w:t>Las </w:t>
      </w:r>
      <w:r>
        <w:rPr>
          <w:color w:val="231F20"/>
          <w:spacing w:val="2"/>
          <w:w w:val="110"/>
        </w:rPr>
        <w:t>estructuras productivas </w:t>
      </w:r>
      <w:r>
        <w:rPr>
          <w:color w:val="231F20"/>
          <w:w w:val="110"/>
        </w:rPr>
        <w:t>y </w:t>
      </w:r>
      <w:r>
        <w:rPr>
          <w:color w:val="231F20"/>
          <w:spacing w:val="2"/>
          <w:w w:val="110"/>
        </w:rPr>
        <w:t>familiares, </w:t>
      </w:r>
      <w:r>
        <w:rPr>
          <w:color w:val="231F20"/>
          <w:w w:val="110"/>
        </w:rPr>
        <w:t>el</w:t>
      </w:r>
      <w:r>
        <w:rPr>
          <w:color w:val="231F20"/>
          <w:w w:val="101"/>
        </w:rPr>
        <w:t> </w:t>
      </w:r>
      <w:r>
        <w:rPr>
          <w:color w:val="231F20"/>
          <w:w w:val="110"/>
        </w:rPr>
        <w:t>funcionamiento de los hogares, la relación entre ellos, algunos hábitos y</w:t>
      </w:r>
    </w:p>
    <w:p>
      <w:pPr>
        <w:pStyle w:val="BodyText"/>
        <w:ind w:left="124"/>
      </w:pPr>
      <w:r>
        <w:rPr>
          <w:color w:val="231F20"/>
          <w:w w:val="110"/>
        </w:rPr>
        <w:t>muchas más cosas han cambiado  notablemente.</w:t>
      </w:r>
    </w:p>
    <w:p>
      <w:pPr>
        <w:pStyle w:val="BodyText"/>
        <w:spacing w:line="288" w:lineRule="auto" w:before="47"/>
        <w:ind w:left="124" w:right="112" w:firstLine="360"/>
        <w:jc w:val="both"/>
      </w:pPr>
      <w:r>
        <w:rPr>
          <w:color w:val="231F20"/>
          <w:w w:val="110"/>
        </w:rPr>
        <w:t>El primero se advierte en la realización de las actividades productivas en los hogares entrevistados y que de alguna forma muestran los cambios más generales y las estrategias que se están adoptando en el medio rural   a nivel de entidad y país. Puede decirse que hasta antes de la legalización </w:t>
      </w:r>
      <w:r>
        <w:rPr>
          <w:color w:val="231F20"/>
          <w:spacing w:val="2"/>
          <w:w w:val="110"/>
        </w:rPr>
        <w:t>masiva </w:t>
      </w:r>
      <w:r>
        <w:rPr>
          <w:color w:val="231F20"/>
          <w:w w:val="110"/>
        </w:rPr>
        <w:t>de </w:t>
      </w:r>
      <w:r>
        <w:rPr>
          <w:color w:val="231F20"/>
          <w:spacing w:val="2"/>
          <w:w w:val="110"/>
        </w:rPr>
        <w:t>migrantes </w:t>
      </w:r>
      <w:r>
        <w:rPr>
          <w:color w:val="231F20"/>
          <w:w w:val="110"/>
        </w:rPr>
        <w:t>de </w:t>
      </w:r>
      <w:r>
        <w:rPr>
          <w:color w:val="231F20"/>
          <w:spacing w:val="2"/>
          <w:w w:val="110"/>
        </w:rPr>
        <w:t>mediados </w:t>
      </w:r>
      <w:r>
        <w:rPr>
          <w:color w:val="231F20"/>
          <w:w w:val="110"/>
        </w:rPr>
        <w:t>de los </w:t>
      </w:r>
      <w:r>
        <w:rPr>
          <w:color w:val="231F20"/>
          <w:spacing w:val="2"/>
          <w:w w:val="110"/>
        </w:rPr>
        <w:t>años ochenta, </w:t>
      </w:r>
      <w:r>
        <w:rPr>
          <w:color w:val="231F20"/>
          <w:w w:val="110"/>
        </w:rPr>
        <w:t>los </w:t>
      </w:r>
      <w:r>
        <w:rPr>
          <w:color w:val="231F20"/>
          <w:spacing w:val="2"/>
          <w:w w:val="110"/>
        </w:rPr>
        <w:t>hogares </w:t>
      </w:r>
      <w:r>
        <w:rPr>
          <w:color w:val="231F20"/>
          <w:w w:val="110"/>
        </w:rPr>
        <w:t>de migrantes mantenían a la producción agrícola como el centro de su repro- ducción material, se apoyaban en las remesas para trabajar sus tierras, los migrantes volvían con regularidad. El padre de familia decidía la organiza- ción</w:t>
      </w:r>
      <w:r>
        <w:rPr>
          <w:color w:val="231F20"/>
          <w:spacing w:val="-17"/>
          <w:w w:val="110"/>
        </w:rPr>
        <w:t> </w:t>
      </w:r>
      <w:r>
        <w:rPr>
          <w:color w:val="231F20"/>
          <w:w w:val="110"/>
        </w:rPr>
        <w:t>económica</w:t>
      </w:r>
      <w:r>
        <w:rPr>
          <w:color w:val="231F20"/>
          <w:spacing w:val="-17"/>
          <w:w w:val="110"/>
        </w:rPr>
        <w:t> </w:t>
      </w:r>
      <w:r>
        <w:rPr>
          <w:color w:val="231F20"/>
          <w:w w:val="110"/>
        </w:rPr>
        <w:t>del</w:t>
      </w:r>
      <w:r>
        <w:rPr>
          <w:color w:val="231F20"/>
          <w:spacing w:val="-17"/>
          <w:w w:val="110"/>
        </w:rPr>
        <w:t> </w:t>
      </w:r>
      <w:r>
        <w:rPr>
          <w:color w:val="231F20"/>
          <w:spacing w:val="-3"/>
          <w:w w:val="110"/>
        </w:rPr>
        <w:t>hogar,</w:t>
      </w:r>
      <w:r>
        <w:rPr>
          <w:color w:val="231F20"/>
          <w:spacing w:val="-17"/>
          <w:w w:val="110"/>
        </w:rPr>
        <w:t> </w:t>
      </w:r>
      <w:r>
        <w:rPr>
          <w:color w:val="231F20"/>
          <w:w w:val="110"/>
        </w:rPr>
        <w:t>las</w:t>
      </w:r>
      <w:r>
        <w:rPr>
          <w:color w:val="231F20"/>
          <w:spacing w:val="-17"/>
          <w:w w:val="110"/>
        </w:rPr>
        <w:t> </w:t>
      </w:r>
      <w:r>
        <w:rPr>
          <w:color w:val="231F20"/>
          <w:w w:val="110"/>
        </w:rPr>
        <w:t>trayectorias</w:t>
      </w:r>
      <w:r>
        <w:rPr>
          <w:color w:val="231F20"/>
          <w:spacing w:val="-17"/>
          <w:w w:val="110"/>
        </w:rPr>
        <w:t> </w:t>
      </w:r>
      <w:r>
        <w:rPr>
          <w:color w:val="231F20"/>
          <w:w w:val="110"/>
        </w:rPr>
        <w:t>laborales</w:t>
      </w:r>
      <w:r>
        <w:rPr>
          <w:color w:val="231F20"/>
          <w:spacing w:val="-17"/>
          <w:w w:val="110"/>
        </w:rPr>
        <w:t> </w:t>
      </w:r>
      <w:r>
        <w:rPr>
          <w:color w:val="231F20"/>
          <w:w w:val="110"/>
        </w:rPr>
        <w:t>individuales</w:t>
      </w:r>
      <w:r>
        <w:rPr>
          <w:color w:val="231F20"/>
          <w:spacing w:val="-17"/>
          <w:w w:val="110"/>
        </w:rPr>
        <w:t> </w:t>
      </w:r>
      <w:r>
        <w:rPr>
          <w:color w:val="231F20"/>
          <w:w w:val="110"/>
        </w:rPr>
        <w:t>se</w:t>
      </w:r>
      <w:r>
        <w:rPr>
          <w:color w:val="231F20"/>
          <w:spacing w:val="-17"/>
          <w:w w:val="110"/>
        </w:rPr>
        <w:t> </w:t>
      </w:r>
      <w:r>
        <w:rPr>
          <w:color w:val="231F20"/>
          <w:w w:val="110"/>
        </w:rPr>
        <w:t>articula- ban</w:t>
      </w:r>
      <w:r>
        <w:rPr>
          <w:color w:val="231F20"/>
          <w:spacing w:val="-11"/>
          <w:w w:val="110"/>
        </w:rPr>
        <w:t> </w:t>
      </w:r>
      <w:r>
        <w:rPr>
          <w:color w:val="231F20"/>
          <w:w w:val="110"/>
        </w:rPr>
        <w:t>a</w:t>
      </w:r>
      <w:r>
        <w:rPr>
          <w:color w:val="231F20"/>
          <w:spacing w:val="-11"/>
          <w:w w:val="110"/>
        </w:rPr>
        <w:t> </w:t>
      </w:r>
      <w:r>
        <w:rPr>
          <w:color w:val="231F20"/>
          <w:w w:val="110"/>
        </w:rPr>
        <w:t>las</w:t>
      </w:r>
      <w:r>
        <w:rPr>
          <w:color w:val="231F20"/>
          <w:spacing w:val="-11"/>
          <w:w w:val="110"/>
        </w:rPr>
        <w:t> </w:t>
      </w:r>
      <w:r>
        <w:rPr>
          <w:color w:val="231F20"/>
          <w:w w:val="110"/>
        </w:rPr>
        <w:t>trayectorias</w:t>
      </w:r>
      <w:r>
        <w:rPr>
          <w:color w:val="231F20"/>
          <w:spacing w:val="-11"/>
          <w:w w:val="110"/>
        </w:rPr>
        <w:t> </w:t>
      </w:r>
      <w:r>
        <w:rPr>
          <w:color w:val="231F20"/>
          <w:w w:val="110"/>
        </w:rPr>
        <w:t>del</w:t>
      </w:r>
      <w:r>
        <w:rPr>
          <w:color w:val="231F20"/>
          <w:spacing w:val="-11"/>
          <w:w w:val="110"/>
        </w:rPr>
        <w:t> </w:t>
      </w:r>
      <w:r>
        <w:rPr>
          <w:color w:val="231F20"/>
          <w:w w:val="110"/>
        </w:rPr>
        <w:t>grupo</w:t>
      </w:r>
      <w:r>
        <w:rPr>
          <w:color w:val="231F20"/>
          <w:spacing w:val="-11"/>
          <w:w w:val="110"/>
        </w:rPr>
        <w:t> </w:t>
      </w:r>
      <w:r>
        <w:rPr>
          <w:color w:val="231F20"/>
          <w:w w:val="110"/>
        </w:rPr>
        <w:t>para</w:t>
      </w:r>
      <w:r>
        <w:rPr>
          <w:color w:val="231F20"/>
          <w:spacing w:val="-11"/>
          <w:w w:val="110"/>
        </w:rPr>
        <w:t> </w:t>
      </w:r>
      <w:r>
        <w:rPr>
          <w:color w:val="231F20"/>
          <w:w w:val="110"/>
        </w:rPr>
        <w:t>subsistir;</w:t>
      </w:r>
      <w:r>
        <w:rPr>
          <w:color w:val="231F20"/>
          <w:spacing w:val="-11"/>
          <w:w w:val="110"/>
        </w:rPr>
        <w:t> </w:t>
      </w:r>
      <w:r>
        <w:rPr>
          <w:color w:val="231F20"/>
          <w:w w:val="110"/>
        </w:rPr>
        <w:t>cuando</w:t>
      </w:r>
      <w:r>
        <w:rPr>
          <w:color w:val="231F20"/>
          <w:spacing w:val="-11"/>
          <w:w w:val="110"/>
        </w:rPr>
        <w:t> </w:t>
      </w:r>
      <w:r>
        <w:rPr>
          <w:color w:val="231F20"/>
          <w:w w:val="110"/>
        </w:rPr>
        <w:t>migraba</w:t>
      </w:r>
      <w:r>
        <w:rPr>
          <w:color w:val="231F20"/>
          <w:spacing w:val="-11"/>
          <w:w w:val="110"/>
        </w:rPr>
        <w:t> </w:t>
      </w:r>
      <w:r>
        <w:rPr>
          <w:color w:val="231F20"/>
          <w:w w:val="110"/>
        </w:rPr>
        <w:t>el</w:t>
      </w:r>
      <w:r>
        <w:rPr>
          <w:color w:val="231F20"/>
          <w:spacing w:val="-11"/>
          <w:w w:val="110"/>
        </w:rPr>
        <w:t> </w:t>
      </w:r>
      <w:r>
        <w:rPr>
          <w:color w:val="231F20"/>
          <w:w w:val="110"/>
        </w:rPr>
        <w:t>padre,</w:t>
      </w:r>
      <w:r>
        <w:rPr>
          <w:color w:val="231F20"/>
          <w:spacing w:val="-11"/>
          <w:w w:val="110"/>
        </w:rPr>
        <w:t> </w:t>
      </w:r>
      <w:r>
        <w:rPr>
          <w:color w:val="231F20"/>
          <w:w w:val="110"/>
        </w:rPr>
        <w:t>los varones y mujeres mantenían las tierras produciendo. Es </w:t>
      </w:r>
      <w:r>
        <w:rPr>
          <w:color w:val="231F20"/>
          <w:spacing w:val="-3"/>
          <w:w w:val="110"/>
        </w:rPr>
        <w:t>decir, </w:t>
      </w:r>
      <w:r>
        <w:rPr>
          <w:color w:val="231F20"/>
          <w:w w:val="110"/>
        </w:rPr>
        <w:t>el centro de sus actividades productivas, los recursos familiares y la cotidianidad se localizaba</w:t>
      </w:r>
      <w:r>
        <w:rPr>
          <w:color w:val="231F20"/>
          <w:spacing w:val="-16"/>
          <w:w w:val="110"/>
        </w:rPr>
        <w:t> </w:t>
      </w:r>
      <w:r>
        <w:rPr>
          <w:color w:val="231F20"/>
          <w:w w:val="110"/>
        </w:rPr>
        <w:t>en</w:t>
      </w:r>
      <w:r>
        <w:rPr>
          <w:color w:val="231F20"/>
          <w:spacing w:val="-16"/>
          <w:w w:val="110"/>
        </w:rPr>
        <w:t> </w:t>
      </w:r>
      <w:r>
        <w:rPr>
          <w:color w:val="231F20"/>
          <w:w w:val="110"/>
        </w:rPr>
        <w:t>el</w:t>
      </w:r>
      <w:r>
        <w:rPr>
          <w:color w:val="231F20"/>
          <w:spacing w:val="-16"/>
          <w:w w:val="110"/>
        </w:rPr>
        <w:t> </w:t>
      </w:r>
      <w:r>
        <w:rPr>
          <w:color w:val="231F20"/>
          <w:w w:val="110"/>
        </w:rPr>
        <w:t>lugar</w:t>
      </w:r>
      <w:r>
        <w:rPr>
          <w:color w:val="231F20"/>
          <w:spacing w:val="-16"/>
          <w:w w:val="110"/>
        </w:rPr>
        <w:t> </w:t>
      </w:r>
      <w:r>
        <w:rPr>
          <w:color w:val="231F20"/>
          <w:w w:val="110"/>
        </w:rPr>
        <w:t>de</w:t>
      </w:r>
      <w:r>
        <w:rPr>
          <w:color w:val="231F20"/>
          <w:spacing w:val="-16"/>
          <w:w w:val="110"/>
        </w:rPr>
        <w:t> </w:t>
      </w:r>
      <w:r>
        <w:rPr>
          <w:color w:val="231F20"/>
          <w:w w:val="110"/>
        </w:rPr>
        <w:t>origen,</w:t>
      </w:r>
      <w:r>
        <w:rPr>
          <w:color w:val="231F20"/>
          <w:spacing w:val="-16"/>
          <w:w w:val="110"/>
        </w:rPr>
        <w:t> </w:t>
      </w:r>
      <w:r>
        <w:rPr>
          <w:color w:val="231F20"/>
          <w:w w:val="110"/>
        </w:rPr>
        <w:t>similar</w:t>
      </w:r>
      <w:r>
        <w:rPr>
          <w:color w:val="231F20"/>
          <w:spacing w:val="-16"/>
          <w:w w:val="110"/>
        </w:rPr>
        <w:t> </w:t>
      </w:r>
      <w:r>
        <w:rPr>
          <w:color w:val="231F20"/>
          <w:w w:val="110"/>
        </w:rPr>
        <w:t>a</w:t>
      </w:r>
      <w:r>
        <w:rPr>
          <w:color w:val="231F20"/>
          <w:spacing w:val="-16"/>
          <w:w w:val="110"/>
        </w:rPr>
        <w:t> </w:t>
      </w:r>
      <w:r>
        <w:rPr>
          <w:color w:val="231F20"/>
          <w:w w:val="110"/>
        </w:rPr>
        <w:t>otras</w:t>
      </w:r>
      <w:r>
        <w:rPr>
          <w:color w:val="231F20"/>
          <w:spacing w:val="-16"/>
          <w:w w:val="110"/>
        </w:rPr>
        <w:t> </w:t>
      </w:r>
      <w:r>
        <w:rPr>
          <w:color w:val="231F20"/>
          <w:w w:val="110"/>
        </w:rPr>
        <w:t>entidades</w:t>
      </w:r>
      <w:r>
        <w:rPr>
          <w:color w:val="231F20"/>
          <w:spacing w:val="-16"/>
          <w:w w:val="110"/>
        </w:rPr>
        <w:t> </w:t>
      </w:r>
      <w:r>
        <w:rPr>
          <w:color w:val="231F20"/>
          <w:w w:val="110"/>
        </w:rPr>
        <w:t>(Del</w:t>
      </w:r>
      <w:r>
        <w:rPr>
          <w:color w:val="231F20"/>
          <w:spacing w:val="-16"/>
          <w:w w:val="110"/>
        </w:rPr>
        <w:t> </w:t>
      </w:r>
      <w:r>
        <w:rPr>
          <w:color w:val="231F20"/>
          <w:spacing w:val="-3"/>
          <w:w w:val="110"/>
        </w:rPr>
        <w:t>Rey</w:t>
      </w:r>
      <w:r>
        <w:rPr>
          <w:color w:val="231F20"/>
          <w:spacing w:val="-16"/>
          <w:w w:val="110"/>
        </w:rPr>
        <w:t> </w:t>
      </w:r>
      <w:r>
        <w:rPr>
          <w:color w:val="231F20"/>
          <w:w w:val="110"/>
        </w:rPr>
        <w:t>y</w:t>
      </w:r>
      <w:r>
        <w:rPr>
          <w:color w:val="231F20"/>
          <w:spacing w:val="-16"/>
          <w:w w:val="110"/>
        </w:rPr>
        <w:t> </w:t>
      </w:r>
      <w:r>
        <w:rPr>
          <w:color w:val="231F20"/>
          <w:w w:val="110"/>
        </w:rPr>
        <w:t>Quesnel, </w:t>
      </w:r>
      <w:r>
        <w:rPr>
          <w:color w:val="231F20"/>
          <w:w w:val="105"/>
        </w:rPr>
        <w:t>2004:</w:t>
      </w:r>
      <w:r>
        <w:rPr>
          <w:color w:val="231F20"/>
          <w:spacing w:val="3"/>
          <w:w w:val="105"/>
        </w:rPr>
        <w:t> </w:t>
      </w:r>
      <w:r>
        <w:rPr>
          <w:color w:val="231F20"/>
          <w:w w:val="105"/>
        </w:rPr>
        <w:t>5).</w:t>
      </w:r>
    </w:p>
    <w:p>
      <w:pPr>
        <w:pStyle w:val="BodyText"/>
        <w:spacing w:line="288" w:lineRule="auto"/>
        <w:ind w:left="124" w:right="113" w:firstLine="360"/>
        <w:jc w:val="both"/>
      </w:pPr>
      <w:r>
        <w:rPr>
          <w:color w:val="231F20"/>
          <w:w w:val="105"/>
        </w:rPr>
        <w:t>En contraste, actualmente (fecha de entrevistas), en la región, sólo un tercio de hogares (34 por ciento) vive de las actividades agrícolas; los de-  más emplean sus recursos en diferentes actividades, con diferentes moti- vaciones, dependen de la pluriactividad para generar mayores ingresos no </w:t>
      </w:r>
      <w:r>
        <w:rPr>
          <w:color w:val="231F20"/>
          <w:spacing w:val="2"/>
          <w:w w:val="105"/>
        </w:rPr>
        <w:t>agrícolas: remesas, salarios, regalos, donaciones, becas, programas </w:t>
      </w:r>
      <w:r>
        <w:rPr>
          <w:color w:val="231F20"/>
          <w:w w:val="105"/>
        </w:rPr>
        <w:t>de gobierno</w:t>
      </w:r>
      <w:r>
        <w:rPr>
          <w:color w:val="231F20"/>
          <w:spacing w:val="34"/>
          <w:w w:val="105"/>
        </w:rPr>
        <w:t> </w:t>
      </w:r>
      <w:r>
        <w:rPr>
          <w:color w:val="231F20"/>
          <w:w w:val="105"/>
        </w:rPr>
        <w:t>(De</w:t>
      </w:r>
      <w:r>
        <w:rPr>
          <w:color w:val="231F20"/>
          <w:spacing w:val="34"/>
          <w:w w:val="105"/>
        </w:rPr>
        <w:t> </w:t>
      </w:r>
      <w:r>
        <w:rPr>
          <w:color w:val="231F20"/>
          <w:w w:val="105"/>
        </w:rPr>
        <w:t>Grammont,</w:t>
      </w:r>
      <w:r>
        <w:rPr>
          <w:color w:val="231F20"/>
          <w:spacing w:val="34"/>
          <w:w w:val="105"/>
        </w:rPr>
        <w:t> </w:t>
      </w:r>
      <w:r>
        <w:rPr>
          <w:color w:val="231F20"/>
          <w:w w:val="105"/>
        </w:rPr>
        <w:t>2009a,</w:t>
      </w:r>
      <w:r>
        <w:rPr>
          <w:color w:val="231F20"/>
          <w:spacing w:val="34"/>
          <w:w w:val="105"/>
        </w:rPr>
        <w:t> </w:t>
      </w:r>
      <w:r>
        <w:rPr>
          <w:color w:val="231F20"/>
          <w:w w:val="105"/>
        </w:rPr>
        <w:t>2009b;</w:t>
      </w:r>
      <w:r>
        <w:rPr>
          <w:color w:val="231F20"/>
          <w:spacing w:val="34"/>
          <w:w w:val="105"/>
        </w:rPr>
        <w:t> </w:t>
      </w:r>
      <w:r>
        <w:rPr>
          <w:color w:val="231F20"/>
          <w:w w:val="105"/>
        </w:rPr>
        <w:t>Arias,</w:t>
      </w:r>
      <w:r>
        <w:rPr>
          <w:color w:val="231F20"/>
          <w:spacing w:val="34"/>
          <w:w w:val="105"/>
        </w:rPr>
        <w:t> </w:t>
      </w:r>
      <w:r>
        <w:rPr>
          <w:color w:val="231F20"/>
          <w:w w:val="105"/>
        </w:rPr>
        <w:t>2009;</w:t>
      </w:r>
      <w:r>
        <w:rPr>
          <w:color w:val="231F20"/>
          <w:spacing w:val="34"/>
          <w:w w:val="105"/>
        </w:rPr>
        <w:t> </w:t>
      </w:r>
      <w:r>
        <w:rPr>
          <w:color w:val="231F20"/>
          <w:w w:val="105"/>
        </w:rPr>
        <w:t>Méndez,</w:t>
      </w:r>
      <w:r>
        <w:rPr>
          <w:color w:val="231F20"/>
          <w:spacing w:val="34"/>
          <w:w w:val="105"/>
        </w:rPr>
        <w:t> </w:t>
      </w:r>
      <w:r>
        <w:rPr>
          <w:color w:val="231F20"/>
          <w:w w:val="105"/>
        </w:rPr>
        <w:t>2009).</w:t>
      </w:r>
    </w:p>
    <w:p>
      <w:pPr>
        <w:spacing w:after="0" w:line="288" w:lineRule="auto"/>
        <w:jc w:val="both"/>
        <w:sectPr>
          <w:pgSz w:w="9520" w:h="12920"/>
          <w:pgMar w:header="0" w:footer="1344" w:top="880" w:bottom="1540" w:left="1320" w:right="1000"/>
        </w:sectPr>
      </w:pPr>
    </w:p>
    <w:p>
      <w:pPr>
        <w:pStyle w:val="BodyText"/>
        <w:spacing w:line="292" w:lineRule="auto" w:before="42"/>
        <w:ind w:left="100" w:right="114" w:firstLine="360"/>
        <w:jc w:val="both"/>
      </w:pPr>
      <w:r>
        <w:rPr>
          <w:color w:val="231F20"/>
          <w:w w:val="110"/>
        </w:rPr>
        <w:t>En esta región, ahora es común ver espacios en sus casas destinados    a la cochera, tanto de autos como de camionetas, sólo que a diferencia de antaño, ya son vehículos de distracción y no sólo para realizar labores agrícolas. Igual vale decir que las inversiones de remesas se han diversifi- cado y alejado de la agricultura sin dejarla de lado, pero ya se incluyen negocios familiares de turismo: hoteles, casas de huéspedes, misceláneas, restaurantes. Este rasgo es en cierta forma similar a lo que ocurre en otras entidades de México y que se exhiben en la literatura citada para el caso de Oaxaca, Michoacán, </w:t>
      </w:r>
      <w:r>
        <w:rPr>
          <w:color w:val="231F20"/>
          <w:spacing w:val="-3"/>
          <w:w w:val="110"/>
        </w:rPr>
        <w:t>Veracruz </w:t>
      </w:r>
      <w:r>
        <w:rPr>
          <w:color w:val="231F20"/>
          <w:w w:val="110"/>
        </w:rPr>
        <w:t>y demás. Asimismo, es posible apreciar distintas arquitecturas de casas, se reduce el adobe, techo de dos aguas, piso de tierra y de una planta por diseños de dos pisos, muchas</w:t>
      </w:r>
      <w:r>
        <w:rPr>
          <w:color w:val="231F20"/>
          <w:spacing w:val="-26"/>
          <w:w w:val="110"/>
        </w:rPr>
        <w:t> </w:t>
      </w:r>
      <w:r>
        <w:rPr>
          <w:color w:val="231F20"/>
          <w:w w:val="110"/>
        </w:rPr>
        <w:t>recámaras, cada una con baño y cocina amplia y equipamiento doméstico variado y</w:t>
      </w:r>
      <w:r>
        <w:rPr>
          <w:color w:val="231F20"/>
          <w:spacing w:val="-14"/>
          <w:w w:val="110"/>
        </w:rPr>
        <w:t> </w:t>
      </w:r>
      <w:r>
        <w:rPr>
          <w:color w:val="231F20"/>
          <w:w w:val="110"/>
        </w:rPr>
        <w:t>de tecnología</w:t>
      </w:r>
      <w:r>
        <w:rPr>
          <w:color w:val="231F20"/>
          <w:spacing w:val="-17"/>
          <w:w w:val="110"/>
        </w:rPr>
        <w:t> </w:t>
      </w:r>
      <w:r>
        <w:rPr>
          <w:color w:val="231F20"/>
          <w:w w:val="110"/>
        </w:rPr>
        <w:t>electrónica.</w:t>
      </w:r>
    </w:p>
    <w:p>
      <w:pPr>
        <w:pStyle w:val="BodyText"/>
        <w:spacing w:line="292" w:lineRule="auto"/>
        <w:ind w:left="100" w:right="115" w:firstLine="360"/>
        <w:jc w:val="both"/>
      </w:pPr>
      <w:r>
        <w:rPr>
          <w:color w:val="231F20"/>
          <w:w w:val="110"/>
        </w:rPr>
        <w:t>También se observa que entre los migrantes, las intenciones ya no sólo son para conseguir dinero y subsistir, los migrantes recurrentes bus- can metas de acumulación, esto deriva de la migración, de sus vivencias. Como narra Tomás, un migrante de  Tonatico:</w:t>
      </w:r>
    </w:p>
    <w:p>
      <w:pPr>
        <w:pStyle w:val="BodyText"/>
        <w:spacing w:before="11"/>
        <w:rPr>
          <w:sz w:val="15"/>
        </w:rPr>
      </w:pPr>
    </w:p>
    <w:p>
      <w:pPr>
        <w:spacing w:line="288" w:lineRule="auto" w:before="0"/>
        <w:ind w:left="460" w:right="114" w:firstLine="0"/>
        <w:jc w:val="both"/>
        <w:rPr>
          <w:sz w:val="18"/>
        </w:rPr>
      </w:pPr>
      <w:r>
        <w:rPr>
          <w:color w:val="231F20"/>
          <w:w w:val="110"/>
          <w:sz w:val="18"/>
        </w:rPr>
        <w:t>Ah</w:t>
      </w:r>
      <w:r>
        <w:rPr>
          <w:color w:val="231F20"/>
          <w:spacing w:val="-4"/>
          <w:w w:val="110"/>
          <w:sz w:val="18"/>
        </w:rPr>
        <w:t> </w:t>
      </w:r>
      <w:r>
        <w:rPr>
          <w:color w:val="231F20"/>
          <w:w w:val="110"/>
          <w:sz w:val="18"/>
        </w:rPr>
        <w:t>pues</w:t>
      </w:r>
      <w:r>
        <w:rPr>
          <w:color w:val="231F20"/>
          <w:spacing w:val="-4"/>
          <w:w w:val="110"/>
          <w:sz w:val="18"/>
        </w:rPr>
        <w:t> </w:t>
      </w:r>
      <w:r>
        <w:rPr>
          <w:color w:val="231F20"/>
          <w:w w:val="110"/>
          <w:sz w:val="18"/>
        </w:rPr>
        <w:t>soñar</w:t>
      </w:r>
      <w:r>
        <w:rPr>
          <w:color w:val="231F20"/>
          <w:spacing w:val="-4"/>
          <w:w w:val="110"/>
          <w:sz w:val="18"/>
        </w:rPr>
        <w:t> </w:t>
      </w:r>
      <w:r>
        <w:rPr>
          <w:color w:val="231F20"/>
          <w:w w:val="110"/>
          <w:sz w:val="18"/>
        </w:rPr>
        <w:t>[migrar]</w:t>
      </w:r>
      <w:r>
        <w:rPr>
          <w:color w:val="231F20"/>
          <w:spacing w:val="-4"/>
          <w:w w:val="110"/>
          <w:sz w:val="18"/>
        </w:rPr>
        <w:t> </w:t>
      </w:r>
      <w:r>
        <w:rPr>
          <w:color w:val="231F20"/>
          <w:w w:val="110"/>
          <w:sz w:val="18"/>
        </w:rPr>
        <w:t>pus</w:t>
      </w:r>
      <w:r>
        <w:rPr>
          <w:color w:val="231F20"/>
          <w:spacing w:val="-4"/>
          <w:w w:val="110"/>
          <w:sz w:val="18"/>
        </w:rPr>
        <w:t> </w:t>
      </w:r>
      <w:r>
        <w:rPr>
          <w:color w:val="231F20"/>
          <w:w w:val="110"/>
          <w:sz w:val="18"/>
        </w:rPr>
        <w:t>para</w:t>
      </w:r>
      <w:r>
        <w:rPr>
          <w:color w:val="231F20"/>
          <w:spacing w:val="-4"/>
          <w:w w:val="110"/>
          <w:sz w:val="18"/>
        </w:rPr>
        <w:t> </w:t>
      </w:r>
      <w:r>
        <w:rPr>
          <w:color w:val="231F20"/>
          <w:w w:val="110"/>
          <w:sz w:val="18"/>
        </w:rPr>
        <w:t>progresar</w:t>
      </w:r>
      <w:r>
        <w:rPr>
          <w:color w:val="231F20"/>
          <w:spacing w:val="-4"/>
          <w:w w:val="110"/>
          <w:sz w:val="18"/>
        </w:rPr>
        <w:t> </w:t>
      </w:r>
      <w:r>
        <w:rPr>
          <w:color w:val="231F20"/>
          <w:w w:val="110"/>
          <w:sz w:val="18"/>
        </w:rPr>
        <w:t>que</w:t>
      </w:r>
      <w:r>
        <w:rPr>
          <w:color w:val="231F20"/>
          <w:spacing w:val="-4"/>
          <w:w w:val="110"/>
          <w:sz w:val="18"/>
        </w:rPr>
        <w:t> </w:t>
      </w:r>
      <w:r>
        <w:rPr>
          <w:color w:val="231F20"/>
          <w:w w:val="110"/>
          <w:sz w:val="18"/>
        </w:rPr>
        <w:t>sé</w:t>
      </w:r>
      <w:r>
        <w:rPr>
          <w:color w:val="231F20"/>
          <w:spacing w:val="-4"/>
          <w:w w:val="110"/>
          <w:sz w:val="18"/>
        </w:rPr>
        <w:t> </w:t>
      </w:r>
      <w:r>
        <w:rPr>
          <w:color w:val="231F20"/>
          <w:w w:val="110"/>
          <w:sz w:val="18"/>
        </w:rPr>
        <w:t>yo,</w:t>
      </w:r>
      <w:r>
        <w:rPr>
          <w:color w:val="231F20"/>
          <w:spacing w:val="-4"/>
          <w:w w:val="110"/>
          <w:sz w:val="18"/>
        </w:rPr>
        <w:t> </w:t>
      </w:r>
      <w:r>
        <w:rPr>
          <w:color w:val="231F20"/>
          <w:w w:val="110"/>
          <w:sz w:val="18"/>
        </w:rPr>
        <w:t>tener</w:t>
      </w:r>
      <w:r>
        <w:rPr>
          <w:color w:val="231F20"/>
          <w:spacing w:val="-4"/>
          <w:w w:val="110"/>
          <w:sz w:val="18"/>
        </w:rPr>
        <w:t> </w:t>
      </w:r>
      <w:r>
        <w:rPr>
          <w:color w:val="231F20"/>
          <w:w w:val="110"/>
          <w:sz w:val="18"/>
        </w:rPr>
        <w:t>mejor</w:t>
      </w:r>
      <w:r>
        <w:rPr>
          <w:color w:val="231F20"/>
          <w:spacing w:val="-4"/>
          <w:w w:val="110"/>
          <w:sz w:val="18"/>
        </w:rPr>
        <w:t> </w:t>
      </w:r>
      <w:r>
        <w:rPr>
          <w:color w:val="231F20"/>
          <w:w w:val="110"/>
          <w:sz w:val="18"/>
        </w:rPr>
        <w:t>casa,</w:t>
      </w:r>
      <w:r>
        <w:rPr>
          <w:color w:val="231F20"/>
          <w:spacing w:val="-4"/>
          <w:w w:val="110"/>
          <w:sz w:val="18"/>
        </w:rPr>
        <w:t> </w:t>
      </w:r>
      <w:r>
        <w:rPr>
          <w:color w:val="231F20"/>
          <w:w w:val="110"/>
          <w:sz w:val="18"/>
        </w:rPr>
        <w:t>porque no </w:t>
      </w:r>
      <w:r>
        <w:rPr>
          <w:color w:val="231F20"/>
          <w:spacing w:val="2"/>
          <w:w w:val="110"/>
          <w:sz w:val="18"/>
        </w:rPr>
        <w:t>tenemos casa, </w:t>
      </w:r>
      <w:r>
        <w:rPr>
          <w:color w:val="231F20"/>
          <w:w w:val="110"/>
          <w:sz w:val="18"/>
        </w:rPr>
        <w:t>pus </w:t>
      </w:r>
      <w:r>
        <w:rPr>
          <w:color w:val="231F20"/>
          <w:spacing w:val="2"/>
          <w:w w:val="110"/>
          <w:sz w:val="18"/>
        </w:rPr>
        <w:t>tener </w:t>
      </w:r>
      <w:r>
        <w:rPr>
          <w:color w:val="231F20"/>
          <w:w w:val="110"/>
          <w:sz w:val="18"/>
        </w:rPr>
        <w:t>pa’ </w:t>
      </w:r>
      <w:r>
        <w:rPr>
          <w:color w:val="231F20"/>
          <w:spacing w:val="2"/>
          <w:w w:val="110"/>
          <w:sz w:val="18"/>
        </w:rPr>
        <w:t>darle estudio </w:t>
      </w:r>
      <w:r>
        <w:rPr>
          <w:color w:val="231F20"/>
          <w:w w:val="110"/>
          <w:sz w:val="18"/>
        </w:rPr>
        <w:t>a mis </w:t>
      </w:r>
      <w:r>
        <w:rPr>
          <w:color w:val="231F20"/>
          <w:spacing w:val="2"/>
          <w:w w:val="110"/>
          <w:sz w:val="18"/>
        </w:rPr>
        <w:t>hijos, </w:t>
      </w:r>
      <w:r>
        <w:rPr>
          <w:color w:val="231F20"/>
          <w:w w:val="110"/>
          <w:sz w:val="18"/>
        </w:rPr>
        <w:t>que </w:t>
      </w:r>
      <w:r>
        <w:rPr>
          <w:color w:val="231F20"/>
          <w:spacing w:val="2"/>
          <w:w w:val="110"/>
          <w:sz w:val="18"/>
        </w:rPr>
        <w:t>Dios </w:t>
      </w:r>
      <w:r>
        <w:rPr>
          <w:color w:val="231F20"/>
          <w:w w:val="110"/>
          <w:sz w:val="18"/>
        </w:rPr>
        <w:t>me </w:t>
      </w:r>
      <w:r>
        <w:rPr>
          <w:color w:val="231F20"/>
          <w:spacing w:val="3"/>
          <w:w w:val="110"/>
          <w:sz w:val="18"/>
        </w:rPr>
        <w:t>so- </w:t>
      </w:r>
      <w:r>
        <w:rPr>
          <w:color w:val="231F20"/>
          <w:w w:val="110"/>
          <w:sz w:val="18"/>
        </w:rPr>
        <w:t>corra… porque todos mis hijos gracias a Dios les he dado estudio y todavía tengo tres. </w:t>
      </w:r>
      <w:r>
        <w:rPr>
          <w:color w:val="231F20"/>
          <w:spacing w:val="-10"/>
          <w:w w:val="110"/>
          <w:sz w:val="18"/>
        </w:rPr>
        <w:t>Yo </w:t>
      </w:r>
      <w:r>
        <w:rPr>
          <w:color w:val="231F20"/>
          <w:w w:val="110"/>
          <w:sz w:val="18"/>
        </w:rPr>
        <w:t>estaba bien pobre, vendía dulces, iba al campo, estaba casado, no tenía casa, vivía con mis papás amontonado y pues debía dinero y quería pagar esas drogas…Un amigo que estaba allá me invitaba y hasta me pagaba</w:t>
      </w:r>
      <w:r>
        <w:rPr>
          <w:color w:val="231F20"/>
          <w:spacing w:val="43"/>
          <w:w w:val="110"/>
          <w:sz w:val="18"/>
        </w:rPr>
        <w:t> </w:t>
      </w:r>
      <w:r>
        <w:rPr>
          <w:color w:val="231F20"/>
          <w:w w:val="110"/>
          <w:sz w:val="18"/>
        </w:rPr>
        <w:t>el coyote y hasta el avión allí a Tijuana, ellos no querían, principal mi esposa y mis hijos, pero es que había necesidad de irse porque debía el dinero…pa pasar fue</w:t>
      </w:r>
      <w:r>
        <w:rPr>
          <w:color w:val="231F20"/>
          <w:spacing w:val="22"/>
          <w:w w:val="110"/>
          <w:sz w:val="18"/>
        </w:rPr>
        <w:t> </w:t>
      </w:r>
      <w:r>
        <w:rPr>
          <w:color w:val="231F20"/>
          <w:w w:val="110"/>
          <w:sz w:val="18"/>
        </w:rPr>
        <w:t>fácil[…]</w:t>
      </w:r>
    </w:p>
    <w:p>
      <w:pPr>
        <w:pStyle w:val="BodyText"/>
        <w:spacing w:before="7"/>
        <w:rPr>
          <w:sz w:val="21"/>
        </w:rPr>
      </w:pPr>
    </w:p>
    <w:p>
      <w:pPr>
        <w:pStyle w:val="BodyText"/>
        <w:spacing w:line="292" w:lineRule="auto"/>
        <w:ind w:left="100" w:right="117" w:firstLine="360"/>
        <w:jc w:val="both"/>
      </w:pPr>
      <w:r>
        <w:rPr>
          <w:color w:val="231F20"/>
          <w:w w:val="110"/>
        </w:rPr>
        <w:t>Otro cambio apreciable en la región, es la creciente incorporación de mujeres a la migración internacional. Aunque igual ellas migran para ge- nerar ingresos al hogar y otros satisfactores, ahora acceden como actoras independientes que tratan de cumplir objetivos propios; antaño migraban </w:t>
      </w:r>
      <w:r>
        <w:rPr>
          <w:color w:val="231F20"/>
          <w:spacing w:val="-4"/>
          <w:w w:val="110"/>
        </w:rPr>
        <w:t>cuando </w:t>
      </w:r>
      <w:r>
        <w:rPr>
          <w:color w:val="231F20"/>
          <w:w w:val="110"/>
        </w:rPr>
        <w:t>el </w:t>
      </w:r>
      <w:r>
        <w:rPr>
          <w:color w:val="231F20"/>
          <w:spacing w:val="-4"/>
          <w:w w:val="110"/>
        </w:rPr>
        <w:t>esposo, hermanos </w:t>
      </w:r>
      <w:r>
        <w:rPr>
          <w:color w:val="231F20"/>
          <w:w w:val="110"/>
        </w:rPr>
        <w:t>o </w:t>
      </w:r>
      <w:r>
        <w:rPr>
          <w:color w:val="231F20"/>
          <w:spacing w:val="-4"/>
          <w:w w:val="110"/>
        </w:rPr>
        <w:t>padres </w:t>
      </w:r>
      <w:r>
        <w:rPr>
          <w:color w:val="231F20"/>
          <w:spacing w:val="-3"/>
          <w:w w:val="110"/>
        </w:rPr>
        <w:t>las </w:t>
      </w:r>
      <w:r>
        <w:rPr>
          <w:color w:val="231F20"/>
          <w:spacing w:val="-4"/>
          <w:w w:val="110"/>
        </w:rPr>
        <w:t>querían llevar </w:t>
      </w:r>
      <w:r>
        <w:rPr>
          <w:color w:val="231F20"/>
          <w:w w:val="110"/>
        </w:rPr>
        <w:t>y </w:t>
      </w:r>
      <w:r>
        <w:rPr>
          <w:color w:val="231F20"/>
          <w:spacing w:val="-4"/>
          <w:w w:val="110"/>
        </w:rPr>
        <w:t>tenían </w:t>
      </w:r>
      <w:r>
        <w:rPr>
          <w:color w:val="231F20"/>
          <w:spacing w:val="-3"/>
          <w:w w:val="110"/>
        </w:rPr>
        <w:t>que </w:t>
      </w:r>
      <w:r>
        <w:rPr>
          <w:color w:val="231F20"/>
          <w:spacing w:val="-4"/>
          <w:w w:val="110"/>
        </w:rPr>
        <w:t>apelar</w:t>
      </w:r>
      <w:r>
        <w:rPr>
          <w:color w:val="231F20"/>
          <w:spacing w:val="-24"/>
          <w:w w:val="110"/>
        </w:rPr>
        <w:t> </w:t>
      </w:r>
      <w:r>
        <w:rPr>
          <w:color w:val="231F20"/>
          <w:w w:val="110"/>
        </w:rPr>
        <w:t>al apoyo</w:t>
      </w:r>
      <w:r>
        <w:rPr>
          <w:color w:val="231F20"/>
          <w:spacing w:val="-16"/>
          <w:w w:val="110"/>
        </w:rPr>
        <w:t> </w:t>
      </w:r>
      <w:r>
        <w:rPr>
          <w:color w:val="231F20"/>
          <w:w w:val="110"/>
        </w:rPr>
        <w:t>de</w:t>
      </w:r>
      <w:r>
        <w:rPr>
          <w:color w:val="231F20"/>
          <w:spacing w:val="-16"/>
          <w:w w:val="110"/>
        </w:rPr>
        <w:t> </w:t>
      </w:r>
      <w:r>
        <w:rPr>
          <w:color w:val="231F20"/>
          <w:w w:val="110"/>
        </w:rPr>
        <w:t>otras</w:t>
      </w:r>
      <w:r>
        <w:rPr>
          <w:color w:val="231F20"/>
          <w:spacing w:val="-16"/>
          <w:w w:val="110"/>
        </w:rPr>
        <w:t> </w:t>
      </w:r>
      <w:r>
        <w:rPr>
          <w:color w:val="231F20"/>
          <w:w w:val="110"/>
        </w:rPr>
        <w:t>mujeres</w:t>
      </w:r>
      <w:r>
        <w:rPr>
          <w:color w:val="231F20"/>
          <w:spacing w:val="-16"/>
          <w:w w:val="110"/>
        </w:rPr>
        <w:t> </w:t>
      </w:r>
      <w:r>
        <w:rPr>
          <w:color w:val="231F20"/>
          <w:w w:val="110"/>
        </w:rPr>
        <w:t>que</w:t>
      </w:r>
      <w:r>
        <w:rPr>
          <w:color w:val="231F20"/>
          <w:spacing w:val="-16"/>
          <w:w w:val="110"/>
        </w:rPr>
        <w:t> </w:t>
      </w:r>
      <w:r>
        <w:rPr>
          <w:color w:val="231F20"/>
          <w:w w:val="110"/>
        </w:rPr>
        <w:t>vale</w:t>
      </w:r>
      <w:r>
        <w:rPr>
          <w:color w:val="231F20"/>
          <w:spacing w:val="-16"/>
          <w:w w:val="110"/>
        </w:rPr>
        <w:t> </w:t>
      </w:r>
      <w:r>
        <w:rPr>
          <w:color w:val="231F20"/>
          <w:w w:val="110"/>
        </w:rPr>
        <w:t>decir</w:t>
      </w:r>
      <w:r>
        <w:rPr>
          <w:color w:val="231F20"/>
          <w:spacing w:val="-16"/>
          <w:w w:val="110"/>
        </w:rPr>
        <w:t> </w:t>
      </w:r>
      <w:r>
        <w:rPr>
          <w:color w:val="231F20"/>
          <w:w w:val="110"/>
        </w:rPr>
        <w:t>no</w:t>
      </w:r>
      <w:r>
        <w:rPr>
          <w:color w:val="231F20"/>
          <w:spacing w:val="-16"/>
          <w:w w:val="110"/>
        </w:rPr>
        <w:t> </w:t>
      </w:r>
      <w:r>
        <w:rPr>
          <w:color w:val="231F20"/>
          <w:w w:val="110"/>
        </w:rPr>
        <w:t>eran</w:t>
      </w:r>
      <w:r>
        <w:rPr>
          <w:color w:val="231F20"/>
          <w:spacing w:val="-16"/>
          <w:w w:val="110"/>
        </w:rPr>
        <w:t> </w:t>
      </w:r>
      <w:r>
        <w:rPr>
          <w:color w:val="231F20"/>
          <w:w w:val="110"/>
        </w:rPr>
        <w:t>migrantes</w:t>
      </w:r>
      <w:r>
        <w:rPr>
          <w:color w:val="231F20"/>
          <w:spacing w:val="-16"/>
          <w:w w:val="110"/>
        </w:rPr>
        <w:t> </w:t>
      </w:r>
      <w:r>
        <w:rPr>
          <w:color w:val="231F20"/>
          <w:w w:val="110"/>
        </w:rPr>
        <w:t>(hermanas,</w:t>
      </w:r>
      <w:r>
        <w:rPr>
          <w:color w:val="231F20"/>
          <w:spacing w:val="-16"/>
          <w:w w:val="110"/>
        </w:rPr>
        <w:t> </w:t>
      </w:r>
      <w:r>
        <w:rPr>
          <w:color w:val="231F20"/>
          <w:w w:val="110"/>
        </w:rPr>
        <w:t>madre, primas). En este sentido, su incorporación abierta, social y familiarmente aceptada expresa diversos cambios que están ocurriendo en entornos más generales:</w:t>
      </w:r>
      <w:r>
        <w:rPr>
          <w:color w:val="231F20"/>
          <w:spacing w:val="32"/>
          <w:w w:val="110"/>
        </w:rPr>
        <w:t> </w:t>
      </w:r>
      <w:r>
        <w:rPr>
          <w:color w:val="231F20"/>
          <w:w w:val="110"/>
        </w:rPr>
        <w:t>uno</w:t>
      </w:r>
      <w:r>
        <w:rPr>
          <w:color w:val="231F20"/>
          <w:spacing w:val="32"/>
          <w:w w:val="110"/>
        </w:rPr>
        <w:t> </w:t>
      </w:r>
      <w:r>
        <w:rPr>
          <w:color w:val="231F20"/>
          <w:w w:val="110"/>
        </w:rPr>
        <w:t>es</w:t>
      </w:r>
      <w:r>
        <w:rPr>
          <w:color w:val="231F20"/>
          <w:spacing w:val="32"/>
          <w:w w:val="110"/>
        </w:rPr>
        <w:t> </w:t>
      </w:r>
      <w:r>
        <w:rPr>
          <w:color w:val="231F20"/>
          <w:w w:val="110"/>
        </w:rPr>
        <w:t>la</w:t>
      </w:r>
      <w:r>
        <w:rPr>
          <w:color w:val="231F20"/>
          <w:spacing w:val="32"/>
          <w:w w:val="110"/>
        </w:rPr>
        <w:t> </w:t>
      </w:r>
      <w:r>
        <w:rPr>
          <w:color w:val="231F20"/>
          <w:w w:val="110"/>
        </w:rPr>
        <w:t>pluriactividad</w:t>
      </w:r>
      <w:r>
        <w:rPr>
          <w:color w:val="231F20"/>
          <w:spacing w:val="32"/>
          <w:w w:val="110"/>
        </w:rPr>
        <w:t> </w:t>
      </w:r>
      <w:r>
        <w:rPr>
          <w:color w:val="231F20"/>
          <w:w w:val="110"/>
        </w:rPr>
        <w:t>que</w:t>
      </w:r>
      <w:r>
        <w:rPr>
          <w:color w:val="231F20"/>
          <w:spacing w:val="32"/>
          <w:w w:val="110"/>
        </w:rPr>
        <w:t> </w:t>
      </w:r>
      <w:r>
        <w:rPr>
          <w:color w:val="231F20"/>
          <w:w w:val="110"/>
        </w:rPr>
        <w:t>ha</w:t>
      </w:r>
      <w:r>
        <w:rPr>
          <w:color w:val="231F20"/>
          <w:spacing w:val="32"/>
          <w:w w:val="110"/>
        </w:rPr>
        <w:t> </w:t>
      </w:r>
      <w:r>
        <w:rPr>
          <w:color w:val="231F20"/>
          <w:w w:val="110"/>
        </w:rPr>
        <w:t>tenido</w:t>
      </w:r>
      <w:r>
        <w:rPr>
          <w:color w:val="231F20"/>
          <w:spacing w:val="32"/>
          <w:w w:val="110"/>
        </w:rPr>
        <w:t> </w:t>
      </w:r>
      <w:r>
        <w:rPr>
          <w:color w:val="231F20"/>
          <w:w w:val="110"/>
        </w:rPr>
        <w:t>que</w:t>
      </w:r>
      <w:r>
        <w:rPr>
          <w:color w:val="231F20"/>
          <w:spacing w:val="32"/>
          <w:w w:val="110"/>
        </w:rPr>
        <w:t> </w:t>
      </w:r>
      <w:r>
        <w:rPr>
          <w:color w:val="231F20"/>
          <w:w w:val="110"/>
        </w:rPr>
        <w:t>desplegarse</w:t>
      </w:r>
      <w:r>
        <w:rPr>
          <w:color w:val="231F20"/>
          <w:spacing w:val="32"/>
          <w:w w:val="110"/>
        </w:rPr>
        <w:t> </w:t>
      </w:r>
      <w:r>
        <w:rPr>
          <w:color w:val="231F20"/>
          <w:w w:val="110"/>
        </w:rPr>
        <w:t>en</w:t>
      </w:r>
      <w:r>
        <w:rPr>
          <w:color w:val="231F20"/>
          <w:spacing w:val="32"/>
          <w:w w:val="110"/>
        </w:rPr>
        <w:t> </w:t>
      </w:r>
      <w:r>
        <w:rPr>
          <w:color w:val="231F20"/>
          <w:w w:val="110"/>
        </w:rPr>
        <w:t>el</w:t>
      </w:r>
    </w:p>
    <w:p>
      <w:pPr>
        <w:spacing w:after="0" w:line="292" w:lineRule="auto"/>
        <w:jc w:val="both"/>
        <w:sectPr>
          <w:footerReference w:type="default" r:id="rId122"/>
          <w:footerReference w:type="even" r:id="rId123"/>
          <w:pgSz w:w="9520" w:h="12920"/>
          <w:pgMar w:footer="1344" w:header="0" w:top="880" w:bottom="1540" w:left="1020" w:right="1320"/>
          <w:pgNumType w:start="133"/>
        </w:sectPr>
      </w:pPr>
    </w:p>
    <w:p>
      <w:pPr>
        <w:pStyle w:val="BodyText"/>
        <w:spacing w:line="288" w:lineRule="auto" w:before="42"/>
        <w:ind w:left="124" w:right="111"/>
        <w:jc w:val="both"/>
      </w:pPr>
      <w:r>
        <w:rPr>
          <w:color w:val="231F20"/>
          <w:w w:val="110"/>
        </w:rPr>
        <w:t>medio rural mexicano, la creciente necesidad que tienen los hogares de integrar más miembros a la generación de ingreso, las aspiraciones insa- tisfechas por acceder a mejores modos de vida, también refleja cambios</w:t>
      </w:r>
      <w:r>
        <w:rPr>
          <w:color w:val="231F20"/>
          <w:spacing w:val="-20"/>
          <w:w w:val="110"/>
        </w:rPr>
        <w:t> </w:t>
      </w:r>
      <w:r>
        <w:rPr>
          <w:color w:val="231F20"/>
          <w:w w:val="110"/>
        </w:rPr>
        <w:t>de actitud que empujan cambios en las relaciones de género domésticas y comunales, cambios en las instituciones informales que se empecinan en asignarles ciertos roles; con estos cambios se abren posibilidades para  que ellas busquen sus espacios de acción como en el caso de la emigra- ción, participando como actoras individuales e independientes de la figu- ra</w:t>
      </w:r>
      <w:r>
        <w:rPr>
          <w:color w:val="231F20"/>
          <w:spacing w:val="32"/>
          <w:w w:val="110"/>
        </w:rPr>
        <w:t> </w:t>
      </w:r>
      <w:r>
        <w:rPr>
          <w:color w:val="231F20"/>
          <w:w w:val="110"/>
        </w:rPr>
        <w:t>masculina.</w:t>
      </w:r>
    </w:p>
    <w:p>
      <w:pPr>
        <w:pStyle w:val="BodyText"/>
        <w:spacing w:line="288" w:lineRule="auto"/>
        <w:ind w:left="124" w:right="113" w:firstLine="360"/>
        <w:jc w:val="both"/>
      </w:pPr>
      <w:r>
        <w:rPr>
          <w:color w:val="231F20"/>
          <w:w w:val="110"/>
        </w:rPr>
        <w:t>Otra situación distinguible y relacionada a estos cambios de perspecti- va respecto a la participación de las mujeres en la migración, es la forma en que se asume y ejecuta la jefatura del hogar. La jefatura femenina está teniendo más presencia en la región, por ejemplo, 17 por ciento de los hogares muestreados lo encabeza una mujer; aunque se accede a ella y se ejecuta con distinta modalidad.</w:t>
      </w:r>
    </w:p>
    <w:p>
      <w:pPr>
        <w:pStyle w:val="BodyText"/>
        <w:spacing w:line="288" w:lineRule="auto"/>
        <w:ind w:left="124" w:right="109" w:firstLine="360"/>
        <w:jc w:val="both"/>
      </w:pPr>
      <w:r>
        <w:rPr>
          <w:color w:val="231F20"/>
          <w:w w:val="110"/>
        </w:rPr>
        <w:t>En los hogares con migración internacional donde el jefe está ausente, es frecuente que las mujeres de mayor edad y sin experiencia migratoria, no asuman que están al frente del hogar, aunque en la práctica así sea porque toman decisiones para conseguir los alimentos, educar hijos, ase- gurar el funcionamiento cotidiano del </w:t>
      </w:r>
      <w:r>
        <w:rPr>
          <w:color w:val="231F20"/>
          <w:spacing w:val="-3"/>
          <w:w w:val="110"/>
        </w:rPr>
        <w:t>hogar. </w:t>
      </w:r>
      <w:r>
        <w:rPr>
          <w:color w:val="231F20"/>
          <w:w w:val="110"/>
        </w:rPr>
        <w:t>Por ejemplo, cuatro de cada 10 hogares entrevistados (45 por ciento), declaran que tienen una</w:t>
      </w:r>
      <w:r>
        <w:rPr>
          <w:color w:val="231F20"/>
          <w:spacing w:val="-18"/>
          <w:w w:val="110"/>
        </w:rPr>
        <w:t> </w:t>
      </w:r>
      <w:r>
        <w:rPr>
          <w:color w:val="231F20"/>
          <w:w w:val="110"/>
        </w:rPr>
        <w:t>jefatura compartida entre madre y padre aunque el esposo es emigrante y no se encuentre presente. En cambio, se asumen como responsables de la</w:t>
      </w:r>
      <w:r>
        <w:rPr>
          <w:color w:val="231F20"/>
          <w:spacing w:val="-28"/>
          <w:w w:val="110"/>
        </w:rPr>
        <w:t> </w:t>
      </w:r>
      <w:r>
        <w:rPr>
          <w:color w:val="231F20"/>
          <w:w w:val="110"/>
        </w:rPr>
        <w:t>repro- ducción social y material de sus hogares, con lo que contribuyen a mante- ner vigente la idea del hogar como espacio femenino. En los hogares de mujeres con experiencia migratoria que tienen pareja migrante, que tam- bién son más jóvenes, éstas presentan otras actitudes. Éstas son quienes  se friccionan y forcejean para romper estas asignaciones simbólicas en sus hogares y comunidades. Ellas tienen mayor rango para tomar decisio- nes en forma personal, autónoma e individual respecto a los gastos de la casa, inversión de remesas, sobre los hijos, pueden salir a socializar con </w:t>
      </w:r>
      <w:r>
        <w:rPr>
          <w:color w:val="231F20"/>
          <w:spacing w:val="2"/>
          <w:w w:val="110"/>
        </w:rPr>
        <w:t>amistades, parientes </w:t>
      </w:r>
      <w:r>
        <w:rPr>
          <w:color w:val="231F20"/>
          <w:w w:val="110"/>
        </w:rPr>
        <w:t>y </w:t>
      </w:r>
      <w:r>
        <w:rPr>
          <w:color w:val="231F20"/>
          <w:spacing w:val="2"/>
          <w:w w:val="110"/>
        </w:rPr>
        <w:t>vecinos, buscar </w:t>
      </w:r>
      <w:r>
        <w:rPr>
          <w:color w:val="231F20"/>
          <w:w w:val="110"/>
        </w:rPr>
        <w:t>empleos de diversa calificación, todo sin la sombra del marido, el suegro, el padre, se encuentre o no pre- sente en el hogar la</w:t>
      </w:r>
      <w:r>
        <w:rPr>
          <w:color w:val="231F20"/>
          <w:spacing w:val="40"/>
          <w:w w:val="110"/>
        </w:rPr>
        <w:t> </w:t>
      </w:r>
      <w:r>
        <w:rPr>
          <w:color w:val="231F20"/>
          <w:w w:val="110"/>
        </w:rPr>
        <w:t>pareja.</w:t>
      </w:r>
    </w:p>
    <w:p>
      <w:pPr>
        <w:pStyle w:val="BodyText"/>
        <w:spacing w:line="288" w:lineRule="auto"/>
        <w:ind w:left="124" w:right="112" w:firstLine="360"/>
        <w:jc w:val="both"/>
      </w:pPr>
      <w:r>
        <w:rPr>
          <w:color w:val="231F20"/>
          <w:w w:val="110"/>
        </w:rPr>
        <w:t>A </w:t>
      </w:r>
      <w:r>
        <w:rPr>
          <w:color w:val="231F20"/>
          <w:spacing w:val="-4"/>
          <w:w w:val="110"/>
        </w:rPr>
        <w:t>pesar </w:t>
      </w:r>
      <w:r>
        <w:rPr>
          <w:color w:val="231F20"/>
          <w:w w:val="110"/>
        </w:rPr>
        <w:t>de la </w:t>
      </w:r>
      <w:r>
        <w:rPr>
          <w:color w:val="231F20"/>
          <w:spacing w:val="-4"/>
          <w:w w:val="110"/>
        </w:rPr>
        <w:t>circulación </w:t>
      </w:r>
      <w:r>
        <w:rPr>
          <w:color w:val="231F20"/>
          <w:w w:val="110"/>
        </w:rPr>
        <w:t>de </w:t>
      </w:r>
      <w:r>
        <w:rPr>
          <w:color w:val="231F20"/>
          <w:spacing w:val="-4"/>
          <w:w w:val="110"/>
        </w:rPr>
        <w:t>nuevas ideas, experiencias, recursos </w:t>
      </w:r>
      <w:r>
        <w:rPr>
          <w:color w:val="231F20"/>
          <w:w w:val="110"/>
        </w:rPr>
        <w:t>y </w:t>
      </w:r>
      <w:r>
        <w:rPr>
          <w:color w:val="231F20"/>
          <w:spacing w:val="-4"/>
          <w:w w:val="110"/>
        </w:rPr>
        <w:t>gente, </w:t>
      </w:r>
      <w:r>
        <w:rPr>
          <w:color w:val="231F20"/>
          <w:w w:val="110"/>
        </w:rPr>
        <w:t>a través de las redes sociales y de las prácticas transnacionales de algunas</w:t>
      </w:r>
    </w:p>
    <w:p>
      <w:pPr>
        <w:spacing w:after="0" w:line="288" w:lineRule="auto"/>
        <w:jc w:val="both"/>
        <w:sectPr>
          <w:pgSz w:w="9520" w:h="12920"/>
          <w:pgMar w:header="0" w:footer="1344" w:top="880" w:bottom="1540" w:left="1320" w:right="1000"/>
        </w:sectPr>
      </w:pPr>
    </w:p>
    <w:p>
      <w:pPr>
        <w:pStyle w:val="BodyText"/>
        <w:spacing w:line="288" w:lineRule="auto" w:before="42"/>
        <w:ind w:left="100" w:right="114"/>
        <w:jc w:val="both"/>
      </w:pPr>
      <w:r>
        <w:rPr>
          <w:color w:val="231F20"/>
          <w:w w:val="110"/>
        </w:rPr>
        <w:t>personas, en esta región, como en otros escenarios (Lagarde, 1997; García y De Oliveira, 1998), entre las mujeres y entre los hombres, prevalece la idea de lo familiar y lo doméstico como espacios de las mujeres. Aspecto marcadamente visible entre las mujeres de mayor edad y sin experiencia migratoria, que son quienes contribuyen a mantener vigente el entorno institucional</w:t>
      </w:r>
      <w:r>
        <w:rPr>
          <w:color w:val="231F20"/>
          <w:spacing w:val="-21"/>
          <w:w w:val="110"/>
        </w:rPr>
        <w:t> </w:t>
      </w:r>
      <w:r>
        <w:rPr>
          <w:color w:val="231F20"/>
          <w:w w:val="110"/>
        </w:rPr>
        <w:t>que</w:t>
      </w:r>
      <w:r>
        <w:rPr>
          <w:color w:val="231F20"/>
          <w:spacing w:val="-21"/>
          <w:w w:val="110"/>
        </w:rPr>
        <w:t> </w:t>
      </w:r>
      <w:r>
        <w:rPr>
          <w:color w:val="231F20"/>
          <w:w w:val="110"/>
        </w:rPr>
        <w:t>les</w:t>
      </w:r>
      <w:r>
        <w:rPr>
          <w:color w:val="231F20"/>
          <w:spacing w:val="-21"/>
          <w:w w:val="110"/>
        </w:rPr>
        <w:t> </w:t>
      </w:r>
      <w:r>
        <w:rPr>
          <w:color w:val="231F20"/>
          <w:w w:val="110"/>
        </w:rPr>
        <w:t>asignan</w:t>
      </w:r>
      <w:r>
        <w:rPr>
          <w:color w:val="231F20"/>
          <w:spacing w:val="-21"/>
          <w:w w:val="110"/>
        </w:rPr>
        <w:t> </w:t>
      </w:r>
      <w:r>
        <w:rPr>
          <w:color w:val="231F20"/>
          <w:w w:val="110"/>
        </w:rPr>
        <w:t>los</w:t>
      </w:r>
      <w:r>
        <w:rPr>
          <w:color w:val="231F20"/>
          <w:spacing w:val="-21"/>
          <w:w w:val="110"/>
        </w:rPr>
        <w:t> </w:t>
      </w:r>
      <w:r>
        <w:rPr>
          <w:color w:val="231F20"/>
          <w:w w:val="110"/>
        </w:rPr>
        <w:t>roles</w:t>
      </w:r>
      <w:r>
        <w:rPr>
          <w:color w:val="231F20"/>
          <w:spacing w:val="-21"/>
          <w:w w:val="110"/>
        </w:rPr>
        <w:t> </w:t>
      </w:r>
      <w:r>
        <w:rPr>
          <w:color w:val="231F20"/>
          <w:w w:val="110"/>
        </w:rPr>
        <w:t>domésticos</w:t>
      </w:r>
      <w:r>
        <w:rPr>
          <w:color w:val="231F20"/>
          <w:spacing w:val="-21"/>
          <w:w w:val="110"/>
        </w:rPr>
        <w:t> </w:t>
      </w:r>
      <w:r>
        <w:rPr>
          <w:color w:val="231F20"/>
          <w:w w:val="110"/>
        </w:rPr>
        <w:t>tradicionales.</w:t>
      </w:r>
      <w:r>
        <w:rPr>
          <w:color w:val="231F20"/>
          <w:spacing w:val="-21"/>
          <w:w w:val="110"/>
        </w:rPr>
        <w:t> </w:t>
      </w:r>
      <w:r>
        <w:rPr>
          <w:color w:val="231F20"/>
          <w:spacing w:val="-3"/>
          <w:w w:val="110"/>
        </w:rPr>
        <w:t>Por</w:t>
      </w:r>
      <w:r>
        <w:rPr>
          <w:color w:val="231F20"/>
          <w:spacing w:val="-21"/>
          <w:w w:val="110"/>
        </w:rPr>
        <w:t> </w:t>
      </w:r>
      <w:r>
        <w:rPr>
          <w:color w:val="231F20"/>
          <w:w w:val="110"/>
        </w:rPr>
        <w:t>ejemplo, a diferencia de otras localidades del país, donde es el hijo menor quien cuida de los padres enfermos y en edades avanzadas, en esta región en casi</w:t>
      </w:r>
      <w:r>
        <w:rPr>
          <w:color w:val="231F20"/>
          <w:spacing w:val="-6"/>
          <w:w w:val="110"/>
        </w:rPr>
        <w:t> </w:t>
      </w:r>
      <w:r>
        <w:rPr>
          <w:color w:val="231F20"/>
          <w:w w:val="110"/>
        </w:rPr>
        <w:t>nueve</w:t>
      </w:r>
      <w:r>
        <w:rPr>
          <w:color w:val="231F20"/>
          <w:spacing w:val="-6"/>
          <w:w w:val="110"/>
        </w:rPr>
        <w:t> </w:t>
      </w:r>
      <w:r>
        <w:rPr>
          <w:color w:val="231F20"/>
          <w:w w:val="110"/>
        </w:rPr>
        <w:t>de</w:t>
      </w:r>
      <w:r>
        <w:rPr>
          <w:color w:val="231F20"/>
          <w:spacing w:val="-6"/>
          <w:w w:val="110"/>
        </w:rPr>
        <w:t> </w:t>
      </w:r>
      <w:r>
        <w:rPr>
          <w:color w:val="231F20"/>
          <w:w w:val="110"/>
        </w:rPr>
        <w:t>10</w:t>
      </w:r>
      <w:r>
        <w:rPr>
          <w:color w:val="231F20"/>
          <w:spacing w:val="-6"/>
          <w:w w:val="110"/>
        </w:rPr>
        <w:t> </w:t>
      </w:r>
      <w:r>
        <w:rPr>
          <w:color w:val="231F20"/>
          <w:w w:val="110"/>
        </w:rPr>
        <w:t>hogares</w:t>
      </w:r>
      <w:r>
        <w:rPr>
          <w:color w:val="231F20"/>
          <w:spacing w:val="-6"/>
          <w:w w:val="110"/>
        </w:rPr>
        <w:t> </w:t>
      </w:r>
      <w:r>
        <w:rPr>
          <w:color w:val="231F20"/>
          <w:w w:val="110"/>
        </w:rPr>
        <w:t>(86</w:t>
      </w:r>
      <w:r>
        <w:rPr>
          <w:color w:val="231F20"/>
          <w:spacing w:val="-6"/>
          <w:w w:val="110"/>
        </w:rPr>
        <w:t> </w:t>
      </w:r>
      <w:r>
        <w:rPr>
          <w:color w:val="231F20"/>
          <w:w w:val="110"/>
        </w:rPr>
        <w:t>por</w:t>
      </w:r>
      <w:r>
        <w:rPr>
          <w:color w:val="231F20"/>
          <w:spacing w:val="-6"/>
          <w:w w:val="110"/>
        </w:rPr>
        <w:t> </w:t>
      </w:r>
      <w:r>
        <w:rPr>
          <w:color w:val="231F20"/>
          <w:w w:val="110"/>
        </w:rPr>
        <w:t>ciento),</w:t>
      </w:r>
      <w:r>
        <w:rPr>
          <w:color w:val="231F20"/>
          <w:spacing w:val="-6"/>
          <w:w w:val="110"/>
        </w:rPr>
        <w:t> </w:t>
      </w:r>
      <w:r>
        <w:rPr>
          <w:color w:val="231F20"/>
          <w:w w:val="110"/>
        </w:rPr>
        <w:t>las</w:t>
      </w:r>
      <w:r>
        <w:rPr>
          <w:color w:val="231F20"/>
          <w:spacing w:val="-6"/>
          <w:w w:val="110"/>
        </w:rPr>
        <w:t> </w:t>
      </w:r>
      <w:r>
        <w:rPr>
          <w:color w:val="231F20"/>
          <w:w w:val="110"/>
        </w:rPr>
        <w:t>mujeres</w:t>
      </w:r>
      <w:r>
        <w:rPr>
          <w:color w:val="231F20"/>
          <w:spacing w:val="-6"/>
          <w:w w:val="110"/>
        </w:rPr>
        <w:t> </w:t>
      </w:r>
      <w:r>
        <w:rPr>
          <w:color w:val="231F20"/>
          <w:w w:val="110"/>
        </w:rPr>
        <w:t>deben</w:t>
      </w:r>
      <w:r>
        <w:rPr>
          <w:color w:val="231F20"/>
          <w:spacing w:val="-6"/>
          <w:w w:val="110"/>
        </w:rPr>
        <w:t> </w:t>
      </w:r>
      <w:r>
        <w:rPr>
          <w:color w:val="231F20"/>
          <w:w w:val="110"/>
        </w:rPr>
        <w:t>cuidar</w:t>
      </w:r>
      <w:r>
        <w:rPr>
          <w:color w:val="231F20"/>
          <w:spacing w:val="-6"/>
          <w:w w:val="110"/>
        </w:rPr>
        <w:t> </w:t>
      </w:r>
      <w:r>
        <w:rPr>
          <w:color w:val="231F20"/>
          <w:w w:val="110"/>
        </w:rPr>
        <w:t>además a otros miembros (hijos, esposo, pareja, madre, nietos, padre, abuelos), en aspectos de alimentación, educación, atención a la salud, y  </w:t>
      </w:r>
      <w:r>
        <w:rPr>
          <w:color w:val="231F20"/>
          <w:spacing w:val="11"/>
          <w:w w:val="110"/>
        </w:rPr>
        <w:t> </w:t>
      </w:r>
      <w:r>
        <w:rPr>
          <w:color w:val="231F20"/>
          <w:w w:val="110"/>
        </w:rPr>
        <w:t>demás.</w:t>
      </w:r>
    </w:p>
    <w:p>
      <w:pPr>
        <w:pStyle w:val="BodyText"/>
        <w:spacing w:line="288" w:lineRule="auto"/>
        <w:ind w:left="100" w:right="114" w:firstLine="360"/>
        <w:jc w:val="both"/>
      </w:pPr>
      <w:r>
        <w:rPr>
          <w:color w:val="231F20"/>
          <w:w w:val="110"/>
        </w:rPr>
        <w:t>También en el mercado matrimonial de la región las influencias de la migración internacional forcejean con los remanentes tradicionales. Por ejemplo, mientras que para algunas jóvenes no migrantes una relación sentimental</w:t>
      </w:r>
      <w:r>
        <w:rPr>
          <w:color w:val="231F20"/>
          <w:spacing w:val="-27"/>
          <w:w w:val="110"/>
        </w:rPr>
        <w:t> </w:t>
      </w:r>
      <w:r>
        <w:rPr>
          <w:color w:val="231F20"/>
          <w:w w:val="110"/>
        </w:rPr>
        <w:t>con</w:t>
      </w:r>
      <w:r>
        <w:rPr>
          <w:color w:val="231F20"/>
          <w:spacing w:val="-27"/>
          <w:w w:val="110"/>
        </w:rPr>
        <w:t> </w:t>
      </w:r>
      <w:r>
        <w:rPr>
          <w:color w:val="231F20"/>
          <w:w w:val="110"/>
        </w:rPr>
        <w:t>un</w:t>
      </w:r>
      <w:r>
        <w:rPr>
          <w:color w:val="231F20"/>
          <w:spacing w:val="-27"/>
          <w:w w:val="110"/>
        </w:rPr>
        <w:t> </w:t>
      </w:r>
      <w:r>
        <w:rPr>
          <w:color w:val="231F20"/>
          <w:w w:val="110"/>
        </w:rPr>
        <w:t>migrante</w:t>
      </w:r>
      <w:r>
        <w:rPr>
          <w:color w:val="231F20"/>
          <w:spacing w:val="-27"/>
          <w:w w:val="110"/>
        </w:rPr>
        <w:t> </w:t>
      </w:r>
      <w:r>
        <w:rPr>
          <w:color w:val="231F20"/>
          <w:w w:val="110"/>
        </w:rPr>
        <w:t>incrementa</w:t>
      </w:r>
      <w:r>
        <w:rPr>
          <w:color w:val="231F20"/>
          <w:spacing w:val="-27"/>
          <w:w w:val="110"/>
        </w:rPr>
        <w:t> </w:t>
      </w:r>
      <w:r>
        <w:rPr>
          <w:color w:val="231F20"/>
          <w:w w:val="110"/>
        </w:rPr>
        <w:t>sus</w:t>
      </w:r>
      <w:r>
        <w:rPr>
          <w:color w:val="231F20"/>
          <w:spacing w:val="-27"/>
          <w:w w:val="110"/>
        </w:rPr>
        <w:t> </w:t>
      </w:r>
      <w:r>
        <w:rPr>
          <w:color w:val="231F20"/>
          <w:w w:val="110"/>
        </w:rPr>
        <w:t>posibilidades</w:t>
      </w:r>
      <w:r>
        <w:rPr>
          <w:color w:val="231F20"/>
          <w:spacing w:val="-27"/>
          <w:w w:val="110"/>
        </w:rPr>
        <w:t> </w:t>
      </w:r>
      <w:r>
        <w:rPr>
          <w:color w:val="231F20"/>
          <w:w w:val="110"/>
        </w:rPr>
        <w:t>para</w:t>
      </w:r>
      <w:r>
        <w:rPr>
          <w:color w:val="231F20"/>
          <w:spacing w:val="-27"/>
          <w:w w:val="110"/>
        </w:rPr>
        <w:t> </w:t>
      </w:r>
      <w:r>
        <w:rPr>
          <w:color w:val="231F20"/>
          <w:w w:val="110"/>
        </w:rPr>
        <w:t>establecerse en aquel país y pueden ver ésta como una vía para mejorar y hacerse de  un </w:t>
      </w:r>
      <w:r>
        <w:rPr>
          <w:color w:val="231F20"/>
          <w:spacing w:val="3"/>
          <w:w w:val="110"/>
        </w:rPr>
        <w:t>patrimonio, </w:t>
      </w:r>
      <w:r>
        <w:rPr>
          <w:color w:val="231F20"/>
          <w:spacing w:val="2"/>
          <w:w w:val="110"/>
        </w:rPr>
        <w:t>los </w:t>
      </w:r>
      <w:r>
        <w:rPr>
          <w:color w:val="231F20"/>
          <w:spacing w:val="3"/>
          <w:w w:val="110"/>
        </w:rPr>
        <w:t>jóvenes varones migrantes </w:t>
      </w:r>
      <w:r>
        <w:rPr>
          <w:color w:val="231F20"/>
          <w:spacing w:val="2"/>
          <w:w w:val="110"/>
        </w:rPr>
        <w:t>que </w:t>
      </w:r>
      <w:r>
        <w:rPr>
          <w:color w:val="231F20"/>
          <w:w w:val="110"/>
        </w:rPr>
        <w:t>ya </w:t>
      </w:r>
      <w:r>
        <w:rPr>
          <w:color w:val="231F20"/>
          <w:spacing w:val="3"/>
          <w:w w:val="110"/>
        </w:rPr>
        <w:t>experimentaron </w:t>
      </w:r>
      <w:r>
        <w:rPr>
          <w:color w:val="231F20"/>
          <w:w w:val="110"/>
        </w:rPr>
        <w:t>aquellos</w:t>
      </w:r>
      <w:r>
        <w:rPr>
          <w:color w:val="231F20"/>
          <w:spacing w:val="-8"/>
          <w:w w:val="110"/>
        </w:rPr>
        <w:t> </w:t>
      </w:r>
      <w:r>
        <w:rPr>
          <w:color w:val="231F20"/>
          <w:w w:val="110"/>
        </w:rPr>
        <w:t>entornos</w:t>
      </w:r>
      <w:r>
        <w:rPr>
          <w:color w:val="231F20"/>
          <w:spacing w:val="-8"/>
          <w:w w:val="110"/>
        </w:rPr>
        <w:t> </w:t>
      </w:r>
      <w:r>
        <w:rPr>
          <w:color w:val="231F20"/>
          <w:w w:val="110"/>
        </w:rPr>
        <w:t>liberales</w:t>
      </w:r>
      <w:r>
        <w:rPr>
          <w:color w:val="231F20"/>
          <w:spacing w:val="-8"/>
          <w:w w:val="110"/>
        </w:rPr>
        <w:t> </w:t>
      </w:r>
      <w:r>
        <w:rPr>
          <w:color w:val="231F20"/>
          <w:w w:val="110"/>
        </w:rPr>
        <w:t>del</w:t>
      </w:r>
      <w:r>
        <w:rPr>
          <w:color w:val="231F20"/>
          <w:spacing w:val="-8"/>
          <w:w w:val="110"/>
        </w:rPr>
        <w:t> </w:t>
      </w:r>
      <w:r>
        <w:rPr>
          <w:color w:val="231F20"/>
          <w:spacing w:val="-3"/>
          <w:w w:val="110"/>
        </w:rPr>
        <w:t>extranjero,</w:t>
      </w:r>
      <w:r>
        <w:rPr>
          <w:color w:val="231F20"/>
          <w:spacing w:val="-8"/>
          <w:w w:val="110"/>
        </w:rPr>
        <w:t> </w:t>
      </w:r>
      <w:r>
        <w:rPr>
          <w:color w:val="231F20"/>
          <w:w w:val="110"/>
        </w:rPr>
        <w:t>más</w:t>
      </w:r>
      <w:r>
        <w:rPr>
          <w:color w:val="231F20"/>
          <w:spacing w:val="-8"/>
          <w:w w:val="110"/>
        </w:rPr>
        <w:t> </w:t>
      </w:r>
      <w:r>
        <w:rPr>
          <w:color w:val="231F20"/>
          <w:w w:val="110"/>
        </w:rPr>
        <w:t>bien</w:t>
      </w:r>
      <w:r>
        <w:rPr>
          <w:color w:val="231F20"/>
          <w:spacing w:val="-8"/>
          <w:w w:val="110"/>
        </w:rPr>
        <w:t> </w:t>
      </w:r>
      <w:r>
        <w:rPr>
          <w:color w:val="231F20"/>
          <w:w w:val="110"/>
        </w:rPr>
        <w:t>tienen</w:t>
      </w:r>
      <w:r>
        <w:rPr>
          <w:color w:val="231F20"/>
          <w:spacing w:val="-8"/>
          <w:w w:val="110"/>
        </w:rPr>
        <w:t> </w:t>
      </w:r>
      <w:r>
        <w:rPr>
          <w:color w:val="231F20"/>
          <w:w w:val="110"/>
        </w:rPr>
        <w:t>la</w:t>
      </w:r>
      <w:r>
        <w:rPr>
          <w:color w:val="231F20"/>
          <w:spacing w:val="-8"/>
          <w:w w:val="110"/>
        </w:rPr>
        <w:t> </w:t>
      </w:r>
      <w:r>
        <w:rPr>
          <w:color w:val="231F20"/>
          <w:w w:val="110"/>
        </w:rPr>
        <w:t>idea</w:t>
      </w:r>
      <w:r>
        <w:rPr>
          <w:color w:val="231F20"/>
          <w:spacing w:val="-8"/>
          <w:w w:val="110"/>
        </w:rPr>
        <w:t> </w:t>
      </w:r>
      <w:r>
        <w:rPr>
          <w:color w:val="231F20"/>
          <w:w w:val="110"/>
        </w:rPr>
        <w:t>de</w:t>
      </w:r>
      <w:r>
        <w:rPr>
          <w:color w:val="231F20"/>
          <w:spacing w:val="-8"/>
          <w:w w:val="110"/>
        </w:rPr>
        <w:t> </w:t>
      </w:r>
      <w:r>
        <w:rPr>
          <w:color w:val="231F20"/>
          <w:w w:val="110"/>
        </w:rPr>
        <w:t>unirse con</w:t>
      </w:r>
      <w:r>
        <w:rPr>
          <w:color w:val="231F20"/>
          <w:spacing w:val="-5"/>
          <w:w w:val="110"/>
        </w:rPr>
        <w:t> </w:t>
      </w:r>
      <w:r>
        <w:rPr>
          <w:color w:val="231F20"/>
          <w:w w:val="110"/>
        </w:rPr>
        <w:t>una</w:t>
      </w:r>
      <w:r>
        <w:rPr>
          <w:color w:val="231F20"/>
          <w:spacing w:val="-5"/>
          <w:w w:val="110"/>
        </w:rPr>
        <w:t> </w:t>
      </w:r>
      <w:r>
        <w:rPr>
          <w:color w:val="231F20"/>
          <w:w w:val="110"/>
        </w:rPr>
        <w:t>mujer</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región,</w:t>
      </w:r>
      <w:r>
        <w:rPr>
          <w:color w:val="231F20"/>
          <w:spacing w:val="-5"/>
          <w:w w:val="110"/>
        </w:rPr>
        <w:t> </w:t>
      </w:r>
      <w:r>
        <w:rPr>
          <w:color w:val="231F20"/>
          <w:w w:val="110"/>
        </w:rPr>
        <w:t>formar</w:t>
      </w:r>
      <w:r>
        <w:rPr>
          <w:color w:val="231F20"/>
          <w:spacing w:val="-5"/>
          <w:w w:val="110"/>
        </w:rPr>
        <w:t> </w:t>
      </w:r>
      <w:r>
        <w:rPr>
          <w:color w:val="231F20"/>
          <w:w w:val="110"/>
        </w:rPr>
        <w:t>una</w:t>
      </w:r>
      <w:r>
        <w:rPr>
          <w:color w:val="231F20"/>
          <w:spacing w:val="-5"/>
          <w:w w:val="110"/>
        </w:rPr>
        <w:t> </w:t>
      </w:r>
      <w:r>
        <w:rPr>
          <w:color w:val="231F20"/>
          <w:w w:val="110"/>
        </w:rPr>
        <w:t>familia</w:t>
      </w:r>
      <w:r>
        <w:rPr>
          <w:color w:val="231F20"/>
          <w:spacing w:val="-5"/>
          <w:w w:val="110"/>
        </w:rPr>
        <w:t> </w:t>
      </w:r>
      <w:r>
        <w:rPr>
          <w:color w:val="231F20"/>
          <w:w w:val="110"/>
        </w:rPr>
        <w:t>y</w:t>
      </w:r>
      <w:r>
        <w:rPr>
          <w:color w:val="231F20"/>
          <w:spacing w:val="-5"/>
          <w:w w:val="110"/>
        </w:rPr>
        <w:t> </w:t>
      </w:r>
      <w:r>
        <w:rPr>
          <w:color w:val="231F20"/>
          <w:w w:val="110"/>
        </w:rPr>
        <w:t>criar</w:t>
      </w:r>
      <w:r>
        <w:rPr>
          <w:color w:val="231F20"/>
          <w:spacing w:val="-5"/>
          <w:w w:val="110"/>
        </w:rPr>
        <w:t> </w:t>
      </w:r>
      <w:r>
        <w:rPr>
          <w:color w:val="231F20"/>
          <w:w w:val="110"/>
        </w:rPr>
        <w:t>sus</w:t>
      </w:r>
      <w:r>
        <w:rPr>
          <w:color w:val="231F20"/>
          <w:spacing w:val="-5"/>
          <w:w w:val="110"/>
        </w:rPr>
        <w:t> </w:t>
      </w:r>
      <w:r>
        <w:rPr>
          <w:color w:val="231F20"/>
          <w:w w:val="110"/>
        </w:rPr>
        <w:t>hijos</w:t>
      </w:r>
      <w:r>
        <w:rPr>
          <w:color w:val="231F20"/>
          <w:spacing w:val="-5"/>
          <w:w w:val="110"/>
        </w:rPr>
        <w:t> </w:t>
      </w:r>
      <w:r>
        <w:rPr>
          <w:color w:val="231F20"/>
          <w:w w:val="110"/>
        </w:rPr>
        <w:t>en</w:t>
      </w:r>
      <w:r>
        <w:rPr>
          <w:color w:val="231F20"/>
          <w:spacing w:val="-5"/>
          <w:w w:val="110"/>
        </w:rPr>
        <w:t> </w:t>
      </w:r>
      <w:r>
        <w:rPr>
          <w:color w:val="231F20"/>
          <w:w w:val="110"/>
        </w:rPr>
        <w:t>su</w:t>
      </w:r>
      <w:r>
        <w:rPr>
          <w:color w:val="231F20"/>
          <w:spacing w:val="-5"/>
          <w:w w:val="110"/>
        </w:rPr>
        <w:t> </w:t>
      </w:r>
      <w:r>
        <w:rPr>
          <w:color w:val="231F20"/>
          <w:w w:val="110"/>
        </w:rPr>
        <w:t>tierra. Al respecto una joven casadera narra su impresión: “[…]los norteñitos di- cen que las chavas en Estados Unidos no son de fiar […], para ellos es mejor que su esposa y sus hijos vivan aquí mientras ellos van al Norte porque ya no se hayan aquí en el pueblo, porque aquí no hay ni en qué trabajar[…]”</w:t>
      </w:r>
      <w:r>
        <w:rPr>
          <w:color w:val="231F20"/>
          <w:spacing w:val="-11"/>
          <w:w w:val="110"/>
        </w:rPr>
        <w:t> </w:t>
      </w:r>
      <w:r>
        <w:rPr>
          <w:color w:val="231F20"/>
          <w:w w:val="110"/>
        </w:rPr>
        <w:t>(Karla,</w:t>
      </w:r>
      <w:r>
        <w:rPr>
          <w:color w:val="231F20"/>
          <w:spacing w:val="-11"/>
          <w:w w:val="110"/>
        </w:rPr>
        <w:t> </w:t>
      </w:r>
      <w:r>
        <w:rPr>
          <w:color w:val="231F20"/>
          <w:w w:val="110"/>
        </w:rPr>
        <w:t>19</w:t>
      </w:r>
      <w:r>
        <w:rPr>
          <w:color w:val="231F20"/>
          <w:spacing w:val="-11"/>
          <w:w w:val="110"/>
        </w:rPr>
        <w:t> </w:t>
      </w:r>
      <w:r>
        <w:rPr>
          <w:color w:val="231F20"/>
          <w:w w:val="110"/>
        </w:rPr>
        <w:t>años,</w:t>
      </w:r>
      <w:r>
        <w:rPr>
          <w:color w:val="231F20"/>
          <w:spacing w:val="-11"/>
          <w:w w:val="110"/>
        </w:rPr>
        <w:t> </w:t>
      </w:r>
      <w:r>
        <w:rPr>
          <w:color w:val="231F20"/>
          <w:w w:val="110"/>
        </w:rPr>
        <w:t>Tonatico).</w:t>
      </w:r>
    </w:p>
    <w:p>
      <w:pPr>
        <w:pStyle w:val="BodyText"/>
        <w:spacing w:line="288" w:lineRule="auto"/>
        <w:ind w:left="100" w:right="116" w:firstLine="360"/>
        <w:jc w:val="both"/>
      </w:pPr>
      <w:r>
        <w:rPr>
          <w:color w:val="231F20"/>
          <w:w w:val="110"/>
        </w:rPr>
        <w:t>En este caso, los migrantes que desean formar familia y criar sus a hijos en la región, es porque temen al libertinaje, drogas y desintegración familiar en el otro país, aunque reconocen aspectos como la educación</w:t>
      </w:r>
      <w:r>
        <w:rPr>
          <w:color w:val="231F20"/>
          <w:spacing w:val="-21"/>
          <w:w w:val="110"/>
        </w:rPr>
        <w:t> </w:t>
      </w:r>
      <w:r>
        <w:rPr>
          <w:color w:val="231F20"/>
          <w:w w:val="110"/>
        </w:rPr>
        <w:t>que allá podrían recibir y los ingresos que lograrían obtener. En cambio, las mujeres</w:t>
      </w:r>
      <w:r>
        <w:rPr>
          <w:color w:val="231F20"/>
          <w:spacing w:val="-9"/>
          <w:w w:val="110"/>
        </w:rPr>
        <w:t> </w:t>
      </w:r>
      <w:r>
        <w:rPr>
          <w:color w:val="231F20"/>
          <w:w w:val="110"/>
        </w:rPr>
        <w:t>que</w:t>
      </w:r>
      <w:r>
        <w:rPr>
          <w:color w:val="231F20"/>
          <w:spacing w:val="-9"/>
          <w:w w:val="110"/>
        </w:rPr>
        <w:t> </w:t>
      </w:r>
      <w:r>
        <w:rPr>
          <w:color w:val="231F20"/>
          <w:w w:val="110"/>
        </w:rPr>
        <w:t>prefieren</w:t>
      </w:r>
      <w:r>
        <w:rPr>
          <w:color w:val="231F20"/>
          <w:spacing w:val="-9"/>
          <w:w w:val="110"/>
        </w:rPr>
        <w:t> </w:t>
      </w:r>
      <w:r>
        <w:rPr>
          <w:color w:val="231F20"/>
          <w:spacing w:val="-3"/>
          <w:w w:val="110"/>
        </w:rPr>
        <w:t>salir,</w:t>
      </w:r>
      <w:r>
        <w:rPr>
          <w:color w:val="231F20"/>
          <w:spacing w:val="-9"/>
          <w:w w:val="110"/>
        </w:rPr>
        <w:t> </w:t>
      </w:r>
      <w:r>
        <w:rPr>
          <w:color w:val="231F20"/>
          <w:w w:val="110"/>
        </w:rPr>
        <w:t>por</w:t>
      </w:r>
      <w:r>
        <w:rPr>
          <w:color w:val="231F20"/>
          <w:spacing w:val="-9"/>
          <w:w w:val="110"/>
        </w:rPr>
        <w:t> </w:t>
      </w:r>
      <w:r>
        <w:rPr>
          <w:color w:val="231F20"/>
          <w:w w:val="110"/>
        </w:rPr>
        <w:t>un</w:t>
      </w:r>
      <w:r>
        <w:rPr>
          <w:color w:val="231F20"/>
          <w:spacing w:val="-9"/>
          <w:w w:val="110"/>
        </w:rPr>
        <w:t> </w:t>
      </w:r>
      <w:r>
        <w:rPr>
          <w:color w:val="231F20"/>
          <w:w w:val="110"/>
        </w:rPr>
        <w:t>lado,</w:t>
      </w:r>
      <w:r>
        <w:rPr>
          <w:color w:val="231F20"/>
          <w:spacing w:val="-9"/>
          <w:w w:val="110"/>
        </w:rPr>
        <w:t> </w:t>
      </w:r>
      <w:r>
        <w:rPr>
          <w:color w:val="231F20"/>
          <w:w w:val="110"/>
        </w:rPr>
        <w:t>advierten</w:t>
      </w:r>
      <w:r>
        <w:rPr>
          <w:color w:val="231F20"/>
          <w:spacing w:val="-9"/>
          <w:w w:val="110"/>
        </w:rPr>
        <w:t> </w:t>
      </w:r>
      <w:r>
        <w:rPr>
          <w:color w:val="231F20"/>
          <w:w w:val="110"/>
        </w:rPr>
        <w:t>que</w:t>
      </w:r>
      <w:r>
        <w:rPr>
          <w:color w:val="231F20"/>
          <w:spacing w:val="-9"/>
          <w:w w:val="110"/>
        </w:rPr>
        <w:t> </w:t>
      </w:r>
      <w:r>
        <w:rPr>
          <w:color w:val="231F20"/>
          <w:w w:val="110"/>
        </w:rPr>
        <w:t>tradicionalmente</w:t>
      </w:r>
      <w:r>
        <w:rPr>
          <w:color w:val="231F20"/>
          <w:spacing w:val="-9"/>
          <w:w w:val="110"/>
        </w:rPr>
        <w:t> </w:t>
      </w:r>
      <w:r>
        <w:rPr>
          <w:color w:val="231F20"/>
          <w:w w:val="110"/>
        </w:rPr>
        <w:t>en esta</w:t>
      </w:r>
      <w:r>
        <w:rPr>
          <w:color w:val="231F20"/>
          <w:spacing w:val="-8"/>
          <w:w w:val="110"/>
        </w:rPr>
        <w:t> </w:t>
      </w:r>
      <w:r>
        <w:rPr>
          <w:color w:val="231F20"/>
          <w:w w:val="110"/>
        </w:rPr>
        <w:t>región</w:t>
      </w:r>
      <w:r>
        <w:rPr>
          <w:color w:val="231F20"/>
          <w:spacing w:val="-8"/>
          <w:w w:val="110"/>
        </w:rPr>
        <w:t> </w:t>
      </w:r>
      <w:r>
        <w:rPr>
          <w:color w:val="231F20"/>
          <w:w w:val="110"/>
        </w:rPr>
        <w:t>las</w:t>
      </w:r>
      <w:r>
        <w:rPr>
          <w:color w:val="231F20"/>
          <w:spacing w:val="-8"/>
          <w:w w:val="110"/>
        </w:rPr>
        <w:t> </w:t>
      </w:r>
      <w:r>
        <w:rPr>
          <w:color w:val="231F20"/>
          <w:w w:val="110"/>
        </w:rPr>
        <w:t>propiedades</w:t>
      </w:r>
      <w:r>
        <w:rPr>
          <w:color w:val="231F20"/>
          <w:spacing w:val="-8"/>
          <w:w w:val="110"/>
        </w:rPr>
        <w:t> </w:t>
      </w:r>
      <w:r>
        <w:rPr>
          <w:color w:val="231F20"/>
          <w:w w:val="110"/>
        </w:rPr>
        <w:t>(casas,</w:t>
      </w:r>
      <w:r>
        <w:rPr>
          <w:color w:val="231F20"/>
          <w:spacing w:val="-8"/>
          <w:w w:val="110"/>
        </w:rPr>
        <w:t> </w:t>
      </w:r>
      <w:r>
        <w:rPr>
          <w:color w:val="231F20"/>
          <w:w w:val="110"/>
        </w:rPr>
        <w:t>ranchos,</w:t>
      </w:r>
      <w:r>
        <w:rPr>
          <w:color w:val="231F20"/>
          <w:spacing w:val="-8"/>
          <w:w w:val="110"/>
        </w:rPr>
        <w:t> </w:t>
      </w:r>
      <w:r>
        <w:rPr>
          <w:color w:val="231F20"/>
          <w:w w:val="110"/>
        </w:rPr>
        <w:t>carros,</w:t>
      </w:r>
      <w:r>
        <w:rPr>
          <w:color w:val="231F20"/>
          <w:spacing w:val="-8"/>
          <w:w w:val="110"/>
        </w:rPr>
        <w:t> </w:t>
      </w:r>
      <w:r>
        <w:rPr>
          <w:color w:val="231F20"/>
          <w:w w:val="110"/>
        </w:rPr>
        <w:t>terrenos,</w:t>
      </w:r>
      <w:r>
        <w:rPr>
          <w:color w:val="231F20"/>
          <w:spacing w:val="-8"/>
          <w:w w:val="110"/>
        </w:rPr>
        <w:t> </w:t>
      </w:r>
      <w:r>
        <w:rPr>
          <w:color w:val="231F20"/>
          <w:w w:val="110"/>
        </w:rPr>
        <w:t>parcelas),</w:t>
      </w:r>
      <w:r>
        <w:rPr>
          <w:color w:val="231F20"/>
          <w:spacing w:val="-8"/>
          <w:w w:val="110"/>
        </w:rPr>
        <w:t> </w:t>
      </w:r>
      <w:r>
        <w:rPr>
          <w:color w:val="231F20"/>
          <w:w w:val="110"/>
        </w:rPr>
        <w:t>son de pertenencia masculina, por otro, la socialización con paisanas migran- tes les permite formarse una idea de que en el otro país, es más probable hacerse de un patrimonio a su nombre, además de que allá las relaciones maritales</w:t>
      </w:r>
      <w:r>
        <w:rPr>
          <w:color w:val="231F20"/>
          <w:spacing w:val="-16"/>
          <w:w w:val="110"/>
        </w:rPr>
        <w:t> </w:t>
      </w:r>
      <w:r>
        <w:rPr>
          <w:color w:val="231F20"/>
          <w:w w:val="110"/>
        </w:rPr>
        <w:t>y</w:t>
      </w:r>
      <w:r>
        <w:rPr>
          <w:color w:val="231F20"/>
          <w:spacing w:val="-16"/>
          <w:w w:val="110"/>
        </w:rPr>
        <w:t> </w:t>
      </w:r>
      <w:r>
        <w:rPr>
          <w:color w:val="231F20"/>
          <w:w w:val="110"/>
        </w:rPr>
        <w:t>los</w:t>
      </w:r>
      <w:r>
        <w:rPr>
          <w:color w:val="231F20"/>
          <w:spacing w:val="-16"/>
          <w:w w:val="110"/>
        </w:rPr>
        <w:t> </w:t>
      </w:r>
      <w:r>
        <w:rPr>
          <w:color w:val="231F20"/>
          <w:w w:val="110"/>
        </w:rPr>
        <w:t>proyectos</w:t>
      </w:r>
      <w:r>
        <w:rPr>
          <w:color w:val="231F20"/>
          <w:spacing w:val="-16"/>
          <w:w w:val="110"/>
        </w:rPr>
        <w:t> </w:t>
      </w:r>
      <w:r>
        <w:rPr>
          <w:color w:val="231F20"/>
          <w:w w:val="110"/>
        </w:rPr>
        <w:t>conjuntos</w:t>
      </w:r>
      <w:r>
        <w:rPr>
          <w:color w:val="231F20"/>
          <w:spacing w:val="-16"/>
          <w:w w:val="110"/>
        </w:rPr>
        <w:t> </w:t>
      </w:r>
      <w:r>
        <w:rPr>
          <w:color w:val="231F20"/>
          <w:w w:val="110"/>
        </w:rPr>
        <w:t>como</w:t>
      </w:r>
      <w:r>
        <w:rPr>
          <w:color w:val="231F20"/>
          <w:spacing w:val="-16"/>
          <w:w w:val="110"/>
        </w:rPr>
        <w:t> </w:t>
      </w:r>
      <w:r>
        <w:rPr>
          <w:color w:val="231F20"/>
          <w:w w:val="110"/>
        </w:rPr>
        <w:t>familia,</w:t>
      </w:r>
      <w:r>
        <w:rPr>
          <w:color w:val="231F20"/>
          <w:spacing w:val="-16"/>
          <w:w w:val="110"/>
        </w:rPr>
        <w:t> </w:t>
      </w:r>
      <w:r>
        <w:rPr>
          <w:color w:val="231F20"/>
          <w:w w:val="110"/>
        </w:rPr>
        <w:t>ocurren</w:t>
      </w:r>
      <w:r>
        <w:rPr>
          <w:color w:val="231F20"/>
          <w:spacing w:val="-16"/>
          <w:w w:val="110"/>
        </w:rPr>
        <w:t> </w:t>
      </w:r>
      <w:r>
        <w:rPr>
          <w:color w:val="231F20"/>
          <w:w w:val="110"/>
        </w:rPr>
        <w:t>más</w:t>
      </w:r>
      <w:r>
        <w:rPr>
          <w:color w:val="231F20"/>
          <w:spacing w:val="-16"/>
          <w:w w:val="110"/>
        </w:rPr>
        <w:t> </w:t>
      </w:r>
      <w:r>
        <w:rPr>
          <w:color w:val="231F20"/>
          <w:w w:val="110"/>
        </w:rPr>
        <w:t>igualitarias</w:t>
      </w:r>
      <w:r>
        <w:rPr>
          <w:color w:val="231F20"/>
          <w:spacing w:val="-16"/>
          <w:w w:val="110"/>
        </w:rPr>
        <w:t> </w:t>
      </w:r>
      <w:r>
        <w:rPr>
          <w:color w:val="231F20"/>
          <w:w w:val="110"/>
        </w:rPr>
        <w:t>e independientes sin la intervención de suegros y demás familia. Efectiva- mente,</w:t>
      </w:r>
      <w:r>
        <w:rPr>
          <w:color w:val="231F20"/>
          <w:spacing w:val="11"/>
          <w:w w:val="110"/>
        </w:rPr>
        <w:t> </w:t>
      </w:r>
      <w:r>
        <w:rPr>
          <w:color w:val="231F20"/>
          <w:w w:val="110"/>
        </w:rPr>
        <w:t>en</w:t>
      </w:r>
      <w:r>
        <w:rPr>
          <w:color w:val="231F20"/>
          <w:spacing w:val="11"/>
          <w:w w:val="110"/>
        </w:rPr>
        <w:t> </w:t>
      </w:r>
      <w:r>
        <w:rPr>
          <w:color w:val="231F20"/>
          <w:w w:val="110"/>
        </w:rPr>
        <w:t>esta</w:t>
      </w:r>
      <w:r>
        <w:rPr>
          <w:color w:val="231F20"/>
          <w:spacing w:val="11"/>
          <w:w w:val="110"/>
        </w:rPr>
        <w:t> </w:t>
      </w:r>
      <w:r>
        <w:rPr>
          <w:color w:val="231F20"/>
          <w:w w:val="110"/>
        </w:rPr>
        <w:t>región,</w:t>
      </w:r>
      <w:r>
        <w:rPr>
          <w:color w:val="231F20"/>
          <w:spacing w:val="11"/>
          <w:w w:val="110"/>
        </w:rPr>
        <w:t> </w:t>
      </w:r>
      <w:r>
        <w:rPr>
          <w:color w:val="231F20"/>
          <w:w w:val="110"/>
        </w:rPr>
        <w:t>en</w:t>
      </w:r>
      <w:r>
        <w:rPr>
          <w:color w:val="231F20"/>
          <w:spacing w:val="11"/>
          <w:w w:val="110"/>
        </w:rPr>
        <w:t> </w:t>
      </w:r>
      <w:r>
        <w:rPr>
          <w:color w:val="231F20"/>
          <w:w w:val="110"/>
        </w:rPr>
        <w:t>siete</w:t>
      </w:r>
      <w:r>
        <w:rPr>
          <w:color w:val="231F20"/>
          <w:spacing w:val="11"/>
          <w:w w:val="110"/>
        </w:rPr>
        <w:t> </w:t>
      </w:r>
      <w:r>
        <w:rPr>
          <w:color w:val="231F20"/>
          <w:w w:val="110"/>
        </w:rPr>
        <w:t>de</w:t>
      </w:r>
      <w:r>
        <w:rPr>
          <w:color w:val="231F20"/>
          <w:spacing w:val="11"/>
          <w:w w:val="110"/>
        </w:rPr>
        <w:t> </w:t>
      </w:r>
      <w:r>
        <w:rPr>
          <w:color w:val="231F20"/>
          <w:w w:val="110"/>
        </w:rPr>
        <w:t>cada</w:t>
      </w:r>
      <w:r>
        <w:rPr>
          <w:color w:val="231F20"/>
          <w:spacing w:val="11"/>
          <w:w w:val="110"/>
        </w:rPr>
        <w:t> </w:t>
      </w:r>
      <w:r>
        <w:rPr>
          <w:color w:val="231F20"/>
          <w:w w:val="110"/>
        </w:rPr>
        <w:t>10</w:t>
      </w:r>
      <w:r>
        <w:rPr>
          <w:color w:val="231F20"/>
          <w:spacing w:val="11"/>
          <w:w w:val="110"/>
        </w:rPr>
        <w:t> </w:t>
      </w:r>
      <w:r>
        <w:rPr>
          <w:color w:val="231F20"/>
          <w:w w:val="110"/>
        </w:rPr>
        <w:t>hogares</w:t>
      </w:r>
      <w:r>
        <w:rPr>
          <w:color w:val="231F20"/>
          <w:spacing w:val="11"/>
          <w:w w:val="110"/>
        </w:rPr>
        <w:t> </w:t>
      </w:r>
      <w:r>
        <w:rPr>
          <w:color w:val="231F20"/>
          <w:w w:val="110"/>
        </w:rPr>
        <w:t>(70</w:t>
      </w:r>
      <w:r>
        <w:rPr>
          <w:color w:val="231F20"/>
          <w:spacing w:val="11"/>
          <w:w w:val="110"/>
        </w:rPr>
        <w:t> </w:t>
      </w:r>
      <w:r>
        <w:rPr>
          <w:color w:val="231F20"/>
          <w:w w:val="110"/>
        </w:rPr>
        <w:t>por</w:t>
      </w:r>
      <w:r>
        <w:rPr>
          <w:color w:val="231F20"/>
          <w:spacing w:val="11"/>
          <w:w w:val="110"/>
        </w:rPr>
        <w:t> </w:t>
      </w:r>
      <w:r>
        <w:rPr>
          <w:color w:val="231F20"/>
          <w:w w:val="110"/>
        </w:rPr>
        <w:t>ciento),</w:t>
      </w:r>
      <w:r>
        <w:rPr>
          <w:color w:val="231F20"/>
          <w:spacing w:val="11"/>
          <w:w w:val="110"/>
        </w:rPr>
        <w:t> </w:t>
      </w:r>
      <w:r>
        <w:rPr>
          <w:color w:val="231F20"/>
          <w:w w:val="110"/>
        </w:rPr>
        <w:t>el</w:t>
      </w:r>
      <w:r>
        <w:rPr>
          <w:color w:val="231F20"/>
          <w:spacing w:val="11"/>
          <w:w w:val="110"/>
        </w:rPr>
        <w:t> </w:t>
      </w:r>
      <w:r>
        <w:rPr>
          <w:color w:val="231F20"/>
          <w:w w:val="110"/>
        </w:rPr>
        <w:t>jefe</w:t>
      </w:r>
    </w:p>
    <w:p>
      <w:pPr>
        <w:spacing w:after="0" w:line="288" w:lineRule="auto"/>
        <w:jc w:val="both"/>
        <w:sectPr>
          <w:pgSz w:w="9520" w:h="12920"/>
          <w:pgMar w:header="0" w:footer="1344" w:top="880" w:bottom="1540" w:left="1020" w:right="1320"/>
        </w:sectPr>
      </w:pPr>
    </w:p>
    <w:p>
      <w:pPr>
        <w:pStyle w:val="BodyText"/>
        <w:spacing w:line="280" w:lineRule="auto" w:before="42"/>
        <w:ind w:left="124" w:right="112"/>
        <w:jc w:val="both"/>
      </w:pPr>
      <w:r>
        <w:rPr>
          <w:color w:val="231F20"/>
          <w:w w:val="110"/>
        </w:rPr>
        <w:t>tiene la propiedad de la vivienda a su nombre, en las tierras de cultivo la proporción es menor (41 por ciento); mientras que sólo una de cada 10 mujeres</w:t>
      </w:r>
      <w:r>
        <w:rPr>
          <w:color w:val="231F20"/>
          <w:spacing w:val="-12"/>
          <w:w w:val="110"/>
        </w:rPr>
        <w:t> </w:t>
      </w:r>
      <w:r>
        <w:rPr>
          <w:color w:val="231F20"/>
          <w:w w:val="110"/>
        </w:rPr>
        <w:t>entrevistadas</w:t>
      </w:r>
      <w:r>
        <w:rPr>
          <w:color w:val="231F20"/>
          <w:spacing w:val="-12"/>
          <w:w w:val="110"/>
        </w:rPr>
        <w:t> </w:t>
      </w:r>
      <w:r>
        <w:rPr>
          <w:color w:val="231F20"/>
          <w:w w:val="110"/>
        </w:rPr>
        <w:t>(9.8</w:t>
      </w:r>
      <w:r>
        <w:rPr>
          <w:color w:val="231F20"/>
          <w:spacing w:val="-12"/>
          <w:w w:val="110"/>
        </w:rPr>
        <w:t> </w:t>
      </w:r>
      <w:r>
        <w:rPr>
          <w:color w:val="231F20"/>
          <w:w w:val="110"/>
        </w:rPr>
        <w:t>por</w:t>
      </w:r>
      <w:r>
        <w:rPr>
          <w:color w:val="231F20"/>
          <w:spacing w:val="-12"/>
          <w:w w:val="110"/>
        </w:rPr>
        <w:t> </w:t>
      </w:r>
      <w:r>
        <w:rPr>
          <w:color w:val="231F20"/>
          <w:w w:val="110"/>
        </w:rPr>
        <w:t>ciento),</w:t>
      </w:r>
      <w:r>
        <w:rPr>
          <w:color w:val="231F20"/>
          <w:spacing w:val="-12"/>
          <w:w w:val="110"/>
        </w:rPr>
        <w:t> </w:t>
      </w:r>
      <w:r>
        <w:rPr>
          <w:color w:val="231F20"/>
          <w:w w:val="110"/>
        </w:rPr>
        <w:t>tiene</w:t>
      </w:r>
      <w:r>
        <w:rPr>
          <w:color w:val="231F20"/>
          <w:spacing w:val="-12"/>
          <w:w w:val="110"/>
        </w:rPr>
        <w:t> </w:t>
      </w:r>
      <w:r>
        <w:rPr>
          <w:color w:val="231F20"/>
          <w:w w:val="110"/>
        </w:rPr>
        <w:t>algún</w:t>
      </w:r>
      <w:r>
        <w:rPr>
          <w:color w:val="231F20"/>
          <w:spacing w:val="-12"/>
          <w:w w:val="110"/>
        </w:rPr>
        <w:t> </w:t>
      </w:r>
      <w:r>
        <w:rPr>
          <w:color w:val="231F20"/>
          <w:w w:val="110"/>
        </w:rPr>
        <w:t>terreno</w:t>
      </w:r>
      <w:r>
        <w:rPr>
          <w:color w:val="231F20"/>
          <w:spacing w:val="-12"/>
          <w:w w:val="110"/>
        </w:rPr>
        <w:t> </w:t>
      </w:r>
      <w:r>
        <w:rPr>
          <w:color w:val="231F20"/>
          <w:w w:val="110"/>
        </w:rPr>
        <w:t>en</w:t>
      </w:r>
      <w:r>
        <w:rPr>
          <w:color w:val="231F20"/>
          <w:spacing w:val="-12"/>
          <w:w w:val="110"/>
        </w:rPr>
        <w:t> </w:t>
      </w:r>
      <w:r>
        <w:rPr>
          <w:color w:val="231F20"/>
          <w:w w:val="110"/>
        </w:rPr>
        <w:t>propiedad</w:t>
      </w:r>
      <w:r>
        <w:rPr>
          <w:color w:val="231F20"/>
          <w:spacing w:val="-12"/>
          <w:w w:val="110"/>
        </w:rPr>
        <w:t> </w:t>
      </w:r>
      <w:r>
        <w:rPr>
          <w:color w:val="231F20"/>
          <w:w w:val="110"/>
        </w:rPr>
        <w:t>en forma explícita. La parte principal de esta acumulación se debe a que en la región las propiedades y los recursos se heredan a los hombres siguiendo el marco institucional tradicional de proteger los bienes y cederlos a</w:t>
      </w:r>
      <w:r>
        <w:rPr>
          <w:color w:val="231F20"/>
          <w:spacing w:val="-17"/>
          <w:w w:val="110"/>
        </w:rPr>
        <w:t> </w:t>
      </w:r>
      <w:r>
        <w:rPr>
          <w:color w:val="231F20"/>
          <w:w w:val="110"/>
        </w:rPr>
        <w:t>quien </w:t>
      </w:r>
      <w:r>
        <w:rPr>
          <w:color w:val="231F20"/>
          <w:spacing w:val="2"/>
          <w:w w:val="110"/>
        </w:rPr>
        <w:t>puede emplearlos productivamente, </w:t>
      </w:r>
      <w:r>
        <w:rPr>
          <w:color w:val="231F20"/>
          <w:w w:val="110"/>
        </w:rPr>
        <w:t>ya que se </w:t>
      </w:r>
      <w:r>
        <w:rPr>
          <w:color w:val="231F20"/>
          <w:spacing w:val="2"/>
          <w:w w:val="110"/>
        </w:rPr>
        <w:t>concibe </w:t>
      </w:r>
      <w:r>
        <w:rPr>
          <w:color w:val="231F20"/>
          <w:w w:val="110"/>
        </w:rPr>
        <w:t>que la mujer, al casarse, sale del hogar para atender</w:t>
      </w:r>
      <w:r>
        <w:rPr>
          <w:color w:val="231F20"/>
          <w:spacing w:val="47"/>
          <w:w w:val="110"/>
        </w:rPr>
        <w:t> </w:t>
      </w:r>
      <w:r>
        <w:rPr>
          <w:color w:val="231F20"/>
          <w:w w:val="110"/>
        </w:rPr>
        <w:t>otro.</w:t>
      </w:r>
    </w:p>
    <w:p>
      <w:pPr>
        <w:pStyle w:val="BodyText"/>
      </w:pPr>
    </w:p>
    <w:p>
      <w:pPr>
        <w:pStyle w:val="BodyText"/>
        <w:spacing w:before="9"/>
        <w:rPr>
          <w:sz w:val="24"/>
        </w:rPr>
      </w:pPr>
    </w:p>
    <w:p>
      <w:pPr>
        <w:spacing w:before="1"/>
        <w:ind w:left="124" w:right="0" w:firstLine="0"/>
        <w:jc w:val="both"/>
        <w:rPr>
          <w:rFonts w:ascii="Times New Roman"/>
          <w:i/>
          <w:sz w:val="19"/>
        </w:rPr>
      </w:pPr>
      <w:r>
        <w:rPr>
          <w:rFonts w:ascii="Times New Roman"/>
          <w:i/>
          <w:color w:val="231F20"/>
          <w:w w:val="90"/>
          <w:sz w:val="24"/>
        </w:rPr>
        <w:t>R</w:t>
      </w:r>
      <w:r>
        <w:rPr>
          <w:rFonts w:ascii="Times New Roman"/>
          <w:i/>
          <w:color w:val="231F20"/>
          <w:w w:val="90"/>
          <w:sz w:val="19"/>
        </w:rPr>
        <w:t>EFLEXIONES FINALES</w:t>
      </w:r>
    </w:p>
    <w:p>
      <w:pPr>
        <w:pStyle w:val="BodyText"/>
        <w:spacing w:before="1"/>
        <w:rPr>
          <w:rFonts w:ascii="Times New Roman"/>
          <w:i/>
          <w:sz w:val="27"/>
        </w:rPr>
      </w:pPr>
    </w:p>
    <w:p>
      <w:pPr>
        <w:pStyle w:val="BodyText"/>
        <w:spacing w:line="280" w:lineRule="auto"/>
        <w:ind w:left="124" w:right="114"/>
        <w:jc w:val="both"/>
      </w:pPr>
      <w:r>
        <w:rPr>
          <w:color w:val="231F20"/>
          <w:w w:val="110"/>
        </w:rPr>
        <w:t>Esta investigación muestra, con base en el estudio de la migración</w:t>
      </w:r>
      <w:r>
        <w:rPr>
          <w:color w:val="231F20"/>
          <w:spacing w:val="-19"/>
          <w:w w:val="110"/>
        </w:rPr>
        <w:t> </w:t>
      </w:r>
      <w:r>
        <w:rPr>
          <w:color w:val="231F20"/>
          <w:w w:val="110"/>
        </w:rPr>
        <w:t>interna- cional en una región al sur del Estado de México, que con el ir y venir de los padres, abuelos, hermanos, tíos y la posterior incorporación de la her- mana, tía, madre, hija, se van dando los acomodos necesarios aunque no sin fricciones para la conformación y coexistencia de diversas configura- ciones familiares en el interior de los hogares con y sin migración </w:t>
      </w:r>
      <w:r>
        <w:rPr>
          <w:color w:val="231F20"/>
          <w:spacing w:val="2"/>
          <w:w w:val="110"/>
        </w:rPr>
        <w:t>inter- </w:t>
      </w:r>
      <w:r>
        <w:rPr>
          <w:color w:val="231F20"/>
          <w:w w:val="110"/>
        </w:rPr>
        <w:t>nacional. Estas configuraciones se distinguen en varios aspectos, en algu- nos casos pujan por establecer cambios de organización internos en los hogares haciendo más igualitarios los roles entre hombres y mujeres, así como</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interior</w:t>
      </w:r>
      <w:r>
        <w:rPr>
          <w:color w:val="231F20"/>
          <w:spacing w:val="-7"/>
          <w:w w:val="110"/>
        </w:rPr>
        <w:t> </w:t>
      </w:r>
      <w:r>
        <w:rPr>
          <w:color w:val="231F20"/>
          <w:w w:val="110"/>
        </w:rPr>
        <w:t>al</w:t>
      </w:r>
      <w:r>
        <w:rPr>
          <w:color w:val="231F20"/>
          <w:spacing w:val="-7"/>
          <w:w w:val="110"/>
        </w:rPr>
        <w:t> </w:t>
      </w:r>
      <w:r>
        <w:rPr>
          <w:color w:val="231F20"/>
          <w:w w:val="110"/>
        </w:rPr>
        <w:t>buscar</w:t>
      </w:r>
      <w:r>
        <w:rPr>
          <w:color w:val="231F20"/>
          <w:spacing w:val="-7"/>
          <w:w w:val="110"/>
        </w:rPr>
        <w:t> </w:t>
      </w:r>
      <w:r>
        <w:rPr>
          <w:color w:val="231F20"/>
          <w:w w:val="110"/>
        </w:rPr>
        <w:t>el</w:t>
      </w:r>
      <w:r>
        <w:rPr>
          <w:color w:val="231F20"/>
          <w:spacing w:val="-7"/>
          <w:w w:val="110"/>
        </w:rPr>
        <w:t> </w:t>
      </w:r>
      <w:r>
        <w:rPr>
          <w:color w:val="231F20"/>
          <w:w w:val="110"/>
        </w:rPr>
        <w:t>respeto</w:t>
      </w:r>
      <w:r>
        <w:rPr>
          <w:color w:val="231F20"/>
          <w:spacing w:val="-7"/>
          <w:w w:val="110"/>
        </w:rPr>
        <w:t> </w:t>
      </w:r>
      <w:r>
        <w:rPr>
          <w:color w:val="231F20"/>
          <w:w w:val="110"/>
        </w:rPr>
        <w:t>a</w:t>
      </w:r>
      <w:r>
        <w:rPr>
          <w:color w:val="231F20"/>
          <w:spacing w:val="-7"/>
          <w:w w:val="110"/>
        </w:rPr>
        <w:t> </w:t>
      </w:r>
      <w:r>
        <w:rPr>
          <w:color w:val="231F20"/>
          <w:w w:val="110"/>
        </w:rPr>
        <w:t>las</w:t>
      </w:r>
      <w:r>
        <w:rPr>
          <w:color w:val="231F20"/>
          <w:spacing w:val="-7"/>
          <w:w w:val="110"/>
        </w:rPr>
        <w:t> </w:t>
      </w:r>
      <w:r>
        <w:rPr>
          <w:color w:val="231F20"/>
          <w:w w:val="110"/>
        </w:rPr>
        <w:t>relaciones</w:t>
      </w:r>
      <w:r>
        <w:rPr>
          <w:color w:val="231F20"/>
          <w:spacing w:val="-7"/>
          <w:w w:val="110"/>
        </w:rPr>
        <w:t> </w:t>
      </w:r>
      <w:r>
        <w:rPr>
          <w:color w:val="231F20"/>
          <w:w w:val="110"/>
        </w:rPr>
        <w:t>sociales,</w:t>
      </w:r>
      <w:r>
        <w:rPr>
          <w:color w:val="231F20"/>
          <w:spacing w:val="-7"/>
          <w:w w:val="110"/>
        </w:rPr>
        <w:t> </w:t>
      </w:r>
      <w:r>
        <w:rPr>
          <w:color w:val="231F20"/>
          <w:w w:val="110"/>
        </w:rPr>
        <w:t>laborales</w:t>
      </w:r>
      <w:r>
        <w:rPr>
          <w:color w:val="231F20"/>
          <w:spacing w:val="-7"/>
          <w:w w:val="110"/>
        </w:rPr>
        <w:t> </w:t>
      </w:r>
      <w:r>
        <w:rPr>
          <w:color w:val="231F20"/>
          <w:w w:val="110"/>
        </w:rPr>
        <w:t>y familiares de las mujeres sin la sombra de los maridos, padres o suegros; sobre</w:t>
      </w:r>
      <w:r>
        <w:rPr>
          <w:color w:val="231F20"/>
          <w:spacing w:val="-22"/>
          <w:w w:val="110"/>
        </w:rPr>
        <w:t> </w:t>
      </w:r>
      <w:r>
        <w:rPr>
          <w:color w:val="231F20"/>
          <w:w w:val="110"/>
        </w:rPr>
        <w:t>todo</w:t>
      </w:r>
      <w:r>
        <w:rPr>
          <w:color w:val="231F20"/>
          <w:spacing w:val="-22"/>
          <w:w w:val="110"/>
        </w:rPr>
        <w:t> </w:t>
      </w:r>
      <w:r>
        <w:rPr>
          <w:color w:val="231F20"/>
          <w:w w:val="110"/>
        </w:rPr>
        <w:t>en</w:t>
      </w:r>
      <w:r>
        <w:rPr>
          <w:color w:val="231F20"/>
          <w:spacing w:val="-22"/>
          <w:w w:val="110"/>
        </w:rPr>
        <w:t> </w:t>
      </w:r>
      <w:r>
        <w:rPr>
          <w:color w:val="231F20"/>
          <w:w w:val="110"/>
        </w:rPr>
        <w:t>las</w:t>
      </w:r>
      <w:r>
        <w:rPr>
          <w:color w:val="231F20"/>
          <w:spacing w:val="-22"/>
          <w:w w:val="110"/>
        </w:rPr>
        <w:t> </w:t>
      </w:r>
      <w:r>
        <w:rPr>
          <w:color w:val="231F20"/>
          <w:w w:val="110"/>
        </w:rPr>
        <w:t>mujeres</w:t>
      </w:r>
      <w:r>
        <w:rPr>
          <w:color w:val="231F20"/>
          <w:spacing w:val="-22"/>
          <w:w w:val="110"/>
        </w:rPr>
        <w:t> </w:t>
      </w:r>
      <w:r>
        <w:rPr>
          <w:color w:val="231F20"/>
          <w:w w:val="110"/>
        </w:rPr>
        <w:t>que</w:t>
      </w:r>
      <w:r>
        <w:rPr>
          <w:color w:val="231F20"/>
          <w:spacing w:val="-22"/>
          <w:w w:val="110"/>
        </w:rPr>
        <w:t> </w:t>
      </w:r>
      <w:r>
        <w:rPr>
          <w:color w:val="231F20"/>
          <w:w w:val="110"/>
        </w:rPr>
        <w:t>ya</w:t>
      </w:r>
      <w:r>
        <w:rPr>
          <w:color w:val="231F20"/>
          <w:spacing w:val="-22"/>
          <w:w w:val="110"/>
        </w:rPr>
        <w:t> </w:t>
      </w:r>
      <w:r>
        <w:rPr>
          <w:color w:val="231F20"/>
          <w:w w:val="110"/>
        </w:rPr>
        <w:t>tienen</w:t>
      </w:r>
      <w:r>
        <w:rPr>
          <w:color w:val="231F20"/>
          <w:spacing w:val="-22"/>
          <w:w w:val="110"/>
        </w:rPr>
        <w:t> </w:t>
      </w:r>
      <w:r>
        <w:rPr>
          <w:color w:val="231F20"/>
          <w:spacing w:val="-3"/>
          <w:w w:val="110"/>
        </w:rPr>
        <w:t>experiencia</w:t>
      </w:r>
      <w:r>
        <w:rPr>
          <w:color w:val="231F20"/>
          <w:spacing w:val="-22"/>
          <w:w w:val="110"/>
        </w:rPr>
        <w:t> </w:t>
      </w:r>
      <w:r>
        <w:rPr>
          <w:color w:val="231F20"/>
          <w:w w:val="110"/>
        </w:rPr>
        <w:t>migratoria</w:t>
      </w:r>
      <w:r>
        <w:rPr>
          <w:color w:val="231F20"/>
          <w:spacing w:val="-22"/>
          <w:w w:val="110"/>
        </w:rPr>
        <w:t> </w:t>
      </w:r>
      <w:r>
        <w:rPr>
          <w:color w:val="231F20"/>
          <w:w w:val="110"/>
        </w:rPr>
        <w:t>internacional y que cuentan con otras vivencias. Mientras que en otras configuraciones, sobre todo en las mujeres de mayor edad y sin experiencia migrante, es la propia mujer quien asume los roles tradicionales en el hogar y contribuye a su transmisión y</w:t>
      </w:r>
      <w:r>
        <w:rPr>
          <w:color w:val="231F20"/>
          <w:spacing w:val="27"/>
          <w:w w:val="110"/>
        </w:rPr>
        <w:t> </w:t>
      </w:r>
      <w:r>
        <w:rPr>
          <w:color w:val="231F20"/>
          <w:w w:val="110"/>
        </w:rPr>
        <w:t>sostenibilidad.</w:t>
      </w:r>
    </w:p>
    <w:p>
      <w:pPr>
        <w:pStyle w:val="BodyText"/>
        <w:spacing w:line="283" w:lineRule="auto"/>
        <w:ind w:left="124" w:right="112" w:firstLine="360"/>
        <w:jc w:val="both"/>
      </w:pPr>
      <w:r>
        <w:rPr>
          <w:color w:val="231F20"/>
          <w:spacing w:val="-11"/>
          <w:w w:val="110"/>
        </w:rPr>
        <w:t>Ya </w:t>
      </w:r>
      <w:r>
        <w:rPr>
          <w:color w:val="231F20"/>
          <w:w w:val="110"/>
        </w:rPr>
        <w:t>con la migración internacional establecida y sostenida en esta re- gión, los hogares, además de contar con remesas, tienen nuevas formas e incentivos para decidir los gastos, las propiedades por adquirir y los pose- sionarios de los activos; ya las cuestiones agrícolas no son la única preo- cupación y destino de los recursos. Se advierte una valoración de aspectos que antaño no eran importantes como el impulso a la educación de las </w:t>
      </w:r>
      <w:r>
        <w:rPr>
          <w:color w:val="231F20"/>
          <w:spacing w:val="-4"/>
          <w:w w:val="110"/>
        </w:rPr>
        <w:t>niñas, </w:t>
      </w:r>
      <w:r>
        <w:rPr>
          <w:color w:val="231F20"/>
          <w:w w:val="110"/>
        </w:rPr>
        <w:t>la </w:t>
      </w:r>
      <w:r>
        <w:rPr>
          <w:color w:val="231F20"/>
          <w:spacing w:val="-4"/>
          <w:w w:val="110"/>
        </w:rPr>
        <w:t>alimentación, </w:t>
      </w:r>
      <w:r>
        <w:rPr>
          <w:color w:val="231F20"/>
          <w:w w:val="110"/>
        </w:rPr>
        <w:t>la </w:t>
      </w:r>
      <w:r>
        <w:rPr>
          <w:color w:val="231F20"/>
          <w:spacing w:val="-4"/>
          <w:w w:val="110"/>
        </w:rPr>
        <w:t>salud, </w:t>
      </w:r>
      <w:r>
        <w:rPr>
          <w:color w:val="231F20"/>
          <w:w w:val="110"/>
        </w:rPr>
        <w:t>la </w:t>
      </w:r>
      <w:r>
        <w:rPr>
          <w:color w:val="231F20"/>
          <w:spacing w:val="-4"/>
          <w:w w:val="110"/>
        </w:rPr>
        <w:t>incorporación </w:t>
      </w:r>
      <w:r>
        <w:rPr>
          <w:color w:val="231F20"/>
          <w:w w:val="110"/>
        </w:rPr>
        <w:t>de </w:t>
      </w:r>
      <w:r>
        <w:rPr>
          <w:color w:val="231F20"/>
          <w:spacing w:val="-4"/>
          <w:w w:val="110"/>
        </w:rPr>
        <w:t>hábitos </w:t>
      </w:r>
      <w:r>
        <w:rPr>
          <w:color w:val="231F20"/>
          <w:w w:val="110"/>
        </w:rPr>
        <w:t>en </w:t>
      </w:r>
      <w:r>
        <w:rPr>
          <w:color w:val="231F20"/>
          <w:spacing w:val="-3"/>
          <w:w w:val="110"/>
        </w:rPr>
        <w:t>los </w:t>
      </w:r>
      <w:r>
        <w:rPr>
          <w:color w:val="231F20"/>
          <w:spacing w:val="-4"/>
          <w:w w:val="110"/>
        </w:rPr>
        <w:t>hijos </w:t>
      </w:r>
      <w:r>
        <w:rPr>
          <w:color w:val="231F20"/>
          <w:spacing w:val="-3"/>
          <w:w w:val="110"/>
        </w:rPr>
        <w:t>como </w:t>
      </w:r>
      <w:r>
        <w:rPr>
          <w:color w:val="231F20"/>
          <w:w w:val="110"/>
        </w:rPr>
        <w:t>la limpieza, no tirar basura en la calle, el respeto a los demás. También en algunos hogares se aprecia la incorporación de hijos nacidos en la Unión</w:t>
      </w:r>
    </w:p>
    <w:p>
      <w:pPr>
        <w:spacing w:after="0" w:line="283" w:lineRule="auto"/>
        <w:jc w:val="both"/>
        <w:sectPr>
          <w:pgSz w:w="9520" w:h="12920"/>
          <w:pgMar w:header="0" w:footer="1344" w:top="880" w:bottom="1540" w:left="1320" w:right="1000"/>
        </w:sectPr>
      </w:pPr>
    </w:p>
    <w:p>
      <w:pPr>
        <w:pStyle w:val="BodyText"/>
        <w:spacing w:line="285" w:lineRule="auto" w:before="42"/>
        <w:ind w:left="120" w:right="117"/>
        <w:jc w:val="both"/>
      </w:pPr>
      <w:r>
        <w:rPr>
          <w:color w:val="231F20"/>
          <w:w w:val="110"/>
        </w:rPr>
        <w:t>Americana, la convivencia entre hermanos y medios hermanos; algunos hablantes de español e inglés y otros solamente el inglés, unos con carac- terísticas morfológicas distintas, como el color de la piel, el pelo, la altura, entre otras marcas de diferenciación y sobre todo de hábitos  personales.</w:t>
      </w:r>
    </w:p>
    <w:p>
      <w:pPr>
        <w:pStyle w:val="BodyText"/>
        <w:spacing w:line="285" w:lineRule="auto" w:before="1"/>
        <w:ind w:left="120" w:right="116" w:firstLine="360"/>
        <w:jc w:val="both"/>
      </w:pPr>
      <w:r>
        <w:rPr>
          <w:color w:val="231F20"/>
          <w:w w:val="110"/>
        </w:rPr>
        <w:t>La creciente migración de las mujeres muestra aspectos de la natura- leza humana; éstas, a pesar de las restricciones domésticas, comunales y de género de origen que les reducían sus posibilidades de </w:t>
      </w:r>
      <w:r>
        <w:rPr>
          <w:color w:val="231F20"/>
          <w:spacing w:val="-3"/>
          <w:w w:val="110"/>
        </w:rPr>
        <w:t>emigrar, </w:t>
      </w:r>
      <w:r>
        <w:rPr>
          <w:color w:val="231F20"/>
          <w:w w:val="110"/>
        </w:rPr>
        <w:t>apoyar a sus hogares y su persona, dentro de ese pequeño margen de maniobra pudieron construir redes de apoyo femenino, ampliaron sus capacidades al desenvolverse en dos países, en ambientes hostiles; aunque en esto confluyeron fuerzas externas como la necesidad de los hogares de diversi- ficar sus acciones generadoras de ingreso más allá del ámbito agrícola, no deja de ser un beneficio. Esto mismo ha provocado cambios en algunas dimensiones de sus relaciones familiares, en sus dinámicas internas y en </w:t>
      </w:r>
      <w:r>
        <w:rPr>
          <w:color w:val="231F20"/>
          <w:spacing w:val="-3"/>
          <w:w w:val="110"/>
        </w:rPr>
        <w:t>las </w:t>
      </w:r>
      <w:r>
        <w:rPr>
          <w:color w:val="231F20"/>
          <w:spacing w:val="-4"/>
          <w:w w:val="110"/>
        </w:rPr>
        <w:t>comunidades, </w:t>
      </w:r>
      <w:r>
        <w:rPr>
          <w:color w:val="231F20"/>
          <w:spacing w:val="-3"/>
          <w:w w:val="110"/>
        </w:rPr>
        <w:t>como </w:t>
      </w:r>
      <w:r>
        <w:rPr>
          <w:color w:val="231F20"/>
          <w:w w:val="110"/>
        </w:rPr>
        <w:t>el </w:t>
      </w:r>
      <w:r>
        <w:rPr>
          <w:color w:val="231F20"/>
          <w:spacing w:val="-4"/>
          <w:w w:val="110"/>
        </w:rPr>
        <w:t>hecho mismo </w:t>
      </w:r>
      <w:r>
        <w:rPr>
          <w:color w:val="231F20"/>
          <w:w w:val="110"/>
        </w:rPr>
        <w:t>de </w:t>
      </w:r>
      <w:r>
        <w:rPr>
          <w:color w:val="231F20"/>
          <w:spacing w:val="-4"/>
          <w:w w:val="110"/>
        </w:rPr>
        <w:t>mejorar </w:t>
      </w:r>
      <w:r>
        <w:rPr>
          <w:color w:val="231F20"/>
          <w:spacing w:val="-3"/>
          <w:w w:val="110"/>
        </w:rPr>
        <w:t>las </w:t>
      </w:r>
      <w:r>
        <w:rPr>
          <w:color w:val="231F20"/>
          <w:spacing w:val="-4"/>
          <w:w w:val="110"/>
        </w:rPr>
        <w:t>relaciones </w:t>
      </w:r>
      <w:r>
        <w:rPr>
          <w:color w:val="231F20"/>
          <w:w w:val="110"/>
        </w:rPr>
        <w:t>de </w:t>
      </w:r>
      <w:r>
        <w:rPr>
          <w:color w:val="231F20"/>
          <w:spacing w:val="-4"/>
          <w:w w:val="110"/>
        </w:rPr>
        <w:t>género, socialmente ganarse </w:t>
      </w:r>
      <w:r>
        <w:rPr>
          <w:color w:val="231F20"/>
          <w:w w:val="110"/>
        </w:rPr>
        <w:t>la </w:t>
      </w:r>
      <w:r>
        <w:rPr>
          <w:color w:val="231F20"/>
          <w:spacing w:val="-4"/>
          <w:w w:val="110"/>
        </w:rPr>
        <w:t>aceptación </w:t>
      </w:r>
      <w:r>
        <w:rPr>
          <w:color w:val="231F20"/>
          <w:w w:val="110"/>
        </w:rPr>
        <w:t>de </w:t>
      </w:r>
      <w:r>
        <w:rPr>
          <w:color w:val="231F20"/>
          <w:spacing w:val="-4"/>
          <w:w w:val="110"/>
        </w:rPr>
        <w:t>verlas </w:t>
      </w:r>
      <w:r>
        <w:rPr>
          <w:color w:val="231F20"/>
          <w:spacing w:val="-3"/>
          <w:w w:val="110"/>
        </w:rPr>
        <w:t>como </w:t>
      </w:r>
      <w:r>
        <w:rPr>
          <w:color w:val="231F20"/>
          <w:spacing w:val="-4"/>
          <w:w w:val="110"/>
        </w:rPr>
        <w:t>migrantes independientes, </w:t>
      </w:r>
      <w:r>
        <w:rPr>
          <w:color w:val="231F20"/>
          <w:w w:val="110"/>
        </w:rPr>
        <w:t>como proveedoras de sus hogares; en el sector de las jóvenes casaderas se aprecia un impulso fuerte por obtener acceso a la migración para obtener una</w:t>
      </w:r>
      <w:r>
        <w:rPr>
          <w:color w:val="231F20"/>
          <w:spacing w:val="-8"/>
          <w:w w:val="110"/>
        </w:rPr>
        <w:t> </w:t>
      </w:r>
      <w:r>
        <w:rPr>
          <w:color w:val="231F20"/>
          <w:w w:val="110"/>
        </w:rPr>
        <w:t>relación</w:t>
      </w:r>
      <w:r>
        <w:rPr>
          <w:color w:val="231F20"/>
          <w:spacing w:val="-8"/>
          <w:w w:val="110"/>
        </w:rPr>
        <w:t> </w:t>
      </w:r>
      <w:r>
        <w:rPr>
          <w:color w:val="231F20"/>
          <w:w w:val="110"/>
        </w:rPr>
        <w:t>más</w:t>
      </w:r>
      <w:r>
        <w:rPr>
          <w:color w:val="231F20"/>
          <w:spacing w:val="-8"/>
          <w:w w:val="110"/>
        </w:rPr>
        <w:t> </w:t>
      </w:r>
      <w:r>
        <w:rPr>
          <w:color w:val="231F20"/>
          <w:w w:val="110"/>
        </w:rPr>
        <w:t>igualitaria</w:t>
      </w:r>
      <w:r>
        <w:rPr>
          <w:color w:val="231F20"/>
          <w:spacing w:val="-8"/>
          <w:w w:val="110"/>
        </w:rPr>
        <w:t> </w:t>
      </w:r>
      <w:r>
        <w:rPr>
          <w:color w:val="231F20"/>
          <w:w w:val="110"/>
        </w:rPr>
        <w:t>y</w:t>
      </w:r>
      <w:r>
        <w:rPr>
          <w:color w:val="231F20"/>
          <w:spacing w:val="-8"/>
          <w:w w:val="110"/>
        </w:rPr>
        <w:t> </w:t>
      </w:r>
      <w:r>
        <w:rPr>
          <w:color w:val="231F20"/>
          <w:w w:val="110"/>
        </w:rPr>
        <w:t>tener</w:t>
      </w:r>
      <w:r>
        <w:rPr>
          <w:color w:val="231F20"/>
          <w:spacing w:val="-8"/>
          <w:w w:val="110"/>
        </w:rPr>
        <w:t> </w:t>
      </w:r>
      <w:r>
        <w:rPr>
          <w:color w:val="231F20"/>
          <w:w w:val="110"/>
        </w:rPr>
        <w:t>acceso</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formación</w:t>
      </w:r>
      <w:r>
        <w:rPr>
          <w:color w:val="231F20"/>
          <w:spacing w:val="-8"/>
          <w:w w:val="110"/>
        </w:rPr>
        <w:t> </w:t>
      </w:r>
      <w:r>
        <w:rPr>
          <w:color w:val="231F20"/>
          <w:w w:val="110"/>
        </w:rPr>
        <w:t>de</w:t>
      </w:r>
      <w:r>
        <w:rPr>
          <w:color w:val="231F20"/>
          <w:spacing w:val="-8"/>
          <w:w w:val="110"/>
        </w:rPr>
        <w:t> </w:t>
      </w:r>
      <w:r>
        <w:rPr>
          <w:color w:val="231F20"/>
          <w:w w:val="110"/>
        </w:rPr>
        <w:t>un</w:t>
      </w:r>
      <w:r>
        <w:rPr>
          <w:color w:val="231F20"/>
          <w:spacing w:val="-8"/>
          <w:w w:val="110"/>
        </w:rPr>
        <w:t> </w:t>
      </w:r>
      <w:r>
        <w:rPr>
          <w:color w:val="231F20"/>
          <w:w w:val="110"/>
        </w:rPr>
        <w:t>patrimonio compartido e independiente a la</w:t>
      </w:r>
      <w:r>
        <w:rPr>
          <w:color w:val="231F20"/>
          <w:spacing w:val="7"/>
          <w:w w:val="110"/>
        </w:rPr>
        <w:t> </w:t>
      </w:r>
      <w:r>
        <w:rPr>
          <w:color w:val="231F20"/>
          <w:w w:val="110"/>
        </w:rPr>
        <w:t>vez.</w:t>
      </w:r>
    </w:p>
    <w:p>
      <w:pPr>
        <w:pStyle w:val="BodyText"/>
        <w:spacing w:line="285" w:lineRule="auto" w:before="1"/>
        <w:ind w:left="119" w:right="117" w:firstLine="360"/>
        <w:jc w:val="both"/>
      </w:pPr>
      <w:r>
        <w:rPr>
          <w:color w:val="231F20"/>
          <w:w w:val="110"/>
        </w:rPr>
        <w:t>Aunque a pesar de la fuerza que suele caracterizar a la migración, al poder que tiene para transformar relaciones cotidianas e impregnar de nuevas ideas a los lugares que toca, la región también exhibe permanen- cias.</w:t>
      </w:r>
      <w:r>
        <w:rPr>
          <w:color w:val="231F20"/>
          <w:spacing w:val="-15"/>
          <w:w w:val="110"/>
        </w:rPr>
        <w:t> </w:t>
      </w:r>
      <w:r>
        <w:rPr>
          <w:color w:val="231F20"/>
          <w:w w:val="110"/>
        </w:rPr>
        <w:t>Los</w:t>
      </w:r>
      <w:r>
        <w:rPr>
          <w:color w:val="231F20"/>
          <w:spacing w:val="-15"/>
          <w:w w:val="110"/>
        </w:rPr>
        <w:t> </w:t>
      </w:r>
      <w:r>
        <w:rPr>
          <w:color w:val="231F20"/>
          <w:w w:val="110"/>
        </w:rPr>
        <w:t>migrantes</w:t>
      </w:r>
      <w:r>
        <w:rPr>
          <w:color w:val="231F20"/>
          <w:spacing w:val="-15"/>
          <w:w w:val="110"/>
        </w:rPr>
        <w:t> </w:t>
      </w:r>
      <w:r>
        <w:rPr>
          <w:color w:val="231F20"/>
          <w:w w:val="110"/>
        </w:rPr>
        <w:t>nuevos</w:t>
      </w:r>
      <w:r>
        <w:rPr>
          <w:color w:val="231F20"/>
          <w:spacing w:val="-15"/>
          <w:w w:val="110"/>
        </w:rPr>
        <w:t> </w:t>
      </w:r>
      <w:r>
        <w:rPr>
          <w:color w:val="231F20"/>
          <w:w w:val="110"/>
        </w:rPr>
        <w:t>y</w:t>
      </w:r>
      <w:r>
        <w:rPr>
          <w:color w:val="231F20"/>
          <w:spacing w:val="-15"/>
          <w:w w:val="110"/>
        </w:rPr>
        <w:t> </w:t>
      </w:r>
      <w:r>
        <w:rPr>
          <w:color w:val="231F20"/>
          <w:w w:val="110"/>
        </w:rPr>
        <w:t>recurrentes</w:t>
      </w:r>
      <w:r>
        <w:rPr>
          <w:color w:val="231F20"/>
          <w:spacing w:val="-15"/>
          <w:w w:val="110"/>
        </w:rPr>
        <w:t> </w:t>
      </w:r>
      <w:r>
        <w:rPr>
          <w:color w:val="231F20"/>
          <w:w w:val="110"/>
        </w:rPr>
        <w:t>siguen</w:t>
      </w:r>
      <w:r>
        <w:rPr>
          <w:color w:val="231F20"/>
          <w:spacing w:val="-15"/>
          <w:w w:val="110"/>
        </w:rPr>
        <w:t> </w:t>
      </w:r>
      <w:r>
        <w:rPr>
          <w:color w:val="231F20"/>
          <w:w w:val="110"/>
        </w:rPr>
        <w:t>saliendo</w:t>
      </w:r>
      <w:r>
        <w:rPr>
          <w:color w:val="231F20"/>
          <w:spacing w:val="-15"/>
          <w:w w:val="110"/>
        </w:rPr>
        <w:t> </w:t>
      </w:r>
      <w:r>
        <w:rPr>
          <w:color w:val="231F20"/>
          <w:w w:val="110"/>
        </w:rPr>
        <w:t>mayoritariamente por necesidad económica y buscando oportunidades de mejorar sus for- mas de vida, las mujeres preponderantemente mayores de edad que viven en pareja, siguen apegadas a las formas tradicionales de verse como acto- ras del espacio reproductivo del</w:t>
      </w:r>
      <w:r>
        <w:rPr>
          <w:color w:val="231F20"/>
          <w:spacing w:val="24"/>
          <w:w w:val="110"/>
        </w:rPr>
        <w:t> </w:t>
      </w:r>
      <w:r>
        <w:rPr>
          <w:color w:val="231F20"/>
          <w:spacing w:val="-3"/>
          <w:w w:val="110"/>
        </w:rPr>
        <w:t>hogar.</w:t>
      </w:r>
    </w:p>
    <w:p>
      <w:pPr>
        <w:pStyle w:val="BodyText"/>
      </w:pPr>
    </w:p>
    <w:p>
      <w:pPr>
        <w:pStyle w:val="BodyText"/>
        <w:spacing w:before="11"/>
        <w:rPr>
          <w:sz w:val="24"/>
        </w:rPr>
      </w:pPr>
    </w:p>
    <w:p>
      <w:pPr>
        <w:spacing w:before="0"/>
        <w:ind w:left="120" w:right="0" w:firstLine="0"/>
        <w:jc w:val="both"/>
        <w:rPr>
          <w:rFonts w:ascii="Times New Roman"/>
          <w:i/>
          <w:sz w:val="19"/>
        </w:rPr>
      </w:pPr>
      <w:r>
        <w:rPr>
          <w:rFonts w:ascii="Times New Roman"/>
          <w:i/>
          <w:color w:val="231F20"/>
          <w:w w:val="95"/>
          <w:sz w:val="24"/>
        </w:rPr>
        <w:t>F</w:t>
      </w:r>
      <w:r>
        <w:rPr>
          <w:rFonts w:ascii="Times New Roman"/>
          <w:i/>
          <w:color w:val="231F20"/>
          <w:w w:val="95"/>
          <w:sz w:val="19"/>
        </w:rPr>
        <w:t>UENTES CONSULTADAS</w:t>
      </w:r>
    </w:p>
    <w:p>
      <w:pPr>
        <w:pStyle w:val="BodyText"/>
        <w:spacing w:before="6"/>
        <w:rPr>
          <w:rFonts w:ascii="Times New Roman"/>
          <w:i/>
          <w:sz w:val="25"/>
        </w:rPr>
      </w:pPr>
    </w:p>
    <w:p>
      <w:pPr>
        <w:spacing w:line="264" w:lineRule="auto" w:before="0"/>
        <w:ind w:left="480" w:right="119" w:hanging="360"/>
        <w:jc w:val="both"/>
        <w:rPr>
          <w:sz w:val="19"/>
        </w:rPr>
      </w:pPr>
      <w:r>
        <w:rPr>
          <w:color w:val="231F20"/>
          <w:w w:val="105"/>
          <w:sz w:val="19"/>
        </w:rPr>
        <w:t>Amnistía Internacional (</w:t>
      </w:r>
      <w:r>
        <w:rPr>
          <w:rFonts w:ascii="Times New Roman" w:hAnsi="Times New Roman"/>
          <w:color w:val="231F20"/>
          <w:w w:val="105"/>
          <w:sz w:val="15"/>
        </w:rPr>
        <w:t>AI</w:t>
      </w:r>
      <w:r>
        <w:rPr>
          <w:color w:val="231F20"/>
          <w:w w:val="105"/>
          <w:sz w:val="19"/>
        </w:rPr>
        <w:t>) (2006), </w:t>
      </w:r>
      <w:r>
        <w:rPr>
          <w:i/>
          <w:color w:val="231F20"/>
          <w:w w:val="105"/>
          <w:sz w:val="19"/>
        </w:rPr>
        <w:t>Vivir en las sombras. Una introducción a los </w:t>
      </w:r>
      <w:r>
        <w:rPr>
          <w:i/>
          <w:color w:val="231F20"/>
          <w:w w:val="105"/>
          <w:sz w:val="19"/>
        </w:rPr>
        <w:t>derechos humanos de las personas migrantes</w:t>
      </w:r>
      <w:r>
        <w:rPr>
          <w:color w:val="231F20"/>
          <w:w w:val="105"/>
          <w:sz w:val="19"/>
        </w:rPr>
        <w:t>,  Madrid,    </w:t>
      </w:r>
      <w:r>
        <w:rPr>
          <w:rFonts w:ascii="Times New Roman" w:hAnsi="Times New Roman"/>
          <w:color w:val="231F20"/>
          <w:w w:val="105"/>
          <w:sz w:val="15"/>
        </w:rPr>
        <w:t>AI</w:t>
      </w:r>
      <w:r>
        <w:rPr>
          <w:color w:val="231F20"/>
          <w:w w:val="105"/>
          <w:sz w:val="19"/>
        </w:rPr>
        <w:t>.</w:t>
      </w:r>
    </w:p>
    <w:p>
      <w:pPr>
        <w:spacing w:line="266" w:lineRule="auto" w:before="3"/>
        <w:ind w:left="480" w:right="119" w:hanging="360"/>
        <w:jc w:val="both"/>
        <w:rPr>
          <w:sz w:val="19"/>
        </w:rPr>
      </w:pPr>
      <w:r>
        <w:rPr>
          <w:rFonts w:ascii="Times New Roman" w:hAnsi="Times New Roman"/>
          <w:color w:val="231F20"/>
          <w:w w:val="105"/>
          <w:sz w:val="19"/>
        </w:rPr>
        <w:t>A</w:t>
      </w:r>
      <w:r>
        <w:rPr>
          <w:rFonts w:ascii="Times New Roman" w:hAnsi="Times New Roman"/>
          <w:color w:val="231F20"/>
          <w:w w:val="105"/>
          <w:sz w:val="15"/>
        </w:rPr>
        <w:t>RIAS</w:t>
      </w:r>
      <w:r>
        <w:rPr>
          <w:rFonts w:ascii="Times New Roman" w:hAnsi="Times New Roman"/>
          <w:color w:val="231F20"/>
          <w:w w:val="105"/>
          <w:sz w:val="19"/>
        </w:rPr>
        <w:t>, </w:t>
      </w:r>
      <w:r>
        <w:rPr>
          <w:color w:val="231F20"/>
          <w:w w:val="105"/>
          <w:sz w:val="19"/>
        </w:rPr>
        <w:t>Patricia (2009), “La pluriactividad rural a debate”, en Hubert de Gram- mont y Luciano Martínez (comps.), </w:t>
      </w:r>
      <w:r>
        <w:rPr>
          <w:i/>
          <w:color w:val="231F20"/>
          <w:w w:val="105"/>
          <w:sz w:val="19"/>
        </w:rPr>
        <w:t>La pluriactividad en el campo latinoame- </w:t>
      </w:r>
      <w:r>
        <w:rPr>
          <w:i/>
          <w:color w:val="231F20"/>
          <w:w w:val="105"/>
          <w:sz w:val="19"/>
        </w:rPr>
        <w:t>ricano</w:t>
      </w:r>
      <w:r>
        <w:rPr>
          <w:color w:val="231F20"/>
          <w:w w:val="105"/>
          <w:sz w:val="19"/>
        </w:rPr>
        <w:t>,  Quito,  Flacso.</w:t>
      </w:r>
    </w:p>
    <w:p>
      <w:pPr>
        <w:spacing w:after="0" w:line="266" w:lineRule="auto"/>
        <w:jc w:val="both"/>
        <w:rPr>
          <w:sz w:val="19"/>
        </w:rPr>
        <w:sectPr>
          <w:pgSz w:w="9520" w:h="12920"/>
          <w:pgMar w:header="0" w:footer="1344" w:top="880" w:bottom="1540" w:left="1000" w:right="1320"/>
        </w:sectPr>
      </w:pPr>
    </w:p>
    <w:p>
      <w:pPr>
        <w:spacing w:line="273" w:lineRule="auto" w:before="44"/>
        <w:ind w:left="484" w:right="110" w:hanging="360"/>
        <w:jc w:val="both"/>
        <w:rPr>
          <w:sz w:val="19"/>
        </w:rPr>
      </w:pPr>
      <w:r>
        <w:rPr>
          <w:rFonts w:ascii="Times New Roman" w:hAnsi="Times New Roman"/>
          <w:color w:val="231F20"/>
          <w:spacing w:val="-4"/>
          <w:w w:val="110"/>
          <w:sz w:val="19"/>
        </w:rPr>
        <w:t>A</w:t>
      </w:r>
      <w:r>
        <w:rPr>
          <w:rFonts w:ascii="Times New Roman" w:hAnsi="Times New Roman"/>
          <w:color w:val="231F20"/>
          <w:spacing w:val="-4"/>
          <w:w w:val="110"/>
          <w:sz w:val="15"/>
        </w:rPr>
        <w:t>RIZA</w:t>
      </w:r>
      <w:r>
        <w:rPr>
          <w:rFonts w:ascii="Times New Roman" w:hAnsi="Times New Roman"/>
          <w:color w:val="231F20"/>
          <w:spacing w:val="-4"/>
          <w:w w:val="110"/>
          <w:sz w:val="19"/>
        </w:rPr>
        <w:t>,</w:t>
      </w:r>
      <w:r>
        <w:rPr>
          <w:rFonts w:ascii="Times New Roman" w:hAnsi="Times New Roman"/>
          <w:color w:val="231F20"/>
          <w:spacing w:val="-14"/>
          <w:w w:val="110"/>
          <w:sz w:val="19"/>
        </w:rPr>
        <w:t> </w:t>
      </w:r>
      <w:r>
        <w:rPr>
          <w:color w:val="231F20"/>
          <w:spacing w:val="-4"/>
          <w:w w:val="110"/>
          <w:sz w:val="19"/>
        </w:rPr>
        <w:t>Marina</w:t>
      </w:r>
      <w:r>
        <w:rPr>
          <w:color w:val="231F20"/>
          <w:spacing w:val="-8"/>
          <w:w w:val="110"/>
          <w:sz w:val="19"/>
        </w:rPr>
        <w:t> </w:t>
      </w:r>
      <w:r>
        <w:rPr>
          <w:color w:val="231F20"/>
          <w:spacing w:val="-4"/>
          <w:w w:val="110"/>
          <w:sz w:val="19"/>
        </w:rPr>
        <w:t>(2002),</w:t>
      </w:r>
      <w:r>
        <w:rPr>
          <w:color w:val="231F20"/>
          <w:spacing w:val="-8"/>
          <w:w w:val="110"/>
          <w:sz w:val="19"/>
        </w:rPr>
        <w:t> </w:t>
      </w:r>
      <w:r>
        <w:rPr>
          <w:color w:val="231F20"/>
          <w:spacing w:val="-4"/>
          <w:w w:val="110"/>
          <w:sz w:val="19"/>
        </w:rPr>
        <w:t>“Migración,</w:t>
      </w:r>
      <w:r>
        <w:rPr>
          <w:color w:val="231F20"/>
          <w:spacing w:val="-8"/>
          <w:w w:val="110"/>
          <w:sz w:val="19"/>
        </w:rPr>
        <w:t> </w:t>
      </w:r>
      <w:r>
        <w:rPr>
          <w:color w:val="231F20"/>
          <w:spacing w:val="-4"/>
          <w:w w:val="110"/>
          <w:sz w:val="19"/>
        </w:rPr>
        <w:t>familia</w:t>
      </w:r>
      <w:r>
        <w:rPr>
          <w:color w:val="231F20"/>
          <w:spacing w:val="-8"/>
          <w:w w:val="110"/>
          <w:sz w:val="19"/>
        </w:rPr>
        <w:t> </w:t>
      </w:r>
      <w:r>
        <w:rPr>
          <w:color w:val="231F20"/>
          <w:w w:val="110"/>
          <w:sz w:val="19"/>
        </w:rPr>
        <w:t>y</w:t>
      </w:r>
      <w:r>
        <w:rPr>
          <w:color w:val="231F20"/>
          <w:spacing w:val="-8"/>
          <w:w w:val="110"/>
          <w:sz w:val="19"/>
        </w:rPr>
        <w:t> </w:t>
      </w:r>
      <w:r>
        <w:rPr>
          <w:color w:val="231F20"/>
          <w:spacing w:val="-4"/>
          <w:w w:val="110"/>
          <w:sz w:val="19"/>
        </w:rPr>
        <w:t>transnacionalidad</w:t>
      </w:r>
      <w:r>
        <w:rPr>
          <w:color w:val="231F20"/>
          <w:spacing w:val="-8"/>
          <w:w w:val="110"/>
          <w:sz w:val="19"/>
        </w:rPr>
        <w:t> </w:t>
      </w:r>
      <w:r>
        <w:rPr>
          <w:color w:val="231F20"/>
          <w:w w:val="110"/>
          <w:sz w:val="19"/>
        </w:rPr>
        <w:t>en</w:t>
      </w:r>
      <w:r>
        <w:rPr>
          <w:color w:val="231F20"/>
          <w:spacing w:val="-8"/>
          <w:w w:val="110"/>
          <w:sz w:val="19"/>
        </w:rPr>
        <w:t> </w:t>
      </w:r>
      <w:r>
        <w:rPr>
          <w:color w:val="231F20"/>
          <w:w w:val="110"/>
          <w:sz w:val="19"/>
        </w:rPr>
        <w:t>el</w:t>
      </w:r>
      <w:r>
        <w:rPr>
          <w:color w:val="231F20"/>
          <w:spacing w:val="-8"/>
          <w:w w:val="110"/>
          <w:sz w:val="19"/>
        </w:rPr>
        <w:t> </w:t>
      </w:r>
      <w:r>
        <w:rPr>
          <w:color w:val="231F20"/>
          <w:spacing w:val="-4"/>
          <w:w w:val="110"/>
          <w:sz w:val="19"/>
        </w:rPr>
        <w:t>contexto</w:t>
      </w:r>
      <w:r>
        <w:rPr>
          <w:color w:val="231F20"/>
          <w:spacing w:val="-8"/>
          <w:w w:val="110"/>
          <w:sz w:val="19"/>
        </w:rPr>
        <w:t> </w:t>
      </w:r>
      <w:r>
        <w:rPr>
          <w:color w:val="231F20"/>
          <w:w w:val="110"/>
          <w:sz w:val="19"/>
        </w:rPr>
        <w:t>de</w:t>
      </w:r>
      <w:r>
        <w:rPr>
          <w:color w:val="231F20"/>
          <w:spacing w:val="-8"/>
          <w:w w:val="110"/>
          <w:sz w:val="19"/>
        </w:rPr>
        <w:t> </w:t>
      </w:r>
      <w:r>
        <w:rPr>
          <w:color w:val="231F20"/>
          <w:w w:val="110"/>
          <w:sz w:val="19"/>
        </w:rPr>
        <w:t>la globalización.</w:t>
      </w:r>
      <w:r>
        <w:rPr>
          <w:color w:val="231F20"/>
          <w:spacing w:val="-10"/>
          <w:w w:val="110"/>
          <w:sz w:val="19"/>
        </w:rPr>
        <w:t> </w:t>
      </w:r>
      <w:r>
        <w:rPr>
          <w:color w:val="231F20"/>
          <w:w w:val="110"/>
          <w:sz w:val="19"/>
        </w:rPr>
        <w:t>Algunos</w:t>
      </w:r>
      <w:r>
        <w:rPr>
          <w:color w:val="231F20"/>
          <w:spacing w:val="-10"/>
          <w:w w:val="110"/>
          <w:sz w:val="19"/>
        </w:rPr>
        <w:t> </w:t>
      </w:r>
      <w:r>
        <w:rPr>
          <w:color w:val="231F20"/>
          <w:w w:val="110"/>
          <w:sz w:val="19"/>
        </w:rPr>
        <w:t>puntos</w:t>
      </w:r>
      <w:r>
        <w:rPr>
          <w:color w:val="231F20"/>
          <w:spacing w:val="-10"/>
          <w:w w:val="110"/>
          <w:sz w:val="19"/>
        </w:rPr>
        <w:t> </w:t>
      </w:r>
      <w:r>
        <w:rPr>
          <w:color w:val="231F20"/>
          <w:w w:val="110"/>
          <w:sz w:val="19"/>
        </w:rPr>
        <w:t>de</w:t>
      </w:r>
      <w:r>
        <w:rPr>
          <w:color w:val="231F20"/>
          <w:spacing w:val="-10"/>
          <w:w w:val="110"/>
          <w:sz w:val="19"/>
        </w:rPr>
        <w:t> </w:t>
      </w:r>
      <w:r>
        <w:rPr>
          <w:color w:val="231F20"/>
          <w:w w:val="110"/>
          <w:sz w:val="19"/>
        </w:rPr>
        <w:t>reflexión”,</w:t>
      </w:r>
      <w:r>
        <w:rPr>
          <w:color w:val="231F20"/>
          <w:spacing w:val="-10"/>
          <w:w w:val="110"/>
          <w:sz w:val="19"/>
        </w:rPr>
        <w:t> </w:t>
      </w:r>
      <w:r>
        <w:rPr>
          <w:i/>
          <w:color w:val="231F20"/>
          <w:w w:val="110"/>
          <w:sz w:val="19"/>
        </w:rPr>
        <w:t>Revista</w:t>
      </w:r>
      <w:r>
        <w:rPr>
          <w:i/>
          <w:color w:val="231F20"/>
          <w:spacing w:val="-13"/>
          <w:w w:val="110"/>
          <w:sz w:val="19"/>
        </w:rPr>
        <w:t> </w:t>
      </w:r>
      <w:r>
        <w:rPr>
          <w:i/>
          <w:color w:val="231F20"/>
          <w:w w:val="110"/>
          <w:sz w:val="19"/>
        </w:rPr>
        <w:t>Mexicana</w:t>
      </w:r>
      <w:r>
        <w:rPr>
          <w:i/>
          <w:color w:val="231F20"/>
          <w:spacing w:val="-13"/>
          <w:w w:val="110"/>
          <w:sz w:val="19"/>
        </w:rPr>
        <w:t> </w:t>
      </w:r>
      <w:r>
        <w:rPr>
          <w:i/>
          <w:color w:val="231F20"/>
          <w:w w:val="110"/>
          <w:sz w:val="19"/>
        </w:rPr>
        <w:t>de</w:t>
      </w:r>
      <w:r>
        <w:rPr>
          <w:i/>
          <w:color w:val="231F20"/>
          <w:spacing w:val="-13"/>
          <w:w w:val="110"/>
          <w:sz w:val="19"/>
        </w:rPr>
        <w:t> </w:t>
      </w:r>
      <w:r>
        <w:rPr>
          <w:i/>
          <w:color w:val="231F20"/>
          <w:w w:val="110"/>
          <w:sz w:val="19"/>
        </w:rPr>
        <w:t>Sociología</w:t>
      </w:r>
      <w:r>
        <w:rPr>
          <w:color w:val="231F20"/>
          <w:w w:val="110"/>
          <w:sz w:val="19"/>
        </w:rPr>
        <w:t>, vol. 64, núm. 4, octubre-diciembre, México, Instituto de Investigaciones Sociales-</w:t>
      </w:r>
      <w:r>
        <w:rPr>
          <w:rFonts w:ascii="Times New Roman" w:hAnsi="Times New Roman"/>
          <w:color w:val="231F20"/>
          <w:w w:val="110"/>
          <w:sz w:val="15"/>
        </w:rPr>
        <w:t>UNAM</w:t>
      </w:r>
      <w:r>
        <w:rPr>
          <w:color w:val="231F20"/>
          <w:w w:val="110"/>
          <w:sz w:val="19"/>
        </w:rPr>
        <w:t>.</w:t>
      </w:r>
    </w:p>
    <w:p>
      <w:pPr>
        <w:spacing w:line="273" w:lineRule="auto" w:before="0"/>
        <w:ind w:left="120" w:right="112" w:firstLine="0"/>
        <w:jc w:val="right"/>
        <w:rPr>
          <w:i/>
          <w:sz w:val="19"/>
        </w:rPr>
      </w:pPr>
      <w:r>
        <w:rPr>
          <w:rFonts w:ascii="Times New Roman" w:hAnsi="Times New Roman"/>
          <w:color w:val="231F20"/>
          <w:w w:val="110"/>
          <w:sz w:val="19"/>
        </w:rPr>
        <w:t>B</w:t>
      </w:r>
      <w:r>
        <w:rPr>
          <w:rFonts w:ascii="Times New Roman" w:hAnsi="Times New Roman"/>
          <w:color w:val="231F20"/>
          <w:w w:val="110"/>
          <w:sz w:val="15"/>
        </w:rPr>
        <w:t>ACA</w:t>
      </w:r>
      <w:r>
        <w:rPr>
          <w:rFonts w:ascii="Times New Roman" w:hAnsi="Times New Roman"/>
          <w:color w:val="231F20"/>
          <w:w w:val="110"/>
          <w:sz w:val="19"/>
        </w:rPr>
        <w:t>,</w:t>
      </w:r>
      <w:r>
        <w:rPr>
          <w:rFonts w:ascii="Times New Roman" w:hAnsi="Times New Roman"/>
          <w:color w:val="231F20"/>
          <w:spacing w:val="20"/>
          <w:w w:val="110"/>
          <w:sz w:val="19"/>
        </w:rPr>
        <w:t> </w:t>
      </w:r>
      <w:r>
        <w:rPr>
          <w:color w:val="231F20"/>
          <w:w w:val="110"/>
          <w:sz w:val="19"/>
        </w:rPr>
        <w:t>Norma</w:t>
      </w:r>
      <w:r>
        <w:rPr>
          <w:color w:val="231F20"/>
          <w:spacing w:val="26"/>
          <w:w w:val="110"/>
          <w:sz w:val="19"/>
        </w:rPr>
        <w:t> </w:t>
      </w:r>
      <w:r>
        <w:rPr>
          <w:color w:val="231F20"/>
          <w:w w:val="110"/>
          <w:sz w:val="19"/>
        </w:rPr>
        <w:t>(2011),</w:t>
      </w:r>
      <w:r>
        <w:rPr>
          <w:color w:val="231F20"/>
          <w:spacing w:val="26"/>
          <w:w w:val="110"/>
          <w:sz w:val="19"/>
        </w:rPr>
        <w:t> </w:t>
      </w:r>
      <w:r>
        <w:rPr>
          <w:color w:val="231F20"/>
          <w:w w:val="110"/>
          <w:sz w:val="19"/>
        </w:rPr>
        <w:t>“</w:t>
      </w:r>
      <w:r>
        <w:rPr>
          <w:color w:val="231F20"/>
          <w:spacing w:val="-30"/>
          <w:w w:val="110"/>
          <w:sz w:val="19"/>
        </w:rPr>
        <w:t> </w:t>
      </w:r>
      <w:r>
        <w:rPr>
          <w:color w:val="231F20"/>
          <w:w w:val="110"/>
          <w:sz w:val="19"/>
        </w:rPr>
        <w:t>Lógicas</w:t>
      </w:r>
      <w:r>
        <w:rPr>
          <w:color w:val="231F20"/>
          <w:spacing w:val="26"/>
          <w:w w:val="110"/>
          <w:sz w:val="19"/>
        </w:rPr>
        <w:t> </w:t>
      </w:r>
      <w:r>
        <w:rPr>
          <w:color w:val="231F20"/>
          <w:w w:val="110"/>
          <w:sz w:val="19"/>
        </w:rPr>
        <w:t>de</w:t>
      </w:r>
      <w:r>
        <w:rPr>
          <w:color w:val="231F20"/>
          <w:spacing w:val="26"/>
          <w:w w:val="110"/>
          <w:sz w:val="19"/>
        </w:rPr>
        <w:t> </w:t>
      </w:r>
      <w:r>
        <w:rPr>
          <w:color w:val="231F20"/>
          <w:w w:val="110"/>
          <w:sz w:val="19"/>
        </w:rPr>
        <w:t>circulación</w:t>
      </w:r>
      <w:r>
        <w:rPr>
          <w:color w:val="231F20"/>
          <w:spacing w:val="26"/>
          <w:w w:val="110"/>
          <w:sz w:val="19"/>
        </w:rPr>
        <w:t> </w:t>
      </w:r>
      <w:r>
        <w:rPr>
          <w:color w:val="231F20"/>
          <w:w w:val="110"/>
          <w:sz w:val="19"/>
        </w:rPr>
        <w:t>y</w:t>
      </w:r>
      <w:r>
        <w:rPr>
          <w:color w:val="231F20"/>
          <w:spacing w:val="26"/>
          <w:w w:val="110"/>
          <w:sz w:val="19"/>
        </w:rPr>
        <w:t> </w:t>
      </w:r>
      <w:r>
        <w:rPr>
          <w:color w:val="231F20"/>
          <w:w w:val="110"/>
          <w:sz w:val="19"/>
        </w:rPr>
        <w:t>migración</w:t>
      </w:r>
      <w:r>
        <w:rPr>
          <w:color w:val="231F20"/>
          <w:spacing w:val="26"/>
          <w:w w:val="110"/>
          <w:sz w:val="19"/>
        </w:rPr>
        <w:t> </w:t>
      </w:r>
      <w:r>
        <w:rPr>
          <w:color w:val="231F20"/>
          <w:w w:val="110"/>
          <w:sz w:val="19"/>
        </w:rPr>
        <w:t>femenina</w:t>
      </w:r>
      <w:r>
        <w:rPr>
          <w:color w:val="231F20"/>
          <w:spacing w:val="26"/>
          <w:w w:val="110"/>
          <w:sz w:val="19"/>
        </w:rPr>
        <w:t> </w:t>
      </w:r>
      <w:r>
        <w:rPr>
          <w:color w:val="231F20"/>
          <w:w w:val="110"/>
          <w:sz w:val="19"/>
        </w:rPr>
        <w:t>del</w:t>
      </w:r>
      <w:r>
        <w:rPr>
          <w:color w:val="231F20"/>
          <w:spacing w:val="26"/>
          <w:w w:val="110"/>
          <w:sz w:val="19"/>
        </w:rPr>
        <w:t> </w:t>
      </w:r>
      <w:r>
        <w:rPr>
          <w:color w:val="231F20"/>
          <w:w w:val="110"/>
          <w:sz w:val="19"/>
        </w:rPr>
        <w:t>sur</w:t>
      </w:r>
      <w:r>
        <w:rPr>
          <w:color w:val="231F20"/>
          <w:w w:val="105"/>
          <w:sz w:val="19"/>
        </w:rPr>
        <w:t> </w:t>
      </w:r>
      <w:r>
        <w:rPr>
          <w:color w:val="231F20"/>
          <w:w w:val="110"/>
          <w:sz w:val="19"/>
        </w:rPr>
        <w:t>mexiquense</w:t>
      </w:r>
      <w:r>
        <w:rPr>
          <w:color w:val="231F20"/>
          <w:spacing w:val="24"/>
          <w:w w:val="110"/>
          <w:sz w:val="19"/>
        </w:rPr>
        <w:t> </w:t>
      </w:r>
      <w:r>
        <w:rPr>
          <w:color w:val="231F20"/>
          <w:w w:val="110"/>
          <w:sz w:val="19"/>
        </w:rPr>
        <w:t>a</w:t>
      </w:r>
      <w:r>
        <w:rPr>
          <w:color w:val="231F20"/>
          <w:spacing w:val="24"/>
          <w:w w:val="110"/>
          <w:sz w:val="19"/>
        </w:rPr>
        <w:t> </w:t>
      </w:r>
      <w:r>
        <w:rPr>
          <w:color w:val="231F20"/>
          <w:w w:val="110"/>
          <w:sz w:val="19"/>
        </w:rPr>
        <w:t>Estados</w:t>
      </w:r>
      <w:r>
        <w:rPr>
          <w:color w:val="231F20"/>
          <w:spacing w:val="24"/>
          <w:w w:val="110"/>
          <w:sz w:val="19"/>
        </w:rPr>
        <w:t> </w:t>
      </w:r>
      <w:r>
        <w:rPr>
          <w:color w:val="231F20"/>
          <w:w w:val="110"/>
          <w:sz w:val="19"/>
        </w:rPr>
        <w:t>Unidos”,</w:t>
      </w:r>
      <w:r>
        <w:rPr>
          <w:color w:val="231F20"/>
          <w:spacing w:val="24"/>
          <w:w w:val="110"/>
          <w:sz w:val="19"/>
        </w:rPr>
        <w:t> </w:t>
      </w:r>
      <w:r>
        <w:rPr>
          <w:color w:val="231F20"/>
          <w:w w:val="110"/>
          <w:sz w:val="19"/>
        </w:rPr>
        <w:t>tesis</w:t>
      </w:r>
      <w:r>
        <w:rPr>
          <w:color w:val="231F20"/>
          <w:spacing w:val="24"/>
          <w:w w:val="110"/>
          <w:sz w:val="19"/>
        </w:rPr>
        <w:t> </w:t>
      </w:r>
      <w:r>
        <w:rPr>
          <w:color w:val="231F20"/>
          <w:w w:val="110"/>
          <w:sz w:val="19"/>
        </w:rPr>
        <w:t>de</w:t>
      </w:r>
      <w:r>
        <w:rPr>
          <w:color w:val="231F20"/>
          <w:spacing w:val="24"/>
          <w:w w:val="110"/>
          <w:sz w:val="19"/>
        </w:rPr>
        <w:t> </w:t>
      </w:r>
      <w:r>
        <w:rPr>
          <w:color w:val="231F20"/>
          <w:w w:val="110"/>
          <w:sz w:val="19"/>
        </w:rPr>
        <w:t>doctorado</w:t>
      </w:r>
      <w:r>
        <w:rPr>
          <w:color w:val="231F20"/>
          <w:spacing w:val="24"/>
          <w:w w:val="110"/>
          <w:sz w:val="19"/>
        </w:rPr>
        <w:t> </w:t>
      </w:r>
      <w:r>
        <w:rPr>
          <w:color w:val="231F20"/>
          <w:w w:val="110"/>
          <w:sz w:val="19"/>
        </w:rPr>
        <w:t>en</w:t>
      </w:r>
      <w:r>
        <w:rPr>
          <w:color w:val="231F20"/>
          <w:spacing w:val="24"/>
          <w:w w:val="110"/>
          <w:sz w:val="19"/>
        </w:rPr>
        <w:t> </w:t>
      </w:r>
      <w:r>
        <w:rPr>
          <w:color w:val="231F20"/>
          <w:w w:val="110"/>
          <w:sz w:val="19"/>
        </w:rPr>
        <w:t>Geografía,</w:t>
      </w:r>
      <w:r>
        <w:rPr>
          <w:color w:val="231F20"/>
          <w:spacing w:val="24"/>
          <w:w w:val="110"/>
          <w:sz w:val="19"/>
        </w:rPr>
        <w:t> </w:t>
      </w:r>
      <w:r>
        <w:rPr>
          <w:color w:val="231F20"/>
          <w:w w:val="110"/>
          <w:sz w:val="19"/>
        </w:rPr>
        <w:t>México,</w:t>
      </w:r>
      <w:r>
        <w:rPr>
          <w:color w:val="231F20"/>
          <w:w w:val="113"/>
          <w:sz w:val="19"/>
        </w:rPr>
        <w:t> </w:t>
      </w:r>
      <w:r>
        <w:rPr>
          <w:color w:val="231F20"/>
          <w:w w:val="110"/>
          <w:sz w:val="19"/>
        </w:rPr>
        <w:t>Facultad de Filosofía y Letras, Universidad Nacional Autónoma</w:t>
      </w:r>
      <w:r>
        <w:rPr>
          <w:color w:val="231F20"/>
          <w:spacing w:val="24"/>
          <w:w w:val="110"/>
          <w:sz w:val="19"/>
        </w:rPr>
        <w:t> </w:t>
      </w:r>
      <w:r>
        <w:rPr>
          <w:color w:val="231F20"/>
          <w:w w:val="110"/>
          <w:sz w:val="19"/>
        </w:rPr>
        <w:t>de</w:t>
      </w:r>
      <w:r>
        <w:rPr>
          <w:color w:val="231F20"/>
          <w:spacing w:val="3"/>
          <w:w w:val="110"/>
          <w:sz w:val="19"/>
        </w:rPr>
        <w:t> </w:t>
      </w:r>
      <w:r>
        <w:rPr>
          <w:color w:val="231F20"/>
          <w:w w:val="110"/>
          <w:sz w:val="19"/>
        </w:rPr>
        <w:t>México.</w:t>
      </w:r>
      <w:r>
        <w:rPr>
          <w:color w:val="231F20"/>
          <w:w w:val="113"/>
          <w:sz w:val="19"/>
        </w:rPr>
        <w:t> </w:t>
      </w:r>
      <w:r>
        <w:rPr>
          <w:rFonts w:ascii="Times New Roman" w:hAnsi="Times New Roman"/>
          <w:color w:val="231F20"/>
          <w:spacing w:val="-3"/>
          <w:w w:val="110"/>
          <w:sz w:val="19"/>
        </w:rPr>
        <w:t>B</w:t>
      </w:r>
      <w:r>
        <w:rPr>
          <w:rFonts w:ascii="Times New Roman" w:hAnsi="Times New Roman"/>
          <w:color w:val="231F20"/>
          <w:spacing w:val="-3"/>
          <w:w w:val="110"/>
          <w:sz w:val="15"/>
        </w:rPr>
        <w:t>ACA</w:t>
      </w:r>
      <w:r>
        <w:rPr>
          <w:rFonts w:ascii="Times New Roman" w:hAnsi="Times New Roman"/>
          <w:color w:val="231F20"/>
          <w:spacing w:val="-3"/>
          <w:w w:val="110"/>
          <w:sz w:val="19"/>
        </w:rPr>
        <w:t>,</w:t>
      </w:r>
      <w:r>
        <w:rPr>
          <w:rFonts w:ascii="Times New Roman" w:hAnsi="Times New Roman"/>
          <w:color w:val="231F20"/>
          <w:spacing w:val="-18"/>
          <w:w w:val="110"/>
          <w:sz w:val="19"/>
        </w:rPr>
        <w:t> </w:t>
      </w:r>
      <w:r>
        <w:rPr>
          <w:color w:val="231F20"/>
          <w:w w:val="110"/>
          <w:sz w:val="19"/>
        </w:rPr>
        <w:t>Norma</w:t>
      </w:r>
      <w:r>
        <w:rPr>
          <w:color w:val="231F20"/>
          <w:spacing w:val="-12"/>
          <w:w w:val="110"/>
          <w:sz w:val="19"/>
        </w:rPr>
        <w:t> </w:t>
      </w:r>
      <w:r>
        <w:rPr>
          <w:color w:val="231F20"/>
          <w:w w:val="110"/>
          <w:sz w:val="19"/>
        </w:rPr>
        <w:t>y</w:t>
      </w:r>
      <w:r>
        <w:rPr>
          <w:color w:val="231F20"/>
          <w:spacing w:val="-12"/>
          <w:w w:val="110"/>
          <w:sz w:val="19"/>
        </w:rPr>
        <w:t> </w:t>
      </w:r>
      <w:r>
        <w:rPr>
          <w:color w:val="231F20"/>
          <w:w w:val="110"/>
          <w:sz w:val="19"/>
        </w:rPr>
        <w:t>América</w:t>
      </w:r>
      <w:r>
        <w:rPr>
          <w:color w:val="231F20"/>
          <w:spacing w:val="-12"/>
          <w:w w:val="110"/>
          <w:sz w:val="19"/>
        </w:rPr>
        <w:t> </w:t>
      </w:r>
      <w:r>
        <w:rPr>
          <w:color w:val="231F20"/>
          <w:spacing w:val="-3"/>
          <w:w w:val="110"/>
          <w:sz w:val="19"/>
        </w:rPr>
        <w:t>Luna,</w:t>
      </w:r>
      <w:r>
        <w:rPr>
          <w:color w:val="231F20"/>
          <w:spacing w:val="-12"/>
          <w:w w:val="110"/>
          <w:sz w:val="19"/>
        </w:rPr>
        <w:t> </w:t>
      </w:r>
      <w:r>
        <w:rPr>
          <w:color w:val="231F20"/>
          <w:w w:val="110"/>
          <w:sz w:val="19"/>
        </w:rPr>
        <w:t>2015,</w:t>
      </w:r>
      <w:r>
        <w:rPr>
          <w:color w:val="231F20"/>
          <w:spacing w:val="-12"/>
          <w:w w:val="110"/>
          <w:sz w:val="19"/>
        </w:rPr>
        <w:t> </w:t>
      </w:r>
      <w:r>
        <w:rPr>
          <w:color w:val="231F20"/>
          <w:w w:val="110"/>
          <w:sz w:val="19"/>
        </w:rPr>
        <w:t>“Territorio,</w:t>
      </w:r>
      <w:r>
        <w:rPr>
          <w:color w:val="231F20"/>
          <w:spacing w:val="-12"/>
          <w:w w:val="110"/>
          <w:sz w:val="19"/>
        </w:rPr>
        <w:t> </w:t>
      </w:r>
      <w:r>
        <w:rPr>
          <w:color w:val="231F20"/>
          <w:w w:val="110"/>
          <w:sz w:val="19"/>
        </w:rPr>
        <w:t>migraciones</w:t>
      </w:r>
      <w:r>
        <w:rPr>
          <w:color w:val="231F20"/>
          <w:spacing w:val="-12"/>
          <w:w w:val="110"/>
          <w:sz w:val="19"/>
        </w:rPr>
        <w:t> </w:t>
      </w:r>
      <w:r>
        <w:rPr>
          <w:color w:val="231F20"/>
          <w:w w:val="110"/>
          <w:sz w:val="19"/>
        </w:rPr>
        <w:t>y</w:t>
      </w:r>
      <w:r>
        <w:rPr>
          <w:color w:val="231F20"/>
          <w:spacing w:val="-12"/>
          <w:w w:val="110"/>
          <w:sz w:val="19"/>
        </w:rPr>
        <w:t> </w:t>
      </w:r>
      <w:r>
        <w:rPr>
          <w:color w:val="231F20"/>
          <w:w w:val="110"/>
          <w:sz w:val="19"/>
        </w:rPr>
        <w:t>género.</w:t>
      </w:r>
      <w:r>
        <w:rPr>
          <w:color w:val="231F20"/>
          <w:spacing w:val="-12"/>
          <w:w w:val="110"/>
          <w:sz w:val="19"/>
        </w:rPr>
        <w:t> </w:t>
      </w:r>
      <w:r>
        <w:rPr>
          <w:color w:val="231F20"/>
          <w:w w:val="110"/>
          <w:sz w:val="19"/>
        </w:rPr>
        <w:t>La</w:t>
      </w:r>
      <w:r>
        <w:rPr>
          <w:color w:val="231F20"/>
          <w:spacing w:val="-12"/>
          <w:w w:val="110"/>
          <w:sz w:val="19"/>
        </w:rPr>
        <w:t> </w:t>
      </w:r>
      <w:r>
        <w:rPr>
          <w:color w:val="231F20"/>
          <w:w w:val="110"/>
          <w:sz w:val="19"/>
        </w:rPr>
        <w:t>parti-</w:t>
      </w:r>
      <w:r>
        <w:rPr>
          <w:color w:val="231F20"/>
          <w:w w:val="93"/>
          <w:sz w:val="19"/>
        </w:rPr>
        <w:t> </w:t>
      </w:r>
      <w:r>
        <w:rPr>
          <w:color w:val="231F20"/>
          <w:w w:val="110"/>
          <w:sz w:val="19"/>
        </w:rPr>
        <w:t>cipación</w:t>
      </w:r>
      <w:r>
        <w:rPr>
          <w:color w:val="231F20"/>
          <w:spacing w:val="-10"/>
          <w:w w:val="110"/>
          <w:sz w:val="19"/>
        </w:rPr>
        <w:t> </w:t>
      </w:r>
      <w:r>
        <w:rPr>
          <w:color w:val="231F20"/>
          <w:w w:val="110"/>
          <w:sz w:val="19"/>
        </w:rPr>
        <w:t>de</w:t>
      </w:r>
      <w:r>
        <w:rPr>
          <w:color w:val="231F20"/>
          <w:spacing w:val="-10"/>
          <w:w w:val="110"/>
          <w:sz w:val="19"/>
        </w:rPr>
        <w:t> </w:t>
      </w:r>
      <w:r>
        <w:rPr>
          <w:color w:val="231F20"/>
          <w:w w:val="110"/>
          <w:sz w:val="19"/>
        </w:rPr>
        <w:t>las</w:t>
      </w:r>
      <w:r>
        <w:rPr>
          <w:color w:val="231F20"/>
          <w:spacing w:val="-10"/>
          <w:w w:val="110"/>
          <w:sz w:val="19"/>
        </w:rPr>
        <w:t> </w:t>
      </w:r>
      <w:r>
        <w:rPr>
          <w:color w:val="231F20"/>
          <w:w w:val="110"/>
          <w:sz w:val="19"/>
        </w:rPr>
        <w:t>mujeres</w:t>
      </w:r>
      <w:r>
        <w:rPr>
          <w:color w:val="231F20"/>
          <w:spacing w:val="-10"/>
          <w:w w:val="110"/>
          <w:sz w:val="19"/>
        </w:rPr>
        <w:t> </w:t>
      </w:r>
      <w:r>
        <w:rPr>
          <w:color w:val="231F20"/>
          <w:w w:val="110"/>
          <w:sz w:val="19"/>
        </w:rPr>
        <w:t>en</w:t>
      </w:r>
      <w:r>
        <w:rPr>
          <w:color w:val="231F20"/>
          <w:spacing w:val="-10"/>
          <w:w w:val="110"/>
          <w:sz w:val="19"/>
        </w:rPr>
        <w:t> </w:t>
      </w:r>
      <w:r>
        <w:rPr>
          <w:color w:val="231F20"/>
          <w:w w:val="110"/>
          <w:sz w:val="19"/>
        </w:rPr>
        <w:t>la</w:t>
      </w:r>
      <w:r>
        <w:rPr>
          <w:color w:val="231F20"/>
          <w:spacing w:val="-10"/>
          <w:w w:val="110"/>
          <w:sz w:val="19"/>
        </w:rPr>
        <w:t> </w:t>
      </w:r>
      <w:r>
        <w:rPr>
          <w:color w:val="231F20"/>
          <w:w w:val="110"/>
          <w:sz w:val="19"/>
        </w:rPr>
        <w:t>construcción</w:t>
      </w:r>
      <w:r>
        <w:rPr>
          <w:color w:val="231F20"/>
          <w:spacing w:val="-10"/>
          <w:w w:val="110"/>
          <w:sz w:val="19"/>
        </w:rPr>
        <w:t> </w:t>
      </w:r>
      <w:r>
        <w:rPr>
          <w:color w:val="231F20"/>
          <w:w w:val="110"/>
          <w:sz w:val="19"/>
        </w:rPr>
        <w:t>de</w:t>
      </w:r>
      <w:r>
        <w:rPr>
          <w:color w:val="231F20"/>
          <w:spacing w:val="-10"/>
          <w:w w:val="110"/>
          <w:sz w:val="19"/>
        </w:rPr>
        <w:t> </w:t>
      </w:r>
      <w:r>
        <w:rPr>
          <w:color w:val="231F20"/>
          <w:w w:val="110"/>
          <w:sz w:val="19"/>
        </w:rPr>
        <w:t>la</w:t>
      </w:r>
      <w:r>
        <w:rPr>
          <w:color w:val="231F20"/>
          <w:spacing w:val="-10"/>
          <w:w w:val="110"/>
          <w:sz w:val="19"/>
        </w:rPr>
        <w:t> </w:t>
      </w:r>
      <w:r>
        <w:rPr>
          <w:color w:val="231F20"/>
          <w:w w:val="110"/>
          <w:sz w:val="19"/>
        </w:rPr>
        <w:t>región</w:t>
      </w:r>
      <w:r>
        <w:rPr>
          <w:color w:val="231F20"/>
          <w:spacing w:val="-10"/>
          <w:w w:val="110"/>
          <w:sz w:val="19"/>
        </w:rPr>
        <w:t> </w:t>
      </w:r>
      <w:r>
        <w:rPr>
          <w:color w:val="231F20"/>
          <w:w w:val="110"/>
          <w:sz w:val="19"/>
        </w:rPr>
        <w:t>migratoria</w:t>
      </w:r>
      <w:r>
        <w:rPr>
          <w:color w:val="231F20"/>
          <w:spacing w:val="-10"/>
          <w:w w:val="110"/>
          <w:sz w:val="19"/>
        </w:rPr>
        <w:t> </w:t>
      </w:r>
      <w:r>
        <w:rPr>
          <w:color w:val="231F20"/>
          <w:w w:val="110"/>
          <w:sz w:val="19"/>
        </w:rPr>
        <w:t>Coatepec</w:t>
      </w:r>
      <w:r>
        <w:rPr>
          <w:color w:val="231F20"/>
          <w:w w:val="115"/>
          <w:sz w:val="19"/>
        </w:rPr>
        <w:t> </w:t>
      </w:r>
      <w:r>
        <w:rPr>
          <w:color w:val="231F20"/>
          <w:w w:val="110"/>
          <w:sz w:val="19"/>
        </w:rPr>
        <w:t>Harinas”,</w:t>
      </w:r>
      <w:r>
        <w:rPr>
          <w:color w:val="231F20"/>
          <w:spacing w:val="-5"/>
          <w:w w:val="110"/>
          <w:sz w:val="19"/>
        </w:rPr>
        <w:t> </w:t>
      </w:r>
      <w:r>
        <w:rPr>
          <w:color w:val="231F20"/>
          <w:w w:val="110"/>
          <w:sz w:val="19"/>
        </w:rPr>
        <w:t>en</w:t>
      </w:r>
      <w:r>
        <w:rPr>
          <w:color w:val="231F20"/>
          <w:spacing w:val="-5"/>
          <w:w w:val="110"/>
          <w:sz w:val="19"/>
        </w:rPr>
        <w:t> </w:t>
      </w:r>
      <w:r>
        <w:rPr>
          <w:color w:val="231F20"/>
          <w:w w:val="110"/>
          <w:sz w:val="19"/>
        </w:rPr>
        <w:t>Norma</w:t>
      </w:r>
      <w:r>
        <w:rPr>
          <w:color w:val="231F20"/>
          <w:spacing w:val="-5"/>
          <w:w w:val="110"/>
          <w:sz w:val="19"/>
        </w:rPr>
        <w:t> </w:t>
      </w:r>
      <w:r>
        <w:rPr>
          <w:color w:val="231F20"/>
          <w:w w:val="110"/>
          <w:sz w:val="19"/>
        </w:rPr>
        <w:t>Baca</w:t>
      </w:r>
      <w:r>
        <w:rPr>
          <w:color w:val="231F20"/>
          <w:spacing w:val="-5"/>
          <w:w w:val="110"/>
          <w:sz w:val="19"/>
        </w:rPr>
        <w:t> </w:t>
      </w:r>
      <w:r>
        <w:rPr>
          <w:color w:val="231F20"/>
          <w:w w:val="110"/>
          <w:sz w:val="19"/>
        </w:rPr>
        <w:t>y</w:t>
      </w:r>
      <w:r>
        <w:rPr>
          <w:color w:val="231F20"/>
          <w:spacing w:val="-5"/>
          <w:w w:val="110"/>
          <w:sz w:val="19"/>
        </w:rPr>
        <w:t> </w:t>
      </w:r>
      <w:r>
        <w:rPr>
          <w:color w:val="231F20"/>
          <w:w w:val="110"/>
          <w:sz w:val="19"/>
        </w:rPr>
        <w:t>Renato</w:t>
      </w:r>
      <w:r>
        <w:rPr>
          <w:color w:val="231F20"/>
          <w:spacing w:val="-5"/>
          <w:w w:val="110"/>
          <w:sz w:val="19"/>
        </w:rPr>
        <w:t> </w:t>
      </w:r>
      <w:r>
        <w:rPr>
          <w:color w:val="231F20"/>
          <w:w w:val="110"/>
          <w:sz w:val="19"/>
        </w:rPr>
        <w:t>Salas</w:t>
      </w:r>
      <w:r>
        <w:rPr>
          <w:color w:val="231F20"/>
          <w:spacing w:val="-5"/>
          <w:w w:val="110"/>
          <w:sz w:val="19"/>
        </w:rPr>
        <w:t> </w:t>
      </w:r>
      <w:r>
        <w:rPr>
          <w:color w:val="231F20"/>
          <w:w w:val="110"/>
          <w:sz w:val="19"/>
        </w:rPr>
        <w:t>(coords.),</w:t>
      </w:r>
      <w:r>
        <w:rPr>
          <w:color w:val="231F20"/>
          <w:spacing w:val="-5"/>
          <w:w w:val="110"/>
          <w:sz w:val="19"/>
        </w:rPr>
        <w:t> </w:t>
      </w:r>
      <w:r>
        <w:rPr>
          <w:i/>
          <w:color w:val="231F20"/>
          <w:w w:val="110"/>
          <w:sz w:val="19"/>
        </w:rPr>
        <w:t>Migración</w:t>
      </w:r>
      <w:r>
        <w:rPr>
          <w:i/>
          <w:color w:val="231F20"/>
          <w:spacing w:val="-9"/>
          <w:w w:val="110"/>
          <w:sz w:val="19"/>
        </w:rPr>
        <w:t> </w:t>
      </w:r>
      <w:r>
        <w:rPr>
          <w:i/>
          <w:color w:val="231F20"/>
          <w:w w:val="110"/>
          <w:sz w:val="19"/>
        </w:rPr>
        <w:t>internacional,</w:t>
      </w:r>
    </w:p>
    <w:p>
      <w:pPr>
        <w:spacing w:before="0"/>
        <w:ind w:left="124" w:right="0" w:firstLine="360"/>
        <w:jc w:val="left"/>
        <w:rPr>
          <w:sz w:val="19"/>
        </w:rPr>
      </w:pPr>
      <w:r>
        <w:rPr>
          <w:i/>
          <w:color w:val="231F20"/>
          <w:w w:val="110"/>
          <w:sz w:val="19"/>
        </w:rPr>
        <w:t>territorios y sujetos migrantes del Estado de México</w:t>
      </w:r>
      <w:r>
        <w:rPr>
          <w:color w:val="231F20"/>
          <w:w w:val="110"/>
          <w:sz w:val="19"/>
        </w:rPr>
        <w:t>, México, Eón-</w:t>
      </w:r>
      <w:r>
        <w:rPr>
          <w:rFonts w:ascii="Times New Roman" w:hAnsi="Times New Roman"/>
          <w:color w:val="231F20"/>
          <w:w w:val="110"/>
          <w:sz w:val="15"/>
        </w:rPr>
        <w:t>UAEM</w:t>
      </w:r>
      <w:r>
        <w:rPr>
          <w:color w:val="231F20"/>
          <w:w w:val="110"/>
          <w:sz w:val="19"/>
        </w:rPr>
        <w:t>.</w:t>
      </w:r>
    </w:p>
    <w:p>
      <w:pPr>
        <w:spacing w:line="273" w:lineRule="auto" w:before="31"/>
        <w:ind w:left="484" w:right="113" w:hanging="360"/>
        <w:jc w:val="both"/>
        <w:rPr>
          <w:sz w:val="19"/>
        </w:rPr>
      </w:pPr>
      <w:r>
        <w:rPr>
          <w:rFonts w:ascii="Times New Roman" w:hAnsi="Times New Roman"/>
          <w:color w:val="231F20"/>
          <w:w w:val="105"/>
          <w:sz w:val="19"/>
        </w:rPr>
        <w:t>B</w:t>
      </w:r>
      <w:r>
        <w:rPr>
          <w:rFonts w:ascii="Times New Roman" w:hAnsi="Times New Roman"/>
          <w:color w:val="231F20"/>
          <w:w w:val="105"/>
          <w:sz w:val="15"/>
        </w:rPr>
        <w:t>USTAMANTE</w:t>
      </w:r>
      <w:r>
        <w:rPr>
          <w:rFonts w:ascii="Times New Roman" w:hAnsi="Times New Roman"/>
          <w:color w:val="231F20"/>
          <w:w w:val="105"/>
          <w:sz w:val="19"/>
        </w:rPr>
        <w:t>, </w:t>
      </w:r>
      <w:r>
        <w:rPr>
          <w:color w:val="231F20"/>
          <w:w w:val="105"/>
          <w:sz w:val="19"/>
        </w:rPr>
        <w:t>Jorge (1975), </w:t>
      </w:r>
      <w:r>
        <w:rPr>
          <w:i/>
          <w:color w:val="231F20"/>
          <w:w w:val="105"/>
          <w:sz w:val="19"/>
        </w:rPr>
        <w:t>Espaldas mojadas: materia prima para la expansión </w:t>
      </w:r>
      <w:r>
        <w:rPr>
          <w:i/>
          <w:color w:val="231F20"/>
          <w:w w:val="105"/>
          <w:sz w:val="19"/>
        </w:rPr>
        <w:t>del capitalismo norteamericano. </w:t>
      </w:r>
      <w:r>
        <w:rPr>
          <w:color w:val="231F20"/>
          <w:w w:val="105"/>
          <w:sz w:val="19"/>
        </w:rPr>
        <w:t>Cuadernos del C.E.S. núm. 96. México, Co- legio  de </w:t>
      </w:r>
      <w:r>
        <w:rPr>
          <w:color w:val="231F20"/>
          <w:spacing w:val="4"/>
          <w:w w:val="105"/>
          <w:sz w:val="19"/>
        </w:rPr>
        <w:t> </w:t>
      </w:r>
      <w:r>
        <w:rPr>
          <w:color w:val="231F20"/>
          <w:w w:val="105"/>
          <w:sz w:val="19"/>
        </w:rPr>
        <w:t>México.</w:t>
      </w:r>
    </w:p>
    <w:p>
      <w:pPr>
        <w:spacing w:line="273" w:lineRule="auto" w:before="0"/>
        <w:ind w:left="484" w:right="114" w:hanging="360"/>
        <w:jc w:val="both"/>
        <w:rPr>
          <w:sz w:val="19"/>
        </w:rPr>
      </w:pPr>
      <w:r>
        <w:rPr>
          <w:rFonts w:ascii="Times New Roman" w:hAnsi="Times New Roman"/>
          <w:color w:val="231F20"/>
          <w:spacing w:val="3"/>
          <w:w w:val="110"/>
          <w:sz w:val="19"/>
        </w:rPr>
        <w:t>D</w:t>
      </w:r>
      <w:r>
        <w:rPr>
          <w:color w:val="231F20"/>
          <w:spacing w:val="3"/>
          <w:w w:val="110"/>
          <w:sz w:val="19"/>
        </w:rPr>
        <w:t>’</w:t>
      </w:r>
      <w:r>
        <w:rPr>
          <w:rFonts w:ascii="Times New Roman" w:hAnsi="Times New Roman"/>
          <w:color w:val="231F20"/>
          <w:spacing w:val="3"/>
          <w:w w:val="110"/>
          <w:sz w:val="19"/>
        </w:rPr>
        <w:t>A</w:t>
      </w:r>
      <w:r>
        <w:rPr>
          <w:rFonts w:ascii="Times New Roman" w:hAnsi="Times New Roman"/>
          <w:color w:val="231F20"/>
          <w:spacing w:val="3"/>
          <w:w w:val="110"/>
          <w:sz w:val="15"/>
        </w:rPr>
        <w:t>UBETERRE</w:t>
      </w:r>
      <w:r>
        <w:rPr>
          <w:color w:val="231F20"/>
          <w:spacing w:val="3"/>
          <w:w w:val="110"/>
          <w:sz w:val="19"/>
        </w:rPr>
        <w:t>, </w:t>
      </w:r>
      <w:r>
        <w:rPr>
          <w:color w:val="231F20"/>
          <w:spacing w:val="2"/>
          <w:w w:val="110"/>
          <w:sz w:val="19"/>
        </w:rPr>
        <w:t>María Eugenia (2000), </w:t>
      </w:r>
      <w:r>
        <w:rPr>
          <w:color w:val="231F20"/>
          <w:w w:val="110"/>
          <w:sz w:val="19"/>
        </w:rPr>
        <w:t>“Arbitraje y </w:t>
      </w:r>
      <w:r>
        <w:rPr>
          <w:color w:val="231F20"/>
          <w:spacing w:val="2"/>
          <w:w w:val="110"/>
          <w:sz w:val="19"/>
        </w:rPr>
        <w:t>adjudicación </w:t>
      </w:r>
      <w:r>
        <w:rPr>
          <w:color w:val="231F20"/>
          <w:w w:val="110"/>
          <w:sz w:val="19"/>
        </w:rPr>
        <w:t>de </w:t>
      </w:r>
      <w:r>
        <w:rPr>
          <w:color w:val="231F20"/>
          <w:spacing w:val="2"/>
          <w:w w:val="110"/>
          <w:sz w:val="19"/>
        </w:rPr>
        <w:t>conflictos </w:t>
      </w:r>
      <w:r>
        <w:rPr>
          <w:color w:val="231F20"/>
          <w:w w:val="110"/>
          <w:sz w:val="19"/>
        </w:rPr>
        <w:t>conyugales en una comunidad de transmigrantes originarios del estado</w:t>
      </w:r>
      <w:r>
        <w:rPr>
          <w:color w:val="231F20"/>
          <w:spacing w:val="-17"/>
          <w:w w:val="110"/>
          <w:sz w:val="19"/>
        </w:rPr>
        <w:t> </w:t>
      </w:r>
      <w:r>
        <w:rPr>
          <w:color w:val="231F20"/>
          <w:w w:val="110"/>
          <w:sz w:val="19"/>
        </w:rPr>
        <w:t>de Puebla”, en Leigh Binford y María Eugenia D’Aubeterre (eds.), </w:t>
      </w:r>
      <w:r>
        <w:rPr>
          <w:i/>
          <w:color w:val="231F20"/>
          <w:w w:val="110"/>
          <w:sz w:val="19"/>
        </w:rPr>
        <w:t>Conflictos </w:t>
      </w:r>
      <w:r>
        <w:rPr>
          <w:i/>
          <w:color w:val="231F20"/>
          <w:w w:val="110"/>
          <w:sz w:val="19"/>
        </w:rPr>
        <w:t>migratorios transnacionales y respuestas comunitarias</w:t>
      </w:r>
      <w:r>
        <w:rPr>
          <w:color w:val="231F20"/>
          <w:w w:val="110"/>
          <w:sz w:val="19"/>
        </w:rPr>
        <w:t>, Puebla, Instituto de Ciencias Sociales y Humanidades, </w:t>
      </w:r>
      <w:r>
        <w:rPr>
          <w:color w:val="231F20"/>
          <w:spacing w:val="18"/>
          <w:w w:val="110"/>
          <w:sz w:val="19"/>
        </w:rPr>
        <w:t> </w:t>
      </w:r>
      <w:r>
        <w:rPr>
          <w:rFonts w:ascii="Times New Roman" w:hAnsi="Times New Roman"/>
          <w:color w:val="231F20"/>
          <w:w w:val="110"/>
          <w:sz w:val="15"/>
        </w:rPr>
        <w:t>BUAP</w:t>
      </w:r>
      <w:r>
        <w:rPr>
          <w:color w:val="231F20"/>
          <w:w w:val="110"/>
          <w:sz w:val="19"/>
        </w:rPr>
        <w:t>.</w:t>
      </w:r>
    </w:p>
    <w:p>
      <w:pPr>
        <w:spacing w:line="273" w:lineRule="auto" w:before="0"/>
        <w:ind w:left="484" w:right="112" w:hanging="360"/>
        <w:jc w:val="both"/>
        <w:rPr>
          <w:sz w:val="19"/>
        </w:rPr>
      </w:pPr>
      <w:r>
        <w:rPr>
          <w:rFonts w:ascii="Times New Roman" w:hAnsi="Times New Roman"/>
          <w:color w:val="231F20"/>
          <w:spacing w:val="-4"/>
          <w:w w:val="110"/>
          <w:sz w:val="19"/>
        </w:rPr>
        <w:t>D</w:t>
      </w:r>
      <w:r>
        <w:rPr>
          <w:color w:val="231F20"/>
          <w:spacing w:val="-4"/>
          <w:w w:val="110"/>
          <w:sz w:val="19"/>
        </w:rPr>
        <w:t>’</w:t>
      </w:r>
      <w:r>
        <w:rPr>
          <w:rFonts w:ascii="Times New Roman" w:hAnsi="Times New Roman"/>
          <w:color w:val="231F20"/>
          <w:spacing w:val="-4"/>
          <w:w w:val="110"/>
          <w:sz w:val="19"/>
        </w:rPr>
        <w:t>A</w:t>
      </w:r>
      <w:r>
        <w:rPr>
          <w:rFonts w:ascii="Times New Roman" w:hAnsi="Times New Roman"/>
          <w:color w:val="231F20"/>
          <w:spacing w:val="-4"/>
          <w:w w:val="110"/>
          <w:sz w:val="15"/>
        </w:rPr>
        <w:t>UBETERRE</w:t>
      </w:r>
      <w:r>
        <w:rPr>
          <w:color w:val="231F20"/>
          <w:spacing w:val="-4"/>
          <w:w w:val="110"/>
          <w:sz w:val="19"/>
        </w:rPr>
        <w:t>, María Eugenia (2001), </w:t>
      </w:r>
      <w:r>
        <w:rPr>
          <w:color w:val="231F20"/>
          <w:spacing w:val="-6"/>
          <w:w w:val="110"/>
          <w:sz w:val="19"/>
        </w:rPr>
        <w:t>“¿Todos </w:t>
      </w:r>
      <w:r>
        <w:rPr>
          <w:color w:val="231F20"/>
          <w:spacing w:val="-4"/>
          <w:w w:val="110"/>
          <w:sz w:val="19"/>
        </w:rPr>
        <w:t>estamos bien? Género </w:t>
      </w:r>
      <w:r>
        <w:rPr>
          <w:color w:val="231F20"/>
          <w:w w:val="110"/>
          <w:sz w:val="19"/>
        </w:rPr>
        <w:t>y </w:t>
      </w:r>
      <w:r>
        <w:rPr>
          <w:color w:val="231F20"/>
          <w:spacing w:val="-4"/>
          <w:w w:val="110"/>
          <w:sz w:val="19"/>
        </w:rPr>
        <w:t>parentesco </w:t>
      </w:r>
      <w:r>
        <w:rPr>
          <w:color w:val="231F20"/>
          <w:w w:val="110"/>
          <w:sz w:val="19"/>
        </w:rPr>
        <w:t>en familias de transmigrantes poblanos”, ponencia presentada en </w:t>
      </w:r>
      <w:r>
        <w:rPr>
          <w:i/>
          <w:color w:val="231F20"/>
          <w:w w:val="110"/>
          <w:sz w:val="19"/>
        </w:rPr>
        <w:t>Latin </w:t>
      </w:r>
      <w:r>
        <w:rPr>
          <w:i/>
          <w:color w:val="231F20"/>
          <w:w w:val="110"/>
          <w:sz w:val="19"/>
        </w:rPr>
        <w:t>American Studies Association</w:t>
      </w:r>
      <w:r>
        <w:rPr>
          <w:color w:val="231F20"/>
          <w:w w:val="110"/>
          <w:sz w:val="19"/>
        </w:rPr>
        <w:t>, 6-8 de septiembre, Washington D C,  LASA.</w:t>
      </w:r>
    </w:p>
    <w:p>
      <w:pPr>
        <w:spacing w:line="273" w:lineRule="auto" w:before="0"/>
        <w:ind w:left="484" w:right="109" w:hanging="360"/>
        <w:jc w:val="both"/>
        <w:rPr>
          <w:sz w:val="19"/>
        </w:rPr>
      </w:pPr>
      <w:r>
        <w:rPr>
          <w:color w:val="231F20"/>
          <w:w w:val="110"/>
          <w:sz w:val="19"/>
        </w:rPr>
        <w:t>De </w:t>
      </w:r>
      <w:r>
        <w:rPr>
          <w:color w:val="231F20"/>
          <w:spacing w:val="2"/>
          <w:w w:val="110"/>
          <w:sz w:val="19"/>
        </w:rPr>
        <w:t>Grammont, Hubert, (2009ª), </w:t>
      </w:r>
      <w:r>
        <w:rPr>
          <w:color w:val="231F20"/>
          <w:w w:val="110"/>
          <w:sz w:val="19"/>
        </w:rPr>
        <w:t>“ </w:t>
      </w:r>
      <w:r>
        <w:rPr>
          <w:color w:val="231F20"/>
          <w:spacing w:val="3"/>
          <w:w w:val="110"/>
          <w:sz w:val="19"/>
        </w:rPr>
        <w:t>La </w:t>
      </w:r>
      <w:r>
        <w:rPr>
          <w:color w:val="231F20"/>
          <w:spacing w:val="2"/>
          <w:w w:val="110"/>
          <w:sz w:val="19"/>
        </w:rPr>
        <w:t>desagrarización </w:t>
      </w:r>
      <w:r>
        <w:rPr>
          <w:color w:val="231F20"/>
          <w:w w:val="110"/>
          <w:sz w:val="19"/>
        </w:rPr>
        <w:t>del </w:t>
      </w:r>
      <w:r>
        <w:rPr>
          <w:color w:val="231F20"/>
          <w:spacing w:val="2"/>
          <w:w w:val="110"/>
          <w:sz w:val="19"/>
        </w:rPr>
        <w:t>campo mexicano”, </w:t>
      </w:r>
      <w:r>
        <w:rPr>
          <w:i/>
          <w:color w:val="231F20"/>
          <w:w w:val="110"/>
          <w:sz w:val="19"/>
        </w:rPr>
        <w:t>Convergencia</w:t>
      </w:r>
      <w:r>
        <w:rPr>
          <w:color w:val="231F20"/>
          <w:w w:val="110"/>
          <w:sz w:val="19"/>
        </w:rPr>
        <w:t>, núm. 50, mayo-agosto, </w:t>
      </w:r>
      <w:r>
        <w:rPr>
          <w:color w:val="231F20"/>
          <w:spacing w:val="-3"/>
          <w:w w:val="110"/>
          <w:sz w:val="19"/>
        </w:rPr>
        <w:t>Toluca, </w:t>
      </w:r>
      <w:r>
        <w:rPr>
          <w:color w:val="231F20"/>
          <w:w w:val="110"/>
          <w:sz w:val="19"/>
        </w:rPr>
        <w:t>Facultad de Ciencias Políticas y Sociales-Universidad Autónoma del Estado de  México.</w:t>
      </w:r>
    </w:p>
    <w:p>
      <w:pPr>
        <w:tabs>
          <w:tab w:pos="844" w:val="left" w:leader="none"/>
        </w:tabs>
        <w:spacing w:line="273" w:lineRule="auto" w:before="0"/>
        <w:ind w:left="484" w:right="113" w:hanging="360"/>
        <w:jc w:val="both"/>
        <w:rPr>
          <w:sz w:val="19"/>
        </w:rPr>
      </w:pPr>
      <w:r>
        <w:rPr>
          <w:color w:val="231F20"/>
          <w:w w:val="128"/>
          <w:sz w:val="19"/>
          <w:u w:val="single" w:color="231F20"/>
        </w:rPr>
        <w:t> </w:t>
      </w:r>
      <w:r>
        <w:rPr>
          <w:color w:val="231F20"/>
          <w:sz w:val="19"/>
          <w:u w:val="single" w:color="231F20"/>
        </w:rPr>
        <w:tab/>
        <w:tab/>
      </w:r>
      <w:r>
        <w:rPr>
          <w:color w:val="231F20"/>
          <w:sz w:val="19"/>
        </w:rPr>
        <w:t>  </w:t>
      </w:r>
      <w:r>
        <w:rPr>
          <w:color w:val="231F20"/>
          <w:spacing w:val="2"/>
          <w:w w:val="110"/>
          <w:sz w:val="19"/>
        </w:rPr>
        <w:t>(2009b), </w:t>
      </w:r>
      <w:r>
        <w:rPr>
          <w:color w:val="231F20"/>
          <w:w w:val="110"/>
          <w:sz w:val="19"/>
        </w:rPr>
        <w:t>“ </w:t>
      </w:r>
      <w:r>
        <w:rPr>
          <w:color w:val="231F20"/>
          <w:spacing w:val="3"/>
          <w:w w:val="110"/>
          <w:sz w:val="19"/>
        </w:rPr>
        <w:t>La </w:t>
      </w:r>
      <w:r>
        <w:rPr>
          <w:color w:val="231F20"/>
          <w:spacing w:val="2"/>
          <w:w w:val="110"/>
          <w:sz w:val="19"/>
        </w:rPr>
        <w:t>nueva estructura ocupacional </w:t>
      </w:r>
      <w:r>
        <w:rPr>
          <w:color w:val="231F20"/>
          <w:w w:val="110"/>
          <w:sz w:val="19"/>
        </w:rPr>
        <w:t>en  los </w:t>
      </w:r>
      <w:r>
        <w:rPr>
          <w:color w:val="231F20"/>
          <w:spacing w:val="37"/>
          <w:w w:val="110"/>
          <w:sz w:val="19"/>
        </w:rPr>
        <w:t> </w:t>
      </w:r>
      <w:r>
        <w:rPr>
          <w:color w:val="231F20"/>
          <w:spacing w:val="2"/>
          <w:w w:val="110"/>
          <w:sz w:val="19"/>
        </w:rPr>
        <w:t>hogares</w:t>
      </w:r>
      <w:r>
        <w:rPr>
          <w:color w:val="231F20"/>
          <w:spacing w:val="24"/>
          <w:w w:val="110"/>
          <w:sz w:val="19"/>
        </w:rPr>
        <w:t> </w:t>
      </w:r>
      <w:r>
        <w:rPr>
          <w:color w:val="231F20"/>
          <w:spacing w:val="2"/>
          <w:w w:val="110"/>
          <w:sz w:val="19"/>
        </w:rPr>
        <w:t>rurales</w:t>
      </w:r>
      <w:r>
        <w:rPr>
          <w:color w:val="231F20"/>
          <w:w w:val="118"/>
          <w:sz w:val="19"/>
        </w:rPr>
        <w:t> </w:t>
      </w:r>
      <w:r>
        <w:rPr>
          <w:color w:val="231F20"/>
          <w:w w:val="110"/>
          <w:sz w:val="19"/>
        </w:rPr>
        <w:t>mexicanos”, en Hubert C. de Grammmont y Luciano Martínes (comps.), </w:t>
      </w:r>
      <w:r>
        <w:rPr>
          <w:i/>
          <w:color w:val="231F20"/>
          <w:w w:val="110"/>
          <w:sz w:val="19"/>
        </w:rPr>
        <w:t>La </w:t>
      </w:r>
      <w:r>
        <w:rPr>
          <w:i/>
          <w:color w:val="231F20"/>
          <w:w w:val="110"/>
          <w:sz w:val="19"/>
        </w:rPr>
        <w:t>pluriactividad</w:t>
      </w:r>
      <w:r>
        <w:rPr>
          <w:i/>
          <w:color w:val="231F20"/>
          <w:spacing w:val="-24"/>
          <w:w w:val="110"/>
          <w:sz w:val="19"/>
        </w:rPr>
        <w:t> </w:t>
      </w:r>
      <w:r>
        <w:rPr>
          <w:i/>
          <w:color w:val="231F20"/>
          <w:w w:val="110"/>
          <w:sz w:val="19"/>
        </w:rPr>
        <w:t>en</w:t>
      </w:r>
      <w:r>
        <w:rPr>
          <w:i/>
          <w:color w:val="231F20"/>
          <w:spacing w:val="-24"/>
          <w:w w:val="110"/>
          <w:sz w:val="19"/>
        </w:rPr>
        <w:t> </w:t>
      </w:r>
      <w:r>
        <w:rPr>
          <w:i/>
          <w:color w:val="231F20"/>
          <w:w w:val="110"/>
          <w:sz w:val="19"/>
        </w:rPr>
        <w:t>el</w:t>
      </w:r>
      <w:r>
        <w:rPr>
          <w:i/>
          <w:color w:val="231F20"/>
          <w:spacing w:val="-24"/>
          <w:w w:val="110"/>
          <w:sz w:val="19"/>
        </w:rPr>
        <w:t> </w:t>
      </w:r>
      <w:r>
        <w:rPr>
          <w:i/>
          <w:color w:val="231F20"/>
          <w:w w:val="110"/>
          <w:sz w:val="19"/>
        </w:rPr>
        <w:t>campo</w:t>
      </w:r>
      <w:r>
        <w:rPr>
          <w:i/>
          <w:color w:val="231F20"/>
          <w:spacing w:val="-24"/>
          <w:w w:val="110"/>
          <w:sz w:val="19"/>
        </w:rPr>
        <w:t> </w:t>
      </w:r>
      <w:r>
        <w:rPr>
          <w:i/>
          <w:color w:val="231F20"/>
          <w:w w:val="110"/>
          <w:sz w:val="19"/>
        </w:rPr>
        <w:t>latinoamericano</w:t>
      </w:r>
      <w:r>
        <w:rPr>
          <w:color w:val="231F20"/>
          <w:w w:val="110"/>
          <w:sz w:val="19"/>
        </w:rPr>
        <w:t>,</w:t>
      </w:r>
      <w:r>
        <w:rPr>
          <w:color w:val="231F20"/>
          <w:spacing w:val="-21"/>
          <w:w w:val="110"/>
          <w:sz w:val="19"/>
        </w:rPr>
        <w:t> </w:t>
      </w:r>
      <w:r>
        <w:rPr>
          <w:color w:val="231F20"/>
          <w:w w:val="110"/>
          <w:sz w:val="19"/>
        </w:rPr>
        <w:t>Quito,</w:t>
      </w:r>
      <w:r>
        <w:rPr>
          <w:color w:val="231F20"/>
          <w:spacing w:val="-21"/>
          <w:w w:val="110"/>
          <w:sz w:val="19"/>
        </w:rPr>
        <w:t> </w:t>
      </w:r>
      <w:r>
        <w:rPr>
          <w:color w:val="231F20"/>
          <w:w w:val="110"/>
          <w:sz w:val="19"/>
        </w:rPr>
        <w:t>Flacso.</w:t>
      </w:r>
    </w:p>
    <w:p>
      <w:pPr>
        <w:spacing w:line="273" w:lineRule="auto" w:before="0"/>
        <w:ind w:left="484" w:right="111" w:hanging="360"/>
        <w:jc w:val="both"/>
        <w:rPr>
          <w:sz w:val="19"/>
        </w:rPr>
      </w:pPr>
      <w:r>
        <w:rPr>
          <w:color w:val="231F20"/>
          <w:w w:val="110"/>
          <w:sz w:val="19"/>
        </w:rPr>
        <w:t>De Grammont, Hubert, Sara Lara y Judith Sánchez (2004), “Migración rural temporal y configuraciones familiares (los casos de Sinaloa, México; Napa y Sonoma, EE.UU.)”, en Marina Ariza y Orlandina de Oliveira (coords.), </w:t>
      </w:r>
      <w:r>
        <w:rPr>
          <w:i/>
          <w:color w:val="231F20"/>
          <w:w w:val="110"/>
          <w:sz w:val="19"/>
        </w:rPr>
        <w:t>Imágenes de la familia en el cambio de siglo</w:t>
      </w:r>
      <w:r>
        <w:rPr>
          <w:color w:val="231F20"/>
          <w:w w:val="110"/>
          <w:sz w:val="19"/>
        </w:rPr>
        <w:t>, México, Instituto de Investiga- ciones Sociales-</w:t>
      </w:r>
      <w:r>
        <w:rPr>
          <w:rFonts w:ascii="Times New Roman" w:hAnsi="Times New Roman"/>
          <w:color w:val="231F20"/>
          <w:w w:val="110"/>
          <w:sz w:val="15"/>
        </w:rPr>
        <w:t>UNAM</w:t>
      </w:r>
      <w:r>
        <w:rPr>
          <w:color w:val="231F20"/>
          <w:w w:val="110"/>
          <w:sz w:val="19"/>
        </w:rPr>
        <w:t>.</w:t>
      </w:r>
    </w:p>
    <w:p>
      <w:pPr>
        <w:spacing w:line="273" w:lineRule="auto" w:before="0"/>
        <w:ind w:left="484" w:right="113" w:hanging="360"/>
        <w:jc w:val="both"/>
        <w:rPr>
          <w:sz w:val="19"/>
        </w:rPr>
      </w:pPr>
      <w:r>
        <w:rPr>
          <w:rFonts w:ascii="Times New Roman" w:hAnsi="Times New Roman"/>
          <w:color w:val="231F20"/>
          <w:w w:val="110"/>
          <w:sz w:val="19"/>
        </w:rPr>
        <w:t>D</w:t>
      </w:r>
      <w:r>
        <w:rPr>
          <w:rFonts w:ascii="Times New Roman" w:hAnsi="Times New Roman"/>
          <w:color w:val="231F20"/>
          <w:w w:val="110"/>
          <w:sz w:val="15"/>
        </w:rPr>
        <w:t>EL </w:t>
      </w:r>
      <w:r>
        <w:rPr>
          <w:rFonts w:ascii="Times New Roman" w:hAnsi="Times New Roman"/>
          <w:color w:val="231F20"/>
          <w:w w:val="110"/>
          <w:sz w:val="19"/>
        </w:rPr>
        <w:t>R</w:t>
      </w:r>
      <w:r>
        <w:rPr>
          <w:rFonts w:ascii="Times New Roman" w:hAnsi="Times New Roman"/>
          <w:color w:val="231F20"/>
          <w:w w:val="110"/>
          <w:sz w:val="15"/>
        </w:rPr>
        <w:t>EY</w:t>
      </w:r>
      <w:r>
        <w:rPr>
          <w:color w:val="231F20"/>
          <w:w w:val="110"/>
          <w:sz w:val="19"/>
        </w:rPr>
        <w:t>, Alberto y André Quesnel (2004), “Migración interna y migración in- ternacional en las estrategias familiares de reproducción. El caso de las poblaciones rurales del estado de Veracruz, México”, ponencia presentada en el I Congreso de la Asociación Latinoamericana de Población, 18 al 20 de septiembre, Brasil, Caxambú,  ALAP.</w:t>
      </w:r>
    </w:p>
    <w:p>
      <w:pPr>
        <w:spacing w:line="273" w:lineRule="auto" w:before="0"/>
        <w:ind w:left="484" w:right="113" w:hanging="360"/>
        <w:jc w:val="both"/>
        <w:rPr>
          <w:sz w:val="19"/>
        </w:rPr>
      </w:pPr>
      <w:r>
        <w:rPr>
          <w:rFonts w:ascii="Times New Roman" w:hAnsi="Times New Roman"/>
          <w:color w:val="231F20"/>
          <w:w w:val="110"/>
          <w:sz w:val="19"/>
        </w:rPr>
        <w:t>D</w:t>
      </w:r>
      <w:r>
        <w:rPr>
          <w:rFonts w:ascii="Times New Roman" w:hAnsi="Times New Roman"/>
          <w:color w:val="231F20"/>
          <w:w w:val="110"/>
          <w:sz w:val="15"/>
        </w:rPr>
        <w:t>INERMAN</w:t>
      </w:r>
      <w:r>
        <w:rPr>
          <w:rFonts w:ascii="Times New Roman" w:hAnsi="Times New Roman"/>
          <w:color w:val="231F20"/>
          <w:w w:val="110"/>
          <w:sz w:val="19"/>
        </w:rPr>
        <w:t>, </w:t>
      </w:r>
      <w:r>
        <w:rPr>
          <w:color w:val="231F20"/>
          <w:w w:val="110"/>
          <w:sz w:val="19"/>
        </w:rPr>
        <w:t>Ina (1983), “El impacto agrario de la migración en Huecorio”, </w:t>
      </w:r>
      <w:r>
        <w:rPr>
          <w:i/>
          <w:color w:val="231F20"/>
          <w:w w:val="110"/>
          <w:sz w:val="19"/>
        </w:rPr>
        <w:t>Rela- </w:t>
      </w:r>
      <w:r>
        <w:rPr>
          <w:i/>
          <w:color w:val="231F20"/>
          <w:w w:val="110"/>
          <w:sz w:val="19"/>
        </w:rPr>
        <w:t>ciones</w:t>
      </w:r>
      <w:r>
        <w:rPr>
          <w:color w:val="231F20"/>
          <w:w w:val="110"/>
          <w:sz w:val="19"/>
        </w:rPr>
        <w:t>, 4(15), México, Colegio de Michoacán.</w:t>
      </w:r>
    </w:p>
    <w:p>
      <w:pPr>
        <w:spacing w:after="0" w:line="273" w:lineRule="auto"/>
        <w:jc w:val="both"/>
        <w:rPr>
          <w:sz w:val="19"/>
        </w:rPr>
        <w:sectPr>
          <w:pgSz w:w="9520" w:h="12920"/>
          <w:pgMar w:header="0" w:footer="1344" w:top="880" w:bottom="1540" w:left="1320" w:right="1000"/>
        </w:sectPr>
      </w:pPr>
    </w:p>
    <w:p>
      <w:pPr>
        <w:spacing w:line="266" w:lineRule="auto" w:before="44"/>
        <w:ind w:left="480" w:right="117" w:hanging="360"/>
        <w:jc w:val="both"/>
        <w:rPr>
          <w:sz w:val="19"/>
        </w:rPr>
      </w:pPr>
      <w:r>
        <w:rPr>
          <w:color w:val="231F20"/>
          <w:spacing w:val="-4"/>
          <w:w w:val="105"/>
          <w:sz w:val="19"/>
        </w:rPr>
        <w:t>Food </w:t>
      </w:r>
      <w:r>
        <w:rPr>
          <w:color w:val="231F20"/>
          <w:w w:val="105"/>
          <w:sz w:val="19"/>
        </w:rPr>
        <w:t>and Agriculture Organization </w:t>
      </w:r>
      <w:r>
        <w:rPr>
          <w:rFonts w:ascii="Times New Roman" w:hAnsi="Times New Roman"/>
          <w:color w:val="231F20"/>
          <w:spacing w:val="-3"/>
          <w:w w:val="105"/>
          <w:sz w:val="19"/>
        </w:rPr>
        <w:t>(</w:t>
      </w:r>
      <w:r>
        <w:rPr>
          <w:rFonts w:ascii="Times New Roman" w:hAnsi="Times New Roman"/>
          <w:color w:val="231F20"/>
          <w:spacing w:val="-3"/>
          <w:w w:val="105"/>
          <w:sz w:val="15"/>
        </w:rPr>
        <w:t>FAO</w:t>
      </w:r>
      <w:r>
        <w:rPr>
          <w:rFonts w:ascii="Times New Roman" w:hAnsi="Times New Roman"/>
          <w:color w:val="231F20"/>
          <w:spacing w:val="-3"/>
          <w:w w:val="105"/>
          <w:sz w:val="19"/>
        </w:rPr>
        <w:t>) </w:t>
      </w:r>
      <w:r>
        <w:rPr>
          <w:color w:val="231F20"/>
          <w:w w:val="105"/>
          <w:sz w:val="19"/>
        </w:rPr>
        <w:t>(2011), </w:t>
      </w:r>
      <w:r>
        <w:rPr>
          <w:i/>
          <w:color w:val="231F20"/>
          <w:w w:val="105"/>
          <w:sz w:val="19"/>
        </w:rPr>
        <w:t>El estado mundial de la agricul- </w:t>
      </w:r>
      <w:r>
        <w:rPr>
          <w:i/>
          <w:color w:val="231F20"/>
          <w:w w:val="105"/>
          <w:sz w:val="19"/>
        </w:rPr>
        <w:t>tura</w:t>
      </w:r>
      <w:r>
        <w:rPr>
          <w:i/>
          <w:color w:val="231F20"/>
          <w:spacing w:val="-5"/>
          <w:w w:val="105"/>
          <w:sz w:val="19"/>
        </w:rPr>
        <w:t> </w:t>
      </w:r>
      <w:r>
        <w:rPr>
          <w:i/>
          <w:color w:val="231F20"/>
          <w:w w:val="105"/>
          <w:sz w:val="19"/>
        </w:rPr>
        <w:t>y</w:t>
      </w:r>
      <w:r>
        <w:rPr>
          <w:i/>
          <w:color w:val="231F20"/>
          <w:spacing w:val="-5"/>
          <w:w w:val="105"/>
          <w:sz w:val="19"/>
        </w:rPr>
        <w:t> </w:t>
      </w:r>
      <w:r>
        <w:rPr>
          <w:i/>
          <w:color w:val="231F20"/>
          <w:w w:val="105"/>
          <w:sz w:val="19"/>
        </w:rPr>
        <w:t>la</w:t>
      </w:r>
      <w:r>
        <w:rPr>
          <w:i/>
          <w:color w:val="231F20"/>
          <w:spacing w:val="-5"/>
          <w:w w:val="105"/>
          <w:sz w:val="19"/>
        </w:rPr>
        <w:t> </w:t>
      </w:r>
      <w:r>
        <w:rPr>
          <w:i/>
          <w:color w:val="231F20"/>
          <w:w w:val="105"/>
          <w:sz w:val="19"/>
        </w:rPr>
        <w:t>alimentación.</w:t>
      </w:r>
      <w:r>
        <w:rPr>
          <w:i/>
          <w:color w:val="231F20"/>
          <w:spacing w:val="-5"/>
          <w:w w:val="105"/>
          <w:sz w:val="19"/>
        </w:rPr>
        <w:t> </w:t>
      </w:r>
      <w:r>
        <w:rPr>
          <w:i/>
          <w:color w:val="231F20"/>
          <w:w w:val="105"/>
          <w:sz w:val="19"/>
        </w:rPr>
        <w:t>Las</w:t>
      </w:r>
      <w:r>
        <w:rPr>
          <w:i/>
          <w:color w:val="231F20"/>
          <w:spacing w:val="-5"/>
          <w:w w:val="105"/>
          <w:sz w:val="19"/>
        </w:rPr>
        <w:t> </w:t>
      </w:r>
      <w:r>
        <w:rPr>
          <w:i/>
          <w:color w:val="231F20"/>
          <w:w w:val="105"/>
          <w:sz w:val="19"/>
        </w:rPr>
        <w:t>mujeres</w:t>
      </w:r>
      <w:r>
        <w:rPr>
          <w:i/>
          <w:color w:val="231F20"/>
          <w:spacing w:val="-5"/>
          <w:w w:val="105"/>
          <w:sz w:val="19"/>
        </w:rPr>
        <w:t> </w:t>
      </w:r>
      <w:r>
        <w:rPr>
          <w:i/>
          <w:color w:val="231F20"/>
          <w:w w:val="105"/>
          <w:sz w:val="19"/>
        </w:rPr>
        <w:t>en</w:t>
      </w:r>
      <w:r>
        <w:rPr>
          <w:i/>
          <w:color w:val="231F20"/>
          <w:spacing w:val="-5"/>
          <w:w w:val="105"/>
          <w:sz w:val="19"/>
        </w:rPr>
        <w:t> </w:t>
      </w:r>
      <w:r>
        <w:rPr>
          <w:i/>
          <w:color w:val="231F20"/>
          <w:w w:val="105"/>
          <w:sz w:val="19"/>
        </w:rPr>
        <w:t>la</w:t>
      </w:r>
      <w:r>
        <w:rPr>
          <w:i/>
          <w:color w:val="231F20"/>
          <w:spacing w:val="-5"/>
          <w:w w:val="105"/>
          <w:sz w:val="19"/>
        </w:rPr>
        <w:t> </w:t>
      </w:r>
      <w:r>
        <w:rPr>
          <w:i/>
          <w:color w:val="231F20"/>
          <w:w w:val="105"/>
          <w:sz w:val="19"/>
        </w:rPr>
        <w:t>agricultura:</w:t>
      </w:r>
      <w:r>
        <w:rPr>
          <w:i/>
          <w:color w:val="231F20"/>
          <w:spacing w:val="-5"/>
          <w:w w:val="105"/>
          <w:sz w:val="19"/>
        </w:rPr>
        <w:t> </w:t>
      </w:r>
      <w:r>
        <w:rPr>
          <w:i/>
          <w:color w:val="231F20"/>
          <w:w w:val="105"/>
          <w:sz w:val="19"/>
        </w:rPr>
        <w:t>cerrar</w:t>
      </w:r>
      <w:r>
        <w:rPr>
          <w:i/>
          <w:color w:val="231F20"/>
          <w:spacing w:val="-5"/>
          <w:w w:val="105"/>
          <w:sz w:val="19"/>
        </w:rPr>
        <w:t> </w:t>
      </w:r>
      <w:r>
        <w:rPr>
          <w:i/>
          <w:color w:val="231F20"/>
          <w:w w:val="105"/>
          <w:sz w:val="19"/>
        </w:rPr>
        <w:t>la</w:t>
      </w:r>
      <w:r>
        <w:rPr>
          <w:i/>
          <w:color w:val="231F20"/>
          <w:spacing w:val="-5"/>
          <w:w w:val="105"/>
          <w:sz w:val="19"/>
        </w:rPr>
        <w:t> </w:t>
      </w:r>
      <w:r>
        <w:rPr>
          <w:i/>
          <w:color w:val="231F20"/>
          <w:w w:val="105"/>
          <w:sz w:val="19"/>
        </w:rPr>
        <w:t>brecha</w:t>
      </w:r>
      <w:r>
        <w:rPr>
          <w:i/>
          <w:color w:val="231F20"/>
          <w:spacing w:val="-5"/>
          <w:w w:val="105"/>
          <w:sz w:val="19"/>
        </w:rPr>
        <w:t> </w:t>
      </w:r>
      <w:r>
        <w:rPr>
          <w:i/>
          <w:color w:val="231F20"/>
          <w:w w:val="105"/>
          <w:sz w:val="19"/>
        </w:rPr>
        <w:t>de</w:t>
      </w:r>
      <w:r>
        <w:rPr>
          <w:i/>
          <w:color w:val="231F20"/>
          <w:spacing w:val="-5"/>
          <w:w w:val="105"/>
          <w:sz w:val="19"/>
        </w:rPr>
        <w:t> </w:t>
      </w:r>
      <w:r>
        <w:rPr>
          <w:i/>
          <w:color w:val="231F20"/>
          <w:w w:val="105"/>
          <w:sz w:val="19"/>
        </w:rPr>
        <w:t>género en aras del desarrollo</w:t>
      </w:r>
      <w:r>
        <w:rPr>
          <w:color w:val="231F20"/>
          <w:w w:val="105"/>
          <w:sz w:val="19"/>
        </w:rPr>
        <w:t>, Roma, Organización de las Naciones Unidas para la Agricultura  y  la </w:t>
      </w:r>
      <w:r>
        <w:rPr>
          <w:color w:val="231F20"/>
          <w:spacing w:val="3"/>
          <w:w w:val="105"/>
          <w:sz w:val="19"/>
        </w:rPr>
        <w:t> </w:t>
      </w:r>
      <w:r>
        <w:rPr>
          <w:color w:val="231F20"/>
          <w:w w:val="105"/>
          <w:sz w:val="19"/>
        </w:rPr>
        <w:t>Alimentación.</w:t>
      </w:r>
    </w:p>
    <w:p>
      <w:pPr>
        <w:spacing w:line="266" w:lineRule="auto" w:before="0"/>
        <w:ind w:left="479" w:right="117" w:hanging="360"/>
        <w:jc w:val="both"/>
        <w:rPr>
          <w:sz w:val="19"/>
        </w:rPr>
      </w:pPr>
      <w:r>
        <w:rPr>
          <w:rFonts w:ascii="Times New Roman" w:hAnsi="Times New Roman"/>
          <w:color w:val="231F20"/>
          <w:w w:val="110"/>
          <w:sz w:val="19"/>
        </w:rPr>
        <w:t>G</w:t>
      </w:r>
      <w:r>
        <w:rPr>
          <w:rFonts w:ascii="Times New Roman" w:hAnsi="Times New Roman"/>
          <w:color w:val="231F20"/>
          <w:w w:val="110"/>
          <w:sz w:val="15"/>
        </w:rPr>
        <w:t>ARCÍA</w:t>
      </w:r>
      <w:r>
        <w:rPr>
          <w:color w:val="231F20"/>
          <w:w w:val="110"/>
          <w:sz w:val="19"/>
        </w:rPr>
        <w:t>,</w:t>
      </w:r>
      <w:r>
        <w:rPr>
          <w:color w:val="231F20"/>
          <w:spacing w:val="-14"/>
          <w:w w:val="110"/>
          <w:sz w:val="19"/>
        </w:rPr>
        <w:t> </w:t>
      </w:r>
      <w:r>
        <w:rPr>
          <w:color w:val="231F20"/>
          <w:w w:val="110"/>
          <w:sz w:val="19"/>
        </w:rPr>
        <w:t>Brígida</w:t>
      </w:r>
      <w:r>
        <w:rPr>
          <w:color w:val="231F20"/>
          <w:spacing w:val="-14"/>
          <w:w w:val="110"/>
          <w:sz w:val="19"/>
        </w:rPr>
        <w:t> </w:t>
      </w:r>
      <w:r>
        <w:rPr>
          <w:color w:val="231F20"/>
          <w:w w:val="110"/>
          <w:sz w:val="19"/>
        </w:rPr>
        <w:t>y</w:t>
      </w:r>
      <w:r>
        <w:rPr>
          <w:color w:val="231F20"/>
          <w:spacing w:val="-14"/>
          <w:w w:val="110"/>
          <w:sz w:val="19"/>
        </w:rPr>
        <w:t> </w:t>
      </w:r>
      <w:r>
        <w:rPr>
          <w:color w:val="231F20"/>
          <w:w w:val="110"/>
          <w:sz w:val="19"/>
        </w:rPr>
        <w:t>Orlandina</w:t>
      </w:r>
      <w:r>
        <w:rPr>
          <w:color w:val="231F20"/>
          <w:spacing w:val="-14"/>
          <w:w w:val="110"/>
          <w:sz w:val="19"/>
        </w:rPr>
        <w:t> </w:t>
      </w:r>
      <w:r>
        <w:rPr>
          <w:color w:val="231F20"/>
          <w:w w:val="110"/>
          <w:sz w:val="19"/>
        </w:rPr>
        <w:t>de</w:t>
      </w:r>
      <w:r>
        <w:rPr>
          <w:color w:val="231F20"/>
          <w:spacing w:val="-14"/>
          <w:w w:val="110"/>
          <w:sz w:val="19"/>
        </w:rPr>
        <w:t> </w:t>
      </w:r>
      <w:r>
        <w:rPr>
          <w:color w:val="231F20"/>
          <w:w w:val="110"/>
          <w:sz w:val="19"/>
        </w:rPr>
        <w:t>Oliveira</w:t>
      </w:r>
      <w:r>
        <w:rPr>
          <w:color w:val="231F20"/>
          <w:spacing w:val="-14"/>
          <w:w w:val="110"/>
          <w:sz w:val="19"/>
        </w:rPr>
        <w:t> </w:t>
      </w:r>
      <w:r>
        <w:rPr>
          <w:color w:val="231F20"/>
          <w:w w:val="110"/>
          <w:sz w:val="19"/>
        </w:rPr>
        <w:t>(1998),</w:t>
      </w:r>
      <w:r>
        <w:rPr>
          <w:color w:val="231F20"/>
          <w:spacing w:val="-14"/>
          <w:w w:val="110"/>
          <w:sz w:val="19"/>
        </w:rPr>
        <w:t> </w:t>
      </w:r>
      <w:r>
        <w:rPr>
          <w:i/>
          <w:color w:val="231F20"/>
          <w:w w:val="110"/>
          <w:sz w:val="19"/>
        </w:rPr>
        <w:t>Trabajo</w:t>
      </w:r>
      <w:r>
        <w:rPr>
          <w:i/>
          <w:color w:val="231F20"/>
          <w:spacing w:val="-17"/>
          <w:w w:val="110"/>
          <w:sz w:val="19"/>
        </w:rPr>
        <w:t> </w:t>
      </w:r>
      <w:r>
        <w:rPr>
          <w:i/>
          <w:color w:val="231F20"/>
          <w:w w:val="110"/>
          <w:sz w:val="19"/>
        </w:rPr>
        <w:t>femenino</w:t>
      </w:r>
      <w:r>
        <w:rPr>
          <w:i/>
          <w:color w:val="231F20"/>
          <w:spacing w:val="-17"/>
          <w:w w:val="110"/>
          <w:sz w:val="19"/>
        </w:rPr>
        <w:t> </w:t>
      </w:r>
      <w:r>
        <w:rPr>
          <w:i/>
          <w:color w:val="231F20"/>
          <w:w w:val="110"/>
          <w:sz w:val="19"/>
        </w:rPr>
        <w:t>y</w:t>
      </w:r>
      <w:r>
        <w:rPr>
          <w:i/>
          <w:color w:val="231F20"/>
          <w:spacing w:val="-17"/>
          <w:w w:val="110"/>
          <w:sz w:val="19"/>
        </w:rPr>
        <w:t> </w:t>
      </w:r>
      <w:r>
        <w:rPr>
          <w:i/>
          <w:color w:val="231F20"/>
          <w:w w:val="110"/>
          <w:sz w:val="19"/>
        </w:rPr>
        <w:t>vida</w:t>
      </w:r>
      <w:r>
        <w:rPr>
          <w:i/>
          <w:color w:val="231F20"/>
          <w:spacing w:val="-17"/>
          <w:w w:val="110"/>
          <w:sz w:val="19"/>
        </w:rPr>
        <w:t> </w:t>
      </w:r>
      <w:r>
        <w:rPr>
          <w:i/>
          <w:color w:val="231F20"/>
          <w:w w:val="110"/>
          <w:sz w:val="19"/>
        </w:rPr>
        <w:t>familiar </w:t>
      </w:r>
      <w:r>
        <w:rPr>
          <w:i/>
          <w:color w:val="231F20"/>
          <w:w w:val="110"/>
          <w:sz w:val="19"/>
        </w:rPr>
        <w:t>en México</w:t>
      </w:r>
      <w:r>
        <w:rPr>
          <w:color w:val="231F20"/>
          <w:w w:val="110"/>
          <w:sz w:val="19"/>
        </w:rPr>
        <w:t>, México, El Colegio de  </w:t>
      </w:r>
      <w:r>
        <w:rPr>
          <w:color w:val="231F20"/>
          <w:spacing w:val="27"/>
          <w:w w:val="110"/>
          <w:sz w:val="19"/>
        </w:rPr>
        <w:t> </w:t>
      </w:r>
      <w:r>
        <w:rPr>
          <w:color w:val="231F20"/>
          <w:w w:val="110"/>
          <w:sz w:val="19"/>
        </w:rPr>
        <w:t>México.</w:t>
      </w:r>
    </w:p>
    <w:p>
      <w:pPr>
        <w:spacing w:line="266" w:lineRule="auto" w:before="0"/>
        <w:ind w:left="480" w:right="116" w:hanging="360"/>
        <w:jc w:val="both"/>
        <w:rPr>
          <w:sz w:val="19"/>
        </w:rPr>
      </w:pPr>
      <w:r>
        <w:rPr>
          <w:rFonts w:ascii="Times New Roman" w:hAnsi="Times New Roman"/>
          <w:color w:val="231F20"/>
          <w:spacing w:val="3"/>
          <w:w w:val="110"/>
          <w:sz w:val="19"/>
        </w:rPr>
        <w:t>J</w:t>
      </w:r>
      <w:r>
        <w:rPr>
          <w:rFonts w:ascii="Times New Roman" w:hAnsi="Times New Roman"/>
          <w:color w:val="231F20"/>
          <w:spacing w:val="3"/>
          <w:w w:val="110"/>
          <w:sz w:val="15"/>
        </w:rPr>
        <w:t>ELIN</w:t>
      </w:r>
      <w:r>
        <w:rPr>
          <w:rFonts w:ascii="Times New Roman" w:hAnsi="Times New Roman"/>
          <w:color w:val="231F20"/>
          <w:spacing w:val="3"/>
          <w:w w:val="110"/>
          <w:sz w:val="19"/>
        </w:rPr>
        <w:t>, </w:t>
      </w:r>
      <w:r>
        <w:rPr>
          <w:color w:val="231F20"/>
          <w:spacing w:val="3"/>
          <w:w w:val="110"/>
          <w:sz w:val="19"/>
        </w:rPr>
        <w:t>Elizabeth (2007), </w:t>
      </w:r>
      <w:r>
        <w:rPr>
          <w:color w:val="231F20"/>
          <w:w w:val="110"/>
          <w:sz w:val="19"/>
        </w:rPr>
        <w:t>“ </w:t>
      </w:r>
      <w:r>
        <w:rPr>
          <w:color w:val="231F20"/>
          <w:spacing w:val="3"/>
          <w:w w:val="110"/>
          <w:sz w:val="19"/>
        </w:rPr>
        <w:t>Las familias latinoamericanas </w:t>
      </w:r>
      <w:r>
        <w:rPr>
          <w:color w:val="231F20"/>
          <w:w w:val="110"/>
          <w:sz w:val="19"/>
        </w:rPr>
        <w:t>en el </w:t>
      </w:r>
      <w:r>
        <w:rPr>
          <w:color w:val="231F20"/>
          <w:spacing w:val="3"/>
          <w:w w:val="110"/>
          <w:sz w:val="19"/>
        </w:rPr>
        <w:t>marco </w:t>
      </w:r>
      <w:r>
        <w:rPr>
          <w:color w:val="231F20"/>
          <w:w w:val="110"/>
          <w:sz w:val="19"/>
        </w:rPr>
        <w:t>de </w:t>
      </w:r>
      <w:r>
        <w:rPr>
          <w:color w:val="231F20"/>
          <w:spacing w:val="2"/>
          <w:w w:val="110"/>
          <w:sz w:val="19"/>
        </w:rPr>
        <w:t>las </w:t>
      </w:r>
      <w:r>
        <w:rPr>
          <w:color w:val="231F20"/>
          <w:w w:val="110"/>
          <w:sz w:val="19"/>
        </w:rPr>
        <w:t>transformaciones</w:t>
      </w:r>
      <w:r>
        <w:rPr>
          <w:color w:val="231F20"/>
          <w:spacing w:val="-9"/>
          <w:w w:val="110"/>
          <w:sz w:val="19"/>
        </w:rPr>
        <w:t> </w:t>
      </w:r>
      <w:r>
        <w:rPr>
          <w:color w:val="231F20"/>
          <w:w w:val="110"/>
          <w:sz w:val="19"/>
        </w:rPr>
        <w:t>globales”,</w:t>
      </w:r>
      <w:r>
        <w:rPr>
          <w:color w:val="231F20"/>
          <w:spacing w:val="-9"/>
          <w:w w:val="110"/>
          <w:sz w:val="19"/>
        </w:rPr>
        <w:t> </w:t>
      </w:r>
      <w:r>
        <w:rPr>
          <w:color w:val="231F20"/>
          <w:w w:val="110"/>
          <w:sz w:val="19"/>
        </w:rPr>
        <w:t>en</w:t>
      </w:r>
      <w:r>
        <w:rPr>
          <w:color w:val="231F20"/>
          <w:spacing w:val="-9"/>
          <w:w w:val="110"/>
          <w:sz w:val="19"/>
        </w:rPr>
        <w:t> </w:t>
      </w:r>
      <w:r>
        <w:rPr>
          <w:color w:val="231F20"/>
          <w:w w:val="110"/>
          <w:sz w:val="19"/>
        </w:rPr>
        <w:t>Irma</w:t>
      </w:r>
      <w:r>
        <w:rPr>
          <w:color w:val="231F20"/>
          <w:spacing w:val="-9"/>
          <w:w w:val="110"/>
          <w:sz w:val="19"/>
        </w:rPr>
        <w:t> </w:t>
      </w:r>
      <w:r>
        <w:rPr>
          <w:color w:val="231F20"/>
          <w:w w:val="110"/>
          <w:sz w:val="19"/>
        </w:rPr>
        <w:t>Arriagada</w:t>
      </w:r>
      <w:r>
        <w:rPr>
          <w:color w:val="231F20"/>
          <w:spacing w:val="-9"/>
          <w:w w:val="110"/>
          <w:sz w:val="19"/>
        </w:rPr>
        <w:t> </w:t>
      </w:r>
      <w:r>
        <w:rPr>
          <w:color w:val="231F20"/>
          <w:w w:val="110"/>
          <w:sz w:val="19"/>
        </w:rPr>
        <w:t>(coord.),</w:t>
      </w:r>
      <w:r>
        <w:rPr>
          <w:color w:val="231F20"/>
          <w:spacing w:val="-9"/>
          <w:w w:val="110"/>
          <w:sz w:val="19"/>
        </w:rPr>
        <w:t> </w:t>
      </w:r>
      <w:r>
        <w:rPr>
          <w:i/>
          <w:color w:val="231F20"/>
          <w:w w:val="110"/>
          <w:sz w:val="19"/>
        </w:rPr>
        <w:t>Familias</w:t>
      </w:r>
      <w:r>
        <w:rPr>
          <w:i/>
          <w:color w:val="231F20"/>
          <w:spacing w:val="-12"/>
          <w:w w:val="110"/>
          <w:sz w:val="19"/>
        </w:rPr>
        <w:t> </w:t>
      </w:r>
      <w:r>
        <w:rPr>
          <w:i/>
          <w:color w:val="231F20"/>
          <w:w w:val="110"/>
          <w:sz w:val="19"/>
        </w:rPr>
        <w:t>y</w:t>
      </w:r>
      <w:r>
        <w:rPr>
          <w:i/>
          <w:color w:val="231F20"/>
          <w:spacing w:val="-12"/>
          <w:w w:val="110"/>
          <w:sz w:val="19"/>
        </w:rPr>
        <w:t> </w:t>
      </w:r>
      <w:r>
        <w:rPr>
          <w:i/>
          <w:color w:val="231F20"/>
          <w:w w:val="110"/>
          <w:sz w:val="19"/>
        </w:rPr>
        <w:t>políticas </w:t>
      </w:r>
      <w:r>
        <w:rPr>
          <w:i/>
          <w:color w:val="231F20"/>
          <w:w w:val="110"/>
          <w:sz w:val="19"/>
        </w:rPr>
        <w:t>públicas</w:t>
      </w:r>
      <w:r>
        <w:rPr>
          <w:i/>
          <w:color w:val="231F20"/>
          <w:spacing w:val="-15"/>
          <w:w w:val="110"/>
          <w:sz w:val="19"/>
        </w:rPr>
        <w:t> </w:t>
      </w:r>
      <w:r>
        <w:rPr>
          <w:i/>
          <w:color w:val="231F20"/>
          <w:w w:val="110"/>
          <w:sz w:val="19"/>
        </w:rPr>
        <w:t>en</w:t>
      </w:r>
      <w:r>
        <w:rPr>
          <w:i/>
          <w:color w:val="231F20"/>
          <w:spacing w:val="-15"/>
          <w:w w:val="110"/>
          <w:sz w:val="19"/>
        </w:rPr>
        <w:t> </w:t>
      </w:r>
      <w:r>
        <w:rPr>
          <w:i/>
          <w:color w:val="231F20"/>
          <w:w w:val="110"/>
          <w:sz w:val="19"/>
        </w:rPr>
        <w:t>América</w:t>
      </w:r>
      <w:r>
        <w:rPr>
          <w:i/>
          <w:color w:val="231F20"/>
          <w:spacing w:val="-15"/>
          <w:w w:val="110"/>
          <w:sz w:val="19"/>
        </w:rPr>
        <w:t> </w:t>
      </w:r>
      <w:r>
        <w:rPr>
          <w:i/>
          <w:color w:val="231F20"/>
          <w:w w:val="110"/>
          <w:sz w:val="19"/>
        </w:rPr>
        <w:t>Latina.</w:t>
      </w:r>
      <w:r>
        <w:rPr>
          <w:i/>
          <w:color w:val="231F20"/>
          <w:spacing w:val="-15"/>
          <w:w w:val="110"/>
          <w:sz w:val="19"/>
        </w:rPr>
        <w:t> </w:t>
      </w:r>
      <w:r>
        <w:rPr>
          <w:i/>
          <w:color w:val="231F20"/>
          <w:w w:val="110"/>
          <w:sz w:val="19"/>
        </w:rPr>
        <w:t>Una</w:t>
      </w:r>
      <w:r>
        <w:rPr>
          <w:i/>
          <w:color w:val="231F20"/>
          <w:spacing w:val="-15"/>
          <w:w w:val="110"/>
          <w:sz w:val="19"/>
        </w:rPr>
        <w:t> </w:t>
      </w:r>
      <w:r>
        <w:rPr>
          <w:i/>
          <w:color w:val="231F20"/>
          <w:w w:val="110"/>
          <w:sz w:val="19"/>
        </w:rPr>
        <w:t>historia</w:t>
      </w:r>
      <w:r>
        <w:rPr>
          <w:i/>
          <w:color w:val="231F20"/>
          <w:spacing w:val="-15"/>
          <w:w w:val="110"/>
          <w:sz w:val="19"/>
        </w:rPr>
        <w:t> </w:t>
      </w:r>
      <w:r>
        <w:rPr>
          <w:i/>
          <w:color w:val="231F20"/>
          <w:w w:val="110"/>
          <w:sz w:val="19"/>
        </w:rPr>
        <w:t>de</w:t>
      </w:r>
      <w:r>
        <w:rPr>
          <w:i/>
          <w:color w:val="231F20"/>
          <w:spacing w:val="-15"/>
          <w:w w:val="110"/>
          <w:sz w:val="19"/>
        </w:rPr>
        <w:t> </w:t>
      </w:r>
      <w:r>
        <w:rPr>
          <w:i/>
          <w:color w:val="231F20"/>
          <w:w w:val="110"/>
          <w:sz w:val="19"/>
        </w:rPr>
        <w:t>desencuentros</w:t>
      </w:r>
      <w:r>
        <w:rPr>
          <w:color w:val="231F20"/>
          <w:w w:val="110"/>
          <w:sz w:val="19"/>
        </w:rPr>
        <w:t>,</w:t>
      </w:r>
      <w:r>
        <w:rPr>
          <w:color w:val="231F20"/>
          <w:spacing w:val="-11"/>
          <w:w w:val="110"/>
          <w:sz w:val="19"/>
        </w:rPr>
        <w:t> </w:t>
      </w:r>
      <w:r>
        <w:rPr>
          <w:color w:val="231F20"/>
          <w:w w:val="110"/>
          <w:sz w:val="19"/>
        </w:rPr>
        <w:t>Santiago</w:t>
      </w:r>
      <w:r>
        <w:rPr>
          <w:color w:val="231F20"/>
          <w:spacing w:val="-11"/>
          <w:w w:val="110"/>
          <w:sz w:val="19"/>
        </w:rPr>
        <w:t> </w:t>
      </w:r>
      <w:r>
        <w:rPr>
          <w:color w:val="231F20"/>
          <w:w w:val="110"/>
          <w:sz w:val="19"/>
        </w:rPr>
        <w:t>de</w:t>
      </w:r>
      <w:r>
        <w:rPr>
          <w:color w:val="231F20"/>
          <w:spacing w:val="-11"/>
          <w:w w:val="110"/>
          <w:sz w:val="19"/>
        </w:rPr>
        <w:t> </w:t>
      </w:r>
      <w:r>
        <w:rPr>
          <w:color w:val="231F20"/>
          <w:w w:val="110"/>
          <w:sz w:val="19"/>
        </w:rPr>
        <w:t>Chile, </w:t>
      </w:r>
      <w:r>
        <w:rPr>
          <w:rFonts w:ascii="Times New Roman" w:hAnsi="Times New Roman"/>
          <w:color w:val="231F20"/>
          <w:w w:val="110"/>
          <w:sz w:val="15"/>
        </w:rPr>
        <w:t>CEPAL</w:t>
      </w:r>
      <w:r>
        <w:rPr>
          <w:color w:val="231F20"/>
          <w:w w:val="110"/>
          <w:sz w:val="19"/>
        </w:rPr>
        <w:t>/</w:t>
      </w:r>
      <w:r>
        <w:rPr>
          <w:rFonts w:ascii="Times New Roman" w:hAnsi="Times New Roman"/>
          <w:color w:val="231F20"/>
          <w:w w:val="110"/>
          <w:sz w:val="15"/>
        </w:rPr>
        <w:t>UNFPA</w:t>
      </w:r>
      <w:r>
        <w:rPr>
          <w:color w:val="231F20"/>
          <w:w w:val="110"/>
          <w:sz w:val="19"/>
        </w:rPr>
        <w:t>.</w:t>
      </w:r>
    </w:p>
    <w:p>
      <w:pPr>
        <w:spacing w:line="266" w:lineRule="auto" w:before="0"/>
        <w:ind w:left="479" w:right="119" w:hanging="360"/>
        <w:jc w:val="both"/>
        <w:rPr>
          <w:sz w:val="19"/>
        </w:rPr>
      </w:pPr>
      <w:r>
        <w:rPr>
          <w:rFonts w:ascii="Times New Roman" w:hAnsi="Times New Roman"/>
          <w:color w:val="231F20"/>
          <w:w w:val="110"/>
          <w:sz w:val="19"/>
        </w:rPr>
        <w:t>K</w:t>
      </w:r>
      <w:r>
        <w:rPr>
          <w:rFonts w:ascii="Times New Roman" w:hAnsi="Times New Roman"/>
          <w:color w:val="231F20"/>
          <w:w w:val="110"/>
          <w:sz w:val="15"/>
        </w:rPr>
        <w:t>LIKSBERG</w:t>
      </w:r>
      <w:r>
        <w:rPr>
          <w:rFonts w:ascii="Times New Roman" w:hAnsi="Times New Roman"/>
          <w:color w:val="231F20"/>
          <w:w w:val="110"/>
          <w:sz w:val="19"/>
        </w:rPr>
        <w:t>, </w:t>
      </w:r>
      <w:r>
        <w:rPr>
          <w:color w:val="231F20"/>
          <w:w w:val="110"/>
          <w:sz w:val="19"/>
        </w:rPr>
        <w:t>B. (2005), </w:t>
      </w:r>
      <w:r>
        <w:rPr>
          <w:color w:val="231F20"/>
          <w:spacing w:val="5"/>
          <w:w w:val="110"/>
          <w:sz w:val="19"/>
        </w:rPr>
        <w:t>“La</w:t>
      </w:r>
      <w:r>
        <w:rPr>
          <w:color w:val="231F20"/>
          <w:spacing w:val="-32"/>
          <w:w w:val="110"/>
          <w:sz w:val="19"/>
        </w:rPr>
        <w:t> </w:t>
      </w:r>
      <w:r>
        <w:rPr>
          <w:color w:val="231F20"/>
          <w:w w:val="110"/>
          <w:sz w:val="19"/>
        </w:rPr>
        <w:t>familia en América Latina. Realidades, interrogantes y</w:t>
      </w:r>
      <w:r>
        <w:rPr>
          <w:color w:val="231F20"/>
          <w:spacing w:val="-5"/>
          <w:w w:val="110"/>
          <w:sz w:val="19"/>
        </w:rPr>
        <w:t> </w:t>
      </w:r>
      <w:r>
        <w:rPr>
          <w:color w:val="231F20"/>
          <w:w w:val="110"/>
          <w:sz w:val="19"/>
        </w:rPr>
        <w:t>perspectivas”,</w:t>
      </w:r>
      <w:r>
        <w:rPr>
          <w:color w:val="231F20"/>
          <w:spacing w:val="-5"/>
          <w:w w:val="110"/>
          <w:sz w:val="19"/>
        </w:rPr>
        <w:t> </w:t>
      </w:r>
      <w:r>
        <w:rPr>
          <w:i/>
          <w:color w:val="231F20"/>
          <w:w w:val="110"/>
          <w:sz w:val="19"/>
        </w:rPr>
        <w:t>Convergencia,</w:t>
      </w:r>
      <w:r>
        <w:rPr>
          <w:i/>
          <w:color w:val="231F20"/>
          <w:spacing w:val="-9"/>
          <w:w w:val="110"/>
          <w:sz w:val="19"/>
        </w:rPr>
        <w:t> </w:t>
      </w:r>
      <w:r>
        <w:rPr>
          <w:i/>
          <w:color w:val="231F20"/>
          <w:w w:val="110"/>
          <w:sz w:val="19"/>
        </w:rPr>
        <w:t>Revista</w:t>
      </w:r>
      <w:r>
        <w:rPr>
          <w:i/>
          <w:color w:val="231F20"/>
          <w:spacing w:val="-9"/>
          <w:w w:val="110"/>
          <w:sz w:val="19"/>
        </w:rPr>
        <w:t> </w:t>
      </w:r>
      <w:r>
        <w:rPr>
          <w:i/>
          <w:color w:val="231F20"/>
          <w:w w:val="110"/>
          <w:sz w:val="19"/>
        </w:rPr>
        <w:t>de</w:t>
      </w:r>
      <w:r>
        <w:rPr>
          <w:i/>
          <w:color w:val="231F20"/>
          <w:spacing w:val="-9"/>
          <w:w w:val="110"/>
          <w:sz w:val="19"/>
        </w:rPr>
        <w:t> </w:t>
      </w:r>
      <w:r>
        <w:rPr>
          <w:i/>
          <w:color w:val="231F20"/>
          <w:w w:val="110"/>
          <w:sz w:val="19"/>
        </w:rPr>
        <w:t>Ciencias</w:t>
      </w:r>
      <w:r>
        <w:rPr>
          <w:i/>
          <w:color w:val="231F20"/>
          <w:spacing w:val="-9"/>
          <w:w w:val="110"/>
          <w:sz w:val="19"/>
        </w:rPr>
        <w:t> </w:t>
      </w:r>
      <w:r>
        <w:rPr>
          <w:i/>
          <w:color w:val="231F20"/>
          <w:w w:val="110"/>
          <w:sz w:val="19"/>
        </w:rPr>
        <w:t>Sociales</w:t>
      </w:r>
      <w:r>
        <w:rPr>
          <w:color w:val="231F20"/>
          <w:w w:val="110"/>
          <w:sz w:val="19"/>
        </w:rPr>
        <w:t>,</w:t>
      </w:r>
      <w:r>
        <w:rPr>
          <w:color w:val="231F20"/>
          <w:spacing w:val="-5"/>
          <w:w w:val="110"/>
          <w:sz w:val="19"/>
        </w:rPr>
        <w:t> </w:t>
      </w:r>
      <w:r>
        <w:rPr>
          <w:color w:val="231F20"/>
          <w:w w:val="110"/>
          <w:sz w:val="19"/>
        </w:rPr>
        <w:t>año</w:t>
      </w:r>
      <w:r>
        <w:rPr>
          <w:color w:val="231F20"/>
          <w:spacing w:val="-5"/>
          <w:w w:val="110"/>
          <w:sz w:val="19"/>
        </w:rPr>
        <w:t> </w:t>
      </w:r>
      <w:r>
        <w:rPr>
          <w:color w:val="231F20"/>
          <w:w w:val="110"/>
          <w:sz w:val="19"/>
        </w:rPr>
        <w:t>12,</w:t>
      </w:r>
      <w:r>
        <w:rPr>
          <w:color w:val="231F20"/>
          <w:spacing w:val="-5"/>
          <w:w w:val="110"/>
          <w:sz w:val="19"/>
        </w:rPr>
        <w:t> </w:t>
      </w:r>
      <w:r>
        <w:rPr>
          <w:color w:val="231F20"/>
          <w:w w:val="110"/>
          <w:sz w:val="19"/>
        </w:rPr>
        <w:t>núm.</w:t>
      </w:r>
      <w:r>
        <w:rPr>
          <w:color w:val="231F20"/>
          <w:spacing w:val="-5"/>
          <w:w w:val="110"/>
          <w:sz w:val="19"/>
        </w:rPr>
        <w:t> </w:t>
      </w:r>
      <w:r>
        <w:rPr>
          <w:color w:val="231F20"/>
          <w:w w:val="110"/>
          <w:sz w:val="19"/>
        </w:rPr>
        <w:t>38, Facultad de Ciencias Políticas y Administración Pública, Universidad</w:t>
      </w:r>
      <w:r>
        <w:rPr>
          <w:color w:val="231F20"/>
          <w:spacing w:val="-22"/>
          <w:w w:val="110"/>
          <w:sz w:val="19"/>
        </w:rPr>
        <w:t> </w:t>
      </w:r>
      <w:r>
        <w:rPr>
          <w:color w:val="231F20"/>
          <w:w w:val="110"/>
          <w:sz w:val="19"/>
        </w:rPr>
        <w:t>Autó- noma del Estado de México, mayo-agosto, pp. </w:t>
      </w:r>
      <w:r>
        <w:rPr>
          <w:color w:val="231F20"/>
          <w:spacing w:val="2"/>
          <w:w w:val="110"/>
          <w:sz w:val="19"/>
        </w:rPr>
        <w:t> </w:t>
      </w:r>
      <w:r>
        <w:rPr>
          <w:color w:val="231F20"/>
          <w:w w:val="110"/>
          <w:sz w:val="19"/>
        </w:rPr>
        <w:t>13-41.</w:t>
      </w:r>
    </w:p>
    <w:p>
      <w:pPr>
        <w:spacing w:line="266" w:lineRule="auto" w:before="0"/>
        <w:ind w:left="120" w:right="115" w:firstLine="0"/>
        <w:jc w:val="right"/>
        <w:rPr>
          <w:sz w:val="19"/>
        </w:rPr>
      </w:pPr>
      <w:r>
        <w:rPr>
          <w:rFonts w:ascii="Times New Roman" w:hAnsi="Times New Roman"/>
          <w:color w:val="231F20"/>
          <w:w w:val="110"/>
          <w:sz w:val="19"/>
        </w:rPr>
        <w:t>L</w:t>
      </w:r>
      <w:r>
        <w:rPr>
          <w:rFonts w:ascii="Times New Roman" w:hAnsi="Times New Roman"/>
          <w:color w:val="231F20"/>
          <w:w w:val="110"/>
          <w:sz w:val="15"/>
        </w:rPr>
        <w:t>AGARDE</w:t>
      </w:r>
      <w:r>
        <w:rPr>
          <w:rFonts w:ascii="Times New Roman" w:hAnsi="Times New Roman"/>
          <w:color w:val="231F20"/>
          <w:spacing w:val="-15"/>
          <w:w w:val="110"/>
          <w:sz w:val="15"/>
        </w:rPr>
        <w:t> </w:t>
      </w:r>
      <w:r>
        <w:rPr>
          <w:color w:val="231F20"/>
          <w:w w:val="110"/>
          <w:sz w:val="19"/>
        </w:rPr>
        <w:t>Marcela</w:t>
      </w:r>
      <w:r>
        <w:rPr>
          <w:color w:val="231F20"/>
          <w:spacing w:val="-20"/>
          <w:w w:val="110"/>
          <w:sz w:val="19"/>
        </w:rPr>
        <w:t> </w:t>
      </w:r>
      <w:r>
        <w:rPr>
          <w:color w:val="231F20"/>
          <w:w w:val="110"/>
          <w:sz w:val="19"/>
        </w:rPr>
        <w:t>(1997),</w:t>
      </w:r>
      <w:r>
        <w:rPr>
          <w:color w:val="231F20"/>
          <w:spacing w:val="-20"/>
          <w:w w:val="110"/>
          <w:sz w:val="19"/>
        </w:rPr>
        <w:t> </w:t>
      </w:r>
      <w:r>
        <w:rPr>
          <w:i/>
          <w:color w:val="231F20"/>
          <w:w w:val="110"/>
          <w:sz w:val="19"/>
        </w:rPr>
        <w:t>Los</w:t>
      </w:r>
      <w:r>
        <w:rPr>
          <w:i/>
          <w:color w:val="231F20"/>
          <w:spacing w:val="-22"/>
          <w:w w:val="110"/>
          <w:sz w:val="19"/>
        </w:rPr>
        <w:t> </w:t>
      </w:r>
      <w:r>
        <w:rPr>
          <w:i/>
          <w:color w:val="231F20"/>
          <w:w w:val="110"/>
          <w:sz w:val="19"/>
        </w:rPr>
        <w:t>cautiverios</w:t>
      </w:r>
      <w:r>
        <w:rPr>
          <w:i/>
          <w:color w:val="231F20"/>
          <w:spacing w:val="-22"/>
          <w:w w:val="110"/>
          <w:sz w:val="19"/>
        </w:rPr>
        <w:t> </w:t>
      </w:r>
      <w:r>
        <w:rPr>
          <w:i/>
          <w:color w:val="231F20"/>
          <w:w w:val="110"/>
          <w:sz w:val="19"/>
        </w:rPr>
        <w:t>de</w:t>
      </w:r>
      <w:r>
        <w:rPr>
          <w:i/>
          <w:color w:val="231F20"/>
          <w:spacing w:val="-22"/>
          <w:w w:val="110"/>
          <w:sz w:val="19"/>
        </w:rPr>
        <w:t> </w:t>
      </w:r>
      <w:r>
        <w:rPr>
          <w:i/>
          <w:color w:val="231F20"/>
          <w:w w:val="110"/>
          <w:sz w:val="19"/>
        </w:rPr>
        <w:t>las</w:t>
      </w:r>
      <w:r>
        <w:rPr>
          <w:i/>
          <w:color w:val="231F20"/>
          <w:spacing w:val="-22"/>
          <w:w w:val="110"/>
          <w:sz w:val="19"/>
        </w:rPr>
        <w:t> </w:t>
      </w:r>
      <w:r>
        <w:rPr>
          <w:i/>
          <w:color w:val="231F20"/>
          <w:w w:val="110"/>
          <w:sz w:val="19"/>
        </w:rPr>
        <w:t>mujeres:</w:t>
      </w:r>
      <w:r>
        <w:rPr>
          <w:i/>
          <w:color w:val="231F20"/>
          <w:spacing w:val="-22"/>
          <w:w w:val="110"/>
          <w:sz w:val="19"/>
        </w:rPr>
        <w:t> </w:t>
      </w:r>
      <w:r>
        <w:rPr>
          <w:i/>
          <w:color w:val="231F20"/>
          <w:w w:val="110"/>
          <w:sz w:val="19"/>
        </w:rPr>
        <w:t>madres,</w:t>
      </w:r>
      <w:r>
        <w:rPr>
          <w:i/>
          <w:color w:val="231F20"/>
          <w:spacing w:val="-22"/>
          <w:w w:val="110"/>
          <w:sz w:val="19"/>
        </w:rPr>
        <w:t> </w:t>
      </w:r>
      <w:r>
        <w:rPr>
          <w:i/>
          <w:color w:val="231F20"/>
          <w:w w:val="110"/>
          <w:sz w:val="19"/>
        </w:rPr>
        <w:t>esposas,</w:t>
      </w:r>
      <w:r>
        <w:rPr>
          <w:i/>
          <w:color w:val="231F20"/>
          <w:spacing w:val="-22"/>
          <w:w w:val="110"/>
          <w:sz w:val="19"/>
        </w:rPr>
        <w:t> </w:t>
      </w:r>
      <w:r>
        <w:rPr>
          <w:i/>
          <w:color w:val="231F20"/>
          <w:w w:val="110"/>
          <w:sz w:val="19"/>
        </w:rPr>
        <w:t>monjas,</w:t>
      </w:r>
      <w:r>
        <w:rPr>
          <w:i/>
          <w:color w:val="231F20"/>
          <w:w w:val="108"/>
          <w:sz w:val="19"/>
        </w:rPr>
        <w:t> </w:t>
      </w:r>
      <w:r>
        <w:rPr>
          <w:i/>
          <w:color w:val="231F20"/>
          <w:w w:val="110"/>
          <w:sz w:val="19"/>
        </w:rPr>
        <w:t>putas, presas y locas</w:t>
      </w:r>
      <w:r>
        <w:rPr>
          <w:color w:val="231F20"/>
          <w:w w:val="110"/>
          <w:sz w:val="19"/>
        </w:rPr>
        <w:t>, México, Universidad Nacional Autónoma</w:t>
      </w:r>
      <w:r>
        <w:rPr>
          <w:color w:val="231F20"/>
          <w:spacing w:val="41"/>
          <w:w w:val="110"/>
          <w:sz w:val="19"/>
        </w:rPr>
        <w:t> </w:t>
      </w:r>
      <w:r>
        <w:rPr>
          <w:color w:val="231F20"/>
          <w:w w:val="110"/>
          <w:sz w:val="19"/>
        </w:rPr>
        <w:t>de</w:t>
      </w:r>
      <w:r>
        <w:rPr>
          <w:color w:val="231F20"/>
          <w:spacing w:val="13"/>
          <w:w w:val="110"/>
          <w:sz w:val="19"/>
        </w:rPr>
        <w:t> </w:t>
      </w:r>
      <w:r>
        <w:rPr>
          <w:color w:val="231F20"/>
          <w:w w:val="110"/>
          <w:sz w:val="19"/>
        </w:rPr>
        <w:t>México.</w:t>
      </w:r>
      <w:r>
        <w:rPr>
          <w:color w:val="231F20"/>
          <w:w w:val="113"/>
          <w:sz w:val="19"/>
        </w:rPr>
        <w:t> </w:t>
      </w:r>
      <w:r>
        <w:rPr>
          <w:rFonts w:ascii="Times New Roman" w:hAnsi="Times New Roman"/>
          <w:color w:val="231F20"/>
          <w:w w:val="110"/>
          <w:sz w:val="19"/>
        </w:rPr>
        <w:t>L</w:t>
      </w:r>
      <w:r>
        <w:rPr>
          <w:rFonts w:ascii="Times New Roman" w:hAnsi="Times New Roman"/>
          <w:color w:val="231F20"/>
          <w:w w:val="110"/>
          <w:sz w:val="15"/>
        </w:rPr>
        <w:t>ARA </w:t>
      </w:r>
      <w:r>
        <w:rPr>
          <w:rFonts w:ascii="Times New Roman" w:hAnsi="Times New Roman"/>
          <w:color w:val="231F20"/>
          <w:w w:val="110"/>
          <w:sz w:val="19"/>
        </w:rPr>
        <w:t>F</w:t>
      </w:r>
      <w:r>
        <w:rPr>
          <w:rFonts w:ascii="Times New Roman" w:hAnsi="Times New Roman"/>
          <w:color w:val="231F20"/>
          <w:w w:val="110"/>
          <w:sz w:val="15"/>
        </w:rPr>
        <w:t>LORES</w:t>
      </w:r>
      <w:r>
        <w:rPr>
          <w:rFonts w:ascii="Times New Roman" w:hAnsi="Times New Roman"/>
          <w:color w:val="231F20"/>
          <w:w w:val="110"/>
          <w:sz w:val="19"/>
        </w:rPr>
        <w:t>, </w:t>
      </w:r>
      <w:r>
        <w:rPr>
          <w:color w:val="231F20"/>
          <w:w w:val="110"/>
          <w:sz w:val="19"/>
        </w:rPr>
        <w:t>Sara (1998), </w:t>
      </w:r>
      <w:r>
        <w:rPr>
          <w:i/>
          <w:color w:val="231F20"/>
          <w:w w:val="110"/>
          <w:sz w:val="19"/>
        </w:rPr>
        <w:t>Nuevas experiencias productivas y nuevas</w:t>
      </w:r>
      <w:r>
        <w:rPr>
          <w:i/>
          <w:color w:val="231F20"/>
          <w:spacing w:val="3"/>
          <w:w w:val="110"/>
          <w:sz w:val="19"/>
        </w:rPr>
        <w:t> </w:t>
      </w:r>
      <w:r>
        <w:rPr>
          <w:i/>
          <w:color w:val="231F20"/>
          <w:w w:val="110"/>
          <w:sz w:val="19"/>
        </w:rPr>
        <w:t>formas</w:t>
      </w:r>
      <w:r>
        <w:rPr>
          <w:i/>
          <w:color w:val="231F20"/>
          <w:spacing w:val="-2"/>
          <w:w w:val="110"/>
          <w:sz w:val="19"/>
        </w:rPr>
        <w:t> </w:t>
      </w:r>
      <w:r>
        <w:rPr>
          <w:i/>
          <w:color w:val="231F20"/>
          <w:w w:val="110"/>
          <w:sz w:val="19"/>
        </w:rPr>
        <w:t>de</w:t>
      </w:r>
      <w:r>
        <w:rPr>
          <w:i/>
          <w:color w:val="231F20"/>
          <w:w w:val="106"/>
          <w:sz w:val="19"/>
        </w:rPr>
        <w:t> </w:t>
      </w:r>
      <w:r>
        <w:rPr>
          <w:i/>
          <w:color w:val="231F20"/>
          <w:w w:val="110"/>
          <w:sz w:val="19"/>
        </w:rPr>
        <w:t>organización flexible del trabajo en la agricultura mexicana</w:t>
      </w:r>
      <w:r>
        <w:rPr>
          <w:color w:val="231F20"/>
          <w:w w:val="110"/>
          <w:sz w:val="19"/>
        </w:rPr>
        <w:t>, México,   </w:t>
      </w:r>
      <w:r>
        <w:rPr>
          <w:color w:val="231F20"/>
          <w:spacing w:val="5"/>
          <w:w w:val="110"/>
          <w:sz w:val="19"/>
        </w:rPr>
        <w:t> </w:t>
      </w:r>
      <w:r>
        <w:rPr>
          <w:color w:val="231F20"/>
          <w:w w:val="110"/>
          <w:sz w:val="19"/>
        </w:rPr>
        <w:t>Juan</w:t>
      </w:r>
    </w:p>
    <w:p>
      <w:pPr>
        <w:spacing w:before="0"/>
        <w:ind w:left="480" w:right="0" w:firstLine="0"/>
        <w:jc w:val="left"/>
        <w:rPr>
          <w:sz w:val="19"/>
        </w:rPr>
      </w:pPr>
      <w:r>
        <w:rPr>
          <w:color w:val="231F20"/>
          <w:w w:val="110"/>
          <w:sz w:val="19"/>
        </w:rPr>
        <w:t>Pablos Editor-Procuraduría Agraria.</w:t>
      </w:r>
    </w:p>
    <w:p>
      <w:pPr>
        <w:spacing w:line="266" w:lineRule="auto" w:before="25"/>
        <w:ind w:left="479" w:right="116" w:hanging="360"/>
        <w:jc w:val="both"/>
        <w:rPr>
          <w:sz w:val="19"/>
        </w:rPr>
      </w:pPr>
      <w:r>
        <w:rPr>
          <w:rFonts w:ascii="Times New Roman" w:hAnsi="Times New Roman"/>
          <w:color w:val="231F20"/>
          <w:w w:val="110"/>
          <w:sz w:val="19"/>
        </w:rPr>
        <w:t>L</w:t>
      </w:r>
      <w:r>
        <w:rPr>
          <w:rFonts w:ascii="Times New Roman" w:hAnsi="Times New Roman"/>
          <w:color w:val="231F20"/>
          <w:w w:val="110"/>
          <w:sz w:val="15"/>
        </w:rPr>
        <w:t>EVITT</w:t>
      </w:r>
      <w:r>
        <w:rPr>
          <w:rFonts w:ascii="Times New Roman" w:hAnsi="Times New Roman"/>
          <w:color w:val="231F20"/>
          <w:w w:val="110"/>
          <w:sz w:val="19"/>
        </w:rPr>
        <w:t>, </w:t>
      </w:r>
      <w:r>
        <w:rPr>
          <w:color w:val="231F20"/>
          <w:w w:val="110"/>
          <w:sz w:val="19"/>
        </w:rPr>
        <w:t>Peggy y Ninna Nyberg Sorensen (2004), “The Transnational Turn in Migration Studies”</w:t>
      </w:r>
      <w:r>
        <w:rPr>
          <w:i/>
          <w:color w:val="231F20"/>
          <w:w w:val="110"/>
          <w:sz w:val="19"/>
        </w:rPr>
        <w:t>, Working Paper</w:t>
      </w:r>
      <w:r>
        <w:rPr>
          <w:color w:val="231F20"/>
          <w:w w:val="110"/>
          <w:sz w:val="19"/>
        </w:rPr>
        <w:t>, núm. 6, octubre, Ginebra, Suiza, Global Commission on International Migration.</w:t>
      </w:r>
    </w:p>
    <w:p>
      <w:pPr>
        <w:spacing w:line="266" w:lineRule="auto" w:before="0"/>
        <w:ind w:left="479" w:right="119" w:hanging="360"/>
        <w:jc w:val="both"/>
        <w:rPr>
          <w:sz w:val="19"/>
        </w:rPr>
      </w:pPr>
      <w:r>
        <w:rPr>
          <w:rFonts w:ascii="Times New Roman" w:hAnsi="Times New Roman"/>
          <w:color w:val="231F20"/>
          <w:w w:val="105"/>
          <w:sz w:val="19"/>
        </w:rPr>
        <w:t>L</w:t>
      </w:r>
      <w:r>
        <w:rPr>
          <w:rFonts w:ascii="Times New Roman" w:hAnsi="Times New Roman"/>
          <w:color w:val="231F20"/>
          <w:w w:val="105"/>
          <w:sz w:val="15"/>
        </w:rPr>
        <w:t>EWIS</w:t>
      </w:r>
      <w:r>
        <w:rPr>
          <w:rFonts w:ascii="Times New Roman" w:hAnsi="Times New Roman"/>
          <w:color w:val="231F20"/>
          <w:w w:val="105"/>
          <w:sz w:val="19"/>
        </w:rPr>
        <w:t>, </w:t>
      </w:r>
      <w:r>
        <w:rPr>
          <w:color w:val="231F20"/>
          <w:w w:val="105"/>
          <w:sz w:val="19"/>
        </w:rPr>
        <w:t>Arthur (1954), </w:t>
      </w:r>
      <w:r>
        <w:rPr>
          <w:i/>
          <w:color w:val="231F20"/>
          <w:w w:val="105"/>
          <w:sz w:val="19"/>
        </w:rPr>
        <w:t>Economic Development with Unlimited Supplies of Labour</w:t>
      </w:r>
      <w:r>
        <w:rPr>
          <w:color w:val="231F20"/>
          <w:w w:val="105"/>
          <w:sz w:val="19"/>
        </w:rPr>
        <w:t>, núm.  22,  Reino  Unido,  Manchester  School.</w:t>
      </w:r>
    </w:p>
    <w:p>
      <w:pPr>
        <w:spacing w:line="266" w:lineRule="auto" w:before="0"/>
        <w:ind w:left="479" w:right="118" w:hanging="360"/>
        <w:jc w:val="both"/>
        <w:rPr>
          <w:sz w:val="19"/>
        </w:rPr>
      </w:pPr>
      <w:r>
        <w:rPr>
          <w:rFonts w:ascii="Times New Roman" w:hAnsi="Times New Roman"/>
          <w:color w:val="231F20"/>
          <w:w w:val="105"/>
          <w:sz w:val="19"/>
        </w:rPr>
        <w:t>L</w:t>
      </w:r>
      <w:r>
        <w:rPr>
          <w:rFonts w:ascii="Times New Roman" w:hAnsi="Times New Roman"/>
          <w:color w:val="231F20"/>
          <w:w w:val="105"/>
          <w:sz w:val="15"/>
        </w:rPr>
        <w:t>ONG</w:t>
      </w:r>
      <w:r>
        <w:rPr>
          <w:rFonts w:ascii="Times New Roman" w:hAnsi="Times New Roman"/>
          <w:color w:val="231F20"/>
          <w:w w:val="105"/>
          <w:sz w:val="19"/>
        </w:rPr>
        <w:t>, </w:t>
      </w:r>
      <w:r>
        <w:rPr>
          <w:color w:val="231F20"/>
          <w:w w:val="105"/>
          <w:sz w:val="19"/>
        </w:rPr>
        <w:t>Norman (2007), </w:t>
      </w:r>
      <w:r>
        <w:rPr>
          <w:i/>
          <w:color w:val="231F20"/>
          <w:w w:val="105"/>
          <w:sz w:val="19"/>
        </w:rPr>
        <w:t>Sociología del desarrollo: una perspectiva centrada en el </w:t>
      </w:r>
      <w:r>
        <w:rPr>
          <w:i/>
          <w:color w:val="231F20"/>
          <w:w w:val="105"/>
          <w:sz w:val="19"/>
        </w:rPr>
        <w:t>actor, </w:t>
      </w:r>
      <w:r>
        <w:rPr>
          <w:color w:val="231F20"/>
          <w:w w:val="105"/>
          <w:sz w:val="19"/>
        </w:rPr>
        <w:t>San Luis Potosí, </w:t>
      </w:r>
      <w:r>
        <w:rPr>
          <w:rFonts w:ascii="Times New Roman" w:hAnsi="Times New Roman"/>
          <w:color w:val="231F20"/>
          <w:w w:val="105"/>
          <w:sz w:val="15"/>
        </w:rPr>
        <w:t>CIESAS</w:t>
      </w:r>
      <w:r>
        <w:rPr>
          <w:color w:val="231F20"/>
          <w:w w:val="105"/>
          <w:sz w:val="19"/>
        </w:rPr>
        <w:t>, Colegio de San Luis.</w:t>
      </w:r>
    </w:p>
    <w:p>
      <w:pPr>
        <w:spacing w:line="266" w:lineRule="auto" w:before="0"/>
        <w:ind w:left="479" w:right="117" w:hanging="360"/>
        <w:jc w:val="both"/>
        <w:rPr>
          <w:sz w:val="19"/>
        </w:rPr>
      </w:pPr>
      <w:r>
        <w:rPr>
          <w:rFonts w:ascii="Times New Roman" w:hAnsi="Times New Roman"/>
          <w:color w:val="231F20"/>
          <w:w w:val="110"/>
          <w:sz w:val="19"/>
        </w:rPr>
        <w:t>L</w:t>
      </w:r>
      <w:r>
        <w:rPr>
          <w:rFonts w:ascii="Times New Roman" w:hAnsi="Times New Roman"/>
          <w:color w:val="231F20"/>
          <w:w w:val="110"/>
          <w:sz w:val="15"/>
        </w:rPr>
        <w:t>ÓPEZ</w:t>
      </w:r>
      <w:r>
        <w:rPr>
          <w:color w:val="231F20"/>
          <w:w w:val="110"/>
          <w:sz w:val="19"/>
        </w:rPr>
        <w:t>,</w:t>
      </w:r>
      <w:r>
        <w:rPr>
          <w:color w:val="231F20"/>
          <w:spacing w:val="-15"/>
          <w:w w:val="110"/>
          <w:sz w:val="19"/>
        </w:rPr>
        <w:t> </w:t>
      </w:r>
      <w:r>
        <w:rPr>
          <w:color w:val="231F20"/>
          <w:spacing w:val="-4"/>
          <w:w w:val="110"/>
          <w:sz w:val="19"/>
        </w:rPr>
        <w:t>Felipe</w:t>
      </w:r>
      <w:r>
        <w:rPr>
          <w:color w:val="231F20"/>
          <w:spacing w:val="-15"/>
          <w:w w:val="110"/>
          <w:sz w:val="19"/>
        </w:rPr>
        <w:t> </w:t>
      </w:r>
      <w:r>
        <w:rPr>
          <w:color w:val="231F20"/>
          <w:w w:val="110"/>
          <w:sz w:val="19"/>
        </w:rPr>
        <w:t>y</w:t>
      </w:r>
      <w:r>
        <w:rPr>
          <w:color w:val="231F20"/>
          <w:spacing w:val="-15"/>
          <w:w w:val="110"/>
          <w:sz w:val="19"/>
        </w:rPr>
        <w:t> </w:t>
      </w:r>
      <w:r>
        <w:rPr>
          <w:color w:val="231F20"/>
          <w:w w:val="110"/>
          <w:sz w:val="19"/>
        </w:rPr>
        <w:t>David</w:t>
      </w:r>
      <w:r>
        <w:rPr>
          <w:color w:val="231F20"/>
          <w:spacing w:val="-15"/>
          <w:w w:val="110"/>
          <w:sz w:val="19"/>
        </w:rPr>
        <w:t> </w:t>
      </w:r>
      <w:r>
        <w:rPr>
          <w:color w:val="231F20"/>
          <w:spacing w:val="-3"/>
          <w:w w:val="110"/>
          <w:sz w:val="19"/>
        </w:rPr>
        <w:t>Runsten</w:t>
      </w:r>
      <w:r>
        <w:rPr>
          <w:color w:val="231F20"/>
          <w:spacing w:val="-15"/>
          <w:w w:val="110"/>
          <w:sz w:val="19"/>
        </w:rPr>
        <w:t> </w:t>
      </w:r>
      <w:r>
        <w:rPr>
          <w:color w:val="231F20"/>
          <w:w w:val="110"/>
          <w:sz w:val="19"/>
        </w:rPr>
        <w:t>(2004),</w:t>
      </w:r>
      <w:r>
        <w:rPr>
          <w:color w:val="231F20"/>
          <w:spacing w:val="-15"/>
          <w:w w:val="110"/>
          <w:sz w:val="19"/>
        </w:rPr>
        <w:t> </w:t>
      </w:r>
      <w:r>
        <w:rPr>
          <w:color w:val="231F20"/>
          <w:w w:val="110"/>
          <w:sz w:val="19"/>
        </w:rPr>
        <w:t>“El</w:t>
      </w:r>
      <w:r>
        <w:rPr>
          <w:color w:val="231F20"/>
          <w:spacing w:val="-15"/>
          <w:w w:val="110"/>
          <w:sz w:val="19"/>
        </w:rPr>
        <w:t> </w:t>
      </w:r>
      <w:r>
        <w:rPr>
          <w:color w:val="231F20"/>
          <w:w w:val="110"/>
          <w:sz w:val="19"/>
        </w:rPr>
        <w:t>trabajo</w:t>
      </w:r>
      <w:r>
        <w:rPr>
          <w:color w:val="231F20"/>
          <w:spacing w:val="-15"/>
          <w:w w:val="110"/>
          <w:sz w:val="19"/>
        </w:rPr>
        <w:t> </w:t>
      </w:r>
      <w:r>
        <w:rPr>
          <w:color w:val="231F20"/>
          <w:w w:val="110"/>
          <w:sz w:val="19"/>
        </w:rPr>
        <w:t>de</w:t>
      </w:r>
      <w:r>
        <w:rPr>
          <w:color w:val="231F20"/>
          <w:spacing w:val="-15"/>
          <w:w w:val="110"/>
          <w:sz w:val="19"/>
        </w:rPr>
        <w:t> </w:t>
      </w:r>
      <w:r>
        <w:rPr>
          <w:color w:val="231F20"/>
          <w:w w:val="110"/>
          <w:sz w:val="19"/>
        </w:rPr>
        <w:t>los</w:t>
      </w:r>
      <w:r>
        <w:rPr>
          <w:color w:val="231F20"/>
          <w:spacing w:val="-15"/>
          <w:w w:val="110"/>
          <w:sz w:val="19"/>
        </w:rPr>
        <w:t> </w:t>
      </w:r>
      <w:r>
        <w:rPr>
          <w:color w:val="231F20"/>
          <w:w w:val="110"/>
          <w:sz w:val="19"/>
        </w:rPr>
        <w:t>mixtecos</w:t>
      </w:r>
      <w:r>
        <w:rPr>
          <w:color w:val="231F20"/>
          <w:spacing w:val="-15"/>
          <w:w w:val="110"/>
          <w:sz w:val="19"/>
        </w:rPr>
        <w:t> </w:t>
      </w:r>
      <w:r>
        <w:rPr>
          <w:color w:val="231F20"/>
          <w:w w:val="110"/>
          <w:sz w:val="19"/>
        </w:rPr>
        <w:t>y</w:t>
      </w:r>
      <w:r>
        <w:rPr>
          <w:color w:val="231F20"/>
          <w:spacing w:val="-15"/>
          <w:w w:val="110"/>
          <w:sz w:val="19"/>
        </w:rPr>
        <w:t> </w:t>
      </w:r>
      <w:r>
        <w:rPr>
          <w:color w:val="231F20"/>
          <w:w w:val="110"/>
          <w:sz w:val="19"/>
        </w:rPr>
        <w:t>los</w:t>
      </w:r>
      <w:r>
        <w:rPr>
          <w:color w:val="231F20"/>
          <w:spacing w:val="-15"/>
          <w:w w:val="110"/>
          <w:sz w:val="19"/>
        </w:rPr>
        <w:t> </w:t>
      </w:r>
      <w:r>
        <w:rPr>
          <w:color w:val="231F20"/>
          <w:w w:val="110"/>
          <w:sz w:val="19"/>
        </w:rPr>
        <w:t>zapotecos en </w:t>
      </w:r>
      <w:r>
        <w:rPr>
          <w:color w:val="231F20"/>
          <w:spacing w:val="-4"/>
          <w:w w:val="110"/>
          <w:sz w:val="19"/>
        </w:rPr>
        <w:t>California: experiencia rural </w:t>
      </w:r>
      <w:r>
        <w:rPr>
          <w:color w:val="231F20"/>
          <w:w w:val="110"/>
          <w:sz w:val="19"/>
        </w:rPr>
        <w:t>y </w:t>
      </w:r>
      <w:r>
        <w:rPr>
          <w:color w:val="231F20"/>
          <w:spacing w:val="-4"/>
          <w:w w:val="110"/>
          <w:sz w:val="19"/>
        </w:rPr>
        <w:t>urbana”</w:t>
      </w:r>
      <w:r>
        <w:rPr>
          <w:i/>
          <w:color w:val="231F20"/>
          <w:spacing w:val="-4"/>
          <w:w w:val="110"/>
          <w:sz w:val="19"/>
        </w:rPr>
        <w:t>, </w:t>
      </w:r>
      <w:r>
        <w:rPr>
          <w:color w:val="231F20"/>
          <w:w w:val="110"/>
          <w:sz w:val="19"/>
        </w:rPr>
        <w:t>en </w:t>
      </w:r>
      <w:r>
        <w:rPr>
          <w:color w:val="231F20"/>
          <w:w w:val="120"/>
          <w:sz w:val="19"/>
        </w:rPr>
        <w:t>J. </w:t>
      </w:r>
      <w:r>
        <w:rPr>
          <w:color w:val="231F20"/>
          <w:spacing w:val="-9"/>
          <w:w w:val="110"/>
          <w:sz w:val="19"/>
        </w:rPr>
        <w:t>Fox </w:t>
      </w:r>
      <w:r>
        <w:rPr>
          <w:color w:val="231F20"/>
          <w:w w:val="110"/>
          <w:sz w:val="19"/>
        </w:rPr>
        <w:t>y G. </w:t>
      </w:r>
      <w:r>
        <w:rPr>
          <w:color w:val="231F20"/>
          <w:spacing w:val="-4"/>
          <w:w w:val="110"/>
          <w:sz w:val="19"/>
        </w:rPr>
        <w:t>Rivera (coords.), </w:t>
      </w:r>
      <w:r>
        <w:rPr>
          <w:i/>
          <w:color w:val="231F20"/>
          <w:spacing w:val="-4"/>
          <w:w w:val="110"/>
          <w:sz w:val="19"/>
        </w:rPr>
        <w:t>Indí- </w:t>
      </w:r>
      <w:r>
        <w:rPr>
          <w:i/>
          <w:color w:val="231F20"/>
          <w:spacing w:val="-4"/>
          <w:w w:val="110"/>
          <w:sz w:val="19"/>
        </w:rPr>
        <w:t>genas mexicanos migrantes </w:t>
      </w:r>
      <w:r>
        <w:rPr>
          <w:i/>
          <w:color w:val="231F20"/>
          <w:w w:val="110"/>
          <w:sz w:val="19"/>
        </w:rPr>
        <w:t>en </w:t>
      </w:r>
      <w:r>
        <w:rPr>
          <w:i/>
          <w:color w:val="231F20"/>
          <w:spacing w:val="-3"/>
          <w:w w:val="110"/>
          <w:sz w:val="19"/>
        </w:rPr>
        <w:t>los </w:t>
      </w:r>
      <w:r>
        <w:rPr>
          <w:i/>
          <w:color w:val="231F20"/>
          <w:spacing w:val="-4"/>
          <w:w w:val="110"/>
          <w:sz w:val="19"/>
        </w:rPr>
        <w:t>Estados Unidos</w:t>
      </w:r>
      <w:r>
        <w:rPr>
          <w:color w:val="231F20"/>
          <w:spacing w:val="-4"/>
          <w:w w:val="110"/>
          <w:sz w:val="19"/>
        </w:rPr>
        <w:t>, México, Cámara </w:t>
      </w:r>
      <w:r>
        <w:rPr>
          <w:color w:val="231F20"/>
          <w:w w:val="110"/>
          <w:sz w:val="19"/>
        </w:rPr>
        <w:t>de </w:t>
      </w:r>
      <w:r>
        <w:rPr>
          <w:color w:val="231F20"/>
          <w:spacing w:val="-4"/>
          <w:w w:val="110"/>
          <w:sz w:val="19"/>
        </w:rPr>
        <w:t>Diputa- </w:t>
      </w:r>
      <w:r>
        <w:rPr>
          <w:color w:val="231F20"/>
          <w:spacing w:val="-3"/>
          <w:w w:val="110"/>
          <w:sz w:val="19"/>
        </w:rPr>
        <w:t>dos, </w:t>
      </w:r>
      <w:r>
        <w:rPr>
          <w:color w:val="231F20"/>
          <w:w w:val="110"/>
          <w:sz w:val="19"/>
        </w:rPr>
        <w:t>LIX Legislatura-The University of California-Universidad Autónoma de Zacatecas-Miguel Ángel</w:t>
      </w:r>
      <w:r>
        <w:rPr>
          <w:color w:val="231F20"/>
          <w:spacing w:val="26"/>
          <w:w w:val="110"/>
          <w:sz w:val="19"/>
        </w:rPr>
        <w:t> </w:t>
      </w:r>
      <w:r>
        <w:rPr>
          <w:color w:val="231F20"/>
          <w:w w:val="110"/>
          <w:sz w:val="19"/>
        </w:rPr>
        <w:t>Porrúa.</w:t>
      </w:r>
    </w:p>
    <w:p>
      <w:pPr>
        <w:spacing w:line="266" w:lineRule="auto" w:before="0"/>
        <w:ind w:left="479" w:right="119" w:hanging="360"/>
        <w:jc w:val="both"/>
        <w:rPr>
          <w:sz w:val="19"/>
        </w:rPr>
      </w:pPr>
      <w:r>
        <w:rPr>
          <w:rFonts w:ascii="Times New Roman" w:hAnsi="Times New Roman"/>
          <w:color w:val="231F20"/>
          <w:w w:val="110"/>
          <w:sz w:val="19"/>
        </w:rPr>
        <w:t>M</w:t>
      </w:r>
      <w:r>
        <w:rPr>
          <w:rFonts w:ascii="Times New Roman" w:hAnsi="Times New Roman"/>
          <w:color w:val="231F20"/>
          <w:w w:val="110"/>
          <w:sz w:val="15"/>
        </w:rPr>
        <w:t>ASSEY </w:t>
      </w:r>
      <w:r>
        <w:rPr>
          <w:color w:val="231F20"/>
          <w:w w:val="110"/>
          <w:sz w:val="19"/>
        </w:rPr>
        <w:t>Douglas y Kristin Espinosa (1997), “What’s Driving; Mexico-U.S. Mi- gration?:</w:t>
      </w:r>
      <w:r>
        <w:rPr>
          <w:color w:val="231F20"/>
          <w:spacing w:val="-7"/>
          <w:w w:val="110"/>
          <w:sz w:val="19"/>
        </w:rPr>
        <w:t> </w:t>
      </w:r>
      <w:r>
        <w:rPr>
          <w:color w:val="231F20"/>
          <w:w w:val="110"/>
          <w:sz w:val="19"/>
        </w:rPr>
        <w:t>A</w:t>
      </w:r>
      <w:r>
        <w:rPr>
          <w:color w:val="231F20"/>
          <w:spacing w:val="-7"/>
          <w:w w:val="110"/>
          <w:sz w:val="19"/>
        </w:rPr>
        <w:t> </w:t>
      </w:r>
      <w:r>
        <w:rPr>
          <w:color w:val="231F20"/>
          <w:w w:val="110"/>
          <w:sz w:val="19"/>
        </w:rPr>
        <w:t>Theoretical,</w:t>
      </w:r>
      <w:r>
        <w:rPr>
          <w:color w:val="231F20"/>
          <w:spacing w:val="-7"/>
          <w:w w:val="110"/>
          <w:sz w:val="19"/>
        </w:rPr>
        <w:t> </w:t>
      </w:r>
      <w:r>
        <w:rPr>
          <w:color w:val="231F20"/>
          <w:w w:val="110"/>
          <w:sz w:val="19"/>
        </w:rPr>
        <w:t>Empirical</w:t>
      </w:r>
      <w:r>
        <w:rPr>
          <w:color w:val="231F20"/>
          <w:spacing w:val="-7"/>
          <w:w w:val="110"/>
          <w:sz w:val="19"/>
        </w:rPr>
        <w:t> </w:t>
      </w:r>
      <w:r>
        <w:rPr>
          <w:color w:val="231F20"/>
          <w:w w:val="110"/>
          <w:sz w:val="19"/>
        </w:rPr>
        <w:t>and</w:t>
      </w:r>
      <w:r>
        <w:rPr>
          <w:color w:val="231F20"/>
          <w:spacing w:val="-7"/>
          <w:w w:val="110"/>
          <w:sz w:val="19"/>
        </w:rPr>
        <w:t> </w:t>
      </w:r>
      <w:r>
        <w:rPr>
          <w:color w:val="231F20"/>
          <w:w w:val="110"/>
          <w:sz w:val="19"/>
        </w:rPr>
        <w:t>Policy</w:t>
      </w:r>
      <w:r>
        <w:rPr>
          <w:color w:val="231F20"/>
          <w:spacing w:val="-7"/>
          <w:w w:val="110"/>
          <w:sz w:val="19"/>
        </w:rPr>
        <w:t> </w:t>
      </w:r>
      <w:r>
        <w:rPr>
          <w:color w:val="231F20"/>
          <w:w w:val="110"/>
          <w:sz w:val="19"/>
        </w:rPr>
        <w:t>Analysis”,</w:t>
      </w:r>
      <w:r>
        <w:rPr>
          <w:color w:val="231F20"/>
          <w:spacing w:val="-7"/>
          <w:w w:val="110"/>
          <w:sz w:val="19"/>
        </w:rPr>
        <w:t> </w:t>
      </w:r>
      <w:r>
        <w:rPr>
          <w:i/>
          <w:color w:val="231F20"/>
          <w:w w:val="110"/>
          <w:sz w:val="19"/>
        </w:rPr>
        <w:t>American</w:t>
      </w:r>
      <w:r>
        <w:rPr>
          <w:i/>
          <w:color w:val="231F20"/>
          <w:spacing w:val="-11"/>
          <w:w w:val="110"/>
          <w:sz w:val="19"/>
        </w:rPr>
        <w:t> </w:t>
      </w:r>
      <w:r>
        <w:rPr>
          <w:i/>
          <w:color w:val="231F20"/>
          <w:w w:val="110"/>
          <w:sz w:val="19"/>
        </w:rPr>
        <w:t>Journal</w:t>
      </w:r>
      <w:r>
        <w:rPr>
          <w:i/>
          <w:color w:val="231F20"/>
          <w:spacing w:val="-11"/>
          <w:w w:val="110"/>
          <w:sz w:val="19"/>
        </w:rPr>
        <w:t> </w:t>
      </w:r>
      <w:r>
        <w:rPr>
          <w:i/>
          <w:color w:val="231F20"/>
          <w:w w:val="110"/>
          <w:sz w:val="19"/>
        </w:rPr>
        <w:t>of </w:t>
      </w:r>
      <w:r>
        <w:rPr>
          <w:i/>
          <w:color w:val="231F20"/>
          <w:w w:val="105"/>
          <w:sz w:val="19"/>
        </w:rPr>
        <w:t>Sociology</w:t>
      </w:r>
      <w:r>
        <w:rPr>
          <w:color w:val="231F20"/>
          <w:w w:val="105"/>
          <w:sz w:val="19"/>
        </w:rPr>
        <w:t>, 102(4), pp.</w:t>
      </w:r>
      <w:r>
        <w:rPr>
          <w:color w:val="231F20"/>
          <w:spacing w:val="14"/>
          <w:w w:val="105"/>
          <w:sz w:val="19"/>
        </w:rPr>
        <w:t> </w:t>
      </w:r>
      <w:r>
        <w:rPr>
          <w:color w:val="231F20"/>
          <w:w w:val="105"/>
          <w:sz w:val="19"/>
        </w:rPr>
        <w:t>939-999.</w:t>
      </w:r>
    </w:p>
    <w:p>
      <w:pPr>
        <w:spacing w:line="266" w:lineRule="auto" w:before="0"/>
        <w:ind w:left="479" w:right="119" w:hanging="360"/>
        <w:jc w:val="both"/>
        <w:rPr>
          <w:sz w:val="19"/>
        </w:rPr>
      </w:pPr>
      <w:r>
        <w:rPr>
          <w:rFonts w:ascii="Times New Roman" w:hAnsi="Times New Roman"/>
          <w:color w:val="231F20"/>
          <w:w w:val="105"/>
          <w:sz w:val="19"/>
        </w:rPr>
        <w:t>M</w:t>
      </w:r>
      <w:r>
        <w:rPr>
          <w:rFonts w:ascii="Times New Roman" w:hAnsi="Times New Roman"/>
          <w:color w:val="231F20"/>
          <w:w w:val="105"/>
          <w:sz w:val="15"/>
        </w:rPr>
        <w:t>ÉNDEZ</w:t>
      </w:r>
      <w:r>
        <w:rPr>
          <w:rFonts w:ascii="Times New Roman" w:hAnsi="Times New Roman"/>
          <w:color w:val="231F20"/>
          <w:w w:val="105"/>
          <w:sz w:val="19"/>
        </w:rPr>
        <w:t>, </w:t>
      </w:r>
      <w:r>
        <w:rPr>
          <w:color w:val="231F20"/>
          <w:w w:val="105"/>
          <w:sz w:val="19"/>
        </w:rPr>
        <w:t>Marlon (2009), “Incursión ocupacional rural en escenarios no agríco-  las y urbanos: tendencias y desafíos”, en Hubert de Grammont y Luciano </w:t>
      </w:r>
      <w:r>
        <w:rPr>
          <w:color w:val="231F20"/>
          <w:spacing w:val="3"/>
          <w:w w:val="105"/>
          <w:sz w:val="19"/>
        </w:rPr>
        <w:t>Martínez (comps.) </w:t>
      </w:r>
      <w:r>
        <w:rPr>
          <w:i/>
          <w:color w:val="231F20"/>
          <w:w w:val="105"/>
          <w:sz w:val="19"/>
        </w:rPr>
        <w:t>La </w:t>
      </w:r>
      <w:r>
        <w:rPr>
          <w:i/>
          <w:color w:val="231F20"/>
          <w:spacing w:val="3"/>
          <w:w w:val="105"/>
          <w:sz w:val="19"/>
        </w:rPr>
        <w:t>pluriactividad </w:t>
      </w:r>
      <w:r>
        <w:rPr>
          <w:i/>
          <w:color w:val="231F20"/>
          <w:w w:val="105"/>
          <w:sz w:val="19"/>
        </w:rPr>
        <w:t>en el </w:t>
      </w:r>
      <w:r>
        <w:rPr>
          <w:i/>
          <w:color w:val="231F20"/>
          <w:spacing w:val="3"/>
          <w:w w:val="105"/>
          <w:sz w:val="19"/>
        </w:rPr>
        <w:t>campo latinoamericano</w:t>
      </w:r>
      <w:r>
        <w:rPr>
          <w:color w:val="231F20"/>
          <w:spacing w:val="3"/>
          <w:w w:val="105"/>
          <w:sz w:val="19"/>
        </w:rPr>
        <w:t>, Quito, </w:t>
      </w:r>
      <w:r>
        <w:rPr>
          <w:color w:val="231F20"/>
          <w:w w:val="105"/>
          <w:sz w:val="19"/>
        </w:rPr>
        <w:t>Flacso.</w:t>
      </w:r>
    </w:p>
    <w:p>
      <w:pPr>
        <w:spacing w:line="266" w:lineRule="auto" w:before="0"/>
        <w:ind w:left="480" w:right="115" w:hanging="361"/>
        <w:jc w:val="both"/>
        <w:rPr>
          <w:sz w:val="19"/>
        </w:rPr>
      </w:pPr>
      <w:r>
        <w:rPr>
          <w:rFonts w:ascii="Times New Roman" w:hAnsi="Times New Roman"/>
          <w:color w:val="231F20"/>
          <w:w w:val="105"/>
          <w:sz w:val="19"/>
        </w:rPr>
        <w:t>M</w:t>
      </w:r>
      <w:r>
        <w:rPr>
          <w:rFonts w:ascii="Times New Roman" w:hAnsi="Times New Roman"/>
          <w:color w:val="231F20"/>
          <w:w w:val="105"/>
          <w:sz w:val="15"/>
        </w:rPr>
        <w:t>ERCADO</w:t>
      </w:r>
      <w:r>
        <w:rPr>
          <w:rFonts w:ascii="Times New Roman" w:hAnsi="Times New Roman"/>
          <w:color w:val="231F20"/>
          <w:w w:val="105"/>
          <w:sz w:val="19"/>
        </w:rPr>
        <w:t>, </w:t>
      </w:r>
      <w:r>
        <w:rPr>
          <w:color w:val="231F20"/>
          <w:w w:val="105"/>
          <w:sz w:val="19"/>
        </w:rPr>
        <w:t>Patricia (2008), </w:t>
      </w:r>
      <w:r>
        <w:rPr>
          <w:i/>
          <w:color w:val="231F20"/>
          <w:w w:val="105"/>
          <w:sz w:val="19"/>
        </w:rPr>
        <w:t>Migración Mazahua a Estados Unidos: calidad de vida </w:t>
      </w:r>
      <w:r>
        <w:rPr>
          <w:i/>
          <w:color w:val="231F20"/>
          <w:w w:val="105"/>
          <w:sz w:val="19"/>
        </w:rPr>
        <w:t>juvenil y proyectos productivos como estrategias de contención</w:t>
      </w:r>
      <w:r>
        <w:rPr>
          <w:color w:val="231F20"/>
          <w:w w:val="105"/>
          <w:sz w:val="19"/>
        </w:rPr>
        <w:t>, Toluca, México, Universidad  Autónoma  del  Estado  de México.</w:t>
      </w:r>
    </w:p>
    <w:p>
      <w:pPr>
        <w:spacing w:after="0" w:line="266" w:lineRule="auto"/>
        <w:jc w:val="both"/>
        <w:rPr>
          <w:sz w:val="19"/>
        </w:rPr>
        <w:sectPr>
          <w:pgSz w:w="9520" w:h="12920"/>
          <w:pgMar w:header="0" w:footer="1344" w:top="880" w:bottom="1540" w:left="1000" w:right="1320"/>
        </w:sectPr>
      </w:pPr>
    </w:p>
    <w:p>
      <w:pPr>
        <w:spacing w:line="266" w:lineRule="auto" w:before="44"/>
        <w:ind w:left="484" w:right="113" w:hanging="360"/>
        <w:jc w:val="both"/>
        <w:rPr>
          <w:sz w:val="19"/>
        </w:rPr>
      </w:pPr>
      <w:r>
        <w:rPr>
          <w:rFonts w:ascii="Times New Roman" w:hAnsi="Times New Roman"/>
          <w:color w:val="231F20"/>
          <w:w w:val="110"/>
          <w:sz w:val="19"/>
        </w:rPr>
        <w:t>M</w:t>
      </w:r>
      <w:r>
        <w:rPr>
          <w:rFonts w:ascii="Times New Roman" w:hAnsi="Times New Roman"/>
          <w:color w:val="231F20"/>
          <w:w w:val="110"/>
          <w:sz w:val="15"/>
        </w:rPr>
        <w:t>INCER</w:t>
      </w:r>
      <w:r>
        <w:rPr>
          <w:color w:val="231F20"/>
          <w:w w:val="110"/>
          <w:sz w:val="19"/>
        </w:rPr>
        <w:t>,</w:t>
      </w:r>
      <w:r>
        <w:rPr>
          <w:color w:val="231F20"/>
          <w:spacing w:val="-21"/>
          <w:w w:val="110"/>
          <w:sz w:val="19"/>
        </w:rPr>
        <w:t> </w:t>
      </w:r>
      <w:r>
        <w:rPr>
          <w:color w:val="231F20"/>
          <w:w w:val="110"/>
          <w:sz w:val="19"/>
        </w:rPr>
        <w:t>Jacob</w:t>
      </w:r>
      <w:r>
        <w:rPr>
          <w:color w:val="231F20"/>
          <w:spacing w:val="-21"/>
          <w:w w:val="110"/>
          <w:sz w:val="19"/>
        </w:rPr>
        <w:t> </w:t>
      </w:r>
      <w:r>
        <w:rPr>
          <w:color w:val="231F20"/>
          <w:w w:val="110"/>
          <w:sz w:val="19"/>
        </w:rPr>
        <w:t>(1978),</w:t>
      </w:r>
      <w:r>
        <w:rPr>
          <w:color w:val="231F20"/>
          <w:spacing w:val="-21"/>
          <w:w w:val="110"/>
          <w:sz w:val="19"/>
        </w:rPr>
        <w:t> </w:t>
      </w:r>
      <w:r>
        <w:rPr>
          <w:color w:val="231F20"/>
          <w:spacing w:val="-4"/>
          <w:w w:val="110"/>
          <w:sz w:val="19"/>
        </w:rPr>
        <w:t>“Family</w:t>
      </w:r>
      <w:r>
        <w:rPr>
          <w:color w:val="231F20"/>
          <w:spacing w:val="-21"/>
          <w:w w:val="110"/>
          <w:sz w:val="19"/>
        </w:rPr>
        <w:t> </w:t>
      </w:r>
      <w:r>
        <w:rPr>
          <w:color w:val="231F20"/>
          <w:w w:val="110"/>
          <w:sz w:val="19"/>
        </w:rPr>
        <w:t>Migration</w:t>
      </w:r>
      <w:r>
        <w:rPr>
          <w:color w:val="231F20"/>
          <w:spacing w:val="-21"/>
          <w:w w:val="110"/>
          <w:sz w:val="19"/>
        </w:rPr>
        <w:t> </w:t>
      </w:r>
      <w:r>
        <w:rPr>
          <w:color w:val="231F20"/>
          <w:w w:val="110"/>
          <w:sz w:val="19"/>
        </w:rPr>
        <w:t>Decisions”,</w:t>
      </w:r>
      <w:r>
        <w:rPr>
          <w:color w:val="231F20"/>
          <w:spacing w:val="-21"/>
          <w:w w:val="110"/>
          <w:sz w:val="19"/>
        </w:rPr>
        <w:t> </w:t>
      </w:r>
      <w:r>
        <w:rPr>
          <w:i/>
          <w:color w:val="231F20"/>
          <w:w w:val="110"/>
          <w:sz w:val="19"/>
        </w:rPr>
        <w:t>Journal</w:t>
      </w:r>
      <w:r>
        <w:rPr>
          <w:i/>
          <w:color w:val="231F20"/>
          <w:spacing w:val="-23"/>
          <w:w w:val="110"/>
          <w:sz w:val="19"/>
        </w:rPr>
        <w:t> </w:t>
      </w:r>
      <w:r>
        <w:rPr>
          <w:i/>
          <w:color w:val="231F20"/>
          <w:w w:val="110"/>
          <w:sz w:val="19"/>
        </w:rPr>
        <w:t>of</w:t>
      </w:r>
      <w:r>
        <w:rPr>
          <w:i/>
          <w:color w:val="231F20"/>
          <w:spacing w:val="-23"/>
          <w:w w:val="110"/>
          <w:sz w:val="19"/>
        </w:rPr>
        <w:t> </w:t>
      </w:r>
      <w:r>
        <w:rPr>
          <w:i/>
          <w:color w:val="231F20"/>
          <w:spacing w:val="-4"/>
          <w:w w:val="110"/>
          <w:sz w:val="19"/>
        </w:rPr>
        <w:t>Political</w:t>
      </w:r>
      <w:r>
        <w:rPr>
          <w:i/>
          <w:color w:val="231F20"/>
          <w:spacing w:val="-23"/>
          <w:w w:val="110"/>
          <w:sz w:val="19"/>
        </w:rPr>
        <w:t> </w:t>
      </w:r>
      <w:r>
        <w:rPr>
          <w:i/>
          <w:color w:val="231F20"/>
          <w:w w:val="110"/>
          <w:sz w:val="19"/>
        </w:rPr>
        <w:t>Economy</w:t>
      </w:r>
      <w:r>
        <w:rPr>
          <w:color w:val="231F20"/>
          <w:w w:val="110"/>
          <w:sz w:val="19"/>
        </w:rPr>
        <w:t>, </w:t>
      </w:r>
      <w:r>
        <w:rPr>
          <w:color w:val="231F20"/>
          <w:w w:val="105"/>
          <w:sz w:val="19"/>
        </w:rPr>
        <w:t>86(5),</w:t>
      </w:r>
      <w:r>
        <w:rPr>
          <w:color w:val="231F20"/>
          <w:spacing w:val="-22"/>
          <w:w w:val="105"/>
          <w:sz w:val="19"/>
        </w:rPr>
        <w:t> </w:t>
      </w:r>
      <w:r>
        <w:rPr>
          <w:color w:val="231F20"/>
          <w:w w:val="105"/>
          <w:sz w:val="19"/>
        </w:rPr>
        <w:t>pp.</w:t>
      </w:r>
      <w:r>
        <w:rPr>
          <w:color w:val="231F20"/>
          <w:spacing w:val="-22"/>
          <w:w w:val="105"/>
          <w:sz w:val="19"/>
        </w:rPr>
        <w:t> </w:t>
      </w:r>
      <w:r>
        <w:rPr>
          <w:color w:val="231F20"/>
          <w:w w:val="105"/>
          <w:sz w:val="19"/>
        </w:rPr>
        <w:t>749-773.</w:t>
      </w:r>
    </w:p>
    <w:p>
      <w:pPr>
        <w:spacing w:line="266" w:lineRule="auto" w:before="0"/>
        <w:ind w:left="484" w:right="112" w:hanging="360"/>
        <w:jc w:val="both"/>
        <w:rPr>
          <w:sz w:val="19"/>
        </w:rPr>
      </w:pPr>
      <w:r>
        <w:rPr>
          <w:rFonts w:ascii="Times New Roman"/>
          <w:color w:val="231F20"/>
          <w:w w:val="110"/>
          <w:sz w:val="19"/>
        </w:rPr>
        <w:t>M</w:t>
      </w:r>
      <w:r>
        <w:rPr>
          <w:rFonts w:ascii="Times New Roman"/>
          <w:color w:val="231F20"/>
          <w:w w:val="110"/>
          <w:sz w:val="15"/>
        </w:rPr>
        <w:t>URPHY</w:t>
      </w:r>
      <w:r>
        <w:rPr>
          <w:rFonts w:ascii="Times New Roman"/>
          <w:color w:val="231F20"/>
          <w:w w:val="110"/>
          <w:sz w:val="19"/>
        </w:rPr>
        <w:t>, </w:t>
      </w:r>
      <w:r>
        <w:rPr>
          <w:color w:val="231F20"/>
          <w:w w:val="110"/>
          <w:sz w:val="19"/>
        </w:rPr>
        <w:t>Arthur y Alex Stepick, 1991, </w:t>
      </w:r>
      <w:r>
        <w:rPr>
          <w:i/>
          <w:color w:val="231F20"/>
          <w:w w:val="110"/>
          <w:sz w:val="19"/>
        </w:rPr>
        <w:t>Social Inequality in Oaxaca. A History of </w:t>
      </w:r>
      <w:r>
        <w:rPr>
          <w:i/>
          <w:color w:val="231F20"/>
          <w:w w:val="110"/>
          <w:sz w:val="19"/>
        </w:rPr>
        <w:t>Resistance and Change</w:t>
      </w:r>
      <w:r>
        <w:rPr>
          <w:color w:val="231F20"/>
          <w:w w:val="110"/>
          <w:sz w:val="19"/>
        </w:rPr>
        <w:t>, Estados Unidos, Temple University  Press.</w:t>
      </w:r>
    </w:p>
    <w:p>
      <w:pPr>
        <w:spacing w:line="266" w:lineRule="auto" w:before="0"/>
        <w:ind w:left="484" w:right="113" w:hanging="360"/>
        <w:jc w:val="both"/>
        <w:rPr>
          <w:sz w:val="19"/>
        </w:rPr>
      </w:pPr>
      <w:r>
        <w:rPr>
          <w:rFonts w:ascii="Times New Roman" w:hAnsi="Times New Roman"/>
          <w:color w:val="231F20"/>
          <w:w w:val="110"/>
          <w:sz w:val="19"/>
        </w:rPr>
        <w:t>S</w:t>
      </w:r>
      <w:r>
        <w:rPr>
          <w:rFonts w:ascii="Times New Roman" w:hAnsi="Times New Roman"/>
          <w:color w:val="231F20"/>
          <w:w w:val="110"/>
          <w:sz w:val="15"/>
        </w:rPr>
        <w:t>ALAS</w:t>
      </w:r>
      <w:r>
        <w:rPr>
          <w:rFonts w:ascii="Times New Roman" w:hAnsi="Times New Roman"/>
          <w:color w:val="231F20"/>
          <w:w w:val="110"/>
          <w:sz w:val="19"/>
        </w:rPr>
        <w:t>,</w:t>
      </w:r>
      <w:r>
        <w:rPr>
          <w:rFonts w:ascii="Times New Roman" w:hAnsi="Times New Roman"/>
          <w:color w:val="231F20"/>
          <w:spacing w:val="-10"/>
          <w:w w:val="110"/>
          <w:sz w:val="19"/>
        </w:rPr>
        <w:t> </w:t>
      </w:r>
      <w:r>
        <w:rPr>
          <w:color w:val="231F20"/>
          <w:spacing w:val="-3"/>
          <w:w w:val="110"/>
          <w:sz w:val="19"/>
        </w:rPr>
        <w:t>Renato </w:t>
      </w:r>
      <w:r>
        <w:rPr>
          <w:color w:val="231F20"/>
          <w:w w:val="110"/>
          <w:sz w:val="19"/>
        </w:rPr>
        <w:t>(2011),</w:t>
      </w:r>
      <w:r>
        <w:rPr>
          <w:color w:val="231F20"/>
          <w:spacing w:val="-3"/>
          <w:w w:val="110"/>
          <w:sz w:val="19"/>
        </w:rPr>
        <w:t> </w:t>
      </w:r>
      <w:r>
        <w:rPr>
          <w:color w:val="231F20"/>
          <w:spacing w:val="4"/>
          <w:w w:val="110"/>
          <w:sz w:val="19"/>
        </w:rPr>
        <w:t>“La</w:t>
      </w:r>
      <w:r>
        <w:rPr>
          <w:color w:val="231F20"/>
          <w:spacing w:val="-3"/>
          <w:w w:val="110"/>
          <w:sz w:val="19"/>
        </w:rPr>
        <w:t> </w:t>
      </w:r>
      <w:r>
        <w:rPr>
          <w:color w:val="231F20"/>
          <w:w w:val="110"/>
          <w:sz w:val="19"/>
        </w:rPr>
        <w:t>migración</w:t>
      </w:r>
      <w:r>
        <w:rPr>
          <w:color w:val="231F20"/>
          <w:spacing w:val="-3"/>
          <w:w w:val="110"/>
          <w:sz w:val="19"/>
        </w:rPr>
        <w:t> </w:t>
      </w:r>
      <w:r>
        <w:rPr>
          <w:color w:val="231F20"/>
          <w:w w:val="110"/>
          <w:sz w:val="19"/>
        </w:rPr>
        <w:t>de</w:t>
      </w:r>
      <w:r>
        <w:rPr>
          <w:color w:val="231F20"/>
          <w:spacing w:val="-3"/>
          <w:w w:val="110"/>
          <w:sz w:val="19"/>
        </w:rPr>
        <w:t> </w:t>
      </w:r>
      <w:r>
        <w:rPr>
          <w:color w:val="231F20"/>
          <w:w w:val="110"/>
          <w:sz w:val="19"/>
        </w:rPr>
        <w:t>retorno</w:t>
      </w:r>
      <w:r>
        <w:rPr>
          <w:color w:val="231F20"/>
          <w:spacing w:val="-3"/>
          <w:w w:val="110"/>
          <w:sz w:val="19"/>
        </w:rPr>
        <w:t> </w:t>
      </w:r>
      <w:r>
        <w:rPr>
          <w:color w:val="231F20"/>
          <w:w w:val="110"/>
          <w:sz w:val="19"/>
        </w:rPr>
        <w:t>desde</w:t>
      </w:r>
      <w:r>
        <w:rPr>
          <w:color w:val="231F20"/>
          <w:spacing w:val="-3"/>
          <w:w w:val="110"/>
          <w:sz w:val="19"/>
        </w:rPr>
        <w:t> </w:t>
      </w:r>
      <w:r>
        <w:rPr>
          <w:color w:val="231F20"/>
          <w:w w:val="110"/>
          <w:sz w:val="19"/>
        </w:rPr>
        <w:t>Estados</w:t>
      </w:r>
      <w:r>
        <w:rPr>
          <w:color w:val="231F20"/>
          <w:spacing w:val="-3"/>
          <w:w w:val="110"/>
          <w:sz w:val="19"/>
        </w:rPr>
        <w:t> </w:t>
      </w:r>
      <w:r>
        <w:rPr>
          <w:color w:val="231F20"/>
          <w:w w:val="110"/>
          <w:sz w:val="19"/>
        </w:rPr>
        <w:t>Unidos</w:t>
      </w:r>
      <w:r>
        <w:rPr>
          <w:color w:val="231F20"/>
          <w:spacing w:val="-3"/>
          <w:w w:val="110"/>
          <w:sz w:val="19"/>
        </w:rPr>
        <w:t> </w:t>
      </w:r>
      <w:r>
        <w:rPr>
          <w:color w:val="231F20"/>
          <w:w w:val="110"/>
          <w:sz w:val="19"/>
        </w:rPr>
        <w:t>hacia</w:t>
      </w:r>
      <w:r>
        <w:rPr>
          <w:color w:val="231F20"/>
          <w:spacing w:val="-3"/>
          <w:w w:val="110"/>
          <w:sz w:val="19"/>
        </w:rPr>
        <w:t> </w:t>
      </w:r>
      <w:r>
        <w:rPr>
          <w:color w:val="231F20"/>
          <w:w w:val="110"/>
          <w:sz w:val="19"/>
        </w:rPr>
        <w:t>el estado</w:t>
      </w:r>
      <w:r>
        <w:rPr>
          <w:color w:val="231F20"/>
          <w:spacing w:val="-5"/>
          <w:w w:val="110"/>
          <w:sz w:val="19"/>
        </w:rPr>
        <w:t> </w:t>
      </w:r>
      <w:r>
        <w:rPr>
          <w:color w:val="231F20"/>
          <w:w w:val="110"/>
          <w:sz w:val="19"/>
        </w:rPr>
        <w:t>de</w:t>
      </w:r>
      <w:r>
        <w:rPr>
          <w:color w:val="231F20"/>
          <w:spacing w:val="-5"/>
          <w:w w:val="110"/>
          <w:sz w:val="19"/>
        </w:rPr>
        <w:t> </w:t>
      </w:r>
      <w:r>
        <w:rPr>
          <w:color w:val="231F20"/>
          <w:w w:val="110"/>
          <w:sz w:val="19"/>
        </w:rPr>
        <w:t>México:</w:t>
      </w:r>
      <w:r>
        <w:rPr>
          <w:color w:val="231F20"/>
          <w:spacing w:val="-5"/>
          <w:w w:val="110"/>
          <w:sz w:val="19"/>
        </w:rPr>
        <w:t> </w:t>
      </w:r>
      <w:r>
        <w:rPr>
          <w:color w:val="231F20"/>
          <w:w w:val="110"/>
          <w:sz w:val="19"/>
        </w:rPr>
        <w:t>oportunidades</w:t>
      </w:r>
      <w:r>
        <w:rPr>
          <w:color w:val="231F20"/>
          <w:spacing w:val="-5"/>
          <w:w w:val="110"/>
          <w:sz w:val="19"/>
        </w:rPr>
        <w:t> </w:t>
      </w:r>
      <w:r>
        <w:rPr>
          <w:color w:val="231F20"/>
          <w:w w:val="110"/>
          <w:sz w:val="19"/>
        </w:rPr>
        <w:t>y</w:t>
      </w:r>
      <w:r>
        <w:rPr>
          <w:color w:val="231F20"/>
          <w:spacing w:val="-5"/>
          <w:w w:val="110"/>
          <w:sz w:val="19"/>
        </w:rPr>
        <w:t> </w:t>
      </w:r>
      <w:r>
        <w:rPr>
          <w:color w:val="231F20"/>
          <w:w w:val="110"/>
          <w:sz w:val="19"/>
        </w:rPr>
        <w:t>retos”,</w:t>
      </w:r>
      <w:r>
        <w:rPr>
          <w:color w:val="231F20"/>
          <w:spacing w:val="-5"/>
          <w:w w:val="110"/>
          <w:sz w:val="19"/>
        </w:rPr>
        <w:t> </w:t>
      </w:r>
      <w:r>
        <w:rPr>
          <w:i/>
          <w:color w:val="231F20"/>
          <w:w w:val="110"/>
          <w:sz w:val="19"/>
        </w:rPr>
        <w:t>Cuadernos</w:t>
      </w:r>
      <w:r>
        <w:rPr>
          <w:i/>
          <w:color w:val="231F20"/>
          <w:spacing w:val="-9"/>
          <w:w w:val="110"/>
          <w:sz w:val="19"/>
        </w:rPr>
        <w:t> </w:t>
      </w:r>
      <w:r>
        <w:rPr>
          <w:i/>
          <w:color w:val="231F20"/>
          <w:w w:val="110"/>
          <w:sz w:val="19"/>
        </w:rPr>
        <w:t>Geográficos</w:t>
      </w:r>
      <w:r>
        <w:rPr>
          <w:color w:val="231F20"/>
          <w:w w:val="110"/>
          <w:sz w:val="19"/>
        </w:rPr>
        <w:t>,</w:t>
      </w:r>
      <w:r>
        <w:rPr>
          <w:color w:val="231F20"/>
          <w:spacing w:val="-5"/>
          <w:w w:val="110"/>
          <w:sz w:val="19"/>
        </w:rPr>
        <w:t> </w:t>
      </w:r>
      <w:r>
        <w:rPr>
          <w:color w:val="231F20"/>
          <w:w w:val="110"/>
          <w:sz w:val="19"/>
        </w:rPr>
        <w:t>núm.</w:t>
      </w:r>
      <w:r>
        <w:rPr>
          <w:color w:val="231F20"/>
          <w:spacing w:val="-5"/>
          <w:w w:val="110"/>
          <w:sz w:val="19"/>
        </w:rPr>
        <w:t> </w:t>
      </w:r>
      <w:r>
        <w:rPr>
          <w:color w:val="231F20"/>
          <w:w w:val="110"/>
          <w:sz w:val="19"/>
        </w:rPr>
        <w:t>49, México,</w:t>
      </w:r>
      <w:r>
        <w:rPr>
          <w:color w:val="231F20"/>
          <w:spacing w:val="-8"/>
          <w:w w:val="110"/>
          <w:sz w:val="19"/>
        </w:rPr>
        <w:t> </w:t>
      </w:r>
      <w:r>
        <w:rPr>
          <w:color w:val="231F20"/>
          <w:w w:val="110"/>
          <w:sz w:val="19"/>
        </w:rPr>
        <w:t>Universidad</w:t>
      </w:r>
      <w:r>
        <w:rPr>
          <w:color w:val="231F20"/>
          <w:spacing w:val="-8"/>
          <w:w w:val="110"/>
          <w:sz w:val="19"/>
        </w:rPr>
        <w:t> </w:t>
      </w:r>
      <w:r>
        <w:rPr>
          <w:color w:val="231F20"/>
          <w:w w:val="110"/>
          <w:sz w:val="19"/>
        </w:rPr>
        <w:t>de</w:t>
      </w:r>
      <w:r>
        <w:rPr>
          <w:color w:val="231F20"/>
          <w:spacing w:val="-8"/>
          <w:w w:val="110"/>
          <w:sz w:val="19"/>
        </w:rPr>
        <w:t> </w:t>
      </w:r>
      <w:r>
        <w:rPr>
          <w:color w:val="231F20"/>
          <w:w w:val="110"/>
          <w:sz w:val="19"/>
        </w:rPr>
        <w:t>Granada,</w:t>
      </w:r>
      <w:r>
        <w:rPr>
          <w:color w:val="231F20"/>
          <w:spacing w:val="-8"/>
          <w:w w:val="110"/>
          <w:sz w:val="19"/>
        </w:rPr>
        <w:t> </w:t>
      </w:r>
      <w:r>
        <w:rPr>
          <w:color w:val="231F20"/>
          <w:w w:val="110"/>
          <w:sz w:val="19"/>
        </w:rPr>
        <w:t>pp.</w:t>
      </w:r>
      <w:r>
        <w:rPr>
          <w:color w:val="231F20"/>
          <w:spacing w:val="-8"/>
          <w:w w:val="110"/>
          <w:sz w:val="19"/>
        </w:rPr>
        <w:t> </w:t>
      </w:r>
      <w:r>
        <w:rPr>
          <w:color w:val="231F20"/>
          <w:w w:val="110"/>
          <w:sz w:val="19"/>
        </w:rPr>
        <w:t>153-179.</w:t>
      </w:r>
    </w:p>
    <w:p>
      <w:pPr>
        <w:spacing w:line="266" w:lineRule="auto" w:before="0"/>
        <w:ind w:left="484" w:right="112" w:hanging="360"/>
        <w:jc w:val="both"/>
        <w:rPr>
          <w:sz w:val="19"/>
        </w:rPr>
      </w:pPr>
      <w:r>
        <w:rPr>
          <w:rFonts w:ascii="Times New Roman" w:hAnsi="Times New Roman"/>
          <w:color w:val="231F20"/>
          <w:w w:val="110"/>
          <w:sz w:val="19"/>
        </w:rPr>
        <w:t>S</w:t>
      </w:r>
      <w:r>
        <w:rPr>
          <w:rFonts w:ascii="Times New Roman" w:hAnsi="Times New Roman"/>
          <w:color w:val="231F20"/>
          <w:w w:val="110"/>
          <w:sz w:val="15"/>
        </w:rPr>
        <w:t>ALAS</w:t>
      </w:r>
      <w:r>
        <w:rPr>
          <w:color w:val="231F20"/>
          <w:w w:val="110"/>
          <w:sz w:val="19"/>
        </w:rPr>
        <w:t>,</w:t>
      </w:r>
      <w:r>
        <w:rPr>
          <w:color w:val="231F20"/>
          <w:spacing w:val="-14"/>
          <w:w w:val="110"/>
          <w:sz w:val="19"/>
        </w:rPr>
        <w:t> </w:t>
      </w:r>
      <w:r>
        <w:rPr>
          <w:color w:val="231F20"/>
          <w:spacing w:val="-3"/>
          <w:w w:val="110"/>
          <w:sz w:val="19"/>
        </w:rPr>
        <w:t>Renato,</w:t>
      </w:r>
      <w:r>
        <w:rPr>
          <w:color w:val="231F20"/>
          <w:spacing w:val="-14"/>
          <w:w w:val="110"/>
          <w:sz w:val="19"/>
        </w:rPr>
        <w:t> </w:t>
      </w:r>
      <w:r>
        <w:rPr>
          <w:color w:val="231F20"/>
          <w:w w:val="110"/>
          <w:sz w:val="19"/>
        </w:rPr>
        <w:t>Norma</w:t>
      </w:r>
      <w:r>
        <w:rPr>
          <w:color w:val="231F20"/>
          <w:spacing w:val="-14"/>
          <w:w w:val="110"/>
          <w:sz w:val="19"/>
        </w:rPr>
        <w:t> </w:t>
      </w:r>
      <w:r>
        <w:rPr>
          <w:color w:val="231F20"/>
          <w:w w:val="110"/>
          <w:sz w:val="19"/>
        </w:rPr>
        <w:t>Baca</w:t>
      </w:r>
      <w:r>
        <w:rPr>
          <w:color w:val="231F20"/>
          <w:spacing w:val="-14"/>
          <w:w w:val="110"/>
          <w:sz w:val="19"/>
        </w:rPr>
        <w:t> </w:t>
      </w:r>
      <w:r>
        <w:rPr>
          <w:color w:val="231F20"/>
          <w:w w:val="110"/>
          <w:sz w:val="19"/>
        </w:rPr>
        <w:t>y</w:t>
      </w:r>
      <w:r>
        <w:rPr>
          <w:color w:val="231F20"/>
          <w:spacing w:val="-14"/>
          <w:w w:val="110"/>
          <w:sz w:val="19"/>
        </w:rPr>
        <w:t> </w:t>
      </w:r>
      <w:r>
        <w:rPr>
          <w:color w:val="231F20"/>
          <w:w w:val="110"/>
          <w:sz w:val="19"/>
        </w:rPr>
        <w:t>Maripaz</w:t>
      </w:r>
      <w:r>
        <w:rPr>
          <w:color w:val="231F20"/>
          <w:spacing w:val="-14"/>
          <w:w w:val="110"/>
          <w:sz w:val="19"/>
        </w:rPr>
        <w:t> </w:t>
      </w:r>
      <w:r>
        <w:rPr>
          <w:color w:val="231F20"/>
          <w:w w:val="110"/>
          <w:sz w:val="19"/>
        </w:rPr>
        <w:t>Alcántara</w:t>
      </w:r>
      <w:r>
        <w:rPr>
          <w:color w:val="231F20"/>
          <w:spacing w:val="-14"/>
          <w:w w:val="110"/>
          <w:sz w:val="19"/>
        </w:rPr>
        <w:t> </w:t>
      </w:r>
      <w:r>
        <w:rPr>
          <w:color w:val="231F20"/>
          <w:w w:val="110"/>
          <w:sz w:val="19"/>
        </w:rPr>
        <w:t>(2013),</w:t>
      </w:r>
      <w:r>
        <w:rPr>
          <w:color w:val="231F20"/>
          <w:spacing w:val="-14"/>
          <w:w w:val="110"/>
          <w:sz w:val="19"/>
        </w:rPr>
        <w:t> </w:t>
      </w:r>
      <w:r>
        <w:rPr>
          <w:color w:val="231F20"/>
          <w:w w:val="110"/>
          <w:sz w:val="19"/>
        </w:rPr>
        <w:t>“Motivaciones</w:t>
      </w:r>
      <w:r>
        <w:rPr>
          <w:color w:val="231F20"/>
          <w:spacing w:val="-14"/>
          <w:w w:val="110"/>
          <w:sz w:val="19"/>
        </w:rPr>
        <w:t> </w:t>
      </w:r>
      <w:r>
        <w:rPr>
          <w:color w:val="231F20"/>
          <w:w w:val="110"/>
          <w:sz w:val="19"/>
        </w:rPr>
        <w:t>para</w:t>
      </w:r>
      <w:r>
        <w:rPr>
          <w:color w:val="231F20"/>
          <w:spacing w:val="-14"/>
          <w:w w:val="110"/>
          <w:sz w:val="19"/>
        </w:rPr>
        <w:t> </w:t>
      </w:r>
      <w:r>
        <w:rPr>
          <w:color w:val="231F20"/>
          <w:w w:val="110"/>
          <w:sz w:val="19"/>
        </w:rPr>
        <w:t>mi- grar</w:t>
      </w:r>
      <w:r>
        <w:rPr>
          <w:color w:val="231F20"/>
          <w:spacing w:val="-15"/>
          <w:w w:val="110"/>
          <w:sz w:val="19"/>
        </w:rPr>
        <w:t> </w:t>
      </w:r>
      <w:r>
        <w:rPr>
          <w:color w:val="231F20"/>
          <w:w w:val="110"/>
          <w:sz w:val="19"/>
        </w:rPr>
        <w:t>y</w:t>
      </w:r>
      <w:r>
        <w:rPr>
          <w:color w:val="231F20"/>
          <w:spacing w:val="-15"/>
          <w:w w:val="110"/>
          <w:sz w:val="19"/>
        </w:rPr>
        <w:t> </w:t>
      </w:r>
      <w:r>
        <w:rPr>
          <w:color w:val="231F20"/>
          <w:w w:val="110"/>
          <w:sz w:val="19"/>
        </w:rPr>
        <w:t>repercusiones</w:t>
      </w:r>
      <w:r>
        <w:rPr>
          <w:color w:val="231F20"/>
          <w:spacing w:val="-15"/>
          <w:w w:val="110"/>
          <w:sz w:val="19"/>
        </w:rPr>
        <w:t> </w:t>
      </w:r>
      <w:r>
        <w:rPr>
          <w:color w:val="231F20"/>
          <w:w w:val="110"/>
          <w:sz w:val="19"/>
        </w:rPr>
        <w:t>en</w:t>
      </w:r>
      <w:r>
        <w:rPr>
          <w:color w:val="231F20"/>
          <w:spacing w:val="-15"/>
          <w:w w:val="110"/>
          <w:sz w:val="19"/>
        </w:rPr>
        <w:t> </w:t>
      </w:r>
      <w:r>
        <w:rPr>
          <w:color w:val="231F20"/>
          <w:w w:val="110"/>
          <w:sz w:val="19"/>
        </w:rPr>
        <w:t>la</w:t>
      </w:r>
      <w:r>
        <w:rPr>
          <w:color w:val="231F20"/>
          <w:spacing w:val="-15"/>
          <w:w w:val="110"/>
          <w:sz w:val="19"/>
        </w:rPr>
        <w:t> </w:t>
      </w:r>
      <w:r>
        <w:rPr>
          <w:color w:val="231F20"/>
          <w:w w:val="110"/>
          <w:sz w:val="19"/>
        </w:rPr>
        <w:t>estructura</w:t>
      </w:r>
      <w:r>
        <w:rPr>
          <w:color w:val="231F20"/>
          <w:spacing w:val="-15"/>
          <w:w w:val="110"/>
          <w:sz w:val="19"/>
        </w:rPr>
        <w:t> </w:t>
      </w:r>
      <w:r>
        <w:rPr>
          <w:color w:val="231F20"/>
          <w:w w:val="110"/>
          <w:sz w:val="19"/>
        </w:rPr>
        <w:t>familiar</w:t>
      </w:r>
      <w:r>
        <w:rPr>
          <w:color w:val="231F20"/>
          <w:spacing w:val="-15"/>
          <w:w w:val="110"/>
          <w:sz w:val="19"/>
        </w:rPr>
        <w:t> </w:t>
      </w:r>
      <w:r>
        <w:rPr>
          <w:color w:val="231F20"/>
          <w:w w:val="110"/>
          <w:sz w:val="19"/>
        </w:rPr>
        <w:t>de</w:t>
      </w:r>
      <w:r>
        <w:rPr>
          <w:color w:val="231F20"/>
          <w:spacing w:val="-15"/>
          <w:w w:val="110"/>
          <w:sz w:val="19"/>
        </w:rPr>
        <w:t> </w:t>
      </w:r>
      <w:r>
        <w:rPr>
          <w:color w:val="231F20"/>
          <w:w w:val="110"/>
          <w:sz w:val="19"/>
        </w:rPr>
        <w:t>migrantes</w:t>
      </w:r>
      <w:r>
        <w:rPr>
          <w:color w:val="231F20"/>
          <w:spacing w:val="-15"/>
          <w:w w:val="110"/>
          <w:sz w:val="19"/>
        </w:rPr>
        <w:t> </w:t>
      </w:r>
      <w:r>
        <w:rPr>
          <w:color w:val="231F20"/>
          <w:w w:val="110"/>
          <w:sz w:val="19"/>
        </w:rPr>
        <w:t>retornadas</w:t>
      </w:r>
      <w:r>
        <w:rPr>
          <w:color w:val="231F20"/>
          <w:spacing w:val="-15"/>
          <w:w w:val="110"/>
          <w:sz w:val="19"/>
        </w:rPr>
        <w:t> </w:t>
      </w:r>
      <w:r>
        <w:rPr>
          <w:color w:val="231F20"/>
          <w:w w:val="110"/>
          <w:sz w:val="19"/>
        </w:rPr>
        <w:t>en</w:t>
      </w:r>
      <w:r>
        <w:rPr>
          <w:color w:val="231F20"/>
          <w:spacing w:val="-15"/>
          <w:w w:val="110"/>
          <w:sz w:val="19"/>
        </w:rPr>
        <w:t> </w:t>
      </w:r>
      <w:r>
        <w:rPr>
          <w:color w:val="231F20"/>
          <w:w w:val="110"/>
          <w:sz w:val="19"/>
        </w:rPr>
        <w:t>el </w:t>
      </w:r>
      <w:r>
        <w:rPr>
          <w:color w:val="231F20"/>
          <w:spacing w:val="2"/>
          <w:w w:val="110"/>
          <w:sz w:val="19"/>
        </w:rPr>
        <w:t>Estado </w:t>
      </w:r>
      <w:r>
        <w:rPr>
          <w:color w:val="231F20"/>
          <w:w w:val="110"/>
          <w:sz w:val="19"/>
        </w:rPr>
        <w:t>de </w:t>
      </w:r>
      <w:r>
        <w:rPr>
          <w:color w:val="231F20"/>
          <w:spacing w:val="2"/>
          <w:w w:val="110"/>
          <w:sz w:val="19"/>
        </w:rPr>
        <w:t>México: </w:t>
      </w:r>
      <w:r>
        <w:rPr>
          <w:color w:val="231F20"/>
          <w:w w:val="110"/>
          <w:sz w:val="19"/>
        </w:rPr>
        <w:t>una </w:t>
      </w:r>
      <w:r>
        <w:rPr>
          <w:color w:val="231F20"/>
          <w:spacing w:val="2"/>
          <w:w w:val="110"/>
          <w:sz w:val="19"/>
        </w:rPr>
        <w:t>aproximación desde </w:t>
      </w:r>
      <w:r>
        <w:rPr>
          <w:color w:val="231F20"/>
          <w:w w:val="110"/>
          <w:sz w:val="19"/>
        </w:rPr>
        <w:t>el </w:t>
      </w:r>
      <w:r>
        <w:rPr>
          <w:color w:val="231F20"/>
          <w:spacing w:val="2"/>
          <w:w w:val="110"/>
          <w:sz w:val="19"/>
        </w:rPr>
        <w:t>género”, </w:t>
      </w:r>
      <w:r>
        <w:rPr>
          <w:color w:val="231F20"/>
          <w:w w:val="110"/>
          <w:sz w:val="19"/>
        </w:rPr>
        <w:t>en </w:t>
      </w:r>
      <w:r>
        <w:rPr>
          <w:color w:val="231F20"/>
          <w:spacing w:val="2"/>
          <w:w w:val="110"/>
          <w:sz w:val="19"/>
        </w:rPr>
        <w:t>Asael Ortiz </w:t>
      </w:r>
      <w:r>
        <w:rPr>
          <w:color w:val="231F20"/>
          <w:spacing w:val="6"/>
          <w:w w:val="110"/>
          <w:sz w:val="19"/>
        </w:rPr>
        <w:t>(coord.), </w:t>
      </w:r>
      <w:r>
        <w:rPr>
          <w:i/>
          <w:color w:val="231F20"/>
          <w:spacing w:val="2"/>
          <w:w w:val="110"/>
          <w:sz w:val="19"/>
        </w:rPr>
        <w:t>La </w:t>
      </w:r>
      <w:r>
        <w:rPr>
          <w:i/>
          <w:color w:val="231F20"/>
          <w:spacing w:val="4"/>
          <w:w w:val="110"/>
          <w:sz w:val="19"/>
        </w:rPr>
        <w:t>investigación social </w:t>
      </w:r>
      <w:r>
        <w:rPr>
          <w:i/>
          <w:color w:val="231F20"/>
          <w:spacing w:val="2"/>
          <w:w w:val="110"/>
          <w:sz w:val="19"/>
        </w:rPr>
        <w:t>en </w:t>
      </w:r>
      <w:r>
        <w:rPr>
          <w:i/>
          <w:color w:val="231F20"/>
          <w:spacing w:val="4"/>
          <w:w w:val="110"/>
          <w:sz w:val="19"/>
        </w:rPr>
        <w:t>México, </w:t>
      </w:r>
      <w:r>
        <w:rPr>
          <w:i/>
          <w:color w:val="231F20"/>
          <w:spacing w:val="3"/>
          <w:w w:val="110"/>
          <w:sz w:val="19"/>
        </w:rPr>
        <w:t>2013</w:t>
      </w:r>
      <w:r>
        <w:rPr>
          <w:color w:val="231F20"/>
          <w:spacing w:val="3"/>
          <w:w w:val="110"/>
          <w:sz w:val="19"/>
        </w:rPr>
        <w:t>, </w:t>
      </w:r>
      <w:r>
        <w:rPr>
          <w:color w:val="231F20"/>
          <w:spacing w:val="4"/>
          <w:w w:val="110"/>
          <w:sz w:val="19"/>
        </w:rPr>
        <w:t>Hidalgo, Universidad </w:t>
      </w:r>
      <w:r>
        <w:rPr>
          <w:color w:val="231F20"/>
          <w:spacing w:val="-3"/>
          <w:w w:val="110"/>
          <w:sz w:val="19"/>
        </w:rPr>
        <w:t>Autónoma</w:t>
      </w:r>
      <w:r>
        <w:rPr>
          <w:color w:val="231F20"/>
          <w:spacing w:val="-11"/>
          <w:w w:val="110"/>
          <w:sz w:val="19"/>
        </w:rPr>
        <w:t> </w:t>
      </w:r>
      <w:r>
        <w:rPr>
          <w:color w:val="231F20"/>
          <w:w w:val="110"/>
          <w:sz w:val="19"/>
        </w:rPr>
        <w:t>del</w:t>
      </w:r>
      <w:r>
        <w:rPr>
          <w:color w:val="231F20"/>
          <w:spacing w:val="-11"/>
          <w:w w:val="110"/>
          <w:sz w:val="19"/>
        </w:rPr>
        <w:t> </w:t>
      </w:r>
      <w:r>
        <w:rPr>
          <w:color w:val="231F20"/>
          <w:w w:val="110"/>
          <w:sz w:val="19"/>
        </w:rPr>
        <w:t>Estado</w:t>
      </w:r>
      <w:r>
        <w:rPr>
          <w:color w:val="231F20"/>
          <w:spacing w:val="-11"/>
          <w:w w:val="110"/>
          <w:sz w:val="19"/>
        </w:rPr>
        <w:t> </w:t>
      </w:r>
      <w:r>
        <w:rPr>
          <w:color w:val="231F20"/>
          <w:w w:val="110"/>
          <w:sz w:val="19"/>
        </w:rPr>
        <w:t>de</w:t>
      </w:r>
      <w:r>
        <w:rPr>
          <w:color w:val="231F20"/>
          <w:spacing w:val="-11"/>
          <w:w w:val="110"/>
          <w:sz w:val="19"/>
        </w:rPr>
        <w:t> </w:t>
      </w:r>
      <w:r>
        <w:rPr>
          <w:color w:val="231F20"/>
          <w:w w:val="110"/>
          <w:sz w:val="19"/>
        </w:rPr>
        <w:t>Hidalgo,</w:t>
      </w:r>
      <w:r>
        <w:rPr>
          <w:color w:val="231F20"/>
          <w:spacing w:val="-11"/>
          <w:w w:val="110"/>
          <w:sz w:val="19"/>
        </w:rPr>
        <w:t> </w:t>
      </w:r>
      <w:r>
        <w:rPr>
          <w:color w:val="231F20"/>
          <w:w w:val="110"/>
          <w:sz w:val="19"/>
        </w:rPr>
        <w:t>171-180.</w:t>
      </w:r>
    </w:p>
    <w:p>
      <w:pPr>
        <w:spacing w:line="266" w:lineRule="auto" w:before="0"/>
        <w:ind w:left="484" w:right="113" w:hanging="360"/>
        <w:jc w:val="both"/>
        <w:rPr>
          <w:sz w:val="19"/>
        </w:rPr>
      </w:pPr>
      <w:r>
        <w:rPr>
          <w:rFonts w:ascii="Times New Roman" w:hAnsi="Times New Roman"/>
          <w:color w:val="231F20"/>
          <w:w w:val="105"/>
          <w:sz w:val="19"/>
        </w:rPr>
        <w:t>S</w:t>
      </w:r>
      <w:r>
        <w:rPr>
          <w:rFonts w:ascii="Times New Roman" w:hAnsi="Times New Roman"/>
          <w:color w:val="231F20"/>
          <w:w w:val="105"/>
          <w:sz w:val="15"/>
        </w:rPr>
        <w:t>TARK</w:t>
      </w:r>
      <w:r>
        <w:rPr>
          <w:color w:val="231F20"/>
          <w:w w:val="105"/>
          <w:sz w:val="19"/>
        </w:rPr>
        <w:t>, Oded (1982), “Research on Rural to Urban Migration in ldcs: the Confu- sion Frontier and Why We Should Pause to Rethink Afresh”, </w:t>
      </w:r>
      <w:r>
        <w:rPr>
          <w:i/>
          <w:color w:val="231F20"/>
          <w:w w:val="105"/>
          <w:sz w:val="19"/>
        </w:rPr>
        <w:t>World Develop- </w:t>
      </w:r>
      <w:r>
        <w:rPr>
          <w:i/>
          <w:color w:val="231F20"/>
          <w:w w:val="105"/>
          <w:sz w:val="19"/>
        </w:rPr>
        <w:t>ment</w:t>
      </w:r>
      <w:r>
        <w:rPr>
          <w:color w:val="231F20"/>
          <w:w w:val="105"/>
          <w:sz w:val="19"/>
        </w:rPr>
        <w:t>,  10(1),  Reino Unido.</w:t>
      </w:r>
    </w:p>
    <w:p>
      <w:pPr>
        <w:spacing w:before="0"/>
        <w:ind w:left="124" w:right="0" w:firstLine="0"/>
        <w:jc w:val="left"/>
        <w:rPr>
          <w:sz w:val="19"/>
        </w:rPr>
      </w:pPr>
      <w:r>
        <w:rPr>
          <w:rFonts w:ascii="Times New Roman"/>
          <w:color w:val="231F20"/>
          <w:w w:val="105"/>
          <w:sz w:val="19"/>
        </w:rPr>
        <w:t>S</w:t>
      </w:r>
      <w:r>
        <w:rPr>
          <w:rFonts w:ascii="Times New Roman"/>
          <w:color w:val="231F20"/>
          <w:w w:val="105"/>
          <w:sz w:val="15"/>
        </w:rPr>
        <w:t>TORR</w:t>
      </w:r>
      <w:r>
        <w:rPr>
          <w:color w:val="231F20"/>
          <w:w w:val="105"/>
          <w:sz w:val="19"/>
        </w:rPr>
        <w:t>, Anthony (1991), </w:t>
      </w:r>
      <w:r>
        <w:rPr>
          <w:i/>
          <w:color w:val="231F20"/>
          <w:w w:val="105"/>
          <w:sz w:val="19"/>
        </w:rPr>
        <w:t>La agresividad humana</w:t>
      </w:r>
      <w:r>
        <w:rPr>
          <w:color w:val="231F20"/>
          <w:w w:val="105"/>
          <w:sz w:val="19"/>
        </w:rPr>
        <w:t>, Madrid, Alianza  Editorial.</w:t>
      </w:r>
    </w:p>
    <w:p>
      <w:pPr>
        <w:spacing w:line="266" w:lineRule="auto" w:before="25"/>
        <w:ind w:left="484" w:right="113" w:hanging="360"/>
        <w:jc w:val="both"/>
        <w:rPr>
          <w:sz w:val="19"/>
        </w:rPr>
      </w:pPr>
      <w:r>
        <w:rPr>
          <w:rFonts w:ascii="Times New Roman" w:hAnsi="Times New Roman"/>
          <w:color w:val="231F20"/>
          <w:spacing w:val="-4"/>
          <w:w w:val="110"/>
          <w:sz w:val="19"/>
        </w:rPr>
        <w:t>S</w:t>
      </w:r>
      <w:r>
        <w:rPr>
          <w:rFonts w:ascii="Times New Roman" w:hAnsi="Times New Roman"/>
          <w:color w:val="231F20"/>
          <w:spacing w:val="-4"/>
          <w:w w:val="110"/>
          <w:sz w:val="15"/>
        </w:rPr>
        <w:t>TUART</w:t>
      </w:r>
      <w:r>
        <w:rPr>
          <w:color w:val="231F20"/>
          <w:spacing w:val="-4"/>
          <w:w w:val="110"/>
          <w:sz w:val="19"/>
        </w:rPr>
        <w:t>, </w:t>
      </w:r>
      <w:r>
        <w:rPr>
          <w:color w:val="231F20"/>
          <w:w w:val="120"/>
          <w:sz w:val="19"/>
        </w:rPr>
        <w:t>J.</w:t>
      </w:r>
      <w:r>
        <w:rPr>
          <w:color w:val="231F20"/>
          <w:spacing w:val="-8"/>
          <w:w w:val="120"/>
          <w:sz w:val="19"/>
        </w:rPr>
        <w:t> </w:t>
      </w:r>
      <w:r>
        <w:rPr>
          <w:color w:val="231F20"/>
          <w:w w:val="110"/>
          <w:sz w:val="19"/>
        </w:rPr>
        <w:t>y</w:t>
      </w:r>
      <w:r>
        <w:rPr>
          <w:color w:val="231F20"/>
          <w:spacing w:val="-4"/>
          <w:w w:val="110"/>
          <w:sz w:val="19"/>
        </w:rPr>
        <w:t> </w:t>
      </w:r>
      <w:r>
        <w:rPr>
          <w:color w:val="231F20"/>
          <w:w w:val="110"/>
          <w:sz w:val="19"/>
        </w:rPr>
        <w:t>M.</w:t>
      </w:r>
      <w:r>
        <w:rPr>
          <w:color w:val="231F20"/>
          <w:spacing w:val="-4"/>
          <w:w w:val="110"/>
          <w:sz w:val="19"/>
        </w:rPr>
        <w:t> </w:t>
      </w:r>
      <w:r>
        <w:rPr>
          <w:color w:val="231F20"/>
          <w:w w:val="110"/>
          <w:sz w:val="19"/>
        </w:rPr>
        <w:t>Kearney</w:t>
      </w:r>
      <w:r>
        <w:rPr>
          <w:color w:val="231F20"/>
          <w:spacing w:val="-4"/>
          <w:w w:val="110"/>
          <w:sz w:val="19"/>
        </w:rPr>
        <w:t> </w:t>
      </w:r>
      <w:r>
        <w:rPr>
          <w:color w:val="231F20"/>
          <w:w w:val="110"/>
          <w:sz w:val="19"/>
        </w:rPr>
        <w:t>(1981),</w:t>
      </w:r>
      <w:r>
        <w:rPr>
          <w:color w:val="231F20"/>
          <w:spacing w:val="-4"/>
          <w:w w:val="110"/>
          <w:sz w:val="19"/>
        </w:rPr>
        <w:t> </w:t>
      </w:r>
      <w:r>
        <w:rPr>
          <w:color w:val="231F20"/>
          <w:w w:val="110"/>
          <w:sz w:val="19"/>
        </w:rPr>
        <w:t>“Causes</w:t>
      </w:r>
      <w:r>
        <w:rPr>
          <w:color w:val="231F20"/>
          <w:spacing w:val="-4"/>
          <w:w w:val="110"/>
          <w:sz w:val="19"/>
        </w:rPr>
        <w:t> </w:t>
      </w:r>
      <w:r>
        <w:rPr>
          <w:color w:val="231F20"/>
          <w:w w:val="110"/>
          <w:sz w:val="19"/>
        </w:rPr>
        <w:t>and</w:t>
      </w:r>
      <w:r>
        <w:rPr>
          <w:color w:val="231F20"/>
          <w:spacing w:val="-4"/>
          <w:w w:val="110"/>
          <w:sz w:val="19"/>
        </w:rPr>
        <w:t> </w:t>
      </w:r>
      <w:r>
        <w:rPr>
          <w:color w:val="231F20"/>
          <w:w w:val="110"/>
          <w:sz w:val="19"/>
        </w:rPr>
        <w:t>effects</w:t>
      </w:r>
      <w:r>
        <w:rPr>
          <w:color w:val="231F20"/>
          <w:spacing w:val="-4"/>
          <w:w w:val="110"/>
          <w:sz w:val="19"/>
        </w:rPr>
        <w:t> </w:t>
      </w:r>
      <w:r>
        <w:rPr>
          <w:color w:val="231F20"/>
          <w:w w:val="110"/>
          <w:sz w:val="19"/>
        </w:rPr>
        <w:t>of</w:t>
      </w:r>
      <w:r>
        <w:rPr>
          <w:color w:val="231F20"/>
          <w:spacing w:val="-4"/>
          <w:w w:val="110"/>
          <w:sz w:val="19"/>
        </w:rPr>
        <w:t> </w:t>
      </w:r>
      <w:r>
        <w:rPr>
          <w:color w:val="231F20"/>
          <w:w w:val="110"/>
          <w:sz w:val="19"/>
        </w:rPr>
        <w:t>agricultural</w:t>
      </w:r>
      <w:r>
        <w:rPr>
          <w:color w:val="231F20"/>
          <w:spacing w:val="-4"/>
          <w:w w:val="110"/>
          <w:sz w:val="19"/>
        </w:rPr>
        <w:t> </w:t>
      </w:r>
      <w:r>
        <w:rPr>
          <w:color w:val="231F20"/>
          <w:w w:val="110"/>
          <w:sz w:val="19"/>
        </w:rPr>
        <w:t>labor</w:t>
      </w:r>
      <w:r>
        <w:rPr>
          <w:color w:val="231F20"/>
          <w:spacing w:val="-4"/>
          <w:w w:val="110"/>
          <w:sz w:val="19"/>
        </w:rPr>
        <w:t> </w:t>
      </w:r>
      <w:r>
        <w:rPr>
          <w:color w:val="231F20"/>
          <w:w w:val="110"/>
          <w:sz w:val="19"/>
        </w:rPr>
        <w:t>migra- tion from the Mixteca of Oaxaca to California”, </w:t>
      </w:r>
      <w:r>
        <w:rPr>
          <w:i/>
          <w:color w:val="231F20"/>
          <w:spacing w:val="-4"/>
          <w:w w:val="110"/>
          <w:sz w:val="19"/>
        </w:rPr>
        <w:t>Working </w:t>
      </w:r>
      <w:r>
        <w:rPr>
          <w:i/>
          <w:color w:val="231F20"/>
          <w:spacing w:val="-5"/>
          <w:w w:val="110"/>
          <w:sz w:val="19"/>
        </w:rPr>
        <w:t>Papers </w:t>
      </w:r>
      <w:r>
        <w:rPr>
          <w:i/>
          <w:color w:val="231F20"/>
          <w:w w:val="110"/>
          <w:sz w:val="19"/>
        </w:rPr>
        <w:t>in </w:t>
      </w:r>
      <w:r>
        <w:rPr>
          <w:i/>
          <w:color w:val="231F20"/>
          <w:spacing w:val="-3"/>
          <w:w w:val="110"/>
          <w:sz w:val="19"/>
        </w:rPr>
        <w:t>U.S.-Mexi- </w:t>
      </w:r>
      <w:r>
        <w:rPr>
          <w:i/>
          <w:color w:val="231F20"/>
          <w:w w:val="110"/>
          <w:sz w:val="19"/>
        </w:rPr>
        <w:t>can</w:t>
      </w:r>
      <w:r>
        <w:rPr>
          <w:i/>
          <w:color w:val="231F20"/>
          <w:spacing w:val="-11"/>
          <w:w w:val="110"/>
          <w:sz w:val="19"/>
        </w:rPr>
        <w:t> </w:t>
      </w:r>
      <w:r>
        <w:rPr>
          <w:i/>
          <w:color w:val="231F20"/>
          <w:w w:val="110"/>
          <w:sz w:val="19"/>
        </w:rPr>
        <w:t>Studies</w:t>
      </w:r>
      <w:r>
        <w:rPr>
          <w:i/>
          <w:color w:val="231F20"/>
          <w:spacing w:val="-11"/>
          <w:w w:val="110"/>
          <w:sz w:val="19"/>
        </w:rPr>
        <w:t> </w:t>
      </w:r>
      <w:r>
        <w:rPr>
          <w:i/>
          <w:color w:val="231F20"/>
          <w:w w:val="110"/>
          <w:sz w:val="19"/>
        </w:rPr>
        <w:t>(28)</w:t>
      </w:r>
      <w:r>
        <w:rPr>
          <w:color w:val="231F20"/>
          <w:w w:val="110"/>
          <w:sz w:val="19"/>
        </w:rPr>
        <w:t>,</w:t>
      </w:r>
      <w:r>
        <w:rPr>
          <w:color w:val="231F20"/>
          <w:spacing w:val="-7"/>
          <w:w w:val="110"/>
          <w:sz w:val="19"/>
        </w:rPr>
        <w:t> </w:t>
      </w:r>
      <w:r>
        <w:rPr>
          <w:color w:val="231F20"/>
          <w:w w:val="110"/>
          <w:sz w:val="19"/>
        </w:rPr>
        <w:t>Program</w:t>
      </w:r>
      <w:r>
        <w:rPr>
          <w:color w:val="231F20"/>
          <w:spacing w:val="-7"/>
          <w:w w:val="110"/>
          <w:sz w:val="19"/>
        </w:rPr>
        <w:t> </w:t>
      </w:r>
      <w:r>
        <w:rPr>
          <w:color w:val="231F20"/>
          <w:w w:val="110"/>
          <w:sz w:val="19"/>
        </w:rPr>
        <w:t>in</w:t>
      </w:r>
      <w:r>
        <w:rPr>
          <w:color w:val="231F20"/>
          <w:spacing w:val="-7"/>
          <w:w w:val="110"/>
          <w:sz w:val="19"/>
        </w:rPr>
        <w:t> </w:t>
      </w:r>
      <w:r>
        <w:rPr>
          <w:color w:val="231F20"/>
          <w:w w:val="110"/>
          <w:sz w:val="19"/>
        </w:rPr>
        <w:t>United</w:t>
      </w:r>
      <w:r>
        <w:rPr>
          <w:color w:val="231F20"/>
          <w:spacing w:val="-7"/>
          <w:w w:val="110"/>
          <w:sz w:val="19"/>
        </w:rPr>
        <w:t> </w:t>
      </w:r>
      <w:r>
        <w:rPr>
          <w:color w:val="231F20"/>
          <w:spacing w:val="-3"/>
          <w:w w:val="110"/>
          <w:sz w:val="19"/>
        </w:rPr>
        <w:t>States-Mexican</w:t>
      </w:r>
      <w:r>
        <w:rPr>
          <w:color w:val="231F20"/>
          <w:spacing w:val="-7"/>
          <w:w w:val="110"/>
          <w:sz w:val="19"/>
        </w:rPr>
        <w:t> </w:t>
      </w:r>
      <w:r>
        <w:rPr>
          <w:color w:val="231F20"/>
          <w:w w:val="110"/>
          <w:sz w:val="19"/>
        </w:rPr>
        <w:t>Studies,</w:t>
      </w:r>
      <w:r>
        <w:rPr>
          <w:color w:val="231F20"/>
          <w:spacing w:val="-7"/>
          <w:w w:val="110"/>
          <w:sz w:val="19"/>
        </w:rPr>
        <w:t> </w:t>
      </w:r>
      <w:r>
        <w:rPr>
          <w:color w:val="231F20"/>
          <w:w w:val="110"/>
          <w:sz w:val="19"/>
        </w:rPr>
        <w:t>La</w:t>
      </w:r>
      <w:r>
        <w:rPr>
          <w:color w:val="231F20"/>
          <w:spacing w:val="-7"/>
          <w:w w:val="110"/>
          <w:sz w:val="19"/>
        </w:rPr>
        <w:t> </w:t>
      </w:r>
      <w:r>
        <w:rPr>
          <w:color w:val="231F20"/>
          <w:w w:val="110"/>
          <w:sz w:val="19"/>
        </w:rPr>
        <w:t>Jolla</w:t>
      </w:r>
      <w:r>
        <w:rPr>
          <w:color w:val="231F20"/>
          <w:spacing w:val="-7"/>
          <w:w w:val="110"/>
          <w:sz w:val="19"/>
        </w:rPr>
        <w:t> </w:t>
      </w:r>
      <w:r>
        <w:rPr>
          <w:color w:val="231F20"/>
          <w:w w:val="110"/>
          <w:sz w:val="19"/>
        </w:rPr>
        <w:t>Califor- nia, University of California, San</w:t>
      </w:r>
      <w:r>
        <w:rPr>
          <w:color w:val="231F20"/>
          <w:spacing w:val="6"/>
          <w:w w:val="110"/>
          <w:sz w:val="19"/>
        </w:rPr>
        <w:t> </w:t>
      </w:r>
      <w:r>
        <w:rPr>
          <w:color w:val="231F20"/>
          <w:w w:val="110"/>
          <w:sz w:val="19"/>
        </w:rPr>
        <w:t>Diego.</w:t>
      </w:r>
    </w:p>
    <w:p>
      <w:pPr>
        <w:spacing w:line="266" w:lineRule="auto" w:before="0"/>
        <w:ind w:left="484" w:right="113" w:hanging="360"/>
        <w:jc w:val="both"/>
        <w:rPr>
          <w:sz w:val="19"/>
        </w:rPr>
      </w:pPr>
      <w:r>
        <w:rPr>
          <w:rFonts w:ascii="Times New Roman"/>
          <w:color w:val="231F20"/>
          <w:w w:val="105"/>
          <w:sz w:val="19"/>
        </w:rPr>
        <w:t>T</w:t>
      </w:r>
      <w:r>
        <w:rPr>
          <w:rFonts w:ascii="Times New Roman"/>
          <w:color w:val="231F20"/>
          <w:w w:val="105"/>
          <w:sz w:val="15"/>
        </w:rPr>
        <w:t>AYLOR</w:t>
      </w:r>
      <w:r>
        <w:rPr>
          <w:rFonts w:ascii="Times New Roman"/>
          <w:color w:val="231F20"/>
          <w:w w:val="105"/>
          <w:sz w:val="19"/>
        </w:rPr>
        <w:t>, </w:t>
      </w:r>
      <w:r>
        <w:rPr>
          <w:color w:val="231F20"/>
          <w:w w:val="105"/>
          <w:sz w:val="19"/>
        </w:rPr>
        <w:t>Edward (1995), </w:t>
      </w:r>
      <w:r>
        <w:rPr>
          <w:i/>
          <w:color w:val="231F20"/>
          <w:w w:val="105"/>
          <w:sz w:val="19"/>
        </w:rPr>
        <w:t>Micro Economic-wide Models for Migration and Policy </w:t>
      </w:r>
      <w:r>
        <w:rPr>
          <w:i/>
          <w:color w:val="231F20"/>
          <w:w w:val="105"/>
          <w:sz w:val="19"/>
        </w:rPr>
        <w:t>Analysis: An Application to Rural  Mexico</w:t>
      </w:r>
      <w:r>
        <w:rPr>
          <w:color w:val="231F20"/>
          <w:w w:val="105"/>
          <w:sz w:val="19"/>
        </w:rPr>
        <w:t>,  Francia,   </w:t>
      </w:r>
      <w:r>
        <w:rPr>
          <w:rFonts w:ascii="Times New Roman"/>
          <w:color w:val="231F20"/>
          <w:w w:val="105"/>
          <w:sz w:val="15"/>
        </w:rPr>
        <w:t>OECD</w:t>
      </w:r>
      <w:r>
        <w:rPr>
          <w:color w:val="231F20"/>
          <w:w w:val="105"/>
          <w:sz w:val="19"/>
        </w:rPr>
        <w:t>.</w:t>
      </w:r>
    </w:p>
    <w:p>
      <w:pPr>
        <w:spacing w:line="266" w:lineRule="auto" w:before="0"/>
        <w:ind w:left="120" w:right="113" w:firstLine="0"/>
        <w:jc w:val="right"/>
        <w:rPr>
          <w:sz w:val="19"/>
        </w:rPr>
      </w:pPr>
      <w:r>
        <w:rPr>
          <w:rFonts w:ascii="Times New Roman" w:hAnsi="Times New Roman"/>
          <w:color w:val="231F20"/>
          <w:spacing w:val="-3"/>
          <w:w w:val="110"/>
          <w:sz w:val="19"/>
        </w:rPr>
        <w:t>T</w:t>
      </w:r>
      <w:r>
        <w:rPr>
          <w:rFonts w:ascii="Times New Roman" w:hAnsi="Times New Roman"/>
          <w:color w:val="231F20"/>
          <w:spacing w:val="-3"/>
          <w:w w:val="110"/>
          <w:sz w:val="15"/>
        </w:rPr>
        <w:t>ODARO</w:t>
      </w:r>
      <w:r>
        <w:rPr>
          <w:rFonts w:ascii="Times New Roman" w:hAnsi="Times New Roman"/>
          <w:color w:val="231F20"/>
          <w:spacing w:val="-3"/>
          <w:w w:val="110"/>
          <w:sz w:val="19"/>
        </w:rPr>
        <w:t>,</w:t>
      </w:r>
      <w:r>
        <w:rPr>
          <w:rFonts w:ascii="Times New Roman" w:hAnsi="Times New Roman"/>
          <w:color w:val="231F20"/>
          <w:spacing w:val="-30"/>
          <w:w w:val="110"/>
          <w:sz w:val="19"/>
        </w:rPr>
        <w:t> </w:t>
      </w:r>
      <w:r>
        <w:rPr>
          <w:color w:val="231F20"/>
          <w:w w:val="110"/>
          <w:sz w:val="19"/>
        </w:rPr>
        <w:t>Michael</w:t>
      </w:r>
      <w:r>
        <w:rPr>
          <w:color w:val="231F20"/>
          <w:spacing w:val="-24"/>
          <w:w w:val="110"/>
          <w:sz w:val="19"/>
        </w:rPr>
        <w:t> </w:t>
      </w:r>
      <w:r>
        <w:rPr>
          <w:color w:val="231F20"/>
          <w:w w:val="110"/>
          <w:sz w:val="19"/>
        </w:rPr>
        <w:t>(1969),</w:t>
      </w:r>
      <w:r>
        <w:rPr>
          <w:color w:val="231F20"/>
          <w:spacing w:val="-24"/>
          <w:w w:val="110"/>
          <w:sz w:val="19"/>
        </w:rPr>
        <w:t> </w:t>
      </w:r>
      <w:r>
        <w:rPr>
          <w:color w:val="231F20"/>
          <w:spacing w:val="-9"/>
          <w:w w:val="110"/>
          <w:sz w:val="19"/>
        </w:rPr>
        <w:t>“A</w:t>
      </w:r>
      <w:r>
        <w:rPr>
          <w:color w:val="231F20"/>
          <w:spacing w:val="-24"/>
          <w:w w:val="110"/>
          <w:sz w:val="19"/>
        </w:rPr>
        <w:t> </w:t>
      </w:r>
      <w:r>
        <w:rPr>
          <w:color w:val="231F20"/>
          <w:w w:val="110"/>
          <w:sz w:val="19"/>
        </w:rPr>
        <w:t>Model</w:t>
      </w:r>
      <w:r>
        <w:rPr>
          <w:color w:val="231F20"/>
          <w:spacing w:val="-24"/>
          <w:w w:val="110"/>
          <w:sz w:val="19"/>
        </w:rPr>
        <w:t> </w:t>
      </w:r>
      <w:r>
        <w:rPr>
          <w:color w:val="231F20"/>
          <w:w w:val="110"/>
          <w:sz w:val="19"/>
        </w:rPr>
        <w:t>of</w:t>
      </w:r>
      <w:r>
        <w:rPr>
          <w:color w:val="231F20"/>
          <w:spacing w:val="-24"/>
          <w:w w:val="110"/>
          <w:sz w:val="19"/>
        </w:rPr>
        <w:t> </w:t>
      </w:r>
      <w:r>
        <w:rPr>
          <w:color w:val="231F20"/>
          <w:w w:val="110"/>
          <w:sz w:val="19"/>
        </w:rPr>
        <w:t>Labor</w:t>
      </w:r>
      <w:r>
        <w:rPr>
          <w:color w:val="231F20"/>
          <w:spacing w:val="-24"/>
          <w:w w:val="110"/>
          <w:sz w:val="19"/>
        </w:rPr>
        <w:t> </w:t>
      </w:r>
      <w:r>
        <w:rPr>
          <w:color w:val="231F20"/>
          <w:w w:val="110"/>
          <w:sz w:val="19"/>
        </w:rPr>
        <w:t>Migration</w:t>
      </w:r>
      <w:r>
        <w:rPr>
          <w:color w:val="231F20"/>
          <w:spacing w:val="-24"/>
          <w:w w:val="110"/>
          <w:sz w:val="19"/>
        </w:rPr>
        <w:t> </w:t>
      </w:r>
      <w:r>
        <w:rPr>
          <w:color w:val="231F20"/>
          <w:w w:val="110"/>
          <w:sz w:val="19"/>
        </w:rPr>
        <w:t>and</w:t>
      </w:r>
      <w:r>
        <w:rPr>
          <w:color w:val="231F20"/>
          <w:spacing w:val="-24"/>
          <w:w w:val="110"/>
          <w:sz w:val="19"/>
        </w:rPr>
        <w:t> </w:t>
      </w:r>
      <w:r>
        <w:rPr>
          <w:color w:val="231F20"/>
          <w:w w:val="110"/>
          <w:sz w:val="19"/>
        </w:rPr>
        <w:t>Urban</w:t>
      </w:r>
      <w:r>
        <w:rPr>
          <w:color w:val="231F20"/>
          <w:spacing w:val="-24"/>
          <w:w w:val="110"/>
          <w:sz w:val="19"/>
        </w:rPr>
        <w:t> </w:t>
      </w:r>
      <w:r>
        <w:rPr>
          <w:color w:val="231F20"/>
          <w:w w:val="110"/>
          <w:sz w:val="19"/>
        </w:rPr>
        <w:t>Unemployment</w:t>
      </w:r>
      <w:r>
        <w:rPr>
          <w:color w:val="231F20"/>
          <w:w w:val="94"/>
          <w:sz w:val="19"/>
        </w:rPr>
        <w:t> </w:t>
      </w:r>
      <w:r>
        <w:rPr>
          <w:color w:val="231F20"/>
          <w:w w:val="110"/>
          <w:sz w:val="19"/>
        </w:rPr>
        <w:t>in</w:t>
      </w:r>
      <w:r>
        <w:rPr>
          <w:color w:val="231F20"/>
          <w:spacing w:val="-25"/>
          <w:w w:val="110"/>
          <w:sz w:val="19"/>
        </w:rPr>
        <w:t> </w:t>
      </w:r>
      <w:r>
        <w:rPr>
          <w:color w:val="231F20"/>
          <w:w w:val="110"/>
          <w:sz w:val="19"/>
        </w:rPr>
        <w:t>Less</w:t>
      </w:r>
      <w:r>
        <w:rPr>
          <w:color w:val="231F20"/>
          <w:spacing w:val="-25"/>
          <w:w w:val="110"/>
          <w:sz w:val="19"/>
        </w:rPr>
        <w:t> </w:t>
      </w:r>
      <w:r>
        <w:rPr>
          <w:color w:val="231F20"/>
          <w:w w:val="110"/>
          <w:sz w:val="19"/>
        </w:rPr>
        <w:t>Developed</w:t>
      </w:r>
      <w:r>
        <w:rPr>
          <w:color w:val="231F20"/>
          <w:spacing w:val="-25"/>
          <w:w w:val="110"/>
          <w:sz w:val="19"/>
        </w:rPr>
        <w:t> </w:t>
      </w:r>
      <w:r>
        <w:rPr>
          <w:color w:val="231F20"/>
          <w:w w:val="110"/>
          <w:sz w:val="19"/>
        </w:rPr>
        <w:t>Countries”</w:t>
      </w:r>
      <w:r>
        <w:rPr>
          <w:color w:val="231F20"/>
          <w:spacing w:val="-25"/>
          <w:w w:val="110"/>
          <w:sz w:val="19"/>
        </w:rPr>
        <w:t> </w:t>
      </w:r>
      <w:r>
        <w:rPr>
          <w:i/>
          <w:color w:val="231F20"/>
          <w:w w:val="110"/>
          <w:sz w:val="19"/>
        </w:rPr>
        <w:t>American</w:t>
      </w:r>
      <w:r>
        <w:rPr>
          <w:i/>
          <w:color w:val="231F20"/>
          <w:spacing w:val="-27"/>
          <w:w w:val="110"/>
          <w:sz w:val="19"/>
        </w:rPr>
        <w:t> </w:t>
      </w:r>
      <w:r>
        <w:rPr>
          <w:i/>
          <w:color w:val="231F20"/>
          <w:w w:val="110"/>
          <w:sz w:val="19"/>
        </w:rPr>
        <w:t>Economic</w:t>
      </w:r>
      <w:r>
        <w:rPr>
          <w:i/>
          <w:color w:val="231F20"/>
          <w:spacing w:val="-27"/>
          <w:w w:val="110"/>
          <w:sz w:val="19"/>
        </w:rPr>
        <w:t> </w:t>
      </w:r>
      <w:r>
        <w:rPr>
          <w:i/>
          <w:color w:val="231F20"/>
          <w:spacing w:val="-3"/>
          <w:w w:val="110"/>
          <w:sz w:val="19"/>
        </w:rPr>
        <w:t>Review</w:t>
      </w:r>
      <w:r>
        <w:rPr>
          <w:i/>
          <w:color w:val="231F20"/>
          <w:spacing w:val="-27"/>
          <w:w w:val="110"/>
          <w:sz w:val="19"/>
        </w:rPr>
        <w:t> </w:t>
      </w:r>
      <w:r>
        <w:rPr>
          <w:color w:val="231F20"/>
          <w:w w:val="110"/>
          <w:sz w:val="19"/>
        </w:rPr>
        <w:t>59(1),</w:t>
      </w:r>
      <w:r>
        <w:rPr>
          <w:color w:val="231F20"/>
          <w:spacing w:val="-25"/>
          <w:w w:val="110"/>
          <w:sz w:val="19"/>
        </w:rPr>
        <w:t> </w:t>
      </w:r>
      <w:r>
        <w:rPr>
          <w:color w:val="231F20"/>
          <w:w w:val="110"/>
          <w:sz w:val="19"/>
        </w:rPr>
        <w:t>pp.</w:t>
      </w:r>
      <w:r>
        <w:rPr>
          <w:color w:val="231F20"/>
          <w:spacing w:val="-25"/>
          <w:w w:val="110"/>
          <w:sz w:val="19"/>
        </w:rPr>
        <w:t> </w:t>
      </w:r>
      <w:r>
        <w:rPr>
          <w:color w:val="231F20"/>
          <w:w w:val="110"/>
          <w:sz w:val="19"/>
        </w:rPr>
        <w:t>138-148.</w:t>
      </w:r>
      <w:r>
        <w:rPr>
          <w:color w:val="231F20"/>
          <w:w w:val="128"/>
          <w:sz w:val="19"/>
        </w:rPr>
        <w:t> </w:t>
      </w:r>
      <w:r>
        <w:rPr>
          <w:color w:val="231F20"/>
          <w:spacing w:val="-5"/>
          <w:w w:val="110"/>
          <w:sz w:val="19"/>
        </w:rPr>
        <w:t>Women’s </w:t>
      </w:r>
      <w:r>
        <w:rPr>
          <w:color w:val="231F20"/>
          <w:w w:val="110"/>
          <w:sz w:val="19"/>
        </w:rPr>
        <w:t>Refugee Commission (2009), </w:t>
      </w:r>
      <w:r>
        <w:rPr>
          <w:i/>
          <w:color w:val="231F20"/>
          <w:w w:val="110"/>
          <w:sz w:val="19"/>
        </w:rPr>
        <w:t>Building Livelihoods. A Field</w:t>
      </w:r>
      <w:r>
        <w:rPr>
          <w:i/>
          <w:color w:val="231F20"/>
          <w:spacing w:val="31"/>
          <w:w w:val="110"/>
          <w:sz w:val="19"/>
        </w:rPr>
        <w:t> </w:t>
      </w:r>
      <w:r>
        <w:rPr>
          <w:i/>
          <w:color w:val="231F20"/>
          <w:w w:val="110"/>
          <w:sz w:val="19"/>
        </w:rPr>
        <w:t>Manual for</w:t>
      </w:r>
      <w:r>
        <w:rPr>
          <w:i/>
          <w:color w:val="231F20"/>
          <w:w w:val="98"/>
          <w:sz w:val="19"/>
        </w:rPr>
        <w:t> </w:t>
      </w:r>
      <w:r>
        <w:rPr>
          <w:i/>
          <w:color w:val="231F20"/>
          <w:spacing w:val="-3"/>
          <w:w w:val="110"/>
          <w:sz w:val="19"/>
        </w:rPr>
        <w:t>Practitioners </w:t>
      </w:r>
      <w:r>
        <w:rPr>
          <w:i/>
          <w:color w:val="231F20"/>
          <w:w w:val="110"/>
          <w:sz w:val="19"/>
        </w:rPr>
        <w:t>in Humanitarian Settings</w:t>
      </w:r>
      <w:r>
        <w:rPr>
          <w:color w:val="231F20"/>
          <w:w w:val="110"/>
          <w:sz w:val="19"/>
        </w:rPr>
        <w:t>, Nueva </w:t>
      </w:r>
      <w:r>
        <w:rPr>
          <w:color w:val="231F20"/>
          <w:spacing w:val="-6"/>
          <w:w w:val="110"/>
          <w:sz w:val="19"/>
        </w:rPr>
        <w:t>York, Women’s </w:t>
      </w:r>
      <w:r>
        <w:rPr>
          <w:color w:val="231F20"/>
          <w:spacing w:val="-3"/>
          <w:w w:val="110"/>
          <w:sz w:val="19"/>
        </w:rPr>
        <w:t>Refugee</w:t>
      </w:r>
      <w:r>
        <w:rPr>
          <w:color w:val="231F20"/>
          <w:spacing w:val="1"/>
          <w:w w:val="110"/>
          <w:sz w:val="19"/>
        </w:rPr>
        <w:t> </w:t>
      </w:r>
      <w:r>
        <w:rPr>
          <w:color w:val="231F20"/>
          <w:w w:val="110"/>
          <w:sz w:val="19"/>
        </w:rPr>
        <w:t>Com-</w:t>
      </w:r>
    </w:p>
    <w:p>
      <w:pPr>
        <w:spacing w:before="0"/>
        <w:ind w:left="484" w:right="0" w:firstLine="0"/>
        <w:jc w:val="left"/>
        <w:rPr>
          <w:sz w:val="19"/>
        </w:rPr>
      </w:pPr>
      <w:r>
        <w:rPr>
          <w:color w:val="231F20"/>
          <w:w w:val="110"/>
          <w:sz w:val="19"/>
        </w:rPr>
        <w:t>mission.</w:t>
      </w:r>
    </w:p>
    <w:p>
      <w:pPr>
        <w:spacing w:after="0"/>
        <w:jc w:val="left"/>
        <w:rPr>
          <w:sz w:val="19"/>
        </w:rPr>
        <w:sectPr>
          <w:footerReference w:type="default" r:id="rId124"/>
          <w:pgSz w:w="9520" w:h="12920"/>
          <w:pgMar w:footer="0" w:header="0" w:top="880" w:bottom="280" w:left="1320" w:right="1000"/>
        </w:sectPr>
      </w:pPr>
    </w:p>
    <w:p>
      <w:pPr>
        <w:pStyle w:val="Heading1"/>
        <w:ind w:left="2492" w:hanging="967"/>
      </w:pPr>
      <w:bookmarkStart w:name="_TOC_250006" w:id="8"/>
      <w:r>
        <w:rPr>
          <w:i/>
          <w:color w:val="231F20"/>
          <w:spacing w:val="4"/>
          <w:w w:val="65"/>
        </w:rPr>
        <w:t>La</w:t>
      </w:r>
      <w:r>
        <w:rPr>
          <w:i/>
          <w:color w:val="231F20"/>
          <w:spacing w:val="-24"/>
          <w:w w:val="65"/>
        </w:rPr>
        <w:t> </w:t>
      </w:r>
      <w:r>
        <w:rPr>
          <w:i/>
          <w:color w:val="231F20"/>
          <w:w w:val="65"/>
        </w:rPr>
        <w:t>familia</w:t>
      </w:r>
      <w:r>
        <w:rPr>
          <w:i/>
          <w:color w:val="231F20"/>
          <w:spacing w:val="-24"/>
          <w:w w:val="65"/>
        </w:rPr>
        <w:t> </w:t>
      </w:r>
      <w:r>
        <w:rPr>
          <w:i/>
          <w:color w:val="231F20"/>
          <w:w w:val="65"/>
        </w:rPr>
        <w:t>campesina</w:t>
      </w:r>
      <w:r>
        <w:rPr>
          <w:i/>
          <w:color w:val="231F20"/>
          <w:spacing w:val="-24"/>
          <w:w w:val="65"/>
        </w:rPr>
        <w:t> </w:t>
      </w:r>
      <w:r>
        <w:rPr>
          <w:i/>
          <w:color w:val="231F20"/>
          <w:w w:val="65"/>
        </w:rPr>
        <w:t>y</w:t>
      </w:r>
      <w:r>
        <w:rPr>
          <w:i/>
          <w:color w:val="231F20"/>
          <w:spacing w:val="-24"/>
          <w:w w:val="65"/>
        </w:rPr>
        <w:t> </w:t>
      </w:r>
      <w:r>
        <w:rPr>
          <w:i/>
          <w:color w:val="231F20"/>
          <w:w w:val="65"/>
        </w:rPr>
        <w:t>la</w:t>
      </w:r>
      <w:r>
        <w:rPr>
          <w:i/>
          <w:color w:val="231F20"/>
          <w:spacing w:val="-24"/>
          <w:w w:val="65"/>
        </w:rPr>
        <w:t> </w:t>
      </w:r>
      <w:r>
        <w:rPr>
          <w:i/>
          <w:color w:val="231F20"/>
          <w:w w:val="65"/>
        </w:rPr>
        <w:t>autosuficiencia</w:t>
      </w:r>
      <w:r>
        <w:rPr>
          <w:i/>
          <w:color w:val="231F20"/>
          <w:spacing w:val="-24"/>
          <w:w w:val="65"/>
        </w:rPr>
        <w:t> </w:t>
      </w:r>
      <w:r>
        <w:rPr>
          <w:i/>
          <w:color w:val="231F20"/>
          <w:w w:val="65"/>
        </w:rPr>
        <w:t>alimentaria</w:t>
      </w:r>
      <w:r>
        <w:rPr>
          <w:color w:val="231F20"/>
          <w:w w:val="62"/>
        </w:rPr>
        <w:t> </w:t>
      </w:r>
      <w:r>
        <w:rPr>
          <w:color w:val="231F20"/>
          <w:w w:val="70"/>
        </w:rPr>
        <w:t>en</w:t>
      </w:r>
      <w:r>
        <w:rPr>
          <w:color w:val="231F20"/>
          <w:spacing w:val="-53"/>
          <w:w w:val="70"/>
        </w:rPr>
        <w:t> </w:t>
      </w:r>
      <w:r>
        <w:rPr>
          <w:color w:val="231F20"/>
          <w:w w:val="70"/>
        </w:rPr>
        <w:t>el</w:t>
      </w:r>
      <w:r>
        <w:rPr>
          <w:color w:val="231F20"/>
          <w:spacing w:val="-53"/>
          <w:w w:val="70"/>
        </w:rPr>
        <w:t> </w:t>
      </w:r>
      <w:r>
        <w:rPr>
          <w:color w:val="231F20"/>
          <w:spacing w:val="-4"/>
          <w:w w:val="70"/>
        </w:rPr>
        <w:t>Valle</w:t>
      </w:r>
      <w:r>
        <w:rPr>
          <w:color w:val="231F20"/>
          <w:spacing w:val="-53"/>
          <w:w w:val="70"/>
        </w:rPr>
        <w:t> </w:t>
      </w:r>
      <w:r>
        <w:rPr>
          <w:color w:val="231F20"/>
          <w:w w:val="70"/>
        </w:rPr>
        <w:t>de</w:t>
      </w:r>
      <w:r>
        <w:rPr>
          <w:color w:val="231F20"/>
          <w:spacing w:val="-53"/>
          <w:w w:val="70"/>
        </w:rPr>
        <w:t> </w:t>
      </w:r>
      <w:r>
        <w:rPr>
          <w:color w:val="231F20"/>
          <w:w w:val="70"/>
        </w:rPr>
        <w:t>Ixtlahuaca,</w:t>
      </w:r>
      <w:r>
        <w:rPr>
          <w:color w:val="231F20"/>
          <w:spacing w:val="-53"/>
          <w:w w:val="70"/>
        </w:rPr>
        <w:t> </w:t>
      </w:r>
      <w:r>
        <w:rPr>
          <w:color w:val="231F20"/>
          <w:w w:val="70"/>
        </w:rPr>
        <w:t>Estado</w:t>
      </w:r>
      <w:r>
        <w:rPr>
          <w:color w:val="231F20"/>
          <w:spacing w:val="-53"/>
          <w:w w:val="70"/>
        </w:rPr>
        <w:t> </w:t>
      </w:r>
      <w:r>
        <w:rPr>
          <w:color w:val="231F20"/>
          <w:w w:val="70"/>
        </w:rPr>
        <w:t>de</w:t>
      </w:r>
      <w:r>
        <w:rPr>
          <w:color w:val="231F20"/>
          <w:spacing w:val="-53"/>
          <w:w w:val="70"/>
        </w:rPr>
        <w:t> </w:t>
      </w:r>
      <w:bookmarkEnd w:id="8"/>
      <w:r>
        <w:rPr>
          <w:color w:val="231F20"/>
          <w:w w:val="70"/>
        </w:rPr>
        <w:t>México</w:t>
      </w:r>
    </w:p>
    <w:p>
      <w:pPr>
        <w:pStyle w:val="Heading2"/>
        <w:rPr>
          <w:i/>
        </w:rPr>
      </w:pPr>
      <w:bookmarkStart w:name="_TOC_250005" w:id="9"/>
      <w:bookmarkEnd w:id="9"/>
      <w:r>
        <w:rPr>
          <w:i/>
          <w:color w:val="231F20"/>
          <w:w w:val="70"/>
        </w:rPr>
        <w:t>Laura Reyes Montes</w:t>
      </w:r>
    </w:p>
    <w:p>
      <w:pPr>
        <w:pStyle w:val="BodyText"/>
        <w:rPr>
          <w:rFonts w:ascii="Trebuchet MS"/>
          <w:i/>
        </w:rPr>
      </w:pPr>
    </w:p>
    <w:p>
      <w:pPr>
        <w:pStyle w:val="BodyText"/>
        <w:rPr>
          <w:rFonts w:ascii="Trebuchet MS"/>
          <w:i/>
        </w:rPr>
      </w:pPr>
    </w:p>
    <w:p>
      <w:pPr>
        <w:pStyle w:val="BodyText"/>
        <w:rPr>
          <w:rFonts w:ascii="Trebuchet MS"/>
          <w:i/>
        </w:rPr>
      </w:pPr>
    </w:p>
    <w:p>
      <w:pPr>
        <w:pStyle w:val="BodyText"/>
        <w:rPr>
          <w:rFonts w:ascii="Trebuchet MS"/>
          <w:i/>
        </w:rPr>
      </w:pPr>
    </w:p>
    <w:p>
      <w:pPr>
        <w:pStyle w:val="BodyText"/>
        <w:rPr>
          <w:rFonts w:ascii="Trebuchet MS"/>
          <w:i/>
        </w:rPr>
      </w:pPr>
    </w:p>
    <w:p>
      <w:pPr>
        <w:pStyle w:val="BodyText"/>
        <w:spacing w:before="7"/>
        <w:rPr>
          <w:rFonts w:ascii="Trebuchet MS"/>
          <w:i/>
          <w:sz w:val="18"/>
        </w:rPr>
      </w:pPr>
    </w:p>
    <w:p>
      <w:pPr>
        <w:spacing w:before="0"/>
        <w:ind w:left="100" w:right="0" w:firstLine="0"/>
        <w:jc w:val="both"/>
        <w:rPr>
          <w:rFonts w:ascii="Times New Roman" w:hAnsi="Times New Roman"/>
          <w:i/>
          <w:sz w:val="19"/>
        </w:rPr>
      </w:pPr>
      <w:r>
        <w:rPr>
          <w:rFonts w:ascii="Times New Roman" w:hAnsi="Times New Roman"/>
          <w:i/>
          <w:color w:val="231F20"/>
          <w:sz w:val="24"/>
        </w:rPr>
        <w:t>I</w:t>
      </w:r>
      <w:r>
        <w:rPr>
          <w:rFonts w:ascii="Times New Roman" w:hAnsi="Times New Roman"/>
          <w:i/>
          <w:color w:val="231F20"/>
          <w:sz w:val="19"/>
        </w:rPr>
        <w:t>NTRODUCCIÓN</w:t>
      </w:r>
    </w:p>
    <w:p>
      <w:pPr>
        <w:pStyle w:val="BodyText"/>
        <w:spacing w:before="1"/>
        <w:rPr>
          <w:rFonts w:ascii="Times New Roman"/>
          <w:i/>
          <w:sz w:val="27"/>
        </w:rPr>
      </w:pPr>
    </w:p>
    <w:p>
      <w:pPr>
        <w:pStyle w:val="BodyText"/>
        <w:spacing w:line="280" w:lineRule="auto"/>
        <w:ind w:left="100" w:right="118"/>
        <w:jc w:val="both"/>
      </w:pPr>
      <w:r>
        <w:rPr>
          <w:color w:val="231F20"/>
          <w:w w:val="110"/>
        </w:rPr>
        <w:t>Para la antropología mexicana, el estudio de la familia campesina y sus sistemas de producción agrícola tradicional cobran vigencia en el mundo globalizado</w:t>
      </w:r>
      <w:r>
        <w:rPr>
          <w:color w:val="231F20"/>
          <w:spacing w:val="-7"/>
          <w:w w:val="110"/>
        </w:rPr>
        <w:t> </w:t>
      </w:r>
      <w:r>
        <w:rPr>
          <w:color w:val="231F20"/>
          <w:w w:val="110"/>
        </w:rPr>
        <w:t>actual,</w:t>
      </w:r>
      <w:r>
        <w:rPr>
          <w:color w:val="231F20"/>
          <w:spacing w:val="-7"/>
          <w:w w:val="110"/>
        </w:rPr>
        <w:t> </w:t>
      </w:r>
      <w:r>
        <w:rPr>
          <w:color w:val="231F20"/>
          <w:w w:val="110"/>
        </w:rPr>
        <w:t>en</w:t>
      </w:r>
      <w:r>
        <w:rPr>
          <w:color w:val="231F20"/>
          <w:spacing w:val="-7"/>
          <w:w w:val="110"/>
        </w:rPr>
        <w:t> </w:t>
      </w:r>
      <w:r>
        <w:rPr>
          <w:color w:val="231F20"/>
          <w:w w:val="110"/>
        </w:rPr>
        <w:t>especial</w:t>
      </w:r>
      <w:r>
        <w:rPr>
          <w:color w:val="231F20"/>
          <w:spacing w:val="-7"/>
          <w:w w:val="110"/>
        </w:rPr>
        <w:t> </w:t>
      </w:r>
      <w:r>
        <w:rPr>
          <w:color w:val="231F20"/>
          <w:w w:val="110"/>
        </w:rPr>
        <w:t>para</w:t>
      </w:r>
      <w:r>
        <w:rPr>
          <w:color w:val="231F20"/>
          <w:spacing w:val="-7"/>
          <w:w w:val="110"/>
        </w:rPr>
        <w:t> </w:t>
      </w:r>
      <w:r>
        <w:rPr>
          <w:color w:val="231F20"/>
          <w:w w:val="110"/>
        </w:rPr>
        <w:t>comprender</w:t>
      </w:r>
      <w:r>
        <w:rPr>
          <w:color w:val="231F20"/>
          <w:spacing w:val="-7"/>
          <w:w w:val="110"/>
        </w:rPr>
        <w:t> </w:t>
      </w:r>
      <w:r>
        <w:rPr>
          <w:color w:val="231F20"/>
          <w:w w:val="110"/>
        </w:rPr>
        <w:t>la</w:t>
      </w:r>
      <w:r>
        <w:rPr>
          <w:color w:val="231F20"/>
          <w:spacing w:val="-7"/>
          <w:w w:val="110"/>
        </w:rPr>
        <w:t> </w:t>
      </w:r>
      <w:r>
        <w:rPr>
          <w:color w:val="231F20"/>
          <w:w w:val="110"/>
        </w:rPr>
        <w:t>complejidad</w:t>
      </w:r>
      <w:r>
        <w:rPr>
          <w:color w:val="231F20"/>
          <w:spacing w:val="-7"/>
          <w:w w:val="110"/>
        </w:rPr>
        <w:t> </w:t>
      </w:r>
      <w:r>
        <w:rPr>
          <w:color w:val="231F20"/>
          <w:w w:val="110"/>
        </w:rPr>
        <w:t>de</w:t>
      </w:r>
      <w:r>
        <w:rPr>
          <w:color w:val="231F20"/>
          <w:spacing w:val="-7"/>
          <w:w w:val="110"/>
        </w:rPr>
        <w:t> </w:t>
      </w:r>
      <w:r>
        <w:rPr>
          <w:color w:val="231F20"/>
          <w:w w:val="110"/>
        </w:rPr>
        <w:t>su</w:t>
      </w:r>
      <w:r>
        <w:rPr>
          <w:color w:val="231F20"/>
          <w:spacing w:val="-7"/>
          <w:w w:val="110"/>
        </w:rPr>
        <w:t> </w:t>
      </w:r>
      <w:r>
        <w:rPr>
          <w:color w:val="231F20"/>
          <w:w w:val="110"/>
        </w:rPr>
        <w:t>orga- nización</w:t>
      </w:r>
      <w:r>
        <w:rPr>
          <w:color w:val="231F20"/>
          <w:spacing w:val="-5"/>
          <w:w w:val="110"/>
        </w:rPr>
        <w:t> </w:t>
      </w:r>
      <w:r>
        <w:rPr>
          <w:color w:val="231F20"/>
          <w:w w:val="110"/>
        </w:rPr>
        <w:t>sociocultural</w:t>
      </w:r>
      <w:r>
        <w:rPr>
          <w:color w:val="231F20"/>
          <w:spacing w:val="-5"/>
          <w:w w:val="110"/>
        </w:rPr>
        <w:t> </w:t>
      </w:r>
      <w:r>
        <w:rPr>
          <w:color w:val="231F20"/>
          <w:w w:val="110"/>
        </w:rPr>
        <w:t>y</w:t>
      </w:r>
      <w:r>
        <w:rPr>
          <w:color w:val="231F20"/>
          <w:spacing w:val="-5"/>
          <w:w w:val="110"/>
        </w:rPr>
        <w:t> </w:t>
      </w:r>
      <w:r>
        <w:rPr>
          <w:color w:val="231F20"/>
          <w:w w:val="110"/>
        </w:rPr>
        <w:t>el</w:t>
      </w:r>
      <w:r>
        <w:rPr>
          <w:color w:val="231F20"/>
          <w:spacing w:val="-5"/>
          <w:w w:val="110"/>
        </w:rPr>
        <w:t> </w:t>
      </w:r>
      <w:r>
        <w:rPr>
          <w:color w:val="231F20"/>
          <w:w w:val="110"/>
        </w:rPr>
        <w:t>debate</w:t>
      </w:r>
      <w:r>
        <w:rPr>
          <w:color w:val="231F20"/>
          <w:spacing w:val="-5"/>
          <w:w w:val="110"/>
        </w:rPr>
        <w:t> </w:t>
      </w:r>
      <w:r>
        <w:rPr>
          <w:color w:val="231F20"/>
          <w:w w:val="110"/>
        </w:rPr>
        <w:t>teórico</w:t>
      </w:r>
      <w:r>
        <w:rPr>
          <w:color w:val="231F20"/>
          <w:spacing w:val="-5"/>
          <w:w w:val="110"/>
        </w:rPr>
        <w:t> </w:t>
      </w:r>
      <w:r>
        <w:rPr>
          <w:color w:val="231F20"/>
          <w:w w:val="110"/>
        </w:rPr>
        <w:t>que</w:t>
      </w:r>
      <w:r>
        <w:rPr>
          <w:color w:val="231F20"/>
          <w:spacing w:val="-5"/>
          <w:w w:val="110"/>
        </w:rPr>
        <w:t> </w:t>
      </w:r>
      <w:r>
        <w:rPr>
          <w:color w:val="231F20"/>
          <w:w w:val="110"/>
        </w:rPr>
        <w:t>emerge</w:t>
      </w:r>
      <w:r>
        <w:rPr>
          <w:color w:val="231F20"/>
          <w:spacing w:val="-5"/>
          <w:w w:val="110"/>
        </w:rPr>
        <w:t> </w:t>
      </w:r>
      <w:r>
        <w:rPr>
          <w:color w:val="231F20"/>
          <w:w w:val="110"/>
        </w:rPr>
        <w:t>sobre</w:t>
      </w:r>
      <w:r>
        <w:rPr>
          <w:color w:val="231F20"/>
          <w:spacing w:val="-5"/>
          <w:w w:val="110"/>
        </w:rPr>
        <w:t> </w:t>
      </w:r>
      <w:r>
        <w:rPr>
          <w:color w:val="231F20"/>
          <w:w w:val="110"/>
        </w:rPr>
        <w:t>el</w:t>
      </w:r>
      <w:r>
        <w:rPr>
          <w:color w:val="231F20"/>
          <w:spacing w:val="-5"/>
          <w:w w:val="110"/>
        </w:rPr>
        <w:t> </w:t>
      </w:r>
      <w:r>
        <w:rPr>
          <w:color w:val="231F20"/>
          <w:w w:val="110"/>
        </w:rPr>
        <w:t>futuro</w:t>
      </w:r>
      <w:r>
        <w:rPr>
          <w:color w:val="231F20"/>
          <w:spacing w:val="-5"/>
          <w:w w:val="110"/>
        </w:rPr>
        <w:t> </w:t>
      </w:r>
      <w:r>
        <w:rPr>
          <w:color w:val="231F20"/>
          <w:w w:val="110"/>
        </w:rPr>
        <w:t>de</w:t>
      </w:r>
      <w:r>
        <w:rPr>
          <w:color w:val="231F20"/>
          <w:spacing w:val="-5"/>
          <w:w w:val="110"/>
        </w:rPr>
        <w:t> </w:t>
      </w:r>
      <w:r>
        <w:rPr>
          <w:color w:val="231F20"/>
          <w:w w:val="110"/>
        </w:rPr>
        <w:t>las </w:t>
      </w:r>
      <w:r>
        <w:rPr>
          <w:color w:val="231F20"/>
          <w:spacing w:val="-4"/>
          <w:w w:val="110"/>
        </w:rPr>
        <w:t>mismas. </w:t>
      </w:r>
      <w:r>
        <w:rPr>
          <w:color w:val="231F20"/>
          <w:spacing w:val="-3"/>
          <w:w w:val="110"/>
        </w:rPr>
        <w:t>Esta </w:t>
      </w:r>
      <w:r>
        <w:rPr>
          <w:color w:val="231F20"/>
          <w:spacing w:val="-4"/>
          <w:w w:val="110"/>
        </w:rPr>
        <w:t>importancia radica </w:t>
      </w:r>
      <w:r>
        <w:rPr>
          <w:color w:val="231F20"/>
          <w:w w:val="110"/>
        </w:rPr>
        <w:t>en el </w:t>
      </w:r>
      <w:r>
        <w:rPr>
          <w:color w:val="231F20"/>
          <w:spacing w:val="-4"/>
          <w:w w:val="110"/>
        </w:rPr>
        <w:t>conocimiento, manejo </w:t>
      </w:r>
      <w:r>
        <w:rPr>
          <w:color w:val="231F20"/>
          <w:w w:val="110"/>
        </w:rPr>
        <w:t>y </w:t>
      </w:r>
      <w:r>
        <w:rPr>
          <w:color w:val="231F20"/>
          <w:spacing w:val="-3"/>
          <w:w w:val="110"/>
        </w:rPr>
        <w:t>uso </w:t>
      </w:r>
      <w:r>
        <w:rPr>
          <w:color w:val="231F20"/>
          <w:w w:val="110"/>
        </w:rPr>
        <w:t>de </w:t>
      </w:r>
      <w:r>
        <w:rPr>
          <w:color w:val="231F20"/>
          <w:spacing w:val="-3"/>
          <w:w w:val="110"/>
        </w:rPr>
        <w:t>los re- </w:t>
      </w:r>
      <w:r>
        <w:rPr>
          <w:color w:val="231F20"/>
          <w:w w:val="110"/>
        </w:rPr>
        <w:t>cursos naturales inherentes a las sociedades rurales y al papel que cum- plen en la producción de</w:t>
      </w:r>
      <w:r>
        <w:rPr>
          <w:color w:val="231F20"/>
          <w:spacing w:val="36"/>
          <w:w w:val="110"/>
        </w:rPr>
        <w:t> </w:t>
      </w:r>
      <w:r>
        <w:rPr>
          <w:color w:val="231F20"/>
          <w:w w:val="110"/>
        </w:rPr>
        <w:t>alimentos.</w:t>
      </w:r>
    </w:p>
    <w:p>
      <w:pPr>
        <w:spacing w:line="276" w:lineRule="auto" w:before="166"/>
        <w:ind w:left="460" w:right="114" w:firstLine="0"/>
        <w:jc w:val="both"/>
        <w:rPr>
          <w:sz w:val="18"/>
        </w:rPr>
      </w:pPr>
      <w:r>
        <w:rPr>
          <w:color w:val="231F20"/>
          <w:w w:val="110"/>
          <w:sz w:val="18"/>
        </w:rPr>
        <w:t>La discusión teórica sobre el campesinado y sus procesos de ajuste a nuevas condiciones ambientales, económicas, sociales y culturales ha ocupado una parte importante del tiempo de aquellos profesionales que estudian el mundo rural desde los años 1960 a la fecha […] debemos considerar que algunos as- pectos —como el de la relación hombre naturaleza— se han vuelto básicos en la conservación de los recursos naturales de los países que —como México— necesitan mejorar las condiciones de vida en la población rural, evitando o reduciendo los impactos en la naturaleza que sean dramáticos e irreversibles (González, 2007: 16).</w:t>
      </w:r>
    </w:p>
    <w:p>
      <w:pPr>
        <w:pStyle w:val="BodyText"/>
        <w:spacing w:before="9"/>
        <w:rPr>
          <w:sz w:val="19"/>
        </w:rPr>
      </w:pPr>
    </w:p>
    <w:p>
      <w:pPr>
        <w:pStyle w:val="BodyText"/>
        <w:spacing w:line="280" w:lineRule="auto"/>
        <w:ind w:left="100" w:right="117" w:firstLine="360"/>
        <w:jc w:val="both"/>
      </w:pPr>
      <w:r>
        <w:rPr>
          <w:color w:val="231F20"/>
          <w:w w:val="110"/>
        </w:rPr>
        <w:t>La</w:t>
      </w:r>
      <w:r>
        <w:rPr>
          <w:color w:val="231F20"/>
          <w:spacing w:val="-19"/>
          <w:w w:val="110"/>
        </w:rPr>
        <w:t> </w:t>
      </w:r>
      <w:r>
        <w:rPr>
          <w:color w:val="231F20"/>
          <w:w w:val="110"/>
        </w:rPr>
        <w:t>historia</w:t>
      </w:r>
      <w:r>
        <w:rPr>
          <w:color w:val="231F20"/>
          <w:spacing w:val="-19"/>
          <w:w w:val="110"/>
        </w:rPr>
        <w:t> </w:t>
      </w:r>
      <w:r>
        <w:rPr>
          <w:color w:val="231F20"/>
          <w:w w:val="110"/>
        </w:rPr>
        <w:t>nos</w:t>
      </w:r>
      <w:r>
        <w:rPr>
          <w:color w:val="231F20"/>
          <w:spacing w:val="-19"/>
          <w:w w:val="110"/>
        </w:rPr>
        <w:t> </w:t>
      </w:r>
      <w:r>
        <w:rPr>
          <w:color w:val="231F20"/>
          <w:w w:val="110"/>
        </w:rPr>
        <w:t>muestra</w:t>
      </w:r>
      <w:r>
        <w:rPr>
          <w:color w:val="231F20"/>
          <w:spacing w:val="-19"/>
          <w:w w:val="110"/>
        </w:rPr>
        <w:t> </w:t>
      </w:r>
      <w:r>
        <w:rPr>
          <w:color w:val="231F20"/>
          <w:w w:val="110"/>
        </w:rPr>
        <w:t>que</w:t>
      </w:r>
      <w:r>
        <w:rPr>
          <w:color w:val="231F20"/>
          <w:spacing w:val="-19"/>
          <w:w w:val="110"/>
        </w:rPr>
        <w:t> </w:t>
      </w:r>
      <w:r>
        <w:rPr>
          <w:color w:val="231F20"/>
          <w:w w:val="110"/>
        </w:rPr>
        <w:t>el</w:t>
      </w:r>
      <w:r>
        <w:rPr>
          <w:color w:val="231F20"/>
          <w:spacing w:val="-19"/>
          <w:w w:val="110"/>
        </w:rPr>
        <w:t> </w:t>
      </w:r>
      <w:r>
        <w:rPr>
          <w:color w:val="231F20"/>
          <w:w w:val="110"/>
        </w:rPr>
        <w:t>concepto</w:t>
      </w:r>
      <w:r>
        <w:rPr>
          <w:color w:val="231F20"/>
          <w:spacing w:val="-19"/>
          <w:w w:val="110"/>
        </w:rPr>
        <w:t> </w:t>
      </w:r>
      <w:r>
        <w:rPr>
          <w:color w:val="231F20"/>
          <w:w w:val="110"/>
        </w:rPr>
        <w:t>de</w:t>
      </w:r>
      <w:r>
        <w:rPr>
          <w:color w:val="231F20"/>
          <w:spacing w:val="-19"/>
          <w:w w:val="110"/>
        </w:rPr>
        <w:t> </w:t>
      </w:r>
      <w:r>
        <w:rPr>
          <w:color w:val="231F20"/>
          <w:w w:val="110"/>
        </w:rPr>
        <w:t>“autosuficiencia</w:t>
      </w:r>
      <w:r>
        <w:rPr>
          <w:color w:val="231F20"/>
          <w:spacing w:val="-19"/>
          <w:w w:val="110"/>
        </w:rPr>
        <w:t> </w:t>
      </w:r>
      <w:r>
        <w:rPr>
          <w:color w:val="231F20"/>
          <w:w w:val="110"/>
        </w:rPr>
        <w:t>alimentaria” ha sido el eje de la política agrícola en México, ligada a la producción de alimentos</w:t>
      </w:r>
      <w:r>
        <w:rPr>
          <w:color w:val="231F20"/>
          <w:spacing w:val="-12"/>
          <w:w w:val="110"/>
        </w:rPr>
        <w:t> </w:t>
      </w:r>
      <w:r>
        <w:rPr>
          <w:color w:val="231F20"/>
          <w:w w:val="110"/>
        </w:rPr>
        <w:t>y</w:t>
      </w:r>
      <w:r>
        <w:rPr>
          <w:color w:val="231F20"/>
          <w:spacing w:val="-12"/>
          <w:w w:val="110"/>
        </w:rPr>
        <w:t> </w:t>
      </w:r>
      <w:r>
        <w:rPr>
          <w:color w:val="231F20"/>
          <w:w w:val="110"/>
        </w:rPr>
        <w:t>a</w:t>
      </w:r>
      <w:r>
        <w:rPr>
          <w:color w:val="231F20"/>
          <w:spacing w:val="-12"/>
          <w:w w:val="110"/>
        </w:rPr>
        <w:t> </w:t>
      </w:r>
      <w:r>
        <w:rPr>
          <w:color w:val="231F20"/>
          <w:w w:val="110"/>
        </w:rPr>
        <w:t>enfrentar</w:t>
      </w:r>
      <w:r>
        <w:rPr>
          <w:color w:val="231F20"/>
          <w:spacing w:val="-12"/>
          <w:w w:val="110"/>
        </w:rPr>
        <w:t> </w:t>
      </w:r>
      <w:r>
        <w:rPr>
          <w:color w:val="231F20"/>
          <w:w w:val="110"/>
        </w:rPr>
        <w:t>la</w:t>
      </w:r>
      <w:r>
        <w:rPr>
          <w:color w:val="231F20"/>
          <w:spacing w:val="-12"/>
          <w:w w:val="110"/>
        </w:rPr>
        <w:t> </w:t>
      </w:r>
      <w:r>
        <w:rPr>
          <w:color w:val="231F20"/>
          <w:w w:val="110"/>
        </w:rPr>
        <w:t>crisis</w:t>
      </w:r>
      <w:r>
        <w:rPr>
          <w:color w:val="231F20"/>
          <w:spacing w:val="-12"/>
          <w:w w:val="110"/>
        </w:rPr>
        <w:t> </w:t>
      </w:r>
      <w:r>
        <w:rPr>
          <w:color w:val="231F20"/>
          <w:w w:val="110"/>
        </w:rPr>
        <w:t>agrícola</w:t>
      </w:r>
      <w:r>
        <w:rPr>
          <w:color w:val="231F20"/>
          <w:spacing w:val="-12"/>
          <w:w w:val="110"/>
        </w:rPr>
        <w:t> </w:t>
      </w:r>
      <w:r>
        <w:rPr>
          <w:color w:val="231F20"/>
          <w:w w:val="110"/>
        </w:rPr>
        <w:t>e</w:t>
      </w:r>
      <w:r>
        <w:rPr>
          <w:color w:val="231F20"/>
          <w:spacing w:val="-12"/>
          <w:w w:val="110"/>
        </w:rPr>
        <w:t> </w:t>
      </w:r>
      <w:r>
        <w:rPr>
          <w:color w:val="231F20"/>
          <w:w w:val="110"/>
        </w:rPr>
        <w:t>insuficiencia</w:t>
      </w:r>
      <w:r>
        <w:rPr>
          <w:color w:val="231F20"/>
          <w:spacing w:val="-12"/>
          <w:w w:val="110"/>
        </w:rPr>
        <w:t> </w:t>
      </w:r>
      <w:r>
        <w:rPr>
          <w:color w:val="231F20"/>
          <w:w w:val="110"/>
        </w:rPr>
        <w:t>alimentaria</w:t>
      </w:r>
      <w:r>
        <w:rPr>
          <w:color w:val="231F20"/>
          <w:spacing w:val="-12"/>
          <w:w w:val="110"/>
        </w:rPr>
        <w:t> </w:t>
      </w:r>
      <w:r>
        <w:rPr>
          <w:color w:val="231F20"/>
          <w:w w:val="110"/>
        </w:rPr>
        <w:t>del</w:t>
      </w:r>
      <w:r>
        <w:rPr>
          <w:color w:val="231F20"/>
          <w:spacing w:val="-12"/>
          <w:w w:val="110"/>
        </w:rPr>
        <w:t> </w:t>
      </w:r>
      <w:r>
        <w:rPr>
          <w:color w:val="231F20"/>
          <w:w w:val="110"/>
        </w:rPr>
        <w:t>país; sus</w:t>
      </w:r>
      <w:r>
        <w:rPr>
          <w:color w:val="231F20"/>
          <w:spacing w:val="-5"/>
          <w:w w:val="110"/>
        </w:rPr>
        <w:t> </w:t>
      </w:r>
      <w:r>
        <w:rPr>
          <w:color w:val="231F20"/>
          <w:w w:val="110"/>
        </w:rPr>
        <w:t>antecedentes</w:t>
      </w:r>
      <w:r>
        <w:rPr>
          <w:color w:val="231F20"/>
          <w:spacing w:val="-5"/>
          <w:w w:val="110"/>
        </w:rPr>
        <w:t> </w:t>
      </w:r>
      <w:r>
        <w:rPr>
          <w:color w:val="231F20"/>
          <w:w w:val="110"/>
        </w:rPr>
        <w:t>los</w:t>
      </w:r>
      <w:r>
        <w:rPr>
          <w:color w:val="231F20"/>
          <w:spacing w:val="-5"/>
          <w:w w:val="110"/>
        </w:rPr>
        <w:t> </w:t>
      </w:r>
      <w:r>
        <w:rPr>
          <w:color w:val="231F20"/>
          <w:w w:val="110"/>
        </w:rPr>
        <w:t>encontramos</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periodo</w:t>
      </w:r>
      <w:r>
        <w:rPr>
          <w:color w:val="231F20"/>
          <w:spacing w:val="-5"/>
          <w:w w:val="110"/>
        </w:rPr>
        <w:t> </w:t>
      </w:r>
      <w:r>
        <w:rPr>
          <w:color w:val="231F20"/>
          <w:w w:val="110"/>
        </w:rPr>
        <w:t>de</w:t>
      </w:r>
      <w:r>
        <w:rPr>
          <w:color w:val="231F20"/>
          <w:spacing w:val="-5"/>
          <w:w w:val="110"/>
        </w:rPr>
        <w:t> </w:t>
      </w:r>
      <w:r>
        <w:rPr>
          <w:color w:val="231F20"/>
          <w:w w:val="110"/>
        </w:rPr>
        <w:t>Cárdenas</w:t>
      </w:r>
      <w:r>
        <w:rPr>
          <w:color w:val="231F20"/>
          <w:spacing w:val="-5"/>
          <w:w w:val="110"/>
        </w:rPr>
        <w:t> </w:t>
      </w:r>
      <w:r>
        <w:rPr>
          <w:color w:val="231F20"/>
          <w:w w:val="110"/>
        </w:rPr>
        <w:t>(1934-1940). Según</w:t>
      </w:r>
      <w:r>
        <w:rPr>
          <w:color w:val="231F20"/>
          <w:spacing w:val="17"/>
          <w:w w:val="110"/>
        </w:rPr>
        <w:t> </w:t>
      </w:r>
      <w:r>
        <w:rPr>
          <w:color w:val="231F20"/>
          <w:w w:val="110"/>
        </w:rPr>
        <w:t>Azpeitia:</w:t>
      </w:r>
    </w:p>
    <w:p>
      <w:pPr>
        <w:pStyle w:val="BodyText"/>
        <w:spacing w:before="7"/>
        <w:rPr>
          <w:sz w:val="16"/>
        </w:rPr>
      </w:pPr>
    </w:p>
    <w:p>
      <w:pPr>
        <w:spacing w:line="283" w:lineRule="auto" w:before="0"/>
        <w:ind w:left="459" w:right="117" w:firstLine="0"/>
        <w:jc w:val="both"/>
        <w:rPr>
          <w:sz w:val="18"/>
        </w:rPr>
      </w:pPr>
      <w:r>
        <w:rPr>
          <w:color w:val="231F20"/>
          <w:w w:val="110"/>
          <w:sz w:val="18"/>
        </w:rPr>
        <w:t>Con</w:t>
      </w:r>
      <w:r>
        <w:rPr>
          <w:color w:val="231F20"/>
          <w:spacing w:val="-11"/>
          <w:w w:val="110"/>
          <w:sz w:val="18"/>
        </w:rPr>
        <w:t> </w:t>
      </w:r>
      <w:r>
        <w:rPr>
          <w:color w:val="231F20"/>
          <w:w w:val="110"/>
          <w:sz w:val="18"/>
        </w:rPr>
        <w:t>la</w:t>
      </w:r>
      <w:r>
        <w:rPr>
          <w:color w:val="231F20"/>
          <w:spacing w:val="-11"/>
          <w:w w:val="110"/>
          <w:sz w:val="18"/>
        </w:rPr>
        <w:t> </w:t>
      </w:r>
      <w:r>
        <w:rPr>
          <w:color w:val="231F20"/>
          <w:w w:val="110"/>
          <w:sz w:val="18"/>
        </w:rPr>
        <w:t>llegada</w:t>
      </w:r>
      <w:r>
        <w:rPr>
          <w:color w:val="231F20"/>
          <w:spacing w:val="-11"/>
          <w:w w:val="110"/>
          <w:sz w:val="18"/>
        </w:rPr>
        <w:t> </w:t>
      </w:r>
      <w:r>
        <w:rPr>
          <w:color w:val="231F20"/>
          <w:w w:val="110"/>
          <w:sz w:val="18"/>
        </w:rPr>
        <w:t>de</w:t>
      </w:r>
      <w:r>
        <w:rPr>
          <w:color w:val="231F20"/>
          <w:spacing w:val="-11"/>
          <w:w w:val="110"/>
          <w:sz w:val="18"/>
        </w:rPr>
        <w:t> </w:t>
      </w:r>
      <w:r>
        <w:rPr>
          <w:color w:val="231F20"/>
          <w:w w:val="110"/>
          <w:sz w:val="18"/>
        </w:rPr>
        <w:t>Cárdenas</w:t>
      </w:r>
      <w:r>
        <w:rPr>
          <w:color w:val="231F20"/>
          <w:spacing w:val="-11"/>
          <w:w w:val="110"/>
          <w:sz w:val="18"/>
        </w:rPr>
        <w:t> </w:t>
      </w:r>
      <w:r>
        <w:rPr>
          <w:color w:val="231F20"/>
          <w:w w:val="110"/>
          <w:sz w:val="18"/>
        </w:rPr>
        <w:t>al</w:t>
      </w:r>
      <w:r>
        <w:rPr>
          <w:color w:val="231F20"/>
          <w:spacing w:val="-11"/>
          <w:w w:val="110"/>
          <w:sz w:val="18"/>
        </w:rPr>
        <w:t> </w:t>
      </w:r>
      <w:r>
        <w:rPr>
          <w:color w:val="231F20"/>
          <w:w w:val="110"/>
          <w:sz w:val="18"/>
        </w:rPr>
        <w:t>poder</w:t>
      </w:r>
      <w:r>
        <w:rPr>
          <w:color w:val="231F20"/>
          <w:spacing w:val="-11"/>
          <w:w w:val="110"/>
          <w:sz w:val="18"/>
        </w:rPr>
        <w:t> </w:t>
      </w:r>
      <w:r>
        <w:rPr>
          <w:color w:val="231F20"/>
          <w:w w:val="110"/>
          <w:sz w:val="18"/>
        </w:rPr>
        <w:t>la</w:t>
      </w:r>
      <w:r>
        <w:rPr>
          <w:color w:val="231F20"/>
          <w:spacing w:val="-11"/>
          <w:w w:val="110"/>
          <w:sz w:val="18"/>
        </w:rPr>
        <w:t> </w:t>
      </w:r>
      <w:r>
        <w:rPr>
          <w:color w:val="231F20"/>
          <w:w w:val="110"/>
          <w:sz w:val="18"/>
        </w:rPr>
        <w:t>“cuestión</w:t>
      </w:r>
      <w:r>
        <w:rPr>
          <w:color w:val="231F20"/>
          <w:spacing w:val="-11"/>
          <w:w w:val="110"/>
          <w:sz w:val="18"/>
        </w:rPr>
        <w:t> </w:t>
      </w:r>
      <w:r>
        <w:rPr>
          <w:color w:val="231F20"/>
          <w:w w:val="110"/>
          <w:sz w:val="18"/>
        </w:rPr>
        <w:t>alimentaria”</w:t>
      </w:r>
      <w:r>
        <w:rPr>
          <w:color w:val="231F20"/>
          <w:spacing w:val="-11"/>
          <w:w w:val="110"/>
          <w:sz w:val="18"/>
        </w:rPr>
        <w:t> </w:t>
      </w:r>
      <w:r>
        <w:rPr>
          <w:color w:val="231F20"/>
          <w:w w:val="110"/>
          <w:sz w:val="18"/>
        </w:rPr>
        <w:t>cobró</w:t>
      </w:r>
      <w:r>
        <w:rPr>
          <w:color w:val="231F20"/>
          <w:spacing w:val="-11"/>
          <w:w w:val="110"/>
          <w:sz w:val="18"/>
        </w:rPr>
        <w:t> </w:t>
      </w:r>
      <w:r>
        <w:rPr>
          <w:color w:val="231F20"/>
          <w:w w:val="110"/>
          <w:sz w:val="18"/>
        </w:rPr>
        <w:t>por</w:t>
      </w:r>
      <w:r>
        <w:rPr>
          <w:color w:val="231F20"/>
          <w:spacing w:val="-11"/>
          <w:w w:val="110"/>
          <w:sz w:val="18"/>
        </w:rPr>
        <w:t> </w:t>
      </w:r>
      <w:r>
        <w:rPr>
          <w:color w:val="231F20"/>
          <w:w w:val="110"/>
          <w:sz w:val="18"/>
        </w:rPr>
        <w:t>primera vez</w:t>
      </w:r>
      <w:r>
        <w:rPr>
          <w:color w:val="231F20"/>
          <w:spacing w:val="-4"/>
          <w:w w:val="110"/>
          <w:sz w:val="18"/>
        </w:rPr>
        <w:t> </w:t>
      </w:r>
      <w:r>
        <w:rPr>
          <w:color w:val="231F20"/>
          <w:w w:val="110"/>
          <w:sz w:val="18"/>
        </w:rPr>
        <w:t>un</w:t>
      </w:r>
      <w:r>
        <w:rPr>
          <w:color w:val="231F20"/>
          <w:spacing w:val="-4"/>
          <w:w w:val="110"/>
          <w:sz w:val="18"/>
        </w:rPr>
        <w:t> </w:t>
      </w:r>
      <w:r>
        <w:rPr>
          <w:color w:val="231F20"/>
          <w:w w:val="110"/>
          <w:sz w:val="18"/>
        </w:rPr>
        <w:t>sentido</w:t>
      </w:r>
      <w:r>
        <w:rPr>
          <w:color w:val="231F20"/>
          <w:spacing w:val="-4"/>
          <w:w w:val="110"/>
          <w:sz w:val="18"/>
        </w:rPr>
        <w:t> </w:t>
      </w:r>
      <w:r>
        <w:rPr>
          <w:color w:val="231F20"/>
          <w:w w:val="110"/>
          <w:sz w:val="18"/>
        </w:rPr>
        <w:t>radicalmente</w:t>
      </w:r>
      <w:r>
        <w:rPr>
          <w:color w:val="231F20"/>
          <w:spacing w:val="-4"/>
          <w:w w:val="110"/>
          <w:sz w:val="18"/>
        </w:rPr>
        <w:t> </w:t>
      </w:r>
      <w:r>
        <w:rPr>
          <w:color w:val="231F20"/>
          <w:w w:val="110"/>
          <w:sz w:val="18"/>
        </w:rPr>
        <w:t>distinto</w:t>
      </w:r>
      <w:r>
        <w:rPr>
          <w:color w:val="231F20"/>
          <w:spacing w:val="-4"/>
          <w:w w:val="110"/>
          <w:sz w:val="18"/>
        </w:rPr>
        <w:t> </w:t>
      </w:r>
      <w:r>
        <w:rPr>
          <w:color w:val="231F20"/>
          <w:w w:val="110"/>
          <w:sz w:val="18"/>
        </w:rPr>
        <w:t>al</w:t>
      </w:r>
      <w:r>
        <w:rPr>
          <w:color w:val="231F20"/>
          <w:spacing w:val="-4"/>
          <w:w w:val="110"/>
          <w:sz w:val="18"/>
        </w:rPr>
        <w:t> </w:t>
      </w:r>
      <w:r>
        <w:rPr>
          <w:color w:val="231F20"/>
          <w:w w:val="110"/>
          <w:sz w:val="18"/>
        </w:rPr>
        <w:t>que</w:t>
      </w:r>
      <w:r>
        <w:rPr>
          <w:color w:val="231F20"/>
          <w:spacing w:val="-4"/>
          <w:w w:val="110"/>
          <w:sz w:val="18"/>
        </w:rPr>
        <w:t> </w:t>
      </w:r>
      <w:r>
        <w:rPr>
          <w:color w:val="231F20"/>
          <w:w w:val="110"/>
          <w:sz w:val="18"/>
        </w:rPr>
        <w:t>tuvo</w:t>
      </w:r>
      <w:r>
        <w:rPr>
          <w:color w:val="231F20"/>
          <w:spacing w:val="-4"/>
          <w:w w:val="110"/>
          <w:sz w:val="18"/>
        </w:rPr>
        <w:t> </w:t>
      </w:r>
      <w:r>
        <w:rPr>
          <w:color w:val="231F20"/>
          <w:w w:val="110"/>
          <w:sz w:val="18"/>
        </w:rPr>
        <w:t>en</w:t>
      </w:r>
      <w:r>
        <w:rPr>
          <w:color w:val="231F20"/>
          <w:spacing w:val="-4"/>
          <w:w w:val="110"/>
          <w:sz w:val="18"/>
        </w:rPr>
        <w:t> </w:t>
      </w:r>
      <w:r>
        <w:rPr>
          <w:color w:val="231F20"/>
          <w:w w:val="110"/>
          <w:sz w:val="18"/>
        </w:rPr>
        <w:t>el</w:t>
      </w:r>
      <w:r>
        <w:rPr>
          <w:color w:val="231F20"/>
          <w:spacing w:val="-4"/>
          <w:w w:val="110"/>
          <w:sz w:val="18"/>
        </w:rPr>
        <w:t> </w:t>
      </w:r>
      <w:r>
        <w:rPr>
          <w:color w:val="231F20"/>
          <w:w w:val="110"/>
          <w:sz w:val="18"/>
        </w:rPr>
        <w:t>porfiriato</w:t>
      </w:r>
      <w:r>
        <w:rPr>
          <w:color w:val="231F20"/>
          <w:spacing w:val="-4"/>
          <w:w w:val="110"/>
          <w:sz w:val="18"/>
        </w:rPr>
        <w:t> </w:t>
      </w:r>
      <w:r>
        <w:rPr>
          <w:color w:val="231F20"/>
          <w:w w:val="110"/>
          <w:sz w:val="18"/>
        </w:rPr>
        <w:t>y</w:t>
      </w:r>
      <w:r>
        <w:rPr>
          <w:color w:val="231F20"/>
          <w:spacing w:val="-4"/>
          <w:w w:val="110"/>
          <w:sz w:val="18"/>
        </w:rPr>
        <w:t> </w:t>
      </w:r>
      <w:r>
        <w:rPr>
          <w:color w:val="231F20"/>
          <w:w w:val="110"/>
          <w:sz w:val="18"/>
        </w:rPr>
        <w:t>en</w:t>
      </w:r>
      <w:r>
        <w:rPr>
          <w:color w:val="231F20"/>
          <w:spacing w:val="-8"/>
          <w:w w:val="110"/>
          <w:sz w:val="18"/>
        </w:rPr>
        <w:t> </w:t>
      </w:r>
      <w:r>
        <w:rPr>
          <w:color w:val="231F20"/>
          <w:w w:val="110"/>
          <w:sz w:val="18"/>
        </w:rPr>
        <w:t>el</w:t>
      </w:r>
      <w:r>
        <w:rPr>
          <w:color w:val="231F20"/>
          <w:spacing w:val="-8"/>
          <w:w w:val="110"/>
          <w:sz w:val="18"/>
        </w:rPr>
        <w:t> </w:t>
      </w:r>
      <w:r>
        <w:rPr>
          <w:color w:val="231F20"/>
          <w:w w:val="110"/>
          <w:sz w:val="18"/>
        </w:rPr>
        <w:t>periodo</w:t>
      </w:r>
    </w:p>
    <w:p>
      <w:pPr>
        <w:pStyle w:val="BodyText"/>
        <w:spacing w:before="2"/>
        <w:rPr>
          <w:sz w:val="14"/>
        </w:rPr>
      </w:pPr>
    </w:p>
    <w:p>
      <w:pPr>
        <w:spacing w:before="75"/>
        <w:ind w:left="1388" w:right="1407" w:firstLine="0"/>
        <w:jc w:val="center"/>
        <w:rPr>
          <w:rFonts w:ascii="Calibri"/>
          <w:i/>
          <w:sz w:val="16"/>
        </w:rPr>
      </w:pPr>
      <w:r>
        <w:rPr>
          <w:rFonts w:ascii="Calibri"/>
          <w:i/>
          <w:color w:val="231F20"/>
          <w:w w:val="95"/>
          <w:sz w:val="16"/>
        </w:rPr>
        <w:t>141</w:t>
      </w:r>
    </w:p>
    <w:p>
      <w:pPr>
        <w:spacing w:after="0"/>
        <w:jc w:val="center"/>
        <w:rPr>
          <w:rFonts w:ascii="Calibri"/>
          <w:sz w:val="16"/>
        </w:rPr>
        <w:sectPr>
          <w:footerReference w:type="even" r:id="rId125"/>
          <w:pgSz w:w="9520" w:h="12920"/>
          <w:pgMar w:footer="0" w:header="0" w:top="1220" w:bottom="280" w:left="1020" w:right="1320"/>
        </w:sectPr>
      </w:pPr>
    </w:p>
    <w:p>
      <w:pPr>
        <w:spacing w:line="276" w:lineRule="auto" w:before="46"/>
        <w:ind w:left="484" w:right="113" w:firstLine="0"/>
        <w:jc w:val="both"/>
        <w:rPr>
          <w:sz w:val="18"/>
        </w:rPr>
      </w:pPr>
      <w:r>
        <w:rPr>
          <w:color w:val="231F20"/>
          <w:spacing w:val="-4"/>
          <w:w w:val="105"/>
          <w:sz w:val="18"/>
        </w:rPr>
        <w:t>post-revolucionario inmediatamente </w:t>
      </w:r>
      <w:r>
        <w:rPr>
          <w:color w:val="231F20"/>
          <w:spacing w:val="-6"/>
          <w:w w:val="105"/>
          <w:sz w:val="18"/>
        </w:rPr>
        <w:t>posterior. </w:t>
      </w:r>
      <w:r>
        <w:rPr>
          <w:color w:val="231F20"/>
          <w:w w:val="105"/>
          <w:sz w:val="18"/>
        </w:rPr>
        <w:t>El  </w:t>
      </w:r>
      <w:r>
        <w:rPr>
          <w:color w:val="231F20"/>
          <w:spacing w:val="-4"/>
          <w:w w:val="105"/>
          <w:sz w:val="18"/>
        </w:rPr>
        <w:t>“radicalismo  </w:t>
      </w:r>
      <w:r>
        <w:rPr>
          <w:color w:val="231F20"/>
          <w:w w:val="105"/>
          <w:sz w:val="18"/>
        </w:rPr>
        <w:t>agrario”  </w:t>
      </w:r>
      <w:r>
        <w:rPr>
          <w:color w:val="231F20"/>
          <w:spacing w:val="-3"/>
          <w:w w:val="105"/>
          <w:sz w:val="18"/>
        </w:rPr>
        <w:t>cardenista </w:t>
      </w:r>
      <w:r>
        <w:rPr>
          <w:color w:val="231F20"/>
          <w:w w:val="105"/>
          <w:sz w:val="18"/>
        </w:rPr>
        <w:t>se convirtió en un bien definido programa de reformas rurales que vinculó por primera vez la problemática de la autosuficiencia en la producción de alimen-  </w:t>
      </w:r>
      <w:r>
        <w:rPr>
          <w:color w:val="231F20"/>
          <w:spacing w:val="41"/>
          <w:w w:val="105"/>
          <w:sz w:val="18"/>
        </w:rPr>
        <w:t> </w:t>
      </w:r>
      <w:r>
        <w:rPr>
          <w:color w:val="231F20"/>
          <w:w w:val="105"/>
          <w:sz w:val="18"/>
        </w:rPr>
        <w:t>tos a la “cuestión social” y básicamente a la “cuestión campesina”  (Azpeitia,  1987:</w:t>
      </w:r>
      <w:r>
        <w:rPr>
          <w:color w:val="231F20"/>
          <w:spacing w:val="-2"/>
          <w:w w:val="105"/>
          <w:sz w:val="18"/>
        </w:rPr>
        <w:t> </w:t>
      </w:r>
      <w:r>
        <w:rPr>
          <w:color w:val="231F20"/>
          <w:w w:val="105"/>
          <w:sz w:val="18"/>
        </w:rPr>
        <w:t>132).</w:t>
      </w:r>
    </w:p>
    <w:p>
      <w:pPr>
        <w:pStyle w:val="BodyText"/>
        <w:spacing w:before="9"/>
        <w:rPr>
          <w:sz w:val="19"/>
        </w:rPr>
      </w:pPr>
    </w:p>
    <w:p>
      <w:pPr>
        <w:pStyle w:val="BodyText"/>
        <w:spacing w:line="280" w:lineRule="auto"/>
        <w:ind w:left="124" w:right="113" w:firstLine="360"/>
        <w:jc w:val="both"/>
      </w:pPr>
      <w:r>
        <w:rPr>
          <w:color w:val="231F20"/>
          <w:w w:val="110"/>
        </w:rPr>
        <w:t>La</w:t>
      </w:r>
      <w:r>
        <w:rPr>
          <w:color w:val="231F20"/>
          <w:spacing w:val="-8"/>
          <w:w w:val="110"/>
        </w:rPr>
        <w:t> </w:t>
      </w:r>
      <w:r>
        <w:rPr>
          <w:color w:val="231F20"/>
          <w:spacing w:val="-4"/>
          <w:w w:val="110"/>
        </w:rPr>
        <w:t>concepción</w:t>
      </w:r>
      <w:r>
        <w:rPr>
          <w:color w:val="231F20"/>
          <w:spacing w:val="-8"/>
          <w:w w:val="110"/>
        </w:rPr>
        <w:t> </w:t>
      </w:r>
      <w:r>
        <w:rPr>
          <w:color w:val="231F20"/>
          <w:spacing w:val="-4"/>
          <w:w w:val="110"/>
        </w:rPr>
        <w:t>sobre</w:t>
      </w:r>
      <w:r>
        <w:rPr>
          <w:color w:val="231F20"/>
          <w:spacing w:val="-8"/>
          <w:w w:val="110"/>
        </w:rPr>
        <w:t> </w:t>
      </w:r>
      <w:r>
        <w:rPr>
          <w:color w:val="231F20"/>
          <w:spacing w:val="-3"/>
          <w:w w:val="110"/>
        </w:rPr>
        <w:t>los</w:t>
      </w:r>
      <w:r>
        <w:rPr>
          <w:color w:val="231F20"/>
          <w:spacing w:val="-8"/>
          <w:w w:val="110"/>
        </w:rPr>
        <w:t> </w:t>
      </w:r>
      <w:r>
        <w:rPr>
          <w:color w:val="231F20"/>
          <w:spacing w:val="-4"/>
          <w:w w:val="110"/>
        </w:rPr>
        <w:t>requerimientos</w:t>
      </w:r>
      <w:r>
        <w:rPr>
          <w:color w:val="231F20"/>
          <w:spacing w:val="-8"/>
          <w:w w:val="110"/>
        </w:rPr>
        <w:t> </w:t>
      </w:r>
      <w:r>
        <w:rPr>
          <w:color w:val="231F20"/>
          <w:w w:val="110"/>
        </w:rPr>
        <w:t>de</w:t>
      </w:r>
      <w:r>
        <w:rPr>
          <w:color w:val="231F20"/>
          <w:spacing w:val="-8"/>
          <w:w w:val="110"/>
        </w:rPr>
        <w:t> </w:t>
      </w:r>
      <w:r>
        <w:rPr>
          <w:color w:val="231F20"/>
          <w:spacing w:val="-4"/>
          <w:w w:val="110"/>
        </w:rPr>
        <w:t>autoabasto</w:t>
      </w:r>
      <w:r>
        <w:rPr>
          <w:color w:val="231F20"/>
          <w:spacing w:val="-8"/>
          <w:w w:val="110"/>
        </w:rPr>
        <w:t> </w:t>
      </w:r>
      <w:r>
        <w:rPr>
          <w:color w:val="231F20"/>
          <w:spacing w:val="-4"/>
          <w:w w:val="110"/>
        </w:rPr>
        <w:t>alimentario</w:t>
      </w:r>
      <w:r>
        <w:rPr>
          <w:color w:val="231F20"/>
          <w:spacing w:val="-8"/>
          <w:w w:val="110"/>
        </w:rPr>
        <w:t> </w:t>
      </w:r>
      <w:r>
        <w:rPr>
          <w:color w:val="231F20"/>
          <w:spacing w:val="-4"/>
          <w:w w:val="110"/>
        </w:rPr>
        <w:t>quedó </w:t>
      </w:r>
      <w:r>
        <w:rPr>
          <w:color w:val="231F20"/>
          <w:w w:val="110"/>
        </w:rPr>
        <w:t>inscrita en el discurso de apoyo y promoción de los sectores rurales que forman parte del</w:t>
      </w:r>
      <w:r>
        <w:rPr>
          <w:color w:val="231F20"/>
          <w:spacing w:val="10"/>
          <w:w w:val="110"/>
        </w:rPr>
        <w:t> </w:t>
      </w:r>
      <w:r>
        <w:rPr>
          <w:color w:val="231F20"/>
          <w:w w:val="110"/>
        </w:rPr>
        <w:t>campesinado.</w:t>
      </w:r>
    </w:p>
    <w:p>
      <w:pPr>
        <w:pStyle w:val="BodyText"/>
        <w:spacing w:line="234" w:lineRule="exact"/>
        <w:ind w:left="484"/>
        <w:jc w:val="both"/>
      </w:pPr>
      <w:r>
        <w:rPr>
          <w:color w:val="231F20"/>
          <w:w w:val="110"/>
        </w:rPr>
        <w:t>Las transformaciones ocurridas en la estructura del agro permitieron</w:t>
      </w:r>
    </w:p>
    <w:p>
      <w:pPr>
        <w:pStyle w:val="BodyText"/>
        <w:spacing w:before="7"/>
        <w:rPr>
          <w:sz w:val="17"/>
        </w:rPr>
      </w:pPr>
    </w:p>
    <w:p>
      <w:pPr>
        <w:spacing w:line="276" w:lineRule="auto" w:before="0"/>
        <w:ind w:left="484" w:right="114" w:firstLine="0"/>
        <w:jc w:val="both"/>
        <w:rPr>
          <w:sz w:val="18"/>
        </w:rPr>
      </w:pPr>
      <w:r>
        <w:rPr>
          <w:color w:val="231F20"/>
          <w:w w:val="110"/>
          <w:sz w:val="18"/>
        </w:rPr>
        <w:t>un</w:t>
      </w:r>
      <w:r>
        <w:rPr>
          <w:color w:val="231F20"/>
          <w:spacing w:val="-9"/>
          <w:w w:val="110"/>
          <w:sz w:val="18"/>
        </w:rPr>
        <w:t> </w:t>
      </w:r>
      <w:r>
        <w:rPr>
          <w:color w:val="231F20"/>
          <w:w w:val="110"/>
          <w:sz w:val="18"/>
        </w:rPr>
        <w:t>rápido</w:t>
      </w:r>
      <w:r>
        <w:rPr>
          <w:color w:val="231F20"/>
          <w:spacing w:val="-9"/>
          <w:w w:val="110"/>
          <w:sz w:val="18"/>
        </w:rPr>
        <w:t> </w:t>
      </w:r>
      <w:r>
        <w:rPr>
          <w:color w:val="231F20"/>
          <w:w w:val="110"/>
          <w:sz w:val="18"/>
        </w:rPr>
        <w:t>crecimiento</w:t>
      </w:r>
      <w:r>
        <w:rPr>
          <w:color w:val="231F20"/>
          <w:spacing w:val="-9"/>
          <w:w w:val="110"/>
          <w:sz w:val="18"/>
        </w:rPr>
        <w:t> </w:t>
      </w:r>
      <w:r>
        <w:rPr>
          <w:color w:val="231F20"/>
          <w:w w:val="110"/>
          <w:sz w:val="18"/>
        </w:rPr>
        <w:t>del</w:t>
      </w:r>
      <w:r>
        <w:rPr>
          <w:color w:val="231F20"/>
          <w:spacing w:val="-9"/>
          <w:w w:val="110"/>
          <w:sz w:val="18"/>
        </w:rPr>
        <w:t> </w:t>
      </w:r>
      <w:r>
        <w:rPr>
          <w:color w:val="231F20"/>
          <w:spacing w:val="-4"/>
          <w:w w:val="110"/>
          <w:sz w:val="18"/>
        </w:rPr>
        <w:t>sector,</w:t>
      </w:r>
      <w:r>
        <w:rPr>
          <w:color w:val="231F20"/>
          <w:spacing w:val="-9"/>
          <w:w w:val="110"/>
          <w:sz w:val="18"/>
        </w:rPr>
        <w:t> </w:t>
      </w:r>
      <w:r>
        <w:rPr>
          <w:color w:val="231F20"/>
          <w:w w:val="110"/>
          <w:sz w:val="18"/>
        </w:rPr>
        <w:t>que</w:t>
      </w:r>
      <w:r>
        <w:rPr>
          <w:color w:val="231F20"/>
          <w:spacing w:val="-9"/>
          <w:w w:val="110"/>
          <w:sz w:val="18"/>
        </w:rPr>
        <w:t> </w:t>
      </w:r>
      <w:r>
        <w:rPr>
          <w:color w:val="231F20"/>
          <w:w w:val="110"/>
          <w:sz w:val="18"/>
        </w:rPr>
        <w:t>de</w:t>
      </w:r>
      <w:r>
        <w:rPr>
          <w:color w:val="231F20"/>
          <w:spacing w:val="-9"/>
          <w:w w:val="110"/>
          <w:sz w:val="18"/>
        </w:rPr>
        <w:t> </w:t>
      </w:r>
      <w:r>
        <w:rPr>
          <w:color w:val="231F20"/>
          <w:w w:val="110"/>
          <w:sz w:val="18"/>
        </w:rPr>
        <w:t>1940</w:t>
      </w:r>
      <w:r>
        <w:rPr>
          <w:color w:val="231F20"/>
          <w:spacing w:val="-9"/>
          <w:w w:val="110"/>
          <w:sz w:val="18"/>
        </w:rPr>
        <w:t> </w:t>
      </w:r>
      <w:r>
        <w:rPr>
          <w:color w:val="231F20"/>
          <w:w w:val="110"/>
          <w:sz w:val="18"/>
        </w:rPr>
        <w:t>a</w:t>
      </w:r>
      <w:r>
        <w:rPr>
          <w:color w:val="231F20"/>
          <w:spacing w:val="-9"/>
          <w:w w:val="110"/>
          <w:sz w:val="18"/>
        </w:rPr>
        <w:t> </w:t>
      </w:r>
      <w:r>
        <w:rPr>
          <w:color w:val="231F20"/>
          <w:w w:val="110"/>
          <w:sz w:val="18"/>
        </w:rPr>
        <w:t>1960,</w:t>
      </w:r>
      <w:r>
        <w:rPr>
          <w:color w:val="231F20"/>
          <w:spacing w:val="-9"/>
          <w:w w:val="110"/>
          <w:sz w:val="18"/>
        </w:rPr>
        <w:t> </w:t>
      </w:r>
      <w:r>
        <w:rPr>
          <w:color w:val="231F20"/>
          <w:w w:val="110"/>
          <w:sz w:val="18"/>
        </w:rPr>
        <w:t>según</w:t>
      </w:r>
      <w:r>
        <w:rPr>
          <w:color w:val="231F20"/>
          <w:spacing w:val="-9"/>
          <w:w w:val="110"/>
          <w:sz w:val="18"/>
        </w:rPr>
        <w:t> </w:t>
      </w:r>
      <w:r>
        <w:rPr>
          <w:color w:val="231F20"/>
          <w:w w:val="110"/>
          <w:sz w:val="18"/>
        </w:rPr>
        <w:t>la</w:t>
      </w:r>
      <w:r>
        <w:rPr>
          <w:color w:val="231F20"/>
          <w:spacing w:val="-9"/>
          <w:w w:val="110"/>
          <w:sz w:val="18"/>
        </w:rPr>
        <w:t> </w:t>
      </w:r>
      <w:r>
        <w:rPr>
          <w:color w:val="231F20"/>
          <w:w w:val="110"/>
          <w:sz w:val="18"/>
        </w:rPr>
        <w:t>Información</w:t>
      </w:r>
      <w:r>
        <w:rPr>
          <w:color w:val="231F20"/>
          <w:spacing w:val="-9"/>
          <w:w w:val="110"/>
          <w:sz w:val="18"/>
        </w:rPr>
        <w:t> </w:t>
      </w:r>
      <w:r>
        <w:rPr>
          <w:color w:val="231F20"/>
          <w:w w:val="110"/>
          <w:sz w:val="18"/>
        </w:rPr>
        <w:t>Ma- croeconómica Nacional del Banco Nacional de México, el país tuvo una tasa </w:t>
      </w:r>
      <w:r>
        <w:rPr>
          <w:color w:val="231F20"/>
          <w:spacing w:val="43"/>
          <w:w w:val="110"/>
          <w:sz w:val="18"/>
        </w:rPr>
        <w:t> </w:t>
      </w:r>
      <w:r>
        <w:rPr>
          <w:color w:val="231F20"/>
          <w:w w:val="110"/>
          <w:sz w:val="18"/>
        </w:rPr>
        <w:t>de</w:t>
      </w:r>
      <w:r>
        <w:rPr>
          <w:color w:val="231F20"/>
          <w:spacing w:val="-18"/>
          <w:w w:val="110"/>
          <w:sz w:val="18"/>
        </w:rPr>
        <w:t> </w:t>
      </w:r>
      <w:r>
        <w:rPr>
          <w:color w:val="231F20"/>
          <w:w w:val="110"/>
          <w:sz w:val="18"/>
        </w:rPr>
        <w:t>crecimiento</w:t>
      </w:r>
      <w:r>
        <w:rPr>
          <w:color w:val="231F20"/>
          <w:spacing w:val="-21"/>
          <w:w w:val="110"/>
          <w:sz w:val="18"/>
        </w:rPr>
        <w:t> </w:t>
      </w:r>
      <w:r>
        <w:rPr>
          <w:color w:val="231F20"/>
          <w:w w:val="110"/>
          <w:sz w:val="18"/>
        </w:rPr>
        <w:t>promedio</w:t>
      </w:r>
      <w:r>
        <w:rPr>
          <w:color w:val="231F20"/>
          <w:spacing w:val="-21"/>
          <w:w w:val="110"/>
          <w:sz w:val="18"/>
        </w:rPr>
        <w:t> </w:t>
      </w:r>
      <w:r>
        <w:rPr>
          <w:color w:val="231F20"/>
          <w:w w:val="110"/>
          <w:sz w:val="18"/>
        </w:rPr>
        <w:t>anual</w:t>
      </w:r>
      <w:r>
        <w:rPr>
          <w:color w:val="231F20"/>
          <w:spacing w:val="-21"/>
          <w:w w:val="110"/>
          <w:sz w:val="18"/>
        </w:rPr>
        <w:t> </w:t>
      </w:r>
      <w:r>
        <w:rPr>
          <w:color w:val="231F20"/>
          <w:w w:val="110"/>
          <w:sz w:val="18"/>
        </w:rPr>
        <w:t>del</w:t>
      </w:r>
      <w:r>
        <w:rPr>
          <w:color w:val="231F20"/>
          <w:spacing w:val="-21"/>
          <w:w w:val="110"/>
          <w:sz w:val="18"/>
        </w:rPr>
        <w:t> </w:t>
      </w:r>
      <w:r>
        <w:rPr>
          <w:color w:val="231F20"/>
          <w:w w:val="110"/>
          <w:sz w:val="18"/>
        </w:rPr>
        <w:t>5.02</w:t>
      </w:r>
      <w:r>
        <w:rPr>
          <w:color w:val="231F20"/>
          <w:spacing w:val="-21"/>
          <w:w w:val="110"/>
          <w:sz w:val="18"/>
        </w:rPr>
        <w:t> </w:t>
      </w:r>
      <w:r>
        <w:rPr>
          <w:color w:val="231F20"/>
          <w:w w:val="110"/>
          <w:sz w:val="18"/>
        </w:rPr>
        <w:t>por</w:t>
      </w:r>
      <w:r>
        <w:rPr>
          <w:color w:val="231F20"/>
          <w:spacing w:val="-21"/>
          <w:w w:val="110"/>
          <w:sz w:val="18"/>
        </w:rPr>
        <w:t> </w:t>
      </w:r>
      <w:r>
        <w:rPr>
          <w:color w:val="231F20"/>
          <w:w w:val="110"/>
          <w:sz w:val="18"/>
        </w:rPr>
        <w:t>ciento</w:t>
      </w:r>
      <w:r>
        <w:rPr>
          <w:color w:val="231F20"/>
          <w:spacing w:val="-21"/>
          <w:w w:val="110"/>
          <w:sz w:val="18"/>
        </w:rPr>
        <w:t> </w:t>
      </w:r>
      <w:r>
        <w:rPr>
          <w:color w:val="231F20"/>
          <w:w w:val="110"/>
          <w:sz w:val="18"/>
        </w:rPr>
        <w:t>[…]</w:t>
      </w:r>
      <w:r>
        <w:rPr>
          <w:color w:val="231F20"/>
          <w:spacing w:val="-21"/>
          <w:w w:val="110"/>
          <w:sz w:val="18"/>
        </w:rPr>
        <w:t> </w:t>
      </w:r>
      <w:r>
        <w:rPr>
          <w:color w:val="231F20"/>
          <w:w w:val="110"/>
          <w:sz w:val="18"/>
        </w:rPr>
        <w:t>De</w:t>
      </w:r>
      <w:r>
        <w:rPr>
          <w:color w:val="231F20"/>
          <w:spacing w:val="-21"/>
          <w:w w:val="110"/>
          <w:sz w:val="18"/>
        </w:rPr>
        <w:t> </w:t>
      </w:r>
      <w:r>
        <w:rPr>
          <w:color w:val="231F20"/>
          <w:w w:val="110"/>
          <w:sz w:val="18"/>
        </w:rPr>
        <w:t>1959</w:t>
      </w:r>
      <w:r>
        <w:rPr>
          <w:color w:val="231F20"/>
          <w:spacing w:val="-21"/>
          <w:w w:val="110"/>
          <w:sz w:val="18"/>
        </w:rPr>
        <w:t> </w:t>
      </w:r>
      <w:r>
        <w:rPr>
          <w:color w:val="231F20"/>
          <w:w w:val="110"/>
          <w:sz w:val="18"/>
        </w:rPr>
        <w:t>a</w:t>
      </w:r>
      <w:r>
        <w:rPr>
          <w:color w:val="231F20"/>
          <w:spacing w:val="-21"/>
          <w:w w:val="110"/>
          <w:sz w:val="18"/>
        </w:rPr>
        <w:t> </w:t>
      </w:r>
      <w:r>
        <w:rPr>
          <w:color w:val="231F20"/>
          <w:w w:val="110"/>
          <w:sz w:val="18"/>
        </w:rPr>
        <w:t>1962</w:t>
      </w:r>
      <w:r>
        <w:rPr>
          <w:color w:val="231F20"/>
          <w:spacing w:val="-21"/>
          <w:w w:val="110"/>
          <w:sz w:val="18"/>
        </w:rPr>
        <w:t> </w:t>
      </w:r>
      <w:r>
        <w:rPr>
          <w:color w:val="231F20"/>
          <w:w w:val="110"/>
          <w:sz w:val="18"/>
        </w:rPr>
        <w:t>desapare- cen las importaciones y a partir de 1963 México empieza a exportar maíz. No </w:t>
      </w:r>
      <w:r>
        <w:rPr>
          <w:color w:val="231F20"/>
          <w:spacing w:val="-4"/>
          <w:w w:val="110"/>
          <w:sz w:val="18"/>
        </w:rPr>
        <w:t>obstante,</w:t>
      </w:r>
      <w:r>
        <w:rPr>
          <w:color w:val="231F20"/>
          <w:spacing w:val="-18"/>
          <w:w w:val="110"/>
          <w:sz w:val="18"/>
        </w:rPr>
        <w:t> </w:t>
      </w:r>
      <w:r>
        <w:rPr>
          <w:color w:val="231F20"/>
          <w:w w:val="110"/>
          <w:sz w:val="18"/>
        </w:rPr>
        <w:t>el</w:t>
      </w:r>
      <w:r>
        <w:rPr>
          <w:color w:val="231F20"/>
          <w:spacing w:val="-18"/>
          <w:w w:val="110"/>
          <w:sz w:val="18"/>
        </w:rPr>
        <w:t> </w:t>
      </w:r>
      <w:r>
        <w:rPr>
          <w:color w:val="231F20"/>
          <w:spacing w:val="-4"/>
          <w:w w:val="110"/>
          <w:sz w:val="18"/>
        </w:rPr>
        <w:t>sueño</w:t>
      </w:r>
      <w:r>
        <w:rPr>
          <w:color w:val="231F20"/>
          <w:spacing w:val="-18"/>
          <w:w w:val="110"/>
          <w:sz w:val="18"/>
        </w:rPr>
        <w:t> </w:t>
      </w:r>
      <w:r>
        <w:rPr>
          <w:color w:val="231F20"/>
          <w:w w:val="110"/>
          <w:sz w:val="18"/>
        </w:rPr>
        <w:t>de</w:t>
      </w:r>
      <w:r>
        <w:rPr>
          <w:color w:val="231F20"/>
          <w:spacing w:val="-18"/>
          <w:w w:val="110"/>
          <w:sz w:val="18"/>
        </w:rPr>
        <w:t> </w:t>
      </w:r>
      <w:r>
        <w:rPr>
          <w:color w:val="231F20"/>
          <w:w w:val="110"/>
          <w:sz w:val="18"/>
        </w:rPr>
        <w:t>la</w:t>
      </w:r>
      <w:r>
        <w:rPr>
          <w:color w:val="231F20"/>
          <w:spacing w:val="-18"/>
          <w:w w:val="110"/>
          <w:sz w:val="18"/>
        </w:rPr>
        <w:t> </w:t>
      </w:r>
      <w:r>
        <w:rPr>
          <w:color w:val="231F20"/>
          <w:spacing w:val="-4"/>
          <w:w w:val="110"/>
          <w:sz w:val="18"/>
        </w:rPr>
        <w:t>revolución</w:t>
      </w:r>
      <w:r>
        <w:rPr>
          <w:color w:val="231F20"/>
          <w:spacing w:val="-18"/>
          <w:w w:val="110"/>
          <w:sz w:val="18"/>
        </w:rPr>
        <w:t> </w:t>
      </w:r>
      <w:r>
        <w:rPr>
          <w:color w:val="231F20"/>
          <w:spacing w:val="-4"/>
          <w:w w:val="110"/>
          <w:sz w:val="18"/>
        </w:rPr>
        <w:t>verde</w:t>
      </w:r>
      <w:r>
        <w:rPr>
          <w:color w:val="231F20"/>
          <w:spacing w:val="-18"/>
          <w:w w:val="110"/>
          <w:sz w:val="18"/>
        </w:rPr>
        <w:t> </w:t>
      </w:r>
      <w:r>
        <w:rPr>
          <w:color w:val="231F20"/>
          <w:spacing w:val="-3"/>
          <w:w w:val="110"/>
          <w:sz w:val="18"/>
        </w:rPr>
        <w:t>duró</w:t>
      </w:r>
      <w:r>
        <w:rPr>
          <w:color w:val="231F20"/>
          <w:spacing w:val="-18"/>
          <w:w w:val="110"/>
          <w:sz w:val="18"/>
        </w:rPr>
        <w:t> </w:t>
      </w:r>
      <w:r>
        <w:rPr>
          <w:color w:val="231F20"/>
          <w:spacing w:val="-3"/>
          <w:w w:val="110"/>
          <w:sz w:val="18"/>
        </w:rPr>
        <w:t>muy</w:t>
      </w:r>
      <w:r>
        <w:rPr>
          <w:color w:val="231F20"/>
          <w:spacing w:val="-18"/>
          <w:w w:val="110"/>
          <w:sz w:val="18"/>
        </w:rPr>
        <w:t> </w:t>
      </w:r>
      <w:r>
        <w:rPr>
          <w:color w:val="231F20"/>
          <w:spacing w:val="-3"/>
          <w:w w:val="110"/>
          <w:sz w:val="18"/>
        </w:rPr>
        <w:t>poco</w:t>
      </w:r>
      <w:r>
        <w:rPr>
          <w:color w:val="231F20"/>
          <w:spacing w:val="-18"/>
          <w:w w:val="110"/>
          <w:sz w:val="18"/>
        </w:rPr>
        <w:t> </w:t>
      </w:r>
      <w:r>
        <w:rPr>
          <w:color w:val="231F20"/>
          <w:spacing w:val="-4"/>
          <w:w w:val="110"/>
          <w:sz w:val="18"/>
        </w:rPr>
        <w:t>(Azpeitia,</w:t>
      </w:r>
      <w:r>
        <w:rPr>
          <w:color w:val="231F20"/>
          <w:spacing w:val="-18"/>
          <w:w w:val="110"/>
          <w:sz w:val="18"/>
        </w:rPr>
        <w:t> </w:t>
      </w:r>
      <w:r>
        <w:rPr>
          <w:color w:val="231F20"/>
          <w:spacing w:val="-4"/>
          <w:w w:val="110"/>
          <w:sz w:val="18"/>
        </w:rPr>
        <w:t>1987:</w:t>
      </w:r>
      <w:r>
        <w:rPr>
          <w:color w:val="231F20"/>
          <w:spacing w:val="-18"/>
          <w:w w:val="110"/>
          <w:sz w:val="18"/>
        </w:rPr>
        <w:t> </w:t>
      </w:r>
      <w:r>
        <w:rPr>
          <w:color w:val="231F20"/>
          <w:spacing w:val="-4"/>
          <w:w w:val="110"/>
          <w:sz w:val="18"/>
        </w:rPr>
        <w:t>134-136).</w:t>
      </w:r>
    </w:p>
    <w:p>
      <w:pPr>
        <w:pStyle w:val="BodyText"/>
        <w:spacing w:before="9"/>
        <w:rPr>
          <w:sz w:val="19"/>
        </w:rPr>
      </w:pPr>
    </w:p>
    <w:p>
      <w:pPr>
        <w:pStyle w:val="BodyText"/>
        <w:spacing w:line="280" w:lineRule="auto"/>
        <w:ind w:left="124" w:right="112" w:firstLine="360"/>
        <w:jc w:val="right"/>
      </w:pPr>
      <w:r>
        <w:rPr>
          <w:color w:val="231F20"/>
          <w:w w:val="110"/>
        </w:rPr>
        <w:t>Recordemos que en los círculos internacionales se</w:t>
      </w:r>
      <w:r>
        <w:rPr>
          <w:color w:val="231F20"/>
          <w:spacing w:val="15"/>
          <w:w w:val="110"/>
        </w:rPr>
        <w:t> </w:t>
      </w:r>
      <w:r>
        <w:rPr>
          <w:color w:val="231F20"/>
          <w:w w:val="110"/>
        </w:rPr>
        <w:t>denominó</w:t>
      </w:r>
      <w:r>
        <w:rPr>
          <w:color w:val="231F20"/>
          <w:spacing w:val="9"/>
          <w:w w:val="110"/>
        </w:rPr>
        <w:t> </w:t>
      </w:r>
      <w:r>
        <w:rPr>
          <w:color w:val="231F20"/>
          <w:w w:val="110"/>
        </w:rPr>
        <w:t>“revolu-</w:t>
      </w:r>
      <w:r>
        <w:rPr>
          <w:color w:val="231F20"/>
          <w:w w:val="93"/>
        </w:rPr>
        <w:t> </w:t>
      </w:r>
      <w:r>
        <w:rPr>
          <w:color w:val="231F20"/>
          <w:w w:val="110"/>
        </w:rPr>
        <w:t>ción</w:t>
      </w:r>
      <w:r>
        <w:rPr>
          <w:color w:val="231F20"/>
          <w:spacing w:val="-11"/>
          <w:w w:val="110"/>
        </w:rPr>
        <w:t> </w:t>
      </w:r>
      <w:r>
        <w:rPr>
          <w:color w:val="231F20"/>
          <w:w w:val="110"/>
        </w:rPr>
        <w:t>verde”</w:t>
      </w:r>
      <w:r>
        <w:rPr>
          <w:color w:val="231F20"/>
          <w:spacing w:val="-14"/>
          <w:w w:val="110"/>
        </w:rPr>
        <w:t> </w:t>
      </w:r>
      <w:r>
        <w:rPr>
          <w:color w:val="231F20"/>
          <w:w w:val="110"/>
        </w:rPr>
        <w:t>al</w:t>
      </w:r>
      <w:r>
        <w:rPr>
          <w:color w:val="231F20"/>
          <w:spacing w:val="-11"/>
          <w:w w:val="110"/>
        </w:rPr>
        <w:t> </w:t>
      </w:r>
      <w:r>
        <w:rPr>
          <w:color w:val="231F20"/>
          <w:w w:val="110"/>
        </w:rPr>
        <w:t>importante</w:t>
      </w:r>
      <w:r>
        <w:rPr>
          <w:color w:val="231F20"/>
          <w:spacing w:val="-11"/>
          <w:w w:val="110"/>
        </w:rPr>
        <w:t> </w:t>
      </w:r>
      <w:r>
        <w:rPr>
          <w:color w:val="231F20"/>
          <w:w w:val="110"/>
        </w:rPr>
        <w:t>incremento</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productividad</w:t>
      </w:r>
      <w:r>
        <w:rPr>
          <w:color w:val="231F20"/>
          <w:spacing w:val="-11"/>
          <w:w w:val="110"/>
        </w:rPr>
        <w:t> </w:t>
      </w:r>
      <w:r>
        <w:rPr>
          <w:color w:val="231F20"/>
          <w:w w:val="110"/>
        </w:rPr>
        <w:t>agrícola</w:t>
      </w:r>
      <w:r>
        <w:rPr>
          <w:color w:val="231F20"/>
          <w:spacing w:val="-11"/>
          <w:w w:val="110"/>
        </w:rPr>
        <w:t> </w:t>
      </w:r>
      <w:r>
        <w:rPr>
          <w:color w:val="231F20"/>
          <w:w w:val="110"/>
        </w:rPr>
        <w:t>ocurrida</w:t>
      </w:r>
      <w:r>
        <w:rPr>
          <w:color w:val="231F20"/>
          <w:w w:val="108"/>
        </w:rPr>
        <w:t> </w:t>
      </w:r>
      <w:r>
        <w:rPr>
          <w:color w:val="231F20"/>
          <w:w w:val="110"/>
        </w:rPr>
        <w:t>entre</w:t>
      </w:r>
      <w:r>
        <w:rPr>
          <w:color w:val="231F20"/>
          <w:spacing w:val="28"/>
          <w:w w:val="110"/>
        </w:rPr>
        <w:t> </w:t>
      </w:r>
      <w:r>
        <w:rPr>
          <w:color w:val="231F20"/>
          <w:w w:val="110"/>
        </w:rPr>
        <w:t>1940</w:t>
      </w:r>
      <w:r>
        <w:rPr>
          <w:color w:val="231F20"/>
          <w:spacing w:val="28"/>
          <w:w w:val="110"/>
        </w:rPr>
        <w:t> </w:t>
      </w:r>
      <w:r>
        <w:rPr>
          <w:color w:val="231F20"/>
          <w:w w:val="110"/>
        </w:rPr>
        <w:t>y</w:t>
      </w:r>
      <w:r>
        <w:rPr>
          <w:color w:val="231F20"/>
          <w:spacing w:val="28"/>
          <w:w w:val="110"/>
        </w:rPr>
        <w:t> </w:t>
      </w:r>
      <w:r>
        <w:rPr>
          <w:color w:val="231F20"/>
          <w:w w:val="110"/>
        </w:rPr>
        <w:t>1970</w:t>
      </w:r>
      <w:r>
        <w:rPr>
          <w:color w:val="231F20"/>
          <w:spacing w:val="28"/>
          <w:w w:val="110"/>
        </w:rPr>
        <w:t> </w:t>
      </w:r>
      <w:r>
        <w:rPr>
          <w:color w:val="231F20"/>
          <w:w w:val="110"/>
        </w:rPr>
        <w:t>en</w:t>
      </w:r>
      <w:r>
        <w:rPr>
          <w:color w:val="231F20"/>
          <w:spacing w:val="28"/>
          <w:w w:val="110"/>
        </w:rPr>
        <w:t> </w:t>
      </w:r>
      <w:r>
        <w:rPr>
          <w:color w:val="231F20"/>
          <w:w w:val="110"/>
        </w:rPr>
        <w:t>Estados</w:t>
      </w:r>
      <w:r>
        <w:rPr>
          <w:color w:val="231F20"/>
          <w:spacing w:val="28"/>
          <w:w w:val="110"/>
        </w:rPr>
        <w:t> </w:t>
      </w:r>
      <w:r>
        <w:rPr>
          <w:color w:val="231F20"/>
          <w:w w:val="110"/>
        </w:rPr>
        <w:t>Unidos,</w:t>
      </w:r>
      <w:r>
        <w:rPr>
          <w:color w:val="231F20"/>
          <w:spacing w:val="28"/>
          <w:w w:val="110"/>
        </w:rPr>
        <w:t> </w:t>
      </w:r>
      <w:r>
        <w:rPr>
          <w:color w:val="231F20"/>
          <w:w w:val="110"/>
        </w:rPr>
        <w:t>a</w:t>
      </w:r>
      <w:r>
        <w:rPr>
          <w:color w:val="231F20"/>
          <w:spacing w:val="28"/>
          <w:w w:val="110"/>
        </w:rPr>
        <w:t> </w:t>
      </w:r>
      <w:r>
        <w:rPr>
          <w:color w:val="231F20"/>
          <w:w w:val="110"/>
        </w:rPr>
        <w:t>través</w:t>
      </w:r>
      <w:r>
        <w:rPr>
          <w:color w:val="231F20"/>
          <w:spacing w:val="28"/>
          <w:w w:val="110"/>
        </w:rPr>
        <w:t> </w:t>
      </w:r>
      <w:r>
        <w:rPr>
          <w:color w:val="231F20"/>
          <w:w w:val="110"/>
        </w:rPr>
        <w:t>de</w:t>
      </w:r>
      <w:r>
        <w:rPr>
          <w:color w:val="231F20"/>
          <w:spacing w:val="28"/>
          <w:w w:val="110"/>
        </w:rPr>
        <w:t> </w:t>
      </w:r>
      <w:r>
        <w:rPr>
          <w:color w:val="231F20"/>
          <w:w w:val="110"/>
        </w:rPr>
        <w:t>la</w:t>
      </w:r>
      <w:r>
        <w:rPr>
          <w:color w:val="231F20"/>
          <w:spacing w:val="28"/>
          <w:w w:val="110"/>
        </w:rPr>
        <w:t> </w:t>
      </w:r>
      <w:r>
        <w:rPr>
          <w:color w:val="231F20"/>
          <w:w w:val="110"/>
        </w:rPr>
        <w:t>promoción</w:t>
      </w:r>
      <w:r>
        <w:rPr>
          <w:color w:val="231F20"/>
          <w:spacing w:val="28"/>
          <w:w w:val="110"/>
        </w:rPr>
        <w:t> </w:t>
      </w:r>
      <w:r>
        <w:rPr>
          <w:color w:val="231F20"/>
          <w:w w:val="110"/>
        </w:rPr>
        <w:t>de</w:t>
      </w:r>
      <w:r>
        <w:rPr>
          <w:color w:val="231F20"/>
          <w:spacing w:val="28"/>
          <w:w w:val="110"/>
        </w:rPr>
        <w:t> </w:t>
      </w:r>
      <w:r>
        <w:rPr>
          <w:color w:val="231F20"/>
          <w:w w:val="110"/>
        </w:rPr>
        <w:t>una</w:t>
      </w:r>
      <w:r>
        <w:rPr>
          <w:color w:val="231F20"/>
          <w:w w:val="108"/>
        </w:rPr>
        <w:t> </w:t>
      </w:r>
      <w:r>
        <w:rPr>
          <w:color w:val="231F20"/>
          <w:w w:val="110"/>
        </w:rPr>
        <w:t>agricultura de riego, uso de insumos químicos (fertilizantes</w:t>
      </w:r>
      <w:r>
        <w:rPr>
          <w:color w:val="231F20"/>
          <w:spacing w:val="-5"/>
          <w:w w:val="110"/>
        </w:rPr>
        <w:t> </w:t>
      </w:r>
      <w:r>
        <w:rPr>
          <w:color w:val="231F20"/>
          <w:w w:val="110"/>
        </w:rPr>
        <w:t>y</w:t>
      </w:r>
      <w:r>
        <w:rPr>
          <w:color w:val="231F20"/>
          <w:spacing w:val="-1"/>
          <w:w w:val="110"/>
        </w:rPr>
        <w:t> </w:t>
      </w:r>
      <w:r>
        <w:rPr>
          <w:color w:val="231F20"/>
          <w:w w:val="110"/>
        </w:rPr>
        <w:t>plaguicidas),</w:t>
      </w:r>
      <w:r>
        <w:rPr>
          <w:color w:val="231F20"/>
          <w:w w:val="107"/>
        </w:rPr>
        <w:t> </w:t>
      </w:r>
      <w:r>
        <w:rPr>
          <w:color w:val="231F20"/>
          <w:w w:val="110"/>
        </w:rPr>
        <w:t>maquinaria</w:t>
      </w:r>
      <w:r>
        <w:rPr>
          <w:color w:val="231F20"/>
          <w:spacing w:val="-25"/>
          <w:w w:val="110"/>
        </w:rPr>
        <w:t> </w:t>
      </w:r>
      <w:r>
        <w:rPr>
          <w:color w:val="231F20"/>
          <w:w w:val="110"/>
        </w:rPr>
        <w:t>agrícola</w:t>
      </w:r>
      <w:r>
        <w:rPr>
          <w:color w:val="231F20"/>
          <w:spacing w:val="-25"/>
          <w:w w:val="110"/>
        </w:rPr>
        <w:t> </w:t>
      </w:r>
      <w:r>
        <w:rPr>
          <w:color w:val="231F20"/>
          <w:w w:val="110"/>
        </w:rPr>
        <w:t>y</w:t>
      </w:r>
      <w:r>
        <w:rPr>
          <w:color w:val="231F20"/>
          <w:spacing w:val="-25"/>
          <w:w w:val="110"/>
        </w:rPr>
        <w:t> </w:t>
      </w:r>
      <w:r>
        <w:rPr>
          <w:color w:val="231F20"/>
          <w:w w:val="110"/>
        </w:rPr>
        <w:t>semillas</w:t>
      </w:r>
      <w:r>
        <w:rPr>
          <w:color w:val="231F20"/>
          <w:spacing w:val="-25"/>
          <w:w w:val="110"/>
        </w:rPr>
        <w:t> </w:t>
      </w:r>
      <w:r>
        <w:rPr>
          <w:color w:val="231F20"/>
          <w:w w:val="110"/>
        </w:rPr>
        <w:t>mejoradas</w:t>
      </w:r>
      <w:r>
        <w:rPr>
          <w:color w:val="231F20"/>
          <w:spacing w:val="-25"/>
          <w:w w:val="110"/>
        </w:rPr>
        <w:t> </w:t>
      </w:r>
      <w:r>
        <w:rPr>
          <w:color w:val="231F20"/>
          <w:w w:val="110"/>
        </w:rPr>
        <w:t>genéticamente</w:t>
      </w:r>
      <w:r>
        <w:rPr>
          <w:color w:val="231F20"/>
          <w:spacing w:val="-25"/>
          <w:w w:val="110"/>
        </w:rPr>
        <w:t> </w:t>
      </w:r>
      <w:r>
        <w:rPr>
          <w:color w:val="231F20"/>
          <w:w w:val="110"/>
        </w:rPr>
        <w:t>(Gliessman,</w:t>
      </w:r>
      <w:r>
        <w:rPr>
          <w:color w:val="231F20"/>
          <w:spacing w:val="-25"/>
          <w:w w:val="110"/>
        </w:rPr>
        <w:t> </w:t>
      </w:r>
      <w:r>
        <w:rPr>
          <w:color w:val="231F20"/>
          <w:w w:val="110"/>
        </w:rPr>
        <w:t>2002).</w:t>
      </w:r>
      <w:r>
        <w:rPr>
          <w:color w:val="231F20"/>
          <w:w w:val="128"/>
        </w:rPr>
        <w:t> </w:t>
      </w:r>
      <w:r>
        <w:rPr>
          <w:color w:val="231F20"/>
          <w:w w:val="110"/>
        </w:rPr>
        <w:t>En México surge el (Centro Internacional de Mejoramiento de</w:t>
      </w:r>
      <w:r>
        <w:rPr>
          <w:color w:val="231F20"/>
          <w:spacing w:val="12"/>
          <w:w w:val="110"/>
        </w:rPr>
        <w:t> </w:t>
      </w:r>
      <w:r>
        <w:rPr>
          <w:color w:val="231F20"/>
          <w:w w:val="110"/>
        </w:rPr>
        <w:t>Maíz</w:t>
      </w:r>
      <w:r>
        <w:rPr>
          <w:color w:val="231F20"/>
          <w:spacing w:val="17"/>
          <w:w w:val="110"/>
        </w:rPr>
        <w:t> </w:t>
      </w:r>
      <w:r>
        <w:rPr>
          <w:color w:val="231F20"/>
          <w:w w:val="110"/>
        </w:rPr>
        <w:t>y</w:t>
      </w:r>
      <w:r>
        <w:rPr>
          <w:color w:val="231F20"/>
          <w:w w:val="108"/>
        </w:rPr>
        <w:t> </w:t>
      </w:r>
      <w:r>
        <w:rPr>
          <w:color w:val="231F20"/>
          <w:w w:val="110"/>
        </w:rPr>
        <w:t>Trigo) </w:t>
      </w:r>
      <w:r>
        <w:rPr>
          <w:rFonts w:ascii="Times New Roman" w:hAnsi="Times New Roman"/>
          <w:color w:val="231F20"/>
          <w:w w:val="110"/>
          <w:sz w:val="16"/>
        </w:rPr>
        <w:t>CIMMYT </w:t>
      </w:r>
      <w:r>
        <w:rPr>
          <w:color w:val="231F20"/>
          <w:w w:val="110"/>
        </w:rPr>
        <w:t>como resultado de un programa cooperativo</w:t>
      </w:r>
      <w:r>
        <w:rPr>
          <w:color w:val="231F20"/>
          <w:spacing w:val="10"/>
          <w:w w:val="110"/>
        </w:rPr>
        <w:t> </w:t>
      </w:r>
      <w:r>
        <w:rPr>
          <w:color w:val="231F20"/>
          <w:w w:val="110"/>
        </w:rPr>
        <w:t>de</w:t>
      </w:r>
      <w:r>
        <w:rPr>
          <w:color w:val="231F20"/>
          <w:spacing w:val="13"/>
          <w:w w:val="110"/>
        </w:rPr>
        <w:t> </w:t>
      </w:r>
      <w:r>
        <w:rPr>
          <w:color w:val="231F20"/>
          <w:w w:val="110"/>
        </w:rPr>
        <w:t>investiga-</w:t>
      </w:r>
      <w:r>
        <w:rPr>
          <w:color w:val="231F20"/>
          <w:w w:val="93"/>
        </w:rPr>
        <w:t> </w:t>
      </w:r>
      <w:r>
        <w:rPr>
          <w:color w:val="231F20"/>
          <w:w w:val="110"/>
        </w:rPr>
        <w:t>ción entre el gobierno de México y la Fundación </w:t>
      </w:r>
      <w:r>
        <w:rPr>
          <w:color w:val="231F20"/>
          <w:spacing w:val="-3"/>
          <w:w w:val="110"/>
        </w:rPr>
        <w:t>Rockefeller, </w:t>
      </w:r>
      <w:r>
        <w:rPr>
          <w:color w:val="231F20"/>
          <w:w w:val="110"/>
        </w:rPr>
        <w:t>entre</w:t>
      </w:r>
      <w:r>
        <w:rPr>
          <w:color w:val="231F20"/>
          <w:spacing w:val="16"/>
          <w:w w:val="110"/>
        </w:rPr>
        <w:t> </w:t>
      </w:r>
      <w:r>
        <w:rPr>
          <w:color w:val="231F20"/>
          <w:w w:val="110"/>
        </w:rPr>
        <w:t>1940</w:t>
      </w:r>
      <w:r>
        <w:rPr>
          <w:color w:val="231F20"/>
          <w:spacing w:val="10"/>
          <w:w w:val="110"/>
        </w:rPr>
        <w:t> </w:t>
      </w:r>
      <w:r>
        <w:rPr>
          <w:color w:val="231F20"/>
          <w:w w:val="110"/>
        </w:rPr>
        <w:t>y</w:t>
      </w:r>
      <w:r>
        <w:rPr>
          <w:color w:val="231F20"/>
          <w:w w:val="108"/>
        </w:rPr>
        <w:t> </w:t>
      </w:r>
      <w:r>
        <w:rPr>
          <w:color w:val="231F20"/>
          <w:w w:val="110"/>
        </w:rPr>
        <w:t>1950,</w:t>
      </w:r>
      <w:r>
        <w:rPr>
          <w:color w:val="231F20"/>
          <w:spacing w:val="-5"/>
          <w:w w:val="110"/>
        </w:rPr>
        <w:t> </w:t>
      </w:r>
      <w:r>
        <w:rPr>
          <w:color w:val="231F20"/>
          <w:w w:val="110"/>
        </w:rPr>
        <w:t>establecido</w:t>
      </w:r>
      <w:r>
        <w:rPr>
          <w:color w:val="231F20"/>
          <w:spacing w:val="-5"/>
          <w:w w:val="110"/>
        </w:rPr>
        <w:t> </w:t>
      </w:r>
      <w:r>
        <w:rPr>
          <w:color w:val="231F20"/>
          <w:w w:val="110"/>
        </w:rPr>
        <w:t>con</w:t>
      </w:r>
      <w:r>
        <w:rPr>
          <w:color w:val="231F20"/>
          <w:spacing w:val="-5"/>
          <w:w w:val="110"/>
        </w:rPr>
        <w:t> </w:t>
      </w:r>
      <w:r>
        <w:rPr>
          <w:color w:val="231F20"/>
          <w:w w:val="110"/>
        </w:rPr>
        <w:t>el</w:t>
      </w:r>
      <w:r>
        <w:rPr>
          <w:color w:val="231F20"/>
          <w:spacing w:val="-5"/>
          <w:w w:val="110"/>
        </w:rPr>
        <w:t> </w:t>
      </w:r>
      <w:r>
        <w:rPr>
          <w:color w:val="231F20"/>
          <w:w w:val="110"/>
        </w:rPr>
        <w:t>propósito</w:t>
      </w:r>
      <w:r>
        <w:rPr>
          <w:color w:val="231F20"/>
          <w:spacing w:val="-5"/>
          <w:w w:val="110"/>
        </w:rPr>
        <w:t> </w:t>
      </w:r>
      <w:r>
        <w:rPr>
          <w:color w:val="231F20"/>
          <w:w w:val="110"/>
        </w:rPr>
        <w:t>de</w:t>
      </w:r>
      <w:r>
        <w:rPr>
          <w:color w:val="231F20"/>
          <w:spacing w:val="-5"/>
          <w:w w:val="110"/>
        </w:rPr>
        <w:t> </w:t>
      </w:r>
      <w:r>
        <w:rPr>
          <w:color w:val="231F20"/>
          <w:w w:val="110"/>
        </w:rPr>
        <w:t>elevar</w:t>
      </w:r>
      <w:r>
        <w:rPr>
          <w:color w:val="231F20"/>
          <w:spacing w:val="-5"/>
          <w:w w:val="110"/>
        </w:rPr>
        <w:t> </w:t>
      </w:r>
      <w:r>
        <w:rPr>
          <w:color w:val="231F20"/>
          <w:w w:val="110"/>
        </w:rPr>
        <w:t>la</w:t>
      </w:r>
      <w:r>
        <w:rPr>
          <w:color w:val="231F20"/>
          <w:spacing w:val="-5"/>
          <w:w w:val="110"/>
        </w:rPr>
        <w:t> </w:t>
      </w:r>
      <w:r>
        <w:rPr>
          <w:color w:val="231F20"/>
          <w:w w:val="110"/>
        </w:rPr>
        <w:t>productividad</w:t>
      </w:r>
      <w:r>
        <w:rPr>
          <w:color w:val="231F20"/>
          <w:spacing w:val="-5"/>
          <w:w w:val="110"/>
        </w:rPr>
        <w:t> </w:t>
      </w:r>
      <w:r>
        <w:rPr>
          <w:color w:val="231F20"/>
          <w:w w:val="110"/>
        </w:rPr>
        <w:t>del</w:t>
      </w:r>
      <w:r>
        <w:rPr>
          <w:color w:val="231F20"/>
          <w:spacing w:val="-5"/>
          <w:w w:val="110"/>
        </w:rPr>
        <w:t> </w:t>
      </w:r>
      <w:r>
        <w:rPr>
          <w:color w:val="231F20"/>
          <w:w w:val="110"/>
        </w:rPr>
        <w:t>campo</w:t>
      </w:r>
      <w:r>
        <w:rPr>
          <w:color w:val="231F20"/>
          <w:spacing w:val="-5"/>
          <w:w w:val="110"/>
        </w:rPr>
        <w:t> </w:t>
      </w:r>
      <w:r>
        <w:rPr>
          <w:color w:val="231F20"/>
          <w:w w:val="110"/>
        </w:rPr>
        <w:t>en</w:t>
      </w:r>
      <w:r>
        <w:rPr>
          <w:color w:val="231F20"/>
          <w:w w:val="110"/>
        </w:rPr>
        <w:t> </w:t>
      </w:r>
      <w:r>
        <w:rPr>
          <w:color w:val="231F20"/>
          <w:w w:val="110"/>
        </w:rPr>
        <w:t>México (</w:t>
      </w:r>
      <w:r>
        <w:rPr>
          <w:rFonts w:ascii="Times New Roman" w:hAnsi="Times New Roman"/>
          <w:color w:val="231F20"/>
          <w:w w:val="110"/>
          <w:sz w:val="16"/>
        </w:rPr>
        <w:t>CIMMYT</w:t>
      </w:r>
      <w:r>
        <w:rPr>
          <w:color w:val="231F20"/>
          <w:w w:val="110"/>
        </w:rPr>
        <w:t>, 2014). En México, el impulso al desarrollo</w:t>
      </w:r>
      <w:r>
        <w:rPr>
          <w:color w:val="231F20"/>
          <w:spacing w:val="37"/>
          <w:w w:val="110"/>
        </w:rPr>
        <w:t> </w:t>
      </w:r>
      <w:r>
        <w:rPr>
          <w:color w:val="231F20"/>
          <w:w w:val="110"/>
        </w:rPr>
        <w:t>agrícola</w:t>
      </w:r>
      <w:r>
        <w:rPr>
          <w:color w:val="231F20"/>
          <w:spacing w:val="4"/>
          <w:w w:val="110"/>
        </w:rPr>
        <w:t> </w:t>
      </w:r>
      <w:r>
        <w:rPr>
          <w:color w:val="231F20"/>
          <w:w w:val="110"/>
        </w:rPr>
        <w:t>inició</w:t>
      </w:r>
      <w:r>
        <w:rPr>
          <w:color w:val="231F20"/>
          <w:w w:val="107"/>
        </w:rPr>
        <w:t> </w:t>
      </w:r>
      <w:r>
        <w:rPr>
          <w:color w:val="231F20"/>
          <w:w w:val="110"/>
        </w:rPr>
        <w:t>en Sonora, en 1943, bajo la dirección de Norman Borlaug; y</w:t>
      </w:r>
      <w:r>
        <w:rPr>
          <w:color w:val="231F20"/>
          <w:spacing w:val="21"/>
          <w:w w:val="110"/>
        </w:rPr>
        <w:t> </w:t>
      </w:r>
      <w:r>
        <w:rPr>
          <w:color w:val="231F20"/>
          <w:w w:val="110"/>
        </w:rPr>
        <w:t>fue</w:t>
      </w:r>
      <w:r>
        <w:rPr>
          <w:color w:val="231F20"/>
          <w:spacing w:val="10"/>
          <w:w w:val="110"/>
        </w:rPr>
        <w:t> </w:t>
      </w:r>
      <w:r>
        <w:rPr>
          <w:color w:val="231F20"/>
          <w:w w:val="110"/>
        </w:rPr>
        <w:t>calificado</w:t>
      </w:r>
      <w:r>
        <w:rPr>
          <w:color w:val="231F20"/>
          <w:w w:val="107"/>
        </w:rPr>
        <w:t> </w:t>
      </w:r>
      <w:r>
        <w:rPr>
          <w:color w:val="231F20"/>
          <w:w w:val="110"/>
        </w:rPr>
        <w:t>por</w:t>
      </w:r>
      <w:r>
        <w:rPr>
          <w:color w:val="231F20"/>
          <w:spacing w:val="13"/>
          <w:w w:val="110"/>
        </w:rPr>
        <w:t> </w:t>
      </w:r>
      <w:r>
        <w:rPr>
          <w:color w:val="231F20"/>
          <w:w w:val="110"/>
        </w:rPr>
        <w:t>la</w:t>
      </w:r>
      <w:r>
        <w:rPr>
          <w:color w:val="231F20"/>
          <w:spacing w:val="13"/>
          <w:w w:val="110"/>
        </w:rPr>
        <w:t> </w:t>
      </w:r>
      <w:r>
        <w:rPr>
          <w:color w:val="231F20"/>
          <w:w w:val="110"/>
        </w:rPr>
        <w:t>Fundación</w:t>
      </w:r>
      <w:r>
        <w:rPr>
          <w:color w:val="231F20"/>
          <w:spacing w:val="13"/>
          <w:w w:val="110"/>
        </w:rPr>
        <w:t> </w:t>
      </w:r>
      <w:r>
        <w:rPr>
          <w:color w:val="231F20"/>
          <w:w w:val="110"/>
        </w:rPr>
        <w:t>Rockefeller</w:t>
      </w:r>
      <w:r>
        <w:rPr>
          <w:color w:val="231F20"/>
          <w:spacing w:val="13"/>
          <w:w w:val="110"/>
        </w:rPr>
        <w:t> </w:t>
      </w:r>
      <w:r>
        <w:rPr>
          <w:color w:val="231F20"/>
          <w:w w:val="110"/>
        </w:rPr>
        <w:t>como</w:t>
      </w:r>
      <w:r>
        <w:rPr>
          <w:color w:val="231F20"/>
          <w:spacing w:val="13"/>
          <w:w w:val="110"/>
        </w:rPr>
        <w:t> </w:t>
      </w:r>
      <w:r>
        <w:rPr>
          <w:color w:val="231F20"/>
          <w:w w:val="110"/>
        </w:rPr>
        <w:t>un</w:t>
      </w:r>
      <w:r>
        <w:rPr>
          <w:color w:val="231F20"/>
          <w:spacing w:val="13"/>
          <w:w w:val="110"/>
        </w:rPr>
        <w:t> </w:t>
      </w:r>
      <w:r>
        <w:rPr>
          <w:color w:val="231F20"/>
          <w:w w:val="110"/>
        </w:rPr>
        <w:t>éxito,</w:t>
      </w:r>
      <w:r>
        <w:rPr>
          <w:color w:val="231F20"/>
          <w:spacing w:val="13"/>
          <w:w w:val="110"/>
        </w:rPr>
        <w:t> </w:t>
      </w:r>
      <w:r>
        <w:rPr>
          <w:color w:val="231F20"/>
          <w:w w:val="110"/>
        </w:rPr>
        <w:t>la</w:t>
      </w:r>
      <w:r>
        <w:rPr>
          <w:color w:val="231F20"/>
          <w:spacing w:val="13"/>
          <w:w w:val="110"/>
        </w:rPr>
        <w:t> </w:t>
      </w:r>
      <w:r>
        <w:rPr>
          <w:color w:val="231F20"/>
          <w:w w:val="110"/>
        </w:rPr>
        <w:t>cual</w:t>
      </w:r>
      <w:r>
        <w:rPr>
          <w:color w:val="231F20"/>
          <w:spacing w:val="13"/>
          <w:w w:val="110"/>
        </w:rPr>
        <w:t> </w:t>
      </w:r>
      <w:r>
        <w:rPr>
          <w:color w:val="231F20"/>
          <w:w w:val="110"/>
        </w:rPr>
        <w:t>trató</w:t>
      </w:r>
      <w:r>
        <w:rPr>
          <w:color w:val="231F20"/>
          <w:spacing w:val="13"/>
          <w:w w:val="110"/>
        </w:rPr>
        <w:t> </w:t>
      </w:r>
      <w:r>
        <w:rPr>
          <w:color w:val="231F20"/>
          <w:w w:val="110"/>
        </w:rPr>
        <w:t>de</w:t>
      </w:r>
      <w:r>
        <w:rPr>
          <w:color w:val="231F20"/>
          <w:spacing w:val="13"/>
          <w:w w:val="110"/>
        </w:rPr>
        <w:t> </w:t>
      </w:r>
      <w:r>
        <w:rPr>
          <w:color w:val="231F20"/>
          <w:w w:val="110"/>
        </w:rPr>
        <w:t>propagarlo</w:t>
      </w:r>
      <w:r>
        <w:rPr>
          <w:color w:val="231F20"/>
          <w:spacing w:val="13"/>
          <w:w w:val="110"/>
        </w:rPr>
        <w:t> </w:t>
      </w:r>
      <w:r>
        <w:rPr>
          <w:color w:val="231F20"/>
          <w:w w:val="110"/>
        </w:rPr>
        <w:t>a</w:t>
      </w:r>
    </w:p>
    <w:p>
      <w:pPr>
        <w:pStyle w:val="BodyText"/>
        <w:spacing w:line="234" w:lineRule="exact"/>
        <w:ind w:left="124"/>
      </w:pPr>
      <w:r>
        <w:rPr>
          <w:color w:val="231F20"/>
          <w:w w:val="110"/>
        </w:rPr>
        <w:t>otros países.</w:t>
      </w:r>
    </w:p>
    <w:p>
      <w:pPr>
        <w:pStyle w:val="BodyText"/>
        <w:spacing w:line="283" w:lineRule="auto" w:before="39"/>
        <w:ind w:left="124" w:right="112" w:firstLine="360"/>
        <w:jc w:val="right"/>
      </w:pPr>
      <w:r>
        <w:rPr>
          <w:color w:val="231F20"/>
          <w:w w:val="110"/>
        </w:rPr>
        <w:t>Con</w:t>
      </w:r>
      <w:r>
        <w:rPr>
          <w:color w:val="231F20"/>
          <w:spacing w:val="-16"/>
          <w:w w:val="110"/>
        </w:rPr>
        <w:t> </w:t>
      </w:r>
      <w:r>
        <w:rPr>
          <w:color w:val="231F20"/>
          <w:w w:val="110"/>
        </w:rPr>
        <w:t>el</w:t>
      </w:r>
      <w:r>
        <w:rPr>
          <w:color w:val="231F20"/>
          <w:spacing w:val="-16"/>
          <w:w w:val="110"/>
        </w:rPr>
        <w:t> </w:t>
      </w:r>
      <w:r>
        <w:rPr>
          <w:color w:val="231F20"/>
          <w:w w:val="110"/>
        </w:rPr>
        <w:t>tiempo,</w:t>
      </w:r>
      <w:r>
        <w:rPr>
          <w:color w:val="231F20"/>
          <w:spacing w:val="-16"/>
          <w:w w:val="110"/>
        </w:rPr>
        <w:t> </w:t>
      </w:r>
      <w:r>
        <w:rPr>
          <w:color w:val="231F20"/>
          <w:w w:val="110"/>
        </w:rPr>
        <w:t>este</w:t>
      </w:r>
      <w:r>
        <w:rPr>
          <w:color w:val="231F20"/>
          <w:spacing w:val="-16"/>
          <w:w w:val="110"/>
        </w:rPr>
        <w:t> </w:t>
      </w:r>
      <w:r>
        <w:rPr>
          <w:color w:val="231F20"/>
          <w:w w:val="110"/>
        </w:rPr>
        <w:t>tipo</w:t>
      </w:r>
      <w:r>
        <w:rPr>
          <w:color w:val="231F20"/>
          <w:spacing w:val="-16"/>
          <w:w w:val="110"/>
        </w:rPr>
        <w:t> </w:t>
      </w:r>
      <w:r>
        <w:rPr>
          <w:color w:val="231F20"/>
          <w:w w:val="110"/>
        </w:rPr>
        <w:t>de</w:t>
      </w:r>
      <w:r>
        <w:rPr>
          <w:color w:val="231F20"/>
          <w:spacing w:val="-16"/>
          <w:w w:val="110"/>
        </w:rPr>
        <w:t> </w:t>
      </w:r>
      <w:r>
        <w:rPr>
          <w:color w:val="231F20"/>
          <w:w w:val="110"/>
        </w:rPr>
        <w:t>producción</w:t>
      </w:r>
      <w:r>
        <w:rPr>
          <w:color w:val="231F20"/>
          <w:spacing w:val="-16"/>
          <w:w w:val="110"/>
        </w:rPr>
        <w:t> </w:t>
      </w:r>
      <w:r>
        <w:rPr>
          <w:color w:val="231F20"/>
          <w:w w:val="110"/>
        </w:rPr>
        <w:t>ocasionó</w:t>
      </w:r>
      <w:r>
        <w:rPr>
          <w:color w:val="231F20"/>
          <w:spacing w:val="-16"/>
          <w:w w:val="110"/>
        </w:rPr>
        <w:t> </w:t>
      </w:r>
      <w:r>
        <w:rPr>
          <w:color w:val="231F20"/>
          <w:w w:val="110"/>
        </w:rPr>
        <w:t>una</w:t>
      </w:r>
      <w:r>
        <w:rPr>
          <w:color w:val="231F20"/>
          <w:spacing w:val="-16"/>
          <w:w w:val="110"/>
        </w:rPr>
        <w:t> </w:t>
      </w:r>
      <w:r>
        <w:rPr>
          <w:color w:val="231F20"/>
          <w:w w:val="110"/>
        </w:rPr>
        <w:t>serie</w:t>
      </w:r>
      <w:r>
        <w:rPr>
          <w:color w:val="231F20"/>
          <w:spacing w:val="-16"/>
          <w:w w:val="110"/>
        </w:rPr>
        <w:t> </w:t>
      </w:r>
      <w:r>
        <w:rPr>
          <w:color w:val="231F20"/>
          <w:w w:val="110"/>
        </w:rPr>
        <w:t>de</w:t>
      </w:r>
      <w:r>
        <w:rPr>
          <w:color w:val="231F20"/>
          <w:spacing w:val="-16"/>
          <w:w w:val="110"/>
        </w:rPr>
        <w:t> </w:t>
      </w:r>
      <w:r>
        <w:rPr>
          <w:color w:val="231F20"/>
          <w:w w:val="110"/>
        </w:rPr>
        <w:t>consecuen-</w:t>
      </w:r>
      <w:r>
        <w:rPr>
          <w:color w:val="231F20"/>
          <w:w w:val="111"/>
        </w:rPr>
        <w:t> </w:t>
      </w:r>
      <w:r>
        <w:rPr>
          <w:color w:val="231F20"/>
          <w:w w:val="110"/>
        </w:rPr>
        <w:t>cias, Gómez Pompa menciona: “El impacto fue negativo, ya que</w:t>
      </w:r>
      <w:r>
        <w:rPr>
          <w:color w:val="231F20"/>
          <w:spacing w:val="31"/>
          <w:w w:val="110"/>
        </w:rPr>
        <w:t> </w:t>
      </w:r>
      <w:r>
        <w:rPr>
          <w:color w:val="231F20"/>
          <w:w w:val="110"/>
        </w:rPr>
        <w:t>los</w:t>
      </w:r>
      <w:r>
        <w:rPr>
          <w:color w:val="231F20"/>
          <w:spacing w:val="3"/>
          <w:w w:val="110"/>
        </w:rPr>
        <w:t> </w:t>
      </w:r>
      <w:r>
        <w:rPr>
          <w:color w:val="231F20"/>
          <w:w w:val="110"/>
        </w:rPr>
        <w:t>precios</w:t>
      </w:r>
      <w:r>
        <w:rPr>
          <w:color w:val="231F20"/>
          <w:w w:val="109"/>
        </w:rPr>
        <w:t> </w:t>
      </w:r>
      <w:r>
        <w:rPr>
          <w:color w:val="231F20"/>
          <w:w w:val="110"/>
        </w:rPr>
        <w:t>de </w:t>
      </w:r>
      <w:r>
        <w:rPr>
          <w:color w:val="231F20"/>
          <w:spacing w:val="-3"/>
          <w:w w:val="110"/>
        </w:rPr>
        <w:t>los </w:t>
      </w:r>
      <w:r>
        <w:rPr>
          <w:color w:val="231F20"/>
          <w:spacing w:val="-4"/>
          <w:w w:val="110"/>
        </w:rPr>
        <w:t>granos bajaron </w:t>
      </w:r>
      <w:r>
        <w:rPr>
          <w:color w:val="231F20"/>
          <w:w w:val="110"/>
        </w:rPr>
        <w:t>y </w:t>
      </w:r>
      <w:r>
        <w:rPr>
          <w:color w:val="231F20"/>
          <w:spacing w:val="-4"/>
          <w:w w:val="110"/>
        </w:rPr>
        <w:t>costaba menos importar </w:t>
      </w:r>
      <w:r>
        <w:rPr>
          <w:color w:val="231F20"/>
          <w:spacing w:val="-3"/>
          <w:w w:val="110"/>
        </w:rPr>
        <w:t>que </w:t>
      </w:r>
      <w:r>
        <w:rPr>
          <w:color w:val="231F20"/>
          <w:spacing w:val="-6"/>
          <w:w w:val="110"/>
        </w:rPr>
        <w:t>producir. </w:t>
      </w:r>
      <w:r>
        <w:rPr>
          <w:color w:val="231F20"/>
          <w:w w:val="110"/>
        </w:rPr>
        <w:t>La </w:t>
      </w:r>
      <w:r>
        <w:rPr>
          <w:color w:val="231F20"/>
          <w:spacing w:val="-4"/>
          <w:w w:val="110"/>
        </w:rPr>
        <w:t>crisis</w:t>
      </w:r>
      <w:r>
        <w:rPr>
          <w:color w:val="231F20"/>
          <w:spacing w:val="28"/>
          <w:w w:val="110"/>
        </w:rPr>
        <w:t> </w:t>
      </w:r>
      <w:r>
        <w:rPr>
          <w:color w:val="231F20"/>
          <w:w w:val="110"/>
        </w:rPr>
        <w:t>de</w:t>
      </w:r>
      <w:r>
        <w:rPr>
          <w:color w:val="231F20"/>
          <w:spacing w:val="3"/>
          <w:w w:val="110"/>
        </w:rPr>
        <w:t> </w:t>
      </w:r>
      <w:r>
        <w:rPr>
          <w:color w:val="231F20"/>
          <w:w w:val="110"/>
        </w:rPr>
        <w:t>la</w:t>
      </w:r>
      <w:r>
        <w:rPr>
          <w:color w:val="231F20"/>
          <w:w w:val="108"/>
        </w:rPr>
        <w:t> </w:t>
      </w:r>
      <w:r>
        <w:rPr>
          <w:color w:val="231F20"/>
          <w:w w:val="110"/>
        </w:rPr>
        <w:t>alimentación en México está muy ligada a este problema y la</w:t>
      </w:r>
      <w:r>
        <w:rPr>
          <w:color w:val="231F20"/>
          <w:spacing w:val="15"/>
          <w:w w:val="110"/>
        </w:rPr>
        <w:t> </w:t>
      </w:r>
      <w:r>
        <w:rPr>
          <w:color w:val="231F20"/>
          <w:w w:val="110"/>
        </w:rPr>
        <w:t>búsqueda</w:t>
      </w:r>
      <w:r>
        <w:rPr>
          <w:color w:val="231F20"/>
          <w:spacing w:val="5"/>
          <w:w w:val="110"/>
        </w:rPr>
        <w:t> </w:t>
      </w:r>
      <w:r>
        <w:rPr>
          <w:color w:val="231F20"/>
          <w:w w:val="110"/>
        </w:rPr>
        <w:t>de</w:t>
      </w:r>
      <w:r>
        <w:rPr>
          <w:color w:val="231F20"/>
          <w:w w:val="108"/>
        </w:rPr>
        <w:t> </w:t>
      </w:r>
      <w:r>
        <w:rPr>
          <w:color w:val="231F20"/>
          <w:w w:val="110"/>
        </w:rPr>
        <w:t>una</w:t>
      </w:r>
      <w:r>
        <w:rPr>
          <w:color w:val="231F20"/>
          <w:spacing w:val="-6"/>
          <w:w w:val="110"/>
        </w:rPr>
        <w:t> </w:t>
      </w:r>
      <w:r>
        <w:rPr>
          <w:color w:val="231F20"/>
          <w:w w:val="110"/>
        </w:rPr>
        <w:t>segunda</w:t>
      </w:r>
      <w:r>
        <w:rPr>
          <w:color w:val="231F20"/>
          <w:spacing w:val="-6"/>
          <w:w w:val="110"/>
        </w:rPr>
        <w:t> </w:t>
      </w:r>
      <w:r>
        <w:rPr>
          <w:color w:val="231F20"/>
          <w:w w:val="110"/>
        </w:rPr>
        <w:t>revolución</w:t>
      </w:r>
      <w:r>
        <w:rPr>
          <w:color w:val="231F20"/>
          <w:spacing w:val="-6"/>
          <w:w w:val="110"/>
        </w:rPr>
        <w:t> </w:t>
      </w:r>
      <w:r>
        <w:rPr>
          <w:color w:val="231F20"/>
          <w:w w:val="110"/>
        </w:rPr>
        <w:t>verde</w:t>
      </w:r>
      <w:r>
        <w:rPr>
          <w:color w:val="231F20"/>
          <w:spacing w:val="-6"/>
          <w:w w:val="110"/>
        </w:rPr>
        <w:t> </w:t>
      </w:r>
      <w:r>
        <w:rPr>
          <w:color w:val="231F20"/>
          <w:w w:val="110"/>
        </w:rPr>
        <w:t>dedicada</w:t>
      </w:r>
      <w:r>
        <w:rPr>
          <w:color w:val="231F20"/>
          <w:spacing w:val="-6"/>
          <w:w w:val="110"/>
        </w:rPr>
        <w:t> </w:t>
      </w:r>
      <w:r>
        <w:rPr>
          <w:color w:val="231F20"/>
          <w:w w:val="110"/>
        </w:rPr>
        <w:t>a</w:t>
      </w:r>
      <w:r>
        <w:rPr>
          <w:color w:val="231F20"/>
          <w:spacing w:val="-6"/>
          <w:w w:val="110"/>
        </w:rPr>
        <w:t> </w:t>
      </w:r>
      <w:r>
        <w:rPr>
          <w:color w:val="231F20"/>
          <w:w w:val="110"/>
        </w:rPr>
        <w:t>los</w:t>
      </w:r>
      <w:r>
        <w:rPr>
          <w:color w:val="231F20"/>
          <w:spacing w:val="-6"/>
          <w:w w:val="110"/>
        </w:rPr>
        <w:t> </w:t>
      </w:r>
      <w:r>
        <w:rPr>
          <w:color w:val="231F20"/>
          <w:w w:val="110"/>
        </w:rPr>
        <w:t>agricultores</w:t>
      </w:r>
      <w:r>
        <w:rPr>
          <w:color w:val="231F20"/>
          <w:spacing w:val="-6"/>
          <w:w w:val="110"/>
        </w:rPr>
        <w:t> </w:t>
      </w:r>
      <w:r>
        <w:rPr>
          <w:color w:val="231F20"/>
          <w:w w:val="110"/>
        </w:rPr>
        <w:t>temporaleros</w:t>
      </w:r>
      <w:r>
        <w:rPr>
          <w:color w:val="231F20"/>
          <w:w w:val="110"/>
          <w:position w:val="6"/>
          <w:sz w:val="11"/>
        </w:rPr>
        <w:t>1</w:t>
      </w:r>
      <w:r>
        <w:rPr>
          <w:color w:val="231F20"/>
          <w:spacing w:val="15"/>
          <w:w w:val="110"/>
          <w:position w:val="6"/>
          <w:sz w:val="11"/>
        </w:rPr>
        <w:t> </w:t>
      </w:r>
      <w:r>
        <w:rPr>
          <w:color w:val="231F20"/>
          <w:w w:val="110"/>
        </w:rPr>
        <w:t>es</w:t>
      </w:r>
      <w:r>
        <w:rPr>
          <w:color w:val="231F20"/>
          <w:w w:val="113"/>
        </w:rPr>
        <w:t> </w:t>
      </w:r>
      <w:r>
        <w:rPr>
          <w:color w:val="231F20"/>
          <w:w w:val="110"/>
        </w:rPr>
        <w:t>una</w:t>
      </w:r>
      <w:r>
        <w:rPr>
          <w:color w:val="231F20"/>
          <w:spacing w:val="-8"/>
          <w:w w:val="110"/>
        </w:rPr>
        <w:t> </w:t>
      </w:r>
      <w:r>
        <w:rPr>
          <w:color w:val="231F20"/>
          <w:w w:val="110"/>
        </w:rPr>
        <w:t>tarea</w:t>
      </w:r>
      <w:r>
        <w:rPr>
          <w:color w:val="231F20"/>
          <w:spacing w:val="-8"/>
          <w:w w:val="110"/>
        </w:rPr>
        <w:t> </w:t>
      </w:r>
      <w:r>
        <w:rPr>
          <w:color w:val="231F20"/>
          <w:w w:val="110"/>
        </w:rPr>
        <w:t>pendiente”</w:t>
      </w:r>
      <w:r>
        <w:rPr>
          <w:color w:val="231F20"/>
          <w:spacing w:val="-8"/>
          <w:w w:val="110"/>
        </w:rPr>
        <w:t> </w:t>
      </w:r>
      <w:r>
        <w:rPr>
          <w:color w:val="231F20"/>
          <w:w w:val="110"/>
        </w:rPr>
        <w:t>(Gómez,</w:t>
      </w:r>
      <w:r>
        <w:rPr>
          <w:color w:val="231F20"/>
          <w:spacing w:val="-8"/>
          <w:w w:val="110"/>
        </w:rPr>
        <w:t> </w:t>
      </w:r>
      <w:r>
        <w:rPr>
          <w:color w:val="231F20"/>
          <w:w w:val="110"/>
        </w:rPr>
        <w:t>2007:</w:t>
      </w:r>
      <w:r>
        <w:rPr>
          <w:color w:val="231F20"/>
          <w:spacing w:val="-8"/>
          <w:w w:val="110"/>
        </w:rPr>
        <w:t> </w:t>
      </w:r>
      <w:r>
        <w:rPr>
          <w:color w:val="231F20"/>
          <w:w w:val="110"/>
        </w:rPr>
        <w:t>11),</w:t>
      </w:r>
      <w:r>
        <w:rPr>
          <w:color w:val="231F20"/>
          <w:spacing w:val="-8"/>
          <w:w w:val="110"/>
        </w:rPr>
        <w:t> </w:t>
      </w:r>
      <w:r>
        <w:rPr>
          <w:color w:val="231F20"/>
          <w:w w:val="110"/>
        </w:rPr>
        <w:t>tarea</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que</w:t>
      </w:r>
      <w:r>
        <w:rPr>
          <w:color w:val="231F20"/>
          <w:spacing w:val="-8"/>
          <w:w w:val="110"/>
        </w:rPr>
        <w:t> </w:t>
      </w:r>
      <w:r>
        <w:rPr>
          <w:color w:val="231F20"/>
          <w:w w:val="110"/>
        </w:rPr>
        <w:t>es</w:t>
      </w:r>
      <w:r>
        <w:rPr>
          <w:color w:val="231F20"/>
          <w:spacing w:val="-8"/>
          <w:w w:val="110"/>
        </w:rPr>
        <w:t> </w:t>
      </w:r>
      <w:r>
        <w:rPr>
          <w:color w:val="231F20"/>
          <w:w w:val="110"/>
        </w:rPr>
        <w:t>importante</w:t>
      </w:r>
      <w:r>
        <w:rPr>
          <w:color w:val="231F20"/>
          <w:spacing w:val="-8"/>
          <w:w w:val="110"/>
        </w:rPr>
        <w:t> </w:t>
      </w:r>
      <w:r>
        <w:rPr>
          <w:color w:val="231F20"/>
          <w:w w:val="110"/>
        </w:rPr>
        <w:t>con-</w:t>
      </w:r>
    </w:p>
    <w:p>
      <w:pPr>
        <w:pStyle w:val="BodyText"/>
        <w:spacing w:before="2"/>
        <w:rPr>
          <w:sz w:val="16"/>
        </w:rPr>
      </w:pPr>
    </w:p>
    <w:p>
      <w:pPr>
        <w:spacing w:line="256" w:lineRule="auto" w:before="0"/>
        <w:ind w:left="124" w:right="113" w:firstLine="360"/>
        <w:jc w:val="both"/>
        <w:rPr>
          <w:sz w:val="16"/>
        </w:rPr>
      </w:pPr>
      <w:r>
        <w:rPr>
          <w:color w:val="231F20"/>
          <w:w w:val="110"/>
          <w:position w:val="5"/>
          <w:sz w:val="9"/>
        </w:rPr>
        <w:t>1 </w:t>
      </w:r>
      <w:r>
        <w:rPr>
          <w:color w:val="231F20"/>
          <w:w w:val="110"/>
          <w:sz w:val="16"/>
        </w:rPr>
        <w:t>Los agricultores temporaleros, son aquellas familias campesinas que dependen de las condiciones climáticas (lluvia de temporal) para cultivar sus tierras, es decir, no cuentan con sistema de riego, generalmente cultivan a pequeña escala y para el  autoabasto.</w:t>
      </w:r>
    </w:p>
    <w:p>
      <w:pPr>
        <w:spacing w:after="0" w:line="256" w:lineRule="auto"/>
        <w:jc w:val="both"/>
        <w:rPr>
          <w:sz w:val="16"/>
        </w:rPr>
        <w:sectPr>
          <w:footerReference w:type="even" r:id="rId126"/>
          <w:footerReference w:type="default" r:id="rId127"/>
          <w:pgSz w:w="9520" w:h="12920"/>
          <w:pgMar w:footer="1344" w:header="0" w:top="880" w:bottom="1540" w:left="1320" w:right="1000"/>
          <w:pgNumType w:start="142"/>
        </w:sectPr>
      </w:pPr>
    </w:p>
    <w:p>
      <w:pPr>
        <w:pStyle w:val="BodyText"/>
        <w:spacing w:line="280" w:lineRule="auto" w:before="42"/>
        <w:ind w:left="100" w:right="119"/>
        <w:jc w:val="both"/>
      </w:pPr>
      <w:r>
        <w:rPr>
          <w:color w:val="231F20"/>
          <w:w w:val="110"/>
        </w:rPr>
        <w:t>siderar que la agricultura tradicional es “una agricultura practicada por distintas culturas desde tiempos remotos y que, en muchos sentidos, es la única que puede presumir de ser sostenible</w:t>
      </w:r>
      <w:r>
        <w:rPr>
          <w:color w:val="231F20"/>
          <w:w w:val="110"/>
          <w:position w:val="6"/>
          <w:sz w:val="11"/>
        </w:rPr>
        <w:t>2 </w:t>
      </w:r>
      <w:r>
        <w:rPr>
          <w:color w:val="231F20"/>
          <w:w w:val="110"/>
        </w:rPr>
        <w:t>ya que ha probado su eficien- cia por siglos. Es una agricultura en evolución que continuamente experi- menta nuevos métodos, cultivares e insumos” (Gómez, 2007: 12).</w:t>
      </w:r>
    </w:p>
    <w:p>
      <w:pPr>
        <w:pStyle w:val="BodyText"/>
        <w:spacing w:line="280" w:lineRule="auto"/>
        <w:ind w:left="100" w:right="117" w:firstLine="360"/>
        <w:jc w:val="both"/>
      </w:pPr>
      <w:r>
        <w:rPr>
          <w:color w:val="231F20"/>
          <w:w w:val="110"/>
        </w:rPr>
        <w:t>En este sentido, en México, las familias campesinas que aún practican la agricultura tradicional han sido protagonistas de adaptaciones sociocul- turales, por ejemplo: se han encargado de conservar y/o adaptar sus mé- todos y técnicas tradicionales como una estrategia básica y producir, en forma sostenida, los alimentos necesarios para su  subsistencia.</w:t>
      </w:r>
    </w:p>
    <w:p>
      <w:pPr>
        <w:pStyle w:val="BodyText"/>
        <w:spacing w:line="280" w:lineRule="auto"/>
        <w:ind w:left="100" w:right="119" w:firstLine="360"/>
        <w:jc w:val="both"/>
        <w:rPr>
          <w:sz w:val="11"/>
        </w:rPr>
      </w:pPr>
      <w:r>
        <w:rPr>
          <w:color w:val="231F20"/>
          <w:w w:val="110"/>
        </w:rPr>
        <w:t>Sin</w:t>
      </w:r>
      <w:r>
        <w:rPr>
          <w:color w:val="231F20"/>
          <w:spacing w:val="-7"/>
          <w:w w:val="110"/>
        </w:rPr>
        <w:t> </w:t>
      </w:r>
      <w:r>
        <w:rPr>
          <w:color w:val="231F20"/>
          <w:w w:val="110"/>
        </w:rPr>
        <w:t>embargo,</w:t>
      </w:r>
      <w:r>
        <w:rPr>
          <w:color w:val="231F20"/>
          <w:spacing w:val="-7"/>
          <w:w w:val="110"/>
        </w:rPr>
        <w:t> </w:t>
      </w:r>
      <w:r>
        <w:rPr>
          <w:color w:val="231F20"/>
          <w:w w:val="110"/>
        </w:rPr>
        <w:t>la</w:t>
      </w:r>
      <w:r>
        <w:rPr>
          <w:color w:val="231F20"/>
          <w:spacing w:val="-7"/>
          <w:w w:val="110"/>
        </w:rPr>
        <w:t> </w:t>
      </w:r>
      <w:r>
        <w:rPr>
          <w:color w:val="231F20"/>
          <w:w w:val="110"/>
        </w:rPr>
        <w:t>agricultura</w:t>
      </w:r>
      <w:r>
        <w:rPr>
          <w:color w:val="231F20"/>
          <w:spacing w:val="-7"/>
          <w:w w:val="110"/>
        </w:rPr>
        <w:t> </w:t>
      </w:r>
      <w:r>
        <w:rPr>
          <w:color w:val="231F20"/>
          <w:w w:val="110"/>
        </w:rPr>
        <w:t>tradicional</w:t>
      </w:r>
      <w:r>
        <w:rPr>
          <w:color w:val="231F20"/>
          <w:spacing w:val="-7"/>
          <w:w w:val="110"/>
        </w:rPr>
        <w:t> </w:t>
      </w:r>
      <w:r>
        <w:rPr>
          <w:color w:val="231F20"/>
          <w:w w:val="110"/>
        </w:rPr>
        <w:t>con</w:t>
      </w:r>
      <w:r>
        <w:rPr>
          <w:color w:val="231F20"/>
          <w:spacing w:val="-7"/>
          <w:w w:val="110"/>
        </w:rPr>
        <w:t> </w:t>
      </w:r>
      <w:r>
        <w:rPr>
          <w:color w:val="231F20"/>
          <w:w w:val="110"/>
        </w:rPr>
        <w:t>frecuencia</w:t>
      </w:r>
      <w:r>
        <w:rPr>
          <w:color w:val="231F20"/>
          <w:spacing w:val="-7"/>
          <w:w w:val="110"/>
        </w:rPr>
        <w:t> </w:t>
      </w:r>
      <w:r>
        <w:rPr>
          <w:color w:val="231F20"/>
          <w:w w:val="110"/>
        </w:rPr>
        <w:t>ha</w:t>
      </w:r>
      <w:r>
        <w:rPr>
          <w:color w:val="231F20"/>
          <w:spacing w:val="-7"/>
          <w:w w:val="110"/>
        </w:rPr>
        <w:t> </w:t>
      </w:r>
      <w:r>
        <w:rPr>
          <w:color w:val="231F20"/>
          <w:w w:val="110"/>
        </w:rPr>
        <w:t>sido</w:t>
      </w:r>
      <w:r>
        <w:rPr>
          <w:color w:val="231F20"/>
          <w:spacing w:val="-7"/>
          <w:w w:val="110"/>
        </w:rPr>
        <w:t> </w:t>
      </w:r>
      <w:r>
        <w:rPr>
          <w:color w:val="231F20"/>
          <w:w w:val="110"/>
        </w:rPr>
        <w:t>malinter- pretada, al considerarla como ineficiente, poco productiva y causante del deterioro de los recursos naturales. Esta confusión ha evitado que se le</w:t>
      </w:r>
      <w:r>
        <w:rPr>
          <w:color w:val="231F20"/>
          <w:spacing w:val="-29"/>
          <w:w w:val="110"/>
        </w:rPr>
        <w:t> </w:t>
      </w:r>
      <w:r>
        <w:rPr>
          <w:color w:val="231F20"/>
          <w:w w:val="110"/>
        </w:rPr>
        <w:t>en- </w:t>
      </w:r>
      <w:r>
        <w:rPr>
          <w:color w:val="231F20"/>
          <w:spacing w:val="2"/>
          <w:w w:val="110"/>
        </w:rPr>
        <w:t>tienda como </w:t>
      </w:r>
      <w:r>
        <w:rPr>
          <w:color w:val="231F20"/>
          <w:w w:val="110"/>
        </w:rPr>
        <w:t>una </w:t>
      </w:r>
      <w:r>
        <w:rPr>
          <w:color w:val="231F20"/>
          <w:spacing w:val="2"/>
          <w:w w:val="110"/>
        </w:rPr>
        <w:t>agricultura sostenible, cuyas características evidente- </w:t>
      </w:r>
      <w:r>
        <w:rPr>
          <w:color w:val="231F20"/>
          <w:w w:val="110"/>
        </w:rPr>
        <w:t>mente contrastan con la agricultura</w:t>
      </w:r>
      <w:r>
        <w:rPr>
          <w:color w:val="231F20"/>
          <w:spacing w:val="19"/>
          <w:w w:val="110"/>
        </w:rPr>
        <w:t> </w:t>
      </w:r>
      <w:r>
        <w:rPr>
          <w:color w:val="231F20"/>
          <w:w w:val="110"/>
        </w:rPr>
        <w:t>moderna.</w:t>
      </w:r>
      <w:r>
        <w:rPr>
          <w:color w:val="231F20"/>
          <w:w w:val="110"/>
          <w:position w:val="6"/>
          <w:sz w:val="11"/>
        </w:rPr>
        <w:t>3</w:t>
      </w:r>
    </w:p>
    <w:p>
      <w:pPr>
        <w:pStyle w:val="BodyText"/>
        <w:spacing w:line="280" w:lineRule="auto"/>
        <w:ind w:left="100" w:right="117" w:firstLine="360"/>
        <w:jc w:val="both"/>
        <w:rPr>
          <w:sz w:val="11"/>
        </w:rPr>
      </w:pPr>
      <w:r>
        <w:rPr>
          <w:color w:val="231F20"/>
          <w:w w:val="110"/>
        </w:rPr>
        <w:t>Es loable el trabajo agrícola que realizan actualmente las familias cam- pesinas</w:t>
      </w:r>
      <w:r>
        <w:rPr>
          <w:color w:val="231F20"/>
          <w:spacing w:val="-7"/>
          <w:w w:val="110"/>
        </w:rPr>
        <w:t> </w:t>
      </w:r>
      <w:r>
        <w:rPr>
          <w:color w:val="231F20"/>
          <w:w w:val="110"/>
        </w:rPr>
        <w:t>del</w:t>
      </w:r>
      <w:r>
        <w:rPr>
          <w:color w:val="231F20"/>
          <w:spacing w:val="-7"/>
          <w:w w:val="110"/>
        </w:rPr>
        <w:t> </w:t>
      </w:r>
      <w:r>
        <w:rPr>
          <w:color w:val="231F20"/>
          <w:w w:val="110"/>
        </w:rPr>
        <w:t>país,</w:t>
      </w:r>
      <w:r>
        <w:rPr>
          <w:color w:val="231F20"/>
          <w:spacing w:val="-7"/>
          <w:w w:val="110"/>
        </w:rPr>
        <w:t> </w:t>
      </w:r>
      <w:r>
        <w:rPr>
          <w:color w:val="231F20"/>
          <w:w w:val="110"/>
        </w:rPr>
        <w:t>ya</w:t>
      </w:r>
      <w:r>
        <w:rPr>
          <w:color w:val="231F20"/>
          <w:spacing w:val="-7"/>
          <w:w w:val="110"/>
        </w:rPr>
        <w:t> </w:t>
      </w:r>
      <w:r>
        <w:rPr>
          <w:color w:val="231F20"/>
          <w:w w:val="110"/>
        </w:rPr>
        <w:t>que</w:t>
      </w:r>
      <w:r>
        <w:rPr>
          <w:color w:val="231F20"/>
          <w:spacing w:val="-7"/>
          <w:w w:val="110"/>
        </w:rPr>
        <w:t> </w:t>
      </w:r>
      <w:r>
        <w:rPr>
          <w:color w:val="231F20"/>
          <w:w w:val="110"/>
        </w:rPr>
        <w:t>han</w:t>
      </w:r>
      <w:r>
        <w:rPr>
          <w:color w:val="231F20"/>
          <w:spacing w:val="-7"/>
          <w:w w:val="110"/>
        </w:rPr>
        <w:t> </w:t>
      </w:r>
      <w:r>
        <w:rPr>
          <w:color w:val="231F20"/>
          <w:w w:val="110"/>
        </w:rPr>
        <w:t>logrado</w:t>
      </w:r>
      <w:r>
        <w:rPr>
          <w:color w:val="231F20"/>
          <w:spacing w:val="-7"/>
          <w:w w:val="110"/>
        </w:rPr>
        <w:t> </w:t>
      </w:r>
      <w:r>
        <w:rPr>
          <w:color w:val="231F20"/>
          <w:w w:val="110"/>
        </w:rPr>
        <w:t>conseguir</w:t>
      </w:r>
      <w:r>
        <w:rPr>
          <w:color w:val="231F20"/>
          <w:spacing w:val="-7"/>
          <w:w w:val="110"/>
        </w:rPr>
        <w:t> </w:t>
      </w:r>
      <w:r>
        <w:rPr>
          <w:color w:val="231F20"/>
          <w:w w:val="110"/>
        </w:rPr>
        <w:t>cierto</w:t>
      </w:r>
      <w:r>
        <w:rPr>
          <w:color w:val="231F20"/>
          <w:spacing w:val="-7"/>
          <w:w w:val="110"/>
        </w:rPr>
        <w:t> </w:t>
      </w:r>
      <w:r>
        <w:rPr>
          <w:color w:val="231F20"/>
          <w:w w:val="110"/>
        </w:rPr>
        <w:t>grado</w:t>
      </w:r>
      <w:r>
        <w:rPr>
          <w:color w:val="231F20"/>
          <w:spacing w:val="-7"/>
          <w:w w:val="110"/>
        </w:rPr>
        <w:t> </w:t>
      </w:r>
      <w:r>
        <w:rPr>
          <w:color w:val="231F20"/>
          <w:w w:val="110"/>
        </w:rPr>
        <w:t>de</w:t>
      </w:r>
      <w:r>
        <w:rPr>
          <w:color w:val="231F20"/>
          <w:spacing w:val="-7"/>
          <w:w w:val="110"/>
        </w:rPr>
        <w:t> </w:t>
      </w:r>
      <w:r>
        <w:rPr>
          <w:color w:val="231F20"/>
          <w:w w:val="110"/>
        </w:rPr>
        <w:t>éxito</w:t>
      </w:r>
      <w:r>
        <w:rPr>
          <w:color w:val="231F20"/>
          <w:spacing w:val="-7"/>
          <w:w w:val="110"/>
        </w:rPr>
        <w:t> </w:t>
      </w:r>
      <w:r>
        <w:rPr>
          <w:color w:val="231F20"/>
          <w:w w:val="110"/>
        </w:rPr>
        <w:t>a</w:t>
      </w:r>
      <w:r>
        <w:rPr>
          <w:color w:val="231F20"/>
          <w:spacing w:val="-7"/>
          <w:w w:val="110"/>
        </w:rPr>
        <w:t> </w:t>
      </w:r>
      <w:r>
        <w:rPr>
          <w:color w:val="231F20"/>
          <w:w w:val="110"/>
        </w:rPr>
        <w:t>pesar de</w:t>
      </w:r>
      <w:r>
        <w:rPr>
          <w:color w:val="231F20"/>
          <w:spacing w:val="-10"/>
          <w:w w:val="110"/>
        </w:rPr>
        <w:t> </w:t>
      </w:r>
      <w:r>
        <w:rPr>
          <w:color w:val="231F20"/>
          <w:w w:val="110"/>
        </w:rPr>
        <w:t>los</w:t>
      </w:r>
      <w:r>
        <w:rPr>
          <w:color w:val="231F20"/>
          <w:spacing w:val="-10"/>
          <w:w w:val="110"/>
        </w:rPr>
        <w:t> </w:t>
      </w:r>
      <w:r>
        <w:rPr>
          <w:color w:val="231F20"/>
          <w:w w:val="110"/>
        </w:rPr>
        <w:t>obstáculos</w:t>
      </w:r>
      <w:r>
        <w:rPr>
          <w:color w:val="231F20"/>
          <w:spacing w:val="-10"/>
          <w:w w:val="110"/>
        </w:rPr>
        <w:t> </w:t>
      </w:r>
      <w:r>
        <w:rPr>
          <w:color w:val="231F20"/>
          <w:w w:val="110"/>
        </w:rPr>
        <w:t>ambientales</w:t>
      </w:r>
      <w:r>
        <w:rPr>
          <w:color w:val="231F20"/>
          <w:spacing w:val="-10"/>
          <w:w w:val="110"/>
        </w:rPr>
        <w:t> </w:t>
      </w:r>
      <w:r>
        <w:rPr>
          <w:color w:val="231F20"/>
          <w:w w:val="110"/>
        </w:rPr>
        <w:t>y</w:t>
      </w:r>
      <w:r>
        <w:rPr>
          <w:color w:val="231F20"/>
          <w:spacing w:val="-10"/>
          <w:w w:val="110"/>
        </w:rPr>
        <w:t> </w:t>
      </w:r>
      <w:r>
        <w:rPr>
          <w:color w:val="231F20"/>
          <w:w w:val="110"/>
        </w:rPr>
        <w:t>las</w:t>
      </w:r>
      <w:r>
        <w:rPr>
          <w:color w:val="231F20"/>
          <w:spacing w:val="-10"/>
          <w:w w:val="110"/>
        </w:rPr>
        <w:t> </w:t>
      </w:r>
      <w:r>
        <w:rPr>
          <w:color w:val="231F20"/>
          <w:w w:val="110"/>
        </w:rPr>
        <w:t>carencias</w:t>
      </w:r>
      <w:r>
        <w:rPr>
          <w:color w:val="231F20"/>
          <w:spacing w:val="-10"/>
          <w:w w:val="110"/>
        </w:rPr>
        <w:t> </w:t>
      </w:r>
      <w:r>
        <w:rPr>
          <w:color w:val="231F20"/>
          <w:w w:val="110"/>
        </w:rPr>
        <w:t>económicas;</w:t>
      </w:r>
      <w:r>
        <w:rPr>
          <w:color w:val="231F20"/>
          <w:spacing w:val="-10"/>
          <w:w w:val="110"/>
        </w:rPr>
        <w:t> </w:t>
      </w:r>
      <w:r>
        <w:rPr>
          <w:color w:val="231F20"/>
          <w:w w:val="110"/>
        </w:rPr>
        <w:t>no</w:t>
      </w:r>
      <w:r>
        <w:rPr>
          <w:color w:val="231F20"/>
          <w:spacing w:val="-10"/>
          <w:w w:val="110"/>
        </w:rPr>
        <w:t> </w:t>
      </w:r>
      <w:r>
        <w:rPr>
          <w:color w:val="231F20"/>
          <w:w w:val="110"/>
        </w:rPr>
        <w:t>obstante,</w:t>
      </w:r>
      <w:r>
        <w:rPr>
          <w:color w:val="231F20"/>
          <w:spacing w:val="-10"/>
          <w:w w:val="110"/>
        </w:rPr>
        <w:t> </w:t>
      </w:r>
      <w:r>
        <w:rPr>
          <w:color w:val="231F20"/>
          <w:w w:val="110"/>
        </w:rPr>
        <w:t>esto no</w:t>
      </w:r>
      <w:r>
        <w:rPr>
          <w:color w:val="231F20"/>
          <w:spacing w:val="-7"/>
          <w:w w:val="110"/>
        </w:rPr>
        <w:t> </w:t>
      </w:r>
      <w:r>
        <w:rPr>
          <w:color w:val="231F20"/>
          <w:w w:val="110"/>
        </w:rPr>
        <w:t>es</w:t>
      </w:r>
      <w:r>
        <w:rPr>
          <w:color w:val="231F20"/>
          <w:spacing w:val="-7"/>
          <w:w w:val="110"/>
        </w:rPr>
        <w:t> </w:t>
      </w:r>
      <w:r>
        <w:rPr>
          <w:color w:val="231F20"/>
          <w:w w:val="110"/>
        </w:rPr>
        <w:t>suficiente,</w:t>
      </w:r>
      <w:r>
        <w:rPr>
          <w:color w:val="231F20"/>
          <w:spacing w:val="-7"/>
          <w:w w:val="110"/>
        </w:rPr>
        <w:t> </w:t>
      </w:r>
      <w:r>
        <w:rPr>
          <w:color w:val="231F20"/>
          <w:w w:val="110"/>
        </w:rPr>
        <w:t>porque</w:t>
      </w:r>
      <w:r>
        <w:rPr>
          <w:color w:val="231F20"/>
          <w:spacing w:val="-7"/>
          <w:w w:val="110"/>
        </w:rPr>
        <w:t> </w:t>
      </w:r>
      <w:r>
        <w:rPr>
          <w:color w:val="231F20"/>
          <w:w w:val="110"/>
        </w:rPr>
        <w:t>cada</w:t>
      </w:r>
      <w:r>
        <w:rPr>
          <w:color w:val="231F20"/>
          <w:spacing w:val="-7"/>
          <w:w w:val="110"/>
        </w:rPr>
        <w:t> </w:t>
      </w:r>
      <w:r>
        <w:rPr>
          <w:color w:val="231F20"/>
          <w:w w:val="110"/>
        </w:rPr>
        <w:t>vez</w:t>
      </w:r>
      <w:r>
        <w:rPr>
          <w:color w:val="231F20"/>
          <w:spacing w:val="-7"/>
          <w:w w:val="110"/>
        </w:rPr>
        <w:t> </w:t>
      </w:r>
      <w:r>
        <w:rPr>
          <w:color w:val="231F20"/>
          <w:w w:val="110"/>
        </w:rPr>
        <w:t>más</w:t>
      </w:r>
      <w:r>
        <w:rPr>
          <w:color w:val="231F20"/>
          <w:spacing w:val="-7"/>
          <w:w w:val="110"/>
        </w:rPr>
        <w:t> </w:t>
      </w:r>
      <w:r>
        <w:rPr>
          <w:color w:val="231F20"/>
          <w:w w:val="110"/>
        </w:rPr>
        <w:t>familias</w:t>
      </w:r>
      <w:r>
        <w:rPr>
          <w:color w:val="231F20"/>
          <w:spacing w:val="-7"/>
          <w:w w:val="110"/>
        </w:rPr>
        <w:t> </w:t>
      </w:r>
      <w:r>
        <w:rPr>
          <w:color w:val="231F20"/>
          <w:w w:val="110"/>
        </w:rPr>
        <w:t>deciden</w:t>
      </w:r>
      <w:r>
        <w:rPr>
          <w:color w:val="231F20"/>
          <w:spacing w:val="-7"/>
          <w:w w:val="110"/>
        </w:rPr>
        <w:t> </w:t>
      </w:r>
      <w:r>
        <w:rPr>
          <w:color w:val="231F20"/>
          <w:w w:val="110"/>
        </w:rPr>
        <w:t>realizar</w:t>
      </w:r>
      <w:r>
        <w:rPr>
          <w:color w:val="231F20"/>
          <w:spacing w:val="-7"/>
          <w:w w:val="110"/>
        </w:rPr>
        <w:t> </w:t>
      </w:r>
      <w:r>
        <w:rPr>
          <w:color w:val="231F20"/>
          <w:w w:val="110"/>
        </w:rPr>
        <w:t>otras</w:t>
      </w:r>
      <w:r>
        <w:rPr>
          <w:color w:val="231F20"/>
          <w:spacing w:val="-7"/>
          <w:w w:val="110"/>
        </w:rPr>
        <w:t> </w:t>
      </w:r>
      <w:r>
        <w:rPr>
          <w:color w:val="231F20"/>
          <w:w w:val="110"/>
        </w:rPr>
        <w:t>activi- dades económicas y en muchas ocasiones abandonar la actividad agrícola. Por lo tanto, si se desea fomentar la producción agrícola de las diferentes regiones, se requiere apoyar a las familias campesinas (pequeños produc- tores) con una política pública viable de autosuficiencia alimentaria, con</w:t>
      </w:r>
      <w:r>
        <w:rPr>
          <w:color w:val="231F20"/>
          <w:spacing w:val="-23"/>
          <w:w w:val="110"/>
        </w:rPr>
        <w:t> </w:t>
      </w:r>
      <w:r>
        <w:rPr>
          <w:color w:val="231F20"/>
          <w:w w:val="110"/>
        </w:rPr>
        <w:t>el objetivo de preservar la productividad a través de sistemas</w:t>
      </w:r>
      <w:r>
        <w:rPr>
          <w:color w:val="231F20"/>
          <w:spacing w:val="18"/>
          <w:w w:val="110"/>
        </w:rPr>
        <w:t> </w:t>
      </w:r>
      <w:r>
        <w:rPr>
          <w:color w:val="231F20"/>
          <w:w w:val="110"/>
        </w:rPr>
        <w:t>sostenibles.</w:t>
      </w:r>
      <w:r>
        <w:rPr>
          <w:color w:val="231F20"/>
          <w:w w:val="110"/>
          <w:position w:val="6"/>
          <w:sz w:val="11"/>
        </w:rPr>
        <w:t>4</w:t>
      </w:r>
    </w:p>
    <w:p>
      <w:pPr>
        <w:pStyle w:val="BodyText"/>
        <w:spacing w:before="1"/>
        <w:rPr>
          <w:sz w:val="16"/>
        </w:rPr>
      </w:pPr>
    </w:p>
    <w:p>
      <w:pPr>
        <w:spacing w:line="256" w:lineRule="auto" w:before="0"/>
        <w:ind w:left="100" w:right="117" w:firstLine="360"/>
        <w:jc w:val="both"/>
        <w:rPr>
          <w:sz w:val="16"/>
        </w:rPr>
      </w:pPr>
      <w:r>
        <w:rPr>
          <w:color w:val="231F20"/>
          <w:w w:val="110"/>
          <w:position w:val="5"/>
          <w:sz w:val="9"/>
        </w:rPr>
        <w:t>2 </w:t>
      </w:r>
      <w:r>
        <w:rPr>
          <w:color w:val="231F20"/>
          <w:spacing w:val="-4"/>
          <w:w w:val="110"/>
          <w:sz w:val="16"/>
        </w:rPr>
        <w:t>Desde </w:t>
      </w:r>
      <w:r>
        <w:rPr>
          <w:color w:val="231F20"/>
          <w:w w:val="110"/>
          <w:sz w:val="16"/>
        </w:rPr>
        <w:t>el </w:t>
      </w:r>
      <w:r>
        <w:rPr>
          <w:color w:val="231F20"/>
          <w:spacing w:val="-4"/>
          <w:w w:val="110"/>
          <w:sz w:val="16"/>
        </w:rPr>
        <w:t>punto </w:t>
      </w:r>
      <w:r>
        <w:rPr>
          <w:color w:val="231F20"/>
          <w:w w:val="110"/>
          <w:sz w:val="16"/>
        </w:rPr>
        <w:t>de </w:t>
      </w:r>
      <w:r>
        <w:rPr>
          <w:color w:val="231F20"/>
          <w:spacing w:val="-4"/>
          <w:w w:val="110"/>
          <w:sz w:val="16"/>
        </w:rPr>
        <w:t>vista ecológico, podemos </w:t>
      </w:r>
      <w:r>
        <w:rPr>
          <w:color w:val="231F20"/>
          <w:spacing w:val="-3"/>
          <w:w w:val="110"/>
          <w:sz w:val="16"/>
        </w:rPr>
        <w:t>definir </w:t>
      </w:r>
      <w:r>
        <w:rPr>
          <w:color w:val="231F20"/>
          <w:w w:val="110"/>
          <w:sz w:val="16"/>
        </w:rPr>
        <w:t>a </w:t>
      </w:r>
      <w:r>
        <w:rPr>
          <w:color w:val="231F20"/>
          <w:spacing w:val="-3"/>
          <w:w w:val="110"/>
          <w:sz w:val="16"/>
        </w:rPr>
        <w:t>los </w:t>
      </w:r>
      <w:r>
        <w:rPr>
          <w:color w:val="231F20"/>
          <w:spacing w:val="-4"/>
          <w:w w:val="110"/>
          <w:sz w:val="16"/>
        </w:rPr>
        <w:t>agroecosistemas sostenibles </w:t>
      </w:r>
      <w:r>
        <w:rPr>
          <w:color w:val="231F20"/>
          <w:spacing w:val="-3"/>
          <w:w w:val="110"/>
          <w:sz w:val="16"/>
        </w:rPr>
        <w:t>como </w:t>
      </w:r>
      <w:r>
        <w:rPr>
          <w:color w:val="231F20"/>
          <w:w w:val="110"/>
          <w:sz w:val="16"/>
        </w:rPr>
        <w:t>aquellos “que mantienen los recursos básicos de los que dependen, soportándose con un mí- nimo de ingresos artificiales exteriores al sistema, que manejan plagas y enfermedades a tra- vés de mecanismos regulatorios internos y que son capaces de recuperarse de las pertur- baciones</w:t>
      </w:r>
      <w:r>
        <w:rPr>
          <w:color w:val="231F20"/>
          <w:spacing w:val="-6"/>
          <w:w w:val="110"/>
          <w:sz w:val="16"/>
        </w:rPr>
        <w:t> </w:t>
      </w:r>
      <w:r>
        <w:rPr>
          <w:color w:val="231F20"/>
          <w:w w:val="110"/>
          <w:sz w:val="16"/>
        </w:rPr>
        <w:t>causadas</w:t>
      </w:r>
      <w:r>
        <w:rPr>
          <w:color w:val="231F20"/>
          <w:spacing w:val="-6"/>
          <w:w w:val="110"/>
          <w:sz w:val="16"/>
        </w:rPr>
        <w:t> </w:t>
      </w:r>
      <w:r>
        <w:rPr>
          <w:color w:val="231F20"/>
          <w:w w:val="110"/>
          <w:sz w:val="16"/>
        </w:rPr>
        <w:t>por</w:t>
      </w:r>
      <w:r>
        <w:rPr>
          <w:color w:val="231F20"/>
          <w:spacing w:val="-6"/>
          <w:w w:val="110"/>
          <w:sz w:val="16"/>
        </w:rPr>
        <w:t> </w:t>
      </w:r>
      <w:r>
        <w:rPr>
          <w:color w:val="231F20"/>
          <w:w w:val="110"/>
          <w:sz w:val="16"/>
        </w:rPr>
        <w:t>el</w:t>
      </w:r>
      <w:r>
        <w:rPr>
          <w:color w:val="231F20"/>
          <w:spacing w:val="-6"/>
          <w:w w:val="110"/>
          <w:sz w:val="16"/>
        </w:rPr>
        <w:t> </w:t>
      </w:r>
      <w:r>
        <w:rPr>
          <w:color w:val="231F20"/>
          <w:w w:val="110"/>
          <w:sz w:val="16"/>
        </w:rPr>
        <w:t>cultivo</w:t>
      </w:r>
      <w:r>
        <w:rPr>
          <w:color w:val="231F20"/>
          <w:spacing w:val="-6"/>
          <w:w w:val="110"/>
          <w:sz w:val="16"/>
        </w:rPr>
        <w:t> </w:t>
      </w:r>
      <w:r>
        <w:rPr>
          <w:color w:val="231F20"/>
          <w:w w:val="110"/>
          <w:sz w:val="16"/>
        </w:rPr>
        <w:t>y</w:t>
      </w:r>
      <w:r>
        <w:rPr>
          <w:color w:val="231F20"/>
          <w:spacing w:val="-6"/>
          <w:w w:val="110"/>
          <w:sz w:val="16"/>
        </w:rPr>
        <w:t> </w:t>
      </w:r>
      <w:r>
        <w:rPr>
          <w:color w:val="231F20"/>
          <w:w w:val="110"/>
          <w:sz w:val="16"/>
        </w:rPr>
        <w:t>la</w:t>
      </w:r>
      <w:r>
        <w:rPr>
          <w:color w:val="231F20"/>
          <w:spacing w:val="-6"/>
          <w:w w:val="110"/>
          <w:sz w:val="16"/>
        </w:rPr>
        <w:t> </w:t>
      </w:r>
      <w:r>
        <w:rPr>
          <w:color w:val="231F20"/>
          <w:w w:val="110"/>
          <w:sz w:val="16"/>
        </w:rPr>
        <w:t>cosecha”</w:t>
      </w:r>
      <w:r>
        <w:rPr>
          <w:color w:val="231F20"/>
          <w:spacing w:val="-6"/>
          <w:w w:val="110"/>
          <w:sz w:val="16"/>
        </w:rPr>
        <w:t> </w:t>
      </w:r>
      <w:r>
        <w:rPr>
          <w:color w:val="231F20"/>
          <w:w w:val="110"/>
          <w:sz w:val="16"/>
        </w:rPr>
        <w:t>(Gliessman,</w:t>
      </w:r>
      <w:r>
        <w:rPr>
          <w:color w:val="231F20"/>
          <w:spacing w:val="-6"/>
          <w:w w:val="110"/>
          <w:sz w:val="16"/>
        </w:rPr>
        <w:t> </w:t>
      </w:r>
      <w:r>
        <w:rPr>
          <w:color w:val="231F20"/>
          <w:w w:val="110"/>
          <w:sz w:val="16"/>
        </w:rPr>
        <w:t>1998:</w:t>
      </w:r>
      <w:r>
        <w:rPr>
          <w:color w:val="231F20"/>
          <w:spacing w:val="-6"/>
          <w:w w:val="110"/>
          <w:sz w:val="16"/>
        </w:rPr>
        <w:t> </w:t>
      </w:r>
      <w:r>
        <w:rPr>
          <w:color w:val="231F20"/>
          <w:w w:val="110"/>
          <w:sz w:val="16"/>
        </w:rPr>
        <w:t>299,</w:t>
      </w:r>
      <w:r>
        <w:rPr>
          <w:color w:val="231F20"/>
          <w:spacing w:val="-6"/>
          <w:w w:val="110"/>
          <w:sz w:val="16"/>
        </w:rPr>
        <w:t> </w:t>
      </w:r>
      <w:r>
        <w:rPr>
          <w:color w:val="231F20"/>
          <w:w w:val="110"/>
          <w:sz w:val="16"/>
        </w:rPr>
        <w:t>citado</w:t>
      </w:r>
      <w:r>
        <w:rPr>
          <w:color w:val="231F20"/>
          <w:spacing w:val="-6"/>
          <w:w w:val="110"/>
          <w:sz w:val="16"/>
        </w:rPr>
        <w:t> </w:t>
      </w:r>
      <w:r>
        <w:rPr>
          <w:color w:val="231F20"/>
          <w:w w:val="110"/>
          <w:sz w:val="16"/>
        </w:rPr>
        <w:t>en</w:t>
      </w:r>
      <w:r>
        <w:rPr>
          <w:color w:val="231F20"/>
          <w:spacing w:val="-6"/>
          <w:w w:val="110"/>
          <w:sz w:val="16"/>
        </w:rPr>
        <w:t> </w:t>
      </w:r>
      <w:r>
        <w:rPr>
          <w:color w:val="231F20"/>
          <w:w w:val="110"/>
          <w:sz w:val="16"/>
        </w:rPr>
        <w:t>González</w:t>
      </w:r>
      <w:r>
        <w:rPr>
          <w:color w:val="231F20"/>
          <w:spacing w:val="-6"/>
          <w:w w:val="110"/>
          <w:sz w:val="16"/>
        </w:rPr>
        <w:t> </w:t>
      </w:r>
      <w:r>
        <w:rPr>
          <w:color w:val="231F20"/>
          <w:w w:val="110"/>
          <w:sz w:val="16"/>
        </w:rPr>
        <w:t>y</w:t>
      </w:r>
      <w:r>
        <w:rPr>
          <w:color w:val="231F20"/>
          <w:spacing w:val="-6"/>
          <w:w w:val="110"/>
          <w:sz w:val="16"/>
        </w:rPr>
        <w:t> </w:t>
      </w:r>
      <w:r>
        <w:rPr>
          <w:color w:val="231F20"/>
          <w:w w:val="110"/>
          <w:sz w:val="16"/>
        </w:rPr>
        <w:t>Del Amo, 2007:</w:t>
      </w:r>
      <w:r>
        <w:rPr>
          <w:color w:val="231F20"/>
          <w:spacing w:val="-13"/>
          <w:w w:val="110"/>
          <w:sz w:val="16"/>
        </w:rPr>
        <w:t> </w:t>
      </w:r>
      <w:r>
        <w:rPr>
          <w:color w:val="231F20"/>
          <w:w w:val="110"/>
          <w:sz w:val="16"/>
        </w:rPr>
        <w:t>17).</w:t>
      </w:r>
    </w:p>
    <w:p>
      <w:pPr>
        <w:spacing w:line="256" w:lineRule="auto" w:before="0"/>
        <w:ind w:left="100" w:right="114" w:firstLine="360"/>
        <w:jc w:val="both"/>
        <w:rPr>
          <w:sz w:val="16"/>
        </w:rPr>
      </w:pPr>
      <w:r>
        <w:rPr>
          <w:color w:val="231F20"/>
          <w:w w:val="110"/>
          <w:position w:val="5"/>
          <w:sz w:val="9"/>
        </w:rPr>
        <w:t>3</w:t>
      </w:r>
      <w:r>
        <w:rPr>
          <w:color w:val="231F20"/>
          <w:spacing w:val="-7"/>
          <w:w w:val="110"/>
          <w:position w:val="5"/>
          <w:sz w:val="9"/>
        </w:rPr>
        <w:t> </w:t>
      </w:r>
      <w:r>
        <w:rPr>
          <w:color w:val="231F20"/>
          <w:spacing w:val="4"/>
          <w:w w:val="110"/>
          <w:sz w:val="16"/>
        </w:rPr>
        <w:t>“La</w:t>
      </w:r>
      <w:r>
        <w:rPr>
          <w:color w:val="231F20"/>
          <w:spacing w:val="-11"/>
          <w:w w:val="110"/>
          <w:sz w:val="16"/>
        </w:rPr>
        <w:t> </w:t>
      </w:r>
      <w:r>
        <w:rPr>
          <w:color w:val="231F20"/>
          <w:w w:val="110"/>
          <w:sz w:val="16"/>
        </w:rPr>
        <w:t>agricultura</w:t>
      </w:r>
      <w:r>
        <w:rPr>
          <w:color w:val="231F20"/>
          <w:spacing w:val="-11"/>
          <w:w w:val="110"/>
          <w:sz w:val="16"/>
        </w:rPr>
        <w:t> </w:t>
      </w:r>
      <w:r>
        <w:rPr>
          <w:color w:val="231F20"/>
          <w:w w:val="110"/>
          <w:sz w:val="16"/>
        </w:rPr>
        <w:t>moderna</w:t>
      </w:r>
      <w:r>
        <w:rPr>
          <w:color w:val="231F20"/>
          <w:spacing w:val="-11"/>
          <w:w w:val="110"/>
          <w:sz w:val="16"/>
        </w:rPr>
        <w:t> </w:t>
      </w:r>
      <w:r>
        <w:rPr>
          <w:color w:val="231F20"/>
          <w:w w:val="110"/>
          <w:sz w:val="16"/>
        </w:rPr>
        <w:t>es</w:t>
      </w:r>
      <w:r>
        <w:rPr>
          <w:color w:val="231F20"/>
          <w:spacing w:val="-11"/>
          <w:w w:val="110"/>
          <w:sz w:val="16"/>
        </w:rPr>
        <w:t> </w:t>
      </w:r>
      <w:r>
        <w:rPr>
          <w:color w:val="231F20"/>
          <w:w w:val="110"/>
          <w:sz w:val="16"/>
        </w:rPr>
        <w:t>insostenible,</w:t>
      </w:r>
      <w:r>
        <w:rPr>
          <w:color w:val="231F20"/>
          <w:spacing w:val="-11"/>
          <w:w w:val="110"/>
          <w:sz w:val="16"/>
        </w:rPr>
        <w:t> </w:t>
      </w:r>
      <w:r>
        <w:rPr>
          <w:color w:val="231F20"/>
          <w:w w:val="110"/>
          <w:sz w:val="16"/>
        </w:rPr>
        <w:t>a</w:t>
      </w:r>
      <w:r>
        <w:rPr>
          <w:color w:val="231F20"/>
          <w:spacing w:val="-11"/>
          <w:w w:val="110"/>
          <w:sz w:val="16"/>
        </w:rPr>
        <w:t> </w:t>
      </w:r>
      <w:r>
        <w:rPr>
          <w:color w:val="231F20"/>
          <w:w w:val="110"/>
          <w:sz w:val="16"/>
        </w:rPr>
        <w:t>largo</w:t>
      </w:r>
      <w:r>
        <w:rPr>
          <w:color w:val="231F20"/>
          <w:spacing w:val="-11"/>
          <w:w w:val="110"/>
          <w:sz w:val="16"/>
        </w:rPr>
        <w:t> </w:t>
      </w:r>
      <w:r>
        <w:rPr>
          <w:color w:val="231F20"/>
          <w:w w:val="110"/>
          <w:sz w:val="16"/>
        </w:rPr>
        <w:t>plazo</w:t>
      </w:r>
      <w:r>
        <w:rPr>
          <w:color w:val="231F20"/>
          <w:spacing w:val="-11"/>
          <w:w w:val="110"/>
          <w:sz w:val="16"/>
        </w:rPr>
        <w:t> </w:t>
      </w:r>
      <w:r>
        <w:rPr>
          <w:color w:val="231F20"/>
          <w:w w:val="110"/>
          <w:sz w:val="16"/>
        </w:rPr>
        <w:t>no</w:t>
      </w:r>
      <w:r>
        <w:rPr>
          <w:color w:val="231F20"/>
          <w:spacing w:val="-11"/>
          <w:w w:val="110"/>
          <w:sz w:val="16"/>
        </w:rPr>
        <w:t> </w:t>
      </w:r>
      <w:r>
        <w:rPr>
          <w:color w:val="231F20"/>
          <w:w w:val="110"/>
          <w:sz w:val="16"/>
        </w:rPr>
        <w:t>tiene</w:t>
      </w:r>
      <w:r>
        <w:rPr>
          <w:color w:val="231F20"/>
          <w:spacing w:val="-11"/>
          <w:w w:val="110"/>
          <w:sz w:val="16"/>
        </w:rPr>
        <w:t> </w:t>
      </w:r>
      <w:r>
        <w:rPr>
          <w:color w:val="231F20"/>
          <w:w w:val="110"/>
          <w:sz w:val="16"/>
        </w:rPr>
        <w:t>el</w:t>
      </w:r>
      <w:r>
        <w:rPr>
          <w:color w:val="231F20"/>
          <w:spacing w:val="-11"/>
          <w:w w:val="110"/>
          <w:sz w:val="16"/>
        </w:rPr>
        <w:t> </w:t>
      </w:r>
      <w:r>
        <w:rPr>
          <w:color w:val="231F20"/>
          <w:w w:val="110"/>
          <w:sz w:val="16"/>
        </w:rPr>
        <w:t>potencial</w:t>
      </w:r>
      <w:r>
        <w:rPr>
          <w:color w:val="231F20"/>
          <w:spacing w:val="-11"/>
          <w:w w:val="110"/>
          <w:sz w:val="16"/>
        </w:rPr>
        <w:t> </w:t>
      </w:r>
      <w:r>
        <w:rPr>
          <w:color w:val="231F20"/>
          <w:w w:val="110"/>
          <w:sz w:val="16"/>
        </w:rPr>
        <w:t>para</w:t>
      </w:r>
      <w:r>
        <w:rPr>
          <w:color w:val="231F20"/>
          <w:spacing w:val="-11"/>
          <w:w w:val="110"/>
          <w:sz w:val="16"/>
        </w:rPr>
        <w:t> </w:t>
      </w:r>
      <w:r>
        <w:rPr>
          <w:color w:val="231F20"/>
          <w:w w:val="110"/>
          <w:sz w:val="16"/>
        </w:rPr>
        <w:t>producir </w:t>
      </w:r>
      <w:r>
        <w:rPr>
          <w:color w:val="231F20"/>
          <w:spacing w:val="-4"/>
          <w:w w:val="110"/>
          <w:sz w:val="16"/>
        </w:rPr>
        <w:t>suficiente alimento </w:t>
      </w:r>
      <w:r>
        <w:rPr>
          <w:color w:val="231F20"/>
          <w:spacing w:val="-3"/>
          <w:w w:val="110"/>
          <w:sz w:val="16"/>
        </w:rPr>
        <w:t>como </w:t>
      </w:r>
      <w:r>
        <w:rPr>
          <w:color w:val="231F20"/>
          <w:spacing w:val="-4"/>
          <w:w w:val="110"/>
          <w:sz w:val="16"/>
        </w:rPr>
        <w:t>demanda </w:t>
      </w:r>
      <w:r>
        <w:rPr>
          <w:color w:val="231F20"/>
          <w:w w:val="110"/>
          <w:sz w:val="16"/>
        </w:rPr>
        <w:t>la </w:t>
      </w:r>
      <w:r>
        <w:rPr>
          <w:color w:val="231F20"/>
          <w:spacing w:val="-4"/>
          <w:w w:val="110"/>
          <w:sz w:val="16"/>
        </w:rPr>
        <w:t>población, debido precisamente, </w:t>
      </w:r>
      <w:r>
        <w:rPr>
          <w:color w:val="231F20"/>
          <w:w w:val="110"/>
          <w:sz w:val="16"/>
        </w:rPr>
        <w:t>a </w:t>
      </w:r>
      <w:r>
        <w:rPr>
          <w:color w:val="231F20"/>
          <w:spacing w:val="-3"/>
          <w:w w:val="110"/>
          <w:sz w:val="16"/>
        </w:rPr>
        <w:t>que está </w:t>
      </w:r>
      <w:r>
        <w:rPr>
          <w:color w:val="231F20"/>
          <w:spacing w:val="-4"/>
          <w:w w:val="110"/>
          <w:sz w:val="16"/>
        </w:rPr>
        <w:t>erosionando </w:t>
      </w:r>
      <w:r>
        <w:rPr>
          <w:color w:val="231F20"/>
          <w:spacing w:val="-3"/>
          <w:w w:val="110"/>
          <w:sz w:val="16"/>
        </w:rPr>
        <w:t>las </w:t>
      </w:r>
      <w:r>
        <w:rPr>
          <w:color w:val="231F20"/>
          <w:w w:val="110"/>
          <w:sz w:val="16"/>
        </w:rPr>
        <w:t>condiciones que la hacen posible […] Las seis prácticas básicas que constituyen la columna vertebral de la agricultura moderna o convencional son: labranza intensiva, monocultivo, irrigación, aplicación de fertilizantes inorgánicos, control químico de plagas y manipulación genética de los cultivos” (Gliessman, 2002:</w:t>
      </w:r>
      <w:r>
        <w:rPr>
          <w:color w:val="231F20"/>
          <w:spacing w:val="1"/>
          <w:w w:val="110"/>
          <w:sz w:val="16"/>
        </w:rPr>
        <w:t> </w:t>
      </w:r>
      <w:r>
        <w:rPr>
          <w:color w:val="231F20"/>
          <w:w w:val="110"/>
          <w:sz w:val="16"/>
        </w:rPr>
        <w:t>03).</w:t>
      </w:r>
    </w:p>
    <w:p>
      <w:pPr>
        <w:spacing w:line="256" w:lineRule="auto" w:before="0"/>
        <w:ind w:left="100" w:right="117" w:firstLine="360"/>
        <w:jc w:val="both"/>
        <w:rPr>
          <w:sz w:val="16"/>
        </w:rPr>
      </w:pPr>
      <w:r>
        <w:rPr>
          <w:color w:val="231F20"/>
          <w:w w:val="110"/>
          <w:position w:val="5"/>
          <w:sz w:val="9"/>
        </w:rPr>
        <w:t>4 </w:t>
      </w:r>
      <w:r>
        <w:rPr>
          <w:color w:val="231F20"/>
          <w:spacing w:val="4"/>
          <w:w w:val="110"/>
          <w:sz w:val="16"/>
        </w:rPr>
        <w:t>“La </w:t>
      </w:r>
      <w:r>
        <w:rPr>
          <w:color w:val="231F20"/>
          <w:w w:val="110"/>
          <w:sz w:val="16"/>
        </w:rPr>
        <w:t>sostenibilidad se puede alcanzar mediante prácticas de cultivo basadas en el cono- cimiento adecuado y profundo de los procesos ecológicos que suceden tanto en las parcelas de </w:t>
      </w:r>
      <w:r>
        <w:rPr>
          <w:color w:val="231F20"/>
          <w:spacing w:val="-4"/>
          <w:w w:val="110"/>
          <w:sz w:val="16"/>
        </w:rPr>
        <w:t>producción </w:t>
      </w:r>
      <w:r>
        <w:rPr>
          <w:color w:val="231F20"/>
          <w:spacing w:val="-3"/>
          <w:w w:val="110"/>
          <w:sz w:val="16"/>
        </w:rPr>
        <w:t>como </w:t>
      </w:r>
      <w:r>
        <w:rPr>
          <w:color w:val="231F20"/>
          <w:w w:val="110"/>
          <w:sz w:val="16"/>
        </w:rPr>
        <w:t>en el </w:t>
      </w:r>
      <w:r>
        <w:rPr>
          <w:color w:val="231F20"/>
          <w:spacing w:val="-4"/>
          <w:w w:val="110"/>
          <w:sz w:val="16"/>
        </w:rPr>
        <w:t>contexto </w:t>
      </w:r>
      <w:r>
        <w:rPr>
          <w:color w:val="231F20"/>
          <w:w w:val="110"/>
          <w:sz w:val="16"/>
        </w:rPr>
        <w:t>de </w:t>
      </w:r>
      <w:r>
        <w:rPr>
          <w:color w:val="231F20"/>
          <w:spacing w:val="-3"/>
          <w:w w:val="110"/>
          <w:sz w:val="16"/>
        </w:rPr>
        <w:t>las </w:t>
      </w:r>
      <w:r>
        <w:rPr>
          <w:color w:val="231F20"/>
          <w:spacing w:val="-4"/>
          <w:w w:val="110"/>
          <w:sz w:val="16"/>
        </w:rPr>
        <w:t>cuales ellas </w:t>
      </w:r>
      <w:r>
        <w:rPr>
          <w:color w:val="231F20"/>
          <w:spacing w:val="-3"/>
          <w:w w:val="110"/>
          <w:sz w:val="16"/>
        </w:rPr>
        <w:t>son </w:t>
      </w:r>
      <w:r>
        <w:rPr>
          <w:color w:val="231F20"/>
          <w:spacing w:val="-4"/>
          <w:w w:val="110"/>
          <w:sz w:val="16"/>
        </w:rPr>
        <w:t>parte. </w:t>
      </w:r>
      <w:r>
        <w:rPr>
          <w:color w:val="231F20"/>
          <w:spacing w:val="-3"/>
          <w:w w:val="110"/>
          <w:sz w:val="16"/>
        </w:rPr>
        <w:t>Con </w:t>
      </w:r>
      <w:r>
        <w:rPr>
          <w:color w:val="231F20"/>
          <w:spacing w:val="-4"/>
          <w:w w:val="110"/>
          <w:sz w:val="16"/>
        </w:rPr>
        <w:t>estas bases podemos </w:t>
      </w:r>
      <w:r>
        <w:rPr>
          <w:color w:val="231F20"/>
          <w:spacing w:val="-3"/>
          <w:w w:val="110"/>
          <w:sz w:val="16"/>
        </w:rPr>
        <w:t>en- </w:t>
      </w:r>
      <w:r>
        <w:rPr>
          <w:color w:val="231F20"/>
          <w:w w:val="110"/>
          <w:sz w:val="16"/>
        </w:rPr>
        <w:t>focarnos hacia los cambios sociales y económicos que promueven la sostenibilidad en todos los sectores del sistema alimentario” (Gliessman, 2002: 12).</w:t>
      </w:r>
    </w:p>
    <w:p>
      <w:pPr>
        <w:spacing w:after="0" w:line="256" w:lineRule="auto"/>
        <w:jc w:val="both"/>
        <w:rPr>
          <w:sz w:val="16"/>
        </w:rPr>
        <w:sectPr>
          <w:pgSz w:w="9520" w:h="12920"/>
          <w:pgMar w:header="0" w:footer="1344" w:top="880" w:bottom="1540" w:left="1020" w:right="1320"/>
        </w:sectPr>
      </w:pPr>
    </w:p>
    <w:p>
      <w:pPr>
        <w:pStyle w:val="BodyText"/>
        <w:spacing w:line="285" w:lineRule="auto" w:before="42"/>
        <w:ind w:left="124" w:right="112" w:firstLine="360"/>
        <w:jc w:val="both"/>
      </w:pPr>
      <w:r>
        <w:rPr>
          <w:color w:val="231F20"/>
          <w:w w:val="110"/>
        </w:rPr>
        <w:t>El futuro de las familias campesinas que practican la agricultura tradi- cional en México es incierto, debido a que son muchas las variables que influirán en el rumbo que podrán </w:t>
      </w:r>
      <w:r>
        <w:rPr>
          <w:color w:val="231F20"/>
          <w:spacing w:val="-3"/>
          <w:w w:val="110"/>
        </w:rPr>
        <w:t>tomar. </w:t>
      </w:r>
      <w:r>
        <w:rPr>
          <w:color w:val="231F20"/>
          <w:w w:val="110"/>
        </w:rPr>
        <w:t>Lo que aparentemente es claro,  es que no desaparecerán y continuarán experimentando con las opciones que se presenten en el mercado, en la técnica y en los insumos, como lo han demostrado por</w:t>
      </w:r>
      <w:r>
        <w:rPr>
          <w:color w:val="231F20"/>
          <w:spacing w:val="26"/>
          <w:w w:val="110"/>
        </w:rPr>
        <w:t> </w:t>
      </w:r>
      <w:r>
        <w:rPr>
          <w:color w:val="231F20"/>
          <w:w w:val="110"/>
        </w:rPr>
        <w:t>décadas.</w:t>
      </w:r>
    </w:p>
    <w:p>
      <w:pPr>
        <w:pStyle w:val="BodyText"/>
        <w:spacing w:line="285" w:lineRule="auto" w:before="1"/>
        <w:ind w:left="124" w:right="110" w:firstLine="360"/>
        <w:jc w:val="both"/>
      </w:pPr>
      <w:r>
        <w:rPr>
          <w:color w:val="231F20"/>
          <w:w w:val="110"/>
        </w:rPr>
        <w:t>Es alentador conocer algunos instrumentos internacionales,</w:t>
      </w:r>
      <w:r>
        <w:rPr>
          <w:color w:val="231F20"/>
          <w:w w:val="110"/>
          <w:position w:val="6"/>
          <w:sz w:val="11"/>
        </w:rPr>
        <w:t>5 </w:t>
      </w:r>
      <w:r>
        <w:rPr>
          <w:color w:val="231F20"/>
          <w:w w:val="110"/>
        </w:rPr>
        <w:t>los</w:t>
      </w:r>
      <w:r>
        <w:rPr>
          <w:color w:val="231F20"/>
          <w:spacing w:val="-18"/>
          <w:w w:val="110"/>
        </w:rPr>
        <w:t> </w:t>
      </w:r>
      <w:r>
        <w:rPr>
          <w:color w:val="231F20"/>
          <w:w w:val="110"/>
        </w:rPr>
        <w:t>cuales apuntan hacia una “revaloración de la agricultura tradicional como una fuente importante de alimentos orgánicos, ecológicamente aceptables en mercados</w:t>
      </w:r>
      <w:r>
        <w:rPr>
          <w:color w:val="231F20"/>
          <w:spacing w:val="-10"/>
          <w:w w:val="110"/>
        </w:rPr>
        <w:t> </w:t>
      </w:r>
      <w:r>
        <w:rPr>
          <w:color w:val="231F20"/>
          <w:w w:val="110"/>
        </w:rPr>
        <w:t>especializados</w:t>
      </w:r>
      <w:r>
        <w:rPr>
          <w:color w:val="231F20"/>
          <w:spacing w:val="-10"/>
          <w:w w:val="110"/>
        </w:rPr>
        <w:t> </w:t>
      </w:r>
      <w:r>
        <w:rPr>
          <w:color w:val="231F20"/>
          <w:w w:val="110"/>
        </w:rPr>
        <w:t>en</w:t>
      </w:r>
      <w:r>
        <w:rPr>
          <w:color w:val="231F20"/>
          <w:spacing w:val="-10"/>
          <w:w w:val="110"/>
        </w:rPr>
        <w:t> </w:t>
      </w:r>
      <w:r>
        <w:rPr>
          <w:color w:val="231F20"/>
          <w:w w:val="110"/>
        </w:rPr>
        <w:t>productos</w:t>
      </w:r>
      <w:r>
        <w:rPr>
          <w:color w:val="231F20"/>
          <w:spacing w:val="-10"/>
          <w:w w:val="110"/>
        </w:rPr>
        <w:t> </w:t>
      </w:r>
      <w:r>
        <w:rPr>
          <w:color w:val="231F20"/>
          <w:w w:val="110"/>
        </w:rPr>
        <w:t>justos”</w:t>
      </w:r>
      <w:r>
        <w:rPr>
          <w:color w:val="231F20"/>
          <w:spacing w:val="-10"/>
          <w:w w:val="110"/>
        </w:rPr>
        <w:t> </w:t>
      </w:r>
      <w:r>
        <w:rPr>
          <w:color w:val="231F20"/>
          <w:w w:val="110"/>
        </w:rPr>
        <w:t>(Gómez,</w:t>
      </w:r>
      <w:r>
        <w:rPr>
          <w:color w:val="231F20"/>
          <w:spacing w:val="-10"/>
          <w:w w:val="110"/>
        </w:rPr>
        <w:t> </w:t>
      </w:r>
      <w:r>
        <w:rPr>
          <w:color w:val="231F20"/>
          <w:w w:val="110"/>
        </w:rPr>
        <w:t>2007:</w:t>
      </w:r>
      <w:r>
        <w:rPr>
          <w:color w:val="231F20"/>
          <w:spacing w:val="-10"/>
          <w:w w:val="110"/>
        </w:rPr>
        <w:t> </w:t>
      </w:r>
      <w:r>
        <w:rPr>
          <w:color w:val="231F20"/>
          <w:w w:val="110"/>
        </w:rPr>
        <w:t>13).</w:t>
      </w:r>
      <w:r>
        <w:rPr>
          <w:color w:val="231F20"/>
          <w:spacing w:val="-10"/>
          <w:w w:val="110"/>
        </w:rPr>
        <w:t> </w:t>
      </w:r>
      <w:r>
        <w:rPr>
          <w:color w:val="231F20"/>
          <w:w w:val="110"/>
        </w:rPr>
        <w:t>Las</w:t>
      </w:r>
      <w:r>
        <w:rPr>
          <w:color w:val="231F20"/>
          <w:spacing w:val="-10"/>
          <w:w w:val="110"/>
        </w:rPr>
        <w:t> </w:t>
      </w:r>
      <w:r>
        <w:rPr>
          <w:color w:val="231F20"/>
          <w:w w:val="110"/>
        </w:rPr>
        <w:t>fami- lias que la practican pueden tener ventajas comparativas sobre otros pro- </w:t>
      </w:r>
      <w:r>
        <w:rPr>
          <w:color w:val="231F20"/>
          <w:spacing w:val="-4"/>
          <w:w w:val="110"/>
        </w:rPr>
        <w:t>ductores, </w:t>
      </w:r>
      <w:r>
        <w:rPr>
          <w:color w:val="231F20"/>
          <w:w w:val="110"/>
        </w:rPr>
        <w:t>ya </w:t>
      </w:r>
      <w:r>
        <w:rPr>
          <w:color w:val="231F20"/>
          <w:spacing w:val="-3"/>
          <w:w w:val="110"/>
        </w:rPr>
        <w:t>que </w:t>
      </w:r>
      <w:r>
        <w:rPr>
          <w:color w:val="231F20"/>
          <w:spacing w:val="-4"/>
          <w:w w:val="110"/>
        </w:rPr>
        <w:t>cuentan </w:t>
      </w:r>
      <w:r>
        <w:rPr>
          <w:color w:val="231F20"/>
          <w:spacing w:val="-3"/>
          <w:w w:val="110"/>
        </w:rPr>
        <w:t>con </w:t>
      </w:r>
      <w:r>
        <w:rPr>
          <w:color w:val="231F20"/>
          <w:w w:val="110"/>
        </w:rPr>
        <w:t>el </w:t>
      </w:r>
      <w:r>
        <w:rPr>
          <w:color w:val="231F20"/>
          <w:spacing w:val="-4"/>
          <w:w w:val="110"/>
        </w:rPr>
        <w:t>conocimiento tanto </w:t>
      </w:r>
      <w:r>
        <w:rPr>
          <w:color w:val="231F20"/>
          <w:w w:val="110"/>
        </w:rPr>
        <w:t>de </w:t>
      </w:r>
      <w:r>
        <w:rPr>
          <w:color w:val="231F20"/>
          <w:spacing w:val="-3"/>
          <w:w w:val="110"/>
        </w:rPr>
        <w:t>sus </w:t>
      </w:r>
      <w:r>
        <w:rPr>
          <w:color w:val="231F20"/>
          <w:spacing w:val="-4"/>
          <w:w w:val="110"/>
        </w:rPr>
        <w:t>recursos </w:t>
      </w:r>
      <w:r>
        <w:rPr>
          <w:color w:val="231F20"/>
          <w:spacing w:val="-3"/>
          <w:w w:val="110"/>
        </w:rPr>
        <w:t>como </w:t>
      </w:r>
      <w:r>
        <w:rPr>
          <w:color w:val="231F20"/>
          <w:w w:val="110"/>
        </w:rPr>
        <w:t>de las</w:t>
      </w:r>
      <w:r>
        <w:rPr>
          <w:color w:val="231F20"/>
          <w:spacing w:val="-7"/>
          <w:w w:val="110"/>
        </w:rPr>
        <w:t> </w:t>
      </w:r>
      <w:r>
        <w:rPr>
          <w:color w:val="231F20"/>
          <w:w w:val="110"/>
        </w:rPr>
        <w:t>prácticas</w:t>
      </w:r>
      <w:r>
        <w:rPr>
          <w:color w:val="231F20"/>
          <w:spacing w:val="-7"/>
          <w:w w:val="110"/>
        </w:rPr>
        <w:t> </w:t>
      </w:r>
      <w:r>
        <w:rPr>
          <w:color w:val="231F20"/>
          <w:w w:val="110"/>
        </w:rPr>
        <w:t>y</w:t>
      </w:r>
      <w:r>
        <w:rPr>
          <w:color w:val="231F20"/>
          <w:spacing w:val="-7"/>
          <w:w w:val="110"/>
        </w:rPr>
        <w:t> </w:t>
      </w:r>
      <w:r>
        <w:rPr>
          <w:color w:val="231F20"/>
          <w:w w:val="110"/>
        </w:rPr>
        <w:t>técnicas</w:t>
      </w:r>
      <w:r>
        <w:rPr>
          <w:color w:val="231F20"/>
          <w:spacing w:val="-7"/>
          <w:w w:val="110"/>
        </w:rPr>
        <w:t> </w:t>
      </w:r>
      <w:r>
        <w:rPr>
          <w:color w:val="231F20"/>
          <w:w w:val="110"/>
        </w:rPr>
        <w:t>de</w:t>
      </w:r>
      <w:r>
        <w:rPr>
          <w:color w:val="231F20"/>
          <w:spacing w:val="-7"/>
          <w:w w:val="110"/>
        </w:rPr>
        <w:t> </w:t>
      </w:r>
      <w:r>
        <w:rPr>
          <w:color w:val="231F20"/>
          <w:w w:val="110"/>
        </w:rPr>
        <w:t>cultivo</w:t>
      </w:r>
      <w:r>
        <w:rPr>
          <w:color w:val="231F20"/>
          <w:spacing w:val="-7"/>
          <w:w w:val="110"/>
        </w:rPr>
        <w:t> </w:t>
      </w:r>
      <w:r>
        <w:rPr>
          <w:color w:val="231F20"/>
          <w:w w:val="110"/>
        </w:rPr>
        <w:t>que</w:t>
      </w:r>
      <w:r>
        <w:rPr>
          <w:color w:val="231F20"/>
          <w:spacing w:val="-7"/>
          <w:w w:val="110"/>
        </w:rPr>
        <w:t> </w:t>
      </w:r>
      <w:r>
        <w:rPr>
          <w:color w:val="231F20"/>
          <w:w w:val="110"/>
        </w:rPr>
        <w:t>sabiamente</w:t>
      </w:r>
      <w:r>
        <w:rPr>
          <w:color w:val="231F20"/>
          <w:spacing w:val="-7"/>
          <w:w w:val="110"/>
        </w:rPr>
        <w:t> </w:t>
      </w:r>
      <w:r>
        <w:rPr>
          <w:color w:val="231F20"/>
          <w:w w:val="110"/>
        </w:rPr>
        <w:t>han</w:t>
      </w:r>
      <w:r>
        <w:rPr>
          <w:color w:val="231F20"/>
          <w:spacing w:val="-7"/>
          <w:w w:val="110"/>
        </w:rPr>
        <w:t> </w:t>
      </w:r>
      <w:r>
        <w:rPr>
          <w:color w:val="231F20"/>
          <w:w w:val="110"/>
        </w:rPr>
        <w:t>transmitido</w:t>
      </w:r>
      <w:r>
        <w:rPr>
          <w:color w:val="231F20"/>
          <w:spacing w:val="-7"/>
          <w:w w:val="110"/>
        </w:rPr>
        <w:t> </w:t>
      </w:r>
      <w:r>
        <w:rPr>
          <w:color w:val="231F20"/>
          <w:w w:val="110"/>
        </w:rPr>
        <w:t>de</w:t>
      </w:r>
      <w:r>
        <w:rPr>
          <w:color w:val="231F20"/>
          <w:spacing w:val="-7"/>
          <w:w w:val="110"/>
        </w:rPr>
        <w:t> </w:t>
      </w:r>
      <w:r>
        <w:rPr>
          <w:color w:val="231F20"/>
          <w:w w:val="110"/>
        </w:rPr>
        <w:t>gene- ración en</w:t>
      </w:r>
      <w:r>
        <w:rPr>
          <w:color w:val="231F20"/>
          <w:spacing w:val="23"/>
          <w:w w:val="110"/>
        </w:rPr>
        <w:t> </w:t>
      </w:r>
      <w:r>
        <w:rPr>
          <w:color w:val="231F20"/>
          <w:w w:val="110"/>
        </w:rPr>
        <w:t>generación.</w:t>
      </w:r>
    </w:p>
    <w:p>
      <w:pPr>
        <w:pStyle w:val="BodyText"/>
        <w:spacing w:line="285" w:lineRule="auto" w:before="1"/>
        <w:ind w:left="124" w:right="113" w:firstLine="360"/>
        <w:jc w:val="both"/>
      </w:pPr>
      <w:r>
        <w:rPr>
          <w:color w:val="231F20"/>
          <w:w w:val="110"/>
        </w:rPr>
        <w:t>El 2014 fue declarado por Naciones Unidas como el Año Internacional de la Agricultura Familiar, cuya meta  es:</w:t>
      </w:r>
    </w:p>
    <w:p>
      <w:pPr>
        <w:pStyle w:val="BodyText"/>
        <w:rPr>
          <w:sz w:val="16"/>
        </w:rPr>
      </w:pPr>
    </w:p>
    <w:p>
      <w:pPr>
        <w:spacing w:line="283" w:lineRule="auto" w:before="0"/>
        <w:ind w:left="484" w:right="111" w:firstLine="0"/>
        <w:jc w:val="both"/>
        <w:rPr>
          <w:sz w:val="18"/>
        </w:rPr>
      </w:pPr>
      <w:r>
        <w:rPr>
          <w:color w:val="231F20"/>
          <w:w w:val="110"/>
          <w:sz w:val="18"/>
        </w:rPr>
        <w:t>Posicionar al sector en el centro de las políticas agrícolas, ambientales y socia- les en las agendas nacionales, identificando desafíos y oportunidades para promover un cambio hacia un desarrollo más equitativo y equilibrado. El Año Internacional promoverá un amplio debate y la cooperación en los planos na- cional,</w:t>
      </w:r>
      <w:r>
        <w:rPr>
          <w:color w:val="231F20"/>
          <w:spacing w:val="-4"/>
          <w:w w:val="110"/>
          <w:sz w:val="18"/>
        </w:rPr>
        <w:t> </w:t>
      </w:r>
      <w:r>
        <w:rPr>
          <w:color w:val="231F20"/>
          <w:w w:val="110"/>
          <w:sz w:val="18"/>
        </w:rPr>
        <w:t>regional</w:t>
      </w:r>
      <w:r>
        <w:rPr>
          <w:color w:val="231F20"/>
          <w:spacing w:val="-4"/>
          <w:w w:val="110"/>
          <w:sz w:val="18"/>
        </w:rPr>
        <w:t> </w:t>
      </w:r>
      <w:r>
        <w:rPr>
          <w:color w:val="231F20"/>
          <w:w w:val="110"/>
          <w:sz w:val="18"/>
        </w:rPr>
        <w:t>y</w:t>
      </w:r>
      <w:r>
        <w:rPr>
          <w:color w:val="231F20"/>
          <w:spacing w:val="-4"/>
          <w:w w:val="110"/>
          <w:sz w:val="18"/>
        </w:rPr>
        <w:t> </w:t>
      </w:r>
      <w:r>
        <w:rPr>
          <w:color w:val="231F20"/>
          <w:w w:val="110"/>
          <w:sz w:val="18"/>
        </w:rPr>
        <w:t>mundial</w:t>
      </w:r>
      <w:r>
        <w:rPr>
          <w:color w:val="231F20"/>
          <w:spacing w:val="-4"/>
          <w:w w:val="110"/>
          <w:sz w:val="18"/>
        </w:rPr>
        <w:t> </w:t>
      </w:r>
      <w:r>
        <w:rPr>
          <w:color w:val="231F20"/>
          <w:w w:val="110"/>
          <w:sz w:val="18"/>
        </w:rPr>
        <w:t>para</w:t>
      </w:r>
      <w:r>
        <w:rPr>
          <w:color w:val="231F20"/>
          <w:spacing w:val="-4"/>
          <w:w w:val="110"/>
          <w:sz w:val="18"/>
        </w:rPr>
        <w:t> </w:t>
      </w:r>
      <w:r>
        <w:rPr>
          <w:color w:val="231F20"/>
          <w:w w:val="110"/>
          <w:sz w:val="18"/>
        </w:rPr>
        <w:t>aumentar</w:t>
      </w:r>
      <w:r>
        <w:rPr>
          <w:color w:val="231F20"/>
          <w:spacing w:val="-4"/>
          <w:w w:val="110"/>
          <w:sz w:val="18"/>
        </w:rPr>
        <w:t> </w:t>
      </w:r>
      <w:r>
        <w:rPr>
          <w:color w:val="231F20"/>
          <w:w w:val="110"/>
          <w:sz w:val="18"/>
        </w:rPr>
        <w:t>la</w:t>
      </w:r>
      <w:r>
        <w:rPr>
          <w:color w:val="231F20"/>
          <w:spacing w:val="-4"/>
          <w:w w:val="110"/>
          <w:sz w:val="18"/>
        </w:rPr>
        <w:t> </w:t>
      </w:r>
      <w:r>
        <w:rPr>
          <w:color w:val="231F20"/>
          <w:w w:val="110"/>
          <w:sz w:val="18"/>
        </w:rPr>
        <w:t>conciencia</w:t>
      </w:r>
      <w:r>
        <w:rPr>
          <w:color w:val="231F20"/>
          <w:spacing w:val="-4"/>
          <w:w w:val="110"/>
          <w:sz w:val="18"/>
        </w:rPr>
        <w:t> </w:t>
      </w:r>
      <w:r>
        <w:rPr>
          <w:color w:val="231F20"/>
          <w:w w:val="110"/>
          <w:sz w:val="18"/>
        </w:rPr>
        <w:t>y</w:t>
      </w:r>
      <w:r>
        <w:rPr>
          <w:color w:val="231F20"/>
          <w:spacing w:val="-4"/>
          <w:w w:val="110"/>
          <w:sz w:val="18"/>
        </w:rPr>
        <w:t> </w:t>
      </w:r>
      <w:r>
        <w:rPr>
          <w:color w:val="231F20"/>
          <w:w w:val="110"/>
          <w:sz w:val="18"/>
        </w:rPr>
        <w:t>la</w:t>
      </w:r>
      <w:r>
        <w:rPr>
          <w:color w:val="231F20"/>
          <w:spacing w:val="-4"/>
          <w:w w:val="110"/>
          <w:sz w:val="18"/>
        </w:rPr>
        <w:t> </w:t>
      </w:r>
      <w:r>
        <w:rPr>
          <w:color w:val="231F20"/>
          <w:w w:val="110"/>
          <w:sz w:val="18"/>
        </w:rPr>
        <w:t>comprensión</w:t>
      </w:r>
      <w:r>
        <w:rPr>
          <w:color w:val="231F20"/>
          <w:spacing w:val="-4"/>
          <w:w w:val="110"/>
          <w:sz w:val="18"/>
        </w:rPr>
        <w:t> </w:t>
      </w:r>
      <w:r>
        <w:rPr>
          <w:color w:val="231F20"/>
          <w:w w:val="110"/>
          <w:sz w:val="18"/>
        </w:rPr>
        <w:t>de</w:t>
      </w:r>
      <w:r>
        <w:rPr>
          <w:color w:val="231F20"/>
          <w:spacing w:val="-4"/>
          <w:w w:val="110"/>
          <w:sz w:val="18"/>
        </w:rPr>
        <w:t> </w:t>
      </w:r>
      <w:r>
        <w:rPr>
          <w:color w:val="231F20"/>
          <w:w w:val="110"/>
          <w:sz w:val="18"/>
        </w:rPr>
        <w:t>los desafíos a los que se enfrentan los pequeños campesinos y ayudar a</w:t>
      </w:r>
      <w:r>
        <w:rPr>
          <w:color w:val="231F20"/>
          <w:spacing w:val="-19"/>
          <w:w w:val="110"/>
          <w:sz w:val="18"/>
        </w:rPr>
        <w:t> </w:t>
      </w:r>
      <w:r>
        <w:rPr>
          <w:color w:val="231F20"/>
          <w:w w:val="110"/>
          <w:sz w:val="18"/>
        </w:rPr>
        <w:t>identificar formas eficaces de apoyo a la agricultura familiar (Benítez,</w:t>
      </w:r>
      <w:r>
        <w:rPr>
          <w:color w:val="231F20"/>
          <w:spacing w:val="-22"/>
          <w:w w:val="110"/>
          <w:sz w:val="18"/>
        </w:rPr>
        <w:t> </w:t>
      </w:r>
      <w:r>
        <w:rPr>
          <w:color w:val="231F20"/>
          <w:w w:val="110"/>
          <w:sz w:val="18"/>
        </w:rPr>
        <w:t>2014).</w:t>
      </w:r>
    </w:p>
    <w:p>
      <w:pPr>
        <w:spacing w:line="256" w:lineRule="auto" w:before="161"/>
        <w:ind w:left="124" w:right="112" w:firstLine="360"/>
        <w:jc w:val="both"/>
        <w:rPr>
          <w:sz w:val="16"/>
        </w:rPr>
      </w:pPr>
      <w:r>
        <w:rPr>
          <w:color w:val="231F20"/>
          <w:w w:val="110"/>
          <w:position w:val="5"/>
          <w:sz w:val="9"/>
        </w:rPr>
        <w:t>5 </w:t>
      </w:r>
      <w:r>
        <w:rPr>
          <w:color w:val="231F20"/>
          <w:w w:val="110"/>
          <w:sz w:val="16"/>
        </w:rPr>
        <w:t>El Convenio sobre la Diversidad Biológica de las Naciones Unidas se firmó el 5 de junio de</w:t>
      </w:r>
      <w:r>
        <w:rPr>
          <w:color w:val="231F20"/>
          <w:spacing w:val="-3"/>
          <w:w w:val="110"/>
          <w:sz w:val="16"/>
        </w:rPr>
        <w:t> </w:t>
      </w:r>
      <w:r>
        <w:rPr>
          <w:color w:val="231F20"/>
          <w:w w:val="110"/>
          <w:sz w:val="16"/>
        </w:rPr>
        <w:t>1992</w:t>
      </w:r>
      <w:r>
        <w:rPr>
          <w:color w:val="231F20"/>
          <w:spacing w:val="-3"/>
          <w:w w:val="110"/>
          <w:sz w:val="16"/>
        </w:rPr>
        <w:t> </w:t>
      </w:r>
      <w:r>
        <w:rPr>
          <w:color w:val="231F20"/>
          <w:w w:val="110"/>
          <w:sz w:val="16"/>
        </w:rPr>
        <w:t>en</w:t>
      </w:r>
      <w:r>
        <w:rPr>
          <w:color w:val="231F20"/>
          <w:spacing w:val="-3"/>
          <w:w w:val="110"/>
          <w:sz w:val="16"/>
        </w:rPr>
        <w:t> </w:t>
      </w:r>
      <w:r>
        <w:rPr>
          <w:color w:val="231F20"/>
          <w:w w:val="110"/>
          <w:sz w:val="16"/>
        </w:rPr>
        <w:t>la</w:t>
      </w:r>
      <w:r>
        <w:rPr>
          <w:color w:val="231F20"/>
          <w:spacing w:val="-3"/>
          <w:w w:val="110"/>
          <w:sz w:val="16"/>
        </w:rPr>
        <w:t> </w:t>
      </w:r>
      <w:r>
        <w:rPr>
          <w:color w:val="231F20"/>
          <w:w w:val="110"/>
          <w:sz w:val="16"/>
        </w:rPr>
        <w:t>Conferencia</w:t>
      </w:r>
      <w:r>
        <w:rPr>
          <w:color w:val="231F20"/>
          <w:spacing w:val="-3"/>
          <w:w w:val="110"/>
          <w:sz w:val="16"/>
        </w:rPr>
        <w:t> </w:t>
      </w:r>
      <w:r>
        <w:rPr>
          <w:color w:val="231F20"/>
          <w:w w:val="110"/>
          <w:sz w:val="16"/>
        </w:rPr>
        <w:t>de</w:t>
      </w:r>
      <w:r>
        <w:rPr>
          <w:color w:val="231F20"/>
          <w:spacing w:val="-3"/>
          <w:w w:val="110"/>
          <w:sz w:val="16"/>
        </w:rPr>
        <w:t> </w:t>
      </w:r>
      <w:r>
        <w:rPr>
          <w:color w:val="231F20"/>
          <w:w w:val="110"/>
          <w:sz w:val="16"/>
        </w:rPr>
        <w:t>las</w:t>
      </w:r>
      <w:r>
        <w:rPr>
          <w:color w:val="231F20"/>
          <w:spacing w:val="-3"/>
          <w:w w:val="110"/>
          <w:sz w:val="16"/>
        </w:rPr>
        <w:t> </w:t>
      </w:r>
      <w:r>
        <w:rPr>
          <w:color w:val="231F20"/>
          <w:w w:val="110"/>
          <w:sz w:val="16"/>
        </w:rPr>
        <w:t>Naciones</w:t>
      </w:r>
      <w:r>
        <w:rPr>
          <w:color w:val="231F20"/>
          <w:spacing w:val="-3"/>
          <w:w w:val="110"/>
          <w:sz w:val="16"/>
        </w:rPr>
        <w:t> </w:t>
      </w:r>
      <w:r>
        <w:rPr>
          <w:color w:val="231F20"/>
          <w:w w:val="110"/>
          <w:sz w:val="16"/>
        </w:rPr>
        <w:t>Unidas</w:t>
      </w:r>
      <w:r>
        <w:rPr>
          <w:color w:val="231F20"/>
          <w:spacing w:val="-3"/>
          <w:w w:val="110"/>
          <w:sz w:val="16"/>
        </w:rPr>
        <w:t> </w:t>
      </w:r>
      <w:r>
        <w:rPr>
          <w:color w:val="231F20"/>
          <w:w w:val="110"/>
          <w:sz w:val="16"/>
        </w:rPr>
        <w:t>sobre</w:t>
      </w:r>
      <w:r>
        <w:rPr>
          <w:color w:val="231F20"/>
          <w:spacing w:val="-3"/>
          <w:w w:val="110"/>
          <w:sz w:val="16"/>
        </w:rPr>
        <w:t> </w:t>
      </w:r>
      <w:r>
        <w:rPr>
          <w:color w:val="231F20"/>
          <w:w w:val="110"/>
          <w:sz w:val="16"/>
        </w:rPr>
        <w:t>el</w:t>
      </w:r>
      <w:r>
        <w:rPr>
          <w:color w:val="231F20"/>
          <w:spacing w:val="-3"/>
          <w:w w:val="110"/>
          <w:sz w:val="16"/>
        </w:rPr>
        <w:t> </w:t>
      </w:r>
      <w:r>
        <w:rPr>
          <w:color w:val="231F20"/>
          <w:w w:val="110"/>
          <w:sz w:val="16"/>
        </w:rPr>
        <w:t>Medio</w:t>
      </w:r>
      <w:r>
        <w:rPr>
          <w:color w:val="231F20"/>
          <w:spacing w:val="-3"/>
          <w:w w:val="110"/>
          <w:sz w:val="16"/>
        </w:rPr>
        <w:t> </w:t>
      </w:r>
      <w:r>
        <w:rPr>
          <w:color w:val="231F20"/>
          <w:w w:val="110"/>
          <w:sz w:val="16"/>
        </w:rPr>
        <w:t>Ambiente</w:t>
      </w:r>
      <w:r>
        <w:rPr>
          <w:color w:val="231F20"/>
          <w:spacing w:val="-3"/>
          <w:w w:val="110"/>
          <w:sz w:val="16"/>
        </w:rPr>
        <w:t> </w:t>
      </w:r>
      <w:r>
        <w:rPr>
          <w:color w:val="231F20"/>
          <w:w w:val="110"/>
          <w:sz w:val="16"/>
        </w:rPr>
        <w:t>y</w:t>
      </w:r>
      <w:r>
        <w:rPr>
          <w:color w:val="231F20"/>
          <w:spacing w:val="-3"/>
          <w:w w:val="110"/>
          <w:sz w:val="16"/>
        </w:rPr>
        <w:t> </w:t>
      </w:r>
      <w:r>
        <w:rPr>
          <w:color w:val="231F20"/>
          <w:w w:val="110"/>
          <w:sz w:val="16"/>
        </w:rPr>
        <w:t>el</w:t>
      </w:r>
      <w:r>
        <w:rPr>
          <w:color w:val="231F20"/>
          <w:spacing w:val="-3"/>
          <w:w w:val="110"/>
          <w:sz w:val="16"/>
        </w:rPr>
        <w:t> </w:t>
      </w:r>
      <w:r>
        <w:rPr>
          <w:color w:val="231F20"/>
          <w:w w:val="110"/>
          <w:sz w:val="16"/>
        </w:rPr>
        <w:t>Desarrollo</w:t>
      </w:r>
      <w:r>
        <w:rPr>
          <w:color w:val="231F20"/>
          <w:spacing w:val="-3"/>
          <w:w w:val="110"/>
          <w:sz w:val="16"/>
        </w:rPr>
        <w:t> </w:t>
      </w:r>
      <w:r>
        <w:rPr>
          <w:color w:val="231F20"/>
          <w:w w:val="110"/>
          <w:sz w:val="16"/>
        </w:rPr>
        <w:t>(la Cumbre de la Tierra), y entró en vigor el 29 de diciembre de 1993. Es el único instrumento internacional</w:t>
      </w:r>
      <w:r>
        <w:rPr>
          <w:color w:val="231F20"/>
          <w:spacing w:val="-8"/>
          <w:w w:val="110"/>
          <w:sz w:val="16"/>
        </w:rPr>
        <w:t> </w:t>
      </w:r>
      <w:r>
        <w:rPr>
          <w:color w:val="231F20"/>
          <w:w w:val="110"/>
          <w:sz w:val="16"/>
        </w:rPr>
        <w:t>que</w:t>
      </w:r>
      <w:r>
        <w:rPr>
          <w:color w:val="231F20"/>
          <w:spacing w:val="-8"/>
          <w:w w:val="110"/>
          <w:sz w:val="16"/>
        </w:rPr>
        <w:t> </w:t>
      </w:r>
      <w:r>
        <w:rPr>
          <w:color w:val="231F20"/>
          <w:w w:val="110"/>
          <w:sz w:val="16"/>
        </w:rPr>
        <w:t>aborda,</w:t>
      </w:r>
      <w:r>
        <w:rPr>
          <w:color w:val="231F20"/>
          <w:spacing w:val="-8"/>
          <w:w w:val="110"/>
          <w:sz w:val="16"/>
        </w:rPr>
        <w:t> </w:t>
      </w:r>
      <w:r>
        <w:rPr>
          <w:color w:val="231F20"/>
          <w:w w:val="110"/>
          <w:sz w:val="16"/>
        </w:rPr>
        <w:t>de</w:t>
      </w:r>
      <w:r>
        <w:rPr>
          <w:color w:val="231F20"/>
          <w:spacing w:val="-8"/>
          <w:w w:val="110"/>
          <w:sz w:val="16"/>
        </w:rPr>
        <w:t> </w:t>
      </w:r>
      <w:r>
        <w:rPr>
          <w:color w:val="231F20"/>
          <w:w w:val="110"/>
          <w:sz w:val="16"/>
        </w:rPr>
        <w:t>manera</w:t>
      </w:r>
      <w:r>
        <w:rPr>
          <w:color w:val="231F20"/>
          <w:spacing w:val="-8"/>
          <w:w w:val="110"/>
          <w:sz w:val="16"/>
        </w:rPr>
        <w:t> </w:t>
      </w:r>
      <w:r>
        <w:rPr>
          <w:color w:val="231F20"/>
          <w:w w:val="110"/>
          <w:sz w:val="16"/>
        </w:rPr>
        <w:t>exhaustiva,</w:t>
      </w:r>
      <w:r>
        <w:rPr>
          <w:color w:val="231F20"/>
          <w:spacing w:val="-8"/>
          <w:w w:val="110"/>
          <w:sz w:val="16"/>
        </w:rPr>
        <w:t> </w:t>
      </w:r>
      <w:r>
        <w:rPr>
          <w:color w:val="231F20"/>
          <w:w w:val="110"/>
          <w:sz w:val="16"/>
        </w:rPr>
        <w:t>la</w:t>
      </w:r>
      <w:r>
        <w:rPr>
          <w:color w:val="231F20"/>
          <w:spacing w:val="-8"/>
          <w:w w:val="110"/>
          <w:sz w:val="16"/>
        </w:rPr>
        <w:t> </w:t>
      </w:r>
      <w:r>
        <w:rPr>
          <w:color w:val="231F20"/>
          <w:w w:val="110"/>
          <w:sz w:val="16"/>
        </w:rPr>
        <w:t>diversidad</w:t>
      </w:r>
      <w:r>
        <w:rPr>
          <w:color w:val="231F20"/>
          <w:spacing w:val="-8"/>
          <w:w w:val="110"/>
          <w:sz w:val="16"/>
        </w:rPr>
        <w:t> </w:t>
      </w:r>
      <w:r>
        <w:rPr>
          <w:color w:val="231F20"/>
          <w:w w:val="110"/>
          <w:sz w:val="16"/>
        </w:rPr>
        <w:t>biológica.</w:t>
      </w:r>
      <w:r>
        <w:rPr>
          <w:color w:val="231F20"/>
          <w:spacing w:val="-8"/>
          <w:w w:val="110"/>
          <w:sz w:val="16"/>
        </w:rPr>
        <w:t> </w:t>
      </w:r>
      <w:r>
        <w:rPr>
          <w:color w:val="231F20"/>
          <w:w w:val="110"/>
          <w:sz w:val="16"/>
        </w:rPr>
        <w:t>Los</w:t>
      </w:r>
      <w:r>
        <w:rPr>
          <w:color w:val="231F20"/>
          <w:spacing w:val="-8"/>
          <w:w w:val="110"/>
          <w:sz w:val="16"/>
        </w:rPr>
        <w:t> </w:t>
      </w:r>
      <w:r>
        <w:rPr>
          <w:color w:val="231F20"/>
          <w:w w:val="110"/>
          <w:sz w:val="16"/>
        </w:rPr>
        <w:t>tres</w:t>
      </w:r>
      <w:r>
        <w:rPr>
          <w:color w:val="231F20"/>
          <w:spacing w:val="-8"/>
          <w:w w:val="110"/>
          <w:sz w:val="16"/>
        </w:rPr>
        <w:t> </w:t>
      </w:r>
      <w:r>
        <w:rPr>
          <w:color w:val="231F20"/>
          <w:w w:val="110"/>
          <w:sz w:val="16"/>
        </w:rPr>
        <w:t>objetivos</w:t>
      </w:r>
      <w:r>
        <w:rPr>
          <w:color w:val="231F20"/>
          <w:spacing w:val="-8"/>
          <w:w w:val="110"/>
          <w:sz w:val="16"/>
        </w:rPr>
        <w:t> </w:t>
      </w:r>
      <w:r>
        <w:rPr>
          <w:color w:val="231F20"/>
          <w:w w:val="110"/>
          <w:sz w:val="16"/>
        </w:rPr>
        <w:t>del Convenio son la conservación de la diversidad biológica, la utilización sostenible de sus com- ponentes</w:t>
      </w:r>
      <w:r>
        <w:rPr>
          <w:color w:val="231F20"/>
          <w:spacing w:val="-3"/>
          <w:w w:val="110"/>
          <w:sz w:val="16"/>
        </w:rPr>
        <w:t> </w:t>
      </w:r>
      <w:r>
        <w:rPr>
          <w:color w:val="231F20"/>
          <w:w w:val="110"/>
          <w:sz w:val="16"/>
        </w:rPr>
        <w:t>y</w:t>
      </w:r>
      <w:r>
        <w:rPr>
          <w:color w:val="231F20"/>
          <w:spacing w:val="-3"/>
          <w:w w:val="110"/>
          <w:sz w:val="16"/>
        </w:rPr>
        <w:t> </w:t>
      </w:r>
      <w:r>
        <w:rPr>
          <w:color w:val="231F20"/>
          <w:w w:val="110"/>
          <w:sz w:val="16"/>
        </w:rPr>
        <w:t>la</w:t>
      </w:r>
      <w:r>
        <w:rPr>
          <w:color w:val="231F20"/>
          <w:spacing w:val="-3"/>
          <w:w w:val="110"/>
          <w:sz w:val="16"/>
        </w:rPr>
        <w:t> </w:t>
      </w:r>
      <w:r>
        <w:rPr>
          <w:color w:val="231F20"/>
          <w:w w:val="110"/>
          <w:sz w:val="16"/>
        </w:rPr>
        <w:t>participación</w:t>
      </w:r>
      <w:r>
        <w:rPr>
          <w:color w:val="231F20"/>
          <w:spacing w:val="-3"/>
          <w:w w:val="110"/>
          <w:sz w:val="16"/>
        </w:rPr>
        <w:t> </w:t>
      </w:r>
      <w:r>
        <w:rPr>
          <w:color w:val="231F20"/>
          <w:w w:val="110"/>
          <w:sz w:val="16"/>
        </w:rPr>
        <w:t>justa</w:t>
      </w:r>
      <w:r>
        <w:rPr>
          <w:color w:val="231F20"/>
          <w:spacing w:val="-3"/>
          <w:w w:val="110"/>
          <w:sz w:val="16"/>
        </w:rPr>
        <w:t> </w:t>
      </w:r>
      <w:r>
        <w:rPr>
          <w:color w:val="231F20"/>
          <w:w w:val="110"/>
          <w:sz w:val="16"/>
        </w:rPr>
        <w:t>y</w:t>
      </w:r>
      <w:r>
        <w:rPr>
          <w:color w:val="231F20"/>
          <w:spacing w:val="-3"/>
          <w:w w:val="110"/>
          <w:sz w:val="16"/>
        </w:rPr>
        <w:t> </w:t>
      </w:r>
      <w:r>
        <w:rPr>
          <w:color w:val="231F20"/>
          <w:w w:val="110"/>
          <w:sz w:val="16"/>
        </w:rPr>
        <w:t>equitativa</w:t>
      </w:r>
      <w:r>
        <w:rPr>
          <w:color w:val="231F20"/>
          <w:spacing w:val="-3"/>
          <w:w w:val="110"/>
          <w:sz w:val="16"/>
        </w:rPr>
        <w:t> </w:t>
      </w:r>
      <w:r>
        <w:rPr>
          <w:color w:val="231F20"/>
          <w:w w:val="110"/>
          <w:sz w:val="16"/>
        </w:rPr>
        <w:t>en</w:t>
      </w:r>
      <w:r>
        <w:rPr>
          <w:color w:val="231F20"/>
          <w:spacing w:val="-3"/>
          <w:w w:val="110"/>
          <w:sz w:val="16"/>
        </w:rPr>
        <w:t> </w:t>
      </w:r>
      <w:r>
        <w:rPr>
          <w:color w:val="231F20"/>
          <w:w w:val="110"/>
          <w:sz w:val="16"/>
        </w:rPr>
        <w:t>los</w:t>
      </w:r>
      <w:r>
        <w:rPr>
          <w:color w:val="231F20"/>
          <w:spacing w:val="-3"/>
          <w:w w:val="110"/>
          <w:sz w:val="16"/>
        </w:rPr>
        <w:t> </w:t>
      </w:r>
      <w:r>
        <w:rPr>
          <w:color w:val="231F20"/>
          <w:w w:val="110"/>
          <w:sz w:val="16"/>
        </w:rPr>
        <w:t>beneficios</w:t>
      </w:r>
      <w:r>
        <w:rPr>
          <w:color w:val="231F20"/>
          <w:spacing w:val="-3"/>
          <w:w w:val="110"/>
          <w:sz w:val="16"/>
        </w:rPr>
        <w:t> </w:t>
      </w:r>
      <w:r>
        <w:rPr>
          <w:color w:val="231F20"/>
          <w:w w:val="110"/>
          <w:sz w:val="16"/>
        </w:rPr>
        <w:t>que</w:t>
      </w:r>
      <w:r>
        <w:rPr>
          <w:color w:val="231F20"/>
          <w:spacing w:val="-3"/>
          <w:w w:val="110"/>
          <w:sz w:val="16"/>
        </w:rPr>
        <w:t> </w:t>
      </w:r>
      <w:r>
        <w:rPr>
          <w:color w:val="231F20"/>
          <w:w w:val="110"/>
          <w:sz w:val="16"/>
        </w:rPr>
        <w:t>se</w:t>
      </w:r>
      <w:r>
        <w:rPr>
          <w:color w:val="231F20"/>
          <w:spacing w:val="-3"/>
          <w:w w:val="110"/>
          <w:sz w:val="16"/>
        </w:rPr>
        <w:t> </w:t>
      </w:r>
      <w:r>
        <w:rPr>
          <w:color w:val="231F20"/>
          <w:w w:val="110"/>
          <w:sz w:val="16"/>
        </w:rPr>
        <w:t>deriven</w:t>
      </w:r>
      <w:r>
        <w:rPr>
          <w:color w:val="231F20"/>
          <w:spacing w:val="-3"/>
          <w:w w:val="110"/>
          <w:sz w:val="16"/>
        </w:rPr>
        <w:t> </w:t>
      </w:r>
      <w:r>
        <w:rPr>
          <w:color w:val="231F20"/>
          <w:w w:val="110"/>
          <w:sz w:val="16"/>
        </w:rPr>
        <w:t>de</w:t>
      </w:r>
      <w:r>
        <w:rPr>
          <w:color w:val="231F20"/>
          <w:spacing w:val="-3"/>
          <w:w w:val="110"/>
          <w:sz w:val="16"/>
        </w:rPr>
        <w:t> </w:t>
      </w:r>
      <w:r>
        <w:rPr>
          <w:color w:val="231F20"/>
          <w:w w:val="110"/>
          <w:sz w:val="16"/>
        </w:rPr>
        <w:t>la</w:t>
      </w:r>
      <w:r>
        <w:rPr>
          <w:color w:val="231F20"/>
          <w:spacing w:val="-3"/>
          <w:w w:val="110"/>
          <w:sz w:val="16"/>
        </w:rPr>
        <w:t> </w:t>
      </w:r>
      <w:r>
        <w:rPr>
          <w:color w:val="231F20"/>
          <w:w w:val="110"/>
          <w:sz w:val="16"/>
        </w:rPr>
        <w:t>utilización de los recursos genéticos (Secretaría del Convenio sobre la Diversidad Biológica,</w:t>
      </w:r>
      <w:r>
        <w:rPr>
          <w:color w:val="231F20"/>
          <w:spacing w:val="27"/>
          <w:w w:val="110"/>
          <w:sz w:val="16"/>
        </w:rPr>
        <w:t> </w:t>
      </w:r>
      <w:r>
        <w:rPr>
          <w:color w:val="231F20"/>
          <w:w w:val="110"/>
          <w:sz w:val="16"/>
        </w:rPr>
        <w:t>2011).</w:t>
      </w:r>
    </w:p>
    <w:p>
      <w:pPr>
        <w:spacing w:line="256" w:lineRule="auto" w:before="0"/>
        <w:ind w:left="124" w:right="112" w:firstLine="360"/>
        <w:jc w:val="both"/>
        <w:rPr>
          <w:sz w:val="16"/>
        </w:rPr>
      </w:pPr>
      <w:r>
        <w:rPr>
          <w:color w:val="231F20"/>
          <w:w w:val="110"/>
          <w:sz w:val="16"/>
        </w:rPr>
        <w:t>El </w:t>
      </w:r>
      <w:r>
        <w:rPr>
          <w:color w:val="231F20"/>
          <w:spacing w:val="-4"/>
          <w:w w:val="110"/>
          <w:sz w:val="16"/>
        </w:rPr>
        <w:t>Protocolo </w:t>
      </w:r>
      <w:r>
        <w:rPr>
          <w:color w:val="231F20"/>
          <w:w w:val="110"/>
          <w:sz w:val="16"/>
        </w:rPr>
        <w:t>de </w:t>
      </w:r>
      <w:r>
        <w:rPr>
          <w:color w:val="231F20"/>
          <w:spacing w:val="-4"/>
          <w:w w:val="110"/>
          <w:sz w:val="16"/>
        </w:rPr>
        <w:t>Nagoya sobre Acceso </w:t>
      </w:r>
      <w:r>
        <w:rPr>
          <w:color w:val="231F20"/>
          <w:w w:val="110"/>
          <w:sz w:val="16"/>
        </w:rPr>
        <w:t>a </w:t>
      </w:r>
      <w:r>
        <w:rPr>
          <w:color w:val="231F20"/>
          <w:spacing w:val="-3"/>
          <w:w w:val="110"/>
          <w:sz w:val="16"/>
        </w:rPr>
        <w:t>los </w:t>
      </w:r>
      <w:r>
        <w:rPr>
          <w:color w:val="231F20"/>
          <w:spacing w:val="-4"/>
          <w:w w:val="110"/>
          <w:sz w:val="16"/>
        </w:rPr>
        <w:t>Recursos Genéticos </w:t>
      </w:r>
      <w:r>
        <w:rPr>
          <w:color w:val="231F20"/>
          <w:w w:val="110"/>
          <w:sz w:val="16"/>
        </w:rPr>
        <w:t>y </w:t>
      </w:r>
      <w:r>
        <w:rPr>
          <w:color w:val="231F20"/>
          <w:spacing w:val="-5"/>
          <w:w w:val="110"/>
          <w:sz w:val="16"/>
        </w:rPr>
        <w:t>Participación </w:t>
      </w:r>
      <w:r>
        <w:rPr>
          <w:color w:val="231F20"/>
          <w:spacing w:val="-4"/>
          <w:w w:val="110"/>
          <w:sz w:val="16"/>
        </w:rPr>
        <w:t>Justa </w:t>
      </w:r>
      <w:r>
        <w:rPr>
          <w:color w:val="231F20"/>
          <w:w w:val="110"/>
          <w:sz w:val="16"/>
        </w:rPr>
        <w:t>y </w:t>
      </w:r>
      <w:r>
        <w:rPr>
          <w:color w:val="231F20"/>
          <w:spacing w:val="-4"/>
          <w:w w:val="110"/>
          <w:sz w:val="16"/>
        </w:rPr>
        <w:t>Equi- </w:t>
      </w:r>
      <w:r>
        <w:rPr>
          <w:color w:val="231F20"/>
          <w:w w:val="110"/>
          <w:sz w:val="16"/>
        </w:rPr>
        <w:t>tativa</w:t>
      </w:r>
      <w:r>
        <w:rPr>
          <w:color w:val="231F20"/>
          <w:spacing w:val="-8"/>
          <w:w w:val="110"/>
          <w:sz w:val="16"/>
        </w:rPr>
        <w:t> </w:t>
      </w:r>
      <w:r>
        <w:rPr>
          <w:color w:val="231F20"/>
          <w:w w:val="110"/>
          <w:sz w:val="16"/>
        </w:rPr>
        <w:t>en</w:t>
      </w:r>
      <w:r>
        <w:rPr>
          <w:color w:val="231F20"/>
          <w:spacing w:val="-8"/>
          <w:w w:val="110"/>
          <w:sz w:val="16"/>
        </w:rPr>
        <w:t> </w:t>
      </w:r>
      <w:r>
        <w:rPr>
          <w:color w:val="231F20"/>
          <w:w w:val="110"/>
          <w:sz w:val="16"/>
        </w:rPr>
        <w:t>los</w:t>
      </w:r>
      <w:r>
        <w:rPr>
          <w:color w:val="231F20"/>
          <w:spacing w:val="-8"/>
          <w:w w:val="110"/>
          <w:sz w:val="16"/>
        </w:rPr>
        <w:t> </w:t>
      </w:r>
      <w:r>
        <w:rPr>
          <w:color w:val="231F20"/>
          <w:w w:val="110"/>
          <w:sz w:val="16"/>
        </w:rPr>
        <w:t>Beneficios</w:t>
      </w:r>
      <w:r>
        <w:rPr>
          <w:color w:val="231F20"/>
          <w:spacing w:val="-8"/>
          <w:w w:val="110"/>
          <w:sz w:val="16"/>
        </w:rPr>
        <w:t> </w:t>
      </w:r>
      <w:r>
        <w:rPr>
          <w:color w:val="231F20"/>
          <w:w w:val="110"/>
          <w:sz w:val="16"/>
        </w:rPr>
        <w:t>que</w:t>
      </w:r>
      <w:r>
        <w:rPr>
          <w:color w:val="231F20"/>
          <w:spacing w:val="-8"/>
          <w:w w:val="110"/>
          <w:sz w:val="16"/>
        </w:rPr>
        <w:t> </w:t>
      </w:r>
      <w:r>
        <w:rPr>
          <w:color w:val="231F20"/>
          <w:w w:val="110"/>
          <w:sz w:val="16"/>
        </w:rPr>
        <w:t>se</w:t>
      </w:r>
      <w:r>
        <w:rPr>
          <w:color w:val="231F20"/>
          <w:spacing w:val="-8"/>
          <w:w w:val="110"/>
          <w:sz w:val="16"/>
        </w:rPr>
        <w:t> </w:t>
      </w:r>
      <w:r>
        <w:rPr>
          <w:color w:val="231F20"/>
          <w:w w:val="110"/>
          <w:sz w:val="16"/>
        </w:rPr>
        <w:t>Deriven</w:t>
      </w:r>
      <w:r>
        <w:rPr>
          <w:color w:val="231F20"/>
          <w:spacing w:val="-8"/>
          <w:w w:val="110"/>
          <w:sz w:val="16"/>
        </w:rPr>
        <w:t> </w:t>
      </w:r>
      <w:r>
        <w:rPr>
          <w:color w:val="231F20"/>
          <w:w w:val="110"/>
          <w:sz w:val="16"/>
        </w:rPr>
        <w:t>de</w:t>
      </w:r>
      <w:r>
        <w:rPr>
          <w:color w:val="231F20"/>
          <w:spacing w:val="-8"/>
          <w:w w:val="110"/>
          <w:sz w:val="16"/>
        </w:rPr>
        <w:t> </w:t>
      </w:r>
      <w:r>
        <w:rPr>
          <w:color w:val="231F20"/>
          <w:w w:val="110"/>
          <w:sz w:val="16"/>
        </w:rPr>
        <w:t>su</w:t>
      </w:r>
      <w:r>
        <w:rPr>
          <w:color w:val="231F20"/>
          <w:spacing w:val="-8"/>
          <w:w w:val="110"/>
          <w:sz w:val="16"/>
        </w:rPr>
        <w:t> </w:t>
      </w:r>
      <w:r>
        <w:rPr>
          <w:color w:val="231F20"/>
          <w:w w:val="110"/>
          <w:sz w:val="16"/>
        </w:rPr>
        <w:t>Utilización</w:t>
      </w:r>
      <w:r>
        <w:rPr>
          <w:color w:val="231F20"/>
          <w:spacing w:val="-8"/>
          <w:w w:val="110"/>
          <w:sz w:val="16"/>
        </w:rPr>
        <w:t> </w:t>
      </w:r>
      <w:r>
        <w:rPr>
          <w:color w:val="231F20"/>
          <w:w w:val="110"/>
          <w:sz w:val="16"/>
        </w:rPr>
        <w:t>al</w:t>
      </w:r>
      <w:r>
        <w:rPr>
          <w:color w:val="231F20"/>
          <w:spacing w:val="-8"/>
          <w:w w:val="110"/>
          <w:sz w:val="16"/>
        </w:rPr>
        <w:t> </w:t>
      </w:r>
      <w:r>
        <w:rPr>
          <w:color w:val="231F20"/>
          <w:w w:val="110"/>
          <w:sz w:val="16"/>
        </w:rPr>
        <w:t>Convenio</w:t>
      </w:r>
      <w:r>
        <w:rPr>
          <w:color w:val="231F20"/>
          <w:spacing w:val="-8"/>
          <w:w w:val="110"/>
          <w:sz w:val="16"/>
        </w:rPr>
        <w:t> </w:t>
      </w:r>
      <w:r>
        <w:rPr>
          <w:color w:val="231F20"/>
          <w:w w:val="110"/>
          <w:sz w:val="16"/>
        </w:rPr>
        <w:t>sobre</w:t>
      </w:r>
      <w:r>
        <w:rPr>
          <w:color w:val="231F20"/>
          <w:spacing w:val="-8"/>
          <w:w w:val="110"/>
          <w:sz w:val="16"/>
        </w:rPr>
        <w:t> </w:t>
      </w:r>
      <w:r>
        <w:rPr>
          <w:color w:val="231F20"/>
          <w:w w:val="110"/>
          <w:sz w:val="16"/>
        </w:rPr>
        <w:t>la</w:t>
      </w:r>
      <w:r>
        <w:rPr>
          <w:color w:val="231F20"/>
          <w:spacing w:val="-8"/>
          <w:w w:val="110"/>
          <w:sz w:val="16"/>
        </w:rPr>
        <w:t> </w:t>
      </w:r>
      <w:r>
        <w:rPr>
          <w:color w:val="231F20"/>
          <w:w w:val="110"/>
          <w:sz w:val="16"/>
        </w:rPr>
        <w:t>Diversidad</w:t>
      </w:r>
      <w:r>
        <w:rPr>
          <w:color w:val="231F20"/>
          <w:spacing w:val="-8"/>
          <w:w w:val="110"/>
          <w:sz w:val="16"/>
        </w:rPr>
        <w:t> </w:t>
      </w:r>
      <w:r>
        <w:rPr>
          <w:color w:val="231F20"/>
          <w:w w:val="110"/>
          <w:sz w:val="16"/>
        </w:rPr>
        <w:t>Bioló- </w:t>
      </w:r>
      <w:r>
        <w:rPr>
          <w:color w:val="231F20"/>
          <w:spacing w:val="-3"/>
          <w:w w:val="110"/>
          <w:sz w:val="16"/>
        </w:rPr>
        <w:t>gica</w:t>
      </w:r>
      <w:r>
        <w:rPr>
          <w:color w:val="231F20"/>
          <w:spacing w:val="-9"/>
          <w:w w:val="110"/>
          <w:sz w:val="16"/>
        </w:rPr>
        <w:t> </w:t>
      </w:r>
      <w:r>
        <w:rPr>
          <w:color w:val="231F20"/>
          <w:spacing w:val="-3"/>
          <w:w w:val="110"/>
          <w:sz w:val="16"/>
        </w:rPr>
        <w:t>fue</w:t>
      </w:r>
      <w:r>
        <w:rPr>
          <w:color w:val="231F20"/>
          <w:spacing w:val="-9"/>
          <w:w w:val="110"/>
          <w:sz w:val="16"/>
        </w:rPr>
        <w:t> </w:t>
      </w:r>
      <w:r>
        <w:rPr>
          <w:color w:val="231F20"/>
          <w:spacing w:val="-4"/>
          <w:w w:val="110"/>
          <w:sz w:val="16"/>
        </w:rPr>
        <w:t>adoptado,</w:t>
      </w:r>
      <w:r>
        <w:rPr>
          <w:color w:val="231F20"/>
          <w:spacing w:val="-9"/>
          <w:w w:val="110"/>
          <w:sz w:val="16"/>
        </w:rPr>
        <w:t> </w:t>
      </w:r>
      <w:r>
        <w:rPr>
          <w:color w:val="231F20"/>
          <w:spacing w:val="-3"/>
          <w:w w:val="110"/>
          <w:sz w:val="16"/>
        </w:rPr>
        <w:t>tras</w:t>
      </w:r>
      <w:r>
        <w:rPr>
          <w:color w:val="231F20"/>
          <w:spacing w:val="-9"/>
          <w:w w:val="110"/>
          <w:sz w:val="16"/>
        </w:rPr>
        <w:t> </w:t>
      </w:r>
      <w:r>
        <w:rPr>
          <w:color w:val="231F20"/>
          <w:spacing w:val="-3"/>
          <w:w w:val="110"/>
          <w:sz w:val="16"/>
        </w:rPr>
        <w:t>seis</w:t>
      </w:r>
      <w:r>
        <w:rPr>
          <w:color w:val="231F20"/>
          <w:spacing w:val="-9"/>
          <w:w w:val="110"/>
          <w:sz w:val="16"/>
        </w:rPr>
        <w:t> </w:t>
      </w:r>
      <w:r>
        <w:rPr>
          <w:color w:val="231F20"/>
          <w:spacing w:val="-3"/>
          <w:w w:val="110"/>
          <w:sz w:val="16"/>
        </w:rPr>
        <w:t>años</w:t>
      </w:r>
      <w:r>
        <w:rPr>
          <w:color w:val="231F20"/>
          <w:spacing w:val="-9"/>
          <w:w w:val="110"/>
          <w:sz w:val="16"/>
        </w:rPr>
        <w:t> </w:t>
      </w:r>
      <w:r>
        <w:rPr>
          <w:color w:val="231F20"/>
          <w:w w:val="110"/>
          <w:sz w:val="16"/>
        </w:rPr>
        <w:t>de</w:t>
      </w:r>
      <w:r>
        <w:rPr>
          <w:color w:val="231F20"/>
          <w:spacing w:val="-9"/>
          <w:w w:val="110"/>
          <w:sz w:val="16"/>
        </w:rPr>
        <w:t> </w:t>
      </w:r>
      <w:r>
        <w:rPr>
          <w:color w:val="231F20"/>
          <w:spacing w:val="-4"/>
          <w:w w:val="110"/>
          <w:sz w:val="16"/>
        </w:rPr>
        <w:t>negociaciones,</w:t>
      </w:r>
      <w:r>
        <w:rPr>
          <w:color w:val="231F20"/>
          <w:spacing w:val="-9"/>
          <w:w w:val="110"/>
          <w:sz w:val="16"/>
        </w:rPr>
        <w:t> </w:t>
      </w:r>
      <w:r>
        <w:rPr>
          <w:color w:val="231F20"/>
          <w:w w:val="110"/>
          <w:sz w:val="16"/>
        </w:rPr>
        <w:t>el</w:t>
      </w:r>
      <w:r>
        <w:rPr>
          <w:color w:val="231F20"/>
          <w:spacing w:val="-9"/>
          <w:w w:val="110"/>
          <w:sz w:val="16"/>
        </w:rPr>
        <w:t> </w:t>
      </w:r>
      <w:r>
        <w:rPr>
          <w:color w:val="231F20"/>
          <w:w w:val="110"/>
          <w:sz w:val="16"/>
        </w:rPr>
        <w:t>29</w:t>
      </w:r>
      <w:r>
        <w:rPr>
          <w:color w:val="231F20"/>
          <w:spacing w:val="-9"/>
          <w:w w:val="110"/>
          <w:sz w:val="16"/>
        </w:rPr>
        <w:t> </w:t>
      </w:r>
      <w:r>
        <w:rPr>
          <w:color w:val="231F20"/>
          <w:w w:val="110"/>
          <w:sz w:val="16"/>
        </w:rPr>
        <w:t>de</w:t>
      </w:r>
      <w:r>
        <w:rPr>
          <w:color w:val="231F20"/>
          <w:spacing w:val="-9"/>
          <w:w w:val="110"/>
          <w:sz w:val="16"/>
        </w:rPr>
        <w:t> </w:t>
      </w:r>
      <w:r>
        <w:rPr>
          <w:color w:val="231F20"/>
          <w:spacing w:val="-4"/>
          <w:w w:val="110"/>
          <w:sz w:val="16"/>
        </w:rPr>
        <w:t>octubre</w:t>
      </w:r>
      <w:r>
        <w:rPr>
          <w:color w:val="231F20"/>
          <w:spacing w:val="-9"/>
          <w:w w:val="110"/>
          <w:sz w:val="16"/>
        </w:rPr>
        <w:t> </w:t>
      </w:r>
      <w:r>
        <w:rPr>
          <w:color w:val="231F20"/>
          <w:w w:val="110"/>
          <w:sz w:val="16"/>
        </w:rPr>
        <w:t>de</w:t>
      </w:r>
      <w:r>
        <w:rPr>
          <w:color w:val="231F20"/>
          <w:spacing w:val="-9"/>
          <w:w w:val="110"/>
          <w:sz w:val="16"/>
        </w:rPr>
        <w:t> </w:t>
      </w:r>
      <w:r>
        <w:rPr>
          <w:color w:val="231F20"/>
          <w:spacing w:val="-4"/>
          <w:w w:val="110"/>
          <w:sz w:val="16"/>
        </w:rPr>
        <w:t>2010,</w:t>
      </w:r>
      <w:r>
        <w:rPr>
          <w:color w:val="231F20"/>
          <w:spacing w:val="-9"/>
          <w:w w:val="110"/>
          <w:sz w:val="16"/>
        </w:rPr>
        <w:t> </w:t>
      </w:r>
      <w:r>
        <w:rPr>
          <w:color w:val="231F20"/>
          <w:w w:val="110"/>
          <w:sz w:val="16"/>
        </w:rPr>
        <w:t>en</w:t>
      </w:r>
      <w:r>
        <w:rPr>
          <w:color w:val="231F20"/>
          <w:spacing w:val="-9"/>
          <w:w w:val="110"/>
          <w:sz w:val="16"/>
        </w:rPr>
        <w:t> </w:t>
      </w:r>
      <w:r>
        <w:rPr>
          <w:color w:val="231F20"/>
          <w:w w:val="110"/>
          <w:sz w:val="16"/>
        </w:rPr>
        <w:t>la</w:t>
      </w:r>
      <w:r>
        <w:rPr>
          <w:color w:val="231F20"/>
          <w:spacing w:val="-9"/>
          <w:w w:val="110"/>
          <w:sz w:val="16"/>
        </w:rPr>
        <w:t> </w:t>
      </w:r>
      <w:r>
        <w:rPr>
          <w:color w:val="231F20"/>
          <w:spacing w:val="-4"/>
          <w:w w:val="110"/>
          <w:sz w:val="16"/>
        </w:rPr>
        <w:t>décima</w:t>
      </w:r>
      <w:r>
        <w:rPr>
          <w:color w:val="231F20"/>
          <w:spacing w:val="-9"/>
          <w:w w:val="110"/>
          <w:sz w:val="16"/>
        </w:rPr>
        <w:t> </w:t>
      </w:r>
      <w:r>
        <w:rPr>
          <w:color w:val="231F20"/>
          <w:spacing w:val="-4"/>
          <w:w w:val="110"/>
          <w:sz w:val="16"/>
        </w:rPr>
        <w:t>reunión </w:t>
      </w:r>
      <w:r>
        <w:rPr>
          <w:color w:val="231F20"/>
          <w:w w:val="110"/>
          <w:sz w:val="16"/>
        </w:rPr>
        <w:t>de la Conferencia de las Partes, celebrada en Nagoya, Japón. Las disposiciones del Protocolo, relativas al acceso a los conocimientos tradicionales de las comunidades indígenas y locales, cuando dichos conocimientos están relacionados con recursos genéticos, fortalecerán la capacidad</w:t>
      </w:r>
      <w:r>
        <w:rPr>
          <w:color w:val="231F20"/>
          <w:spacing w:val="-5"/>
          <w:w w:val="110"/>
          <w:sz w:val="16"/>
        </w:rPr>
        <w:t> </w:t>
      </w:r>
      <w:r>
        <w:rPr>
          <w:color w:val="231F20"/>
          <w:w w:val="110"/>
          <w:sz w:val="16"/>
        </w:rPr>
        <w:t>de</w:t>
      </w:r>
      <w:r>
        <w:rPr>
          <w:color w:val="231F20"/>
          <w:spacing w:val="-5"/>
          <w:w w:val="110"/>
          <w:sz w:val="16"/>
        </w:rPr>
        <w:t> </w:t>
      </w:r>
      <w:r>
        <w:rPr>
          <w:color w:val="231F20"/>
          <w:w w:val="110"/>
          <w:sz w:val="16"/>
        </w:rPr>
        <w:t>esas</w:t>
      </w:r>
      <w:r>
        <w:rPr>
          <w:color w:val="231F20"/>
          <w:spacing w:val="-5"/>
          <w:w w:val="110"/>
          <w:sz w:val="16"/>
        </w:rPr>
        <w:t> </w:t>
      </w:r>
      <w:r>
        <w:rPr>
          <w:color w:val="231F20"/>
          <w:w w:val="110"/>
          <w:sz w:val="16"/>
        </w:rPr>
        <w:t>comunidades</w:t>
      </w:r>
      <w:r>
        <w:rPr>
          <w:color w:val="231F20"/>
          <w:spacing w:val="-5"/>
          <w:w w:val="110"/>
          <w:sz w:val="16"/>
        </w:rPr>
        <w:t> </w:t>
      </w:r>
      <w:r>
        <w:rPr>
          <w:color w:val="231F20"/>
          <w:w w:val="110"/>
          <w:sz w:val="16"/>
        </w:rPr>
        <w:t>para</w:t>
      </w:r>
      <w:r>
        <w:rPr>
          <w:color w:val="231F20"/>
          <w:spacing w:val="-5"/>
          <w:w w:val="110"/>
          <w:sz w:val="16"/>
        </w:rPr>
        <w:t> </w:t>
      </w:r>
      <w:r>
        <w:rPr>
          <w:color w:val="231F20"/>
          <w:w w:val="110"/>
          <w:sz w:val="16"/>
        </w:rPr>
        <w:t>beneficiarse</w:t>
      </w:r>
      <w:r>
        <w:rPr>
          <w:color w:val="231F20"/>
          <w:spacing w:val="-5"/>
          <w:w w:val="110"/>
          <w:sz w:val="16"/>
        </w:rPr>
        <w:t> </w:t>
      </w:r>
      <w:r>
        <w:rPr>
          <w:color w:val="231F20"/>
          <w:w w:val="110"/>
          <w:sz w:val="16"/>
        </w:rPr>
        <w:t>del</w:t>
      </w:r>
      <w:r>
        <w:rPr>
          <w:color w:val="231F20"/>
          <w:spacing w:val="-5"/>
          <w:w w:val="110"/>
          <w:sz w:val="16"/>
        </w:rPr>
        <w:t> </w:t>
      </w:r>
      <w:r>
        <w:rPr>
          <w:color w:val="231F20"/>
          <w:w w:val="110"/>
          <w:sz w:val="16"/>
        </w:rPr>
        <w:t>uso</w:t>
      </w:r>
      <w:r>
        <w:rPr>
          <w:color w:val="231F20"/>
          <w:spacing w:val="-5"/>
          <w:w w:val="110"/>
          <w:sz w:val="16"/>
        </w:rPr>
        <w:t> </w:t>
      </w:r>
      <w:r>
        <w:rPr>
          <w:color w:val="231F20"/>
          <w:w w:val="110"/>
          <w:sz w:val="16"/>
        </w:rPr>
        <w:t>de</w:t>
      </w:r>
      <w:r>
        <w:rPr>
          <w:color w:val="231F20"/>
          <w:spacing w:val="-5"/>
          <w:w w:val="110"/>
          <w:sz w:val="16"/>
        </w:rPr>
        <w:t> </w:t>
      </w:r>
      <w:r>
        <w:rPr>
          <w:color w:val="231F20"/>
          <w:w w:val="110"/>
          <w:sz w:val="16"/>
        </w:rPr>
        <w:t>sus</w:t>
      </w:r>
      <w:r>
        <w:rPr>
          <w:color w:val="231F20"/>
          <w:spacing w:val="-5"/>
          <w:w w:val="110"/>
          <w:sz w:val="16"/>
        </w:rPr>
        <w:t> </w:t>
      </w:r>
      <w:r>
        <w:rPr>
          <w:color w:val="231F20"/>
          <w:w w:val="110"/>
          <w:sz w:val="16"/>
        </w:rPr>
        <w:t>conocimientos,</w:t>
      </w:r>
      <w:r>
        <w:rPr>
          <w:color w:val="231F20"/>
          <w:spacing w:val="-5"/>
          <w:w w:val="110"/>
          <w:sz w:val="16"/>
        </w:rPr>
        <w:t> </w:t>
      </w:r>
      <w:r>
        <w:rPr>
          <w:color w:val="231F20"/>
          <w:w w:val="110"/>
          <w:sz w:val="16"/>
        </w:rPr>
        <w:t>innovaciones y prácticas. El protocolo generará incentivos para conservar la diversidad biológica y para utilizar de manera sostenible sus componentes, y mejorará aún más la contribución de la diversidad biológica al desarrollo sostenible y al bienestar del ser humano (Secretaría del Convenio sobre la Diversidad Biológica,</w:t>
      </w:r>
      <w:r>
        <w:rPr>
          <w:color w:val="231F20"/>
          <w:spacing w:val="-1"/>
          <w:w w:val="110"/>
          <w:sz w:val="16"/>
        </w:rPr>
        <w:t> </w:t>
      </w:r>
      <w:r>
        <w:rPr>
          <w:color w:val="231F20"/>
          <w:w w:val="110"/>
          <w:sz w:val="16"/>
        </w:rPr>
        <w:t>2011).</w:t>
      </w:r>
    </w:p>
    <w:p>
      <w:pPr>
        <w:spacing w:after="0" w:line="256" w:lineRule="auto"/>
        <w:jc w:val="both"/>
        <w:rPr>
          <w:sz w:val="16"/>
        </w:rPr>
        <w:sectPr>
          <w:pgSz w:w="9520" w:h="12920"/>
          <w:pgMar w:header="0" w:footer="1344" w:top="880" w:bottom="1540" w:left="1320" w:right="1000"/>
        </w:sectPr>
      </w:pPr>
    </w:p>
    <w:p>
      <w:pPr>
        <w:pStyle w:val="BodyText"/>
        <w:spacing w:line="288" w:lineRule="auto" w:before="42"/>
        <w:ind w:left="120" w:right="116" w:firstLine="360"/>
        <w:jc w:val="both"/>
      </w:pPr>
      <w:r>
        <w:rPr>
          <w:color w:val="231F20"/>
          <w:w w:val="110"/>
        </w:rPr>
        <w:t>A</w:t>
      </w:r>
      <w:r>
        <w:rPr>
          <w:color w:val="231F20"/>
          <w:spacing w:val="-7"/>
          <w:w w:val="110"/>
        </w:rPr>
        <w:t> </w:t>
      </w:r>
      <w:r>
        <w:rPr>
          <w:color w:val="231F20"/>
          <w:w w:val="110"/>
        </w:rPr>
        <w:t>partir</w:t>
      </w:r>
      <w:r>
        <w:rPr>
          <w:color w:val="231F20"/>
          <w:spacing w:val="-7"/>
          <w:w w:val="110"/>
        </w:rPr>
        <w:t> </w:t>
      </w:r>
      <w:r>
        <w:rPr>
          <w:color w:val="231F20"/>
          <w:w w:val="110"/>
        </w:rPr>
        <w:t>de</w:t>
      </w:r>
      <w:r>
        <w:rPr>
          <w:color w:val="231F20"/>
          <w:spacing w:val="-7"/>
          <w:w w:val="110"/>
        </w:rPr>
        <w:t> </w:t>
      </w:r>
      <w:r>
        <w:rPr>
          <w:color w:val="231F20"/>
          <w:w w:val="110"/>
        </w:rPr>
        <w:t>este</w:t>
      </w:r>
      <w:r>
        <w:rPr>
          <w:color w:val="231F20"/>
          <w:spacing w:val="-7"/>
          <w:w w:val="110"/>
        </w:rPr>
        <w:t> </w:t>
      </w:r>
      <w:r>
        <w:rPr>
          <w:color w:val="231F20"/>
          <w:w w:val="110"/>
        </w:rPr>
        <w:t>panorama,</w:t>
      </w:r>
      <w:r>
        <w:rPr>
          <w:color w:val="231F20"/>
          <w:spacing w:val="-7"/>
          <w:w w:val="110"/>
        </w:rPr>
        <w:t> </w:t>
      </w:r>
      <w:r>
        <w:rPr>
          <w:color w:val="231F20"/>
          <w:w w:val="110"/>
        </w:rPr>
        <w:t>así</w:t>
      </w:r>
      <w:r>
        <w:rPr>
          <w:color w:val="231F20"/>
          <w:spacing w:val="-7"/>
          <w:w w:val="110"/>
        </w:rPr>
        <w:t> </w:t>
      </w:r>
      <w:r>
        <w:rPr>
          <w:color w:val="231F20"/>
          <w:w w:val="110"/>
        </w:rPr>
        <w:t>como</w:t>
      </w:r>
      <w:r>
        <w:rPr>
          <w:color w:val="231F20"/>
          <w:spacing w:val="-7"/>
          <w:w w:val="110"/>
        </w:rPr>
        <w:t> </w:t>
      </w:r>
      <w:r>
        <w:rPr>
          <w:color w:val="231F20"/>
          <w:w w:val="110"/>
        </w:rPr>
        <w:t>por</w:t>
      </w:r>
      <w:r>
        <w:rPr>
          <w:color w:val="231F20"/>
          <w:spacing w:val="-7"/>
          <w:w w:val="110"/>
        </w:rPr>
        <w:t> </w:t>
      </w:r>
      <w:r>
        <w:rPr>
          <w:color w:val="231F20"/>
          <w:w w:val="110"/>
        </w:rPr>
        <w:t>la</w:t>
      </w:r>
      <w:r>
        <w:rPr>
          <w:color w:val="231F20"/>
          <w:spacing w:val="-7"/>
          <w:w w:val="110"/>
        </w:rPr>
        <w:t> </w:t>
      </w:r>
      <w:r>
        <w:rPr>
          <w:color w:val="231F20"/>
          <w:w w:val="110"/>
        </w:rPr>
        <w:t>amenaza</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escasez</w:t>
      </w:r>
      <w:r>
        <w:rPr>
          <w:color w:val="231F20"/>
          <w:spacing w:val="-7"/>
          <w:w w:val="110"/>
        </w:rPr>
        <w:t> </w:t>
      </w:r>
      <w:r>
        <w:rPr>
          <w:color w:val="231F20"/>
          <w:w w:val="110"/>
        </w:rPr>
        <w:t>de</w:t>
      </w:r>
      <w:r>
        <w:rPr>
          <w:color w:val="231F20"/>
          <w:spacing w:val="-7"/>
          <w:w w:val="110"/>
        </w:rPr>
        <w:t> </w:t>
      </w:r>
      <w:r>
        <w:rPr>
          <w:color w:val="231F20"/>
          <w:w w:val="110"/>
        </w:rPr>
        <w:t>los alimentos en México y la falta de calidad de los mismos, urge reflexionar sobre los apremiantes problemas —socioeconómicos y ambientales—</w:t>
      </w:r>
      <w:r>
        <w:rPr>
          <w:color w:val="231F20"/>
          <w:spacing w:val="-9"/>
          <w:w w:val="110"/>
        </w:rPr>
        <w:t> </w:t>
      </w:r>
      <w:r>
        <w:rPr>
          <w:color w:val="231F20"/>
          <w:w w:val="110"/>
        </w:rPr>
        <w:t>que enfrentan las familias campesinas para cultivar sus tierras en diferentes regiones del país. </w:t>
      </w:r>
      <w:r>
        <w:rPr>
          <w:color w:val="231F20"/>
          <w:spacing w:val="-5"/>
          <w:w w:val="110"/>
        </w:rPr>
        <w:t>Tal </w:t>
      </w:r>
      <w:r>
        <w:rPr>
          <w:color w:val="231F20"/>
          <w:w w:val="110"/>
        </w:rPr>
        <w:t>es el caso de los pueblos mazahuas del </w:t>
      </w:r>
      <w:r>
        <w:rPr>
          <w:color w:val="231F20"/>
          <w:spacing w:val="-5"/>
          <w:w w:val="110"/>
        </w:rPr>
        <w:t>Valle </w:t>
      </w:r>
      <w:r>
        <w:rPr>
          <w:color w:val="231F20"/>
          <w:w w:val="110"/>
        </w:rPr>
        <w:t>de Ixtla- huaca, Estado de México, donde los agricultores aún cultivan maíz, frijol y calabaza</w:t>
      </w:r>
      <w:r>
        <w:rPr>
          <w:color w:val="231F20"/>
          <w:spacing w:val="-18"/>
          <w:w w:val="110"/>
        </w:rPr>
        <w:t> </w:t>
      </w:r>
      <w:r>
        <w:rPr>
          <w:color w:val="231F20"/>
          <w:w w:val="110"/>
        </w:rPr>
        <w:t>en</w:t>
      </w:r>
      <w:r>
        <w:rPr>
          <w:color w:val="231F20"/>
          <w:spacing w:val="-18"/>
          <w:w w:val="110"/>
        </w:rPr>
        <w:t> </w:t>
      </w:r>
      <w:r>
        <w:rPr>
          <w:color w:val="231F20"/>
          <w:w w:val="110"/>
        </w:rPr>
        <w:t>el</w:t>
      </w:r>
      <w:r>
        <w:rPr>
          <w:color w:val="231F20"/>
          <w:spacing w:val="-18"/>
          <w:w w:val="110"/>
        </w:rPr>
        <w:t> </w:t>
      </w:r>
      <w:r>
        <w:rPr>
          <w:color w:val="231F20"/>
          <w:w w:val="110"/>
        </w:rPr>
        <w:t>agroecosistema</w:t>
      </w:r>
      <w:r>
        <w:rPr>
          <w:color w:val="231F20"/>
          <w:spacing w:val="-18"/>
          <w:w w:val="110"/>
        </w:rPr>
        <w:t> </w:t>
      </w:r>
      <w:r>
        <w:rPr>
          <w:color w:val="231F20"/>
          <w:w w:val="110"/>
        </w:rPr>
        <w:t>tradicional</w:t>
      </w:r>
      <w:r>
        <w:rPr>
          <w:color w:val="231F20"/>
          <w:spacing w:val="-18"/>
          <w:w w:val="110"/>
        </w:rPr>
        <w:t> </w:t>
      </w:r>
      <w:r>
        <w:rPr>
          <w:color w:val="231F20"/>
          <w:w w:val="110"/>
        </w:rPr>
        <w:t>de</w:t>
      </w:r>
      <w:r>
        <w:rPr>
          <w:color w:val="231F20"/>
          <w:spacing w:val="-18"/>
          <w:w w:val="110"/>
        </w:rPr>
        <w:t> </w:t>
      </w:r>
      <w:r>
        <w:rPr>
          <w:color w:val="231F20"/>
          <w:w w:val="110"/>
        </w:rPr>
        <w:t>temporal</w:t>
      </w:r>
      <w:r>
        <w:rPr>
          <w:color w:val="231F20"/>
          <w:spacing w:val="-18"/>
          <w:w w:val="110"/>
        </w:rPr>
        <w:t> </w:t>
      </w:r>
      <w:r>
        <w:rPr>
          <w:color w:val="231F20"/>
          <w:w w:val="110"/>
        </w:rPr>
        <w:t>denominado</w:t>
      </w:r>
      <w:r>
        <w:rPr>
          <w:color w:val="231F20"/>
          <w:spacing w:val="-18"/>
          <w:w w:val="110"/>
        </w:rPr>
        <w:t> </w:t>
      </w:r>
      <w:r>
        <w:rPr>
          <w:color w:val="231F20"/>
          <w:w w:val="110"/>
        </w:rPr>
        <w:t>“milpa”. Estos cultivos son la base de la alimentación cotidiana, además recolectan diferentes plantas comestibles que se dan de forma natural en la milpa, conocidas localmente como “quelites de temporada” y complementan su alimentación con la crianza de animales</w:t>
      </w:r>
      <w:r>
        <w:rPr>
          <w:color w:val="231F20"/>
          <w:spacing w:val="46"/>
          <w:w w:val="110"/>
        </w:rPr>
        <w:t> </w:t>
      </w:r>
      <w:r>
        <w:rPr>
          <w:color w:val="231F20"/>
          <w:w w:val="110"/>
        </w:rPr>
        <w:t>domésticos.</w:t>
      </w:r>
    </w:p>
    <w:p>
      <w:pPr>
        <w:pStyle w:val="BodyText"/>
        <w:spacing w:line="288" w:lineRule="auto"/>
        <w:ind w:left="120" w:right="116" w:firstLine="360"/>
        <w:jc w:val="both"/>
      </w:pPr>
      <w:r>
        <w:rPr>
          <w:color w:val="231F20"/>
          <w:w w:val="110"/>
        </w:rPr>
        <w:t>El presente capítulo sistematiza las experiencias y los resultados de investigaciones previas (González y Reyes, 2006; Reyes, 2003, 2007, 2009 y 2012) con el objetivo de contribuir al análisis, diálogo y formulación de políticas públicas orientadas a los retos que enfrentan dichas familias</w:t>
      </w:r>
      <w:r>
        <w:rPr>
          <w:color w:val="231F20"/>
          <w:spacing w:val="-22"/>
          <w:w w:val="110"/>
        </w:rPr>
        <w:t> </w:t>
      </w:r>
      <w:r>
        <w:rPr>
          <w:color w:val="231F20"/>
          <w:w w:val="110"/>
        </w:rPr>
        <w:t>para producir sus alimentos básicos de manera tradicional y profundizar en el análisis de la realidad en la que viven y realizan el trabajo </w:t>
      </w:r>
      <w:r>
        <w:rPr>
          <w:color w:val="231F20"/>
          <w:spacing w:val="3"/>
          <w:w w:val="110"/>
        </w:rPr>
        <w:t> </w:t>
      </w:r>
      <w:r>
        <w:rPr>
          <w:color w:val="231F20"/>
          <w:w w:val="110"/>
        </w:rPr>
        <w:t>agrícola.</w:t>
      </w:r>
    </w:p>
    <w:p>
      <w:pPr>
        <w:pStyle w:val="BodyText"/>
        <w:spacing w:line="288" w:lineRule="auto"/>
        <w:ind w:left="120" w:right="116" w:firstLine="360"/>
        <w:jc w:val="both"/>
      </w:pPr>
      <w:r>
        <w:rPr>
          <w:color w:val="231F20"/>
          <w:w w:val="110"/>
        </w:rPr>
        <w:t>Para alcanzar dicho objetivo se analizan —desde la base teórico-meto- dológica de la Antropología ecológica—</w:t>
      </w:r>
      <w:r>
        <w:rPr>
          <w:color w:val="231F20"/>
          <w:w w:val="110"/>
          <w:position w:val="6"/>
          <w:sz w:val="11"/>
        </w:rPr>
        <w:t>6 </w:t>
      </w:r>
      <w:r>
        <w:rPr>
          <w:color w:val="231F20"/>
          <w:w w:val="110"/>
        </w:rPr>
        <w:t>dos cuestiones específicas: ¿cuá- les son los cambios y/o ajustes que las familias campesinas del </w:t>
      </w:r>
      <w:r>
        <w:rPr>
          <w:color w:val="231F20"/>
          <w:spacing w:val="-4"/>
          <w:w w:val="110"/>
        </w:rPr>
        <w:t>Valle </w:t>
      </w:r>
      <w:r>
        <w:rPr>
          <w:color w:val="231F20"/>
          <w:w w:val="110"/>
        </w:rPr>
        <w:t>de Ixtlahuaca</w:t>
      </w:r>
      <w:r>
        <w:rPr>
          <w:color w:val="231F20"/>
          <w:spacing w:val="-6"/>
          <w:w w:val="110"/>
        </w:rPr>
        <w:t> </w:t>
      </w:r>
      <w:r>
        <w:rPr>
          <w:color w:val="231F20"/>
          <w:w w:val="110"/>
        </w:rPr>
        <w:t>han</w:t>
      </w:r>
      <w:r>
        <w:rPr>
          <w:color w:val="231F20"/>
          <w:spacing w:val="-6"/>
          <w:w w:val="110"/>
        </w:rPr>
        <w:t> </w:t>
      </w:r>
      <w:r>
        <w:rPr>
          <w:color w:val="231F20"/>
          <w:w w:val="110"/>
        </w:rPr>
        <w:t>implementado</w:t>
      </w:r>
      <w:r>
        <w:rPr>
          <w:color w:val="231F20"/>
          <w:spacing w:val="-6"/>
          <w:w w:val="110"/>
        </w:rPr>
        <w:t> </w:t>
      </w:r>
      <w:r>
        <w:rPr>
          <w:color w:val="231F20"/>
          <w:w w:val="110"/>
        </w:rPr>
        <w:t>en</w:t>
      </w:r>
      <w:r>
        <w:rPr>
          <w:color w:val="231F20"/>
          <w:spacing w:val="-6"/>
          <w:w w:val="110"/>
        </w:rPr>
        <w:t> </w:t>
      </w:r>
      <w:r>
        <w:rPr>
          <w:color w:val="231F20"/>
          <w:w w:val="110"/>
        </w:rPr>
        <w:t>su</w:t>
      </w:r>
      <w:r>
        <w:rPr>
          <w:color w:val="231F20"/>
          <w:spacing w:val="-6"/>
          <w:w w:val="110"/>
        </w:rPr>
        <w:t> </w:t>
      </w:r>
      <w:r>
        <w:rPr>
          <w:color w:val="231F20"/>
          <w:w w:val="110"/>
        </w:rPr>
        <w:t>organización</w:t>
      </w:r>
      <w:r>
        <w:rPr>
          <w:color w:val="231F20"/>
          <w:spacing w:val="-6"/>
          <w:w w:val="110"/>
        </w:rPr>
        <w:t> </w:t>
      </w:r>
      <w:r>
        <w:rPr>
          <w:color w:val="231F20"/>
          <w:w w:val="110"/>
        </w:rPr>
        <w:t>sociocultural</w:t>
      </w:r>
      <w:r>
        <w:rPr>
          <w:color w:val="231F20"/>
          <w:spacing w:val="-6"/>
          <w:w w:val="110"/>
        </w:rPr>
        <w:t> </w:t>
      </w:r>
      <w:r>
        <w:rPr>
          <w:color w:val="231F20"/>
          <w:w w:val="110"/>
        </w:rPr>
        <w:t>para</w:t>
      </w:r>
      <w:r>
        <w:rPr>
          <w:color w:val="231F20"/>
          <w:spacing w:val="-6"/>
          <w:w w:val="110"/>
        </w:rPr>
        <w:t> </w:t>
      </w:r>
      <w:r>
        <w:rPr>
          <w:color w:val="231F20"/>
          <w:w w:val="110"/>
        </w:rPr>
        <w:t>garan- tizar su subsistencia? </w:t>
      </w:r>
      <w:r>
        <w:rPr>
          <w:color w:val="231F20"/>
          <w:spacing w:val="-10"/>
          <w:w w:val="110"/>
        </w:rPr>
        <w:t>Y, </w:t>
      </w:r>
      <w:r>
        <w:rPr>
          <w:color w:val="231F20"/>
          <w:w w:val="110"/>
        </w:rPr>
        <w:t>¿cuál es el futuro inmediato de la autosuficiencia alimentaria de aquellas familias que aún cultivan maíz de manera</w:t>
      </w:r>
      <w:r>
        <w:rPr>
          <w:color w:val="231F20"/>
          <w:spacing w:val="-20"/>
          <w:w w:val="110"/>
        </w:rPr>
        <w:t> </w:t>
      </w:r>
      <w:r>
        <w:rPr>
          <w:color w:val="231F20"/>
          <w:w w:val="110"/>
        </w:rPr>
        <w:t>tradicio- nal en el </w:t>
      </w:r>
      <w:r>
        <w:rPr>
          <w:color w:val="231F20"/>
          <w:spacing w:val="-5"/>
          <w:w w:val="110"/>
        </w:rPr>
        <w:t>Valle </w:t>
      </w:r>
      <w:r>
        <w:rPr>
          <w:color w:val="231F20"/>
          <w:w w:val="110"/>
        </w:rPr>
        <w:t>de </w:t>
      </w:r>
      <w:r>
        <w:rPr>
          <w:color w:val="231F20"/>
          <w:spacing w:val="1"/>
          <w:w w:val="110"/>
        </w:rPr>
        <w:t> </w:t>
      </w:r>
      <w:r>
        <w:rPr>
          <w:color w:val="231F20"/>
          <w:w w:val="110"/>
        </w:rPr>
        <w:t>Ixtlahuaca?</w:t>
      </w:r>
    </w:p>
    <w:p>
      <w:pPr>
        <w:pStyle w:val="BodyText"/>
        <w:spacing w:line="288" w:lineRule="auto"/>
        <w:ind w:left="120" w:right="117" w:firstLine="360"/>
        <w:jc w:val="both"/>
      </w:pPr>
      <w:r>
        <w:rPr>
          <w:color w:val="231F20"/>
          <w:w w:val="110"/>
        </w:rPr>
        <w:t>El capítulo se divide en cuatro apartados, en el primero, denominado “Las características ambientales y la industrialización en la región de estu- dio”, se desarrollan las características ambientales de la región de  estudio</w:t>
      </w:r>
    </w:p>
    <w:p>
      <w:pPr>
        <w:pStyle w:val="BodyText"/>
        <w:spacing w:line="288" w:lineRule="auto"/>
        <w:ind w:left="120" w:right="117"/>
        <w:jc w:val="both"/>
      </w:pPr>
      <w:r>
        <w:rPr>
          <w:color w:val="231F20"/>
          <w:w w:val="105"/>
        </w:rPr>
        <w:t>—ubicación geográfica,  clima,  altitud,  asentamientos,  recursos  naturales— y se </w:t>
      </w:r>
      <w:r>
        <w:rPr>
          <w:color w:val="231F20"/>
          <w:spacing w:val="-4"/>
          <w:w w:val="105"/>
        </w:rPr>
        <w:t>señalan </w:t>
      </w:r>
      <w:r>
        <w:rPr>
          <w:color w:val="231F20"/>
          <w:spacing w:val="-3"/>
          <w:w w:val="105"/>
        </w:rPr>
        <w:t>los </w:t>
      </w:r>
      <w:r>
        <w:rPr>
          <w:color w:val="231F20"/>
          <w:spacing w:val="-4"/>
          <w:w w:val="105"/>
        </w:rPr>
        <w:t>antecedentes </w:t>
      </w:r>
      <w:r>
        <w:rPr>
          <w:color w:val="231F20"/>
          <w:w w:val="105"/>
        </w:rPr>
        <w:t>de la </w:t>
      </w:r>
      <w:r>
        <w:rPr>
          <w:color w:val="231F20"/>
          <w:spacing w:val="-4"/>
          <w:w w:val="105"/>
        </w:rPr>
        <w:t>industrialización </w:t>
      </w:r>
      <w:r>
        <w:rPr>
          <w:color w:val="231F20"/>
          <w:w w:val="105"/>
        </w:rPr>
        <w:t>en el </w:t>
      </w:r>
      <w:r>
        <w:rPr>
          <w:color w:val="231F20"/>
          <w:spacing w:val="-8"/>
          <w:w w:val="105"/>
        </w:rPr>
        <w:t>Valle </w:t>
      </w:r>
      <w:r>
        <w:rPr>
          <w:color w:val="231F20"/>
          <w:w w:val="105"/>
        </w:rPr>
        <w:t>de </w:t>
      </w:r>
      <w:r>
        <w:rPr>
          <w:color w:val="231F20"/>
          <w:spacing w:val="-4"/>
          <w:w w:val="105"/>
        </w:rPr>
        <w:t>Ixtlahuaca, </w:t>
      </w:r>
      <w:r>
        <w:rPr>
          <w:color w:val="231F20"/>
          <w:w w:val="105"/>
        </w:rPr>
        <w:t>como el acontecimiento de mediados del siglo </w:t>
      </w:r>
      <w:r>
        <w:rPr>
          <w:rFonts w:ascii="Times New Roman" w:hAnsi="Times New Roman"/>
          <w:color w:val="231F20"/>
          <w:w w:val="105"/>
          <w:sz w:val="16"/>
        </w:rPr>
        <w:t>XIX </w:t>
      </w:r>
      <w:r>
        <w:rPr>
          <w:color w:val="231F20"/>
          <w:w w:val="105"/>
        </w:rPr>
        <w:t>que dio inicio a una serie  de</w:t>
      </w:r>
      <w:r>
        <w:rPr>
          <w:color w:val="231F20"/>
          <w:spacing w:val="25"/>
          <w:w w:val="105"/>
        </w:rPr>
        <w:t> </w:t>
      </w:r>
      <w:r>
        <w:rPr>
          <w:color w:val="231F20"/>
          <w:w w:val="105"/>
        </w:rPr>
        <w:t>cambios</w:t>
      </w:r>
      <w:r>
        <w:rPr>
          <w:color w:val="231F20"/>
          <w:spacing w:val="25"/>
          <w:w w:val="105"/>
        </w:rPr>
        <w:t> </w:t>
      </w:r>
      <w:r>
        <w:rPr>
          <w:color w:val="231F20"/>
          <w:w w:val="105"/>
        </w:rPr>
        <w:t>en</w:t>
      </w:r>
      <w:r>
        <w:rPr>
          <w:color w:val="231F20"/>
          <w:spacing w:val="25"/>
          <w:w w:val="105"/>
        </w:rPr>
        <w:t> </w:t>
      </w:r>
      <w:r>
        <w:rPr>
          <w:color w:val="231F20"/>
          <w:w w:val="105"/>
        </w:rPr>
        <w:t>la</w:t>
      </w:r>
      <w:r>
        <w:rPr>
          <w:color w:val="231F20"/>
          <w:spacing w:val="25"/>
          <w:w w:val="105"/>
        </w:rPr>
        <w:t> </w:t>
      </w:r>
      <w:r>
        <w:rPr>
          <w:color w:val="231F20"/>
          <w:w w:val="105"/>
        </w:rPr>
        <w:t>estructura</w:t>
      </w:r>
      <w:r>
        <w:rPr>
          <w:color w:val="231F20"/>
          <w:spacing w:val="25"/>
          <w:w w:val="105"/>
        </w:rPr>
        <w:t> </w:t>
      </w:r>
      <w:r>
        <w:rPr>
          <w:color w:val="231F20"/>
          <w:w w:val="105"/>
        </w:rPr>
        <w:t>y</w:t>
      </w:r>
      <w:r>
        <w:rPr>
          <w:color w:val="231F20"/>
          <w:spacing w:val="25"/>
          <w:w w:val="105"/>
        </w:rPr>
        <w:t> </w:t>
      </w:r>
      <w:r>
        <w:rPr>
          <w:color w:val="231F20"/>
          <w:w w:val="105"/>
        </w:rPr>
        <w:t>función</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familia</w:t>
      </w:r>
      <w:r>
        <w:rPr>
          <w:color w:val="231F20"/>
          <w:spacing w:val="25"/>
          <w:w w:val="105"/>
        </w:rPr>
        <w:t> </w:t>
      </w:r>
      <w:r>
        <w:rPr>
          <w:color w:val="231F20"/>
          <w:w w:val="105"/>
        </w:rPr>
        <w:t>campesina</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región.</w:t>
      </w:r>
    </w:p>
    <w:p>
      <w:pPr>
        <w:pStyle w:val="BodyText"/>
        <w:spacing w:before="1"/>
        <w:rPr>
          <w:sz w:val="19"/>
        </w:rPr>
      </w:pPr>
    </w:p>
    <w:p>
      <w:pPr>
        <w:spacing w:line="256" w:lineRule="auto" w:before="0"/>
        <w:ind w:left="119" w:right="117" w:firstLine="360"/>
        <w:jc w:val="both"/>
        <w:rPr>
          <w:sz w:val="16"/>
        </w:rPr>
      </w:pPr>
      <w:r>
        <w:rPr>
          <w:color w:val="231F20"/>
          <w:w w:val="110"/>
          <w:position w:val="5"/>
          <w:sz w:val="9"/>
        </w:rPr>
        <w:t>6 </w:t>
      </w:r>
      <w:r>
        <w:rPr>
          <w:color w:val="231F20"/>
          <w:w w:val="110"/>
          <w:sz w:val="16"/>
        </w:rPr>
        <w:t>La metodología de la Ecología cultural y la Etnoecología nos da las bases para nuestro análisis; la primera, con su modelo sistémico, nos permite analizar las interrelaciones entre el ambiente y la cultura y sus procesos de cambio sociocultural, y la segunda complementa el análisis, ya que es un enfoque holístico y multidisciplinario, que enfatiza en el conocimiento ecológico tradicional, la cosmovisión y las prácticas en el manejo de los recursos naturales como</w:t>
      </w:r>
      <w:r>
        <w:rPr>
          <w:color w:val="231F20"/>
          <w:spacing w:val="-9"/>
          <w:w w:val="110"/>
          <w:sz w:val="16"/>
        </w:rPr>
        <w:t> </w:t>
      </w:r>
      <w:r>
        <w:rPr>
          <w:color w:val="231F20"/>
          <w:w w:val="110"/>
          <w:sz w:val="16"/>
        </w:rPr>
        <w:t>parte</w:t>
      </w:r>
      <w:r>
        <w:rPr>
          <w:color w:val="231F20"/>
          <w:spacing w:val="-9"/>
          <w:w w:val="110"/>
          <w:sz w:val="16"/>
        </w:rPr>
        <w:t> </w:t>
      </w:r>
      <w:r>
        <w:rPr>
          <w:color w:val="231F20"/>
          <w:w w:val="110"/>
          <w:sz w:val="16"/>
        </w:rPr>
        <w:t>importante</w:t>
      </w:r>
      <w:r>
        <w:rPr>
          <w:color w:val="231F20"/>
          <w:spacing w:val="-9"/>
          <w:w w:val="110"/>
          <w:sz w:val="16"/>
        </w:rPr>
        <w:t> </w:t>
      </w:r>
      <w:r>
        <w:rPr>
          <w:color w:val="231F20"/>
          <w:w w:val="110"/>
          <w:sz w:val="16"/>
        </w:rPr>
        <w:t>de</w:t>
      </w:r>
      <w:r>
        <w:rPr>
          <w:color w:val="231F20"/>
          <w:spacing w:val="-9"/>
          <w:w w:val="110"/>
          <w:sz w:val="16"/>
        </w:rPr>
        <w:t> </w:t>
      </w:r>
      <w:r>
        <w:rPr>
          <w:color w:val="231F20"/>
          <w:w w:val="110"/>
          <w:sz w:val="16"/>
        </w:rPr>
        <w:t>la</w:t>
      </w:r>
      <w:r>
        <w:rPr>
          <w:color w:val="231F20"/>
          <w:spacing w:val="-9"/>
          <w:w w:val="110"/>
          <w:sz w:val="16"/>
        </w:rPr>
        <w:t> </w:t>
      </w:r>
      <w:r>
        <w:rPr>
          <w:color w:val="231F20"/>
          <w:w w:val="110"/>
          <w:sz w:val="16"/>
        </w:rPr>
        <w:t>autosuficiencia</w:t>
      </w:r>
      <w:r>
        <w:rPr>
          <w:color w:val="231F20"/>
          <w:spacing w:val="-9"/>
          <w:w w:val="110"/>
          <w:sz w:val="16"/>
        </w:rPr>
        <w:t> </w:t>
      </w:r>
      <w:r>
        <w:rPr>
          <w:color w:val="231F20"/>
          <w:w w:val="110"/>
          <w:sz w:val="16"/>
        </w:rPr>
        <w:t>alimentaria</w:t>
      </w:r>
      <w:r>
        <w:rPr>
          <w:color w:val="231F20"/>
          <w:spacing w:val="-9"/>
          <w:w w:val="110"/>
          <w:sz w:val="16"/>
        </w:rPr>
        <w:t> </w:t>
      </w:r>
      <w:r>
        <w:rPr>
          <w:color w:val="231F20"/>
          <w:w w:val="110"/>
          <w:sz w:val="16"/>
        </w:rPr>
        <w:t>de</w:t>
      </w:r>
      <w:r>
        <w:rPr>
          <w:color w:val="231F20"/>
          <w:spacing w:val="-9"/>
          <w:w w:val="110"/>
          <w:sz w:val="16"/>
        </w:rPr>
        <w:t> </w:t>
      </w:r>
      <w:r>
        <w:rPr>
          <w:color w:val="231F20"/>
          <w:w w:val="110"/>
          <w:sz w:val="16"/>
        </w:rPr>
        <w:t>las</w:t>
      </w:r>
      <w:r>
        <w:rPr>
          <w:color w:val="231F20"/>
          <w:spacing w:val="-9"/>
          <w:w w:val="110"/>
          <w:sz w:val="16"/>
        </w:rPr>
        <w:t> </w:t>
      </w:r>
      <w:r>
        <w:rPr>
          <w:color w:val="231F20"/>
          <w:w w:val="110"/>
          <w:sz w:val="16"/>
        </w:rPr>
        <w:t>familias</w:t>
      </w:r>
      <w:r>
        <w:rPr>
          <w:color w:val="231F20"/>
          <w:spacing w:val="-9"/>
          <w:w w:val="110"/>
          <w:sz w:val="16"/>
        </w:rPr>
        <w:t> </w:t>
      </w:r>
      <w:r>
        <w:rPr>
          <w:color w:val="231F20"/>
          <w:w w:val="110"/>
          <w:sz w:val="16"/>
        </w:rPr>
        <w:t>y</w:t>
      </w:r>
      <w:r>
        <w:rPr>
          <w:color w:val="231F20"/>
          <w:spacing w:val="-9"/>
          <w:w w:val="110"/>
          <w:sz w:val="16"/>
        </w:rPr>
        <w:t> </w:t>
      </w:r>
      <w:r>
        <w:rPr>
          <w:color w:val="231F20"/>
          <w:w w:val="110"/>
          <w:sz w:val="16"/>
        </w:rPr>
        <w:t>sus</w:t>
      </w:r>
      <w:r>
        <w:rPr>
          <w:color w:val="231F20"/>
          <w:spacing w:val="-9"/>
          <w:w w:val="110"/>
          <w:sz w:val="16"/>
        </w:rPr>
        <w:t> </w:t>
      </w:r>
      <w:r>
        <w:rPr>
          <w:color w:val="231F20"/>
          <w:w w:val="110"/>
          <w:sz w:val="16"/>
        </w:rPr>
        <w:t>dietas</w:t>
      </w:r>
      <w:r>
        <w:rPr>
          <w:color w:val="231F20"/>
          <w:spacing w:val="-9"/>
          <w:w w:val="110"/>
          <w:sz w:val="16"/>
        </w:rPr>
        <w:t> </w:t>
      </w:r>
      <w:r>
        <w:rPr>
          <w:color w:val="231F20"/>
          <w:w w:val="110"/>
          <w:sz w:val="16"/>
        </w:rPr>
        <w:t>cotidianas.</w:t>
      </w:r>
    </w:p>
    <w:p>
      <w:pPr>
        <w:spacing w:after="0" w:line="256" w:lineRule="auto"/>
        <w:jc w:val="both"/>
        <w:rPr>
          <w:sz w:val="16"/>
        </w:rPr>
        <w:sectPr>
          <w:pgSz w:w="9520" w:h="12920"/>
          <w:pgMar w:header="0" w:footer="1344" w:top="880" w:bottom="1540" w:left="1000" w:right="1320"/>
        </w:sectPr>
      </w:pPr>
    </w:p>
    <w:p>
      <w:pPr>
        <w:pStyle w:val="BodyText"/>
        <w:spacing w:line="288" w:lineRule="auto" w:before="42"/>
        <w:ind w:left="124" w:right="112"/>
        <w:jc w:val="both"/>
      </w:pPr>
      <w:r>
        <w:rPr>
          <w:color w:val="231F20"/>
          <w:w w:val="110"/>
        </w:rPr>
        <w:t>En el segundo apartado, “Contexto de la población campesina”, se mues- tran</w:t>
      </w:r>
      <w:r>
        <w:rPr>
          <w:color w:val="231F20"/>
          <w:spacing w:val="-6"/>
          <w:w w:val="110"/>
        </w:rPr>
        <w:t> </w:t>
      </w:r>
      <w:r>
        <w:rPr>
          <w:color w:val="231F20"/>
          <w:w w:val="110"/>
        </w:rPr>
        <w:t>los</w:t>
      </w:r>
      <w:r>
        <w:rPr>
          <w:color w:val="231F20"/>
          <w:spacing w:val="-6"/>
          <w:w w:val="110"/>
        </w:rPr>
        <w:t> </w:t>
      </w:r>
      <w:r>
        <w:rPr>
          <w:color w:val="231F20"/>
          <w:w w:val="110"/>
        </w:rPr>
        <w:t>datos</w:t>
      </w:r>
      <w:r>
        <w:rPr>
          <w:color w:val="231F20"/>
          <w:spacing w:val="-6"/>
          <w:w w:val="110"/>
        </w:rPr>
        <w:t> </w:t>
      </w:r>
      <w:r>
        <w:rPr>
          <w:color w:val="231F20"/>
          <w:w w:val="110"/>
        </w:rPr>
        <w:t>estadísticos</w:t>
      </w:r>
      <w:r>
        <w:rPr>
          <w:color w:val="231F20"/>
          <w:spacing w:val="-6"/>
          <w:w w:val="110"/>
        </w:rPr>
        <w:t> </w:t>
      </w:r>
      <w:r>
        <w:rPr>
          <w:color w:val="231F20"/>
          <w:w w:val="110"/>
        </w:rPr>
        <w:t>del</w:t>
      </w:r>
      <w:r>
        <w:rPr>
          <w:color w:val="231F20"/>
          <w:spacing w:val="-7"/>
          <w:w w:val="110"/>
        </w:rPr>
        <w:t> </w:t>
      </w:r>
      <w:r>
        <w:rPr>
          <w:rFonts w:ascii="Times New Roman" w:hAnsi="Times New Roman"/>
          <w:color w:val="231F20"/>
          <w:w w:val="110"/>
          <w:sz w:val="16"/>
        </w:rPr>
        <w:t>INEGI</w:t>
      </w:r>
      <w:r>
        <w:rPr>
          <w:rFonts w:ascii="Times New Roman" w:hAnsi="Times New Roman"/>
          <w:color w:val="231F20"/>
          <w:spacing w:val="-1"/>
          <w:w w:val="110"/>
          <w:sz w:val="16"/>
        </w:rPr>
        <w:t> </w:t>
      </w:r>
      <w:r>
        <w:rPr>
          <w:color w:val="231F20"/>
          <w:w w:val="110"/>
        </w:rPr>
        <w:t>en</w:t>
      </w:r>
      <w:r>
        <w:rPr>
          <w:color w:val="231F20"/>
          <w:spacing w:val="-6"/>
          <w:w w:val="110"/>
        </w:rPr>
        <w:t> </w:t>
      </w:r>
      <w:r>
        <w:rPr>
          <w:color w:val="231F20"/>
          <w:w w:val="110"/>
        </w:rPr>
        <w:t>relación</w:t>
      </w:r>
      <w:r>
        <w:rPr>
          <w:color w:val="231F20"/>
          <w:spacing w:val="-6"/>
          <w:w w:val="110"/>
        </w:rPr>
        <w:t> </w:t>
      </w:r>
      <w:r>
        <w:rPr>
          <w:color w:val="231F20"/>
          <w:w w:val="110"/>
        </w:rPr>
        <w:t>con</w:t>
      </w:r>
      <w:r>
        <w:rPr>
          <w:color w:val="231F20"/>
          <w:spacing w:val="-6"/>
          <w:w w:val="110"/>
        </w:rPr>
        <w:t> </w:t>
      </w:r>
      <w:r>
        <w:rPr>
          <w:color w:val="231F20"/>
          <w:w w:val="110"/>
        </w:rPr>
        <w:t>las</w:t>
      </w:r>
      <w:r>
        <w:rPr>
          <w:color w:val="231F20"/>
          <w:spacing w:val="-6"/>
          <w:w w:val="110"/>
        </w:rPr>
        <w:t> </w:t>
      </w:r>
      <w:r>
        <w:rPr>
          <w:color w:val="231F20"/>
          <w:w w:val="110"/>
        </w:rPr>
        <w:t>familias</w:t>
      </w:r>
      <w:r>
        <w:rPr>
          <w:color w:val="231F20"/>
          <w:spacing w:val="-6"/>
          <w:w w:val="110"/>
        </w:rPr>
        <w:t> </w:t>
      </w:r>
      <w:r>
        <w:rPr>
          <w:color w:val="231F20"/>
          <w:w w:val="110"/>
        </w:rPr>
        <w:t>campesinas que aún cultivan maíz en el Estado de México y en la región de estudio; aquí se destaca el distrito agrícola Atlacomulco como una de las zonas de mayor</w:t>
      </w:r>
      <w:r>
        <w:rPr>
          <w:color w:val="231F20"/>
          <w:spacing w:val="-8"/>
          <w:w w:val="110"/>
        </w:rPr>
        <w:t> </w:t>
      </w:r>
      <w:r>
        <w:rPr>
          <w:color w:val="231F20"/>
          <w:w w:val="110"/>
        </w:rPr>
        <w:t>producción</w:t>
      </w:r>
      <w:r>
        <w:rPr>
          <w:color w:val="231F20"/>
          <w:spacing w:val="-8"/>
          <w:w w:val="110"/>
        </w:rPr>
        <w:t> </w:t>
      </w:r>
      <w:r>
        <w:rPr>
          <w:color w:val="231F20"/>
          <w:w w:val="110"/>
        </w:rPr>
        <w:t>maicera</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Estado</w:t>
      </w:r>
      <w:r>
        <w:rPr>
          <w:color w:val="231F20"/>
          <w:spacing w:val="-8"/>
          <w:w w:val="110"/>
        </w:rPr>
        <w:t> </w:t>
      </w:r>
      <w:r>
        <w:rPr>
          <w:color w:val="231F20"/>
          <w:w w:val="110"/>
        </w:rPr>
        <w:t>de</w:t>
      </w:r>
      <w:r>
        <w:rPr>
          <w:color w:val="231F20"/>
          <w:spacing w:val="-8"/>
          <w:w w:val="110"/>
        </w:rPr>
        <w:t> </w:t>
      </w:r>
      <w:r>
        <w:rPr>
          <w:color w:val="231F20"/>
          <w:w w:val="110"/>
        </w:rPr>
        <w:t>México,</w:t>
      </w:r>
      <w:r>
        <w:rPr>
          <w:color w:val="231F20"/>
          <w:spacing w:val="-8"/>
          <w:w w:val="110"/>
        </w:rPr>
        <w:t> </w:t>
      </w:r>
      <w:r>
        <w:rPr>
          <w:color w:val="231F20"/>
          <w:w w:val="110"/>
        </w:rPr>
        <w:t>y</w:t>
      </w:r>
      <w:r>
        <w:rPr>
          <w:color w:val="231F20"/>
          <w:spacing w:val="-8"/>
          <w:w w:val="110"/>
        </w:rPr>
        <w:t> </w:t>
      </w:r>
      <w:r>
        <w:rPr>
          <w:color w:val="231F20"/>
          <w:w w:val="110"/>
        </w:rPr>
        <w:t>para</w:t>
      </w:r>
      <w:r>
        <w:rPr>
          <w:color w:val="231F20"/>
          <w:spacing w:val="-8"/>
          <w:w w:val="110"/>
        </w:rPr>
        <w:t> </w:t>
      </w:r>
      <w:r>
        <w:rPr>
          <w:color w:val="231F20"/>
          <w:w w:val="110"/>
        </w:rPr>
        <w:t>la</w:t>
      </w:r>
      <w:r>
        <w:rPr>
          <w:color w:val="231F20"/>
          <w:spacing w:val="-8"/>
          <w:w w:val="110"/>
        </w:rPr>
        <w:t> </w:t>
      </w:r>
      <w:r>
        <w:rPr>
          <w:color w:val="231F20"/>
          <w:w w:val="110"/>
        </w:rPr>
        <w:t>región</w:t>
      </w:r>
      <w:r>
        <w:rPr>
          <w:color w:val="231F20"/>
          <w:spacing w:val="-8"/>
          <w:w w:val="110"/>
        </w:rPr>
        <w:t> </w:t>
      </w:r>
      <w:r>
        <w:rPr>
          <w:color w:val="231F20"/>
          <w:w w:val="110"/>
        </w:rPr>
        <w:t>de</w:t>
      </w:r>
      <w:r>
        <w:rPr>
          <w:color w:val="231F20"/>
          <w:spacing w:val="-8"/>
          <w:w w:val="110"/>
        </w:rPr>
        <w:t> </w:t>
      </w:r>
      <w:r>
        <w:rPr>
          <w:color w:val="231F20"/>
          <w:w w:val="110"/>
        </w:rPr>
        <w:t>estu- dio se muestra los contrastes de la producción correspondiente a zonas</w:t>
      </w:r>
      <w:r>
        <w:rPr>
          <w:color w:val="231F20"/>
          <w:spacing w:val="-7"/>
          <w:w w:val="110"/>
        </w:rPr>
        <w:t> </w:t>
      </w:r>
      <w:r>
        <w:rPr>
          <w:color w:val="231F20"/>
          <w:w w:val="110"/>
        </w:rPr>
        <w:t>de riego y de temporal, y se vuelve representativa para el análisis estadístico a nivel estatal. En el tercer apartado, </w:t>
      </w:r>
      <w:r>
        <w:rPr>
          <w:color w:val="231F20"/>
          <w:spacing w:val="5"/>
          <w:w w:val="110"/>
        </w:rPr>
        <w:t>“La </w:t>
      </w:r>
      <w:r>
        <w:rPr>
          <w:color w:val="231F20"/>
          <w:w w:val="110"/>
        </w:rPr>
        <w:t>familia campesina y su sistema agrícola tradicional”</w:t>
      </w:r>
      <w:r>
        <w:rPr>
          <w:i/>
          <w:color w:val="231F20"/>
          <w:w w:val="110"/>
        </w:rPr>
        <w:t>, </w:t>
      </w:r>
      <w:r>
        <w:rPr>
          <w:color w:val="231F20"/>
          <w:w w:val="110"/>
        </w:rPr>
        <w:t>se dan a conocer las formas de la organización social de las familias campesinas que aún cultivan maíz con prácticas agrícolas </w:t>
      </w:r>
      <w:r>
        <w:rPr>
          <w:color w:val="231F20"/>
          <w:spacing w:val="-4"/>
          <w:w w:val="110"/>
        </w:rPr>
        <w:t>tradicionales,</w:t>
      </w:r>
      <w:r>
        <w:rPr>
          <w:color w:val="231F20"/>
          <w:spacing w:val="-15"/>
          <w:w w:val="110"/>
        </w:rPr>
        <w:t> </w:t>
      </w:r>
      <w:r>
        <w:rPr>
          <w:color w:val="231F20"/>
          <w:w w:val="110"/>
        </w:rPr>
        <w:t>en</w:t>
      </w:r>
      <w:r>
        <w:rPr>
          <w:color w:val="231F20"/>
          <w:spacing w:val="-15"/>
          <w:w w:val="110"/>
        </w:rPr>
        <w:t> </w:t>
      </w:r>
      <w:r>
        <w:rPr>
          <w:color w:val="231F20"/>
          <w:spacing w:val="-4"/>
          <w:w w:val="110"/>
        </w:rPr>
        <w:t>terrenos</w:t>
      </w:r>
      <w:r>
        <w:rPr>
          <w:color w:val="231F20"/>
          <w:spacing w:val="-15"/>
          <w:w w:val="110"/>
        </w:rPr>
        <w:t> </w:t>
      </w:r>
      <w:r>
        <w:rPr>
          <w:color w:val="231F20"/>
          <w:spacing w:val="-4"/>
          <w:w w:val="110"/>
        </w:rPr>
        <w:t>denominados</w:t>
      </w:r>
      <w:r>
        <w:rPr>
          <w:color w:val="231F20"/>
          <w:spacing w:val="-15"/>
          <w:w w:val="110"/>
        </w:rPr>
        <w:t> </w:t>
      </w:r>
      <w:r>
        <w:rPr>
          <w:color w:val="231F20"/>
          <w:w w:val="110"/>
        </w:rPr>
        <w:t>de</w:t>
      </w:r>
      <w:r>
        <w:rPr>
          <w:color w:val="231F20"/>
          <w:spacing w:val="-15"/>
          <w:w w:val="110"/>
        </w:rPr>
        <w:t> </w:t>
      </w:r>
      <w:r>
        <w:rPr>
          <w:color w:val="231F20"/>
          <w:spacing w:val="-4"/>
          <w:w w:val="110"/>
        </w:rPr>
        <w:t>temporal,</w:t>
      </w:r>
      <w:r>
        <w:rPr>
          <w:color w:val="231F20"/>
          <w:spacing w:val="-15"/>
          <w:w w:val="110"/>
        </w:rPr>
        <w:t> </w:t>
      </w:r>
      <w:r>
        <w:rPr>
          <w:color w:val="231F20"/>
          <w:spacing w:val="-3"/>
          <w:w w:val="110"/>
        </w:rPr>
        <w:t>cuya</w:t>
      </w:r>
      <w:r>
        <w:rPr>
          <w:color w:val="231F20"/>
          <w:spacing w:val="-15"/>
          <w:w w:val="110"/>
        </w:rPr>
        <w:t> </w:t>
      </w:r>
      <w:r>
        <w:rPr>
          <w:color w:val="231F20"/>
          <w:spacing w:val="-4"/>
          <w:w w:val="110"/>
        </w:rPr>
        <w:t>producción</w:t>
      </w:r>
      <w:r>
        <w:rPr>
          <w:color w:val="231F20"/>
          <w:spacing w:val="-15"/>
          <w:w w:val="110"/>
        </w:rPr>
        <w:t> </w:t>
      </w:r>
      <w:r>
        <w:rPr>
          <w:color w:val="231F20"/>
          <w:w w:val="110"/>
        </w:rPr>
        <w:t>es</w:t>
      </w:r>
      <w:r>
        <w:rPr>
          <w:color w:val="231F20"/>
          <w:spacing w:val="-15"/>
          <w:w w:val="110"/>
        </w:rPr>
        <w:t> </w:t>
      </w:r>
      <w:r>
        <w:rPr>
          <w:color w:val="231F20"/>
          <w:spacing w:val="-4"/>
          <w:w w:val="110"/>
        </w:rPr>
        <w:t>prin- </w:t>
      </w:r>
      <w:r>
        <w:rPr>
          <w:color w:val="231F20"/>
          <w:w w:val="110"/>
        </w:rPr>
        <w:t>cipalmente</w:t>
      </w:r>
      <w:r>
        <w:rPr>
          <w:color w:val="231F20"/>
          <w:spacing w:val="-4"/>
          <w:w w:val="110"/>
        </w:rPr>
        <w:t> </w:t>
      </w:r>
      <w:r>
        <w:rPr>
          <w:color w:val="231F20"/>
          <w:w w:val="110"/>
        </w:rPr>
        <w:t>de</w:t>
      </w:r>
      <w:r>
        <w:rPr>
          <w:color w:val="231F20"/>
          <w:spacing w:val="-4"/>
          <w:w w:val="110"/>
        </w:rPr>
        <w:t> </w:t>
      </w:r>
      <w:r>
        <w:rPr>
          <w:color w:val="231F20"/>
          <w:w w:val="110"/>
        </w:rPr>
        <w:t>autoabasto.</w:t>
      </w:r>
      <w:r>
        <w:rPr>
          <w:color w:val="231F20"/>
          <w:spacing w:val="-4"/>
          <w:w w:val="110"/>
        </w:rPr>
        <w:t> </w:t>
      </w:r>
      <w:r>
        <w:rPr>
          <w:color w:val="231F20"/>
          <w:w w:val="110"/>
        </w:rPr>
        <w:t>Asimismo,</w:t>
      </w:r>
      <w:r>
        <w:rPr>
          <w:color w:val="231F20"/>
          <w:spacing w:val="-4"/>
          <w:w w:val="110"/>
        </w:rPr>
        <w:t> </w:t>
      </w:r>
      <w:r>
        <w:rPr>
          <w:color w:val="231F20"/>
          <w:w w:val="110"/>
        </w:rPr>
        <w:t>se</w:t>
      </w:r>
      <w:r>
        <w:rPr>
          <w:color w:val="231F20"/>
          <w:spacing w:val="-4"/>
          <w:w w:val="110"/>
        </w:rPr>
        <w:t> </w:t>
      </w:r>
      <w:r>
        <w:rPr>
          <w:color w:val="231F20"/>
          <w:w w:val="110"/>
        </w:rPr>
        <w:t>destaca</w:t>
      </w:r>
      <w:r>
        <w:rPr>
          <w:color w:val="231F20"/>
          <w:spacing w:val="-4"/>
          <w:w w:val="110"/>
        </w:rPr>
        <w:t> </w:t>
      </w:r>
      <w:r>
        <w:rPr>
          <w:color w:val="231F20"/>
          <w:w w:val="110"/>
        </w:rPr>
        <w:t>la</w:t>
      </w:r>
      <w:r>
        <w:rPr>
          <w:color w:val="231F20"/>
          <w:spacing w:val="-4"/>
          <w:w w:val="110"/>
        </w:rPr>
        <w:t> </w:t>
      </w:r>
      <w:r>
        <w:rPr>
          <w:color w:val="231F20"/>
          <w:w w:val="110"/>
        </w:rPr>
        <w:t>importancia</w:t>
      </w:r>
      <w:r>
        <w:rPr>
          <w:color w:val="231F20"/>
          <w:spacing w:val="-4"/>
          <w:w w:val="110"/>
        </w:rPr>
        <w:t> </w:t>
      </w:r>
      <w:r>
        <w:rPr>
          <w:color w:val="231F20"/>
          <w:w w:val="110"/>
        </w:rPr>
        <w:t>que</w:t>
      </w:r>
      <w:r>
        <w:rPr>
          <w:color w:val="231F20"/>
          <w:spacing w:val="-4"/>
          <w:w w:val="110"/>
        </w:rPr>
        <w:t> </w:t>
      </w:r>
      <w:r>
        <w:rPr>
          <w:color w:val="231F20"/>
          <w:w w:val="110"/>
        </w:rPr>
        <w:t>para</w:t>
      </w:r>
      <w:r>
        <w:rPr>
          <w:color w:val="231F20"/>
          <w:spacing w:val="-4"/>
          <w:w w:val="110"/>
        </w:rPr>
        <w:t> </w:t>
      </w:r>
      <w:r>
        <w:rPr>
          <w:color w:val="231F20"/>
          <w:w w:val="110"/>
        </w:rPr>
        <w:t>la familia tiene el sistema de creencias y rituales tradicionales reflejados en la actividad agrícola tradicional. En el cuarto apartado, </w:t>
      </w:r>
      <w:r>
        <w:rPr>
          <w:color w:val="231F20"/>
          <w:spacing w:val="3"/>
          <w:w w:val="110"/>
        </w:rPr>
        <w:t>“Los </w:t>
      </w:r>
      <w:r>
        <w:rPr>
          <w:color w:val="231F20"/>
          <w:w w:val="110"/>
        </w:rPr>
        <w:t>cambios en la </w:t>
      </w:r>
      <w:r>
        <w:rPr>
          <w:color w:val="231F20"/>
          <w:spacing w:val="2"/>
          <w:w w:val="110"/>
        </w:rPr>
        <w:t>organización sociocultural </w:t>
      </w:r>
      <w:r>
        <w:rPr>
          <w:color w:val="231F20"/>
          <w:w w:val="110"/>
        </w:rPr>
        <w:t>y la </w:t>
      </w:r>
      <w:r>
        <w:rPr>
          <w:color w:val="231F20"/>
          <w:spacing w:val="2"/>
          <w:w w:val="110"/>
        </w:rPr>
        <w:t>autosuficiencia alimentaria </w:t>
      </w:r>
      <w:r>
        <w:rPr>
          <w:color w:val="231F20"/>
          <w:w w:val="110"/>
        </w:rPr>
        <w:t>de la </w:t>
      </w:r>
      <w:r>
        <w:rPr>
          <w:color w:val="231F20"/>
          <w:spacing w:val="2"/>
          <w:w w:val="110"/>
        </w:rPr>
        <w:t>familia </w:t>
      </w:r>
      <w:r>
        <w:rPr>
          <w:color w:val="231F20"/>
          <w:w w:val="110"/>
        </w:rPr>
        <w:t>campesina”, se analiza cómo la familia campesina logra controlar su </w:t>
      </w:r>
      <w:r>
        <w:rPr>
          <w:color w:val="231F20"/>
          <w:spacing w:val="2"/>
          <w:w w:val="110"/>
        </w:rPr>
        <w:t>pro- </w:t>
      </w:r>
      <w:r>
        <w:rPr>
          <w:color w:val="231F20"/>
          <w:w w:val="110"/>
        </w:rPr>
        <w:t>pia</w:t>
      </w:r>
      <w:r>
        <w:rPr>
          <w:color w:val="231F20"/>
          <w:spacing w:val="-4"/>
          <w:w w:val="110"/>
        </w:rPr>
        <w:t> </w:t>
      </w:r>
      <w:r>
        <w:rPr>
          <w:color w:val="231F20"/>
          <w:w w:val="110"/>
        </w:rPr>
        <w:t>fuerza</w:t>
      </w:r>
      <w:r>
        <w:rPr>
          <w:color w:val="231F20"/>
          <w:spacing w:val="-7"/>
          <w:w w:val="110"/>
        </w:rPr>
        <w:t> </w:t>
      </w:r>
      <w:r>
        <w:rPr>
          <w:color w:val="231F20"/>
          <w:w w:val="110"/>
        </w:rPr>
        <w:t>de</w:t>
      </w:r>
      <w:r>
        <w:rPr>
          <w:color w:val="231F20"/>
          <w:spacing w:val="-7"/>
          <w:w w:val="110"/>
        </w:rPr>
        <w:t> </w:t>
      </w:r>
      <w:r>
        <w:rPr>
          <w:color w:val="231F20"/>
          <w:w w:val="110"/>
        </w:rPr>
        <w:t>trabajo</w:t>
      </w:r>
      <w:r>
        <w:rPr>
          <w:color w:val="231F20"/>
          <w:spacing w:val="-7"/>
          <w:w w:val="110"/>
        </w:rPr>
        <w:t> </w:t>
      </w:r>
      <w:r>
        <w:rPr>
          <w:color w:val="231F20"/>
          <w:w w:val="110"/>
        </w:rPr>
        <w:t>y</w:t>
      </w:r>
      <w:r>
        <w:rPr>
          <w:color w:val="231F20"/>
          <w:spacing w:val="-7"/>
          <w:w w:val="110"/>
        </w:rPr>
        <w:t> </w:t>
      </w:r>
      <w:r>
        <w:rPr>
          <w:color w:val="231F20"/>
          <w:w w:val="110"/>
        </w:rPr>
        <w:t>alterna</w:t>
      </w:r>
      <w:r>
        <w:rPr>
          <w:color w:val="231F20"/>
          <w:spacing w:val="-7"/>
          <w:w w:val="110"/>
        </w:rPr>
        <w:t> </w:t>
      </w:r>
      <w:r>
        <w:rPr>
          <w:color w:val="231F20"/>
          <w:w w:val="110"/>
        </w:rPr>
        <w:t>la</w:t>
      </w:r>
      <w:r>
        <w:rPr>
          <w:color w:val="231F20"/>
          <w:spacing w:val="-7"/>
          <w:w w:val="110"/>
        </w:rPr>
        <w:t> </w:t>
      </w:r>
      <w:r>
        <w:rPr>
          <w:color w:val="231F20"/>
          <w:w w:val="110"/>
        </w:rPr>
        <w:t>actividad</w:t>
      </w:r>
      <w:r>
        <w:rPr>
          <w:color w:val="231F20"/>
          <w:spacing w:val="-7"/>
          <w:w w:val="110"/>
        </w:rPr>
        <w:t> </w:t>
      </w:r>
      <w:r>
        <w:rPr>
          <w:color w:val="231F20"/>
          <w:w w:val="110"/>
        </w:rPr>
        <w:t>agrícola</w:t>
      </w:r>
      <w:r>
        <w:rPr>
          <w:color w:val="231F20"/>
          <w:spacing w:val="-7"/>
          <w:w w:val="110"/>
        </w:rPr>
        <w:t> </w:t>
      </w:r>
      <w:r>
        <w:rPr>
          <w:color w:val="231F20"/>
          <w:w w:val="110"/>
        </w:rPr>
        <w:t>tradicional</w:t>
      </w:r>
      <w:r>
        <w:rPr>
          <w:color w:val="231F20"/>
          <w:spacing w:val="-7"/>
          <w:w w:val="110"/>
        </w:rPr>
        <w:t> </w:t>
      </w:r>
      <w:r>
        <w:rPr>
          <w:color w:val="231F20"/>
          <w:w w:val="110"/>
        </w:rPr>
        <w:t>con</w:t>
      </w:r>
      <w:r>
        <w:rPr>
          <w:color w:val="231F20"/>
          <w:spacing w:val="-7"/>
          <w:w w:val="110"/>
        </w:rPr>
        <w:t> </w:t>
      </w:r>
      <w:r>
        <w:rPr>
          <w:color w:val="231F20"/>
          <w:w w:val="110"/>
        </w:rPr>
        <w:t>diversas funciones asalariadas, como una estrategia de subsistencia de la familia. Igualmente, se estudia el sistema agrícola tradicional de la milpa como el medio de producción idóneo para la producción de alimentos a pequeña escala; se considera que los cambios en la organización social de las fami- lias</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región</w:t>
      </w:r>
      <w:r>
        <w:rPr>
          <w:color w:val="231F20"/>
          <w:spacing w:val="-5"/>
          <w:w w:val="110"/>
        </w:rPr>
        <w:t> </w:t>
      </w:r>
      <w:r>
        <w:rPr>
          <w:color w:val="231F20"/>
          <w:w w:val="110"/>
        </w:rPr>
        <w:t>han</w:t>
      </w:r>
      <w:r>
        <w:rPr>
          <w:color w:val="231F20"/>
          <w:spacing w:val="-5"/>
          <w:w w:val="110"/>
        </w:rPr>
        <w:t> </w:t>
      </w:r>
      <w:r>
        <w:rPr>
          <w:color w:val="231F20"/>
          <w:w w:val="110"/>
        </w:rPr>
        <w:t>tenido,</w:t>
      </w:r>
      <w:r>
        <w:rPr>
          <w:color w:val="231F20"/>
          <w:spacing w:val="-6"/>
          <w:w w:val="110"/>
        </w:rPr>
        <w:t> </w:t>
      </w:r>
      <w:r>
        <w:rPr>
          <w:color w:val="231F20"/>
          <w:w w:val="110"/>
        </w:rPr>
        <w:t>hasta</w:t>
      </w:r>
      <w:r>
        <w:rPr>
          <w:color w:val="231F20"/>
          <w:spacing w:val="-5"/>
          <w:w w:val="110"/>
        </w:rPr>
        <w:t> </w:t>
      </w:r>
      <w:r>
        <w:rPr>
          <w:color w:val="231F20"/>
          <w:w w:val="110"/>
        </w:rPr>
        <w:t>el</w:t>
      </w:r>
      <w:r>
        <w:rPr>
          <w:color w:val="231F20"/>
          <w:spacing w:val="-5"/>
          <w:w w:val="110"/>
        </w:rPr>
        <w:t> </w:t>
      </w:r>
      <w:r>
        <w:rPr>
          <w:color w:val="231F20"/>
          <w:w w:val="110"/>
        </w:rPr>
        <w:t>momento,</w:t>
      </w:r>
      <w:r>
        <w:rPr>
          <w:color w:val="231F20"/>
          <w:spacing w:val="-6"/>
          <w:w w:val="110"/>
        </w:rPr>
        <w:t> </w:t>
      </w:r>
      <w:r>
        <w:rPr>
          <w:color w:val="231F20"/>
          <w:w w:val="110"/>
        </w:rPr>
        <w:t>cierto</w:t>
      </w:r>
      <w:r>
        <w:rPr>
          <w:color w:val="231F20"/>
          <w:spacing w:val="-6"/>
          <w:w w:val="110"/>
        </w:rPr>
        <w:t> </w:t>
      </w:r>
      <w:r>
        <w:rPr>
          <w:color w:val="231F20"/>
          <w:w w:val="110"/>
        </w:rPr>
        <w:t>grado</w:t>
      </w:r>
      <w:r>
        <w:rPr>
          <w:color w:val="231F20"/>
          <w:spacing w:val="-6"/>
          <w:w w:val="110"/>
        </w:rPr>
        <w:t> </w:t>
      </w:r>
      <w:r>
        <w:rPr>
          <w:color w:val="231F20"/>
          <w:w w:val="110"/>
        </w:rPr>
        <w:t>de</w:t>
      </w:r>
      <w:r>
        <w:rPr>
          <w:color w:val="231F20"/>
          <w:spacing w:val="-6"/>
          <w:w w:val="110"/>
        </w:rPr>
        <w:t> </w:t>
      </w:r>
      <w:r>
        <w:rPr>
          <w:color w:val="231F20"/>
          <w:w w:val="110"/>
        </w:rPr>
        <w:t>éxito,</w:t>
      </w:r>
      <w:r>
        <w:rPr>
          <w:color w:val="231F20"/>
          <w:spacing w:val="-6"/>
          <w:w w:val="110"/>
        </w:rPr>
        <w:t> </w:t>
      </w:r>
      <w:r>
        <w:rPr>
          <w:color w:val="231F20"/>
          <w:w w:val="110"/>
        </w:rPr>
        <w:t>ya</w:t>
      </w:r>
      <w:r>
        <w:rPr>
          <w:color w:val="231F20"/>
          <w:spacing w:val="-6"/>
          <w:w w:val="110"/>
        </w:rPr>
        <w:t> </w:t>
      </w:r>
      <w:r>
        <w:rPr>
          <w:color w:val="231F20"/>
          <w:w w:val="110"/>
        </w:rPr>
        <w:t>que han logrado cierto nivel de autosuficiencia</w:t>
      </w:r>
      <w:r>
        <w:rPr>
          <w:color w:val="231F20"/>
          <w:spacing w:val="-8"/>
          <w:w w:val="110"/>
        </w:rPr>
        <w:t> </w:t>
      </w:r>
      <w:r>
        <w:rPr>
          <w:color w:val="231F20"/>
          <w:w w:val="110"/>
        </w:rPr>
        <w:t>alimentaria.</w:t>
      </w:r>
    </w:p>
    <w:p>
      <w:pPr>
        <w:pStyle w:val="BodyText"/>
      </w:pPr>
    </w:p>
    <w:p>
      <w:pPr>
        <w:pStyle w:val="BodyText"/>
        <w:spacing w:before="10"/>
        <w:rPr>
          <w:sz w:val="24"/>
        </w:rPr>
      </w:pPr>
    </w:p>
    <w:p>
      <w:pPr>
        <w:spacing w:before="0"/>
        <w:ind w:left="124" w:right="0" w:firstLine="0"/>
        <w:jc w:val="both"/>
        <w:rPr>
          <w:rFonts w:ascii="Times New Roman" w:hAnsi="Times New Roman"/>
          <w:i/>
          <w:sz w:val="19"/>
        </w:rPr>
      </w:pPr>
      <w:r>
        <w:rPr>
          <w:rFonts w:ascii="Times New Roman" w:hAnsi="Times New Roman"/>
          <w:i/>
          <w:color w:val="231F20"/>
          <w:w w:val="90"/>
          <w:sz w:val="24"/>
        </w:rPr>
        <w:t>L</w:t>
      </w:r>
      <w:r>
        <w:rPr>
          <w:rFonts w:ascii="Times New Roman" w:hAnsi="Times New Roman"/>
          <w:i/>
          <w:color w:val="231F20"/>
          <w:w w:val="90"/>
          <w:sz w:val="19"/>
        </w:rPr>
        <w:t>AS  CARACTERÍSTICAS AMBIENTALES</w:t>
      </w:r>
    </w:p>
    <w:p>
      <w:pPr>
        <w:spacing w:before="52"/>
        <w:ind w:left="124" w:right="0" w:firstLine="0"/>
        <w:jc w:val="both"/>
        <w:rPr>
          <w:rFonts w:ascii="Times New Roman" w:hAnsi="Times New Roman"/>
          <w:i/>
          <w:sz w:val="19"/>
        </w:rPr>
      </w:pPr>
      <w:r>
        <w:rPr>
          <w:rFonts w:ascii="Times New Roman" w:hAnsi="Times New Roman"/>
          <w:i/>
          <w:color w:val="231F20"/>
          <w:w w:val="95"/>
          <w:sz w:val="19"/>
        </w:rPr>
        <w:t>Y LA INDUSTRIALIZACIÓN EN LA REGIÓN DE ESTUDIO</w:t>
      </w:r>
    </w:p>
    <w:p>
      <w:pPr>
        <w:pStyle w:val="BodyText"/>
        <w:rPr>
          <w:rFonts w:ascii="Times New Roman"/>
          <w:i/>
          <w:sz w:val="18"/>
        </w:rPr>
      </w:pPr>
    </w:p>
    <w:p>
      <w:pPr>
        <w:pStyle w:val="BodyText"/>
        <w:spacing w:line="288" w:lineRule="auto" w:before="124"/>
        <w:ind w:left="124" w:right="114"/>
        <w:jc w:val="both"/>
      </w:pPr>
      <w:r>
        <w:rPr>
          <w:color w:val="231F20"/>
          <w:w w:val="110"/>
        </w:rPr>
        <w:t>Los</w:t>
      </w:r>
      <w:r>
        <w:rPr>
          <w:color w:val="231F20"/>
          <w:spacing w:val="-5"/>
          <w:w w:val="110"/>
        </w:rPr>
        <w:t> </w:t>
      </w:r>
      <w:r>
        <w:rPr>
          <w:color w:val="231F20"/>
          <w:w w:val="110"/>
        </w:rPr>
        <w:t>criterios</w:t>
      </w:r>
      <w:r>
        <w:rPr>
          <w:color w:val="231F20"/>
          <w:spacing w:val="-5"/>
          <w:w w:val="110"/>
        </w:rPr>
        <w:t> </w:t>
      </w:r>
      <w:r>
        <w:rPr>
          <w:color w:val="231F20"/>
          <w:w w:val="110"/>
        </w:rPr>
        <w:t>metodológicos</w:t>
      </w:r>
      <w:r>
        <w:rPr>
          <w:color w:val="231F20"/>
          <w:spacing w:val="-5"/>
          <w:w w:val="110"/>
        </w:rPr>
        <w:t> </w:t>
      </w:r>
      <w:r>
        <w:rPr>
          <w:color w:val="231F20"/>
          <w:w w:val="110"/>
        </w:rPr>
        <w:t>para</w:t>
      </w:r>
      <w:r>
        <w:rPr>
          <w:color w:val="231F20"/>
          <w:spacing w:val="-5"/>
          <w:w w:val="110"/>
        </w:rPr>
        <w:t> </w:t>
      </w:r>
      <w:r>
        <w:rPr>
          <w:color w:val="231F20"/>
          <w:w w:val="110"/>
        </w:rPr>
        <w:t>la</w:t>
      </w:r>
      <w:r>
        <w:rPr>
          <w:color w:val="231F20"/>
          <w:spacing w:val="-5"/>
          <w:w w:val="110"/>
        </w:rPr>
        <w:t> </w:t>
      </w:r>
      <w:r>
        <w:rPr>
          <w:color w:val="231F20"/>
          <w:w w:val="110"/>
        </w:rPr>
        <w:t>selección</w:t>
      </w:r>
      <w:r>
        <w:rPr>
          <w:color w:val="231F20"/>
          <w:spacing w:val="-5"/>
          <w:w w:val="110"/>
        </w:rPr>
        <w:t> </w:t>
      </w:r>
      <w:r>
        <w:rPr>
          <w:color w:val="231F20"/>
          <w:w w:val="110"/>
        </w:rPr>
        <w:t>y</w:t>
      </w:r>
      <w:r>
        <w:rPr>
          <w:color w:val="231F20"/>
          <w:spacing w:val="-5"/>
          <w:w w:val="110"/>
        </w:rPr>
        <w:t> </w:t>
      </w:r>
      <w:r>
        <w:rPr>
          <w:color w:val="231F20"/>
          <w:w w:val="110"/>
        </w:rPr>
        <w:t>delimitación</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región</w:t>
      </w:r>
      <w:r>
        <w:rPr>
          <w:color w:val="231F20"/>
          <w:spacing w:val="-5"/>
          <w:w w:val="110"/>
        </w:rPr>
        <w:t> </w:t>
      </w:r>
      <w:r>
        <w:rPr>
          <w:color w:val="231F20"/>
          <w:w w:val="110"/>
        </w:rPr>
        <w:t>de estudio</w:t>
      </w:r>
      <w:r>
        <w:rPr>
          <w:color w:val="231F20"/>
          <w:spacing w:val="-12"/>
          <w:w w:val="110"/>
        </w:rPr>
        <w:t> </w:t>
      </w:r>
      <w:r>
        <w:rPr>
          <w:color w:val="231F20"/>
          <w:w w:val="110"/>
        </w:rPr>
        <w:t>se</w:t>
      </w:r>
      <w:r>
        <w:rPr>
          <w:color w:val="231F20"/>
          <w:spacing w:val="-12"/>
          <w:w w:val="110"/>
        </w:rPr>
        <w:t> </w:t>
      </w:r>
      <w:r>
        <w:rPr>
          <w:color w:val="231F20"/>
          <w:w w:val="110"/>
        </w:rPr>
        <w:t>basaron</w:t>
      </w:r>
      <w:r>
        <w:rPr>
          <w:color w:val="231F20"/>
          <w:spacing w:val="-12"/>
          <w:w w:val="110"/>
        </w:rPr>
        <w:t> </w:t>
      </w:r>
      <w:r>
        <w:rPr>
          <w:color w:val="231F20"/>
          <w:w w:val="110"/>
        </w:rPr>
        <w:t>en</w:t>
      </w:r>
      <w:r>
        <w:rPr>
          <w:color w:val="231F20"/>
          <w:spacing w:val="-12"/>
          <w:w w:val="110"/>
        </w:rPr>
        <w:t> </w:t>
      </w:r>
      <w:r>
        <w:rPr>
          <w:color w:val="231F20"/>
          <w:w w:val="110"/>
        </w:rPr>
        <w:t>el</w:t>
      </w:r>
      <w:r>
        <w:rPr>
          <w:color w:val="231F20"/>
          <w:spacing w:val="-12"/>
          <w:w w:val="110"/>
        </w:rPr>
        <w:t> </w:t>
      </w:r>
      <w:r>
        <w:rPr>
          <w:color w:val="231F20"/>
          <w:w w:val="110"/>
        </w:rPr>
        <w:t>enfoque</w:t>
      </w:r>
      <w:r>
        <w:rPr>
          <w:color w:val="231F20"/>
          <w:spacing w:val="-12"/>
          <w:w w:val="110"/>
        </w:rPr>
        <w:t> </w:t>
      </w:r>
      <w:r>
        <w:rPr>
          <w:color w:val="231F20"/>
          <w:w w:val="110"/>
        </w:rPr>
        <w:t>ecológico</w:t>
      </w:r>
      <w:r>
        <w:rPr>
          <w:color w:val="231F20"/>
          <w:spacing w:val="-12"/>
          <w:w w:val="110"/>
        </w:rPr>
        <w:t> </w:t>
      </w:r>
      <w:r>
        <w:rPr>
          <w:color w:val="231F20"/>
          <w:w w:val="110"/>
        </w:rPr>
        <w:t>de</w:t>
      </w:r>
      <w:r>
        <w:rPr>
          <w:color w:val="231F20"/>
          <w:spacing w:val="-12"/>
          <w:w w:val="110"/>
        </w:rPr>
        <w:t> </w:t>
      </w:r>
      <w:r>
        <w:rPr>
          <w:color w:val="231F20"/>
          <w:w w:val="110"/>
        </w:rPr>
        <w:t>Julian</w:t>
      </w:r>
      <w:r>
        <w:rPr>
          <w:color w:val="231F20"/>
          <w:spacing w:val="-12"/>
          <w:w w:val="110"/>
        </w:rPr>
        <w:t> </w:t>
      </w:r>
      <w:r>
        <w:rPr>
          <w:color w:val="231F20"/>
          <w:w w:val="110"/>
        </w:rPr>
        <w:t>Steward</w:t>
      </w:r>
      <w:r>
        <w:rPr>
          <w:color w:val="231F20"/>
          <w:spacing w:val="-12"/>
          <w:w w:val="110"/>
        </w:rPr>
        <w:t> </w:t>
      </w:r>
      <w:r>
        <w:rPr>
          <w:color w:val="231F20"/>
          <w:w w:val="110"/>
        </w:rPr>
        <w:t>(1955),</w:t>
      </w:r>
      <w:r>
        <w:rPr>
          <w:color w:val="231F20"/>
          <w:spacing w:val="-12"/>
          <w:w w:val="110"/>
        </w:rPr>
        <w:t> </w:t>
      </w:r>
      <w:r>
        <w:rPr>
          <w:color w:val="231F20"/>
          <w:w w:val="110"/>
        </w:rPr>
        <w:t>el</w:t>
      </w:r>
      <w:r>
        <w:rPr>
          <w:color w:val="231F20"/>
          <w:spacing w:val="-12"/>
          <w:w w:val="110"/>
        </w:rPr>
        <w:t> </w:t>
      </w:r>
      <w:r>
        <w:rPr>
          <w:color w:val="231F20"/>
          <w:w w:val="110"/>
        </w:rPr>
        <w:t>cual lleva</w:t>
      </w:r>
      <w:r>
        <w:rPr>
          <w:color w:val="231F20"/>
          <w:spacing w:val="-19"/>
          <w:w w:val="110"/>
        </w:rPr>
        <w:t> </w:t>
      </w:r>
      <w:r>
        <w:rPr>
          <w:color w:val="231F20"/>
          <w:w w:val="110"/>
        </w:rPr>
        <w:t>implícito</w:t>
      </w:r>
      <w:r>
        <w:rPr>
          <w:color w:val="231F20"/>
          <w:spacing w:val="-19"/>
          <w:w w:val="110"/>
        </w:rPr>
        <w:t> </w:t>
      </w:r>
      <w:r>
        <w:rPr>
          <w:color w:val="231F20"/>
          <w:w w:val="110"/>
        </w:rPr>
        <w:t>el</w:t>
      </w:r>
      <w:r>
        <w:rPr>
          <w:color w:val="231F20"/>
          <w:spacing w:val="-19"/>
          <w:w w:val="110"/>
        </w:rPr>
        <w:t> </w:t>
      </w:r>
      <w:r>
        <w:rPr>
          <w:color w:val="231F20"/>
          <w:w w:val="110"/>
        </w:rPr>
        <w:t>análisis</w:t>
      </w:r>
      <w:r>
        <w:rPr>
          <w:color w:val="231F20"/>
          <w:spacing w:val="-19"/>
          <w:w w:val="110"/>
        </w:rPr>
        <w:t> </w:t>
      </w:r>
      <w:r>
        <w:rPr>
          <w:color w:val="231F20"/>
          <w:w w:val="110"/>
        </w:rPr>
        <w:t>de</w:t>
      </w:r>
      <w:r>
        <w:rPr>
          <w:color w:val="231F20"/>
          <w:spacing w:val="-19"/>
          <w:w w:val="110"/>
        </w:rPr>
        <w:t> </w:t>
      </w:r>
      <w:r>
        <w:rPr>
          <w:color w:val="231F20"/>
          <w:w w:val="110"/>
        </w:rPr>
        <w:t>la</w:t>
      </w:r>
      <w:r>
        <w:rPr>
          <w:color w:val="231F20"/>
          <w:spacing w:val="-19"/>
          <w:w w:val="110"/>
        </w:rPr>
        <w:t> </w:t>
      </w:r>
      <w:r>
        <w:rPr>
          <w:color w:val="231F20"/>
          <w:w w:val="110"/>
        </w:rPr>
        <w:t>relación</w:t>
      </w:r>
      <w:r>
        <w:rPr>
          <w:color w:val="231F20"/>
          <w:spacing w:val="-19"/>
          <w:w w:val="110"/>
        </w:rPr>
        <w:t> </w:t>
      </w:r>
      <w:r>
        <w:rPr>
          <w:color w:val="231F20"/>
          <w:w w:val="110"/>
        </w:rPr>
        <w:t>entre</w:t>
      </w:r>
      <w:r>
        <w:rPr>
          <w:color w:val="231F20"/>
          <w:spacing w:val="-19"/>
          <w:w w:val="110"/>
        </w:rPr>
        <w:t> </w:t>
      </w:r>
      <w:r>
        <w:rPr>
          <w:color w:val="231F20"/>
          <w:w w:val="110"/>
        </w:rPr>
        <w:t>el</w:t>
      </w:r>
      <w:r>
        <w:rPr>
          <w:color w:val="231F20"/>
          <w:spacing w:val="-19"/>
          <w:w w:val="110"/>
        </w:rPr>
        <w:t> </w:t>
      </w:r>
      <w:r>
        <w:rPr>
          <w:color w:val="231F20"/>
          <w:w w:val="110"/>
        </w:rPr>
        <w:t>medio</w:t>
      </w:r>
      <w:r>
        <w:rPr>
          <w:color w:val="231F20"/>
          <w:spacing w:val="-19"/>
          <w:w w:val="110"/>
        </w:rPr>
        <w:t> </w:t>
      </w:r>
      <w:r>
        <w:rPr>
          <w:color w:val="231F20"/>
          <w:w w:val="110"/>
        </w:rPr>
        <w:t>geográfico</w:t>
      </w:r>
      <w:r>
        <w:rPr>
          <w:color w:val="231F20"/>
          <w:spacing w:val="-19"/>
          <w:w w:val="110"/>
        </w:rPr>
        <w:t> </w:t>
      </w:r>
      <w:r>
        <w:rPr>
          <w:color w:val="231F20"/>
          <w:w w:val="110"/>
        </w:rPr>
        <w:t>y</w:t>
      </w:r>
      <w:r>
        <w:rPr>
          <w:color w:val="231F20"/>
          <w:spacing w:val="-19"/>
          <w:w w:val="110"/>
        </w:rPr>
        <w:t> </w:t>
      </w:r>
      <w:r>
        <w:rPr>
          <w:color w:val="231F20"/>
          <w:w w:val="110"/>
        </w:rPr>
        <w:t>la</w:t>
      </w:r>
      <w:r>
        <w:rPr>
          <w:color w:val="231F20"/>
          <w:spacing w:val="-19"/>
          <w:w w:val="110"/>
        </w:rPr>
        <w:t> </w:t>
      </w:r>
      <w:r>
        <w:rPr>
          <w:color w:val="231F20"/>
          <w:w w:val="110"/>
        </w:rPr>
        <w:t>cultura; la propuesta se complementó con la de Sauer (1948) quien propone “deli- mitar regiones en tanto la existencia de áreas culturales del pasado y del presente” (citado en Viqueira, 2001: 13). A partir de recorridos de área, se </w:t>
      </w:r>
      <w:r>
        <w:rPr>
          <w:color w:val="231F20"/>
          <w:spacing w:val="-4"/>
          <w:w w:val="110"/>
        </w:rPr>
        <w:t>seleccionaron </w:t>
      </w:r>
      <w:r>
        <w:rPr>
          <w:color w:val="231F20"/>
          <w:w w:val="110"/>
        </w:rPr>
        <w:t>de </w:t>
      </w:r>
      <w:r>
        <w:rPr>
          <w:color w:val="231F20"/>
          <w:spacing w:val="-4"/>
          <w:w w:val="110"/>
        </w:rPr>
        <w:t>forma aleatoria cuatro comunidades </w:t>
      </w:r>
      <w:r>
        <w:rPr>
          <w:color w:val="231F20"/>
          <w:spacing w:val="-3"/>
          <w:w w:val="110"/>
        </w:rPr>
        <w:t>del </w:t>
      </w:r>
      <w:r>
        <w:rPr>
          <w:color w:val="231F20"/>
          <w:spacing w:val="-8"/>
          <w:w w:val="110"/>
        </w:rPr>
        <w:t>Valle </w:t>
      </w:r>
      <w:r>
        <w:rPr>
          <w:color w:val="231F20"/>
          <w:w w:val="110"/>
        </w:rPr>
        <w:t>de </w:t>
      </w:r>
      <w:r>
        <w:rPr>
          <w:color w:val="231F20"/>
          <w:spacing w:val="-4"/>
          <w:w w:val="110"/>
        </w:rPr>
        <w:t>Ixtlahuaca: Santiago </w:t>
      </w:r>
      <w:r>
        <w:rPr>
          <w:color w:val="231F20"/>
          <w:spacing w:val="-8"/>
          <w:w w:val="110"/>
        </w:rPr>
        <w:t>Yeché </w:t>
      </w:r>
      <w:r>
        <w:rPr>
          <w:color w:val="231F20"/>
          <w:spacing w:val="-4"/>
          <w:w w:val="110"/>
        </w:rPr>
        <w:t>(barrio </w:t>
      </w:r>
      <w:r>
        <w:rPr>
          <w:color w:val="231F20"/>
          <w:w w:val="110"/>
        </w:rPr>
        <w:t>de </w:t>
      </w:r>
      <w:r>
        <w:rPr>
          <w:color w:val="231F20"/>
          <w:spacing w:val="-4"/>
          <w:w w:val="110"/>
        </w:rPr>
        <w:t>Meje), </w:t>
      </w:r>
      <w:r>
        <w:rPr>
          <w:color w:val="231F20"/>
          <w:spacing w:val="-3"/>
          <w:w w:val="110"/>
        </w:rPr>
        <w:t>San </w:t>
      </w:r>
      <w:r>
        <w:rPr>
          <w:color w:val="231F20"/>
          <w:spacing w:val="-4"/>
          <w:w w:val="110"/>
        </w:rPr>
        <w:t>Francisco Chejé, </w:t>
      </w:r>
      <w:r>
        <w:rPr>
          <w:color w:val="231F20"/>
          <w:spacing w:val="-3"/>
          <w:w w:val="110"/>
        </w:rPr>
        <w:t>San Juan </w:t>
      </w:r>
      <w:r>
        <w:rPr>
          <w:color w:val="231F20"/>
          <w:w w:val="110"/>
        </w:rPr>
        <w:t>y </w:t>
      </w:r>
      <w:r>
        <w:rPr>
          <w:color w:val="231F20"/>
          <w:spacing w:val="-3"/>
          <w:w w:val="110"/>
        </w:rPr>
        <w:t>San </w:t>
      </w:r>
      <w:r>
        <w:rPr>
          <w:color w:val="231F20"/>
          <w:spacing w:val="15"/>
          <w:w w:val="110"/>
        </w:rPr>
        <w:t> </w:t>
      </w:r>
      <w:r>
        <w:rPr>
          <w:color w:val="231F20"/>
          <w:spacing w:val="-3"/>
          <w:w w:val="110"/>
        </w:rPr>
        <w:t>Agustín</w:t>
      </w:r>
    </w:p>
    <w:p>
      <w:pPr>
        <w:spacing w:after="0" w:line="288" w:lineRule="auto"/>
        <w:jc w:val="both"/>
        <w:sectPr>
          <w:pgSz w:w="9520" w:h="12920"/>
          <w:pgMar w:header="0" w:footer="1344" w:top="880" w:bottom="1540" w:left="1320" w:right="1000"/>
        </w:sectPr>
      </w:pPr>
    </w:p>
    <w:p>
      <w:pPr>
        <w:pStyle w:val="BodyText"/>
        <w:spacing w:line="288" w:lineRule="auto" w:before="42"/>
        <w:ind w:left="120" w:right="119"/>
        <w:jc w:val="both"/>
      </w:pPr>
      <w:r>
        <w:rPr>
          <w:color w:val="231F20"/>
          <w:w w:val="110"/>
        </w:rPr>
        <w:t>(barrio de Tiacaque) y Santa María del Llano, son representativas de una región geográficamente homogénea. Éstas comparten antecedentes histó- ricos,</w:t>
      </w:r>
      <w:r>
        <w:rPr>
          <w:color w:val="231F20"/>
          <w:spacing w:val="-19"/>
          <w:w w:val="110"/>
        </w:rPr>
        <w:t> </w:t>
      </w:r>
      <w:r>
        <w:rPr>
          <w:color w:val="231F20"/>
          <w:w w:val="110"/>
        </w:rPr>
        <w:t>características</w:t>
      </w:r>
      <w:r>
        <w:rPr>
          <w:color w:val="231F20"/>
          <w:spacing w:val="-19"/>
          <w:w w:val="110"/>
        </w:rPr>
        <w:t> </w:t>
      </w:r>
      <w:r>
        <w:rPr>
          <w:color w:val="231F20"/>
          <w:w w:val="110"/>
        </w:rPr>
        <w:t>culturales</w:t>
      </w:r>
      <w:r>
        <w:rPr>
          <w:color w:val="231F20"/>
          <w:spacing w:val="-19"/>
          <w:w w:val="110"/>
        </w:rPr>
        <w:t> </w:t>
      </w:r>
      <w:r>
        <w:rPr>
          <w:color w:val="231F20"/>
          <w:w w:val="110"/>
        </w:rPr>
        <w:t>y</w:t>
      </w:r>
      <w:r>
        <w:rPr>
          <w:color w:val="231F20"/>
          <w:spacing w:val="-19"/>
          <w:w w:val="110"/>
        </w:rPr>
        <w:t> </w:t>
      </w:r>
      <w:r>
        <w:rPr>
          <w:color w:val="231F20"/>
          <w:w w:val="110"/>
        </w:rPr>
        <w:t>su</w:t>
      </w:r>
      <w:r>
        <w:rPr>
          <w:color w:val="231F20"/>
          <w:spacing w:val="-19"/>
          <w:w w:val="110"/>
        </w:rPr>
        <w:t> </w:t>
      </w:r>
      <w:r>
        <w:rPr>
          <w:color w:val="231F20"/>
          <w:w w:val="110"/>
        </w:rPr>
        <w:t>principal</w:t>
      </w:r>
      <w:r>
        <w:rPr>
          <w:color w:val="231F20"/>
          <w:spacing w:val="-19"/>
          <w:w w:val="110"/>
        </w:rPr>
        <w:t> </w:t>
      </w:r>
      <w:r>
        <w:rPr>
          <w:color w:val="231F20"/>
          <w:w w:val="110"/>
        </w:rPr>
        <w:t>actividad</w:t>
      </w:r>
      <w:r>
        <w:rPr>
          <w:color w:val="231F20"/>
          <w:spacing w:val="-19"/>
          <w:w w:val="110"/>
        </w:rPr>
        <w:t> </w:t>
      </w:r>
      <w:r>
        <w:rPr>
          <w:color w:val="231F20"/>
          <w:w w:val="110"/>
        </w:rPr>
        <w:t>económica</w:t>
      </w:r>
      <w:r>
        <w:rPr>
          <w:color w:val="231F20"/>
          <w:spacing w:val="-19"/>
          <w:w w:val="110"/>
        </w:rPr>
        <w:t> </w:t>
      </w:r>
      <w:r>
        <w:rPr>
          <w:color w:val="231F20"/>
          <w:w w:val="110"/>
        </w:rPr>
        <w:t>es</w:t>
      </w:r>
      <w:r>
        <w:rPr>
          <w:color w:val="231F20"/>
          <w:spacing w:val="-19"/>
          <w:w w:val="110"/>
        </w:rPr>
        <w:t> </w:t>
      </w:r>
      <w:r>
        <w:rPr>
          <w:color w:val="231F20"/>
          <w:w w:val="110"/>
        </w:rPr>
        <w:t>la</w:t>
      </w:r>
      <w:r>
        <w:rPr>
          <w:color w:val="231F20"/>
          <w:spacing w:val="-19"/>
          <w:w w:val="110"/>
        </w:rPr>
        <w:t> </w:t>
      </w:r>
      <w:r>
        <w:rPr>
          <w:color w:val="231F20"/>
          <w:w w:val="110"/>
        </w:rPr>
        <w:t>agri- cultura</w:t>
      </w:r>
      <w:r>
        <w:rPr>
          <w:color w:val="231F20"/>
          <w:spacing w:val="-25"/>
          <w:w w:val="110"/>
        </w:rPr>
        <w:t> </w:t>
      </w:r>
      <w:r>
        <w:rPr>
          <w:color w:val="231F20"/>
          <w:w w:val="110"/>
        </w:rPr>
        <w:t>(Reyes,</w:t>
      </w:r>
      <w:r>
        <w:rPr>
          <w:color w:val="231F20"/>
          <w:spacing w:val="-25"/>
          <w:w w:val="110"/>
        </w:rPr>
        <w:t> </w:t>
      </w:r>
      <w:r>
        <w:rPr>
          <w:color w:val="231F20"/>
          <w:w w:val="110"/>
        </w:rPr>
        <w:t>2006).</w:t>
      </w:r>
    </w:p>
    <w:p>
      <w:pPr>
        <w:pStyle w:val="BodyText"/>
        <w:spacing w:line="288" w:lineRule="auto"/>
        <w:ind w:left="119" w:right="118" w:firstLine="360"/>
        <w:jc w:val="both"/>
      </w:pPr>
      <w:r>
        <w:rPr>
          <w:color w:val="231F20"/>
          <w:w w:val="110"/>
        </w:rPr>
        <w:t>El </w:t>
      </w:r>
      <w:r>
        <w:rPr>
          <w:color w:val="231F20"/>
          <w:spacing w:val="-5"/>
          <w:w w:val="110"/>
        </w:rPr>
        <w:t>Valle </w:t>
      </w:r>
      <w:r>
        <w:rPr>
          <w:color w:val="231F20"/>
          <w:w w:val="110"/>
        </w:rPr>
        <w:t>de Ixtlahuaca se ubica geográficamente al noroeste del Estado de México,</w:t>
      </w:r>
      <w:r>
        <w:rPr>
          <w:color w:val="231F20"/>
          <w:w w:val="110"/>
          <w:position w:val="6"/>
          <w:sz w:val="11"/>
        </w:rPr>
        <w:t>7 </w:t>
      </w:r>
      <w:r>
        <w:rPr>
          <w:color w:val="231F20"/>
          <w:w w:val="110"/>
        </w:rPr>
        <w:t>principalmente entre dos regiones naturales: el </w:t>
      </w:r>
      <w:r>
        <w:rPr>
          <w:color w:val="231F20"/>
          <w:spacing w:val="-5"/>
          <w:w w:val="110"/>
        </w:rPr>
        <w:t>Valle </w:t>
      </w:r>
      <w:r>
        <w:rPr>
          <w:color w:val="231F20"/>
          <w:w w:val="110"/>
        </w:rPr>
        <w:t>de </w:t>
      </w:r>
      <w:r>
        <w:rPr>
          <w:color w:val="231F20"/>
          <w:spacing w:val="-3"/>
          <w:w w:val="110"/>
        </w:rPr>
        <w:t>Toluca </w:t>
      </w:r>
      <w:r>
        <w:rPr>
          <w:color w:val="231F20"/>
          <w:w w:val="110"/>
        </w:rPr>
        <w:t>y la Sierra de las Cruces; consideradas tierras frías, ambos valles poseen un clima subhúmedo y frío, con una estación de lluvias de mayo a octubre.</w:t>
      </w:r>
    </w:p>
    <w:p>
      <w:pPr>
        <w:pStyle w:val="BodyText"/>
        <w:spacing w:before="4"/>
      </w:pPr>
    </w:p>
    <w:p>
      <w:pPr>
        <w:spacing w:line="185" w:lineRule="exact" w:before="0"/>
        <w:ind w:left="457" w:right="457" w:firstLine="0"/>
        <w:jc w:val="center"/>
        <w:rPr>
          <w:sz w:val="16"/>
        </w:rPr>
      </w:pPr>
      <w:r>
        <w:rPr>
          <w:color w:val="231F20"/>
          <w:sz w:val="16"/>
        </w:rPr>
        <w:t>Mapa 1</w:t>
      </w:r>
    </w:p>
    <w:p>
      <w:pPr>
        <w:spacing w:line="220" w:lineRule="exact" w:before="0"/>
        <w:ind w:left="457" w:right="457" w:firstLine="0"/>
        <w:jc w:val="center"/>
        <w:rPr>
          <w:sz w:val="19"/>
        </w:rPr>
      </w:pPr>
      <w:r>
        <w:rPr>
          <w:color w:val="231F20"/>
          <w:w w:val="90"/>
          <w:sz w:val="19"/>
        </w:rPr>
        <w:t>Estado de México</w:t>
      </w:r>
    </w:p>
    <w:p>
      <w:pPr>
        <w:pStyle w:val="BodyText"/>
        <w:spacing w:before="1"/>
        <w:rPr>
          <w:sz w:val="11"/>
        </w:rPr>
      </w:pPr>
      <w:r>
        <w:rPr/>
        <w:drawing>
          <wp:anchor distT="0" distB="0" distL="0" distR="0" allowOverlap="1" layoutInCell="1" locked="0" behindDoc="0" simplePos="0" relativeHeight="2848">
            <wp:simplePos x="0" y="0"/>
            <wp:positionH relativeFrom="page">
              <wp:posOffset>711200</wp:posOffset>
            </wp:positionH>
            <wp:positionV relativeFrom="paragraph">
              <wp:posOffset>107666</wp:posOffset>
            </wp:positionV>
            <wp:extent cx="4395788" cy="2569845"/>
            <wp:effectExtent l="0" t="0" r="0" b="0"/>
            <wp:wrapTopAndBottom/>
            <wp:docPr id="15" name="image45.jpeg" descr=""/>
            <wp:cNvGraphicFramePr>
              <a:graphicFrameLocks noChangeAspect="1"/>
            </wp:cNvGraphicFramePr>
            <a:graphic>
              <a:graphicData uri="http://schemas.openxmlformats.org/drawingml/2006/picture">
                <pic:pic>
                  <pic:nvPicPr>
                    <pic:cNvPr id="16" name="image45.jpeg"/>
                    <pic:cNvPicPr/>
                  </pic:nvPicPr>
                  <pic:blipFill>
                    <a:blip r:embed="rId128" cstate="print"/>
                    <a:stretch>
                      <a:fillRect/>
                    </a:stretch>
                  </pic:blipFill>
                  <pic:spPr>
                    <a:xfrm>
                      <a:off x="0" y="0"/>
                      <a:ext cx="4395788" cy="2569845"/>
                    </a:xfrm>
                    <a:prstGeom prst="rect">
                      <a:avLst/>
                    </a:prstGeom>
                  </pic:spPr>
                </pic:pic>
              </a:graphicData>
            </a:graphic>
          </wp:anchor>
        </w:drawing>
      </w:r>
    </w:p>
    <w:p>
      <w:pPr>
        <w:spacing w:before="76"/>
        <w:ind w:left="480" w:right="0" w:firstLine="0"/>
        <w:jc w:val="left"/>
        <w:rPr>
          <w:sz w:val="15"/>
        </w:rPr>
      </w:pPr>
      <w:r>
        <w:rPr>
          <w:color w:val="231F20"/>
          <w:w w:val="110"/>
          <w:sz w:val="15"/>
        </w:rPr>
        <w:t>Fuente: Elaboración de Noé Antonio Aguirre González, con base en </w:t>
      </w:r>
      <w:r>
        <w:rPr>
          <w:rFonts w:ascii="Times New Roman" w:hAnsi="Times New Roman"/>
          <w:color w:val="231F20"/>
          <w:w w:val="110"/>
          <w:sz w:val="12"/>
        </w:rPr>
        <w:t>INEGI    </w:t>
      </w:r>
      <w:r>
        <w:rPr>
          <w:color w:val="231F20"/>
          <w:w w:val="110"/>
          <w:sz w:val="15"/>
        </w:rPr>
        <w:t>2010.</w:t>
      </w:r>
    </w:p>
    <w:p>
      <w:pPr>
        <w:pStyle w:val="BodyText"/>
        <w:rPr>
          <w:sz w:val="14"/>
        </w:rPr>
      </w:pPr>
    </w:p>
    <w:p>
      <w:pPr>
        <w:pStyle w:val="BodyText"/>
        <w:rPr>
          <w:sz w:val="15"/>
        </w:rPr>
      </w:pPr>
    </w:p>
    <w:p>
      <w:pPr>
        <w:pStyle w:val="BodyText"/>
        <w:spacing w:line="288" w:lineRule="auto"/>
        <w:ind w:left="120" w:right="117" w:firstLine="360"/>
        <w:jc w:val="both"/>
      </w:pPr>
      <w:r>
        <w:rPr>
          <w:color w:val="231F20"/>
          <w:w w:val="110"/>
        </w:rPr>
        <w:t>Según datos de la Comisión Nacional para los Pueblos Indígenas (CDI), el </w:t>
      </w:r>
      <w:r>
        <w:rPr>
          <w:color w:val="231F20"/>
          <w:spacing w:val="-5"/>
          <w:w w:val="110"/>
        </w:rPr>
        <w:t>Valle </w:t>
      </w:r>
      <w:r>
        <w:rPr>
          <w:color w:val="231F20"/>
          <w:w w:val="110"/>
        </w:rPr>
        <w:t>de </w:t>
      </w:r>
      <w:r>
        <w:rPr>
          <w:color w:val="231F20"/>
          <w:spacing w:val="-3"/>
          <w:w w:val="110"/>
        </w:rPr>
        <w:t>Toluca </w:t>
      </w:r>
      <w:r>
        <w:rPr>
          <w:color w:val="231F20"/>
          <w:w w:val="110"/>
        </w:rPr>
        <w:t>es la planicie más elevada de todo México —en algunos lugares alcanza 2,683 metros sobre el nivel del mar—, tiene una longitud de 110 kilómetros y una superficie de 4,500 kilómetros cuadrados. Es un valle</w:t>
      </w:r>
      <w:r>
        <w:rPr>
          <w:color w:val="231F20"/>
          <w:spacing w:val="-7"/>
          <w:w w:val="110"/>
        </w:rPr>
        <w:t> </w:t>
      </w:r>
      <w:r>
        <w:rPr>
          <w:color w:val="231F20"/>
          <w:w w:val="110"/>
        </w:rPr>
        <w:t>estrecho</w:t>
      </w:r>
      <w:r>
        <w:rPr>
          <w:color w:val="231F20"/>
          <w:spacing w:val="-7"/>
          <w:w w:val="110"/>
        </w:rPr>
        <w:t> </w:t>
      </w:r>
      <w:r>
        <w:rPr>
          <w:color w:val="231F20"/>
          <w:w w:val="110"/>
        </w:rPr>
        <w:t>y</w:t>
      </w:r>
      <w:r>
        <w:rPr>
          <w:color w:val="231F20"/>
          <w:spacing w:val="-7"/>
          <w:w w:val="110"/>
        </w:rPr>
        <w:t> </w:t>
      </w:r>
      <w:r>
        <w:rPr>
          <w:color w:val="231F20"/>
          <w:w w:val="110"/>
        </w:rPr>
        <w:t>alargado,</w:t>
      </w:r>
      <w:r>
        <w:rPr>
          <w:color w:val="231F20"/>
          <w:spacing w:val="-7"/>
          <w:w w:val="110"/>
        </w:rPr>
        <w:t> </w:t>
      </w:r>
      <w:r>
        <w:rPr>
          <w:color w:val="231F20"/>
          <w:w w:val="110"/>
        </w:rPr>
        <w:t>orientado</w:t>
      </w:r>
      <w:r>
        <w:rPr>
          <w:color w:val="231F20"/>
          <w:spacing w:val="-7"/>
          <w:w w:val="110"/>
        </w:rPr>
        <w:t> </w:t>
      </w:r>
      <w:r>
        <w:rPr>
          <w:color w:val="231F20"/>
          <w:w w:val="110"/>
        </w:rPr>
        <w:t>de</w:t>
      </w:r>
      <w:r>
        <w:rPr>
          <w:color w:val="231F20"/>
          <w:spacing w:val="-7"/>
          <w:w w:val="110"/>
        </w:rPr>
        <w:t> </w:t>
      </w:r>
      <w:r>
        <w:rPr>
          <w:color w:val="231F20"/>
          <w:w w:val="110"/>
        </w:rPr>
        <w:t>sureste</w:t>
      </w:r>
      <w:r>
        <w:rPr>
          <w:color w:val="231F20"/>
          <w:spacing w:val="-7"/>
          <w:w w:val="110"/>
        </w:rPr>
        <w:t> </w:t>
      </w:r>
      <w:r>
        <w:rPr>
          <w:color w:val="231F20"/>
          <w:w w:val="110"/>
        </w:rPr>
        <w:t>a</w:t>
      </w:r>
      <w:r>
        <w:rPr>
          <w:color w:val="231F20"/>
          <w:spacing w:val="-7"/>
          <w:w w:val="110"/>
        </w:rPr>
        <w:t> </w:t>
      </w:r>
      <w:r>
        <w:rPr>
          <w:color w:val="231F20"/>
          <w:w w:val="110"/>
        </w:rPr>
        <w:t>noroeste,</w:t>
      </w:r>
      <w:r>
        <w:rPr>
          <w:color w:val="231F20"/>
          <w:spacing w:val="-7"/>
          <w:w w:val="110"/>
        </w:rPr>
        <w:t> </w:t>
      </w:r>
      <w:r>
        <w:rPr>
          <w:color w:val="231F20"/>
          <w:w w:val="110"/>
        </w:rPr>
        <w:t>punto</w:t>
      </w:r>
      <w:r>
        <w:rPr>
          <w:color w:val="231F20"/>
          <w:spacing w:val="-7"/>
          <w:w w:val="110"/>
        </w:rPr>
        <w:t> </w:t>
      </w:r>
      <w:r>
        <w:rPr>
          <w:color w:val="231F20"/>
          <w:w w:val="110"/>
        </w:rPr>
        <w:t>por</w:t>
      </w:r>
      <w:r>
        <w:rPr>
          <w:color w:val="231F20"/>
          <w:spacing w:val="-7"/>
          <w:w w:val="110"/>
        </w:rPr>
        <w:t> </w:t>
      </w:r>
      <w:r>
        <w:rPr>
          <w:color w:val="231F20"/>
          <w:w w:val="110"/>
        </w:rPr>
        <w:t>el</w:t>
      </w:r>
      <w:r>
        <w:rPr>
          <w:color w:val="231F20"/>
          <w:spacing w:val="-7"/>
          <w:w w:val="110"/>
        </w:rPr>
        <w:t> </w:t>
      </w:r>
      <w:r>
        <w:rPr>
          <w:color w:val="231F20"/>
          <w:w w:val="110"/>
        </w:rPr>
        <w:t>que</w:t>
      </w:r>
    </w:p>
    <w:p>
      <w:pPr>
        <w:pStyle w:val="BodyText"/>
        <w:spacing w:before="8"/>
        <w:rPr>
          <w:sz w:val="18"/>
        </w:rPr>
      </w:pPr>
    </w:p>
    <w:p>
      <w:pPr>
        <w:spacing w:line="256" w:lineRule="auto" w:before="0"/>
        <w:ind w:left="120" w:right="117" w:firstLine="360"/>
        <w:jc w:val="both"/>
        <w:rPr>
          <w:sz w:val="16"/>
        </w:rPr>
      </w:pPr>
      <w:r>
        <w:rPr>
          <w:color w:val="231F20"/>
          <w:w w:val="110"/>
          <w:position w:val="5"/>
          <w:sz w:val="9"/>
        </w:rPr>
        <w:t>7 </w:t>
      </w:r>
      <w:r>
        <w:rPr>
          <w:color w:val="231F20"/>
          <w:w w:val="110"/>
          <w:sz w:val="16"/>
        </w:rPr>
        <w:t>El Estado de México se ubica en la porción central de la República Mexicana, dentro de las</w:t>
      </w:r>
      <w:r>
        <w:rPr>
          <w:color w:val="231F20"/>
          <w:spacing w:val="-7"/>
          <w:w w:val="110"/>
          <w:sz w:val="16"/>
        </w:rPr>
        <w:t> </w:t>
      </w:r>
      <w:r>
        <w:rPr>
          <w:color w:val="231F20"/>
          <w:w w:val="110"/>
          <w:sz w:val="16"/>
        </w:rPr>
        <w:t>coordenadas</w:t>
      </w:r>
      <w:r>
        <w:rPr>
          <w:color w:val="231F20"/>
          <w:spacing w:val="-7"/>
          <w:w w:val="110"/>
          <w:sz w:val="16"/>
        </w:rPr>
        <w:t> </w:t>
      </w:r>
      <w:r>
        <w:rPr>
          <w:color w:val="231F20"/>
          <w:w w:val="110"/>
          <w:sz w:val="16"/>
        </w:rPr>
        <w:t>geográficas</w:t>
      </w:r>
      <w:r>
        <w:rPr>
          <w:color w:val="231F20"/>
          <w:spacing w:val="-7"/>
          <w:w w:val="110"/>
          <w:sz w:val="16"/>
        </w:rPr>
        <w:t> </w:t>
      </w:r>
      <w:r>
        <w:rPr>
          <w:color w:val="231F20"/>
          <w:w w:val="110"/>
          <w:sz w:val="16"/>
        </w:rPr>
        <w:t>externas;</w:t>
      </w:r>
      <w:r>
        <w:rPr>
          <w:color w:val="231F20"/>
          <w:spacing w:val="-7"/>
          <w:w w:val="110"/>
          <w:sz w:val="16"/>
        </w:rPr>
        <w:t> </w:t>
      </w:r>
      <w:r>
        <w:rPr>
          <w:color w:val="231F20"/>
          <w:w w:val="110"/>
          <w:sz w:val="16"/>
        </w:rPr>
        <w:t>al</w:t>
      </w:r>
      <w:r>
        <w:rPr>
          <w:color w:val="231F20"/>
          <w:spacing w:val="-7"/>
          <w:w w:val="110"/>
          <w:sz w:val="16"/>
        </w:rPr>
        <w:t> </w:t>
      </w:r>
      <w:r>
        <w:rPr>
          <w:color w:val="231F20"/>
          <w:w w:val="110"/>
          <w:sz w:val="16"/>
        </w:rPr>
        <w:t>norte</w:t>
      </w:r>
      <w:r>
        <w:rPr>
          <w:color w:val="231F20"/>
          <w:spacing w:val="-7"/>
          <w:w w:val="110"/>
          <w:sz w:val="16"/>
        </w:rPr>
        <w:t> </w:t>
      </w:r>
      <w:r>
        <w:rPr>
          <w:color w:val="231F20"/>
          <w:w w:val="110"/>
          <w:sz w:val="16"/>
        </w:rPr>
        <w:t>20°</w:t>
      </w:r>
      <w:r>
        <w:rPr>
          <w:color w:val="231F20"/>
          <w:spacing w:val="-7"/>
          <w:w w:val="110"/>
          <w:sz w:val="16"/>
        </w:rPr>
        <w:t> </w:t>
      </w:r>
      <w:r>
        <w:rPr>
          <w:color w:val="231F20"/>
          <w:w w:val="110"/>
          <w:sz w:val="16"/>
        </w:rPr>
        <w:t>17’al</w:t>
      </w:r>
      <w:r>
        <w:rPr>
          <w:color w:val="231F20"/>
          <w:spacing w:val="-7"/>
          <w:w w:val="110"/>
          <w:sz w:val="16"/>
        </w:rPr>
        <w:t> </w:t>
      </w:r>
      <w:r>
        <w:rPr>
          <w:color w:val="231F20"/>
          <w:w w:val="110"/>
          <w:sz w:val="16"/>
        </w:rPr>
        <w:t>sur</w:t>
      </w:r>
      <w:r>
        <w:rPr>
          <w:color w:val="231F20"/>
          <w:spacing w:val="-7"/>
          <w:w w:val="110"/>
          <w:sz w:val="16"/>
        </w:rPr>
        <w:t> </w:t>
      </w:r>
      <w:r>
        <w:rPr>
          <w:color w:val="231F20"/>
          <w:w w:val="110"/>
          <w:sz w:val="16"/>
        </w:rPr>
        <w:t>18°</w:t>
      </w:r>
      <w:r>
        <w:rPr>
          <w:color w:val="231F20"/>
          <w:spacing w:val="-7"/>
          <w:w w:val="110"/>
          <w:sz w:val="16"/>
        </w:rPr>
        <w:t> </w:t>
      </w:r>
      <w:r>
        <w:rPr>
          <w:color w:val="231F20"/>
          <w:w w:val="110"/>
          <w:sz w:val="16"/>
        </w:rPr>
        <w:t>25’de</w:t>
      </w:r>
      <w:r>
        <w:rPr>
          <w:color w:val="231F20"/>
          <w:spacing w:val="-7"/>
          <w:w w:val="110"/>
          <w:sz w:val="16"/>
        </w:rPr>
        <w:t> </w:t>
      </w:r>
      <w:r>
        <w:rPr>
          <w:color w:val="231F20"/>
          <w:w w:val="110"/>
          <w:sz w:val="16"/>
        </w:rPr>
        <w:t>latitud</w:t>
      </w:r>
      <w:r>
        <w:rPr>
          <w:color w:val="231F20"/>
          <w:spacing w:val="-7"/>
          <w:w w:val="110"/>
          <w:sz w:val="16"/>
        </w:rPr>
        <w:t> </w:t>
      </w:r>
      <w:r>
        <w:rPr>
          <w:color w:val="231F20"/>
          <w:w w:val="110"/>
          <w:sz w:val="16"/>
        </w:rPr>
        <w:t>norte;</w:t>
      </w:r>
      <w:r>
        <w:rPr>
          <w:color w:val="231F20"/>
          <w:spacing w:val="-7"/>
          <w:w w:val="110"/>
          <w:sz w:val="16"/>
        </w:rPr>
        <w:t> </w:t>
      </w:r>
      <w:r>
        <w:rPr>
          <w:color w:val="231F20"/>
          <w:w w:val="110"/>
          <w:sz w:val="16"/>
        </w:rPr>
        <w:t>al</w:t>
      </w:r>
      <w:r>
        <w:rPr>
          <w:color w:val="231F20"/>
          <w:spacing w:val="-7"/>
          <w:w w:val="110"/>
          <w:sz w:val="16"/>
        </w:rPr>
        <w:t> </w:t>
      </w:r>
      <w:r>
        <w:rPr>
          <w:color w:val="231F20"/>
          <w:w w:val="110"/>
          <w:sz w:val="16"/>
        </w:rPr>
        <w:t>este</w:t>
      </w:r>
      <w:r>
        <w:rPr>
          <w:color w:val="231F20"/>
          <w:spacing w:val="-7"/>
          <w:w w:val="110"/>
          <w:sz w:val="16"/>
        </w:rPr>
        <w:t> </w:t>
      </w:r>
      <w:r>
        <w:rPr>
          <w:color w:val="231F20"/>
          <w:w w:val="110"/>
          <w:sz w:val="16"/>
        </w:rPr>
        <w:t>98° 33’ y al oeste 100° 28’de longitud oeste, además de una altitud que varía entre los 1,330 y 2,800</w:t>
      </w:r>
      <w:r>
        <w:rPr>
          <w:color w:val="231F20"/>
          <w:spacing w:val="-10"/>
          <w:w w:val="110"/>
          <w:sz w:val="16"/>
        </w:rPr>
        <w:t> </w:t>
      </w:r>
      <w:r>
        <w:rPr>
          <w:color w:val="231F20"/>
          <w:w w:val="110"/>
          <w:sz w:val="16"/>
        </w:rPr>
        <w:t>msnm</w:t>
      </w:r>
      <w:r>
        <w:rPr>
          <w:color w:val="231F20"/>
          <w:spacing w:val="-10"/>
          <w:w w:val="110"/>
          <w:sz w:val="16"/>
        </w:rPr>
        <w:t> </w:t>
      </w:r>
      <w:r>
        <w:rPr>
          <w:color w:val="231F20"/>
          <w:w w:val="110"/>
          <w:sz w:val="16"/>
        </w:rPr>
        <w:t>(</w:t>
      </w:r>
      <w:r>
        <w:rPr>
          <w:rFonts w:ascii="Times New Roman" w:hAnsi="Times New Roman"/>
          <w:color w:val="231F20"/>
          <w:w w:val="110"/>
          <w:sz w:val="13"/>
        </w:rPr>
        <w:t>INEGI</w:t>
      </w:r>
      <w:r>
        <w:rPr>
          <w:color w:val="231F20"/>
          <w:w w:val="110"/>
          <w:sz w:val="16"/>
        </w:rPr>
        <w:t>,</w:t>
      </w:r>
      <w:r>
        <w:rPr>
          <w:color w:val="231F20"/>
          <w:spacing w:val="-10"/>
          <w:w w:val="110"/>
          <w:sz w:val="16"/>
        </w:rPr>
        <w:t> </w:t>
      </w:r>
      <w:r>
        <w:rPr>
          <w:color w:val="231F20"/>
          <w:w w:val="110"/>
          <w:sz w:val="16"/>
        </w:rPr>
        <w:t>1997:</w:t>
      </w:r>
      <w:r>
        <w:rPr>
          <w:color w:val="231F20"/>
          <w:spacing w:val="-10"/>
          <w:w w:val="110"/>
          <w:sz w:val="16"/>
        </w:rPr>
        <w:t> </w:t>
      </w:r>
      <w:r>
        <w:rPr>
          <w:color w:val="231F20"/>
          <w:w w:val="110"/>
          <w:sz w:val="16"/>
        </w:rPr>
        <w:t>03).</w:t>
      </w:r>
    </w:p>
    <w:p>
      <w:pPr>
        <w:spacing w:after="0" w:line="256" w:lineRule="auto"/>
        <w:jc w:val="both"/>
        <w:rPr>
          <w:sz w:val="16"/>
        </w:rPr>
        <w:sectPr>
          <w:pgSz w:w="9520" w:h="12920"/>
          <w:pgMar w:header="0" w:footer="1344" w:top="880" w:bottom="1540" w:left="1000" w:right="1320"/>
        </w:sectPr>
      </w:pPr>
    </w:p>
    <w:p>
      <w:pPr>
        <w:pStyle w:val="BodyText"/>
        <w:spacing w:line="288" w:lineRule="auto" w:before="42"/>
        <w:ind w:left="124" w:right="113"/>
        <w:jc w:val="both"/>
      </w:pPr>
      <w:r>
        <w:rPr>
          <w:color w:val="231F20"/>
          <w:w w:val="110"/>
        </w:rPr>
        <w:t>se</w:t>
      </w:r>
      <w:r>
        <w:rPr>
          <w:color w:val="231F20"/>
          <w:spacing w:val="-5"/>
          <w:w w:val="110"/>
        </w:rPr>
        <w:t> </w:t>
      </w:r>
      <w:r>
        <w:rPr>
          <w:color w:val="231F20"/>
          <w:w w:val="110"/>
        </w:rPr>
        <w:t>comunica</w:t>
      </w:r>
      <w:r>
        <w:rPr>
          <w:color w:val="231F20"/>
          <w:spacing w:val="-5"/>
          <w:w w:val="110"/>
        </w:rPr>
        <w:t> </w:t>
      </w:r>
      <w:r>
        <w:rPr>
          <w:color w:val="231F20"/>
          <w:w w:val="110"/>
        </w:rPr>
        <w:t>con</w:t>
      </w:r>
      <w:r>
        <w:rPr>
          <w:color w:val="231F20"/>
          <w:spacing w:val="-5"/>
          <w:w w:val="110"/>
        </w:rPr>
        <w:t> </w:t>
      </w:r>
      <w:r>
        <w:rPr>
          <w:color w:val="231F20"/>
          <w:w w:val="110"/>
        </w:rPr>
        <w:t>el</w:t>
      </w:r>
      <w:r>
        <w:rPr>
          <w:color w:val="231F20"/>
          <w:spacing w:val="-5"/>
          <w:w w:val="110"/>
        </w:rPr>
        <w:t> </w:t>
      </w:r>
      <w:r>
        <w:rPr>
          <w:color w:val="231F20"/>
          <w:w w:val="110"/>
        </w:rPr>
        <w:t>Bajío.</w:t>
      </w:r>
      <w:r>
        <w:rPr>
          <w:color w:val="231F20"/>
          <w:spacing w:val="-5"/>
          <w:w w:val="110"/>
        </w:rPr>
        <w:t> </w:t>
      </w:r>
      <w:r>
        <w:rPr>
          <w:color w:val="231F20"/>
          <w:w w:val="110"/>
        </w:rPr>
        <w:t>Por</w:t>
      </w:r>
      <w:r>
        <w:rPr>
          <w:color w:val="231F20"/>
          <w:spacing w:val="-5"/>
          <w:w w:val="110"/>
        </w:rPr>
        <w:t> </w:t>
      </w:r>
      <w:r>
        <w:rPr>
          <w:color w:val="231F20"/>
          <w:w w:val="110"/>
        </w:rPr>
        <w:t>los</w:t>
      </w:r>
      <w:r>
        <w:rPr>
          <w:color w:val="231F20"/>
          <w:spacing w:val="-5"/>
          <w:w w:val="110"/>
        </w:rPr>
        <w:t> </w:t>
      </w:r>
      <w:r>
        <w:rPr>
          <w:color w:val="231F20"/>
          <w:w w:val="110"/>
        </w:rPr>
        <w:t>otros</w:t>
      </w:r>
      <w:r>
        <w:rPr>
          <w:color w:val="231F20"/>
          <w:spacing w:val="-5"/>
          <w:w w:val="110"/>
        </w:rPr>
        <w:t> </w:t>
      </w:r>
      <w:r>
        <w:rPr>
          <w:color w:val="231F20"/>
          <w:w w:val="110"/>
        </w:rPr>
        <w:t>costados</w:t>
      </w:r>
      <w:r>
        <w:rPr>
          <w:color w:val="231F20"/>
          <w:spacing w:val="-5"/>
          <w:w w:val="110"/>
        </w:rPr>
        <w:t> </w:t>
      </w:r>
      <w:r>
        <w:rPr>
          <w:color w:val="231F20"/>
          <w:w w:val="110"/>
        </w:rPr>
        <w:t>está</w:t>
      </w:r>
      <w:r>
        <w:rPr>
          <w:color w:val="231F20"/>
          <w:spacing w:val="-5"/>
          <w:w w:val="110"/>
        </w:rPr>
        <w:t> </w:t>
      </w:r>
      <w:r>
        <w:rPr>
          <w:color w:val="231F20"/>
          <w:w w:val="110"/>
        </w:rPr>
        <w:t>rodeado</w:t>
      </w:r>
      <w:r>
        <w:rPr>
          <w:color w:val="231F20"/>
          <w:spacing w:val="-5"/>
          <w:w w:val="110"/>
        </w:rPr>
        <w:t> </w:t>
      </w:r>
      <w:r>
        <w:rPr>
          <w:color w:val="231F20"/>
          <w:w w:val="110"/>
        </w:rPr>
        <w:t>de</w:t>
      </w:r>
      <w:r>
        <w:rPr>
          <w:color w:val="231F20"/>
          <w:spacing w:val="-5"/>
          <w:w w:val="110"/>
        </w:rPr>
        <w:t> </w:t>
      </w:r>
      <w:r>
        <w:rPr>
          <w:color w:val="231F20"/>
          <w:w w:val="110"/>
        </w:rPr>
        <w:t>montañas, de las que descienden infinidad de barrancas y arroyos que desembocan en el Río Lerma, eje del </w:t>
      </w:r>
      <w:r>
        <w:rPr>
          <w:color w:val="231F20"/>
          <w:spacing w:val="2"/>
          <w:w w:val="110"/>
        </w:rPr>
        <w:t> </w:t>
      </w:r>
      <w:r>
        <w:rPr>
          <w:color w:val="231F20"/>
          <w:w w:val="110"/>
        </w:rPr>
        <w:t>valle.</w:t>
      </w:r>
    </w:p>
    <w:p>
      <w:pPr>
        <w:pStyle w:val="BodyText"/>
        <w:spacing w:line="288" w:lineRule="auto"/>
        <w:ind w:left="124" w:right="111" w:firstLine="360"/>
        <w:jc w:val="both"/>
      </w:pPr>
      <w:r>
        <w:rPr>
          <w:color w:val="231F20"/>
          <w:w w:val="110"/>
        </w:rPr>
        <w:t>El </w:t>
      </w:r>
      <w:r>
        <w:rPr>
          <w:color w:val="231F20"/>
          <w:spacing w:val="-5"/>
          <w:w w:val="110"/>
        </w:rPr>
        <w:t>Valle </w:t>
      </w:r>
      <w:r>
        <w:rPr>
          <w:color w:val="231F20"/>
          <w:w w:val="110"/>
        </w:rPr>
        <w:t>de Ixtlahuaca “es una planicie de forma alargada con dirección sureste-noroeste, considerado valle abierto y se localiza al norte del </w:t>
      </w:r>
      <w:r>
        <w:rPr>
          <w:color w:val="231F20"/>
          <w:spacing w:val="-5"/>
          <w:w w:val="110"/>
        </w:rPr>
        <w:t>Valle </w:t>
      </w:r>
      <w:r>
        <w:rPr>
          <w:color w:val="231F20"/>
          <w:w w:val="110"/>
        </w:rPr>
        <w:t>de </w:t>
      </w:r>
      <w:r>
        <w:rPr>
          <w:color w:val="231F20"/>
          <w:spacing w:val="-3"/>
          <w:w w:val="110"/>
        </w:rPr>
        <w:t>Toluca, </w:t>
      </w:r>
      <w:r>
        <w:rPr>
          <w:color w:val="231F20"/>
          <w:w w:val="110"/>
        </w:rPr>
        <w:t>entre los 19° 34’ y la 19° 52 latitud norte y los 99° 40’ y los 100° 05’ de longitud oeste, queda comprendida entre las poblaciones de Ixtla- huaca de Rayón y Atlacomulco” (Gutiérrez de Limón, 1979: 9, citado en Reyes, 2006: 25).</w:t>
      </w:r>
    </w:p>
    <w:p>
      <w:pPr>
        <w:pStyle w:val="BodyText"/>
        <w:spacing w:before="4"/>
      </w:pPr>
    </w:p>
    <w:p>
      <w:pPr>
        <w:spacing w:line="185" w:lineRule="exact" w:before="0"/>
        <w:ind w:left="465" w:right="457" w:firstLine="0"/>
        <w:jc w:val="center"/>
        <w:rPr>
          <w:sz w:val="16"/>
        </w:rPr>
      </w:pPr>
      <w:r>
        <w:rPr>
          <w:color w:val="231F20"/>
          <w:sz w:val="16"/>
        </w:rPr>
        <w:t>Figura 2</w:t>
      </w:r>
    </w:p>
    <w:p>
      <w:pPr>
        <w:spacing w:line="220" w:lineRule="exact" w:before="0"/>
        <w:ind w:left="465" w:right="457" w:firstLine="0"/>
        <w:jc w:val="center"/>
        <w:rPr>
          <w:sz w:val="19"/>
        </w:rPr>
      </w:pPr>
      <w:r>
        <w:rPr>
          <w:color w:val="231F20"/>
          <w:w w:val="90"/>
          <w:sz w:val="19"/>
        </w:rPr>
        <w:t>Ubicación de los valles de Toluca e Ixtlahuaca</w:t>
      </w:r>
    </w:p>
    <w:p>
      <w:pPr>
        <w:pStyle w:val="BodyText"/>
        <w:spacing w:before="5"/>
        <w:rPr>
          <w:sz w:val="16"/>
        </w:rPr>
      </w:pPr>
      <w:r>
        <w:rPr/>
        <w:drawing>
          <wp:anchor distT="0" distB="0" distL="0" distR="0" allowOverlap="1" layoutInCell="1" locked="0" behindDoc="0" simplePos="0" relativeHeight="2872">
            <wp:simplePos x="0" y="0"/>
            <wp:positionH relativeFrom="page">
              <wp:posOffset>1225563</wp:posOffset>
            </wp:positionH>
            <wp:positionV relativeFrom="paragraph">
              <wp:posOffset>147631</wp:posOffset>
            </wp:positionV>
            <wp:extent cx="3792119" cy="3000375"/>
            <wp:effectExtent l="0" t="0" r="0" b="0"/>
            <wp:wrapTopAndBottom/>
            <wp:docPr id="17" name="image46.jpeg" descr=""/>
            <wp:cNvGraphicFramePr>
              <a:graphicFrameLocks noChangeAspect="1"/>
            </wp:cNvGraphicFramePr>
            <a:graphic>
              <a:graphicData uri="http://schemas.openxmlformats.org/drawingml/2006/picture">
                <pic:pic>
                  <pic:nvPicPr>
                    <pic:cNvPr id="18" name="image46.jpeg"/>
                    <pic:cNvPicPr/>
                  </pic:nvPicPr>
                  <pic:blipFill>
                    <a:blip r:embed="rId129" cstate="print"/>
                    <a:stretch>
                      <a:fillRect/>
                    </a:stretch>
                  </pic:blipFill>
                  <pic:spPr>
                    <a:xfrm>
                      <a:off x="0" y="0"/>
                      <a:ext cx="3792119" cy="3000375"/>
                    </a:xfrm>
                    <a:prstGeom prst="rect">
                      <a:avLst/>
                    </a:prstGeom>
                  </pic:spPr>
                </pic:pic>
              </a:graphicData>
            </a:graphic>
          </wp:anchor>
        </w:drawing>
      </w:r>
    </w:p>
    <w:p>
      <w:pPr>
        <w:spacing w:before="0"/>
        <w:ind w:left="484" w:right="0" w:firstLine="0"/>
        <w:jc w:val="left"/>
        <w:rPr>
          <w:sz w:val="15"/>
        </w:rPr>
      </w:pPr>
      <w:r>
        <w:rPr>
          <w:color w:val="231F20"/>
          <w:w w:val="110"/>
          <w:sz w:val="15"/>
        </w:rPr>
        <w:t>Fuente: Elaboración de Noé Antonio Aguirre González con base en </w:t>
      </w:r>
      <w:r>
        <w:rPr>
          <w:rFonts w:ascii="Times New Roman" w:hAnsi="Times New Roman"/>
          <w:color w:val="231F20"/>
          <w:w w:val="110"/>
          <w:sz w:val="12"/>
        </w:rPr>
        <w:t>INEGI   </w:t>
      </w:r>
      <w:r>
        <w:rPr>
          <w:color w:val="231F20"/>
          <w:w w:val="110"/>
          <w:sz w:val="15"/>
        </w:rPr>
        <w:t>2010.</w:t>
      </w:r>
    </w:p>
    <w:p>
      <w:pPr>
        <w:pStyle w:val="BodyText"/>
        <w:rPr>
          <w:sz w:val="14"/>
        </w:rPr>
      </w:pPr>
    </w:p>
    <w:p>
      <w:pPr>
        <w:pStyle w:val="BodyText"/>
        <w:rPr>
          <w:sz w:val="15"/>
        </w:rPr>
      </w:pPr>
    </w:p>
    <w:p>
      <w:pPr>
        <w:pStyle w:val="BodyText"/>
        <w:spacing w:line="288" w:lineRule="auto"/>
        <w:ind w:left="124" w:right="109" w:firstLine="360"/>
        <w:jc w:val="both"/>
      </w:pPr>
      <w:r>
        <w:rPr>
          <w:color w:val="231F20"/>
          <w:w w:val="110"/>
        </w:rPr>
        <w:t>La Sierra de las Cruces es una cadena montañosa que separa el </w:t>
      </w:r>
      <w:r>
        <w:rPr>
          <w:color w:val="231F20"/>
          <w:spacing w:val="-5"/>
          <w:w w:val="110"/>
        </w:rPr>
        <w:t>Valle  </w:t>
      </w:r>
      <w:r>
        <w:rPr>
          <w:color w:val="231F20"/>
          <w:w w:val="110"/>
        </w:rPr>
        <w:t>de</w:t>
      </w:r>
      <w:r>
        <w:rPr>
          <w:color w:val="231F20"/>
          <w:spacing w:val="-7"/>
          <w:w w:val="110"/>
        </w:rPr>
        <w:t> </w:t>
      </w:r>
      <w:r>
        <w:rPr>
          <w:color w:val="231F20"/>
          <w:spacing w:val="-4"/>
          <w:w w:val="110"/>
        </w:rPr>
        <w:t>México</w:t>
      </w:r>
      <w:r>
        <w:rPr>
          <w:color w:val="231F20"/>
          <w:spacing w:val="-7"/>
          <w:w w:val="110"/>
        </w:rPr>
        <w:t> </w:t>
      </w:r>
      <w:r>
        <w:rPr>
          <w:color w:val="231F20"/>
          <w:spacing w:val="-3"/>
          <w:w w:val="110"/>
        </w:rPr>
        <w:t>del</w:t>
      </w:r>
      <w:r>
        <w:rPr>
          <w:color w:val="231F20"/>
          <w:spacing w:val="-7"/>
          <w:w w:val="110"/>
        </w:rPr>
        <w:t> </w:t>
      </w:r>
      <w:r>
        <w:rPr>
          <w:color w:val="231F20"/>
          <w:w w:val="110"/>
        </w:rPr>
        <w:t>de</w:t>
      </w:r>
      <w:r>
        <w:rPr>
          <w:color w:val="231F20"/>
          <w:spacing w:val="-7"/>
          <w:w w:val="110"/>
        </w:rPr>
        <w:t> </w:t>
      </w:r>
      <w:r>
        <w:rPr>
          <w:color w:val="231F20"/>
          <w:spacing w:val="-6"/>
          <w:w w:val="110"/>
        </w:rPr>
        <w:t>Toluca.</w:t>
      </w:r>
      <w:r>
        <w:rPr>
          <w:color w:val="231F20"/>
          <w:spacing w:val="-7"/>
          <w:w w:val="110"/>
        </w:rPr>
        <w:t> </w:t>
      </w:r>
      <w:r>
        <w:rPr>
          <w:color w:val="231F20"/>
          <w:spacing w:val="-3"/>
          <w:w w:val="110"/>
        </w:rPr>
        <w:t>Sus</w:t>
      </w:r>
      <w:r>
        <w:rPr>
          <w:color w:val="231F20"/>
          <w:spacing w:val="-7"/>
          <w:w w:val="110"/>
        </w:rPr>
        <w:t> </w:t>
      </w:r>
      <w:r>
        <w:rPr>
          <w:color w:val="231F20"/>
          <w:spacing w:val="-4"/>
          <w:w w:val="110"/>
        </w:rPr>
        <w:t>montañas</w:t>
      </w:r>
      <w:r>
        <w:rPr>
          <w:color w:val="231F20"/>
          <w:spacing w:val="-7"/>
          <w:w w:val="110"/>
        </w:rPr>
        <w:t> </w:t>
      </w:r>
      <w:r>
        <w:rPr>
          <w:color w:val="231F20"/>
          <w:spacing w:val="-3"/>
          <w:w w:val="110"/>
        </w:rPr>
        <w:t>van</w:t>
      </w:r>
      <w:r>
        <w:rPr>
          <w:color w:val="231F20"/>
          <w:spacing w:val="-7"/>
          <w:w w:val="110"/>
        </w:rPr>
        <w:t> </w:t>
      </w:r>
      <w:r>
        <w:rPr>
          <w:color w:val="231F20"/>
          <w:spacing w:val="-4"/>
          <w:w w:val="110"/>
        </w:rPr>
        <w:t>cortando</w:t>
      </w:r>
      <w:r>
        <w:rPr>
          <w:color w:val="231F20"/>
          <w:spacing w:val="-7"/>
          <w:w w:val="110"/>
        </w:rPr>
        <w:t> </w:t>
      </w:r>
      <w:r>
        <w:rPr>
          <w:color w:val="231F20"/>
          <w:w w:val="110"/>
        </w:rPr>
        <w:t>el</w:t>
      </w:r>
      <w:r>
        <w:rPr>
          <w:color w:val="231F20"/>
          <w:spacing w:val="-7"/>
          <w:w w:val="110"/>
        </w:rPr>
        <w:t> </w:t>
      </w:r>
      <w:r>
        <w:rPr>
          <w:color w:val="231F20"/>
          <w:spacing w:val="-4"/>
          <w:w w:val="110"/>
        </w:rPr>
        <w:t>altiplano</w:t>
      </w:r>
      <w:r>
        <w:rPr>
          <w:color w:val="231F20"/>
          <w:spacing w:val="-7"/>
          <w:w w:val="110"/>
        </w:rPr>
        <w:t> </w:t>
      </w:r>
      <w:r>
        <w:rPr>
          <w:color w:val="231F20"/>
          <w:w w:val="110"/>
        </w:rPr>
        <w:t>en</w:t>
      </w:r>
      <w:r>
        <w:rPr>
          <w:color w:val="231F20"/>
          <w:spacing w:val="-7"/>
          <w:w w:val="110"/>
        </w:rPr>
        <w:t> </w:t>
      </w:r>
      <w:r>
        <w:rPr>
          <w:color w:val="231F20"/>
          <w:spacing w:val="-4"/>
          <w:w w:val="110"/>
        </w:rPr>
        <w:t>pequeños </w:t>
      </w:r>
      <w:r>
        <w:rPr>
          <w:color w:val="231F20"/>
          <w:w w:val="110"/>
        </w:rPr>
        <w:t>compartimentos y los puertos alcanzan más de 3,000 metros. La cadena</w:t>
      </w:r>
      <w:r>
        <w:rPr>
          <w:color w:val="231F20"/>
          <w:spacing w:val="-13"/>
          <w:w w:val="110"/>
        </w:rPr>
        <w:t> </w:t>
      </w:r>
      <w:r>
        <w:rPr>
          <w:color w:val="231F20"/>
          <w:w w:val="110"/>
        </w:rPr>
        <w:t>se </w:t>
      </w:r>
      <w:r>
        <w:rPr>
          <w:color w:val="231F20"/>
          <w:spacing w:val="3"/>
          <w:w w:val="110"/>
        </w:rPr>
        <w:t>extiende </w:t>
      </w:r>
      <w:r>
        <w:rPr>
          <w:color w:val="231F20"/>
          <w:w w:val="110"/>
        </w:rPr>
        <w:t>en </w:t>
      </w:r>
      <w:r>
        <w:rPr>
          <w:color w:val="231F20"/>
          <w:spacing w:val="3"/>
          <w:w w:val="110"/>
        </w:rPr>
        <w:t>dirección norte-noroeste aproximadamente </w:t>
      </w:r>
      <w:r>
        <w:rPr>
          <w:color w:val="231F20"/>
          <w:w w:val="110"/>
        </w:rPr>
        <w:t>70 </w:t>
      </w:r>
      <w:r>
        <w:rPr>
          <w:color w:val="231F20"/>
          <w:spacing w:val="3"/>
          <w:w w:val="110"/>
        </w:rPr>
        <w:t>kilómetros, </w:t>
      </w:r>
      <w:r>
        <w:rPr>
          <w:color w:val="231F20"/>
          <w:spacing w:val="4"/>
          <w:w w:val="110"/>
        </w:rPr>
        <w:t>separa </w:t>
      </w:r>
      <w:r>
        <w:rPr>
          <w:color w:val="231F20"/>
          <w:spacing w:val="2"/>
          <w:w w:val="110"/>
        </w:rPr>
        <w:t>los </w:t>
      </w:r>
      <w:r>
        <w:rPr>
          <w:color w:val="231F20"/>
          <w:spacing w:val="3"/>
          <w:w w:val="110"/>
        </w:rPr>
        <w:t>altiplanos </w:t>
      </w:r>
      <w:r>
        <w:rPr>
          <w:color w:val="231F20"/>
          <w:w w:val="110"/>
        </w:rPr>
        <w:t>de  Toluca  y  de  </w:t>
      </w:r>
      <w:r>
        <w:rPr>
          <w:color w:val="231F20"/>
          <w:spacing w:val="3"/>
          <w:w w:val="110"/>
        </w:rPr>
        <w:t>Ixtlahuaca </w:t>
      </w:r>
      <w:r>
        <w:rPr>
          <w:color w:val="231F20"/>
          <w:spacing w:val="2"/>
          <w:w w:val="110"/>
        </w:rPr>
        <w:t>del </w:t>
      </w:r>
      <w:r>
        <w:rPr>
          <w:color w:val="231F20"/>
          <w:w w:val="110"/>
        </w:rPr>
        <w:t>Valle  de </w:t>
      </w:r>
      <w:r>
        <w:rPr>
          <w:color w:val="231F20"/>
          <w:spacing w:val="21"/>
          <w:w w:val="110"/>
        </w:rPr>
        <w:t> </w:t>
      </w:r>
      <w:r>
        <w:rPr>
          <w:color w:val="231F20"/>
          <w:spacing w:val="3"/>
          <w:w w:val="110"/>
        </w:rPr>
        <w:t>Cuautitlán</w:t>
      </w:r>
    </w:p>
    <w:p>
      <w:pPr>
        <w:spacing w:after="0" w:line="288" w:lineRule="auto"/>
        <w:jc w:val="both"/>
        <w:sectPr>
          <w:pgSz w:w="9520" w:h="12920"/>
          <w:pgMar w:header="0" w:footer="1344" w:top="880" w:bottom="1540" w:left="1320" w:right="1000"/>
        </w:sectPr>
      </w:pPr>
    </w:p>
    <w:p>
      <w:pPr>
        <w:pStyle w:val="BodyText"/>
        <w:spacing w:line="295" w:lineRule="auto" w:before="42"/>
        <w:ind w:left="100" w:right="118"/>
        <w:jc w:val="both"/>
      </w:pPr>
      <w:r>
        <w:rPr>
          <w:color w:val="231F20"/>
          <w:spacing w:val="2"/>
          <w:w w:val="110"/>
        </w:rPr>
        <w:t>—al </w:t>
      </w:r>
      <w:r>
        <w:rPr>
          <w:color w:val="231F20"/>
          <w:w w:val="110"/>
        </w:rPr>
        <w:t>oeste—, y del de Huehuetoca —al este— (Barrientos, 2004). “En esta sierra se destacan por su altura el cerro de Jocotitlán de más de 3,750 msnm existen otras unidades como el cerro de Atlacomulco con alturas superiores a 3,000 metros sobre el nivel del mar msnm todos estos cerros forman</w:t>
      </w:r>
      <w:r>
        <w:rPr>
          <w:color w:val="231F20"/>
          <w:spacing w:val="-4"/>
          <w:w w:val="110"/>
        </w:rPr>
        <w:t> </w:t>
      </w:r>
      <w:r>
        <w:rPr>
          <w:color w:val="231F20"/>
          <w:w w:val="110"/>
        </w:rPr>
        <w:t>parte</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Sierra</w:t>
      </w:r>
      <w:r>
        <w:rPr>
          <w:color w:val="231F20"/>
          <w:spacing w:val="-4"/>
          <w:w w:val="110"/>
        </w:rPr>
        <w:t> </w:t>
      </w:r>
      <w:r>
        <w:rPr>
          <w:color w:val="231F20"/>
          <w:w w:val="110"/>
        </w:rPr>
        <w:t>de</w:t>
      </w:r>
      <w:r>
        <w:rPr>
          <w:color w:val="231F20"/>
          <w:spacing w:val="-4"/>
          <w:w w:val="110"/>
        </w:rPr>
        <w:t> </w:t>
      </w:r>
      <w:r>
        <w:rPr>
          <w:color w:val="231F20"/>
          <w:w w:val="110"/>
        </w:rPr>
        <w:t>las</w:t>
      </w:r>
      <w:r>
        <w:rPr>
          <w:color w:val="231F20"/>
          <w:spacing w:val="-4"/>
          <w:w w:val="110"/>
        </w:rPr>
        <w:t> </w:t>
      </w:r>
      <w:r>
        <w:rPr>
          <w:color w:val="231F20"/>
          <w:w w:val="110"/>
        </w:rPr>
        <w:t>Cruces</w:t>
      </w:r>
      <w:r>
        <w:rPr>
          <w:color w:val="231F20"/>
          <w:spacing w:val="-4"/>
          <w:w w:val="110"/>
        </w:rPr>
        <w:t> </w:t>
      </w:r>
      <w:r>
        <w:rPr>
          <w:color w:val="231F20"/>
          <w:w w:val="110"/>
        </w:rPr>
        <w:t>y</w:t>
      </w:r>
      <w:r>
        <w:rPr>
          <w:color w:val="231F20"/>
          <w:spacing w:val="-4"/>
          <w:w w:val="110"/>
        </w:rPr>
        <w:t> </w:t>
      </w:r>
      <w:r>
        <w:rPr>
          <w:color w:val="231F20"/>
          <w:w w:val="110"/>
        </w:rPr>
        <w:t>Sierra</w:t>
      </w:r>
      <w:r>
        <w:rPr>
          <w:color w:val="231F20"/>
          <w:spacing w:val="-4"/>
          <w:w w:val="110"/>
        </w:rPr>
        <w:t> </w:t>
      </w:r>
      <w:r>
        <w:rPr>
          <w:color w:val="231F20"/>
          <w:w w:val="110"/>
        </w:rPr>
        <w:t>Monte</w:t>
      </w:r>
      <w:r>
        <w:rPr>
          <w:color w:val="231F20"/>
          <w:spacing w:val="-4"/>
          <w:w w:val="110"/>
        </w:rPr>
        <w:t> </w:t>
      </w:r>
      <w:r>
        <w:rPr>
          <w:color w:val="231F20"/>
          <w:w w:val="110"/>
        </w:rPr>
        <w:t>Alto”</w:t>
      </w:r>
      <w:r>
        <w:rPr>
          <w:color w:val="231F20"/>
          <w:spacing w:val="-4"/>
          <w:w w:val="110"/>
        </w:rPr>
        <w:t> </w:t>
      </w:r>
      <w:r>
        <w:rPr>
          <w:color w:val="231F20"/>
          <w:w w:val="110"/>
        </w:rPr>
        <w:t>(</w:t>
      </w:r>
      <w:r>
        <w:rPr>
          <w:rFonts w:ascii="Times New Roman" w:hAnsi="Times New Roman"/>
          <w:color w:val="231F20"/>
          <w:w w:val="110"/>
          <w:sz w:val="16"/>
        </w:rPr>
        <w:t>AHA</w:t>
      </w:r>
      <w:r>
        <w:rPr>
          <w:color w:val="231F20"/>
          <w:w w:val="110"/>
        </w:rPr>
        <w:t>,</w:t>
      </w:r>
      <w:r>
        <w:rPr>
          <w:color w:val="231F20"/>
          <w:spacing w:val="-4"/>
          <w:w w:val="110"/>
        </w:rPr>
        <w:t> </w:t>
      </w:r>
      <w:r>
        <w:rPr>
          <w:color w:val="231F20"/>
          <w:w w:val="110"/>
        </w:rPr>
        <w:t>caja</w:t>
      </w:r>
      <w:r>
        <w:rPr>
          <w:color w:val="231F20"/>
          <w:spacing w:val="-4"/>
          <w:w w:val="110"/>
        </w:rPr>
        <w:t> </w:t>
      </w:r>
      <w:r>
        <w:rPr>
          <w:color w:val="231F20"/>
          <w:w w:val="110"/>
        </w:rPr>
        <w:t>207, exp. 1798, fojas 4-5, agosto, 1948, citado en Reyes, 2006:</w:t>
      </w:r>
      <w:r>
        <w:rPr>
          <w:color w:val="231F20"/>
          <w:spacing w:val="-8"/>
          <w:w w:val="110"/>
        </w:rPr>
        <w:t> </w:t>
      </w:r>
      <w:r>
        <w:rPr>
          <w:color w:val="231F20"/>
          <w:w w:val="110"/>
        </w:rPr>
        <w:t>26).</w:t>
      </w:r>
    </w:p>
    <w:p>
      <w:pPr>
        <w:pStyle w:val="BodyText"/>
        <w:spacing w:line="295" w:lineRule="auto"/>
        <w:ind w:left="100" w:right="116" w:firstLine="360"/>
        <w:jc w:val="both"/>
      </w:pPr>
      <w:r>
        <w:rPr>
          <w:color w:val="231F20"/>
          <w:w w:val="110"/>
        </w:rPr>
        <w:t>El Valle de </w:t>
      </w:r>
      <w:r>
        <w:rPr>
          <w:color w:val="231F20"/>
          <w:spacing w:val="2"/>
          <w:w w:val="110"/>
        </w:rPr>
        <w:t>Ixtlahuaca </w:t>
      </w:r>
      <w:r>
        <w:rPr>
          <w:color w:val="231F20"/>
          <w:w w:val="110"/>
        </w:rPr>
        <w:t>es </w:t>
      </w:r>
      <w:r>
        <w:rPr>
          <w:color w:val="231F20"/>
          <w:spacing w:val="2"/>
          <w:w w:val="110"/>
        </w:rPr>
        <w:t>drenado </w:t>
      </w:r>
      <w:r>
        <w:rPr>
          <w:color w:val="231F20"/>
          <w:w w:val="110"/>
        </w:rPr>
        <w:t>de </w:t>
      </w:r>
      <w:r>
        <w:rPr>
          <w:color w:val="231F20"/>
          <w:spacing w:val="2"/>
          <w:w w:val="110"/>
        </w:rPr>
        <w:t>aguas permanentes </w:t>
      </w:r>
      <w:r>
        <w:rPr>
          <w:color w:val="231F20"/>
          <w:w w:val="110"/>
        </w:rPr>
        <w:t>por el Río Lerma, que corre localmente con dirección sureste y noroeste, y es el co- lector de las aguas que llevan pequeños arroyos, cuyo nacimiento se efec- túa en los cerros que lo limitan. Este río tiene su origen en los manantiales situados en Almoloya del Río, y llega a la Laguna de Chapala; posterior- mente</w:t>
      </w:r>
      <w:r>
        <w:rPr>
          <w:color w:val="231F20"/>
          <w:spacing w:val="-4"/>
          <w:w w:val="110"/>
        </w:rPr>
        <w:t> </w:t>
      </w:r>
      <w:r>
        <w:rPr>
          <w:color w:val="231F20"/>
          <w:w w:val="110"/>
        </w:rPr>
        <w:t>continúa</w:t>
      </w:r>
      <w:r>
        <w:rPr>
          <w:color w:val="231F20"/>
          <w:spacing w:val="-4"/>
          <w:w w:val="110"/>
        </w:rPr>
        <w:t> </w:t>
      </w:r>
      <w:r>
        <w:rPr>
          <w:color w:val="231F20"/>
          <w:w w:val="110"/>
        </w:rPr>
        <w:t>con</w:t>
      </w:r>
      <w:r>
        <w:rPr>
          <w:color w:val="231F20"/>
          <w:spacing w:val="-4"/>
          <w:w w:val="110"/>
        </w:rPr>
        <w:t> </w:t>
      </w:r>
      <w:r>
        <w:rPr>
          <w:color w:val="231F20"/>
          <w:w w:val="110"/>
        </w:rPr>
        <w:t>el</w:t>
      </w:r>
      <w:r>
        <w:rPr>
          <w:color w:val="231F20"/>
          <w:spacing w:val="-4"/>
          <w:w w:val="110"/>
        </w:rPr>
        <w:t> </w:t>
      </w:r>
      <w:r>
        <w:rPr>
          <w:color w:val="231F20"/>
          <w:w w:val="110"/>
        </w:rPr>
        <w:t>nombre</w:t>
      </w:r>
      <w:r>
        <w:rPr>
          <w:color w:val="231F20"/>
          <w:spacing w:val="-4"/>
          <w:w w:val="110"/>
        </w:rPr>
        <w:t> </w:t>
      </w:r>
      <w:r>
        <w:rPr>
          <w:color w:val="231F20"/>
          <w:w w:val="110"/>
        </w:rPr>
        <w:t>de</w:t>
      </w:r>
      <w:r>
        <w:rPr>
          <w:color w:val="231F20"/>
          <w:spacing w:val="-4"/>
          <w:w w:val="110"/>
        </w:rPr>
        <w:t> </w:t>
      </w:r>
      <w:r>
        <w:rPr>
          <w:color w:val="231F20"/>
          <w:w w:val="110"/>
        </w:rPr>
        <w:t>Santiago</w:t>
      </w:r>
      <w:r>
        <w:rPr>
          <w:color w:val="231F20"/>
          <w:spacing w:val="-4"/>
          <w:w w:val="110"/>
        </w:rPr>
        <w:t> </w:t>
      </w:r>
      <w:r>
        <w:rPr>
          <w:color w:val="231F20"/>
          <w:w w:val="110"/>
        </w:rPr>
        <w:t>o</w:t>
      </w:r>
      <w:r>
        <w:rPr>
          <w:color w:val="231F20"/>
          <w:spacing w:val="-4"/>
          <w:w w:val="110"/>
        </w:rPr>
        <w:t> </w:t>
      </w:r>
      <w:r>
        <w:rPr>
          <w:color w:val="231F20"/>
          <w:w w:val="110"/>
        </w:rPr>
        <w:t>Río</w:t>
      </w:r>
      <w:r>
        <w:rPr>
          <w:color w:val="231F20"/>
          <w:spacing w:val="-4"/>
          <w:w w:val="110"/>
        </w:rPr>
        <w:t> </w:t>
      </w:r>
      <w:r>
        <w:rPr>
          <w:color w:val="231F20"/>
          <w:w w:val="110"/>
        </w:rPr>
        <w:t>Grande</w:t>
      </w:r>
      <w:r>
        <w:rPr>
          <w:color w:val="231F20"/>
          <w:spacing w:val="-4"/>
          <w:w w:val="110"/>
        </w:rPr>
        <w:t> </w:t>
      </w:r>
      <w:r>
        <w:rPr>
          <w:color w:val="231F20"/>
          <w:w w:val="110"/>
        </w:rPr>
        <w:t>hasta</w:t>
      </w:r>
      <w:r>
        <w:rPr>
          <w:color w:val="231F20"/>
          <w:spacing w:val="-4"/>
          <w:w w:val="110"/>
        </w:rPr>
        <w:t> </w:t>
      </w:r>
      <w:r>
        <w:rPr>
          <w:color w:val="231F20"/>
          <w:w w:val="110"/>
        </w:rPr>
        <w:t>desembocar en el Océano Pacífico (</w:t>
      </w:r>
      <w:r>
        <w:rPr>
          <w:rFonts w:ascii="Times New Roman" w:hAnsi="Times New Roman"/>
          <w:color w:val="231F20"/>
          <w:w w:val="110"/>
          <w:sz w:val="16"/>
        </w:rPr>
        <w:t>AHA</w:t>
      </w:r>
      <w:r>
        <w:rPr>
          <w:color w:val="231F20"/>
          <w:w w:val="110"/>
        </w:rPr>
        <w:t>, caja 207, exp. 1798 foja 5, agosto, 1948, citado en Reyes,</w:t>
      </w:r>
      <w:r>
        <w:rPr>
          <w:color w:val="231F20"/>
          <w:spacing w:val="-18"/>
          <w:w w:val="110"/>
        </w:rPr>
        <w:t> </w:t>
      </w:r>
      <w:r>
        <w:rPr>
          <w:color w:val="231F20"/>
          <w:w w:val="110"/>
        </w:rPr>
        <w:t>2006).</w:t>
      </w:r>
    </w:p>
    <w:p>
      <w:pPr>
        <w:pStyle w:val="BodyText"/>
        <w:spacing w:line="295" w:lineRule="auto"/>
        <w:ind w:left="100" w:right="117" w:firstLine="360"/>
        <w:jc w:val="both"/>
      </w:pPr>
      <w:r>
        <w:rPr>
          <w:color w:val="231F20"/>
          <w:w w:val="105"/>
        </w:rPr>
        <w:t>La región del </w:t>
      </w:r>
      <w:r>
        <w:rPr>
          <w:color w:val="231F20"/>
          <w:spacing w:val="-5"/>
          <w:w w:val="105"/>
        </w:rPr>
        <w:t>Valle  </w:t>
      </w:r>
      <w:r>
        <w:rPr>
          <w:color w:val="231F20"/>
          <w:w w:val="105"/>
        </w:rPr>
        <w:t>de Ixtlahuaca estuvo ocupada por población indíge-  na mazahua y otomí quienes se enfrentaron a la expansión de los mexicas       y fueron invadidos y  sometidos  por  éstos  en  el  siglo  </w:t>
      </w:r>
      <w:r>
        <w:rPr>
          <w:rFonts w:ascii="Times New Roman" w:hAnsi="Times New Roman"/>
          <w:color w:val="231F20"/>
          <w:w w:val="105"/>
          <w:sz w:val="16"/>
        </w:rPr>
        <w:t>XV</w:t>
      </w:r>
      <w:r>
        <w:rPr>
          <w:color w:val="231F20"/>
          <w:w w:val="105"/>
        </w:rPr>
        <w:t>;  posteriormente la ocupación y colonización española sucedió durante el siglo </w:t>
      </w:r>
      <w:r>
        <w:rPr>
          <w:rFonts w:ascii="Times New Roman" w:hAnsi="Times New Roman"/>
          <w:color w:val="231F20"/>
          <w:w w:val="105"/>
          <w:sz w:val="16"/>
        </w:rPr>
        <w:t>XVI </w:t>
      </w:r>
      <w:r>
        <w:rPr>
          <w:color w:val="231F20"/>
          <w:w w:val="105"/>
        </w:rPr>
        <w:t>y primera mitad del </w:t>
      </w:r>
      <w:r>
        <w:rPr>
          <w:rFonts w:ascii="Times New Roman" w:hAnsi="Times New Roman"/>
          <w:color w:val="231F20"/>
          <w:w w:val="105"/>
          <w:sz w:val="16"/>
        </w:rPr>
        <w:t>XVII</w:t>
      </w:r>
      <w:r>
        <w:rPr>
          <w:color w:val="231F20"/>
          <w:w w:val="105"/>
        </w:rPr>
        <w:t>, considerada más o menos moderada comparada con el área central del </w:t>
      </w:r>
      <w:r>
        <w:rPr>
          <w:color w:val="231F20"/>
          <w:spacing w:val="-5"/>
          <w:w w:val="105"/>
        </w:rPr>
        <w:t>Valle </w:t>
      </w:r>
      <w:r>
        <w:rPr>
          <w:color w:val="231F20"/>
          <w:w w:val="105"/>
        </w:rPr>
        <w:t>de </w:t>
      </w:r>
      <w:r>
        <w:rPr>
          <w:color w:val="231F20"/>
          <w:spacing w:val="-3"/>
          <w:w w:val="105"/>
        </w:rPr>
        <w:t>Toluca </w:t>
      </w:r>
      <w:r>
        <w:rPr>
          <w:color w:val="231F20"/>
          <w:w w:val="105"/>
        </w:rPr>
        <w:t>o cuenca de México” (García, 1974: 39, citado en Reyes,  2006:</w:t>
      </w:r>
      <w:r>
        <w:rPr>
          <w:color w:val="231F20"/>
          <w:spacing w:val="2"/>
          <w:w w:val="105"/>
        </w:rPr>
        <w:t> </w:t>
      </w:r>
      <w:r>
        <w:rPr>
          <w:color w:val="231F20"/>
          <w:w w:val="105"/>
        </w:rPr>
        <w:t>28).</w:t>
      </w:r>
    </w:p>
    <w:p>
      <w:pPr>
        <w:pStyle w:val="BodyText"/>
        <w:spacing w:line="295" w:lineRule="auto"/>
        <w:ind w:left="100" w:right="117" w:firstLine="360"/>
        <w:jc w:val="both"/>
      </w:pPr>
      <w:r>
        <w:rPr>
          <w:color w:val="231F20"/>
          <w:w w:val="110"/>
        </w:rPr>
        <w:t>Las características ambientales de la región de estudio están estrecha- mente relacionadas con las características culturales, sociales e históricas de la región, y las familias campesinas se han mostrado conocedoras y respetuosas de los recursos naturales con los que cuenta; es y ha sido una relación de respeto hacia el uso y manejo de los recursos como el agua y  la tierra, los cuales les han permitido seguir practicando la agricultura tra- dicional y garantizar su</w:t>
      </w:r>
      <w:r>
        <w:rPr>
          <w:color w:val="231F20"/>
          <w:spacing w:val="32"/>
          <w:w w:val="110"/>
        </w:rPr>
        <w:t> </w:t>
      </w:r>
      <w:r>
        <w:rPr>
          <w:color w:val="231F20"/>
          <w:w w:val="110"/>
        </w:rPr>
        <w:t>subsistencia.</w:t>
      </w:r>
    </w:p>
    <w:p>
      <w:pPr>
        <w:pStyle w:val="BodyText"/>
        <w:spacing w:line="295" w:lineRule="auto"/>
        <w:ind w:left="100" w:right="116" w:firstLine="360"/>
        <w:jc w:val="both"/>
      </w:pPr>
      <w:r>
        <w:rPr>
          <w:color w:val="231F20"/>
          <w:w w:val="110"/>
        </w:rPr>
        <w:t>De esta manera, las familias campesinas de la región conservan espa- cios ecológicos vitales donde establecen una relación recíproca con la naturaleza, desarrollando, ya sea la agricultura, el turismo ecológico (caso de Tiacaque), o la fabricación de carbón. No obstante, el asentamiento de zonas industriales y urbanas, así como la apertura de vías de comunica- ción ha generado que estas familias estén en contacto constante con el medio urbano.</w:t>
      </w:r>
    </w:p>
    <w:p>
      <w:pPr>
        <w:spacing w:after="0" w:line="295" w:lineRule="auto"/>
        <w:jc w:val="both"/>
        <w:sectPr>
          <w:pgSz w:w="9520" w:h="12920"/>
          <w:pgMar w:header="0" w:footer="1344" w:top="880" w:bottom="1540" w:left="1020" w:right="1320"/>
        </w:sectPr>
      </w:pPr>
    </w:p>
    <w:p>
      <w:pPr>
        <w:pStyle w:val="BodyText"/>
        <w:spacing w:line="280" w:lineRule="auto" w:before="42"/>
        <w:ind w:left="124" w:right="112" w:firstLine="360"/>
        <w:jc w:val="both"/>
      </w:pPr>
      <w:r>
        <w:rPr>
          <w:color w:val="231F20"/>
          <w:w w:val="105"/>
        </w:rPr>
        <w:t>El paisaje rural y natural del </w:t>
      </w:r>
      <w:r>
        <w:rPr>
          <w:color w:val="231F20"/>
          <w:spacing w:val="-5"/>
          <w:w w:val="105"/>
        </w:rPr>
        <w:t>Valle  </w:t>
      </w:r>
      <w:r>
        <w:rPr>
          <w:color w:val="231F20"/>
          <w:w w:val="105"/>
        </w:rPr>
        <w:t>de Ixtlahuaca se modificó a partir de   la década de los años setenta con las nuevas políticas de descentralización    de la industria en el país. En el Estado de México se estableció, en 1940, el llamado Corredor Industrial </w:t>
      </w:r>
      <w:r>
        <w:rPr>
          <w:color w:val="231F20"/>
          <w:spacing w:val="-3"/>
          <w:w w:val="105"/>
        </w:rPr>
        <w:t>Lerma-Toluca, </w:t>
      </w:r>
      <w:r>
        <w:rPr>
          <w:color w:val="231F20"/>
          <w:w w:val="105"/>
        </w:rPr>
        <w:t>el  cual  abarca  </w:t>
      </w:r>
      <w:r>
        <w:rPr>
          <w:color w:val="231F20"/>
          <w:spacing w:val="-3"/>
          <w:w w:val="105"/>
        </w:rPr>
        <w:t>Toluca,  </w:t>
      </w:r>
      <w:r>
        <w:rPr>
          <w:color w:val="231F20"/>
          <w:w w:val="105"/>
        </w:rPr>
        <w:t>Lerma,  San Mateo Atenco, Zinacantepec y Huixquilucan, sitios que se han conver-  tido en un importante polo de atracción para el resto de los habitantes de    los valles de </w:t>
      </w:r>
      <w:r>
        <w:rPr>
          <w:color w:val="231F20"/>
          <w:spacing w:val="-3"/>
          <w:w w:val="105"/>
        </w:rPr>
        <w:t>Toluca  </w:t>
      </w:r>
      <w:r>
        <w:rPr>
          <w:color w:val="231F20"/>
          <w:w w:val="105"/>
        </w:rPr>
        <w:t>e Ixtlahuaca. Particularmente en el </w:t>
      </w:r>
      <w:r>
        <w:rPr>
          <w:color w:val="231F20"/>
          <w:spacing w:val="-5"/>
          <w:w w:val="105"/>
        </w:rPr>
        <w:t>Valle  </w:t>
      </w:r>
      <w:r>
        <w:rPr>
          <w:color w:val="231F20"/>
          <w:w w:val="105"/>
        </w:rPr>
        <w:t>de Ixtlahuaca,  en la década de los años sesenta, el grupo Industrias Unidas S.A. (IUSA) se instaló en terrenos de la exhacienda Pastejé en el municipio de Jocotitlán, Estado de México. IUSA “es un conjunto de empresas diversas fundada por     el ingeniero Alejo Peralta y Díaz Ceballos en el año de 1939” y fue el pre- </w:t>
      </w:r>
      <w:r>
        <w:rPr>
          <w:color w:val="231F20"/>
          <w:spacing w:val="-4"/>
          <w:w w:val="105"/>
        </w:rPr>
        <w:t>cursor </w:t>
      </w:r>
      <w:r>
        <w:rPr>
          <w:color w:val="231F20"/>
          <w:w w:val="105"/>
        </w:rPr>
        <w:t>de la </w:t>
      </w:r>
      <w:r>
        <w:rPr>
          <w:color w:val="231F20"/>
          <w:spacing w:val="-4"/>
          <w:w w:val="105"/>
        </w:rPr>
        <w:t>descentralización industrial </w:t>
      </w:r>
      <w:r>
        <w:rPr>
          <w:color w:val="231F20"/>
          <w:w w:val="105"/>
        </w:rPr>
        <w:t>en </w:t>
      </w:r>
      <w:r>
        <w:rPr>
          <w:color w:val="231F20"/>
          <w:spacing w:val="-4"/>
          <w:w w:val="105"/>
        </w:rPr>
        <w:t>México. </w:t>
      </w:r>
      <w:r>
        <w:rPr>
          <w:color w:val="231F20"/>
          <w:spacing w:val="-3"/>
          <w:w w:val="105"/>
        </w:rPr>
        <w:t>Fue así como </w:t>
      </w:r>
      <w:r>
        <w:rPr>
          <w:color w:val="231F20"/>
          <w:spacing w:val="-4"/>
          <w:w w:val="105"/>
        </w:rPr>
        <w:t>Grupo </w:t>
      </w:r>
      <w:r>
        <w:rPr>
          <w:color w:val="231F20"/>
          <w:spacing w:val="-3"/>
          <w:w w:val="105"/>
        </w:rPr>
        <w:t>IUSA    </w:t>
      </w:r>
      <w:r>
        <w:rPr>
          <w:color w:val="231F20"/>
          <w:w w:val="105"/>
        </w:rPr>
        <w:t>se convirtió en el primer conjunto de empresas que desconcentró sus pro- cesos productivos a una zona rural (Fuente: </w:t>
      </w:r>
      <w:hyperlink r:id="rId130">
        <w:r>
          <w:rPr>
            <w:color w:val="231F20"/>
            <w:w w:val="105"/>
          </w:rPr>
          <w:t>http://www.uisa.com.mx/his-</w:t>
        </w:r>
      </w:hyperlink>
      <w:r>
        <w:rPr>
          <w:color w:val="231F20"/>
          <w:w w:val="105"/>
        </w:rPr>
        <w:t> toria.asp  consultado  en  septiembre  de</w:t>
      </w:r>
      <w:r>
        <w:rPr>
          <w:color w:val="231F20"/>
          <w:spacing w:val="-3"/>
          <w:w w:val="105"/>
        </w:rPr>
        <w:t> </w:t>
      </w:r>
      <w:r>
        <w:rPr>
          <w:color w:val="231F20"/>
          <w:w w:val="105"/>
        </w:rPr>
        <w:t>2014.</w:t>
      </w:r>
    </w:p>
    <w:p>
      <w:pPr>
        <w:pStyle w:val="BodyText"/>
        <w:spacing w:line="280" w:lineRule="auto"/>
        <w:ind w:left="124" w:right="111" w:firstLine="360"/>
        <w:jc w:val="both"/>
      </w:pPr>
      <w:r>
        <w:rPr>
          <w:color w:val="231F20"/>
          <w:w w:val="110"/>
        </w:rPr>
        <w:t>Los</w:t>
      </w:r>
      <w:r>
        <w:rPr>
          <w:color w:val="231F20"/>
          <w:spacing w:val="-7"/>
          <w:w w:val="110"/>
        </w:rPr>
        <w:t> </w:t>
      </w:r>
      <w:r>
        <w:rPr>
          <w:color w:val="231F20"/>
          <w:w w:val="110"/>
        </w:rPr>
        <w:t>municipios</w:t>
      </w:r>
      <w:r>
        <w:rPr>
          <w:color w:val="231F20"/>
          <w:spacing w:val="-7"/>
          <w:w w:val="110"/>
        </w:rPr>
        <w:t> </w:t>
      </w:r>
      <w:r>
        <w:rPr>
          <w:color w:val="231F20"/>
          <w:w w:val="110"/>
        </w:rPr>
        <w:t>de</w:t>
      </w:r>
      <w:r>
        <w:rPr>
          <w:color w:val="231F20"/>
          <w:spacing w:val="-7"/>
          <w:w w:val="110"/>
        </w:rPr>
        <w:t> </w:t>
      </w:r>
      <w:r>
        <w:rPr>
          <w:color w:val="231F20"/>
          <w:w w:val="110"/>
        </w:rPr>
        <w:t>Jocotitlán,</w:t>
      </w:r>
      <w:r>
        <w:rPr>
          <w:color w:val="231F20"/>
          <w:spacing w:val="-7"/>
          <w:w w:val="110"/>
        </w:rPr>
        <w:t> </w:t>
      </w:r>
      <w:r>
        <w:rPr>
          <w:color w:val="231F20"/>
          <w:w w:val="110"/>
        </w:rPr>
        <w:t>Ixtlahuaca,</w:t>
      </w:r>
      <w:r>
        <w:rPr>
          <w:color w:val="231F20"/>
          <w:spacing w:val="-7"/>
          <w:w w:val="110"/>
        </w:rPr>
        <w:t> </w:t>
      </w:r>
      <w:r>
        <w:rPr>
          <w:color w:val="231F20"/>
          <w:spacing w:val="-3"/>
          <w:w w:val="110"/>
        </w:rPr>
        <w:t>Atlacomulco</w:t>
      </w:r>
      <w:r>
        <w:rPr>
          <w:color w:val="231F20"/>
          <w:spacing w:val="-7"/>
          <w:w w:val="110"/>
        </w:rPr>
        <w:t> </w:t>
      </w:r>
      <w:r>
        <w:rPr>
          <w:color w:val="231F20"/>
          <w:w w:val="110"/>
        </w:rPr>
        <w:t>y</w:t>
      </w:r>
      <w:r>
        <w:rPr>
          <w:color w:val="231F20"/>
          <w:spacing w:val="-7"/>
          <w:w w:val="110"/>
        </w:rPr>
        <w:t> </w:t>
      </w:r>
      <w:r>
        <w:rPr>
          <w:color w:val="231F20"/>
          <w:w w:val="110"/>
        </w:rPr>
        <w:t>San</w:t>
      </w:r>
      <w:r>
        <w:rPr>
          <w:color w:val="231F20"/>
          <w:spacing w:val="-7"/>
          <w:w w:val="110"/>
        </w:rPr>
        <w:t> </w:t>
      </w:r>
      <w:r>
        <w:rPr>
          <w:color w:val="231F20"/>
          <w:w w:val="110"/>
        </w:rPr>
        <w:t>Bartolo</w:t>
      </w:r>
      <w:r>
        <w:rPr>
          <w:color w:val="231F20"/>
          <w:spacing w:val="-7"/>
          <w:w w:val="110"/>
        </w:rPr>
        <w:t> </w:t>
      </w:r>
      <w:r>
        <w:rPr>
          <w:color w:val="231F20"/>
          <w:w w:val="110"/>
        </w:rPr>
        <w:t>Mo- </w:t>
      </w:r>
      <w:r>
        <w:rPr>
          <w:color w:val="231F20"/>
          <w:spacing w:val="-5"/>
          <w:w w:val="110"/>
        </w:rPr>
        <w:t>relos</w:t>
      </w:r>
      <w:r>
        <w:rPr>
          <w:color w:val="231F20"/>
          <w:spacing w:val="-10"/>
          <w:w w:val="110"/>
        </w:rPr>
        <w:t> </w:t>
      </w:r>
      <w:r>
        <w:rPr>
          <w:color w:val="231F20"/>
          <w:spacing w:val="-3"/>
          <w:w w:val="110"/>
        </w:rPr>
        <w:t>son</w:t>
      </w:r>
      <w:r>
        <w:rPr>
          <w:color w:val="231F20"/>
          <w:spacing w:val="-8"/>
          <w:w w:val="110"/>
        </w:rPr>
        <w:t> </w:t>
      </w:r>
      <w:r>
        <w:rPr>
          <w:color w:val="231F20"/>
          <w:spacing w:val="-3"/>
          <w:w w:val="110"/>
        </w:rPr>
        <w:t>los</w:t>
      </w:r>
      <w:r>
        <w:rPr>
          <w:color w:val="231F20"/>
          <w:spacing w:val="-8"/>
          <w:w w:val="110"/>
        </w:rPr>
        <w:t> </w:t>
      </w:r>
      <w:r>
        <w:rPr>
          <w:color w:val="231F20"/>
          <w:spacing w:val="-4"/>
          <w:w w:val="110"/>
        </w:rPr>
        <w:t>principales</w:t>
      </w:r>
      <w:r>
        <w:rPr>
          <w:color w:val="231F20"/>
          <w:spacing w:val="-8"/>
          <w:w w:val="110"/>
        </w:rPr>
        <w:t> </w:t>
      </w:r>
      <w:r>
        <w:rPr>
          <w:color w:val="231F20"/>
          <w:spacing w:val="-4"/>
          <w:w w:val="110"/>
        </w:rPr>
        <w:t>proveedores</w:t>
      </w:r>
      <w:r>
        <w:rPr>
          <w:color w:val="231F20"/>
          <w:spacing w:val="-8"/>
          <w:w w:val="110"/>
        </w:rPr>
        <w:t> </w:t>
      </w:r>
      <w:r>
        <w:rPr>
          <w:color w:val="231F20"/>
          <w:w w:val="110"/>
        </w:rPr>
        <w:t>de</w:t>
      </w:r>
      <w:r>
        <w:rPr>
          <w:color w:val="231F20"/>
          <w:spacing w:val="-8"/>
          <w:w w:val="110"/>
        </w:rPr>
        <w:t> </w:t>
      </w:r>
      <w:r>
        <w:rPr>
          <w:color w:val="231F20"/>
          <w:spacing w:val="-4"/>
          <w:w w:val="110"/>
        </w:rPr>
        <w:t>obreros</w:t>
      </w:r>
      <w:r>
        <w:rPr>
          <w:color w:val="231F20"/>
          <w:spacing w:val="-8"/>
          <w:w w:val="110"/>
        </w:rPr>
        <w:t> </w:t>
      </w:r>
      <w:r>
        <w:rPr>
          <w:color w:val="231F20"/>
          <w:spacing w:val="-3"/>
          <w:w w:val="110"/>
        </w:rPr>
        <w:t>para</w:t>
      </w:r>
      <w:r>
        <w:rPr>
          <w:color w:val="231F20"/>
          <w:spacing w:val="-8"/>
          <w:w w:val="110"/>
        </w:rPr>
        <w:t> </w:t>
      </w:r>
      <w:r>
        <w:rPr>
          <w:color w:val="231F20"/>
          <w:spacing w:val="-3"/>
          <w:w w:val="110"/>
        </w:rPr>
        <w:t>este</w:t>
      </w:r>
      <w:r>
        <w:rPr>
          <w:color w:val="231F20"/>
          <w:spacing w:val="-8"/>
          <w:w w:val="110"/>
        </w:rPr>
        <w:t> </w:t>
      </w:r>
      <w:r>
        <w:rPr>
          <w:color w:val="231F20"/>
          <w:spacing w:val="-4"/>
          <w:w w:val="110"/>
        </w:rPr>
        <w:t>complejo</w:t>
      </w:r>
      <w:r>
        <w:rPr>
          <w:color w:val="231F20"/>
          <w:spacing w:val="-8"/>
          <w:w w:val="110"/>
        </w:rPr>
        <w:t> </w:t>
      </w:r>
      <w:r>
        <w:rPr>
          <w:color w:val="231F20"/>
          <w:spacing w:val="-4"/>
          <w:w w:val="110"/>
        </w:rPr>
        <w:t>conocido </w:t>
      </w:r>
      <w:r>
        <w:rPr>
          <w:color w:val="231F20"/>
          <w:w w:val="110"/>
        </w:rPr>
        <w:t>como IUSA, que se ha convertido en una importante fuente de trabajo</w:t>
      </w:r>
      <w:r>
        <w:rPr>
          <w:color w:val="231F20"/>
          <w:spacing w:val="-23"/>
          <w:w w:val="110"/>
        </w:rPr>
        <w:t> </w:t>
      </w:r>
      <w:r>
        <w:rPr>
          <w:color w:val="231F20"/>
          <w:w w:val="110"/>
        </w:rPr>
        <w:t>para las familias campesinas de la región de estudio. Este proceso de industria- lización ha generado cambios en la organización social de dichas familias, ya que algunos de sus integrantes deciden vender su fuerza de trabajo en </w:t>
      </w:r>
      <w:r>
        <w:rPr>
          <w:color w:val="231F20"/>
          <w:spacing w:val="-4"/>
          <w:w w:val="110"/>
        </w:rPr>
        <w:t>alguna </w:t>
      </w:r>
      <w:r>
        <w:rPr>
          <w:color w:val="231F20"/>
          <w:w w:val="110"/>
        </w:rPr>
        <w:t>de </w:t>
      </w:r>
      <w:r>
        <w:rPr>
          <w:color w:val="231F20"/>
          <w:spacing w:val="-3"/>
          <w:w w:val="110"/>
        </w:rPr>
        <w:t>las </w:t>
      </w:r>
      <w:r>
        <w:rPr>
          <w:color w:val="231F20"/>
          <w:spacing w:val="-4"/>
          <w:w w:val="110"/>
        </w:rPr>
        <w:t>numerosas fábricas </w:t>
      </w:r>
      <w:r>
        <w:rPr>
          <w:color w:val="231F20"/>
          <w:w w:val="110"/>
        </w:rPr>
        <w:t>de </w:t>
      </w:r>
      <w:r>
        <w:rPr>
          <w:color w:val="231F20"/>
          <w:spacing w:val="-4"/>
          <w:w w:val="110"/>
        </w:rPr>
        <w:t>dichos corredores industriales </w:t>
      </w:r>
      <w:r>
        <w:rPr>
          <w:color w:val="231F20"/>
          <w:w w:val="110"/>
        </w:rPr>
        <w:t>y </w:t>
      </w:r>
      <w:r>
        <w:rPr>
          <w:color w:val="231F20"/>
          <w:spacing w:val="-4"/>
          <w:w w:val="110"/>
        </w:rPr>
        <w:t>“deben </w:t>
      </w:r>
      <w:r>
        <w:rPr>
          <w:color w:val="231F20"/>
          <w:w w:val="110"/>
        </w:rPr>
        <w:t>emprender diariamente un viaje hacia dicha zona” (Barrientos, 2004: 9).</w:t>
      </w:r>
      <w:r>
        <w:rPr>
          <w:color w:val="231F20"/>
          <w:spacing w:val="-10"/>
          <w:w w:val="110"/>
        </w:rPr>
        <w:t> </w:t>
      </w:r>
      <w:r>
        <w:rPr>
          <w:color w:val="231F20"/>
          <w:w w:val="110"/>
        </w:rPr>
        <w:t>A partir de este proceso de industrialización, las familias campesinas de la región diversificaron cada vez más sus actividades con el fin de garantizar su</w:t>
      </w:r>
      <w:r>
        <w:rPr>
          <w:color w:val="231F20"/>
          <w:spacing w:val="35"/>
          <w:w w:val="110"/>
        </w:rPr>
        <w:t> </w:t>
      </w:r>
      <w:r>
        <w:rPr>
          <w:color w:val="231F20"/>
          <w:w w:val="110"/>
        </w:rPr>
        <w:t>subsistencia.</w:t>
      </w:r>
    </w:p>
    <w:p>
      <w:pPr>
        <w:pStyle w:val="BodyText"/>
      </w:pPr>
    </w:p>
    <w:p>
      <w:pPr>
        <w:pStyle w:val="BodyText"/>
        <w:spacing w:before="1"/>
        <w:rPr>
          <w:sz w:val="23"/>
        </w:rPr>
      </w:pPr>
    </w:p>
    <w:p>
      <w:pPr>
        <w:spacing w:before="0"/>
        <w:ind w:left="124" w:right="0" w:firstLine="0"/>
        <w:jc w:val="left"/>
        <w:rPr>
          <w:rFonts w:ascii="Times New Roman" w:hAnsi="Times New Roman"/>
          <w:i/>
          <w:sz w:val="19"/>
        </w:rPr>
      </w:pPr>
      <w:r>
        <w:rPr>
          <w:rFonts w:ascii="Times New Roman" w:hAnsi="Times New Roman"/>
          <w:i/>
          <w:color w:val="231F20"/>
          <w:sz w:val="24"/>
        </w:rPr>
        <w:t>C</w:t>
      </w:r>
      <w:r>
        <w:rPr>
          <w:rFonts w:ascii="Times New Roman" w:hAnsi="Times New Roman"/>
          <w:i/>
          <w:color w:val="231F20"/>
          <w:sz w:val="19"/>
        </w:rPr>
        <w:t>ONTEXTO DE LA POBLACIÓN CAMPESINA</w:t>
      </w:r>
    </w:p>
    <w:p>
      <w:pPr>
        <w:pStyle w:val="BodyText"/>
        <w:spacing w:before="1"/>
        <w:rPr>
          <w:rFonts w:ascii="Times New Roman"/>
          <w:i/>
          <w:sz w:val="27"/>
        </w:rPr>
      </w:pPr>
    </w:p>
    <w:p>
      <w:pPr>
        <w:pStyle w:val="BodyText"/>
        <w:spacing w:line="285" w:lineRule="auto"/>
        <w:ind w:left="120" w:right="114"/>
        <w:jc w:val="right"/>
      </w:pPr>
      <w:r>
        <w:rPr>
          <w:color w:val="231F20"/>
          <w:spacing w:val="-3"/>
          <w:w w:val="110"/>
        </w:rPr>
        <w:t>Actualmente</w:t>
      </w:r>
      <w:r>
        <w:rPr>
          <w:color w:val="231F20"/>
          <w:spacing w:val="-5"/>
          <w:w w:val="110"/>
        </w:rPr>
        <w:t> </w:t>
      </w:r>
      <w:r>
        <w:rPr>
          <w:color w:val="231F20"/>
          <w:w w:val="110"/>
        </w:rPr>
        <w:t>se</w:t>
      </w:r>
      <w:r>
        <w:rPr>
          <w:color w:val="231F20"/>
          <w:spacing w:val="-5"/>
          <w:w w:val="110"/>
        </w:rPr>
        <w:t> </w:t>
      </w:r>
      <w:r>
        <w:rPr>
          <w:color w:val="231F20"/>
          <w:w w:val="110"/>
        </w:rPr>
        <w:t>afirma</w:t>
      </w:r>
      <w:r>
        <w:rPr>
          <w:color w:val="231F20"/>
          <w:spacing w:val="-5"/>
          <w:w w:val="110"/>
        </w:rPr>
        <w:t> </w:t>
      </w:r>
      <w:r>
        <w:rPr>
          <w:color w:val="231F20"/>
          <w:w w:val="110"/>
        </w:rPr>
        <w:t>que</w:t>
      </w:r>
      <w:r>
        <w:rPr>
          <w:color w:val="231F20"/>
          <w:spacing w:val="-5"/>
          <w:w w:val="110"/>
        </w:rPr>
        <w:t> </w:t>
      </w:r>
      <w:r>
        <w:rPr>
          <w:color w:val="231F20"/>
          <w:w w:val="110"/>
        </w:rPr>
        <w:t>en</w:t>
      </w:r>
      <w:r>
        <w:rPr>
          <w:color w:val="231F20"/>
          <w:spacing w:val="-5"/>
          <w:w w:val="110"/>
        </w:rPr>
        <w:t> </w:t>
      </w:r>
      <w:r>
        <w:rPr>
          <w:color w:val="231F20"/>
          <w:w w:val="110"/>
        </w:rPr>
        <w:t>México</w:t>
      </w:r>
      <w:r>
        <w:rPr>
          <w:color w:val="231F20"/>
          <w:spacing w:val="-5"/>
          <w:w w:val="110"/>
        </w:rPr>
        <w:t> </w:t>
      </w:r>
      <w:r>
        <w:rPr>
          <w:color w:val="231F20"/>
          <w:w w:val="110"/>
        </w:rPr>
        <w:t>hay</w:t>
      </w:r>
      <w:r>
        <w:rPr>
          <w:color w:val="231F20"/>
          <w:spacing w:val="-5"/>
          <w:w w:val="110"/>
        </w:rPr>
        <w:t> </w:t>
      </w:r>
      <w:r>
        <w:rPr>
          <w:color w:val="231F20"/>
          <w:w w:val="110"/>
        </w:rPr>
        <w:t>30</w:t>
      </w:r>
      <w:r>
        <w:rPr>
          <w:color w:val="231F20"/>
          <w:spacing w:val="-5"/>
          <w:w w:val="110"/>
        </w:rPr>
        <w:t> </w:t>
      </w:r>
      <w:r>
        <w:rPr>
          <w:color w:val="231F20"/>
          <w:w w:val="110"/>
        </w:rPr>
        <w:t>millones</w:t>
      </w:r>
      <w:r>
        <w:rPr>
          <w:color w:val="231F20"/>
          <w:spacing w:val="-5"/>
          <w:w w:val="110"/>
        </w:rPr>
        <w:t> </w:t>
      </w:r>
      <w:r>
        <w:rPr>
          <w:color w:val="231F20"/>
          <w:w w:val="110"/>
        </w:rPr>
        <w:t>de</w:t>
      </w:r>
      <w:r>
        <w:rPr>
          <w:color w:val="231F20"/>
          <w:spacing w:val="-5"/>
          <w:w w:val="110"/>
        </w:rPr>
        <w:t> </w:t>
      </w:r>
      <w:r>
        <w:rPr>
          <w:color w:val="231F20"/>
          <w:w w:val="110"/>
        </w:rPr>
        <w:t>campesinos</w:t>
      </w:r>
      <w:r>
        <w:rPr>
          <w:color w:val="231F20"/>
          <w:spacing w:val="-5"/>
          <w:w w:val="110"/>
        </w:rPr>
        <w:t> </w:t>
      </w:r>
      <w:r>
        <w:rPr>
          <w:color w:val="231F20"/>
          <w:w w:val="110"/>
        </w:rPr>
        <w:t>(Gon-</w:t>
      </w:r>
      <w:r>
        <w:rPr>
          <w:color w:val="231F20"/>
          <w:w w:val="93"/>
        </w:rPr>
        <w:t> </w:t>
      </w:r>
      <w:r>
        <w:rPr>
          <w:color w:val="231F20"/>
          <w:w w:val="110"/>
        </w:rPr>
        <w:t>zález,</w:t>
      </w:r>
      <w:r>
        <w:rPr>
          <w:color w:val="231F20"/>
          <w:spacing w:val="16"/>
          <w:w w:val="110"/>
        </w:rPr>
        <w:t> </w:t>
      </w:r>
      <w:r>
        <w:rPr>
          <w:color w:val="231F20"/>
          <w:w w:val="110"/>
        </w:rPr>
        <w:t>citado</w:t>
      </w:r>
      <w:r>
        <w:rPr>
          <w:color w:val="231F20"/>
          <w:spacing w:val="16"/>
          <w:w w:val="110"/>
        </w:rPr>
        <w:t> </w:t>
      </w:r>
      <w:r>
        <w:rPr>
          <w:color w:val="231F20"/>
          <w:w w:val="110"/>
        </w:rPr>
        <w:t>en</w:t>
      </w:r>
      <w:r>
        <w:rPr>
          <w:color w:val="231F20"/>
          <w:spacing w:val="16"/>
          <w:w w:val="110"/>
        </w:rPr>
        <w:t> </w:t>
      </w:r>
      <w:r>
        <w:rPr>
          <w:color w:val="231F20"/>
          <w:w w:val="110"/>
        </w:rPr>
        <w:t>González</w:t>
      </w:r>
      <w:r>
        <w:rPr>
          <w:color w:val="231F20"/>
          <w:spacing w:val="16"/>
          <w:w w:val="110"/>
        </w:rPr>
        <w:t> </w:t>
      </w:r>
      <w:r>
        <w:rPr>
          <w:color w:val="231F20"/>
          <w:w w:val="110"/>
        </w:rPr>
        <w:t>y</w:t>
      </w:r>
      <w:r>
        <w:rPr>
          <w:color w:val="231F20"/>
          <w:spacing w:val="16"/>
          <w:w w:val="110"/>
        </w:rPr>
        <w:t> </w:t>
      </w:r>
      <w:r>
        <w:rPr>
          <w:color w:val="231F20"/>
          <w:w w:val="110"/>
        </w:rPr>
        <w:t>Del</w:t>
      </w:r>
      <w:r>
        <w:rPr>
          <w:color w:val="231F20"/>
          <w:spacing w:val="16"/>
          <w:w w:val="110"/>
        </w:rPr>
        <w:t> </w:t>
      </w:r>
      <w:r>
        <w:rPr>
          <w:color w:val="231F20"/>
          <w:w w:val="110"/>
        </w:rPr>
        <w:t>Amo,</w:t>
      </w:r>
      <w:r>
        <w:rPr>
          <w:color w:val="231F20"/>
          <w:spacing w:val="16"/>
          <w:w w:val="110"/>
        </w:rPr>
        <w:t> </w:t>
      </w:r>
      <w:r>
        <w:rPr>
          <w:color w:val="231F20"/>
          <w:w w:val="110"/>
        </w:rPr>
        <w:t>2007).</w:t>
      </w:r>
      <w:r>
        <w:rPr>
          <w:color w:val="231F20"/>
          <w:spacing w:val="16"/>
          <w:w w:val="110"/>
        </w:rPr>
        <w:t> </w:t>
      </w:r>
      <w:r>
        <w:rPr>
          <w:color w:val="231F20"/>
          <w:w w:val="110"/>
        </w:rPr>
        <w:t>Según</w:t>
      </w:r>
      <w:r>
        <w:rPr>
          <w:color w:val="231F20"/>
          <w:spacing w:val="16"/>
          <w:w w:val="110"/>
        </w:rPr>
        <w:t> </w:t>
      </w:r>
      <w:r>
        <w:rPr>
          <w:color w:val="231F20"/>
          <w:w w:val="110"/>
        </w:rPr>
        <w:t>el</w:t>
      </w:r>
      <w:r>
        <w:rPr>
          <w:color w:val="231F20"/>
          <w:spacing w:val="16"/>
          <w:w w:val="110"/>
        </w:rPr>
        <w:t> </w:t>
      </w:r>
      <w:r>
        <w:rPr>
          <w:color w:val="231F20"/>
          <w:w w:val="110"/>
        </w:rPr>
        <w:t>VIII</w:t>
      </w:r>
      <w:r>
        <w:rPr>
          <w:color w:val="231F20"/>
          <w:spacing w:val="16"/>
          <w:w w:val="110"/>
        </w:rPr>
        <w:t> </w:t>
      </w:r>
      <w:r>
        <w:rPr>
          <w:color w:val="231F20"/>
          <w:w w:val="110"/>
        </w:rPr>
        <w:t>Censo</w:t>
      </w:r>
      <w:r>
        <w:rPr>
          <w:color w:val="231F20"/>
          <w:spacing w:val="16"/>
          <w:w w:val="110"/>
        </w:rPr>
        <w:t> </w:t>
      </w:r>
      <w:r>
        <w:rPr>
          <w:color w:val="231F20"/>
          <w:w w:val="110"/>
        </w:rPr>
        <w:t>Agrícola,</w:t>
      </w:r>
      <w:r>
        <w:rPr>
          <w:color w:val="231F20"/>
          <w:w w:val="110"/>
        </w:rPr>
        <w:t> </w:t>
      </w:r>
      <w:r>
        <w:rPr>
          <w:color w:val="231F20"/>
          <w:w w:val="110"/>
        </w:rPr>
        <w:t>Ganadero</w:t>
      </w:r>
      <w:r>
        <w:rPr>
          <w:color w:val="231F20"/>
          <w:spacing w:val="-25"/>
          <w:w w:val="110"/>
        </w:rPr>
        <w:t> </w:t>
      </w:r>
      <w:r>
        <w:rPr>
          <w:color w:val="231F20"/>
          <w:w w:val="110"/>
        </w:rPr>
        <w:t>y</w:t>
      </w:r>
      <w:r>
        <w:rPr>
          <w:color w:val="231F20"/>
          <w:spacing w:val="-25"/>
          <w:w w:val="110"/>
        </w:rPr>
        <w:t> </w:t>
      </w:r>
      <w:r>
        <w:rPr>
          <w:color w:val="231F20"/>
          <w:spacing w:val="-4"/>
          <w:w w:val="110"/>
        </w:rPr>
        <w:t>Forestal</w:t>
      </w:r>
      <w:r>
        <w:rPr>
          <w:color w:val="231F20"/>
          <w:spacing w:val="-25"/>
          <w:w w:val="110"/>
        </w:rPr>
        <w:t> </w:t>
      </w:r>
      <w:r>
        <w:rPr>
          <w:color w:val="231F20"/>
          <w:w w:val="110"/>
        </w:rPr>
        <w:t>2007,</w:t>
      </w:r>
      <w:r>
        <w:rPr>
          <w:color w:val="231F20"/>
          <w:spacing w:val="-25"/>
          <w:w w:val="110"/>
        </w:rPr>
        <w:t> </w:t>
      </w:r>
      <w:r>
        <w:rPr>
          <w:color w:val="231F20"/>
          <w:w w:val="110"/>
        </w:rPr>
        <w:t>el</w:t>
      </w:r>
      <w:r>
        <w:rPr>
          <w:color w:val="231F20"/>
          <w:spacing w:val="-25"/>
          <w:w w:val="110"/>
        </w:rPr>
        <w:t> </w:t>
      </w:r>
      <w:r>
        <w:rPr>
          <w:color w:val="231F20"/>
          <w:w w:val="110"/>
        </w:rPr>
        <w:t>Estado</w:t>
      </w:r>
      <w:r>
        <w:rPr>
          <w:color w:val="231F20"/>
          <w:spacing w:val="-25"/>
          <w:w w:val="110"/>
        </w:rPr>
        <w:t> </w:t>
      </w:r>
      <w:r>
        <w:rPr>
          <w:color w:val="231F20"/>
          <w:w w:val="110"/>
        </w:rPr>
        <w:t>de</w:t>
      </w:r>
      <w:r>
        <w:rPr>
          <w:color w:val="231F20"/>
          <w:spacing w:val="-25"/>
          <w:w w:val="110"/>
        </w:rPr>
        <w:t> </w:t>
      </w:r>
      <w:r>
        <w:rPr>
          <w:color w:val="231F20"/>
          <w:w w:val="110"/>
        </w:rPr>
        <w:t>México</w:t>
      </w:r>
      <w:r>
        <w:rPr>
          <w:color w:val="231F20"/>
          <w:spacing w:val="-25"/>
          <w:w w:val="110"/>
        </w:rPr>
        <w:t> </w:t>
      </w:r>
      <w:r>
        <w:rPr>
          <w:color w:val="231F20"/>
          <w:w w:val="110"/>
        </w:rPr>
        <w:t>cuenta</w:t>
      </w:r>
      <w:r>
        <w:rPr>
          <w:color w:val="231F20"/>
          <w:spacing w:val="-25"/>
          <w:w w:val="110"/>
        </w:rPr>
        <w:t> </w:t>
      </w:r>
      <w:r>
        <w:rPr>
          <w:color w:val="231F20"/>
          <w:w w:val="110"/>
        </w:rPr>
        <w:t>con</w:t>
      </w:r>
      <w:r>
        <w:rPr>
          <w:color w:val="231F20"/>
          <w:spacing w:val="-25"/>
          <w:w w:val="110"/>
        </w:rPr>
        <w:t> </w:t>
      </w:r>
      <w:r>
        <w:rPr>
          <w:color w:val="231F20"/>
          <w:w w:val="110"/>
        </w:rPr>
        <w:t>un</w:t>
      </w:r>
      <w:r>
        <w:rPr>
          <w:color w:val="231F20"/>
          <w:spacing w:val="-25"/>
          <w:w w:val="110"/>
        </w:rPr>
        <w:t> </w:t>
      </w:r>
      <w:r>
        <w:rPr>
          <w:color w:val="231F20"/>
          <w:w w:val="110"/>
        </w:rPr>
        <w:t>total</w:t>
      </w:r>
      <w:r>
        <w:rPr>
          <w:color w:val="231F20"/>
          <w:spacing w:val="-25"/>
          <w:w w:val="110"/>
        </w:rPr>
        <w:t> </w:t>
      </w:r>
      <w:r>
        <w:rPr>
          <w:color w:val="231F20"/>
          <w:w w:val="110"/>
        </w:rPr>
        <w:t>de</w:t>
      </w:r>
      <w:r>
        <w:rPr>
          <w:color w:val="231F20"/>
          <w:spacing w:val="-25"/>
          <w:w w:val="110"/>
        </w:rPr>
        <w:t> </w:t>
      </w:r>
      <w:r>
        <w:rPr>
          <w:color w:val="231F20"/>
          <w:w w:val="110"/>
        </w:rPr>
        <w:t>533,969</w:t>
      </w:r>
      <w:r>
        <w:rPr>
          <w:color w:val="231F20"/>
          <w:w w:val="102"/>
        </w:rPr>
        <w:t> </w:t>
      </w:r>
      <w:r>
        <w:rPr>
          <w:color w:val="231F20"/>
          <w:w w:val="110"/>
        </w:rPr>
        <w:t>unidades de producción rural</w:t>
      </w:r>
      <w:r>
        <w:rPr>
          <w:color w:val="231F20"/>
          <w:w w:val="110"/>
          <w:position w:val="6"/>
          <w:sz w:val="11"/>
        </w:rPr>
        <w:t>8 </w:t>
      </w:r>
      <w:r>
        <w:rPr>
          <w:color w:val="231F20"/>
          <w:w w:val="110"/>
        </w:rPr>
        <w:t>de las cuales 345,299 (64.7 por</w:t>
      </w:r>
      <w:r>
        <w:rPr>
          <w:color w:val="231F20"/>
          <w:spacing w:val="3"/>
          <w:w w:val="110"/>
        </w:rPr>
        <w:t> </w:t>
      </w:r>
      <w:r>
        <w:rPr>
          <w:color w:val="231F20"/>
          <w:w w:val="110"/>
        </w:rPr>
        <w:t>ciento) rea-</w:t>
      </w:r>
      <w:r>
        <w:rPr>
          <w:color w:val="231F20"/>
          <w:w w:val="93"/>
        </w:rPr>
        <w:t> </w:t>
      </w:r>
      <w:r>
        <w:rPr>
          <w:color w:val="231F20"/>
          <w:w w:val="110"/>
        </w:rPr>
        <w:t>lizaron</w:t>
      </w:r>
      <w:r>
        <w:rPr>
          <w:color w:val="231F20"/>
          <w:spacing w:val="-18"/>
          <w:w w:val="110"/>
        </w:rPr>
        <w:t> </w:t>
      </w:r>
      <w:r>
        <w:rPr>
          <w:color w:val="231F20"/>
          <w:w w:val="110"/>
        </w:rPr>
        <w:t>alguna</w:t>
      </w:r>
      <w:r>
        <w:rPr>
          <w:color w:val="231F20"/>
          <w:spacing w:val="-18"/>
          <w:w w:val="110"/>
        </w:rPr>
        <w:t> </w:t>
      </w:r>
      <w:r>
        <w:rPr>
          <w:color w:val="231F20"/>
          <w:w w:val="110"/>
        </w:rPr>
        <w:t>actividad</w:t>
      </w:r>
      <w:r>
        <w:rPr>
          <w:color w:val="231F20"/>
          <w:spacing w:val="-18"/>
          <w:w w:val="110"/>
        </w:rPr>
        <w:t> </w:t>
      </w:r>
      <w:r>
        <w:rPr>
          <w:color w:val="231F20"/>
          <w:w w:val="110"/>
        </w:rPr>
        <w:t>agropecuaria</w:t>
      </w:r>
      <w:r>
        <w:rPr>
          <w:color w:val="231F20"/>
          <w:spacing w:val="-18"/>
          <w:w w:val="110"/>
        </w:rPr>
        <w:t> </w:t>
      </w:r>
      <w:r>
        <w:rPr>
          <w:color w:val="231F20"/>
          <w:w w:val="110"/>
        </w:rPr>
        <w:t>o</w:t>
      </w:r>
      <w:r>
        <w:rPr>
          <w:color w:val="231F20"/>
          <w:spacing w:val="-18"/>
          <w:w w:val="110"/>
        </w:rPr>
        <w:t> </w:t>
      </w:r>
      <w:r>
        <w:rPr>
          <w:color w:val="231F20"/>
          <w:w w:val="110"/>
        </w:rPr>
        <w:t>forestal,</w:t>
      </w:r>
      <w:r>
        <w:rPr>
          <w:color w:val="231F20"/>
          <w:spacing w:val="-18"/>
          <w:w w:val="110"/>
        </w:rPr>
        <w:t> </w:t>
      </w:r>
      <w:r>
        <w:rPr>
          <w:color w:val="231F20"/>
          <w:w w:val="110"/>
        </w:rPr>
        <w:t>y</w:t>
      </w:r>
      <w:r>
        <w:rPr>
          <w:color w:val="231F20"/>
          <w:spacing w:val="-18"/>
          <w:w w:val="110"/>
        </w:rPr>
        <w:t> </w:t>
      </w:r>
      <w:r>
        <w:rPr>
          <w:color w:val="231F20"/>
          <w:w w:val="110"/>
        </w:rPr>
        <w:t>188,670</w:t>
      </w:r>
      <w:r>
        <w:rPr>
          <w:color w:val="231F20"/>
          <w:spacing w:val="-18"/>
          <w:w w:val="110"/>
        </w:rPr>
        <w:t> </w:t>
      </w:r>
      <w:r>
        <w:rPr>
          <w:color w:val="231F20"/>
          <w:w w:val="110"/>
        </w:rPr>
        <w:t>(35.3</w:t>
      </w:r>
      <w:r>
        <w:rPr>
          <w:color w:val="231F20"/>
          <w:spacing w:val="-18"/>
          <w:w w:val="110"/>
        </w:rPr>
        <w:t> </w:t>
      </w:r>
      <w:r>
        <w:rPr>
          <w:color w:val="231F20"/>
          <w:w w:val="110"/>
        </w:rPr>
        <w:t>por</w:t>
      </w:r>
      <w:r>
        <w:rPr>
          <w:color w:val="231F20"/>
          <w:spacing w:val="-18"/>
          <w:w w:val="110"/>
        </w:rPr>
        <w:t> </w:t>
      </w:r>
      <w:r>
        <w:rPr>
          <w:color w:val="231F20"/>
          <w:w w:val="110"/>
        </w:rPr>
        <w:t>ciento)</w:t>
      </w:r>
    </w:p>
    <w:p>
      <w:pPr>
        <w:spacing w:line="256" w:lineRule="auto" w:before="156"/>
        <w:ind w:left="124" w:right="114" w:firstLine="360"/>
        <w:jc w:val="both"/>
        <w:rPr>
          <w:sz w:val="16"/>
        </w:rPr>
      </w:pPr>
      <w:r>
        <w:rPr>
          <w:color w:val="231F20"/>
          <w:w w:val="110"/>
          <w:position w:val="5"/>
          <w:sz w:val="9"/>
        </w:rPr>
        <w:t>8</w:t>
      </w:r>
      <w:r>
        <w:rPr>
          <w:color w:val="231F20"/>
          <w:spacing w:val="-5"/>
          <w:w w:val="110"/>
          <w:position w:val="5"/>
          <w:sz w:val="9"/>
        </w:rPr>
        <w:t> </w:t>
      </w:r>
      <w:r>
        <w:rPr>
          <w:color w:val="231F20"/>
          <w:w w:val="110"/>
          <w:sz w:val="16"/>
        </w:rPr>
        <w:t>Según</w:t>
      </w:r>
      <w:r>
        <w:rPr>
          <w:color w:val="231F20"/>
          <w:spacing w:val="-10"/>
          <w:w w:val="110"/>
          <w:sz w:val="16"/>
        </w:rPr>
        <w:t> </w:t>
      </w:r>
      <w:r>
        <w:rPr>
          <w:color w:val="231F20"/>
          <w:w w:val="110"/>
          <w:sz w:val="16"/>
        </w:rPr>
        <w:t>el</w:t>
      </w:r>
      <w:r>
        <w:rPr>
          <w:color w:val="231F20"/>
          <w:spacing w:val="-10"/>
          <w:w w:val="110"/>
          <w:sz w:val="16"/>
        </w:rPr>
        <w:t> </w:t>
      </w:r>
      <w:r>
        <w:rPr>
          <w:rFonts w:ascii="Times New Roman" w:hAnsi="Times New Roman"/>
          <w:color w:val="231F20"/>
          <w:w w:val="110"/>
          <w:sz w:val="13"/>
        </w:rPr>
        <w:t>INEGI</w:t>
      </w:r>
      <w:r>
        <w:rPr>
          <w:color w:val="231F20"/>
          <w:w w:val="110"/>
          <w:sz w:val="16"/>
        </w:rPr>
        <w:t>,</w:t>
      </w:r>
      <w:r>
        <w:rPr>
          <w:color w:val="231F20"/>
          <w:spacing w:val="-10"/>
          <w:w w:val="110"/>
          <w:sz w:val="16"/>
        </w:rPr>
        <w:t> </w:t>
      </w:r>
      <w:r>
        <w:rPr>
          <w:color w:val="231F20"/>
          <w:w w:val="110"/>
          <w:sz w:val="16"/>
        </w:rPr>
        <w:t>es</w:t>
      </w:r>
      <w:r>
        <w:rPr>
          <w:color w:val="231F20"/>
          <w:spacing w:val="-10"/>
          <w:w w:val="110"/>
          <w:sz w:val="16"/>
        </w:rPr>
        <w:t> </w:t>
      </w:r>
      <w:r>
        <w:rPr>
          <w:color w:val="231F20"/>
          <w:w w:val="110"/>
          <w:sz w:val="16"/>
        </w:rPr>
        <w:t>“el</w:t>
      </w:r>
      <w:r>
        <w:rPr>
          <w:color w:val="231F20"/>
          <w:spacing w:val="-10"/>
          <w:w w:val="110"/>
          <w:sz w:val="16"/>
        </w:rPr>
        <w:t> </w:t>
      </w:r>
      <w:r>
        <w:rPr>
          <w:color w:val="231F20"/>
          <w:w w:val="110"/>
          <w:sz w:val="16"/>
        </w:rPr>
        <w:t>conjunto</w:t>
      </w:r>
      <w:r>
        <w:rPr>
          <w:color w:val="231F20"/>
          <w:spacing w:val="-10"/>
          <w:w w:val="110"/>
          <w:sz w:val="16"/>
        </w:rPr>
        <w:t> </w:t>
      </w:r>
      <w:r>
        <w:rPr>
          <w:color w:val="231F20"/>
          <w:w w:val="110"/>
          <w:sz w:val="16"/>
        </w:rPr>
        <w:t>formado</w:t>
      </w:r>
      <w:r>
        <w:rPr>
          <w:color w:val="231F20"/>
          <w:spacing w:val="-10"/>
          <w:w w:val="110"/>
          <w:sz w:val="16"/>
        </w:rPr>
        <w:t> </w:t>
      </w:r>
      <w:r>
        <w:rPr>
          <w:color w:val="231F20"/>
          <w:w w:val="110"/>
          <w:sz w:val="16"/>
        </w:rPr>
        <w:t>por</w:t>
      </w:r>
      <w:r>
        <w:rPr>
          <w:color w:val="231F20"/>
          <w:spacing w:val="-10"/>
          <w:w w:val="110"/>
          <w:sz w:val="16"/>
        </w:rPr>
        <w:t> </w:t>
      </w:r>
      <w:r>
        <w:rPr>
          <w:color w:val="231F20"/>
          <w:w w:val="110"/>
          <w:sz w:val="16"/>
        </w:rPr>
        <w:t>los</w:t>
      </w:r>
      <w:r>
        <w:rPr>
          <w:color w:val="231F20"/>
          <w:spacing w:val="-10"/>
          <w:w w:val="110"/>
          <w:sz w:val="16"/>
        </w:rPr>
        <w:t> </w:t>
      </w:r>
      <w:r>
        <w:rPr>
          <w:color w:val="231F20"/>
          <w:w w:val="110"/>
          <w:sz w:val="16"/>
        </w:rPr>
        <w:t>terrenos,</w:t>
      </w:r>
      <w:r>
        <w:rPr>
          <w:color w:val="231F20"/>
          <w:spacing w:val="-10"/>
          <w:w w:val="110"/>
          <w:sz w:val="16"/>
        </w:rPr>
        <w:t> </w:t>
      </w:r>
      <w:r>
        <w:rPr>
          <w:color w:val="231F20"/>
          <w:w w:val="110"/>
          <w:sz w:val="16"/>
        </w:rPr>
        <w:t>con</w:t>
      </w:r>
      <w:r>
        <w:rPr>
          <w:color w:val="231F20"/>
          <w:spacing w:val="-10"/>
          <w:w w:val="110"/>
          <w:sz w:val="16"/>
        </w:rPr>
        <w:t> </w:t>
      </w:r>
      <w:r>
        <w:rPr>
          <w:color w:val="231F20"/>
          <w:w w:val="110"/>
          <w:sz w:val="16"/>
        </w:rPr>
        <w:t>o</w:t>
      </w:r>
      <w:r>
        <w:rPr>
          <w:color w:val="231F20"/>
          <w:spacing w:val="-10"/>
          <w:w w:val="110"/>
          <w:sz w:val="16"/>
        </w:rPr>
        <w:t> </w:t>
      </w:r>
      <w:r>
        <w:rPr>
          <w:color w:val="231F20"/>
          <w:w w:val="110"/>
          <w:sz w:val="16"/>
        </w:rPr>
        <w:t>sin</w:t>
      </w:r>
      <w:r>
        <w:rPr>
          <w:color w:val="231F20"/>
          <w:spacing w:val="-10"/>
          <w:w w:val="110"/>
          <w:sz w:val="16"/>
        </w:rPr>
        <w:t> </w:t>
      </w:r>
      <w:r>
        <w:rPr>
          <w:color w:val="231F20"/>
          <w:w w:val="110"/>
          <w:sz w:val="16"/>
        </w:rPr>
        <w:t>actividad</w:t>
      </w:r>
      <w:r>
        <w:rPr>
          <w:color w:val="231F20"/>
          <w:spacing w:val="-10"/>
          <w:w w:val="110"/>
          <w:sz w:val="16"/>
        </w:rPr>
        <w:t> </w:t>
      </w:r>
      <w:r>
        <w:rPr>
          <w:color w:val="231F20"/>
          <w:w w:val="110"/>
          <w:sz w:val="16"/>
        </w:rPr>
        <w:t>agropecuaria o forestal en el área rural, ubicados en el mismo municipio” (2007:</w:t>
      </w:r>
      <w:r>
        <w:rPr>
          <w:color w:val="231F20"/>
          <w:spacing w:val="28"/>
          <w:w w:val="110"/>
          <w:sz w:val="16"/>
        </w:rPr>
        <w:t> </w:t>
      </w:r>
      <w:r>
        <w:rPr>
          <w:color w:val="231F20"/>
          <w:w w:val="110"/>
          <w:sz w:val="16"/>
        </w:rPr>
        <w:t>3).</w:t>
      </w:r>
    </w:p>
    <w:p>
      <w:pPr>
        <w:spacing w:after="0" w:line="256" w:lineRule="auto"/>
        <w:jc w:val="both"/>
        <w:rPr>
          <w:sz w:val="16"/>
        </w:rPr>
        <w:sectPr>
          <w:pgSz w:w="9520" w:h="12920"/>
          <w:pgMar w:header="0" w:footer="1344" w:top="880" w:bottom="1540" w:left="1320" w:right="1000"/>
        </w:sectPr>
      </w:pPr>
    </w:p>
    <w:p>
      <w:pPr>
        <w:pStyle w:val="BodyText"/>
        <w:spacing w:line="285" w:lineRule="auto" w:before="42"/>
        <w:ind w:left="120" w:right="117"/>
        <w:jc w:val="both"/>
      </w:pPr>
      <w:r>
        <w:rPr>
          <w:color w:val="231F20"/>
          <w:w w:val="110"/>
        </w:rPr>
        <w:t>se</w:t>
      </w:r>
      <w:r>
        <w:rPr>
          <w:color w:val="231F20"/>
          <w:spacing w:val="-4"/>
          <w:w w:val="110"/>
        </w:rPr>
        <w:t> </w:t>
      </w:r>
      <w:r>
        <w:rPr>
          <w:color w:val="231F20"/>
          <w:w w:val="110"/>
        </w:rPr>
        <w:t>dedicaron</w:t>
      </w:r>
      <w:r>
        <w:rPr>
          <w:color w:val="231F20"/>
          <w:spacing w:val="-4"/>
          <w:w w:val="110"/>
        </w:rPr>
        <w:t> </w:t>
      </w:r>
      <w:r>
        <w:rPr>
          <w:color w:val="231F20"/>
          <w:w w:val="110"/>
        </w:rPr>
        <w:t>a</w:t>
      </w:r>
      <w:r>
        <w:rPr>
          <w:color w:val="231F20"/>
          <w:spacing w:val="-4"/>
          <w:w w:val="110"/>
        </w:rPr>
        <w:t> </w:t>
      </w:r>
      <w:r>
        <w:rPr>
          <w:color w:val="231F20"/>
          <w:w w:val="110"/>
        </w:rPr>
        <w:t>otro</w:t>
      </w:r>
      <w:r>
        <w:rPr>
          <w:color w:val="231F20"/>
          <w:spacing w:val="-4"/>
          <w:w w:val="110"/>
        </w:rPr>
        <w:t> </w:t>
      </w:r>
      <w:r>
        <w:rPr>
          <w:color w:val="231F20"/>
          <w:w w:val="110"/>
        </w:rPr>
        <w:t>tipo</w:t>
      </w:r>
      <w:r>
        <w:rPr>
          <w:color w:val="231F20"/>
          <w:spacing w:val="-4"/>
          <w:w w:val="110"/>
        </w:rPr>
        <w:t> </w:t>
      </w:r>
      <w:r>
        <w:rPr>
          <w:color w:val="231F20"/>
          <w:w w:val="110"/>
        </w:rPr>
        <w:t>de</w:t>
      </w:r>
      <w:r>
        <w:rPr>
          <w:color w:val="231F20"/>
          <w:spacing w:val="-4"/>
          <w:w w:val="110"/>
        </w:rPr>
        <w:t> </w:t>
      </w:r>
      <w:r>
        <w:rPr>
          <w:color w:val="231F20"/>
          <w:w w:val="110"/>
        </w:rPr>
        <w:t>actividades,</w:t>
      </w:r>
      <w:r>
        <w:rPr>
          <w:color w:val="231F20"/>
          <w:spacing w:val="-4"/>
          <w:w w:val="110"/>
        </w:rPr>
        <w:t> </w:t>
      </w:r>
      <w:r>
        <w:rPr>
          <w:color w:val="231F20"/>
          <w:w w:val="110"/>
        </w:rPr>
        <w:t>como</w:t>
      </w:r>
      <w:r>
        <w:rPr>
          <w:color w:val="231F20"/>
          <w:spacing w:val="-4"/>
          <w:w w:val="110"/>
        </w:rPr>
        <w:t> </w:t>
      </w:r>
      <w:r>
        <w:rPr>
          <w:color w:val="231F20"/>
          <w:w w:val="110"/>
        </w:rPr>
        <w:t>el</w:t>
      </w:r>
      <w:r>
        <w:rPr>
          <w:color w:val="231F20"/>
          <w:spacing w:val="-4"/>
          <w:w w:val="110"/>
        </w:rPr>
        <w:t> </w:t>
      </w:r>
      <w:r>
        <w:rPr>
          <w:color w:val="231F20"/>
          <w:w w:val="110"/>
        </w:rPr>
        <w:t>turismo,</w:t>
      </w:r>
      <w:r>
        <w:rPr>
          <w:color w:val="231F20"/>
          <w:spacing w:val="-4"/>
          <w:w w:val="110"/>
        </w:rPr>
        <w:t> </w:t>
      </w:r>
      <w:r>
        <w:rPr>
          <w:color w:val="231F20"/>
          <w:w w:val="110"/>
        </w:rPr>
        <w:t>comercio</w:t>
      </w:r>
      <w:r>
        <w:rPr>
          <w:color w:val="231F20"/>
          <w:spacing w:val="-4"/>
          <w:w w:val="110"/>
        </w:rPr>
        <w:t> </w:t>
      </w:r>
      <w:r>
        <w:rPr>
          <w:color w:val="231F20"/>
          <w:w w:val="110"/>
        </w:rPr>
        <w:t>e</w:t>
      </w:r>
      <w:r>
        <w:rPr>
          <w:color w:val="231F20"/>
          <w:spacing w:val="-4"/>
          <w:w w:val="110"/>
        </w:rPr>
        <w:t> </w:t>
      </w:r>
      <w:r>
        <w:rPr>
          <w:color w:val="231F20"/>
          <w:w w:val="110"/>
        </w:rPr>
        <w:t>indus- tria, entre otros. </w:t>
      </w:r>
      <w:r>
        <w:rPr>
          <w:color w:val="231F20"/>
          <w:spacing w:val="6"/>
          <w:w w:val="110"/>
        </w:rPr>
        <w:t>“La </w:t>
      </w:r>
      <w:r>
        <w:rPr>
          <w:color w:val="231F20"/>
          <w:w w:val="110"/>
        </w:rPr>
        <w:t>superficie total de las unidades de producción en el estado se acerca a 1.3 millones de hectáreas” (</w:t>
      </w:r>
      <w:r>
        <w:rPr>
          <w:rFonts w:ascii="Times New Roman" w:hAnsi="Times New Roman"/>
          <w:color w:val="231F20"/>
          <w:w w:val="110"/>
          <w:sz w:val="16"/>
        </w:rPr>
        <w:t>INEGI</w:t>
      </w:r>
      <w:r>
        <w:rPr>
          <w:color w:val="231F20"/>
          <w:w w:val="110"/>
        </w:rPr>
        <w:t>, 2012:</w:t>
      </w:r>
      <w:r>
        <w:rPr>
          <w:color w:val="231F20"/>
          <w:spacing w:val="26"/>
          <w:w w:val="110"/>
        </w:rPr>
        <w:t> </w:t>
      </w:r>
      <w:r>
        <w:rPr>
          <w:color w:val="231F20"/>
          <w:w w:val="110"/>
        </w:rPr>
        <w:t>3).</w:t>
      </w:r>
    </w:p>
    <w:p>
      <w:pPr>
        <w:pStyle w:val="BodyText"/>
        <w:spacing w:line="285" w:lineRule="auto"/>
        <w:ind w:left="120" w:right="114" w:firstLine="360"/>
        <w:jc w:val="both"/>
      </w:pPr>
      <w:r>
        <w:rPr>
          <w:color w:val="231F20"/>
          <w:w w:val="105"/>
        </w:rPr>
        <w:t>En el Estado de México, 83.4 por ciento de la superficie total de las unidades de producción con actividad agropecuaria o forestal se dedica a       la agricultura (710,422 hectáreas). Asimismo, del total de unidades de pro- ducción de la entidad (323,915), se dedican a la agricultura,</w:t>
      </w:r>
      <w:r>
        <w:rPr>
          <w:color w:val="231F20"/>
          <w:w w:val="105"/>
          <w:position w:val="6"/>
          <w:sz w:val="11"/>
        </w:rPr>
        <w:t>9   </w:t>
      </w:r>
      <w:r>
        <w:rPr>
          <w:color w:val="231F20"/>
          <w:w w:val="105"/>
        </w:rPr>
        <w:t>de las cuales    69 mil cuentan con una superficie de 107,642 hectáreas de riego (15.2 por ciento), de la superficie agrícola total, y 276.3 mil unidades con 602,780 </w:t>
      </w:r>
      <w:r>
        <w:rPr>
          <w:color w:val="231F20"/>
          <w:spacing w:val="-4"/>
          <w:w w:val="105"/>
        </w:rPr>
        <w:t>hectáreas </w:t>
      </w:r>
      <w:r>
        <w:rPr>
          <w:color w:val="231F20"/>
          <w:w w:val="105"/>
        </w:rPr>
        <w:t>de </w:t>
      </w:r>
      <w:r>
        <w:rPr>
          <w:color w:val="231F20"/>
          <w:spacing w:val="-4"/>
          <w:w w:val="105"/>
        </w:rPr>
        <w:t>temporal (84.8 </w:t>
      </w:r>
      <w:r>
        <w:rPr>
          <w:color w:val="231F20"/>
          <w:spacing w:val="-3"/>
          <w:w w:val="105"/>
        </w:rPr>
        <w:t>por </w:t>
      </w:r>
      <w:r>
        <w:rPr>
          <w:color w:val="231F20"/>
          <w:spacing w:val="-4"/>
          <w:w w:val="105"/>
        </w:rPr>
        <w:t>ciento) (</w:t>
      </w:r>
      <w:r>
        <w:rPr>
          <w:rFonts w:ascii="Times New Roman" w:hAnsi="Times New Roman"/>
          <w:color w:val="231F20"/>
          <w:spacing w:val="-4"/>
          <w:w w:val="105"/>
          <w:sz w:val="16"/>
        </w:rPr>
        <w:t>INEGI</w:t>
      </w:r>
      <w:r>
        <w:rPr>
          <w:color w:val="231F20"/>
          <w:spacing w:val="-4"/>
          <w:w w:val="105"/>
        </w:rPr>
        <w:t>, 2012). Durante </w:t>
      </w:r>
      <w:r>
        <w:rPr>
          <w:color w:val="231F20"/>
          <w:w w:val="105"/>
        </w:rPr>
        <w:t>el </w:t>
      </w:r>
      <w:r>
        <w:rPr>
          <w:color w:val="231F20"/>
          <w:spacing w:val="-3"/>
          <w:w w:val="105"/>
        </w:rPr>
        <w:t>año </w:t>
      </w:r>
      <w:r>
        <w:rPr>
          <w:color w:val="231F20"/>
          <w:spacing w:val="-4"/>
          <w:w w:val="105"/>
        </w:rPr>
        <w:t>agrícola </w:t>
      </w:r>
      <w:r>
        <w:rPr>
          <w:color w:val="231F20"/>
          <w:w w:val="105"/>
        </w:rPr>
        <w:t>2007, las unidades de producción del estado sembraron 586,250 hectáreas con cultivos anuales o de ciclo corto. </w:t>
      </w:r>
      <w:r>
        <w:rPr>
          <w:color w:val="231F20"/>
          <w:spacing w:val="2"/>
          <w:w w:val="105"/>
        </w:rPr>
        <w:t>“De </w:t>
      </w:r>
      <w:r>
        <w:rPr>
          <w:color w:val="231F20"/>
          <w:w w:val="105"/>
        </w:rPr>
        <w:t>esta superficie, 75.5 por ciento se ocupó con maíz; 8.3 por ciento con avena forrajera; 4.8 por ciento con  cebada; 2.4 por ciento con frijol, y 9.0 por ciento con otros cultivos” (</w:t>
      </w:r>
      <w:r>
        <w:rPr>
          <w:rFonts w:ascii="Times New Roman" w:hAnsi="Times New Roman"/>
          <w:color w:val="231F20"/>
          <w:w w:val="105"/>
          <w:sz w:val="16"/>
        </w:rPr>
        <w:t>INEGI</w:t>
      </w:r>
      <w:r>
        <w:rPr>
          <w:color w:val="231F20"/>
          <w:w w:val="105"/>
        </w:rPr>
        <w:t>, 2012: 25). Por lo tanto, y de acuerdo con las cifras señaladas, este estado        es considerado predominantemente maicero, ya que “la superficie sembrada de este grano básico en el año agrícola 2006/2007 fue de 442,776 hectá-  reas” (</w:t>
      </w:r>
      <w:r>
        <w:rPr>
          <w:rFonts w:ascii="Times New Roman" w:hAnsi="Times New Roman"/>
          <w:color w:val="231F20"/>
          <w:w w:val="105"/>
          <w:sz w:val="16"/>
        </w:rPr>
        <w:t>INEGI</w:t>
      </w:r>
      <w:r>
        <w:rPr>
          <w:color w:val="231F20"/>
          <w:w w:val="105"/>
        </w:rPr>
        <w:t>, 2012: 25) y representa 1.4 por ciento del territorio nacional</w:t>
      </w:r>
      <w:r>
        <w:rPr>
          <w:color w:val="231F20"/>
          <w:w w:val="105"/>
          <w:position w:val="6"/>
          <w:sz w:val="11"/>
        </w:rPr>
        <w:t>10</w:t>
      </w:r>
      <w:r>
        <w:rPr>
          <w:color w:val="231F20"/>
          <w:spacing w:val="25"/>
          <w:w w:val="105"/>
          <w:position w:val="6"/>
          <w:sz w:val="11"/>
        </w:rPr>
        <w:t> </w:t>
      </w:r>
      <w:r>
        <w:rPr>
          <w:color w:val="231F20"/>
          <w:w w:val="105"/>
        </w:rPr>
        <w:t>(</w:t>
      </w:r>
      <w:r>
        <w:rPr>
          <w:rFonts w:ascii="Times New Roman" w:hAnsi="Times New Roman"/>
          <w:color w:val="231F20"/>
          <w:w w:val="105"/>
          <w:sz w:val="16"/>
        </w:rPr>
        <w:t>INEGI</w:t>
      </w:r>
      <w:r>
        <w:rPr>
          <w:color w:val="231F20"/>
          <w:w w:val="105"/>
        </w:rPr>
        <w:t>, 2007).</w:t>
      </w:r>
    </w:p>
    <w:p>
      <w:pPr>
        <w:pStyle w:val="BodyText"/>
        <w:spacing w:line="285" w:lineRule="auto"/>
        <w:ind w:left="120" w:right="117" w:firstLine="360"/>
        <w:jc w:val="both"/>
      </w:pPr>
      <w:r>
        <w:rPr>
          <w:color w:val="231F20"/>
          <w:w w:val="110"/>
        </w:rPr>
        <w:t>A</w:t>
      </w:r>
      <w:r>
        <w:rPr>
          <w:color w:val="231F20"/>
          <w:spacing w:val="-11"/>
          <w:w w:val="110"/>
        </w:rPr>
        <w:t> </w:t>
      </w:r>
      <w:r>
        <w:rPr>
          <w:color w:val="231F20"/>
          <w:spacing w:val="-4"/>
          <w:w w:val="110"/>
        </w:rPr>
        <w:t>partir</w:t>
      </w:r>
      <w:r>
        <w:rPr>
          <w:color w:val="231F20"/>
          <w:spacing w:val="-11"/>
          <w:w w:val="110"/>
        </w:rPr>
        <w:t> </w:t>
      </w:r>
      <w:r>
        <w:rPr>
          <w:color w:val="231F20"/>
          <w:w w:val="110"/>
        </w:rPr>
        <w:t>de</w:t>
      </w:r>
      <w:r>
        <w:rPr>
          <w:color w:val="231F20"/>
          <w:spacing w:val="-11"/>
          <w:w w:val="110"/>
        </w:rPr>
        <w:t> </w:t>
      </w:r>
      <w:r>
        <w:rPr>
          <w:color w:val="231F20"/>
          <w:spacing w:val="-3"/>
          <w:w w:val="110"/>
        </w:rPr>
        <w:t>los</w:t>
      </w:r>
      <w:r>
        <w:rPr>
          <w:color w:val="231F20"/>
          <w:spacing w:val="-11"/>
          <w:w w:val="110"/>
        </w:rPr>
        <w:t> </w:t>
      </w:r>
      <w:r>
        <w:rPr>
          <w:color w:val="231F20"/>
          <w:spacing w:val="-4"/>
          <w:w w:val="110"/>
        </w:rPr>
        <w:t>datos</w:t>
      </w:r>
      <w:r>
        <w:rPr>
          <w:color w:val="231F20"/>
          <w:spacing w:val="-11"/>
          <w:w w:val="110"/>
        </w:rPr>
        <w:t> </w:t>
      </w:r>
      <w:r>
        <w:rPr>
          <w:color w:val="231F20"/>
          <w:spacing w:val="-3"/>
          <w:w w:val="110"/>
        </w:rPr>
        <w:t>del</w:t>
      </w:r>
      <w:r>
        <w:rPr>
          <w:color w:val="231F20"/>
          <w:spacing w:val="-11"/>
          <w:w w:val="110"/>
        </w:rPr>
        <w:t> </w:t>
      </w:r>
      <w:r>
        <w:rPr>
          <w:i/>
          <w:color w:val="231F20"/>
          <w:spacing w:val="-6"/>
          <w:w w:val="110"/>
        </w:rPr>
        <w:t>Atlas</w:t>
      </w:r>
      <w:r>
        <w:rPr>
          <w:i/>
          <w:color w:val="231F20"/>
          <w:spacing w:val="-16"/>
          <w:w w:val="110"/>
        </w:rPr>
        <w:t> </w:t>
      </w:r>
      <w:r>
        <w:rPr>
          <w:i/>
          <w:color w:val="231F20"/>
          <w:spacing w:val="-4"/>
          <w:w w:val="110"/>
        </w:rPr>
        <w:t>Agropecuario</w:t>
      </w:r>
      <w:r>
        <w:rPr>
          <w:i/>
          <w:color w:val="231F20"/>
          <w:spacing w:val="-16"/>
          <w:w w:val="110"/>
        </w:rPr>
        <w:t> </w:t>
      </w:r>
      <w:r>
        <w:rPr>
          <w:i/>
          <w:color w:val="231F20"/>
          <w:w w:val="110"/>
        </w:rPr>
        <w:t>de</w:t>
      </w:r>
      <w:r>
        <w:rPr>
          <w:i/>
          <w:color w:val="231F20"/>
          <w:spacing w:val="-16"/>
          <w:w w:val="110"/>
        </w:rPr>
        <w:t> </w:t>
      </w:r>
      <w:r>
        <w:rPr>
          <w:i/>
          <w:color w:val="231F20"/>
          <w:spacing w:val="-4"/>
          <w:w w:val="110"/>
        </w:rPr>
        <w:t>México</w:t>
      </w:r>
      <w:r>
        <w:rPr>
          <w:i/>
          <w:color w:val="231F20"/>
          <w:spacing w:val="-16"/>
          <w:w w:val="110"/>
        </w:rPr>
        <w:t> </w:t>
      </w:r>
      <w:r>
        <w:rPr>
          <w:color w:val="231F20"/>
          <w:spacing w:val="-4"/>
          <w:w w:val="110"/>
        </w:rPr>
        <w:t>(2012)</w:t>
      </w:r>
      <w:r>
        <w:rPr>
          <w:i/>
          <w:color w:val="231F20"/>
          <w:spacing w:val="-4"/>
          <w:w w:val="110"/>
        </w:rPr>
        <w:t>,</w:t>
      </w:r>
      <w:r>
        <w:rPr>
          <w:i/>
          <w:color w:val="231F20"/>
          <w:spacing w:val="-16"/>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spacing w:val="-3"/>
          <w:w w:val="110"/>
        </w:rPr>
        <w:t>mapa</w:t>
      </w:r>
      <w:r>
        <w:rPr>
          <w:color w:val="231F20"/>
          <w:spacing w:val="-11"/>
          <w:w w:val="110"/>
        </w:rPr>
        <w:t> </w:t>
      </w:r>
      <w:r>
        <w:rPr>
          <w:color w:val="231F20"/>
          <w:w w:val="110"/>
        </w:rPr>
        <w:t>3 se muestran las 11 regiones agrícolas —división regional—</w:t>
      </w:r>
      <w:r>
        <w:rPr>
          <w:color w:val="231F20"/>
          <w:w w:val="110"/>
          <w:position w:val="6"/>
          <w:sz w:val="11"/>
        </w:rPr>
        <w:t>11 </w:t>
      </w:r>
      <w:r>
        <w:rPr>
          <w:color w:val="231F20"/>
          <w:w w:val="110"/>
        </w:rPr>
        <w:t>del Estado  de</w:t>
      </w:r>
      <w:r>
        <w:rPr>
          <w:color w:val="231F20"/>
          <w:spacing w:val="-1"/>
          <w:w w:val="110"/>
        </w:rPr>
        <w:t> </w:t>
      </w:r>
      <w:r>
        <w:rPr>
          <w:color w:val="231F20"/>
          <w:w w:val="110"/>
        </w:rPr>
        <w:t>México</w:t>
      </w:r>
      <w:r>
        <w:rPr>
          <w:color w:val="231F20"/>
          <w:spacing w:val="-7"/>
          <w:w w:val="110"/>
        </w:rPr>
        <w:t> </w:t>
      </w:r>
      <w:r>
        <w:rPr>
          <w:color w:val="231F20"/>
          <w:w w:val="110"/>
        </w:rPr>
        <w:t>(2010),</w:t>
      </w:r>
      <w:r>
        <w:rPr>
          <w:color w:val="231F20"/>
          <w:spacing w:val="-7"/>
          <w:w w:val="110"/>
        </w:rPr>
        <w:t> </w:t>
      </w:r>
      <w:r>
        <w:rPr>
          <w:color w:val="231F20"/>
          <w:w w:val="110"/>
        </w:rPr>
        <w:t>las</w:t>
      </w:r>
      <w:r>
        <w:rPr>
          <w:color w:val="231F20"/>
          <w:spacing w:val="-7"/>
          <w:w w:val="110"/>
        </w:rPr>
        <w:t> </w:t>
      </w:r>
      <w:r>
        <w:rPr>
          <w:color w:val="231F20"/>
          <w:w w:val="110"/>
        </w:rPr>
        <w:t>cuales</w:t>
      </w:r>
      <w:r>
        <w:rPr>
          <w:color w:val="231F20"/>
          <w:spacing w:val="-7"/>
          <w:w w:val="110"/>
        </w:rPr>
        <w:t> </w:t>
      </w:r>
      <w:r>
        <w:rPr>
          <w:color w:val="231F20"/>
          <w:w w:val="110"/>
        </w:rPr>
        <w:t>se</w:t>
      </w:r>
      <w:r>
        <w:rPr>
          <w:color w:val="231F20"/>
          <w:spacing w:val="-7"/>
          <w:w w:val="110"/>
        </w:rPr>
        <w:t> </w:t>
      </w:r>
      <w:r>
        <w:rPr>
          <w:color w:val="231F20"/>
          <w:w w:val="110"/>
        </w:rPr>
        <w:t>nombran</w:t>
      </w:r>
      <w:r>
        <w:rPr>
          <w:color w:val="231F20"/>
          <w:spacing w:val="-7"/>
          <w:w w:val="110"/>
        </w:rPr>
        <w:t> </w:t>
      </w:r>
      <w:r>
        <w:rPr>
          <w:color w:val="231F20"/>
          <w:w w:val="110"/>
        </w:rPr>
        <w:t>de</w:t>
      </w:r>
      <w:r>
        <w:rPr>
          <w:color w:val="231F20"/>
          <w:spacing w:val="-7"/>
          <w:w w:val="110"/>
        </w:rPr>
        <w:t> </w:t>
      </w:r>
      <w:r>
        <w:rPr>
          <w:color w:val="231F20"/>
          <w:w w:val="110"/>
        </w:rPr>
        <w:t>acuerdo</w:t>
      </w:r>
      <w:r>
        <w:rPr>
          <w:color w:val="231F20"/>
          <w:spacing w:val="-7"/>
          <w:w w:val="110"/>
        </w:rPr>
        <w:t> </w:t>
      </w:r>
      <w:r>
        <w:rPr>
          <w:color w:val="231F20"/>
          <w:w w:val="110"/>
        </w:rPr>
        <w:t>con</w:t>
      </w:r>
      <w:r>
        <w:rPr>
          <w:color w:val="231F20"/>
          <w:spacing w:val="-7"/>
          <w:w w:val="110"/>
        </w:rPr>
        <w:t> </w:t>
      </w:r>
      <w:r>
        <w:rPr>
          <w:color w:val="231F20"/>
          <w:w w:val="110"/>
        </w:rPr>
        <w:t>la</w:t>
      </w:r>
      <w:r>
        <w:rPr>
          <w:color w:val="231F20"/>
          <w:spacing w:val="-7"/>
          <w:w w:val="110"/>
        </w:rPr>
        <w:t> </w:t>
      </w:r>
      <w:r>
        <w:rPr>
          <w:color w:val="231F20"/>
          <w:w w:val="110"/>
        </w:rPr>
        <w:t>localidad</w:t>
      </w:r>
      <w:r>
        <w:rPr>
          <w:color w:val="231F20"/>
          <w:spacing w:val="-7"/>
          <w:w w:val="110"/>
        </w:rPr>
        <w:t> </w:t>
      </w:r>
      <w:r>
        <w:rPr>
          <w:color w:val="231F20"/>
          <w:w w:val="110"/>
        </w:rPr>
        <w:t>donde se</w:t>
      </w:r>
      <w:r>
        <w:rPr>
          <w:color w:val="231F20"/>
          <w:spacing w:val="-8"/>
          <w:w w:val="110"/>
        </w:rPr>
        <w:t> </w:t>
      </w:r>
      <w:r>
        <w:rPr>
          <w:color w:val="231F20"/>
          <w:w w:val="110"/>
        </w:rPr>
        <w:t>establece</w:t>
      </w:r>
      <w:r>
        <w:rPr>
          <w:color w:val="231F20"/>
          <w:spacing w:val="-7"/>
          <w:w w:val="110"/>
        </w:rPr>
        <w:t> </w:t>
      </w:r>
      <w:r>
        <w:rPr>
          <w:color w:val="231F20"/>
          <w:w w:val="110"/>
        </w:rPr>
        <w:t>la</w:t>
      </w:r>
      <w:r>
        <w:rPr>
          <w:color w:val="231F20"/>
          <w:spacing w:val="-7"/>
          <w:w w:val="110"/>
        </w:rPr>
        <w:t> </w:t>
      </w:r>
      <w:r>
        <w:rPr>
          <w:color w:val="231F20"/>
          <w:w w:val="110"/>
        </w:rPr>
        <w:t>sede</w:t>
      </w:r>
      <w:r>
        <w:rPr>
          <w:color w:val="231F20"/>
          <w:spacing w:val="-7"/>
          <w:w w:val="110"/>
        </w:rPr>
        <w:t> </w:t>
      </w:r>
      <w:r>
        <w:rPr>
          <w:color w:val="231F20"/>
          <w:w w:val="110"/>
        </w:rPr>
        <w:t>principal,</w:t>
      </w:r>
      <w:r>
        <w:rPr>
          <w:color w:val="231F20"/>
          <w:spacing w:val="-7"/>
          <w:w w:val="110"/>
        </w:rPr>
        <w:t> </w:t>
      </w:r>
      <w:r>
        <w:rPr>
          <w:color w:val="231F20"/>
          <w:w w:val="110"/>
        </w:rPr>
        <w:t>y</w:t>
      </w:r>
      <w:r>
        <w:rPr>
          <w:color w:val="231F20"/>
          <w:spacing w:val="-7"/>
          <w:w w:val="110"/>
        </w:rPr>
        <w:t> </w:t>
      </w:r>
      <w:r>
        <w:rPr>
          <w:color w:val="231F20"/>
          <w:w w:val="110"/>
        </w:rPr>
        <w:t>agrupan</w:t>
      </w:r>
      <w:r>
        <w:rPr>
          <w:color w:val="231F20"/>
          <w:spacing w:val="-7"/>
          <w:w w:val="110"/>
        </w:rPr>
        <w:t> </w:t>
      </w:r>
      <w:r>
        <w:rPr>
          <w:color w:val="231F20"/>
          <w:w w:val="110"/>
        </w:rPr>
        <w:t>la</w:t>
      </w:r>
      <w:r>
        <w:rPr>
          <w:color w:val="231F20"/>
          <w:spacing w:val="-7"/>
          <w:w w:val="110"/>
        </w:rPr>
        <w:t> </w:t>
      </w:r>
      <w:r>
        <w:rPr>
          <w:color w:val="231F20"/>
          <w:w w:val="110"/>
        </w:rPr>
        <w:t>totalidad</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municipios</w:t>
      </w:r>
      <w:r>
        <w:rPr>
          <w:color w:val="231F20"/>
          <w:spacing w:val="-7"/>
          <w:w w:val="110"/>
        </w:rPr>
        <w:t> </w:t>
      </w:r>
      <w:r>
        <w:rPr>
          <w:color w:val="231F20"/>
          <w:w w:val="110"/>
        </w:rPr>
        <w:t>de</w:t>
      </w:r>
      <w:r>
        <w:rPr>
          <w:color w:val="231F20"/>
          <w:spacing w:val="-7"/>
          <w:w w:val="110"/>
        </w:rPr>
        <w:t> </w:t>
      </w:r>
      <w:r>
        <w:rPr>
          <w:color w:val="231F20"/>
          <w:w w:val="110"/>
        </w:rPr>
        <w:t>la </w:t>
      </w:r>
      <w:r>
        <w:rPr>
          <w:color w:val="231F20"/>
          <w:spacing w:val="-4"/>
          <w:w w:val="110"/>
        </w:rPr>
        <w:t>entidad, </w:t>
      </w:r>
      <w:r>
        <w:rPr>
          <w:color w:val="231F20"/>
          <w:w w:val="110"/>
        </w:rPr>
        <w:t>en </w:t>
      </w:r>
      <w:r>
        <w:rPr>
          <w:color w:val="231F20"/>
          <w:spacing w:val="-4"/>
          <w:w w:val="110"/>
        </w:rPr>
        <w:t>particular </w:t>
      </w:r>
      <w:r>
        <w:rPr>
          <w:color w:val="231F20"/>
          <w:w w:val="110"/>
        </w:rPr>
        <w:t>se </w:t>
      </w:r>
      <w:r>
        <w:rPr>
          <w:color w:val="231F20"/>
          <w:spacing w:val="-4"/>
          <w:w w:val="110"/>
        </w:rPr>
        <w:t>destaca </w:t>
      </w:r>
      <w:r>
        <w:rPr>
          <w:color w:val="231F20"/>
          <w:w w:val="110"/>
        </w:rPr>
        <w:t>la </w:t>
      </w:r>
      <w:r>
        <w:rPr>
          <w:color w:val="231F20"/>
          <w:spacing w:val="-4"/>
          <w:w w:val="110"/>
        </w:rPr>
        <w:t>región número </w:t>
      </w:r>
      <w:r>
        <w:rPr>
          <w:color w:val="231F20"/>
          <w:w w:val="110"/>
        </w:rPr>
        <w:t>1: </w:t>
      </w:r>
      <w:r>
        <w:rPr>
          <w:color w:val="231F20"/>
          <w:spacing w:val="-4"/>
          <w:w w:val="110"/>
        </w:rPr>
        <w:t>Atlacomulco, </w:t>
      </w:r>
      <w:r>
        <w:rPr>
          <w:color w:val="231F20"/>
          <w:spacing w:val="-3"/>
          <w:w w:val="110"/>
        </w:rPr>
        <w:t>que </w:t>
      </w:r>
      <w:r>
        <w:rPr>
          <w:color w:val="231F20"/>
          <w:spacing w:val="-5"/>
          <w:w w:val="110"/>
        </w:rPr>
        <w:t>mues- </w:t>
      </w:r>
      <w:r>
        <w:rPr>
          <w:color w:val="231F20"/>
          <w:w w:val="110"/>
        </w:rPr>
        <w:t>tra</w:t>
      </w:r>
      <w:r>
        <w:rPr>
          <w:color w:val="231F20"/>
          <w:spacing w:val="-12"/>
          <w:w w:val="110"/>
        </w:rPr>
        <w:t> </w:t>
      </w:r>
      <w:r>
        <w:rPr>
          <w:color w:val="231F20"/>
          <w:w w:val="110"/>
        </w:rPr>
        <w:t>la</w:t>
      </w:r>
      <w:r>
        <w:rPr>
          <w:color w:val="231F20"/>
          <w:spacing w:val="-12"/>
          <w:w w:val="110"/>
        </w:rPr>
        <w:t> </w:t>
      </w:r>
      <w:r>
        <w:rPr>
          <w:color w:val="231F20"/>
          <w:w w:val="110"/>
        </w:rPr>
        <w:t>importancia</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actividad</w:t>
      </w:r>
      <w:r>
        <w:rPr>
          <w:color w:val="231F20"/>
          <w:spacing w:val="-12"/>
          <w:w w:val="110"/>
        </w:rPr>
        <w:t> </w:t>
      </w:r>
      <w:r>
        <w:rPr>
          <w:color w:val="231F20"/>
          <w:w w:val="110"/>
        </w:rPr>
        <w:t>agrícola</w:t>
      </w:r>
      <w:r>
        <w:rPr>
          <w:color w:val="231F20"/>
          <w:spacing w:val="-12"/>
          <w:w w:val="110"/>
        </w:rPr>
        <w:t> </w:t>
      </w:r>
      <w:r>
        <w:rPr>
          <w:color w:val="231F20"/>
          <w:w w:val="110"/>
        </w:rPr>
        <w:t>en</w:t>
      </w:r>
      <w:r>
        <w:rPr>
          <w:color w:val="231F20"/>
          <w:spacing w:val="-12"/>
          <w:w w:val="110"/>
        </w:rPr>
        <w:t> </w:t>
      </w:r>
      <w:r>
        <w:rPr>
          <w:color w:val="231F20"/>
          <w:w w:val="110"/>
        </w:rPr>
        <w:t>nuestra</w:t>
      </w:r>
      <w:r>
        <w:rPr>
          <w:color w:val="231F20"/>
          <w:spacing w:val="-12"/>
          <w:w w:val="110"/>
        </w:rPr>
        <w:t> </w:t>
      </w:r>
      <w:r>
        <w:rPr>
          <w:color w:val="231F20"/>
          <w:w w:val="110"/>
        </w:rPr>
        <w:t>región</w:t>
      </w:r>
      <w:r>
        <w:rPr>
          <w:color w:val="231F20"/>
          <w:spacing w:val="-12"/>
          <w:w w:val="110"/>
        </w:rPr>
        <w:t> </w:t>
      </w:r>
      <w:r>
        <w:rPr>
          <w:color w:val="231F20"/>
          <w:w w:val="110"/>
        </w:rPr>
        <w:t>de</w:t>
      </w:r>
      <w:r>
        <w:rPr>
          <w:color w:val="231F20"/>
          <w:spacing w:val="-12"/>
          <w:w w:val="110"/>
        </w:rPr>
        <w:t> </w:t>
      </w:r>
      <w:r>
        <w:rPr>
          <w:color w:val="231F20"/>
          <w:w w:val="110"/>
        </w:rPr>
        <w:t>estudio.</w:t>
      </w:r>
    </w:p>
    <w:p>
      <w:pPr>
        <w:pStyle w:val="BodyText"/>
        <w:spacing w:line="285" w:lineRule="auto"/>
        <w:ind w:left="119" w:right="114" w:firstLine="360"/>
        <w:jc w:val="both"/>
      </w:pPr>
      <w:r>
        <w:rPr>
          <w:color w:val="231F20"/>
          <w:spacing w:val="-4"/>
          <w:w w:val="110"/>
        </w:rPr>
        <w:t>Según </w:t>
      </w:r>
      <w:r>
        <w:rPr>
          <w:color w:val="231F20"/>
          <w:w w:val="110"/>
        </w:rPr>
        <w:t>el </w:t>
      </w:r>
      <w:r>
        <w:rPr>
          <w:color w:val="231F20"/>
          <w:spacing w:val="-3"/>
          <w:w w:val="110"/>
        </w:rPr>
        <w:t>VIII </w:t>
      </w:r>
      <w:r>
        <w:rPr>
          <w:color w:val="231F20"/>
          <w:spacing w:val="-4"/>
          <w:w w:val="110"/>
        </w:rPr>
        <w:t>Censo Agrícola, Ganadero </w:t>
      </w:r>
      <w:r>
        <w:rPr>
          <w:color w:val="231F20"/>
          <w:w w:val="110"/>
        </w:rPr>
        <w:t>y </w:t>
      </w:r>
      <w:r>
        <w:rPr>
          <w:color w:val="231F20"/>
          <w:spacing w:val="-6"/>
          <w:w w:val="110"/>
        </w:rPr>
        <w:t>Forestal </w:t>
      </w:r>
      <w:r>
        <w:rPr>
          <w:color w:val="231F20"/>
          <w:spacing w:val="-3"/>
          <w:w w:val="110"/>
        </w:rPr>
        <w:t>2007 del </w:t>
      </w:r>
      <w:r>
        <w:rPr>
          <w:rFonts w:ascii="Times New Roman" w:hAnsi="Times New Roman"/>
          <w:color w:val="231F20"/>
          <w:spacing w:val="-4"/>
          <w:w w:val="110"/>
          <w:sz w:val="16"/>
        </w:rPr>
        <w:t>INEGI</w:t>
      </w:r>
      <w:r>
        <w:rPr>
          <w:color w:val="231F20"/>
          <w:spacing w:val="-4"/>
          <w:w w:val="110"/>
        </w:rPr>
        <w:t>, durante </w:t>
      </w:r>
      <w:r>
        <w:rPr>
          <w:color w:val="231F20"/>
          <w:w w:val="110"/>
        </w:rPr>
        <w:t>el ciclo agrícola primavera-verano 2007, en el Estado de México 227,686 unidades de producción sembraron 364,270.01 hectáreas de maíz blanco, y se cosecharon 334,794.29 hectáreas. En total, se obtuvo un volumen de producción de maíz blanco de 739,331.87 toneladas, con un rendimiento de 2.2 Toneladas/héctarea.</w:t>
      </w:r>
    </w:p>
    <w:p>
      <w:pPr>
        <w:spacing w:line="256" w:lineRule="auto" w:before="146"/>
        <w:ind w:left="119" w:right="116" w:firstLine="360"/>
        <w:jc w:val="both"/>
        <w:rPr>
          <w:sz w:val="16"/>
        </w:rPr>
      </w:pPr>
      <w:r>
        <w:rPr>
          <w:color w:val="231F20"/>
          <w:w w:val="105"/>
          <w:position w:val="5"/>
          <w:sz w:val="9"/>
        </w:rPr>
        <w:t>9 </w:t>
      </w:r>
      <w:r>
        <w:rPr>
          <w:color w:val="231F20"/>
          <w:spacing w:val="2"/>
          <w:w w:val="105"/>
          <w:sz w:val="16"/>
        </w:rPr>
        <w:t>Según </w:t>
      </w:r>
      <w:r>
        <w:rPr>
          <w:color w:val="231F20"/>
          <w:w w:val="105"/>
          <w:sz w:val="16"/>
        </w:rPr>
        <w:t>el </w:t>
      </w:r>
      <w:r>
        <w:rPr>
          <w:rFonts w:ascii="Times New Roman" w:hAnsi="Times New Roman"/>
          <w:color w:val="231F20"/>
          <w:spacing w:val="2"/>
          <w:w w:val="105"/>
          <w:sz w:val="12"/>
        </w:rPr>
        <w:t>INEGI</w:t>
      </w:r>
      <w:r>
        <w:rPr>
          <w:color w:val="231F20"/>
          <w:spacing w:val="2"/>
          <w:w w:val="105"/>
          <w:sz w:val="16"/>
        </w:rPr>
        <w:t>, agricultura incluye </w:t>
      </w:r>
      <w:r>
        <w:rPr>
          <w:color w:val="231F20"/>
          <w:w w:val="105"/>
          <w:sz w:val="16"/>
        </w:rPr>
        <w:t>“el </w:t>
      </w:r>
      <w:r>
        <w:rPr>
          <w:color w:val="231F20"/>
          <w:spacing w:val="2"/>
          <w:w w:val="105"/>
          <w:sz w:val="16"/>
        </w:rPr>
        <w:t>conjunto </w:t>
      </w:r>
      <w:r>
        <w:rPr>
          <w:color w:val="231F20"/>
          <w:w w:val="105"/>
          <w:sz w:val="16"/>
        </w:rPr>
        <w:t>de </w:t>
      </w:r>
      <w:r>
        <w:rPr>
          <w:color w:val="231F20"/>
          <w:spacing w:val="2"/>
          <w:w w:val="105"/>
          <w:sz w:val="16"/>
        </w:rPr>
        <w:t>actividades relacionadas </w:t>
      </w:r>
      <w:r>
        <w:rPr>
          <w:color w:val="231F20"/>
          <w:w w:val="105"/>
          <w:sz w:val="16"/>
        </w:rPr>
        <w:t>con  el  manejo o explotación de la tierra con el objeto de cosechar la producción de cultivos anuales (primavera-verano y otoño-invierno) o perenne” (2012:  </w:t>
      </w:r>
      <w:r>
        <w:rPr>
          <w:color w:val="231F20"/>
          <w:spacing w:val="25"/>
          <w:w w:val="105"/>
          <w:sz w:val="16"/>
        </w:rPr>
        <w:t> </w:t>
      </w:r>
      <w:r>
        <w:rPr>
          <w:color w:val="231F20"/>
          <w:w w:val="105"/>
          <w:sz w:val="16"/>
        </w:rPr>
        <w:t>21).</w:t>
      </w:r>
    </w:p>
    <w:p>
      <w:pPr>
        <w:spacing w:line="256" w:lineRule="auto" w:before="0"/>
        <w:ind w:left="120" w:right="118" w:firstLine="360"/>
        <w:jc w:val="both"/>
        <w:rPr>
          <w:sz w:val="16"/>
        </w:rPr>
      </w:pPr>
      <w:r>
        <w:rPr>
          <w:color w:val="231F20"/>
          <w:w w:val="110"/>
          <w:position w:val="5"/>
          <w:sz w:val="9"/>
        </w:rPr>
        <w:t>10 </w:t>
      </w:r>
      <w:r>
        <w:rPr>
          <w:color w:val="231F20"/>
          <w:w w:val="110"/>
          <w:sz w:val="16"/>
        </w:rPr>
        <w:t>Según el VIII Censo Agrícola, Ganadero y Forestal 2007 del </w:t>
      </w:r>
      <w:r>
        <w:rPr>
          <w:rFonts w:ascii="Times New Roman" w:hAnsi="Times New Roman"/>
          <w:color w:val="231F20"/>
          <w:w w:val="110"/>
          <w:sz w:val="13"/>
        </w:rPr>
        <w:t>INEGI</w:t>
      </w:r>
      <w:r>
        <w:rPr>
          <w:color w:val="231F20"/>
          <w:w w:val="110"/>
          <w:sz w:val="16"/>
        </w:rPr>
        <w:t>, el país cuenta con 3’755,044</w:t>
      </w:r>
      <w:r>
        <w:rPr>
          <w:color w:val="231F20"/>
          <w:spacing w:val="-15"/>
          <w:w w:val="110"/>
          <w:sz w:val="16"/>
        </w:rPr>
        <w:t> </w:t>
      </w:r>
      <w:r>
        <w:rPr>
          <w:color w:val="231F20"/>
          <w:w w:val="110"/>
          <w:sz w:val="16"/>
        </w:rPr>
        <w:t>unidades</w:t>
      </w:r>
      <w:r>
        <w:rPr>
          <w:color w:val="231F20"/>
          <w:spacing w:val="-15"/>
          <w:w w:val="110"/>
          <w:sz w:val="16"/>
        </w:rPr>
        <w:t> </w:t>
      </w:r>
      <w:r>
        <w:rPr>
          <w:color w:val="231F20"/>
          <w:w w:val="110"/>
          <w:sz w:val="16"/>
        </w:rPr>
        <w:t>de</w:t>
      </w:r>
      <w:r>
        <w:rPr>
          <w:color w:val="231F20"/>
          <w:spacing w:val="-15"/>
          <w:w w:val="110"/>
          <w:sz w:val="16"/>
        </w:rPr>
        <w:t> </w:t>
      </w:r>
      <w:r>
        <w:rPr>
          <w:color w:val="231F20"/>
          <w:w w:val="110"/>
          <w:sz w:val="16"/>
        </w:rPr>
        <w:t>producción</w:t>
      </w:r>
      <w:r>
        <w:rPr>
          <w:color w:val="231F20"/>
          <w:spacing w:val="-15"/>
          <w:w w:val="110"/>
          <w:sz w:val="16"/>
        </w:rPr>
        <w:t> </w:t>
      </w:r>
      <w:r>
        <w:rPr>
          <w:color w:val="231F20"/>
          <w:w w:val="110"/>
          <w:sz w:val="16"/>
        </w:rPr>
        <w:t>y</w:t>
      </w:r>
      <w:r>
        <w:rPr>
          <w:color w:val="231F20"/>
          <w:spacing w:val="-15"/>
          <w:w w:val="110"/>
          <w:sz w:val="16"/>
        </w:rPr>
        <w:t> </w:t>
      </w:r>
      <w:r>
        <w:rPr>
          <w:color w:val="231F20"/>
          <w:w w:val="110"/>
          <w:sz w:val="16"/>
        </w:rPr>
        <w:t>un</w:t>
      </w:r>
      <w:r>
        <w:rPr>
          <w:color w:val="231F20"/>
          <w:spacing w:val="-15"/>
          <w:w w:val="110"/>
          <w:sz w:val="16"/>
        </w:rPr>
        <w:t> </w:t>
      </w:r>
      <w:r>
        <w:rPr>
          <w:color w:val="231F20"/>
          <w:w w:val="110"/>
          <w:sz w:val="16"/>
        </w:rPr>
        <w:t>total</w:t>
      </w:r>
      <w:r>
        <w:rPr>
          <w:color w:val="231F20"/>
          <w:spacing w:val="-15"/>
          <w:w w:val="110"/>
          <w:sz w:val="16"/>
        </w:rPr>
        <w:t> </w:t>
      </w:r>
      <w:r>
        <w:rPr>
          <w:color w:val="231F20"/>
          <w:w w:val="110"/>
          <w:sz w:val="16"/>
        </w:rPr>
        <w:t>de</w:t>
      </w:r>
      <w:r>
        <w:rPr>
          <w:color w:val="231F20"/>
          <w:spacing w:val="-15"/>
          <w:w w:val="110"/>
          <w:sz w:val="16"/>
        </w:rPr>
        <w:t> </w:t>
      </w:r>
      <w:r>
        <w:rPr>
          <w:color w:val="231F20"/>
          <w:w w:val="110"/>
          <w:sz w:val="16"/>
        </w:rPr>
        <w:t>29’902,091.66</w:t>
      </w:r>
      <w:r>
        <w:rPr>
          <w:color w:val="231F20"/>
          <w:spacing w:val="-15"/>
          <w:w w:val="110"/>
          <w:sz w:val="16"/>
        </w:rPr>
        <w:t> </w:t>
      </w:r>
      <w:r>
        <w:rPr>
          <w:color w:val="231F20"/>
          <w:w w:val="110"/>
          <w:sz w:val="16"/>
        </w:rPr>
        <w:t>hectáreas</w:t>
      </w:r>
      <w:r>
        <w:rPr>
          <w:color w:val="231F20"/>
          <w:spacing w:val="-15"/>
          <w:w w:val="110"/>
          <w:sz w:val="16"/>
        </w:rPr>
        <w:t> </w:t>
      </w:r>
      <w:r>
        <w:rPr>
          <w:color w:val="231F20"/>
          <w:w w:val="110"/>
          <w:sz w:val="16"/>
        </w:rPr>
        <w:t>de</w:t>
      </w:r>
      <w:r>
        <w:rPr>
          <w:color w:val="231F20"/>
          <w:spacing w:val="-15"/>
          <w:w w:val="110"/>
          <w:sz w:val="16"/>
        </w:rPr>
        <w:t> </w:t>
      </w:r>
      <w:r>
        <w:rPr>
          <w:color w:val="231F20"/>
          <w:w w:val="110"/>
          <w:sz w:val="16"/>
        </w:rPr>
        <w:t>superficie</w:t>
      </w:r>
      <w:r>
        <w:rPr>
          <w:color w:val="231F20"/>
          <w:spacing w:val="-15"/>
          <w:w w:val="110"/>
          <w:sz w:val="16"/>
        </w:rPr>
        <w:t> </w:t>
      </w:r>
      <w:r>
        <w:rPr>
          <w:color w:val="231F20"/>
          <w:w w:val="110"/>
          <w:sz w:val="16"/>
        </w:rPr>
        <w:t>agrícola, tanto de riego como de</w:t>
      </w:r>
      <w:r>
        <w:rPr>
          <w:color w:val="231F20"/>
          <w:spacing w:val="6"/>
          <w:w w:val="110"/>
          <w:sz w:val="16"/>
        </w:rPr>
        <w:t> </w:t>
      </w:r>
      <w:r>
        <w:rPr>
          <w:color w:val="231F20"/>
          <w:w w:val="110"/>
          <w:sz w:val="16"/>
        </w:rPr>
        <w:t>temporal.</w:t>
      </w:r>
    </w:p>
    <w:p>
      <w:pPr>
        <w:spacing w:line="187" w:lineRule="exact" w:before="0"/>
        <w:ind w:left="480" w:right="0" w:firstLine="0"/>
        <w:jc w:val="left"/>
        <w:rPr>
          <w:sz w:val="16"/>
        </w:rPr>
      </w:pPr>
      <w:r>
        <w:rPr>
          <w:color w:val="231F20"/>
          <w:w w:val="105"/>
          <w:position w:val="5"/>
          <w:sz w:val="9"/>
        </w:rPr>
        <w:t>11 </w:t>
      </w:r>
      <w:r>
        <w:rPr>
          <w:color w:val="231F20"/>
          <w:w w:val="105"/>
          <w:sz w:val="16"/>
        </w:rPr>
        <w:t>Véase </w:t>
      </w:r>
      <w:r>
        <w:rPr>
          <w:i/>
          <w:color w:val="231F20"/>
          <w:w w:val="105"/>
          <w:sz w:val="16"/>
        </w:rPr>
        <w:t>Atlas Agropecuario de México </w:t>
      </w:r>
      <w:r>
        <w:rPr>
          <w:color w:val="231F20"/>
          <w:w w:val="105"/>
          <w:sz w:val="16"/>
        </w:rPr>
        <w:t>(2012) del   </w:t>
      </w:r>
      <w:r>
        <w:rPr>
          <w:rFonts w:ascii="Times New Roman" w:hAnsi="Times New Roman"/>
          <w:color w:val="231F20"/>
          <w:w w:val="105"/>
          <w:sz w:val="13"/>
        </w:rPr>
        <w:t>INEGI</w:t>
      </w:r>
      <w:r>
        <w:rPr>
          <w:color w:val="231F20"/>
          <w:w w:val="105"/>
          <w:sz w:val="16"/>
        </w:rPr>
        <w:t>.</w:t>
      </w:r>
    </w:p>
    <w:p>
      <w:pPr>
        <w:spacing w:after="0" w:line="187" w:lineRule="exact"/>
        <w:jc w:val="left"/>
        <w:rPr>
          <w:sz w:val="16"/>
        </w:rPr>
        <w:sectPr>
          <w:footerReference w:type="even" r:id="rId131"/>
          <w:footerReference w:type="default" r:id="rId132"/>
          <w:pgSz w:w="9520" w:h="12920"/>
          <w:pgMar w:footer="1344" w:header="0" w:top="880" w:bottom="1540" w:left="1000" w:right="1320"/>
        </w:sectPr>
      </w:pPr>
    </w:p>
    <w:p>
      <w:pPr>
        <w:spacing w:line="185" w:lineRule="exact" w:before="65"/>
        <w:ind w:left="1839" w:right="1988" w:firstLine="0"/>
        <w:jc w:val="center"/>
        <w:rPr>
          <w:sz w:val="16"/>
        </w:rPr>
      </w:pPr>
      <w:r>
        <w:rPr>
          <w:color w:val="231F20"/>
          <w:sz w:val="16"/>
        </w:rPr>
        <w:t>Mapa 3</w:t>
      </w:r>
    </w:p>
    <w:p>
      <w:pPr>
        <w:spacing w:line="220" w:lineRule="exact" w:before="0"/>
        <w:ind w:left="1839" w:right="1988" w:firstLine="0"/>
        <w:jc w:val="center"/>
        <w:rPr>
          <w:sz w:val="19"/>
        </w:rPr>
      </w:pPr>
      <w:r>
        <w:rPr/>
        <w:pict>
          <v:group style="position:absolute;margin-left:50.220001pt;margin-top:15.94584pt;width:399pt;height:157pt;mso-position-horizontal-relative:page;mso-position-vertical-relative:paragraph;z-index:-455992" coordorigin="1004,319" coordsize="7980,3140">
            <v:shape style="position:absolute;left:1519;top:519;width:6886;height:2879" type="#_x0000_t75" stroked="false">
              <v:imagedata r:id="rId133" o:title=""/>
            </v:shape>
            <v:shape style="position:absolute;left:1004;top:319;width:7980;height:3140" coordorigin="1004,319" coordsize="7980,3140" path="m2564,319l1004,319,1004,3458,2564,3458,2564,319m8984,319l7424,319,7424,3434,8984,3434,8984,319e" filled="true" fillcolor="#ffffff" stroked="false">
              <v:path arrowok="t"/>
              <v:fill type="solid"/>
            </v:shape>
            <w10:wrap type="none"/>
          </v:group>
        </w:pict>
      </w:r>
      <w:r>
        <w:rPr>
          <w:color w:val="231F20"/>
          <w:w w:val="90"/>
          <w:sz w:val="19"/>
        </w:rPr>
        <w:t>Estado de México, división regional, 2010</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5"/>
        <w:rPr>
          <w:sz w:val="21"/>
        </w:rPr>
      </w:pPr>
    </w:p>
    <w:p>
      <w:pPr>
        <w:spacing w:before="0"/>
        <w:ind w:left="904" w:right="678" w:firstLine="0"/>
        <w:jc w:val="left"/>
        <w:rPr>
          <w:sz w:val="15"/>
        </w:rPr>
      </w:pPr>
      <w:r>
        <w:rPr>
          <w:color w:val="231F20"/>
          <w:w w:val="110"/>
          <w:sz w:val="15"/>
        </w:rPr>
        <w:t>Fuente: </w:t>
      </w:r>
      <w:r>
        <w:rPr>
          <w:rFonts w:ascii="Times New Roman" w:hAnsi="Times New Roman"/>
          <w:color w:val="231F20"/>
          <w:w w:val="110"/>
          <w:sz w:val="12"/>
        </w:rPr>
        <w:t>INEGI</w:t>
      </w:r>
      <w:r>
        <w:rPr>
          <w:color w:val="231F20"/>
          <w:w w:val="110"/>
          <w:sz w:val="15"/>
        </w:rPr>
        <w:t>, Censo Agrícola, Ganadero y Forestal  2007.</w:t>
      </w:r>
    </w:p>
    <w:p>
      <w:pPr>
        <w:pStyle w:val="BodyText"/>
        <w:rPr>
          <w:sz w:val="14"/>
        </w:rPr>
      </w:pPr>
    </w:p>
    <w:p>
      <w:pPr>
        <w:pStyle w:val="BodyText"/>
        <w:spacing w:before="3"/>
        <w:rPr>
          <w:sz w:val="11"/>
        </w:rPr>
      </w:pPr>
    </w:p>
    <w:p>
      <w:pPr>
        <w:spacing w:line="185" w:lineRule="exact" w:before="0"/>
        <w:ind w:left="1839" w:right="1988" w:firstLine="0"/>
        <w:jc w:val="center"/>
        <w:rPr>
          <w:sz w:val="16"/>
        </w:rPr>
      </w:pPr>
      <w:r>
        <w:rPr>
          <w:color w:val="231F20"/>
          <w:w w:val="105"/>
          <w:sz w:val="16"/>
        </w:rPr>
        <w:t>Gráfica 1</w:t>
      </w:r>
    </w:p>
    <w:p>
      <w:pPr>
        <w:spacing w:line="213" w:lineRule="exact" w:before="0"/>
        <w:ind w:left="1886" w:right="1988" w:firstLine="0"/>
        <w:jc w:val="center"/>
        <w:rPr>
          <w:sz w:val="19"/>
        </w:rPr>
      </w:pPr>
      <w:r>
        <w:rPr>
          <w:color w:val="231F20"/>
          <w:w w:val="90"/>
          <w:sz w:val="19"/>
        </w:rPr>
        <w:t>Superficie sembrada de maíz por región, Estado de México.</w:t>
      </w:r>
    </w:p>
    <w:p>
      <w:pPr>
        <w:spacing w:line="216" w:lineRule="exact" w:before="0"/>
        <w:ind w:left="1839" w:right="1988" w:firstLine="0"/>
        <w:jc w:val="center"/>
        <w:rPr>
          <w:sz w:val="19"/>
        </w:rPr>
      </w:pPr>
      <w:r>
        <w:rPr>
          <w:color w:val="231F20"/>
          <w:w w:val="85"/>
          <w:sz w:val="19"/>
        </w:rPr>
        <w:t>Año agrícola 2006/2007 (hectáreas)</w:t>
      </w:r>
    </w:p>
    <w:p>
      <w:pPr>
        <w:pStyle w:val="BodyText"/>
        <w:spacing w:before="5"/>
        <w:rPr>
          <w:sz w:val="18"/>
        </w:rPr>
      </w:pPr>
    </w:p>
    <w:p>
      <w:pPr>
        <w:spacing w:before="79"/>
        <w:ind w:left="779" w:right="678" w:firstLine="0"/>
        <w:jc w:val="left"/>
        <w:rPr>
          <w:sz w:val="14"/>
        </w:rPr>
      </w:pPr>
      <w:r>
        <w:rPr/>
        <w:pict>
          <v:group style="position:absolute;margin-left:112.501999pt;margin-top:7.615872pt;width:262.05pt;height:143.7pt;mso-position-horizontal-relative:page;mso-position-vertical-relative:paragraph;z-index:-455968" coordorigin="2250,152" coordsize="5241,2874">
            <v:shape style="position:absolute;left:2255;top:543;width:4770;height:2479" coordorigin="2255,543" coordsize="4770,2479" path="m2255,543l2361,543m2255,945l2361,945m2255,1345l2361,1345m2255,1747l2361,1747m2255,2134l2361,2134m2255,2537l2361,2537m2263,2941l2369,2941m2361,3021l2361,2915m2832,3021l2832,2941m3285,3021l3285,2941m3751,3021l3751,2941m4222,3021l4222,2941m4695,3021l4695,2941m5161,3021l5161,2941m5626,3021l5626,2941m6101,3021l6101,2941m6570,3021l6570,2941m7024,3021l7024,2941e" filled="false" stroked="true" strokeweight=".425pt" strokecolor="#231f20">
              <v:path arrowok="t"/>
            </v:shape>
            <v:shape style="position:absolute;left:2503;top:345;width:4850;height:2596" coordorigin="2503,345" coordsize="4850,2596" path="m2692,345l2503,345,2503,2941,2692,2941,2692,345m3158,2644l2969,2644,2969,2936,3158,2936,3158,2644m3606,1861l3417,1861,3417,2936,3606,2936,3606,1861m4080,2417l3891,2417,3891,2941,4080,2941,4080,2417m4550,1521l4360,1521,4360,2941,4550,2941,4550,1521m5019,2106l4830,2106,4830,2941,5019,2941,5019,2106m5485,1953l5295,1953,5295,2941,5485,2941,5485,1953m5958,2531l5769,2531,5769,2941,5958,2941,5958,2531m6045,812l5872,812,5872,945,6045,945,6045,812m6428,2662l6239,2662,6239,2941,6428,2941,6428,2662m6889,2777l6700,2777,6700,2941,6889,2941,6889,2777m7352,2683l7163,2683,7163,2941,7352,2941,7352,2683e" filled="true" fillcolor="#939598" stroked="false">
              <v:path arrowok="t"/>
              <v:fill type="solid"/>
            </v:shape>
            <v:shape style="position:absolute;left:2255;top:157;width:5232;height:2865" coordorigin="2255,157" coordsize="5232,2865" path="m2255,157l2361,157,2361,2941,7486,2941,7486,3021e" filled="false" stroked="true" strokeweight=".425pt" strokecolor="#231f20">
              <v:path arrowok="t"/>
            </v:shape>
            <w10:wrap type="none"/>
          </v:group>
        </w:pict>
      </w:r>
      <w:r>
        <w:rPr>
          <w:color w:val="231F20"/>
          <w:w w:val="105"/>
          <w:sz w:val="14"/>
        </w:rPr>
        <w:t>140,000</w:t>
      </w:r>
    </w:p>
    <w:p>
      <w:pPr>
        <w:pStyle w:val="BodyText"/>
        <w:rPr>
          <w:sz w:val="13"/>
        </w:rPr>
      </w:pPr>
    </w:p>
    <w:p>
      <w:pPr>
        <w:spacing w:after="0"/>
        <w:rPr>
          <w:sz w:val="13"/>
        </w:rPr>
        <w:sectPr>
          <w:pgSz w:w="9520" w:h="12920"/>
          <w:pgMar w:header="0" w:footer="1344" w:top="880" w:bottom="1540" w:left="900" w:right="420"/>
        </w:sectPr>
      </w:pPr>
    </w:p>
    <w:p>
      <w:pPr>
        <w:spacing w:before="80"/>
        <w:ind w:left="779" w:right="-2" w:firstLine="0"/>
        <w:jc w:val="left"/>
        <w:rPr>
          <w:sz w:val="14"/>
        </w:rPr>
      </w:pPr>
      <w:r>
        <w:rPr>
          <w:color w:val="231F20"/>
          <w:sz w:val="14"/>
        </w:rPr>
        <w:t>120,000</w:t>
      </w:r>
    </w:p>
    <w:p>
      <w:pPr>
        <w:pStyle w:val="BodyText"/>
        <w:spacing w:before="9"/>
        <w:rPr>
          <w:sz w:val="19"/>
        </w:rPr>
      </w:pPr>
    </w:p>
    <w:p>
      <w:pPr>
        <w:spacing w:before="1"/>
        <w:ind w:left="779" w:right="-2" w:firstLine="0"/>
        <w:jc w:val="left"/>
        <w:rPr>
          <w:sz w:val="14"/>
        </w:rPr>
      </w:pPr>
      <w:r>
        <w:rPr>
          <w:color w:val="231F20"/>
          <w:sz w:val="14"/>
        </w:rPr>
        <w:t>100,000</w:t>
      </w:r>
    </w:p>
    <w:p>
      <w:pPr>
        <w:pStyle w:val="BodyText"/>
        <w:rPr>
          <w:sz w:val="14"/>
        </w:rPr>
      </w:pPr>
      <w:r>
        <w:rPr/>
        <w:br w:type="column"/>
      </w:r>
      <w:r>
        <w:rPr>
          <w:sz w:val="14"/>
        </w:rPr>
      </w:r>
    </w:p>
    <w:p>
      <w:pPr>
        <w:pStyle w:val="BodyText"/>
        <w:spacing w:before="1"/>
      </w:pPr>
    </w:p>
    <w:p>
      <w:pPr>
        <w:spacing w:line="160" w:lineRule="exact" w:before="1"/>
        <w:ind w:left="779" w:right="1023" w:firstLine="0"/>
        <w:jc w:val="left"/>
        <w:rPr>
          <w:sz w:val="14"/>
        </w:rPr>
      </w:pPr>
      <w:r>
        <w:rPr>
          <w:color w:val="231F20"/>
          <w:w w:val="110"/>
          <w:sz w:val="14"/>
        </w:rPr>
        <w:t>Superficie sembrada de maíz (héctareas)</w:t>
      </w:r>
    </w:p>
    <w:p>
      <w:pPr>
        <w:spacing w:after="0" w:line="160" w:lineRule="exact"/>
        <w:jc w:val="left"/>
        <w:rPr>
          <w:sz w:val="14"/>
        </w:rPr>
        <w:sectPr>
          <w:type w:val="continuous"/>
          <w:pgSz w:w="9520" w:h="12920"/>
          <w:pgMar w:top="0" w:bottom="0" w:left="900" w:right="420"/>
          <w:cols w:num="2" w:equalWidth="0">
            <w:col w:w="1291" w:space="3194"/>
            <w:col w:w="3715"/>
          </w:cols>
        </w:sectPr>
      </w:pPr>
    </w:p>
    <w:p>
      <w:pPr>
        <w:pStyle w:val="BodyText"/>
        <w:spacing w:before="1"/>
        <w:rPr>
          <w:sz w:val="13"/>
        </w:rPr>
      </w:pPr>
    </w:p>
    <w:p>
      <w:pPr>
        <w:spacing w:before="0"/>
        <w:ind w:left="858" w:right="678" w:firstLine="0"/>
        <w:jc w:val="left"/>
        <w:rPr>
          <w:sz w:val="14"/>
        </w:rPr>
      </w:pPr>
      <w:r>
        <w:rPr>
          <w:color w:val="231F20"/>
          <w:w w:val="105"/>
          <w:sz w:val="14"/>
        </w:rPr>
        <w:t>80,000</w:t>
      </w:r>
    </w:p>
    <w:p>
      <w:pPr>
        <w:pStyle w:val="BodyText"/>
        <w:rPr>
          <w:sz w:val="13"/>
        </w:rPr>
      </w:pPr>
    </w:p>
    <w:p>
      <w:pPr>
        <w:spacing w:before="80"/>
        <w:ind w:left="858" w:right="678" w:firstLine="0"/>
        <w:jc w:val="left"/>
        <w:rPr>
          <w:sz w:val="14"/>
        </w:rPr>
      </w:pPr>
      <w:r>
        <w:rPr>
          <w:color w:val="231F20"/>
          <w:w w:val="105"/>
          <w:sz w:val="14"/>
        </w:rPr>
        <w:t>60,000</w:t>
      </w:r>
    </w:p>
    <w:p>
      <w:pPr>
        <w:pStyle w:val="BodyText"/>
        <w:rPr>
          <w:sz w:val="13"/>
        </w:rPr>
      </w:pPr>
    </w:p>
    <w:p>
      <w:pPr>
        <w:spacing w:before="80"/>
        <w:ind w:left="858" w:right="678" w:firstLine="0"/>
        <w:jc w:val="left"/>
        <w:rPr>
          <w:sz w:val="14"/>
        </w:rPr>
      </w:pPr>
      <w:r>
        <w:rPr>
          <w:color w:val="231F20"/>
          <w:w w:val="105"/>
          <w:sz w:val="14"/>
        </w:rPr>
        <w:t>40,000</w:t>
      </w:r>
    </w:p>
    <w:p>
      <w:pPr>
        <w:pStyle w:val="BodyText"/>
        <w:rPr>
          <w:sz w:val="13"/>
        </w:rPr>
      </w:pPr>
    </w:p>
    <w:p>
      <w:pPr>
        <w:spacing w:before="80"/>
        <w:ind w:left="858" w:right="678" w:firstLine="0"/>
        <w:jc w:val="left"/>
        <w:rPr>
          <w:sz w:val="14"/>
        </w:rPr>
      </w:pPr>
      <w:r>
        <w:rPr>
          <w:color w:val="231F20"/>
          <w:w w:val="105"/>
          <w:sz w:val="14"/>
        </w:rPr>
        <w:t>20,000</w:t>
      </w:r>
    </w:p>
    <w:p>
      <w:pPr>
        <w:pStyle w:val="BodyText"/>
        <w:rPr>
          <w:sz w:val="13"/>
        </w:rPr>
      </w:pPr>
    </w:p>
    <w:p>
      <w:pPr>
        <w:spacing w:before="80"/>
        <w:ind w:left="1211" w:right="0" w:firstLine="0"/>
        <w:jc w:val="left"/>
        <w:rPr>
          <w:sz w:val="14"/>
        </w:rPr>
      </w:pPr>
      <w:r>
        <w:rPr/>
        <w:pict>
          <v:shape style="position:absolute;margin-left:125.746613pt;margin-top:14.980146pt;width:9pt;height:42.75pt;mso-position-horizontal-relative:page;mso-position-vertical-relative:paragraph;z-index:2944" type="#_x0000_t202" filled="false" stroked="false">
            <v:textbox inset="0,0,0,0" style="layout-flow:vertical;mso-layout-flow-alt:bottom-to-top">
              <w:txbxContent>
                <w:p>
                  <w:pPr>
                    <w:spacing w:line="164" w:lineRule="exact" w:before="0"/>
                    <w:ind w:left="20" w:right="-675" w:firstLine="0"/>
                    <w:jc w:val="left"/>
                    <w:rPr>
                      <w:sz w:val="14"/>
                    </w:rPr>
                  </w:pPr>
                  <w:r>
                    <w:rPr>
                      <w:color w:val="231F20"/>
                      <w:spacing w:val="-3"/>
                      <w:w w:val="115"/>
                      <w:sz w:val="14"/>
                    </w:rPr>
                    <w:t>A</w:t>
                  </w:r>
                  <w:r>
                    <w:rPr>
                      <w:color w:val="231F20"/>
                      <w:w w:val="108"/>
                      <w:sz w:val="14"/>
                    </w:rPr>
                    <w:t>tlacomulco</w:t>
                  </w:r>
                </w:p>
              </w:txbxContent>
            </v:textbox>
            <w10:wrap type="none"/>
          </v:shape>
        </w:pict>
      </w:r>
      <w:r>
        <w:rPr/>
        <w:pict>
          <v:shape style="position:absolute;margin-left:149.106659pt;margin-top:14.980076pt;width:9pt;height:42.05pt;mso-position-horizontal-relative:page;mso-position-vertical-relative:paragraph;z-index:2968" type="#_x0000_t202" filled="false" stroked="false">
            <v:textbox inset="0,0,0,0" style="layout-flow:vertical;mso-layout-flow-alt:bottom-to-top">
              <w:txbxContent>
                <w:p>
                  <w:pPr>
                    <w:spacing w:line="164" w:lineRule="exact" w:before="0"/>
                    <w:ind w:left="20" w:right="-661" w:firstLine="0"/>
                    <w:jc w:val="left"/>
                    <w:rPr>
                      <w:sz w:val="14"/>
                    </w:rPr>
                  </w:pPr>
                  <w:r>
                    <w:rPr>
                      <w:color w:val="231F20"/>
                      <w:spacing w:val="-10"/>
                      <w:w w:val="108"/>
                      <w:sz w:val="14"/>
                    </w:rPr>
                    <w:t>T</w:t>
                  </w:r>
                  <w:r>
                    <w:rPr>
                      <w:color w:val="231F20"/>
                      <w:w w:val="109"/>
                      <w:sz w:val="14"/>
                    </w:rPr>
                    <w:t>eotihuacán</w:t>
                  </w:r>
                </w:p>
              </w:txbxContent>
            </v:textbox>
            <w10:wrap type="none"/>
          </v:shape>
        </w:pict>
      </w:r>
      <w:r>
        <w:rPr/>
        <w:pict>
          <v:shape style="position:absolute;margin-left:172.466721pt;margin-top:14.977346pt;width:9pt;height:30.95pt;mso-position-horizontal-relative:page;mso-position-vertical-relative:paragraph;z-index:2992" type="#_x0000_t202" filled="false" stroked="false">
            <v:textbox inset="0,0,0,0" style="layout-flow:vertical;mso-layout-flow-alt:bottom-to-top">
              <w:txbxContent>
                <w:p>
                  <w:pPr>
                    <w:spacing w:line="164" w:lineRule="exact" w:before="0"/>
                    <w:ind w:left="20" w:right="-439" w:firstLine="0"/>
                    <w:jc w:val="left"/>
                    <w:rPr>
                      <w:sz w:val="14"/>
                    </w:rPr>
                  </w:pPr>
                  <w:r>
                    <w:rPr>
                      <w:color w:val="231F20"/>
                      <w:w w:val="111"/>
                      <w:sz w:val="14"/>
                    </w:rPr>
                    <w:t>Jilotepec</w:t>
                  </w:r>
                </w:p>
              </w:txbxContent>
            </v:textbox>
            <w10:wrap type="none"/>
          </v:shape>
        </w:pict>
      </w:r>
      <w:r>
        <w:rPr/>
        <w:pict>
          <v:shape style="position:absolute;margin-left:195.826767pt;margin-top:14.980776pt;width:9pt;height:56.55pt;mso-position-horizontal-relative:page;mso-position-vertical-relative:paragraph;z-index:3016" type="#_x0000_t202" filled="false" stroked="false">
            <v:textbox inset="0,0,0,0" style="layout-flow:vertical;mso-layout-flow-alt:bottom-to-top">
              <w:txbxContent>
                <w:p>
                  <w:pPr>
                    <w:spacing w:line="164" w:lineRule="exact" w:before="0"/>
                    <w:ind w:left="20" w:right="-335" w:firstLine="0"/>
                    <w:jc w:val="left"/>
                    <w:rPr>
                      <w:sz w:val="14"/>
                    </w:rPr>
                  </w:pPr>
                  <w:r>
                    <w:rPr>
                      <w:color w:val="231F20"/>
                      <w:w w:val="109"/>
                      <w:sz w:val="14"/>
                    </w:rPr>
                    <w:t>Ixtapan</w:t>
                  </w:r>
                  <w:r>
                    <w:rPr>
                      <w:color w:val="231F20"/>
                      <w:spacing w:val="12"/>
                      <w:sz w:val="14"/>
                    </w:rPr>
                    <w:t> </w:t>
                  </w:r>
                  <w:r>
                    <w:rPr>
                      <w:color w:val="231F20"/>
                      <w:w w:val="108"/>
                      <w:sz w:val="14"/>
                    </w:rPr>
                    <w:t>de</w:t>
                  </w:r>
                  <w:r>
                    <w:rPr>
                      <w:color w:val="231F20"/>
                      <w:spacing w:val="12"/>
                      <w:sz w:val="14"/>
                    </w:rPr>
                    <w:t> </w:t>
                  </w:r>
                  <w:r>
                    <w:rPr>
                      <w:color w:val="231F20"/>
                      <w:w w:val="106"/>
                      <w:sz w:val="14"/>
                    </w:rPr>
                    <w:t>la</w:t>
                  </w:r>
                  <w:r>
                    <w:rPr>
                      <w:color w:val="231F20"/>
                      <w:spacing w:val="12"/>
                      <w:sz w:val="14"/>
                    </w:rPr>
                    <w:t> </w:t>
                  </w:r>
                  <w:r>
                    <w:rPr>
                      <w:color w:val="231F20"/>
                      <w:w w:val="110"/>
                      <w:sz w:val="14"/>
                    </w:rPr>
                    <w:t>Sal</w:t>
                  </w:r>
                </w:p>
              </w:txbxContent>
            </v:textbox>
            <w10:wrap type="none"/>
          </v:shape>
        </w:pict>
      </w:r>
      <w:r>
        <w:rPr/>
        <w:pict>
          <v:shape style="position:absolute;margin-left:219.186813pt;margin-top:14.977346pt;width:9pt;height:29.7pt;mso-position-horizontal-relative:page;mso-position-vertical-relative:paragraph;z-index:3040" type="#_x0000_t202" filled="false" stroked="false">
            <v:textbox inset="0,0,0,0" style="layout-flow:vertical;mso-layout-flow-alt:bottom-to-top">
              <w:txbxContent>
                <w:p>
                  <w:pPr>
                    <w:spacing w:line="164" w:lineRule="exact" w:before="0"/>
                    <w:ind w:left="20" w:right="-414" w:firstLine="0"/>
                    <w:jc w:val="left"/>
                    <w:rPr>
                      <w:sz w:val="14"/>
                    </w:rPr>
                  </w:pPr>
                  <w:r>
                    <w:rPr>
                      <w:color w:val="231F20"/>
                      <w:w w:val="109"/>
                      <w:sz w:val="14"/>
                    </w:rPr>
                    <w:t>Metepec</w:t>
                  </w:r>
                </w:p>
              </w:txbxContent>
            </v:textbox>
            <w10:wrap type="none"/>
          </v:shape>
        </w:pict>
      </w:r>
      <w:r>
        <w:rPr/>
        <w:pict>
          <v:shape style="position:absolute;margin-left:242.54686pt;margin-top:14.981476pt;width:9pt;height:48.65pt;mso-position-horizontal-relative:page;mso-position-vertical-relative:paragraph;z-index:3064" type="#_x0000_t202" filled="false" stroked="false">
            <v:textbox inset="0,0,0,0" style="layout-flow:vertical;mso-layout-flow-alt:bottom-to-top">
              <w:txbxContent>
                <w:p>
                  <w:pPr>
                    <w:spacing w:line="164" w:lineRule="exact" w:before="0"/>
                    <w:ind w:left="20" w:right="-243" w:firstLine="0"/>
                    <w:jc w:val="left"/>
                    <w:rPr>
                      <w:sz w:val="14"/>
                    </w:rPr>
                  </w:pPr>
                  <w:r>
                    <w:rPr>
                      <w:color w:val="231F20"/>
                      <w:spacing w:val="-15"/>
                      <w:w w:val="111"/>
                      <w:sz w:val="14"/>
                    </w:rPr>
                    <w:t>V</w:t>
                  </w:r>
                  <w:r>
                    <w:rPr>
                      <w:color w:val="231F20"/>
                      <w:w w:val="106"/>
                      <w:sz w:val="14"/>
                    </w:rPr>
                    <w:t>alle</w:t>
                  </w:r>
                  <w:r>
                    <w:rPr>
                      <w:color w:val="231F20"/>
                      <w:spacing w:val="12"/>
                      <w:sz w:val="14"/>
                    </w:rPr>
                    <w:t> </w:t>
                  </w:r>
                  <w:r>
                    <w:rPr>
                      <w:color w:val="231F20"/>
                      <w:w w:val="108"/>
                      <w:sz w:val="14"/>
                    </w:rPr>
                    <w:t>de</w:t>
                  </w:r>
                  <w:r>
                    <w:rPr>
                      <w:color w:val="231F20"/>
                      <w:spacing w:val="12"/>
                      <w:sz w:val="14"/>
                    </w:rPr>
                    <w:t> </w:t>
                  </w:r>
                  <w:r>
                    <w:rPr>
                      <w:color w:val="231F20"/>
                      <w:w w:val="107"/>
                      <w:sz w:val="14"/>
                    </w:rPr>
                    <w:t>Bravo</w:t>
                  </w:r>
                </w:p>
              </w:txbxContent>
            </v:textbox>
            <w10:wrap type="none"/>
          </v:shape>
        </w:pict>
      </w:r>
      <w:r>
        <w:rPr/>
        <w:pict>
          <v:shape style="position:absolute;margin-left:265.906769pt;margin-top:14.980217pt;width:9pt;height:31.65pt;mso-position-horizontal-relative:page;mso-position-vertical-relative:paragraph;z-index:3088" type="#_x0000_t202" filled="false" stroked="false">
            <v:textbox inset="0,0,0,0" style="layout-flow:vertical;mso-layout-flow-alt:bottom-to-top">
              <w:txbxContent>
                <w:p>
                  <w:pPr>
                    <w:spacing w:line="164" w:lineRule="exact" w:before="0"/>
                    <w:ind w:left="20" w:right="-453" w:firstLine="0"/>
                    <w:jc w:val="left"/>
                    <w:rPr>
                      <w:sz w:val="14"/>
                    </w:rPr>
                  </w:pPr>
                  <w:r>
                    <w:rPr>
                      <w:color w:val="231F20"/>
                      <w:spacing w:val="-10"/>
                      <w:w w:val="108"/>
                      <w:sz w:val="14"/>
                    </w:rPr>
                    <w:t>T</w:t>
                  </w:r>
                  <w:r>
                    <w:rPr>
                      <w:color w:val="231F20"/>
                      <w:w w:val="108"/>
                      <w:sz w:val="14"/>
                    </w:rPr>
                    <w:t>ejupilco</w:t>
                  </w:r>
                </w:p>
              </w:txbxContent>
            </v:textbox>
            <w10:wrap type="none"/>
          </v:shape>
        </w:pict>
      </w:r>
      <w:r>
        <w:rPr/>
        <w:pict>
          <v:shape style="position:absolute;margin-left:289.266968pt;margin-top:14.976646pt;width:9pt;height:41.95pt;mso-position-horizontal-relative:page;mso-position-vertical-relative:paragraph;z-index:3112" type="#_x0000_t202" filled="false" stroked="false">
            <v:textbox inset="0,0,0,0" style="layout-flow:vertical;mso-layout-flow-alt:bottom-to-top">
              <w:txbxContent>
                <w:p>
                  <w:pPr>
                    <w:spacing w:line="164" w:lineRule="exact" w:before="0"/>
                    <w:ind w:left="20" w:right="-659" w:firstLine="0"/>
                    <w:jc w:val="left"/>
                    <w:rPr>
                      <w:sz w:val="14"/>
                    </w:rPr>
                  </w:pPr>
                  <w:r>
                    <w:rPr>
                      <w:color w:val="231F20"/>
                      <w:w w:val="111"/>
                      <w:sz w:val="14"/>
                    </w:rPr>
                    <w:t>Amecameca</w:t>
                  </w:r>
                </w:p>
              </w:txbxContent>
            </v:textbox>
            <w10:wrap type="none"/>
          </v:shape>
        </w:pict>
      </w:r>
      <w:r>
        <w:rPr/>
        <w:pict>
          <v:shape style="position:absolute;margin-left:312.626678pt;margin-top:14.977277pt;width:9pt;height:37.6pt;mso-position-horizontal-relative:page;mso-position-vertical-relative:paragraph;z-index:3136" type="#_x0000_t202" filled="false" stroked="false">
            <v:textbox inset="0,0,0,0" style="layout-flow:vertical;mso-layout-flow-alt:bottom-to-top">
              <w:txbxContent>
                <w:p>
                  <w:pPr>
                    <w:spacing w:line="164" w:lineRule="exact" w:before="0"/>
                    <w:ind w:left="20" w:right="-572" w:firstLine="0"/>
                    <w:jc w:val="left"/>
                    <w:rPr>
                      <w:sz w:val="14"/>
                    </w:rPr>
                  </w:pPr>
                  <w:r>
                    <w:rPr>
                      <w:color w:val="231F20"/>
                      <w:w w:val="111"/>
                      <w:sz w:val="14"/>
                    </w:rPr>
                    <w:t>Zumpango</w:t>
                  </w:r>
                </w:p>
              </w:txbxContent>
            </v:textbox>
            <w10:wrap type="none"/>
          </v:shape>
        </w:pict>
      </w:r>
      <w:r>
        <w:rPr/>
        <w:pict>
          <v:shape style="position:absolute;margin-left:335.986938pt;margin-top:14.985747pt;width:9pt;height:28.7pt;mso-position-horizontal-relative:page;mso-position-vertical-relative:paragraph;z-index:3160" type="#_x0000_t202" filled="false" stroked="false">
            <v:textbox inset="0,0,0,0" style="layout-flow:vertical;mso-layout-flow-alt:bottom-to-top">
              <w:txbxContent>
                <w:p>
                  <w:pPr>
                    <w:spacing w:line="164" w:lineRule="exact" w:before="0"/>
                    <w:ind w:left="20" w:right="-393" w:firstLine="0"/>
                    <w:jc w:val="left"/>
                    <w:rPr>
                      <w:sz w:val="14"/>
                    </w:rPr>
                  </w:pPr>
                  <w:r>
                    <w:rPr>
                      <w:color w:val="231F20"/>
                      <w:spacing w:val="-10"/>
                      <w:w w:val="108"/>
                      <w:sz w:val="14"/>
                    </w:rPr>
                    <w:t>T</w:t>
                  </w:r>
                  <w:r>
                    <w:rPr>
                      <w:color w:val="231F20"/>
                      <w:spacing w:val="-3"/>
                      <w:w w:val="109"/>
                      <w:sz w:val="14"/>
                    </w:rPr>
                    <w:t>e</w:t>
                  </w:r>
                  <w:r>
                    <w:rPr>
                      <w:color w:val="231F20"/>
                      <w:spacing w:val="-3"/>
                      <w:w w:val="118"/>
                      <w:sz w:val="14"/>
                    </w:rPr>
                    <w:t>x</w:t>
                  </w:r>
                  <w:r>
                    <w:rPr>
                      <w:color w:val="231F20"/>
                      <w:w w:val="111"/>
                      <w:sz w:val="14"/>
                    </w:rPr>
                    <w:t>coco</w:t>
                  </w:r>
                </w:p>
              </w:txbxContent>
            </v:textbox>
            <w10:wrap type="none"/>
          </v:shape>
        </w:pict>
      </w:r>
      <w:r>
        <w:rPr/>
        <w:pict>
          <v:shape style="position:absolute;margin-left:359.347046pt;margin-top:14.979377pt;width:9pt;height:37.8pt;mso-position-horizontal-relative:page;mso-position-vertical-relative:paragraph;z-index:3184" type="#_x0000_t202" filled="false" stroked="false">
            <v:textbox inset="0,0,0,0" style="layout-flow:vertical;mso-layout-flow-alt:bottom-to-top">
              <w:txbxContent>
                <w:p>
                  <w:pPr>
                    <w:spacing w:line="164" w:lineRule="exact" w:before="0"/>
                    <w:ind w:left="20" w:right="-576" w:firstLine="0"/>
                    <w:jc w:val="left"/>
                    <w:rPr>
                      <w:sz w:val="14"/>
                    </w:rPr>
                  </w:pPr>
                  <w:r>
                    <w:rPr>
                      <w:color w:val="231F20"/>
                      <w:spacing w:val="-10"/>
                      <w:w w:val="108"/>
                      <w:sz w:val="14"/>
                    </w:rPr>
                    <w:t>T</w:t>
                  </w:r>
                  <w:r>
                    <w:rPr>
                      <w:color w:val="231F20"/>
                      <w:w w:val="107"/>
                      <w:sz w:val="14"/>
                    </w:rPr>
                    <w:t>epozotlán</w:t>
                  </w:r>
                </w:p>
              </w:txbxContent>
            </v:textbox>
            <w10:wrap type="none"/>
          </v:shape>
        </w:pict>
      </w:r>
      <w:r>
        <w:rPr>
          <w:color w:val="231F20"/>
          <w:w w:val="102"/>
          <w:sz w:val="14"/>
        </w:rPr>
        <w:t>0</w:t>
      </w:r>
    </w:p>
    <w:p>
      <w:pPr>
        <w:pStyle w:val="BodyText"/>
      </w:pPr>
    </w:p>
    <w:p>
      <w:pPr>
        <w:pStyle w:val="BodyText"/>
      </w:pPr>
    </w:p>
    <w:p>
      <w:pPr>
        <w:pStyle w:val="BodyText"/>
      </w:pPr>
    </w:p>
    <w:p>
      <w:pPr>
        <w:pStyle w:val="BodyText"/>
      </w:pPr>
    </w:p>
    <w:p>
      <w:pPr>
        <w:pStyle w:val="BodyText"/>
        <w:spacing w:before="6"/>
        <w:rPr>
          <w:sz w:val="26"/>
        </w:rPr>
      </w:pPr>
    </w:p>
    <w:p>
      <w:pPr>
        <w:spacing w:line="170" w:lineRule="exact" w:before="85"/>
        <w:ind w:left="544" w:right="678" w:firstLine="360"/>
        <w:jc w:val="left"/>
        <w:rPr>
          <w:sz w:val="15"/>
        </w:rPr>
      </w:pPr>
      <w:r>
        <w:rPr>
          <w:color w:val="231F20"/>
          <w:w w:val="110"/>
          <w:sz w:val="15"/>
        </w:rPr>
        <w:t>Fuente: Elaboración propia a partir del </w:t>
      </w:r>
      <w:r>
        <w:rPr>
          <w:i/>
          <w:color w:val="231F20"/>
          <w:w w:val="110"/>
          <w:sz w:val="15"/>
        </w:rPr>
        <w:t>Atlas Agropecuario de México </w:t>
      </w:r>
      <w:r>
        <w:rPr>
          <w:color w:val="231F20"/>
          <w:w w:val="110"/>
          <w:sz w:val="15"/>
        </w:rPr>
        <w:t>(2012)</w:t>
      </w:r>
      <w:r>
        <w:rPr>
          <w:i/>
          <w:color w:val="231F20"/>
          <w:w w:val="110"/>
          <w:sz w:val="15"/>
        </w:rPr>
        <w:t>, </w:t>
      </w:r>
      <w:r>
        <w:rPr>
          <w:color w:val="231F20"/>
          <w:w w:val="110"/>
          <w:sz w:val="15"/>
        </w:rPr>
        <w:t>según resultados del Censo Agropecuario 2007, </w:t>
      </w:r>
      <w:r>
        <w:rPr>
          <w:rFonts w:ascii="Times New Roman" w:hAnsi="Times New Roman"/>
          <w:color w:val="231F20"/>
          <w:w w:val="110"/>
          <w:sz w:val="12"/>
        </w:rPr>
        <w:t>INEGI</w:t>
      </w:r>
      <w:r>
        <w:rPr>
          <w:color w:val="231F20"/>
          <w:w w:val="110"/>
          <w:sz w:val="15"/>
        </w:rPr>
        <w:t>.</w:t>
      </w:r>
    </w:p>
    <w:p>
      <w:pPr>
        <w:spacing w:after="0" w:line="170" w:lineRule="exact"/>
        <w:jc w:val="left"/>
        <w:rPr>
          <w:sz w:val="15"/>
        </w:rPr>
        <w:sectPr>
          <w:type w:val="continuous"/>
          <w:pgSz w:w="9520" w:h="12920"/>
          <w:pgMar w:top="0" w:bottom="0" w:left="900" w:right="420"/>
        </w:sectPr>
      </w:pPr>
    </w:p>
    <w:p>
      <w:pPr>
        <w:pStyle w:val="BodyText"/>
        <w:spacing w:line="288" w:lineRule="auto" w:before="42"/>
        <w:ind w:left="140" w:right="116" w:firstLine="360"/>
        <w:jc w:val="both"/>
      </w:pPr>
      <w:r>
        <w:rPr>
          <w:color w:val="231F20"/>
          <w:w w:val="110"/>
        </w:rPr>
        <w:t>El </w:t>
      </w:r>
      <w:r>
        <w:rPr>
          <w:color w:val="231F20"/>
          <w:spacing w:val="-3"/>
          <w:w w:val="110"/>
        </w:rPr>
        <w:t>maíz </w:t>
      </w:r>
      <w:r>
        <w:rPr>
          <w:color w:val="231F20"/>
          <w:w w:val="110"/>
        </w:rPr>
        <w:t>es el </w:t>
      </w:r>
      <w:r>
        <w:rPr>
          <w:color w:val="231F20"/>
          <w:spacing w:val="-4"/>
          <w:w w:val="110"/>
        </w:rPr>
        <w:t>cultivo anual </w:t>
      </w:r>
      <w:r>
        <w:rPr>
          <w:color w:val="231F20"/>
          <w:spacing w:val="-3"/>
          <w:w w:val="110"/>
        </w:rPr>
        <w:t>más </w:t>
      </w:r>
      <w:r>
        <w:rPr>
          <w:color w:val="231F20"/>
          <w:spacing w:val="-4"/>
          <w:w w:val="110"/>
        </w:rPr>
        <w:t>importante </w:t>
      </w:r>
      <w:r>
        <w:rPr>
          <w:color w:val="231F20"/>
          <w:w w:val="110"/>
        </w:rPr>
        <w:t>en el </w:t>
      </w:r>
      <w:r>
        <w:rPr>
          <w:color w:val="231F20"/>
          <w:spacing w:val="-4"/>
          <w:w w:val="110"/>
        </w:rPr>
        <w:t>Estado; </w:t>
      </w:r>
      <w:r>
        <w:rPr>
          <w:color w:val="231F20"/>
          <w:w w:val="110"/>
        </w:rPr>
        <w:t>en la </w:t>
      </w:r>
      <w:r>
        <w:rPr>
          <w:color w:val="231F20"/>
          <w:spacing w:val="-3"/>
          <w:w w:val="110"/>
        </w:rPr>
        <w:t>gráfica </w:t>
      </w:r>
      <w:r>
        <w:rPr>
          <w:color w:val="231F20"/>
          <w:w w:val="110"/>
        </w:rPr>
        <w:t>1 destaca la región Atlacomulco, ya que destinó 22.1 por ciento de la super- ficie</w:t>
      </w:r>
      <w:r>
        <w:rPr>
          <w:color w:val="231F20"/>
          <w:spacing w:val="-7"/>
          <w:w w:val="110"/>
        </w:rPr>
        <w:t> </w:t>
      </w:r>
      <w:r>
        <w:rPr>
          <w:color w:val="231F20"/>
          <w:w w:val="110"/>
        </w:rPr>
        <w:t>a</w:t>
      </w:r>
      <w:r>
        <w:rPr>
          <w:color w:val="231F20"/>
          <w:spacing w:val="-7"/>
          <w:w w:val="110"/>
        </w:rPr>
        <w:t> </w:t>
      </w:r>
      <w:r>
        <w:rPr>
          <w:color w:val="231F20"/>
          <w:w w:val="110"/>
        </w:rPr>
        <w:t>su</w:t>
      </w:r>
      <w:r>
        <w:rPr>
          <w:color w:val="231F20"/>
          <w:spacing w:val="-7"/>
          <w:w w:val="110"/>
        </w:rPr>
        <w:t> </w:t>
      </w:r>
      <w:r>
        <w:rPr>
          <w:color w:val="231F20"/>
          <w:w w:val="110"/>
        </w:rPr>
        <w:t>cultivo</w:t>
      </w:r>
      <w:r>
        <w:rPr>
          <w:color w:val="231F20"/>
          <w:spacing w:val="-7"/>
          <w:w w:val="110"/>
        </w:rPr>
        <w:t> </w:t>
      </w:r>
      <w:r>
        <w:rPr>
          <w:color w:val="231F20"/>
          <w:w w:val="110"/>
        </w:rPr>
        <w:t>con</w:t>
      </w:r>
      <w:r>
        <w:rPr>
          <w:color w:val="231F20"/>
          <w:spacing w:val="-7"/>
          <w:w w:val="110"/>
        </w:rPr>
        <w:t> </w:t>
      </w:r>
      <w:r>
        <w:rPr>
          <w:color w:val="231F20"/>
          <w:w w:val="110"/>
        </w:rPr>
        <w:t>relación</w:t>
      </w:r>
      <w:r>
        <w:rPr>
          <w:color w:val="231F20"/>
          <w:spacing w:val="-7"/>
          <w:w w:val="110"/>
        </w:rPr>
        <w:t> </w:t>
      </w:r>
      <w:r>
        <w:rPr>
          <w:color w:val="231F20"/>
          <w:w w:val="110"/>
        </w:rPr>
        <w:t>al</w:t>
      </w:r>
      <w:r>
        <w:rPr>
          <w:color w:val="231F20"/>
          <w:spacing w:val="-7"/>
          <w:w w:val="110"/>
        </w:rPr>
        <w:t> </w:t>
      </w:r>
      <w:r>
        <w:rPr>
          <w:color w:val="231F20"/>
          <w:w w:val="110"/>
        </w:rPr>
        <w:t>total</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superficie</w:t>
      </w:r>
      <w:r>
        <w:rPr>
          <w:color w:val="231F20"/>
          <w:spacing w:val="-7"/>
          <w:w w:val="110"/>
        </w:rPr>
        <w:t> </w:t>
      </w:r>
      <w:r>
        <w:rPr>
          <w:color w:val="231F20"/>
          <w:w w:val="110"/>
        </w:rPr>
        <w:t>sembrada</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Estado de</w:t>
      </w:r>
      <w:r>
        <w:rPr>
          <w:color w:val="231F20"/>
          <w:spacing w:val="28"/>
          <w:w w:val="110"/>
        </w:rPr>
        <w:t> </w:t>
      </w:r>
      <w:r>
        <w:rPr>
          <w:color w:val="231F20"/>
          <w:w w:val="110"/>
        </w:rPr>
        <w:t>México.</w:t>
      </w:r>
    </w:p>
    <w:p>
      <w:pPr>
        <w:pStyle w:val="BodyText"/>
        <w:spacing w:line="288" w:lineRule="auto"/>
        <w:ind w:left="140" w:right="118" w:firstLine="360"/>
        <w:jc w:val="both"/>
      </w:pPr>
      <w:r>
        <w:rPr>
          <w:color w:val="231F20"/>
          <w:w w:val="110"/>
        </w:rPr>
        <w:t>En el cuadro 1 se desglosa el número de unidades de producción se- gún la superficie sembrada, cosechada y producción obtenida de maíz en la región Atlacomulco, y se resalta el número de unidades de producción agrícola en los municipios de Ixtlahuaca y Jocotitlán, por ser en los que se ha realizado sistemáticamente la investigación de campo.</w:t>
      </w:r>
    </w:p>
    <w:p>
      <w:pPr>
        <w:pStyle w:val="BodyText"/>
        <w:spacing w:before="4"/>
      </w:pPr>
    </w:p>
    <w:p>
      <w:pPr>
        <w:spacing w:line="185" w:lineRule="exact" w:before="0"/>
        <w:ind w:left="19" w:right="0" w:firstLine="0"/>
        <w:jc w:val="center"/>
        <w:rPr>
          <w:sz w:val="16"/>
        </w:rPr>
      </w:pPr>
      <w:r>
        <w:rPr>
          <w:color w:val="231F20"/>
          <w:w w:val="105"/>
          <w:sz w:val="16"/>
        </w:rPr>
        <w:t>Cuadro 1</w:t>
      </w:r>
    </w:p>
    <w:p>
      <w:pPr>
        <w:spacing w:line="220" w:lineRule="exact" w:before="0"/>
        <w:ind w:left="19" w:right="0" w:firstLine="0"/>
        <w:jc w:val="center"/>
        <w:rPr>
          <w:sz w:val="19"/>
        </w:rPr>
      </w:pPr>
      <w:r>
        <w:rPr>
          <w:color w:val="231F20"/>
          <w:w w:val="90"/>
          <w:sz w:val="19"/>
        </w:rPr>
        <w:t>El maíz en la región Atlacomulco, Estado de México. Ciclo primavera-verano 2007</w:t>
      </w:r>
    </w:p>
    <w:p>
      <w:pPr>
        <w:pStyle w:val="BodyText"/>
        <w:spacing w:before="6"/>
        <w:rPr>
          <w:sz w:val="13"/>
        </w:rPr>
      </w:pPr>
      <w:r>
        <w:rPr/>
        <w:pict>
          <v:group style="position:absolute;margin-left:55.799999pt;margin-top:9.889418pt;width:348.65pt;height:.4pt;mso-position-horizontal-relative:page;mso-position-vertical-relative:paragraph;z-index:3208;mso-wrap-distance-left:0;mso-wrap-distance-right:0" coordorigin="1116,198" coordsize="6973,8">
            <v:line style="position:absolute" from="1120,202" to="2576,202" stroked="true" strokeweight=".4pt" strokecolor="#231f20"/>
            <v:line style="position:absolute" from="2576,202" to="3759,202" stroked="true" strokeweight=".4pt" strokecolor="#231f20"/>
            <v:line style="position:absolute" from="3759,202" to="4716,202" stroked="true" strokeweight=".4pt" strokecolor="#231f20"/>
            <v:line style="position:absolute" from="4716,202" to="5673,202" stroked="true" strokeweight=".4pt" strokecolor="#231f20"/>
            <v:line style="position:absolute" from="5673,202" to="7004,202" stroked="true" strokeweight=".4pt" strokecolor="#231f20"/>
            <v:line style="position:absolute" from="7004,202" to="8085,202" stroked="true" strokeweight=".4pt" strokecolor="#231f20"/>
            <w10:wrap type="topAndBottom"/>
          </v:group>
        </w:pict>
      </w:r>
    </w:p>
    <w:p>
      <w:pPr>
        <w:spacing w:after="0"/>
        <w:rPr>
          <w:sz w:val="13"/>
        </w:rPr>
        <w:sectPr>
          <w:footerReference w:type="default" r:id="rId134"/>
          <w:footerReference w:type="even" r:id="rId135"/>
          <w:pgSz w:w="9520" w:h="12920"/>
          <w:pgMar w:footer="1344" w:header="0" w:top="880" w:bottom="1540" w:left="980" w:right="1320"/>
          <w:pgNumType w:start="153"/>
        </w:sectPr>
      </w:pPr>
    </w:p>
    <w:p>
      <w:pPr>
        <w:pStyle w:val="BodyText"/>
        <w:rPr>
          <w:sz w:val="16"/>
        </w:rPr>
      </w:pPr>
    </w:p>
    <w:p>
      <w:pPr>
        <w:pStyle w:val="BodyText"/>
        <w:spacing w:before="8"/>
        <w:rPr>
          <w:sz w:val="18"/>
        </w:rPr>
      </w:pPr>
    </w:p>
    <w:p>
      <w:pPr>
        <w:spacing w:before="0"/>
        <w:ind w:left="513" w:right="-6" w:firstLine="0"/>
        <w:jc w:val="left"/>
        <w:rPr>
          <w:i/>
          <w:sz w:val="16"/>
        </w:rPr>
      </w:pPr>
      <w:r>
        <w:rPr>
          <w:i/>
          <w:color w:val="231F20"/>
          <w:w w:val="105"/>
          <w:sz w:val="16"/>
        </w:rPr>
        <w:t>Municipio</w:t>
      </w:r>
    </w:p>
    <w:p>
      <w:pPr>
        <w:spacing w:line="165" w:lineRule="exact" w:before="75"/>
        <w:ind w:left="1775" w:right="0" w:firstLine="0"/>
        <w:jc w:val="left"/>
        <w:rPr>
          <w:i/>
          <w:sz w:val="16"/>
        </w:rPr>
      </w:pPr>
      <w:r>
        <w:rPr/>
        <w:br w:type="column"/>
      </w:r>
      <w:r>
        <w:rPr>
          <w:i/>
          <w:color w:val="231F20"/>
          <w:sz w:val="16"/>
        </w:rPr>
        <w:t>Superficie  total (ha)</w:t>
      </w:r>
    </w:p>
    <w:p>
      <w:pPr>
        <w:tabs>
          <w:tab w:pos="1517" w:val="left" w:leader="none"/>
          <w:tab w:pos="3421" w:val="left" w:leader="none"/>
        </w:tabs>
        <w:spacing w:line="165" w:lineRule="exact" w:before="0"/>
        <w:ind w:left="590" w:right="0" w:firstLine="0"/>
        <w:jc w:val="left"/>
        <w:rPr>
          <w:i/>
          <w:sz w:val="16"/>
        </w:rPr>
      </w:pPr>
      <w:r>
        <w:rPr>
          <w:i/>
          <w:color w:val="231F20"/>
          <w:w w:val="110"/>
          <w:sz w:val="16"/>
        </w:rPr>
        <w:t>Unidades</w:t>
      </w:r>
      <w:r>
        <w:rPr>
          <w:i/>
          <w:color w:val="231F20"/>
          <w:sz w:val="16"/>
        </w:rPr>
        <w:tab/>
      </w:r>
      <w:r>
        <w:rPr>
          <w:i/>
          <w:color w:val="231F20"/>
          <w:w w:val="115"/>
          <w:sz w:val="16"/>
          <w:u w:val="single" w:color="000000"/>
        </w:rPr>
        <w:t> </w:t>
      </w:r>
      <w:r>
        <w:rPr>
          <w:i/>
          <w:color w:val="231F20"/>
          <w:sz w:val="16"/>
          <w:u w:val="single" w:color="000000"/>
        </w:rPr>
        <w:tab/>
      </w:r>
    </w:p>
    <w:p>
      <w:pPr>
        <w:tabs>
          <w:tab w:pos="1645" w:val="left" w:leader="none"/>
          <w:tab w:pos="2586" w:val="left" w:leader="none"/>
        </w:tabs>
        <w:spacing w:before="2"/>
        <w:ind w:left="430" w:right="0" w:firstLine="0"/>
        <w:jc w:val="left"/>
        <w:rPr>
          <w:i/>
          <w:sz w:val="16"/>
        </w:rPr>
      </w:pPr>
      <w:r>
        <w:rPr>
          <w:i/>
          <w:color w:val="231F20"/>
          <w:w w:val="105"/>
          <w:sz w:val="16"/>
        </w:rPr>
        <w:t>de</w:t>
      </w:r>
      <w:r>
        <w:rPr>
          <w:i/>
          <w:color w:val="231F20"/>
          <w:spacing w:val="5"/>
          <w:w w:val="105"/>
          <w:sz w:val="16"/>
        </w:rPr>
        <w:t> </w:t>
      </w:r>
      <w:r>
        <w:rPr>
          <w:i/>
          <w:color w:val="231F20"/>
          <w:w w:val="105"/>
          <w:sz w:val="16"/>
        </w:rPr>
        <w:t>producción</w:t>
        <w:tab/>
        <w:t>sembrada</w:t>
        <w:tab/>
        <w:t>cosechada</w:t>
      </w:r>
    </w:p>
    <w:p>
      <w:pPr>
        <w:pStyle w:val="BodyText"/>
        <w:spacing w:before="6"/>
        <w:rPr>
          <w:i/>
          <w:sz w:val="18"/>
        </w:rPr>
      </w:pPr>
      <w:r>
        <w:rPr/>
        <w:br w:type="column"/>
      </w:r>
      <w:r>
        <w:rPr>
          <w:i/>
          <w:sz w:val="18"/>
        </w:rPr>
      </w:r>
    </w:p>
    <w:p>
      <w:pPr>
        <w:spacing w:line="242" w:lineRule="auto" w:before="0"/>
        <w:ind w:left="51" w:right="-18" w:firstLine="275"/>
        <w:jc w:val="left"/>
        <w:rPr>
          <w:i/>
          <w:sz w:val="16"/>
        </w:rPr>
      </w:pPr>
      <w:r>
        <w:rPr>
          <w:i/>
          <w:color w:val="231F20"/>
          <w:spacing w:val="-3"/>
          <w:w w:val="105"/>
          <w:sz w:val="16"/>
        </w:rPr>
        <w:t>Volumen </w:t>
      </w:r>
      <w:r>
        <w:rPr>
          <w:i/>
          <w:color w:val="231F20"/>
          <w:w w:val="105"/>
          <w:sz w:val="16"/>
        </w:rPr>
        <w:t>producción</w:t>
      </w:r>
      <w:r>
        <w:rPr>
          <w:i/>
          <w:color w:val="231F20"/>
          <w:spacing w:val="-16"/>
          <w:w w:val="105"/>
          <w:sz w:val="16"/>
        </w:rPr>
        <w:t> </w:t>
      </w:r>
      <w:r>
        <w:rPr>
          <w:i/>
          <w:color w:val="231F20"/>
          <w:w w:val="105"/>
          <w:sz w:val="16"/>
        </w:rPr>
        <w:t>(ton)</w:t>
      </w:r>
    </w:p>
    <w:p>
      <w:pPr>
        <w:pStyle w:val="BodyText"/>
        <w:spacing w:before="6"/>
        <w:rPr>
          <w:i/>
          <w:sz w:val="18"/>
        </w:rPr>
      </w:pPr>
      <w:r>
        <w:rPr/>
        <w:br w:type="column"/>
      </w:r>
      <w:r>
        <w:rPr>
          <w:i/>
          <w:sz w:val="18"/>
        </w:rPr>
      </w:r>
    </w:p>
    <w:p>
      <w:pPr>
        <w:spacing w:line="242" w:lineRule="auto" w:before="0"/>
        <w:ind w:left="300" w:right="195" w:hanging="167"/>
        <w:jc w:val="left"/>
        <w:rPr>
          <w:i/>
          <w:sz w:val="16"/>
        </w:rPr>
      </w:pPr>
      <w:r>
        <w:rPr>
          <w:i/>
          <w:color w:val="231F20"/>
          <w:w w:val="105"/>
          <w:sz w:val="16"/>
        </w:rPr>
        <w:t>Rendimiento </w:t>
      </w:r>
      <w:r>
        <w:rPr>
          <w:i/>
          <w:color w:val="231F20"/>
          <w:w w:val="105"/>
          <w:sz w:val="16"/>
        </w:rPr>
        <w:t>(ton/ha)</w:t>
      </w:r>
    </w:p>
    <w:p>
      <w:pPr>
        <w:spacing w:after="0" w:line="242" w:lineRule="auto"/>
        <w:jc w:val="left"/>
        <w:rPr>
          <w:sz w:val="16"/>
        </w:rPr>
        <w:sectPr>
          <w:type w:val="continuous"/>
          <w:pgSz w:w="9520" w:h="12920"/>
          <w:pgMar w:top="0" w:bottom="0" w:left="980" w:right="1320"/>
          <w:cols w:num="4" w:equalWidth="0">
            <w:col w:w="1223" w:space="40"/>
            <w:col w:w="3422" w:space="40"/>
            <w:col w:w="1218" w:space="40"/>
            <w:col w:w="1237"/>
          </w:cols>
        </w:sectPr>
      </w:pPr>
    </w:p>
    <w:p>
      <w:pPr>
        <w:pStyle w:val="BodyText"/>
        <w:rPr>
          <w:i/>
          <w:sz w:val="7"/>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41"/>
        <w:gridCol w:w="868"/>
        <w:gridCol w:w="1077"/>
        <w:gridCol w:w="1064"/>
        <w:gridCol w:w="1303"/>
        <w:gridCol w:w="1047"/>
      </w:tblGrid>
      <w:tr>
        <w:trPr>
          <w:trHeight w:val="295" w:hRule="exact"/>
        </w:trPr>
        <w:tc>
          <w:tcPr>
            <w:tcW w:w="1641" w:type="dxa"/>
            <w:tcBorders>
              <w:top w:val="single" w:sz="3" w:space="0" w:color="231F20"/>
            </w:tcBorders>
          </w:tcPr>
          <w:p>
            <w:pPr>
              <w:pStyle w:val="TableParagraph"/>
              <w:spacing w:line="240" w:lineRule="auto" w:before="86"/>
              <w:ind w:left="35"/>
              <w:jc w:val="left"/>
              <w:rPr>
                <w:sz w:val="16"/>
              </w:rPr>
            </w:pPr>
            <w:r>
              <w:rPr>
                <w:color w:val="231F20"/>
                <w:w w:val="105"/>
                <w:sz w:val="16"/>
              </w:rPr>
              <w:t>001 Acambay</w:t>
            </w:r>
          </w:p>
        </w:tc>
        <w:tc>
          <w:tcPr>
            <w:tcW w:w="868" w:type="dxa"/>
            <w:tcBorders>
              <w:top w:val="single" w:sz="3" w:space="0" w:color="231F20"/>
            </w:tcBorders>
          </w:tcPr>
          <w:p>
            <w:pPr>
              <w:pStyle w:val="TableParagraph"/>
              <w:spacing w:line="240" w:lineRule="auto" w:before="86"/>
              <w:ind w:right="192"/>
              <w:jc w:val="right"/>
              <w:rPr>
                <w:sz w:val="16"/>
              </w:rPr>
            </w:pPr>
            <w:r>
              <w:rPr>
                <w:color w:val="231F20"/>
                <w:sz w:val="16"/>
              </w:rPr>
              <w:t>8,371</w:t>
            </w:r>
          </w:p>
        </w:tc>
        <w:tc>
          <w:tcPr>
            <w:tcW w:w="1077" w:type="dxa"/>
            <w:tcBorders>
              <w:top w:val="single" w:sz="3" w:space="0" w:color="231F20"/>
            </w:tcBorders>
          </w:tcPr>
          <w:p>
            <w:pPr>
              <w:pStyle w:val="TableParagraph"/>
              <w:spacing w:line="240" w:lineRule="auto" w:before="86"/>
              <w:ind w:right="72"/>
              <w:jc w:val="right"/>
              <w:rPr>
                <w:sz w:val="16"/>
              </w:rPr>
            </w:pPr>
            <w:r>
              <w:rPr>
                <w:color w:val="231F20"/>
                <w:sz w:val="16"/>
              </w:rPr>
              <w:t>12,733.07</w:t>
            </w:r>
          </w:p>
        </w:tc>
        <w:tc>
          <w:tcPr>
            <w:tcW w:w="1064" w:type="dxa"/>
            <w:tcBorders>
              <w:top w:val="single" w:sz="3" w:space="0" w:color="231F20"/>
            </w:tcBorders>
          </w:tcPr>
          <w:p>
            <w:pPr>
              <w:pStyle w:val="TableParagraph"/>
              <w:spacing w:line="240" w:lineRule="auto" w:before="86"/>
              <w:ind w:right="179"/>
              <w:jc w:val="right"/>
              <w:rPr>
                <w:sz w:val="16"/>
              </w:rPr>
            </w:pPr>
            <w:r>
              <w:rPr>
                <w:color w:val="231F20"/>
                <w:sz w:val="16"/>
              </w:rPr>
              <w:t>11,256.39</w:t>
            </w:r>
          </w:p>
        </w:tc>
        <w:tc>
          <w:tcPr>
            <w:tcW w:w="1303" w:type="dxa"/>
            <w:tcBorders>
              <w:top w:val="single" w:sz="3" w:space="0" w:color="231F20"/>
            </w:tcBorders>
          </w:tcPr>
          <w:p>
            <w:pPr>
              <w:pStyle w:val="TableParagraph"/>
              <w:spacing w:line="240" w:lineRule="auto" w:before="86"/>
              <w:ind w:right="311"/>
              <w:jc w:val="right"/>
              <w:rPr>
                <w:sz w:val="16"/>
              </w:rPr>
            </w:pPr>
            <w:r>
              <w:rPr>
                <w:color w:val="231F20"/>
                <w:sz w:val="16"/>
              </w:rPr>
              <w:t>21,082.21</w:t>
            </w:r>
          </w:p>
        </w:tc>
        <w:tc>
          <w:tcPr>
            <w:tcW w:w="1047" w:type="dxa"/>
            <w:tcBorders>
              <w:top w:val="single" w:sz="3" w:space="0" w:color="231F20"/>
            </w:tcBorders>
          </w:tcPr>
          <w:p>
            <w:pPr>
              <w:pStyle w:val="TableParagraph"/>
              <w:spacing w:line="240" w:lineRule="auto" w:before="86"/>
              <w:ind w:right="419"/>
              <w:jc w:val="right"/>
              <w:rPr>
                <w:sz w:val="16"/>
              </w:rPr>
            </w:pPr>
            <w:r>
              <w:rPr>
                <w:color w:val="231F20"/>
                <w:w w:val="105"/>
                <w:sz w:val="16"/>
              </w:rPr>
              <w:t>1.87</w:t>
            </w:r>
          </w:p>
        </w:tc>
      </w:tr>
      <w:tr>
        <w:trPr>
          <w:trHeight w:val="202" w:hRule="exact"/>
        </w:trPr>
        <w:tc>
          <w:tcPr>
            <w:tcW w:w="1641" w:type="dxa"/>
          </w:tcPr>
          <w:p>
            <w:pPr>
              <w:pStyle w:val="TableParagraph"/>
              <w:spacing w:line="185" w:lineRule="exact"/>
              <w:ind w:left="35"/>
              <w:jc w:val="left"/>
              <w:rPr>
                <w:sz w:val="16"/>
              </w:rPr>
            </w:pPr>
            <w:r>
              <w:rPr>
                <w:color w:val="231F20"/>
                <w:w w:val="105"/>
                <w:sz w:val="16"/>
              </w:rPr>
              <w:t>014  Atlacomulco</w:t>
            </w:r>
          </w:p>
        </w:tc>
        <w:tc>
          <w:tcPr>
            <w:tcW w:w="868" w:type="dxa"/>
          </w:tcPr>
          <w:p>
            <w:pPr>
              <w:pStyle w:val="TableParagraph"/>
              <w:spacing w:line="185" w:lineRule="exact"/>
              <w:ind w:right="192"/>
              <w:jc w:val="right"/>
              <w:rPr>
                <w:sz w:val="16"/>
              </w:rPr>
            </w:pPr>
            <w:r>
              <w:rPr>
                <w:color w:val="231F20"/>
                <w:sz w:val="16"/>
              </w:rPr>
              <w:t>5,137</w:t>
            </w:r>
          </w:p>
        </w:tc>
        <w:tc>
          <w:tcPr>
            <w:tcW w:w="1077" w:type="dxa"/>
          </w:tcPr>
          <w:p>
            <w:pPr>
              <w:pStyle w:val="TableParagraph"/>
              <w:spacing w:line="185" w:lineRule="exact"/>
              <w:ind w:right="72"/>
              <w:jc w:val="right"/>
              <w:rPr>
                <w:sz w:val="16"/>
              </w:rPr>
            </w:pPr>
            <w:r>
              <w:rPr>
                <w:color w:val="231F20"/>
                <w:sz w:val="16"/>
              </w:rPr>
              <w:t>24,096.51</w:t>
            </w:r>
          </w:p>
        </w:tc>
        <w:tc>
          <w:tcPr>
            <w:tcW w:w="1064" w:type="dxa"/>
          </w:tcPr>
          <w:p>
            <w:pPr>
              <w:pStyle w:val="TableParagraph"/>
              <w:spacing w:line="185" w:lineRule="exact"/>
              <w:ind w:right="179"/>
              <w:jc w:val="right"/>
              <w:rPr>
                <w:sz w:val="16"/>
              </w:rPr>
            </w:pPr>
            <w:r>
              <w:rPr>
                <w:color w:val="231F20"/>
                <w:sz w:val="16"/>
              </w:rPr>
              <w:t>21,798.73</w:t>
            </w:r>
          </w:p>
        </w:tc>
        <w:tc>
          <w:tcPr>
            <w:tcW w:w="1303" w:type="dxa"/>
          </w:tcPr>
          <w:p>
            <w:pPr>
              <w:pStyle w:val="TableParagraph"/>
              <w:spacing w:line="185" w:lineRule="exact"/>
              <w:ind w:right="311"/>
              <w:jc w:val="right"/>
              <w:rPr>
                <w:sz w:val="16"/>
              </w:rPr>
            </w:pPr>
            <w:r>
              <w:rPr>
                <w:color w:val="231F20"/>
                <w:sz w:val="16"/>
              </w:rPr>
              <w:t>31,089.02</w:t>
            </w:r>
          </w:p>
        </w:tc>
        <w:tc>
          <w:tcPr>
            <w:tcW w:w="1047" w:type="dxa"/>
          </w:tcPr>
          <w:p>
            <w:pPr>
              <w:pStyle w:val="TableParagraph"/>
              <w:spacing w:line="185" w:lineRule="exact"/>
              <w:ind w:right="419"/>
              <w:jc w:val="right"/>
              <w:rPr>
                <w:sz w:val="16"/>
              </w:rPr>
            </w:pPr>
            <w:r>
              <w:rPr>
                <w:color w:val="231F20"/>
                <w:w w:val="105"/>
                <w:sz w:val="16"/>
              </w:rPr>
              <w:t>1.42</w:t>
            </w:r>
          </w:p>
        </w:tc>
      </w:tr>
      <w:tr>
        <w:trPr>
          <w:trHeight w:val="202" w:hRule="exact"/>
        </w:trPr>
        <w:tc>
          <w:tcPr>
            <w:tcW w:w="1641" w:type="dxa"/>
          </w:tcPr>
          <w:p>
            <w:pPr>
              <w:pStyle w:val="TableParagraph"/>
              <w:spacing w:line="185" w:lineRule="exact"/>
              <w:ind w:left="35"/>
              <w:jc w:val="left"/>
              <w:rPr>
                <w:sz w:val="16"/>
              </w:rPr>
            </w:pPr>
            <w:r>
              <w:rPr>
                <w:color w:val="231F20"/>
                <w:w w:val="105"/>
                <w:sz w:val="16"/>
              </w:rPr>
              <w:t>042  Ixtlahuaca</w:t>
            </w:r>
          </w:p>
        </w:tc>
        <w:tc>
          <w:tcPr>
            <w:tcW w:w="868" w:type="dxa"/>
          </w:tcPr>
          <w:p>
            <w:pPr>
              <w:pStyle w:val="TableParagraph"/>
              <w:spacing w:line="185" w:lineRule="exact"/>
              <w:ind w:right="192"/>
              <w:jc w:val="right"/>
              <w:rPr>
                <w:sz w:val="16"/>
              </w:rPr>
            </w:pPr>
            <w:r>
              <w:rPr>
                <w:color w:val="231F20"/>
                <w:w w:val="105"/>
                <w:sz w:val="16"/>
              </w:rPr>
              <w:t>13,477</w:t>
            </w:r>
          </w:p>
        </w:tc>
        <w:tc>
          <w:tcPr>
            <w:tcW w:w="1077" w:type="dxa"/>
          </w:tcPr>
          <w:p>
            <w:pPr>
              <w:pStyle w:val="TableParagraph"/>
              <w:spacing w:line="185" w:lineRule="exact"/>
              <w:ind w:right="72"/>
              <w:jc w:val="right"/>
              <w:rPr>
                <w:sz w:val="16"/>
              </w:rPr>
            </w:pPr>
            <w:r>
              <w:rPr>
                <w:color w:val="231F20"/>
                <w:sz w:val="16"/>
              </w:rPr>
              <w:t>14,166.27</w:t>
            </w:r>
          </w:p>
        </w:tc>
        <w:tc>
          <w:tcPr>
            <w:tcW w:w="1064" w:type="dxa"/>
          </w:tcPr>
          <w:p>
            <w:pPr>
              <w:pStyle w:val="TableParagraph"/>
              <w:spacing w:line="185" w:lineRule="exact"/>
              <w:ind w:right="179"/>
              <w:jc w:val="right"/>
              <w:rPr>
                <w:sz w:val="16"/>
              </w:rPr>
            </w:pPr>
            <w:r>
              <w:rPr>
                <w:color w:val="231F20"/>
                <w:sz w:val="16"/>
              </w:rPr>
              <w:t>13,451.21</w:t>
            </w:r>
          </w:p>
        </w:tc>
        <w:tc>
          <w:tcPr>
            <w:tcW w:w="1303" w:type="dxa"/>
          </w:tcPr>
          <w:p>
            <w:pPr>
              <w:pStyle w:val="TableParagraph"/>
              <w:spacing w:line="185" w:lineRule="exact"/>
              <w:ind w:right="311"/>
              <w:jc w:val="right"/>
              <w:rPr>
                <w:sz w:val="16"/>
              </w:rPr>
            </w:pPr>
            <w:r>
              <w:rPr>
                <w:color w:val="231F20"/>
                <w:sz w:val="16"/>
              </w:rPr>
              <w:t>43,177.04</w:t>
            </w:r>
          </w:p>
        </w:tc>
        <w:tc>
          <w:tcPr>
            <w:tcW w:w="1047" w:type="dxa"/>
          </w:tcPr>
          <w:p>
            <w:pPr>
              <w:pStyle w:val="TableParagraph"/>
              <w:spacing w:line="185" w:lineRule="exact"/>
              <w:ind w:right="419"/>
              <w:jc w:val="right"/>
              <w:rPr>
                <w:sz w:val="16"/>
              </w:rPr>
            </w:pPr>
            <w:r>
              <w:rPr>
                <w:color w:val="231F20"/>
                <w:w w:val="105"/>
                <w:sz w:val="16"/>
              </w:rPr>
              <w:t>3.2</w:t>
            </w:r>
          </w:p>
        </w:tc>
      </w:tr>
      <w:tr>
        <w:trPr>
          <w:trHeight w:val="202" w:hRule="exact"/>
        </w:trPr>
        <w:tc>
          <w:tcPr>
            <w:tcW w:w="1641" w:type="dxa"/>
          </w:tcPr>
          <w:p>
            <w:pPr>
              <w:pStyle w:val="TableParagraph"/>
              <w:spacing w:line="185" w:lineRule="exact"/>
              <w:ind w:left="35"/>
              <w:jc w:val="left"/>
              <w:rPr>
                <w:sz w:val="16"/>
              </w:rPr>
            </w:pPr>
            <w:r>
              <w:rPr>
                <w:color w:val="231F20"/>
                <w:w w:val="110"/>
                <w:sz w:val="16"/>
              </w:rPr>
              <w:t>048 Jocotitlán</w:t>
            </w:r>
          </w:p>
        </w:tc>
        <w:tc>
          <w:tcPr>
            <w:tcW w:w="868" w:type="dxa"/>
          </w:tcPr>
          <w:p>
            <w:pPr>
              <w:pStyle w:val="TableParagraph"/>
              <w:spacing w:line="185" w:lineRule="exact"/>
              <w:ind w:right="192"/>
              <w:jc w:val="right"/>
              <w:rPr>
                <w:sz w:val="16"/>
              </w:rPr>
            </w:pPr>
            <w:r>
              <w:rPr>
                <w:color w:val="231F20"/>
                <w:sz w:val="16"/>
              </w:rPr>
              <w:t>6,033</w:t>
            </w:r>
          </w:p>
        </w:tc>
        <w:tc>
          <w:tcPr>
            <w:tcW w:w="1077" w:type="dxa"/>
          </w:tcPr>
          <w:p>
            <w:pPr>
              <w:pStyle w:val="TableParagraph"/>
              <w:spacing w:line="185" w:lineRule="exact"/>
              <w:ind w:right="72"/>
              <w:jc w:val="right"/>
              <w:rPr>
                <w:sz w:val="16"/>
              </w:rPr>
            </w:pPr>
            <w:r>
              <w:rPr>
                <w:color w:val="231F20"/>
                <w:sz w:val="16"/>
              </w:rPr>
              <w:t>10,425.30</w:t>
            </w:r>
          </w:p>
        </w:tc>
        <w:tc>
          <w:tcPr>
            <w:tcW w:w="1064" w:type="dxa"/>
          </w:tcPr>
          <w:p>
            <w:pPr>
              <w:pStyle w:val="TableParagraph"/>
              <w:spacing w:line="185" w:lineRule="exact"/>
              <w:ind w:right="179"/>
              <w:jc w:val="right"/>
              <w:rPr>
                <w:sz w:val="16"/>
              </w:rPr>
            </w:pPr>
            <w:r>
              <w:rPr>
                <w:color w:val="231F20"/>
                <w:sz w:val="16"/>
              </w:rPr>
              <w:t>10,196.78</w:t>
            </w:r>
          </w:p>
        </w:tc>
        <w:tc>
          <w:tcPr>
            <w:tcW w:w="1303" w:type="dxa"/>
          </w:tcPr>
          <w:p>
            <w:pPr>
              <w:pStyle w:val="TableParagraph"/>
              <w:spacing w:line="185" w:lineRule="exact"/>
              <w:ind w:right="311"/>
              <w:jc w:val="right"/>
              <w:rPr>
                <w:sz w:val="16"/>
              </w:rPr>
            </w:pPr>
            <w:r>
              <w:rPr>
                <w:color w:val="231F20"/>
                <w:sz w:val="16"/>
              </w:rPr>
              <w:t>38,188.75</w:t>
            </w:r>
          </w:p>
        </w:tc>
        <w:tc>
          <w:tcPr>
            <w:tcW w:w="1047" w:type="dxa"/>
          </w:tcPr>
          <w:p>
            <w:pPr>
              <w:pStyle w:val="TableParagraph"/>
              <w:spacing w:line="185" w:lineRule="exact"/>
              <w:ind w:right="419"/>
              <w:jc w:val="right"/>
              <w:rPr>
                <w:sz w:val="16"/>
              </w:rPr>
            </w:pPr>
            <w:r>
              <w:rPr>
                <w:color w:val="231F20"/>
                <w:w w:val="105"/>
                <w:sz w:val="16"/>
              </w:rPr>
              <w:t>3.74</w:t>
            </w:r>
          </w:p>
        </w:tc>
      </w:tr>
      <w:tr>
        <w:trPr>
          <w:trHeight w:val="218" w:hRule="exact"/>
        </w:trPr>
        <w:tc>
          <w:tcPr>
            <w:tcW w:w="1641" w:type="dxa"/>
          </w:tcPr>
          <w:p>
            <w:pPr>
              <w:pStyle w:val="TableParagraph"/>
              <w:spacing w:line="185" w:lineRule="exact"/>
              <w:ind w:left="35"/>
              <w:jc w:val="left"/>
              <w:rPr>
                <w:sz w:val="16"/>
              </w:rPr>
            </w:pPr>
            <w:r>
              <w:rPr>
                <w:color w:val="231F20"/>
                <w:w w:val="105"/>
                <w:sz w:val="16"/>
              </w:rPr>
              <w:t>056 Morelos</w:t>
            </w:r>
          </w:p>
        </w:tc>
        <w:tc>
          <w:tcPr>
            <w:tcW w:w="868" w:type="dxa"/>
          </w:tcPr>
          <w:p>
            <w:pPr>
              <w:pStyle w:val="TableParagraph"/>
              <w:spacing w:line="185" w:lineRule="exact"/>
              <w:ind w:right="192"/>
              <w:jc w:val="right"/>
              <w:rPr>
                <w:sz w:val="16"/>
              </w:rPr>
            </w:pPr>
            <w:r>
              <w:rPr>
                <w:color w:val="231F20"/>
                <w:sz w:val="16"/>
              </w:rPr>
              <w:t>2,919</w:t>
            </w:r>
          </w:p>
        </w:tc>
        <w:tc>
          <w:tcPr>
            <w:tcW w:w="1077" w:type="dxa"/>
          </w:tcPr>
          <w:p>
            <w:pPr>
              <w:pStyle w:val="TableParagraph"/>
              <w:spacing w:line="185" w:lineRule="exact"/>
              <w:ind w:right="72"/>
              <w:jc w:val="right"/>
              <w:rPr>
                <w:sz w:val="16"/>
              </w:rPr>
            </w:pPr>
            <w:r>
              <w:rPr>
                <w:color w:val="231F20"/>
                <w:w w:val="105"/>
                <w:sz w:val="16"/>
              </w:rPr>
              <w:t>4,463.49</w:t>
            </w:r>
          </w:p>
        </w:tc>
        <w:tc>
          <w:tcPr>
            <w:tcW w:w="1064" w:type="dxa"/>
          </w:tcPr>
          <w:p>
            <w:pPr>
              <w:pStyle w:val="TableParagraph"/>
              <w:spacing w:line="185" w:lineRule="exact"/>
              <w:ind w:right="179"/>
              <w:jc w:val="right"/>
              <w:rPr>
                <w:sz w:val="16"/>
              </w:rPr>
            </w:pPr>
            <w:r>
              <w:rPr>
                <w:color w:val="231F20"/>
                <w:w w:val="105"/>
                <w:sz w:val="16"/>
              </w:rPr>
              <w:t>4,377.50</w:t>
            </w:r>
          </w:p>
        </w:tc>
        <w:tc>
          <w:tcPr>
            <w:tcW w:w="1303" w:type="dxa"/>
          </w:tcPr>
          <w:p>
            <w:pPr>
              <w:pStyle w:val="TableParagraph"/>
              <w:spacing w:line="185" w:lineRule="exact"/>
              <w:ind w:right="311"/>
              <w:jc w:val="right"/>
              <w:rPr>
                <w:sz w:val="16"/>
              </w:rPr>
            </w:pPr>
            <w:r>
              <w:rPr>
                <w:color w:val="231F20"/>
                <w:w w:val="105"/>
                <w:sz w:val="16"/>
              </w:rPr>
              <w:t>7,137.82</w:t>
            </w:r>
          </w:p>
        </w:tc>
        <w:tc>
          <w:tcPr>
            <w:tcW w:w="1047" w:type="dxa"/>
          </w:tcPr>
          <w:p>
            <w:pPr>
              <w:pStyle w:val="TableParagraph"/>
              <w:spacing w:line="185" w:lineRule="exact"/>
              <w:ind w:right="419"/>
              <w:jc w:val="right"/>
              <w:rPr>
                <w:sz w:val="16"/>
              </w:rPr>
            </w:pPr>
            <w:r>
              <w:rPr>
                <w:color w:val="231F20"/>
                <w:w w:val="105"/>
                <w:sz w:val="16"/>
              </w:rPr>
              <w:t>1.63</w:t>
            </w:r>
          </w:p>
        </w:tc>
      </w:tr>
      <w:tr>
        <w:trPr>
          <w:trHeight w:val="218" w:hRule="exact"/>
        </w:trPr>
        <w:tc>
          <w:tcPr>
            <w:tcW w:w="1641" w:type="dxa"/>
          </w:tcPr>
          <w:p>
            <w:pPr>
              <w:pStyle w:val="TableParagraph"/>
              <w:spacing w:line="240" w:lineRule="auto" w:before="13"/>
              <w:ind w:left="35"/>
              <w:jc w:val="left"/>
              <w:rPr>
                <w:sz w:val="16"/>
              </w:rPr>
            </w:pPr>
            <w:r>
              <w:rPr>
                <w:color w:val="231F20"/>
                <w:w w:val="110"/>
                <w:sz w:val="16"/>
              </w:rPr>
              <w:t>064 El Oro</w:t>
            </w:r>
          </w:p>
        </w:tc>
        <w:tc>
          <w:tcPr>
            <w:tcW w:w="868" w:type="dxa"/>
          </w:tcPr>
          <w:p>
            <w:pPr>
              <w:pStyle w:val="TableParagraph"/>
              <w:spacing w:line="240" w:lineRule="auto" w:before="13"/>
              <w:ind w:right="192"/>
              <w:jc w:val="right"/>
              <w:rPr>
                <w:sz w:val="16"/>
              </w:rPr>
            </w:pPr>
            <w:r>
              <w:rPr>
                <w:color w:val="231F20"/>
                <w:sz w:val="16"/>
              </w:rPr>
              <w:t>4,872</w:t>
            </w:r>
          </w:p>
        </w:tc>
        <w:tc>
          <w:tcPr>
            <w:tcW w:w="1077" w:type="dxa"/>
          </w:tcPr>
          <w:p>
            <w:pPr>
              <w:pStyle w:val="TableParagraph"/>
              <w:spacing w:line="240" w:lineRule="auto" w:before="13"/>
              <w:ind w:right="72"/>
              <w:jc w:val="right"/>
              <w:rPr>
                <w:sz w:val="16"/>
              </w:rPr>
            </w:pPr>
            <w:r>
              <w:rPr>
                <w:color w:val="231F20"/>
                <w:w w:val="105"/>
                <w:sz w:val="16"/>
              </w:rPr>
              <w:t>4,892.65</w:t>
            </w:r>
          </w:p>
        </w:tc>
        <w:tc>
          <w:tcPr>
            <w:tcW w:w="1064" w:type="dxa"/>
          </w:tcPr>
          <w:p>
            <w:pPr>
              <w:pStyle w:val="TableParagraph"/>
              <w:spacing w:line="240" w:lineRule="auto" w:before="13"/>
              <w:ind w:right="179"/>
              <w:jc w:val="right"/>
              <w:rPr>
                <w:sz w:val="16"/>
              </w:rPr>
            </w:pPr>
            <w:r>
              <w:rPr>
                <w:color w:val="231F20"/>
                <w:w w:val="105"/>
                <w:sz w:val="16"/>
              </w:rPr>
              <w:t>4,726.94</w:t>
            </w:r>
          </w:p>
        </w:tc>
        <w:tc>
          <w:tcPr>
            <w:tcW w:w="1303" w:type="dxa"/>
          </w:tcPr>
          <w:p>
            <w:pPr>
              <w:pStyle w:val="TableParagraph"/>
              <w:spacing w:line="240" w:lineRule="auto" w:before="13"/>
              <w:ind w:right="311"/>
              <w:jc w:val="right"/>
              <w:rPr>
                <w:sz w:val="16"/>
              </w:rPr>
            </w:pPr>
            <w:r>
              <w:rPr>
                <w:color w:val="231F20"/>
                <w:w w:val="105"/>
                <w:sz w:val="16"/>
              </w:rPr>
              <w:t>8,330.24</w:t>
            </w:r>
          </w:p>
        </w:tc>
        <w:tc>
          <w:tcPr>
            <w:tcW w:w="1047" w:type="dxa"/>
          </w:tcPr>
          <w:p>
            <w:pPr>
              <w:pStyle w:val="TableParagraph"/>
              <w:spacing w:line="240" w:lineRule="auto" w:before="13"/>
              <w:ind w:right="419"/>
              <w:jc w:val="right"/>
              <w:rPr>
                <w:sz w:val="16"/>
              </w:rPr>
            </w:pPr>
            <w:r>
              <w:rPr>
                <w:color w:val="231F20"/>
                <w:w w:val="105"/>
                <w:sz w:val="16"/>
              </w:rPr>
              <w:t>1.76</w:t>
            </w:r>
          </w:p>
        </w:tc>
      </w:tr>
      <w:tr>
        <w:trPr>
          <w:trHeight w:val="392" w:hRule="exact"/>
        </w:trPr>
        <w:tc>
          <w:tcPr>
            <w:tcW w:w="1641" w:type="dxa"/>
          </w:tcPr>
          <w:p>
            <w:pPr>
              <w:pStyle w:val="TableParagraph"/>
              <w:spacing w:line="242" w:lineRule="auto"/>
              <w:ind w:left="35"/>
              <w:jc w:val="left"/>
              <w:rPr>
                <w:sz w:val="16"/>
              </w:rPr>
            </w:pPr>
            <w:r>
              <w:rPr>
                <w:color w:val="231F20"/>
                <w:w w:val="105"/>
                <w:sz w:val="16"/>
              </w:rPr>
              <w:t>074 San Felipe del Progreso</w:t>
            </w:r>
          </w:p>
        </w:tc>
        <w:tc>
          <w:tcPr>
            <w:tcW w:w="868" w:type="dxa"/>
          </w:tcPr>
          <w:p>
            <w:pPr>
              <w:pStyle w:val="TableParagraph"/>
              <w:spacing w:line="185" w:lineRule="exact"/>
              <w:ind w:right="192"/>
              <w:jc w:val="right"/>
              <w:rPr>
                <w:sz w:val="16"/>
              </w:rPr>
            </w:pPr>
            <w:r>
              <w:rPr>
                <w:color w:val="231F20"/>
                <w:w w:val="105"/>
                <w:sz w:val="16"/>
              </w:rPr>
              <w:t>11,085</w:t>
            </w:r>
          </w:p>
        </w:tc>
        <w:tc>
          <w:tcPr>
            <w:tcW w:w="1077" w:type="dxa"/>
          </w:tcPr>
          <w:p>
            <w:pPr>
              <w:pStyle w:val="TableParagraph"/>
              <w:spacing w:line="185" w:lineRule="exact"/>
              <w:ind w:right="72"/>
              <w:jc w:val="right"/>
              <w:rPr>
                <w:sz w:val="16"/>
              </w:rPr>
            </w:pPr>
            <w:r>
              <w:rPr>
                <w:color w:val="231F20"/>
                <w:sz w:val="16"/>
              </w:rPr>
              <w:t>12,413.13</w:t>
            </w:r>
          </w:p>
        </w:tc>
        <w:tc>
          <w:tcPr>
            <w:tcW w:w="1064" w:type="dxa"/>
          </w:tcPr>
          <w:p>
            <w:pPr>
              <w:pStyle w:val="TableParagraph"/>
              <w:spacing w:line="185" w:lineRule="exact"/>
              <w:ind w:right="179"/>
              <w:jc w:val="right"/>
              <w:rPr>
                <w:sz w:val="16"/>
              </w:rPr>
            </w:pPr>
            <w:r>
              <w:rPr>
                <w:color w:val="231F20"/>
                <w:sz w:val="16"/>
              </w:rPr>
              <w:t>12,172.85</w:t>
            </w:r>
          </w:p>
        </w:tc>
        <w:tc>
          <w:tcPr>
            <w:tcW w:w="1303" w:type="dxa"/>
          </w:tcPr>
          <w:p>
            <w:pPr>
              <w:pStyle w:val="TableParagraph"/>
              <w:spacing w:line="185" w:lineRule="exact"/>
              <w:ind w:right="311"/>
              <w:jc w:val="right"/>
              <w:rPr>
                <w:sz w:val="16"/>
              </w:rPr>
            </w:pPr>
            <w:r>
              <w:rPr>
                <w:color w:val="231F20"/>
                <w:sz w:val="16"/>
              </w:rPr>
              <w:t>25,738.24</w:t>
            </w:r>
          </w:p>
        </w:tc>
        <w:tc>
          <w:tcPr>
            <w:tcW w:w="1047" w:type="dxa"/>
          </w:tcPr>
          <w:p>
            <w:pPr>
              <w:pStyle w:val="TableParagraph"/>
              <w:spacing w:line="185" w:lineRule="exact"/>
              <w:ind w:right="419"/>
              <w:jc w:val="right"/>
              <w:rPr>
                <w:sz w:val="16"/>
              </w:rPr>
            </w:pPr>
            <w:r>
              <w:rPr>
                <w:color w:val="231F20"/>
                <w:w w:val="105"/>
                <w:sz w:val="16"/>
              </w:rPr>
              <w:t>2.11</w:t>
            </w:r>
          </w:p>
        </w:tc>
      </w:tr>
      <w:tr>
        <w:trPr>
          <w:trHeight w:val="202" w:hRule="exact"/>
        </w:trPr>
        <w:tc>
          <w:tcPr>
            <w:tcW w:w="1641" w:type="dxa"/>
          </w:tcPr>
          <w:p>
            <w:pPr>
              <w:pStyle w:val="TableParagraph"/>
              <w:spacing w:line="185" w:lineRule="exact"/>
              <w:ind w:left="35"/>
              <w:jc w:val="left"/>
              <w:rPr>
                <w:sz w:val="16"/>
              </w:rPr>
            </w:pPr>
            <w:r>
              <w:rPr>
                <w:color w:val="231F20"/>
                <w:w w:val="105"/>
                <w:sz w:val="16"/>
              </w:rPr>
              <w:t>085  Temascalcingo</w:t>
            </w:r>
          </w:p>
        </w:tc>
        <w:tc>
          <w:tcPr>
            <w:tcW w:w="868" w:type="dxa"/>
          </w:tcPr>
          <w:p>
            <w:pPr>
              <w:pStyle w:val="TableParagraph"/>
              <w:spacing w:line="185" w:lineRule="exact"/>
              <w:ind w:right="192"/>
              <w:jc w:val="right"/>
              <w:rPr>
                <w:sz w:val="16"/>
              </w:rPr>
            </w:pPr>
            <w:r>
              <w:rPr>
                <w:color w:val="231F20"/>
                <w:sz w:val="16"/>
              </w:rPr>
              <w:t>6,405</w:t>
            </w:r>
          </w:p>
        </w:tc>
        <w:tc>
          <w:tcPr>
            <w:tcW w:w="1077" w:type="dxa"/>
          </w:tcPr>
          <w:p>
            <w:pPr>
              <w:pStyle w:val="TableParagraph"/>
              <w:spacing w:line="185" w:lineRule="exact"/>
              <w:ind w:right="72"/>
              <w:jc w:val="right"/>
              <w:rPr>
                <w:sz w:val="16"/>
              </w:rPr>
            </w:pPr>
            <w:r>
              <w:rPr>
                <w:color w:val="231F20"/>
                <w:w w:val="105"/>
                <w:sz w:val="16"/>
              </w:rPr>
              <w:t>7,932.42</w:t>
            </w:r>
          </w:p>
        </w:tc>
        <w:tc>
          <w:tcPr>
            <w:tcW w:w="1064" w:type="dxa"/>
          </w:tcPr>
          <w:p>
            <w:pPr>
              <w:pStyle w:val="TableParagraph"/>
              <w:spacing w:line="185" w:lineRule="exact"/>
              <w:ind w:right="179"/>
              <w:jc w:val="right"/>
              <w:rPr>
                <w:sz w:val="16"/>
              </w:rPr>
            </w:pPr>
            <w:r>
              <w:rPr>
                <w:color w:val="231F20"/>
                <w:w w:val="105"/>
                <w:sz w:val="16"/>
              </w:rPr>
              <w:t>7,300.03</w:t>
            </w:r>
          </w:p>
        </w:tc>
        <w:tc>
          <w:tcPr>
            <w:tcW w:w="1303" w:type="dxa"/>
          </w:tcPr>
          <w:p>
            <w:pPr>
              <w:pStyle w:val="TableParagraph"/>
              <w:spacing w:line="185" w:lineRule="exact"/>
              <w:ind w:right="311"/>
              <w:jc w:val="right"/>
              <w:rPr>
                <w:sz w:val="16"/>
              </w:rPr>
            </w:pPr>
            <w:r>
              <w:rPr>
                <w:color w:val="231F20"/>
                <w:sz w:val="16"/>
              </w:rPr>
              <w:t>21,656.14</w:t>
            </w:r>
          </w:p>
        </w:tc>
        <w:tc>
          <w:tcPr>
            <w:tcW w:w="1047" w:type="dxa"/>
          </w:tcPr>
          <w:p>
            <w:pPr>
              <w:pStyle w:val="TableParagraph"/>
              <w:spacing w:line="185" w:lineRule="exact"/>
              <w:ind w:right="419"/>
              <w:jc w:val="right"/>
              <w:rPr>
                <w:sz w:val="16"/>
              </w:rPr>
            </w:pPr>
            <w:r>
              <w:rPr>
                <w:color w:val="231F20"/>
                <w:w w:val="105"/>
                <w:sz w:val="16"/>
              </w:rPr>
              <w:t>2.96</w:t>
            </w:r>
          </w:p>
        </w:tc>
      </w:tr>
      <w:tr>
        <w:trPr>
          <w:trHeight w:val="392" w:hRule="exact"/>
        </w:trPr>
        <w:tc>
          <w:tcPr>
            <w:tcW w:w="1641" w:type="dxa"/>
          </w:tcPr>
          <w:p>
            <w:pPr>
              <w:pStyle w:val="TableParagraph"/>
              <w:spacing w:line="242" w:lineRule="auto"/>
              <w:ind w:left="35"/>
              <w:jc w:val="left"/>
              <w:rPr>
                <w:sz w:val="16"/>
              </w:rPr>
            </w:pPr>
            <w:r>
              <w:rPr>
                <w:color w:val="231F20"/>
                <w:w w:val="110"/>
                <w:sz w:val="16"/>
              </w:rPr>
              <w:t>124 San José del Rincón</w:t>
            </w:r>
          </w:p>
        </w:tc>
        <w:tc>
          <w:tcPr>
            <w:tcW w:w="868" w:type="dxa"/>
          </w:tcPr>
          <w:p>
            <w:pPr>
              <w:pStyle w:val="TableParagraph"/>
              <w:spacing w:line="185" w:lineRule="exact"/>
              <w:ind w:right="192"/>
              <w:jc w:val="right"/>
              <w:rPr>
                <w:sz w:val="16"/>
              </w:rPr>
            </w:pPr>
            <w:r>
              <w:rPr>
                <w:color w:val="231F20"/>
                <w:w w:val="105"/>
                <w:sz w:val="16"/>
              </w:rPr>
              <w:t>11,101</w:t>
            </w:r>
          </w:p>
        </w:tc>
        <w:tc>
          <w:tcPr>
            <w:tcW w:w="1077" w:type="dxa"/>
          </w:tcPr>
          <w:p>
            <w:pPr>
              <w:pStyle w:val="TableParagraph"/>
              <w:spacing w:line="185" w:lineRule="exact"/>
              <w:ind w:right="72"/>
              <w:jc w:val="right"/>
              <w:rPr>
                <w:sz w:val="16"/>
              </w:rPr>
            </w:pPr>
            <w:r>
              <w:rPr>
                <w:color w:val="231F20"/>
                <w:w w:val="105"/>
                <w:sz w:val="16"/>
              </w:rPr>
              <w:t>16,44.52</w:t>
            </w:r>
          </w:p>
        </w:tc>
        <w:tc>
          <w:tcPr>
            <w:tcW w:w="1064" w:type="dxa"/>
          </w:tcPr>
          <w:p>
            <w:pPr>
              <w:pStyle w:val="TableParagraph"/>
              <w:spacing w:line="185" w:lineRule="exact"/>
              <w:ind w:right="179"/>
              <w:jc w:val="right"/>
              <w:rPr>
                <w:sz w:val="16"/>
              </w:rPr>
            </w:pPr>
            <w:r>
              <w:rPr>
                <w:color w:val="231F20"/>
                <w:sz w:val="16"/>
              </w:rPr>
              <w:t>16,283.03</w:t>
            </w:r>
          </w:p>
        </w:tc>
        <w:tc>
          <w:tcPr>
            <w:tcW w:w="1303" w:type="dxa"/>
          </w:tcPr>
          <w:p>
            <w:pPr>
              <w:pStyle w:val="TableParagraph"/>
              <w:spacing w:line="185" w:lineRule="exact"/>
              <w:ind w:right="311"/>
              <w:jc w:val="right"/>
              <w:rPr>
                <w:sz w:val="16"/>
              </w:rPr>
            </w:pPr>
            <w:r>
              <w:rPr>
                <w:color w:val="231F20"/>
                <w:sz w:val="16"/>
              </w:rPr>
              <w:t>26,835.51</w:t>
            </w:r>
          </w:p>
        </w:tc>
        <w:tc>
          <w:tcPr>
            <w:tcW w:w="1047" w:type="dxa"/>
          </w:tcPr>
          <w:p>
            <w:pPr>
              <w:pStyle w:val="TableParagraph"/>
              <w:spacing w:line="185" w:lineRule="exact"/>
              <w:ind w:right="419"/>
              <w:jc w:val="right"/>
              <w:rPr>
                <w:sz w:val="16"/>
              </w:rPr>
            </w:pPr>
            <w:r>
              <w:rPr>
                <w:color w:val="231F20"/>
                <w:w w:val="105"/>
                <w:sz w:val="16"/>
              </w:rPr>
              <w:t>1.64</w:t>
            </w:r>
          </w:p>
        </w:tc>
      </w:tr>
      <w:tr>
        <w:trPr>
          <w:trHeight w:val="460" w:hRule="exact"/>
        </w:trPr>
        <w:tc>
          <w:tcPr>
            <w:tcW w:w="1641" w:type="dxa"/>
            <w:tcBorders>
              <w:bottom w:val="single" w:sz="3" w:space="0" w:color="231F20"/>
            </w:tcBorders>
          </w:tcPr>
          <w:p>
            <w:pPr>
              <w:pStyle w:val="TableParagraph"/>
              <w:spacing w:line="242" w:lineRule="auto"/>
              <w:ind w:left="35"/>
              <w:jc w:val="left"/>
              <w:rPr>
                <w:sz w:val="16"/>
              </w:rPr>
            </w:pPr>
            <w:r>
              <w:rPr>
                <w:color w:val="231F20"/>
                <w:w w:val="110"/>
                <w:sz w:val="16"/>
              </w:rPr>
              <w:t>Total región Atlacomulco</w:t>
            </w:r>
          </w:p>
        </w:tc>
        <w:tc>
          <w:tcPr>
            <w:tcW w:w="868" w:type="dxa"/>
            <w:tcBorders>
              <w:bottom w:val="single" w:sz="3" w:space="0" w:color="231F20"/>
            </w:tcBorders>
          </w:tcPr>
          <w:p>
            <w:pPr>
              <w:pStyle w:val="TableParagraph"/>
              <w:spacing w:line="185" w:lineRule="exact"/>
              <w:ind w:right="192"/>
              <w:jc w:val="right"/>
              <w:rPr>
                <w:sz w:val="16"/>
              </w:rPr>
            </w:pPr>
            <w:r>
              <w:rPr>
                <w:color w:val="231F20"/>
                <w:w w:val="105"/>
                <w:sz w:val="16"/>
              </w:rPr>
              <w:t>69,400</w:t>
            </w:r>
          </w:p>
        </w:tc>
        <w:tc>
          <w:tcPr>
            <w:tcW w:w="1077" w:type="dxa"/>
            <w:tcBorders>
              <w:bottom w:val="single" w:sz="3" w:space="0" w:color="231F20"/>
            </w:tcBorders>
          </w:tcPr>
          <w:p>
            <w:pPr>
              <w:pStyle w:val="TableParagraph"/>
              <w:spacing w:line="185" w:lineRule="exact"/>
              <w:ind w:right="72"/>
              <w:jc w:val="right"/>
              <w:rPr>
                <w:sz w:val="16"/>
              </w:rPr>
            </w:pPr>
            <w:r>
              <w:rPr>
                <w:color w:val="231F20"/>
                <w:w w:val="105"/>
                <w:sz w:val="16"/>
              </w:rPr>
              <w:t>107,567.36</w:t>
            </w:r>
          </w:p>
        </w:tc>
        <w:tc>
          <w:tcPr>
            <w:tcW w:w="1064" w:type="dxa"/>
            <w:tcBorders>
              <w:bottom w:val="single" w:sz="3" w:space="0" w:color="231F20"/>
            </w:tcBorders>
          </w:tcPr>
          <w:p>
            <w:pPr>
              <w:pStyle w:val="TableParagraph"/>
              <w:spacing w:line="185" w:lineRule="exact"/>
              <w:ind w:right="179"/>
              <w:jc w:val="right"/>
              <w:rPr>
                <w:sz w:val="16"/>
              </w:rPr>
            </w:pPr>
            <w:r>
              <w:rPr>
                <w:color w:val="231F20"/>
                <w:w w:val="105"/>
                <w:sz w:val="16"/>
              </w:rPr>
              <w:t>101,563.46</w:t>
            </w:r>
          </w:p>
        </w:tc>
        <w:tc>
          <w:tcPr>
            <w:tcW w:w="1303" w:type="dxa"/>
            <w:tcBorders>
              <w:bottom w:val="single" w:sz="3" w:space="0" w:color="231F20"/>
            </w:tcBorders>
          </w:tcPr>
          <w:p>
            <w:pPr>
              <w:pStyle w:val="TableParagraph"/>
              <w:spacing w:line="185" w:lineRule="exact"/>
              <w:ind w:right="311"/>
              <w:jc w:val="right"/>
              <w:rPr>
                <w:sz w:val="16"/>
              </w:rPr>
            </w:pPr>
            <w:r>
              <w:rPr>
                <w:color w:val="231F20"/>
                <w:w w:val="105"/>
                <w:sz w:val="16"/>
              </w:rPr>
              <w:t>223,234.97</w:t>
            </w:r>
          </w:p>
        </w:tc>
        <w:tc>
          <w:tcPr>
            <w:tcW w:w="1047" w:type="dxa"/>
            <w:tcBorders>
              <w:bottom w:val="single" w:sz="3" w:space="0" w:color="231F20"/>
            </w:tcBorders>
          </w:tcPr>
          <w:p>
            <w:pPr>
              <w:pStyle w:val="TableParagraph"/>
              <w:spacing w:line="185" w:lineRule="exact"/>
              <w:ind w:right="419"/>
              <w:jc w:val="right"/>
              <w:rPr>
                <w:sz w:val="16"/>
              </w:rPr>
            </w:pPr>
            <w:r>
              <w:rPr>
                <w:color w:val="231F20"/>
                <w:w w:val="105"/>
                <w:sz w:val="16"/>
              </w:rPr>
              <w:t>2.19</w:t>
            </w:r>
          </w:p>
        </w:tc>
      </w:tr>
    </w:tbl>
    <w:p>
      <w:pPr>
        <w:spacing w:before="64"/>
        <w:ind w:left="500" w:right="0" w:firstLine="0"/>
        <w:jc w:val="left"/>
        <w:rPr>
          <w:sz w:val="15"/>
        </w:rPr>
      </w:pPr>
      <w:r>
        <w:rPr>
          <w:color w:val="231F20"/>
          <w:w w:val="110"/>
          <w:sz w:val="15"/>
        </w:rPr>
        <w:t>Fuente: Elaboración propia a partir del Censo Agrícola Ganadero y Forestal 2007,  </w:t>
      </w:r>
      <w:r>
        <w:rPr>
          <w:rFonts w:ascii="Times New Roman" w:hAnsi="Times New Roman"/>
          <w:color w:val="231F20"/>
          <w:w w:val="110"/>
          <w:sz w:val="12"/>
        </w:rPr>
        <w:t>INEGI</w:t>
      </w:r>
      <w:r>
        <w:rPr>
          <w:color w:val="231F20"/>
          <w:w w:val="110"/>
          <w:sz w:val="15"/>
        </w:rPr>
        <w:t>.</w:t>
      </w:r>
    </w:p>
    <w:p>
      <w:pPr>
        <w:pStyle w:val="BodyText"/>
        <w:rPr>
          <w:sz w:val="14"/>
        </w:rPr>
      </w:pPr>
    </w:p>
    <w:p>
      <w:pPr>
        <w:pStyle w:val="BodyText"/>
        <w:rPr>
          <w:sz w:val="15"/>
        </w:rPr>
      </w:pPr>
    </w:p>
    <w:p>
      <w:pPr>
        <w:pStyle w:val="BodyText"/>
        <w:spacing w:line="288" w:lineRule="auto"/>
        <w:ind w:left="139" w:right="117" w:firstLine="360"/>
        <w:jc w:val="both"/>
      </w:pPr>
      <w:r>
        <w:rPr>
          <w:color w:val="231F20"/>
          <w:w w:val="110"/>
        </w:rPr>
        <w:t>En el </w:t>
      </w:r>
      <w:r>
        <w:rPr>
          <w:color w:val="231F20"/>
          <w:spacing w:val="-5"/>
          <w:w w:val="110"/>
        </w:rPr>
        <w:t>Valle </w:t>
      </w:r>
      <w:r>
        <w:rPr>
          <w:color w:val="231F20"/>
          <w:w w:val="110"/>
        </w:rPr>
        <w:t>de Ixtlahuaca, de acuerdo con los datos de la región Atlaco- mulco, 25 por ciento de las unidades de producción aún cultivan maíz en el sistema agrícola tradicional de la milpa,</w:t>
      </w:r>
      <w:r>
        <w:rPr>
          <w:color w:val="231F20"/>
          <w:w w:val="110"/>
          <w:position w:val="6"/>
          <w:sz w:val="11"/>
        </w:rPr>
        <w:t>12 </w:t>
      </w:r>
      <w:r>
        <w:rPr>
          <w:color w:val="231F20"/>
          <w:w w:val="110"/>
        </w:rPr>
        <w:t>cuyas características son: no dependen de insumos externos; baja o nula inversión de capital; usan los recursos genéticos locales; reciclan los nutrientes; manejan los microam- bientes; utilizan la diversidad biológica como estrategia de producción; compatibilizan la búsqueda de su incremento con seguridad, y enfocan la producción a la satisfacción de las necesidades de la familia y las  </w:t>
      </w:r>
      <w:r>
        <w:rPr>
          <w:color w:val="231F20"/>
          <w:spacing w:val="23"/>
          <w:w w:val="110"/>
        </w:rPr>
        <w:t> </w:t>
      </w:r>
      <w:r>
        <w:rPr>
          <w:color w:val="231F20"/>
          <w:w w:val="110"/>
        </w:rPr>
        <w:t>locales.</w:t>
      </w:r>
    </w:p>
    <w:p>
      <w:pPr>
        <w:pStyle w:val="BodyText"/>
        <w:spacing w:before="8"/>
      </w:pPr>
    </w:p>
    <w:p>
      <w:pPr>
        <w:spacing w:before="0"/>
        <w:ind w:left="500" w:right="0" w:firstLine="0"/>
        <w:jc w:val="left"/>
        <w:rPr>
          <w:sz w:val="16"/>
        </w:rPr>
      </w:pPr>
      <w:r>
        <w:rPr>
          <w:color w:val="231F20"/>
          <w:w w:val="110"/>
          <w:position w:val="5"/>
          <w:sz w:val="9"/>
        </w:rPr>
        <w:t>12 </w:t>
      </w:r>
      <w:r>
        <w:rPr>
          <w:color w:val="231F20"/>
          <w:w w:val="110"/>
          <w:sz w:val="16"/>
        </w:rPr>
        <w:t>Considerado como el sistema agrícola tradicional de temporal.</w:t>
      </w:r>
    </w:p>
    <w:p>
      <w:pPr>
        <w:spacing w:after="0"/>
        <w:jc w:val="left"/>
        <w:rPr>
          <w:sz w:val="16"/>
        </w:rPr>
        <w:sectPr>
          <w:type w:val="continuous"/>
          <w:pgSz w:w="9520" w:h="12920"/>
          <w:pgMar w:top="0" w:bottom="0" w:left="980" w:right="1320"/>
        </w:sectPr>
      </w:pPr>
    </w:p>
    <w:p>
      <w:pPr>
        <w:spacing w:line="185" w:lineRule="exact" w:before="65"/>
        <w:ind w:left="28" w:right="0" w:firstLine="0"/>
        <w:jc w:val="center"/>
        <w:rPr>
          <w:sz w:val="16"/>
        </w:rPr>
      </w:pPr>
      <w:r>
        <w:rPr>
          <w:color w:val="231F20"/>
          <w:w w:val="105"/>
          <w:sz w:val="16"/>
        </w:rPr>
        <w:t>Cuadro 2</w:t>
      </w:r>
    </w:p>
    <w:p>
      <w:pPr>
        <w:spacing w:line="210" w:lineRule="exact" w:before="9"/>
        <w:ind w:left="1178" w:right="1147" w:firstLine="0"/>
        <w:jc w:val="center"/>
        <w:rPr>
          <w:sz w:val="19"/>
        </w:rPr>
      </w:pPr>
      <w:r>
        <w:rPr>
          <w:color w:val="231F20"/>
          <w:w w:val="90"/>
          <w:sz w:val="19"/>
        </w:rPr>
        <w:t>Superficie sembrada de maíz de riego y temporal en los municipios</w:t>
      </w:r>
      <w:r>
        <w:rPr>
          <w:color w:val="231F20"/>
          <w:w w:val="87"/>
          <w:sz w:val="19"/>
        </w:rPr>
        <w:t> </w:t>
      </w:r>
      <w:r>
        <w:rPr>
          <w:color w:val="231F20"/>
          <w:w w:val="90"/>
          <w:sz w:val="19"/>
        </w:rPr>
        <w:t>de la región Atlacomulco. Ciclo primavera-verano 2007 (hectáreas)</w:t>
      </w:r>
    </w:p>
    <w:p>
      <w:pPr>
        <w:pStyle w:val="BodyText"/>
        <w:spacing w:before="6"/>
        <w:rPr>
          <w:sz w:val="13"/>
        </w:rPr>
      </w:pPr>
      <w:r>
        <w:rPr/>
        <w:pict>
          <v:group style="position:absolute;margin-left:72.019997pt;margin-top:9.900045pt;width:348.4pt;height:.4pt;mso-position-horizontal-relative:page;mso-position-vertical-relative:paragraph;z-index:3232;mso-wrap-distance-left:0;mso-wrap-distance-right:0" coordorigin="1440,198" coordsize="6968,8">
            <v:line style="position:absolute" from="1444,202" to="3764,202" stroked="true" strokeweight=".4pt" strokecolor="#231f20"/>
            <v:line style="position:absolute" from="3764,202" to="5636,202" stroked="true" strokeweight=".4pt" strokecolor="#231f20"/>
            <v:line style="position:absolute" from="5636,202" to="7052,202" stroked="true" strokeweight=".4pt" strokecolor="#231f20"/>
            <v:line style="position:absolute" from="7052,202" to="8404,202" stroked="true" strokeweight=".4pt" strokecolor="#231f20"/>
            <w10:wrap type="topAndBottom"/>
          </v:group>
        </w:pict>
      </w:r>
    </w:p>
    <w:p>
      <w:pPr>
        <w:spacing w:before="69" w:after="65"/>
        <w:ind w:left="4024" w:right="0" w:firstLine="0"/>
        <w:jc w:val="left"/>
        <w:rPr>
          <w:i/>
          <w:sz w:val="17"/>
        </w:rPr>
      </w:pPr>
      <w:r>
        <w:rPr>
          <w:i/>
          <w:color w:val="231F20"/>
          <w:w w:val="105"/>
          <w:sz w:val="17"/>
        </w:rPr>
        <w:t>Superficie sembrada</w:t>
      </w:r>
    </w:p>
    <w:p>
      <w:pPr>
        <w:pStyle w:val="BodyText"/>
        <w:spacing w:line="20" w:lineRule="exact"/>
        <w:ind w:left="2460"/>
        <w:rPr>
          <w:sz w:val="2"/>
        </w:rPr>
      </w:pPr>
      <w:r>
        <w:rPr>
          <w:sz w:val="2"/>
        </w:rPr>
        <w:pict>
          <v:group style="width:232.4pt;height:.4pt;mso-position-horizontal-relative:char;mso-position-vertical-relative:line" coordorigin="0,0" coordsize="4648,8">
            <v:line style="position:absolute" from="4,4" to="1876,4" stroked="true" strokeweight=".4pt" strokecolor="#231f20"/>
            <v:line style="position:absolute" from="1876,4" to="3292,4" stroked="true" strokeweight=".4pt" strokecolor="#231f20"/>
            <v:line style="position:absolute" from="3292,4" to="4644,4" stroked="true" strokeweight=".4pt" strokecolor="#231f20"/>
          </v:group>
        </w:pict>
      </w:r>
      <w:r>
        <w:rPr>
          <w:sz w:val="2"/>
        </w:rPr>
      </w:r>
    </w:p>
    <w:p>
      <w:pPr>
        <w:tabs>
          <w:tab w:pos="3212" w:val="left" w:leader="none"/>
          <w:tab w:pos="4834" w:val="left" w:leader="none"/>
          <w:tab w:pos="6051" w:val="left" w:leader="none"/>
        </w:tabs>
        <w:spacing w:before="72"/>
        <w:ind w:left="927" w:right="0" w:firstLine="0"/>
        <w:jc w:val="left"/>
        <w:rPr>
          <w:sz w:val="17"/>
        </w:rPr>
      </w:pPr>
      <w:r>
        <w:rPr>
          <w:i/>
          <w:color w:val="231F20"/>
          <w:w w:val="105"/>
          <w:sz w:val="17"/>
        </w:rPr>
        <w:t>Municipio</w:t>
        <w:tab/>
        <w:t>Total</w:t>
        <w:tab/>
        <w:t>Riego</w:t>
        <w:tab/>
      </w:r>
      <w:r>
        <w:rPr>
          <w:color w:val="231F20"/>
          <w:w w:val="105"/>
          <w:sz w:val="17"/>
        </w:rPr>
        <w:t>Temporal</w:t>
      </w:r>
    </w:p>
    <w:p>
      <w:pPr>
        <w:pStyle w:val="BodyText"/>
        <w:rPr>
          <w:sz w:val="7"/>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39"/>
        <w:gridCol w:w="1591"/>
        <w:gridCol w:w="1466"/>
        <w:gridCol w:w="1399"/>
      </w:tblGrid>
      <w:tr>
        <w:trPr>
          <w:trHeight w:val="303" w:hRule="exact"/>
        </w:trPr>
        <w:tc>
          <w:tcPr>
            <w:tcW w:w="2539" w:type="dxa"/>
            <w:tcBorders>
              <w:top w:val="single" w:sz="3" w:space="0" w:color="231F20"/>
            </w:tcBorders>
          </w:tcPr>
          <w:p>
            <w:pPr>
              <w:pStyle w:val="TableParagraph"/>
              <w:spacing w:line="240" w:lineRule="auto" w:before="84"/>
              <w:ind w:left="35"/>
              <w:jc w:val="left"/>
              <w:rPr>
                <w:sz w:val="17"/>
              </w:rPr>
            </w:pPr>
            <w:r>
              <w:rPr>
                <w:color w:val="231F20"/>
                <w:w w:val="105"/>
                <w:sz w:val="17"/>
              </w:rPr>
              <w:t>001  Acambay</w:t>
            </w:r>
          </w:p>
        </w:tc>
        <w:tc>
          <w:tcPr>
            <w:tcW w:w="1591" w:type="dxa"/>
            <w:tcBorders>
              <w:top w:val="single" w:sz="3" w:space="0" w:color="231F20"/>
            </w:tcBorders>
          </w:tcPr>
          <w:p>
            <w:pPr>
              <w:pStyle w:val="TableParagraph"/>
              <w:spacing w:line="240" w:lineRule="auto" w:before="84"/>
              <w:ind w:right="421"/>
              <w:jc w:val="right"/>
              <w:rPr>
                <w:sz w:val="17"/>
              </w:rPr>
            </w:pPr>
            <w:r>
              <w:rPr>
                <w:color w:val="231F20"/>
                <w:w w:val="105"/>
                <w:sz w:val="17"/>
              </w:rPr>
              <w:t>18 723.00</w:t>
            </w:r>
          </w:p>
        </w:tc>
        <w:tc>
          <w:tcPr>
            <w:tcW w:w="1466" w:type="dxa"/>
            <w:tcBorders>
              <w:top w:val="single" w:sz="3" w:space="0" w:color="231F20"/>
            </w:tcBorders>
          </w:tcPr>
          <w:p>
            <w:pPr>
              <w:pStyle w:val="TableParagraph"/>
              <w:spacing w:line="240" w:lineRule="auto" w:before="84"/>
              <w:ind w:right="271"/>
              <w:jc w:val="right"/>
              <w:rPr>
                <w:sz w:val="17"/>
              </w:rPr>
            </w:pPr>
            <w:r>
              <w:rPr>
                <w:color w:val="231F20"/>
                <w:w w:val="105"/>
                <w:sz w:val="17"/>
              </w:rPr>
              <w:t>2 369.64</w:t>
            </w:r>
          </w:p>
        </w:tc>
        <w:tc>
          <w:tcPr>
            <w:tcW w:w="1399" w:type="dxa"/>
            <w:tcBorders>
              <w:top w:val="single" w:sz="3" w:space="0" w:color="231F20"/>
            </w:tcBorders>
          </w:tcPr>
          <w:p>
            <w:pPr>
              <w:pStyle w:val="TableParagraph"/>
              <w:spacing w:line="240" w:lineRule="auto" w:before="84"/>
              <w:ind w:right="258"/>
              <w:jc w:val="right"/>
              <w:rPr>
                <w:sz w:val="17"/>
              </w:rPr>
            </w:pPr>
            <w:r>
              <w:rPr>
                <w:color w:val="231F20"/>
                <w:w w:val="105"/>
                <w:sz w:val="17"/>
              </w:rPr>
              <w:t>16 353.36</w:t>
            </w:r>
          </w:p>
        </w:tc>
      </w:tr>
      <w:tr>
        <w:trPr>
          <w:trHeight w:val="210" w:hRule="exact"/>
        </w:trPr>
        <w:tc>
          <w:tcPr>
            <w:tcW w:w="2539" w:type="dxa"/>
          </w:tcPr>
          <w:p>
            <w:pPr>
              <w:pStyle w:val="TableParagraph"/>
              <w:ind w:left="35"/>
              <w:jc w:val="left"/>
              <w:rPr>
                <w:sz w:val="17"/>
              </w:rPr>
            </w:pPr>
            <w:r>
              <w:rPr>
                <w:color w:val="231F20"/>
                <w:w w:val="105"/>
                <w:sz w:val="17"/>
              </w:rPr>
              <w:t>014  Atlacomulco</w:t>
            </w:r>
          </w:p>
        </w:tc>
        <w:tc>
          <w:tcPr>
            <w:tcW w:w="1591" w:type="dxa"/>
          </w:tcPr>
          <w:p>
            <w:pPr>
              <w:pStyle w:val="TableParagraph"/>
              <w:ind w:right="421"/>
              <w:jc w:val="right"/>
              <w:rPr>
                <w:sz w:val="17"/>
              </w:rPr>
            </w:pPr>
            <w:r>
              <w:rPr>
                <w:color w:val="231F20"/>
                <w:w w:val="105"/>
                <w:sz w:val="17"/>
              </w:rPr>
              <w:t>30 211.55</w:t>
            </w:r>
          </w:p>
        </w:tc>
        <w:tc>
          <w:tcPr>
            <w:tcW w:w="1466" w:type="dxa"/>
          </w:tcPr>
          <w:p>
            <w:pPr>
              <w:pStyle w:val="TableParagraph"/>
              <w:ind w:right="271"/>
              <w:jc w:val="right"/>
              <w:rPr>
                <w:sz w:val="17"/>
              </w:rPr>
            </w:pPr>
            <w:r>
              <w:rPr>
                <w:color w:val="231F20"/>
                <w:w w:val="105"/>
                <w:sz w:val="17"/>
              </w:rPr>
              <w:t>8 637.13</w:t>
            </w:r>
          </w:p>
        </w:tc>
        <w:tc>
          <w:tcPr>
            <w:tcW w:w="1399" w:type="dxa"/>
          </w:tcPr>
          <w:p>
            <w:pPr>
              <w:pStyle w:val="TableParagraph"/>
              <w:ind w:right="258"/>
              <w:jc w:val="right"/>
              <w:rPr>
                <w:sz w:val="17"/>
              </w:rPr>
            </w:pPr>
            <w:r>
              <w:rPr>
                <w:color w:val="231F20"/>
                <w:w w:val="105"/>
                <w:sz w:val="17"/>
              </w:rPr>
              <w:t>21 574.42</w:t>
            </w:r>
          </w:p>
        </w:tc>
      </w:tr>
      <w:tr>
        <w:trPr>
          <w:trHeight w:val="210" w:hRule="exact"/>
        </w:trPr>
        <w:tc>
          <w:tcPr>
            <w:tcW w:w="2539" w:type="dxa"/>
          </w:tcPr>
          <w:p>
            <w:pPr>
              <w:pStyle w:val="TableParagraph"/>
              <w:ind w:left="35"/>
              <w:jc w:val="left"/>
              <w:rPr>
                <w:sz w:val="17"/>
              </w:rPr>
            </w:pPr>
            <w:r>
              <w:rPr>
                <w:color w:val="231F20"/>
                <w:w w:val="105"/>
                <w:sz w:val="17"/>
              </w:rPr>
              <w:t>042  Ixtlahuaca</w:t>
            </w:r>
          </w:p>
        </w:tc>
        <w:tc>
          <w:tcPr>
            <w:tcW w:w="1591" w:type="dxa"/>
          </w:tcPr>
          <w:p>
            <w:pPr>
              <w:pStyle w:val="TableParagraph"/>
              <w:ind w:right="421"/>
              <w:jc w:val="right"/>
              <w:rPr>
                <w:sz w:val="17"/>
              </w:rPr>
            </w:pPr>
            <w:r>
              <w:rPr>
                <w:color w:val="231F20"/>
                <w:w w:val="105"/>
                <w:sz w:val="17"/>
              </w:rPr>
              <w:t>20 010.59</w:t>
            </w:r>
          </w:p>
        </w:tc>
        <w:tc>
          <w:tcPr>
            <w:tcW w:w="1466" w:type="dxa"/>
          </w:tcPr>
          <w:p>
            <w:pPr>
              <w:pStyle w:val="TableParagraph"/>
              <w:ind w:right="271"/>
              <w:jc w:val="right"/>
              <w:rPr>
                <w:sz w:val="17"/>
              </w:rPr>
            </w:pPr>
            <w:r>
              <w:rPr>
                <w:color w:val="231F20"/>
                <w:w w:val="105"/>
                <w:sz w:val="17"/>
              </w:rPr>
              <w:t>9 705.63</w:t>
            </w:r>
          </w:p>
        </w:tc>
        <w:tc>
          <w:tcPr>
            <w:tcW w:w="1399" w:type="dxa"/>
          </w:tcPr>
          <w:p>
            <w:pPr>
              <w:pStyle w:val="TableParagraph"/>
              <w:ind w:right="258"/>
              <w:jc w:val="right"/>
              <w:rPr>
                <w:sz w:val="17"/>
              </w:rPr>
            </w:pPr>
            <w:r>
              <w:rPr>
                <w:color w:val="231F20"/>
                <w:w w:val="105"/>
                <w:sz w:val="17"/>
              </w:rPr>
              <w:t>10 304.96</w:t>
            </w:r>
          </w:p>
        </w:tc>
      </w:tr>
      <w:tr>
        <w:trPr>
          <w:trHeight w:val="210" w:hRule="exact"/>
        </w:trPr>
        <w:tc>
          <w:tcPr>
            <w:tcW w:w="2539" w:type="dxa"/>
          </w:tcPr>
          <w:p>
            <w:pPr>
              <w:pStyle w:val="TableParagraph"/>
              <w:ind w:left="35"/>
              <w:jc w:val="left"/>
              <w:rPr>
                <w:sz w:val="17"/>
              </w:rPr>
            </w:pPr>
            <w:r>
              <w:rPr>
                <w:color w:val="231F20"/>
                <w:w w:val="110"/>
                <w:sz w:val="17"/>
              </w:rPr>
              <w:t>048 Jocotitlán</w:t>
            </w:r>
          </w:p>
        </w:tc>
        <w:tc>
          <w:tcPr>
            <w:tcW w:w="1591" w:type="dxa"/>
          </w:tcPr>
          <w:p>
            <w:pPr>
              <w:pStyle w:val="TableParagraph"/>
              <w:ind w:right="421"/>
              <w:jc w:val="right"/>
              <w:rPr>
                <w:sz w:val="17"/>
              </w:rPr>
            </w:pPr>
            <w:r>
              <w:rPr>
                <w:color w:val="231F20"/>
                <w:w w:val="105"/>
                <w:sz w:val="17"/>
              </w:rPr>
              <w:t>14 584.25</w:t>
            </w:r>
          </w:p>
        </w:tc>
        <w:tc>
          <w:tcPr>
            <w:tcW w:w="1466" w:type="dxa"/>
          </w:tcPr>
          <w:p>
            <w:pPr>
              <w:pStyle w:val="TableParagraph"/>
              <w:ind w:right="271"/>
              <w:jc w:val="right"/>
              <w:rPr>
                <w:sz w:val="17"/>
              </w:rPr>
            </w:pPr>
            <w:r>
              <w:rPr>
                <w:color w:val="231F20"/>
                <w:w w:val="105"/>
                <w:sz w:val="17"/>
              </w:rPr>
              <w:t>5 955.14</w:t>
            </w:r>
          </w:p>
        </w:tc>
        <w:tc>
          <w:tcPr>
            <w:tcW w:w="1399" w:type="dxa"/>
          </w:tcPr>
          <w:p>
            <w:pPr>
              <w:pStyle w:val="TableParagraph"/>
              <w:ind w:right="258"/>
              <w:jc w:val="right"/>
              <w:rPr>
                <w:sz w:val="17"/>
              </w:rPr>
            </w:pPr>
            <w:r>
              <w:rPr>
                <w:color w:val="231F20"/>
                <w:w w:val="105"/>
                <w:sz w:val="17"/>
              </w:rPr>
              <w:t>8 629.11</w:t>
            </w:r>
          </w:p>
        </w:tc>
      </w:tr>
      <w:tr>
        <w:trPr>
          <w:trHeight w:val="215" w:hRule="exact"/>
        </w:trPr>
        <w:tc>
          <w:tcPr>
            <w:tcW w:w="2539" w:type="dxa"/>
          </w:tcPr>
          <w:p>
            <w:pPr>
              <w:pStyle w:val="TableParagraph"/>
              <w:ind w:left="35"/>
              <w:jc w:val="left"/>
              <w:rPr>
                <w:sz w:val="17"/>
              </w:rPr>
            </w:pPr>
            <w:r>
              <w:rPr>
                <w:color w:val="231F20"/>
                <w:w w:val="105"/>
                <w:sz w:val="17"/>
              </w:rPr>
              <w:t>056 Morelos</w:t>
            </w:r>
          </w:p>
        </w:tc>
        <w:tc>
          <w:tcPr>
            <w:tcW w:w="1591" w:type="dxa"/>
          </w:tcPr>
          <w:p>
            <w:pPr>
              <w:pStyle w:val="TableParagraph"/>
              <w:ind w:right="421"/>
              <w:jc w:val="right"/>
              <w:rPr>
                <w:sz w:val="17"/>
              </w:rPr>
            </w:pPr>
            <w:r>
              <w:rPr>
                <w:color w:val="231F20"/>
                <w:w w:val="105"/>
                <w:sz w:val="17"/>
              </w:rPr>
              <w:t>6 611.31</w:t>
            </w:r>
          </w:p>
        </w:tc>
        <w:tc>
          <w:tcPr>
            <w:tcW w:w="1466" w:type="dxa"/>
          </w:tcPr>
          <w:p>
            <w:pPr>
              <w:pStyle w:val="TableParagraph"/>
              <w:ind w:right="272"/>
              <w:jc w:val="right"/>
              <w:rPr>
                <w:sz w:val="17"/>
              </w:rPr>
            </w:pPr>
            <w:r>
              <w:rPr>
                <w:color w:val="231F20"/>
                <w:sz w:val="17"/>
              </w:rPr>
              <w:t>647.21</w:t>
            </w:r>
          </w:p>
        </w:tc>
        <w:tc>
          <w:tcPr>
            <w:tcW w:w="1399" w:type="dxa"/>
          </w:tcPr>
          <w:p>
            <w:pPr>
              <w:pStyle w:val="TableParagraph"/>
              <w:ind w:right="258"/>
              <w:jc w:val="right"/>
              <w:rPr>
                <w:sz w:val="17"/>
              </w:rPr>
            </w:pPr>
            <w:r>
              <w:rPr>
                <w:color w:val="231F20"/>
                <w:w w:val="105"/>
                <w:sz w:val="17"/>
              </w:rPr>
              <w:t>5 964.10</w:t>
            </w:r>
          </w:p>
        </w:tc>
      </w:tr>
      <w:tr>
        <w:trPr>
          <w:trHeight w:val="215" w:hRule="exact"/>
        </w:trPr>
        <w:tc>
          <w:tcPr>
            <w:tcW w:w="2539" w:type="dxa"/>
          </w:tcPr>
          <w:p>
            <w:pPr>
              <w:pStyle w:val="TableParagraph"/>
              <w:spacing w:line="240" w:lineRule="auto"/>
              <w:ind w:left="35"/>
              <w:jc w:val="left"/>
              <w:rPr>
                <w:sz w:val="17"/>
              </w:rPr>
            </w:pPr>
            <w:r>
              <w:rPr>
                <w:color w:val="231F20"/>
                <w:w w:val="110"/>
                <w:sz w:val="17"/>
              </w:rPr>
              <w:t>064 El Oro</w:t>
            </w:r>
          </w:p>
        </w:tc>
        <w:tc>
          <w:tcPr>
            <w:tcW w:w="1591" w:type="dxa"/>
          </w:tcPr>
          <w:p>
            <w:pPr>
              <w:pStyle w:val="TableParagraph"/>
              <w:spacing w:line="240" w:lineRule="auto"/>
              <w:ind w:right="421"/>
              <w:jc w:val="right"/>
              <w:rPr>
                <w:sz w:val="17"/>
              </w:rPr>
            </w:pPr>
            <w:r>
              <w:rPr>
                <w:color w:val="231F20"/>
                <w:w w:val="105"/>
                <w:sz w:val="17"/>
              </w:rPr>
              <w:t>8 758.30</w:t>
            </w:r>
          </w:p>
        </w:tc>
        <w:tc>
          <w:tcPr>
            <w:tcW w:w="1466" w:type="dxa"/>
          </w:tcPr>
          <w:p>
            <w:pPr>
              <w:pStyle w:val="TableParagraph"/>
              <w:spacing w:line="240" w:lineRule="auto"/>
              <w:ind w:right="271"/>
              <w:jc w:val="right"/>
              <w:rPr>
                <w:sz w:val="17"/>
              </w:rPr>
            </w:pPr>
            <w:r>
              <w:rPr>
                <w:color w:val="231F20"/>
                <w:w w:val="105"/>
                <w:sz w:val="17"/>
              </w:rPr>
              <w:t>1 245.87</w:t>
            </w:r>
          </w:p>
        </w:tc>
        <w:tc>
          <w:tcPr>
            <w:tcW w:w="1399" w:type="dxa"/>
          </w:tcPr>
          <w:p>
            <w:pPr>
              <w:pStyle w:val="TableParagraph"/>
              <w:spacing w:line="240" w:lineRule="auto"/>
              <w:ind w:right="258"/>
              <w:jc w:val="right"/>
              <w:rPr>
                <w:sz w:val="17"/>
              </w:rPr>
            </w:pPr>
            <w:r>
              <w:rPr>
                <w:color w:val="231F20"/>
                <w:w w:val="105"/>
                <w:sz w:val="17"/>
              </w:rPr>
              <w:t>7 512.43</w:t>
            </w:r>
          </w:p>
        </w:tc>
      </w:tr>
      <w:tr>
        <w:trPr>
          <w:trHeight w:val="210" w:hRule="exact"/>
        </w:trPr>
        <w:tc>
          <w:tcPr>
            <w:tcW w:w="2539" w:type="dxa"/>
          </w:tcPr>
          <w:p>
            <w:pPr>
              <w:pStyle w:val="TableParagraph"/>
              <w:ind w:left="35"/>
              <w:jc w:val="left"/>
              <w:rPr>
                <w:sz w:val="17"/>
              </w:rPr>
            </w:pPr>
            <w:r>
              <w:rPr>
                <w:color w:val="231F20"/>
                <w:w w:val="105"/>
                <w:sz w:val="17"/>
              </w:rPr>
              <w:t>074  San  Felipe  del Progreso</w:t>
            </w:r>
          </w:p>
        </w:tc>
        <w:tc>
          <w:tcPr>
            <w:tcW w:w="1591" w:type="dxa"/>
          </w:tcPr>
          <w:p>
            <w:pPr>
              <w:pStyle w:val="TableParagraph"/>
              <w:ind w:right="421"/>
              <w:jc w:val="right"/>
              <w:rPr>
                <w:sz w:val="17"/>
              </w:rPr>
            </w:pPr>
            <w:r>
              <w:rPr>
                <w:color w:val="231F20"/>
                <w:w w:val="105"/>
                <w:sz w:val="17"/>
              </w:rPr>
              <w:t>20 404.31</w:t>
            </w:r>
          </w:p>
        </w:tc>
        <w:tc>
          <w:tcPr>
            <w:tcW w:w="1466" w:type="dxa"/>
          </w:tcPr>
          <w:p>
            <w:pPr>
              <w:pStyle w:val="TableParagraph"/>
              <w:ind w:right="271"/>
              <w:jc w:val="right"/>
              <w:rPr>
                <w:sz w:val="17"/>
              </w:rPr>
            </w:pPr>
            <w:r>
              <w:rPr>
                <w:color w:val="231F20"/>
                <w:w w:val="105"/>
                <w:sz w:val="17"/>
              </w:rPr>
              <w:t>3 505.92</w:t>
            </w:r>
          </w:p>
        </w:tc>
        <w:tc>
          <w:tcPr>
            <w:tcW w:w="1399" w:type="dxa"/>
          </w:tcPr>
          <w:p>
            <w:pPr>
              <w:pStyle w:val="TableParagraph"/>
              <w:ind w:right="258"/>
              <w:jc w:val="right"/>
              <w:rPr>
                <w:sz w:val="17"/>
              </w:rPr>
            </w:pPr>
            <w:r>
              <w:rPr>
                <w:color w:val="231F20"/>
                <w:w w:val="105"/>
                <w:sz w:val="17"/>
              </w:rPr>
              <w:t>16 898.39</w:t>
            </w:r>
          </w:p>
        </w:tc>
      </w:tr>
      <w:tr>
        <w:trPr>
          <w:trHeight w:val="210" w:hRule="exact"/>
        </w:trPr>
        <w:tc>
          <w:tcPr>
            <w:tcW w:w="2539" w:type="dxa"/>
          </w:tcPr>
          <w:p>
            <w:pPr>
              <w:pStyle w:val="TableParagraph"/>
              <w:ind w:left="35"/>
              <w:jc w:val="left"/>
              <w:rPr>
                <w:sz w:val="17"/>
              </w:rPr>
            </w:pPr>
            <w:r>
              <w:rPr>
                <w:color w:val="231F20"/>
                <w:w w:val="105"/>
                <w:sz w:val="17"/>
              </w:rPr>
              <w:t>085  Temascalcingo</w:t>
            </w:r>
          </w:p>
        </w:tc>
        <w:tc>
          <w:tcPr>
            <w:tcW w:w="1591" w:type="dxa"/>
          </w:tcPr>
          <w:p>
            <w:pPr>
              <w:pStyle w:val="TableParagraph"/>
              <w:ind w:right="421"/>
              <w:jc w:val="right"/>
              <w:rPr>
                <w:sz w:val="17"/>
              </w:rPr>
            </w:pPr>
            <w:r>
              <w:rPr>
                <w:color w:val="231F20"/>
                <w:w w:val="105"/>
                <w:sz w:val="17"/>
              </w:rPr>
              <w:t>10 626.29</w:t>
            </w:r>
          </w:p>
        </w:tc>
        <w:tc>
          <w:tcPr>
            <w:tcW w:w="1466" w:type="dxa"/>
          </w:tcPr>
          <w:p>
            <w:pPr>
              <w:pStyle w:val="TableParagraph"/>
              <w:ind w:right="271"/>
              <w:jc w:val="right"/>
              <w:rPr>
                <w:sz w:val="17"/>
              </w:rPr>
            </w:pPr>
            <w:r>
              <w:rPr>
                <w:color w:val="231F20"/>
                <w:w w:val="105"/>
                <w:sz w:val="17"/>
              </w:rPr>
              <w:t>3 715.24</w:t>
            </w:r>
          </w:p>
        </w:tc>
        <w:tc>
          <w:tcPr>
            <w:tcW w:w="1399" w:type="dxa"/>
          </w:tcPr>
          <w:p>
            <w:pPr>
              <w:pStyle w:val="TableParagraph"/>
              <w:ind w:right="258"/>
              <w:jc w:val="right"/>
              <w:rPr>
                <w:sz w:val="17"/>
              </w:rPr>
            </w:pPr>
            <w:r>
              <w:rPr>
                <w:color w:val="231F20"/>
                <w:w w:val="105"/>
                <w:sz w:val="17"/>
              </w:rPr>
              <w:t>6 911.05</w:t>
            </w:r>
          </w:p>
        </w:tc>
      </w:tr>
      <w:tr>
        <w:trPr>
          <w:trHeight w:val="210" w:hRule="exact"/>
        </w:trPr>
        <w:tc>
          <w:tcPr>
            <w:tcW w:w="2539" w:type="dxa"/>
          </w:tcPr>
          <w:p>
            <w:pPr>
              <w:pStyle w:val="TableParagraph"/>
              <w:ind w:left="35"/>
              <w:jc w:val="left"/>
              <w:rPr>
                <w:sz w:val="17"/>
              </w:rPr>
            </w:pPr>
            <w:r>
              <w:rPr>
                <w:color w:val="231F20"/>
                <w:w w:val="110"/>
                <w:sz w:val="17"/>
              </w:rPr>
              <w:t>124 San José del  Rincón</w:t>
            </w:r>
          </w:p>
        </w:tc>
        <w:tc>
          <w:tcPr>
            <w:tcW w:w="1591" w:type="dxa"/>
          </w:tcPr>
          <w:p>
            <w:pPr>
              <w:pStyle w:val="TableParagraph"/>
              <w:ind w:right="421"/>
              <w:jc w:val="right"/>
              <w:rPr>
                <w:sz w:val="17"/>
              </w:rPr>
            </w:pPr>
            <w:r>
              <w:rPr>
                <w:color w:val="231F20"/>
                <w:w w:val="105"/>
                <w:sz w:val="17"/>
              </w:rPr>
              <w:t>24 376.24</w:t>
            </w:r>
          </w:p>
        </w:tc>
        <w:tc>
          <w:tcPr>
            <w:tcW w:w="1466" w:type="dxa"/>
          </w:tcPr>
          <w:p>
            <w:pPr>
              <w:pStyle w:val="TableParagraph"/>
              <w:ind w:right="271"/>
              <w:jc w:val="right"/>
              <w:rPr>
                <w:sz w:val="17"/>
              </w:rPr>
            </w:pPr>
            <w:r>
              <w:rPr>
                <w:color w:val="231F20"/>
                <w:w w:val="105"/>
                <w:sz w:val="17"/>
              </w:rPr>
              <w:t>41.17</w:t>
            </w:r>
          </w:p>
        </w:tc>
        <w:tc>
          <w:tcPr>
            <w:tcW w:w="1399" w:type="dxa"/>
          </w:tcPr>
          <w:p>
            <w:pPr>
              <w:pStyle w:val="TableParagraph"/>
              <w:ind w:right="258"/>
              <w:jc w:val="right"/>
              <w:rPr>
                <w:sz w:val="17"/>
              </w:rPr>
            </w:pPr>
            <w:r>
              <w:rPr>
                <w:color w:val="231F20"/>
                <w:w w:val="105"/>
                <w:sz w:val="17"/>
              </w:rPr>
              <w:t>24 335.07</w:t>
            </w:r>
          </w:p>
        </w:tc>
      </w:tr>
      <w:tr>
        <w:trPr>
          <w:trHeight w:val="276" w:hRule="exact"/>
        </w:trPr>
        <w:tc>
          <w:tcPr>
            <w:tcW w:w="2539" w:type="dxa"/>
            <w:tcBorders>
              <w:bottom w:val="single" w:sz="3" w:space="0" w:color="231F20"/>
            </w:tcBorders>
          </w:tcPr>
          <w:p>
            <w:pPr>
              <w:pStyle w:val="TableParagraph"/>
              <w:ind w:left="35"/>
              <w:jc w:val="left"/>
              <w:rPr>
                <w:sz w:val="17"/>
              </w:rPr>
            </w:pPr>
            <w:r>
              <w:rPr>
                <w:color w:val="231F20"/>
                <w:w w:val="110"/>
                <w:sz w:val="17"/>
              </w:rPr>
              <w:t>Totales</w:t>
            </w:r>
          </w:p>
        </w:tc>
        <w:tc>
          <w:tcPr>
            <w:tcW w:w="1591" w:type="dxa"/>
            <w:tcBorders>
              <w:bottom w:val="single" w:sz="3" w:space="0" w:color="231F20"/>
            </w:tcBorders>
          </w:tcPr>
          <w:p>
            <w:pPr>
              <w:pStyle w:val="TableParagraph"/>
              <w:ind w:right="421"/>
              <w:jc w:val="right"/>
              <w:rPr>
                <w:sz w:val="17"/>
              </w:rPr>
            </w:pPr>
            <w:r>
              <w:rPr>
                <w:color w:val="231F20"/>
                <w:w w:val="105"/>
                <w:sz w:val="17"/>
              </w:rPr>
              <w:t>154 305.84</w:t>
            </w:r>
          </w:p>
        </w:tc>
        <w:tc>
          <w:tcPr>
            <w:tcW w:w="1466" w:type="dxa"/>
            <w:tcBorders>
              <w:bottom w:val="single" w:sz="3" w:space="0" w:color="231F20"/>
            </w:tcBorders>
          </w:tcPr>
          <w:p>
            <w:pPr>
              <w:pStyle w:val="TableParagraph"/>
              <w:ind w:right="271"/>
              <w:jc w:val="right"/>
              <w:rPr>
                <w:sz w:val="17"/>
              </w:rPr>
            </w:pPr>
            <w:r>
              <w:rPr>
                <w:color w:val="231F20"/>
                <w:w w:val="105"/>
                <w:sz w:val="17"/>
              </w:rPr>
              <w:t>35 822.95</w:t>
            </w:r>
          </w:p>
        </w:tc>
        <w:tc>
          <w:tcPr>
            <w:tcW w:w="1399" w:type="dxa"/>
            <w:tcBorders>
              <w:bottom w:val="single" w:sz="3" w:space="0" w:color="231F20"/>
            </w:tcBorders>
          </w:tcPr>
          <w:p>
            <w:pPr>
              <w:pStyle w:val="TableParagraph"/>
              <w:ind w:right="258"/>
              <w:jc w:val="right"/>
              <w:rPr>
                <w:sz w:val="17"/>
              </w:rPr>
            </w:pPr>
            <w:r>
              <w:rPr>
                <w:color w:val="231F20"/>
                <w:w w:val="105"/>
                <w:sz w:val="17"/>
              </w:rPr>
              <w:t>118 482.89</w:t>
            </w:r>
          </w:p>
        </w:tc>
      </w:tr>
    </w:tbl>
    <w:p>
      <w:pPr>
        <w:spacing w:before="63"/>
        <w:ind w:left="504" w:right="0" w:firstLine="0"/>
        <w:jc w:val="left"/>
        <w:rPr>
          <w:sz w:val="15"/>
        </w:rPr>
      </w:pPr>
      <w:r>
        <w:rPr>
          <w:color w:val="231F20"/>
          <w:w w:val="110"/>
          <w:sz w:val="15"/>
        </w:rPr>
        <w:t>Fuente: Elaboración propia a partir del Censo Agrícola Ganadero y Forestal 2007,  </w:t>
      </w:r>
      <w:r>
        <w:rPr>
          <w:rFonts w:ascii="Times New Roman" w:hAnsi="Times New Roman"/>
          <w:color w:val="231F20"/>
          <w:w w:val="110"/>
          <w:sz w:val="12"/>
        </w:rPr>
        <w:t>INEGI</w:t>
      </w:r>
      <w:r>
        <w:rPr>
          <w:color w:val="231F20"/>
          <w:w w:val="110"/>
          <w:sz w:val="15"/>
        </w:rPr>
        <w:t>.</w:t>
      </w:r>
    </w:p>
    <w:p>
      <w:pPr>
        <w:pStyle w:val="BodyText"/>
        <w:rPr>
          <w:sz w:val="14"/>
        </w:rPr>
      </w:pPr>
    </w:p>
    <w:p>
      <w:pPr>
        <w:pStyle w:val="BodyText"/>
        <w:rPr>
          <w:sz w:val="15"/>
        </w:rPr>
      </w:pPr>
    </w:p>
    <w:p>
      <w:pPr>
        <w:pStyle w:val="BodyText"/>
        <w:spacing w:line="288" w:lineRule="auto"/>
        <w:ind w:left="144" w:right="113" w:firstLine="360"/>
        <w:jc w:val="both"/>
      </w:pPr>
      <w:r>
        <w:rPr>
          <w:color w:val="231F20"/>
          <w:w w:val="105"/>
        </w:rPr>
        <w:t>En el Estado de México, 15 por ciento de la superficie sembrada corres- ponde a zonas de riego y 85 por ciento a las de temporal. En la región Atla- comulco, 23.2 por ciento de la superficie es de riego y 76.8 por ciento de temporal. Particularmente en los municipios de Ixtlahuaca y Jocotitlán, del total de la superficie sembrada, 45.3 por ciento es de riego y 54.7 por ciento de temporal, es </w:t>
      </w:r>
      <w:r>
        <w:rPr>
          <w:color w:val="231F20"/>
          <w:spacing w:val="-3"/>
          <w:w w:val="105"/>
        </w:rPr>
        <w:t>decir, </w:t>
      </w:r>
      <w:r>
        <w:rPr>
          <w:color w:val="231F20"/>
          <w:w w:val="105"/>
        </w:rPr>
        <w:t>la mayoría de las tierras con las que cuentan las fa- milias para cultivar el maíz son de temporal; de esta manera, la alternancia entre la temporada de secas y la de lluvias está íntimamente relacionada     con</w:t>
      </w:r>
      <w:r>
        <w:rPr>
          <w:color w:val="231F20"/>
          <w:spacing w:val="30"/>
          <w:w w:val="105"/>
        </w:rPr>
        <w:t> </w:t>
      </w:r>
      <w:r>
        <w:rPr>
          <w:color w:val="231F20"/>
          <w:w w:val="105"/>
        </w:rPr>
        <w:t>la</w:t>
      </w:r>
      <w:r>
        <w:rPr>
          <w:color w:val="231F20"/>
          <w:spacing w:val="30"/>
          <w:w w:val="105"/>
        </w:rPr>
        <w:t> </w:t>
      </w:r>
      <w:r>
        <w:rPr>
          <w:color w:val="231F20"/>
          <w:w w:val="105"/>
        </w:rPr>
        <w:t>organización</w:t>
      </w:r>
      <w:r>
        <w:rPr>
          <w:color w:val="231F20"/>
          <w:spacing w:val="30"/>
          <w:w w:val="105"/>
        </w:rPr>
        <w:t> </w:t>
      </w:r>
      <w:r>
        <w:rPr>
          <w:color w:val="231F20"/>
          <w:w w:val="105"/>
        </w:rPr>
        <w:t>de</w:t>
      </w:r>
      <w:r>
        <w:rPr>
          <w:color w:val="231F20"/>
          <w:spacing w:val="30"/>
          <w:w w:val="105"/>
        </w:rPr>
        <w:t> </w:t>
      </w:r>
      <w:r>
        <w:rPr>
          <w:color w:val="231F20"/>
          <w:w w:val="105"/>
        </w:rPr>
        <w:t>las</w:t>
      </w:r>
      <w:r>
        <w:rPr>
          <w:color w:val="231F20"/>
          <w:spacing w:val="30"/>
          <w:w w:val="105"/>
        </w:rPr>
        <w:t> </w:t>
      </w:r>
      <w:r>
        <w:rPr>
          <w:color w:val="231F20"/>
          <w:w w:val="105"/>
        </w:rPr>
        <w:t>actividades</w:t>
      </w:r>
      <w:r>
        <w:rPr>
          <w:color w:val="231F20"/>
          <w:spacing w:val="30"/>
          <w:w w:val="105"/>
        </w:rPr>
        <w:t> </w:t>
      </w:r>
      <w:r>
        <w:rPr>
          <w:color w:val="231F20"/>
          <w:w w:val="105"/>
        </w:rPr>
        <w:t>agrícolas</w:t>
      </w:r>
      <w:r>
        <w:rPr>
          <w:color w:val="231F20"/>
          <w:spacing w:val="30"/>
          <w:w w:val="105"/>
        </w:rPr>
        <w:t> </w:t>
      </w:r>
      <w:r>
        <w:rPr>
          <w:color w:val="231F20"/>
          <w:w w:val="105"/>
        </w:rPr>
        <w:t>(</w:t>
      </w:r>
      <w:r>
        <w:rPr>
          <w:rFonts w:ascii="Times New Roman" w:hAnsi="Times New Roman"/>
          <w:color w:val="231F20"/>
          <w:w w:val="105"/>
          <w:sz w:val="16"/>
        </w:rPr>
        <w:t>INEGI</w:t>
      </w:r>
      <w:r>
        <w:rPr>
          <w:color w:val="231F20"/>
          <w:w w:val="105"/>
        </w:rPr>
        <w:t>,</w:t>
      </w:r>
      <w:r>
        <w:rPr>
          <w:color w:val="231F20"/>
          <w:spacing w:val="30"/>
          <w:w w:val="105"/>
        </w:rPr>
        <w:t> </w:t>
      </w:r>
      <w:r>
        <w:rPr>
          <w:color w:val="231F20"/>
          <w:w w:val="105"/>
        </w:rPr>
        <w:t>2007).</w:t>
      </w:r>
    </w:p>
    <w:p>
      <w:pPr>
        <w:pStyle w:val="BodyText"/>
      </w:pPr>
    </w:p>
    <w:p>
      <w:pPr>
        <w:pStyle w:val="BodyText"/>
        <w:spacing w:before="10"/>
        <w:rPr>
          <w:sz w:val="24"/>
        </w:rPr>
      </w:pPr>
    </w:p>
    <w:p>
      <w:pPr>
        <w:spacing w:before="0"/>
        <w:ind w:left="144" w:right="0" w:firstLine="0"/>
        <w:jc w:val="both"/>
        <w:rPr>
          <w:rFonts w:ascii="Times New Roman" w:hAnsi="Times New Roman"/>
          <w:i/>
          <w:sz w:val="19"/>
        </w:rPr>
      </w:pPr>
      <w:r>
        <w:rPr>
          <w:rFonts w:ascii="Times New Roman" w:hAnsi="Times New Roman"/>
          <w:i/>
          <w:color w:val="231F20"/>
          <w:w w:val="95"/>
          <w:sz w:val="24"/>
        </w:rPr>
        <w:t>L</w:t>
      </w:r>
      <w:r>
        <w:rPr>
          <w:rFonts w:ascii="Times New Roman" w:hAnsi="Times New Roman"/>
          <w:i/>
          <w:color w:val="231F20"/>
          <w:w w:val="95"/>
          <w:sz w:val="19"/>
        </w:rPr>
        <w:t>A FAMILIA CAMPESINA Y SU SISTEMA AGRÍCOLA TRADICIONAL</w:t>
      </w:r>
    </w:p>
    <w:p>
      <w:pPr>
        <w:pStyle w:val="BodyText"/>
        <w:spacing w:before="9"/>
        <w:rPr>
          <w:rFonts w:ascii="Times New Roman"/>
          <w:i/>
          <w:sz w:val="27"/>
        </w:rPr>
      </w:pPr>
    </w:p>
    <w:p>
      <w:pPr>
        <w:pStyle w:val="BodyText"/>
        <w:spacing w:line="288" w:lineRule="auto"/>
        <w:ind w:left="144" w:right="112"/>
        <w:jc w:val="both"/>
      </w:pPr>
      <w:r>
        <w:rPr>
          <w:color w:val="231F20"/>
          <w:w w:val="110"/>
        </w:rPr>
        <w:t>La información factual que a continuación se describe es el resultado de la investigación de campo</w:t>
      </w:r>
      <w:r>
        <w:rPr>
          <w:color w:val="231F20"/>
          <w:w w:val="110"/>
          <w:position w:val="6"/>
          <w:sz w:val="11"/>
        </w:rPr>
        <w:t>13 </w:t>
      </w:r>
      <w:r>
        <w:rPr>
          <w:color w:val="231F20"/>
          <w:w w:val="110"/>
        </w:rPr>
        <w:t>realizada de manera sistemática en la región de estudio en los meses de junio y julio, desde 2007-2014, la observación y la</w:t>
      </w:r>
    </w:p>
    <w:p>
      <w:pPr>
        <w:pStyle w:val="BodyText"/>
        <w:spacing w:before="1"/>
        <w:rPr>
          <w:sz w:val="19"/>
        </w:rPr>
      </w:pPr>
    </w:p>
    <w:p>
      <w:pPr>
        <w:spacing w:line="256" w:lineRule="auto" w:before="0"/>
        <w:ind w:left="144" w:right="112" w:firstLine="360"/>
        <w:jc w:val="both"/>
        <w:rPr>
          <w:sz w:val="16"/>
        </w:rPr>
      </w:pPr>
      <w:r>
        <w:rPr>
          <w:color w:val="231F20"/>
          <w:w w:val="110"/>
          <w:position w:val="5"/>
          <w:sz w:val="9"/>
        </w:rPr>
        <w:t>13 </w:t>
      </w:r>
      <w:r>
        <w:rPr>
          <w:color w:val="231F20"/>
          <w:w w:val="110"/>
          <w:sz w:val="16"/>
        </w:rPr>
        <w:t>En cada periodo de investigación de campo se ha visitado un grupo de cuatro a cinco comunidades, que se seleccionan de manera aleatoria, de acuerdo con un proyecto de investigación específico. Durante la investigación de campo participan grupos de estudiantes de la licenciatura en Antropología Social de la Universidad Autónoma del Estado de México, con el fin de que realicen sus prácticas de campo; de esta manera ha sido posible actualizar</w:t>
      </w:r>
    </w:p>
    <w:p>
      <w:pPr>
        <w:spacing w:after="0" w:line="256" w:lineRule="auto"/>
        <w:jc w:val="both"/>
        <w:rPr>
          <w:sz w:val="16"/>
        </w:rPr>
        <w:sectPr>
          <w:pgSz w:w="9520" w:h="12920"/>
          <w:pgMar w:header="0" w:footer="1344" w:top="880" w:bottom="1540" w:left="1300" w:right="1000"/>
        </w:sectPr>
      </w:pPr>
    </w:p>
    <w:p>
      <w:pPr>
        <w:pStyle w:val="BodyText"/>
        <w:spacing w:line="285" w:lineRule="auto" w:before="42"/>
        <w:ind w:left="120" w:right="117"/>
        <w:jc w:val="both"/>
      </w:pPr>
      <w:r>
        <w:rPr>
          <w:color w:val="231F20"/>
          <w:w w:val="110"/>
        </w:rPr>
        <w:t>etnografía nos proporcionan los datos cualitativos; las entrevistas, las ge- nealogías y encuestas aplicadas a las familias campesinas de la región de </w:t>
      </w:r>
      <w:r>
        <w:rPr>
          <w:color w:val="231F20"/>
          <w:spacing w:val="2"/>
          <w:w w:val="110"/>
        </w:rPr>
        <w:t>estudio </w:t>
      </w:r>
      <w:r>
        <w:rPr>
          <w:color w:val="231F20"/>
          <w:w w:val="110"/>
        </w:rPr>
        <w:t>nos </w:t>
      </w:r>
      <w:r>
        <w:rPr>
          <w:color w:val="231F20"/>
          <w:spacing w:val="2"/>
          <w:w w:val="110"/>
        </w:rPr>
        <w:t>proveen </w:t>
      </w:r>
      <w:r>
        <w:rPr>
          <w:color w:val="231F20"/>
          <w:w w:val="110"/>
        </w:rPr>
        <w:t>los </w:t>
      </w:r>
      <w:r>
        <w:rPr>
          <w:color w:val="231F20"/>
          <w:spacing w:val="2"/>
          <w:w w:val="110"/>
        </w:rPr>
        <w:t>datos cuantitativos; </w:t>
      </w:r>
      <w:r>
        <w:rPr>
          <w:color w:val="231F20"/>
          <w:w w:val="110"/>
        </w:rPr>
        <w:t>el </w:t>
      </w:r>
      <w:r>
        <w:rPr>
          <w:color w:val="231F20"/>
          <w:spacing w:val="2"/>
          <w:w w:val="110"/>
        </w:rPr>
        <w:t>trabajo </w:t>
      </w:r>
      <w:r>
        <w:rPr>
          <w:color w:val="231F20"/>
          <w:w w:val="110"/>
        </w:rPr>
        <w:t>de </w:t>
      </w:r>
      <w:r>
        <w:rPr>
          <w:color w:val="231F20"/>
          <w:spacing w:val="2"/>
          <w:w w:val="110"/>
        </w:rPr>
        <w:t>campo </w:t>
      </w:r>
      <w:r>
        <w:rPr>
          <w:color w:val="231F20"/>
          <w:w w:val="110"/>
        </w:rPr>
        <w:t>se ha realizado</w:t>
      </w:r>
      <w:r>
        <w:rPr>
          <w:color w:val="231F20"/>
          <w:spacing w:val="-5"/>
          <w:w w:val="110"/>
        </w:rPr>
        <w:t> </w:t>
      </w:r>
      <w:r>
        <w:rPr>
          <w:color w:val="231F20"/>
          <w:w w:val="110"/>
        </w:rPr>
        <w:t>principalmente</w:t>
      </w:r>
      <w:r>
        <w:rPr>
          <w:color w:val="231F20"/>
          <w:spacing w:val="-5"/>
          <w:w w:val="110"/>
        </w:rPr>
        <w:t> </w:t>
      </w:r>
      <w:r>
        <w:rPr>
          <w:color w:val="231F20"/>
          <w:w w:val="110"/>
        </w:rPr>
        <w:t>en</w:t>
      </w:r>
      <w:r>
        <w:rPr>
          <w:color w:val="231F20"/>
          <w:spacing w:val="-5"/>
          <w:w w:val="110"/>
        </w:rPr>
        <w:t> </w:t>
      </w:r>
      <w:r>
        <w:rPr>
          <w:color w:val="231F20"/>
          <w:w w:val="110"/>
        </w:rPr>
        <w:t>comunidades</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municipios</w:t>
      </w:r>
      <w:r>
        <w:rPr>
          <w:color w:val="231F20"/>
          <w:spacing w:val="-5"/>
          <w:w w:val="110"/>
        </w:rPr>
        <w:t> </w:t>
      </w:r>
      <w:r>
        <w:rPr>
          <w:color w:val="231F20"/>
          <w:w w:val="110"/>
        </w:rPr>
        <w:t>de</w:t>
      </w:r>
      <w:r>
        <w:rPr>
          <w:color w:val="231F20"/>
          <w:spacing w:val="-5"/>
          <w:w w:val="110"/>
        </w:rPr>
        <w:t> </w:t>
      </w:r>
      <w:r>
        <w:rPr>
          <w:color w:val="231F20"/>
          <w:w w:val="110"/>
        </w:rPr>
        <w:t>Jocotitlán</w:t>
      </w:r>
      <w:r>
        <w:rPr>
          <w:color w:val="231F20"/>
          <w:w w:val="110"/>
          <w:position w:val="6"/>
          <w:sz w:val="11"/>
        </w:rPr>
        <w:t>14 </w:t>
      </w:r>
      <w:r>
        <w:rPr>
          <w:color w:val="231F20"/>
          <w:w w:val="110"/>
        </w:rPr>
        <w:t>e Ixtlahuaca,</w:t>
      </w:r>
      <w:r>
        <w:rPr>
          <w:color w:val="231F20"/>
          <w:w w:val="110"/>
          <w:position w:val="6"/>
          <w:sz w:val="11"/>
        </w:rPr>
        <w:t>15  </w:t>
      </w:r>
      <w:r>
        <w:rPr>
          <w:color w:val="231F20"/>
          <w:w w:val="110"/>
        </w:rPr>
        <w:t>Estado de </w:t>
      </w:r>
      <w:r>
        <w:rPr>
          <w:color w:val="231F20"/>
          <w:spacing w:val="14"/>
          <w:w w:val="110"/>
        </w:rPr>
        <w:t> </w:t>
      </w:r>
      <w:r>
        <w:rPr>
          <w:color w:val="231F20"/>
          <w:w w:val="110"/>
        </w:rPr>
        <w:t>México.</w:t>
      </w:r>
    </w:p>
    <w:p>
      <w:pPr>
        <w:pStyle w:val="BodyText"/>
        <w:spacing w:line="285" w:lineRule="auto"/>
        <w:ind w:left="120" w:right="118" w:firstLine="360"/>
        <w:jc w:val="both"/>
      </w:pPr>
      <w:r>
        <w:rPr>
          <w:color w:val="231F20"/>
          <w:w w:val="110"/>
        </w:rPr>
        <w:t>En la región que hemos denominado </w:t>
      </w:r>
      <w:r>
        <w:rPr>
          <w:color w:val="231F20"/>
          <w:spacing w:val="-5"/>
          <w:w w:val="110"/>
        </w:rPr>
        <w:t>Valle </w:t>
      </w:r>
      <w:r>
        <w:rPr>
          <w:color w:val="231F20"/>
          <w:w w:val="110"/>
        </w:rPr>
        <w:t>de Ixtlahuaca aún se cultiva maíz de acuerdo con las características ambientales y herencia cultural mesoamericana,</w:t>
      </w:r>
      <w:r>
        <w:rPr>
          <w:color w:val="231F20"/>
          <w:spacing w:val="-10"/>
          <w:w w:val="110"/>
        </w:rPr>
        <w:t> </w:t>
      </w:r>
      <w:r>
        <w:rPr>
          <w:color w:val="231F20"/>
          <w:w w:val="110"/>
        </w:rPr>
        <w:t>es</w:t>
      </w:r>
      <w:r>
        <w:rPr>
          <w:color w:val="231F20"/>
          <w:spacing w:val="-10"/>
          <w:w w:val="110"/>
        </w:rPr>
        <w:t> </w:t>
      </w:r>
      <w:r>
        <w:rPr>
          <w:color w:val="231F20"/>
          <w:spacing w:val="-5"/>
          <w:w w:val="110"/>
        </w:rPr>
        <w:t>decir,</w:t>
      </w:r>
      <w:r>
        <w:rPr>
          <w:color w:val="231F20"/>
          <w:spacing w:val="-10"/>
          <w:w w:val="110"/>
        </w:rPr>
        <w:t> </w:t>
      </w:r>
      <w:r>
        <w:rPr>
          <w:color w:val="231F20"/>
          <w:w w:val="110"/>
        </w:rPr>
        <w:t>se</w:t>
      </w:r>
      <w:r>
        <w:rPr>
          <w:color w:val="231F20"/>
          <w:spacing w:val="-10"/>
          <w:w w:val="110"/>
        </w:rPr>
        <w:t> </w:t>
      </w:r>
      <w:r>
        <w:rPr>
          <w:color w:val="231F20"/>
          <w:w w:val="110"/>
        </w:rPr>
        <w:t>practica</w:t>
      </w:r>
      <w:r>
        <w:rPr>
          <w:color w:val="231F20"/>
          <w:spacing w:val="-10"/>
          <w:w w:val="110"/>
        </w:rPr>
        <w:t> </w:t>
      </w:r>
      <w:r>
        <w:rPr>
          <w:color w:val="231F20"/>
          <w:w w:val="110"/>
        </w:rPr>
        <w:t>el</w:t>
      </w:r>
      <w:r>
        <w:rPr>
          <w:color w:val="231F20"/>
          <w:spacing w:val="-10"/>
          <w:w w:val="110"/>
        </w:rPr>
        <w:t> </w:t>
      </w:r>
      <w:r>
        <w:rPr>
          <w:color w:val="231F20"/>
          <w:w w:val="110"/>
        </w:rPr>
        <w:t>sistema</w:t>
      </w:r>
      <w:r>
        <w:rPr>
          <w:color w:val="231F20"/>
          <w:spacing w:val="-10"/>
          <w:w w:val="110"/>
        </w:rPr>
        <w:t> </w:t>
      </w:r>
      <w:r>
        <w:rPr>
          <w:color w:val="231F20"/>
          <w:w w:val="110"/>
        </w:rPr>
        <w:t>agrícola</w:t>
      </w:r>
      <w:r>
        <w:rPr>
          <w:color w:val="231F20"/>
          <w:spacing w:val="-10"/>
          <w:w w:val="110"/>
        </w:rPr>
        <w:t> </w:t>
      </w:r>
      <w:r>
        <w:rPr>
          <w:color w:val="231F20"/>
          <w:w w:val="110"/>
        </w:rPr>
        <w:t>tradicional</w:t>
      </w:r>
      <w:r>
        <w:rPr>
          <w:color w:val="231F20"/>
          <w:spacing w:val="-10"/>
          <w:w w:val="110"/>
        </w:rPr>
        <w:t> </w:t>
      </w:r>
      <w:r>
        <w:rPr>
          <w:color w:val="231F20"/>
          <w:w w:val="110"/>
        </w:rPr>
        <w:t>descrito por</w:t>
      </w:r>
      <w:r>
        <w:rPr>
          <w:color w:val="231F20"/>
          <w:spacing w:val="38"/>
          <w:w w:val="110"/>
        </w:rPr>
        <w:t> </w:t>
      </w:r>
      <w:r>
        <w:rPr>
          <w:color w:val="231F20"/>
          <w:w w:val="110"/>
        </w:rPr>
        <w:t>Gliessman:</w:t>
      </w:r>
    </w:p>
    <w:p>
      <w:pPr>
        <w:pStyle w:val="BodyText"/>
        <w:spacing w:before="10"/>
        <w:rPr>
          <w:sz w:val="15"/>
        </w:rPr>
      </w:pPr>
    </w:p>
    <w:p>
      <w:pPr>
        <w:spacing w:line="280" w:lineRule="auto" w:before="0"/>
        <w:ind w:left="480" w:right="117" w:firstLine="0"/>
        <w:jc w:val="both"/>
        <w:rPr>
          <w:sz w:val="18"/>
        </w:rPr>
      </w:pPr>
      <w:r>
        <w:rPr>
          <w:color w:val="231F20"/>
          <w:w w:val="110"/>
          <w:sz w:val="18"/>
        </w:rPr>
        <w:t>Los sistemas tradicionales son aquellos que dependen en una mínima parte</w:t>
      </w:r>
      <w:r>
        <w:rPr>
          <w:color w:val="231F20"/>
          <w:spacing w:val="-12"/>
          <w:w w:val="110"/>
          <w:sz w:val="18"/>
        </w:rPr>
        <w:t> </w:t>
      </w:r>
      <w:r>
        <w:rPr>
          <w:color w:val="231F20"/>
          <w:w w:val="110"/>
          <w:sz w:val="18"/>
        </w:rPr>
        <w:t>de ingresos externos comprados, hacen uso intensivo de recursos renovables disponibles, enfatizan el reciclaje de nutrimentos, tienen impactos negativos mínimos sobre y en el ambiente del terreno de cultivo, están adaptados y son tolerantes a las condiciones del ambiente local, son capaces de tomar ventaja del</w:t>
      </w:r>
      <w:r>
        <w:rPr>
          <w:color w:val="231F20"/>
          <w:spacing w:val="-12"/>
          <w:w w:val="110"/>
          <w:sz w:val="18"/>
        </w:rPr>
        <w:t> </w:t>
      </w:r>
      <w:r>
        <w:rPr>
          <w:color w:val="231F20"/>
          <w:w w:val="110"/>
          <w:sz w:val="18"/>
        </w:rPr>
        <w:t>rango</w:t>
      </w:r>
      <w:r>
        <w:rPr>
          <w:color w:val="231F20"/>
          <w:spacing w:val="-12"/>
          <w:w w:val="110"/>
          <w:sz w:val="18"/>
        </w:rPr>
        <w:t> </w:t>
      </w:r>
      <w:r>
        <w:rPr>
          <w:color w:val="231F20"/>
          <w:w w:val="110"/>
          <w:sz w:val="18"/>
        </w:rPr>
        <w:t>total</w:t>
      </w:r>
      <w:r>
        <w:rPr>
          <w:color w:val="231F20"/>
          <w:spacing w:val="-12"/>
          <w:w w:val="110"/>
          <w:sz w:val="18"/>
        </w:rPr>
        <w:t> </w:t>
      </w:r>
      <w:r>
        <w:rPr>
          <w:color w:val="231F20"/>
          <w:w w:val="110"/>
          <w:sz w:val="18"/>
        </w:rPr>
        <w:t>de</w:t>
      </w:r>
      <w:r>
        <w:rPr>
          <w:color w:val="231F20"/>
          <w:spacing w:val="-12"/>
          <w:w w:val="110"/>
          <w:sz w:val="18"/>
        </w:rPr>
        <w:t> </w:t>
      </w:r>
      <w:r>
        <w:rPr>
          <w:color w:val="231F20"/>
          <w:w w:val="110"/>
          <w:sz w:val="18"/>
        </w:rPr>
        <w:t>variaciones</w:t>
      </w:r>
      <w:r>
        <w:rPr>
          <w:color w:val="231F20"/>
          <w:spacing w:val="-12"/>
          <w:w w:val="110"/>
          <w:sz w:val="18"/>
        </w:rPr>
        <w:t> </w:t>
      </w:r>
      <w:r>
        <w:rPr>
          <w:color w:val="231F20"/>
          <w:w w:val="110"/>
          <w:sz w:val="18"/>
        </w:rPr>
        <w:t>microambientales</w:t>
      </w:r>
      <w:r>
        <w:rPr>
          <w:color w:val="231F20"/>
          <w:spacing w:val="-12"/>
          <w:w w:val="110"/>
          <w:sz w:val="18"/>
        </w:rPr>
        <w:t> </w:t>
      </w:r>
      <w:r>
        <w:rPr>
          <w:color w:val="231F20"/>
          <w:w w:val="110"/>
          <w:sz w:val="18"/>
        </w:rPr>
        <w:t>dentro</w:t>
      </w:r>
      <w:r>
        <w:rPr>
          <w:color w:val="231F20"/>
          <w:spacing w:val="-12"/>
          <w:w w:val="110"/>
          <w:sz w:val="18"/>
        </w:rPr>
        <w:t> </w:t>
      </w:r>
      <w:r>
        <w:rPr>
          <w:color w:val="231F20"/>
          <w:w w:val="110"/>
          <w:sz w:val="18"/>
        </w:rPr>
        <w:t>de</w:t>
      </w:r>
      <w:r>
        <w:rPr>
          <w:color w:val="231F20"/>
          <w:spacing w:val="-12"/>
          <w:w w:val="110"/>
          <w:sz w:val="18"/>
        </w:rPr>
        <w:t> </w:t>
      </w:r>
      <w:r>
        <w:rPr>
          <w:color w:val="231F20"/>
          <w:w w:val="110"/>
          <w:sz w:val="18"/>
        </w:rPr>
        <w:t>la</w:t>
      </w:r>
      <w:r>
        <w:rPr>
          <w:color w:val="231F20"/>
          <w:spacing w:val="-12"/>
          <w:w w:val="110"/>
          <w:sz w:val="18"/>
        </w:rPr>
        <w:t> </w:t>
      </w:r>
      <w:r>
        <w:rPr>
          <w:color w:val="231F20"/>
          <w:w w:val="110"/>
          <w:sz w:val="18"/>
        </w:rPr>
        <w:t>parcela,</w:t>
      </w:r>
      <w:r>
        <w:rPr>
          <w:color w:val="231F20"/>
          <w:spacing w:val="-12"/>
          <w:w w:val="110"/>
          <w:sz w:val="18"/>
        </w:rPr>
        <w:t> </w:t>
      </w:r>
      <w:r>
        <w:rPr>
          <w:color w:val="231F20"/>
          <w:w w:val="110"/>
          <w:sz w:val="18"/>
        </w:rPr>
        <w:t>el</w:t>
      </w:r>
      <w:r>
        <w:rPr>
          <w:color w:val="231F20"/>
          <w:spacing w:val="-12"/>
          <w:w w:val="110"/>
          <w:sz w:val="18"/>
        </w:rPr>
        <w:t> </w:t>
      </w:r>
      <w:r>
        <w:rPr>
          <w:color w:val="231F20"/>
          <w:w w:val="110"/>
          <w:sz w:val="18"/>
        </w:rPr>
        <w:t>sistema agrícola</w:t>
      </w:r>
      <w:r>
        <w:rPr>
          <w:color w:val="231F20"/>
          <w:spacing w:val="-7"/>
          <w:w w:val="110"/>
          <w:sz w:val="18"/>
        </w:rPr>
        <w:t> </w:t>
      </w:r>
      <w:r>
        <w:rPr>
          <w:color w:val="231F20"/>
          <w:w w:val="110"/>
          <w:sz w:val="18"/>
        </w:rPr>
        <w:t>y</w:t>
      </w:r>
      <w:r>
        <w:rPr>
          <w:color w:val="231F20"/>
          <w:spacing w:val="-7"/>
          <w:w w:val="110"/>
          <w:sz w:val="18"/>
        </w:rPr>
        <w:t> </w:t>
      </w:r>
      <w:r>
        <w:rPr>
          <w:color w:val="231F20"/>
          <w:w w:val="110"/>
          <w:sz w:val="18"/>
        </w:rPr>
        <w:t>la</w:t>
      </w:r>
      <w:r>
        <w:rPr>
          <w:color w:val="231F20"/>
          <w:spacing w:val="-7"/>
          <w:w w:val="110"/>
          <w:sz w:val="18"/>
        </w:rPr>
        <w:t> </w:t>
      </w:r>
      <w:r>
        <w:rPr>
          <w:color w:val="231F20"/>
          <w:w w:val="110"/>
          <w:sz w:val="18"/>
        </w:rPr>
        <w:t>región,</w:t>
      </w:r>
      <w:r>
        <w:rPr>
          <w:color w:val="231F20"/>
          <w:spacing w:val="-7"/>
          <w:w w:val="110"/>
          <w:sz w:val="18"/>
        </w:rPr>
        <w:t> </w:t>
      </w:r>
      <w:r>
        <w:rPr>
          <w:color w:val="231F20"/>
          <w:w w:val="110"/>
          <w:sz w:val="18"/>
        </w:rPr>
        <w:t>optimizan</w:t>
      </w:r>
      <w:r>
        <w:rPr>
          <w:color w:val="231F20"/>
          <w:spacing w:val="-7"/>
          <w:w w:val="110"/>
          <w:sz w:val="18"/>
        </w:rPr>
        <w:t> </w:t>
      </w:r>
      <w:r>
        <w:rPr>
          <w:color w:val="231F20"/>
          <w:w w:val="110"/>
          <w:sz w:val="18"/>
        </w:rPr>
        <w:t>la</w:t>
      </w:r>
      <w:r>
        <w:rPr>
          <w:color w:val="231F20"/>
          <w:spacing w:val="-7"/>
          <w:w w:val="110"/>
          <w:sz w:val="18"/>
        </w:rPr>
        <w:t> </w:t>
      </w:r>
      <w:r>
        <w:rPr>
          <w:color w:val="231F20"/>
          <w:w w:val="110"/>
          <w:sz w:val="18"/>
        </w:rPr>
        <w:t>producción</w:t>
      </w:r>
      <w:r>
        <w:rPr>
          <w:color w:val="231F20"/>
          <w:spacing w:val="-7"/>
          <w:w w:val="110"/>
          <w:sz w:val="18"/>
        </w:rPr>
        <w:t> </w:t>
      </w:r>
      <w:r>
        <w:rPr>
          <w:color w:val="231F20"/>
          <w:w w:val="110"/>
          <w:sz w:val="18"/>
        </w:rPr>
        <w:t>sin</w:t>
      </w:r>
      <w:r>
        <w:rPr>
          <w:color w:val="231F20"/>
          <w:spacing w:val="-7"/>
          <w:w w:val="110"/>
          <w:sz w:val="18"/>
        </w:rPr>
        <w:t> </w:t>
      </w:r>
      <w:r>
        <w:rPr>
          <w:color w:val="231F20"/>
          <w:w w:val="110"/>
          <w:sz w:val="18"/>
        </w:rPr>
        <w:t>sacrificar</w:t>
      </w:r>
      <w:r>
        <w:rPr>
          <w:color w:val="231F20"/>
          <w:spacing w:val="-7"/>
          <w:w w:val="110"/>
          <w:sz w:val="18"/>
        </w:rPr>
        <w:t> </w:t>
      </w:r>
      <w:r>
        <w:rPr>
          <w:color w:val="231F20"/>
          <w:w w:val="110"/>
          <w:sz w:val="18"/>
        </w:rPr>
        <w:t>la</w:t>
      </w:r>
      <w:r>
        <w:rPr>
          <w:color w:val="231F20"/>
          <w:spacing w:val="-7"/>
          <w:w w:val="110"/>
          <w:sz w:val="18"/>
        </w:rPr>
        <w:t> </w:t>
      </w:r>
      <w:r>
        <w:rPr>
          <w:color w:val="231F20"/>
          <w:w w:val="110"/>
          <w:sz w:val="18"/>
        </w:rPr>
        <w:t>capacidad</w:t>
      </w:r>
      <w:r>
        <w:rPr>
          <w:color w:val="231F20"/>
          <w:spacing w:val="-7"/>
          <w:w w:val="110"/>
          <w:sz w:val="18"/>
        </w:rPr>
        <w:t> </w:t>
      </w:r>
      <w:r>
        <w:rPr>
          <w:color w:val="231F20"/>
          <w:w w:val="110"/>
          <w:sz w:val="18"/>
        </w:rPr>
        <w:t>produc- tiva</w:t>
      </w:r>
      <w:r>
        <w:rPr>
          <w:color w:val="231F20"/>
          <w:spacing w:val="-8"/>
          <w:w w:val="110"/>
          <w:sz w:val="18"/>
        </w:rPr>
        <w:t> </w:t>
      </w:r>
      <w:r>
        <w:rPr>
          <w:color w:val="231F20"/>
          <w:w w:val="110"/>
          <w:sz w:val="18"/>
        </w:rPr>
        <w:t>a</w:t>
      </w:r>
      <w:r>
        <w:rPr>
          <w:color w:val="231F20"/>
          <w:spacing w:val="-8"/>
          <w:w w:val="110"/>
          <w:sz w:val="18"/>
        </w:rPr>
        <w:t> </w:t>
      </w:r>
      <w:r>
        <w:rPr>
          <w:color w:val="231F20"/>
          <w:spacing w:val="-3"/>
          <w:w w:val="110"/>
          <w:sz w:val="18"/>
        </w:rPr>
        <w:t>largo</w:t>
      </w:r>
      <w:r>
        <w:rPr>
          <w:color w:val="231F20"/>
          <w:spacing w:val="-8"/>
          <w:w w:val="110"/>
          <w:sz w:val="18"/>
        </w:rPr>
        <w:t> </w:t>
      </w:r>
      <w:r>
        <w:rPr>
          <w:color w:val="231F20"/>
          <w:w w:val="110"/>
          <w:sz w:val="18"/>
        </w:rPr>
        <w:t>plazo</w:t>
      </w:r>
      <w:r>
        <w:rPr>
          <w:color w:val="231F20"/>
          <w:spacing w:val="-8"/>
          <w:w w:val="110"/>
          <w:sz w:val="18"/>
        </w:rPr>
        <w:t> </w:t>
      </w:r>
      <w:r>
        <w:rPr>
          <w:color w:val="231F20"/>
          <w:w w:val="110"/>
          <w:sz w:val="18"/>
        </w:rPr>
        <w:t>del</w:t>
      </w:r>
      <w:r>
        <w:rPr>
          <w:color w:val="231F20"/>
          <w:spacing w:val="-8"/>
          <w:w w:val="110"/>
          <w:sz w:val="18"/>
        </w:rPr>
        <w:t> </w:t>
      </w:r>
      <w:r>
        <w:rPr>
          <w:color w:val="231F20"/>
          <w:w w:val="110"/>
          <w:sz w:val="18"/>
        </w:rPr>
        <w:t>sistema</w:t>
      </w:r>
      <w:r>
        <w:rPr>
          <w:color w:val="231F20"/>
          <w:spacing w:val="-8"/>
          <w:w w:val="110"/>
          <w:sz w:val="18"/>
        </w:rPr>
        <w:t> </w:t>
      </w:r>
      <w:r>
        <w:rPr>
          <w:color w:val="231F20"/>
          <w:w w:val="110"/>
          <w:sz w:val="18"/>
        </w:rPr>
        <w:t>ni</w:t>
      </w:r>
      <w:r>
        <w:rPr>
          <w:color w:val="231F20"/>
          <w:spacing w:val="-8"/>
          <w:w w:val="110"/>
          <w:sz w:val="18"/>
        </w:rPr>
        <w:t> </w:t>
      </w:r>
      <w:r>
        <w:rPr>
          <w:color w:val="231F20"/>
          <w:w w:val="110"/>
          <w:sz w:val="18"/>
        </w:rPr>
        <w:t>las</w:t>
      </w:r>
      <w:r>
        <w:rPr>
          <w:color w:val="231F20"/>
          <w:spacing w:val="-8"/>
          <w:w w:val="110"/>
          <w:sz w:val="18"/>
        </w:rPr>
        <w:t> </w:t>
      </w:r>
      <w:r>
        <w:rPr>
          <w:color w:val="231F20"/>
          <w:w w:val="110"/>
          <w:sz w:val="18"/>
        </w:rPr>
        <w:t>habilidades</w:t>
      </w:r>
      <w:r>
        <w:rPr>
          <w:color w:val="231F20"/>
          <w:spacing w:val="-8"/>
          <w:w w:val="110"/>
          <w:sz w:val="18"/>
        </w:rPr>
        <w:t> </w:t>
      </w:r>
      <w:r>
        <w:rPr>
          <w:color w:val="231F20"/>
          <w:w w:val="110"/>
          <w:sz w:val="18"/>
        </w:rPr>
        <w:t>de</w:t>
      </w:r>
      <w:r>
        <w:rPr>
          <w:color w:val="231F20"/>
          <w:spacing w:val="-8"/>
          <w:w w:val="110"/>
          <w:sz w:val="18"/>
        </w:rPr>
        <w:t> </w:t>
      </w:r>
      <w:r>
        <w:rPr>
          <w:color w:val="231F20"/>
          <w:w w:val="110"/>
          <w:sz w:val="18"/>
        </w:rPr>
        <w:t>los</w:t>
      </w:r>
      <w:r>
        <w:rPr>
          <w:color w:val="231F20"/>
          <w:spacing w:val="-8"/>
          <w:w w:val="110"/>
          <w:sz w:val="18"/>
        </w:rPr>
        <w:t> </w:t>
      </w:r>
      <w:r>
        <w:rPr>
          <w:color w:val="231F20"/>
          <w:w w:val="110"/>
          <w:sz w:val="18"/>
        </w:rPr>
        <w:t>humanos</w:t>
      </w:r>
      <w:r>
        <w:rPr>
          <w:color w:val="231F20"/>
          <w:spacing w:val="-8"/>
          <w:w w:val="110"/>
          <w:sz w:val="18"/>
        </w:rPr>
        <w:t> </w:t>
      </w:r>
      <w:r>
        <w:rPr>
          <w:color w:val="231F20"/>
          <w:w w:val="110"/>
          <w:sz w:val="18"/>
        </w:rPr>
        <w:t>para</w:t>
      </w:r>
      <w:r>
        <w:rPr>
          <w:color w:val="231F20"/>
          <w:spacing w:val="-8"/>
          <w:w w:val="110"/>
          <w:sz w:val="18"/>
        </w:rPr>
        <w:t> </w:t>
      </w:r>
      <w:r>
        <w:rPr>
          <w:color w:val="231F20"/>
          <w:w w:val="110"/>
          <w:sz w:val="18"/>
        </w:rPr>
        <w:t>utilizar</w:t>
      </w:r>
      <w:r>
        <w:rPr>
          <w:color w:val="231F20"/>
          <w:spacing w:val="-8"/>
          <w:w w:val="110"/>
          <w:sz w:val="18"/>
        </w:rPr>
        <w:t> </w:t>
      </w:r>
      <w:r>
        <w:rPr>
          <w:color w:val="231F20"/>
          <w:w w:val="110"/>
          <w:sz w:val="18"/>
        </w:rPr>
        <w:t>sus recursos,</w:t>
      </w:r>
      <w:r>
        <w:rPr>
          <w:color w:val="231F20"/>
          <w:spacing w:val="-8"/>
          <w:w w:val="110"/>
          <w:sz w:val="18"/>
        </w:rPr>
        <w:t> </w:t>
      </w:r>
      <w:r>
        <w:rPr>
          <w:color w:val="231F20"/>
          <w:w w:val="110"/>
          <w:sz w:val="18"/>
        </w:rPr>
        <w:t>mantienen</w:t>
      </w:r>
      <w:r>
        <w:rPr>
          <w:color w:val="231F20"/>
          <w:spacing w:val="-8"/>
          <w:w w:val="110"/>
          <w:sz w:val="18"/>
        </w:rPr>
        <w:t> </w:t>
      </w:r>
      <w:r>
        <w:rPr>
          <w:color w:val="231F20"/>
          <w:w w:val="110"/>
          <w:sz w:val="18"/>
        </w:rPr>
        <w:t>la</w:t>
      </w:r>
      <w:r>
        <w:rPr>
          <w:color w:val="231F20"/>
          <w:spacing w:val="-8"/>
          <w:w w:val="110"/>
          <w:sz w:val="18"/>
        </w:rPr>
        <w:t> </w:t>
      </w:r>
      <w:r>
        <w:rPr>
          <w:color w:val="231F20"/>
          <w:w w:val="110"/>
          <w:sz w:val="18"/>
        </w:rPr>
        <w:t>diversidad</w:t>
      </w:r>
      <w:r>
        <w:rPr>
          <w:color w:val="231F20"/>
          <w:spacing w:val="-8"/>
          <w:w w:val="110"/>
          <w:sz w:val="18"/>
        </w:rPr>
        <w:t> </w:t>
      </w:r>
      <w:r>
        <w:rPr>
          <w:color w:val="231F20"/>
          <w:w w:val="110"/>
          <w:sz w:val="18"/>
        </w:rPr>
        <w:t>y</w:t>
      </w:r>
      <w:r>
        <w:rPr>
          <w:color w:val="231F20"/>
          <w:spacing w:val="-8"/>
          <w:w w:val="110"/>
          <w:sz w:val="18"/>
        </w:rPr>
        <w:t> </w:t>
      </w:r>
      <w:r>
        <w:rPr>
          <w:color w:val="231F20"/>
          <w:w w:val="110"/>
          <w:sz w:val="18"/>
        </w:rPr>
        <w:t>la</w:t>
      </w:r>
      <w:r>
        <w:rPr>
          <w:color w:val="231F20"/>
          <w:spacing w:val="-8"/>
          <w:w w:val="110"/>
          <w:sz w:val="18"/>
        </w:rPr>
        <w:t> </w:t>
      </w:r>
      <w:r>
        <w:rPr>
          <w:color w:val="231F20"/>
          <w:w w:val="110"/>
          <w:sz w:val="18"/>
        </w:rPr>
        <w:t>continuidad</w:t>
      </w:r>
      <w:r>
        <w:rPr>
          <w:color w:val="231F20"/>
          <w:spacing w:val="-8"/>
          <w:w w:val="110"/>
          <w:sz w:val="18"/>
        </w:rPr>
        <w:t> </w:t>
      </w:r>
      <w:r>
        <w:rPr>
          <w:color w:val="231F20"/>
          <w:w w:val="110"/>
          <w:sz w:val="18"/>
        </w:rPr>
        <w:t>espacial</w:t>
      </w:r>
      <w:r>
        <w:rPr>
          <w:color w:val="231F20"/>
          <w:spacing w:val="-8"/>
          <w:w w:val="110"/>
          <w:sz w:val="18"/>
        </w:rPr>
        <w:t> </w:t>
      </w:r>
      <w:r>
        <w:rPr>
          <w:color w:val="231F20"/>
          <w:w w:val="110"/>
          <w:sz w:val="18"/>
        </w:rPr>
        <w:t>y</w:t>
      </w:r>
      <w:r>
        <w:rPr>
          <w:color w:val="231F20"/>
          <w:spacing w:val="-8"/>
          <w:w w:val="110"/>
          <w:sz w:val="18"/>
        </w:rPr>
        <w:t> </w:t>
      </w:r>
      <w:r>
        <w:rPr>
          <w:color w:val="231F20"/>
          <w:w w:val="110"/>
          <w:sz w:val="18"/>
        </w:rPr>
        <w:t>temporal,</w:t>
      </w:r>
      <w:r>
        <w:rPr>
          <w:color w:val="231F20"/>
          <w:spacing w:val="-8"/>
          <w:w w:val="110"/>
          <w:sz w:val="18"/>
        </w:rPr>
        <w:t> </w:t>
      </w:r>
      <w:r>
        <w:rPr>
          <w:color w:val="231F20"/>
          <w:w w:val="110"/>
          <w:sz w:val="18"/>
        </w:rPr>
        <w:t>conser- van</w:t>
      </w:r>
      <w:r>
        <w:rPr>
          <w:color w:val="231F20"/>
          <w:spacing w:val="-17"/>
          <w:w w:val="110"/>
          <w:sz w:val="18"/>
        </w:rPr>
        <w:t> </w:t>
      </w:r>
      <w:r>
        <w:rPr>
          <w:color w:val="231F20"/>
          <w:w w:val="110"/>
          <w:sz w:val="18"/>
        </w:rPr>
        <w:t>la</w:t>
      </w:r>
      <w:r>
        <w:rPr>
          <w:color w:val="231F20"/>
          <w:spacing w:val="-17"/>
          <w:w w:val="110"/>
          <w:sz w:val="18"/>
        </w:rPr>
        <w:t> </w:t>
      </w:r>
      <w:r>
        <w:rPr>
          <w:color w:val="231F20"/>
          <w:w w:val="110"/>
          <w:sz w:val="18"/>
        </w:rPr>
        <w:t>diversidad</w:t>
      </w:r>
      <w:r>
        <w:rPr>
          <w:color w:val="231F20"/>
          <w:spacing w:val="-17"/>
          <w:w w:val="110"/>
          <w:sz w:val="18"/>
        </w:rPr>
        <w:t> </w:t>
      </w:r>
      <w:r>
        <w:rPr>
          <w:color w:val="231F20"/>
          <w:w w:val="110"/>
          <w:sz w:val="18"/>
        </w:rPr>
        <w:t>biológica</w:t>
      </w:r>
      <w:r>
        <w:rPr>
          <w:color w:val="231F20"/>
          <w:spacing w:val="-17"/>
          <w:w w:val="110"/>
          <w:sz w:val="18"/>
        </w:rPr>
        <w:t> </w:t>
      </w:r>
      <w:r>
        <w:rPr>
          <w:color w:val="231F20"/>
          <w:w w:val="110"/>
          <w:sz w:val="18"/>
        </w:rPr>
        <w:t>y</w:t>
      </w:r>
      <w:r>
        <w:rPr>
          <w:color w:val="231F20"/>
          <w:spacing w:val="-17"/>
          <w:w w:val="110"/>
          <w:sz w:val="18"/>
        </w:rPr>
        <w:t> </w:t>
      </w:r>
      <w:r>
        <w:rPr>
          <w:color w:val="231F20"/>
          <w:w w:val="110"/>
          <w:sz w:val="18"/>
        </w:rPr>
        <w:t>cultural,</w:t>
      </w:r>
      <w:r>
        <w:rPr>
          <w:color w:val="231F20"/>
          <w:spacing w:val="-17"/>
          <w:w w:val="110"/>
          <w:sz w:val="18"/>
        </w:rPr>
        <w:t> </w:t>
      </w:r>
      <w:r>
        <w:rPr>
          <w:color w:val="231F20"/>
          <w:w w:val="110"/>
          <w:sz w:val="18"/>
        </w:rPr>
        <w:t>descansan</w:t>
      </w:r>
      <w:r>
        <w:rPr>
          <w:color w:val="231F20"/>
          <w:spacing w:val="-17"/>
          <w:w w:val="110"/>
          <w:sz w:val="18"/>
        </w:rPr>
        <w:t> </w:t>
      </w:r>
      <w:r>
        <w:rPr>
          <w:color w:val="231F20"/>
          <w:w w:val="110"/>
          <w:sz w:val="18"/>
        </w:rPr>
        <w:t>en</w:t>
      </w:r>
      <w:r>
        <w:rPr>
          <w:color w:val="231F20"/>
          <w:spacing w:val="-17"/>
          <w:w w:val="110"/>
          <w:sz w:val="18"/>
        </w:rPr>
        <w:t> </w:t>
      </w:r>
      <w:r>
        <w:rPr>
          <w:color w:val="231F20"/>
          <w:w w:val="110"/>
          <w:sz w:val="18"/>
        </w:rPr>
        <w:t>variedades</w:t>
      </w:r>
      <w:r>
        <w:rPr>
          <w:color w:val="231F20"/>
          <w:spacing w:val="-17"/>
          <w:w w:val="110"/>
          <w:sz w:val="18"/>
        </w:rPr>
        <w:t> </w:t>
      </w:r>
      <w:r>
        <w:rPr>
          <w:color w:val="231F20"/>
          <w:w w:val="110"/>
          <w:sz w:val="18"/>
        </w:rPr>
        <w:t>locales</w:t>
      </w:r>
      <w:r>
        <w:rPr>
          <w:color w:val="231F20"/>
          <w:spacing w:val="-17"/>
          <w:w w:val="110"/>
          <w:sz w:val="18"/>
        </w:rPr>
        <w:t> </w:t>
      </w:r>
      <w:r>
        <w:rPr>
          <w:color w:val="231F20"/>
          <w:w w:val="110"/>
          <w:sz w:val="18"/>
        </w:rPr>
        <w:t>de</w:t>
      </w:r>
      <w:r>
        <w:rPr>
          <w:color w:val="231F20"/>
          <w:spacing w:val="-17"/>
          <w:w w:val="110"/>
          <w:sz w:val="18"/>
        </w:rPr>
        <w:t> </w:t>
      </w:r>
      <w:r>
        <w:rPr>
          <w:color w:val="231F20"/>
          <w:w w:val="110"/>
          <w:sz w:val="18"/>
        </w:rPr>
        <w:t>cultivo y a menudo incorporan plantas silvestres y animales, utilizan principalmente la producción para cubrir sus necesidades locales, son relativamente indepen- dientes de factores económicos externos </w:t>
      </w:r>
      <w:r>
        <w:rPr>
          <w:color w:val="231F20"/>
          <w:spacing w:val="-7"/>
          <w:w w:val="110"/>
          <w:sz w:val="18"/>
        </w:rPr>
        <w:t>y, </w:t>
      </w:r>
      <w:r>
        <w:rPr>
          <w:color w:val="231F20"/>
          <w:w w:val="110"/>
          <w:sz w:val="18"/>
        </w:rPr>
        <w:t>se constituyen sobre el conoci- miento</w:t>
      </w:r>
      <w:r>
        <w:rPr>
          <w:color w:val="231F20"/>
          <w:spacing w:val="-8"/>
          <w:w w:val="110"/>
          <w:sz w:val="18"/>
        </w:rPr>
        <w:t> </w:t>
      </w:r>
      <w:r>
        <w:rPr>
          <w:color w:val="231F20"/>
          <w:w w:val="110"/>
          <w:sz w:val="18"/>
        </w:rPr>
        <w:t>y</w:t>
      </w:r>
      <w:r>
        <w:rPr>
          <w:color w:val="231F20"/>
          <w:spacing w:val="-8"/>
          <w:w w:val="110"/>
          <w:sz w:val="18"/>
        </w:rPr>
        <w:t> </w:t>
      </w:r>
      <w:r>
        <w:rPr>
          <w:color w:val="231F20"/>
          <w:w w:val="110"/>
          <w:sz w:val="18"/>
        </w:rPr>
        <w:t>la</w:t>
      </w:r>
      <w:r>
        <w:rPr>
          <w:color w:val="231F20"/>
          <w:spacing w:val="-8"/>
          <w:w w:val="110"/>
          <w:sz w:val="18"/>
        </w:rPr>
        <w:t> </w:t>
      </w:r>
      <w:r>
        <w:rPr>
          <w:color w:val="231F20"/>
          <w:w w:val="110"/>
          <w:sz w:val="18"/>
        </w:rPr>
        <w:t>cultura</w:t>
      </w:r>
      <w:r>
        <w:rPr>
          <w:color w:val="231F20"/>
          <w:spacing w:val="-8"/>
          <w:w w:val="110"/>
          <w:sz w:val="18"/>
        </w:rPr>
        <w:t> </w:t>
      </w:r>
      <w:r>
        <w:rPr>
          <w:color w:val="231F20"/>
          <w:w w:val="110"/>
          <w:sz w:val="18"/>
        </w:rPr>
        <w:t>local</w:t>
      </w:r>
      <w:r>
        <w:rPr>
          <w:color w:val="231F20"/>
          <w:spacing w:val="-8"/>
          <w:w w:val="110"/>
          <w:sz w:val="18"/>
        </w:rPr>
        <w:t> </w:t>
      </w:r>
      <w:r>
        <w:rPr>
          <w:color w:val="231F20"/>
          <w:w w:val="110"/>
          <w:sz w:val="18"/>
        </w:rPr>
        <w:t>de</w:t>
      </w:r>
      <w:r>
        <w:rPr>
          <w:color w:val="231F20"/>
          <w:spacing w:val="-8"/>
          <w:w w:val="110"/>
          <w:sz w:val="18"/>
        </w:rPr>
        <w:t> </w:t>
      </w:r>
      <w:r>
        <w:rPr>
          <w:color w:val="231F20"/>
          <w:w w:val="110"/>
          <w:sz w:val="18"/>
        </w:rPr>
        <w:t>los</w:t>
      </w:r>
      <w:r>
        <w:rPr>
          <w:color w:val="231F20"/>
          <w:spacing w:val="-8"/>
          <w:w w:val="110"/>
          <w:sz w:val="18"/>
        </w:rPr>
        <w:t> </w:t>
      </w:r>
      <w:r>
        <w:rPr>
          <w:color w:val="231F20"/>
          <w:w w:val="110"/>
          <w:sz w:val="18"/>
        </w:rPr>
        <w:t>habitantes</w:t>
      </w:r>
      <w:r>
        <w:rPr>
          <w:color w:val="231F20"/>
          <w:spacing w:val="-8"/>
          <w:w w:val="110"/>
          <w:sz w:val="18"/>
        </w:rPr>
        <w:t> </w:t>
      </w:r>
      <w:r>
        <w:rPr>
          <w:color w:val="231F20"/>
          <w:w w:val="110"/>
          <w:sz w:val="18"/>
        </w:rPr>
        <w:t>(Gliessman,</w:t>
      </w:r>
      <w:r>
        <w:rPr>
          <w:color w:val="231F20"/>
          <w:spacing w:val="-8"/>
          <w:w w:val="110"/>
          <w:sz w:val="18"/>
        </w:rPr>
        <w:t> </w:t>
      </w:r>
      <w:r>
        <w:rPr>
          <w:color w:val="231F20"/>
          <w:w w:val="110"/>
          <w:sz w:val="18"/>
        </w:rPr>
        <w:t>1998:</w:t>
      </w:r>
      <w:r>
        <w:rPr>
          <w:color w:val="231F20"/>
          <w:spacing w:val="-8"/>
          <w:w w:val="110"/>
          <w:sz w:val="18"/>
        </w:rPr>
        <w:t> </w:t>
      </w:r>
      <w:r>
        <w:rPr>
          <w:color w:val="231F20"/>
          <w:w w:val="110"/>
          <w:sz w:val="18"/>
        </w:rPr>
        <w:t>301-302,</w:t>
      </w:r>
      <w:r>
        <w:rPr>
          <w:color w:val="231F20"/>
          <w:spacing w:val="-8"/>
          <w:w w:val="110"/>
          <w:sz w:val="18"/>
        </w:rPr>
        <w:t> </w:t>
      </w:r>
      <w:r>
        <w:rPr>
          <w:color w:val="231F20"/>
          <w:w w:val="110"/>
          <w:sz w:val="18"/>
        </w:rPr>
        <w:t>citado</w:t>
      </w:r>
      <w:r>
        <w:rPr>
          <w:color w:val="231F20"/>
          <w:spacing w:val="-8"/>
          <w:w w:val="110"/>
          <w:sz w:val="18"/>
        </w:rPr>
        <w:t> </w:t>
      </w:r>
      <w:r>
        <w:rPr>
          <w:color w:val="231F20"/>
          <w:w w:val="110"/>
          <w:sz w:val="18"/>
        </w:rPr>
        <w:t>en González, 2003:</w:t>
      </w:r>
      <w:r>
        <w:rPr>
          <w:color w:val="231F20"/>
          <w:spacing w:val="-5"/>
          <w:w w:val="110"/>
          <w:sz w:val="18"/>
        </w:rPr>
        <w:t> </w:t>
      </w:r>
      <w:r>
        <w:rPr>
          <w:color w:val="231F20"/>
          <w:w w:val="110"/>
          <w:sz w:val="18"/>
        </w:rPr>
        <w:t>23).</w:t>
      </w:r>
    </w:p>
    <w:p>
      <w:pPr>
        <w:pStyle w:val="BodyText"/>
        <w:spacing w:before="5"/>
        <w:rPr>
          <w:sz w:val="21"/>
        </w:rPr>
      </w:pPr>
    </w:p>
    <w:p>
      <w:pPr>
        <w:pStyle w:val="BodyText"/>
        <w:spacing w:line="285" w:lineRule="auto" w:before="1"/>
        <w:ind w:left="120" w:right="117" w:firstLine="360"/>
        <w:jc w:val="both"/>
      </w:pPr>
      <w:r>
        <w:rPr/>
        <w:pict>
          <v:line style="position:absolute;mso-position-horizontal-relative:page;mso-position-vertical-relative:paragraph;z-index:3280;mso-wrap-distance-left:0;mso-wrap-distance-right:0" from="56pt,90.311058pt" to="92pt,90.311058pt" stroked="true" strokeweight=".4pt" strokecolor="#231f20">
            <w10:wrap type="topAndBottom"/>
          </v:line>
        </w:pict>
      </w:r>
      <w:r>
        <w:rPr>
          <w:color w:val="231F20"/>
          <w:w w:val="110"/>
        </w:rPr>
        <w:t>El clima, la humedad y el tipo de suelo en la región han sido propicios para desarrollar la agricultura tradicional de una manera exitosa, sin em- bargo, los precios del maíz han presionado a las familias campesinas a vender su fuerza de trabajo en las zonas industriales y recibir un ingreso monetario,</w:t>
      </w:r>
      <w:r>
        <w:rPr>
          <w:color w:val="231F20"/>
          <w:spacing w:val="-5"/>
          <w:w w:val="110"/>
        </w:rPr>
        <w:t> </w:t>
      </w:r>
      <w:r>
        <w:rPr>
          <w:color w:val="231F20"/>
          <w:w w:val="110"/>
        </w:rPr>
        <w:t>necesario</w:t>
      </w:r>
      <w:r>
        <w:rPr>
          <w:color w:val="231F20"/>
          <w:spacing w:val="-5"/>
          <w:w w:val="110"/>
        </w:rPr>
        <w:t> </w:t>
      </w:r>
      <w:r>
        <w:rPr>
          <w:color w:val="231F20"/>
          <w:w w:val="110"/>
        </w:rPr>
        <w:t>e</w:t>
      </w:r>
      <w:r>
        <w:rPr>
          <w:color w:val="231F20"/>
          <w:spacing w:val="-5"/>
          <w:w w:val="110"/>
        </w:rPr>
        <w:t> </w:t>
      </w:r>
      <w:r>
        <w:rPr>
          <w:color w:val="231F20"/>
          <w:w w:val="110"/>
        </w:rPr>
        <w:t>indispensable</w:t>
      </w:r>
      <w:r>
        <w:rPr>
          <w:color w:val="231F20"/>
          <w:spacing w:val="-5"/>
          <w:w w:val="110"/>
        </w:rPr>
        <w:t> </w:t>
      </w:r>
      <w:r>
        <w:rPr>
          <w:color w:val="231F20"/>
          <w:w w:val="110"/>
        </w:rPr>
        <w:t>para</w:t>
      </w:r>
      <w:r>
        <w:rPr>
          <w:color w:val="231F20"/>
          <w:spacing w:val="-5"/>
          <w:w w:val="110"/>
        </w:rPr>
        <w:t> </w:t>
      </w:r>
      <w:r>
        <w:rPr>
          <w:color w:val="231F20"/>
          <w:w w:val="110"/>
        </w:rPr>
        <w:t>sistemas</w:t>
      </w:r>
      <w:r>
        <w:rPr>
          <w:color w:val="231F20"/>
          <w:spacing w:val="-5"/>
          <w:w w:val="110"/>
        </w:rPr>
        <w:t> </w:t>
      </w:r>
      <w:r>
        <w:rPr>
          <w:color w:val="231F20"/>
          <w:w w:val="110"/>
        </w:rPr>
        <w:t>capitalistas</w:t>
      </w:r>
      <w:r>
        <w:rPr>
          <w:color w:val="231F20"/>
          <w:spacing w:val="-5"/>
          <w:w w:val="110"/>
        </w:rPr>
        <w:t> </w:t>
      </w:r>
      <w:r>
        <w:rPr>
          <w:color w:val="231F20"/>
          <w:w w:val="110"/>
        </w:rPr>
        <w:t>como</w:t>
      </w:r>
      <w:r>
        <w:rPr>
          <w:color w:val="231F20"/>
          <w:spacing w:val="-5"/>
          <w:w w:val="110"/>
        </w:rPr>
        <w:t> </w:t>
      </w:r>
      <w:r>
        <w:rPr>
          <w:color w:val="231F20"/>
          <w:w w:val="110"/>
        </w:rPr>
        <w:t>el</w:t>
      </w:r>
      <w:r>
        <w:rPr>
          <w:color w:val="231F20"/>
          <w:spacing w:val="-5"/>
          <w:w w:val="110"/>
        </w:rPr>
        <w:t> </w:t>
      </w:r>
      <w:r>
        <w:rPr>
          <w:color w:val="231F20"/>
          <w:w w:val="110"/>
        </w:rPr>
        <w:t>de México.</w:t>
      </w:r>
    </w:p>
    <w:p>
      <w:pPr>
        <w:spacing w:line="256" w:lineRule="auto" w:before="95"/>
        <w:ind w:left="120" w:right="0" w:firstLine="0"/>
        <w:jc w:val="left"/>
        <w:rPr>
          <w:sz w:val="16"/>
        </w:rPr>
      </w:pPr>
      <w:r>
        <w:rPr>
          <w:color w:val="231F20"/>
          <w:w w:val="110"/>
          <w:sz w:val="16"/>
        </w:rPr>
        <w:t>constantemente la información de investigaciones anteriores y enriquecer los estudios con aspectos culturales diversos de la región del Valle de Ixtlahuaca, Estado de   México.</w:t>
      </w:r>
    </w:p>
    <w:p>
      <w:pPr>
        <w:spacing w:line="256" w:lineRule="auto" w:before="0"/>
        <w:ind w:left="119" w:right="117" w:firstLine="360"/>
        <w:jc w:val="both"/>
        <w:rPr>
          <w:sz w:val="16"/>
        </w:rPr>
      </w:pPr>
      <w:r>
        <w:rPr>
          <w:color w:val="231F20"/>
          <w:w w:val="110"/>
          <w:position w:val="5"/>
          <w:sz w:val="9"/>
        </w:rPr>
        <w:t>14 </w:t>
      </w:r>
      <w:r>
        <w:rPr>
          <w:color w:val="231F20"/>
          <w:w w:val="110"/>
          <w:sz w:val="16"/>
        </w:rPr>
        <w:t>San Francisco Chejé, Santiago Casandejé, Santa María Casandejé, San Miguel Tenochti- tlán, San Juan Coajomulco, Concepción Caro, Zacualpan, Santiago </w:t>
      </w:r>
      <w:r>
        <w:rPr>
          <w:color w:val="231F20"/>
          <w:spacing w:val="-3"/>
          <w:w w:val="110"/>
          <w:sz w:val="16"/>
        </w:rPr>
        <w:t>Yeché,  </w:t>
      </w:r>
      <w:r>
        <w:rPr>
          <w:color w:val="231F20"/>
          <w:w w:val="110"/>
          <w:sz w:val="16"/>
        </w:rPr>
        <w:t>Tiacaque, San Juan   y San Agustín, entre </w:t>
      </w:r>
      <w:r>
        <w:rPr>
          <w:color w:val="231F20"/>
          <w:spacing w:val="4"/>
          <w:w w:val="110"/>
          <w:sz w:val="16"/>
        </w:rPr>
        <w:t> </w:t>
      </w:r>
      <w:r>
        <w:rPr>
          <w:color w:val="231F20"/>
          <w:w w:val="110"/>
          <w:sz w:val="16"/>
        </w:rPr>
        <w:t>otras.</w:t>
      </w:r>
    </w:p>
    <w:p>
      <w:pPr>
        <w:spacing w:line="256" w:lineRule="auto" w:before="0"/>
        <w:ind w:left="119" w:right="118" w:firstLine="360"/>
        <w:jc w:val="both"/>
        <w:rPr>
          <w:sz w:val="16"/>
        </w:rPr>
      </w:pPr>
      <w:r>
        <w:rPr>
          <w:color w:val="231F20"/>
          <w:w w:val="110"/>
          <w:position w:val="5"/>
          <w:sz w:val="9"/>
        </w:rPr>
        <w:t>15 </w:t>
      </w:r>
      <w:r>
        <w:rPr>
          <w:color w:val="231F20"/>
          <w:spacing w:val="-4"/>
          <w:w w:val="110"/>
          <w:sz w:val="16"/>
        </w:rPr>
        <w:t>Santa María </w:t>
      </w:r>
      <w:r>
        <w:rPr>
          <w:color w:val="231F20"/>
          <w:spacing w:val="-3"/>
          <w:w w:val="110"/>
          <w:sz w:val="16"/>
        </w:rPr>
        <w:t>del </w:t>
      </w:r>
      <w:r>
        <w:rPr>
          <w:color w:val="231F20"/>
          <w:spacing w:val="-4"/>
          <w:w w:val="110"/>
          <w:sz w:val="16"/>
        </w:rPr>
        <w:t>Llano, Concepción Enyege, </w:t>
      </w:r>
      <w:r>
        <w:rPr>
          <w:color w:val="231F20"/>
          <w:spacing w:val="-3"/>
          <w:w w:val="110"/>
          <w:sz w:val="16"/>
        </w:rPr>
        <w:t>San Juan </w:t>
      </w:r>
      <w:r>
        <w:rPr>
          <w:color w:val="231F20"/>
          <w:w w:val="110"/>
          <w:sz w:val="16"/>
        </w:rPr>
        <w:t>de </w:t>
      </w:r>
      <w:r>
        <w:rPr>
          <w:color w:val="231F20"/>
          <w:spacing w:val="-3"/>
          <w:w w:val="110"/>
          <w:sz w:val="16"/>
        </w:rPr>
        <w:t>las </w:t>
      </w:r>
      <w:r>
        <w:rPr>
          <w:color w:val="231F20"/>
          <w:spacing w:val="-4"/>
          <w:w w:val="110"/>
          <w:sz w:val="16"/>
        </w:rPr>
        <w:t>Manzanas, </w:t>
      </w:r>
      <w:r>
        <w:rPr>
          <w:color w:val="231F20"/>
          <w:spacing w:val="-3"/>
          <w:w w:val="110"/>
          <w:sz w:val="16"/>
        </w:rPr>
        <w:t>San </w:t>
      </w:r>
      <w:r>
        <w:rPr>
          <w:color w:val="231F20"/>
          <w:spacing w:val="-4"/>
          <w:w w:val="110"/>
          <w:sz w:val="16"/>
        </w:rPr>
        <w:t>Miguel Enyege, </w:t>
      </w:r>
      <w:r>
        <w:rPr>
          <w:color w:val="231F20"/>
          <w:w w:val="110"/>
          <w:sz w:val="16"/>
        </w:rPr>
        <w:t>Dolores Enyege, San Isidro Boxipe, Barrio Shira, Santa Ana Ixtlahuaca, San Juan de las Man- zanas, </w:t>
      </w:r>
      <w:r>
        <w:rPr>
          <w:color w:val="231F20"/>
          <w:spacing w:val="-3"/>
          <w:w w:val="110"/>
          <w:sz w:val="16"/>
        </w:rPr>
        <w:t>Toxico, </w:t>
      </w:r>
      <w:r>
        <w:rPr>
          <w:color w:val="231F20"/>
          <w:w w:val="110"/>
          <w:sz w:val="16"/>
        </w:rPr>
        <w:t>entre  otras.</w:t>
      </w:r>
    </w:p>
    <w:p>
      <w:pPr>
        <w:spacing w:after="0" w:line="256" w:lineRule="auto"/>
        <w:jc w:val="both"/>
        <w:rPr>
          <w:sz w:val="16"/>
        </w:rPr>
        <w:sectPr>
          <w:pgSz w:w="9520" w:h="12920"/>
          <w:pgMar w:header="0" w:footer="1344" w:top="880" w:bottom="1540" w:left="1000" w:right="1320"/>
        </w:sectPr>
      </w:pPr>
    </w:p>
    <w:p>
      <w:pPr>
        <w:pStyle w:val="BodyText"/>
        <w:spacing w:line="285" w:lineRule="auto" w:before="42"/>
        <w:ind w:left="124" w:right="112" w:firstLine="360"/>
        <w:jc w:val="both"/>
      </w:pPr>
      <w:r>
        <w:rPr>
          <w:color w:val="231F20"/>
          <w:w w:val="110"/>
        </w:rPr>
        <w:t>Según datos y estudios históricos de Soustelle (1993), García Castro (1998),</w:t>
      </w:r>
      <w:r>
        <w:rPr>
          <w:color w:val="231F20"/>
          <w:spacing w:val="-24"/>
          <w:w w:val="110"/>
        </w:rPr>
        <w:t> </w:t>
      </w:r>
      <w:r>
        <w:rPr>
          <w:color w:val="231F20"/>
          <w:w w:val="110"/>
        </w:rPr>
        <w:t>Gutiérrez</w:t>
      </w:r>
      <w:r>
        <w:rPr>
          <w:color w:val="231F20"/>
          <w:spacing w:val="-23"/>
          <w:w w:val="110"/>
        </w:rPr>
        <w:t> </w:t>
      </w:r>
      <w:r>
        <w:rPr>
          <w:color w:val="231F20"/>
          <w:w w:val="110"/>
        </w:rPr>
        <w:t>(1979),</w:t>
      </w:r>
      <w:r>
        <w:rPr>
          <w:color w:val="231F20"/>
          <w:spacing w:val="-23"/>
          <w:w w:val="110"/>
        </w:rPr>
        <w:t> </w:t>
      </w:r>
      <w:r>
        <w:rPr>
          <w:color w:val="231F20"/>
          <w:spacing w:val="-4"/>
          <w:w w:val="110"/>
        </w:rPr>
        <w:t>Velasco</w:t>
      </w:r>
      <w:r>
        <w:rPr>
          <w:color w:val="231F20"/>
          <w:spacing w:val="-23"/>
          <w:w w:val="110"/>
        </w:rPr>
        <w:t> </w:t>
      </w:r>
      <w:r>
        <w:rPr>
          <w:color w:val="231F20"/>
          <w:w w:val="110"/>
        </w:rPr>
        <w:t>(2005),</w:t>
      </w:r>
      <w:r>
        <w:rPr>
          <w:color w:val="231F20"/>
          <w:spacing w:val="-23"/>
          <w:w w:val="110"/>
        </w:rPr>
        <w:t> </w:t>
      </w:r>
      <w:r>
        <w:rPr>
          <w:color w:val="231F20"/>
          <w:w w:val="110"/>
        </w:rPr>
        <w:t>la</w:t>
      </w:r>
      <w:r>
        <w:rPr>
          <w:color w:val="231F20"/>
          <w:spacing w:val="-23"/>
          <w:w w:val="110"/>
        </w:rPr>
        <w:t> </w:t>
      </w:r>
      <w:r>
        <w:rPr>
          <w:color w:val="231F20"/>
          <w:w w:val="110"/>
        </w:rPr>
        <w:t>población</w:t>
      </w:r>
      <w:r>
        <w:rPr>
          <w:color w:val="231F20"/>
          <w:spacing w:val="-23"/>
          <w:w w:val="110"/>
        </w:rPr>
        <w:t> </w:t>
      </w:r>
      <w:r>
        <w:rPr>
          <w:color w:val="231F20"/>
          <w:w w:val="110"/>
        </w:rPr>
        <w:t>del</w:t>
      </w:r>
      <w:r>
        <w:rPr>
          <w:color w:val="231F20"/>
          <w:spacing w:val="-23"/>
          <w:w w:val="110"/>
        </w:rPr>
        <w:t> </w:t>
      </w:r>
      <w:r>
        <w:rPr>
          <w:color w:val="231F20"/>
          <w:spacing w:val="-5"/>
          <w:w w:val="110"/>
        </w:rPr>
        <w:t>Valle</w:t>
      </w:r>
      <w:r>
        <w:rPr>
          <w:color w:val="231F20"/>
          <w:spacing w:val="-23"/>
          <w:w w:val="110"/>
        </w:rPr>
        <w:t> </w:t>
      </w:r>
      <w:r>
        <w:rPr>
          <w:color w:val="231F20"/>
          <w:w w:val="110"/>
        </w:rPr>
        <w:t>de</w:t>
      </w:r>
      <w:r>
        <w:rPr>
          <w:color w:val="231F20"/>
          <w:spacing w:val="-23"/>
          <w:w w:val="110"/>
        </w:rPr>
        <w:t> </w:t>
      </w:r>
      <w:r>
        <w:rPr>
          <w:color w:val="231F20"/>
          <w:w w:val="110"/>
        </w:rPr>
        <w:t>Ixtlahuaca es</w:t>
      </w:r>
      <w:r>
        <w:rPr>
          <w:color w:val="231F20"/>
          <w:spacing w:val="-8"/>
          <w:w w:val="110"/>
        </w:rPr>
        <w:t> </w:t>
      </w:r>
      <w:r>
        <w:rPr>
          <w:color w:val="231F20"/>
          <w:w w:val="110"/>
        </w:rPr>
        <w:t>de</w:t>
      </w:r>
      <w:r>
        <w:rPr>
          <w:color w:val="231F20"/>
          <w:spacing w:val="-8"/>
          <w:w w:val="110"/>
        </w:rPr>
        <w:t> </w:t>
      </w:r>
      <w:r>
        <w:rPr>
          <w:color w:val="231F20"/>
          <w:w w:val="110"/>
        </w:rPr>
        <w:t>origen</w:t>
      </w:r>
      <w:r>
        <w:rPr>
          <w:color w:val="231F20"/>
          <w:spacing w:val="-8"/>
          <w:w w:val="110"/>
        </w:rPr>
        <w:t> </w:t>
      </w:r>
      <w:r>
        <w:rPr>
          <w:color w:val="231F20"/>
          <w:w w:val="110"/>
        </w:rPr>
        <w:t>indígena</w:t>
      </w:r>
      <w:r>
        <w:rPr>
          <w:color w:val="231F20"/>
          <w:spacing w:val="-8"/>
          <w:w w:val="110"/>
        </w:rPr>
        <w:t> </w:t>
      </w:r>
      <w:r>
        <w:rPr>
          <w:color w:val="231F20"/>
          <w:w w:val="110"/>
        </w:rPr>
        <w:t>mazahua,</w:t>
      </w:r>
      <w:r>
        <w:rPr>
          <w:color w:val="231F20"/>
          <w:spacing w:val="-8"/>
          <w:w w:val="110"/>
        </w:rPr>
        <w:t> </w:t>
      </w:r>
      <w:r>
        <w:rPr>
          <w:color w:val="231F20"/>
          <w:w w:val="110"/>
        </w:rPr>
        <w:t>cuyas</w:t>
      </w:r>
      <w:r>
        <w:rPr>
          <w:color w:val="231F20"/>
          <w:spacing w:val="-8"/>
          <w:w w:val="110"/>
        </w:rPr>
        <w:t> </w:t>
      </w:r>
      <w:r>
        <w:rPr>
          <w:color w:val="231F20"/>
          <w:w w:val="110"/>
        </w:rPr>
        <w:t>creencias</w:t>
      </w:r>
      <w:r>
        <w:rPr>
          <w:color w:val="231F20"/>
          <w:spacing w:val="-8"/>
          <w:w w:val="110"/>
        </w:rPr>
        <w:t> </w:t>
      </w:r>
      <w:r>
        <w:rPr>
          <w:color w:val="231F20"/>
          <w:w w:val="110"/>
        </w:rPr>
        <w:t>y</w:t>
      </w:r>
      <w:r>
        <w:rPr>
          <w:color w:val="231F20"/>
          <w:spacing w:val="-8"/>
          <w:w w:val="110"/>
        </w:rPr>
        <w:t> </w:t>
      </w:r>
      <w:r>
        <w:rPr>
          <w:color w:val="231F20"/>
          <w:w w:val="110"/>
        </w:rPr>
        <w:t>tradiciones</w:t>
      </w:r>
      <w:r>
        <w:rPr>
          <w:color w:val="231F20"/>
          <w:spacing w:val="-8"/>
          <w:w w:val="110"/>
        </w:rPr>
        <w:t> </w:t>
      </w:r>
      <w:r>
        <w:rPr>
          <w:color w:val="231F20"/>
          <w:w w:val="110"/>
        </w:rPr>
        <w:t>se</w:t>
      </w:r>
      <w:r>
        <w:rPr>
          <w:color w:val="231F20"/>
          <w:spacing w:val="-8"/>
          <w:w w:val="110"/>
        </w:rPr>
        <w:t> </w:t>
      </w:r>
      <w:r>
        <w:rPr>
          <w:color w:val="231F20"/>
          <w:w w:val="110"/>
        </w:rPr>
        <w:t>fusionaron con las de los españoles. La información obtenida durante los diferentes periodos de investigación de campo señala que aún se conservan y reali- zan rituales agrícolas a lo largo del calendario agrícola, reafirmando que la actividad no es exclusivamente un asunto económico, se trata también de una cuestión histórica y cultural de las poblaciones con antecedentes indí- genas, quienes encuentran una razón en el trabajo de la tierra en torno a sus creencias, costumbres y </w:t>
      </w:r>
      <w:r>
        <w:rPr>
          <w:color w:val="231F20"/>
          <w:spacing w:val="24"/>
          <w:w w:val="110"/>
        </w:rPr>
        <w:t> </w:t>
      </w:r>
      <w:r>
        <w:rPr>
          <w:color w:val="231F20"/>
          <w:w w:val="110"/>
        </w:rPr>
        <w:t>tradiciones.</w:t>
      </w:r>
    </w:p>
    <w:p>
      <w:pPr>
        <w:pStyle w:val="BodyText"/>
        <w:spacing w:line="285" w:lineRule="auto"/>
        <w:ind w:left="124" w:right="112" w:firstLine="360"/>
        <w:jc w:val="both"/>
      </w:pPr>
      <w:r>
        <w:rPr>
          <w:color w:val="231F20"/>
          <w:w w:val="110"/>
        </w:rPr>
        <w:t>A partir de nuestras observaciones y registros, sabemos que las fami- lias campesinas de la región siembran, en promedio, de 0.5 a 2 hectáreas</w:t>
      </w:r>
    </w:p>
    <w:p>
      <w:pPr>
        <w:pStyle w:val="BodyText"/>
        <w:spacing w:line="285" w:lineRule="auto"/>
        <w:ind w:left="124" w:right="112"/>
        <w:jc w:val="both"/>
      </w:pPr>
      <w:r>
        <w:rPr>
          <w:color w:val="231F20"/>
          <w:w w:val="110"/>
        </w:rPr>
        <w:t>—pequeña escala— y procuran minimizar los riesgos con medidas como </w:t>
      </w:r>
      <w:r>
        <w:rPr>
          <w:color w:val="231F20"/>
          <w:spacing w:val="-3"/>
          <w:w w:val="110"/>
        </w:rPr>
        <w:t>los</w:t>
      </w:r>
      <w:r>
        <w:rPr>
          <w:color w:val="231F20"/>
          <w:spacing w:val="-12"/>
          <w:w w:val="110"/>
        </w:rPr>
        <w:t> </w:t>
      </w:r>
      <w:r>
        <w:rPr>
          <w:color w:val="231F20"/>
          <w:spacing w:val="-4"/>
          <w:w w:val="110"/>
        </w:rPr>
        <w:t>cultivos</w:t>
      </w:r>
      <w:r>
        <w:rPr>
          <w:color w:val="231F20"/>
          <w:spacing w:val="-12"/>
          <w:w w:val="110"/>
        </w:rPr>
        <w:t> </w:t>
      </w:r>
      <w:r>
        <w:rPr>
          <w:color w:val="231F20"/>
          <w:spacing w:val="-4"/>
          <w:w w:val="110"/>
        </w:rPr>
        <w:t>mixtos,</w:t>
      </w:r>
      <w:r>
        <w:rPr>
          <w:color w:val="231F20"/>
          <w:spacing w:val="-12"/>
          <w:w w:val="110"/>
        </w:rPr>
        <w:t> </w:t>
      </w:r>
      <w:r>
        <w:rPr>
          <w:color w:val="231F20"/>
          <w:w w:val="110"/>
        </w:rPr>
        <w:t>el</w:t>
      </w:r>
      <w:r>
        <w:rPr>
          <w:color w:val="231F20"/>
          <w:spacing w:val="-12"/>
          <w:w w:val="110"/>
        </w:rPr>
        <w:t> </w:t>
      </w:r>
      <w:r>
        <w:rPr>
          <w:color w:val="231F20"/>
          <w:spacing w:val="-3"/>
          <w:w w:val="110"/>
        </w:rPr>
        <w:t>uso</w:t>
      </w:r>
      <w:r>
        <w:rPr>
          <w:color w:val="231F20"/>
          <w:spacing w:val="-12"/>
          <w:w w:val="110"/>
        </w:rPr>
        <w:t> </w:t>
      </w:r>
      <w:r>
        <w:rPr>
          <w:color w:val="231F20"/>
          <w:w w:val="110"/>
        </w:rPr>
        <w:t>de</w:t>
      </w:r>
      <w:r>
        <w:rPr>
          <w:color w:val="231F20"/>
          <w:spacing w:val="-12"/>
          <w:w w:val="110"/>
        </w:rPr>
        <w:t> </w:t>
      </w:r>
      <w:r>
        <w:rPr>
          <w:color w:val="231F20"/>
          <w:spacing w:val="-4"/>
          <w:w w:val="110"/>
        </w:rPr>
        <w:t>variedades</w:t>
      </w:r>
      <w:r>
        <w:rPr>
          <w:color w:val="231F20"/>
          <w:spacing w:val="-12"/>
          <w:w w:val="110"/>
        </w:rPr>
        <w:t> </w:t>
      </w:r>
      <w:r>
        <w:rPr>
          <w:color w:val="231F20"/>
          <w:spacing w:val="-4"/>
          <w:w w:val="110"/>
        </w:rPr>
        <w:t>resistentes</w:t>
      </w:r>
      <w:r>
        <w:rPr>
          <w:color w:val="231F20"/>
          <w:spacing w:val="-12"/>
          <w:w w:val="110"/>
        </w:rPr>
        <w:t> </w:t>
      </w:r>
      <w:r>
        <w:rPr>
          <w:color w:val="231F20"/>
          <w:w w:val="110"/>
        </w:rPr>
        <w:t>al</w:t>
      </w:r>
      <w:r>
        <w:rPr>
          <w:color w:val="231F20"/>
          <w:spacing w:val="-12"/>
          <w:w w:val="110"/>
        </w:rPr>
        <w:t> </w:t>
      </w:r>
      <w:r>
        <w:rPr>
          <w:color w:val="231F20"/>
          <w:spacing w:val="-3"/>
          <w:w w:val="110"/>
        </w:rPr>
        <w:t>frío</w:t>
      </w:r>
      <w:r>
        <w:rPr>
          <w:color w:val="231F20"/>
          <w:spacing w:val="-12"/>
          <w:w w:val="110"/>
        </w:rPr>
        <w:t> </w:t>
      </w:r>
      <w:r>
        <w:rPr>
          <w:color w:val="231F20"/>
          <w:w w:val="110"/>
        </w:rPr>
        <w:t>y</w:t>
      </w:r>
      <w:r>
        <w:rPr>
          <w:color w:val="231F20"/>
          <w:spacing w:val="-12"/>
          <w:w w:val="110"/>
        </w:rPr>
        <w:t> </w:t>
      </w:r>
      <w:r>
        <w:rPr>
          <w:color w:val="231F20"/>
          <w:w w:val="110"/>
        </w:rPr>
        <w:t>la</w:t>
      </w:r>
      <w:r>
        <w:rPr>
          <w:color w:val="231F20"/>
          <w:spacing w:val="-12"/>
          <w:w w:val="110"/>
        </w:rPr>
        <w:t> </w:t>
      </w:r>
      <w:r>
        <w:rPr>
          <w:color w:val="231F20"/>
          <w:spacing w:val="-4"/>
          <w:w w:val="110"/>
        </w:rPr>
        <w:t>siembra</w:t>
      </w:r>
      <w:r>
        <w:rPr>
          <w:color w:val="231F20"/>
          <w:spacing w:val="-12"/>
          <w:w w:val="110"/>
        </w:rPr>
        <w:t> </w:t>
      </w:r>
      <w:r>
        <w:rPr>
          <w:color w:val="231F20"/>
          <w:w w:val="110"/>
        </w:rPr>
        <w:t>de</w:t>
      </w:r>
      <w:r>
        <w:rPr>
          <w:color w:val="231F20"/>
          <w:spacing w:val="-12"/>
          <w:w w:val="110"/>
        </w:rPr>
        <w:t> </w:t>
      </w:r>
      <w:r>
        <w:rPr>
          <w:color w:val="231F20"/>
          <w:spacing w:val="-3"/>
          <w:w w:val="110"/>
        </w:rPr>
        <w:t>par- </w:t>
      </w:r>
      <w:r>
        <w:rPr>
          <w:color w:val="231F20"/>
          <w:w w:val="110"/>
        </w:rPr>
        <w:t>celas fragmentadas, es </w:t>
      </w:r>
      <w:r>
        <w:rPr>
          <w:color w:val="231F20"/>
          <w:spacing w:val="-5"/>
          <w:w w:val="110"/>
        </w:rPr>
        <w:t>decir, </w:t>
      </w:r>
      <w:r>
        <w:rPr>
          <w:color w:val="231F20"/>
          <w:w w:val="110"/>
        </w:rPr>
        <w:t>unas de riego, otras de temporal; tratan de</w:t>
      </w:r>
      <w:r>
        <w:rPr>
          <w:color w:val="231F20"/>
          <w:spacing w:val="-33"/>
          <w:w w:val="110"/>
        </w:rPr>
        <w:t> </w:t>
      </w:r>
      <w:r>
        <w:rPr>
          <w:color w:val="231F20"/>
          <w:w w:val="110"/>
        </w:rPr>
        <w:t>re- ducir máximos y mínimos de las demandas de mano de obra con cultivos diversificados, así como recurriendo a la mezcla de variedades de</w:t>
      </w:r>
      <w:r>
        <w:rPr>
          <w:color w:val="231F20"/>
          <w:spacing w:val="-21"/>
          <w:w w:val="110"/>
        </w:rPr>
        <w:t> </w:t>
      </w:r>
      <w:r>
        <w:rPr>
          <w:color w:val="231F20"/>
          <w:w w:val="110"/>
        </w:rPr>
        <w:t>simiente que maduran rápido con otras de maduración lenta (conocimiento</w:t>
      </w:r>
      <w:r>
        <w:rPr>
          <w:color w:val="231F20"/>
          <w:spacing w:val="6"/>
          <w:w w:val="110"/>
        </w:rPr>
        <w:t> </w:t>
      </w:r>
      <w:r>
        <w:rPr>
          <w:color w:val="231F20"/>
          <w:w w:val="110"/>
        </w:rPr>
        <w:t>local).</w:t>
      </w:r>
    </w:p>
    <w:p>
      <w:pPr>
        <w:pStyle w:val="BodyText"/>
        <w:spacing w:line="285" w:lineRule="auto"/>
        <w:ind w:left="124" w:right="111" w:firstLine="360"/>
        <w:jc w:val="both"/>
      </w:pPr>
      <w:r>
        <w:rPr>
          <w:color w:val="231F20"/>
          <w:w w:val="110"/>
        </w:rPr>
        <w:t>El</w:t>
      </w:r>
      <w:r>
        <w:rPr>
          <w:color w:val="231F20"/>
          <w:spacing w:val="-8"/>
          <w:w w:val="110"/>
        </w:rPr>
        <w:t> </w:t>
      </w:r>
      <w:r>
        <w:rPr>
          <w:color w:val="231F20"/>
          <w:w w:val="110"/>
        </w:rPr>
        <w:t>cultivo</w:t>
      </w:r>
      <w:r>
        <w:rPr>
          <w:color w:val="231F20"/>
          <w:spacing w:val="-8"/>
          <w:w w:val="110"/>
        </w:rPr>
        <w:t> </w:t>
      </w:r>
      <w:r>
        <w:rPr>
          <w:color w:val="231F20"/>
          <w:w w:val="110"/>
        </w:rPr>
        <w:t>del</w:t>
      </w:r>
      <w:r>
        <w:rPr>
          <w:color w:val="231F20"/>
          <w:spacing w:val="-8"/>
          <w:w w:val="110"/>
        </w:rPr>
        <w:t> </w:t>
      </w:r>
      <w:r>
        <w:rPr>
          <w:color w:val="231F20"/>
          <w:w w:val="110"/>
        </w:rPr>
        <w:t>maíz</w:t>
      </w:r>
      <w:r>
        <w:rPr>
          <w:color w:val="231F20"/>
          <w:spacing w:val="-8"/>
          <w:w w:val="110"/>
        </w:rPr>
        <w:t> </w:t>
      </w:r>
      <w:r>
        <w:rPr>
          <w:color w:val="231F20"/>
          <w:w w:val="110"/>
        </w:rPr>
        <w:t>de</w:t>
      </w:r>
      <w:r>
        <w:rPr>
          <w:color w:val="231F20"/>
          <w:spacing w:val="-8"/>
          <w:w w:val="110"/>
        </w:rPr>
        <w:t> </w:t>
      </w:r>
      <w:r>
        <w:rPr>
          <w:color w:val="231F20"/>
          <w:w w:val="110"/>
        </w:rPr>
        <w:t>temporal</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región</w:t>
      </w:r>
      <w:r>
        <w:rPr>
          <w:color w:val="231F20"/>
          <w:spacing w:val="-8"/>
          <w:w w:val="110"/>
        </w:rPr>
        <w:t> </w:t>
      </w:r>
      <w:r>
        <w:rPr>
          <w:color w:val="231F20"/>
          <w:w w:val="110"/>
        </w:rPr>
        <w:t>del</w:t>
      </w:r>
      <w:r>
        <w:rPr>
          <w:color w:val="231F20"/>
          <w:spacing w:val="-8"/>
          <w:w w:val="110"/>
        </w:rPr>
        <w:t> </w:t>
      </w:r>
      <w:r>
        <w:rPr>
          <w:color w:val="231F20"/>
          <w:spacing w:val="-6"/>
          <w:w w:val="110"/>
        </w:rPr>
        <w:t>Valle</w:t>
      </w:r>
      <w:r>
        <w:rPr>
          <w:color w:val="231F20"/>
          <w:spacing w:val="-8"/>
          <w:w w:val="110"/>
        </w:rPr>
        <w:t> </w:t>
      </w:r>
      <w:r>
        <w:rPr>
          <w:color w:val="231F20"/>
          <w:w w:val="110"/>
        </w:rPr>
        <w:t>de</w:t>
      </w:r>
      <w:r>
        <w:rPr>
          <w:color w:val="231F20"/>
          <w:spacing w:val="-8"/>
          <w:w w:val="110"/>
        </w:rPr>
        <w:t> </w:t>
      </w:r>
      <w:r>
        <w:rPr>
          <w:color w:val="231F20"/>
          <w:w w:val="110"/>
        </w:rPr>
        <w:t>Ixtlahuaca</w:t>
      </w:r>
      <w:r>
        <w:rPr>
          <w:color w:val="231F20"/>
          <w:spacing w:val="-8"/>
          <w:w w:val="110"/>
        </w:rPr>
        <w:t> </w:t>
      </w:r>
      <w:r>
        <w:rPr>
          <w:color w:val="231F20"/>
          <w:w w:val="110"/>
        </w:rPr>
        <w:t>tiene una estrecha relación con su complejo sistema de creencias y su cosmovi- sión en torno al ciclo agrícola. Éste inicia con la preparación del terreno</w:t>
      </w:r>
      <w:r>
        <w:rPr>
          <w:color w:val="231F20"/>
          <w:spacing w:val="-9"/>
          <w:w w:val="110"/>
        </w:rPr>
        <w:t> </w:t>
      </w:r>
      <w:r>
        <w:rPr>
          <w:color w:val="231F20"/>
          <w:w w:val="110"/>
        </w:rPr>
        <w:t>en los meses de enero-febrero,</w:t>
      </w:r>
      <w:r>
        <w:rPr>
          <w:color w:val="231F20"/>
          <w:w w:val="110"/>
          <w:position w:val="6"/>
          <w:sz w:val="11"/>
        </w:rPr>
        <w:t>16 </w:t>
      </w:r>
      <w:r>
        <w:rPr>
          <w:color w:val="231F20"/>
          <w:w w:val="110"/>
        </w:rPr>
        <w:t>lo que consiste básicamente en realizar el “barbecho” y “rastra”, también conocido como “segunda”; el primero con- </w:t>
      </w:r>
      <w:r>
        <w:rPr>
          <w:color w:val="231F20"/>
          <w:spacing w:val="2"/>
          <w:w w:val="110"/>
        </w:rPr>
        <w:t>siste </w:t>
      </w:r>
      <w:r>
        <w:rPr>
          <w:color w:val="231F20"/>
          <w:w w:val="110"/>
        </w:rPr>
        <w:t>en </w:t>
      </w:r>
      <w:r>
        <w:rPr>
          <w:color w:val="231F20"/>
          <w:spacing w:val="2"/>
          <w:w w:val="110"/>
        </w:rPr>
        <w:t>cortar manualmente </w:t>
      </w:r>
      <w:r>
        <w:rPr>
          <w:color w:val="231F20"/>
          <w:w w:val="110"/>
        </w:rPr>
        <w:t>el </w:t>
      </w:r>
      <w:r>
        <w:rPr>
          <w:color w:val="231F20"/>
          <w:spacing w:val="2"/>
          <w:w w:val="110"/>
        </w:rPr>
        <w:t>rastrojo </w:t>
      </w:r>
      <w:r>
        <w:rPr>
          <w:color w:val="231F20"/>
          <w:w w:val="110"/>
        </w:rPr>
        <w:t>o </w:t>
      </w:r>
      <w:r>
        <w:rPr>
          <w:color w:val="231F20"/>
          <w:spacing w:val="2"/>
          <w:w w:val="110"/>
        </w:rPr>
        <w:t>zacate </w:t>
      </w:r>
      <w:r>
        <w:rPr>
          <w:color w:val="231F20"/>
          <w:w w:val="110"/>
        </w:rPr>
        <w:t>de la </w:t>
      </w:r>
      <w:r>
        <w:rPr>
          <w:color w:val="231F20"/>
          <w:spacing w:val="2"/>
          <w:w w:val="110"/>
        </w:rPr>
        <w:t>siembra </w:t>
      </w:r>
      <w:r>
        <w:rPr>
          <w:color w:val="231F20"/>
          <w:w w:val="110"/>
        </w:rPr>
        <w:t>del año anterior, para después recoger y almacenar en pacas, las cuales se colocan normalmente en la parte trasera de la casa-habitación, y su uso principal es</w:t>
      </w:r>
      <w:r>
        <w:rPr>
          <w:color w:val="231F20"/>
          <w:spacing w:val="-7"/>
          <w:w w:val="110"/>
        </w:rPr>
        <w:t> </w:t>
      </w:r>
      <w:r>
        <w:rPr>
          <w:color w:val="231F20"/>
          <w:w w:val="110"/>
        </w:rPr>
        <w:t>el</w:t>
      </w:r>
      <w:r>
        <w:rPr>
          <w:color w:val="231F20"/>
          <w:spacing w:val="-7"/>
          <w:w w:val="110"/>
        </w:rPr>
        <w:t> </w:t>
      </w:r>
      <w:r>
        <w:rPr>
          <w:color w:val="231F20"/>
          <w:w w:val="110"/>
        </w:rPr>
        <w:t>de</w:t>
      </w:r>
      <w:r>
        <w:rPr>
          <w:color w:val="231F20"/>
          <w:spacing w:val="-7"/>
          <w:w w:val="110"/>
        </w:rPr>
        <w:t> </w:t>
      </w:r>
      <w:r>
        <w:rPr>
          <w:color w:val="231F20"/>
          <w:w w:val="110"/>
        </w:rPr>
        <w:t>alimentar</w:t>
      </w:r>
      <w:r>
        <w:rPr>
          <w:color w:val="231F20"/>
          <w:spacing w:val="-7"/>
          <w:w w:val="110"/>
        </w:rPr>
        <w:t> </w:t>
      </w:r>
      <w:r>
        <w:rPr>
          <w:color w:val="231F20"/>
          <w:w w:val="110"/>
        </w:rPr>
        <w:t>a</w:t>
      </w:r>
      <w:r>
        <w:rPr>
          <w:color w:val="231F20"/>
          <w:spacing w:val="-7"/>
          <w:w w:val="110"/>
        </w:rPr>
        <w:t> </w:t>
      </w:r>
      <w:r>
        <w:rPr>
          <w:color w:val="231F20"/>
          <w:w w:val="110"/>
        </w:rPr>
        <w:t>los</w:t>
      </w:r>
      <w:r>
        <w:rPr>
          <w:color w:val="231F20"/>
          <w:spacing w:val="-7"/>
          <w:w w:val="110"/>
        </w:rPr>
        <w:t> </w:t>
      </w:r>
      <w:r>
        <w:rPr>
          <w:color w:val="231F20"/>
          <w:w w:val="110"/>
        </w:rPr>
        <w:t>animales,</w:t>
      </w:r>
      <w:r>
        <w:rPr>
          <w:color w:val="231F20"/>
          <w:spacing w:val="-7"/>
          <w:w w:val="110"/>
        </w:rPr>
        <w:t> </w:t>
      </w:r>
      <w:r>
        <w:rPr>
          <w:color w:val="231F20"/>
          <w:w w:val="110"/>
        </w:rPr>
        <w:t>como</w:t>
      </w:r>
      <w:r>
        <w:rPr>
          <w:color w:val="231F20"/>
          <w:spacing w:val="-7"/>
          <w:w w:val="110"/>
        </w:rPr>
        <w:t> </w:t>
      </w:r>
      <w:r>
        <w:rPr>
          <w:color w:val="231F20"/>
          <w:w w:val="110"/>
        </w:rPr>
        <w:t>caballos</w:t>
      </w:r>
      <w:r>
        <w:rPr>
          <w:color w:val="231F20"/>
          <w:spacing w:val="-7"/>
          <w:w w:val="110"/>
        </w:rPr>
        <w:t> </w:t>
      </w:r>
      <w:r>
        <w:rPr>
          <w:color w:val="231F20"/>
          <w:w w:val="110"/>
        </w:rPr>
        <w:t>y</w:t>
      </w:r>
      <w:r>
        <w:rPr>
          <w:color w:val="231F20"/>
          <w:spacing w:val="-7"/>
          <w:w w:val="110"/>
        </w:rPr>
        <w:t> </w:t>
      </w:r>
      <w:r>
        <w:rPr>
          <w:color w:val="231F20"/>
          <w:w w:val="110"/>
        </w:rPr>
        <w:t>vacas;</w:t>
      </w:r>
      <w:r>
        <w:rPr>
          <w:color w:val="231F20"/>
          <w:spacing w:val="-7"/>
          <w:w w:val="110"/>
        </w:rPr>
        <w:t> </w:t>
      </w:r>
      <w:r>
        <w:rPr>
          <w:color w:val="231F20"/>
          <w:w w:val="110"/>
        </w:rPr>
        <w:t>la</w:t>
      </w:r>
      <w:r>
        <w:rPr>
          <w:color w:val="231F20"/>
          <w:spacing w:val="-7"/>
          <w:w w:val="110"/>
        </w:rPr>
        <w:t> </w:t>
      </w:r>
      <w:r>
        <w:rPr>
          <w:color w:val="231F20"/>
          <w:w w:val="110"/>
        </w:rPr>
        <w:t>“rastra”</w:t>
      </w:r>
      <w:r>
        <w:rPr>
          <w:color w:val="231F20"/>
          <w:spacing w:val="-7"/>
          <w:w w:val="110"/>
        </w:rPr>
        <w:t> </w:t>
      </w:r>
      <w:r>
        <w:rPr>
          <w:color w:val="231F20"/>
          <w:w w:val="110"/>
        </w:rPr>
        <w:t>consiste en remover la tierra y desbaratar los terrones, con la finalidad de que el </w:t>
      </w:r>
      <w:r>
        <w:rPr>
          <w:color w:val="231F20"/>
          <w:spacing w:val="2"/>
          <w:w w:val="110"/>
        </w:rPr>
        <w:t>terreno quede limpio </w:t>
      </w:r>
      <w:r>
        <w:rPr>
          <w:color w:val="231F20"/>
          <w:w w:val="110"/>
        </w:rPr>
        <w:t>y </w:t>
      </w:r>
      <w:r>
        <w:rPr>
          <w:color w:val="231F20"/>
          <w:spacing w:val="2"/>
          <w:w w:val="110"/>
        </w:rPr>
        <w:t>listo para roturar </w:t>
      </w:r>
      <w:r>
        <w:rPr>
          <w:color w:val="231F20"/>
          <w:w w:val="110"/>
        </w:rPr>
        <w:t>el </w:t>
      </w:r>
      <w:r>
        <w:rPr>
          <w:color w:val="231F20"/>
          <w:spacing w:val="2"/>
          <w:w w:val="110"/>
        </w:rPr>
        <w:t>suelo, formar </w:t>
      </w:r>
      <w:r>
        <w:rPr>
          <w:color w:val="231F20"/>
          <w:w w:val="110"/>
        </w:rPr>
        <w:t>los </w:t>
      </w:r>
      <w:r>
        <w:rPr>
          <w:color w:val="231F20"/>
          <w:spacing w:val="2"/>
          <w:w w:val="110"/>
        </w:rPr>
        <w:t>surcos </w:t>
      </w:r>
      <w:r>
        <w:rPr>
          <w:color w:val="231F20"/>
          <w:w w:val="110"/>
        </w:rPr>
        <w:t>y </w:t>
      </w:r>
      <w:r>
        <w:rPr>
          <w:color w:val="231F20"/>
          <w:spacing w:val="-3"/>
          <w:w w:val="110"/>
        </w:rPr>
        <w:t>sembrar. </w:t>
      </w:r>
      <w:r>
        <w:rPr>
          <w:color w:val="231F20"/>
          <w:w w:val="110"/>
        </w:rPr>
        <w:t>Este proceso actualmente se realiza, en la mayoría de los casos, con </w:t>
      </w:r>
      <w:r>
        <w:rPr>
          <w:color w:val="231F20"/>
          <w:spacing w:val="-3"/>
          <w:w w:val="110"/>
        </w:rPr>
        <w:t>tractor, </w:t>
      </w:r>
      <w:r>
        <w:rPr>
          <w:color w:val="231F20"/>
          <w:w w:val="110"/>
        </w:rPr>
        <w:t>y actualmente sólo algunos campesinos utilizan la yunta.</w:t>
      </w:r>
      <w:r>
        <w:rPr>
          <w:color w:val="231F20"/>
          <w:w w:val="110"/>
          <w:position w:val="6"/>
          <w:sz w:val="11"/>
        </w:rPr>
        <w:t>17 </w:t>
      </w:r>
      <w:r>
        <w:rPr>
          <w:color w:val="231F20"/>
          <w:w w:val="110"/>
        </w:rPr>
        <w:t>En estas tierras altas y frías, las lluvias empiezan en mayo o, si vienen tarde, en junio; de ahí que la siembra inicie en marzo-abril (Reyes,</w:t>
      </w:r>
      <w:r>
        <w:rPr>
          <w:color w:val="231F20"/>
          <w:spacing w:val="15"/>
          <w:w w:val="110"/>
        </w:rPr>
        <w:t> </w:t>
      </w:r>
      <w:r>
        <w:rPr>
          <w:color w:val="231F20"/>
          <w:w w:val="110"/>
        </w:rPr>
        <w:t>2012).</w:t>
      </w:r>
    </w:p>
    <w:p>
      <w:pPr>
        <w:spacing w:line="256" w:lineRule="auto" w:before="166"/>
        <w:ind w:left="124" w:right="113" w:firstLine="360"/>
        <w:jc w:val="both"/>
        <w:rPr>
          <w:sz w:val="16"/>
        </w:rPr>
      </w:pPr>
      <w:r>
        <w:rPr>
          <w:color w:val="231F20"/>
          <w:w w:val="110"/>
          <w:position w:val="5"/>
          <w:sz w:val="9"/>
        </w:rPr>
        <w:t>16</w:t>
      </w:r>
      <w:r>
        <w:rPr>
          <w:color w:val="231F20"/>
          <w:spacing w:val="-6"/>
          <w:w w:val="110"/>
          <w:position w:val="5"/>
          <w:sz w:val="9"/>
        </w:rPr>
        <w:t> </w:t>
      </w:r>
      <w:r>
        <w:rPr>
          <w:color w:val="231F20"/>
          <w:w w:val="110"/>
          <w:sz w:val="16"/>
        </w:rPr>
        <w:t>Algunos</w:t>
      </w:r>
      <w:r>
        <w:rPr>
          <w:color w:val="231F20"/>
          <w:spacing w:val="-8"/>
          <w:w w:val="110"/>
          <w:sz w:val="16"/>
        </w:rPr>
        <w:t> </w:t>
      </w:r>
      <w:r>
        <w:rPr>
          <w:color w:val="231F20"/>
          <w:w w:val="110"/>
          <w:sz w:val="16"/>
        </w:rPr>
        <w:t>dijeron</w:t>
      </w:r>
      <w:r>
        <w:rPr>
          <w:color w:val="231F20"/>
          <w:spacing w:val="-8"/>
          <w:w w:val="110"/>
          <w:sz w:val="16"/>
        </w:rPr>
        <w:t> </w:t>
      </w:r>
      <w:r>
        <w:rPr>
          <w:color w:val="231F20"/>
          <w:w w:val="110"/>
          <w:sz w:val="16"/>
        </w:rPr>
        <w:t>“el</w:t>
      </w:r>
      <w:r>
        <w:rPr>
          <w:color w:val="231F20"/>
          <w:spacing w:val="-8"/>
          <w:w w:val="110"/>
          <w:sz w:val="16"/>
        </w:rPr>
        <w:t> </w:t>
      </w:r>
      <w:r>
        <w:rPr>
          <w:color w:val="231F20"/>
          <w:w w:val="110"/>
          <w:sz w:val="16"/>
        </w:rPr>
        <w:t>terreno</w:t>
      </w:r>
      <w:r>
        <w:rPr>
          <w:color w:val="231F20"/>
          <w:spacing w:val="-8"/>
          <w:w w:val="110"/>
          <w:sz w:val="16"/>
        </w:rPr>
        <w:t> </w:t>
      </w:r>
      <w:r>
        <w:rPr>
          <w:color w:val="231F20"/>
          <w:w w:val="110"/>
          <w:sz w:val="16"/>
        </w:rPr>
        <w:t>se</w:t>
      </w:r>
      <w:r>
        <w:rPr>
          <w:color w:val="231F20"/>
          <w:spacing w:val="-8"/>
          <w:w w:val="110"/>
          <w:sz w:val="16"/>
        </w:rPr>
        <w:t> </w:t>
      </w:r>
      <w:r>
        <w:rPr>
          <w:color w:val="231F20"/>
          <w:w w:val="110"/>
          <w:sz w:val="16"/>
        </w:rPr>
        <w:t>prepara</w:t>
      </w:r>
      <w:r>
        <w:rPr>
          <w:color w:val="231F20"/>
          <w:spacing w:val="-8"/>
          <w:w w:val="110"/>
          <w:sz w:val="16"/>
        </w:rPr>
        <w:t> </w:t>
      </w:r>
      <w:r>
        <w:rPr>
          <w:color w:val="231F20"/>
          <w:w w:val="110"/>
          <w:sz w:val="16"/>
        </w:rPr>
        <w:t>durante</w:t>
      </w:r>
      <w:r>
        <w:rPr>
          <w:color w:val="231F20"/>
          <w:spacing w:val="-8"/>
          <w:w w:val="110"/>
          <w:sz w:val="16"/>
        </w:rPr>
        <w:t> </w:t>
      </w:r>
      <w:r>
        <w:rPr>
          <w:color w:val="231F20"/>
          <w:w w:val="110"/>
          <w:sz w:val="16"/>
        </w:rPr>
        <w:t>diciembre-enero”,</w:t>
      </w:r>
      <w:r>
        <w:rPr>
          <w:color w:val="231F20"/>
          <w:spacing w:val="-8"/>
          <w:w w:val="110"/>
          <w:sz w:val="16"/>
        </w:rPr>
        <w:t> </w:t>
      </w:r>
      <w:r>
        <w:rPr>
          <w:color w:val="231F20"/>
          <w:w w:val="110"/>
          <w:sz w:val="16"/>
        </w:rPr>
        <w:t>ya</w:t>
      </w:r>
      <w:r>
        <w:rPr>
          <w:color w:val="231F20"/>
          <w:spacing w:val="-8"/>
          <w:w w:val="110"/>
          <w:sz w:val="16"/>
        </w:rPr>
        <w:t> </w:t>
      </w:r>
      <w:r>
        <w:rPr>
          <w:color w:val="231F20"/>
          <w:w w:val="110"/>
          <w:sz w:val="16"/>
        </w:rPr>
        <w:t>que</w:t>
      </w:r>
      <w:r>
        <w:rPr>
          <w:color w:val="231F20"/>
          <w:spacing w:val="-8"/>
          <w:w w:val="110"/>
          <w:sz w:val="16"/>
        </w:rPr>
        <w:t> </w:t>
      </w:r>
      <w:r>
        <w:rPr>
          <w:color w:val="231F20"/>
          <w:w w:val="110"/>
          <w:sz w:val="16"/>
        </w:rPr>
        <w:t>de</w:t>
      </w:r>
      <w:r>
        <w:rPr>
          <w:color w:val="231F20"/>
          <w:spacing w:val="-8"/>
          <w:w w:val="110"/>
          <w:sz w:val="16"/>
        </w:rPr>
        <w:t> </w:t>
      </w:r>
      <w:r>
        <w:rPr>
          <w:color w:val="231F20"/>
          <w:w w:val="110"/>
          <w:sz w:val="16"/>
        </w:rPr>
        <w:t>esa</w:t>
      </w:r>
      <w:r>
        <w:rPr>
          <w:color w:val="231F20"/>
          <w:spacing w:val="-8"/>
          <w:w w:val="110"/>
          <w:sz w:val="16"/>
        </w:rPr>
        <w:t> </w:t>
      </w:r>
      <w:r>
        <w:rPr>
          <w:color w:val="231F20"/>
          <w:w w:val="110"/>
          <w:sz w:val="16"/>
        </w:rPr>
        <w:t>manera logran conservar la humedad de la tierra generada por las heladas de </w:t>
      </w:r>
      <w:r>
        <w:rPr>
          <w:color w:val="231F20"/>
          <w:spacing w:val="26"/>
          <w:w w:val="110"/>
          <w:sz w:val="16"/>
        </w:rPr>
        <w:t> </w:t>
      </w:r>
      <w:r>
        <w:rPr>
          <w:color w:val="231F20"/>
          <w:w w:val="110"/>
          <w:sz w:val="16"/>
        </w:rPr>
        <w:t>invierno.</w:t>
      </w:r>
    </w:p>
    <w:p>
      <w:pPr>
        <w:spacing w:line="256" w:lineRule="auto" w:before="0"/>
        <w:ind w:left="124" w:right="113" w:firstLine="360"/>
        <w:jc w:val="both"/>
        <w:rPr>
          <w:sz w:val="16"/>
        </w:rPr>
      </w:pPr>
      <w:r>
        <w:rPr>
          <w:color w:val="231F20"/>
          <w:w w:val="110"/>
          <w:position w:val="5"/>
          <w:sz w:val="9"/>
        </w:rPr>
        <w:t>17 </w:t>
      </w:r>
      <w:r>
        <w:rPr>
          <w:color w:val="231F20"/>
          <w:w w:val="110"/>
          <w:sz w:val="16"/>
        </w:rPr>
        <w:t>Los agricultores utilizan el término “rayado” para referirse al proceso de la roturación del suelo y preparación de los  surcos.</w:t>
      </w:r>
    </w:p>
    <w:p>
      <w:pPr>
        <w:spacing w:after="0" w:line="256" w:lineRule="auto"/>
        <w:jc w:val="both"/>
        <w:rPr>
          <w:sz w:val="16"/>
        </w:rPr>
        <w:sectPr>
          <w:pgSz w:w="9520" w:h="12920"/>
          <w:pgMar w:header="0" w:footer="1344" w:top="880" w:bottom="1540" w:left="1320" w:right="1000"/>
        </w:sectPr>
      </w:pPr>
    </w:p>
    <w:p>
      <w:pPr>
        <w:pStyle w:val="BodyText"/>
        <w:spacing w:line="280" w:lineRule="auto" w:before="42"/>
        <w:ind w:left="120" w:right="118" w:firstLine="360"/>
        <w:jc w:val="both"/>
      </w:pPr>
      <w:r>
        <w:rPr>
          <w:color w:val="231F20"/>
          <w:w w:val="110"/>
        </w:rPr>
        <w:t>Las “primeras ceremonias” del año tienen que ver con la petición de </w:t>
      </w:r>
      <w:r>
        <w:rPr>
          <w:color w:val="231F20"/>
          <w:spacing w:val="-4"/>
          <w:w w:val="110"/>
        </w:rPr>
        <w:t>lluvias;</w:t>
      </w:r>
      <w:r>
        <w:rPr>
          <w:color w:val="231F20"/>
          <w:spacing w:val="-8"/>
          <w:w w:val="110"/>
        </w:rPr>
        <w:t> </w:t>
      </w:r>
      <w:r>
        <w:rPr>
          <w:color w:val="231F20"/>
          <w:spacing w:val="-3"/>
          <w:w w:val="110"/>
        </w:rPr>
        <w:t>una</w:t>
      </w:r>
      <w:r>
        <w:rPr>
          <w:color w:val="231F20"/>
          <w:spacing w:val="-8"/>
          <w:w w:val="110"/>
        </w:rPr>
        <w:t> </w:t>
      </w:r>
      <w:r>
        <w:rPr>
          <w:color w:val="231F20"/>
          <w:w w:val="110"/>
        </w:rPr>
        <w:t>de</w:t>
      </w:r>
      <w:r>
        <w:rPr>
          <w:color w:val="231F20"/>
          <w:spacing w:val="-8"/>
          <w:w w:val="110"/>
        </w:rPr>
        <w:t> </w:t>
      </w:r>
      <w:r>
        <w:rPr>
          <w:color w:val="231F20"/>
          <w:spacing w:val="-4"/>
          <w:w w:val="110"/>
        </w:rPr>
        <w:t>ellas</w:t>
      </w:r>
      <w:r>
        <w:rPr>
          <w:color w:val="231F20"/>
          <w:spacing w:val="-8"/>
          <w:w w:val="110"/>
        </w:rPr>
        <w:t> </w:t>
      </w:r>
      <w:r>
        <w:rPr>
          <w:color w:val="231F20"/>
          <w:spacing w:val="-4"/>
          <w:w w:val="110"/>
        </w:rPr>
        <w:t>—posterior</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spacing w:val="-4"/>
          <w:w w:val="110"/>
        </w:rPr>
        <w:t>bendición</w:t>
      </w:r>
      <w:r>
        <w:rPr>
          <w:color w:val="231F20"/>
          <w:spacing w:val="-8"/>
          <w:w w:val="110"/>
        </w:rPr>
        <w:t> </w:t>
      </w:r>
      <w:r>
        <w:rPr>
          <w:color w:val="231F20"/>
          <w:w w:val="110"/>
        </w:rPr>
        <w:t>de</w:t>
      </w:r>
      <w:r>
        <w:rPr>
          <w:color w:val="231F20"/>
          <w:spacing w:val="-8"/>
          <w:w w:val="110"/>
        </w:rPr>
        <w:t> </w:t>
      </w:r>
      <w:r>
        <w:rPr>
          <w:color w:val="231F20"/>
          <w:spacing w:val="-3"/>
          <w:w w:val="110"/>
        </w:rPr>
        <w:t>las</w:t>
      </w:r>
      <w:r>
        <w:rPr>
          <w:color w:val="231F20"/>
          <w:spacing w:val="-8"/>
          <w:w w:val="110"/>
        </w:rPr>
        <w:t> </w:t>
      </w:r>
      <w:r>
        <w:rPr>
          <w:color w:val="231F20"/>
          <w:spacing w:val="-4"/>
          <w:w w:val="110"/>
        </w:rPr>
        <w:t>semillas</w:t>
      </w:r>
      <w:r>
        <w:rPr>
          <w:color w:val="231F20"/>
          <w:spacing w:val="-8"/>
          <w:w w:val="110"/>
        </w:rPr>
        <w:t> </w:t>
      </w:r>
      <w:r>
        <w:rPr>
          <w:color w:val="231F20"/>
          <w:spacing w:val="-3"/>
          <w:w w:val="110"/>
        </w:rPr>
        <w:t>para</w:t>
      </w:r>
      <w:r>
        <w:rPr>
          <w:color w:val="231F20"/>
          <w:spacing w:val="-8"/>
          <w:w w:val="110"/>
        </w:rPr>
        <w:t> </w:t>
      </w:r>
      <w:r>
        <w:rPr>
          <w:color w:val="231F20"/>
          <w:w w:val="110"/>
        </w:rPr>
        <w:t>la</w:t>
      </w:r>
      <w:r>
        <w:rPr>
          <w:color w:val="231F20"/>
          <w:spacing w:val="-8"/>
          <w:w w:val="110"/>
        </w:rPr>
        <w:t> </w:t>
      </w:r>
      <w:r>
        <w:rPr>
          <w:color w:val="231F20"/>
          <w:spacing w:val="-4"/>
          <w:w w:val="110"/>
        </w:rPr>
        <w:t>siembra, </w:t>
      </w:r>
      <w:r>
        <w:rPr>
          <w:color w:val="231F20"/>
          <w:w w:val="110"/>
        </w:rPr>
        <w:t>que tiene lugar el 2 de febrero, día de la </w:t>
      </w:r>
      <w:r>
        <w:rPr>
          <w:color w:val="231F20"/>
          <w:spacing w:val="-3"/>
          <w:w w:val="110"/>
        </w:rPr>
        <w:t>Virgen </w:t>
      </w:r>
      <w:r>
        <w:rPr>
          <w:color w:val="231F20"/>
          <w:w w:val="110"/>
        </w:rPr>
        <w:t>de la Candelaria— “es la peregrinación al santuario del Señor del Cerrito (Ixtlahuaca), llamado</w:t>
      </w:r>
      <w:r>
        <w:rPr>
          <w:color w:val="231F20"/>
          <w:spacing w:val="-33"/>
          <w:w w:val="110"/>
        </w:rPr>
        <w:t> </w:t>
      </w:r>
      <w:r>
        <w:rPr>
          <w:color w:val="231F20"/>
          <w:w w:val="110"/>
        </w:rPr>
        <w:t>tam- bién el Señor del Divino Rostro, en la que participan numerosos pueblos de la</w:t>
      </w:r>
      <w:r>
        <w:rPr>
          <w:color w:val="231F20"/>
          <w:spacing w:val="13"/>
          <w:w w:val="110"/>
        </w:rPr>
        <w:t> </w:t>
      </w:r>
      <w:r>
        <w:rPr>
          <w:color w:val="231F20"/>
          <w:w w:val="110"/>
        </w:rPr>
        <w:t>región.</w:t>
      </w:r>
    </w:p>
    <w:p>
      <w:pPr>
        <w:pStyle w:val="BodyText"/>
        <w:spacing w:line="280" w:lineRule="auto"/>
        <w:ind w:left="120" w:right="114" w:firstLine="360"/>
        <w:jc w:val="both"/>
      </w:pPr>
      <w:r>
        <w:rPr>
          <w:color w:val="231F20"/>
          <w:w w:val="105"/>
        </w:rPr>
        <w:t>El 3 de mayo, cuando las planicies y cerros reflejan la sequedad del ambiente, tiene lugar la fiesta que anuncia la proximidad de las lluvias. Los </w:t>
      </w:r>
      <w:r>
        <w:rPr>
          <w:color w:val="231F20"/>
          <w:spacing w:val="-4"/>
          <w:w w:val="105"/>
        </w:rPr>
        <w:t>santuarios </w:t>
      </w:r>
      <w:r>
        <w:rPr>
          <w:color w:val="231F20"/>
          <w:w w:val="105"/>
        </w:rPr>
        <w:t>de la </w:t>
      </w:r>
      <w:r>
        <w:rPr>
          <w:color w:val="231F20"/>
          <w:spacing w:val="-4"/>
          <w:w w:val="105"/>
        </w:rPr>
        <w:t>región </w:t>
      </w:r>
      <w:r>
        <w:rPr>
          <w:color w:val="231F20"/>
          <w:w w:val="105"/>
        </w:rPr>
        <w:t>se </w:t>
      </w:r>
      <w:r>
        <w:rPr>
          <w:color w:val="231F20"/>
          <w:spacing w:val="-4"/>
          <w:w w:val="105"/>
        </w:rPr>
        <w:t>animan </w:t>
      </w:r>
      <w:r>
        <w:rPr>
          <w:color w:val="231F20"/>
          <w:spacing w:val="-3"/>
          <w:w w:val="105"/>
        </w:rPr>
        <w:t>con los </w:t>
      </w:r>
      <w:r>
        <w:rPr>
          <w:color w:val="231F20"/>
          <w:spacing w:val="-4"/>
          <w:w w:val="105"/>
        </w:rPr>
        <w:t>festejos </w:t>
      </w:r>
      <w:r>
        <w:rPr>
          <w:color w:val="231F20"/>
          <w:w w:val="105"/>
        </w:rPr>
        <w:t>de la </w:t>
      </w:r>
      <w:r>
        <w:rPr>
          <w:color w:val="231F20"/>
          <w:spacing w:val="-4"/>
          <w:w w:val="105"/>
        </w:rPr>
        <w:t>Santa Cruz; </w:t>
      </w:r>
      <w:r>
        <w:rPr>
          <w:color w:val="231F20"/>
          <w:spacing w:val="-3"/>
          <w:w w:val="105"/>
        </w:rPr>
        <w:t>los </w:t>
      </w:r>
      <w:r>
        <w:rPr>
          <w:color w:val="231F20"/>
          <w:spacing w:val="-4"/>
          <w:w w:val="105"/>
        </w:rPr>
        <w:t>meses  </w:t>
      </w:r>
      <w:r>
        <w:rPr>
          <w:color w:val="231F20"/>
          <w:spacing w:val="38"/>
          <w:w w:val="105"/>
        </w:rPr>
        <w:t> </w:t>
      </w:r>
      <w:r>
        <w:rPr>
          <w:color w:val="231F20"/>
          <w:w w:val="105"/>
        </w:rPr>
        <w:t>de mayor precipitación pluvial son junio, julio y agosto, y los de </w:t>
      </w:r>
      <w:r>
        <w:rPr>
          <w:color w:val="231F20"/>
          <w:spacing w:val="-2"/>
          <w:w w:val="105"/>
        </w:rPr>
        <w:t>menor, </w:t>
      </w:r>
      <w:r>
        <w:rPr>
          <w:color w:val="231F20"/>
          <w:w w:val="105"/>
        </w:rPr>
        <w:t>noviembre y febrero (Barrientos,  </w:t>
      </w:r>
      <w:r>
        <w:rPr>
          <w:color w:val="231F20"/>
          <w:spacing w:val="9"/>
          <w:w w:val="105"/>
        </w:rPr>
        <w:t> </w:t>
      </w:r>
      <w:r>
        <w:rPr>
          <w:color w:val="231F20"/>
          <w:w w:val="105"/>
        </w:rPr>
        <w:t>2004).</w:t>
      </w:r>
    </w:p>
    <w:p>
      <w:pPr>
        <w:pStyle w:val="BodyText"/>
        <w:spacing w:line="280" w:lineRule="auto"/>
        <w:ind w:left="120" w:right="116" w:firstLine="360"/>
        <w:jc w:val="both"/>
      </w:pPr>
      <w:r>
        <w:rPr>
          <w:color w:val="231F20"/>
          <w:w w:val="110"/>
        </w:rPr>
        <w:t>En el periodo de lluvias, las pequeñas lagunas empiezan a proliferar</w:t>
      </w:r>
      <w:r>
        <w:rPr>
          <w:color w:val="231F20"/>
          <w:spacing w:val="-27"/>
          <w:w w:val="110"/>
        </w:rPr>
        <w:t> </w:t>
      </w:r>
      <w:r>
        <w:rPr>
          <w:color w:val="231F20"/>
          <w:w w:val="110"/>
        </w:rPr>
        <w:t>en las planicies. En los pueblos de la región se recogen los primeros elotes   en agosto, ocasión en la que las familias realizan la bendición de las</w:t>
      </w:r>
      <w:r>
        <w:rPr>
          <w:color w:val="231F20"/>
          <w:spacing w:val="-8"/>
          <w:w w:val="110"/>
        </w:rPr>
        <w:t> </w:t>
      </w:r>
      <w:r>
        <w:rPr>
          <w:color w:val="231F20"/>
          <w:w w:val="110"/>
        </w:rPr>
        <w:t>milpas y organizan una comida alrededor de los sembradíos. El 15 de agosto, día de la </w:t>
      </w:r>
      <w:r>
        <w:rPr>
          <w:color w:val="231F20"/>
          <w:spacing w:val="-3"/>
          <w:w w:val="110"/>
        </w:rPr>
        <w:t>Virgen </w:t>
      </w:r>
      <w:r>
        <w:rPr>
          <w:color w:val="231F20"/>
          <w:w w:val="110"/>
        </w:rPr>
        <w:t>de la Asunción, es la fiesta de los primeros frutos. En la región le llaman “estreno de la milpa”, y es el momento en que florean las milpas </w:t>
      </w:r>
      <w:r>
        <w:rPr>
          <w:color w:val="231F20"/>
          <w:w w:val="105"/>
        </w:rPr>
        <w:t>(Reyes,</w:t>
      </w:r>
      <w:r>
        <w:rPr>
          <w:color w:val="231F20"/>
          <w:spacing w:val="8"/>
          <w:w w:val="105"/>
        </w:rPr>
        <w:t> </w:t>
      </w:r>
      <w:r>
        <w:rPr>
          <w:color w:val="231F20"/>
          <w:w w:val="105"/>
        </w:rPr>
        <w:t>2012).</w:t>
      </w:r>
    </w:p>
    <w:p>
      <w:pPr>
        <w:pStyle w:val="BodyText"/>
        <w:spacing w:line="280" w:lineRule="auto"/>
        <w:ind w:left="120" w:right="118" w:firstLine="360"/>
        <w:jc w:val="both"/>
      </w:pPr>
      <w:r>
        <w:rPr>
          <w:color w:val="231F20"/>
          <w:w w:val="110"/>
        </w:rPr>
        <w:t>A mediados de octubre caen las últimas lluvias, hecho que marca el fin de la temporada y el comienzo de la época de secas. Los preparativos de  la cosecha del maíz maduro inician después del Día de Muertos, el 1o. y 2 de noviembre, la familia cosecha y almacena por separado las mazorcas</w:t>
      </w:r>
      <w:r>
        <w:rPr>
          <w:color w:val="231F20"/>
          <w:spacing w:val="-16"/>
          <w:w w:val="110"/>
        </w:rPr>
        <w:t> </w:t>
      </w:r>
      <w:r>
        <w:rPr>
          <w:color w:val="231F20"/>
          <w:w w:val="110"/>
        </w:rPr>
        <w:t>de maíz amarillo, o “criollo”, y negro, en “cincolotes”.</w:t>
      </w:r>
      <w:r>
        <w:rPr>
          <w:color w:val="231F20"/>
          <w:w w:val="110"/>
          <w:position w:val="6"/>
          <w:sz w:val="11"/>
        </w:rPr>
        <w:t>18 </w:t>
      </w:r>
      <w:r>
        <w:rPr>
          <w:color w:val="231F20"/>
          <w:w w:val="110"/>
        </w:rPr>
        <w:t>Es costumbre escoger un padrino, quien bendice y coloca una cruz en la cima del cincolote, y que será aquella persona que durante la cosecha encuentre una caña con dos mazorcas en forma de cruz. Las fiestas del 6 de enero en el santuario de </w:t>
      </w:r>
      <w:r>
        <w:rPr>
          <w:color w:val="231F20"/>
          <w:spacing w:val="2"/>
          <w:w w:val="101"/>
        </w:rPr>
        <w:t>l</w:t>
      </w:r>
      <w:r>
        <w:rPr>
          <w:color w:val="231F20"/>
          <w:w w:val="108"/>
        </w:rPr>
        <w:t>a</w:t>
      </w:r>
      <w:r>
        <w:rPr>
          <w:color w:val="231F20"/>
        </w:rPr>
        <w:t> </w:t>
      </w:r>
      <w:r>
        <w:rPr>
          <w:color w:val="231F20"/>
          <w:spacing w:val="-10"/>
        </w:rPr>
        <w:t> </w:t>
      </w:r>
      <w:r>
        <w:rPr>
          <w:color w:val="231F20"/>
          <w:spacing w:val="2"/>
          <w:w w:val="115"/>
        </w:rPr>
        <w:t>c</w:t>
      </w:r>
      <w:r>
        <w:rPr>
          <w:color w:val="231F20"/>
          <w:spacing w:val="2"/>
          <w:w w:val="108"/>
        </w:rPr>
        <w:t>a</w:t>
      </w:r>
      <w:r>
        <w:rPr>
          <w:color w:val="231F20"/>
          <w:spacing w:val="2"/>
          <w:w w:val="106"/>
        </w:rPr>
        <w:t>p</w:t>
      </w:r>
      <w:r>
        <w:rPr>
          <w:color w:val="231F20"/>
          <w:spacing w:val="2"/>
          <w:w w:val="98"/>
        </w:rPr>
        <w:t>i</w:t>
      </w:r>
      <w:r>
        <w:rPr>
          <w:color w:val="231F20"/>
          <w:spacing w:val="2"/>
          <w:w w:val="101"/>
        </w:rPr>
        <w:t>ll</w:t>
      </w:r>
      <w:r>
        <w:rPr>
          <w:color w:val="231F20"/>
          <w:w w:val="108"/>
        </w:rPr>
        <w:t>a</w:t>
      </w:r>
      <w:r>
        <w:rPr>
          <w:color w:val="231F20"/>
        </w:rPr>
        <w:t> </w:t>
      </w:r>
      <w:r>
        <w:rPr>
          <w:color w:val="231F20"/>
          <w:spacing w:val="-10"/>
        </w:rPr>
        <w:t> </w:t>
      </w:r>
      <w:r>
        <w:rPr>
          <w:color w:val="231F20"/>
          <w:spacing w:val="2"/>
          <w:w w:val="81"/>
        </w:rPr>
        <w:t>(</w:t>
      </w:r>
      <w:r>
        <w:rPr>
          <w:color w:val="231F20"/>
          <w:spacing w:val="2"/>
          <w:w w:val="169"/>
        </w:rPr>
        <w:t>J</w:t>
      </w:r>
      <w:r>
        <w:rPr>
          <w:color w:val="231F20"/>
          <w:spacing w:val="2"/>
          <w:w w:val="98"/>
        </w:rPr>
        <w:t>i</w:t>
      </w:r>
      <w:r>
        <w:rPr>
          <w:color w:val="231F20"/>
          <w:spacing w:val="2"/>
          <w:w w:val="108"/>
        </w:rPr>
        <w:t>q</w:t>
      </w:r>
      <w:r>
        <w:rPr>
          <w:color w:val="231F20"/>
          <w:spacing w:val="2"/>
          <w:w w:val="113"/>
        </w:rPr>
        <w:t>u</w:t>
      </w:r>
      <w:r>
        <w:rPr>
          <w:color w:val="231F20"/>
          <w:spacing w:val="2"/>
          <w:w w:val="98"/>
        </w:rPr>
        <w:t>i</w:t>
      </w:r>
      <w:r>
        <w:rPr>
          <w:color w:val="231F20"/>
          <w:spacing w:val="2"/>
          <w:w w:val="106"/>
        </w:rPr>
        <w:t>p</w:t>
      </w:r>
      <w:r>
        <w:rPr>
          <w:color w:val="231F20"/>
          <w:spacing w:val="2"/>
          <w:w w:val="98"/>
        </w:rPr>
        <w:t>i</w:t>
      </w:r>
      <w:r>
        <w:rPr>
          <w:color w:val="231F20"/>
          <w:spacing w:val="2"/>
          <w:w w:val="101"/>
        </w:rPr>
        <w:t>l</w:t>
      </w:r>
      <w:r>
        <w:rPr>
          <w:color w:val="231F20"/>
          <w:spacing w:val="2"/>
          <w:w w:val="115"/>
        </w:rPr>
        <w:t>c</w:t>
      </w:r>
      <w:r>
        <w:rPr>
          <w:color w:val="231F20"/>
          <w:spacing w:val="2"/>
          <w:w w:val="108"/>
        </w:rPr>
        <w:t>o</w:t>
      </w:r>
      <w:r>
        <w:rPr>
          <w:color w:val="231F20"/>
          <w:w w:val="81"/>
        </w:rPr>
        <w:t>)</w:t>
      </w:r>
      <w:r>
        <w:rPr>
          <w:color w:val="231F20"/>
        </w:rPr>
        <w:t> </w:t>
      </w:r>
      <w:r>
        <w:rPr>
          <w:color w:val="231F20"/>
          <w:spacing w:val="-10"/>
        </w:rPr>
        <w:t> </w:t>
      </w:r>
      <w:r>
        <w:rPr>
          <w:color w:val="231F20"/>
          <w:w w:val="108"/>
        </w:rPr>
        <w:t>y</w:t>
      </w:r>
      <w:r>
        <w:rPr>
          <w:color w:val="231F20"/>
        </w:rPr>
        <w:t> </w:t>
      </w:r>
      <w:r>
        <w:rPr>
          <w:color w:val="231F20"/>
          <w:spacing w:val="-10"/>
        </w:rPr>
        <w:t> </w:t>
      </w:r>
      <w:r>
        <w:rPr>
          <w:color w:val="231F20"/>
          <w:spacing w:val="2"/>
          <w:w w:val="101"/>
        </w:rPr>
        <w:t>l</w:t>
      </w:r>
      <w:r>
        <w:rPr>
          <w:color w:val="231F20"/>
          <w:w w:val="108"/>
        </w:rPr>
        <w:t>a</w:t>
      </w:r>
      <w:r>
        <w:rPr>
          <w:color w:val="231F20"/>
        </w:rPr>
        <w:t> </w:t>
      </w:r>
      <w:r>
        <w:rPr>
          <w:color w:val="231F20"/>
          <w:spacing w:val="-10"/>
        </w:rPr>
        <w:t> </w:t>
      </w:r>
      <w:r>
        <w:rPr>
          <w:color w:val="231F20"/>
          <w:spacing w:val="2"/>
          <w:w w:val="107"/>
        </w:rPr>
        <w:t>d</w:t>
      </w:r>
      <w:r>
        <w:rPr>
          <w:color w:val="231F20"/>
          <w:w w:val="109"/>
        </w:rPr>
        <w:t>e</w:t>
      </w:r>
      <w:r>
        <w:rPr>
          <w:color w:val="231F20"/>
        </w:rPr>
        <w:t> </w:t>
      </w:r>
      <w:r>
        <w:rPr>
          <w:color w:val="231F20"/>
          <w:spacing w:val="-10"/>
        </w:rPr>
        <w:t> </w:t>
      </w:r>
      <w:r>
        <w:rPr>
          <w:color w:val="231F20"/>
          <w:spacing w:val="2"/>
          <w:w w:val="101"/>
        </w:rPr>
        <w:t>l</w:t>
      </w:r>
      <w:r>
        <w:rPr>
          <w:color w:val="231F20"/>
          <w:w w:val="108"/>
        </w:rPr>
        <w:t>a</w:t>
      </w:r>
      <w:r>
        <w:rPr>
          <w:color w:val="231F20"/>
        </w:rPr>
        <w:t> </w:t>
      </w:r>
      <w:r>
        <w:rPr>
          <w:color w:val="231F20"/>
          <w:spacing w:val="-10"/>
        </w:rPr>
        <w:t> </w:t>
      </w:r>
      <w:r>
        <w:rPr>
          <w:color w:val="231F20"/>
          <w:spacing w:val="-5"/>
          <w:w w:val="111"/>
        </w:rPr>
        <w:t>V</w:t>
      </w:r>
      <w:r>
        <w:rPr>
          <w:color w:val="231F20"/>
          <w:spacing w:val="2"/>
          <w:w w:val="98"/>
        </w:rPr>
        <w:t>i</w:t>
      </w:r>
      <w:r>
        <w:rPr>
          <w:color w:val="231F20"/>
          <w:spacing w:val="-5"/>
          <w:w w:val="105"/>
        </w:rPr>
        <w:t>r</w:t>
      </w:r>
      <w:r>
        <w:rPr>
          <w:color w:val="231F20"/>
          <w:spacing w:val="2"/>
          <w:w w:val="110"/>
        </w:rPr>
        <w:t>g</w:t>
      </w:r>
      <w:r>
        <w:rPr>
          <w:color w:val="231F20"/>
          <w:spacing w:val="2"/>
          <w:w w:val="109"/>
        </w:rPr>
        <w:t>e</w:t>
      </w:r>
      <w:r>
        <w:rPr>
          <w:color w:val="231F20"/>
          <w:w w:val="111"/>
        </w:rPr>
        <w:t>n</w:t>
      </w:r>
      <w:r>
        <w:rPr>
          <w:color w:val="231F20"/>
        </w:rPr>
        <w:t> </w:t>
      </w:r>
      <w:r>
        <w:rPr>
          <w:color w:val="231F20"/>
          <w:spacing w:val="-10"/>
        </w:rPr>
        <w:t> </w:t>
      </w:r>
      <w:r>
        <w:rPr>
          <w:color w:val="231F20"/>
          <w:spacing w:val="2"/>
          <w:w w:val="107"/>
        </w:rPr>
        <w:t>d</w:t>
      </w:r>
      <w:r>
        <w:rPr>
          <w:color w:val="231F20"/>
          <w:w w:val="109"/>
        </w:rPr>
        <w:t>e</w:t>
      </w:r>
      <w:r>
        <w:rPr>
          <w:color w:val="231F20"/>
        </w:rPr>
        <w:t> </w:t>
      </w:r>
      <w:r>
        <w:rPr>
          <w:color w:val="231F20"/>
          <w:spacing w:val="-10"/>
        </w:rPr>
        <w:t> </w:t>
      </w:r>
      <w:r>
        <w:rPr>
          <w:color w:val="231F20"/>
          <w:spacing w:val="2"/>
          <w:w w:val="101"/>
        </w:rPr>
        <w:t>l</w:t>
      </w:r>
      <w:r>
        <w:rPr>
          <w:color w:val="231F20"/>
          <w:w w:val="108"/>
        </w:rPr>
        <w:t>a</w:t>
      </w:r>
      <w:r>
        <w:rPr>
          <w:color w:val="231F20"/>
        </w:rPr>
        <w:t> </w:t>
      </w:r>
      <w:r>
        <w:rPr>
          <w:color w:val="231F20"/>
          <w:spacing w:val="-10"/>
        </w:rPr>
        <w:t> </w:t>
      </w:r>
      <w:r>
        <w:rPr>
          <w:color w:val="231F20"/>
          <w:spacing w:val="2"/>
          <w:w w:val="126"/>
        </w:rPr>
        <w:t>C</w:t>
      </w:r>
      <w:r>
        <w:rPr>
          <w:color w:val="231F20"/>
          <w:spacing w:val="2"/>
          <w:w w:val="108"/>
        </w:rPr>
        <w:t>a</w:t>
      </w:r>
      <w:r>
        <w:rPr>
          <w:color w:val="231F20"/>
          <w:spacing w:val="2"/>
          <w:w w:val="111"/>
        </w:rPr>
        <w:t>n</w:t>
      </w:r>
      <w:r>
        <w:rPr>
          <w:color w:val="231F20"/>
          <w:spacing w:val="2"/>
          <w:w w:val="107"/>
        </w:rPr>
        <w:t>d</w:t>
      </w:r>
      <w:r>
        <w:rPr>
          <w:color w:val="231F20"/>
          <w:spacing w:val="2"/>
          <w:w w:val="109"/>
        </w:rPr>
        <w:t>e</w:t>
      </w:r>
      <w:r>
        <w:rPr>
          <w:color w:val="231F20"/>
          <w:spacing w:val="2"/>
          <w:w w:val="101"/>
        </w:rPr>
        <w:t>l</w:t>
      </w:r>
      <w:r>
        <w:rPr>
          <w:color w:val="231F20"/>
          <w:spacing w:val="2"/>
          <w:w w:val="108"/>
        </w:rPr>
        <w:t>a</w:t>
      </w:r>
      <w:r>
        <w:rPr>
          <w:color w:val="231F20"/>
          <w:spacing w:val="2"/>
          <w:w w:val="105"/>
        </w:rPr>
        <w:t>r</w:t>
      </w:r>
      <w:r>
        <w:rPr>
          <w:color w:val="231F20"/>
          <w:spacing w:val="2"/>
          <w:w w:val="98"/>
        </w:rPr>
        <w:t>i</w:t>
      </w:r>
      <w:r>
        <w:rPr>
          <w:color w:val="231F20"/>
          <w:spacing w:val="2"/>
          <w:w w:val="108"/>
        </w:rPr>
        <w:t>a</w:t>
      </w:r>
      <w:r>
        <w:rPr>
          <w:color w:val="231F20"/>
          <w:w w:val="128"/>
        </w:rPr>
        <w:t>,</w:t>
      </w:r>
      <w:r>
        <w:rPr>
          <w:color w:val="231F20"/>
        </w:rPr>
        <w:t> </w:t>
      </w:r>
      <w:r>
        <w:rPr>
          <w:color w:val="231F20"/>
          <w:spacing w:val="-10"/>
        </w:rPr>
        <w:t> </w:t>
      </w:r>
      <w:r>
        <w:rPr>
          <w:color w:val="231F20"/>
          <w:spacing w:val="2"/>
          <w:w w:val="109"/>
        </w:rPr>
        <w:t>e</w:t>
      </w:r>
      <w:r>
        <w:rPr>
          <w:color w:val="231F20"/>
          <w:w w:val="101"/>
        </w:rPr>
        <w:t>l</w:t>
      </w:r>
      <w:r>
        <w:rPr>
          <w:color w:val="231F20"/>
        </w:rPr>
        <w:t> </w:t>
      </w:r>
      <w:r>
        <w:rPr>
          <w:color w:val="231F20"/>
          <w:spacing w:val="-10"/>
        </w:rPr>
        <w:t> </w:t>
      </w:r>
      <w:r>
        <w:rPr>
          <w:color w:val="231F20"/>
          <w:w w:val="102"/>
        </w:rPr>
        <w:t>2</w:t>
      </w:r>
      <w:r>
        <w:rPr>
          <w:color w:val="231F20"/>
        </w:rPr>
        <w:t> </w:t>
      </w:r>
      <w:r>
        <w:rPr>
          <w:color w:val="231F20"/>
          <w:spacing w:val="-10"/>
        </w:rPr>
        <w:t> </w:t>
      </w:r>
      <w:r>
        <w:rPr>
          <w:color w:val="231F20"/>
          <w:spacing w:val="2"/>
          <w:w w:val="107"/>
        </w:rPr>
        <w:t>d</w:t>
      </w:r>
      <w:r>
        <w:rPr>
          <w:color w:val="231F20"/>
          <w:w w:val="109"/>
        </w:rPr>
        <w:t>e</w:t>
      </w:r>
      <w:r>
        <w:rPr>
          <w:color w:val="231F20"/>
        </w:rPr>
        <w:t> </w:t>
      </w:r>
      <w:r>
        <w:rPr>
          <w:color w:val="231F20"/>
          <w:spacing w:val="-10"/>
        </w:rPr>
        <w:t> </w:t>
      </w:r>
      <w:r>
        <w:rPr>
          <w:color w:val="231F20"/>
          <w:spacing w:val="2"/>
          <w:w w:val="108"/>
        </w:rPr>
        <w:t>f</w:t>
      </w:r>
      <w:r>
        <w:rPr>
          <w:color w:val="231F20"/>
          <w:spacing w:val="2"/>
          <w:w w:val="109"/>
        </w:rPr>
        <w:t>e</w:t>
      </w:r>
      <w:r>
        <w:rPr>
          <w:color w:val="231F20"/>
          <w:spacing w:val="2"/>
          <w:w w:val="107"/>
        </w:rPr>
        <w:t>b</w:t>
      </w:r>
      <w:r>
        <w:rPr>
          <w:color w:val="231F20"/>
          <w:spacing w:val="2"/>
          <w:w w:val="105"/>
        </w:rPr>
        <w:t>r</w:t>
      </w:r>
      <w:r>
        <w:rPr>
          <w:color w:val="231F20"/>
          <w:spacing w:val="2"/>
          <w:w w:val="109"/>
        </w:rPr>
        <w:t>e</w:t>
      </w:r>
      <w:r>
        <w:rPr>
          <w:color w:val="231F20"/>
          <w:spacing w:val="2"/>
          <w:w w:val="105"/>
        </w:rPr>
        <w:t>r</w:t>
      </w:r>
      <w:r>
        <w:rPr>
          <w:color w:val="231F20"/>
          <w:spacing w:val="2"/>
          <w:w w:val="108"/>
        </w:rPr>
        <w:t>o</w:t>
      </w:r>
      <w:r>
        <w:rPr>
          <w:color w:val="231F20"/>
          <w:w w:val="128"/>
        </w:rPr>
        <w:t>, </w:t>
      </w:r>
      <w:r>
        <w:rPr>
          <w:color w:val="231F20"/>
          <w:w w:val="110"/>
        </w:rPr>
        <w:t>anuncian los preparativos para el nuevo</w:t>
      </w:r>
      <w:r>
        <w:rPr>
          <w:color w:val="231F20"/>
          <w:spacing w:val="44"/>
          <w:w w:val="110"/>
        </w:rPr>
        <w:t> </w:t>
      </w:r>
      <w:r>
        <w:rPr>
          <w:color w:val="231F20"/>
          <w:w w:val="110"/>
        </w:rPr>
        <w:t>ciclo.</w:t>
      </w:r>
    </w:p>
    <w:p>
      <w:pPr>
        <w:pStyle w:val="BodyText"/>
        <w:spacing w:line="283" w:lineRule="auto"/>
        <w:ind w:left="120" w:right="119" w:firstLine="360"/>
        <w:jc w:val="both"/>
      </w:pPr>
      <w:r>
        <w:rPr>
          <w:color w:val="231F20"/>
          <w:w w:val="110"/>
        </w:rPr>
        <w:t>Las </w:t>
      </w:r>
      <w:r>
        <w:rPr>
          <w:color w:val="231F20"/>
          <w:spacing w:val="-3"/>
          <w:w w:val="110"/>
        </w:rPr>
        <w:t>fiestas </w:t>
      </w:r>
      <w:r>
        <w:rPr>
          <w:color w:val="231F20"/>
          <w:w w:val="110"/>
        </w:rPr>
        <w:t>de </w:t>
      </w:r>
      <w:r>
        <w:rPr>
          <w:color w:val="231F20"/>
          <w:spacing w:val="-3"/>
          <w:w w:val="110"/>
        </w:rPr>
        <w:t>los </w:t>
      </w:r>
      <w:r>
        <w:rPr>
          <w:color w:val="231F20"/>
          <w:spacing w:val="-4"/>
          <w:w w:val="110"/>
        </w:rPr>
        <w:t>santos </w:t>
      </w:r>
      <w:r>
        <w:rPr>
          <w:color w:val="231F20"/>
          <w:w w:val="110"/>
        </w:rPr>
        <w:t>en </w:t>
      </w:r>
      <w:r>
        <w:rPr>
          <w:color w:val="231F20"/>
          <w:spacing w:val="-4"/>
          <w:w w:val="110"/>
        </w:rPr>
        <w:t>México </w:t>
      </w:r>
      <w:r>
        <w:rPr>
          <w:color w:val="231F20"/>
          <w:w w:val="110"/>
        </w:rPr>
        <w:t>se </w:t>
      </w:r>
      <w:r>
        <w:rPr>
          <w:color w:val="231F20"/>
          <w:spacing w:val="-4"/>
          <w:w w:val="110"/>
        </w:rPr>
        <w:t>enmarcan </w:t>
      </w:r>
      <w:r>
        <w:rPr>
          <w:color w:val="231F20"/>
          <w:w w:val="110"/>
        </w:rPr>
        <w:t>en el </w:t>
      </w:r>
      <w:r>
        <w:rPr>
          <w:color w:val="231F20"/>
          <w:spacing w:val="-4"/>
          <w:w w:val="110"/>
        </w:rPr>
        <w:t>calendario católico </w:t>
      </w:r>
      <w:r>
        <w:rPr>
          <w:color w:val="231F20"/>
          <w:w w:val="110"/>
        </w:rPr>
        <w:t>y</w:t>
      </w:r>
      <w:r>
        <w:rPr>
          <w:color w:val="231F20"/>
          <w:spacing w:val="-13"/>
          <w:w w:val="110"/>
        </w:rPr>
        <w:t> </w:t>
      </w:r>
      <w:r>
        <w:rPr>
          <w:color w:val="231F20"/>
          <w:w w:val="110"/>
        </w:rPr>
        <w:t>en</w:t>
      </w:r>
      <w:r>
        <w:rPr>
          <w:color w:val="231F20"/>
          <w:spacing w:val="-13"/>
          <w:w w:val="110"/>
        </w:rPr>
        <w:t> </w:t>
      </w:r>
      <w:r>
        <w:rPr>
          <w:color w:val="231F20"/>
          <w:w w:val="110"/>
        </w:rPr>
        <w:t>la</w:t>
      </w:r>
      <w:r>
        <w:rPr>
          <w:color w:val="231F20"/>
          <w:spacing w:val="-13"/>
          <w:w w:val="110"/>
        </w:rPr>
        <w:t> </w:t>
      </w:r>
      <w:r>
        <w:rPr>
          <w:color w:val="231F20"/>
          <w:w w:val="110"/>
        </w:rPr>
        <w:t>región</w:t>
      </w:r>
      <w:r>
        <w:rPr>
          <w:color w:val="231F20"/>
          <w:spacing w:val="-13"/>
          <w:w w:val="110"/>
        </w:rPr>
        <w:t> </w:t>
      </w:r>
      <w:r>
        <w:rPr>
          <w:color w:val="231F20"/>
          <w:w w:val="110"/>
        </w:rPr>
        <w:t>de</w:t>
      </w:r>
      <w:r>
        <w:rPr>
          <w:color w:val="231F20"/>
          <w:spacing w:val="-13"/>
          <w:w w:val="110"/>
        </w:rPr>
        <w:t> </w:t>
      </w:r>
      <w:r>
        <w:rPr>
          <w:color w:val="231F20"/>
          <w:w w:val="110"/>
        </w:rPr>
        <w:t>estudio</w:t>
      </w:r>
      <w:r>
        <w:rPr>
          <w:color w:val="231F20"/>
          <w:spacing w:val="-13"/>
          <w:w w:val="110"/>
        </w:rPr>
        <w:t> </w:t>
      </w:r>
      <w:r>
        <w:rPr>
          <w:color w:val="231F20"/>
          <w:w w:val="110"/>
        </w:rPr>
        <w:t>tienen</w:t>
      </w:r>
      <w:r>
        <w:rPr>
          <w:color w:val="231F20"/>
          <w:spacing w:val="-13"/>
          <w:w w:val="110"/>
        </w:rPr>
        <w:t> </w:t>
      </w:r>
      <w:r>
        <w:rPr>
          <w:color w:val="231F20"/>
          <w:w w:val="110"/>
        </w:rPr>
        <w:t>un</w:t>
      </w:r>
      <w:r>
        <w:rPr>
          <w:color w:val="231F20"/>
          <w:spacing w:val="-13"/>
          <w:w w:val="110"/>
        </w:rPr>
        <w:t> </w:t>
      </w:r>
      <w:r>
        <w:rPr>
          <w:color w:val="231F20"/>
          <w:w w:val="110"/>
        </w:rPr>
        <w:t>fuerte</w:t>
      </w:r>
      <w:r>
        <w:rPr>
          <w:color w:val="231F20"/>
          <w:spacing w:val="-13"/>
          <w:w w:val="110"/>
        </w:rPr>
        <w:t> </w:t>
      </w:r>
      <w:r>
        <w:rPr>
          <w:color w:val="231F20"/>
          <w:w w:val="110"/>
        </w:rPr>
        <w:t>vínculo</w:t>
      </w:r>
      <w:r>
        <w:rPr>
          <w:color w:val="231F20"/>
          <w:spacing w:val="-13"/>
          <w:w w:val="110"/>
        </w:rPr>
        <w:t> </w:t>
      </w:r>
      <w:r>
        <w:rPr>
          <w:color w:val="231F20"/>
          <w:w w:val="110"/>
        </w:rPr>
        <w:t>con</w:t>
      </w:r>
      <w:r>
        <w:rPr>
          <w:color w:val="231F20"/>
          <w:spacing w:val="-13"/>
          <w:w w:val="110"/>
        </w:rPr>
        <w:t> </w:t>
      </w:r>
      <w:r>
        <w:rPr>
          <w:color w:val="231F20"/>
          <w:w w:val="110"/>
        </w:rPr>
        <w:t>el</w:t>
      </w:r>
      <w:r>
        <w:rPr>
          <w:color w:val="231F20"/>
          <w:spacing w:val="-13"/>
          <w:w w:val="110"/>
        </w:rPr>
        <w:t> </w:t>
      </w:r>
      <w:r>
        <w:rPr>
          <w:color w:val="231F20"/>
          <w:w w:val="110"/>
        </w:rPr>
        <w:t>ciclo</w:t>
      </w:r>
      <w:r>
        <w:rPr>
          <w:color w:val="231F20"/>
          <w:spacing w:val="-13"/>
          <w:w w:val="110"/>
        </w:rPr>
        <w:t> </w:t>
      </w:r>
      <w:r>
        <w:rPr>
          <w:color w:val="231F20"/>
          <w:w w:val="110"/>
        </w:rPr>
        <w:t>agrícola</w:t>
      </w:r>
      <w:r>
        <w:rPr>
          <w:color w:val="231F20"/>
          <w:spacing w:val="-13"/>
          <w:w w:val="110"/>
        </w:rPr>
        <w:t> </w:t>
      </w:r>
      <w:r>
        <w:rPr>
          <w:color w:val="231F20"/>
          <w:w w:val="110"/>
        </w:rPr>
        <w:t>dentro de una antigua tradición mesoamericana. El sistema cultural de </w:t>
      </w:r>
      <w:r>
        <w:rPr>
          <w:color w:val="231F20"/>
          <w:spacing w:val="-4"/>
          <w:w w:val="110"/>
        </w:rPr>
        <w:t>creencias</w:t>
      </w:r>
      <w:r>
        <w:rPr>
          <w:color w:val="231F20"/>
          <w:spacing w:val="-4"/>
          <w:w w:val="110"/>
          <w:position w:val="6"/>
          <w:sz w:val="11"/>
        </w:rPr>
        <w:t>19 </w:t>
      </w:r>
      <w:r>
        <w:rPr>
          <w:color w:val="231F20"/>
          <w:spacing w:val="-3"/>
          <w:w w:val="110"/>
        </w:rPr>
        <w:t>es </w:t>
      </w:r>
      <w:r>
        <w:rPr>
          <w:color w:val="231F20"/>
          <w:spacing w:val="-4"/>
          <w:w w:val="110"/>
        </w:rPr>
        <w:t>una </w:t>
      </w:r>
      <w:r>
        <w:rPr>
          <w:color w:val="231F20"/>
          <w:spacing w:val="-3"/>
          <w:w w:val="110"/>
        </w:rPr>
        <w:t>de </w:t>
      </w:r>
      <w:r>
        <w:rPr>
          <w:color w:val="231F20"/>
          <w:spacing w:val="-4"/>
          <w:w w:val="110"/>
        </w:rPr>
        <w:t>las </w:t>
      </w:r>
      <w:r>
        <w:rPr>
          <w:color w:val="231F20"/>
          <w:spacing w:val="-6"/>
          <w:w w:val="110"/>
        </w:rPr>
        <w:t>características culturales </w:t>
      </w:r>
      <w:r>
        <w:rPr>
          <w:color w:val="231F20"/>
          <w:spacing w:val="-3"/>
          <w:w w:val="110"/>
        </w:rPr>
        <w:t>de </w:t>
      </w:r>
      <w:r>
        <w:rPr>
          <w:color w:val="231F20"/>
          <w:spacing w:val="-4"/>
          <w:w w:val="110"/>
        </w:rPr>
        <w:t>las </w:t>
      </w:r>
      <w:r>
        <w:rPr>
          <w:color w:val="231F20"/>
          <w:spacing w:val="-6"/>
          <w:w w:val="110"/>
        </w:rPr>
        <w:t>familias </w:t>
      </w:r>
      <w:r>
        <w:rPr>
          <w:color w:val="231F20"/>
          <w:spacing w:val="-5"/>
          <w:w w:val="110"/>
        </w:rPr>
        <w:t>campesinas </w:t>
      </w:r>
      <w:r>
        <w:rPr>
          <w:color w:val="231F20"/>
          <w:w w:val="110"/>
        </w:rPr>
        <w:t>en la</w:t>
      </w:r>
      <w:r>
        <w:rPr>
          <w:color w:val="231F20"/>
          <w:spacing w:val="43"/>
          <w:w w:val="110"/>
        </w:rPr>
        <w:t> </w:t>
      </w:r>
      <w:r>
        <w:rPr>
          <w:color w:val="231F20"/>
          <w:w w:val="110"/>
        </w:rPr>
        <w:t>región</w:t>
      </w:r>
    </w:p>
    <w:p>
      <w:pPr>
        <w:pStyle w:val="BodyText"/>
        <w:spacing w:before="10"/>
        <w:rPr>
          <w:sz w:val="15"/>
        </w:rPr>
      </w:pPr>
    </w:p>
    <w:p>
      <w:pPr>
        <w:spacing w:line="256" w:lineRule="auto" w:before="0"/>
        <w:ind w:left="119" w:right="118" w:firstLine="360"/>
        <w:jc w:val="both"/>
        <w:rPr>
          <w:sz w:val="16"/>
        </w:rPr>
      </w:pPr>
      <w:r>
        <w:rPr>
          <w:color w:val="231F20"/>
          <w:w w:val="105"/>
          <w:position w:val="5"/>
          <w:sz w:val="9"/>
        </w:rPr>
        <w:t>18 </w:t>
      </w:r>
      <w:r>
        <w:rPr>
          <w:color w:val="231F20"/>
          <w:w w:val="105"/>
          <w:sz w:val="16"/>
        </w:rPr>
        <w:t>Estructurarectangulardemaderaenlaqueseintercalanlosmaderosentrecruzadamente, </w:t>
      </w:r>
      <w:r>
        <w:rPr>
          <w:color w:val="231F20"/>
          <w:w w:val="110"/>
          <w:sz w:val="16"/>
        </w:rPr>
        <w:t>con lo que se permite la ventilación de la mazorca, la cual se desgrana poco a poco durante todo el año para la alimentación diaria (tortilla) de la familia.</w:t>
      </w:r>
    </w:p>
    <w:p>
      <w:pPr>
        <w:spacing w:line="256" w:lineRule="auto" w:before="0"/>
        <w:ind w:left="119" w:right="117" w:firstLine="360"/>
        <w:jc w:val="both"/>
        <w:rPr>
          <w:sz w:val="16"/>
        </w:rPr>
      </w:pPr>
      <w:r>
        <w:rPr>
          <w:color w:val="231F20"/>
          <w:w w:val="110"/>
          <w:position w:val="5"/>
          <w:sz w:val="9"/>
        </w:rPr>
        <w:t>19 </w:t>
      </w:r>
      <w:r>
        <w:rPr>
          <w:color w:val="231F20"/>
          <w:spacing w:val="-5"/>
          <w:w w:val="110"/>
          <w:sz w:val="16"/>
        </w:rPr>
        <w:t>Para </w:t>
      </w:r>
      <w:r>
        <w:rPr>
          <w:color w:val="231F20"/>
          <w:spacing w:val="-4"/>
          <w:w w:val="110"/>
          <w:sz w:val="16"/>
        </w:rPr>
        <w:t>profundizar </w:t>
      </w:r>
      <w:r>
        <w:rPr>
          <w:color w:val="231F20"/>
          <w:w w:val="110"/>
          <w:sz w:val="16"/>
        </w:rPr>
        <w:t>en </w:t>
      </w:r>
      <w:r>
        <w:rPr>
          <w:color w:val="231F20"/>
          <w:spacing w:val="-3"/>
          <w:w w:val="110"/>
          <w:sz w:val="16"/>
        </w:rPr>
        <w:t>este </w:t>
      </w:r>
      <w:r>
        <w:rPr>
          <w:color w:val="231F20"/>
          <w:spacing w:val="-4"/>
          <w:w w:val="110"/>
          <w:sz w:val="16"/>
        </w:rPr>
        <w:t>tema, véase </w:t>
      </w:r>
      <w:r>
        <w:rPr>
          <w:color w:val="231F20"/>
          <w:spacing w:val="-3"/>
          <w:w w:val="110"/>
          <w:sz w:val="16"/>
        </w:rPr>
        <w:t>Laura </w:t>
      </w:r>
      <w:r>
        <w:rPr>
          <w:color w:val="231F20"/>
          <w:spacing w:val="-4"/>
          <w:w w:val="110"/>
          <w:sz w:val="16"/>
        </w:rPr>
        <w:t>Reyes Montes </w:t>
      </w:r>
      <w:r>
        <w:rPr>
          <w:color w:val="231F20"/>
          <w:w w:val="110"/>
          <w:sz w:val="16"/>
        </w:rPr>
        <w:t>y </w:t>
      </w:r>
      <w:r>
        <w:rPr>
          <w:color w:val="231F20"/>
          <w:spacing w:val="-4"/>
          <w:w w:val="110"/>
          <w:sz w:val="16"/>
        </w:rPr>
        <w:t>Beatriz Albores Zárate (2010), </w:t>
      </w:r>
      <w:r>
        <w:rPr>
          <w:color w:val="231F20"/>
          <w:w w:val="110"/>
          <w:sz w:val="16"/>
        </w:rPr>
        <w:t>“Agricultura y rituales del tiempo en el </w:t>
      </w:r>
      <w:r>
        <w:rPr>
          <w:color w:val="231F20"/>
          <w:spacing w:val="-4"/>
          <w:w w:val="110"/>
          <w:sz w:val="16"/>
        </w:rPr>
        <w:t>Valle </w:t>
      </w:r>
      <w:r>
        <w:rPr>
          <w:color w:val="231F20"/>
          <w:w w:val="110"/>
          <w:sz w:val="16"/>
        </w:rPr>
        <w:t>de Ixtlahuaca-Jocotitlán, Estado de México”, en </w:t>
      </w:r>
      <w:r>
        <w:rPr>
          <w:i/>
          <w:color w:val="231F20"/>
          <w:w w:val="110"/>
          <w:sz w:val="16"/>
        </w:rPr>
        <w:t>Documentos de investigación</w:t>
      </w:r>
      <w:r>
        <w:rPr>
          <w:color w:val="231F20"/>
          <w:w w:val="110"/>
          <w:sz w:val="16"/>
        </w:rPr>
        <w:t>, México, El Colegio Mexiquense,  A.C.</w:t>
      </w:r>
    </w:p>
    <w:p>
      <w:pPr>
        <w:spacing w:after="0" w:line="256" w:lineRule="auto"/>
        <w:jc w:val="both"/>
        <w:rPr>
          <w:sz w:val="16"/>
        </w:rPr>
        <w:sectPr>
          <w:pgSz w:w="9520" w:h="12920"/>
          <w:pgMar w:header="0" w:footer="1344" w:top="880" w:bottom="1540" w:left="1000" w:right="1320"/>
        </w:sectPr>
      </w:pPr>
    </w:p>
    <w:p>
      <w:pPr>
        <w:pStyle w:val="BodyText"/>
        <w:spacing w:line="300" w:lineRule="auto" w:before="42"/>
        <w:ind w:left="124" w:right="111"/>
        <w:jc w:val="both"/>
      </w:pPr>
      <w:r>
        <w:rPr>
          <w:color w:val="231F20"/>
          <w:w w:val="110"/>
        </w:rPr>
        <w:t>agrícola del </w:t>
      </w:r>
      <w:r>
        <w:rPr>
          <w:color w:val="231F20"/>
          <w:spacing w:val="-5"/>
          <w:w w:val="110"/>
        </w:rPr>
        <w:t>Valle </w:t>
      </w:r>
      <w:r>
        <w:rPr>
          <w:color w:val="231F20"/>
          <w:w w:val="110"/>
        </w:rPr>
        <w:t>de Ixtlahuaca, que realizan la actividad agrícola en torno a una compleja cosmovisión de la vida ceremonial religiosa, la cual se ex- presa en el culto a los santos patronos, en la visita a los santuarios regio- nales y nacionales, en los oratorios familiares y templos católicos de la región.</w:t>
      </w:r>
      <w:r>
        <w:rPr>
          <w:color w:val="231F20"/>
          <w:spacing w:val="-16"/>
          <w:w w:val="110"/>
        </w:rPr>
        <w:t> </w:t>
      </w:r>
      <w:r>
        <w:rPr>
          <w:color w:val="231F20"/>
          <w:w w:val="110"/>
        </w:rPr>
        <w:t>Las</w:t>
      </w:r>
      <w:r>
        <w:rPr>
          <w:color w:val="231F20"/>
          <w:spacing w:val="-16"/>
          <w:w w:val="110"/>
        </w:rPr>
        <w:t> </w:t>
      </w:r>
      <w:r>
        <w:rPr>
          <w:color w:val="231F20"/>
          <w:w w:val="110"/>
        </w:rPr>
        <w:t>celebraciones</w:t>
      </w:r>
      <w:r>
        <w:rPr>
          <w:color w:val="231F20"/>
          <w:spacing w:val="-16"/>
          <w:w w:val="110"/>
        </w:rPr>
        <w:t> </w:t>
      </w:r>
      <w:r>
        <w:rPr>
          <w:color w:val="231F20"/>
          <w:w w:val="110"/>
        </w:rPr>
        <w:t>religiosas</w:t>
      </w:r>
      <w:r>
        <w:rPr>
          <w:color w:val="231F20"/>
          <w:spacing w:val="-16"/>
          <w:w w:val="110"/>
        </w:rPr>
        <w:t> </w:t>
      </w:r>
      <w:r>
        <w:rPr>
          <w:color w:val="231F20"/>
          <w:w w:val="110"/>
        </w:rPr>
        <w:t>en</w:t>
      </w:r>
      <w:r>
        <w:rPr>
          <w:color w:val="231F20"/>
          <w:spacing w:val="-16"/>
          <w:w w:val="110"/>
        </w:rPr>
        <w:t> </w:t>
      </w:r>
      <w:r>
        <w:rPr>
          <w:color w:val="231F20"/>
          <w:w w:val="110"/>
        </w:rPr>
        <w:t>las</w:t>
      </w:r>
      <w:r>
        <w:rPr>
          <w:color w:val="231F20"/>
          <w:spacing w:val="-16"/>
          <w:w w:val="110"/>
        </w:rPr>
        <w:t> </w:t>
      </w:r>
      <w:r>
        <w:rPr>
          <w:color w:val="231F20"/>
          <w:w w:val="110"/>
        </w:rPr>
        <w:t>que</w:t>
      </w:r>
      <w:r>
        <w:rPr>
          <w:color w:val="231F20"/>
          <w:spacing w:val="-16"/>
          <w:w w:val="110"/>
        </w:rPr>
        <w:t> </w:t>
      </w:r>
      <w:r>
        <w:rPr>
          <w:color w:val="231F20"/>
          <w:w w:val="110"/>
        </w:rPr>
        <w:t>destacan</w:t>
      </w:r>
      <w:r>
        <w:rPr>
          <w:color w:val="231F20"/>
          <w:spacing w:val="-16"/>
          <w:w w:val="110"/>
        </w:rPr>
        <w:t> </w:t>
      </w:r>
      <w:r>
        <w:rPr>
          <w:color w:val="231F20"/>
          <w:w w:val="110"/>
        </w:rPr>
        <w:t>las</w:t>
      </w:r>
      <w:r>
        <w:rPr>
          <w:color w:val="231F20"/>
          <w:spacing w:val="-16"/>
          <w:w w:val="110"/>
        </w:rPr>
        <w:t> </w:t>
      </w:r>
      <w:r>
        <w:rPr>
          <w:color w:val="231F20"/>
          <w:w w:val="110"/>
        </w:rPr>
        <w:t>peregrinaciones, ofrendas y rogaciones a un “santo patrono” dan un sentido de identidad y pertenencia</w:t>
      </w:r>
      <w:r>
        <w:rPr>
          <w:color w:val="231F20"/>
          <w:spacing w:val="-5"/>
          <w:w w:val="110"/>
        </w:rPr>
        <w:t> </w:t>
      </w:r>
      <w:r>
        <w:rPr>
          <w:color w:val="231F20"/>
          <w:w w:val="110"/>
        </w:rPr>
        <w:t>a</w:t>
      </w:r>
      <w:r>
        <w:rPr>
          <w:color w:val="231F20"/>
          <w:spacing w:val="-5"/>
          <w:w w:val="110"/>
        </w:rPr>
        <w:t> </w:t>
      </w:r>
      <w:r>
        <w:rPr>
          <w:color w:val="231F20"/>
          <w:w w:val="110"/>
        </w:rPr>
        <w:t>los</w:t>
      </w:r>
      <w:r>
        <w:rPr>
          <w:color w:val="231F20"/>
          <w:spacing w:val="-5"/>
          <w:w w:val="110"/>
        </w:rPr>
        <w:t> </w:t>
      </w:r>
      <w:r>
        <w:rPr>
          <w:color w:val="231F20"/>
          <w:w w:val="110"/>
        </w:rPr>
        <w:t>barrios</w:t>
      </w:r>
      <w:r>
        <w:rPr>
          <w:color w:val="231F20"/>
          <w:spacing w:val="-5"/>
          <w:w w:val="110"/>
        </w:rPr>
        <w:t> </w:t>
      </w:r>
      <w:r>
        <w:rPr>
          <w:color w:val="231F20"/>
          <w:w w:val="110"/>
        </w:rPr>
        <w:t>y</w:t>
      </w:r>
      <w:r>
        <w:rPr>
          <w:color w:val="231F20"/>
          <w:spacing w:val="-5"/>
          <w:w w:val="110"/>
        </w:rPr>
        <w:t> </w:t>
      </w:r>
      <w:r>
        <w:rPr>
          <w:color w:val="231F20"/>
          <w:w w:val="110"/>
        </w:rPr>
        <w:t>fortalecen</w:t>
      </w:r>
      <w:r>
        <w:rPr>
          <w:color w:val="231F20"/>
          <w:spacing w:val="-5"/>
          <w:w w:val="110"/>
        </w:rPr>
        <w:t> </w:t>
      </w:r>
      <w:r>
        <w:rPr>
          <w:color w:val="231F20"/>
          <w:w w:val="110"/>
        </w:rPr>
        <w:t>los</w:t>
      </w:r>
      <w:r>
        <w:rPr>
          <w:color w:val="231F20"/>
          <w:spacing w:val="-5"/>
          <w:w w:val="110"/>
        </w:rPr>
        <w:t> </w:t>
      </w:r>
      <w:r>
        <w:rPr>
          <w:color w:val="231F20"/>
          <w:w w:val="110"/>
        </w:rPr>
        <w:t>vínculos</w:t>
      </w:r>
      <w:r>
        <w:rPr>
          <w:color w:val="231F20"/>
          <w:spacing w:val="-5"/>
          <w:w w:val="110"/>
        </w:rPr>
        <w:t> </w:t>
      </w:r>
      <w:r>
        <w:rPr>
          <w:color w:val="231F20"/>
          <w:w w:val="110"/>
        </w:rPr>
        <w:t>solidarios</w:t>
      </w:r>
      <w:r>
        <w:rPr>
          <w:color w:val="231F20"/>
          <w:spacing w:val="-5"/>
          <w:w w:val="110"/>
        </w:rPr>
        <w:t> </w:t>
      </w:r>
      <w:r>
        <w:rPr>
          <w:color w:val="231F20"/>
          <w:w w:val="110"/>
        </w:rPr>
        <w:t>en</w:t>
      </w:r>
      <w:r>
        <w:rPr>
          <w:color w:val="231F20"/>
          <w:spacing w:val="-5"/>
          <w:w w:val="110"/>
        </w:rPr>
        <w:t> </w:t>
      </w:r>
      <w:r>
        <w:rPr>
          <w:color w:val="231F20"/>
          <w:w w:val="110"/>
        </w:rPr>
        <w:t>cada</w:t>
      </w:r>
      <w:r>
        <w:rPr>
          <w:color w:val="231F20"/>
          <w:spacing w:val="-5"/>
          <w:w w:val="110"/>
        </w:rPr>
        <w:t> </w:t>
      </w:r>
      <w:r>
        <w:rPr>
          <w:color w:val="231F20"/>
          <w:w w:val="110"/>
        </w:rPr>
        <w:t>comu- nidad, esta relación les permite asegurar, por un lado, su alimentación </w:t>
      </w:r>
      <w:r>
        <w:rPr>
          <w:color w:val="231F20"/>
          <w:spacing w:val="-9"/>
          <w:w w:val="110"/>
        </w:rPr>
        <w:t>y, </w:t>
      </w:r>
      <w:r>
        <w:rPr>
          <w:color w:val="231F20"/>
          <w:w w:val="110"/>
        </w:rPr>
        <w:t>por el otro, la continuidad de su</w:t>
      </w:r>
      <w:r>
        <w:rPr>
          <w:color w:val="231F20"/>
          <w:spacing w:val="44"/>
          <w:w w:val="110"/>
        </w:rPr>
        <w:t> </w:t>
      </w:r>
      <w:r>
        <w:rPr>
          <w:color w:val="231F20"/>
          <w:w w:val="110"/>
        </w:rPr>
        <w:t>cultura.</w:t>
      </w:r>
    </w:p>
    <w:p>
      <w:pPr>
        <w:pStyle w:val="BodyText"/>
        <w:spacing w:line="300" w:lineRule="auto"/>
        <w:ind w:left="124" w:right="112" w:firstLine="360"/>
        <w:jc w:val="both"/>
      </w:pPr>
      <w:r>
        <w:rPr>
          <w:color w:val="231F20"/>
          <w:w w:val="110"/>
        </w:rPr>
        <w:t>Según observación participante de 2013, las familias campesinas de la comunidad de Santa Ana Ixtlahuaca, del mismo municipio, suben en pere- grinación al cerrito del “Divino Rostro”, el 14 de agosto, para agradecer</w:t>
      </w:r>
      <w:r>
        <w:rPr>
          <w:color w:val="231F20"/>
          <w:spacing w:val="-12"/>
          <w:w w:val="110"/>
        </w:rPr>
        <w:t> </w:t>
      </w:r>
      <w:r>
        <w:rPr>
          <w:color w:val="231F20"/>
          <w:w w:val="110"/>
        </w:rPr>
        <w:t>los </w:t>
      </w:r>
      <w:r>
        <w:rPr>
          <w:color w:val="231F20"/>
          <w:spacing w:val="-4"/>
          <w:w w:val="110"/>
        </w:rPr>
        <w:t>primeros</w:t>
      </w:r>
      <w:r>
        <w:rPr>
          <w:color w:val="231F20"/>
          <w:spacing w:val="-5"/>
          <w:w w:val="110"/>
        </w:rPr>
        <w:t> </w:t>
      </w:r>
      <w:r>
        <w:rPr>
          <w:color w:val="231F20"/>
          <w:spacing w:val="-4"/>
          <w:w w:val="110"/>
        </w:rPr>
        <w:t>frutos</w:t>
      </w:r>
      <w:r>
        <w:rPr>
          <w:color w:val="231F20"/>
          <w:spacing w:val="-5"/>
          <w:w w:val="110"/>
        </w:rPr>
        <w:t> </w:t>
      </w:r>
      <w:r>
        <w:rPr>
          <w:color w:val="231F20"/>
          <w:spacing w:val="-3"/>
          <w:w w:val="110"/>
        </w:rPr>
        <w:t>del</w:t>
      </w:r>
      <w:r>
        <w:rPr>
          <w:color w:val="231F20"/>
          <w:spacing w:val="-5"/>
          <w:w w:val="110"/>
        </w:rPr>
        <w:t> </w:t>
      </w:r>
      <w:r>
        <w:rPr>
          <w:color w:val="231F20"/>
          <w:spacing w:val="-3"/>
          <w:w w:val="110"/>
        </w:rPr>
        <w:t>maíz</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spacing w:val="-6"/>
          <w:w w:val="110"/>
        </w:rPr>
        <w:t>Virgen</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spacing w:val="-4"/>
          <w:w w:val="110"/>
        </w:rPr>
        <w:t>Asunción,</w:t>
      </w:r>
      <w:r>
        <w:rPr>
          <w:color w:val="231F20"/>
          <w:spacing w:val="-5"/>
          <w:w w:val="110"/>
        </w:rPr>
        <w:t> </w:t>
      </w:r>
      <w:r>
        <w:rPr>
          <w:color w:val="231F20"/>
          <w:w w:val="110"/>
        </w:rPr>
        <w:t>y</w:t>
      </w:r>
      <w:r>
        <w:rPr>
          <w:color w:val="231F20"/>
          <w:spacing w:val="-5"/>
          <w:w w:val="110"/>
        </w:rPr>
        <w:t> </w:t>
      </w:r>
      <w:r>
        <w:rPr>
          <w:color w:val="231F20"/>
          <w:spacing w:val="-4"/>
          <w:w w:val="110"/>
        </w:rPr>
        <w:t>adornan</w:t>
      </w:r>
      <w:r>
        <w:rPr>
          <w:color w:val="231F20"/>
          <w:spacing w:val="-5"/>
          <w:w w:val="110"/>
        </w:rPr>
        <w:t> </w:t>
      </w:r>
      <w:r>
        <w:rPr>
          <w:color w:val="231F20"/>
          <w:spacing w:val="-3"/>
          <w:w w:val="110"/>
        </w:rPr>
        <w:t>sus</w:t>
      </w:r>
      <w:r>
        <w:rPr>
          <w:color w:val="231F20"/>
          <w:spacing w:val="-5"/>
          <w:w w:val="110"/>
        </w:rPr>
        <w:t> </w:t>
      </w:r>
      <w:r>
        <w:rPr>
          <w:color w:val="231F20"/>
          <w:spacing w:val="-4"/>
          <w:w w:val="110"/>
        </w:rPr>
        <w:t>milpas</w:t>
      </w:r>
      <w:r>
        <w:rPr>
          <w:color w:val="231F20"/>
          <w:spacing w:val="-5"/>
          <w:w w:val="110"/>
        </w:rPr>
        <w:t> </w:t>
      </w:r>
      <w:r>
        <w:rPr>
          <w:color w:val="231F20"/>
          <w:spacing w:val="-3"/>
          <w:w w:val="110"/>
        </w:rPr>
        <w:t>con </w:t>
      </w:r>
      <w:r>
        <w:rPr>
          <w:color w:val="231F20"/>
          <w:w w:val="110"/>
        </w:rPr>
        <w:t>flores silvestres del </w:t>
      </w:r>
      <w:r>
        <w:rPr>
          <w:color w:val="231F20"/>
          <w:spacing w:val="-3"/>
          <w:w w:val="110"/>
        </w:rPr>
        <w:t>lugar. </w:t>
      </w:r>
      <w:r>
        <w:rPr>
          <w:color w:val="231F20"/>
          <w:w w:val="110"/>
        </w:rPr>
        <w:t>Este tipo de prácticas o rituales agrícolas refleja una estrecha relación entre las ceremonias religiosas y la agricultura, se basan en sus concepciones acerca del mundo natural y sobrenatural, las cuales también se expresan en la vida cotidiana del grupo </w:t>
      </w:r>
      <w:r>
        <w:rPr>
          <w:color w:val="231F20"/>
          <w:spacing w:val="31"/>
          <w:w w:val="110"/>
        </w:rPr>
        <w:t> </w:t>
      </w:r>
      <w:r>
        <w:rPr>
          <w:color w:val="231F20"/>
          <w:w w:val="110"/>
        </w:rPr>
        <w:t>social.</w:t>
      </w:r>
    </w:p>
    <w:p>
      <w:pPr>
        <w:pStyle w:val="BodyText"/>
        <w:spacing w:line="300" w:lineRule="auto"/>
        <w:ind w:left="124" w:right="110" w:firstLine="360"/>
        <w:jc w:val="both"/>
      </w:pPr>
      <w:r>
        <w:rPr>
          <w:color w:val="231F20"/>
          <w:spacing w:val="-3"/>
          <w:w w:val="110"/>
        </w:rPr>
        <w:t>Es </w:t>
      </w:r>
      <w:r>
        <w:rPr>
          <w:color w:val="231F20"/>
          <w:spacing w:val="-5"/>
          <w:w w:val="110"/>
        </w:rPr>
        <w:t>común observar </w:t>
      </w:r>
      <w:r>
        <w:rPr>
          <w:color w:val="231F20"/>
          <w:spacing w:val="-4"/>
          <w:w w:val="110"/>
        </w:rPr>
        <w:t>que las </w:t>
      </w:r>
      <w:r>
        <w:rPr>
          <w:color w:val="231F20"/>
          <w:spacing w:val="-6"/>
          <w:w w:val="110"/>
        </w:rPr>
        <w:t>familias, después </w:t>
      </w:r>
      <w:r>
        <w:rPr>
          <w:color w:val="231F20"/>
          <w:spacing w:val="-3"/>
          <w:w w:val="110"/>
        </w:rPr>
        <w:t>de </w:t>
      </w:r>
      <w:r>
        <w:rPr>
          <w:color w:val="231F20"/>
          <w:spacing w:val="-4"/>
          <w:w w:val="110"/>
        </w:rPr>
        <w:t>las </w:t>
      </w:r>
      <w:r>
        <w:rPr>
          <w:color w:val="231F20"/>
          <w:spacing w:val="-6"/>
          <w:w w:val="110"/>
        </w:rPr>
        <w:t>ceremonias religiosas, </w:t>
      </w:r>
      <w:r>
        <w:rPr>
          <w:color w:val="231F20"/>
          <w:w w:val="110"/>
        </w:rPr>
        <w:t>se</w:t>
      </w:r>
      <w:r>
        <w:rPr>
          <w:color w:val="231F20"/>
          <w:spacing w:val="-8"/>
          <w:w w:val="110"/>
        </w:rPr>
        <w:t> </w:t>
      </w:r>
      <w:r>
        <w:rPr>
          <w:color w:val="231F20"/>
          <w:w w:val="110"/>
        </w:rPr>
        <w:t>agrupan</w:t>
      </w:r>
      <w:r>
        <w:rPr>
          <w:color w:val="231F20"/>
          <w:spacing w:val="-8"/>
          <w:w w:val="110"/>
        </w:rPr>
        <w:t> </w:t>
      </w:r>
      <w:r>
        <w:rPr>
          <w:color w:val="231F20"/>
          <w:w w:val="110"/>
        </w:rPr>
        <w:t>e</w:t>
      </w:r>
      <w:r>
        <w:rPr>
          <w:color w:val="231F20"/>
          <w:spacing w:val="-8"/>
          <w:w w:val="110"/>
        </w:rPr>
        <w:t> </w:t>
      </w:r>
      <w:r>
        <w:rPr>
          <w:color w:val="231F20"/>
          <w:w w:val="110"/>
        </w:rPr>
        <w:t>intercambian</w:t>
      </w:r>
      <w:r>
        <w:rPr>
          <w:color w:val="231F20"/>
          <w:spacing w:val="-8"/>
          <w:w w:val="110"/>
        </w:rPr>
        <w:t> </w:t>
      </w:r>
      <w:r>
        <w:rPr>
          <w:color w:val="231F20"/>
          <w:w w:val="110"/>
        </w:rPr>
        <w:t>alimentos</w:t>
      </w:r>
      <w:r>
        <w:rPr>
          <w:color w:val="231F20"/>
          <w:spacing w:val="-8"/>
          <w:w w:val="110"/>
        </w:rPr>
        <w:t> </w:t>
      </w:r>
      <w:r>
        <w:rPr>
          <w:color w:val="231F20"/>
          <w:w w:val="110"/>
        </w:rPr>
        <w:t>(investigación</w:t>
      </w:r>
      <w:r>
        <w:rPr>
          <w:color w:val="231F20"/>
          <w:spacing w:val="-8"/>
          <w:w w:val="110"/>
        </w:rPr>
        <w:t> </w:t>
      </w:r>
      <w:r>
        <w:rPr>
          <w:color w:val="231F20"/>
          <w:w w:val="110"/>
        </w:rPr>
        <w:t>de</w:t>
      </w:r>
      <w:r>
        <w:rPr>
          <w:color w:val="231F20"/>
          <w:spacing w:val="-8"/>
          <w:w w:val="110"/>
        </w:rPr>
        <w:t> </w:t>
      </w:r>
      <w:r>
        <w:rPr>
          <w:color w:val="231F20"/>
          <w:w w:val="110"/>
        </w:rPr>
        <w:t>campo</w:t>
      </w:r>
      <w:r>
        <w:rPr>
          <w:color w:val="231F20"/>
          <w:spacing w:val="-8"/>
          <w:w w:val="110"/>
        </w:rPr>
        <w:t> </w:t>
      </w:r>
      <w:r>
        <w:rPr>
          <w:color w:val="231F20"/>
          <w:w w:val="110"/>
        </w:rPr>
        <w:t>2002-2014). Para</w:t>
      </w:r>
      <w:r>
        <w:rPr>
          <w:color w:val="231F20"/>
          <w:spacing w:val="-10"/>
          <w:w w:val="110"/>
        </w:rPr>
        <w:t> </w:t>
      </w:r>
      <w:r>
        <w:rPr>
          <w:color w:val="231F20"/>
          <w:w w:val="110"/>
        </w:rPr>
        <w:t>ellas,</w:t>
      </w:r>
      <w:r>
        <w:rPr>
          <w:color w:val="231F20"/>
          <w:spacing w:val="-10"/>
          <w:w w:val="110"/>
        </w:rPr>
        <w:t> </w:t>
      </w:r>
      <w:r>
        <w:rPr>
          <w:color w:val="231F20"/>
          <w:w w:val="110"/>
        </w:rPr>
        <w:t>compartir</w:t>
      </w:r>
      <w:r>
        <w:rPr>
          <w:color w:val="231F20"/>
          <w:spacing w:val="-10"/>
          <w:w w:val="110"/>
        </w:rPr>
        <w:t> </w:t>
      </w:r>
      <w:r>
        <w:rPr>
          <w:color w:val="231F20"/>
          <w:w w:val="110"/>
        </w:rPr>
        <w:t>alimentos</w:t>
      </w:r>
      <w:r>
        <w:rPr>
          <w:color w:val="231F20"/>
          <w:spacing w:val="-10"/>
          <w:w w:val="110"/>
        </w:rPr>
        <w:t> </w:t>
      </w:r>
      <w:r>
        <w:rPr>
          <w:color w:val="231F20"/>
          <w:w w:val="110"/>
        </w:rPr>
        <w:t>en</w:t>
      </w:r>
      <w:r>
        <w:rPr>
          <w:color w:val="231F20"/>
          <w:spacing w:val="-10"/>
          <w:w w:val="110"/>
        </w:rPr>
        <w:t> </w:t>
      </w:r>
      <w:r>
        <w:rPr>
          <w:color w:val="231F20"/>
          <w:w w:val="110"/>
        </w:rPr>
        <w:t>cualquier</w:t>
      </w:r>
      <w:r>
        <w:rPr>
          <w:color w:val="231F20"/>
          <w:spacing w:val="-10"/>
          <w:w w:val="110"/>
        </w:rPr>
        <w:t> </w:t>
      </w:r>
      <w:r>
        <w:rPr>
          <w:color w:val="231F20"/>
          <w:w w:val="110"/>
        </w:rPr>
        <w:t>situación</w:t>
      </w:r>
      <w:r>
        <w:rPr>
          <w:color w:val="231F20"/>
          <w:spacing w:val="-10"/>
          <w:w w:val="110"/>
        </w:rPr>
        <w:t> </w:t>
      </w:r>
      <w:r>
        <w:rPr>
          <w:color w:val="231F20"/>
          <w:w w:val="110"/>
        </w:rPr>
        <w:t>ritual</w:t>
      </w:r>
      <w:r>
        <w:rPr>
          <w:color w:val="231F20"/>
          <w:spacing w:val="-10"/>
          <w:w w:val="110"/>
        </w:rPr>
        <w:t> </w:t>
      </w:r>
      <w:r>
        <w:rPr>
          <w:color w:val="231F20"/>
          <w:w w:val="110"/>
        </w:rPr>
        <w:t>se</w:t>
      </w:r>
      <w:r>
        <w:rPr>
          <w:color w:val="231F20"/>
          <w:spacing w:val="-10"/>
          <w:w w:val="110"/>
        </w:rPr>
        <w:t> </w:t>
      </w:r>
      <w:r>
        <w:rPr>
          <w:color w:val="231F20"/>
          <w:w w:val="110"/>
        </w:rPr>
        <w:t>define</w:t>
      </w:r>
      <w:r>
        <w:rPr>
          <w:color w:val="231F20"/>
          <w:spacing w:val="-10"/>
          <w:w w:val="110"/>
        </w:rPr>
        <w:t> </w:t>
      </w:r>
      <w:r>
        <w:rPr>
          <w:color w:val="231F20"/>
          <w:w w:val="110"/>
        </w:rPr>
        <w:t>como la adquisición simbólica de un compromiso con el grupo social al que per- tenecen. Su participación en las fiestas y peregrinaciones a través de las mayordomías y las grandes aportaciones de recursos para dichas festivi- dades</w:t>
      </w:r>
      <w:r>
        <w:rPr>
          <w:color w:val="231F20"/>
          <w:spacing w:val="-10"/>
          <w:w w:val="110"/>
        </w:rPr>
        <w:t> </w:t>
      </w:r>
      <w:r>
        <w:rPr>
          <w:color w:val="231F20"/>
          <w:w w:val="110"/>
        </w:rPr>
        <w:t>son</w:t>
      </w:r>
      <w:r>
        <w:rPr>
          <w:color w:val="231F20"/>
          <w:spacing w:val="-10"/>
          <w:w w:val="110"/>
        </w:rPr>
        <w:t> </w:t>
      </w:r>
      <w:r>
        <w:rPr>
          <w:color w:val="231F20"/>
          <w:w w:val="110"/>
        </w:rPr>
        <w:t>ejemplos</w:t>
      </w:r>
      <w:r>
        <w:rPr>
          <w:color w:val="231F20"/>
          <w:spacing w:val="-10"/>
          <w:w w:val="110"/>
        </w:rPr>
        <w:t> </w:t>
      </w:r>
      <w:r>
        <w:rPr>
          <w:color w:val="231F20"/>
          <w:w w:val="110"/>
        </w:rPr>
        <w:t>de</w:t>
      </w:r>
      <w:r>
        <w:rPr>
          <w:color w:val="231F20"/>
          <w:spacing w:val="-10"/>
          <w:w w:val="110"/>
        </w:rPr>
        <w:t> </w:t>
      </w:r>
      <w:r>
        <w:rPr>
          <w:color w:val="231F20"/>
          <w:w w:val="110"/>
        </w:rPr>
        <w:t>cómo</w:t>
      </w:r>
      <w:r>
        <w:rPr>
          <w:color w:val="231F20"/>
          <w:spacing w:val="-10"/>
          <w:w w:val="110"/>
        </w:rPr>
        <w:t> </w:t>
      </w:r>
      <w:r>
        <w:rPr>
          <w:color w:val="231F20"/>
          <w:w w:val="110"/>
        </w:rPr>
        <w:t>se</w:t>
      </w:r>
      <w:r>
        <w:rPr>
          <w:color w:val="231F20"/>
          <w:spacing w:val="-10"/>
          <w:w w:val="110"/>
        </w:rPr>
        <w:t> </w:t>
      </w:r>
      <w:r>
        <w:rPr>
          <w:color w:val="231F20"/>
          <w:w w:val="110"/>
        </w:rPr>
        <w:t>activan</w:t>
      </w:r>
      <w:r>
        <w:rPr>
          <w:color w:val="231F20"/>
          <w:spacing w:val="-10"/>
          <w:w w:val="110"/>
        </w:rPr>
        <w:t> </w:t>
      </w:r>
      <w:r>
        <w:rPr>
          <w:color w:val="231F20"/>
          <w:w w:val="110"/>
        </w:rPr>
        <w:t>estas</w:t>
      </w:r>
      <w:r>
        <w:rPr>
          <w:color w:val="231F20"/>
          <w:spacing w:val="-10"/>
          <w:w w:val="110"/>
        </w:rPr>
        <w:t> </w:t>
      </w:r>
      <w:r>
        <w:rPr>
          <w:color w:val="231F20"/>
          <w:w w:val="110"/>
        </w:rPr>
        <w:t>redes</w:t>
      </w:r>
      <w:r>
        <w:rPr>
          <w:color w:val="231F20"/>
          <w:spacing w:val="-10"/>
          <w:w w:val="110"/>
        </w:rPr>
        <w:t> </w:t>
      </w:r>
      <w:r>
        <w:rPr>
          <w:color w:val="231F20"/>
          <w:w w:val="110"/>
        </w:rPr>
        <w:t>de</w:t>
      </w:r>
      <w:r>
        <w:rPr>
          <w:color w:val="231F20"/>
          <w:spacing w:val="-10"/>
          <w:w w:val="110"/>
        </w:rPr>
        <w:t> </w:t>
      </w:r>
      <w:r>
        <w:rPr>
          <w:color w:val="231F20"/>
          <w:w w:val="110"/>
        </w:rPr>
        <w:t>obligaciones</w:t>
      </w:r>
      <w:r>
        <w:rPr>
          <w:color w:val="231F20"/>
          <w:spacing w:val="-10"/>
          <w:w w:val="110"/>
        </w:rPr>
        <w:t> </w:t>
      </w:r>
      <w:r>
        <w:rPr>
          <w:color w:val="231F20"/>
          <w:w w:val="110"/>
        </w:rPr>
        <w:t>recípro- cas (sistema de</w:t>
      </w:r>
      <w:r>
        <w:rPr>
          <w:color w:val="231F20"/>
          <w:spacing w:val="-3"/>
          <w:w w:val="110"/>
        </w:rPr>
        <w:t> </w:t>
      </w:r>
      <w:r>
        <w:rPr>
          <w:color w:val="231F20"/>
          <w:w w:val="110"/>
        </w:rPr>
        <w:t>compadrazgo).</w:t>
      </w:r>
    </w:p>
    <w:p>
      <w:pPr>
        <w:pStyle w:val="BodyText"/>
        <w:spacing w:line="300" w:lineRule="auto"/>
        <w:ind w:left="124" w:right="113" w:firstLine="360"/>
        <w:jc w:val="both"/>
      </w:pPr>
      <w:r>
        <w:rPr>
          <w:color w:val="231F20"/>
          <w:w w:val="110"/>
        </w:rPr>
        <w:t>Por lo tanto, la vida cotidiana de las familias campesinas de la región de estudio que aún practican la agricultura tradicional está íntimamente ligada a los ciclos climáticos y ceremoniales, es </w:t>
      </w:r>
      <w:r>
        <w:rPr>
          <w:color w:val="231F20"/>
          <w:spacing w:val="-3"/>
          <w:w w:val="110"/>
        </w:rPr>
        <w:t>decir, </w:t>
      </w:r>
      <w:r>
        <w:rPr>
          <w:color w:val="231F20"/>
          <w:w w:val="110"/>
        </w:rPr>
        <w:t>toda su organización social,</w:t>
      </w:r>
      <w:r>
        <w:rPr>
          <w:color w:val="231F20"/>
          <w:spacing w:val="-4"/>
          <w:w w:val="110"/>
        </w:rPr>
        <w:t> </w:t>
      </w:r>
      <w:r>
        <w:rPr>
          <w:color w:val="231F20"/>
          <w:w w:val="110"/>
        </w:rPr>
        <w:t>económica,</w:t>
      </w:r>
      <w:r>
        <w:rPr>
          <w:color w:val="231F20"/>
          <w:spacing w:val="-4"/>
          <w:w w:val="110"/>
        </w:rPr>
        <w:t> </w:t>
      </w:r>
      <w:r>
        <w:rPr>
          <w:color w:val="231F20"/>
          <w:w w:val="110"/>
        </w:rPr>
        <w:t>política</w:t>
      </w:r>
      <w:r>
        <w:rPr>
          <w:color w:val="231F20"/>
          <w:spacing w:val="-4"/>
          <w:w w:val="110"/>
        </w:rPr>
        <w:t> </w:t>
      </w:r>
      <w:r>
        <w:rPr>
          <w:color w:val="231F20"/>
          <w:w w:val="110"/>
        </w:rPr>
        <w:t>y</w:t>
      </w:r>
      <w:r>
        <w:rPr>
          <w:color w:val="231F20"/>
          <w:spacing w:val="-4"/>
          <w:w w:val="110"/>
        </w:rPr>
        <w:t> </w:t>
      </w:r>
      <w:r>
        <w:rPr>
          <w:color w:val="231F20"/>
          <w:w w:val="110"/>
        </w:rPr>
        <w:t>religiosa</w:t>
      </w:r>
      <w:r>
        <w:rPr>
          <w:color w:val="231F20"/>
          <w:spacing w:val="-4"/>
          <w:w w:val="110"/>
        </w:rPr>
        <w:t> </w:t>
      </w:r>
      <w:r>
        <w:rPr>
          <w:color w:val="231F20"/>
          <w:w w:val="110"/>
        </w:rPr>
        <w:t>gira,</w:t>
      </w:r>
      <w:r>
        <w:rPr>
          <w:color w:val="231F20"/>
          <w:spacing w:val="-4"/>
          <w:w w:val="110"/>
        </w:rPr>
        <w:t> </w:t>
      </w:r>
      <w:r>
        <w:rPr>
          <w:color w:val="231F20"/>
          <w:w w:val="110"/>
        </w:rPr>
        <w:t>principalmente,</w:t>
      </w:r>
      <w:r>
        <w:rPr>
          <w:color w:val="231F20"/>
          <w:spacing w:val="-4"/>
          <w:w w:val="110"/>
        </w:rPr>
        <w:t> </w:t>
      </w:r>
      <w:r>
        <w:rPr>
          <w:color w:val="231F20"/>
          <w:w w:val="110"/>
        </w:rPr>
        <w:t>en</w:t>
      </w:r>
      <w:r>
        <w:rPr>
          <w:color w:val="231F20"/>
          <w:spacing w:val="-4"/>
          <w:w w:val="110"/>
        </w:rPr>
        <w:t> </w:t>
      </w:r>
      <w:r>
        <w:rPr>
          <w:color w:val="231F20"/>
          <w:w w:val="110"/>
        </w:rPr>
        <w:t>torno</w:t>
      </w:r>
      <w:r>
        <w:rPr>
          <w:color w:val="231F20"/>
          <w:spacing w:val="-4"/>
          <w:w w:val="110"/>
        </w:rPr>
        <w:t> </w:t>
      </w:r>
      <w:r>
        <w:rPr>
          <w:color w:val="231F20"/>
          <w:w w:val="110"/>
        </w:rPr>
        <w:t>al</w:t>
      </w:r>
      <w:r>
        <w:rPr>
          <w:color w:val="231F20"/>
          <w:spacing w:val="-4"/>
          <w:w w:val="110"/>
        </w:rPr>
        <w:t> </w:t>
      </w:r>
      <w:r>
        <w:rPr>
          <w:color w:val="231F20"/>
          <w:w w:val="110"/>
        </w:rPr>
        <w:t>ciclo agrícola del</w:t>
      </w:r>
      <w:r>
        <w:rPr>
          <w:color w:val="231F20"/>
          <w:spacing w:val="6"/>
          <w:w w:val="110"/>
        </w:rPr>
        <w:t> </w:t>
      </w:r>
      <w:r>
        <w:rPr>
          <w:color w:val="231F20"/>
          <w:w w:val="110"/>
        </w:rPr>
        <w:t>maíz.</w:t>
      </w:r>
    </w:p>
    <w:p>
      <w:pPr>
        <w:spacing w:after="0" w:line="300" w:lineRule="auto"/>
        <w:jc w:val="both"/>
        <w:sectPr>
          <w:pgSz w:w="9520" w:h="12920"/>
          <w:pgMar w:header="0" w:footer="1344" w:top="880" w:bottom="1540" w:left="1320" w:right="1000"/>
        </w:sectPr>
      </w:pPr>
    </w:p>
    <w:p>
      <w:pPr>
        <w:spacing w:line="290" w:lineRule="auto" w:before="39"/>
        <w:ind w:left="120" w:right="2875" w:firstLine="0"/>
        <w:jc w:val="left"/>
        <w:rPr>
          <w:rFonts w:ascii="Times New Roman" w:hAnsi="Times New Roman"/>
          <w:i/>
          <w:sz w:val="19"/>
        </w:rPr>
      </w:pPr>
      <w:r>
        <w:rPr>
          <w:rFonts w:ascii="Times New Roman" w:hAnsi="Times New Roman"/>
          <w:i/>
          <w:color w:val="231F20"/>
          <w:sz w:val="24"/>
        </w:rPr>
        <w:t>L</w:t>
      </w:r>
      <w:r>
        <w:rPr>
          <w:rFonts w:ascii="Times New Roman" w:hAnsi="Times New Roman"/>
          <w:i/>
          <w:color w:val="231F20"/>
          <w:sz w:val="19"/>
        </w:rPr>
        <w:t>OS CAMBIOS EN LA ORGANIZACIÓN </w:t>
      </w:r>
      <w:r>
        <w:rPr>
          <w:rFonts w:ascii="Times New Roman" w:hAnsi="Times New Roman"/>
          <w:i/>
          <w:color w:val="231F20"/>
          <w:w w:val="95"/>
          <w:sz w:val="19"/>
        </w:rPr>
        <w:t>SOCIOCULTURAL Y LA AUTOSUFICIENCIA ALIMENTARIA DE LA FAMILIA CAMPESINA</w:t>
      </w:r>
    </w:p>
    <w:p>
      <w:pPr>
        <w:pStyle w:val="BodyText"/>
        <w:spacing w:before="4"/>
        <w:rPr>
          <w:rFonts w:ascii="Times New Roman"/>
          <w:i/>
          <w:sz w:val="24"/>
        </w:rPr>
      </w:pPr>
    </w:p>
    <w:p>
      <w:pPr>
        <w:pStyle w:val="BodyText"/>
        <w:spacing w:line="283" w:lineRule="auto"/>
        <w:ind w:left="120" w:right="113"/>
        <w:jc w:val="both"/>
      </w:pPr>
      <w:r>
        <w:rPr>
          <w:color w:val="231F20"/>
          <w:w w:val="110"/>
        </w:rPr>
        <w:t>La organización sociocultural</w:t>
      </w:r>
      <w:r>
        <w:rPr>
          <w:color w:val="231F20"/>
          <w:w w:val="110"/>
          <w:position w:val="6"/>
          <w:sz w:val="11"/>
        </w:rPr>
        <w:t>20 </w:t>
      </w:r>
      <w:r>
        <w:rPr>
          <w:color w:val="231F20"/>
          <w:w w:val="110"/>
        </w:rPr>
        <w:t>de las familias campesinas en el Valle de Ixtlahuaca tuvo sus primeros cambios a partir de la década de los años sesenta, ya que, como se señaló, es la época en la que se instala la unidad industrial Pastejé en el municipio de Jocotitlán, Estado de México. Hasta entonces, la principal actividad económica de la familia campesina había sido la agricultura tradicional y, como consecuencia, su principal forma de subsistencia.</w:t>
      </w:r>
    </w:p>
    <w:p>
      <w:pPr>
        <w:pStyle w:val="BodyText"/>
        <w:spacing w:line="283" w:lineRule="auto"/>
        <w:ind w:left="59" w:right="116" w:firstLine="360"/>
        <w:jc w:val="right"/>
      </w:pPr>
      <w:r>
        <w:rPr>
          <w:color w:val="231F20"/>
          <w:w w:val="110"/>
        </w:rPr>
        <w:t>El crecimiento industrial y urbano del Estado de México y del </w:t>
      </w:r>
      <w:r>
        <w:rPr>
          <w:color w:val="231F20"/>
          <w:spacing w:val="-5"/>
          <w:w w:val="110"/>
        </w:rPr>
        <w:t>Valle </w:t>
      </w:r>
      <w:r>
        <w:rPr>
          <w:color w:val="231F20"/>
          <w:w w:val="110"/>
        </w:rPr>
        <w:t>de</w:t>
      </w:r>
      <w:r>
        <w:rPr>
          <w:color w:val="231F20"/>
          <w:w w:val="108"/>
        </w:rPr>
        <w:t> </w:t>
      </w:r>
      <w:r>
        <w:rPr>
          <w:color w:val="231F20"/>
          <w:w w:val="110"/>
        </w:rPr>
        <w:t>Ixtlahuaca generó fuentes de empleo para la población de la región y re-</w:t>
      </w:r>
      <w:r>
        <w:rPr>
          <w:color w:val="231F20"/>
          <w:w w:val="93"/>
        </w:rPr>
        <w:t> </w:t>
      </w:r>
      <w:r>
        <w:rPr>
          <w:color w:val="231F20"/>
          <w:w w:val="110"/>
        </w:rPr>
        <w:t>presentó una opción de ingreso para las familias campesinas, cuya econo-</w:t>
      </w:r>
      <w:r>
        <w:rPr>
          <w:color w:val="231F20"/>
          <w:w w:val="93"/>
        </w:rPr>
        <w:t> </w:t>
      </w:r>
      <w:r>
        <w:rPr>
          <w:color w:val="231F20"/>
          <w:w w:val="110"/>
        </w:rPr>
        <w:t>mía fue afectada por los cambios en los precios de los productos agrícolas.</w:t>
      </w:r>
      <w:r>
        <w:rPr>
          <w:color w:val="231F20"/>
          <w:w w:val="110"/>
        </w:rPr>
        <w:t> </w:t>
      </w:r>
      <w:r>
        <w:rPr>
          <w:color w:val="231F20"/>
          <w:w w:val="110"/>
        </w:rPr>
        <w:t>Aunque de manera diferenciada según la edad y el sexo, los hogares</w:t>
      </w:r>
      <w:r>
        <w:rPr>
          <w:color w:val="231F20"/>
          <w:w w:val="110"/>
        </w:rPr>
        <w:t> </w:t>
      </w:r>
      <w:r>
        <w:rPr>
          <w:color w:val="231F20"/>
          <w:w w:val="110"/>
        </w:rPr>
        <w:t>insertaron una parte de sus miembros en actividades productivas diferen-</w:t>
      </w:r>
      <w:r>
        <w:rPr>
          <w:color w:val="231F20"/>
          <w:w w:val="93"/>
        </w:rPr>
        <w:t> </w:t>
      </w:r>
      <w:r>
        <w:rPr>
          <w:color w:val="231F20"/>
          <w:w w:val="110"/>
        </w:rPr>
        <w:t>tes de la agricultura tradicional, bien asalariadas o bien por cuenta propia.</w:t>
      </w:r>
      <w:r>
        <w:rPr>
          <w:color w:val="231F20"/>
          <w:w w:val="108"/>
        </w:rPr>
        <w:t> </w:t>
      </w:r>
      <w:r>
        <w:rPr>
          <w:color w:val="231F20"/>
          <w:spacing w:val="-3"/>
          <w:w w:val="110"/>
        </w:rPr>
        <w:t>Así, </w:t>
      </w:r>
      <w:r>
        <w:rPr>
          <w:color w:val="231F20"/>
          <w:spacing w:val="-4"/>
          <w:w w:val="110"/>
        </w:rPr>
        <w:t>mientras algunos vendían </w:t>
      </w:r>
      <w:r>
        <w:rPr>
          <w:color w:val="231F20"/>
          <w:w w:val="110"/>
        </w:rPr>
        <w:t>su </w:t>
      </w:r>
      <w:r>
        <w:rPr>
          <w:color w:val="231F20"/>
          <w:spacing w:val="-4"/>
          <w:w w:val="110"/>
        </w:rPr>
        <w:t>fuerza </w:t>
      </w:r>
      <w:r>
        <w:rPr>
          <w:color w:val="231F20"/>
          <w:w w:val="110"/>
        </w:rPr>
        <w:t>de </w:t>
      </w:r>
      <w:r>
        <w:rPr>
          <w:color w:val="231F20"/>
          <w:spacing w:val="-4"/>
          <w:w w:val="110"/>
        </w:rPr>
        <w:t>trabajo —jóvenes, tanto hombres</w:t>
      </w:r>
      <w:r>
        <w:rPr>
          <w:color w:val="231F20"/>
          <w:w w:val="118"/>
        </w:rPr>
        <w:t> </w:t>
      </w:r>
      <w:r>
        <w:rPr>
          <w:color w:val="231F20"/>
          <w:w w:val="110"/>
        </w:rPr>
        <w:t>como mujeres—, otros se dedicaron a las actividades agrícolas —adultos</w:t>
      </w:r>
      <w:r>
        <w:rPr>
          <w:color w:val="231F20"/>
          <w:w w:val="106"/>
        </w:rPr>
        <w:t> </w:t>
      </w:r>
      <w:r>
        <w:rPr>
          <w:color w:val="231F20"/>
          <w:w w:val="110"/>
        </w:rPr>
        <w:t>mayores, tanto hombres como mujeres— de las que obtienen cultivos para</w:t>
      </w:r>
      <w:r>
        <w:rPr>
          <w:color w:val="231F20"/>
          <w:w w:val="107"/>
        </w:rPr>
        <w:t> </w:t>
      </w:r>
      <w:r>
        <w:rPr>
          <w:color w:val="231F20"/>
          <w:w w:val="110"/>
        </w:rPr>
        <w:t>subsistencia</w:t>
      </w:r>
      <w:r>
        <w:rPr>
          <w:color w:val="231F20"/>
          <w:w w:val="110"/>
          <w:position w:val="6"/>
          <w:sz w:val="11"/>
        </w:rPr>
        <w:t>21 </w:t>
      </w:r>
      <w:r>
        <w:rPr>
          <w:color w:val="231F20"/>
          <w:w w:val="110"/>
        </w:rPr>
        <w:t>como maíz, frijol, calabaza y trigo, otros son para el auto-</w:t>
      </w:r>
      <w:r>
        <w:rPr>
          <w:color w:val="231F20"/>
          <w:w w:val="93"/>
        </w:rPr>
        <w:t> </w:t>
      </w:r>
      <w:r>
        <w:rPr>
          <w:color w:val="231F20"/>
          <w:w w:val="110"/>
        </w:rPr>
        <w:t>abasto,</w:t>
      </w:r>
      <w:r>
        <w:rPr>
          <w:color w:val="231F20"/>
          <w:w w:val="110"/>
          <w:position w:val="6"/>
          <w:sz w:val="11"/>
        </w:rPr>
        <w:t>22 </w:t>
      </w:r>
      <w:r>
        <w:rPr>
          <w:color w:val="231F20"/>
          <w:w w:val="110"/>
        </w:rPr>
        <w:t>como el haba y el chícharo, es </w:t>
      </w:r>
      <w:r>
        <w:rPr>
          <w:color w:val="231F20"/>
          <w:spacing w:val="-3"/>
          <w:w w:val="110"/>
        </w:rPr>
        <w:t>decir, </w:t>
      </w:r>
      <w:r>
        <w:rPr>
          <w:color w:val="231F20"/>
          <w:w w:val="110"/>
        </w:rPr>
        <w:t>una parte se destina para el</w:t>
      </w:r>
      <w:r>
        <w:rPr>
          <w:color w:val="231F20"/>
          <w:w w:val="106"/>
        </w:rPr>
        <w:t> </w:t>
      </w:r>
      <w:r>
        <w:rPr>
          <w:color w:val="231F20"/>
          <w:w w:val="110"/>
        </w:rPr>
        <w:t>consumo de la familia y otra para la venta —tanto verde como seca— </w:t>
      </w:r>
      <w:r>
        <w:rPr>
          <w:color w:val="231F20"/>
          <w:spacing w:val="-9"/>
          <w:w w:val="110"/>
        </w:rPr>
        <w:t>y,</w:t>
      </w:r>
      <w:r>
        <w:rPr>
          <w:color w:val="231F20"/>
          <w:w w:val="128"/>
        </w:rPr>
        <w:t> </w:t>
      </w:r>
      <w:r>
        <w:rPr>
          <w:color w:val="231F20"/>
          <w:w w:val="110"/>
        </w:rPr>
        <w:t>“algunas unidades domésticas</w:t>
      </w:r>
      <w:r>
        <w:rPr>
          <w:color w:val="231F20"/>
          <w:w w:val="110"/>
          <w:position w:val="6"/>
          <w:sz w:val="11"/>
        </w:rPr>
        <w:t>23 </w:t>
      </w:r>
      <w:r>
        <w:rPr>
          <w:color w:val="231F20"/>
          <w:w w:val="110"/>
        </w:rPr>
        <w:t>cultivan tomate verde y gladiolo</w:t>
      </w:r>
      <w:r>
        <w:rPr>
          <w:color w:val="231F20"/>
          <w:w w:val="110"/>
          <w:position w:val="6"/>
          <w:sz w:val="11"/>
        </w:rPr>
        <w:t>24 </w:t>
      </w:r>
      <w:r>
        <w:rPr>
          <w:color w:val="231F20"/>
          <w:w w:val="110"/>
        </w:rPr>
        <w:t>con fines</w:t>
      </w:r>
    </w:p>
    <w:p>
      <w:pPr>
        <w:pStyle w:val="BodyText"/>
        <w:spacing w:line="234" w:lineRule="exact"/>
        <w:ind w:left="119"/>
      </w:pPr>
      <w:r>
        <w:rPr>
          <w:color w:val="231F20"/>
          <w:w w:val="110"/>
        </w:rPr>
        <w:t>comerciales” (González y Reyes, 2006: 234).</w:t>
      </w:r>
    </w:p>
    <w:p>
      <w:pPr>
        <w:pStyle w:val="BodyText"/>
        <w:spacing w:before="8"/>
        <w:rPr>
          <w:sz w:val="16"/>
        </w:rPr>
      </w:pPr>
    </w:p>
    <w:p>
      <w:pPr>
        <w:spacing w:line="256" w:lineRule="auto" w:before="0"/>
        <w:ind w:left="119" w:right="117" w:firstLine="360"/>
        <w:jc w:val="both"/>
        <w:rPr>
          <w:sz w:val="16"/>
        </w:rPr>
      </w:pPr>
      <w:r>
        <w:rPr>
          <w:color w:val="231F20"/>
          <w:w w:val="105"/>
          <w:position w:val="5"/>
          <w:sz w:val="9"/>
        </w:rPr>
        <w:t>20 </w:t>
      </w:r>
      <w:r>
        <w:rPr>
          <w:color w:val="231F20"/>
          <w:w w:val="105"/>
          <w:sz w:val="16"/>
        </w:rPr>
        <w:t>Desde mi punto de vista la organización sociocultural y según la ecología cultural de </w:t>
      </w:r>
      <w:r>
        <w:rPr>
          <w:color w:val="231F20"/>
          <w:spacing w:val="2"/>
          <w:w w:val="105"/>
          <w:sz w:val="16"/>
        </w:rPr>
        <w:t>Steward (1955) </w:t>
      </w:r>
      <w:r>
        <w:rPr>
          <w:color w:val="231F20"/>
          <w:w w:val="105"/>
          <w:sz w:val="16"/>
        </w:rPr>
        <w:t>es el  </w:t>
      </w:r>
      <w:r>
        <w:rPr>
          <w:color w:val="231F20"/>
          <w:spacing w:val="2"/>
          <w:w w:val="105"/>
          <w:sz w:val="16"/>
        </w:rPr>
        <w:t>“comportamiento específico involucrado </w:t>
      </w:r>
      <w:r>
        <w:rPr>
          <w:color w:val="231F20"/>
          <w:w w:val="105"/>
          <w:sz w:val="16"/>
        </w:rPr>
        <w:t>en  la  </w:t>
      </w:r>
      <w:r>
        <w:rPr>
          <w:color w:val="231F20"/>
          <w:spacing w:val="2"/>
          <w:w w:val="105"/>
          <w:sz w:val="16"/>
        </w:rPr>
        <w:t>tecnología </w:t>
      </w:r>
      <w:r>
        <w:rPr>
          <w:color w:val="231F20"/>
          <w:w w:val="105"/>
          <w:sz w:val="16"/>
        </w:rPr>
        <w:t>y  el  </w:t>
      </w:r>
      <w:r>
        <w:rPr>
          <w:color w:val="231F20"/>
          <w:spacing w:val="2"/>
          <w:w w:val="105"/>
          <w:sz w:val="16"/>
        </w:rPr>
        <w:t>trabajo</w:t>
      </w:r>
      <w:r>
        <w:rPr>
          <w:color w:val="231F20"/>
          <w:spacing w:val="41"/>
          <w:w w:val="105"/>
          <w:sz w:val="16"/>
        </w:rPr>
        <w:t> </w:t>
      </w:r>
      <w:r>
        <w:rPr>
          <w:color w:val="231F20"/>
          <w:w w:val="105"/>
          <w:sz w:val="16"/>
        </w:rPr>
        <w:t>de</w:t>
      </w:r>
      <w:r>
        <w:rPr>
          <w:color w:val="231F20"/>
          <w:spacing w:val="31"/>
          <w:w w:val="105"/>
          <w:sz w:val="16"/>
        </w:rPr>
        <w:t> </w:t>
      </w:r>
      <w:r>
        <w:rPr>
          <w:color w:val="231F20"/>
          <w:w w:val="105"/>
          <w:sz w:val="16"/>
        </w:rPr>
        <w:t>extraer</w:t>
      </w:r>
      <w:r>
        <w:rPr>
          <w:color w:val="231F20"/>
          <w:spacing w:val="23"/>
          <w:w w:val="105"/>
          <w:sz w:val="16"/>
        </w:rPr>
        <w:t> </w:t>
      </w:r>
      <w:r>
        <w:rPr>
          <w:color w:val="231F20"/>
          <w:w w:val="105"/>
          <w:sz w:val="16"/>
        </w:rPr>
        <w:t>recursos</w:t>
      </w:r>
      <w:r>
        <w:rPr>
          <w:color w:val="231F20"/>
          <w:spacing w:val="23"/>
          <w:w w:val="105"/>
          <w:sz w:val="16"/>
        </w:rPr>
        <w:t> </w:t>
      </w:r>
      <w:r>
        <w:rPr>
          <w:color w:val="231F20"/>
          <w:w w:val="105"/>
          <w:sz w:val="16"/>
        </w:rPr>
        <w:t>naturales</w:t>
      </w:r>
      <w:r>
        <w:rPr>
          <w:color w:val="231F20"/>
          <w:spacing w:val="23"/>
          <w:w w:val="105"/>
          <w:sz w:val="16"/>
        </w:rPr>
        <w:t> </w:t>
      </w:r>
      <w:r>
        <w:rPr>
          <w:color w:val="231F20"/>
          <w:w w:val="105"/>
          <w:sz w:val="16"/>
        </w:rPr>
        <w:t>para</w:t>
      </w:r>
      <w:r>
        <w:rPr>
          <w:color w:val="231F20"/>
          <w:spacing w:val="23"/>
          <w:w w:val="105"/>
          <w:sz w:val="16"/>
        </w:rPr>
        <w:t> </w:t>
      </w:r>
      <w:r>
        <w:rPr>
          <w:color w:val="231F20"/>
          <w:w w:val="105"/>
          <w:sz w:val="16"/>
        </w:rPr>
        <w:t>la</w:t>
      </w:r>
      <w:r>
        <w:rPr>
          <w:color w:val="231F20"/>
          <w:spacing w:val="23"/>
          <w:w w:val="105"/>
          <w:sz w:val="16"/>
        </w:rPr>
        <w:t> </w:t>
      </w:r>
      <w:r>
        <w:rPr>
          <w:color w:val="231F20"/>
          <w:w w:val="105"/>
          <w:sz w:val="16"/>
        </w:rPr>
        <w:t>supervivencia”</w:t>
      </w:r>
      <w:r>
        <w:rPr>
          <w:color w:val="231F20"/>
          <w:spacing w:val="23"/>
          <w:w w:val="105"/>
          <w:sz w:val="16"/>
        </w:rPr>
        <w:t> </w:t>
      </w:r>
      <w:r>
        <w:rPr>
          <w:color w:val="231F20"/>
          <w:w w:val="105"/>
          <w:sz w:val="16"/>
        </w:rPr>
        <w:t>(Steward,</w:t>
      </w:r>
      <w:r>
        <w:rPr>
          <w:color w:val="231F20"/>
          <w:spacing w:val="23"/>
          <w:w w:val="105"/>
          <w:sz w:val="16"/>
        </w:rPr>
        <w:t> </w:t>
      </w:r>
      <w:r>
        <w:rPr>
          <w:color w:val="231F20"/>
          <w:w w:val="105"/>
          <w:sz w:val="16"/>
        </w:rPr>
        <w:t>1955</w:t>
      </w:r>
      <w:r>
        <w:rPr>
          <w:color w:val="231F20"/>
          <w:spacing w:val="23"/>
          <w:w w:val="105"/>
          <w:sz w:val="16"/>
        </w:rPr>
        <w:t> </w:t>
      </w:r>
      <w:r>
        <w:rPr>
          <w:color w:val="231F20"/>
          <w:w w:val="105"/>
          <w:sz w:val="16"/>
        </w:rPr>
        <w:t>en</w:t>
      </w:r>
      <w:r>
        <w:rPr>
          <w:color w:val="231F20"/>
          <w:spacing w:val="23"/>
          <w:w w:val="105"/>
          <w:sz w:val="16"/>
        </w:rPr>
        <w:t> </w:t>
      </w:r>
      <w:r>
        <w:rPr>
          <w:color w:val="231F20"/>
          <w:w w:val="105"/>
          <w:sz w:val="16"/>
        </w:rPr>
        <w:t>Barfield,</w:t>
      </w:r>
      <w:r>
        <w:rPr>
          <w:color w:val="231F20"/>
          <w:spacing w:val="23"/>
          <w:w w:val="105"/>
          <w:sz w:val="16"/>
        </w:rPr>
        <w:t> </w:t>
      </w:r>
      <w:r>
        <w:rPr>
          <w:color w:val="231F20"/>
          <w:w w:val="105"/>
          <w:sz w:val="16"/>
        </w:rPr>
        <w:t>2000:</w:t>
      </w:r>
      <w:r>
        <w:rPr>
          <w:color w:val="231F20"/>
          <w:spacing w:val="23"/>
          <w:w w:val="105"/>
          <w:sz w:val="16"/>
        </w:rPr>
        <w:t> </w:t>
      </w:r>
      <w:r>
        <w:rPr>
          <w:color w:val="231F20"/>
          <w:w w:val="105"/>
          <w:sz w:val="16"/>
        </w:rPr>
        <w:t>499).</w:t>
      </w:r>
    </w:p>
    <w:p>
      <w:pPr>
        <w:spacing w:line="256" w:lineRule="auto" w:before="0"/>
        <w:ind w:left="119" w:right="117" w:firstLine="360"/>
        <w:jc w:val="both"/>
        <w:rPr>
          <w:sz w:val="16"/>
        </w:rPr>
      </w:pPr>
      <w:r>
        <w:rPr>
          <w:color w:val="231F20"/>
          <w:w w:val="110"/>
          <w:position w:val="5"/>
          <w:sz w:val="9"/>
        </w:rPr>
        <w:t>21 </w:t>
      </w:r>
      <w:r>
        <w:rPr>
          <w:color w:val="231F20"/>
          <w:w w:val="110"/>
          <w:sz w:val="16"/>
        </w:rPr>
        <w:t>Cultivos que son utilizados</w:t>
      </w:r>
      <w:r>
        <w:rPr>
          <w:color w:val="231F20"/>
          <w:spacing w:val="-3"/>
          <w:w w:val="110"/>
          <w:sz w:val="16"/>
        </w:rPr>
        <w:t> exclusivamente </w:t>
      </w:r>
      <w:r>
        <w:rPr>
          <w:color w:val="231F20"/>
          <w:w w:val="110"/>
          <w:sz w:val="16"/>
        </w:rPr>
        <w:t>para el consumo </w:t>
      </w:r>
      <w:r>
        <w:rPr>
          <w:color w:val="231F20"/>
          <w:spacing w:val="-4"/>
          <w:w w:val="110"/>
          <w:sz w:val="16"/>
        </w:rPr>
        <w:t>familiar. </w:t>
      </w:r>
      <w:r>
        <w:rPr>
          <w:color w:val="231F20"/>
          <w:w w:val="110"/>
          <w:sz w:val="16"/>
        </w:rPr>
        <w:t>En palabras de los campesinos “sembramos sólo para la casa”, “sembramos para el   gasto”.</w:t>
      </w:r>
    </w:p>
    <w:p>
      <w:pPr>
        <w:spacing w:line="256" w:lineRule="auto" w:before="0"/>
        <w:ind w:left="120" w:right="115" w:firstLine="360"/>
        <w:jc w:val="both"/>
        <w:rPr>
          <w:sz w:val="16"/>
        </w:rPr>
      </w:pPr>
      <w:r>
        <w:rPr>
          <w:color w:val="231F20"/>
          <w:w w:val="110"/>
          <w:position w:val="5"/>
          <w:sz w:val="9"/>
        </w:rPr>
        <w:t>22 </w:t>
      </w:r>
      <w:r>
        <w:rPr>
          <w:color w:val="231F20"/>
          <w:w w:val="110"/>
          <w:sz w:val="16"/>
        </w:rPr>
        <w:t>Cultivos que tienen doble propósito: unos se dirigen al consumo familiar y otros se cultivan para su venta en el  mercado.</w:t>
      </w:r>
    </w:p>
    <w:p>
      <w:pPr>
        <w:spacing w:line="256" w:lineRule="auto" w:before="0"/>
        <w:ind w:left="119" w:right="117" w:firstLine="360"/>
        <w:jc w:val="both"/>
        <w:rPr>
          <w:sz w:val="16"/>
        </w:rPr>
      </w:pPr>
      <w:r>
        <w:rPr>
          <w:color w:val="231F20"/>
          <w:w w:val="110"/>
          <w:position w:val="5"/>
          <w:sz w:val="9"/>
        </w:rPr>
        <w:t>23</w:t>
      </w:r>
      <w:r>
        <w:rPr>
          <w:color w:val="231F20"/>
          <w:spacing w:val="-12"/>
          <w:w w:val="110"/>
          <w:position w:val="5"/>
          <w:sz w:val="9"/>
        </w:rPr>
        <w:t> </w:t>
      </w:r>
      <w:r>
        <w:rPr>
          <w:color w:val="231F20"/>
          <w:w w:val="110"/>
          <w:sz w:val="16"/>
        </w:rPr>
        <w:t>En</w:t>
      </w:r>
      <w:r>
        <w:rPr>
          <w:color w:val="231F20"/>
          <w:spacing w:val="-16"/>
          <w:w w:val="110"/>
          <w:sz w:val="16"/>
        </w:rPr>
        <w:t> </w:t>
      </w:r>
      <w:r>
        <w:rPr>
          <w:color w:val="231F20"/>
          <w:w w:val="110"/>
          <w:sz w:val="16"/>
        </w:rPr>
        <w:t>este</w:t>
      </w:r>
      <w:r>
        <w:rPr>
          <w:color w:val="231F20"/>
          <w:spacing w:val="-16"/>
          <w:w w:val="110"/>
          <w:sz w:val="16"/>
        </w:rPr>
        <w:t> </w:t>
      </w:r>
      <w:r>
        <w:rPr>
          <w:color w:val="231F20"/>
          <w:w w:val="110"/>
          <w:sz w:val="16"/>
        </w:rPr>
        <w:t>trabajo</w:t>
      </w:r>
      <w:r>
        <w:rPr>
          <w:color w:val="231F20"/>
          <w:spacing w:val="-16"/>
          <w:w w:val="110"/>
          <w:sz w:val="16"/>
        </w:rPr>
        <w:t> </w:t>
      </w:r>
      <w:r>
        <w:rPr>
          <w:color w:val="231F20"/>
          <w:w w:val="110"/>
          <w:sz w:val="16"/>
        </w:rPr>
        <w:t>(González</w:t>
      </w:r>
      <w:r>
        <w:rPr>
          <w:color w:val="231F20"/>
          <w:spacing w:val="-16"/>
          <w:w w:val="110"/>
          <w:sz w:val="16"/>
        </w:rPr>
        <w:t> </w:t>
      </w:r>
      <w:r>
        <w:rPr>
          <w:color w:val="231F20"/>
          <w:w w:val="110"/>
          <w:sz w:val="16"/>
        </w:rPr>
        <w:t>y</w:t>
      </w:r>
      <w:r>
        <w:rPr>
          <w:color w:val="231F20"/>
          <w:spacing w:val="-16"/>
          <w:w w:val="110"/>
          <w:sz w:val="16"/>
        </w:rPr>
        <w:t> </w:t>
      </w:r>
      <w:r>
        <w:rPr>
          <w:color w:val="231F20"/>
          <w:spacing w:val="-3"/>
          <w:w w:val="110"/>
          <w:sz w:val="16"/>
        </w:rPr>
        <w:t>Reyes,</w:t>
      </w:r>
      <w:r>
        <w:rPr>
          <w:color w:val="231F20"/>
          <w:spacing w:val="-16"/>
          <w:w w:val="110"/>
          <w:sz w:val="16"/>
        </w:rPr>
        <w:t> </w:t>
      </w:r>
      <w:r>
        <w:rPr>
          <w:color w:val="231F20"/>
          <w:w w:val="110"/>
          <w:sz w:val="16"/>
        </w:rPr>
        <w:t>2006)</w:t>
      </w:r>
      <w:r>
        <w:rPr>
          <w:color w:val="231F20"/>
          <w:spacing w:val="-16"/>
          <w:w w:val="110"/>
          <w:sz w:val="16"/>
        </w:rPr>
        <w:t> </w:t>
      </w:r>
      <w:r>
        <w:rPr>
          <w:color w:val="231F20"/>
          <w:w w:val="110"/>
          <w:sz w:val="16"/>
        </w:rPr>
        <w:t>se</w:t>
      </w:r>
      <w:r>
        <w:rPr>
          <w:color w:val="231F20"/>
          <w:spacing w:val="-16"/>
          <w:w w:val="110"/>
          <w:sz w:val="16"/>
        </w:rPr>
        <w:t> </w:t>
      </w:r>
      <w:r>
        <w:rPr>
          <w:color w:val="231F20"/>
          <w:w w:val="110"/>
          <w:sz w:val="16"/>
        </w:rPr>
        <w:t>utilizó</w:t>
      </w:r>
      <w:r>
        <w:rPr>
          <w:color w:val="231F20"/>
          <w:spacing w:val="-16"/>
          <w:w w:val="110"/>
          <w:sz w:val="16"/>
        </w:rPr>
        <w:t> </w:t>
      </w:r>
      <w:r>
        <w:rPr>
          <w:color w:val="231F20"/>
          <w:w w:val="110"/>
          <w:sz w:val="16"/>
        </w:rPr>
        <w:t>el</w:t>
      </w:r>
      <w:r>
        <w:rPr>
          <w:color w:val="231F20"/>
          <w:spacing w:val="-16"/>
          <w:w w:val="110"/>
          <w:sz w:val="16"/>
        </w:rPr>
        <w:t> </w:t>
      </w:r>
      <w:r>
        <w:rPr>
          <w:color w:val="231F20"/>
          <w:w w:val="110"/>
          <w:sz w:val="16"/>
        </w:rPr>
        <w:t>término</w:t>
      </w:r>
      <w:r>
        <w:rPr>
          <w:color w:val="231F20"/>
          <w:spacing w:val="-16"/>
          <w:w w:val="110"/>
          <w:sz w:val="16"/>
        </w:rPr>
        <w:t> </w:t>
      </w:r>
      <w:r>
        <w:rPr>
          <w:color w:val="231F20"/>
          <w:w w:val="110"/>
          <w:sz w:val="16"/>
        </w:rPr>
        <w:t>de</w:t>
      </w:r>
      <w:r>
        <w:rPr>
          <w:color w:val="231F20"/>
          <w:spacing w:val="-16"/>
          <w:w w:val="110"/>
          <w:sz w:val="16"/>
        </w:rPr>
        <w:t> </w:t>
      </w:r>
      <w:r>
        <w:rPr>
          <w:color w:val="231F20"/>
          <w:w w:val="110"/>
          <w:sz w:val="16"/>
        </w:rPr>
        <w:t>“unidad</w:t>
      </w:r>
      <w:r>
        <w:rPr>
          <w:color w:val="231F20"/>
          <w:spacing w:val="-16"/>
          <w:w w:val="110"/>
          <w:sz w:val="16"/>
        </w:rPr>
        <w:t> </w:t>
      </w:r>
      <w:r>
        <w:rPr>
          <w:color w:val="231F20"/>
          <w:w w:val="110"/>
          <w:sz w:val="16"/>
        </w:rPr>
        <w:t>doméstica”</w:t>
      </w:r>
      <w:r>
        <w:rPr>
          <w:color w:val="231F20"/>
          <w:spacing w:val="-18"/>
          <w:w w:val="110"/>
          <w:sz w:val="16"/>
        </w:rPr>
        <w:t> </w:t>
      </w:r>
      <w:r>
        <w:rPr>
          <w:color w:val="231F20"/>
          <w:w w:val="110"/>
          <w:sz w:val="16"/>
        </w:rPr>
        <w:t>para referirnos a las unidades económicas basadas en la residencia común. Sus miembros son una familia</w:t>
      </w:r>
      <w:r>
        <w:rPr>
          <w:color w:val="231F20"/>
          <w:spacing w:val="-7"/>
          <w:w w:val="110"/>
          <w:sz w:val="16"/>
        </w:rPr>
        <w:t> </w:t>
      </w:r>
      <w:r>
        <w:rPr>
          <w:color w:val="231F20"/>
          <w:w w:val="110"/>
          <w:sz w:val="16"/>
        </w:rPr>
        <w:t>o</w:t>
      </w:r>
      <w:r>
        <w:rPr>
          <w:color w:val="231F20"/>
          <w:spacing w:val="-7"/>
          <w:w w:val="110"/>
          <w:sz w:val="16"/>
        </w:rPr>
        <w:t> </w:t>
      </w:r>
      <w:r>
        <w:rPr>
          <w:color w:val="231F20"/>
          <w:w w:val="110"/>
          <w:sz w:val="16"/>
        </w:rPr>
        <w:t>grupo</w:t>
      </w:r>
      <w:r>
        <w:rPr>
          <w:color w:val="231F20"/>
          <w:spacing w:val="-7"/>
          <w:w w:val="110"/>
          <w:sz w:val="16"/>
        </w:rPr>
        <w:t> </w:t>
      </w:r>
      <w:r>
        <w:rPr>
          <w:color w:val="231F20"/>
          <w:w w:val="110"/>
          <w:sz w:val="16"/>
        </w:rPr>
        <w:t>doméstico,</w:t>
      </w:r>
      <w:r>
        <w:rPr>
          <w:color w:val="231F20"/>
          <w:spacing w:val="-7"/>
          <w:w w:val="110"/>
          <w:sz w:val="16"/>
        </w:rPr>
        <w:t> </w:t>
      </w:r>
      <w:r>
        <w:rPr>
          <w:color w:val="231F20"/>
          <w:w w:val="110"/>
          <w:sz w:val="16"/>
        </w:rPr>
        <w:t>que</w:t>
      </w:r>
      <w:r>
        <w:rPr>
          <w:color w:val="231F20"/>
          <w:spacing w:val="-7"/>
          <w:w w:val="110"/>
          <w:sz w:val="16"/>
        </w:rPr>
        <w:t> </w:t>
      </w:r>
      <w:r>
        <w:rPr>
          <w:color w:val="231F20"/>
          <w:w w:val="110"/>
          <w:sz w:val="16"/>
        </w:rPr>
        <w:t>pueden</w:t>
      </w:r>
      <w:r>
        <w:rPr>
          <w:color w:val="231F20"/>
          <w:spacing w:val="-7"/>
          <w:w w:val="110"/>
          <w:sz w:val="16"/>
        </w:rPr>
        <w:t> </w:t>
      </w:r>
      <w:r>
        <w:rPr>
          <w:color w:val="231F20"/>
          <w:w w:val="110"/>
          <w:sz w:val="16"/>
        </w:rPr>
        <w:t>incluir</w:t>
      </w:r>
      <w:r>
        <w:rPr>
          <w:color w:val="231F20"/>
          <w:spacing w:val="-7"/>
          <w:w w:val="110"/>
          <w:sz w:val="16"/>
        </w:rPr>
        <w:t> </w:t>
      </w:r>
      <w:r>
        <w:rPr>
          <w:color w:val="231F20"/>
          <w:w w:val="110"/>
          <w:sz w:val="16"/>
        </w:rPr>
        <w:t>también</w:t>
      </w:r>
      <w:r>
        <w:rPr>
          <w:color w:val="231F20"/>
          <w:spacing w:val="-7"/>
          <w:w w:val="110"/>
          <w:sz w:val="16"/>
        </w:rPr>
        <w:t> </w:t>
      </w:r>
      <w:r>
        <w:rPr>
          <w:color w:val="231F20"/>
          <w:w w:val="110"/>
          <w:sz w:val="16"/>
        </w:rPr>
        <w:t>trabajadores,</w:t>
      </w:r>
      <w:r>
        <w:rPr>
          <w:color w:val="231F20"/>
          <w:spacing w:val="-7"/>
          <w:w w:val="110"/>
          <w:sz w:val="16"/>
        </w:rPr>
        <w:t> </w:t>
      </w:r>
      <w:r>
        <w:rPr>
          <w:color w:val="231F20"/>
          <w:w w:val="110"/>
          <w:sz w:val="16"/>
        </w:rPr>
        <w:t>contratados</w:t>
      </w:r>
      <w:r>
        <w:rPr>
          <w:color w:val="231F20"/>
          <w:spacing w:val="-7"/>
          <w:w w:val="110"/>
          <w:sz w:val="16"/>
        </w:rPr>
        <w:t> </w:t>
      </w:r>
      <w:r>
        <w:rPr>
          <w:color w:val="231F20"/>
          <w:w w:val="110"/>
          <w:sz w:val="16"/>
        </w:rPr>
        <w:t>y</w:t>
      </w:r>
      <w:r>
        <w:rPr>
          <w:color w:val="231F20"/>
          <w:spacing w:val="-7"/>
          <w:w w:val="110"/>
          <w:sz w:val="16"/>
        </w:rPr>
        <w:t> </w:t>
      </w:r>
      <w:r>
        <w:rPr>
          <w:color w:val="231F20"/>
          <w:w w:val="110"/>
          <w:sz w:val="16"/>
        </w:rPr>
        <w:t>sirvientes; suele utilizarse en el estudio de los campesinos o de la producción en pequeña escala (Guyer, 1981,</w:t>
      </w:r>
      <w:r>
        <w:rPr>
          <w:color w:val="231F20"/>
          <w:spacing w:val="-11"/>
          <w:w w:val="110"/>
          <w:sz w:val="16"/>
        </w:rPr>
        <w:t> </w:t>
      </w:r>
      <w:r>
        <w:rPr>
          <w:color w:val="231F20"/>
          <w:w w:val="110"/>
          <w:sz w:val="16"/>
        </w:rPr>
        <w:t>citado</w:t>
      </w:r>
      <w:r>
        <w:rPr>
          <w:color w:val="231F20"/>
          <w:spacing w:val="-11"/>
          <w:w w:val="110"/>
          <w:sz w:val="16"/>
        </w:rPr>
        <w:t> </w:t>
      </w:r>
      <w:r>
        <w:rPr>
          <w:color w:val="231F20"/>
          <w:w w:val="110"/>
          <w:sz w:val="16"/>
        </w:rPr>
        <w:t>en</w:t>
      </w:r>
      <w:r>
        <w:rPr>
          <w:color w:val="231F20"/>
          <w:spacing w:val="-11"/>
          <w:w w:val="110"/>
          <w:sz w:val="16"/>
        </w:rPr>
        <w:t> </w:t>
      </w:r>
      <w:r>
        <w:rPr>
          <w:color w:val="231F20"/>
          <w:w w:val="110"/>
          <w:sz w:val="16"/>
        </w:rPr>
        <w:t>Barfield,</w:t>
      </w:r>
      <w:r>
        <w:rPr>
          <w:color w:val="231F20"/>
          <w:spacing w:val="-11"/>
          <w:w w:val="110"/>
          <w:sz w:val="16"/>
        </w:rPr>
        <w:t> </w:t>
      </w:r>
      <w:r>
        <w:rPr>
          <w:color w:val="231F20"/>
          <w:w w:val="110"/>
          <w:sz w:val="16"/>
        </w:rPr>
        <w:t>2000:</w:t>
      </w:r>
      <w:r>
        <w:rPr>
          <w:color w:val="231F20"/>
          <w:spacing w:val="-11"/>
          <w:w w:val="110"/>
          <w:sz w:val="16"/>
        </w:rPr>
        <w:t> </w:t>
      </w:r>
      <w:r>
        <w:rPr>
          <w:color w:val="231F20"/>
          <w:w w:val="110"/>
          <w:sz w:val="16"/>
        </w:rPr>
        <w:t>527).</w:t>
      </w:r>
    </w:p>
    <w:p>
      <w:pPr>
        <w:spacing w:line="256" w:lineRule="auto" w:before="0"/>
        <w:ind w:left="119" w:right="115" w:firstLine="360"/>
        <w:jc w:val="both"/>
        <w:rPr>
          <w:sz w:val="16"/>
        </w:rPr>
      </w:pPr>
      <w:r>
        <w:rPr>
          <w:color w:val="231F20"/>
          <w:w w:val="110"/>
          <w:position w:val="5"/>
          <w:sz w:val="9"/>
        </w:rPr>
        <w:t>24</w:t>
      </w:r>
      <w:r>
        <w:rPr>
          <w:color w:val="231F20"/>
          <w:spacing w:val="-5"/>
          <w:w w:val="110"/>
          <w:position w:val="5"/>
          <w:sz w:val="9"/>
        </w:rPr>
        <w:t> </w:t>
      </w:r>
      <w:r>
        <w:rPr>
          <w:color w:val="231F20"/>
          <w:w w:val="110"/>
          <w:sz w:val="16"/>
        </w:rPr>
        <w:t>Cultivos</w:t>
      </w:r>
      <w:r>
        <w:rPr>
          <w:color w:val="231F20"/>
          <w:spacing w:val="-3"/>
          <w:w w:val="110"/>
          <w:sz w:val="16"/>
        </w:rPr>
        <w:t> </w:t>
      </w:r>
      <w:r>
        <w:rPr>
          <w:color w:val="231F20"/>
          <w:w w:val="110"/>
          <w:sz w:val="16"/>
        </w:rPr>
        <w:t>que</w:t>
      </w:r>
      <w:r>
        <w:rPr>
          <w:color w:val="231F20"/>
          <w:spacing w:val="-3"/>
          <w:w w:val="110"/>
          <w:sz w:val="16"/>
        </w:rPr>
        <w:t> </w:t>
      </w:r>
      <w:r>
        <w:rPr>
          <w:color w:val="231F20"/>
          <w:w w:val="110"/>
          <w:sz w:val="16"/>
        </w:rPr>
        <w:t>se</w:t>
      </w:r>
      <w:r>
        <w:rPr>
          <w:color w:val="231F20"/>
          <w:spacing w:val="-3"/>
          <w:w w:val="110"/>
          <w:sz w:val="16"/>
        </w:rPr>
        <w:t> </w:t>
      </w:r>
      <w:r>
        <w:rPr>
          <w:color w:val="231F20"/>
          <w:w w:val="110"/>
          <w:sz w:val="16"/>
        </w:rPr>
        <w:t>dirigen</w:t>
      </w:r>
      <w:r>
        <w:rPr>
          <w:color w:val="231F20"/>
          <w:spacing w:val="-3"/>
          <w:w w:val="110"/>
          <w:sz w:val="16"/>
        </w:rPr>
        <w:t> </w:t>
      </w:r>
      <w:r>
        <w:rPr>
          <w:color w:val="231F20"/>
          <w:w w:val="110"/>
          <w:sz w:val="16"/>
        </w:rPr>
        <w:t>al</w:t>
      </w:r>
      <w:r>
        <w:rPr>
          <w:color w:val="231F20"/>
          <w:spacing w:val="-3"/>
          <w:w w:val="110"/>
          <w:sz w:val="16"/>
        </w:rPr>
        <w:t> </w:t>
      </w:r>
      <w:r>
        <w:rPr>
          <w:color w:val="231F20"/>
          <w:w w:val="110"/>
          <w:sz w:val="16"/>
        </w:rPr>
        <w:t>mercado,</w:t>
      </w:r>
      <w:r>
        <w:rPr>
          <w:color w:val="231F20"/>
          <w:spacing w:val="-3"/>
          <w:w w:val="110"/>
          <w:sz w:val="16"/>
        </w:rPr>
        <w:t> </w:t>
      </w:r>
      <w:r>
        <w:rPr>
          <w:color w:val="231F20"/>
          <w:w w:val="110"/>
          <w:sz w:val="16"/>
        </w:rPr>
        <w:t>independientemente</w:t>
      </w:r>
      <w:r>
        <w:rPr>
          <w:color w:val="231F20"/>
          <w:spacing w:val="-3"/>
          <w:w w:val="110"/>
          <w:sz w:val="16"/>
        </w:rPr>
        <w:t> </w:t>
      </w:r>
      <w:r>
        <w:rPr>
          <w:color w:val="231F20"/>
          <w:w w:val="110"/>
          <w:sz w:val="16"/>
        </w:rPr>
        <w:t>de</w:t>
      </w:r>
      <w:r>
        <w:rPr>
          <w:color w:val="231F20"/>
          <w:spacing w:val="-3"/>
          <w:w w:val="110"/>
          <w:sz w:val="16"/>
        </w:rPr>
        <w:t> </w:t>
      </w:r>
      <w:r>
        <w:rPr>
          <w:color w:val="231F20"/>
          <w:w w:val="110"/>
          <w:sz w:val="16"/>
        </w:rPr>
        <w:t>su</w:t>
      </w:r>
      <w:r>
        <w:rPr>
          <w:color w:val="231F20"/>
          <w:spacing w:val="-3"/>
          <w:w w:val="110"/>
          <w:sz w:val="16"/>
        </w:rPr>
        <w:t> </w:t>
      </w:r>
      <w:r>
        <w:rPr>
          <w:color w:val="231F20"/>
          <w:w w:val="110"/>
          <w:sz w:val="16"/>
        </w:rPr>
        <w:t>escala.</w:t>
      </w:r>
      <w:r>
        <w:rPr>
          <w:color w:val="231F20"/>
          <w:spacing w:val="-3"/>
          <w:w w:val="110"/>
          <w:sz w:val="16"/>
        </w:rPr>
        <w:t> </w:t>
      </w:r>
      <w:r>
        <w:rPr>
          <w:color w:val="231F20"/>
          <w:w w:val="110"/>
          <w:sz w:val="16"/>
        </w:rPr>
        <w:t>Para</w:t>
      </w:r>
      <w:r>
        <w:rPr>
          <w:color w:val="231F20"/>
          <w:spacing w:val="-3"/>
          <w:w w:val="110"/>
          <w:sz w:val="16"/>
        </w:rPr>
        <w:t> </w:t>
      </w:r>
      <w:r>
        <w:rPr>
          <w:color w:val="231F20"/>
          <w:w w:val="110"/>
          <w:sz w:val="16"/>
        </w:rPr>
        <w:t>profundizar en  la  </w:t>
      </w:r>
      <w:r>
        <w:rPr>
          <w:color w:val="231F20"/>
          <w:spacing w:val="2"/>
          <w:w w:val="110"/>
          <w:sz w:val="16"/>
        </w:rPr>
        <w:t>agricultura comercial, véase Alba González Jácome </w:t>
      </w:r>
      <w:r>
        <w:rPr>
          <w:color w:val="231F20"/>
          <w:w w:val="110"/>
          <w:sz w:val="16"/>
        </w:rPr>
        <w:t>y  </w:t>
      </w:r>
      <w:r>
        <w:rPr>
          <w:color w:val="231F20"/>
          <w:spacing w:val="3"/>
          <w:w w:val="110"/>
          <w:sz w:val="16"/>
        </w:rPr>
        <w:t>Laura </w:t>
      </w:r>
      <w:r>
        <w:rPr>
          <w:color w:val="231F20"/>
          <w:w w:val="110"/>
          <w:sz w:val="16"/>
        </w:rPr>
        <w:t>Reyes  </w:t>
      </w:r>
      <w:r>
        <w:rPr>
          <w:color w:val="231F20"/>
          <w:spacing w:val="2"/>
          <w:w w:val="110"/>
          <w:sz w:val="16"/>
        </w:rPr>
        <w:t>Montes    </w:t>
      </w:r>
      <w:r>
        <w:rPr>
          <w:color w:val="231F20"/>
          <w:spacing w:val="9"/>
          <w:w w:val="110"/>
          <w:sz w:val="16"/>
        </w:rPr>
        <w:t> </w:t>
      </w:r>
      <w:r>
        <w:rPr>
          <w:color w:val="231F20"/>
          <w:spacing w:val="2"/>
          <w:w w:val="110"/>
          <w:sz w:val="16"/>
        </w:rPr>
        <w:t>(2006),</w:t>
      </w:r>
    </w:p>
    <w:p>
      <w:pPr>
        <w:spacing w:after="0" w:line="256" w:lineRule="auto"/>
        <w:jc w:val="both"/>
        <w:rPr>
          <w:sz w:val="16"/>
        </w:rPr>
        <w:sectPr>
          <w:pgSz w:w="9520" w:h="12920"/>
          <w:pgMar w:header="0" w:footer="1344" w:top="880" w:bottom="1540" w:left="1000" w:right="1320"/>
        </w:sectPr>
      </w:pPr>
    </w:p>
    <w:p>
      <w:pPr>
        <w:pStyle w:val="BodyText"/>
        <w:spacing w:line="295" w:lineRule="auto" w:before="42"/>
        <w:ind w:left="124" w:right="113" w:firstLine="360"/>
        <w:jc w:val="both"/>
      </w:pPr>
      <w:r>
        <w:rPr>
          <w:color w:val="231F20"/>
          <w:w w:val="110"/>
        </w:rPr>
        <w:t>La</w:t>
      </w:r>
      <w:r>
        <w:rPr>
          <w:color w:val="231F20"/>
          <w:spacing w:val="-13"/>
          <w:w w:val="110"/>
        </w:rPr>
        <w:t> </w:t>
      </w:r>
      <w:r>
        <w:rPr>
          <w:color w:val="231F20"/>
          <w:w w:val="110"/>
        </w:rPr>
        <w:t>avena</w:t>
      </w:r>
      <w:r>
        <w:rPr>
          <w:color w:val="231F20"/>
          <w:spacing w:val="-14"/>
          <w:w w:val="110"/>
        </w:rPr>
        <w:t> </w:t>
      </w:r>
      <w:r>
        <w:rPr>
          <w:color w:val="231F20"/>
          <w:w w:val="110"/>
        </w:rPr>
        <w:t>se</w:t>
      </w:r>
      <w:r>
        <w:rPr>
          <w:color w:val="231F20"/>
          <w:spacing w:val="-14"/>
          <w:w w:val="110"/>
        </w:rPr>
        <w:t> </w:t>
      </w:r>
      <w:r>
        <w:rPr>
          <w:color w:val="231F20"/>
          <w:w w:val="110"/>
        </w:rPr>
        <w:t>cultiva</w:t>
      </w:r>
      <w:r>
        <w:rPr>
          <w:color w:val="231F20"/>
          <w:spacing w:val="-14"/>
          <w:w w:val="110"/>
        </w:rPr>
        <w:t> </w:t>
      </w:r>
      <w:r>
        <w:rPr>
          <w:color w:val="231F20"/>
          <w:w w:val="110"/>
        </w:rPr>
        <w:t>como</w:t>
      </w:r>
      <w:r>
        <w:rPr>
          <w:color w:val="231F20"/>
          <w:spacing w:val="-14"/>
          <w:w w:val="110"/>
        </w:rPr>
        <w:t> </w:t>
      </w:r>
      <w:r>
        <w:rPr>
          <w:color w:val="231F20"/>
          <w:w w:val="110"/>
        </w:rPr>
        <w:t>forraje</w:t>
      </w:r>
      <w:r>
        <w:rPr>
          <w:color w:val="231F20"/>
          <w:spacing w:val="-14"/>
          <w:w w:val="110"/>
        </w:rPr>
        <w:t> </w:t>
      </w:r>
      <w:r>
        <w:rPr>
          <w:color w:val="231F20"/>
          <w:w w:val="110"/>
        </w:rPr>
        <w:t>para</w:t>
      </w:r>
      <w:r>
        <w:rPr>
          <w:color w:val="231F20"/>
          <w:spacing w:val="-14"/>
          <w:w w:val="110"/>
        </w:rPr>
        <w:t> </w:t>
      </w:r>
      <w:r>
        <w:rPr>
          <w:color w:val="231F20"/>
          <w:w w:val="110"/>
        </w:rPr>
        <w:t>los</w:t>
      </w:r>
      <w:r>
        <w:rPr>
          <w:color w:val="231F20"/>
          <w:spacing w:val="-13"/>
          <w:w w:val="110"/>
        </w:rPr>
        <w:t> </w:t>
      </w:r>
      <w:r>
        <w:rPr>
          <w:color w:val="231F20"/>
          <w:w w:val="110"/>
        </w:rPr>
        <w:t>animales,</w:t>
      </w:r>
      <w:r>
        <w:rPr>
          <w:color w:val="231F20"/>
          <w:spacing w:val="-13"/>
          <w:w w:val="110"/>
        </w:rPr>
        <w:t> </w:t>
      </w:r>
      <w:r>
        <w:rPr>
          <w:color w:val="231F20"/>
          <w:w w:val="110"/>
        </w:rPr>
        <w:t>el</w:t>
      </w:r>
      <w:r>
        <w:rPr>
          <w:color w:val="231F20"/>
          <w:spacing w:val="-13"/>
          <w:w w:val="110"/>
        </w:rPr>
        <w:t> </w:t>
      </w:r>
      <w:r>
        <w:rPr>
          <w:color w:val="231F20"/>
          <w:w w:val="110"/>
        </w:rPr>
        <w:t>maíz</w:t>
      </w:r>
      <w:r>
        <w:rPr>
          <w:color w:val="231F20"/>
          <w:spacing w:val="-13"/>
          <w:w w:val="110"/>
        </w:rPr>
        <w:t> </w:t>
      </w:r>
      <w:r>
        <w:rPr>
          <w:color w:val="231F20"/>
          <w:w w:val="110"/>
        </w:rPr>
        <w:t>en</w:t>
      </w:r>
      <w:r>
        <w:rPr>
          <w:color w:val="231F20"/>
          <w:spacing w:val="-13"/>
          <w:w w:val="110"/>
        </w:rPr>
        <w:t> </w:t>
      </w:r>
      <w:r>
        <w:rPr>
          <w:color w:val="231F20"/>
          <w:w w:val="110"/>
        </w:rPr>
        <w:t>ocasiones, también</w:t>
      </w:r>
      <w:r>
        <w:rPr>
          <w:color w:val="231F20"/>
          <w:spacing w:val="-22"/>
          <w:w w:val="110"/>
        </w:rPr>
        <w:t> </w:t>
      </w:r>
      <w:r>
        <w:rPr>
          <w:color w:val="231F20"/>
          <w:w w:val="110"/>
        </w:rPr>
        <w:t>se</w:t>
      </w:r>
      <w:r>
        <w:rPr>
          <w:color w:val="231F20"/>
          <w:spacing w:val="-22"/>
          <w:w w:val="110"/>
        </w:rPr>
        <w:t> </w:t>
      </w:r>
      <w:r>
        <w:rPr>
          <w:color w:val="231F20"/>
          <w:w w:val="110"/>
        </w:rPr>
        <w:t>destina</w:t>
      </w:r>
      <w:r>
        <w:rPr>
          <w:color w:val="231F20"/>
          <w:spacing w:val="-22"/>
          <w:w w:val="110"/>
        </w:rPr>
        <w:t> </w:t>
      </w:r>
      <w:r>
        <w:rPr>
          <w:color w:val="231F20"/>
          <w:w w:val="110"/>
        </w:rPr>
        <w:t>para</w:t>
      </w:r>
      <w:r>
        <w:rPr>
          <w:color w:val="231F20"/>
          <w:spacing w:val="-22"/>
          <w:w w:val="110"/>
        </w:rPr>
        <w:t> </w:t>
      </w:r>
      <w:r>
        <w:rPr>
          <w:color w:val="231F20"/>
          <w:w w:val="110"/>
        </w:rPr>
        <w:t>elaborar</w:t>
      </w:r>
      <w:r>
        <w:rPr>
          <w:color w:val="231F20"/>
          <w:spacing w:val="-22"/>
          <w:w w:val="110"/>
        </w:rPr>
        <w:t> </w:t>
      </w:r>
      <w:r>
        <w:rPr>
          <w:color w:val="231F20"/>
          <w:w w:val="110"/>
        </w:rPr>
        <w:t>productos</w:t>
      </w:r>
      <w:r>
        <w:rPr>
          <w:color w:val="231F20"/>
          <w:spacing w:val="-22"/>
          <w:w w:val="110"/>
        </w:rPr>
        <w:t> </w:t>
      </w:r>
      <w:r>
        <w:rPr>
          <w:color w:val="231F20"/>
          <w:w w:val="110"/>
        </w:rPr>
        <w:t>alimenticios</w:t>
      </w:r>
      <w:r>
        <w:rPr>
          <w:color w:val="231F20"/>
          <w:spacing w:val="-22"/>
          <w:w w:val="110"/>
        </w:rPr>
        <w:t> </w:t>
      </w:r>
      <w:r>
        <w:rPr>
          <w:color w:val="231F20"/>
          <w:w w:val="110"/>
        </w:rPr>
        <w:t>(tortillas,</w:t>
      </w:r>
      <w:r>
        <w:rPr>
          <w:color w:val="231F20"/>
          <w:spacing w:val="-22"/>
          <w:w w:val="110"/>
        </w:rPr>
        <w:t> </w:t>
      </w:r>
      <w:r>
        <w:rPr>
          <w:color w:val="231F20"/>
          <w:w w:val="110"/>
        </w:rPr>
        <w:t>tamales</w:t>
      </w:r>
      <w:r>
        <w:rPr>
          <w:color w:val="231F20"/>
          <w:spacing w:val="-22"/>
          <w:w w:val="110"/>
        </w:rPr>
        <w:t> </w:t>
      </w:r>
      <w:r>
        <w:rPr>
          <w:color w:val="231F20"/>
          <w:w w:val="110"/>
        </w:rPr>
        <w:t>o elotes </w:t>
      </w:r>
      <w:r>
        <w:rPr>
          <w:color w:val="231F20"/>
          <w:spacing w:val="2"/>
          <w:w w:val="110"/>
        </w:rPr>
        <w:t>hervidos) </w:t>
      </w:r>
      <w:r>
        <w:rPr>
          <w:color w:val="231F20"/>
          <w:w w:val="110"/>
        </w:rPr>
        <w:t>y venderlos en los mercados de Ixtlahuaca, Jocotitlán, Atlacomulco y </w:t>
      </w:r>
      <w:r>
        <w:rPr>
          <w:color w:val="231F20"/>
          <w:spacing w:val="-3"/>
          <w:w w:val="110"/>
        </w:rPr>
        <w:t>Toluca. </w:t>
      </w:r>
      <w:r>
        <w:rPr>
          <w:color w:val="231F20"/>
          <w:w w:val="110"/>
        </w:rPr>
        <w:t>La preparación y venta de estos productos la reali- zan las mujeres, así como la cría de ganado ovino y otros animales domés- ticos, como gallinas, guajolotes, conejos y </w:t>
      </w:r>
      <w:r>
        <w:rPr>
          <w:color w:val="231F20"/>
          <w:spacing w:val="34"/>
          <w:w w:val="110"/>
        </w:rPr>
        <w:t> </w:t>
      </w:r>
      <w:r>
        <w:rPr>
          <w:color w:val="231F20"/>
          <w:w w:val="110"/>
        </w:rPr>
        <w:t>palomas.</w:t>
      </w:r>
    </w:p>
    <w:p>
      <w:pPr>
        <w:pStyle w:val="BodyText"/>
        <w:spacing w:line="295" w:lineRule="auto"/>
        <w:ind w:left="124" w:right="112" w:firstLine="360"/>
        <w:jc w:val="both"/>
      </w:pPr>
      <w:r>
        <w:rPr>
          <w:color w:val="231F20"/>
          <w:w w:val="110"/>
        </w:rPr>
        <w:t>Durante las entrevistas con mujeres la mayoría dijo dedicarse “al ho- gar” sin aclarar que además de la preparación de los alimentos y quehace- res domésticos crían animales domésticos y ayudan también de manera directa y constante a las actividades agrícolas (siembra, desyerbe</w:t>
      </w:r>
      <w:r>
        <w:rPr>
          <w:color w:val="231F20"/>
          <w:w w:val="110"/>
          <w:position w:val="6"/>
          <w:sz w:val="11"/>
        </w:rPr>
        <w:t>25 </w:t>
      </w:r>
      <w:r>
        <w:rPr>
          <w:color w:val="231F20"/>
          <w:w w:val="110"/>
        </w:rPr>
        <w:t>y cose- cha). El trabajo que realizan las mujeres, no es remunerado, “pero es uno de los trabajos por cuenta propia que se vuelve fundamental e importante para la subsistencia y adaptación de la familia ante los problemas econó- micos y políticos del país” (Reyes, 2009: 231).</w:t>
      </w:r>
    </w:p>
    <w:p>
      <w:pPr>
        <w:pStyle w:val="BodyText"/>
        <w:spacing w:line="295" w:lineRule="auto"/>
        <w:ind w:left="124" w:right="114" w:firstLine="360"/>
        <w:jc w:val="both"/>
      </w:pPr>
      <w:r>
        <w:rPr>
          <w:color w:val="231F20"/>
          <w:w w:val="110"/>
        </w:rPr>
        <w:t>La</w:t>
      </w:r>
      <w:r>
        <w:rPr>
          <w:color w:val="231F20"/>
          <w:spacing w:val="-21"/>
          <w:w w:val="110"/>
        </w:rPr>
        <w:t> </w:t>
      </w:r>
      <w:r>
        <w:rPr>
          <w:color w:val="231F20"/>
          <w:w w:val="110"/>
        </w:rPr>
        <w:t>característica</w:t>
      </w:r>
      <w:r>
        <w:rPr>
          <w:color w:val="231F20"/>
          <w:spacing w:val="-21"/>
          <w:w w:val="110"/>
        </w:rPr>
        <w:t> </w:t>
      </w:r>
      <w:r>
        <w:rPr>
          <w:color w:val="231F20"/>
          <w:w w:val="110"/>
        </w:rPr>
        <w:t>principal</w:t>
      </w:r>
      <w:r>
        <w:rPr>
          <w:color w:val="231F20"/>
          <w:spacing w:val="-21"/>
          <w:w w:val="110"/>
        </w:rPr>
        <w:t> </w:t>
      </w:r>
      <w:r>
        <w:rPr>
          <w:color w:val="231F20"/>
          <w:w w:val="110"/>
        </w:rPr>
        <w:t>de</w:t>
      </w:r>
      <w:r>
        <w:rPr>
          <w:color w:val="231F20"/>
          <w:spacing w:val="-21"/>
          <w:w w:val="110"/>
        </w:rPr>
        <w:t> </w:t>
      </w:r>
      <w:r>
        <w:rPr>
          <w:color w:val="231F20"/>
          <w:w w:val="110"/>
        </w:rPr>
        <w:t>la</w:t>
      </w:r>
      <w:r>
        <w:rPr>
          <w:color w:val="231F20"/>
          <w:spacing w:val="-21"/>
          <w:w w:val="110"/>
        </w:rPr>
        <w:t> </w:t>
      </w:r>
      <w:r>
        <w:rPr>
          <w:color w:val="231F20"/>
          <w:w w:val="110"/>
        </w:rPr>
        <w:t>familia</w:t>
      </w:r>
      <w:r>
        <w:rPr>
          <w:color w:val="231F20"/>
          <w:spacing w:val="-21"/>
          <w:w w:val="110"/>
        </w:rPr>
        <w:t> </w:t>
      </w:r>
      <w:r>
        <w:rPr>
          <w:color w:val="231F20"/>
          <w:w w:val="110"/>
        </w:rPr>
        <w:t>campesina</w:t>
      </w:r>
      <w:r>
        <w:rPr>
          <w:color w:val="231F20"/>
          <w:spacing w:val="-21"/>
          <w:w w:val="110"/>
        </w:rPr>
        <w:t> </w:t>
      </w:r>
      <w:r>
        <w:rPr>
          <w:color w:val="231F20"/>
          <w:w w:val="110"/>
        </w:rPr>
        <w:t>del</w:t>
      </w:r>
      <w:r>
        <w:rPr>
          <w:color w:val="231F20"/>
          <w:spacing w:val="-21"/>
          <w:w w:val="110"/>
        </w:rPr>
        <w:t> </w:t>
      </w:r>
      <w:r>
        <w:rPr>
          <w:color w:val="231F20"/>
          <w:spacing w:val="-6"/>
          <w:w w:val="110"/>
        </w:rPr>
        <w:t>Valle</w:t>
      </w:r>
      <w:r>
        <w:rPr>
          <w:color w:val="231F20"/>
          <w:spacing w:val="-21"/>
          <w:w w:val="110"/>
        </w:rPr>
        <w:t> </w:t>
      </w:r>
      <w:r>
        <w:rPr>
          <w:color w:val="231F20"/>
          <w:w w:val="110"/>
        </w:rPr>
        <w:t>de</w:t>
      </w:r>
      <w:r>
        <w:rPr>
          <w:color w:val="231F20"/>
          <w:spacing w:val="-21"/>
          <w:w w:val="110"/>
        </w:rPr>
        <w:t> </w:t>
      </w:r>
      <w:r>
        <w:rPr>
          <w:color w:val="231F20"/>
          <w:w w:val="110"/>
        </w:rPr>
        <w:t>Ixtlahuaca es</w:t>
      </w:r>
      <w:r>
        <w:rPr>
          <w:color w:val="231F20"/>
          <w:spacing w:val="-9"/>
          <w:w w:val="110"/>
        </w:rPr>
        <w:t> </w:t>
      </w:r>
      <w:r>
        <w:rPr>
          <w:color w:val="231F20"/>
          <w:w w:val="110"/>
        </w:rPr>
        <w:t>su</w:t>
      </w:r>
      <w:r>
        <w:rPr>
          <w:color w:val="231F20"/>
          <w:spacing w:val="-9"/>
          <w:w w:val="110"/>
        </w:rPr>
        <w:t> </w:t>
      </w:r>
      <w:r>
        <w:rPr>
          <w:color w:val="231F20"/>
          <w:spacing w:val="-3"/>
          <w:w w:val="110"/>
        </w:rPr>
        <w:t>organización</w:t>
      </w:r>
      <w:r>
        <w:rPr>
          <w:color w:val="231F20"/>
          <w:spacing w:val="-9"/>
          <w:w w:val="110"/>
        </w:rPr>
        <w:t> </w:t>
      </w:r>
      <w:r>
        <w:rPr>
          <w:color w:val="231F20"/>
          <w:w w:val="110"/>
        </w:rPr>
        <w:t>social,</w:t>
      </w:r>
      <w:r>
        <w:rPr>
          <w:color w:val="231F20"/>
          <w:spacing w:val="-9"/>
          <w:w w:val="110"/>
        </w:rPr>
        <w:t> </w:t>
      </w:r>
      <w:r>
        <w:rPr>
          <w:color w:val="231F20"/>
          <w:w w:val="110"/>
        </w:rPr>
        <w:t>basada</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actividad</w:t>
      </w:r>
      <w:r>
        <w:rPr>
          <w:color w:val="231F20"/>
          <w:spacing w:val="-9"/>
          <w:w w:val="110"/>
        </w:rPr>
        <w:t> </w:t>
      </w:r>
      <w:r>
        <w:rPr>
          <w:color w:val="231F20"/>
          <w:w w:val="110"/>
        </w:rPr>
        <w:t>agrícola,</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que</w:t>
      </w:r>
      <w:r>
        <w:rPr>
          <w:color w:val="231F20"/>
          <w:spacing w:val="-9"/>
          <w:w w:val="110"/>
        </w:rPr>
        <w:t> </w:t>
      </w:r>
      <w:r>
        <w:rPr>
          <w:color w:val="231F20"/>
          <w:w w:val="110"/>
        </w:rPr>
        <w:t>todos</w:t>
      </w:r>
      <w:r>
        <w:rPr>
          <w:color w:val="231F20"/>
          <w:spacing w:val="-9"/>
          <w:w w:val="110"/>
        </w:rPr>
        <w:t> </w:t>
      </w:r>
      <w:r>
        <w:rPr>
          <w:color w:val="231F20"/>
          <w:w w:val="110"/>
        </w:rPr>
        <w:t>los miembros de la familia participan de manera directa en el trabajo</w:t>
      </w:r>
      <w:r>
        <w:rPr>
          <w:color w:val="231F20"/>
          <w:spacing w:val="-21"/>
          <w:w w:val="110"/>
        </w:rPr>
        <w:t> </w:t>
      </w:r>
      <w:r>
        <w:rPr>
          <w:color w:val="231F20"/>
          <w:w w:val="110"/>
        </w:rPr>
        <w:t>agrícola. </w:t>
      </w:r>
      <w:r>
        <w:rPr>
          <w:color w:val="231F20"/>
          <w:spacing w:val="-3"/>
          <w:w w:val="110"/>
        </w:rPr>
        <w:t>Así,</w:t>
      </w:r>
      <w:r>
        <w:rPr>
          <w:color w:val="231F20"/>
          <w:spacing w:val="-8"/>
          <w:w w:val="110"/>
        </w:rPr>
        <w:t> </w:t>
      </w:r>
      <w:r>
        <w:rPr>
          <w:color w:val="231F20"/>
          <w:w w:val="110"/>
        </w:rPr>
        <w:t>en</w:t>
      </w:r>
      <w:r>
        <w:rPr>
          <w:color w:val="231F20"/>
          <w:spacing w:val="-8"/>
          <w:w w:val="110"/>
        </w:rPr>
        <w:t> </w:t>
      </w:r>
      <w:r>
        <w:rPr>
          <w:color w:val="231F20"/>
          <w:spacing w:val="-4"/>
          <w:w w:val="110"/>
        </w:rPr>
        <w:t>época</w:t>
      </w:r>
      <w:r>
        <w:rPr>
          <w:color w:val="231F20"/>
          <w:spacing w:val="-8"/>
          <w:w w:val="110"/>
        </w:rPr>
        <w:t> </w:t>
      </w:r>
      <w:r>
        <w:rPr>
          <w:color w:val="231F20"/>
          <w:w w:val="110"/>
        </w:rPr>
        <w:t>de</w:t>
      </w:r>
      <w:r>
        <w:rPr>
          <w:color w:val="231F20"/>
          <w:spacing w:val="-8"/>
          <w:w w:val="110"/>
        </w:rPr>
        <w:t> </w:t>
      </w:r>
      <w:r>
        <w:rPr>
          <w:color w:val="231F20"/>
          <w:spacing w:val="-4"/>
          <w:w w:val="110"/>
        </w:rPr>
        <w:t>siembra</w:t>
      </w:r>
      <w:r>
        <w:rPr>
          <w:color w:val="231F20"/>
          <w:spacing w:val="-8"/>
          <w:w w:val="110"/>
        </w:rPr>
        <w:t> </w:t>
      </w:r>
      <w:r>
        <w:rPr>
          <w:color w:val="231F20"/>
          <w:w w:val="110"/>
        </w:rPr>
        <w:t>y</w:t>
      </w:r>
      <w:r>
        <w:rPr>
          <w:color w:val="231F20"/>
          <w:spacing w:val="-8"/>
          <w:w w:val="110"/>
        </w:rPr>
        <w:t> </w:t>
      </w:r>
      <w:r>
        <w:rPr>
          <w:color w:val="231F20"/>
          <w:spacing w:val="-4"/>
          <w:w w:val="110"/>
        </w:rPr>
        <w:t>cosecha,</w:t>
      </w:r>
      <w:r>
        <w:rPr>
          <w:color w:val="231F20"/>
          <w:spacing w:val="-8"/>
          <w:w w:val="110"/>
        </w:rPr>
        <w:t> </w:t>
      </w:r>
      <w:r>
        <w:rPr>
          <w:color w:val="231F20"/>
          <w:spacing w:val="-4"/>
          <w:w w:val="110"/>
        </w:rPr>
        <w:t>todos</w:t>
      </w:r>
      <w:r>
        <w:rPr>
          <w:color w:val="231F20"/>
          <w:spacing w:val="-8"/>
          <w:w w:val="110"/>
        </w:rPr>
        <w:t> </w:t>
      </w:r>
      <w:r>
        <w:rPr>
          <w:color w:val="231F20"/>
          <w:spacing w:val="-3"/>
          <w:w w:val="110"/>
        </w:rPr>
        <w:t>los</w:t>
      </w:r>
      <w:r>
        <w:rPr>
          <w:color w:val="231F20"/>
          <w:spacing w:val="-8"/>
          <w:w w:val="110"/>
        </w:rPr>
        <w:t> </w:t>
      </w:r>
      <w:r>
        <w:rPr>
          <w:color w:val="231F20"/>
          <w:spacing w:val="-4"/>
          <w:w w:val="110"/>
        </w:rPr>
        <w:t>integrantes</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spacing w:val="-4"/>
          <w:w w:val="110"/>
        </w:rPr>
        <w:t>familia</w:t>
      </w:r>
      <w:r>
        <w:rPr>
          <w:color w:val="231F20"/>
          <w:spacing w:val="-8"/>
          <w:w w:val="110"/>
        </w:rPr>
        <w:t> </w:t>
      </w:r>
      <w:r>
        <w:rPr>
          <w:color w:val="231F20"/>
          <w:spacing w:val="-4"/>
          <w:w w:val="110"/>
        </w:rPr>
        <w:t>—hom- </w:t>
      </w:r>
      <w:r>
        <w:rPr>
          <w:color w:val="231F20"/>
          <w:w w:val="110"/>
        </w:rPr>
        <w:t>bres, mujeres, ancianos y niños— participan en las actividades agrícolas, </w:t>
      </w:r>
      <w:r>
        <w:rPr>
          <w:color w:val="231F20"/>
          <w:spacing w:val="-4"/>
          <w:w w:val="110"/>
        </w:rPr>
        <w:t>independientemente </w:t>
      </w:r>
      <w:r>
        <w:rPr>
          <w:color w:val="231F20"/>
          <w:w w:val="110"/>
        </w:rPr>
        <w:t>de si </w:t>
      </w:r>
      <w:r>
        <w:rPr>
          <w:color w:val="231F20"/>
          <w:spacing w:val="-4"/>
          <w:w w:val="110"/>
        </w:rPr>
        <w:t>algunos </w:t>
      </w:r>
      <w:r>
        <w:rPr>
          <w:color w:val="231F20"/>
          <w:w w:val="110"/>
        </w:rPr>
        <w:t>de </w:t>
      </w:r>
      <w:r>
        <w:rPr>
          <w:color w:val="231F20"/>
          <w:spacing w:val="-4"/>
          <w:w w:val="110"/>
        </w:rPr>
        <w:t>ellos estudian </w:t>
      </w:r>
      <w:r>
        <w:rPr>
          <w:color w:val="231F20"/>
          <w:w w:val="110"/>
        </w:rPr>
        <w:t>o </w:t>
      </w:r>
      <w:r>
        <w:rPr>
          <w:color w:val="231F20"/>
          <w:spacing w:val="-4"/>
          <w:w w:val="110"/>
        </w:rPr>
        <w:t>trabajan </w:t>
      </w:r>
      <w:r>
        <w:rPr>
          <w:color w:val="231F20"/>
          <w:spacing w:val="-3"/>
          <w:w w:val="110"/>
        </w:rPr>
        <w:t>como </w:t>
      </w:r>
      <w:r>
        <w:rPr>
          <w:color w:val="231F20"/>
          <w:spacing w:val="-4"/>
          <w:w w:val="110"/>
        </w:rPr>
        <w:t>obreros </w:t>
      </w:r>
      <w:r>
        <w:rPr>
          <w:color w:val="231F20"/>
          <w:w w:val="110"/>
        </w:rPr>
        <w:t>en las fábricas, como albañiles en las obras de construcción, como chofe- res u otros</w:t>
      </w:r>
      <w:r>
        <w:rPr>
          <w:color w:val="231F20"/>
          <w:spacing w:val="31"/>
          <w:w w:val="110"/>
        </w:rPr>
        <w:t> </w:t>
      </w:r>
      <w:r>
        <w:rPr>
          <w:color w:val="231F20"/>
          <w:w w:val="110"/>
        </w:rPr>
        <w:t>oficios.</w:t>
      </w:r>
    </w:p>
    <w:p>
      <w:pPr>
        <w:pStyle w:val="BodyText"/>
        <w:spacing w:line="295" w:lineRule="auto"/>
        <w:ind w:left="124" w:right="112" w:firstLine="360"/>
        <w:jc w:val="both"/>
      </w:pPr>
      <w:r>
        <w:rPr>
          <w:color w:val="231F20"/>
          <w:w w:val="110"/>
        </w:rPr>
        <w:t>En la gráfica 2 se muestran los resultados de 19 genealogías y se ob- serva que, en cada familia, por lo menos uno de los integrantes vende su fuerza de trabajo, ya sea como obrero en la unidad industrial Pastejé o como empleado en otras empresas de la región, de Toluca o de la Ciudad de México, lo cual supone un ingreso extra para los diversos gastos fami- liares, incluidos los insumos para el cultivo del  maíz.</w:t>
      </w:r>
    </w:p>
    <w:p>
      <w:pPr>
        <w:pStyle w:val="BodyText"/>
        <w:spacing w:line="295" w:lineRule="auto"/>
        <w:ind w:left="124" w:right="113" w:firstLine="360"/>
        <w:jc w:val="both"/>
      </w:pPr>
      <w:r>
        <w:rPr>
          <w:color w:val="231F20"/>
          <w:w w:val="105"/>
        </w:rPr>
        <w:t>Asimismo, la gráfica 2 representa cómo todos los integrantes de las familias campesinas participan en las labores agrícolas, independiente- mente de que algunos vendan su fuerza de trabajo.</w:t>
      </w:r>
    </w:p>
    <w:p>
      <w:pPr>
        <w:pStyle w:val="BodyText"/>
        <w:spacing w:before="7"/>
        <w:rPr>
          <w:sz w:val="22"/>
        </w:rPr>
      </w:pPr>
      <w:r>
        <w:rPr/>
        <w:pict>
          <v:line style="position:absolute;mso-position-horizontal-relative:page;mso-position-vertical-relative:paragraph;z-index:3304;mso-wrap-distance-left:0;mso-wrap-distance-right:0" from="72.220001pt,15.440992pt" to="108.220001pt,15.440992pt" stroked="true" strokeweight=".4pt" strokecolor="#231f20">
            <w10:wrap type="topAndBottom"/>
          </v:line>
        </w:pict>
      </w:r>
    </w:p>
    <w:p>
      <w:pPr>
        <w:spacing w:line="256" w:lineRule="auto" w:before="95"/>
        <w:ind w:left="124" w:right="0" w:firstLine="0"/>
        <w:jc w:val="left"/>
        <w:rPr>
          <w:sz w:val="16"/>
        </w:rPr>
      </w:pPr>
      <w:r>
        <w:rPr>
          <w:color w:val="231F20"/>
          <w:w w:val="110"/>
          <w:sz w:val="16"/>
        </w:rPr>
        <w:t>“ La agricultura comercial una adaptación sociocultural en Santiago Yeché”, en </w:t>
      </w:r>
      <w:r>
        <w:rPr>
          <w:i/>
          <w:color w:val="231F20"/>
          <w:w w:val="110"/>
          <w:sz w:val="16"/>
        </w:rPr>
        <w:t>Anales de </w:t>
      </w:r>
      <w:r>
        <w:rPr>
          <w:i/>
          <w:color w:val="231F20"/>
          <w:w w:val="110"/>
          <w:sz w:val="16"/>
        </w:rPr>
        <w:t>Antropología</w:t>
      </w:r>
      <w:r>
        <w:rPr>
          <w:color w:val="231F20"/>
          <w:w w:val="110"/>
          <w:sz w:val="16"/>
        </w:rPr>
        <w:t>, México, Instituto de Investigaciones antropológicas, </w:t>
      </w:r>
      <w:r>
        <w:rPr>
          <w:rFonts w:ascii="Times New Roman" w:hAnsi="Times New Roman"/>
          <w:color w:val="231F20"/>
          <w:w w:val="110"/>
          <w:sz w:val="13"/>
        </w:rPr>
        <w:t>UNAM</w:t>
      </w:r>
      <w:r>
        <w:rPr>
          <w:color w:val="231F20"/>
          <w:w w:val="110"/>
          <w:sz w:val="16"/>
        </w:rPr>
        <w:t>.</w:t>
      </w:r>
    </w:p>
    <w:p>
      <w:pPr>
        <w:spacing w:line="256" w:lineRule="auto" w:before="0"/>
        <w:ind w:left="124" w:right="0" w:firstLine="360"/>
        <w:jc w:val="left"/>
        <w:rPr>
          <w:sz w:val="16"/>
        </w:rPr>
      </w:pPr>
      <w:r>
        <w:rPr>
          <w:color w:val="231F20"/>
          <w:w w:val="110"/>
          <w:position w:val="5"/>
          <w:sz w:val="9"/>
        </w:rPr>
        <w:t>25 </w:t>
      </w:r>
      <w:r>
        <w:rPr>
          <w:color w:val="231F20"/>
          <w:w w:val="110"/>
          <w:sz w:val="16"/>
        </w:rPr>
        <w:t>Quitar con las manos la hierba que crece junto a la planta del maíz y que impide su crecimiento.</w:t>
      </w:r>
    </w:p>
    <w:p>
      <w:pPr>
        <w:spacing w:after="0" w:line="256" w:lineRule="auto"/>
        <w:jc w:val="left"/>
        <w:rPr>
          <w:sz w:val="16"/>
        </w:rPr>
        <w:sectPr>
          <w:pgSz w:w="9520" w:h="12920"/>
          <w:pgMar w:header="0" w:footer="1344" w:top="880" w:bottom="1540" w:left="1320" w:right="1000"/>
        </w:sectPr>
      </w:pPr>
    </w:p>
    <w:p>
      <w:pPr>
        <w:spacing w:line="185" w:lineRule="exact" w:before="65"/>
        <w:ind w:left="1389" w:right="1407" w:firstLine="0"/>
        <w:jc w:val="center"/>
        <w:rPr>
          <w:sz w:val="16"/>
        </w:rPr>
      </w:pPr>
      <w:r>
        <w:rPr>
          <w:color w:val="231F20"/>
          <w:w w:val="105"/>
          <w:sz w:val="16"/>
        </w:rPr>
        <w:t>Gráfica 2</w:t>
      </w:r>
    </w:p>
    <w:p>
      <w:pPr>
        <w:spacing w:line="220" w:lineRule="exact" w:before="0"/>
        <w:ind w:left="1389" w:right="1407" w:firstLine="0"/>
        <w:jc w:val="center"/>
        <w:rPr>
          <w:sz w:val="19"/>
        </w:rPr>
      </w:pPr>
      <w:r>
        <w:rPr>
          <w:color w:val="231F20"/>
          <w:w w:val="90"/>
          <w:sz w:val="19"/>
        </w:rPr>
        <w:t>Fuerza de trabajo familiar en las actividades</w:t>
      </w:r>
    </w:p>
    <w:p>
      <w:pPr>
        <w:pStyle w:val="BodyText"/>
        <w:rPr>
          <w:sz w:val="14"/>
        </w:rPr>
      </w:pPr>
    </w:p>
    <w:p>
      <w:pPr>
        <w:spacing w:before="83"/>
        <w:ind w:left="1272" w:right="0" w:firstLine="0"/>
        <w:jc w:val="left"/>
        <w:rPr>
          <w:sz w:val="12"/>
        </w:rPr>
      </w:pPr>
      <w:r>
        <w:rPr/>
        <w:pict>
          <v:group style="position:absolute;margin-left:120.714897pt;margin-top:7.619743pt;width:210.95pt;height:193.05pt;mso-position-horizontal-relative:page;mso-position-vertical-relative:paragraph;z-index:-455560" coordorigin="2414,152" coordsize="4219,3861">
            <v:shape style="position:absolute;left:2417;top:1771;width:3989;height:2239" coordorigin="2417,1771" coordsize="3989,2239" path="m2719,3933l2719,4008m2947,3933l2947,4008m3177,3933l3177,4008m3405,3933l3405,4008m3642,3933l3642,4008m3870,3933l3870,4008m4100,3933l4100,4008m4328,3933l4328,4008m4559,3933l4559,4009m4787,3933l4787,4008m5022,3934l5022,4009m5251,3932l5251,4008m5481,3932l5481,4008m5709,3933l5709,4009m5939,3932l5939,4008m6167,3932l6167,4008m6405,3932l6405,4008m2489,1771l2417,1771e" filled="false" stroked="true" strokeweight=".295pt" strokecolor="#231f20">
              <v:path arrowok="t"/>
            </v:shape>
            <v:line style="position:absolute" from="6336,1856" to="6438,1856" stroked="true" strokeweight="3.679pt" strokecolor="#a7a9ac"/>
            <v:shape style="position:absolute;left:2489;top:1770;width:4141;height:2163" coordorigin="2489,1770" coordsize="4141,2163" path="m2489,2312l2489,3933,6630,3933,6630,3394,5597,3394,5595,3394,2948,3394,2722,2854,2489,2312xm6405,2314l6171,3394,6630,3394,6630,2841,6405,2314xm3178,1770l2948,3394,5595,3394,5582,3385,4560,3385,4502,3258,4385,3121,3985,3121,3268,2442,3178,1770xm4788,2856l4560,3385,5582,3385,4788,2856xm4158,2854l4096,2854,3985,3121,4385,3121,4158,2854xe" filled="true" fillcolor="#6d6e71" stroked="false">
              <v:path arrowok="t"/>
              <v:fill type="solid"/>
            </v:shape>
            <v:shape style="position:absolute;left:2417;top:693;width:73;height:542" coordorigin="2417,693" coordsize="73,542" path="m2489,693l2417,693m2489,1235l2417,1235e" filled="false" stroked="true" strokeweight=".295pt" strokecolor="#231f20">
              <v:path arrowok="t"/>
            </v:shape>
            <v:line style="position:absolute" from="6336,1444" to="6438,1444" stroked="true" strokeweight="3.679pt" strokecolor="#6d6e71"/>
            <v:shape style="position:absolute;left:2489;top:695;width:4141;height:3238" coordorigin="2489,695" coordsize="4141,3238" path="m2722,2855l2489,3395,2489,3933,6630,3933,6630,3932,4559,3932,4513,3395,4101,3395,4101,3394,2948,3394,2722,2855xm5253,1237l5025,2312,4788,2856,4559,3932,5709,3932,5475,2812,5253,1237xm5940,2854l5709,3932,6167,3932,5940,2854xm6630,3395l6405,3932,6630,3932,6630,3395xm4329,1237l4101,3395,4513,3395,4329,1237xm3643,695l3180,2854,2948,3394,4101,3394,3870,2852,3643,695xe" filled="true" fillcolor="#a7a9ac" stroked="false">
              <v:path arrowok="t"/>
              <v:fill type="solid"/>
            </v:shape>
            <v:shape style="position:absolute;left:2417;top:155;width:4213;height:3853" coordorigin="2417,155" coordsize="4213,3853" path="m2417,3933l6630,3933,6630,4008m2489,4008l2489,155,2417,155m2490,2312l2418,2312m2489,2855l2417,2855m2490,3394l2418,3394e" filled="false" stroked="true" strokeweight=".295pt" strokecolor="#231f20">
              <v:path arrowok="t"/>
            </v:shape>
            <w10:wrap type="none"/>
          </v:group>
        </w:pict>
      </w:r>
      <w:r>
        <w:rPr>
          <w:color w:val="231F20"/>
          <w:w w:val="102"/>
          <w:sz w:val="12"/>
        </w:rPr>
        <w:t>7</w:t>
      </w:r>
    </w:p>
    <w:p>
      <w:pPr>
        <w:pStyle w:val="BodyText"/>
        <w:rPr>
          <w:sz w:val="27"/>
        </w:rPr>
      </w:pPr>
    </w:p>
    <w:p>
      <w:pPr>
        <w:spacing w:before="83"/>
        <w:ind w:left="1272" w:right="0" w:firstLine="0"/>
        <w:jc w:val="left"/>
        <w:rPr>
          <w:sz w:val="12"/>
        </w:rPr>
      </w:pPr>
      <w:r>
        <w:rPr>
          <w:color w:val="231F20"/>
          <w:w w:val="102"/>
          <w:sz w:val="12"/>
        </w:rPr>
        <w:t>6</w:t>
      </w:r>
    </w:p>
    <w:p>
      <w:pPr>
        <w:pStyle w:val="BodyText"/>
        <w:rPr>
          <w:sz w:val="27"/>
        </w:rPr>
      </w:pPr>
    </w:p>
    <w:p>
      <w:pPr>
        <w:spacing w:after="0"/>
        <w:rPr>
          <w:sz w:val="27"/>
        </w:rPr>
        <w:sectPr>
          <w:footerReference w:type="even" r:id="rId136"/>
          <w:footerReference w:type="default" r:id="rId137"/>
          <w:pgSz w:w="9520" w:h="12920"/>
          <w:pgMar w:footer="1344" w:header="0" w:top="880" w:bottom="1540" w:left="1020" w:right="1320"/>
        </w:sectPr>
      </w:pPr>
    </w:p>
    <w:p>
      <w:pPr>
        <w:spacing w:before="83"/>
        <w:ind w:left="0" w:right="0" w:firstLine="0"/>
        <w:jc w:val="right"/>
        <w:rPr>
          <w:sz w:val="12"/>
        </w:rPr>
      </w:pPr>
      <w:r>
        <w:rPr>
          <w:color w:val="231F20"/>
          <w:w w:val="102"/>
          <w:sz w:val="12"/>
        </w:rPr>
        <w:t>5</w:t>
      </w:r>
    </w:p>
    <w:p>
      <w:pPr>
        <w:pStyle w:val="BodyText"/>
        <w:rPr>
          <w:sz w:val="12"/>
        </w:rPr>
      </w:pPr>
    </w:p>
    <w:p>
      <w:pPr>
        <w:pStyle w:val="BodyText"/>
        <w:spacing w:before="6"/>
        <w:rPr>
          <w:sz w:val="11"/>
        </w:rPr>
      </w:pPr>
    </w:p>
    <w:p>
      <w:pPr>
        <w:spacing w:line="130" w:lineRule="exact" w:before="0"/>
        <w:ind w:left="340" w:right="498" w:firstLine="0"/>
        <w:jc w:val="center"/>
        <w:rPr>
          <w:sz w:val="12"/>
        </w:rPr>
      </w:pPr>
      <w:r>
        <w:rPr>
          <w:color w:val="231F20"/>
          <w:w w:val="110"/>
          <w:sz w:val="12"/>
        </w:rPr>
        <w:t>Número</w:t>
      </w:r>
    </w:p>
    <w:p>
      <w:pPr>
        <w:tabs>
          <w:tab w:pos="1340" w:val="right" w:leader="none"/>
        </w:tabs>
        <w:spacing w:line="170" w:lineRule="exact" w:before="0"/>
        <w:ind w:left="188" w:right="0" w:firstLine="0"/>
        <w:jc w:val="left"/>
        <w:rPr>
          <w:sz w:val="12"/>
        </w:rPr>
      </w:pPr>
      <w:r>
        <w:rPr>
          <w:color w:val="231F20"/>
          <w:w w:val="105"/>
          <w:sz w:val="12"/>
        </w:rPr>
        <w:t>de</w:t>
      </w:r>
      <w:r>
        <w:rPr>
          <w:color w:val="231F20"/>
          <w:spacing w:val="10"/>
          <w:w w:val="105"/>
          <w:sz w:val="12"/>
        </w:rPr>
        <w:t> </w:t>
      </w:r>
      <w:r>
        <w:rPr>
          <w:color w:val="231F20"/>
          <w:w w:val="105"/>
          <w:sz w:val="12"/>
        </w:rPr>
        <w:t>integrantes</w:t>
      </w:r>
      <w:r>
        <w:rPr>
          <w:color w:val="231F20"/>
          <w:w w:val="105"/>
          <w:position w:val="4"/>
          <w:sz w:val="12"/>
        </w:rPr>
        <w:tab/>
        <w:t>4</w:t>
      </w:r>
    </w:p>
    <w:p>
      <w:pPr>
        <w:spacing w:before="19"/>
        <w:ind w:left="248" w:right="0" w:firstLine="0"/>
        <w:jc w:val="left"/>
        <w:rPr>
          <w:sz w:val="12"/>
        </w:rPr>
      </w:pPr>
      <w:r>
        <w:rPr>
          <w:color w:val="231F20"/>
          <w:w w:val="105"/>
          <w:sz w:val="12"/>
        </w:rPr>
        <w:t>de  la familia</w:t>
      </w:r>
    </w:p>
    <w:p>
      <w:pPr>
        <w:spacing w:before="289"/>
        <w:ind w:left="188" w:right="120" w:firstLine="0"/>
        <w:jc w:val="left"/>
        <w:rPr>
          <w:sz w:val="12"/>
        </w:rPr>
      </w:pPr>
      <w:r>
        <w:rPr/>
        <w:br w:type="column"/>
      </w:r>
      <w:r>
        <w:rPr>
          <w:color w:val="231F20"/>
          <w:w w:val="110"/>
          <w:sz w:val="12"/>
        </w:rPr>
        <w:t>Fuerza de trabajo familiar en el campo</w:t>
      </w:r>
    </w:p>
    <w:p>
      <w:pPr>
        <w:spacing w:before="144"/>
        <w:ind w:left="188" w:right="120" w:firstLine="0"/>
        <w:jc w:val="left"/>
        <w:rPr>
          <w:sz w:val="12"/>
        </w:rPr>
      </w:pPr>
      <w:r>
        <w:rPr>
          <w:color w:val="231F20"/>
          <w:w w:val="110"/>
          <w:sz w:val="12"/>
        </w:rPr>
        <w:t>Número de asalariados</w:t>
      </w:r>
    </w:p>
    <w:p>
      <w:pPr>
        <w:spacing w:after="0"/>
        <w:jc w:val="left"/>
        <w:rPr>
          <w:sz w:val="12"/>
        </w:rPr>
        <w:sectPr>
          <w:type w:val="continuous"/>
          <w:pgSz w:w="9520" w:h="12920"/>
          <w:pgMar w:top="0" w:bottom="0" w:left="1020" w:right="1320"/>
          <w:cols w:num="2" w:equalWidth="0">
            <w:col w:w="1341" w:space="3952"/>
            <w:col w:w="1887"/>
          </w:cols>
        </w:sectPr>
      </w:pPr>
    </w:p>
    <w:p>
      <w:pPr>
        <w:spacing w:before="203"/>
        <w:ind w:left="1272" w:right="0" w:firstLine="0"/>
        <w:jc w:val="left"/>
        <w:rPr>
          <w:sz w:val="12"/>
        </w:rPr>
      </w:pPr>
      <w:r>
        <w:rPr>
          <w:color w:val="231F20"/>
          <w:w w:val="102"/>
          <w:sz w:val="12"/>
        </w:rPr>
        <w:t>3</w:t>
      </w:r>
    </w:p>
    <w:p>
      <w:pPr>
        <w:spacing w:before="399"/>
        <w:ind w:left="1272" w:right="0" w:firstLine="0"/>
        <w:jc w:val="left"/>
        <w:rPr>
          <w:sz w:val="12"/>
        </w:rPr>
      </w:pPr>
      <w:r>
        <w:rPr>
          <w:color w:val="231F20"/>
          <w:w w:val="102"/>
          <w:sz w:val="12"/>
        </w:rPr>
        <w:t>2</w:t>
      </w:r>
    </w:p>
    <w:p>
      <w:pPr>
        <w:spacing w:before="399"/>
        <w:ind w:left="1272" w:right="0" w:firstLine="0"/>
        <w:jc w:val="left"/>
        <w:rPr>
          <w:sz w:val="12"/>
        </w:rPr>
      </w:pPr>
      <w:r>
        <w:rPr>
          <w:color w:val="231F20"/>
          <w:w w:val="102"/>
          <w:sz w:val="12"/>
        </w:rPr>
        <w:t>1</w:t>
      </w:r>
    </w:p>
    <w:p>
      <w:pPr>
        <w:spacing w:after="0"/>
        <w:jc w:val="left"/>
        <w:rPr>
          <w:sz w:val="12"/>
        </w:rPr>
        <w:sectPr>
          <w:type w:val="continuous"/>
          <w:pgSz w:w="9520" w:h="12920"/>
          <w:pgMar w:top="0" w:bottom="0" w:left="1020" w:right="1320"/>
        </w:sectPr>
      </w:pPr>
    </w:p>
    <w:p>
      <w:pPr>
        <w:spacing w:before="399"/>
        <w:ind w:left="190" w:right="0" w:firstLine="0"/>
        <w:jc w:val="center"/>
        <w:rPr>
          <w:sz w:val="12"/>
        </w:rPr>
      </w:pPr>
      <w:r>
        <w:rPr>
          <w:color w:val="231F20"/>
          <w:w w:val="102"/>
          <w:sz w:val="12"/>
        </w:rPr>
        <w:t>0</w:t>
      </w:r>
    </w:p>
    <w:p>
      <w:pPr>
        <w:tabs>
          <w:tab w:pos="1891" w:val="left" w:leader="none"/>
          <w:tab w:pos="2355" w:val="left" w:leader="none"/>
        </w:tabs>
        <w:spacing w:before="28"/>
        <w:ind w:left="1428" w:right="0" w:firstLine="0"/>
        <w:jc w:val="left"/>
        <w:rPr>
          <w:sz w:val="12"/>
        </w:rPr>
      </w:pPr>
      <w:r>
        <w:rPr>
          <w:color w:val="231F20"/>
          <w:sz w:val="12"/>
        </w:rPr>
        <w:t>1</w:t>
        <w:tab/>
        <w:t>3</w:t>
        <w:tab/>
        <w:t>5</w:t>
      </w:r>
    </w:p>
    <w:p>
      <w:pPr>
        <w:tabs>
          <w:tab w:pos="819" w:val="left" w:leader="none"/>
          <w:tab w:pos="1247" w:val="left" w:leader="none"/>
        </w:tabs>
        <w:spacing w:before="568"/>
        <w:ind w:left="355" w:right="0" w:firstLine="0"/>
        <w:jc w:val="left"/>
        <w:rPr>
          <w:sz w:val="12"/>
        </w:rPr>
      </w:pPr>
      <w:r>
        <w:rPr/>
        <w:br w:type="column"/>
      </w:r>
      <w:r>
        <w:rPr>
          <w:color w:val="231F20"/>
          <w:sz w:val="12"/>
        </w:rPr>
        <w:t>7</w:t>
        <w:tab/>
        <w:t>9</w:t>
        <w:tab/>
        <w:t>11</w:t>
      </w:r>
    </w:p>
    <w:p>
      <w:pPr>
        <w:tabs>
          <w:tab w:pos="754" w:val="left" w:leader="none"/>
          <w:tab w:pos="1206" w:val="left" w:leader="none"/>
          <w:tab w:pos="1656" w:val="left" w:leader="none"/>
        </w:tabs>
        <w:spacing w:before="568"/>
        <w:ind w:left="286" w:right="0" w:firstLine="0"/>
        <w:jc w:val="left"/>
        <w:rPr>
          <w:sz w:val="12"/>
        </w:rPr>
      </w:pPr>
      <w:r>
        <w:rPr/>
        <w:br w:type="column"/>
      </w:r>
      <w:r>
        <w:rPr>
          <w:color w:val="231F20"/>
          <w:sz w:val="12"/>
        </w:rPr>
        <w:t>13</w:t>
        <w:tab/>
        <w:t>15</w:t>
        <w:tab/>
        <w:t>17</w:t>
        <w:tab/>
        <w:t>19</w:t>
      </w:r>
    </w:p>
    <w:p>
      <w:pPr>
        <w:spacing w:after="0"/>
        <w:jc w:val="left"/>
        <w:rPr>
          <w:sz w:val="12"/>
        </w:rPr>
        <w:sectPr>
          <w:type w:val="continuous"/>
          <w:pgSz w:w="9520" w:h="12920"/>
          <w:pgMar w:top="0" w:bottom="0" w:left="1020" w:right="1320"/>
          <w:cols w:num="3" w:equalWidth="0">
            <w:col w:w="2423" w:space="40"/>
            <w:col w:w="1384" w:space="40"/>
            <w:col w:w="3293"/>
          </w:cols>
        </w:sectPr>
      </w:pPr>
    </w:p>
    <w:p>
      <w:pPr>
        <w:pStyle w:val="BodyText"/>
        <w:spacing w:before="3"/>
        <w:rPr>
          <w:sz w:val="11"/>
        </w:rPr>
      </w:pPr>
    </w:p>
    <w:p>
      <w:pPr>
        <w:spacing w:before="0"/>
        <w:ind w:left="1317" w:right="1407" w:firstLine="0"/>
        <w:jc w:val="center"/>
        <w:rPr>
          <w:sz w:val="12"/>
        </w:rPr>
      </w:pPr>
      <w:r>
        <w:rPr>
          <w:color w:val="231F20"/>
          <w:w w:val="110"/>
          <w:sz w:val="12"/>
        </w:rPr>
        <w:t>Número de casos</w:t>
      </w:r>
    </w:p>
    <w:p>
      <w:pPr>
        <w:spacing w:before="99"/>
        <w:ind w:left="460" w:right="0" w:firstLine="0"/>
        <w:jc w:val="left"/>
        <w:rPr>
          <w:sz w:val="15"/>
        </w:rPr>
      </w:pPr>
      <w:r>
        <w:rPr>
          <w:color w:val="231F20"/>
          <w:w w:val="110"/>
          <w:sz w:val="15"/>
        </w:rPr>
        <w:t>Fuente: Elaboración propia a partir de 19 genealogías, junio-julio, 2002 (Reyes, 2012: 230).</w:t>
      </w:r>
    </w:p>
    <w:p>
      <w:pPr>
        <w:pStyle w:val="BodyText"/>
        <w:rPr>
          <w:sz w:val="14"/>
        </w:rPr>
      </w:pPr>
    </w:p>
    <w:p>
      <w:pPr>
        <w:pStyle w:val="BodyText"/>
        <w:rPr>
          <w:sz w:val="15"/>
        </w:rPr>
      </w:pPr>
    </w:p>
    <w:p>
      <w:pPr>
        <w:pStyle w:val="BodyText"/>
        <w:spacing w:line="288" w:lineRule="auto"/>
        <w:ind w:left="100" w:right="114" w:firstLine="360"/>
        <w:jc w:val="both"/>
      </w:pPr>
      <w:r>
        <w:rPr>
          <w:color w:val="231F20"/>
          <w:w w:val="110"/>
        </w:rPr>
        <w:t>En</w:t>
      </w:r>
      <w:r>
        <w:rPr>
          <w:color w:val="231F20"/>
          <w:spacing w:val="-3"/>
          <w:w w:val="110"/>
        </w:rPr>
        <w:t> </w:t>
      </w:r>
      <w:r>
        <w:rPr>
          <w:color w:val="231F20"/>
          <w:w w:val="110"/>
        </w:rPr>
        <w:t>la</w:t>
      </w:r>
      <w:r>
        <w:rPr>
          <w:color w:val="231F20"/>
          <w:spacing w:val="-3"/>
          <w:w w:val="110"/>
        </w:rPr>
        <w:t> </w:t>
      </w:r>
      <w:r>
        <w:rPr>
          <w:color w:val="231F20"/>
          <w:w w:val="110"/>
        </w:rPr>
        <w:t>gráfica</w:t>
      </w:r>
      <w:r>
        <w:rPr>
          <w:color w:val="231F20"/>
          <w:spacing w:val="-3"/>
          <w:w w:val="110"/>
        </w:rPr>
        <w:t> </w:t>
      </w:r>
      <w:r>
        <w:rPr>
          <w:color w:val="231F20"/>
          <w:w w:val="110"/>
        </w:rPr>
        <w:t>3</w:t>
      </w:r>
      <w:r>
        <w:rPr>
          <w:color w:val="231F20"/>
          <w:spacing w:val="-3"/>
          <w:w w:val="110"/>
        </w:rPr>
        <w:t> </w:t>
      </w:r>
      <w:r>
        <w:rPr>
          <w:color w:val="231F20"/>
          <w:w w:val="110"/>
        </w:rPr>
        <w:t>se</w:t>
      </w:r>
      <w:r>
        <w:rPr>
          <w:color w:val="231F20"/>
          <w:spacing w:val="-3"/>
          <w:w w:val="110"/>
        </w:rPr>
        <w:t> </w:t>
      </w:r>
      <w:r>
        <w:rPr>
          <w:color w:val="231F20"/>
          <w:w w:val="110"/>
        </w:rPr>
        <w:t>muestran</w:t>
      </w:r>
      <w:r>
        <w:rPr>
          <w:color w:val="231F20"/>
          <w:spacing w:val="-3"/>
          <w:w w:val="110"/>
        </w:rPr>
        <w:t> </w:t>
      </w:r>
      <w:r>
        <w:rPr>
          <w:color w:val="231F20"/>
          <w:w w:val="110"/>
        </w:rPr>
        <w:t>los</w:t>
      </w:r>
      <w:r>
        <w:rPr>
          <w:color w:val="231F20"/>
          <w:spacing w:val="-3"/>
          <w:w w:val="110"/>
        </w:rPr>
        <w:t> </w:t>
      </w:r>
      <w:r>
        <w:rPr>
          <w:color w:val="231F20"/>
          <w:w w:val="110"/>
        </w:rPr>
        <w:t>datos</w:t>
      </w:r>
      <w:r>
        <w:rPr>
          <w:color w:val="231F20"/>
          <w:spacing w:val="-3"/>
          <w:w w:val="110"/>
        </w:rPr>
        <w:t> </w:t>
      </w:r>
      <w:r>
        <w:rPr>
          <w:color w:val="231F20"/>
          <w:w w:val="110"/>
        </w:rPr>
        <w:t>obtenidos</w:t>
      </w:r>
      <w:r>
        <w:rPr>
          <w:color w:val="231F20"/>
          <w:spacing w:val="-3"/>
          <w:w w:val="110"/>
        </w:rPr>
        <w:t> </w:t>
      </w:r>
      <w:r>
        <w:rPr>
          <w:color w:val="231F20"/>
          <w:w w:val="110"/>
        </w:rPr>
        <w:t>a</w:t>
      </w:r>
      <w:r>
        <w:rPr>
          <w:color w:val="231F20"/>
          <w:spacing w:val="-3"/>
          <w:w w:val="110"/>
        </w:rPr>
        <w:t> </w:t>
      </w:r>
      <w:r>
        <w:rPr>
          <w:color w:val="231F20"/>
          <w:w w:val="110"/>
        </w:rPr>
        <w:t>través</w:t>
      </w:r>
      <w:r>
        <w:rPr>
          <w:color w:val="231F20"/>
          <w:spacing w:val="-3"/>
          <w:w w:val="110"/>
        </w:rPr>
        <w:t> </w:t>
      </w:r>
      <w:r>
        <w:rPr>
          <w:color w:val="231F20"/>
          <w:w w:val="110"/>
        </w:rPr>
        <w:t>de</w:t>
      </w:r>
      <w:r>
        <w:rPr>
          <w:color w:val="231F20"/>
          <w:spacing w:val="-3"/>
          <w:w w:val="110"/>
        </w:rPr>
        <w:t> </w:t>
      </w:r>
      <w:r>
        <w:rPr>
          <w:color w:val="231F20"/>
          <w:w w:val="110"/>
        </w:rPr>
        <w:t>una</w:t>
      </w:r>
      <w:r>
        <w:rPr>
          <w:color w:val="231F20"/>
          <w:spacing w:val="-3"/>
          <w:w w:val="110"/>
        </w:rPr>
        <w:t> </w:t>
      </w:r>
      <w:r>
        <w:rPr>
          <w:color w:val="231F20"/>
          <w:w w:val="110"/>
        </w:rPr>
        <w:t>encues- ta aplicada, en 2002, a 370 individuos, además se recabó información de 1,767 parientes de estos individuos, lo que da un total de 2,137</w:t>
      </w:r>
      <w:r>
        <w:rPr>
          <w:color w:val="231F20"/>
          <w:spacing w:val="-33"/>
          <w:w w:val="110"/>
        </w:rPr>
        <w:t> </w:t>
      </w:r>
      <w:r>
        <w:rPr>
          <w:color w:val="231F20"/>
          <w:w w:val="110"/>
        </w:rPr>
        <w:t>individuos. La</w:t>
      </w:r>
      <w:r>
        <w:rPr>
          <w:color w:val="231F20"/>
          <w:spacing w:val="-4"/>
          <w:w w:val="110"/>
        </w:rPr>
        <w:t> </w:t>
      </w:r>
      <w:r>
        <w:rPr>
          <w:color w:val="231F20"/>
          <w:w w:val="110"/>
        </w:rPr>
        <w:t>encuesta</w:t>
      </w:r>
      <w:r>
        <w:rPr>
          <w:color w:val="231F20"/>
          <w:spacing w:val="-4"/>
          <w:w w:val="110"/>
        </w:rPr>
        <w:t> </w:t>
      </w:r>
      <w:r>
        <w:rPr>
          <w:color w:val="231F20"/>
          <w:w w:val="110"/>
        </w:rPr>
        <w:t>se</w:t>
      </w:r>
      <w:r>
        <w:rPr>
          <w:color w:val="231F20"/>
          <w:spacing w:val="-4"/>
          <w:w w:val="110"/>
        </w:rPr>
        <w:t> </w:t>
      </w:r>
      <w:r>
        <w:rPr>
          <w:color w:val="231F20"/>
          <w:w w:val="110"/>
        </w:rPr>
        <w:t>aplicó</w:t>
      </w:r>
      <w:r>
        <w:rPr>
          <w:color w:val="231F20"/>
          <w:spacing w:val="-4"/>
          <w:w w:val="110"/>
        </w:rPr>
        <w:t> </w:t>
      </w:r>
      <w:r>
        <w:rPr>
          <w:color w:val="231F20"/>
          <w:w w:val="110"/>
        </w:rPr>
        <w:t>con</w:t>
      </w:r>
      <w:r>
        <w:rPr>
          <w:color w:val="231F20"/>
          <w:spacing w:val="-4"/>
          <w:w w:val="110"/>
        </w:rPr>
        <w:t> </w:t>
      </w:r>
      <w:r>
        <w:rPr>
          <w:color w:val="231F20"/>
          <w:w w:val="110"/>
        </w:rPr>
        <w:t>el</w:t>
      </w:r>
      <w:r>
        <w:rPr>
          <w:color w:val="231F20"/>
          <w:spacing w:val="-4"/>
          <w:w w:val="110"/>
        </w:rPr>
        <w:t> </w:t>
      </w:r>
      <w:r>
        <w:rPr>
          <w:color w:val="231F20"/>
          <w:w w:val="110"/>
        </w:rPr>
        <w:t>fin</w:t>
      </w:r>
      <w:r>
        <w:rPr>
          <w:color w:val="231F20"/>
          <w:spacing w:val="-4"/>
          <w:w w:val="110"/>
        </w:rPr>
        <w:t> </w:t>
      </w:r>
      <w:r>
        <w:rPr>
          <w:color w:val="231F20"/>
          <w:w w:val="110"/>
        </w:rPr>
        <w:t>de</w:t>
      </w:r>
      <w:r>
        <w:rPr>
          <w:color w:val="231F20"/>
          <w:spacing w:val="-4"/>
          <w:w w:val="110"/>
        </w:rPr>
        <w:t> </w:t>
      </w:r>
      <w:r>
        <w:rPr>
          <w:color w:val="231F20"/>
          <w:w w:val="110"/>
        </w:rPr>
        <w:t>registrar,</w:t>
      </w:r>
      <w:r>
        <w:rPr>
          <w:color w:val="231F20"/>
          <w:spacing w:val="-4"/>
          <w:w w:val="110"/>
        </w:rPr>
        <w:t> </w:t>
      </w:r>
      <w:r>
        <w:rPr>
          <w:color w:val="231F20"/>
          <w:w w:val="110"/>
        </w:rPr>
        <w:t>entre</w:t>
      </w:r>
      <w:r>
        <w:rPr>
          <w:color w:val="231F20"/>
          <w:spacing w:val="-4"/>
          <w:w w:val="110"/>
        </w:rPr>
        <w:t> </w:t>
      </w:r>
      <w:r>
        <w:rPr>
          <w:color w:val="231F20"/>
          <w:w w:val="110"/>
        </w:rPr>
        <w:t>otros</w:t>
      </w:r>
      <w:r>
        <w:rPr>
          <w:color w:val="231F20"/>
          <w:spacing w:val="-4"/>
          <w:w w:val="110"/>
        </w:rPr>
        <w:t> </w:t>
      </w:r>
      <w:r>
        <w:rPr>
          <w:color w:val="231F20"/>
          <w:w w:val="110"/>
        </w:rPr>
        <w:t>aspectos,</w:t>
      </w:r>
      <w:r>
        <w:rPr>
          <w:color w:val="231F20"/>
          <w:spacing w:val="-4"/>
          <w:w w:val="110"/>
        </w:rPr>
        <w:t> </w:t>
      </w:r>
      <w:r>
        <w:rPr>
          <w:color w:val="231F20"/>
          <w:w w:val="110"/>
        </w:rPr>
        <w:t>las</w:t>
      </w:r>
      <w:r>
        <w:rPr>
          <w:color w:val="231F20"/>
          <w:spacing w:val="-4"/>
          <w:w w:val="110"/>
        </w:rPr>
        <w:t> </w:t>
      </w:r>
      <w:r>
        <w:rPr>
          <w:color w:val="231F20"/>
          <w:w w:val="110"/>
        </w:rPr>
        <w:t>diver- sas actividades, que además de la agrícola realizan los integrantes de las familias campesinas de la región. Ante este panorama, se puede afirmar que la organización social de la familia campesina diversifica sus activida- des con el fin de redistribuir el trabajo y garantizar la subsistencia de los miembros del</w:t>
      </w:r>
      <w:r>
        <w:rPr>
          <w:color w:val="231F20"/>
          <w:spacing w:val="12"/>
          <w:w w:val="110"/>
        </w:rPr>
        <w:t> </w:t>
      </w:r>
      <w:r>
        <w:rPr>
          <w:color w:val="231F20"/>
          <w:w w:val="110"/>
        </w:rPr>
        <w:t>grupo.</w:t>
      </w:r>
    </w:p>
    <w:p>
      <w:pPr>
        <w:spacing w:after="0" w:line="288" w:lineRule="auto"/>
        <w:jc w:val="both"/>
        <w:sectPr>
          <w:type w:val="continuous"/>
          <w:pgSz w:w="9520" w:h="12920"/>
          <w:pgMar w:top="0" w:bottom="0" w:left="1020" w:right="1320"/>
        </w:sectPr>
      </w:pPr>
    </w:p>
    <w:p>
      <w:pPr>
        <w:spacing w:line="185" w:lineRule="exact" w:before="65"/>
        <w:ind w:left="465" w:right="457" w:firstLine="0"/>
        <w:jc w:val="center"/>
        <w:rPr>
          <w:sz w:val="16"/>
        </w:rPr>
      </w:pPr>
      <w:r>
        <w:rPr>
          <w:color w:val="231F20"/>
          <w:w w:val="105"/>
          <w:sz w:val="16"/>
        </w:rPr>
        <w:t>Gráfica 3</w:t>
      </w:r>
    </w:p>
    <w:p>
      <w:pPr>
        <w:spacing w:line="220" w:lineRule="exact" w:before="0"/>
        <w:ind w:left="465" w:right="457" w:firstLine="0"/>
        <w:jc w:val="center"/>
        <w:rPr>
          <w:sz w:val="19"/>
        </w:rPr>
      </w:pPr>
      <w:r>
        <w:rPr>
          <w:color w:val="231F20"/>
          <w:w w:val="90"/>
          <w:sz w:val="19"/>
        </w:rPr>
        <w:t>Actividades complementarias a la agrícola en Santiago Yeché</w:t>
      </w:r>
    </w:p>
    <w:p>
      <w:pPr>
        <w:pStyle w:val="BodyText"/>
      </w:pPr>
    </w:p>
    <w:p>
      <w:pPr>
        <w:pStyle w:val="BodyText"/>
      </w:pPr>
    </w:p>
    <w:p>
      <w:pPr>
        <w:pStyle w:val="BodyText"/>
      </w:pPr>
    </w:p>
    <w:p>
      <w:pPr>
        <w:pStyle w:val="BodyText"/>
        <w:spacing w:before="7"/>
        <w:rPr>
          <w:sz w:val="18"/>
        </w:rPr>
      </w:pPr>
    </w:p>
    <w:p>
      <w:pPr>
        <w:spacing w:line="140" w:lineRule="exact" w:before="0"/>
        <w:ind w:left="6573" w:right="300" w:hanging="140"/>
        <w:jc w:val="left"/>
        <w:rPr>
          <w:sz w:val="14"/>
        </w:rPr>
      </w:pPr>
      <w:r>
        <w:rPr/>
        <w:pict>
          <v:group style="position:absolute;margin-left:113.114746pt;margin-top:-33.489834pt;width:264.8pt;height:143.15pt;mso-position-horizontal-relative:page;mso-position-vertical-relative:paragraph;z-index:3472" coordorigin="2262,-670" coordsize="5296,2863">
            <v:shape style="position:absolute;left:5060;top:-666;width:1111;height:2792" coordorigin="5060,-666" coordsize="1111,2792" path="m6169,2125l5060,1016m6170,-666l5060,445e" filled="false" stroked="true" strokeweight=".253pt" strokecolor="#231f20">
              <v:path arrowok="t"/>
            </v:shape>
            <v:shape style="position:absolute;left:3907;top:-599;width:1069;height:1104" coordorigin="3907,-599" coordsize="1069,1104" path="m4011,-599l3907,504,4975,199,4814,-253,4660,-486,4422,-577,4011,-599xe" filled="true" fillcolor="#939598" stroked="false">
              <v:path arrowok="t"/>
              <v:fill type="solid"/>
            </v:shape>
            <v:shape style="position:absolute;left:2501;top:-664;width:2646;height:1700" coordorigin="2501,-664" coordsize="2646,1700" path="m3670,-612l3187,-664,2904,-598,2712,-337,2501,194,3571,504,3670,-612m5146,712l5129,593,5076,426,4018,727,5076,1035,5129,840,5146,712e" filled="true" fillcolor="#d1d3d4" stroked="false">
              <v:path arrowok="t"/>
              <v:fill type="solid"/>
            </v:shape>
            <v:shape style="position:absolute;left:2262;top:-670;width:5296;height:2863" coordorigin="2262,-670" coordsize="5296,2863" path="m3483,860l2415,552,2262,1085,2284,1404,2544,1638,3109,1913,3483,860m4925,1280l3862,979,3483,2024,4162,2193,4538,2172,4747,1891,4925,1280m7558,-670l6164,-670,6164,919,7558,919,7558,-670e" filled="true" fillcolor="#939598" stroked="false">
              <v:path arrowok="t"/>
              <v:fill type="solid"/>
            </v:shape>
            <v:rect style="position:absolute;left:6164;top:919;width:1394;height:1213" filled="true" fillcolor="#d1d3d4" stroked="false">
              <v:fill type="solid"/>
            </v:rect>
            <v:shape style="position:absolute;left:2844;top:-158;width:657;height:280" type="#_x0000_t202" filled="false" stroked="false">
              <v:textbox inset="0,0,0,0">
                <w:txbxContent>
                  <w:p>
                    <w:pPr>
                      <w:spacing w:line="140" w:lineRule="exact" w:before="0"/>
                      <w:ind w:left="197" w:right="0" w:hanging="198"/>
                      <w:jc w:val="left"/>
                      <w:rPr>
                        <w:sz w:val="14"/>
                      </w:rPr>
                    </w:pPr>
                    <w:r>
                      <w:rPr>
                        <w:color w:val="231F20"/>
                        <w:w w:val="105"/>
                        <w:sz w:val="14"/>
                      </w:rPr>
                      <w:t>Empleado 22%</w:t>
                    </w:r>
                  </w:p>
                </w:txbxContent>
              </v:textbox>
              <w10:wrap type="none"/>
            </v:shape>
            <v:shape style="position:absolute;left:3987;top:-156;width:836;height:280" type="#_x0000_t202" filled="false" stroked="false">
              <v:textbox inset="0,0,0,0">
                <w:txbxContent>
                  <w:p>
                    <w:pPr>
                      <w:spacing w:line="140" w:lineRule="exact" w:before="0"/>
                      <w:ind w:left="287" w:right="0" w:hanging="288"/>
                      <w:jc w:val="left"/>
                      <w:rPr>
                        <w:sz w:val="14"/>
                      </w:rPr>
                    </w:pPr>
                    <w:r>
                      <w:rPr>
                        <w:color w:val="231F20"/>
                        <w:w w:val="105"/>
                        <w:sz w:val="14"/>
                      </w:rPr>
                      <w:t>Comerciante 19%</w:t>
                    </w:r>
                  </w:p>
                </w:txbxContent>
              </v:textbox>
              <w10:wrap type="none"/>
            </v:shape>
            <v:shape style="position:absolute;left:5421;top:610;width:367;height:280" type="#_x0000_t202" filled="false" stroked="false">
              <v:textbox inset="0,0,0,0">
                <w:txbxContent>
                  <w:p>
                    <w:pPr>
                      <w:spacing w:line="140" w:lineRule="exact" w:before="0"/>
                      <w:ind w:left="92" w:right="0" w:hanging="93"/>
                      <w:jc w:val="left"/>
                      <w:rPr>
                        <w:sz w:val="14"/>
                      </w:rPr>
                    </w:pPr>
                    <w:r>
                      <w:rPr>
                        <w:color w:val="231F20"/>
                        <w:sz w:val="14"/>
                      </w:rPr>
                      <w:t>Otros 9%</w:t>
                    </w:r>
                  </w:p>
                </w:txbxContent>
              </v:textbox>
              <w10:wrap type="none"/>
            </v:shape>
            <v:shape style="position:absolute;left:2610;top:949;width:469;height:280" type="#_x0000_t202" filled="false" stroked="false">
              <v:textbox inset="0,0,0,0">
                <w:txbxContent>
                  <w:p>
                    <w:pPr>
                      <w:spacing w:line="140" w:lineRule="exact" w:before="0"/>
                      <w:ind w:left="103" w:right="0" w:hanging="104"/>
                      <w:jc w:val="left"/>
                      <w:rPr>
                        <w:sz w:val="14"/>
                      </w:rPr>
                    </w:pPr>
                    <w:r>
                      <w:rPr>
                        <w:color w:val="231F20"/>
                        <w:w w:val="105"/>
                        <w:sz w:val="14"/>
                      </w:rPr>
                      <w:t>Obrero 24%</w:t>
                    </w:r>
                  </w:p>
                </w:txbxContent>
              </v:textbox>
              <w10:wrap type="none"/>
            </v:shape>
            <v:shape style="position:absolute;left:3915;top:1440;width:739;height:280" type="#_x0000_t202" filled="false" stroked="false">
              <v:textbox inset="0,0,0,0">
                <w:txbxContent>
                  <w:p>
                    <w:pPr>
                      <w:spacing w:line="140" w:lineRule="exact" w:before="0"/>
                      <w:ind w:left="238" w:right="0" w:hanging="239"/>
                      <w:jc w:val="left"/>
                      <w:rPr>
                        <w:sz w:val="14"/>
                      </w:rPr>
                    </w:pPr>
                    <w:r>
                      <w:rPr>
                        <w:color w:val="231F20"/>
                        <w:w w:val="105"/>
                        <w:sz w:val="14"/>
                      </w:rPr>
                      <w:t>Campesino 26%</w:t>
                    </w:r>
                  </w:p>
                </w:txbxContent>
              </v:textbox>
              <w10:wrap type="none"/>
            </v:shape>
            <w10:wrap type="none"/>
          </v:group>
        </w:pict>
      </w:r>
      <w:r>
        <w:rPr>
          <w:color w:val="231F20"/>
          <w:w w:val="105"/>
          <w:sz w:val="14"/>
        </w:rPr>
        <w:t>Albañil 5%</w:t>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9"/>
        <w:rPr>
          <w:sz w:val="17"/>
        </w:rPr>
      </w:pPr>
    </w:p>
    <w:p>
      <w:pPr>
        <w:spacing w:line="140" w:lineRule="exact" w:before="0"/>
        <w:ind w:left="6573" w:right="300" w:hanging="134"/>
        <w:jc w:val="left"/>
        <w:rPr>
          <w:sz w:val="14"/>
        </w:rPr>
      </w:pPr>
      <w:r>
        <w:rPr>
          <w:color w:val="231F20"/>
          <w:w w:val="105"/>
          <w:sz w:val="14"/>
        </w:rPr>
        <w:t>Chofer 4%</w:t>
      </w:r>
    </w:p>
    <w:p>
      <w:pPr>
        <w:pStyle w:val="BodyText"/>
      </w:pPr>
    </w:p>
    <w:p>
      <w:pPr>
        <w:pStyle w:val="BodyText"/>
      </w:pPr>
    </w:p>
    <w:p>
      <w:pPr>
        <w:pStyle w:val="BodyText"/>
        <w:spacing w:before="5"/>
        <w:rPr>
          <w:sz w:val="17"/>
        </w:rPr>
      </w:pPr>
    </w:p>
    <w:p>
      <w:pPr>
        <w:spacing w:before="1"/>
        <w:ind w:left="484" w:right="0" w:firstLine="0"/>
        <w:jc w:val="left"/>
        <w:rPr>
          <w:sz w:val="15"/>
        </w:rPr>
      </w:pPr>
      <w:r>
        <w:rPr>
          <w:color w:val="231F20"/>
          <w:w w:val="110"/>
          <w:sz w:val="15"/>
        </w:rPr>
        <w:t>Fuente: Elaboración propia a partir de la encuesta junio-julio, 2002 (Reyes, 2012: 111).</w:t>
      </w:r>
    </w:p>
    <w:p>
      <w:pPr>
        <w:pStyle w:val="BodyText"/>
        <w:rPr>
          <w:sz w:val="14"/>
        </w:rPr>
      </w:pPr>
    </w:p>
    <w:p>
      <w:pPr>
        <w:pStyle w:val="BodyText"/>
        <w:rPr>
          <w:sz w:val="15"/>
        </w:rPr>
      </w:pPr>
    </w:p>
    <w:p>
      <w:pPr>
        <w:pStyle w:val="BodyText"/>
        <w:spacing w:line="288" w:lineRule="auto"/>
        <w:ind w:left="124" w:right="110" w:firstLine="360"/>
        <w:jc w:val="both"/>
      </w:pPr>
      <w:r>
        <w:rPr>
          <w:color w:val="231F20"/>
          <w:w w:val="110"/>
        </w:rPr>
        <w:t>Los ajustes en la organización de las familias campesinas de la región en los últimos años han reivindicado la posibilidad de la diversidad de respuestas sociales frente a fenómenos económicos comunes. De esta manera, la familia campesina aparece como uno de los ejes que define y organiza los múltiples quehaceres de sus integrantes en relación con las fuentes de trabajo.</w:t>
      </w:r>
    </w:p>
    <w:p>
      <w:pPr>
        <w:pStyle w:val="BodyText"/>
        <w:spacing w:line="288" w:lineRule="auto"/>
        <w:ind w:left="124" w:right="113" w:firstLine="360"/>
        <w:jc w:val="both"/>
      </w:pPr>
      <w:r>
        <w:rPr>
          <w:color w:val="231F20"/>
          <w:w w:val="110"/>
        </w:rPr>
        <w:t>El trabajo asalariado-remunerado que realizan los diferentes miem- bros de la familia campesina se ha convertido en indispensable para la subsistencia del grupo, el dinero no alcanza para cubrir las necesidades básicas. Los padres de familia siempre quieren “seguir trabajando para educar a los hijos, terminar de construir su casa y tener una vida mejor en la vejez” (Reyes, 2012).</w:t>
      </w:r>
    </w:p>
    <w:p>
      <w:pPr>
        <w:pStyle w:val="BodyText"/>
        <w:spacing w:line="288" w:lineRule="auto"/>
        <w:ind w:left="124" w:right="111" w:firstLine="360"/>
        <w:jc w:val="both"/>
      </w:pPr>
      <w:r>
        <w:rPr>
          <w:color w:val="231F20"/>
          <w:w w:val="110"/>
        </w:rPr>
        <w:t>Es importante resaltar que esta estrategia de la familia está basada en la solidaridad y la </w:t>
      </w:r>
      <w:r>
        <w:rPr>
          <w:color w:val="231F20"/>
          <w:spacing w:val="-3"/>
          <w:w w:val="110"/>
        </w:rPr>
        <w:t>organización </w:t>
      </w:r>
      <w:r>
        <w:rPr>
          <w:color w:val="231F20"/>
          <w:w w:val="110"/>
        </w:rPr>
        <w:t>social; tanto hombres, como mujeres,</w:t>
      </w:r>
      <w:r>
        <w:rPr>
          <w:color w:val="231F20"/>
          <w:spacing w:val="-24"/>
          <w:w w:val="110"/>
        </w:rPr>
        <w:t> </w:t>
      </w:r>
      <w:r>
        <w:rPr>
          <w:color w:val="231F20"/>
          <w:w w:val="110"/>
        </w:rPr>
        <w:t>niños y ancianos participan y contribuyen a sostener a la familia realizando una actividad económica, doméstica o comercial, además de la agrícola. Por ejemplo, cuando los hijos o hijas mayores ya han llegado a la adolescencia, la madre casi siempre les deja el cuidado de los más chicos, mientras ella se va a trabajar a la fábrica como obrera, o como empleada doméstica; son las</w:t>
      </w:r>
      <w:r>
        <w:rPr>
          <w:color w:val="231F20"/>
          <w:spacing w:val="-9"/>
          <w:w w:val="110"/>
        </w:rPr>
        <w:t> </w:t>
      </w:r>
      <w:r>
        <w:rPr>
          <w:color w:val="231F20"/>
          <w:w w:val="110"/>
        </w:rPr>
        <w:t>hijas</w:t>
      </w:r>
      <w:r>
        <w:rPr>
          <w:color w:val="231F20"/>
          <w:spacing w:val="-9"/>
          <w:w w:val="110"/>
        </w:rPr>
        <w:t> </w:t>
      </w:r>
      <w:r>
        <w:rPr>
          <w:color w:val="231F20"/>
          <w:w w:val="110"/>
        </w:rPr>
        <w:t>mayores</w:t>
      </w:r>
      <w:r>
        <w:rPr>
          <w:color w:val="231F20"/>
          <w:spacing w:val="-9"/>
          <w:w w:val="110"/>
        </w:rPr>
        <w:t> </w:t>
      </w:r>
      <w:r>
        <w:rPr>
          <w:color w:val="231F20"/>
          <w:w w:val="110"/>
        </w:rPr>
        <w:t>quienes</w:t>
      </w:r>
      <w:r>
        <w:rPr>
          <w:color w:val="231F20"/>
          <w:spacing w:val="-9"/>
          <w:w w:val="110"/>
        </w:rPr>
        <w:t> </w:t>
      </w:r>
      <w:r>
        <w:rPr>
          <w:color w:val="231F20"/>
          <w:w w:val="110"/>
        </w:rPr>
        <w:t>limpian</w:t>
      </w:r>
      <w:r>
        <w:rPr>
          <w:color w:val="231F20"/>
          <w:spacing w:val="-9"/>
          <w:w w:val="110"/>
        </w:rPr>
        <w:t> </w:t>
      </w:r>
      <w:r>
        <w:rPr>
          <w:color w:val="231F20"/>
          <w:w w:val="110"/>
        </w:rPr>
        <w:t>la</w:t>
      </w:r>
      <w:r>
        <w:rPr>
          <w:color w:val="231F20"/>
          <w:spacing w:val="-9"/>
          <w:w w:val="110"/>
        </w:rPr>
        <w:t> </w:t>
      </w:r>
      <w:r>
        <w:rPr>
          <w:color w:val="231F20"/>
          <w:w w:val="110"/>
        </w:rPr>
        <w:t>casa,</w:t>
      </w:r>
      <w:r>
        <w:rPr>
          <w:color w:val="231F20"/>
          <w:spacing w:val="-9"/>
          <w:w w:val="110"/>
        </w:rPr>
        <w:t> </w:t>
      </w:r>
      <w:r>
        <w:rPr>
          <w:color w:val="231F20"/>
          <w:w w:val="110"/>
        </w:rPr>
        <w:t>preparan</w:t>
      </w:r>
      <w:r>
        <w:rPr>
          <w:color w:val="231F20"/>
          <w:spacing w:val="-9"/>
          <w:w w:val="110"/>
        </w:rPr>
        <w:t> </w:t>
      </w:r>
      <w:r>
        <w:rPr>
          <w:color w:val="231F20"/>
          <w:w w:val="110"/>
        </w:rPr>
        <w:t>la</w:t>
      </w:r>
      <w:r>
        <w:rPr>
          <w:color w:val="231F20"/>
          <w:spacing w:val="-9"/>
          <w:w w:val="110"/>
        </w:rPr>
        <w:t> </w:t>
      </w:r>
      <w:r>
        <w:rPr>
          <w:color w:val="231F20"/>
          <w:w w:val="110"/>
        </w:rPr>
        <w:t>comida</w:t>
      </w:r>
      <w:r>
        <w:rPr>
          <w:color w:val="231F20"/>
          <w:spacing w:val="-9"/>
          <w:w w:val="110"/>
        </w:rPr>
        <w:t> </w:t>
      </w:r>
      <w:r>
        <w:rPr>
          <w:color w:val="231F20"/>
          <w:w w:val="110"/>
        </w:rPr>
        <w:t>y</w:t>
      </w:r>
      <w:r>
        <w:rPr>
          <w:color w:val="231F20"/>
          <w:spacing w:val="-9"/>
          <w:w w:val="110"/>
        </w:rPr>
        <w:t> </w:t>
      </w:r>
      <w:r>
        <w:rPr>
          <w:color w:val="231F20"/>
          <w:w w:val="110"/>
        </w:rPr>
        <w:t>cuidan</w:t>
      </w:r>
      <w:r>
        <w:rPr>
          <w:color w:val="231F20"/>
          <w:spacing w:val="-9"/>
          <w:w w:val="110"/>
        </w:rPr>
        <w:t> </w:t>
      </w:r>
      <w:r>
        <w:rPr>
          <w:color w:val="231F20"/>
          <w:w w:val="110"/>
        </w:rPr>
        <w:t>a</w:t>
      </w:r>
      <w:r>
        <w:rPr>
          <w:color w:val="231F20"/>
          <w:spacing w:val="-9"/>
          <w:w w:val="110"/>
        </w:rPr>
        <w:t> </w:t>
      </w:r>
      <w:r>
        <w:rPr>
          <w:color w:val="231F20"/>
          <w:w w:val="110"/>
        </w:rPr>
        <w:t>los hermanos</w:t>
      </w:r>
      <w:r>
        <w:rPr>
          <w:color w:val="231F20"/>
          <w:spacing w:val="29"/>
          <w:w w:val="110"/>
        </w:rPr>
        <w:t> </w:t>
      </w:r>
      <w:r>
        <w:rPr>
          <w:color w:val="231F20"/>
          <w:w w:val="110"/>
        </w:rPr>
        <w:t>menores.</w:t>
      </w:r>
    </w:p>
    <w:p>
      <w:pPr>
        <w:spacing w:after="0" w:line="288" w:lineRule="auto"/>
        <w:jc w:val="both"/>
        <w:sectPr>
          <w:pgSz w:w="9520" w:h="12920"/>
          <w:pgMar w:header="0" w:footer="1344" w:top="880" w:bottom="1540" w:left="1320" w:right="1000"/>
        </w:sectPr>
      </w:pPr>
    </w:p>
    <w:p>
      <w:pPr>
        <w:spacing w:line="185" w:lineRule="exact" w:before="65"/>
        <w:ind w:left="457" w:right="457" w:firstLine="0"/>
        <w:jc w:val="center"/>
        <w:rPr>
          <w:sz w:val="16"/>
        </w:rPr>
      </w:pPr>
      <w:r>
        <w:rPr>
          <w:color w:val="231F20"/>
          <w:w w:val="105"/>
          <w:sz w:val="16"/>
        </w:rPr>
        <w:t>Gráfica 4</w:t>
      </w:r>
    </w:p>
    <w:p>
      <w:pPr>
        <w:spacing w:line="220" w:lineRule="exact" w:before="0"/>
        <w:ind w:left="457" w:right="457" w:firstLine="0"/>
        <w:jc w:val="center"/>
        <w:rPr>
          <w:sz w:val="19"/>
        </w:rPr>
      </w:pPr>
      <w:r>
        <w:rPr>
          <w:color w:val="231F20"/>
          <w:w w:val="90"/>
          <w:sz w:val="19"/>
        </w:rPr>
        <w:t>Actividades de las mujeres campesinas</w:t>
      </w:r>
    </w:p>
    <w:p>
      <w:pPr>
        <w:pStyle w:val="BodyText"/>
      </w:pPr>
    </w:p>
    <w:p>
      <w:pPr>
        <w:pStyle w:val="BodyText"/>
      </w:pPr>
    </w:p>
    <w:p>
      <w:pPr>
        <w:pStyle w:val="BodyText"/>
        <w:rPr>
          <w:sz w:val="26"/>
        </w:rPr>
      </w:pPr>
    </w:p>
    <w:p>
      <w:pPr>
        <w:spacing w:line="403" w:lineRule="auto" w:before="82"/>
        <w:ind w:left="5711" w:right="450" w:firstLine="0"/>
        <w:jc w:val="left"/>
        <w:rPr>
          <w:sz w:val="12"/>
        </w:rPr>
      </w:pPr>
      <w:r>
        <w:rPr/>
        <w:pict>
          <v:group style="position:absolute;margin-left:69.0905pt;margin-top:-25.04504pt;width:242.1pt;height:149.1pt;mso-position-horizontal-relative:page;mso-position-vertical-relative:paragraph;z-index:3592" coordorigin="1382,-501" coordsize="4842,2982">
            <v:shape style="position:absolute;left:4341;top:-120;width:765;height:2230" coordorigin="4341,-120" coordsize="765,2230" path="m5105,-120l4342,778m5106,2110l4341,1205e" filled="false" stroked="true" strokeweight=".265pt" strokecolor="#231f20">
              <v:path arrowok="t"/>
            </v:shape>
            <v:shape style="position:absolute;left:1382;top:-501;width:2966;height:2982" coordorigin="1382,-501" coordsize="2966,2982" path="m2872,-501l2796,-499,2720,-493,2645,-484,2572,-471,2500,-454,2429,-434,2360,-410,2292,-384,2226,-354,2162,-321,2099,-285,2039,-246,1981,-205,1924,-161,1870,-114,1818,-64,1769,-13,1722,42,1678,98,1636,156,1598,217,1562,279,1529,343,1499,410,1472,477,1449,546,1429,617,1412,689,1399,763,1390,837,1384,913,1382,990,1384,1066,1390,1142,1399,1217,1412,1290,1429,1362,1449,1433,1472,1502,1499,1570,1529,1636,1562,1700,1598,1763,1636,1823,1678,1882,1722,1938,1769,1992,1818,2044,1870,2093,1924,2140,1981,2184,2039,2226,2099,2265,2162,2300,2226,2333,2292,2363,2360,2390,2429,2413,2500,2433,2572,2450,2645,2463,2720,2473,2796,2478,2872,2480,2949,2478,3025,2473,3100,2463,3174,2450,3246,2433,3317,2413,3387,2389,3455,2362,3521,2332,3586,2299,3648,2263,3709,2224,3767,2182,3824,2137,3878,2090,3930,2040,3979,1988,4026,1934,4070,1877,4112,1818,4150,1757,4186,1695,4219,1630,4249,1563,4275,1495,4298,1426,4318,1354,4334,1282,4347,1208,2865,990,3316,-434,3245,-454,3173,-471,3099,-484,3025,-493,2949,-499,2872,-501xe" filled="true" fillcolor="#808285" stroked="false">
              <v:path arrowok="t"/>
              <v:fill type="solid"/>
            </v:shape>
            <v:shape style="position:absolute;left:2865;top:771;width:1499;height:437" coordorigin="2865,771" coordsize="1499,437" path="m4347,771l2865,990,4347,1208,4354,1154,4359,1100,4362,1045,4363,990,4362,934,4359,880,4354,825,4347,771xe" filled="true" fillcolor="#bcbec0" stroked="false">
              <v:path arrowok="t"/>
              <v:fill type="solid"/>
            </v:shape>
            <v:shape style="position:absolute;left:2865;top:588;width:1483;height:403" coordorigin="2865,588" coordsize="1483,403" path="m4308,588l2865,990,4347,771,4340,725,4331,679,4320,633,4308,588xe" filled="true" fillcolor="#6d6e71" stroked="false">
              <v:path arrowok="t"/>
              <v:fill type="solid"/>
            </v:shape>
            <v:shape style="position:absolute;left:2865;top:169;width:1444;height:821" coordorigin="2865,169" coordsize="1444,821" path="m4117,169l2865,990,4308,588,4285,513,4259,440,4228,370,4195,301,4157,234,4117,169xe" filled="true" fillcolor="#939598" stroked="false">
              <v:path arrowok="t"/>
              <v:fill type="solid"/>
            </v:shape>
            <v:shape style="position:absolute;left:2864;top:-70;width:1253;height:1060" coordorigin="2864,-70" coordsize="1253,1060" path="m3921,-70l2864,990,4117,169,4073,105,4025,44,3974,-14,3921,-70xe" filled="true" fillcolor="#231f20" stroked="false">
              <v:path arrowok="t"/>
              <v:fill type="solid"/>
            </v:shape>
            <v:shape style="position:absolute;left:2864;top:-434;width:1057;height:1424" coordorigin="2864,-434" coordsize="1057,1424" path="m3316,-434l2864,990,3921,-70,3863,-124,3803,-175,3741,-222,3675,-266,3608,-307,3538,-345,3466,-378,3392,-408,3316,-434xe" filled="true" fillcolor="#d1d3d4" stroked="false">
              <v:path arrowok="t"/>
              <v:fill type="solid"/>
            </v:shape>
            <v:rect style="position:absolute;left:5102;top:-122;width:1121;height:1593" filled="true" fillcolor="#a7a9ac" stroked="false">
              <v:fill type="solid"/>
            </v:rect>
            <v:rect style="position:absolute;left:5102;top:1471;width:1121;height:315" filled="true" fillcolor="#dcddde" stroked="false">
              <v:fill type="solid"/>
            </v:rect>
            <v:rect style="position:absolute;left:5102;top:1786;width:1121;height:327" filled="true" fillcolor="#58595b" stroked="false">
              <v:fill type="solid"/>
            </v:rect>
            <v:shape style="position:absolute;left:3400;top:-66;width:157;height:120" type="#_x0000_t202" filled="false" stroked="false">
              <v:textbox inset="0,0,0,0">
                <w:txbxContent>
                  <w:p>
                    <w:pPr>
                      <w:spacing w:line="120" w:lineRule="exact" w:before="0"/>
                      <w:ind w:left="0" w:right="-19" w:firstLine="0"/>
                      <w:jc w:val="left"/>
                      <w:rPr>
                        <w:sz w:val="12"/>
                      </w:rPr>
                    </w:pPr>
                    <w:r>
                      <w:rPr>
                        <w:color w:val="231F20"/>
                        <w:w w:val="90"/>
                        <w:sz w:val="12"/>
                      </w:rPr>
                      <w:t>8%</w:t>
                    </w:r>
                  </w:p>
                </w:txbxContent>
              </v:textbox>
              <w10:wrap type="none"/>
            </v:shape>
            <v:shape style="position:absolute;left:4120;top:-70;width:157;height:120" type="#_x0000_t202" filled="false" stroked="false">
              <v:textbox inset="0,0,0,0">
                <w:txbxContent>
                  <w:p>
                    <w:pPr>
                      <w:spacing w:line="120" w:lineRule="exact" w:before="0"/>
                      <w:ind w:left="0" w:right="-19" w:firstLine="0"/>
                      <w:jc w:val="left"/>
                      <w:rPr>
                        <w:sz w:val="12"/>
                      </w:rPr>
                    </w:pPr>
                    <w:r>
                      <w:rPr>
                        <w:color w:val="231F20"/>
                        <w:w w:val="90"/>
                        <w:sz w:val="12"/>
                      </w:rPr>
                      <w:t>3%</w:t>
                    </w:r>
                  </w:p>
                </w:txbxContent>
              </v:textbox>
              <w10:wrap type="none"/>
            </v:shape>
            <v:shape style="position:absolute;left:4000;top:414;width:299;height:627" type="#_x0000_t202" filled="false" stroked="false">
              <v:textbox inset="0,0,0,0">
                <w:txbxContent>
                  <w:p>
                    <w:pPr>
                      <w:spacing w:line="123" w:lineRule="exact" w:before="0"/>
                      <w:ind w:left="0" w:right="-18" w:firstLine="0"/>
                      <w:jc w:val="left"/>
                      <w:rPr>
                        <w:sz w:val="12"/>
                      </w:rPr>
                    </w:pPr>
                    <w:r>
                      <w:rPr>
                        <w:color w:val="231F20"/>
                        <w:sz w:val="12"/>
                      </w:rPr>
                      <w:t>5%</w:t>
                    </w:r>
                  </w:p>
                  <w:p>
                    <w:pPr>
                      <w:spacing w:before="89"/>
                      <w:ind w:left="141" w:right="-18" w:firstLine="0"/>
                      <w:jc w:val="left"/>
                      <w:rPr>
                        <w:sz w:val="12"/>
                      </w:rPr>
                    </w:pPr>
                    <w:r>
                      <w:rPr>
                        <w:color w:val="231F20"/>
                        <w:w w:val="90"/>
                        <w:sz w:val="12"/>
                      </w:rPr>
                      <w:t>2%</w:t>
                    </w:r>
                  </w:p>
                  <w:p>
                    <w:pPr>
                      <w:spacing w:line="240" w:lineRule="auto" w:before="7"/>
                      <w:rPr>
                        <w:sz w:val="11"/>
                      </w:rPr>
                    </w:pPr>
                  </w:p>
                  <w:p>
                    <w:pPr>
                      <w:spacing w:line="138" w:lineRule="exact" w:before="0"/>
                      <w:ind w:left="60" w:right="-18" w:firstLine="0"/>
                      <w:jc w:val="left"/>
                      <w:rPr>
                        <w:sz w:val="12"/>
                      </w:rPr>
                    </w:pPr>
                    <w:r>
                      <w:rPr>
                        <w:color w:val="231F20"/>
                        <w:sz w:val="12"/>
                      </w:rPr>
                      <w:t>5%</w:t>
                    </w:r>
                  </w:p>
                </w:txbxContent>
              </v:textbox>
              <w10:wrap type="none"/>
            </v:shape>
            <v:shape style="position:absolute;left:1904;top:1394;width:224;height:120" type="#_x0000_t202" filled="false" stroked="false">
              <v:textbox inset="0,0,0,0">
                <w:txbxContent>
                  <w:p>
                    <w:pPr>
                      <w:spacing w:line="120" w:lineRule="exact" w:before="0"/>
                      <w:ind w:left="0" w:right="-12" w:firstLine="0"/>
                      <w:jc w:val="left"/>
                      <w:rPr>
                        <w:sz w:val="12"/>
                      </w:rPr>
                    </w:pPr>
                    <w:r>
                      <w:rPr>
                        <w:color w:val="231F20"/>
                        <w:w w:val="90"/>
                        <w:sz w:val="12"/>
                      </w:rPr>
                      <w:t>77%</w:t>
                    </w:r>
                  </w:p>
                </w:txbxContent>
              </v:textbox>
              <w10:wrap type="none"/>
            </v:shape>
            <w10:wrap type="none"/>
          </v:group>
        </w:pict>
      </w:r>
      <w:r>
        <w:rPr/>
        <w:pict>
          <v:line style="position:absolute;mso-position-horizontal-relative:page;mso-position-vertical-relative:paragraph;z-index:3616" from="329.082001pt,8.564859pt" to="333.800001pt,8.564859pt" stroked="true" strokeweight="3.867pt" strokecolor="#808285">
            <w10:wrap type="none"/>
          </v:line>
        </w:pict>
      </w:r>
      <w:r>
        <w:rPr/>
        <w:pict>
          <v:line style="position:absolute;mso-position-horizontal-relative:page;mso-position-vertical-relative:paragraph;z-index:3640" from="329.082001pt,20.25786pt" to="333.800001pt,20.25786pt" stroked="true" strokeweight="3.867pt" strokecolor="#d1d3d4">
            <w10:wrap type="none"/>
          </v:line>
        </w:pict>
      </w:r>
      <w:r>
        <w:rPr>
          <w:color w:val="231F20"/>
          <w:w w:val="110"/>
          <w:sz w:val="12"/>
        </w:rPr>
        <w:t>ama de casa obrera</w:t>
      </w:r>
    </w:p>
    <w:p>
      <w:pPr>
        <w:tabs>
          <w:tab w:pos="5711" w:val="left" w:leader="none"/>
        </w:tabs>
        <w:spacing w:line="300" w:lineRule="auto" w:before="0"/>
        <w:ind w:left="5711" w:right="944" w:hanging="437"/>
        <w:jc w:val="left"/>
        <w:rPr>
          <w:sz w:val="12"/>
        </w:rPr>
      </w:pPr>
      <w:r>
        <w:rPr/>
        <w:pict>
          <v:line style="position:absolute;mso-position-horizontal-relative:page;mso-position-vertical-relative:paragraph;z-index:-455224" from="329.082001pt,4.242865pt" to="333.800001pt,4.242865pt" stroked="true" strokeweight="3.867pt" strokecolor="#231f20">
            <w10:wrap type="none"/>
          </v:line>
        </w:pict>
      </w:r>
      <w:r>
        <w:rPr/>
        <w:pict>
          <v:line style="position:absolute;mso-position-horizontal-relative:page;mso-position-vertical-relative:paragraph;z-index:-455200" from="329.082001pt,15.935865pt" to="333.800001pt,15.935865pt" stroked="true" strokeweight="3.867pt" strokecolor="#939598">
            <w10:wrap type="none"/>
          </v:line>
        </w:pict>
      </w:r>
      <w:r>
        <w:rPr>
          <w:color w:val="231F20"/>
          <w:w w:val="105"/>
          <w:position w:val="-5"/>
          <w:sz w:val="12"/>
        </w:rPr>
        <w:t>3%</w:t>
        <w:tab/>
      </w:r>
      <w:r>
        <w:rPr>
          <w:color w:val="231F20"/>
          <w:w w:val="105"/>
          <w:sz w:val="12"/>
        </w:rPr>
        <w:t>empleada maestra</w:t>
      </w:r>
    </w:p>
    <w:p>
      <w:pPr>
        <w:spacing w:before="55"/>
        <w:ind w:left="120" w:right="430" w:firstLine="0"/>
        <w:jc w:val="right"/>
        <w:rPr>
          <w:sz w:val="12"/>
        </w:rPr>
      </w:pPr>
      <w:r>
        <w:rPr/>
        <w:pict>
          <v:line style="position:absolute;mso-position-horizontal-relative:page;mso-position-vertical-relative:paragraph;z-index:3712" from="329.082001pt,7.033108pt" to="333.800001pt,7.033108pt" stroked="true" strokeweight="3.867pt" strokecolor="#6d6e71">
            <w10:wrap type="none"/>
          </v:line>
        </w:pict>
      </w:r>
      <w:r>
        <w:rPr>
          <w:color w:val="231F20"/>
          <w:w w:val="110"/>
          <w:sz w:val="12"/>
        </w:rPr>
        <w:t>servicio doméstico</w:t>
      </w:r>
    </w:p>
    <w:p>
      <w:pPr>
        <w:spacing w:before="100"/>
        <w:ind w:left="120" w:right="794" w:firstLine="0"/>
        <w:jc w:val="right"/>
        <w:rPr>
          <w:sz w:val="12"/>
        </w:rPr>
      </w:pPr>
      <w:r>
        <w:rPr/>
        <w:pict>
          <v:line style="position:absolute;mso-position-horizontal-relative:page;mso-position-vertical-relative:paragraph;z-index:3736" from="329.082001pt,8.910465pt" to="333.800001pt,8.910465pt" stroked="true" strokeweight="3.867pt" strokecolor="#a7a9ac">
            <w10:wrap type="none"/>
          </v:line>
        </w:pict>
      </w:r>
      <w:r>
        <w:rPr>
          <w:color w:val="231F20"/>
          <w:w w:val="110"/>
          <w:sz w:val="12"/>
        </w:rPr>
        <w:t>comerciante</w:t>
      </w:r>
    </w:p>
    <w:p>
      <w:pPr>
        <w:tabs>
          <w:tab w:pos="5711" w:val="left" w:leader="none"/>
        </w:tabs>
        <w:spacing w:line="300" w:lineRule="auto" w:before="95"/>
        <w:ind w:left="5711" w:right="901" w:hanging="437"/>
        <w:jc w:val="right"/>
        <w:rPr>
          <w:sz w:val="12"/>
        </w:rPr>
      </w:pPr>
      <w:r>
        <w:rPr/>
        <w:pict>
          <v:line style="position:absolute;mso-position-horizontal-relative:page;mso-position-vertical-relative:paragraph;z-index:-455128" from="329.082001pt,8.548906pt" to="333.800001pt,8.548906pt" stroked="true" strokeweight="3.867pt" strokecolor="#dcddde">
            <w10:wrap type="none"/>
          </v:line>
        </w:pict>
      </w:r>
      <w:r>
        <w:rPr/>
        <w:pict>
          <v:line style="position:absolute;mso-position-horizontal-relative:page;mso-position-vertical-relative:paragraph;z-index:-455104" from="329.082001pt,20.241907pt" to="333.800001pt,20.241907pt" stroked="true" strokeweight="3.867pt" strokecolor="#58595b">
            <w10:wrap type="none"/>
          </v:line>
        </w:pict>
      </w:r>
      <w:r>
        <w:rPr>
          <w:color w:val="231F20"/>
          <w:w w:val="105"/>
          <w:position w:val="-5"/>
          <w:sz w:val="12"/>
        </w:rPr>
        <w:t>1%</w:t>
        <w:tab/>
      </w:r>
      <w:r>
        <w:rPr>
          <w:color w:val="231F20"/>
          <w:w w:val="105"/>
          <w:sz w:val="12"/>
        </w:rPr>
        <w:t>secretaria enfermera</w:t>
      </w:r>
    </w:p>
    <w:p>
      <w:pPr>
        <w:spacing w:line="108" w:lineRule="exact" w:before="0"/>
        <w:ind w:left="120" w:right="1767" w:firstLine="0"/>
        <w:jc w:val="right"/>
        <w:rPr>
          <w:sz w:val="12"/>
        </w:rPr>
      </w:pPr>
      <w:r>
        <w:rPr>
          <w:color w:val="231F20"/>
          <w:w w:val="90"/>
          <w:sz w:val="12"/>
        </w:rPr>
        <w:t>1%</w:t>
      </w:r>
    </w:p>
    <w:p>
      <w:pPr>
        <w:pStyle w:val="BodyText"/>
      </w:pPr>
    </w:p>
    <w:p>
      <w:pPr>
        <w:pStyle w:val="BodyText"/>
        <w:spacing w:before="3"/>
        <w:rPr>
          <w:sz w:val="27"/>
        </w:rPr>
      </w:pPr>
    </w:p>
    <w:p>
      <w:pPr>
        <w:spacing w:before="78"/>
        <w:ind w:left="480" w:right="0" w:firstLine="0"/>
        <w:jc w:val="both"/>
        <w:rPr>
          <w:sz w:val="15"/>
        </w:rPr>
      </w:pPr>
      <w:r>
        <w:rPr>
          <w:color w:val="231F20"/>
          <w:w w:val="110"/>
          <w:sz w:val="15"/>
        </w:rPr>
        <w:t>Fuente: Elaboración propia a partir de la encuesta junio-julio, 2002 (Reyes, 2012: 111).</w:t>
      </w:r>
    </w:p>
    <w:p>
      <w:pPr>
        <w:pStyle w:val="BodyText"/>
        <w:rPr>
          <w:sz w:val="14"/>
        </w:rPr>
      </w:pPr>
    </w:p>
    <w:p>
      <w:pPr>
        <w:pStyle w:val="BodyText"/>
        <w:rPr>
          <w:sz w:val="15"/>
        </w:rPr>
      </w:pPr>
    </w:p>
    <w:p>
      <w:pPr>
        <w:pStyle w:val="BodyText"/>
        <w:ind w:left="480"/>
        <w:jc w:val="both"/>
      </w:pPr>
      <w:r>
        <w:rPr>
          <w:color w:val="231F20"/>
          <w:w w:val="110"/>
        </w:rPr>
        <w:t>Se considera que la familia campesina de la región de  estudio</w:t>
      </w:r>
    </w:p>
    <w:p>
      <w:pPr>
        <w:pStyle w:val="BodyText"/>
      </w:pPr>
    </w:p>
    <w:p>
      <w:pPr>
        <w:spacing w:line="283" w:lineRule="auto" w:before="0"/>
        <w:ind w:left="480" w:right="117" w:firstLine="0"/>
        <w:jc w:val="both"/>
        <w:rPr>
          <w:sz w:val="18"/>
        </w:rPr>
      </w:pPr>
      <w:r>
        <w:rPr>
          <w:color w:val="231F20"/>
          <w:w w:val="110"/>
          <w:sz w:val="18"/>
        </w:rPr>
        <w:t>ha</w:t>
      </w:r>
      <w:r>
        <w:rPr>
          <w:color w:val="231F20"/>
          <w:spacing w:val="-12"/>
          <w:w w:val="110"/>
          <w:sz w:val="18"/>
        </w:rPr>
        <w:t> </w:t>
      </w:r>
      <w:r>
        <w:rPr>
          <w:color w:val="231F20"/>
          <w:spacing w:val="-4"/>
          <w:w w:val="110"/>
          <w:sz w:val="18"/>
        </w:rPr>
        <w:t>implementado</w:t>
      </w:r>
      <w:r>
        <w:rPr>
          <w:color w:val="231F20"/>
          <w:spacing w:val="-12"/>
          <w:w w:val="110"/>
          <w:sz w:val="18"/>
        </w:rPr>
        <w:t> </w:t>
      </w:r>
      <w:r>
        <w:rPr>
          <w:color w:val="231F20"/>
          <w:w w:val="110"/>
          <w:sz w:val="18"/>
        </w:rPr>
        <w:t>la</w:t>
      </w:r>
      <w:r>
        <w:rPr>
          <w:color w:val="231F20"/>
          <w:spacing w:val="-12"/>
          <w:w w:val="110"/>
          <w:sz w:val="18"/>
        </w:rPr>
        <w:t> </w:t>
      </w:r>
      <w:r>
        <w:rPr>
          <w:color w:val="231F20"/>
          <w:spacing w:val="-4"/>
          <w:w w:val="110"/>
          <w:sz w:val="18"/>
        </w:rPr>
        <w:t>diversificación</w:t>
      </w:r>
      <w:r>
        <w:rPr>
          <w:color w:val="231F20"/>
          <w:spacing w:val="-12"/>
          <w:w w:val="110"/>
          <w:sz w:val="18"/>
        </w:rPr>
        <w:t> </w:t>
      </w:r>
      <w:r>
        <w:rPr>
          <w:color w:val="231F20"/>
          <w:w w:val="110"/>
          <w:sz w:val="18"/>
        </w:rPr>
        <w:t>de</w:t>
      </w:r>
      <w:r>
        <w:rPr>
          <w:color w:val="231F20"/>
          <w:spacing w:val="-12"/>
          <w:w w:val="110"/>
          <w:sz w:val="18"/>
        </w:rPr>
        <w:t> </w:t>
      </w:r>
      <w:r>
        <w:rPr>
          <w:color w:val="231F20"/>
          <w:spacing w:val="-3"/>
          <w:w w:val="110"/>
          <w:sz w:val="18"/>
        </w:rPr>
        <w:t>las</w:t>
      </w:r>
      <w:r>
        <w:rPr>
          <w:color w:val="231F20"/>
          <w:spacing w:val="-12"/>
          <w:w w:val="110"/>
          <w:sz w:val="18"/>
        </w:rPr>
        <w:t> </w:t>
      </w:r>
      <w:r>
        <w:rPr>
          <w:color w:val="231F20"/>
          <w:spacing w:val="-4"/>
          <w:w w:val="110"/>
          <w:sz w:val="18"/>
        </w:rPr>
        <w:t>actividades,</w:t>
      </w:r>
      <w:r>
        <w:rPr>
          <w:color w:val="231F20"/>
          <w:spacing w:val="-12"/>
          <w:w w:val="110"/>
          <w:sz w:val="18"/>
        </w:rPr>
        <w:t> </w:t>
      </w:r>
      <w:r>
        <w:rPr>
          <w:color w:val="231F20"/>
          <w:spacing w:val="-3"/>
          <w:w w:val="110"/>
          <w:sz w:val="18"/>
        </w:rPr>
        <w:t>como</w:t>
      </w:r>
      <w:r>
        <w:rPr>
          <w:color w:val="231F20"/>
          <w:spacing w:val="-12"/>
          <w:w w:val="110"/>
          <w:sz w:val="18"/>
        </w:rPr>
        <w:t> </w:t>
      </w:r>
      <w:r>
        <w:rPr>
          <w:color w:val="231F20"/>
          <w:spacing w:val="-3"/>
          <w:w w:val="110"/>
          <w:sz w:val="18"/>
        </w:rPr>
        <w:t>una</w:t>
      </w:r>
      <w:r>
        <w:rPr>
          <w:color w:val="231F20"/>
          <w:spacing w:val="-12"/>
          <w:w w:val="110"/>
          <w:sz w:val="18"/>
        </w:rPr>
        <w:t> </w:t>
      </w:r>
      <w:r>
        <w:rPr>
          <w:color w:val="231F20"/>
          <w:spacing w:val="-4"/>
          <w:w w:val="110"/>
          <w:sz w:val="18"/>
        </w:rPr>
        <w:t>estrategia</w:t>
      </w:r>
      <w:r>
        <w:rPr>
          <w:color w:val="231F20"/>
          <w:spacing w:val="-12"/>
          <w:w w:val="110"/>
          <w:sz w:val="18"/>
        </w:rPr>
        <w:t> </w:t>
      </w:r>
      <w:r>
        <w:rPr>
          <w:color w:val="231F20"/>
          <w:w w:val="110"/>
          <w:sz w:val="18"/>
        </w:rPr>
        <w:t>de</w:t>
      </w:r>
      <w:r>
        <w:rPr>
          <w:color w:val="231F20"/>
          <w:spacing w:val="-12"/>
          <w:w w:val="110"/>
          <w:sz w:val="18"/>
        </w:rPr>
        <w:t> </w:t>
      </w:r>
      <w:r>
        <w:rPr>
          <w:color w:val="231F20"/>
          <w:spacing w:val="-3"/>
          <w:w w:val="110"/>
          <w:sz w:val="18"/>
        </w:rPr>
        <w:t>sub- </w:t>
      </w:r>
      <w:r>
        <w:rPr>
          <w:color w:val="231F20"/>
          <w:w w:val="110"/>
          <w:sz w:val="18"/>
        </w:rPr>
        <w:t>sistencia a partir de su organización social, al redistribuir las faenas agrícolas y el trabajo asalariado-remunerado por edad y sexo. Para las familias, la movi- lidad</w:t>
      </w:r>
      <w:r>
        <w:rPr>
          <w:color w:val="231F20"/>
          <w:spacing w:val="-6"/>
          <w:w w:val="110"/>
          <w:sz w:val="18"/>
        </w:rPr>
        <w:t> </w:t>
      </w:r>
      <w:r>
        <w:rPr>
          <w:color w:val="231F20"/>
          <w:w w:val="110"/>
          <w:sz w:val="18"/>
        </w:rPr>
        <w:t>que</w:t>
      </w:r>
      <w:r>
        <w:rPr>
          <w:color w:val="231F20"/>
          <w:spacing w:val="-6"/>
          <w:w w:val="110"/>
          <w:sz w:val="18"/>
        </w:rPr>
        <w:t> </w:t>
      </w:r>
      <w:r>
        <w:rPr>
          <w:color w:val="231F20"/>
          <w:w w:val="110"/>
          <w:sz w:val="18"/>
        </w:rPr>
        <w:t>se</w:t>
      </w:r>
      <w:r>
        <w:rPr>
          <w:color w:val="231F20"/>
          <w:spacing w:val="-6"/>
          <w:w w:val="110"/>
          <w:sz w:val="18"/>
        </w:rPr>
        <w:t> </w:t>
      </w:r>
      <w:r>
        <w:rPr>
          <w:color w:val="231F20"/>
          <w:w w:val="110"/>
          <w:sz w:val="18"/>
        </w:rPr>
        <w:t>realiza</w:t>
      </w:r>
      <w:r>
        <w:rPr>
          <w:color w:val="231F20"/>
          <w:spacing w:val="-6"/>
          <w:w w:val="110"/>
          <w:sz w:val="18"/>
        </w:rPr>
        <w:t> </w:t>
      </w:r>
      <w:r>
        <w:rPr>
          <w:color w:val="231F20"/>
          <w:w w:val="110"/>
          <w:sz w:val="18"/>
        </w:rPr>
        <w:t>para</w:t>
      </w:r>
      <w:r>
        <w:rPr>
          <w:color w:val="231F20"/>
          <w:spacing w:val="-6"/>
          <w:w w:val="110"/>
          <w:sz w:val="18"/>
        </w:rPr>
        <w:t> </w:t>
      </w:r>
      <w:r>
        <w:rPr>
          <w:color w:val="231F20"/>
          <w:w w:val="110"/>
          <w:sz w:val="18"/>
        </w:rPr>
        <w:t>emplearse</w:t>
      </w:r>
      <w:r>
        <w:rPr>
          <w:color w:val="231F20"/>
          <w:spacing w:val="-6"/>
          <w:w w:val="110"/>
          <w:sz w:val="18"/>
        </w:rPr>
        <w:t> </w:t>
      </w:r>
      <w:r>
        <w:rPr>
          <w:color w:val="231F20"/>
          <w:w w:val="110"/>
          <w:sz w:val="18"/>
        </w:rPr>
        <w:t>en</w:t>
      </w:r>
      <w:r>
        <w:rPr>
          <w:color w:val="231F20"/>
          <w:spacing w:val="-6"/>
          <w:w w:val="110"/>
          <w:sz w:val="18"/>
        </w:rPr>
        <w:t> </w:t>
      </w:r>
      <w:r>
        <w:rPr>
          <w:color w:val="231F20"/>
          <w:w w:val="110"/>
          <w:sz w:val="18"/>
        </w:rPr>
        <w:t>actividades</w:t>
      </w:r>
      <w:r>
        <w:rPr>
          <w:color w:val="231F20"/>
          <w:spacing w:val="-6"/>
          <w:w w:val="110"/>
          <w:sz w:val="18"/>
        </w:rPr>
        <w:t> </w:t>
      </w:r>
      <w:r>
        <w:rPr>
          <w:color w:val="231F20"/>
          <w:w w:val="110"/>
          <w:sz w:val="18"/>
        </w:rPr>
        <w:t>asalariadas</w:t>
      </w:r>
      <w:r>
        <w:rPr>
          <w:color w:val="231F20"/>
          <w:spacing w:val="-6"/>
          <w:w w:val="110"/>
          <w:sz w:val="18"/>
        </w:rPr>
        <w:t> </w:t>
      </w:r>
      <w:r>
        <w:rPr>
          <w:color w:val="231F20"/>
          <w:w w:val="110"/>
          <w:sz w:val="18"/>
        </w:rPr>
        <w:t>se</w:t>
      </w:r>
      <w:r>
        <w:rPr>
          <w:color w:val="231F20"/>
          <w:spacing w:val="-6"/>
          <w:w w:val="110"/>
          <w:sz w:val="18"/>
        </w:rPr>
        <w:t> </w:t>
      </w:r>
      <w:r>
        <w:rPr>
          <w:color w:val="231F20"/>
          <w:w w:val="110"/>
          <w:sz w:val="18"/>
        </w:rPr>
        <w:t>ha</w:t>
      </w:r>
      <w:r>
        <w:rPr>
          <w:color w:val="231F20"/>
          <w:spacing w:val="-6"/>
          <w:w w:val="110"/>
          <w:sz w:val="18"/>
        </w:rPr>
        <w:t> </w:t>
      </w:r>
      <w:r>
        <w:rPr>
          <w:color w:val="231F20"/>
          <w:w w:val="110"/>
          <w:sz w:val="18"/>
        </w:rPr>
        <w:t>convertido en una práctica común. A partir de los datos de las entrevistas y genealogías,</w:t>
      </w:r>
      <w:r>
        <w:rPr>
          <w:color w:val="231F20"/>
          <w:w w:val="110"/>
          <w:position w:val="5"/>
          <w:sz w:val="10"/>
        </w:rPr>
        <w:t>26 </w:t>
      </w:r>
      <w:r>
        <w:rPr>
          <w:color w:val="231F20"/>
          <w:w w:val="110"/>
          <w:sz w:val="18"/>
        </w:rPr>
        <w:t>se muestra que 79 por ciento de la población vende su fuerza de trabajo en la región</w:t>
      </w:r>
      <w:r>
        <w:rPr>
          <w:color w:val="231F20"/>
          <w:spacing w:val="-13"/>
          <w:w w:val="110"/>
          <w:sz w:val="18"/>
        </w:rPr>
        <w:t> </w:t>
      </w:r>
      <w:r>
        <w:rPr>
          <w:color w:val="231F20"/>
          <w:w w:val="110"/>
          <w:sz w:val="18"/>
        </w:rPr>
        <w:t>del</w:t>
      </w:r>
      <w:r>
        <w:rPr>
          <w:color w:val="231F20"/>
          <w:spacing w:val="-13"/>
          <w:w w:val="110"/>
          <w:sz w:val="18"/>
        </w:rPr>
        <w:t> </w:t>
      </w:r>
      <w:r>
        <w:rPr>
          <w:color w:val="231F20"/>
          <w:w w:val="110"/>
          <w:sz w:val="18"/>
        </w:rPr>
        <w:t>valle</w:t>
      </w:r>
      <w:r>
        <w:rPr>
          <w:color w:val="231F20"/>
          <w:spacing w:val="-13"/>
          <w:w w:val="110"/>
          <w:sz w:val="18"/>
        </w:rPr>
        <w:t> </w:t>
      </w:r>
      <w:r>
        <w:rPr>
          <w:color w:val="231F20"/>
          <w:w w:val="110"/>
          <w:sz w:val="18"/>
        </w:rPr>
        <w:t>de</w:t>
      </w:r>
      <w:r>
        <w:rPr>
          <w:color w:val="231F20"/>
          <w:spacing w:val="-13"/>
          <w:w w:val="110"/>
          <w:sz w:val="18"/>
        </w:rPr>
        <w:t> </w:t>
      </w:r>
      <w:r>
        <w:rPr>
          <w:color w:val="231F20"/>
          <w:w w:val="110"/>
          <w:sz w:val="18"/>
        </w:rPr>
        <w:t>Ixtlahuaca,</w:t>
      </w:r>
      <w:r>
        <w:rPr>
          <w:color w:val="231F20"/>
          <w:spacing w:val="-13"/>
          <w:w w:val="110"/>
          <w:sz w:val="18"/>
        </w:rPr>
        <w:t> </w:t>
      </w:r>
      <w:r>
        <w:rPr>
          <w:color w:val="231F20"/>
          <w:w w:val="110"/>
          <w:sz w:val="18"/>
        </w:rPr>
        <w:t>5</w:t>
      </w:r>
      <w:r>
        <w:rPr>
          <w:color w:val="231F20"/>
          <w:spacing w:val="-13"/>
          <w:w w:val="110"/>
          <w:sz w:val="18"/>
        </w:rPr>
        <w:t> </w:t>
      </w:r>
      <w:r>
        <w:rPr>
          <w:color w:val="231F20"/>
          <w:w w:val="110"/>
          <w:sz w:val="18"/>
        </w:rPr>
        <w:t>por</w:t>
      </w:r>
      <w:r>
        <w:rPr>
          <w:color w:val="231F20"/>
          <w:spacing w:val="-13"/>
          <w:w w:val="110"/>
          <w:sz w:val="18"/>
        </w:rPr>
        <w:t> </w:t>
      </w:r>
      <w:r>
        <w:rPr>
          <w:color w:val="231F20"/>
          <w:w w:val="110"/>
          <w:sz w:val="18"/>
        </w:rPr>
        <w:t>ciento</w:t>
      </w:r>
      <w:r>
        <w:rPr>
          <w:color w:val="231F20"/>
          <w:spacing w:val="-13"/>
          <w:w w:val="110"/>
          <w:sz w:val="18"/>
        </w:rPr>
        <w:t> </w:t>
      </w:r>
      <w:r>
        <w:rPr>
          <w:color w:val="231F20"/>
          <w:w w:val="110"/>
          <w:sz w:val="18"/>
        </w:rPr>
        <w:t>en</w:t>
      </w:r>
      <w:r>
        <w:rPr>
          <w:color w:val="231F20"/>
          <w:spacing w:val="-13"/>
          <w:w w:val="110"/>
          <w:sz w:val="18"/>
        </w:rPr>
        <w:t> </w:t>
      </w:r>
      <w:r>
        <w:rPr>
          <w:color w:val="231F20"/>
          <w:spacing w:val="-5"/>
          <w:w w:val="110"/>
          <w:sz w:val="18"/>
        </w:rPr>
        <w:t>Toluca</w:t>
      </w:r>
      <w:r>
        <w:rPr>
          <w:color w:val="231F20"/>
          <w:spacing w:val="-13"/>
          <w:w w:val="110"/>
          <w:sz w:val="18"/>
        </w:rPr>
        <w:t> </w:t>
      </w:r>
      <w:r>
        <w:rPr>
          <w:color w:val="231F20"/>
          <w:w w:val="110"/>
          <w:sz w:val="18"/>
        </w:rPr>
        <w:t>y</w:t>
      </w:r>
      <w:r>
        <w:rPr>
          <w:color w:val="231F20"/>
          <w:spacing w:val="-13"/>
          <w:w w:val="110"/>
          <w:sz w:val="18"/>
        </w:rPr>
        <w:t> </w:t>
      </w:r>
      <w:r>
        <w:rPr>
          <w:color w:val="231F20"/>
          <w:w w:val="110"/>
          <w:sz w:val="18"/>
        </w:rPr>
        <w:t>13</w:t>
      </w:r>
      <w:r>
        <w:rPr>
          <w:color w:val="231F20"/>
          <w:spacing w:val="-13"/>
          <w:w w:val="110"/>
          <w:sz w:val="18"/>
        </w:rPr>
        <w:t> </w:t>
      </w:r>
      <w:r>
        <w:rPr>
          <w:color w:val="231F20"/>
          <w:w w:val="110"/>
          <w:sz w:val="18"/>
        </w:rPr>
        <w:t>por</w:t>
      </w:r>
      <w:r>
        <w:rPr>
          <w:color w:val="231F20"/>
          <w:spacing w:val="-13"/>
          <w:w w:val="110"/>
          <w:sz w:val="18"/>
        </w:rPr>
        <w:t> </w:t>
      </w:r>
      <w:r>
        <w:rPr>
          <w:color w:val="231F20"/>
          <w:w w:val="110"/>
          <w:sz w:val="18"/>
        </w:rPr>
        <w:t>ciento</w:t>
      </w:r>
      <w:r>
        <w:rPr>
          <w:color w:val="231F20"/>
          <w:spacing w:val="-13"/>
          <w:w w:val="110"/>
          <w:sz w:val="18"/>
        </w:rPr>
        <w:t> </w:t>
      </w:r>
      <w:r>
        <w:rPr>
          <w:color w:val="231F20"/>
          <w:w w:val="110"/>
          <w:sz w:val="18"/>
        </w:rPr>
        <w:t>en</w:t>
      </w:r>
      <w:r>
        <w:rPr>
          <w:color w:val="231F20"/>
          <w:spacing w:val="-13"/>
          <w:w w:val="110"/>
          <w:sz w:val="18"/>
        </w:rPr>
        <w:t> </w:t>
      </w:r>
      <w:r>
        <w:rPr>
          <w:color w:val="231F20"/>
          <w:w w:val="110"/>
          <w:sz w:val="18"/>
        </w:rPr>
        <w:t>la</w:t>
      </w:r>
      <w:r>
        <w:rPr>
          <w:color w:val="231F20"/>
          <w:spacing w:val="-13"/>
          <w:w w:val="110"/>
          <w:sz w:val="18"/>
        </w:rPr>
        <w:t> </w:t>
      </w:r>
      <w:r>
        <w:rPr>
          <w:color w:val="231F20"/>
          <w:w w:val="110"/>
          <w:sz w:val="18"/>
        </w:rPr>
        <w:t>Ciudad de</w:t>
      </w:r>
      <w:r>
        <w:rPr>
          <w:color w:val="231F20"/>
          <w:spacing w:val="-6"/>
          <w:w w:val="110"/>
          <w:sz w:val="18"/>
        </w:rPr>
        <w:t> </w:t>
      </w:r>
      <w:r>
        <w:rPr>
          <w:color w:val="231F20"/>
          <w:spacing w:val="-4"/>
          <w:w w:val="110"/>
          <w:sz w:val="18"/>
        </w:rPr>
        <w:t>México,</w:t>
      </w:r>
      <w:r>
        <w:rPr>
          <w:color w:val="231F20"/>
          <w:spacing w:val="-6"/>
          <w:w w:val="110"/>
          <w:sz w:val="18"/>
        </w:rPr>
        <w:t> </w:t>
      </w:r>
      <w:r>
        <w:rPr>
          <w:color w:val="231F20"/>
          <w:w w:val="110"/>
          <w:sz w:val="18"/>
        </w:rPr>
        <w:t>lo</w:t>
      </w:r>
      <w:r>
        <w:rPr>
          <w:color w:val="231F20"/>
          <w:spacing w:val="-6"/>
          <w:w w:val="110"/>
          <w:sz w:val="18"/>
        </w:rPr>
        <w:t> </w:t>
      </w:r>
      <w:r>
        <w:rPr>
          <w:color w:val="231F20"/>
          <w:spacing w:val="-3"/>
          <w:w w:val="110"/>
          <w:sz w:val="18"/>
        </w:rPr>
        <w:t>cual</w:t>
      </w:r>
      <w:r>
        <w:rPr>
          <w:color w:val="231F20"/>
          <w:spacing w:val="-6"/>
          <w:w w:val="110"/>
          <w:sz w:val="18"/>
        </w:rPr>
        <w:t> </w:t>
      </w:r>
      <w:r>
        <w:rPr>
          <w:color w:val="231F20"/>
          <w:spacing w:val="-3"/>
          <w:w w:val="110"/>
          <w:sz w:val="18"/>
        </w:rPr>
        <w:t>les</w:t>
      </w:r>
      <w:r>
        <w:rPr>
          <w:color w:val="231F20"/>
          <w:spacing w:val="-6"/>
          <w:w w:val="110"/>
          <w:sz w:val="18"/>
        </w:rPr>
        <w:t> </w:t>
      </w:r>
      <w:r>
        <w:rPr>
          <w:color w:val="231F20"/>
          <w:spacing w:val="-4"/>
          <w:w w:val="110"/>
          <w:sz w:val="18"/>
        </w:rPr>
        <w:t>permite</w:t>
      </w:r>
      <w:r>
        <w:rPr>
          <w:color w:val="231F20"/>
          <w:spacing w:val="-6"/>
          <w:w w:val="110"/>
          <w:sz w:val="18"/>
        </w:rPr>
        <w:t> </w:t>
      </w:r>
      <w:r>
        <w:rPr>
          <w:color w:val="231F20"/>
          <w:spacing w:val="-4"/>
          <w:w w:val="110"/>
          <w:sz w:val="18"/>
        </w:rPr>
        <w:t>regresar</w:t>
      </w:r>
      <w:r>
        <w:rPr>
          <w:color w:val="231F20"/>
          <w:spacing w:val="-6"/>
          <w:w w:val="110"/>
          <w:sz w:val="18"/>
        </w:rPr>
        <w:t> </w:t>
      </w:r>
      <w:r>
        <w:rPr>
          <w:color w:val="231F20"/>
          <w:spacing w:val="-4"/>
          <w:w w:val="110"/>
          <w:sz w:val="18"/>
        </w:rPr>
        <w:t>semanalmente</w:t>
      </w:r>
      <w:r>
        <w:rPr>
          <w:color w:val="231F20"/>
          <w:spacing w:val="-6"/>
          <w:w w:val="110"/>
          <w:sz w:val="18"/>
        </w:rPr>
        <w:t> </w:t>
      </w:r>
      <w:r>
        <w:rPr>
          <w:color w:val="231F20"/>
          <w:w w:val="110"/>
          <w:sz w:val="18"/>
        </w:rPr>
        <w:t>o</w:t>
      </w:r>
      <w:r>
        <w:rPr>
          <w:color w:val="231F20"/>
          <w:spacing w:val="-6"/>
          <w:w w:val="110"/>
          <w:sz w:val="18"/>
        </w:rPr>
        <w:t> </w:t>
      </w:r>
      <w:r>
        <w:rPr>
          <w:color w:val="231F20"/>
          <w:spacing w:val="-4"/>
          <w:w w:val="110"/>
          <w:sz w:val="18"/>
        </w:rPr>
        <w:t>diariamente</w:t>
      </w:r>
      <w:r>
        <w:rPr>
          <w:color w:val="231F20"/>
          <w:spacing w:val="-6"/>
          <w:w w:val="110"/>
          <w:sz w:val="18"/>
        </w:rPr>
        <w:t> </w:t>
      </w:r>
      <w:r>
        <w:rPr>
          <w:color w:val="231F20"/>
          <w:w w:val="110"/>
          <w:sz w:val="18"/>
        </w:rPr>
        <w:t>a</w:t>
      </w:r>
      <w:r>
        <w:rPr>
          <w:color w:val="231F20"/>
          <w:spacing w:val="-6"/>
          <w:w w:val="110"/>
          <w:sz w:val="18"/>
        </w:rPr>
        <w:t> </w:t>
      </w:r>
      <w:r>
        <w:rPr>
          <w:color w:val="231F20"/>
          <w:w w:val="110"/>
          <w:sz w:val="18"/>
        </w:rPr>
        <w:t>su</w:t>
      </w:r>
      <w:r>
        <w:rPr>
          <w:color w:val="231F20"/>
          <w:spacing w:val="-6"/>
          <w:w w:val="110"/>
          <w:sz w:val="18"/>
        </w:rPr>
        <w:t> </w:t>
      </w:r>
      <w:r>
        <w:rPr>
          <w:color w:val="231F20"/>
          <w:spacing w:val="-4"/>
          <w:w w:val="110"/>
          <w:sz w:val="18"/>
        </w:rPr>
        <w:t>lugar</w:t>
      </w:r>
      <w:r>
        <w:rPr>
          <w:color w:val="231F20"/>
          <w:spacing w:val="-6"/>
          <w:w w:val="110"/>
          <w:sz w:val="18"/>
        </w:rPr>
        <w:t> </w:t>
      </w:r>
      <w:r>
        <w:rPr>
          <w:color w:val="231F20"/>
          <w:w w:val="110"/>
          <w:sz w:val="18"/>
        </w:rPr>
        <w:t>de residencia, a excepción del 2 por ciento que trabaja y reside en otras ciudades del país y de 1 por ciento en Estados Unidos” (Reyes, 2009:</w:t>
      </w:r>
      <w:r>
        <w:rPr>
          <w:color w:val="231F20"/>
          <w:spacing w:val="42"/>
          <w:w w:val="110"/>
          <w:sz w:val="18"/>
        </w:rPr>
        <w:t> </w:t>
      </w:r>
      <w:r>
        <w:rPr>
          <w:color w:val="231F20"/>
          <w:w w:val="110"/>
          <w:sz w:val="18"/>
        </w:rPr>
        <w:t>231).</w:t>
      </w:r>
    </w:p>
    <w:p>
      <w:pPr>
        <w:pStyle w:val="BodyText"/>
        <w:spacing w:before="7"/>
        <w:rPr>
          <w:sz w:val="21"/>
        </w:rPr>
      </w:pPr>
    </w:p>
    <w:p>
      <w:pPr>
        <w:pStyle w:val="BodyText"/>
        <w:spacing w:line="288" w:lineRule="auto"/>
        <w:ind w:left="119" w:right="118" w:firstLine="360"/>
        <w:jc w:val="both"/>
      </w:pPr>
      <w:r>
        <w:rPr>
          <w:color w:val="231F20"/>
          <w:w w:val="110"/>
        </w:rPr>
        <w:t>En este caso, los desplazamientos de los integrantes de la familia son </w:t>
      </w:r>
      <w:r>
        <w:rPr>
          <w:color w:val="231F20"/>
          <w:spacing w:val="2"/>
          <w:w w:val="110"/>
        </w:rPr>
        <w:t>básicamente regionales, </w:t>
      </w:r>
      <w:r>
        <w:rPr>
          <w:color w:val="231F20"/>
          <w:w w:val="110"/>
        </w:rPr>
        <w:t>es decir, se </w:t>
      </w:r>
      <w:r>
        <w:rPr>
          <w:color w:val="231F20"/>
          <w:spacing w:val="2"/>
          <w:w w:val="110"/>
        </w:rPr>
        <w:t>trasladan </w:t>
      </w:r>
      <w:r>
        <w:rPr>
          <w:color w:val="231F20"/>
          <w:w w:val="110"/>
        </w:rPr>
        <w:t>a </w:t>
      </w:r>
      <w:r>
        <w:rPr>
          <w:color w:val="231F20"/>
          <w:spacing w:val="2"/>
          <w:w w:val="110"/>
        </w:rPr>
        <w:t>diferentes partes </w:t>
      </w:r>
      <w:r>
        <w:rPr>
          <w:color w:val="231F20"/>
          <w:w w:val="110"/>
        </w:rPr>
        <w:t>de la entidad para vender su fuerza de trabajo. Por un lado, según informantes, algunas</w:t>
      </w:r>
      <w:r>
        <w:rPr>
          <w:color w:val="231F20"/>
          <w:spacing w:val="-12"/>
          <w:w w:val="110"/>
        </w:rPr>
        <w:t> </w:t>
      </w:r>
      <w:r>
        <w:rPr>
          <w:color w:val="231F20"/>
          <w:w w:val="110"/>
        </w:rPr>
        <w:t>fuentes</w:t>
      </w:r>
      <w:r>
        <w:rPr>
          <w:color w:val="231F20"/>
          <w:spacing w:val="-12"/>
          <w:w w:val="110"/>
        </w:rPr>
        <w:t> </w:t>
      </w:r>
      <w:r>
        <w:rPr>
          <w:color w:val="231F20"/>
          <w:w w:val="110"/>
        </w:rPr>
        <w:t>de</w:t>
      </w:r>
      <w:r>
        <w:rPr>
          <w:color w:val="231F20"/>
          <w:spacing w:val="-12"/>
          <w:w w:val="110"/>
        </w:rPr>
        <w:t> </w:t>
      </w:r>
      <w:r>
        <w:rPr>
          <w:color w:val="231F20"/>
          <w:w w:val="110"/>
        </w:rPr>
        <w:t>empleo</w:t>
      </w:r>
      <w:r>
        <w:rPr>
          <w:color w:val="231F20"/>
          <w:spacing w:val="-12"/>
          <w:w w:val="110"/>
        </w:rPr>
        <w:t> </w:t>
      </w:r>
      <w:r>
        <w:rPr>
          <w:color w:val="231F20"/>
          <w:w w:val="110"/>
        </w:rPr>
        <w:t>les</w:t>
      </w:r>
      <w:r>
        <w:rPr>
          <w:color w:val="231F20"/>
          <w:spacing w:val="-12"/>
          <w:w w:val="110"/>
        </w:rPr>
        <w:t> </w:t>
      </w:r>
      <w:r>
        <w:rPr>
          <w:color w:val="231F20"/>
          <w:w w:val="110"/>
        </w:rPr>
        <w:t>ofrecen</w:t>
      </w:r>
      <w:r>
        <w:rPr>
          <w:color w:val="231F20"/>
          <w:spacing w:val="-12"/>
          <w:w w:val="110"/>
        </w:rPr>
        <w:t> </w:t>
      </w:r>
      <w:r>
        <w:rPr>
          <w:color w:val="231F20"/>
          <w:w w:val="110"/>
        </w:rPr>
        <w:t>condiciones</w:t>
      </w:r>
      <w:r>
        <w:rPr>
          <w:color w:val="231F20"/>
          <w:spacing w:val="-12"/>
          <w:w w:val="110"/>
        </w:rPr>
        <w:t> </w:t>
      </w:r>
      <w:r>
        <w:rPr>
          <w:color w:val="231F20"/>
          <w:w w:val="110"/>
        </w:rPr>
        <w:t>favorables</w:t>
      </w:r>
      <w:r>
        <w:rPr>
          <w:color w:val="231F20"/>
          <w:w w:val="110"/>
          <w:position w:val="6"/>
          <w:sz w:val="11"/>
        </w:rPr>
        <w:t>27</w:t>
      </w:r>
      <w:r>
        <w:rPr>
          <w:color w:val="231F20"/>
          <w:spacing w:val="10"/>
          <w:w w:val="110"/>
          <w:position w:val="6"/>
          <w:sz w:val="11"/>
        </w:rPr>
        <w:t> </w:t>
      </w:r>
      <w:r>
        <w:rPr>
          <w:color w:val="231F20"/>
          <w:w w:val="110"/>
        </w:rPr>
        <w:t>de</w:t>
      </w:r>
      <w:r>
        <w:rPr>
          <w:color w:val="231F20"/>
          <w:spacing w:val="-12"/>
          <w:w w:val="110"/>
        </w:rPr>
        <w:t> </w:t>
      </w:r>
      <w:r>
        <w:rPr>
          <w:color w:val="231F20"/>
          <w:w w:val="110"/>
        </w:rPr>
        <w:t>trabajo</w:t>
      </w:r>
      <w:r>
        <w:rPr>
          <w:color w:val="231F20"/>
          <w:spacing w:val="-12"/>
          <w:w w:val="110"/>
        </w:rPr>
        <w:t> </w:t>
      </w:r>
      <w:r>
        <w:rPr>
          <w:color w:val="231F20"/>
          <w:spacing w:val="-10"/>
          <w:w w:val="110"/>
        </w:rPr>
        <w:t>y, </w:t>
      </w:r>
      <w:r>
        <w:rPr>
          <w:color w:val="231F20"/>
          <w:w w:val="110"/>
        </w:rPr>
        <w:t>por</w:t>
      </w:r>
      <w:r>
        <w:rPr>
          <w:color w:val="231F20"/>
          <w:spacing w:val="-12"/>
          <w:w w:val="110"/>
        </w:rPr>
        <w:t> </w:t>
      </w:r>
      <w:r>
        <w:rPr>
          <w:color w:val="231F20"/>
          <w:w w:val="110"/>
        </w:rPr>
        <w:t>el</w:t>
      </w:r>
      <w:r>
        <w:rPr>
          <w:color w:val="231F20"/>
          <w:spacing w:val="-12"/>
          <w:w w:val="110"/>
        </w:rPr>
        <w:t> </w:t>
      </w:r>
      <w:r>
        <w:rPr>
          <w:color w:val="231F20"/>
          <w:w w:val="110"/>
        </w:rPr>
        <w:t>otro,</w:t>
      </w:r>
      <w:r>
        <w:rPr>
          <w:color w:val="231F20"/>
          <w:spacing w:val="-12"/>
          <w:w w:val="110"/>
        </w:rPr>
        <w:t> </w:t>
      </w:r>
      <w:r>
        <w:rPr>
          <w:color w:val="231F20"/>
          <w:w w:val="110"/>
        </w:rPr>
        <w:t>la</w:t>
      </w:r>
      <w:r>
        <w:rPr>
          <w:color w:val="231F20"/>
          <w:spacing w:val="-12"/>
          <w:w w:val="110"/>
        </w:rPr>
        <w:t> </w:t>
      </w:r>
      <w:r>
        <w:rPr>
          <w:color w:val="231F20"/>
          <w:w w:val="110"/>
        </w:rPr>
        <w:t>posibilidad</w:t>
      </w:r>
      <w:r>
        <w:rPr>
          <w:color w:val="231F20"/>
          <w:spacing w:val="-12"/>
          <w:w w:val="110"/>
        </w:rPr>
        <w:t> </w:t>
      </w:r>
      <w:r>
        <w:rPr>
          <w:color w:val="231F20"/>
          <w:w w:val="110"/>
        </w:rPr>
        <w:t>de</w:t>
      </w:r>
      <w:r>
        <w:rPr>
          <w:color w:val="231F20"/>
          <w:spacing w:val="-12"/>
          <w:w w:val="110"/>
        </w:rPr>
        <w:t> </w:t>
      </w:r>
      <w:r>
        <w:rPr>
          <w:color w:val="231F20"/>
          <w:w w:val="110"/>
        </w:rPr>
        <w:t>alternar</w:t>
      </w:r>
      <w:r>
        <w:rPr>
          <w:color w:val="231F20"/>
          <w:spacing w:val="-12"/>
          <w:w w:val="110"/>
        </w:rPr>
        <w:t> </w:t>
      </w:r>
      <w:r>
        <w:rPr>
          <w:color w:val="231F20"/>
          <w:w w:val="110"/>
        </w:rPr>
        <w:t>el</w:t>
      </w:r>
      <w:r>
        <w:rPr>
          <w:color w:val="231F20"/>
          <w:spacing w:val="-12"/>
          <w:w w:val="110"/>
        </w:rPr>
        <w:t> </w:t>
      </w:r>
      <w:r>
        <w:rPr>
          <w:color w:val="231F20"/>
          <w:w w:val="110"/>
        </w:rPr>
        <w:t>trabajo</w:t>
      </w:r>
      <w:r>
        <w:rPr>
          <w:color w:val="231F20"/>
          <w:spacing w:val="-12"/>
          <w:w w:val="110"/>
        </w:rPr>
        <w:t> </w:t>
      </w:r>
      <w:r>
        <w:rPr>
          <w:color w:val="231F20"/>
          <w:w w:val="110"/>
        </w:rPr>
        <w:t>asalariado</w:t>
      </w:r>
      <w:r>
        <w:rPr>
          <w:color w:val="231F20"/>
          <w:spacing w:val="-12"/>
          <w:w w:val="110"/>
        </w:rPr>
        <w:t> </w:t>
      </w:r>
      <w:r>
        <w:rPr>
          <w:color w:val="231F20"/>
          <w:w w:val="110"/>
        </w:rPr>
        <w:t>con</w:t>
      </w:r>
      <w:r>
        <w:rPr>
          <w:color w:val="231F20"/>
          <w:spacing w:val="-12"/>
          <w:w w:val="110"/>
        </w:rPr>
        <w:t> </w:t>
      </w:r>
      <w:r>
        <w:rPr>
          <w:color w:val="231F20"/>
          <w:w w:val="110"/>
        </w:rPr>
        <w:t>la</w:t>
      </w:r>
      <w:r>
        <w:rPr>
          <w:color w:val="231F20"/>
          <w:spacing w:val="-12"/>
          <w:w w:val="110"/>
        </w:rPr>
        <w:t> </w:t>
      </w:r>
      <w:r>
        <w:rPr>
          <w:color w:val="231F20"/>
          <w:w w:val="110"/>
        </w:rPr>
        <w:t>agricultura</w:t>
      </w:r>
    </w:p>
    <w:p>
      <w:pPr>
        <w:spacing w:line="256" w:lineRule="auto" w:before="165"/>
        <w:ind w:left="119" w:right="117" w:firstLine="360"/>
        <w:jc w:val="both"/>
        <w:rPr>
          <w:sz w:val="16"/>
        </w:rPr>
      </w:pPr>
      <w:r>
        <w:rPr>
          <w:color w:val="231F20"/>
          <w:w w:val="110"/>
          <w:position w:val="5"/>
          <w:sz w:val="9"/>
        </w:rPr>
        <w:t>26 </w:t>
      </w:r>
      <w:r>
        <w:rPr>
          <w:color w:val="231F20"/>
          <w:w w:val="110"/>
          <w:sz w:val="16"/>
        </w:rPr>
        <w:t>En 2007, se aplicaron 20 genealogías a familias campesinas de la región, los</w:t>
      </w:r>
      <w:r>
        <w:rPr>
          <w:color w:val="231F20"/>
          <w:spacing w:val="-20"/>
          <w:w w:val="110"/>
          <w:sz w:val="16"/>
        </w:rPr>
        <w:t> </w:t>
      </w:r>
      <w:r>
        <w:rPr>
          <w:color w:val="231F20"/>
          <w:w w:val="110"/>
          <w:sz w:val="16"/>
        </w:rPr>
        <w:t>resultados corresponden</w:t>
      </w:r>
      <w:r>
        <w:rPr>
          <w:color w:val="231F20"/>
          <w:spacing w:val="-4"/>
          <w:w w:val="110"/>
          <w:sz w:val="16"/>
        </w:rPr>
        <w:t> </w:t>
      </w:r>
      <w:r>
        <w:rPr>
          <w:color w:val="231F20"/>
          <w:w w:val="110"/>
          <w:sz w:val="16"/>
        </w:rPr>
        <w:t>a</w:t>
      </w:r>
      <w:r>
        <w:rPr>
          <w:color w:val="231F20"/>
          <w:spacing w:val="-4"/>
          <w:w w:val="110"/>
          <w:sz w:val="16"/>
        </w:rPr>
        <w:t> </w:t>
      </w:r>
      <w:r>
        <w:rPr>
          <w:color w:val="231F20"/>
          <w:w w:val="110"/>
          <w:sz w:val="16"/>
        </w:rPr>
        <w:t>un</w:t>
      </w:r>
      <w:r>
        <w:rPr>
          <w:color w:val="231F20"/>
          <w:spacing w:val="-4"/>
          <w:w w:val="110"/>
          <w:sz w:val="16"/>
        </w:rPr>
        <w:t> </w:t>
      </w:r>
      <w:r>
        <w:rPr>
          <w:color w:val="231F20"/>
          <w:w w:val="110"/>
          <w:sz w:val="16"/>
        </w:rPr>
        <w:t>total</w:t>
      </w:r>
      <w:r>
        <w:rPr>
          <w:color w:val="231F20"/>
          <w:spacing w:val="-4"/>
          <w:w w:val="110"/>
          <w:sz w:val="16"/>
        </w:rPr>
        <w:t> </w:t>
      </w:r>
      <w:r>
        <w:rPr>
          <w:color w:val="231F20"/>
          <w:w w:val="110"/>
          <w:sz w:val="16"/>
        </w:rPr>
        <w:t>de</w:t>
      </w:r>
      <w:r>
        <w:rPr>
          <w:color w:val="231F20"/>
          <w:spacing w:val="-4"/>
          <w:w w:val="110"/>
          <w:sz w:val="16"/>
        </w:rPr>
        <w:t> </w:t>
      </w:r>
      <w:r>
        <w:rPr>
          <w:color w:val="231F20"/>
          <w:w w:val="110"/>
          <w:sz w:val="16"/>
        </w:rPr>
        <w:t>347</w:t>
      </w:r>
      <w:r>
        <w:rPr>
          <w:color w:val="231F20"/>
          <w:spacing w:val="-4"/>
          <w:w w:val="110"/>
          <w:sz w:val="16"/>
        </w:rPr>
        <w:t> </w:t>
      </w:r>
      <w:r>
        <w:rPr>
          <w:color w:val="231F20"/>
          <w:w w:val="110"/>
          <w:sz w:val="16"/>
        </w:rPr>
        <w:t>parientes</w:t>
      </w:r>
      <w:r>
        <w:rPr>
          <w:color w:val="231F20"/>
          <w:spacing w:val="-4"/>
          <w:w w:val="110"/>
          <w:sz w:val="16"/>
        </w:rPr>
        <w:t> </w:t>
      </w:r>
      <w:r>
        <w:rPr>
          <w:color w:val="231F20"/>
          <w:w w:val="110"/>
          <w:sz w:val="16"/>
        </w:rPr>
        <w:t>(Reyes,</w:t>
      </w:r>
      <w:r>
        <w:rPr>
          <w:color w:val="231F20"/>
          <w:spacing w:val="-4"/>
          <w:w w:val="110"/>
          <w:sz w:val="16"/>
        </w:rPr>
        <w:t> </w:t>
      </w:r>
      <w:r>
        <w:rPr>
          <w:color w:val="231F20"/>
          <w:w w:val="110"/>
          <w:sz w:val="16"/>
        </w:rPr>
        <w:t>2009:</w:t>
      </w:r>
      <w:r>
        <w:rPr>
          <w:color w:val="231F20"/>
          <w:spacing w:val="-4"/>
          <w:w w:val="110"/>
          <w:sz w:val="16"/>
        </w:rPr>
        <w:t> </w:t>
      </w:r>
      <w:r>
        <w:rPr>
          <w:color w:val="231F20"/>
          <w:w w:val="110"/>
          <w:sz w:val="16"/>
        </w:rPr>
        <w:t>220).</w:t>
      </w:r>
    </w:p>
    <w:p>
      <w:pPr>
        <w:spacing w:line="256" w:lineRule="auto" w:before="0"/>
        <w:ind w:left="119" w:right="118" w:firstLine="360"/>
        <w:jc w:val="both"/>
        <w:rPr>
          <w:sz w:val="16"/>
        </w:rPr>
      </w:pPr>
      <w:r>
        <w:rPr>
          <w:color w:val="231F20"/>
          <w:w w:val="110"/>
          <w:position w:val="5"/>
          <w:sz w:val="9"/>
        </w:rPr>
        <w:t>27 </w:t>
      </w:r>
      <w:r>
        <w:rPr>
          <w:color w:val="231F20"/>
          <w:spacing w:val="-4"/>
          <w:w w:val="110"/>
          <w:sz w:val="16"/>
        </w:rPr>
        <w:t>Por ejemplo, </w:t>
      </w:r>
      <w:r>
        <w:rPr>
          <w:rFonts w:ascii="Times New Roman" w:hAnsi="Times New Roman"/>
          <w:color w:val="231F20"/>
          <w:spacing w:val="-3"/>
          <w:w w:val="110"/>
          <w:sz w:val="13"/>
        </w:rPr>
        <w:t>IUSA </w:t>
      </w:r>
      <w:r>
        <w:rPr>
          <w:color w:val="231F20"/>
          <w:spacing w:val="-4"/>
          <w:w w:val="110"/>
          <w:sz w:val="16"/>
        </w:rPr>
        <w:t>ofrece transporte gratuito </w:t>
      </w:r>
      <w:r>
        <w:rPr>
          <w:color w:val="231F20"/>
          <w:w w:val="110"/>
          <w:sz w:val="16"/>
        </w:rPr>
        <w:t>a </w:t>
      </w:r>
      <w:r>
        <w:rPr>
          <w:color w:val="231F20"/>
          <w:spacing w:val="-3"/>
          <w:w w:val="110"/>
          <w:sz w:val="16"/>
        </w:rPr>
        <w:t>sus </w:t>
      </w:r>
      <w:r>
        <w:rPr>
          <w:color w:val="231F20"/>
          <w:spacing w:val="-4"/>
          <w:w w:val="110"/>
          <w:sz w:val="16"/>
        </w:rPr>
        <w:t>trabajadores </w:t>
      </w:r>
      <w:r>
        <w:rPr>
          <w:color w:val="231F20"/>
          <w:spacing w:val="-3"/>
          <w:w w:val="110"/>
          <w:sz w:val="16"/>
        </w:rPr>
        <w:t>para </w:t>
      </w:r>
      <w:r>
        <w:rPr>
          <w:color w:val="231F20"/>
          <w:spacing w:val="-4"/>
          <w:w w:val="110"/>
          <w:sz w:val="16"/>
        </w:rPr>
        <w:t>trasladarse desde </w:t>
      </w:r>
      <w:r>
        <w:rPr>
          <w:color w:val="231F20"/>
          <w:spacing w:val="-3"/>
          <w:w w:val="110"/>
          <w:sz w:val="16"/>
        </w:rPr>
        <w:t>sus </w:t>
      </w:r>
      <w:r>
        <w:rPr>
          <w:color w:val="231F20"/>
          <w:w w:val="110"/>
          <w:sz w:val="16"/>
        </w:rPr>
        <w:t>comunidades a las fábricas, también brinda servicio de comedor, guardería, áreas de capaci- tación, entre otras (Reyes, 2009: 232).</w:t>
      </w:r>
    </w:p>
    <w:p>
      <w:pPr>
        <w:spacing w:after="0" w:line="256" w:lineRule="auto"/>
        <w:jc w:val="both"/>
        <w:rPr>
          <w:sz w:val="16"/>
        </w:rPr>
        <w:sectPr>
          <w:footerReference w:type="default" r:id="rId138"/>
          <w:footerReference w:type="even" r:id="rId139"/>
          <w:pgSz w:w="9520" w:h="12920"/>
          <w:pgMar w:footer="1344" w:header="0" w:top="880" w:bottom="1540" w:left="1000" w:right="1320"/>
          <w:pgNumType w:start="163"/>
        </w:sectPr>
      </w:pPr>
    </w:p>
    <w:p>
      <w:pPr>
        <w:pStyle w:val="BodyText"/>
        <w:spacing w:line="285" w:lineRule="auto" w:before="42"/>
        <w:ind w:left="124" w:right="102"/>
      </w:pPr>
      <w:r>
        <w:rPr>
          <w:color w:val="231F20"/>
          <w:w w:val="110"/>
        </w:rPr>
        <w:t>tradicional, elemento sociocultural que garantiza la subsistencia del grupo doméstico.</w:t>
      </w:r>
    </w:p>
    <w:p>
      <w:pPr>
        <w:pStyle w:val="BodyText"/>
        <w:spacing w:line="285" w:lineRule="auto"/>
        <w:ind w:left="124" w:right="112" w:firstLine="360"/>
        <w:jc w:val="both"/>
      </w:pPr>
      <w:r>
        <w:rPr>
          <w:color w:val="231F20"/>
          <w:w w:val="110"/>
        </w:rPr>
        <w:t>Es importante resaltar que la organización social de la familia campe- sina también se apoya en las redes familiares establecidas, que se basan en la existencia de vínculos de amistad, compadrazgo y parentesco. Estas redes</w:t>
      </w:r>
      <w:r>
        <w:rPr>
          <w:color w:val="231F20"/>
          <w:spacing w:val="-19"/>
          <w:w w:val="110"/>
        </w:rPr>
        <w:t> </w:t>
      </w:r>
      <w:r>
        <w:rPr>
          <w:color w:val="231F20"/>
          <w:w w:val="110"/>
        </w:rPr>
        <w:t>constituyen</w:t>
      </w:r>
      <w:r>
        <w:rPr>
          <w:color w:val="231F20"/>
          <w:spacing w:val="-19"/>
          <w:w w:val="110"/>
        </w:rPr>
        <w:t> </w:t>
      </w:r>
      <w:r>
        <w:rPr>
          <w:color w:val="231F20"/>
          <w:w w:val="110"/>
        </w:rPr>
        <w:t>un</w:t>
      </w:r>
      <w:r>
        <w:rPr>
          <w:color w:val="231F20"/>
          <w:spacing w:val="-19"/>
          <w:w w:val="110"/>
        </w:rPr>
        <w:t> </w:t>
      </w:r>
      <w:r>
        <w:rPr>
          <w:color w:val="231F20"/>
          <w:w w:val="110"/>
        </w:rPr>
        <w:t>elemento</w:t>
      </w:r>
      <w:r>
        <w:rPr>
          <w:color w:val="231F20"/>
          <w:spacing w:val="-19"/>
          <w:w w:val="110"/>
        </w:rPr>
        <w:t> </w:t>
      </w:r>
      <w:r>
        <w:rPr>
          <w:color w:val="231F20"/>
          <w:w w:val="110"/>
        </w:rPr>
        <w:t>crucial</w:t>
      </w:r>
      <w:r>
        <w:rPr>
          <w:color w:val="231F20"/>
          <w:spacing w:val="-19"/>
          <w:w w:val="110"/>
        </w:rPr>
        <w:t> </w:t>
      </w:r>
      <w:r>
        <w:rPr>
          <w:color w:val="231F20"/>
          <w:w w:val="110"/>
        </w:rPr>
        <w:t>en</w:t>
      </w:r>
      <w:r>
        <w:rPr>
          <w:color w:val="231F20"/>
          <w:spacing w:val="-19"/>
          <w:w w:val="110"/>
        </w:rPr>
        <w:t> </w:t>
      </w:r>
      <w:r>
        <w:rPr>
          <w:color w:val="231F20"/>
          <w:w w:val="110"/>
        </w:rPr>
        <w:t>la</w:t>
      </w:r>
      <w:r>
        <w:rPr>
          <w:color w:val="231F20"/>
          <w:spacing w:val="-19"/>
          <w:w w:val="110"/>
        </w:rPr>
        <w:t> </w:t>
      </w:r>
      <w:r>
        <w:rPr>
          <w:color w:val="231F20"/>
          <w:w w:val="110"/>
        </w:rPr>
        <w:t>subsistencia</w:t>
      </w:r>
      <w:r>
        <w:rPr>
          <w:color w:val="231F20"/>
          <w:spacing w:val="-19"/>
          <w:w w:val="110"/>
        </w:rPr>
        <w:t> </w:t>
      </w:r>
      <w:r>
        <w:rPr>
          <w:color w:val="231F20"/>
          <w:w w:val="110"/>
        </w:rPr>
        <w:t>de</w:t>
      </w:r>
      <w:r>
        <w:rPr>
          <w:color w:val="231F20"/>
          <w:spacing w:val="-19"/>
          <w:w w:val="110"/>
        </w:rPr>
        <w:t> </w:t>
      </w:r>
      <w:r>
        <w:rPr>
          <w:color w:val="231F20"/>
          <w:w w:val="110"/>
        </w:rPr>
        <w:t>las</w:t>
      </w:r>
      <w:r>
        <w:rPr>
          <w:color w:val="231F20"/>
          <w:spacing w:val="-19"/>
          <w:w w:val="110"/>
        </w:rPr>
        <w:t> </w:t>
      </w:r>
      <w:r>
        <w:rPr>
          <w:color w:val="231F20"/>
          <w:w w:val="110"/>
        </w:rPr>
        <w:t>familias</w:t>
      </w:r>
      <w:r>
        <w:rPr>
          <w:color w:val="231F20"/>
          <w:spacing w:val="-19"/>
          <w:w w:val="110"/>
        </w:rPr>
        <w:t> </w:t>
      </w:r>
      <w:r>
        <w:rPr>
          <w:color w:val="231F20"/>
          <w:w w:val="110"/>
        </w:rPr>
        <w:t>cam- pesinas del</w:t>
      </w:r>
      <w:r>
        <w:rPr>
          <w:color w:val="231F20"/>
          <w:spacing w:val="26"/>
          <w:w w:val="110"/>
        </w:rPr>
        <w:t> </w:t>
      </w:r>
      <w:r>
        <w:rPr>
          <w:color w:val="231F20"/>
          <w:w w:val="110"/>
        </w:rPr>
        <w:t>país.</w:t>
      </w:r>
    </w:p>
    <w:p>
      <w:pPr>
        <w:pStyle w:val="BodyText"/>
        <w:spacing w:line="285" w:lineRule="auto"/>
        <w:ind w:left="124" w:right="112" w:firstLine="360"/>
        <w:jc w:val="both"/>
      </w:pPr>
      <w:r>
        <w:rPr>
          <w:color w:val="231F20"/>
          <w:w w:val="110"/>
        </w:rPr>
        <w:t>Esta</w:t>
      </w:r>
      <w:r>
        <w:rPr>
          <w:color w:val="231F20"/>
          <w:spacing w:val="-5"/>
          <w:w w:val="110"/>
        </w:rPr>
        <w:t> </w:t>
      </w:r>
      <w:r>
        <w:rPr>
          <w:color w:val="231F20"/>
          <w:w w:val="110"/>
        </w:rPr>
        <w:t>diversificación</w:t>
      </w:r>
      <w:r>
        <w:rPr>
          <w:color w:val="231F20"/>
          <w:spacing w:val="-5"/>
          <w:w w:val="110"/>
        </w:rPr>
        <w:t> </w:t>
      </w:r>
      <w:r>
        <w:rPr>
          <w:color w:val="231F20"/>
          <w:w w:val="110"/>
        </w:rPr>
        <w:t>de</w:t>
      </w:r>
      <w:r>
        <w:rPr>
          <w:color w:val="231F20"/>
          <w:spacing w:val="-5"/>
          <w:w w:val="110"/>
        </w:rPr>
        <w:t> </w:t>
      </w:r>
      <w:r>
        <w:rPr>
          <w:color w:val="231F20"/>
          <w:w w:val="110"/>
        </w:rPr>
        <w:t>actividades</w:t>
      </w:r>
      <w:r>
        <w:rPr>
          <w:color w:val="231F20"/>
          <w:spacing w:val="-5"/>
          <w:w w:val="110"/>
        </w:rPr>
        <w:t> </w:t>
      </w:r>
      <w:r>
        <w:rPr>
          <w:color w:val="231F20"/>
          <w:w w:val="110"/>
        </w:rPr>
        <w:t>realizadas</w:t>
      </w:r>
      <w:r>
        <w:rPr>
          <w:color w:val="231F20"/>
          <w:spacing w:val="-5"/>
          <w:w w:val="110"/>
        </w:rPr>
        <w:t> </w:t>
      </w:r>
      <w:r>
        <w:rPr>
          <w:color w:val="231F20"/>
          <w:w w:val="110"/>
        </w:rPr>
        <w:t>por</w:t>
      </w:r>
      <w:r>
        <w:rPr>
          <w:color w:val="231F20"/>
          <w:spacing w:val="-5"/>
          <w:w w:val="110"/>
        </w:rPr>
        <w:t> </w:t>
      </w:r>
      <w:r>
        <w:rPr>
          <w:color w:val="231F20"/>
          <w:w w:val="110"/>
        </w:rPr>
        <w:t>los</w:t>
      </w:r>
      <w:r>
        <w:rPr>
          <w:color w:val="231F20"/>
          <w:spacing w:val="-5"/>
          <w:w w:val="110"/>
        </w:rPr>
        <w:t> </w:t>
      </w:r>
      <w:r>
        <w:rPr>
          <w:color w:val="231F20"/>
          <w:w w:val="110"/>
        </w:rPr>
        <w:t>integrantes</w:t>
      </w:r>
      <w:r>
        <w:rPr>
          <w:color w:val="231F20"/>
          <w:spacing w:val="-5"/>
          <w:w w:val="110"/>
        </w:rPr>
        <w:t> </w:t>
      </w:r>
      <w:r>
        <w:rPr>
          <w:color w:val="231F20"/>
          <w:w w:val="110"/>
        </w:rPr>
        <w:t>de</w:t>
      </w:r>
      <w:r>
        <w:rPr>
          <w:color w:val="231F20"/>
          <w:spacing w:val="-5"/>
          <w:w w:val="110"/>
        </w:rPr>
        <w:t> </w:t>
      </w:r>
      <w:r>
        <w:rPr>
          <w:color w:val="231F20"/>
          <w:w w:val="110"/>
        </w:rPr>
        <w:t>las </w:t>
      </w:r>
      <w:r>
        <w:rPr>
          <w:color w:val="231F20"/>
          <w:spacing w:val="-4"/>
          <w:w w:val="110"/>
        </w:rPr>
        <w:t>familias campesinas </w:t>
      </w:r>
      <w:r>
        <w:rPr>
          <w:color w:val="231F20"/>
          <w:w w:val="110"/>
        </w:rPr>
        <w:t>de la </w:t>
      </w:r>
      <w:r>
        <w:rPr>
          <w:color w:val="231F20"/>
          <w:spacing w:val="-4"/>
          <w:w w:val="110"/>
        </w:rPr>
        <w:t>región </w:t>
      </w:r>
      <w:r>
        <w:rPr>
          <w:color w:val="231F20"/>
          <w:spacing w:val="-3"/>
          <w:w w:val="110"/>
        </w:rPr>
        <w:t>del </w:t>
      </w:r>
      <w:r>
        <w:rPr>
          <w:color w:val="231F20"/>
          <w:spacing w:val="-8"/>
          <w:w w:val="110"/>
        </w:rPr>
        <w:t>Valle </w:t>
      </w:r>
      <w:r>
        <w:rPr>
          <w:color w:val="231F20"/>
          <w:w w:val="110"/>
        </w:rPr>
        <w:t>de </w:t>
      </w:r>
      <w:r>
        <w:rPr>
          <w:color w:val="231F20"/>
          <w:spacing w:val="-4"/>
          <w:w w:val="110"/>
        </w:rPr>
        <w:t>Ixtlahuaca, </w:t>
      </w:r>
      <w:r>
        <w:rPr>
          <w:color w:val="231F20"/>
          <w:w w:val="110"/>
        </w:rPr>
        <w:t>en </w:t>
      </w:r>
      <w:r>
        <w:rPr>
          <w:color w:val="231F20"/>
          <w:spacing w:val="-4"/>
          <w:w w:val="110"/>
        </w:rPr>
        <w:t>términos</w:t>
      </w:r>
      <w:r>
        <w:rPr>
          <w:color w:val="231F20"/>
          <w:spacing w:val="-28"/>
          <w:w w:val="110"/>
        </w:rPr>
        <w:t> </w:t>
      </w:r>
      <w:r>
        <w:rPr>
          <w:color w:val="231F20"/>
          <w:spacing w:val="-4"/>
          <w:w w:val="110"/>
        </w:rPr>
        <w:t>teóricos, </w:t>
      </w:r>
      <w:r>
        <w:rPr>
          <w:color w:val="231F20"/>
          <w:w w:val="110"/>
        </w:rPr>
        <w:t>según</w:t>
      </w:r>
      <w:r>
        <w:rPr>
          <w:color w:val="231F20"/>
          <w:spacing w:val="-23"/>
          <w:w w:val="110"/>
        </w:rPr>
        <w:t> </w:t>
      </w:r>
      <w:r>
        <w:rPr>
          <w:color w:val="231F20"/>
          <w:w w:val="110"/>
        </w:rPr>
        <w:t>Palerm</w:t>
      </w:r>
      <w:r>
        <w:rPr>
          <w:color w:val="231F20"/>
          <w:spacing w:val="-23"/>
          <w:w w:val="110"/>
        </w:rPr>
        <w:t> </w:t>
      </w:r>
      <w:r>
        <w:rPr>
          <w:color w:val="231F20"/>
          <w:w w:val="110"/>
        </w:rPr>
        <w:t>(1998)</w:t>
      </w:r>
      <w:r>
        <w:rPr>
          <w:color w:val="231F20"/>
          <w:spacing w:val="-23"/>
          <w:w w:val="110"/>
        </w:rPr>
        <w:t> </w:t>
      </w:r>
      <w:r>
        <w:rPr>
          <w:color w:val="231F20"/>
          <w:w w:val="110"/>
        </w:rPr>
        <w:t>y</w:t>
      </w:r>
      <w:r>
        <w:rPr>
          <w:color w:val="231F20"/>
          <w:spacing w:val="-23"/>
          <w:w w:val="110"/>
        </w:rPr>
        <w:t> </w:t>
      </w:r>
      <w:r>
        <w:rPr>
          <w:color w:val="231F20"/>
          <w:spacing w:val="-3"/>
          <w:w w:val="110"/>
        </w:rPr>
        <w:t>Warman</w:t>
      </w:r>
      <w:r>
        <w:rPr>
          <w:color w:val="231F20"/>
          <w:spacing w:val="-23"/>
          <w:w w:val="110"/>
        </w:rPr>
        <w:t> </w:t>
      </w:r>
      <w:r>
        <w:rPr>
          <w:color w:val="231F20"/>
          <w:w w:val="110"/>
        </w:rPr>
        <w:t>(1976),</w:t>
      </w:r>
      <w:r>
        <w:rPr>
          <w:color w:val="231F20"/>
          <w:spacing w:val="-23"/>
          <w:w w:val="110"/>
        </w:rPr>
        <w:t> </w:t>
      </w:r>
      <w:r>
        <w:rPr>
          <w:color w:val="231F20"/>
          <w:w w:val="110"/>
        </w:rPr>
        <w:t>se</w:t>
      </w:r>
      <w:r>
        <w:rPr>
          <w:color w:val="231F20"/>
          <w:spacing w:val="-23"/>
          <w:w w:val="110"/>
        </w:rPr>
        <w:t> </w:t>
      </w:r>
      <w:r>
        <w:rPr>
          <w:color w:val="231F20"/>
          <w:w w:val="110"/>
        </w:rPr>
        <w:t>trata</w:t>
      </w:r>
      <w:r>
        <w:rPr>
          <w:color w:val="231F20"/>
          <w:spacing w:val="-23"/>
          <w:w w:val="110"/>
        </w:rPr>
        <w:t> </w:t>
      </w:r>
      <w:r>
        <w:rPr>
          <w:color w:val="231F20"/>
          <w:w w:val="110"/>
        </w:rPr>
        <w:t>de</w:t>
      </w:r>
      <w:r>
        <w:rPr>
          <w:color w:val="231F20"/>
          <w:spacing w:val="-23"/>
          <w:w w:val="110"/>
        </w:rPr>
        <w:t> </w:t>
      </w:r>
      <w:r>
        <w:rPr>
          <w:color w:val="231F20"/>
          <w:w w:val="110"/>
        </w:rPr>
        <w:t>“actividades</w:t>
      </w:r>
      <w:r>
        <w:rPr>
          <w:color w:val="231F20"/>
          <w:spacing w:val="-23"/>
          <w:w w:val="110"/>
        </w:rPr>
        <w:t> </w:t>
      </w:r>
      <w:r>
        <w:rPr>
          <w:color w:val="231F20"/>
          <w:w w:val="110"/>
        </w:rPr>
        <w:t>complemen- tarias” que permiten la subsistencia de la familia campesina. </w:t>
      </w:r>
      <w:r>
        <w:rPr>
          <w:color w:val="231F20"/>
          <w:spacing w:val="-11"/>
          <w:w w:val="110"/>
        </w:rPr>
        <w:t>Y, </w:t>
      </w:r>
      <w:r>
        <w:rPr>
          <w:color w:val="231F20"/>
          <w:w w:val="110"/>
        </w:rPr>
        <w:t>como se re- </w:t>
      </w:r>
      <w:r>
        <w:rPr>
          <w:color w:val="231F20"/>
          <w:spacing w:val="2"/>
          <w:w w:val="110"/>
        </w:rPr>
        <w:t>cordará, para estos autores </w:t>
      </w:r>
      <w:r>
        <w:rPr>
          <w:color w:val="231F20"/>
          <w:w w:val="110"/>
        </w:rPr>
        <w:t>la </w:t>
      </w:r>
      <w:r>
        <w:rPr>
          <w:color w:val="231F20"/>
          <w:spacing w:val="2"/>
          <w:w w:val="110"/>
        </w:rPr>
        <w:t>ruptura </w:t>
      </w:r>
      <w:r>
        <w:rPr>
          <w:color w:val="231F20"/>
          <w:w w:val="110"/>
        </w:rPr>
        <w:t>del </w:t>
      </w:r>
      <w:r>
        <w:rPr>
          <w:color w:val="231F20"/>
          <w:spacing w:val="2"/>
          <w:w w:val="110"/>
        </w:rPr>
        <w:t>autoabasto, </w:t>
      </w:r>
      <w:r>
        <w:rPr>
          <w:color w:val="231F20"/>
          <w:w w:val="110"/>
        </w:rPr>
        <w:t>que </w:t>
      </w:r>
      <w:r>
        <w:rPr>
          <w:color w:val="231F20"/>
          <w:spacing w:val="2"/>
          <w:w w:val="110"/>
        </w:rPr>
        <w:t>suscitaba </w:t>
      </w:r>
      <w:r>
        <w:rPr>
          <w:color w:val="231F20"/>
          <w:w w:val="110"/>
        </w:rPr>
        <w:t>el capitalismo en la economía campesina, había obligado a los campesinos a buscar diversos ingresos complementarios. “Pero estos ingresos, aunque jugaban un papel económico vital eran sólo complementarios, es </w:t>
      </w:r>
      <w:r>
        <w:rPr>
          <w:color w:val="231F20"/>
          <w:spacing w:val="-3"/>
          <w:w w:val="110"/>
        </w:rPr>
        <w:t>decir, </w:t>
      </w:r>
      <w:r>
        <w:rPr>
          <w:color w:val="231F20"/>
          <w:w w:val="110"/>
        </w:rPr>
        <w:t>se buscaban sólo hasta cubrir el déficit entre la producción agrícola de auto- abasto y las necesidades familiares de consumo” </w:t>
      </w:r>
      <w:r>
        <w:rPr>
          <w:color w:val="231F20"/>
          <w:spacing w:val="-3"/>
          <w:w w:val="110"/>
        </w:rPr>
        <w:t>(Warman,</w:t>
      </w:r>
      <w:r>
        <w:rPr>
          <w:color w:val="231F20"/>
          <w:spacing w:val="29"/>
          <w:w w:val="110"/>
        </w:rPr>
        <w:t> </w:t>
      </w:r>
      <w:r>
        <w:rPr>
          <w:color w:val="231F20"/>
          <w:w w:val="110"/>
        </w:rPr>
        <w:t>1976).</w:t>
      </w:r>
    </w:p>
    <w:p>
      <w:pPr>
        <w:pStyle w:val="BodyText"/>
        <w:spacing w:before="10"/>
        <w:rPr>
          <w:sz w:val="15"/>
        </w:rPr>
      </w:pPr>
    </w:p>
    <w:p>
      <w:pPr>
        <w:spacing w:line="280" w:lineRule="auto" w:before="0"/>
        <w:ind w:left="484" w:right="112" w:firstLine="0"/>
        <w:jc w:val="both"/>
        <w:rPr>
          <w:sz w:val="18"/>
        </w:rPr>
      </w:pPr>
      <w:r>
        <w:rPr>
          <w:color w:val="231F20"/>
          <w:w w:val="110"/>
          <w:sz w:val="18"/>
        </w:rPr>
        <w:t>El</w:t>
      </w:r>
      <w:r>
        <w:rPr>
          <w:color w:val="231F20"/>
          <w:spacing w:val="-19"/>
          <w:w w:val="110"/>
          <w:sz w:val="18"/>
        </w:rPr>
        <w:t> </w:t>
      </w:r>
      <w:r>
        <w:rPr>
          <w:color w:val="231F20"/>
          <w:w w:val="110"/>
          <w:sz w:val="18"/>
        </w:rPr>
        <w:t>supuesto</w:t>
      </w:r>
      <w:r>
        <w:rPr>
          <w:color w:val="231F20"/>
          <w:spacing w:val="-19"/>
          <w:w w:val="110"/>
          <w:sz w:val="18"/>
        </w:rPr>
        <w:t> </w:t>
      </w:r>
      <w:r>
        <w:rPr>
          <w:color w:val="231F20"/>
          <w:w w:val="110"/>
          <w:sz w:val="18"/>
        </w:rPr>
        <w:t>básico</w:t>
      </w:r>
      <w:r>
        <w:rPr>
          <w:color w:val="231F20"/>
          <w:spacing w:val="-19"/>
          <w:w w:val="110"/>
          <w:sz w:val="18"/>
        </w:rPr>
        <w:t> </w:t>
      </w:r>
      <w:r>
        <w:rPr>
          <w:color w:val="231F20"/>
          <w:w w:val="110"/>
          <w:sz w:val="18"/>
        </w:rPr>
        <w:t>de</w:t>
      </w:r>
      <w:r>
        <w:rPr>
          <w:color w:val="231F20"/>
          <w:spacing w:val="-19"/>
          <w:w w:val="110"/>
          <w:sz w:val="18"/>
        </w:rPr>
        <w:t> </w:t>
      </w:r>
      <w:r>
        <w:rPr>
          <w:color w:val="231F20"/>
          <w:w w:val="110"/>
          <w:sz w:val="18"/>
        </w:rPr>
        <w:t>la</w:t>
      </w:r>
      <w:r>
        <w:rPr>
          <w:color w:val="231F20"/>
          <w:spacing w:val="-19"/>
          <w:w w:val="110"/>
          <w:sz w:val="18"/>
        </w:rPr>
        <w:t> </w:t>
      </w:r>
      <w:r>
        <w:rPr>
          <w:color w:val="231F20"/>
          <w:w w:val="110"/>
          <w:sz w:val="18"/>
        </w:rPr>
        <w:t>complementariedad</w:t>
      </w:r>
      <w:r>
        <w:rPr>
          <w:color w:val="231F20"/>
          <w:spacing w:val="-19"/>
          <w:w w:val="110"/>
          <w:sz w:val="18"/>
        </w:rPr>
        <w:t> </w:t>
      </w:r>
      <w:r>
        <w:rPr>
          <w:color w:val="231F20"/>
          <w:w w:val="110"/>
          <w:sz w:val="18"/>
        </w:rPr>
        <w:t>era</w:t>
      </w:r>
      <w:r>
        <w:rPr>
          <w:color w:val="231F20"/>
          <w:spacing w:val="-19"/>
          <w:w w:val="110"/>
          <w:sz w:val="18"/>
        </w:rPr>
        <w:t> </w:t>
      </w:r>
      <w:r>
        <w:rPr>
          <w:color w:val="231F20"/>
          <w:w w:val="110"/>
          <w:sz w:val="18"/>
        </w:rPr>
        <w:t>que</w:t>
      </w:r>
      <w:r>
        <w:rPr>
          <w:color w:val="231F20"/>
          <w:spacing w:val="-19"/>
          <w:w w:val="110"/>
          <w:sz w:val="18"/>
        </w:rPr>
        <w:t> </w:t>
      </w:r>
      <w:r>
        <w:rPr>
          <w:color w:val="231F20"/>
          <w:w w:val="110"/>
          <w:sz w:val="18"/>
        </w:rPr>
        <w:t>la</w:t>
      </w:r>
      <w:r>
        <w:rPr>
          <w:color w:val="231F20"/>
          <w:spacing w:val="-19"/>
          <w:w w:val="110"/>
          <w:sz w:val="18"/>
        </w:rPr>
        <w:t> </w:t>
      </w:r>
      <w:r>
        <w:rPr>
          <w:color w:val="231F20"/>
          <w:w w:val="110"/>
          <w:sz w:val="18"/>
        </w:rPr>
        <w:t>agricultura</w:t>
      </w:r>
      <w:r>
        <w:rPr>
          <w:color w:val="231F20"/>
          <w:spacing w:val="-19"/>
          <w:w w:val="110"/>
          <w:sz w:val="18"/>
        </w:rPr>
        <w:t> </w:t>
      </w:r>
      <w:r>
        <w:rPr>
          <w:color w:val="231F20"/>
          <w:w w:val="110"/>
          <w:sz w:val="18"/>
        </w:rPr>
        <w:t>seguía</w:t>
      </w:r>
      <w:r>
        <w:rPr>
          <w:color w:val="231F20"/>
          <w:spacing w:val="-19"/>
          <w:w w:val="110"/>
          <w:sz w:val="18"/>
        </w:rPr>
        <w:t> </w:t>
      </w:r>
      <w:r>
        <w:rPr>
          <w:color w:val="231F20"/>
          <w:w w:val="110"/>
          <w:sz w:val="18"/>
        </w:rPr>
        <w:t>siendo la actividad y el objetivo central de todos los miembros de la sociedad rural,</w:t>
      </w:r>
      <w:r>
        <w:rPr>
          <w:color w:val="231F20"/>
          <w:spacing w:val="-15"/>
          <w:w w:val="110"/>
          <w:sz w:val="18"/>
        </w:rPr>
        <w:t> </w:t>
      </w:r>
      <w:r>
        <w:rPr>
          <w:color w:val="231F20"/>
          <w:w w:val="110"/>
          <w:sz w:val="18"/>
        </w:rPr>
        <w:t>es </w:t>
      </w:r>
      <w:r>
        <w:rPr>
          <w:color w:val="231F20"/>
          <w:spacing w:val="-5"/>
          <w:w w:val="110"/>
          <w:sz w:val="18"/>
        </w:rPr>
        <w:t>decir, </w:t>
      </w:r>
      <w:r>
        <w:rPr>
          <w:color w:val="231F20"/>
          <w:w w:val="110"/>
          <w:sz w:val="18"/>
        </w:rPr>
        <w:t>que eran las tareas y los calendarios agrícolas los que </w:t>
      </w:r>
      <w:r>
        <w:rPr>
          <w:color w:val="231F20"/>
          <w:spacing w:val="-3"/>
          <w:w w:val="110"/>
          <w:sz w:val="18"/>
        </w:rPr>
        <w:t>organizaban </w:t>
      </w:r>
      <w:r>
        <w:rPr>
          <w:color w:val="231F20"/>
          <w:w w:val="110"/>
          <w:sz w:val="18"/>
        </w:rPr>
        <w:t>y deli- mitaban las demás actividades económicas de cada localidad o de las familias que la formaban (Arias, 1992:</w:t>
      </w:r>
      <w:r>
        <w:rPr>
          <w:color w:val="231F20"/>
          <w:spacing w:val="-20"/>
          <w:w w:val="110"/>
          <w:sz w:val="18"/>
        </w:rPr>
        <w:t> </w:t>
      </w:r>
      <w:r>
        <w:rPr>
          <w:color w:val="231F20"/>
          <w:w w:val="110"/>
          <w:sz w:val="18"/>
        </w:rPr>
        <w:t>231).</w:t>
      </w:r>
    </w:p>
    <w:p>
      <w:pPr>
        <w:pStyle w:val="BodyText"/>
        <w:spacing w:before="5"/>
        <w:rPr>
          <w:sz w:val="21"/>
        </w:rPr>
      </w:pPr>
    </w:p>
    <w:p>
      <w:pPr>
        <w:pStyle w:val="BodyText"/>
        <w:spacing w:line="285" w:lineRule="auto" w:before="1"/>
        <w:ind w:left="124" w:right="112" w:firstLine="360"/>
        <w:jc w:val="both"/>
      </w:pPr>
      <w:r>
        <w:rPr>
          <w:color w:val="231F20"/>
          <w:w w:val="110"/>
        </w:rPr>
        <w:t>Para este caso de estudio, y de acuerdo con la información proporcio- nada por las familias de la región a través de las entrevistas, es evidente que la agricultura tradicional sigue siendo, en buena medida, la actividad principal que garantiza la autosuficiencia alimentaria de los integrantes</w:t>
      </w:r>
      <w:r>
        <w:rPr>
          <w:color w:val="231F20"/>
          <w:spacing w:val="-24"/>
          <w:w w:val="110"/>
        </w:rPr>
        <w:t> </w:t>
      </w:r>
      <w:r>
        <w:rPr>
          <w:color w:val="231F20"/>
          <w:w w:val="110"/>
        </w:rPr>
        <w:t>de la</w:t>
      </w:r>
      <w:r>
        <w:rPr>
          <w:color w:val="231F20"/>
          <w:spacing w:val="-5"/>
          <w:w w:val="110"/>
        </w:rPr>
        <w:t> </w:t>
      </w:r>
      <w:r>
        <w:rPr>
          <w:color w:val="231F20"/>
          <w:w w:val="110"/>
        </w:rPr>
        <w:t>familia.</w:t>
      </w:r>
    </w:p>
    <w:p>
      <w:pPr>
        <w:pStyle w:val="BodyText"/>
        <w:spacing w:line="285" w:lineRule="auto"/>
        <w:ind w:left="124" w:right="114" w:firstLine="360"/>
        <w:jc w:val="both"/>
      </w:pPr>
      <w:r>
        <w:rPr>
          <w:color w:val="231F20"/>
          <w:w w:val="110"/>
        </w:rPr>
        <w:t>La estructura y la función de la familia campesina de la región aún se puede identificar por padre, madre, hijos e hijas solteros, hijos varones ca- sados, abuelos y nietos. Este es un patrón que se repite constantemente</w:t>
      </w:r>
      <w:r>
        <w:rPr>
          <w:color w:val="231F20"/>
          <w:spacing w:val="-7"/>
          <w:w w:val="110"/>
        </w:rPr>
        <w:t> </w:t>
      </w:r>
      <w:r>
        <w:rPr>
          <w:color w:val="231F20"/>
          <w:w w:val="110"/>
        </w:rPr>
        <w:t>en la región y que, gracias al número de integrantes, logra establecer una serie de relaciones de trabajo, distribuidas por edad y sexo, coordinadas por el jefe de</w:t>
      </w:r>
      <w:r>
        <w:rPr>
          <w:color w:val="231F20"/>
          <w:spacing w:val="13"/>
          <w:w w:val="110"/>
        </w:rPr>
        <w:t> </w:t>
      </w:r>
      <w:r>
        <w:rPr>
          <w:color w:val="231F20"/>
          <w:w w:val="110"/>
        </w:rPr>
        <w:t>familia.</w:t>
      </w:r>
    </w:p>
    <w:p>
      <w:pPr>
        <w:pStyle w:val="BodyText"/>
        <w:spacing w:before="10"/>
        <w:rPr>
          <w:sz w:val="15"/>
        </w:rPr>
      </w:pPr>
    </w:p>
    <w:p>
      <w:pPr>
        <w:spacing w:line="283" w:lineRule="auto" w:before="0"/>
        <w:ind w:left="484" w:right="112" w:firstLine="0"/>
        <w:jc w:val="both"/>
        <w:rPr>
          <w:sz w:val="18"/>
        </w:rPr>
      </w:pPr>
      <w:r>
        <w:rPr>
          <w:color w:val="231F20"/>
          <w:w w:val="110"/>
          <w:sz w:val="18"/>
        </w:rPr>
        <w:t>Los datos muestran que la familia campesina del </w:t>
      </w:r>
      <w:r>
        <w:rPr>
          <w:color w:val="231F20"/>
          <w:spacing w:val="-4"/>
          <w:w w:val="110"/>
          <w:sz w:val="18"/>
        </w:rPr>
        <w:t>Valle </w:t>
      </w:r>
      <w:r>
        <w:rPr>
          <w:color w:val="231F20"/>
          <w:w w:val="110"/>
          <w:sz w:val="18"/>
        </w:rPr>
        <w:t>de Ixtlahuaca, se cons- tituye una familia extensa patrilineal, generalmente viven bajo el mismo</w:t>
      </w:r>
      <w:r>
        <w:rPr>
          <w:color w:val="231F20"/>
          <w:spacing w:val="-20"/>
          <w:w w:val="110"/>
          <w:sz w:val="18"/>
        </w:rPr>
        <w:t> </w:t>
      </w:r>
      <w:r>
        <w:rPr>
          <w:color w:val="231F20"/>
          <w:w w:val="110"/>
          <w:sz w:val="18"/>
        </w:rPr>
        <w:t>techo,</w:t>
      </w:r>
    </w:p>
    <w:p>
      <w:pPr>
        <w:spacing w:after="0" w:line="283" w:lineRule="auto"/>
        <w:jc w:val="both"/>
        <w:rPr>
          <w:sz w:val="18"/>
        </w:rPr>
        <w:sectPr>
          <w:pgSz w:w="9520" w:h="12920"/>
          <w:pgMar w:header="0" w:footer="1344" w:top="880" w:bottom="1540" w:left="1320" w:right="1000"/>
        </w:sectPr>
      </w:pPr>
    </w:p>
    <w:p>
      <w:pPr>
        <w:spacing w:line="278" w:lineRule="auto" w:before="46"/>
        <w:ind w:left="480" w:right="117" w:firstLine="0"/>
        <w:jc w:val="both"/>
        <w:rPr>
          <w:sz w:val="18"/>
        </w:rPr>
      </w:pPr>
      <w:r>
        <w:rPr>
          <w:color w:val="231F20"/>
          <w:w w:val="110"/>
          <w:sz w:val="18"/>
        </w:rPr>
        <w:t>este</w:t>
      </w:r>
      <w:r>
        <w:rPr>
          <w:color w:val="231F20"/>
          <w:spacing w:val="-8"/>
          <w:w w:val="110"/>
          <w:sz w:val="18"/>
        </w:rPr>
        <w:t> </w:t>
      </w:r>
      <w:r>
        <w:rPr>
          <w:color w:val="231F20"/>
          <w:w w:val="110"/>
          <w:sz w:val="18"/>
        </w:rPr>
        <w:t>patrón</w:t>
      </w:r>
      <w:r>
        <w:rPr>
          <w:color w:val="231F20"/>
          <w:spacing w:val="-8"/>
          <w:w w:val="110"/>
          <w:sz w:val="18"/>
        </w:rPr>
        <w:t> </w:t>
      </w:r>
      <w:r>
        <w:rPr>
          <w:color w:val="231F20"/>
          <w:w w:val="110"/>
          <w:sz w:val="18"/>
        </w:rPr>
        <w:t>cultural</w:t>
      </w:r>
      <w:r>
        <w:rPr>
          <w:color w:val="231F20"/>
          <w:spacing w:val="-8"/>
          <w:w w:val="110"/>
          <w:sz w:val="18"/>
        </w:rPr>
        <w:t> </w:t>
      </w:r>
      <w:r>
        <w:rPr>
          <w:color w:val="231F20"/>
          <w:w w:val="110"/>
          <w:sz w:val="18"/>
        </w:rPr>
        <w:t>se</w:t>
      </w:r>
      <w:r>
        <w:rPr>
          <w:color w:val="231F20"/>
          <w:spacing w:val="-8"/>
          <w:w w:val="110"/>
          <w:sz w:val="18"/>
        </w:rPr>
        <w:t> </w:t>
      </w:r>
      <w:r>
        <w:rPr>
          <w:color w:val="231F20"/>
          <w:w w:val="110"/>
          <w:sz w:val="18"/>
        </w:rPr>
        <w:t>repitió</w:t>
      </w:r>
      <w:r>
        <w:rPr>
          <w:color w:val="231F20"/>
          <w:spacing w:val="-8"/>
          <w:w w:val="110"/>
          <w:sz w:val="18"/>
        </w:rPr>
        <w:t> </w:t>
      </w:r>
      <w:r>
        <w:rPr>
          <w:color w:val="231F20"/>
          <w:w w:val="110"/>
          <w:sz w:val="18"/>
        </w:rPr>
        <w:t>en</w:t>
      </w:r>
      <w:r>
        <w:rPr>
          <w:color w:val="231F20"/>
          <w:spacing w:val="-8"/>
          <w:w w:val="110"/>
          <w:sz w:val="18"/>
        </w:rPr>
        <w:t> </w:t>
      </w:r>
      <w:r>
        <w:rPr>
          <w:color w:val="231F20"/>
          <w:w w:val="110"/>
          <w:sz w:val="18"/>
        </w:rPr>
        <w:t>las</w:t>
      </w:r>
      <w:r>
        <w:rPr>
          <w:color w:val="231F20"/>
          <w:spacing w:val="-8"/>
          <w:w w:val="110"/>
          <w:sz w:val="18"/>
        </w:rPr>
        <w:t> </w:t>
      </w:r>
      <w:r>
        <w:rPr>
          <w:color w:val="231F20"/>
          <w:w w:val="110"/>
          <w:sz w:val="18"/>
        </w:rPr>
        <w:t>entrevistas</w:t>
      </w:r>
      <w:r>
        <w:rPr>
          <w:color w:val="231F20"/>
          <w:spacing w:val="-8"/>
          <w:w w:val="110"/>
          <w:sz w:val="18"/>
        </w:rPr>
        <w:t> </w:t>
      </w:r>
      <w:r>
        <w:rPr>
          <w:color w:val="231F20"/>
          <w:w w:val="110"/>
          <w:sz w:val="18"/>
        </w:rPr>
        <w:t>y</w:t>
      </w:r>
      <w:r>
        <w:rPr>
          <w:color w:val="231F20"/>
          <w:spacing w:val="-8"/>
          <w:w w:val="110"/>
          <w:sz w:val="18"/>
        </w:rPr>
        <w:t> </w:t>
      </w:r>
      <w:r>
        <w:rPr>
          <w:color w:val="231F20"/>
          <w:w w:val="110"/>
          <w:sz w:val="18"/>
        </w:rPr>
        <w:t>se</w:t>
      </w:r>
      <w:r>
        <w:rPr>
          <w:color w:val="231F20"/>
          <w:spacing w:val="-8"/>
          <w:w w:val="110"/>
          <w:sz w:val="18"/>
        </w:rPr>
        <w:t> </w:t>
      </w:r>
      <w:r>
        <w:rPr>
          <w:color w:val="231F20"/>
          <w:w w:val="110"/>
          <w:sz w:val="18"/>
        </w:rPr>
        <w:t>observó</w:t>
      </w:r>
      <w:r>
        <w:rPr>
          <w:color w:val="231F20"/>
          <w:spacing w:val="-8"/>
          <w:w w:val="110"/>
          <w:sz w:val="18"/>
        </w:rPr>
        <w:t> </w:t>
      </w:r>
      <w:r>
        <w:rPr>
          <w:color w:val="231F20"/>
          <w:w w:val="110"/>
          <w:sz w:val="18"/>
        </w:rPr>
        <w:t>durante</w:t>
      </w:r>
      <w:r>
        <w:rPr>
          <w:color w:val="231F20"/>
          <w:spacing w:val="-8"/>
          <w:w w:val="110"/>
          <w:sz w:val="18"/>
        </w:rPr>
        <w:t> </w:t>
      </w:r>
      <w:r>
        <w:rPr>
          <w:color w:val="231F20"/>
          <w:w w:val="110"/>
          <w:sz w:val="18"/>
        </w:rPr>
        <w:t>las</w:t>
      </w:r>
      <w:r>
        <w:rPr>
          <w:color w:val="231F20"/>
          <w:spacing w:val="-8"/>
          <w:w w:val="110"/>
          <w:sz w:val="18"/>
        </w:rPr>
        <w:t> </w:t>
      </w:r>
      <w:r>
        <w:rPr>
          <w:color w:val="231F20"/>
          <w:w w:val="110"/>
          <w:sz w:val="18"/>
        </w:rPr>
        <w:t>visitas a las viviendas de las familias campesinas. Es común que los hijos al contraer matrimonio construyan su casa junto a la paterna y vivan en el mismo</w:t>
      </w:r>
      <w:r>
        <w:rPr>
          <w:color w:val="231F20"/>
          <w:spacing w:val="-20"/>
          <w:w w:val="110"/>
          <w:sz w:val="18"/>
        </w:rPr>
        <w:t> </w:t>
      </w:r>
      <w:r>
        <w:rPr>
          <w:color w:val="231F20"/>
          <w:w w:val="110"/>
          <w:sz w:val="18"/>
        </w:rPr>
        <w:t>terreno, pero en cuartos diferentes. De no ser así, la nueva pareja y futuros hijos vivi- rán en el </w:t>
      </w:r>
      <w:r>
        <w:rPr>
          <w:color w:val="231F20"/>
          <w:spacing w:val="2"/>
          <w:w w:val="110"/>
          <w:sz w:val="18"/>
        </w:rPr>
        <w:t>mismo techo </w:t>
      </w:r>
      <w:r>
        <w:rPr>
          <w:color w:val="231F20"/>
          <w:w w:val="110"/>
          <w:sz w:val="18"/>
        </w:rPr>
        <w:t>que los </w:t>
      </w:r>
      <w:r>
        <w:rPr>
          <w:color w:val="231F20"/>
          <w:spacing w:val="2"/>
          <w:w w:val="110"/>
          <w:sz w:val="18"/>
        </w:rPr>
        <w:t>padres </w:t>
      </w:r>
      <w:r>
        <w:rPr>
          <w:color w:val="231F20"/>
          <w:w w:val="110"/>
          <w:sz w:val="18"/>
        </w:rPr>
        <w:t>y </w:t>
      </w:r>
      <w:r>
        <w:rPr>
          <w:color w:val="231F20"/>
          <w:spacing w:val="2"/>
          <w:w w:val="110"/>
          <w:sz w:val="18"/>
        </w:rPr>
        <w:t>hermanos </w:t>
      </w:r>
      <w:r>
        <w:rPr>
          <w:color w:val="231F20"/>
          <w:w w:val="110"/>
          <w:sz w:val="18"/>
        </w:rPr>
        <w:t>del </w:t>
      </w:r>
      <w:r>
        <w:rPr>
          <w:color w:val="231F20"/>
          <w:spacing w:val="2"/>
          <w:w w:val="110"/>
          <w:sz w:val="18"/>
        </w:rPr>
        <w:t>varón, tomando </w:t>
      </w:r>
      <w:r>
        <w:rPr>
          <w:color w:val="231F20"/>
          <w:w w:val="110"/>
          <w:sz w:val="18"/>
        </w:rPr>
        <w:t>en cuenta que el promedio de hijos por pareja según la encuesta es de 3.5 (Reyes, </w:t>
      </w:r>
      <w:r>
        <w:rPr>
          <w:color w:val="231F20"/>
          <w:w w:val="105"/>
          <w:sz w:val="18"/>
        </w:rPr>
        <w:t>2006:</w:t>
      </w:r>
      <w:r>
        <w:rPr>
          <w:color w:val="231F20"/>
          <w:spacing w:val="-2"/>
          <w:w w:val="105"/>
          <w:sz w:val="18"/>
        </w:rPr>
        <w:t> </w:t>
      </w:r>
      <w:r>
        <w:rPr>
          <w:color w:val="231F20"/>
          <w:w w:val="105"/>
          <w:sz w:val="18"/>
        </w:rPr>
        <w:t>139).</w:t>
      </w:r>
    </w:p>
    <w:p>
      <w:pPr>
        <w:pStyle w:val="BodyText"/>
        <w:spacing w:before="10"/>
        <w:rPr>
          <w:sz w:val="17"/>
        </w:rPr>
      </w:pPr>
    </w:p>
    <w:p>
      <w:pPr>
        <w:pStyle w:val="BodyText"/>
        <w:spacing w:line="280" w:lineRule="auto" w:before="1"/>
        <w:ind w:left="120" w:right="118" w:firstLine="360"/>
        <w:jc w:val="both"/>
      </w:pPr>
      <w:r>
        <w:rPr>
          <w:color w:val="231F20"/>
          <w:w w:val="110"/>
        </w:rPr>
        <w:t>El</w:t>
      </w:r>
      <w:r>
        <w:rPr>
          <w:color w:val="231F20"/>
          <w:spacing w:val="-17"/>
          <w:w w:val="110"/>
        </w:rPr>
        <w:t> </w:t>
      </w:r>
      <w:r>
        <w:rPr>
          <w:color w:val="231F20"/>
          <w:spacing w:val="-4"/>
          <w:w w:val="110"/>
        </w:rPr>
        <w:t>trabajo</w:t>
      </w:r>
      <w:r>
        <w:rPr>
          <w:color w:val="231F20"/>
          <w:spacing w:val="-17"/>
          <w:w w:val="110"/>
        </w:rPr>
        <w:t> </w:t>
      </w:r>
      <w:r>
        <w:rPr>
          <w:color w:val="231F20"/>
          <w:spacing w:val="-4"/>
          <w:w w:val="110"/>
        </w:rPr>
        <w:t>asalariado-remunerado</w:t>
      </w:r>
      <w:r>
        <w:rPr>
          <w:color w:val="231F20"/>
          <w:spacing w:val="-17"/>
          <w:w w:val="110"/>
        </w:rPr>
        <w:t> </w:t>
      </w:r>
      <w:r>
        <w:rPr>
          <w:color w:val="231F20"/>
          <w:w w:val="110"/>
        </w:rPr>
        <w:t>lo</w:t>
      </w:r>
      <w:r>
        <w:rPr>
          <w:color w:val="231F20"/>
          <w:spacing w:val="-17"/>
          <w:w w:val="110"/>
        </w:rPr>
        <w:t> </w:t>
      </w:r>
      <w:r>
        <w:rPr>
          <w:color w:val="231F20"/>
          <w:spacing w:val="-4"/>
          <w:w w:val="110"/>
        </w:rPr>
        <w:t>realizan</w:t>
      </w:r>
      <w:r>
        <w:rPr>
          <w:color w:val="231F20"/>
          <w:spacing w:val="-17"/>
          <w:w w:val="110"/>
        </w:rPr>
        <w:t> </w:t>
      </w:r>
      <w:r>
        <w:rPr>
          <w:color w:val="231F20"/>
          <w:spacing w:val="-3"/>
          <w:w w:val="110"/>
        </w:rPr>
        <w:t>los</w:t>
      </w:r>
      <w:r>
        <w:rPr>
          <w:color w:val="231F20"/>
          <w:spacing w:val="-17"/>
          <w:w w:val="110"/>
        </w:rPr>
        <w:t> </w:t>
      </w:r>
      <w:r>
        <w:rPr>
          <w:color w:val="231F20"/>
          <w:spacing w:val="-4"/>
          <w:w w:val="110"/>
        </w:rPr>
        <w:t>integrantes</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spacing w:val="-4"/>
          <w:w w:val="110"/>
        </w:rPr>
        <w:t>segunda </w:t>
      </w:r>
      <w:r>
        <w:rPr>
          <w:color w:val="231F20"/>
          <w:w w:val="110"/>
        </w:rPr>
        <w:t>y tercera generación como una actividad complementaria, ya que lo alter- nan con las labores agrícolas, las cuales son guiadas y supervisadas princi- palmente</w:t>
      </w:r>
      <w:r>
        <w:rPr>
          <w:color w:val="231F20"/>
          <w:spacing w:val="-26"/>
          <w:w w:val="110"/>
        </w:rPr>
        <w:t> </w:t>
      </w:r>
      <w:r>
        <w:rPr>
          <w:color w:val="231F20"/>
          <w:w w:val="110"/>
        </w:rPr>
        <w:t>por</w:t>
      </w:r>
      <w:r>
        <w:rPr>
          <w:color w:val="231F20"/>
          <w:spacing w:val="-26"/>
          <w:w w:val="110"/>
        </w:rPr>
        <w:t> </w:t>
      </w:r>
      <w:r>
        <w:rPr>
          <w:color w:val="231F20"/>
          <w:w w:val="110"/>
        </w:rPr>
        <w:t>los</w:t>
      </w:r>
      <w:r>
        <w:rPr>
          <w:color w:val="231F20"/>
          <w:spacing w:val="-26"/>
          <w:w w:val="110"/>
        </w:rPr>
        <w:t> </w:t>
      </w:r>
      <w:r>
        <w:rPr>
          <w:color w:val="231F20"/>
          <w:w w:val="110"/>
        </w:rPr>
        <w:t>integrantes</w:t>
      </w:r>
      <w:r>
        <w:rPr>
          <w:color w:val="231F20"/>
          <w:spacing w:val="-26"/>
          <w:w w:val="110"/>
        </w:rPr>
        <w:t> </w:t>
      </w:r>
      <w:r>
        <w:rPr>
          <w:color w:val="231F20"/>
          <w:w w:val="110"/>
        </w:rPr>
        <w:t>de</w:t>
      </w:r>
      <w:r>
        <w:rPr>
          <w:color w:val="231F20"/>
          <w:spacing w:val="-26"/>
          <w:w w:val="110"/>
        </w:rPr>
        <w:t> </w:t>
      </w:r>
      <w:r>
        <w:rPr>
          <w:color w:val="231F20"/>
          <w:w w:val="110"/>
        </w:rPr>
        <w:t>la</w:t>
      </w:r>
      <w:r>
        <w:rPr>
          <w:color w:val="231F20"/>
          <w:spacing w:val="-26"/>
          <w:w w:val="110"/>
        </w:rPr>
        <w:t> </w:t>
      </w:r>
      <w:r>
        <w:rPr>
          <w:color w:val="231F20"/>
          <w:w w:val="110"/>
        </w:rPr>
        <w:t>primera</w:t>
      </w:r>
      <w:r>
        <w:rPr>
          <w:color w:val="231F20"/>
          <w:spacing w:val="-26"/>
          <w:w w:val="110"/>
        </w:rPr>
        <w:t> </w:t>
      </w:r>
      <w:r>
        <w:rPr>
          <w:color w:val="231F20"/>
          <w:w w:val="110"/>
        </w:rPr>
        <w:t>generación.</w:t>
      </w:r>
      <w:r>
        <w:rPr>
          <w:color w:val="231F20"/>
          <w:spacing w:val="-26"/>
          <w:w w:val="110"/>
        </w:rPr>
        <w:t> </w:t>
      </w:r>
      <w:r>
        <w:rPr>
          <w:color w:val="231F20"/>
          <w:w w:val="110"/>
        </w:rPr>
        <w:t>En</w:t>
      </w:r>
      <w:r>
        <w:rPr>
          <w:color w:val="231F20"/>
          <w:spacing w:val="-26"/>
          <w:w w:val="110"/>
        </w:rPr>
        <w:t> </w:t>
      </w:r>
      <w:r>
        <w:rPr>
          <w:color w:val="231F20"/>
          <w:w w:val="110"/>
        </w:rPr>
        <w:t>términos</w:t>
      </w:r>
      <w:r>
        <w:rPr>
          <w:color w:val="231F20"/>
          <w:spacing w:val="-26"/>
          <w:w w:val="110"/>
        </w:rPr>
        <w:t> </w:t>
      </w:r>
      <w:r>
        <w:rPr>
          <w:color w:val="231F20"/>
          <w:w w:val="110"/>
        </w:rPr>
        <w:t>antropo- lógicos, la forma de vida de la sociedad rural en México ha desarrollado, a través de su cultura, procesos de adaptación sociocultural, y durante el paso del tiempo se han conformado nuevas formas de organización fami- liar que permiten, por un lado, garantizar la autosuficiencia alimentaria </w:t>
      </w:r>
      <w:r>
        <w:rPr>
          <w:color w:val="231F20"/>
          <w:spacing w:val="-9"/>
          <w:w w:val="110"/>
        </w:rPr>
        <w:t>y, </w:t>
      </w:r>
      <w:r>
        <w:rPr>
          <w:color w:val="231F20"/>
          <w:w w:val="110"/>
        </w:rPr>
        <w:t>por el otro, la continuidad de su cultura </w:t>
      </w:r>
      <w:r>
        <w:rPr>
          <w:color w:val="231F20"/>
          <w:spacing w:val="11"/>
          <w:w w:val="110"/>
        </w:rPr>
        <w:t> </w:t>
      </w:r>
      <w:r>
        <w:rPr>
          <w:color w:val="231F20"/>
          <w:w w:val="110"/>
        </w:rPr>
        <w:t>campesina.</w:t>
      </w:r>
    </w:p>
    <w:p>
      <w:pPr>
        <w:pStyle w:val="BodyText"/>
        <w:spacing w:line="280" w:lineRule="auto"/>
        <w:ind w:left="120" w:right="115" w:firstLine="360"/>
        <w:jc w:val="both"/>
      </w:pPr>
      <w:r>
        <w:rPr>
          <w:color w:val="231F20"/>
          <w:w w:val="110"/>
        </w:rPr>
        <w:t>El </w:t>
      </w:r>
      <w:r>
        <w:rPr>
          <w:color w:val="231F20"/>
          <w:spacing w:val="-3"/>
          <w:w w:val="110"/>
        </w:rPr>
        <w:t>caso </w:t>
      </w:r>
      <w:r>
        <w:rPr>
          <w:color w:val="231F20"/>
          <w:w w:val="110"/>
        </w:rPr>
        <w:t>de </w:t>
      </w:r>
      <w:r>
        <w:rPr>
          <w:color w:val="231F20"/>
          <w:spacing w:val="-3"/>
          <w:w w:val="110"/>
        </w:rPr>
        <w:t>las </w:t>
      </w:r>
      <w:r>
        <w:rPr>
          <w:color w:val="231F20"/>
          <w:spacing w:val="-4"/>
          <w:w w:val="110"/>
        </w:rPr>
        <w:t>familias campesinas </w:t>
      </w:r>
      <w:r>
        <w:rPr>
          <w:color w:val="231F20"/>
          <w:spacing w:val="-3"/>
          <w:w w:val="110"/>
        </w:rPr>
        <w:t>del </w:t>
      </w:r>
      <w:r>
        <w:rPr>
          <w:color w:val="231F20"/>
          <w:spacing w:val="-8"/>
          <w:w w:val="110"/>
        </w:rPr>
        <w:t>Valle </w:t>
      </w:r>
      <w:r>
        <w:rPr>
          <w:color w:val="231F20"/>
          <w:w w:val="110"/>
        </w:rPr>
        <w:t>de </w:t>
      </w:r>
      <w:r>
        <w:rPr>
          <w:color w:val="231F20"/>
          <w:spacing w:val="-4"/>
          <w:w w:val="110"/>
        </w:rPr>
        <w:t>Ixtlahuaca representa </w:t>
      </w:r>
      <w:r>
        <w:rPr>
          <w:color w:val="231F20"/>
          <w:spacing w:val="-3"/>
          <w:w w:val="110"/>
        </w:rPr>
        <w:t>una </w:t>
      </w:r>
      <w:r>
        <w:rPr>
          <w:color w:val="231F20"/>
          <w:w w:val="110"/>
        </w:rPr>
        <w:t>pequeña realidad de la situación generalizada que viven, en otras regiones del país, las familias campesinas que practican la agricultura de temporal, las cuales han sufrido una serie de cambios socioculturales, muchos de ellos por causa de la modernización en la agricultura, de los distintos pro- yectos de desarrollo, de la expansión industrial y urbana sobre las áreas rurales y de aquellos otros cambios derivados de los procesos de mundia- lización económica, que actualmente se han discutido dentro de las cues- tiones de globalización. Con estudios sobre los componentes locales, como el que aquí se presenta, es posible explicar tanto los ajustes específicos originados en situaciones particulares, como las semejanzas que</w:t>
      </w:r>
      <w:r>
        <w:rPr>
          <w:color w:val="231F20"/>
          <w:spacing w:val="-24"/>
          <w:w w:val="110"/>
        </w:rPr>
        <w:t> </w:t>
      </w:r>
      <w:r>
        <w:rPr>
          <w:color w:val="231F20"/>
          <w:w w:val="110"/>
        </w:rPr>
        <w:t>encontra- mos en contextos y a escalas más  </w:t>
      </w:r>
      <w:r>
        <w:rPr>
          <w:color w:val="231F20"/>
          <w:spacing w:val="7"/>
          <w:w w:val="110"/>
        </w:rPr>
        <w:t> </w:t>
      </w:r>
      <w:r>
        <w:rPr>
          <w:color w:val="231F20"/>
          <w:w w:val="110"/>
        </w:rPr>
        <w:t>amplias.</w:t>
      </w:r>
    </w:p>
    <w:p>
      <w:pPr>
        <w:pStyle w:val="BodyText"/>
        <w:spacing w:line="285" w:lineRule="auto"/>
        <w:ind w:left="119" w:right="116" w:firstLine="360"/>
        <w:jc w:val="both"/>
      </w:pPr>
      <w:r>
        <w:rPr>
          <w:color w:val="231F20"/>
          <w:w w:val="110"/>
        </w:rPr>
        <w:t>En particular, la Antropología</w:t>
      </w:r>
      <w:r>
        <w:rPr>
          <w:color w:val="231F20"/>
          <w:w w:val="110"/>
          <w:position w:val="6"/>
          <w:sz w:val="11"/>
        </w:rPr>
        <w:t>28 </w:t>
      </w:r>
      <w:r>
        <w:rPr>
          <w:color w:val="231F20"/>
          <w:w w:val="110"/>
        </w:rPr>
        <w:t>tiene un largo camino recorrido en el análisis de los diferentes esfuerzos y estrategias que usan los agricultores mexicanos para salir adelante en un país que —en palabras de Gómez Pompa— “ha apostado a una economía subdesarrollada de libre mercado, que en nada les favorece y protege” (Gómez, 2007: 13).</w:t>
      </w:r>
    </w:p>
    <w:p>
      <w:pPr>
        <w:spacing w:line="247" w:lineRule="auto" w:before="167"/>
        <w:ind w:left="119" w:right="118" w:firstLine="360"/>
        <w:jc w:val="both"/>
        <w:rPr>
          <w:sz w:val="16"/>
        </w:rPr>
      </w:pPr>
      <w:r>
        <w:rPr>
          <w:color w:val="231F20"/>
          <w:w w:val="105"/>
          <w:position w:val="5"/>
          <w:sz w:val="9"/>
        </w:rPr>
        <w:t>28 </w:t>
      </w:r>
      <w:r>
        <w:rPr>
          <w:color w:val="231F20"/>
          <w:w w:val="105"/>
          <w:sz w:val="16"/>
        </w:rPr>
        <w:t>Para profundizar en estudios locales, véase la compilación de ensayos de Alba González Jácome, Silvia del  Amo  Rodríguez  y  Francisco  D.  Gurri  García  (2007),  </w:t>
      </w:r>
      <w:r>
        <w:rPr>
          <w:i/>
          <w:color w:val="231F20"/>
          <w:w w:val="105"/>
          <w:sz w:val="16"/>
        </w:rPr>
        <w:t>Los nuevos caminos de </w:t>
      </w:r>
      <w:r>
        <w:rPr>
          <w:i/>
          <w:color w:val="231F20"/>
          <w:w w:val="105"/>
          <w:sz w:val="16"/>
        </w:rPr>
        <w:t>la agricultura: procesos de conversión y perspectivas, </w:t>
      </w:r>
      <w:r>
        <w:rPr>
          <w:color w:val="231F20"/>
          <w:w w:val="105"/>
          <w:sz w:val="16"/>
        </w:rPr>
        <w:t>México, Universidad Iberoamericana/Plaza   y Valdés, obra que reúne materiales factuales  en  la  búsqueda  de  dimensiones  del  cambio  rural </w:t>
      </w:r>
      <w:r>
        <w:rPr>
          <w:color w:val="231F20"/>
          <w:spacing w:val="6"/>
          <w:w w:val="105"/>
          <w:sz w:val="16"/>
        </w:rPr>
        <w:t> </w:t>
      </w:r>
      <w:r>
        <w:rPr>
          <w:color w:val="231F20"/>
          <w:w w:val="105"/>
          <w:sz w:val="16"/>
        </w:rPr>
        <w:t>reciente.</w:t>
      </w:r>
    </w:p>
    <w:p>
      <w:pPr>
        <w:spacing w:after="0" w:line="247" w:lineRule="auto"/>
        <w:jc w:val="both"/>
        <w:rPr>
          <w:sz w:val="16"/>
        </w:rPr>
        <w:sectPr>
          <w:pgSz w:w="9520" w:h="12920"/>
          <w:pgMar w:header="0" w:footer="1344" w:top="880" w:bottom="1540" w:left="1000" w:right="1320"/>
        </w:sectPr>
      </w:pPr>
    </w:p>
    <w:p>
      <w:pPr>
        <w:spacing w:line="283" w:lineRule="auto" w:before="46"/>
        <w:ind w:left="484" w:right="112" w:firstLine="0"/>
        <w:jc w:val="both"/>
        <w:rPr>
          <w:sz w:val="18"/>
        </w:rPr>
      </w:pPr>
      <w:r>
        <w:rPr>
          <w:color w:val="231F20"/>
          <w:w w:val="110"/>
          <w:sz w:val="18"/>
        </w:rPr>
        <w:t>Las características propias de estas sociedades, expresadas en sus sistemas de producción,</w:t>
      </w:r>
      <w:r>
        <w:rPr>
          <w:color w:val="231F20"/>
          <w:spacing w:val="-8"/>
          <w:w w:val="110"/>
          <w:sz w:val="18"/>
        </w:rPr>
        <w:t> </w:t>
      </w:r>
      <w:r>
        <w:rPr>
          <w:color w:val="231F20"/>
          <w:w w:val="110"/>
          <w:sz w:val="18"/>
        </w:rPr>
        <w:t>sus</w:t>
      </w:r>
      <w:r>
        <w:rPr>
          <w:color w:val="231F20"/>
          <w:spacing w:val="-8"/>
          <w:w w:val="110"/>
          <w:sz w:val="18"/>
        </w:rPr>
        <w:t> </w:t>
      </w:r>
      <w:r>
        <w:rPr>
          <w:color w:val="231F20"/>
          <w:w w:val="110"/>
          <w:sz w:val="18"/>
        </w:rPr>
        <w:t>conocimientos</w:t>
      </w:r>
      <w:r>
        <w:rPr>
          <w:color w:val="231F20"/>
          <w:spacing w:val="-8"/>
          <w:w w:val="110"/>
          <w:sz w:val="18"/>
        </w:rPr>
        <w:t> </w:t>
      </w:r>
      <w:r>
        <w:rPr>
          <w:color w:val="231F20"/>
          <w:w w:val="110"/>
          <w:sz w:val="18"/>
        </w:rPr>
        <w:t>de</w:t>
      </w:r>
      <w:r>
        <w:rPr>
          <w:color w:val="231F20"/>
          <w:spacing w:val="-8"/>
          <w:w w:val="110"/>
          <w:sz w:val="18"/>
        </w:rPr>
        <w:t> </w:t>
      </w:r>
      <w:r>
        <w:rPr>
          <w:color w:val="231F20"/>
          <w:w w:val="110"/>
          <w:sz w:val="18"/>
        </w:rPr>
        <w:t>las</w:t>
      </w:r>
      <w:r>
        <w:rPr>
          <w:color w:val="231F20"/>
          <w:spacing w:val="-8"/>
          <w:w w:val="110"/>
          <w:sz w:val="18"/>
        </w:rPr>
        <w:t> </w:t>
      </w:r>
      <w:r>
        <w:rPr>
          <w:color w:val="231F20"/>
          <w:w w:val="110"/>
          <w:sz w:val="18"/>
        </w:rPr>
        <w:t>condiciones</w:t>
      </w:r>
      <w:r>
        <w:rPr>
          <w:color w:val="231F20"/>
          <w:spacing w:val="-8"/>
          <w:w w:val="110"/>
          <w:sz w:val="18"/>
        </w:rPr>
        <w:t> </w:t>
      </w:r>
      <w:r>
        <w:rPr>
          <w:color w:val="231F20"/>
          <w:w w:val="110"/>
          <w:sz w:val="18"/>
        </w:rPr>
        <w:t>locales</w:t>
      </w:r>
      <w:r>
        <w:rPr>
          <w:color w:val="231F20"/>
          <w:spacing w:val="-8"/>
          <w:w w:val="110"/>
          <w:sz w:val="18"/>
        </w:rPr>
        <w:t> </w:t>
      </w:r>
      <w:r>
        <w:rPr>
          <w:color w:val="231F20"/>
          <w:w w:val="110"/>
          <w:sz w:val="18"/>
        </w:rPr>
        <w:t>y</w:t>
      </w:r>
      <w:r>
        <w:rPr>
          <w:color w:val="231F20"/>
          <w:spacing w:val="-8"/>
          <w:w w:val="110"/>
          <w:sz w:val="18"/>
        </w:rPr>
        <w:t> </w:t>
      </w:r>
      <w:r>
        <w:rPr>
          <w:color w:val="231F20"/>
          <w:w w:val="110"/>
          <w:sz w:val="18"/>
        </w:rPr>
        <w:t>las</w:t>
      </w:r>
      <w:r>
        <w:rPr>
          <w:color w:val="231F20"/>
          <w:spacing w:val="-8"/>
          <w:w w:val="110"/>
          <w:sz w:val="18"/>
        </w:rPr>
        <w:t> </w:t>
      </w:r>
      <w:r>
        <w:rPr>
          <w:color w:val="231F20"/>
          <w:w w:val="110"/>
          <w:sz w:val="18"/>
        </w:rPr>
        <w:t>diferentes</w:t>
      </w:r>
      <w:r>
        <w:rPr>
          <w:color w:val="231F20"/>
          <w:spacing w:val="-8"/>
          <w:w w:val="110"/>
          <w:sz w:val="18"/>
        </w:rPr>
        <w:t> </w:t>
      </w:r>
      <w:r>
        <w:rPr>
          <w:color w:val="231F20"/>
          <w:w w:val="110"/>
          <w:sz w:val="18"/>
        </w:rPr>
        <w:t>estra- tegias</w:t>
      </w:r>
      <w:r>
        <w:rPr>
          <w:color w:val="231F20"/>
          <w:spacing w:val="-16"/>
          <w:w w:val="110"/>
          <w:sz w:val="18"/>
        </w:rPr>
        <w:t> </w:t>
      </w:r>
      <w:r>
        <w:rPr>
          <w:color w:val="231F20"/>
          <w:w w:val="110"/>
          <w:sz w:val="18"/>
        </w:rPr>
        <w:t>que</w:t>
      </w:r>
      <w:r>
        <w:rPr>
          <w:color w:val="231F20"/>
          <w:spacing w:val="-16"/>
          <w:w w:val="110"/>
          <w:sz w:val="18"/>
        </w:rPr>
        <w:t> </w:t>
      </w:r>
      <w:r>
        <w:rPr>
          <w:color w:val="231F20"/>
          <w:w w:val="110"/>
          <w:sz w:val="18"/>
        </w:rPr>
        <w:t>utilizan</w:t>
      </w:r>
      <w:r>
        <w:rPr>
          <w:color w:val="231F20"/>
          <w:spacing w:val="-16"/>
          <w:w w:val="110"/>
          <w:sz w:val="18"/>
        </w:rPr>
        <w:t> </w:t>
      </w:r>
      <w:r>
        <w:rPr>
          <w:color w:val="231F20"/>
          <w:w w:val="110"/>
          <w:sz w:val="18"/>
        </w:rPr>
        <w:t>para</w:t>
      </w:r>
      <w:r>
        <w:rPr>
          <w:color w:val="231F20"/>
          <w:spacing w:val="-16"/>
          <w:w w:val="110"/>
          <w:sz w:val="18"/>
        </w:rPr>
        <w:t> </w:t>
      </w:r>
      <w:r>
        <w:rPr>
          <w:color w:val="231F20"/>
          <w:w w:val="110"/>
          <w:sz w:val="18"/>
        </w:rPr>
        <w:t>su</w:t>
      </w:r>
      <w:r>
        <w:rPr>
          <w:color w:val="231F20"/>
          <w:spacing w:val="-16"/>
          <w:w w:val="110"/>
          <w:sz w:val="18"/>
        </w:rPr>
        <w:t> </w:t>
      </w:r>
      <w:r>
        <w:rPr>
          <w:color w:val="231F20"/>
          <w:w w:val="110"/>
          <w:sz w:val="18"/>
        </w:rPr>
        <w:t>reproducción</w:t>
      </w:r>
      <w:r>
        <w:rPr>
          <w:color w:val="231F20"/>
          <w:spacing w:val="-16"/>
          <w:w w:val="110"/>
          <w:sz w:val="18"/>
        </w:rPr>
        <w:t> </w:t>
      </w:r>
      <w:r>
        <w:rPr>
          <w:color w:val="231F20"/>
          <w:w w:val="110"/>
          <w:sz w:val="18"/>
        </w:rPr>
        <w:t>y</w:t>
      </w:r>
      <w:r>
        <w:rPr>
          <w:color w:val="231F20"/>
          <w:spacing w:val="-16"/>
          <w:w w:val="110"/>
          <w:sz w:val="18"/>
        </w:rPr>
        <w:t> </w:t>
      </w:r>
      <w:r>
        <w:rPr>
          <w:color w:val="231F20"/>
          <w:w w:val="110"/>
          <w:sz w:val="18"/>
        </w:rPr>
        <w:t>permanencia</w:t>
      </w:r>
      <w:r>
        <w:rPr>
          <w:color w:val="231F20"/>
          <w:spacing w:val="-16"/>
          <w:w w:val="110"/>
          <w:sz w:val="18"/>
        </w:rPr>
        <w:t> </w:t>
      </w:r>
      <w:r>
        <w:rPr>
          <w:color w:val="231F20"/>
          <w:w w:val="110"/>
          <w:sz w:val="18"/>
        </w:rPr>
        <w:t>a</w:t>
      </w:r>
      <w:r>
        <w:rPr>
          <w:color w:val="231F20"/>
          <w:spacing w:val="-16"/>
          <w:w w:val="110"/>
          <w:sz w:val="18"/>
        </w:rPr>
        <w:t> </w:t>
      </w:r>
      <w:r>
        <w:rPr>
          <w:color w:val="231F20"/>
          <w:w w:val="110"/>
          <w:sz w:val="18"/>
        </w:rPr>
        <w:t>lo</w:t>
      </w:r>
      <w:r>
        <w:rPr>
          <w:color w:val="231F20"/>
          <w:spacing w:val="-16"/>
          <w:w w:val="110"/>
          <w:sz w:val="18"/>
        </w:rPr>
        <w:t> </w:t>
      </w:r>
      <w:r>
        <w:rPr>
          <w:color w:val="231F20"/>
          <w:spacing w:val="-3"/>
          <w:w w:val="110"/>
          <w:sz w:val="18"/>
        </w:rPr>
        <w:t>largo</w:t>
      </w:r>
      <w:r>
        <w:rPr>
          <w:color w:val="231F20"/>
          <w:spacing w:val="-16"/>
          <w:w w:val="110"/>
          <w:sz w:val="18"/>
        </w:rPr>
        <w:t> </w:t>
      </w:r>
      <w:r>
        <w:rPr>
          <w:color w:val="231F20"/>
          <w:w w:val="110"/>
          <w:sz w:val="18"/>
        </w:rPr>
        <w:t>de</w:t>
      </w:r>
      <w:r>
        <w:rPr>
          <w:color w:val="231F20"/>
          <w:spacing w:val="-16"/>
          <w:w w:val="110"/>
          <w:sz w:val="18"/>
        </w:rPr>
        <w:t> </w:t>
      </w:r>
      <w:r>
        <w:rPr>
          <w:color w:val="231F20"/>
          <w:w w:val="110"/>
          <w:sz w:val="18"/>
        </w:rPr>
        <w:t>las</w:t>
      </w:r>
      <w:r>
        <w:rPr>
          <w:color w:val="231F20"/>
          <w:spacing w:val="-16"/>
          <w:w w:val="110"/>
          <w:sz w:val="18"/>
        </w:rPr>
        <w:t> </w:t>
      </w:r>
      <w:r>
        <w:rPr>
          <w:color w:val="231F20"/>
          <w:w w:val="110"/>
          <w:sz w:val="18"/>
        </w:rPr>
        <w:t>distintas etapas del desarrollo social, las convierten en un ámbito interesante para el análisis de opciones amigables con el ambiente y socioeconómicamente via- bles de producción y organización social (Mora, 2008:</w:t>
      </w:r>
      <w:r>
        <w:rPr>
          <w:color w:val="231F20"/>
          <w:spacing w:val="-2"/>
          <w:w w:val="110"/>
          <w:sz w:val="18"/>
        </w:rPr>
        <w:t> </w:t>
      </w:r>
      <w:r>
        <w:rPr>
          <w:color w:val="231F20"/>
          <w:w w:val="110"/>
          <w:sz w:val="18"/>
        </w:rPr>
        <w:t>122).</w:t>
      </w:r>
    </w:p>
    <w:p>
      <w:pPr>
        <w:pStyle w:val="BodyText"/>
        <w:spacing w:before="7"/>
        <w:rPr>
          <w:sz w:val="21"/>
        </w:rPr>
      </w:pPr>
    </w:p>
    <w:p>
      <w:pPr>
        <w:pStyle w:val="BodyText"/>
        <w:spacing w:line="288" w:lineRule="auto"/>
        <w:ind w:left="124" w:right="109" w:firstLine="360"/>
        <w:jc w:val="both"/>
      </w:pPr>
      <w:r>
        <w:rPr>
          <w:color w:val="231F20"/>
          <w:w w:val="110"/>
        </w:rPr>
        <w:t>Las familias campesinas mexicanas forman parte, como afirma Eric R. </w:t>
      </w:r>
      <w:r>
        <w:rPr>
          <w:color w:val="231F20"/>
          <w:spacing w:val="-5"/>
          <w:w w:val="110"/>
        </w:rPr>
        <w:t>Wolf </w:t>
      </w:r>
      <w:r>
        <w:rPr>
          <w:color w:val="231F20"/>
          <w:w w:val="110"/>
        </w:rPr>
        <w:t>(1998), de “un mundo marcado por poderosas asimetrías y desigual- dades políticas, económicas y culturales” </w:t>
      </w:r>
      <w:r>
        <w:rPr>
          <w:color w:val="231F20"/>
          <w:spacing w:val="-3"/>
          <w:w w:val="110"/>
        </w:rPr>
        <w:t>(Wolf, </w:t>
      </w:r>
      <w:r>
        <w:rPr>
          <w:color w:val="231F20"/>
          <w:w w:val="110"/>
        </w:rPr>
        <w:t>1998: 9), lo cual genera incertidumbre que implica que las distancias se encuentren cada vez más exacerbadas. Las sociedades rurales viven rápidos procesos de cambio de sus funciones sociales, productivas, políticas y ambientales, ya que se en- cuentran en un marco de una apertura cada vez más profunda al mundo globalizado.</w:t>
      </w:r>
      <w:r>
        <w:rPr>
          <w:color w:val="231F20"/>
          <w:spacing w:val="-5"/>
          <w:w w:val="110"/>
        </w:rPr>
        <w:t> </w:t>
      </w:r>
      <w:r>
        <w:rPr>
          <w:color w:val="231F20"/>
          <w:w w:val="110"/>
        </w:rPr>
        <w:t>Coincido</w:t>
      </w:r>
      <w:r>
        <w:rPr>
          <w:color w:val="231F20"/>
          <w:spacing w:val="-5"/>
          <w:w w:val="110"/>
        </w:rPr>
        <w:t> </w:t>
      </w:r>
      <w:r>
        <w:rPr>
          <w:color w:val="231F20"/>
          <w:w w:val="110"/>
        </w:rPr>
        <w:t>con</w:t>
      </w:r>
      <w:r>
        <w:rPr>
          <w:color w:val="231F20"/>
          <w:spacing w:val="-5"/>
          <w:w w:val="110"/>
        </w:rPr>
        <w:t> </w:t>
      </w:r>
      <w:r>
        <w:rPr>
          <w:color w:val="231F20"/>
          <w:w w:val="110"/>
        </w:rPr>
        <w:t>la</w:t>
      </w:r>
      <w:r>
        <w:rPr>
          <w:color w:val="231F20"/>
          <w:spacing w:val="-5"/>
          <w:w w:val="110"/>
        </w:rPr>
        <w:t> </w:t>
      </w:r>
      <w:r>
        <w:rPr>
          <w:color w:val="231F20"/>
          <w:w w:val="110"/>
        </w:rPr>
        <w:t>aseveración</w:t>
      </w:r>
      <w:r>
        <w:rPr>
          <w:color w:val="231F20"/>
          <w:spacing w:val="-5"/>
          <w:w w:val="110"/>
        </w:rPr>
        <w:t> </w:t>
      </w:r>
      <w:r>
        <w:rPr>
          <w:color w:val="231F20"/>
          <w:w w:val="110"/>
        </w:rPr>
        <w:t>de</w:t>
      </w:r>
      <w:r>
        <w:rPr>
          <w:color w:val="231F20"/>
          <w:spacing w:val="-5"/>
          <w:w w:val="110"/>
        </w:rPr>
        <w:t> Wolf </w:t>
      </w:r>
      <w:r>
        <w:rPr>
          <w:color w:val="231F20"/>
          <w:w w:val="110"/>
        </w:rPr>
        <w:t>y</w:t>
      </w:r>
      <w:r>
        <w:rPr>
          <w:color w:val="231F20"/>
          <w:spacing w:val="-5"/>
          <w:w w:val="110"/>
        </w:rPr>
        <w:t> </w:t>
      </w:r>
      <w:r>
        <w:rPr>
          <w:color w:val="231F20"/>
          <w:w w:val="110"/>
        </w:rPr>
        <w:t>Palerm</w:t>
      </w:r>
      <w:r>
        <w:rPr>
          <w:color w:val="231F20"/>
          <w:spacing w:val="-5"/>
          <w:w w:val="110"/>
        </w:rPr>
        <w:t> </w:t>
      </w:r>
      <w:r>
        <w:rPr>
          <w:color w:val="231F20"/>
          <w:w w:val="110"/>
        </w:rPr>
        <w:t>(1998)</w:t>
      </w:r>
      <w:r>
        <w:rPr>
          <w:color w:val="231F20"/>
          <w:spacing w:val="-5"/>
          <w:w w:val="110"/>
        </w:rPr>
        <w:t> </w:t>
      </w:r>
      <w:r>
        <w:rPr>
          <w:color w:val="231F20"/>
          <w:w w:val="110"/>
        </w:rPr>
        <w:t>sobre</w:t>
      </w:r>
      <w:r>
        <w:rPr>
          <w:color w:val="231F20"/>
          <w:spacing w:val="-5"/>
          <w:w w:val="110"/>
        </w:rPr>
        <w:t> </w:t>
      </w:r>
      <w:r>
        <w:rPr>
          <w:color w:val="231F20"/>
          <w:w w:val="110"/>
        </w:rPr>
        <w:t>los campesinos, donde afirman que no son cuerpos sociales que permanezcan estáticos o inertes por tradición; se crean y recrean continuamente en un proceso de negociación y lucha con el poder establecido en cuanto a sus políticas</w:t>
      </w:r>
      <w:r>
        <w:rPr>
          <w:color w:val="231F20"/>
          <w:spacing w:val="7"/>
          <w:w w:val="110"/>
        </w:rPr>
        <w:t> </w:t>
      </w:r>
      <w:r>
        <w:rPr>
          <w:color w:val="231F20"/>
          <w:w w:val="110"/>
        </w:rPr>
        <w:t>económicas.</w:t>
      </w:r>
    </w:p>
    <w:p>
      <w:pPr>
        <w:pStyle w:val="BodyText"/>
        <w:ind w:left="484"/>
        <w:jc w:val="both"/>
      </w:pPr>
      <w:r>
        <w:rPr>
          <w:color w:val="231F20"/>
          <w:w w:val="110"/>
        </w:rPr>
        <w:t>De este modo, según Wolf (1998),</w:t>
      </w:r>
    </w:p>
    <w:p>
      <w:pPr>
        <w:pStyle w:val="BodyText"/>
      </w:pPr>
    </w:p>
    <w:p>
      <w:pPr>
        <w:spacing w:line="283" w:lineRule="auto" w:before="0"/>
        <w:ind w:left="484" w:right="113" w:firstLine="0"/>
        <w:jc w:val="both"/>
        <w:rPr>
          <w:sz w:val="18"/>
        </w:rPr>
      </w:pPr>
      <w:r>
        <w:rPr>
          <w:color w:val="231F20"/>
          <w:w w:val="110"/>
          <w:sz w:val="18"/>
        </w:rPr>
        <w:t>Palerm</w:t>
      </w:r>
      <w:r>
        <w:rPr>
          <w:color w:val="231F20"/>
          <w:spacing w:val="-6"/>
          <w:w w:val="110"/>
          <w:sz w:val="18"/>
        </w:rPr>
        <w:t> </w:t>
      </w:r>
      <w:r>
        <w:rPr>
          <w:color w:val="231F20"/>
          <w:w w:val="110"/>
          <w:sz w:val="18"/>
        </w:rPr>
        <w:t>plantea</w:t>
      </w:r>
      <w:r>
        <w:rPr>
          <w:color w:val="231F20"/>
          <w:spacing w:val="-6"/>
          <w:w w:val="110"/>
          <w:sz w:val="18"/>
        </w:rPr>
        <w:t> </w:t>
      </w:r>
      <w:r>
        <w:rPr>
          <w:color w:val="231F20"/>
          <w:w w:val="110"/>
          <w:sz w:val="18"/>
        </w:rPr>
        <w:t>el</w:t>
      </w:r>
      <w:r>
        <w:rPr>
          <w:color w:val="231F20"/>
          <w:spacing w:val="-6"/>
          <w:w w:val="110"/>
          <w:sz w:val="18"/>
        </w:rPr>
        <w:t> </w:t>
      </w:r>
      <w:r>
        <w:rPr>
          <w:color w:val="231F20"/>
          <w:w w:val="110"/>
          <w:sz w:val="18"/>
        </w:rPr>
        <w:t>problema</w:t>
      </w:r>
      <w:r>
        <w:rPr>
          <w:color w:val="231F20"/>
          <w:spacing w:val="-6"/>
          <w:w w:val="110"/>
          <w:sz w:val="18"/>
        </w:rPr>
        <w:t> </w:t>
      </w:r>
      <w:r>
        <w:rPr>
          <w:color w:val="231F20"/>
          <w:w w:val="110"/>
          <w:sz w:val="18"/>
        </w:rPr>
        <w:t>general</w:t>
      </w:r>
      <w:r>
        <w:rPr>
          <w:color w:val="231F20"/>
          <w:spacing w:val="-6"/>
          <w:w w:val="110"/>
          <w:sz w:val="18"/>
        </w:rPr>
        <w:t> </w:t>
      </w:r>
      <w:r>
        <w:rPr>
          <w:color w:val="231F20"/>
          <w:w w:val="110"/>
          <w:sz w:val="18"/>
        </w:rPr>
        <w:t>del</w:t>
      </w:r>
      <w:r>
        <w:rPr>
          <w:color w:val="231F20"/>
          <w:spacing w:val="-6"/>
          <w:w w:val="110"/>
          <w:sz w:val="18"/>
        </w:rPr>
        <w:t> </w:t>
      </w:r>
      <w:r>
        <w:rPr>
          <w:color w:val="231F20"/>
          <w:w w:val="110"/>
          <w:sz w:val="18"/>
        </w:rPr>
        <w:t>campesinado</w:t>
      </w:r>
      <w:r>
        <w:rPr>
          <w:color w:val="231F20"/>
          <w:spacing w:val="-6"/>
          <w:w w:val="110"/>
          <w:sz w:val="18"/>
        </w:rPr>
        <w:t> </w:t>
      </w:r>
      <w:r>
        <w:rPr>
          <w:color w:val="231F20"/>
          <w:w w:val="110"/>
          <w:sz w:val="18"/>
        </w:rPr>
        <w:t>en</w:t>
      </w:r>
      <w:r>
        <w:rPr>
          <w:color w:val="231F20"/>
          <w:spacing w:val="-6"/>
          <w:w w:val="110"/>
          <w:sz w:val="18"/>
        </w:rPr>
        <w:t> </w:t>
      </w:r>
      <w:r>
        <w:rPr>
          <w:color w:val="231F20"/>
          <w:w w:val="110"/>
          <w:sz w:val="18"/>
        </w:rPr>
        <w:t>todas</w:t>
      </w:r>
      <w:r>
        <w:rPr>
          <w:color w:val="231F20"/>
          <w:spacing w:val="-6"/>
          <w:w w:val="110"/>
          <w:sz w:val="18"/>
        </w:rPr>
        <w:t> </w:t>
      </w:r>
      <w:r>
        <w:rPr>
          <w:color w:val="231F20"/>
          <w:w w:val="110"/>
          <w:sz w:val="18"/>
        </w:rPr>
        <w:t>partes.</w:t>
      </w:r>
      <w:r>
        <w:rPr>
          <w:color w:val="231F20"/>
          <w:spacing w:val="-6"/>
          <w:w w:val="110"/>
          <w:sz w:val="18"/>
        </w:rPr>
        <w:t> </w:t>
      </w:r>
      <w:r>
        <w:rPr>
          <w:color w:val="231F20"/>
          <w:w w:val="110"/>
          <w:sz w:val="18"/>
        </w:rPr>
        <w:t>Los</w:t>
      </w:r>
      <w:r>
        <w:rPr>
          <w:color w:val="231F20"/>
          <w:spacing w:val="-6"/>
          <w:w w:val="110"/>
          <w:sz w:val="18"/>
        </w:rPr>
        <w:t> </w:t>
      </w:r>
      <w:r>
        <w:rPr>
          <w:color w:val="231F20"/>
          <w:w w:val="110"/>
          <w:sz w:val="18"/>
        </w:rPr>
        <w:t>cam- pesinos permanecen dentro de las sociedades mayores basadas en los modos capitalistas o socialistas, pero la racionalidad de su propio modo de produc- ción</w:t>
      </w:r>
      <w:r>
        <w:rPr>
          <w:color w:val="231F20"/>
          <w:spacing w:val="-3"/>
          <w:w w:val="110"/>
          <w:sz w:val="18"/>
        </w:rPr>
        <w:t> </w:t>
      </w:r>
      <w:r>
        <w:rPr>
          <w:color w:val="231F20"/>
          <w:w w:val="110"/>
          <w:sz w:val="18"/>
        </w:rPr>
        <w:t>campesino</w:t>
      </w:r>
      <w:r>
        <w:rPr>
          <w:color w:val="231F20"/>
          <w:spacing w:val="-6"/>
          <w:w w:val="110"/>
          <w:sz w:val="18"/>
        </w:rPr>
        <w:t> </w:t>
      </w:r>
      <w:r>
        <w:rPr>
          <w:color w:val="231F20"/>
          <w:w w:val="110"/>
          <w:sz w:val="18"/>
        </w:rPr>
        <w:t>basado</w:t>
      </w:r>
      <w:r>
        <w:rPr>
          <w:color w:val="231F20"/>
          <w:spacing w:val="-6"/>
          <w:w w:val="110"/>
          <w:sz w:val="18"/>
        </w:rPr>
        <w:t> </w:t>
      </w:r>
      <w:r>
        <w:rPr>
          <w:color w:val="231F20"/>
          <w:w w:val="110"/>
          <w:sz w:val="18"/>
        </w:rPr>
        <w:t>en</w:t>
      </w:r>
      <w:r>
        <w:rPr>
          <w:color w:val="231F20"/>
          <w:spacing w:val="-6"/>
          <w:w w:val="110"/>
          <w:sz w:val="18"/>
        </w:rPr>
        <w:t> </w:t>
      </w:r>
      <w:r>
        <w:rPr>
          <w:color w:val="231F20"/>
          <w:w w:val="110"/>
          <w:sz w:val="18"/>
        </w:rPr>
        <w:t>la</w:t>
      </w:r>
      <w:r>
        <w:rPr>
          <w:color w:val="231F20"/>
          <w:spacing w:val="-6"/>
          <w:w w:val="110"/>
          <w:sz w:val="18"/>
        </w:rPr>
        <w:t> </w:t>
      </w:r>
      <w:r>
        <w:rPr>
          <w:color w:val="231F20"/>
          <w:w w:val="110"/>
          <w:sz w:val="18"/>
        </w:rPr>
        <w:t>unidad</w:t>
      </w:r>
      <w:r>
        <w:rPr>
          <w:color w:val="231F20"/>
          <w:spacing w:val="-6"/>
          <w:w w:val="110"/>
          <w:sz w:val="18"/>
        </w:rPr>
        <w:t> </w:t>
      </w:r>
      <w:r>
        <w:rPr>
          <w:color w:val="231F20"/>
          <w:w w:val="110"/>
          <w:sz w:val="18"/>
        </w:rPr>
        <w:t>doméstica</w:t>
      </w:r>
      <w:r>
        <w:rPr>
          <w:color w:val="231F20"/>
          <w:spacing w:val="-6"/>
          <w:w w:val="110"/>
          <w:sz w:val="18"/>
        </w:rPr>
        <w:t> </w:t>
      </w:r>
      <w:r>
        <w:rPr>
          <w:color w:val="231F20"/>
          <w:w w:val="110"/>
          <w:sz w:val="18"/>
        </w:rPr>
        <w:t>no</w:t>
      </w:r>
      <w:r>
        <w:rPr>
          <w:color w:val="231F20"/>
          <w:spacing w:val="-6"/>
          <w:w w:val="110"/>
          <w:sz w:val="18"/>
        </w:rPr>
        <w:t> </w:t>
      </w:r>
      <w:r>
        <w:rPr>
          <w:color w:val="231F20"/>
          <w:w w:val="110"/>
          <w:sz w:val="18"/>
        </w:rPr>
        <w:t>deriva</w:t>
      </w:r>
      <w:r>
        <w:rPr>
          <w:color w:val="231F20"/>
          <w:spacing w:val="-6"/>
          <w:w w:val="110"/>
          <w:sz w:val="18"/>
        </w:rPr>
        <w:t> </w:t>
      </w:r>
      <w:r>
        <w:rPr>
          <w:color w:val="231F20"/>
          <w:w w:val="110"/>
          <w:sz w:val="18"/>
        </w:rPr>
        <w:t>hacia</w:t>
      </w:r>
      <w:r>
        <w:rPr>
          <w:color w:val="231F20"/>
          <w:spacing w:val="-6"/>
          <w:w w:val="110"/>
          <w:sz w:val="18"/>
        </w:rPr>
        <w:t> </w:t>
      </w:r>
      <w:r>
        <w:rPr>
          <w:color w:val="231F20"/>
          <w:w w:val="110"/>
          <w:sz w:val="18"/>
        </w:rPr>
        <w:t>una</w:t>
      </w:r>
      <w:r>
        <w:rPr>
          <w:color w:val="231F20"/>
          <w:spacing w:val="-6"/>
          <w:w w:val="110"/>
          <w:sz w:val="18"/>
        </w:rPr>
        <w:t> </w:t>
      </w:r>
      <w:r>
        <w:rPr>
          <w:color w:val="231F20"/>
          <w:w w:val="110"/>
          <w:sz w:val="18"/>
        </w:rPr>
        <w:t>integración completa al capitalismo o al socialismo </w:t>
      </w:r>
      <w:r>
        <w:rPr>
          <w:color w:val="231F20"/>
          <w:spacing w:val="-4"/>
          <w:w w:val="110"/>
          <w:sz w:val="18"/>
        </w:rPr>
        <w:t>(Wolf, </w:t>
      </w:r>
      <w:r>
        <w:rPr>
          <w:color w:val="231F20"/>
          <w:w w:val="110"/>
          <w:sz w:val="18"/>
        </w:rPr>
        <w:t>1998:</w:t>
      </w:r>
      <w:r>
        <w:rPr>
          <w:color w:val="231F20"/>
          <w:spacing w:val="-10"/>
          <w:w w:val="110"/>
          <w:sz w:val="18"/>
        </w:rPr>
        <w:t> </w:t>
      </w:r>
      <w:r>
        <w:rPr>
          <w:color w:val="231F20"/>
          <w:w w:val="110"/>
          <w:sz w:val="18"/>
        </w:rPr>
        <w:t>18).</w:t>
      </w:r>
    </w:p>
    <w:p>
      <w:pPr>
        <w:pStyle w:val="BodyText"/>
        <w:spacing w:before="7"/>
        <w:rPr>
          <w:sz w:val="21"/>
        </w:rPr>
      </w:pPr>
    </w:p>
    <w:p>
      <w:pPr>
        <w:pStyle w:val="BodyText"/>
        <w:spacing w:line="288" w:lineRule="auto"/>
        <w:ind w:left="124" w:right="114" w:firstLine="360"/>
        <w:jc w:val="both"/>
        <w:rPr>
          <w:sz w:val="11"/>
        </w:rPr>
      </w:pPr>
      <w:r>
        <w:rPr>
          <w:color w:val="231F20"/>
          <w:w w:val="110"/>
        </w:rPr>
        <w:t>El modo de producción de subsistencia de las familias campesinas en México ha generado, a través del tiempo, diversos ajustes que se observan en  la  reorganización sociocultural de  la  unidad doméstica campesina,</w:t>
      </w:r>
      <w:r>
        <w:rPr>
          <w:color w:val="231F20"/>
          <w:w w:val="110"/>
          <w:position w:val="6"/>
          <w:sz w:val="11"/>
        </w:rPr>
        <w:t>29</w:t>
      </w:r>
    </w:p>
    <w:p>
      <w:pPr>
        <w:pStyle w:val="BodyText"/>
        <w:spacing w:before="7"/>
        <w:rPr>
          <w:sz w:val="17"/>
        </w:rPr>
      </w:pPr>
    </w:p>
    <w:p>
      <w:pPr>
        <w:spacing w:line="256" w:lineRule="auto" w:before="1"/>
        <w:ind w:left="124" w:right="112" w:firstLine="360"/>
        <w:jc w:val="both"/>
        <w:rPr>
          <w:sz w:val="16"/>
        </w:rPr>
      </w:pPr>
      <w:r>
        <w:rPr>
          <w:color w:val="231F20"/>
          <w:w w:val="110"/>
          <w:position w:val="5"/>
          <w:sz w:val="9"/>
        </w:rPr>
        <w:t>29 </w:t>
      </w:r>
      <w:r>
        <w:rPr>
          <w:color w:val="231F20"/>
          <w:w w:val="110"/>
          <w:sz w:val="16"/>
        </w:rPr>
        <w:t>“Chayanov (1966) sostenía que las </w:t>
      </w:r>
      <w:r>
        <w:rPr>
          <w:i/>
          <w:color w:val="231F20"/>
          <w:w w:val="110"/>
          <w:sz w:val="16"/>
        </w:rPr>
        <w:t>unidades domésticas campesinas </w:t>
      </w:r>
      <w:r>
        <w:rPr>
          <w:color w:val="231F20"/>
          <w:w w:val="110"/>
          <w:sz w:val="16"/>
        </w:rPr>
        <w:t>no valoraban sus recursos en función de los precios de mercado, sino por criterios dictados por su nivel de vida […] La obra atrajo la atención de los antropólogos porque se concentraba en los productores campesinos, no en los consumidores de la sociedad industrial y la relación entre trabajadores y dependientes cambiaba a lo largo del ciclo de desarrollo del grupo. La resis- tencia de los campesinos era resultado de su habilidad para cambiar constantemente el valor de su trabajo en respuesta a las condiciones, trabajando mucho más duro y tolerando rendimientos más bajos por un día de trabajo cuando había más bocas que alimentar, y luego aflojando el paso cuando era más fácil cubrir las necesidades. A diferencia de las unidades de producción industrial las unidades domésticas campesinas aspiran a seguir en el negocio por</w:t>
      </w:r>
    </w:p>
    <w:p>
      <w:pPr>
        <w:spacing w:after="0" w:line="256" w:lineRule="auto"/>
        <w:jc w:val="both"/>
        <w:rPr>
          <w:sz w:val="16"/>
        </w:rPr>
        <w:sectPr>
          <w:pgSz w:w="9520" w:h="12920"/>
          <w:pgMar w:header="0" w:footer="1344" w:top="880" w:bottom="1540" w:left="1320" w:right="1000"/>
        </w:sectPr>
      </w:pPr>
    </w:p>
    <w:p>
      <w:pPr>
        <w:pStyle w:val="BodyText"/>
        <w:spacing w:line="288" w:lineRule="auto" w:before="42"/>
        <w:ind w:left="120" w:right="119"/>
        <w:jc w:val="both"/>
      </w:pPr>
      <w:r>
        <w:rPr>
          <w:color w:val="231F20"/>
          <w:w w:val="110"/>
        </w:rPr>
        <w:t>enmarcados en un sistema capitalista, pero no integrados a él. La adapta- ción cultural opera, según Palerm, “por variaciones que tienen propósitos y que se mantienen, transmiten, abandonan y modifican de manera selec- tiva y crítica. Dicho de otra manera, la adaptación cultural es un proceso creador, y es libre en la medida en que se puede decidir entre alternativas </w:t>
      </w:r>
      <w:r>
        <w:rPr>
          <w:color w:val="231F20"/>
          <w:w w:val="105"/>
        </w:rPr>
        <w:t>determinadas” (Palerm 1998: 173).</w:t>
      </w:r>
    </w:p>
    <w:p>
      <w:pPr>
        <w:pStyle w:val="BodyText"/>
        <w:spacing w:line="288" w:lineRule="auto"/>
        <w:ind w:left="120" w:right="117" w:firstLine="360"/>
        <w:jc w:val="both"/>
      </w:pPr>
      <w:r>
        <w:rPr>
          <w:color w:val="231F20"/>
          <w:w w:val="110"/>
        </w:rPr>
        <w:t>Actualmente, vemos cómo “el modo capitalista se articula activamente </w:t>
      </w:r>
      <w:r>
        <w:rPr>
          <w:color w:val="231F20"/>
          <w:spacing w:val="-3"/>
          <w:w w:val="110"/>
        </w:rPr>
        <w:t>con</w:t>
      </w:r>
      <w:r>
        <w:rPr>
          <w:color w:val="231F20"/>
          <w:spacing w:val="-7"/>
          <w:w w:val="110"/>
        </w:rPr>
        <w:t> </w:t>
      </w:r>
      <w:r>
        <w:rPr>
          <w:color w:val="231F20"/>
          <w:spacing w:val="-4"/>
          <w:w w:val="110"/>
        </w:rPr>
        <w:t>diversas</w:t>
      </w:r>
      <w:r>
        <w:rPr>
          <w:color w:val="231F20"/>
          <w:spacing w:val="-7"/>
          <w:w w:val="110"/>
        </w:rPr>
        <w:t> </w:t>
      </w:r>
      <w:r>
        <w:rPr>
          <w:color w:val="231F20"/>
          <w:spacing w:val="-4"/>
          <w:w w:val="110"/>
        </w:rPr>
        <w:t>variedades</w:t>
      </w:r>
      <w:r>
        <w:rPr>
          <w:color w:val="231F20"/>
          <w:spacing w:val="-7"/>
          <w:w w:val="110"/>
        </w:rPr>
        <w:t> </w:t>
      </w:r>
      <w:r>
        <w:rPr>
          <w:color w:val="231F20"/>
          <w:spacing w:val="-3"/>
          <w:w w:val="110"/>
        </w:rPr>
        <w:t>del</w:t>
      </w:r>
      <w:r>
        <w:rPr>
          <w:color w:val="231F20"/>
          <w:spacing w:val="-7"/>
          <w:w w:val="110"/>
        </w:rPr>
        <w:t> </w:t>
      </w:r>
      <w:r>
        <w:rPr>
          <w:color w:val="231F20"/>
          <w:spacing w:val="-3"/>
          <w:w w:val="110"/>
        </w:rPr>
        <w:t>modo</w:t>
      </w:r>
      <w:r>
        <w:rPr>
          <w:color w:val="231F20"/>
          <w:spacing w:val="-7"/>
          <w:w w:val="110"/>
        </w:rPr>
        <w:t> </w:t>
      </w:r>
      <w:r>
        <w:rPr>
          <w:color w:val="231F20"/>
          <w:spacing w:val="-4"/>
          <w:w w:val="110"/>
        </w:rPr>
        <w:t>campesino,</w:t>
      </w:r>
      <w:r>
        <w:rPr>
          <w:color w:val="231F20"/>
          <w:spacing w:val="-7"/>
          <w:w w:val="110"/>
        </w:rPr>
        <w:t> </w:t>
      </w:r>
      <w:r>
        <w:rPr>
          <w:color w:val="231F20"/>
          <w:spacing w:val="-4"/>
          <w:w w:val="110"/>
        </w:rPr>
        <w:t>mediante</w:t>
      </w:r>
      <w:r>
        <w:rPr>
          <w:color w:val="231F20"/>
          <w:spacing w:val="-7"/>
          <w:w w:val="110"/>
        </w:rPr>
        <w:t> </w:t>
      </w:r>
      <w:r>
        <w:rPr>
          <w:color w:val="231F20"/>
          <w:w w:val="110"/>
        </w:rPr>
        <w:t>la</w:t>
      </w:r>
      <w:r>
        <w:rPr>
          <w:color w:val="231F20"/>
          <w:spacing w:val="-7"/>
          <w:w w:val="110"/>
        </w:rPr>
        <w:t> </w:t>
      </w:r>
      <w:r>
        <w:rPr>
          <w:color w:val="231F20"/>
          <w:spacing w:val="-4"/>
          <w:w w:val="110"/>
        </w:rPr>
        <w:t>difusión</w:t>
      </w:r>
      <w:r>
        <w:rPr>
          <w:color w:val="231F20"/>
          <w:spacing w:val="-7"/>
          <w:w w:val="110"/>
        </w:rPr>
        <w:t> </w:t>
      </w:r>
      <w:r>
        <w:rPr>
          <w:color w:val="231F20"/>
          <w:w w:val="110"/>
        </w:rPr>
        <w:t>de</w:t>
      </w:r>
      <w:r>
        <w:rPr>
          <w:color w:val="231F20"/>
          <w:spacing w:val="-7"/>
          <w:w w:val="110"/>
        </w:rPr>
        <w:t> </w:t>
      </w:r>
      <w:r>
        <w:rPr>
          <w:color w:val="231F20"/>
          <w:spacing w:val="-4"/>
          <w:w w:val="110"/>
        </w:rPr>
        <w:t>nuevos </w:t>
      </w:r>
      <w:r>
        <w:rPr>
          <w:color w:val="231F20"/>
          <w:w w:val="110"/>
        </w:rPr>
        <w:t>sistemas flexibles de producción dispersa, y el reclutamiento de población campesina para el trabajo asalariado estacional y otras formas de empleo temporal”</w:t>
      </w:r>
      <w:r>
        <w:rPr>
          <w:color w:val="231F20"/>
          <w:spacing w:val="-17"/>
          <w:w w:val="110"/>
        </w:rPr>
        <w:t> </w:t>
      </w:r>
      <w:r>
        <w:rPr>
          <w:color w:val="231F20"/>
          <w:spacing w:val="-4"/>
          <w:w w:val="110"/>
        </w:rPr>
        <w:t>(Wolf,</w:t>
      </w:r>
      <w:r>
        <w:rPr>
          <w:color w:val="231F20"/>
          <w:spacing w:val="-17"/>
          <w:w w:val="110"/>
        </w:rPr>
        <w:t> </w:t>
      </w:r>
      <w:r>
        <w:rPr>
          <w:color w:val="231F20"/>
          <w:w w:val="110"/>
        </w:rPr>
        <w:t>citado</w:t>
      </w:r>
      <w:r>
        <w:rPr>
          <w:color w:val="231F20"/>
          <w:spacing w:val="-17"/>
          <w:w w:val="110"/>
        </w:rPr>
        <w:t> </w:t>
      </w:r>
      <w:r>
        <w:rPr>
          <w:color w:val="231F20"/>
          <w:w w:val="110"/>
        </w:rPr>
        <w:t>en</w:t>
      </w:r>
      <w:r>
        <w:rPr>
          <w:color w:val="231F20"/>
          <w:spacing w:val="-17"/>
          <w:w w:val="110"/>
        </w:rPr>
        <w:t> </w:t>
      </w:r>
      <w:r>
        <w:rPr>
          <w:color w:val="231F20"/>
          <w:w w:val="110"/>
        </w:rPr>
        <w:t>Palerm,</w:t>
      </w:r>
      <w:r>
        <w:rPr>
          <w:color w:val="231F20"/>
          <w:spacing w:val="-17"/>
          <w:w w:val="110"/>
        </w:rPr>
        <w:t> </w:t>
      </w:r>
      <w:r>
        <w:rPr>
          <w:color w:val="231F20"/>
          <w:w w:val="110"/>
        </w:rPr>
        <w:t>1998:</w:t>
      </w:r>
      <w:r>
        <w:rPr>
          <w:color w:val="231F20"/>
          <w:spacing w:val="-17"/>
          <w:w w:val="110"/>
        </w:rPr>
        <w:t> </w:t>
      </w:r>
      <w:r>
        <w:rPr>
          <w:color w:val="231F20"/>
          <w:w w:val="110"/>
        </w:rPr>
        <w:t>18-19).</w:t>
      </w:r>
    </w:p>
    <w:p>
      <w:pPr>
        <w:pStyle w:val="BodyText"/>
        <w:spacing w:line="288" w:lineRule="auto"/>
        <w:ind w:left="120" w:right="118" w:firstLine="360"/>
        <w:jc w:val="both"/>
      </w:pPr>
      <w:r>
        <w:rPr>
          <w:color w:val="231F20"/>
          <w:w w:val="110"/>
        </w:rPr>
        <w:t>La especificidad de la lógica campesina no sólo evita su completa pro- letarización o desaparición; de hecho, los campesinos han demostrado su capacidad para garantizar su alimentación gracias al trabajo agrícola y el conocimiento tradicional heredado, mismo que se combina con la venta temporal de su fuerza de trabajo. Sin embargo, la autosuficiencia alimen- taria es sólo una faceta de una estrategia más amplia de diversificación productiva, cuyos principios son, en gran medida, parte del movimiento hacia la sostenibilidad.</w:t>
      </w:r>
    </w:p>
    <w:p>
      <w:pPr>
        <w:pStyle w:val="BodyText"/>
        <w:spacing w:line="288" w:lineRule="auto"/>
        <w:ind w:left="120" w:right="117" w:firstLine="360"/>
        <w:jc w:val="both"/>
      </w:pPr>
      <w:r>
        <w:rPr>
          <w:color w:val="231F20"/>
          <w:w w:val="110"/>
        </w:rPr>
        <w:t>Históricamente, los habitantes rurales nunca han sido “sólo” agriculto- res o productores de un solo producto. Más bien, las comunidades rurales fueron caracterizadas por la diversidad de sus actividades productivas en las que se comprometen para asegurar su subsistencia; según Barkin se trata de:</w:t>
      </w:r>
    </w:p>
    <w:p>
      <w:pPr>
        <w:pStyle w:val="BodyText"/>
        <w:rPr>
          <w:sz w:val="16"/>
        </w:rPr>
      </w:pPr>
    </w:p>
    <w:p>
      <w:pPr>
        <w:spacing w:line="283" w:lineRule="auto" w:before="0"/>
        <w:ind w:left="480" w:right="116" w:firstLine="0"/>
        <w:jc w:val="both"/>
        <w:rPr>
          <w:sz w:val="18"/>
        </w:rPr>
      </w:pPr>
      <w:r>
        <w:rPr>
          <w:color w:val="231F20"/>
          <w:w w:val="110"/>
          <w:sz w:val="18"/>
        </w:rPr>
        <w:t>Comunidades de administradores de sistemas complejos de recursos. Fue la </w:t>
      </w:r>
      <w:r>
        <w:rPr>
          <w:color w:val="231F20"/>
          <w:spacing w:val="-4"/>
          <w:w w:val="110"/>
          <w:sz w:val="18"/>
        </w:rPr>
        <w:t>aberración</w:t>
      </w:r>
      <w:r>
        <w:rPr>
          <w:color w:val="231F20"/>
          <w:spacing w:val="-14"/>
          <w:w w:val="110"/>
          <w:sz w:val="18"/>
        </w:rPr>
        <w:t> </w:t>
      </w:r>
      <w:r>
        <w:rPr>
          <w:color w:val="231F20"/>
          <w:w w:val="110"/>
          <w:sz w:val="18"/>
        </w:rPr>
        <w:t>de</w:t>
      </w:r>
      <w:r>
        <w:rPr>
          <w:color w:val="231F20"/>
          <w:spacing w:val="-14"/>
          <w:w w:val="110"/>
          <w:sz w:val="18"/>
        </w:rPr>
        <w:t> </w:t>
      </w:r>
      <w:r>
        <w:rPr>
          <w:color w:val="231F20"/>
          <w:spacing w:val="-4"/>
          <w:w w:val="110"/>
          <w:sz w:val="18"/>
        </w:rPr>
        <w:t>transferir</w:t>
      </w:r>
      <w:r>
        <w:rPr>
          <w:color w:val="231F20"/>
          <w:spacing w:val="-14"/>
          <w:w w:val="110"/>
          <w:sz w:val="18"/>
        </w:rPr>
        <w:t> </w:t>
      </w:r>
      <w:r>
        <w:rPr>
          <w:color w:val="231F20"/>
          <w:spacing w:val="-4"/>
          <w:w w:val="110"/>
          <w:sz w:val="18"/>
        </w:rPr>
        <w:t>modelos</w:t>
      </w:r>
      <w:r>
        <w:rPr>
          <w:color w:val="231F20"/>
          <w:spacing w:val="-14"/>
          <w:w w:val="110"/>
          <w:sz w:val="18"/>
        </w:rPr>
        <w:t> </w:t>
      </w:r>
      <w:r>
        <w:rPr>
          <w:color w:val="231F20"/>
          <w:w w:val="110"/>
          <w:sz w:val="18"/>
        </w:rPr>
        <w:t>de</w:t>
      </w:r>
      <w:r>
        <w:rPr>
          <w:color w:val="231F20"/>
          <w:spacing w:val="-14"/>
          <w:w w:val="110"/>
          <w:sz w:val="18"/>
        </w:rPr>
        <w:t> </w:t>
      </w:r>
      <w:r>
        <w:rPr>
          <w:color w:val="231F20"/>
          <w:spacing w:val="-4"/>
          <w:w w:val="110"/>
          <w:sz w:val="18"/>
        </w:rPr>
        <w:t>agricultura</w:t>
      </w:r>
      <w:r>
        <w:rPr>
          <w:color w:val="231F20"/>
          <w:spacing w:val="-14"/>
          <w:w w:val="110"/>
          <w:sz w:val="18"/>
        </w:rPr>
        <w:t> </w:t>
      </w:r>
      <w:r>
        <w:rPr>
          <w:color w:val="231F20"/>
          <w:spacing w:val="-4"/>
          <w:w w:val="110"/>
          <w:sz w:val="18"/>
        </w:rPr>
        <w:t>comercial</w:t>
      </w:r>
      <w:r>
        <w:rPr>
          <w:color w:val="231F20"/>
          <w:spacing w:val="-14"/>
          <w:w w:val="110"/>
          <w:sz w:val="18"/>
        </w:rPr>
        <w:t> </w:t>
      </w:r>
      <w:r>
        <w:rPr>
          <w:color w:val="231F20"/>
          <w:w w:val="110"/>
          <w:sz w:val="18"/>
        </w:rPr>
        <w:t>a</w:t>
      </w:r>
      <w:r>
        <w:rPr>
          <w:color w:val="231F20"/>
          <w:spacing w:val="-14"/>
          <w:w w:val="110"/>
          <w:sz w:val="18"/>
        </w:rPr>
        <w:t> </w:t>
      </w:r>
      <w:r>
        <w:rPr>
          <w:color w:val="231F20"/>
          <w:w w:val="110"/>
          <w:sz w:val="18"/>
        </w:rPr>
        <w:t>la</w:t>
      </w:r>
      <w:r>
        <w:rPr>
          <w:color w:val="231F20"/>
          <w:spacing w:val="-14"/>
          <w:w w:val="110"/>
          <w:sz w:val="18"/>
        </w:rPr>
        <w:t> </w:t>
      </w:r>
      <w:r>
        <w:rPr>
          <w:color w:val="231F20"/>
          <w:spacing w:val="-4"/>
          <w:w w:val="110"/>
          <w:sz w:val="18"/>
        </w:rPr>
        <w:t>teoría</w:t>
      </w:r>
      <w:r>
        <w:rPr>
          <w:color w:val="231F20"/>
          <w:spacing w:val="-14"/>
          <w:w w:val="110"/>
          <w:sz w:val="18"/>
        </w:rPr>
        <w:t> </w:t>
      </w:r>
      <w:r>
        <w:rPr>
          <w:color w:val="231F20"/>
          <w:spacing w:val="-3"/>
          <w:w w:val="110"/>
          <w:sz w:val="18"/>
        </w:rPr>
        <w:t>del</w:t>
      </w:r>
      <w:r>
        <w:rPr>
          <w:color w:val="231F20"/>
          <w:spacing w:val="-14"/>
          <w:w w:val="110"/>
          <w:sz w:val="18"/>
        </w:rPr>
        <w:t> </w:t>
      </w:r>
      <w:r>
        <w:rPr>
          <w:color w:val="231F20"/>
          <w:spacing w:val="-4"/>
          <w:w w:val="110"/>
          <w:sz w:val="18"/>
        </w:rPr>
        <w:t>desarrollo </w:t>
      </w:r>
      <w:r>
        <w:rPr>
          <w:color w:val="231F20"/>
          <w:w w:val="110"/>
          <w:sz w:val="18"/>
        </w:rPr>
        <w:t>en el </w:t>
      </w:r>
      <w:r>
        <w:rPr>
          <w:color w:val="231F20"/>
          <w:spacing w:val="-4"/>
          <w:w w:val="110"/>
          <w:sz w:val="18"/>
        </w:rPr>
        <w:t>tercer mundo </w:t>
      </w:r>
      <w:r>
        <w:rPr>
          <w:color w:val="231F20"/>
          <w:w w:val="110"/>
          <w:sz w:val="18"/>
        </w:rPr>
        <w:t>lo </w:t>
      </w:r>
      <w:r>
        <w:rPr>
          <w:color w:val="231F20"/>
          <w:spacing w:val="-3"/>
          <w:w w:val="110"/>
          <w:sz w:val="18"/>
        </w:rPr>
        <w:t>que </w:t>
      </w:r>
      <w:r>
        <w:rPr>
          <w:color w:val="231F20"/>
          <w:spacing w:val="-4"/>
          <w:w w:val="110"/>
          <w:sz w:val="18"/>
        </w:rPr>
        <w:t>contribuyó </w:t>
      </w:r>
      <w:r>
        <w:rPr>
          <w:color w:val="231F20"/>
          <w:w w:val="110"/>
          <w:sz w:val="18"/>
        </w:rPr>
        <w:t>a </w:t>
      </w:r>
      <w:r>
        <w:rPr>
          <w:color w:val="231F20"/>
          <w:spacing w:val="-4"/>
          <w:w w:val="110"/>
          <w:sz w:val="18"/>
        </w:rPr>
        <w:t>menospreciar </w:t>
      </w:r>
      <w:r>
        <w:rPr>
          <w:color w:val="231F20"/>
          <w:w w:val="110"/>
          <w:sz w:val="18"/>
        </w:rPr>
        <w:t>el </w:t>
      </w:r>
      <w:r>
        <w:rPr>
          <w:color w:val="231F20"/>
          <w:spacing w:val="-4"/>
          <w:w w:val="110"/>
          <w:sz w:val="18"/>
        </w:rPr>
        <w:t>carácter multifacético </w:t>
      </w:r>
      <w:r>
        <w:rPr>
          <w:color w:val="231F20"/>
          <w:w w:val="110"/>
          <w:sz w:val="18"/>
        </w:rPr>
        <w:t>de los sistemas locales de producción tradicional. Las estrategias de desarrollo sostenible</w:t>
      </w:r>
      <w:r>
        <w:rPr>
          <w:color w:val="231F20"/>
          <w:spacing w:val="-24"/>
          <w:w w:val="110"/>
          <w:sz w:val="18"/>
        </w:rPr>
        <w:t> </w:t>
      </w:r>
      <w:r>
        <w:rPr>
          <w:color w:val="231F20"/>
          <w:w w:val="110"/>
          <w:sz w:val="18"/>
        </w:rPr>
        <w:t>enfrentan</w:t>
      </w:r>
      <w:r>
        <w:rPr>
          <w:color w:val="231F20"/>
          <w:spacing w:val="-24"/>
          <w:w w:val="110"/>
          <w:sz w:val="18"/>
        </w:rPr>
        <w:t> </w:t>
      </w:r>
      <w:r>
        <w:rPr>
          <w:color w:val="231F20"/>
          <w:w w:val="110"/>
          <w:sz w:val="18"/>
        </w:rPr>
        <w:t>directamente</w:t>
      </w:r>
      <w:r>
        <w:rPr>
          <w:color w:val="231F20"/>
          <w:spacing w:val="-24"/>
          <w:w w:val="110"/>
          <w:sz w:val="18"/>
        </w:rPr>
        <w:t> </w:t>
      </w:r>
      <w:r>
        <w:rPr>
          <w:color w:val="231F20"/>
          <w:w w:val="110"/>
          <w:sz w:val="18"/>
        </w:rPr>
        <w:t>este</w:t>
      </w:r>
      <w:r>
        <w:rPr>
          <w:color w:val="231F20"/>
          <w:spacing w:val="-24"/>
          <w:w w:val="110"/>
          <w:sz w:val="18"/>
        </w:rPr>
        <w:t> </w:t>
      </w:r>
      <w:r>
        <w:rPr>
          <w:color w:val="231F20"/>
          <w:w w:val="110"/>
          <w:sz w:val="18"/>
        </w:rPr>
        <w:t>problema,</w:t>
      </w:r>
      <w:r>
        <w:rPr>
          <w:color w:val="231F20"/>
          <w:spacing w:val="-24"/>
          <w:w w:val="110"/>
          <w:sz w:val="18"/>
        </w:rPr>
        <w:t> </w:t>
      </w:r>
      <w:r>
        <w:rPr>
          <w:color w:val="231F20"/>
          <w:w w:val="110"/>
          <w:sz w:val="18"/>
        </w:rPr>
        <w:t>intentando</w:t>
      </w:r>
      <w:r>
        <w:rPr>
          <w:color w:val="231F20"/>
          <w:spacing w:val="-24"/>
          <w:w w:val="110"/>
          <w:sz w:val="18"/>
        </w:rPr>
        <w:t> </w:t>
      </w:r>
      <w:r>
        <w:rPr>
          <w:color w:val="231F20"/>
          <w:w w:val="110"/>
          <w:sz w:val="18"/>
        </w:rPr>
        <w:t>reintroducir</w:t>
      </w:r>
      <w:r>
        <w:rPr>
          <w:color w:val="231F20"/>
          <w:spacing w:val="-24"/>
          <w:w w:val="110"/>
          <w:sz w:val="18"/>
        </w:rPr>
        <w:t> </w:t>
      </w:r>
      <w:r>
        <w:rPr>
          <w:color w:val="231F20"/>
          <w:w w:val="110"/>
          <w:sz w:val="18"/>
        </w:rPr>
        <w:t>dicha diversidad conforme se aferran a los problemas de escalas apropiadas de ope- ración</w:t>
      </w:r>
      <w:r>
        <w:rPr>
          <w:color w:val="231F20"/>
          <w:spacing w:val="-10"/>
          <w:w w:val="110"/>
          <w:sz w:val="18"/>
        </w:rPr>
        <w:t> </w:t>
      </w:r>
      <w:r>
        <w:rPr>
          <w:color w:val="231F20"/>
          <w:w w:val="110"/>
          <w:sz w:val="18"/>
        </w:rPr>
        <w:t>y</w:t>
      </w:r>
      <w:r>
        <w:rPr>
          <w:color w:val="231F20"/>
          <w:spacing w:val="-10"/>
          <w:w w:val="110"/>
          <w:sz w:val="18"/>
        </w:rPr>
        <w:t> </w:t>
      </w:r>
      <w:r>
        <w:rPr>
          <w:color w:val="231F20"/>
          <w:w w:val="110"/>
          <w:sz w:val="18"/>
        </w:rPr>
        <w:t>multiplicidad</w:t>
      </w:r>
      <w:r>
        <w:rPr>
          <w:color w:val="231F20"/>
          <w:spacing w:val="-10"/>
          <w:w w:val="110"/>
          <w:sz w:val="18"/>
        </w:rPr>
        <w:t> </w:t>
      </w:r>
      <w:r>
        <w:rPr>
          <w:color w:val="231F20"/>
          <w:w w:val="110"/>
          <w:sz w:val="18"/>
        </w:rPr>
        <w:t>de</w:t>
      </w:r>
      <w:r>
        <w:rPr>
          <w:color w:val="231F20"/>
          <w:spacing w:val="-10"/>
          <w:w w:val="110"/>
          <w:sz w:val="18"/>
        </w:rPr>
        <w:t> </w:t>
      </w:r>
      <w:r>
        <w:rPr>
          <w:color w:val="231F20"/>
          <w:w w:val="110"/>
          <w:sz w:val="18"/>
        </w:rPr>
        <w:t>productos</w:t>
      </w:r>
      <w:r>
        <w:rPr>
          <w:color w:val="231F20"/>
          <w:spacing w:val="-10"/>
          <w:w w:val="110"/>
          <w:sz w:val="18"/>
        </w:rPr>
        <w:t> </w:t>
      </w:r>
      <w:r>
        <w:rPr>
          <w:color w:val="231F20"/>
          <w:w w:val="110"/>
          <w:sz w:val="18"/>
        </w:rPr>
        <w:t>(2002:</w:t>
      </w:r>
      <w:r>
        <w:rPr>
          <w:color w:val="231F20"/>
          <w:spacing w:val="-10"/>
          <w:w w:val="110"/>
          <w:sz w:val="18"/>
        </w:rPr>
        <w:t> </w:t>
      </w:r>
      <w:r>
        <w:rPr>
          <w:color w:val="231F20"/>
          <w:w w:val="110"/>
          <w:sz w:val="18"/>
        </w:rPr>
        <w:t>169).</w:t>
      </w:r>
    </w:p>
    <w:p>
      <w:pPr>
        <w:pStyle w:val="BodyText"/>
      </w:pPr>
    </w:p>
    <w:p>
      <w:pPr>
        <w:pStyle w:val="BodyText"/>
        <w:spacing w:before="9"/>
        <w:rPr>
          <w:sz w:val="21"/>
        </w:rPr>
      </w:pPr>
      <w:r>
        <w:rPr/>
        <w:pict>
          <v:line style="position:absolute;mso-position-horizontal-relative:page;mso-position-vertical-relative:paragraph;z-index:3808;mso-wrap-distance-left:0;mso-wrap-distance-right:0" from="56pt,14.936121pt" to="92pt,14.936121pt" stroked="true" strokeweight=".4pt" strokecolor="#231f20">
            <w10:wrap type="topAndBottom"/>
          </v:line>
        </w:pict>
      </w:r>
    </w:p>
    <w:p>
      <w:pPr>
        <w:spacing w:line="256" w:lineRule="auto" w:before="95"/>
        <w:ind w:left="120" w:right="117" w:firstLine="0"/>
        <w:jc w:val="both"/>
        <w:rPr>
          <w:sz w:val="16"/>
        </w:rPr>
      </w:pPr>
      <w:r>
        <w:rPr>
          <w:color w:val="231F20"/>
          <w:w w:val="110"/>
          <w:sz w:val="16"/>
        </w:rPr>
        <w:t>malas que sean las circunstancias, porque se basan en </w:t>
      </w:r>
      <w:r>
        <w:rPr>
          <w:i/>
          <w:color w:val="231F20"/>
          <w:w w:val="110"/>
          <w:sz w:val="16"/>
        </w:rPr>
        <w:t>familias. </w:t>
      </w:r>
      <w:r>
        <w:rPr>
          <w:color w:val="231F20"/>
          <w:w w:val="110"/>
          <w:sz w:val="16"/>
        </w:rPr>
        <w:t>En síntesis, según Chayanov, las cualidades de una unidad doméstica como unidad de producción siguen una racionalidad que puede modelarse, pero no se trata de una fábrica” (Citado por Guyer, 1981, en Barfield, </w:t>
      </w:r>
      <w:r>
        <w:rPr>
          <w:color w:val="231F20"/>
          <w:w w:val="105"/>
          <w:sz w:val="16"/>
        </w:rPr>
        <w:t>2000: 528).</w:t>
      </w:r>
    </w:p>
    <w:p>
      <w:pPr>
        <w:spacing w:after="0" w:line="256" w:lineRule="auto"/>
        <w:jc w:val="both"/>
        <w:rPr>
          <w:sz w:val="16"/>
        </w:rPr>
        <w:sectPr>
          <w:pgSz w:w="9520" w:h="12920"/>
          <w:pgMar w:header="0" w:footer="1344" w:top="880" w:bottom="1540" w:left="1000" w:right="1320"/>
        </w:sectPr>
      </w:pPr>
    </w:p>
    <w:p>
      <w:pPr>
        <w:pStyle w:val="BodyText"/>
        <w:spacing w:line="292" w:lineRule="auto" w:before="42"/>
        <w:ind w:left="124" w:right="109" w:firstLine="360"/>
        <w:jc w:val="both"/>
      </w:pPr>
      <w:r>
        <w:rPr>
          <w:color w:val="231F20"/>
          <w:w w:val="110"/>
        </w:rPr>
        <w:t>Los principios de un mayor autoabastecimiento (en algunos trabajos en América Latina se usó la palabra “autoconfianza”) son fundamentales para todos los productos y servicios que una sociedad quisiera asegurarse a sí misma.</w:t>
      </w:r>
    </w:p>
    <w:p>
      <w:pPr>
        <w:pStyle w:val="BodyText"/>
        <w:spacing w:before="11"/>
        <w:rPr>
          <w:sz w:val="15"/>
        </w:rPr>
      </w:pPr>
    </w:p>
    <w:p>
      <w:pPr>
        <w:spacing w:line="288" w:lineRule="auto" w:before="0"/>
        <w:ind w:left="484" w:right="113" w:firstLine="0"/>
        <w:jc w:val="both"/>
        <w:rPr>
          <w:sz w:val="18"/>
        </w:rPr>
      </w:pPr>
      <w:r>
        <w:rPr>
          <w:color w:val="231F20"/>
          <w:w w:val="110"/>
          <w:sz w:val="18"/>
        </w:rPr>
        <w:t>La </w:t>
      </w:r>
      <w:r>
        <w:rPr>
          <w:color w:val="231F20"/>
          <w:spacing w:val="-4"/>
          <w:w w:val="110"/>
          <w:sz w:val="18"/>
        </w:rPr>
        <w:t>diversificación productiva tiene </w:t>
      </w:r>
      <w:r>
        <w:rPr>
          <w:color w:val="231F20"/>
          <w:spacing w:val="-3"/>
          <w:w w:val="110"/>
          <w:sz w:val="18"/>
        </w:rPr>
        <w:t>que </w:t>
      </w:r>
      <w:r>
        <w:rPr>
          <w:color w:val="231F20"/>
          <w:spacing w:val="-4"/>
          <w:w w:val="110"/>
          <w:sz w:val="18"/>
        </w:rPr>
        <w:t>relacionarse </w:t>
      </w:r>
      <w:r>
        <w:rPr>
          <w:color w:val="231F20"/>
          <w:spacing w:val="-3"/>
          <w:w w:val="110"/>
          <w:sz w:val="18"/>
        </w:rPr>
        <w:t>con </w:t>
      </w:r>
      <w:r>
        <w:rPr>
          <w:color w:val="231F20"/>
          <w:w w:val="110"/>
          <w:sz w:val="18"/>
        </w:rPr>
        <w:t>el </w:t>
      </w:r>
      <w:r>
        <w:rPr>
          <w:color w:val="231F20"/>
          <w:spacing w:val="-4"/>
          <w:w w:val="110"/>
          <w:sz w:val="18"/>
        </w:rPr>
        <w:t>patrón </w:t>
      </w:r>
      <w:r>
        <w:rPr>
          <w:color w:val="231F20"/>
          <w:w w:val="110"/>
          <w:sz w:val="18"/>
        </w:rPr>
        <w:t>de </w:t>
      </w:r>
      <w:r>
        <w:rPr>
          <w:color w:val="231F20"/>
          <w:spacing w:val="-4"/>
          <w:w w:val="110"/>
          <w:sz w:val="18"/>
        </w:rPr>
        <w:t>necesidades </w:t>
      </w:r>
      <w:r>
        <w:rPr>
          <w:color w:val="231F20"/>
          <w:w w:val="110"/>
          <w:sz w:val="18"/>
        </w:rPr>
        <w:t>y recursos locales. En la medida que la gente no esté involucrada en el diseño</w:t>
      </w:r>
      <w:r>
        <w:rPr>
          <w:color w:val="231F20"/>
          <w:spacing w:val="43"/>
          <w:w w:val="110"/>
          <w:sz w:val="18"/>
        </w:rPr>
        <w:t> </w:t>
      </w:r>
      <w:r>
        <w:rPr>
          <w:color w:val="231F20"/>
          <w:w w:val="110"/>
          <w:sz w:val="18"/>
        </w:rPr>
        <w:t>e instrumentación de programas que le aseguren sus propias necesidades de consumo, tendrá menos conciencia del impacto de sus demandas en el resto de</w:t>
      </w:r>
      <w:r>
        <w:rPr>
          <w:color w:val="231F20"/>
          <w:spacing w:val="-12"/>
          <w:w w:val="110"/>
          <w:sz w:val="18"/>
        </w:rPr>
        <w:t> </w:t>
      </w:r>
      <w:r>
        <w:rPr>
          <w:color w:val="231F20"/>
          <w:w w:val="110"/>
          <w:sz w:val="18"/>
        </w:rPr>
        <w:t>la</w:t>
      </w:r>
      <w:r>
        <w:rPr>
          <w:color w:val="231F20"/>
          <w:spacing w:val="-12"/>
          <w:w w:val="110"/>
          <w:sz w:val="18"/>
        </w:rPr>
        <w:t> </w:t>
      </w:r>
      <w:r>
        <w:rPr>
          <w:color w:val="231F20"/>
          <w:w w:val="110"/>
          <w:sz w:val="18"/>
        </w:rPr>
        <w:t>sociedad</w:t>
      </w:r>
      <w:r>
        <w:rPr>
          <w:color w:val="231F20"/>
          <w:spacing w:val="-12"/>
          <w:w w:val="110"/>
          <w:sz w:val="18"/>
        </w:rPr>
        <w:t> </w:t>
      </w:r>
      <w:r>
        <w:rPr>
          <w:color w:val="231F20"/>
          <w:w w:val="110"/>
          <w:sz w:val="18"/>
        </w:rPr>
        <w:t>y</w:t>
      </w:r>
      <w:r>
        <w:rPr>
          <w:color w:val="231F20"/>
          <w:spacing w:val="-12"/>
          <w:w w:val="110"/>
          <w:sz w:val="18"/>
        </w:rPr>
        <w:t> </w:t>
      </w:r>
      <w:r>
        <w:rPr>
          <w:color w:val="231F20"/>
          <w:w w:val="110"/>
          <w:sz w:val="18"/>
        </w:rPr>
        <w:t>en</w:t>
      </w:r>
      <w:r>
        <w:rPr>
          <w:color w:val="231F20"/>
          <w:spacing w:val="-12"/>
          <w:w w:val="110"/>
          <w:sz w:val="18"/>
        </w:rPr>
        <w:t> </w:t>
      </w:r>
      <w:r>
        <w:rPr>
          <w:color w:val="231F20"/>
          <w:w w:val="110"/>
          <w:sz w:val="18"/>
        </w:rPr>
        <w:t>el</w:t>
      </w:r>
      <w:r>
        <w:rPr>
          <w:color w:val="231F20"/>
          <w:spacing w:val="-12"/>
          <w:w w:val="110"/>
          <w:sz w:val="18"/>
        </w:rPr>
        <w:t> </w:t>
      </w:r>
      <w:r>
        <w:rPr>
          <w:color w:val="231F20"/>
          <w:w w:val="110"/>
          <w:sz w:val="18"/>
        </w:rPr>
        <w:t>ambiente.</w:t>
      </w:r>
      <w:r>
        <w:rPr>
          <w:color w:val="231F20"/>
          <w:spacing w:val="-12"/>
          <w:w w:val="110"/>
          <w:sz w:val="18"/>
        </w:rPr>
        <w:t> </w:t>
      </w:r>
      <w:r>
        <w:rPr>
          <w:color w:val="231F20"/>
          <w:w w:val="110"/>
          <w:sz w:val="18"/>
        </w:rPr>
        <w:t>En</w:t>
      </w:r>
      <w:r>
        <w:rPr>
          <w:color w:val="231F20"/>
          <w:spacing w:val="-12"/>
          <w:w w:val="110"/>
          <w:sz w:val="18"/>
        </w:rPr>
        <w:t> </w:t>
      </w:r>
      <w:r>
        <w:rPr>
          <w:color w:val="231F20"/>
          <w:w w:val="110"/>
          <w:sz w:val="18"/>
        </w:rPr>
        <w:t>consecuencia,</w:t>
      </w:r>
      <w:r>
        <w:rPr>
          <w:color w:val="231F20"/>
          <w:spacing w:val="-12"/>
          <w:w w:val="110"/>
          <w:sz w:val="18"/>
        </w:rPr>
        <w:t> </w:t>
      </w:r>
      <w:r>
        <w:rPr>
          <w:color w:val="231F20"/>
          <w:w w:val="110"/>
          <w:sz w:val="18"/>
        </w:rPr>
        <w:t>el</w:t>
      </w:r>
      <w:r>
        <w:rPr>
          <w:color w:val="231F20"/>
          <w:spacing w:val="-12"/>
          <w:w w:val="110"/>
          <w:sz w:val="18"/>
        </w:rPr>
        <w:t> </w:t>
      </w:r>
      <w:r>
        <w:rPr>
          <w:color w:val="231F20"/>
          <w:w w:val="110"/>
          <w:sz w:val="18"/>
        </w:rPr>
        <w:t>enfoque</w:t>
      </w:r>
      <w:r>
        <w:rPr>
          <w:color w:val="231F20"/>
          <w:spacing w:val="-12"/>
          <w:w w:val="110"/>
          <w:sz w:val="18"/>
        </w:rPr>
        <w:t> </w:t>
      </w:r>
      <w:r>
        <w:rPr>
          <w:color w:val="231F20"/>
          <w:w w:val="110"/>
          <w:sz w:val="18"/>
        </w:rPr>
        <w:t>de</w:t>
      </w:r>
      <w:r>
        <w:rPr>
          <w:color w:val="231F20"/>
          <w:spacing w:val="-12"/>
          <w:w w:val="110"/>
          <w:sz w:val="18"/>
        </w:rPr>
        <w:t> </w:t>
      </w:r>
      <w:r>
        <w:rPr>
          <w:color w:val="231F20"/>
          <w:w w:val="110"/>
          <w:sz w:val="18"/>
        </w:rPr>
        <w:t>la</w:t>
      </w:r>
      <w:r>
        <w:rPr>
          <w:color w:val="231F20"/>
          <w:spacing w:val="-12"/>
          <w:w w:val="110"/>
          <w:sz w:val="18"/>
        </w:rPr>
        <w:t> </w:t>
      </w:r>
      <w:r>
        <w:rPr>
          <w:color w:val="231F20"/>
          <w:w w:val="110"/>
          <w:sz w:val="18"/>
        </w:rPr>
        <w:t>sostenibilidad confiere gran importancia a establecer una relación directa entre la gente que planifica la producción y aquella que determina qué niveles de consumo son posibles</w:t>
      </w:r>
      <w:r>
        <w:rPr>
          <w:color w:val="231F20"/>
          <w:spacing w:val="-17"/>
          <w:w w:val="110"/>
          <w:sz w:val="18"/>
        </w:rPr>
        <w:t> </w:t>
      </w:r>
      <w:r>
        <w:rPr>
          <w:color w:val="231F20"/>
          <w:w w:val="110"/>
          <w:sz w:val="18"/>
        </w:rPr>
        <w:t>(Barkin,</w:t>
      </w:r>
      <w:r>
        <w:rPr>
          <w:color w:val="231F20"/>
          <w:spacing w:val="-17"/>
          <w:w w:val="110"/>
          <w:sz w:val="18"/>
        </w:rPr>
        <w:t> </w:t>
      </w:r>
      <w:r>
        <w:rPr>
          <w:color w:val="231F20"/>
          <w:w w:val="110"/>
          <w:sz w:val="18"/>
        </w:rPr>
        <w:t>2002:</w:t>
      </w:r>
      <w:r>
        <w:rPr>
          <w:color w:val="231F20"/>
          <w:spacing w:val="-17"/>
          <w:w w:val="110"/>
          <w:sz w:val="18"/>
        </w:rPr>
        <w:t> </w:t>
      </w:r>
      <w:r>
        <w:rPr>
          <w:color w:val="231F20"/>
          <w:w w:val="110"/>
          <w:sz w:val="18"/>
        </w:rPr>
        <w:t>188).</w:t>
      </w:r>
    </w:p>
    <w:p>
      <w:pPr>
        <w:pStyle w:val="BodyText"/>
        <w:spacing w:before="7"/>
        <w:rPr>
          <w:sz w:val="21"/>
        </w:rPr>
      </w:pPr>
    </w:p>
    <w:p>
      <w:pPr>
        <w:pStyle w:val="BodyText"/>
        <w:spacing w:line="292" w:lineRule="auto"/>
        <w:ind w:left="124" w:right="112" w:firstLine="360"/>
        <w:jc w:val="both"/>
      </w:pPr>
      <w:r>
        <w:rPr>
          <w:color w:val="231F20"/>
          <w:w w:val="110"/>
        </w:rPr>
        <w:t>Finalmente, es importante </w:t>
      </w:r>
      <w:r>
        <w:rPr>
          <w:color w:val="231F20"/>
          <w:spacing w:val="-3"/>
          <w:w w:val="110"/>
        </w:rPr>
        <w:t>señalar, </w:t>
      </w:r>
      <w:r>
        <w:rPr>
          <w:color w:val="231F20"/>
          <w:w w:val="110"/>
        </w:rPr>
        <w:t>desde nuestro punto de vista, que a pesar de las condiciones perjudiciales a las que se enfrentan las familias campesinas, tienen posibilidades de garantizar su autosuficiencia alimen- taria, gracias a la estructura y diversidad de estrategias que han generado en su organización social, al sistema de creencias y rituales tradicionales y al conocimiento local que tienen de sus recursos y su   uso.</w:t>
      </w:r>
    </w:p>
    <w:p>
      <w:pPr>
        <w:pStyle w:val="BodyText"/>
        <w:spacing w:line="292" w:lineRule="auto"/>
        <w:ind w:left="124" w:right="111" w:firstLine="360"/>
        <w:jc w:val="both"/>
      </w:pPr>
      <w:r>
        <w:rPr>
          <w:color w:val="231F20"/>
          <w:w w:val="110"/>
        </w:rPr>
        <w:t>Sin embargo, también se requiere que los gobiernos municipales, esta- tales y nacionales reconozcan la importancia de la familia campesina y su cultura y se promueva una política pública orientada al cultivo de alimen- tos, por parte de las familias campesinas (pequeños productores), con el objetivo de preservar el rendimiento de la agricultura a través de sistemas agrícolas sostenibles.</w:t>
      </w:r>
    </w:p>
    <w:p>
      <w:pPr>
        <w:pStyle w:val="BodyText"/>
      </w:pPr>
    </w:p>
    <w:p>
      <w:pPr>
        <w:pStyle w:val="BodyText"/>
        <w:spacing w:before="10"/>
        <w:rPr>
          <w:sz w:val="24"/>
        </w:rPr>
      </w:pPr>
    </w:p>
    <w:p>
      <w:pPr>
        <w:spacing w:before="0"/>
        <w:ind w:left="124" w:right="0" w:firstLine="0"/>
        <w:jc w:val="both"/>
        <w:rPr>
          <w:rFonts w:ascii="Times New Roman"/>
          <w:i/>
          <w:sz w:val="19"/>
        </w:rPr>
      </w:pPr>
      <w:r>
        <w:rPr>
          <w:rFonts w:ascii="Times New Roman"/>
          <w:i/>
          <w:color w:val="231F20"/>
          <w:sz w:val="24"/>
        </w:rPr>
        <w:t>C</w:t>
      </w:r>
      <w:r>
        <w:rPr>
          <w:rFonts w:ascii="Times New Roman"/>
          <w:i/>
          <w:color w:val="231F20"/>
          <w:sz w:val="19"/>
        </w:rPr>
        <w:t>ONCLUSIONES</w:t>
      </w:r>
    </w:p>
    <w:p>
      <w:pPr>
        <w:pStyle w:val="BodyText"/>
        <w:spacing w:before="2"/>
        <w:rPr>
          <w:rFonts w:ascii="Times New Roman"/>
          <w:i/>
          <w:sz w:val="28"/>
        </w:rPr>
      </w:pPr>
    </w:p>
    <w:p>
      <w:pPr>
        <w:pStyle w:val="BodyText"/>
        <w:spacing w:line="292" w:lineRule="auto"/>
        <w:ind w:left="124" w:right="112"/>
        <w:jc w:val="both"/>
      </w:pPr>
      <w:r>
        <w:rPr>
          <w:color w:val="231F20"/>
          <w:w w:val="110"/>
        </w:rPr>
        <w:t>Las zonas rurales en el México contemporáneo viven rápidos procesos de cambio en sus funciones sociales, productivas, políticas y ambientales; diversas regiones agrícolas se han modificado a partir de la introducción de</w:t>
      </w:r>
      <w:r>
        <w:rPr>
          <w:color w:val="231F20"/>
          <w:spacing w:val="-3"/>
          <w:w w:val="110"/>
        </w:rPr>
        <w:t> </w:t>
      </w:r>
      <w:r>
        <w:rPr>
          <w:color w:val="231F20"/>
          <w:w w:val="110"/>
        </w:rPr>
        <w:t>las</w:t>
      </w:r>
      <w:r>
        <w:rPr>
          <w:color w:val="231F20"/>
          <w:spacing w:val="-3"/>
          <w:w w:val="110"/>
        </w:rPr>
        <w:t> </w:t>
      </w:r>
      <w:r>
        <w:rPr>
          <w:color w:val="231F20"/>
          <w:w w:val="110"/>
        </w:rPr>
        <w:t>vías</w:t>
      </w:r>
      <w:r>
        <w:rPr>
          <w:color w:val="231F20"/>
          <w:spacing w:val="-3"/>
          <w:w w:val="110"/>
        </w:rPr>
        <w:t> </w:t>
      </w:r>
      <w:r>
        <w:rPr>
          <w:color w:val="231F20"/>
          <w:w w:val="110"/>
        </w:rPr>
        <w:t>de</w:t>
      </w:r>
      <w:r>
        <w:rPr>
          <w:color w:val="231F20"/>
          <w:spacing w:val="-3"/>
          <w:w w:val="110"/>
        </w:rPr>
        <w:t> </w:t>
      </w:r>
      <w:r>
        <w:rPr>
          <w:color w:val="231F20"/>
          <w:w w:val="110"/>
        </w:rPr>
        <w:t>comunicación,</w:t>
      </w:r>
      <w:r>
        <w:rPr>
          <w:color w:val="231F20"/>
          <w:spacing w:val="-3"/>
          <w:w w:val="110"/>
        </w:rPr>
        <w:t> </w:t>
      </w:r>
      <w:r>
        <w:rPr>
          <w:color w:val="231F20"/>
          <w:w w:val="110"/>
        </w:rPr>
        <w:t>de</w:t>
      </w:r>
      <w:r>
        <w:rPr>
          <w:color w:val="231F20"/>
          <w:spacing w:val="-3"/>
          <w:w w:val="110"/>
        </w:rPr>
        <w:t> </w:t>
      </w:r>
      <w:r>
        <w:rPr>
          <w:color w:val="231F20"/>
          <w:w w:val="110"/>
        </w:rPr>
        <w:t>la</w:t>
      </w:r>
      <w:r>
        <w:rPr>
          <w:color w:val="231F20"/>
          <w:spacing w:val="-3"/>
          <w:w w:val="110"/>
        </w:rPr>
        <w:t> </w:t>
      </w:r>
      <w:r>
        <w:rPr>
          <w:color w:val="231F20"/>
          <w:w w:val="110"/>
        </w:rPr>
        <w:t>industria</w:t>
      </w:r>
      <w:r>
        <w:rPr>
          <w:color w:val="231F20"/>
          <w:spacing w:val="-3"/>
          <w:w w:val="110"/>
        </w:rPr>
        <w:t> </w:t>
      </w:r>
      <w:r>
        <w:rPr>
          <w:color w:val="231F20"/>
          <w:w w:val="110"/>
        </w:rPr>
        <w:t>y</w:t>
      </w:r>
      <w:r>
        <w:rPr>
          <w:color w:val="231F20"/>
          <w:spacing w:val="-3"/>
          <w:w w:val="110"/>
        </w:rPr>
        <w:t> </w:t>
      </w:r>
      <w:r>
        <w:rPr>
          <w:color w:val="231F20"/>
          <w:w w:val="110"/>
        </w:rPr>
        <w:t>del</w:t>
      </w:r>
      <w:r>
        <w:rPr>
          <w:color w:val="231F20"/>
          <w:spacing w:val="-3"/>
          <w:w w:val="110"/>
        </w:rPr>
        <w:t> </w:t>
      </w:r>
      <w:r>
        <w:rPr>
          <w:color w:val="231F20"/>
          <w:w w:val="110"/>
        </w:rPr>
        <w:t>comercio,</w:t>
      </w:r>
      <w:r>
        <w:rPr>
          <w:color w:val="231F20"/>
          <w:spacing w:val="-3"/>
          <w:w w:val="110"/>
        </w:rPr>
        <w:t> </w:t>
      </w:r>
      <w:r>
        <w:rPr>
          <w:color w:val="231F20"/>
          <w:w w:val="110"/>
        </w:rPr>
        <w:t>tal</w:t>
      </w:r>
      <w:r>
        <w:rPr>
          <w:color w:val="231F20"/>
          <w:spacing w:val="-3"/>
          <w:w w:val="110"/>
        </w:rPr>
        <w:t> </w:t>
      </w:r>
      <w:r>
        <w:rPr>
          <w:color w:val="231F20"/>
          <w:w w:val="110"/>
        </w:rPr>
        <w:t>es</w:t>
      </w:r>
      <w:r>
        <w:rPr>
          <w:color w:val="231F20"/>
          <w:spacing w:val="-3"/>
          <w:w w:val="110"/>
        </w:rPr>
        <w:t> </w:t>
      </w:r>
      <w:r>
        <w:rPr>
          <w:color w:val="231F20"/>
          <w:w w:val="110"/>
        </w:rPr>
        <w:t>el</w:t>
      </w:r>
      <w:r>
        <w:rPr>
          <w:color w:val="231F20"/>
          <w:spacing w:val="-3"/>
          <w:w w:val="110"/>
        </w:rPr>
        <w:t> </w:t>
      </w:r>
      <w:r>
        <w:rPr>
          <w:color w:val="231F20"/>
          <w:w w:val="110"/>
        </w:rPr>
        <w:t>caso</w:t>
      </w:r>
      <w:r>
        <w:rPr>
          <w:color w:val="231F20"/>
          <w:spacing w:val="-3"/>
          <w:w w:val="110"/>
        </w:rPr>
        <w:t> </w:t>
      </w:r>
      <w:r>
        <w:rPr>
          <w:color w:val="231F20"/>
          <w:w w:val="110"/>
        </w:rPr>
        <w:t>de la región agrícola del </w:t>
      </w:r>
      <w:r>
        <w:rPr>
          <w:color w:val="231F20"/>
          <w:spacing w:val="-5"/>
          <w:w w:val="110"/>
        </w:rPr>
        <w:t>Valle </w:t>
      </w:r>
      <w:r>
        <w:rPr>
          <w:color w:val="231F20"/>
          <w:w w:val="110"/>
        </w:rPr>
        <w:t>de Ixtlahuaca, Estado de </w:t>
      </w:r>
      <w:r>
        <w:rPr>
          <w:color w:val="231F20"/>
          <w:spacing w:val="44"/>
          <w:w w:val="110"/>
        </w:rPr>
        <w:t> </w:t>
      </w:r>
      <w:r>
        <w:rPr>
          <w:color w:val="231F20"/>
          <w:w w:val="110"/>
        </w:rPr>
        <w:t>México.</w:t>
      </w:r>
    </w:p>
    <w:p>
      <w:pPr>
        <w:pStyle w:val="BodyText"/>
        <w:spacing w:line="292" w:lineRule="auto"/>
        <w:ind w:left="124" w:right="113" w:firstLine="360"/>
        <w:jc w:val="both"/>
      </w:pPr>
      <w:r>
        <w:rPr>
          <w:color w:val="231F20"/>
          <w:w w:val="110"/>
        </w:rPr>
        <w:t>El crecimiento urbano, industrial y comercial en dicha región ocurre a mediados del siglo </w:t>
      </w:r>
      <w:r>
        <w:rPr>
          <w:rFonts w:ascii="Times New Roman" w:hAnsi="Times New Roman"/>
          <w:color w:val="231F20"/>
          <w:w w:val="110"/>
          <w:sz w:val="16"/>
        </w:rPr>
        <w:t>XIX </w:t>
      </w:r>
      <w:r>
        <w:rPr>
          <w:color w:val="231F20"/>
          <w:w w:val="110"/>
        </w:rPr>
        <w:t>con las nuevas políticas de descentralización de   la</w:t>
      </w:r>
    </w:p>
    <w:p>
      <w:pPr>
        <w:spacing w:after="0" w:line="292" w:lineRule="auto"/>
        <w:jc w:val="both"/>
        <w:sectPr>
          <w:pgSz w:w="9520" w:h="12920"/>
          <w:pgMar w:header="0" w:footer="1344" w:top="880" w:bottom="1540" w:left="1320" w:right="1000"/>
        </w:sectPr>
      </w:pPr>
    </w:p>
    <w:p>
      <w:pPr>
        <w:pStyle w:val="BodyText"/>
        <w:spacing w:line="288" w:lineRule="auto" w:before="42"/>
        <w:ind w:left="100" w:right="117"/>
        <w:jc w:val="both"/>
      </w:pPr>
      <w:r>
        <w:rPr>
          <w:color w:val="231F20"/>
          <w:w w:val="110"/>
        </w:rPr>
        <w:t>industria en el país. A partir de estos acontecimientos, las familias campe- sinas de la región deciden vender su fuerza de trabajo en la unidad indus- trial de Pastejé, y después se desplazan paulatinamente a los mercados   de trabajo de la ciudad de </w:t>
      </w:r>
      <w:r>
        <w:rPr>
          <w:color w:val="231F20"/>
          <w:spacing w:val="-3"/>
          <w:w w:val="110"/>
        </w:rPr>
        <w:t>Toluca </w:t>
      </w:r>
      <w:r>
        <w:rPr>
          <w:color w:val="231F20"/>
          <w:w w:val="110"/>
        </w:rPr>
        <w:t>y la Ciudad de México, con la finalidad de obtener un ingreso monetario y complementar su economía</w:t>
      </w:r>
      <w:r>
        <w:rPr>
          <w:color w:val="231F20"/>
          <w:spacing w:val="17"/>
          <w:w w:val="110"/>
        </w:rPr>
        <w:t> </w:t>
      </w:r>
      <w:r>
        <w:rPr>
          <w:color w:val="231F20"/>
          <w:w w:val="110"/>
        </w:rPr>
        <w:t>familiar.</w:t>
      </w:r>
    </w:p>
    <w:p>
      <w:pPr>
        <w:pStyle w:val="BodyText"/>
        <w:spacing w:line="288" w:lineRule="auto"/>
        <w:ind w:left="100" w:right="117" w:firstLine="360"/>
        <w:jc w:val="both"/>
      </w:pPr>
      <w:r>
        <w:rPr>
          <w:color w:val="231F20"/>
          <w:w w:val="110"/>
        </w:rPr>
        <w:t>El desgaste del ambiente natural y las características del ambiente so- cial del Valle de Ixtlahuaca han creado las condiciones para que la familia campesina diversifique sus actividades económicas al vender su fuerza de trabajo. La organización social de la familia campesina de la región generó ajustes ocupacionales por edad y sexo, lo cual le ha permitido obtener in- gresos monetarios y conservar la agricultura tradicional como actividad primordial y trascendental que garantiza la alimentación y, por lo tanto, la subsistencia del grupo.</w:t>
      </w:r>
    </w:p>
    <w:p>
      <w:pPr>
        <w:pStyle w:val="BodyText"/>
        <w:spacing w:line="288" w:lineRule="auto"/>
        <w:ind w:left="100" w:right="116" w:firstLine="360"/>
        <w:jc w:val="right"/>
      </w:pPr>
      <w:r>
        <w:rPr>
          <w:color w:val="231F20"/>
          <w:w w:val="110"/>
        </w:rPr>
        <w:t>De esta manera, las familias campesinas de la región alternan las acti-</w:t>
      </w:r>
      <w:r>
        <w:rPr>
          <w:color w:val="231F20"/>
          <w:w w:val="93"/>
        </w:rPr>
        <w:t> </w:t>
      </w:r>
      <w:r>
        <w:rPr>
          <w:color w:val="231F20"/>
          <w:w w:val="110"/>
        </w:rPr>
        <w:t>vidades agrícolas con el empleo asalariado en los centros urbanos e indus-</w:t>
      </w:r>
      <w:r>
        <w:rPr>
          <w:color w:val="231F20"/>
          <w:w w:val="93"/>
        </w:rPr>
        <w:t> </w:t>
      </w:r>
      <w:r>
        <w:rPr>
          <w:color w:val="231F20"/>
          <w:w w:val="110"/>
        </w:rPr>
        <w:t>triales de la región, y mantienen una agricultura tradicional en la que se</w:t>
      </w:r>
      <w:r>
        <w:rPr>
          <w:color w:val="231F20"/>
          <w:w w:val="109"/>
        </w:rPr>
        <w:t> </w:t>
      </w:r>
      <w:r>
        <w:rPr>
          <w:color w:val="231F20"/>
          <w:w w:val="110"/>
        </w:rPr>
        <w:t>refleja una actividad religiosa intensa de acuerdo con el ciclo agrícola del</w:t>
      </w:r>
      <w:r>
        <w:rPr>
          <w:color w:val="231F20"/>
          <w:w w:val="106"/>
        </w:rPr>
        <w:t> </w:t>
      </w:r>
      <w:r>
        <w:rPr>
          <w:color w:val="231F20"/>
          <w:w w:val="110"/>
        </w:rPr>
        <w:t>maíz, el cual, a su vez, está íntimamente relacionado con las condiciones</w:t>
      </w:r>
      <w:r>
        <w:rPr>
          <w:color w:val="231F20"/>
          <w:w w:val="110"/>
        </w:rPr>
        <w:t> </w:t>
      </w:r>
      <w:r>
        <w:rPr>
          <w:color w:val="231F20"/>
          <w:w w:val="110"/>
        </w:rPr>
        <w:t>ambientales, económicas y culturales de la región y, por lo tanto, del   país.</w:t>
      </w:r>
    </w:p>
    <w:p>
      <w:pPr>
        <w:pStyle w:val="BodyText"/>
        <w:spacing w:line="288" w:lineRule="auto"/>
        <w:ind w:left="100" w:right="118" w:firstLine="360"/>
        <w:jc w:val="right"/>
      </w:pPr>
      <w:r>
        <w:rPr>
          <w:color w:val="231F20"/>
          <w:w w:val="110"/>
        </w:rPr>
        <w:t>Las familias campesinas se articulan según las</w:t>
      </w:r>
      <w:r>
        <w:rPr>
          <w:color w:val="231F20"/>
          <w:spacing w:val="3"/>
          <w:w w:val="110"/>
        </w:rPr>
        <w:t> </w:t>
      </w:r>
      <w:r>
        <w:rPr>
          <w:color w:val="231F20"/>
          <w:w w:val="110"/>
        </w:rPr>
        <w:t>distintas</w:t>
      </w:r>
      <w:r>
        <w:rPr>
          <w:color w:val="231F20"/>
          <w:spacing w:val="21"/>
          <w:w w:val="110"/>
        </w:rPr>
        <w:t> </w:t>
      </w:r>
      <w:r>
        <w:rPr>
          <w:color w:val="231F20"/>
          <w:w w:val="110"/>
        </w:rPr>
        <w:t>instituciones</w:t>
      </w:r>
      <w:r>
        <w:rPr>
          <w:color w:val="231F20"/>
          <w:w w:val="108"/>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sociedad</w:t>
      </w:r>
      <w:r>
        <w:rPr>
          <w:color w:val="231F20"/>
          <w:spacing w:val="-7"/>
          <w:w w:val="110"/>
        </w:rPr>
        <w:t> </w:t>
      </w:r>
      <w:r>
        <w:rPr>
          <w:color w:val="231F20"/>
          <w:w w:val="110"/>
        </w:rPr>
        <w:t>mayor</w:t>
      </w:r>
      <w:r>
        <w:rPr>
          <w:color w:val="231F20"/>
          <w:spacing w:val="-7"/>
          <w:w w:val="110"/>
        </w:rPr>
        <w:t> </w:t>
      </w:r>
      <w:r>
        <w:rPr>
          <w:color w:val="231F20"/>
          <w:w w:val="110"/>
        </w:rPr>
        <w:t>y</w:t>
      </w:r>
      <w:r>
        <w:rPr>
          <w:color w:val="231F20"/>
          <w:spacing w:val="-7"/>
          <w:w w:val="110"/>
        </w:rPr>
        <w:t> </w:t>
      </w:r>
      <w:r>
        <w:rPr>
          <w:color w:val="231F20"/>
          <w:w w:val="110"/>
        </w:rPr>
        <w:t>el</w:t>
      </w:r>
      <w:r>
        <w:rPr>
          <w:color w:val="231F20"/>
          <w:spacing w:val="-7"/>
          <w:w w:val="110"/>
        </w:rPr>
        <w:t> </w:t>
      </w:r>
      <w:r>
        <w:rPr>
          <w:color w:val="231F20"/>
          <w:w w:val="110"/>
        </w:rPr>
        <w:t>mercado</w:t>
      </w:r>
      <w:r>
        <w:rPr>
          <w:color w:val="231F20"/>
          <w:spacing w:val="-7"/>
          <w:w w:val="110"/>
        </w:rPr>
        <w:t> </w:t>
      </w:r>
      <w:r>
        <w:rPr>
          <w:color w:val="231F20"/>
          <w:w w:val="110"/>
        </w:rPr>
        <w:t>a</w:t>
      </w:r>
      <w:r>
        <w:rPr>
          <w:color w:val="231F20"/>
          <w:spacing w:val="-7"/>
          <w:w w:val="110"/>
        </w:rPr>
        <w:t> </w:t>
      </w:r>
      <w:r>
        <w:rPr>
          <w:color w:val="231F20"/>
          <w:w w:val="110"/>
        </w:rPr>
        <w:t>través</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venta</w:t>
      </w:r>
      <w:r>
        <w:rPr>
          <w:color w:val="231F20"/>
          <w:spacing w:val="-7"/>
          <w:w w:val="110"/>
        </w:rPr>
        <w:t> </w:t>
      </w:r>
      <w:r>
        <w:rPr>
          <w:color w:val="231F20"/>
          <w:w w:val="110"/>
        </w:rPr>
        <w:t>de</w:t>
      </w:r>
      <w:r>
        <w:rPr>
          <w:color w:val="231F20"/>
          <w:spacing w:val="-7"/>
          <w:w w:val="110"/>
        </w:rPr>
        <w:t> </w:t>
      </w:r>
      <w:r>
        <w:rPr>
          <w:color w:val="231F20"/>
          <w:w w:val="110"/>
        </w:rPr>
        <w:t>sus</w:t>
      </w:r>
      <w:r>
        <w:rPr>
          <w:color w:val="231F20"/>
          <w:spacing w:val="-7"/>
          <w:w w:val="110"/>
        </w:rPr>
        <w:t> </w:t>
      </w:r>
      <w:r>
        <w:rPr>
          <w:color w:val="231F20"/>
          <w:w w:val="110"/>
        </w:rPr>
        <w:t>productos,</w:t>
      </w:r>
      <w:r>
        <w:rPr>
          <w:color w:val="231F20"/>
          <w:spacing w:val="-7"/>
          <w:w w:val="110"/>
        </w:rPr>
        <w:t> </w:t>
      </w:r>
      <w:r>
        <w:rPr>
          <w:color w:val="231F20"/>
          <w:w w:val="110"/>
        </w:rPr>
        <w:t>de</w:t>
      </w:r>
      <w:r>
        <w:rPr>
          <w:color w:val="231F20"/>
          <w:w w:val="109"/>
        </w:rPr>
        <w:t> </w:t>
      </w:r>
      <w:r>
        <w:rPr>
          <w:color w:val="231F20"/>
          <w:w w:val="110"/>
        </w:rPr>
        <w:t>la</w:t>
      </w:r>
      <w:r>
        <w:rPr>
          <w:color w:val="231F20"/>
          <w:spacing w:val="17"/>
          <w:w w:val="110"/>
        </w:rPr>
        <w:t> </w:t>
      </w:r>
      <w:r>
        <w:rPr>
          <w:color w:val="231F20"/>
          <w:w w:val="110"/>
        </w:rPr>
        <w:t>fuerza</w:t>
      </w:r>
      <w:r>
        <w:rPr>
          <w:color w:val="231F20"/>
          <w:spacing w:val="17"/>
          <w:w w:val="110"/>
        </w:rPr>
        <w:t> </w:t>
      </w:r>
      <w:r>
        <w:rPr>
          <w:color w:val="231F20"/>
          <w:w w:val="110"/>
        </w:rPr>
        <w:t>de</w:t>
      </w:r>
      <w:r>
        <w:rPr>
          <w:color w:val="231F20"/>
          <w:spacing w:val="17"/>
          <w:w w:val="110"/>
        </w:rPr>
        <w:t> </w:t>
      </w:r>
      <w:r>
        <w:rPr>
          <w:color w:val="231F20"/>
          <w:w w:val="110"/>
        </w:rPr>
        <w:t>trabajo</w:t>
      </w:r>
      <w:r>
        <w:rPr>
          <w:color w:val="231F20"/>
          <w:spacing w:val="17"/>
          <w:w w:val="110"/>
        </w:rPr>
        <w:t> </w:t>
      </w:r>
      <w:r>
        <w:rPr>
          <w:color w:val="231F20"/>
          <w:w w:val="110"/>
        </w:rPr>
        <w:t>y</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adquisición</w:t>
      </w:r>
      <w:r>
        <w:rPr>
          <w:color w:val="231F20"/>
          <w:spacing w:val="17"/>
          <w:w w:val="110"/>
        </w:rPr>
        <w:t> </w:t>
      </w:r>
      <w:r>
        <w:rPr>
          <w:color w:val="231F20"/>
          <w:w w:val="110"/>
        </w:rPr>
        <w:t>de</w:t>
      </w:r>
      <w:r>
        <w:rPr>
          <w:color w:val="231F20"/>
          <w:spacing w:val="17"/>
          <w:w w:val="110"/>
        </w:rPr>
        <w:t> </w:t>
      </w:r>
      <w:r>
        <w:rPr>
          <w:color w:val="231F20"/>
          <w:w w:val="110"/>
        </w:rPr>
        <w:t>insumos</w:t>
      </w:r>
      <w:r>
        <w:rPr>
          <w:color w:val="231F20"/>
          <w:spacing w:val="17"/>
          <w:w w:val="110"/>
        </w:rPr>
        <w:t> </w:t>
      </w:r>
      <w:r>
        <w:rPr>
          <w:color w:val="231F20"/>
          <w:w w:val="110"/>
        </w:rPr>
        <w:t>agrícolas,</w:t>
      </w:r>
      <w:r>
        <w:rPr>
          <w:color w:val="231F20"/>
          <w:spacing w:val="17"/>
          <w:w w:val="110"/>
        </w:rPr>
        <w:t> </w:t>
      </w:r>
      <w:r>
        <w:rPr>
          <w:color w:val="231F20"/>
          <w:w w:val="110"/>
        </w:rPr>
        <w:t>entre</w:t>
      </w:r>
      <w:r>
        <w:rPr>
          <w:color w:val="231F20"/>
          <w:spacing w:val="17"/>
          <w:w w:val="110"/>
        </w:rPr>
        <w:t> </w:t>
      </w:r>
      <w:r>
        <w:rPr>
          <w:color w:val="231F20"/>
          <w:w w:val="110"/>
        </w:rPr>
        <w:t>otras</w:t>
      </w:r>
      <w:r>
        <w:rPr>
          <w:color w:val="231F20"/>
          <w:w w:val="107"/>
        </w:rPr>
        <w:t> </w:t>
      </w:r>
      <w:r>
        <w:rPr>
          <w:color w:val="231F20"/>
          <w:w w:val="110"/>
        </w:rPr>
        <w:t>cosas. Así, se afirma que las relaciones entre la agricultura, el</w:t>
      </w:r>
      <w:r>
        <w:rPr>
          <w:color w:val="231F20"/>
          <w:spacing w:val="8"/>
          <w:w w:val="110"/>
        </w:rPr>
        <w:t> </w:t>
      </w:r>
      <w:r>
        <w:rPr>
          <w:color w:val="231F20"/>
          <w:w w:val="110"/>
        </w:rPr>
        <w:t>ambiente</w:t>
      </w:r>
      <w:r>
        <w:rPr>
          <w:color w:val="231F20"/>
          <w:spacing w:val="13"/>
          <w:w w:val="110"/>
        </w:rPr>
        <w:t> </w:t>
      </w:r>
      <w:r>
        <w:rPr>
          <w:color w:val="231F20"/>
          <w:w w:val="110"/>
        </w:rPr>
        <w:t>y</w:t>
      </w:r>
      <w:r>
        <w:rPr>
          <w:color w:val="231F20"/>
          <w:w w:val="108"/>
        </w:rPr>
        <w:t> </w:t>
      </w:r>
      <w:r>
        <w:rPr>
          <w:color w:val="231F20"/>
          <w:w w:val="110"/>
        </w:rPr>
        <w:t>la</w:t>
      </w:r>
      <w:r>
        <w:rPr>
          <w:color w:val="231F20"/>
          <w:spacing w:val="-7"/>
          <w:w w:val="110"/>
        </w:rPr>
        <w:t> </w:t>
      </w:r>
      <w:r>
        <w:rPr>
          <w:color w:val="231F20"/>
          <w:spacing w:val="-4"/>
          <w:w w:val="110"/>
        </w:rPr>
        <w:t>cultura</w:t>
      </w:r>
      <w:r>
        <w:rPr>
          <w:color w:val="231F20"/>
          <w:spacing w:val="-7"/>
          <w:w w:val="110"/>
        </w:rPr>
        <w:t> </w:t>
      </w:r>
      <w:r>
        <w:rPr>
          <w:color w:val="231F20"/>
          <w:w w:val="110"/>
        </w:rPr>
        <w:t>de</w:t>
      </w:r>
      <w:r>
        <w:rPr>
          <w:color w:val="231F20"/>
          <w:spacing w:val="-7"/>
          <w:w w:val="110"/>
        </w:rPr>
        <w:t> </w:t>
      </w:r>
      <w:r>
        <w:rPr>
          <w:color w:val="231F20"/>
          <w:spacing w:val="-3"/>
          <w:w w:val="110"/>
        </w:rPr>
        <w:t>las</w:t>
      </w:r>
      <w:r>
        <w:rPr>
          <w:color w:val="231F20"/>
          <w:spacing w:val="-7"/>
          <w:w w:val="110"/>
        </w:rPr>
        <w:t> </w:t>
      </w:r>
      <w:r>
        <w:rPr>
          <w:color w:val="231F20"/>
          <w:spacing w:val="-4"/>
          <w:w w:val="110"/>
        </w:rPr>
        <w:t>familias</w:t>
      </w:r>
      <w:r>
        <w:rPr>
          <w:color w:val="231F20"/>
          <w:spacing w:val="-7"/>
          <w:w w:val="110"/>
        </w:rPr>
        <w:t> </w:t>
      </w:r>
      <w:r>
        <w:rPr>
          <w:color w:val="231F20"/>
          <w:spacing w:val="-4"/>
          <w:w w:val="110"/>
        </w:rPr>
        <w:t>campesinas</w:t>
      </w:r>
      <w:r>
        <w:rPr>
          <w:color w:val="231F20"/>
          <w:spacing w:val="-7"/>
          <w:w w:val="110"/>
        </w:rPr>
        <w:t> </w:t>
      </w:r>
      <w:r>
        <w:rPr>
          <w:color w:val="231F20"/>
          <w:spacing w:val="-3"/>
          <w:w w:val="110"/>
        </w:rPr>
        <w:t>del</w:t>
      </w:r>
      <w:r>
        <w:rPr>
          <w:color w:val="231F20"/>
          <w:spacing w:val="-7"/>
          <w:w w:val="110"/>
        </w:rPr>
        <w:t> </w:t>
      </w:r>
      <w:r>
        <w:rPr>
          <w:color w:val="231F20"/>
          <w:spacing w:val="-8"/>
          <w:w w:val="110"/>
        </w:rPr>
        <w:t>Valle</w:t>
      </w:r>
      <w:r>
        <w:rPr>
          <w:color w:val="231F20"/>
          <w:spacing w:val="-7"/>
          <w:w w:val="110"/>
        </w:rPr>
        <w:t> </w:t>
      </w:r>
      <w:r>
        <w:rPr>
          <w:color w:val="231F20"/>
          <w:w w:val="110"/>
        </w:rPr>
        <w:t>de</w:t>
      </w:r>
      <w:r>
        <w:rPr>
          <w:color w:val="231F20"/>
          <w:spacing w:val="-7"/>
          <w:w w:val="110"/>
        </w:rPr>
        <w:t> </w:t>
      </w:r>
      <w:r>
        <w:rPr>
          <w:color w:val="231F20"/>
          <w:spacing w:val="-4"/>
          <w:w w:val="110"/>
        </w:rPr>
        <w:t>Ixtlahuaca</w:t>
      </w:r>
      <w:r>
        <w:rPr>
          <w:color w:val="231F20"/>
          <w:spacing w:val="-7"/>
          <w:w w:val="110"/>
        </w:rPr>
        <w:t> </w:t>
      </w:r>
      <w:r>
        <w:rPr>
          <w:color w:val="231F20"/>
          <w:w w:val="110"/>
        </w:rPr>
        <w:t>se</w:t>
      </w:r>
      <w:r>
        <w:rPr>
          <w:color w:val="231F20"/>
          <w:spacing w:val="-7"/>
          <w:w w:val="110"/>
        </w:rPr>
        <w:t> </w:t>
      </w:r>
      <w:r>
        <w:rPr>
          <w:color w:val="231F20"/>
          <w:spacing w:val="-3"/>
          <w:w w:val="110"/>
        </w:rPr>
        <w:t>han</w:t>
      </w:r>
      <w:r>
        <w:rPr>
          <w:color w:val="231F20"/>
          <w:spacing w:val="-7"/>
          <w:w w:val="110"/>
        </w:rPr>
        <w:t> </w:t>
      </w:r>
      <w:r>
        <w:rPr>
          <w:color w:val="231F20"/>
          <w:spacing w:val="-4"/>
          <w:w w:val="110"/>
        </w:rPr>
        <w:t>convertido</w:t>
      </w:r>
      <w:r>
        <w:rPr>
          <w:color w:val="231F20"/>
          <w:w w:val="108"/>
        </w:rPr>
        <w:t> </w:t>
      </w:r>
      <w:r>
        <w:rPr>
          <w:color w:val="231F20"/>
          <w:w w:val="110"/>
        </w:rPr>
        <w:t>en la base de su subsistencia y desarrollo cultural y cotidiano de</w:t>
      </w:r>
      <w:r>
        <w:rPr>
          <w:color w:val="231F20"/>
          <w:spacing w:val="40"/>
          <w:w w:val="110"/>
        </w:rPr>
        <w:t> </w:t>
      </w:r>
      <w:r>
        <w:rPr>
          <w:color w:val="231F20"/>
          <w:w w:val="110"/>
        </w:rPr>
        <w:t>la</w:t>
      </w:r>
      <w:r>
        <w:rPr>
          <w:color w:val="231F20"/>
          <w:spacing w:val="3"/>
          <w:w w:val="110"/>
        </w:rPr>
        <w:t> </w:t>
      </w:r>
      <w:r>
        <w:rPr>
          <w:color w:val="231F20"/>
          <w:w w:val="110"/>
        </w:rPr>
        <w:t>región.</w:t>
      </w:r>
      <w:r>
        <w:rPr>
          <w:color w:val="231F20"/>
          <w:w w:val="109"/>
        </w:rPr>
        <w:t> </w:t>
      </w:r>
      <w:r>
        <w:rPr>
          <w:color w:val="231F20"/>
          <w:w w:val="110"/>
        </w:rPr>
        <w:t>En</w:t>
      </w:r>
      <w:r>
        <w:rPr>
          <w:color w:val="231F20"/>
          <w:spacing w:val="28"/>
          <w:w w:val="110"/>
        </w:rPr>
        <w:t> </w:t>
      </w:r>
      <w:r>
        <w:rPr>
          <w:color w:val="231F20"/>
          <w:w w:val="110"/>
        </w:rPr>
        <w:t>el</w:t>
      </w:r>
      <w:r>
        <w:rPr>
          <w:color w:val="231F20"/>
          <w:spacing w:val="28"/>
          <w:w w:val="110"/>
        </w:rPr>
        <w:t> </w:t>
      </w:r>
      <w:r>
        <w:rPr>
          <w:color w:val="231F20"/>
          <w:w w:val="110"/>
        </w:rPr>
        <w:t>análisis</w:t>
      </w:r>
      <w:r>
        <w:rPr>
          <w:color w:val="231F20"/>
          <w:spacing w:val="28"/>
          <w:w w:val="110"/>
        </w:rPr>
        <w:t> </w:t>
      </w:r>
      <w:r>
        <w:rPr>
          <w:color w:val="231F20"/>
          <w:w w:val="110"/>
        </w:rPr>
        <w:t>final,</w:t>
      </w:r>
      <w:r>
        <w:rPr>
          <w:color w:val="231F20"/>
          <w:spacing w:val="28"/>
          <w:w w:val="110"/>
        </w:rPr>
        <w:t> </w:t>
      </w:r>
      <w:r>
        <w:rPr>
          <w:color w:val="231F20"/>
          <w:w w:val="110"/>
        </w:rPr>
        <w:t>y</w:t>
      </w:r>
      <w:r>
        <w:rPr>
          <w:color w:val="231F20"/>
          <w:spacing w:val="28"/>
          <w:w w:val="110"/>
        </w:rPr>
        <w:t> </w:t>
      </w:r>
      <w:r>
        <w:rPr>
          <w:color w:val="231F20"/>
          <w:w w:val="110"/>
        </w:rPr>
        <w:t>de</w:t>
      </w:r>
      <w:r>
        <w:rPr>
          <w:color w:val="231F20"/>
          <w:spacing w:val="28"/>
          <w:w w:val="110"/>
        </w:rPr>
        <w:t> </w:t>
      </w:r>
      <w:r>
        <w:rPr>
          <w:color w:val="231F20"/>
          <w:w w:val="110"/>
        </w:rPr>
        <w:t>acuerdo</w:t>
      </w:r>
      <w:r>
        <w:rPr>
          <w:color w:val="231F20"/>
          <w:spacing w:val="28"/>
          <w:w w:val="110"/>
        </w:rPr>
        <w:t> </w:t>
      </w:r>
      <w:r>
        <w:rPr>
          <w:color w:val="231F20"/>
          <w:w w:val="110"/>
        </w:rPr>
        <w:t>con</w:t>
      </w:r>
      <w:r>
        <w:rPr>
          <w:color w:val="231F20"/>
          <w:spacing w:val="28"/>
          <w:w w:val="110"/>
        </w:rPr>
        <w:t> </w:t>
      </w:r>
      <w:r>
        <w:rPr>
          <w:color w:val="231F20"/>
          <w:w w:val="110"/>
        </w:rPr>
        <w:t>Barkin</w:t>
      </w:r>
      <w:r>
        <w:rPr>
          <w:color w:val="231F20"/>
          <w:spacing w:val="28"/>
          <w:w w:val="110"/>
        </w:rPr>
        <w:t> </w:t>
      </w:r>
      <w:r>
        <w:rPr>
          <w:color w:val="231F20"/>
          <w:w w:val="110"/>
        </w:rPr>
        <w:t>(2002),</w:t>
      </w:r>
      <w:r>
        <w:rPr>
          <w:color w:val="231F20"/>
          <w:spacing w:val="28"/>
          <w:w w:val="110"/>
        </w:rPr>
        <w:t> </w:t>
      </w:r>
      <w:r>
        <w:rPr>
          <w:color w:val="231F20"/>
          <w:w w:val="110"/>
        </w:rPr>
        <w:t>las</w:t>
      </w:r>
      <w:r>
        <w:rPr>
          <w:color w:val="231F20"/>
          <w:spacing w:val="28"/>
          <w:w w:val="110"/>
        </w:rPr>
        <w:t> </w:t>
      </w:r>
      <w:r>
        <w:rPr>
          <w:color w:val="231F20"/>
          <w:w w:val="110"/>
        </w:rPr>
        <w:t>condiciones</w:t>
      </w:r>
      <w:r>
        <w:rPr>
          <w:color w:val="231F20"/>
          <w:w w:val="118"/>
        </w:rPr>
        <w:t> </w:t>
      </w:r>
      <w:r>
        <w:rPr>
          <w:color w:val="231F20"/>
          <w:w w:val="110"/>
        </w:rPr>
        <w:t>presentes de nuestro país impulsan a la gente a salir de sus</w:t>
      </w:r>
      <w:r>
        <w:rPr>
          <w:color w:val="231F20"/>
          <w:spacing w:val="-33"/>
          <w:w w:val="110"/>
        </w:rPr>
        <w:t> </w:t>
      </w:r>
      <w:r>
        <w:rPr>
          <w:color w:val="231F20"/>
          <w:w w:val="110"/>
        </w:rPr>
        <w:t>comunidades</w:t>
      </w:r>
      <w:r>
        <w:rPr>
          <w:color w:val="231F20"/>
          <w:spacing w:val="-3"/>
          <w:w w:val="110"/>
        </w:rPr>
        <w:t> </w:t>
      </w:r>
      <w:r>
        <w:rPr>
          <w:color w:val="231F20"/>
          <w:w w:val="110"/>
        </w:rPr>
        <w:t>y</w:t>
      </w:r>
      <w:r>
        <w:rPr>
          <w:color w:val="231F20"/>
          <w:w w:val="108"/>
        </w:rPr>
        <w:t> </w:t>
      </w:r>
      <w:r>
        <w:rPr>
          <w:color w:val="231F20"/>
          <w:w w:val="110"/>
        </w:rPr>
        <w:t>les</w:t>
      </w:r>
      <w:r>
        <w:rPr>
          <w:color w:val="231F20"/>
          <w:spacing w:val="19"/>
          <w:w w:val="110"/>
        </w:rPr>
        <w:t> </w:t>
      </w:r>
      <w:r>
        <w:rPr>
          <w:color w:val="231F20"/>
          <w:w w:val="110"/>
        </w:rPr>
        <w:t>niegan</w:t>
      </w:r>
      <w:r>
        <w:rPr>
          <w:color w:val="231F20"/>
          <w:spacing w:val="19"/>
          <w:w w:val="110"/>
        </w:rPr>
        <w:t> </w:t>
      </w:r>
      <w:r>
        <w:rPr>
          <w:color w:val="231F20"/>
          <w:w w:val="110"/>
        </w:rPr>
        <w:t>la</w:t>
      </w:r>
      <w:r>
        <w:rPr>
          <w:color w:val="231F20"/>
          <w:spacing w:val="19"/>
          <w:w w:val="110"/>
        </w:rPr>
        <w:t> </w:t>
      </w:r>
      <w:r>
        <w:rPr>
          <w:color w:val="231F20"/>
          <w:w w:val="110"/>
        </w:rPr>
        <w:t>oportunidad</w:t>
      </w:r>
      <w:r>
        <w:rPr>
          <w:color w:val="231F20"/>
          <w:spacing w:val="19"/>
          <w:w w:val="110"/>
        </w:rPr>
        <w:t> </w:t>
      </w:r>
      <w:r>
        <w:rPr>
          <w:color w:val="231F20"/>
          <w:w w:val="110"/>
        </w:rPr>
        <w:t>de</w:t>
      </w:r>
      <w:r>
        <w:rPr>
          <w:color w:val="231F20"/>
          <w:spacing w:val="19"/>
          <w:w w:val="110"/>
        </w:rPr>
        <w:t> </w:t>
      </w:r>
      <w:r>
        <w:rPr>
          <w:color w:val="231F20"/>
          <w:w w:val="110"/>
        </w:rPr>
        <w:t>apoyar</w:t>
      </w:r>
      <w:r>
        <w:rPr>
          <w:color w:val="231F20"/>
          <w:spacing w:val="19"/>
          <w:w w:val="110"/>
        </w:rPr>
        <w:t> </w:t>
      </w:r>
      <w:r>
        <w:rPr>
          <w:color w:val="231F20"/>
          <w:w w:val="110"/>
        </w:rPr>
        <w:t>y</w:t>
      </w:r>
      <w:r>
        <w:rPr>
          <w:color w:val="231F20"/>
          <w:spacing w:val="19"/>
          <w:w w:val="110"/>
        </w:rPr>
        <w:t> </w:t>
      </w:r>
      <w:r>
        <w:rPr>
          <w:color w:val="231F20"/>
          <w:w w:val="110"/>
        </w:rPr>
        <w:t>fortalecer</w:t>
      </w:r>
      <w:r>
        <w:rPr>
          <w:color w:val="231F20"/>
          <w:spacing w:val="19"/>
          <w:w w:val="110"/>
        </w:rPr>
        <w:t> </w:t>
      </w:r>
      <w:r>
        <w:rPr>
          <w:color w:val="231F20"/>
          <w:w w:val="110"/>
        </w:rPr>
        <w:t>las</w:t>
      </w:r>
      <w:r>
        <w:rPr>
          <w:color w:val="231F20"/>
          <w:spacing w:val="19"/>
          <w:w w:val="110"/>
        </w:rPr>
        <w:t> </w:t>
      </w:r>
      <w:r>
        <w:rPr>
          <w:color w:val="231F20"/>
          <w:w w:val="110"/>
        </w:rPr>
        <w:t>soluciones</w:t>
      </w:r>
      <w:r>
        <w:rPr>
          <w:color w:val="231F20"/>
          <w:spacing w:val="19"/>
          <w:w w:val="110"/>
        </w:rPr>
        <w:t> </w:t>
      </w:r>
      <w:r>
        <w:rPr>
          <w:color w:val="231F20"/>
          <w:w w:val="110"/>
        </w:rPr>
        <w:t>que</w:t>
      </w:r>
      <w:r>
        <w:rPr>
          <w:color w:val="231F20"/>
          <w:spacing w:val="19"/>
          <w:w w:val="110"/>
        </w:rPr>
        <w:t> </w:t>
      </w:r>
      <w:r>
        <w:rPr>
          <w:color w:val="231F20"/>
          <w:w w:val="110"/>
        </w:rPr>
        <w:t>ellos</w:t>
      </w:r>
      <w:r>
        <w:rPr>
          <w:color w:val="231F20"/>
          <w:w w:val="118"/>
        </w:rPr>
        <w:t> </w:t>
      </w:r>
      <w:r>
        <w:rPr>
          <w:color w:val="231F20"/>
          <w:w w:val="110"/>
        </w:rPr>
        <w:t>han</w:t>
      </w:r>
      <w:r>
        <w:rPr>
          <w:color w:val="231F20"/>
          <w:spacing w:val="-9"/>
          <w:w w:val="110"/>
        </w:rPr>
        <w:t> </w:t>
      </w:r>
      <w:r>
        <w:rPr>
          <w:color w:val="231F20"/>
          <w:w w:val="110"/>
        </w:rPr>
        <w:t>implementado.</w:t>
      </w:r>
      <w:r>
        <w:rPr>
          <w:color w:val="231F20"/>
          <w:spacing w:val="-9"/>
          <w:w w:val="110"/>
        </w:rPr>
        <w:t> </w:t>
      </w:r>
      <w:r>
        <w:rPr>
          <w:color w:val="231F20"/>
          <w:w w:val="110"/>
        </w:rPr>
        <w:t>Por</w:t>
      </w:r>
      <w:r>
        <w:rPr>
          <w:color w:val="231F20"/>
          <w:spacing w:val="-9"/>
          <w:w w:val="110"/>
        </w:rPr>
        <w:t> </w:t>
      </w:r>
      <w:r>
        <w:rPr>
          <w:color w:val="231F20"/>
          <w:w w:val="110"/>
        </w:rPr>
        <w:t>esta</w:t>
      </w:r>
      <w:r>
        <w:rPr>
          <w:color w:val="231F20"/>
          <w:spacing w:val="-9"/>
          <w:w w:val="110"/>
        </w:rPr>
        <w:t> </w:t>
      </w:r>
      <w:r>
        <w:rPr>
          <w:color w:val="231F20"/>
          <w:w w:val="110"/>
        </w:rPr>
        <w:t>razón,</w:t>
      </w:r>
      <w:r>
        <w:rPr>
          <w:color w:val="231F20"/>
          <w:spacing w:val="-9"/>
          <w:w w:val="110"/>
        </w:rPr>
        <w:t> </w:t>
      </w:r>
      <w:r>
        <w:rPr>
          <w:color w:val="231F20"/>
          <w:w w:val="110"/>
        </w:rPr>
        <w:t>la</w:t>
      </w:r>
      <w:r>
        <w:rPr>
          <w:color w:val="231F20"/>
          <w:spacing w:val="-9"/>
          <w:w w:val="110"/>
        </w:rPr>
        <w:t> </w:t>
      </w:r>
      <w:r>
        <w:rPr>
          <w:color w:val="231F20"/>
          <w:w w:val="110"/>
        </w:rPr>
        <w:t>búsqueda</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sostenibilidad</w:t>
      </w:r>
      <w:r>
        <w:rPr>
          <w:color w:val="231F20"/>
          <w:spacing w:val="-9"/>
          <w:w w:val="110"/>
        </w:rPr>
        <w:t> </w:t>
      </w:r>
      <w:r>
        <w:rPr>
          <w:color w:val="231F20"/>
          <w:w w:val="110"/>
        </w:rPr>
        <w:t>implica</w:t>
      </w:r>
    </w:p>
    <w:p>
      <w:pPr>
        <w:pStyle w:val="BodyText"/>
        <w:ind w:left="100"/>
        <w:jc w:val="both"/>
      </w:pPr>
      <w:r>
        <w:rPr>
          <w:color w:val="231F20"/>
          <w:w w:val="110"/>
        </w:rPr>
        <w:t>una estrategia dual moderna:</w:t>
      </w:r>
    </w:p>
    <w:p>
      <w:pPr>
        <w:pStyle w:val="BodyText"/>
      </w:pPr>
    </w:p>
    <w:p>
      <w:pPr>
        <w:spacing w:line="283" w:lineRule="auto" w:before="0"/>
        <w:ind w:left="460" w:right="117" w:firstLine="0"/>
        <w:jc w:val="both"/>
        <w:rPr>
          <w:sz w:val="18"/>
        </w:rPr>
      </w:pPr>
      <w:r>
        <w:rPr>
          <w:color w:val="231F20"/>
          <w:spacing w:val="-3"/>
          <w:w w:val="110"/>
          <w:sz w:val="18"/>
        </w:rPr>
        <w:t>Por</w:t>
      </w:r>
      <w:r>
        <w:rPr>
          <w:color w:val="231F20"/>
          <w:spacing w:val="-17"/>
          <w:w w:val="110"/>
          <w:sz w:val="18"/>
        </w:rPr>
        <w:t> </w:t>
      </w:r>
      <w:r>
        <w:rPr>
          <w:color w:val="231F20"/>
          <w:w w:val="110"/>
          <w:sz w:val="18"/>
        </w:rPr>
        <w:t>una</w:t>
      </w:r>
      <w:r>
        <w:rPr>
          <w:color w:val="231F20"/>
          <w:spacing w:val="-17"/>
          <w:w w:val="110"/>
          <w:sz w:val="18"/>
        </w:rPr>
        <w:t> </w:t>
      </w:r>
      <w:r>
        <w:rPr>
          <w:color w:val="231F20"/>
          <w:w w:val="110"/>
          <w:sz w:val="18"/>
        </w:rPr>
        <w:t>parte,</w:t>
      </w:r>
      <w:r>
        <w:rPr>
          <w:color w:val="231F20"/>
          <w:spacing w:val="-17"/>
          <w:w w:val="110"/>
          <w:sz w:val="18"/>
        </w:rPr>
        <w:t> </w:t>
      </w:r>
      <w:r>
        <w:rPr>
          <w:color w:val="231F20"/>
          <w:w w:val="110"/>
          <w:sz w:val="18"/>
        </w:rPr>
        <w:t>debe</w:t>
      </w:r>
      <w:r>
        <w:rPr>
          <w:color w:val="231F20"/>
          <w:spacing w:val="-17"/>
          <w:w w:val="110"/>
          <w:sz w:val="18"/>
        </w:rPr>
        <w:t> </w:t>
      </w:r>
      <w:r>
        <w:rPr>
          <w:color w:val="231F20"/>
          <w:w w:val="110"/>
          <w:sz w:val="18"/>
        </w:rPr>
        <w:t>facilitar</w:t>
      </w:r>
      <w:r>
        <w:rPr>
          <w:color w:val="231F20"/>
          <w:spacing w:val="-17"/>
          <w:w w:val="110"/>
          <w:sz w:val="18"/>
        </w:rPr>
        <w:t> </w:t>
      </w:r>
      <w:r>
        <w:rPr>
          <w:color w:val="231F20"/>
          <w:w w:val="110"/>
          <w:sz w:val="18"/>
        </w:rPr>
        <w:t>a</w:t>
      </w:r>
      <w:r>
        <w:rPr>
          <w:color w:val="231F20"/>
          <w:spacing w:val="-17"/>
          <w:w w:val="110"/>
          <w:sz w:val="18"/>
        </w:rPr>
        <w:t> </w:t>
      </w:r>
      <w:r>
        <w:rPr>
          <w:color w:val="231F20"/>
          <w:w w:val="110"/>
          <w:sz w:val="18"/>
        </w:rPr>
        <w:t>la</w:t>
      </w:r>
      <w:r>
        <w:rPr>
          <w:color w:val="231F20"/>
          <w:spacing w:val="-17"/>
          <w:w w:val="110"/>
          <w:sz w:val="18"/>
        </w:rPr>
        <w:t> </w:t>
      </w:r>
      <w:r>
        <w:rPr>
          <w:color w:val="231F20"/>
          <w:w w:val="110"/>
          <w:sz w:val="18"/>
        </w:rPr>
        <w:t>gente</w:t>
      </w:r>
      <w:r>
        <w:rPr>
          <w:color w:val="231F20"/>
          <w:spacing w:val="-17"/>
          <w:w w:val="110"/>
          <w:sz w:val="18"/>
        </w:rPr>
        <w:t> </w:t>
      </w:r>
      <w:r>
        <w:rPr>
          <w:color w:val="231F20"/>
          <w:w w:val="110"/>
          <w:sz w:val="18"/>
        </w:rPr>
        <w:t>el</w:t>
      </w:r>
      <w:r>
        <w:rPr>
          <w:color w:val="231F20"/>
          <w:spacing w:val="-17"/>
          <w:w w:val="110"/>
          <w:sz w:val="18"/>
        </w:rPr>
        <w:t> </w:t>
      </w:r>
      <w:r>
        <w:rPr>
          <w:color w:val="231F20"/>
          <w:w w:val="110"/>
          <w:sz w:val="18"/>
        </w:rPr>
        <w:t>fortalecimiento</w:t>
      </w:r>
      <w:r>
        <w:rPr>
          <w:color w:val="231F20"/>
          <w:spacing w:val="-17"/>
          <w:w w:val="110"/>
          <w:sz w:val="18"/>
        </w:rPr>
        <w:t> </w:t>
      </w:r>
      <w:r>
        <w:rPr>
          <w:color w:val="231F20"/>
          <w:w w:val="110"/>
          <w:sz w:val="18"/>
        </w:rPr>
        <w:t>de</w:t>
      </w:r>
      <w:r>
        <w:rPr>
          <w:color w:val="231F20"/>
          <w:spacing w:val="-17"/>
          <w:w w:val="110"/>
          <w:sz w:val="18"/>
        </w:rPr>
        <w:t> </w:t>
      </w:r>
      <w:r>
        <w:rPr>
          <w:color w:val="231F20"/>
          <w:w w:val="110"/>
          <w:sz w:val="18"/>
        </w:rPr>
        <w:t>sus</w:t>
      </w:r>
      <w:r>
        <w:rPr>
          <w:color w:val="231F20"/>
          <w:spacing w:val="-17"/>
          <w:w w:val="110"/>
          <w:sz w:val="18"/>
        </w:rPr>
        <w:t> </w:t>
      </w:r>
      <w:r>
        <w:rPr>
          <w:color w:val="231F20"/>
          <w:w w:val="110"/>
          <w:sz w:val="18"/>
        </w:rPr>
        <w:t>propias</w:t>
      </w:r>
      <w:r>
        <w:rPr>
          <w:color w:val="231F20"/>
          <w:spacing w:val="-17"/>
          <w:w w:val="110"/>
          <w:sz w:val="18"/>
        </w:rPr>
        <w:t> </w:t>
      </w:r>
      <w:r>
        <w:rPr>
          <w:color w:val="231F20"/>
          <w:spacing w:val="-3"/>
          <w:w w:val="110"/>
          <w:sz w:val="18"/>
        </w:rPr>
        <w:t>organiza- </w:t>
      </w:r>
      <w:r>
        <w:rPr>
          <w:color w:val="231F20"/>
          <w:w w:val="110"/>
          <w:sz w:val="18"/>
        </w:rPr>
        <w:t>ciones o la creación de nuevas, utilizando sus recursos relativamente magros en la búsqueda de una alternativa y de una resolución autónoma de sus pro- blemas</w:t>
      </w:r>
      <w:r>
        <w:rPr>
          <w:color w:val="231F20"/>
          <w:spacing w:val="-9"/>
          <w:w w:val="110"/>
          <w:sz w:val="18"/>
        </w:rPr>
        <w:t> </w:t>
      </w:r>
      <w:r>
        <w:rPr>
          <w:color w:val="231F20"/>
          <w:w w:val="110"/>
          <w:sz w:val="18"/>
        </w:rPr>
        <w:t>y</w:t>
      </w:r>
      <w:r>
        <w:rPr>
          <w:color w:val="231F20"/>
          <w:spacing w:val="-9"/>
          <w:w w:val="110"/>
          <w:sz w:val="18"/>
        </w:rPr>
        <w:t> </w:t>
      </w:r>
      <w:r>
        <w:rPr>
          <w:color w:val="231F20"/>
          <w:w w:val="110"/>
          <w:sz w:val="18"/>
        </w:rPr>
        <w:t>por</w:t>
      </w:r>
      <w:r>
        <w:rPr>
          <w:color w:val="231F20"/>
          <w:spacing w:val="-9"/>
          <w:w w:val="110"/>
          <w:sz w:val="18"/>
        </w:rPr>
        <w:t> </w:t>
      </w:r>
      <w:r>
        <w:rPr>
          <w:color w:val="231F20"/>
          <w:w w:val="110"/>
          <w:sz w:val="18"/>
        </w:rPr>
        <w:t>otra</w:t>
      </w:r>
      <w:r>
        <w:rPr>
          <w:color w:val="231F20"/>
          <w:spacing w:val="-9"/>
          <w:w w:val="110"/>
          <w:sz w:val="18"/>
        </w:rPr>
        <w:t> </w:t>
      </w:r>
      <w:r>
        <w:rPr>
          <w:color w:val="231F20"/>
          <w:w w:val="110"/>
          <w:sz w:val="18"/>
        </w:rPr>
        <w:t>parte,</w:t>
      </w:r>
      <w:r>
        <w:rPr>
          <w:color w:val="231F20"/>
          <w:spacing w:val="-9"/>
          <w:w w:val="110"/>
          <w:sz w:val="18"/>
        </w:rPr>
        <w:t> </w:t>
      </w:r>
      <w:r>
        <w:rPr>
          <w:color w:val="231F20"/>
          <w:w w:val="110"/>
          <w:sz w:val="18"/>
        </w:rPr>
        <w:t>una</w:t>
      </w:r>
      <w:r>
        <w:rPr>
          <w:color w:val="231F20"/>
          <w:spacing w:val="-9"/>
          <w:w w:val="110"/>
          <w:sz w:val="18"/>
        </w:rPr>
        <w:t> </w:t>
      </w:r>
      <w:r>
        <w:rPr>
          <w:color w:val="231F20"/>
          <w:w w:val="110"/>
          <w:sz w:val="18"/>
        </w:rPr>
        <w:t>estrategia</w:t>
      </w:r>
      <w:r>
        <w:rPr>
          <w:color w:val="231F20"/>
          <w:spacing w:val="-9"/>
          <w:w w:val="110"/>
          <w:sz w:val="18"/>
        </w:rPr>
        <w:t> </w:t>
      </w:r>
      <w:r>
        <w:rPr>
          <w:color w:val="231F20"/>
          <w:w w:val="110"/>
          <w:sz w:val="18"/>
        </w:rPr>
        <w:t>de</w:t>
      </w:r>
      <w:r>
        <w:rPr>
          <w:color w:val="231F20"/>
          <w:spacing w:val="-9"/>
          <w:w w:val="110"/>
          <w:sz w:val="18"/>
        </w:rPr>
        <w:t> </w:t>
      </w:r>
      <w:r>
        <w:rPr>
          <w:color w:val="231F20"/>
          <w:w w:val="110"/>
          <w:sz w:val="18"/>
        </w:rPr>
        <w:t>desarrollo</w:t>
      </w:r>
      <w:r>
        <w:rPr>
          <w:color w:val="231F20"/>
          <w:spacing w:val="-9"/>
          <w:w w:val="110"/>
          <w:sz w:val="18"/>
        </w:rPr>
        <w:t> </w:t>
      </w:r>
      <w:r>
        <w:rPr>
          <w:color w:val="231F20"/>
          <w:w w:val="110"/>
          <w:sz w:val="18"/>
        </w:rPr>
        <w:t>sostenible</w:t>
      </w:r>
      <w:r>
        <w:rPr>
          <w:color w:val="231F20"/>
          <w:spacing w:val="-9"/>
          <w:w w:val="110"/>
          <w:sz w:val="18"/>
        </w:rPr>
        <w:t> </w:t>
      </w:r>
      <w:r>
        <w:rPr>
          <w:color w:val="231F20"/>
          <w:w w:val="110"/>
          <w:sz w:val="18"/>
        </w:rPr>
        <w:t>debe</w:t>
      </w:r>
      <w:r>
        <w:rPr>
          <w:color w:val="231F20"/>
          <w:spacing w:val="-9"/>
          <w:w w:val="110"/>
          <w:sz w:val="18"/>
        </w:rPr>
        <w:t> </w:t>
      </w:r>
      <w:r>
        <w:rPr>
          <w:color w:val="231F20"/>
          <w:w w:val="110"/>
          <w:sz w:val="18"/>
        </w:rPr>
        <w:t>contribuir al surgimiento de un nuevo pacto social, cimentado en el reconocimiento de que</w:t>
      </w:r>
      <w:r>
        <w:rPr>
          <w:color w:val="231F20"/>
          <w:spacing w:val="-12"/>
          <w:w w:val="110"/>
          <w:sz w:val="18"/>
        </w:rPr>
        <w:t> </w:t>
      </w:r>
      <w:r>
        <w:rPr>
          <w:color w:val="231F20"/>
          <w:w w:val="110"/>
          <w:sz w:val="18"/>
        </w:rPr>
        <w:t>son</w:t>
      </w:r>
      <w:r>
        <w:rPr>
          <w:color w:val="231F20"/>
          <w:spacing w:val="-12"/>
          <w:w w:val="110"/>
          <w:sz w:val="18"/>
        </w:rPr>
        <w:t> </w:t>
      </w:r>
      <w:r>
        <w:rPr>
          <w:color w:val="231F20"/>
          <w:w w:val="110"/>
          <w:sz w:val="18"/>
        </w:rPr>
        <w:t>esenciales</w:t>
      </w:r>
      <w:r>
        <w:rPr>
          <w:color w:val="231F20"/>
          <w:spacing w:val="-12"/>
          <w:w w:val="110"/>
          <w:sz w:val="18"/>
        </w:rPr>
        <w:t> </w:t>
      </w:r>
      <w:r>
        <w:rPr>
          <w:color w:val="231F20"/>
          <w:w w:val="110"/>
          <w:sz w:val="18"/>
        </w:rPr>
        <w:t>la</w:t>
      </w:r>
      <w:r>
        <w:rPr>
          <w:color w:val="231F20"/>
          <w:spacing w:val="-12"/>
          <w:w w:val="110"/>
          <w:sz w:val="18"/>
        </w:rPr>
        <w:t> </w:t>
      </w:r>
      <w:r>
        <w:rPr>
          <w:color w:val="231F20"/>
          <w:w w:val="110"/>
          <w:sz w:val="18"/>
        </w:rPr>
        <w:t>erradicación</w:t>
      </w:r>
      <w:r>
        <w:rPr>
          <w:color w:val="231F20"/>
          <w:spacing w:val="-12"/>
          <w:w w:val="110"/>
          <w:sz w:val="18"/>
        </w:rPr>
        <w:t> </w:t>
      </w:r>
      <w:r>
        <w:rPr>
          <w:color w:val="231F20"/>
          <w:w w:val="110"/>
          <w:sz w:val="18"/>
        </w:rPr>
        <w:t>de</w:t>
      </w:r>
      <w:r>
        <w:rPr>
          <w:color w:val="231F20"/>
          <w:spacing w:val="-12"/>
          <w:w w:val="110"/>
          <w:sz w:val="18"/>
        </w:rPr>
        <w:t> </w:t>
      </w:r>
      <w:r>
        <w:rPr>
          <w:color w:val="231F20"/>
          <w:w w:val="110"/>
          <w:sz w:val="18"/>
        </w:rPr>
        <w:t>la</w:t>
      </w:r>
      <w:r>
        <w:rPr>
          <w:color w:val="231F20"/>
          <w:spacing w:val="-12"/>
          <w:w w:val="110"/>
          <w:sz w:val="18"/>
        </w:rPr>
        <w:t> </w:t>
      </w:r>
      <w:r>
        <w:rPr>
          <w:color w:val="231F20"/>
          <w:w w:val="110"/>
          <w:sz w:val="18"/>
        </w:rPr>
        <w:t>pobreza</w:t>
      </w:r>
      <w:r>
        <w:rPr>
          <w:color w:val="231F20"/>
          <w:spacing w:val="-12"/>
          <w:w w:val="110"/>
          <w:sz w:val="18"/>
        </w:rPr>
        <w:t> </w:t>
      </w:r>
      <w:r>
        <w:rPr>
          <w:color w:val="231F20"/>
          <w:w w:val="110"/>
          <w:sz w:val="18"/>
        </w:rPr>
        <w:t>y</w:t>
      </w:r>
      <w:r>
        <w:rPr>
          <w:color w:val="231F20"/>
          <w:spacing w:val="-12"/>
          <w:w w:val="110"/>
          <w:sz w:val="18"/>
        </w:rPr>
        <w:t> </w:t>
      </w:r>
      <w:r>
        <w:rPr>
          <w:color w:val="231F20"/>
          <w:w w:val="110"/>
          <w:sz w:val="18"/>
        </w:rPr>
        <w:t>la</w:t>
      </w:r>
      <w:r>
        <w:rPr>
          <w:color w:val="231F20"/>
          <w:spacing w:val="-12"/>
          <w:w w:val="110"/>
          <w:sz w:val="18"/>
        </w:rPr>
        <w:t> </w:t>
      </w:r>
      <w:r>
        <w:rPr>
          <w:color w:val="231F20"/>
          <w:w w:val="110"/>
          <w:sz w:val="18"/>
        </w:rPr>
        <w:t>incorporación</w:t>
      </w:r>
      <w:r>
        <w:rPr>
          <w:color w:val="231F20"/>
          <w:spacing w:val="-12"/>
          <w:w w:val="110"/>
          <w:sz w:val="18"/>
        </w:rPr>
        <w:t> </w:t>
      </w:r>
      <w:r>
        <w:rPr>
          <w:color w:val="231F20"/>
          <w:w w:val="110"/>
          <w:sz w:val="18"/>
        </w:rPr>
        <w:t>democrática</w:t>
      </w:r>
    </w:p>
    <w:p>
      <w:pPr>
        <w:spacing w:after="0" w:line="283" w:lineRule="auto"/>
        <w:jc w:val="both"/>
        <w:rPr>
          <w:sz w:val="18"/>
        </w:rPr>
        <w:sectPr>
          <w:pgSz w:w="9520" w:h="12920"/>
          <w:pgMar w:header="0" w:footer="1344" w:top="880" w:bottom="1540" w:left="1020" w:right="1320"/>
        </w:sectPr>
      </w:pPr>
    </w:p>
    <w:p>
      <w:pPr>
        <w:spacing w:line="285" w:lineRule="auto" w:before="46"/>
        <w:ind w:left="484" w:right="0" w:firstLine="0"/>
        <w:jc w:val="left"/>
        <w:rPr>
          <w:sz w:val="18"/>
        </w:rPr>
      </w:pPr>
      <w:r>
        <w:rPr>
          <w:color w:val="231F20"/>
          <w:w w:val="110"/>
          <w:sz w:val="18"/>
        </w:rPr>
        <w:t>de los desamparados dentro de una estructura productiva más diversificada </w:t>
      </w:r>
      <w:r>
        <w:rPr>
          <w:color w:val="231F20"/>
          <w:w w:val="105"/>
          <w:sz w:val="18"/>
        </w:rPr>
        <w:t>(Barkin, 2002: 185).</w:t>
      </w:r>
    </w:p>
    <w:p>
      <w:pPr>
        <w:pStyle w:val="BodyText"/>
        <w:spacing w:before="7"/>
        <w:rPr>
          <w:sz w:val="21"/>
        </w:rPr>
      </w:pPr>
    </w:p>
    <w:p>
      <w:pPr>
        <w:pStyle w:val="BodyText"/>
        <w:spacing w:line="290" w:lineRule="auto"/>
        <w:ind w:left="124" w:right="112" w:firstLine="360"/>
        <w:jc w:val="both"/>
      </w:pPr>
      <w:r>
        <w:rPr>
          <w:color w:val="231F20"/>
          <w:w w:val="110"/>
        </w:rPr>
        <w:t>Considerando que la sostenibilidad no es, simplemente, un asunto del ambiente, de justicia social y de desarrollo, también se trata de la gente y de su supervivencia como individuos, familias y  culturas.</w:t>
      </w:r>
    </w:p>
    <w:p>
      <w:pPr>
        <w:pStyle w:val="BodyText"/>
        <w:spacing w:line="290" w:lineRule="auto"/>
        <w:ind w:left="124" w:right="112" w:firstLine="360"/>
        <w:jc w:val="both"/>
      </w:pPr>
      <w:r>
        <w:rPr>
          <w:color w:val="231F20"/>
          <w:w w:val="110"/>
        </w:rPr>
        <w:t>Se cree que, si bien el incremento de la población y de las ciudades demandan</w:t>
      </w:r>
      <w:r>
        <w:rPr>
          <w:color w:val="231F20"/>
          <w:spacing w:val="-16"/>
          <w:w w:val="110"/>
        </w:rPr>
        <w:t> </w:t>
      </w:r>
      <w:r>
        <w:rPr>
          <w:color w:val="231F20"/>
          <w:w w:val="110"/>
        </w:rPr>
        <w:t>alimentos</w:t>
      </w:r>
      <w:r>
        <w:rPr>
          <w:color w:val="231F20"/>
          <w:spacing w:val="-16"/>
          <w:w w:val="110"/>
        </w:rPr>
        <w:t> </w:t>
      </w:r>
      <w:r>
        <w:rPr>
          <w:color w:val="231F20"/>
          <w:w w:val="110"/>
        </w:rPr>
        <w:t>a</w:t>
      </w:r>
      <w:r>
        <w:rPr>
          <w:color w:val="231F20"/>
          <w:spacing w:val="-16"/>
          <w:w w:val="110"/>
        </w:rPr>
        <w:t> </w:t>
      </w:r>
      <w:r>
        <w:rPr>
          <w:color w:val="231F20"/>
          <w:w w:val="110"/>
        </w:rPr>
        <w:t>gran</w:t>
      </w:r>
      <w:r>
        <w:rPr>
          <w:color w:val="231F20"/>
          <w:spacing w:val="-16"/>
          <w:w w:val="110"/>
        </w:rPr>
        <w:t> </w:t>
      </w:r>
      <w:r>
        <w:rPr>
          <w:color w:val="231F20"/>
          <w:w w:val="110"/>
        </w:rPr>
        <w:t>escala</w:t>
      </w:r>
      <w:r>
        <w:rPr>
          <w:color w:val="231F20"/>
          <w:spacing w:val="-16"/>
          <w:w w:val="110"/>
        </w:rPr>
        <w:t> </w:t>
      </w:r>
      <w:r>
        <w:rPr>
          <w:color w:val="231F20"/>
          <w:w w:val="110"/>
        </w:rPr>
        <w:t>y</w:t>
      </w:r>
      <w:r>
        <w:rPr>
          <w:color w:val="231F20"/>
          <w:spacing w:val="-16"/>
          <w:w w:val="110"/>
        </w:rPr>
        <w:t> </w:t>
      </w:r>
      <w:r>
        <w:rPr>
          <w:color w:val="231F20"/>
          <w:w w:val="110"/>
        </w:rPr>
        <w:t>en</w:t>
      </w:r>
      <w:r>
        <w:rPr>
          <w:color w:val="231F20"/>
          <w:spacing w:val="-16"/>
          <w:w w:val="110"/>
        </w:rPr>
        <w:t> </w:t>
      </w:r>
      <w:r>
        <w:rPr>
          <w:color w:val="231F20"/>
          <w:w w:val="110"/>
        </w:rPr>
        <w:t>menor</w:t>
      </w:r>
      <w:r>
        <w:rPr>
          <w:color w:val="231F20"/>
          <w:spacing w:val="-16"/>
          <w:w w:val="110"/>
        </w:rPr>
        <w:t> </w:t>
      </w:r>
      <w:r>
        <w:rPr>
          <w:color w:val="231F20"/>
          <w:w w:val="110"/>
        </w:rPr>
        <w:t>tiempo,</w:t>
      </w:r>
      <w:r>
        <w:rPr>
          <w:color w:val="231F20"/>
          <w:spacing w:val="-16"/>
          <w:w w:val="110"/>
        </w:rPr>
        <w:t> </w:t>
      </w:r>
      <w:r>
        <w:rPr>
          <w:color w:val="231F20"/>
          <w:w w:val="110"/>
        </w:rPr>
        <w:t>también</w:t>
      </w:r>
      <w:r>
        <w:rPr>
          <w:color w:val="231F20"/>
          <w:spacing w:val="-16"/>
          <w:w w:val="110"/>
        </w:rPr>
        <w:t> </w:t>
      </w:r>
      <w:r>
        <w:rPr>
          <w:color w:val="231F20"/>
          <w:w w:val="110"/>
        </w:rPr>
        <w:t>es</w:t>
      </w:r>
      <w:r>
        <w:rPr>
          <w:color w:val="231F20"/>
          <w:spacing w:val="-16"/>
          <w:w w:val="110"/>
        </w:rPr>
        <w:t> </w:t>
      </w:r>
      <w:r>
        <w:rPr>
          <w:color w:val="231F20"/>
          <w:w w:val="110"/>
        </w:rPr>
        <w:t>necesario mirar y conocer las diferentes estrategias de subsistencia generadas por las familias campesinas y analizar en este </w:t>
      </w:r>
      <w:r>
        <w:rPr>
          <w:color w:val="231F20"/>
          <w:spacing w:val="-3"/>
          <w:w w:val="110"/>
        </w:rPr>
        <w:t>tenor, </w:t>
      </w:r>
      <w:r>
        <w:rPr>
          <w:color w:val="231F20"/>
          <w:w w:val="110"/>
        </w:rPr>
        <w:t>lo que hasta ahora ha fun- cionado, como es el caso que aquí se presenta, como una muestra de lo  que pasa en diferentes regiones del </w:t>
      </w:r>
      <w:r>
        <w:rPr>
          <w:color w:val="231F20"/>
          <w:spacing w:val="5"/>
          <w:w w:val="110"/>
        </w:rPr>
        <w:t> </w:t>
      </w:r>
      <w:r>
        <w:rPr>
          <w:color w:val="231F20"/>
          <w:w w:val="110"/>
        </w:rPr>
        <w:t>país.</w:t>
      </w:r>
    </w:p>
    <w:p>
      <w:pPr>
        <w:pStyle w:val="BodyText"/>
        <w:spacing w:line="290" w:lineRule="auto"/>
        <w:ind w:left="124" w:right="112" w:firstLine="360"/>
        <w:jc w:val="both"/>
      </w:pPr>
      <w:r>
        <w:rPr>
          <w:color w:val="231F20"/>
          <w:w w:val="110"/>
        </w:rPr>
        <w:t>No podemos entender a las familias campesinas en México exclusiva- mente en términos económicos, la </w:t>
      </w:r>
      <w:r>
        <w:rPr>
          <w:color w:val="231F20"/>
          <w:spacing w:val="-3"/>
          <w:w w:val="110"/>
        </w:rPr>
        <w:t>explicación </w:t>
      </w:r>
      <w:r>
        <w:rPr>
          <w:color w:val="231F20"/>
          <w:w w:val="110"/>
        </w:rPr>
        <w:t>se encuentra además en re- conocer la habilidad que éstos tienen para generar ajustes en su organiza- ción</w:t>
      </w:r>
      <w:r>
        <w:rPr>
          <w:color w:val="231F20"/>
          <w:spacing w:val="-6"/>
          <w:w w:val="110"/>
        </w:rPr>
        <w:t> </w:t>
      </w:r>
      <w:r>
        <w:rPr>
          <w:color w:val="231F20"/>
          <w:w w:val="110"/>
        </w:rPr>
        <w:t>social,</w:t>
      </w:r>
      <w:r>
        <w:rPr>
          <w:color w:val="231F20"/>
          <w:spacing w:val="-6"/>
          <w:w w:val="110"/>
        </w:rPr>
        <w:t> </w:t>
      </w:r>
      <w:r>
        <w:rPr>
          <w:color w:val="231F20"/>
          <w:w w:val="110"/>
        </w:rPr>
        <w:t>aceptar</w:t>
      </w:r>
      <w:r>
        <w:rPr>
          <w:color w:val="231F20"/>
          <w:spacing w:val="-6"/>
          <w:w w:val="110"/>
        </w:rPr>
        <w:t> </w:t>
      </w:r>
      <w:r>
        <w:rPr>
          <w:color w:val="231F20"/>
          <w:w w:val="110"/>
        </w:rPr>
        <w:t>la</w:t>
      </w:r>
      <w:r>
        <w:rPr>
          <w:color w:val="231F20"/>
          <w:spacing w:val="-6"/>
          <w:w w:val="110"/>
        </w:rPr>
        <w:t> </w:t>
      </w:r>
      <w:r>
        <w:rPr>
          <w:color w:val="231F20"/>
          <w:w w:val="110"/>
        </w:rPr>
        <w:t>importante</w:t>
      </w:r>
      <w:r>
        <w:rPr>
          <w:color w:val="231F20"/>
          <w:spacing w:val="-6"/>
          <w:w w:val="110"/>
        </w:rPr>
        <w:t> </w:t>
      </w:r>
      <w:r>
        <w:rPr>
          <w:color w:val="231F20"/>
          <w:w w:val="110"/>
        </w:rPr>
        <w:t>relación</w:t>
      </w:r>
      <w:r>
        <w:rPr>
          <w:color w:val="231F20"/>
          <w:spacing w:val="-6"/>
          <w:w w:val="110"/>
        </w:rPr>
        <w:t> </w:t>
      </w:r>
      <w:r>
        <w:rPr>
          <w:color w:val="231F20"/>
          <w:w w:val="110"/>
        </w:rPr>
        <w:t>que</w:t>
      </w:r>
      <w:r>
        <w:rPr>
          <w:color w:val="231F20"/>
          <w:spacing w:val="-6"/>
          <w:w w:val="110"/>
        </w:rPr>
        <w:t> </w:t>
      </w:r>
      <w:r>
        <w:rPr>
          <w:color w:val="231F20"/>
          <w:w w:val="110"/>
        </w:rPr>
        <w:t>existe</w:t>
      </w:r>
      <w:r>
        <w:rPr>
          <w:color w:val="231F20"/>
          <w:spacing w:val="-6"/>
          <w:w w:val="110"/>
        </w:rPr>
        <w:t> </w:t>
      </w:r>
      <w:r>
        <w:rPr>
          <w:color w:val="231F20"/>
          <w:w w:val="110"/>
        </w:rPr>
        <w:t>entre</w:t>
      </w:r>
      <w:r>
        <w:rPr>
          <w:color w:val="231F20"/>
          <w:spacing w:val="-6"/>
          <w:w w:val="110"/>
        </w:rPr>
        <w:t> </w:t>
      </w:r>
      <w:r>
        <w:rPr>
          <w:color w:val="231F20"/>
          <w:w w:val="110"/>
        </w:rPr>
        <w:t>el</w:t>
      </w:r>
      <w:r>
        <w:rPr>
          <w:color w:val="231F20"/>
          <w:spacing w:val="-6"/>
          <w:w w:val="110"/>
        </w:rPr>
        <w:t> </w:t>
      </w:r>
      <w:r>
        <w:rPr>
          <w:color w:val="231F20"/>
          <w:w w:val="110"/>
        </w:rPr>
        <w:t>conocimiento tradicional de los sistemas agrícolas —en el manejo y uso de los recursos naturales para la obtención de alimentos— y el sistema de creencias y tra- diciones religiosas de origen indígena mesoamericano, los cuales se con- servan y transmiten, de generación en generación, a través de las fiestas religiosas</w:t>
      </w:r>
      <w:r>
        <w:rPr>
          <w:color w:val="231F20"/>
          <w:spacing w:val="-5"/>
          <w:w w:val="110"/>
        </w:rPr>
        <w:t> </w:t>
      </w:r>
      <w:r>
        <w:rPr>
          <w:color w:val="231F20"/>
          <w:w w:val="110"/>
        </w:rPr>
        <w:t>católicas</w:t>
      </w:r>
      <w:r>
        <w:rPr>
          <w:color w:val="231F20"/>
          <w:spacing w:val="-5"/>
          <w:w w:val="110"/>
        </w:rPr>
        <w:t> </w:t>
      </w:r>
      <w:r>
        <w:rPr>
          <w:color w:val="231F20"/>
          <w:w w:val="110"/>
        </w:rPr>
        <w:t>y</w:t>
      </w:r>
      <w:r>
        <w:rPr>
          <w:color w:val="231F20"/>
          <w:spacing w:val="-5"/>
          <w:w w:val="110"/>
        </w:rPr>
        <w:t> </w:t>
      </w:r>
      <w:r>
        <w:rPr>
          <w:color w:val="231F20"/>
          <w:w w:val="110"/>
        </w:rPr>
        <w:t>ceremonias</w:t>
      </w:r>
      <w:r>
        <w:rPr>
          <w:color w:val="231F20"/>
          <w:spacing w:val="-5"/>
          <w:w w:val="110"/>
        </w:rPr>
        <w:t> </w:t>
      </w:r>
      <w:r>
        <w:rPr>
          <w:color w:val="231F20"/>
          <w:w w:val="110"/>
        </w:rPr>
        <w:t>en</w:t>
      </w:r>
      <w:r>
        <w:rPr>
          <w:color w:val="231F20"/>
          <w:spacing w:val="-5"/>
          <w:w w:val="110"/>
        </w:rPr>
        <w:t> </w:t>
      </w:r>
      <w:r>
        <w:rPr>
          <w:color w:val="231F20"/>
          <w:w w:val="110"/>
        </w:rPr>
        <w:t>torno</w:t>
      </w:r>
      <w:r>
        <w:rPr>
          <w:color w:val="231F20"/>
          <w:spacing w:val="-5"/>
          <w:w w:val="110"/>
        </w:rPr>
        <w:t> </w:t>
      </w:r>
      <w:r>
        <w:rPr>
          <w:color w:val="231F20"/>
          <w:w w:val="110"/>
        </w:rPr>
        <w:t>a</w:t>
      </w:r>
      <w:r>
        <w:rPr>
          <w:color w:val="231F20"/>
          <w:spacing w:val="-5"/>
          <w:w w:val="110"/>
        </w:rPr>
        <w:t> </w:t>
      </w:r>
      <w:r>
        <w:rPr>
          <w:color w:val="231F20"/>
          <w:w w:val="110"/>
        </w:rPr>
        <w:t>una</w:t>
      </w:r>
      <w:r>
        <w:rPr>
          <w:color w:val="231F20"/>
          <w:spacing w:val="-5"/>
          <w:w w:val="110"/>
        </w:rPr>
        <w:t> </w:t>
      </w:r>
      <w:r>
        <w:rPr>
          <w:color w:val="231F20"/>
          <w:w w:val="110"/>
        </w:rPr>
        <w:t>agricultura</w:t>
      </w:r>
      <w:r>
        <w:rPr>
          <w:color w:val="231F20"/>
          <w:spacing w:val="-5"/>
          <w:w w:val="110"/>
        </w:rPr>
        <w:t> </w:t>
      </w:r>
      <w:r>
        <w:rPr>
          <w:color w:val="231F20"/>
          <w:w w:val="110"/>
        </w:rPr>
        <w:t>tradicional;</w:t>
      </w:r>
      <w:r>
        <w:rPr>
          <w:color w:val="231F20"/>
          <w:spacing w:val="-5"/>
          <w:w w:val="110"/>
        </w:rPr>
        <w:t> </w:t>
      </w:r>
      <w:r>
        <w:rPr>
          <w:color w:val="231F20"/>
          <w:w w:val="110"/>
        </w:rPr>
        <w:t>así es</w:t>
      </w:r>
      <w:r>
        <w:rPr>
          <w:color w:val="231F20"/>
          <w:spacing w:val="-6"/>
          <w:w w:val="110"/>
        </w:rPr>
        <w:t> </w:t>
      </w:r>
      <w:r>
        <w:rPr>
          <w:color w:val="231F20"/>
          <w:w w:val="110"/>
        </w:rPr>
        <w:t>como</w:t>
      </w:r>
      <w:r>
        <w:rPr>
          <w:color w:val="231F20"/>
          <w:spacing w:val="-6"/>
          <w:w w:val="110"/>
        </w:rPr>
        <w:t> </w:t>
      </w:r>
      <w:r>
        <w:rPr>
          <w:color w:val="231F20"/>
          <w:w w:val="110"/>
        </w:rPr>
        <w:t>la</w:t>
      </w:r>
      <w:r>
        <w:rPr>
          <w:color w:val="231F20"/>
          <w:spacing w:val="-6"/>
          <w:w w:val="110"/>
        </w:rPr>
        <w:t> </w:t>
      </w:r>
      <w:r>
        <w:rPr>
          <w:color w:val="231F20"/>
          <w:w w:val="110"/>
        </w:rPr>
        <w:t>familia</w:t>
      </w:r>
      <w:r>
        <w:rPr>
          <w:color w:val="231F20"/>
          <w:spacing w:val="-5"/>
          <w:w w:val="110"/>
        </w:rPr>
        <w:t> </w:t>
      </w:r>
      <w:r>
        <w:rPr>
          <w:color w:val="231F20"/>
          <w:w w:val="110"/>
        </w:rPr>
        <w:t>campesina</w:t>
      </w:r>
      <w:r>
        <w:rPr>
          <w:color w:val="231F20"/>
          <w:spacing w:val="-5"/>
          <w:w w:val="110"/>
        </w:rPr>
        <w:t> </w:t>
      </w:r>
      <w:r>
        <w:rPr>
          <w:color w:val="231F20"/>
          <w:w w:val="110"/>
        </w:rPr>
        <w:t>ha</w:t>
      </w:r>
      <w:r>
        <w:rPr>
          <w:color w:val="231F20"/>
          <w:spacing w:val="-5"/>
          <w:w w:val="110"/>
        </w:rPr>
        <w:t> </w:t>
      </w:r>
      <w:r>
        <w:rPr>
          <w:color w:val="231F20"/>
          <w:w w:val="110"/>
        </w:rPr>
        <w:t>logrado,</w:t>
      </w:r>
      <w:r>
        <w:rPr>
          <w:color w:val="231F20"/>
          <w:spacing w:val="-5"/>
          <w:w w:val="110"/>
        </w:rPr>
        <w:t> </w:t>
      </w:r>
      <w:r>
        <w:rPr>
          <w:color w:val="231F20"/>
          <w:w w:val="110"/>
        </w:rPr>
        <w:t>hasta</w:t>
      </w:r>
      <w:r>
        <w:rPr>
          <w:color w:val="231F20"/>
          <w:spacing w:val="-6"/>
          <w:w w:val="110"/>
        </w:rPr>
        <w:t> </w:t>
      </w:r>
      <w:r>
        <w:rPr>
          <w:color w:val="231F20"/>
          <w:w w:val="110"/>
        </w:rPr>
        <w:t>ahora,</w:t>
      </w:r>
      <w:r>
        <w:rPr>
          <w:color w:val="231F20"/>
          <w:spacing w:val="-5"/>
          <w:w w:val="110"/>
        </w:rPr>
        <w:t> </w:t>
      </w:r>
      <w:r>
        <w:rPr>
          <w:color w:val="231F20"/>
          <w:w w:val="110"/>
        </w:rPr>
        <w:t>garantizar</w:t>
      </w:r>
      <w:r>
        <w:rPr>
          <w:color w:val="231F20"/>
          <w:spacing w:val="-5"/>
          <w:w w:val="110"/>
        </w:rPr>
        <w:t> </w:t>
      </w:r>
      <w:r>
        <w:rPr>
          <w:color w:val="231F20"/>
          <w:w w:val="110"/>
        </w:rPr>
        <w:t>la</w:t>
      </w:r>
      <w:r>
        <w:rPr>
          <w:color w:val="231F20"/>
          <w:spacing w:val="-5"/>
          <w:w w:val="110"/>
        </w:rPr>
        <w:t> </w:t>
      </w:r>
      <w:r>
        <w:rPr>
          <w:color w:val="231F20"/>
          <w:w w:val="110"/>
        </w:rPr>
        <w:t>alimen- tación del grupo, es </w:t>
      </w:r>
      <w:r>
        <w:rPr>
          <w:color w:val="231F20"/>
          <w:spacing w:val="-3"/>
          <w:w w:val="110"/>
        </w:rPr>
        <w:t>decir, </w:t>
      </w:r>
      <w:r>
        <w:rPr>
          <w:color w:val="231F20"/>
          <w:w w:val="110"/>
        </w:rPr>
        <w:t>su autosuficiencia alimentaria. De este modo, se </w:t>
      </w:r>
      <w:r>
        <w:rPr>
          <w:color w:val="231F20"/>
          <w:spacing w:val="3"/>
          <w:w w:val="110"/>
        </w:rPr>
        <w:t>propone analizar </w:t>
      </w:r>
      <w:r>
        <w:rPr>
          <w:color w:val="231F20"/>
          <w:w w:val="110"/>
        </w:rPr>
        <w:t>y </w:t>
      </w:r>
      <w:r>
        <w:rPr>
          <w:color w:val="231F20"/>
          <w:spacing w:val="3"/>
          <w:w w:val="110"/>
        </w:rPr>
        <w:t>generar políticas públicas orientadas </w:t>
      </w:r>
      <w:r>
        <w:rPr>
          <w:color w:val="231F20"/>
          <w:w w:val="110"/>
        </w:rPr>
        <w:t>a </w:t>
      </w:r>
      <w:r>
        <w:rPr>
          <w:color w:val="231F20"/>
          <w:spacing w:val="2"/>
          <w:w w:val="110"/>
        </w:rPr>
        <w:t>las </w:t>
      </w:r>
      <w:r>
        <w:rPr>
          <w:color w:val="231F20"/>
          <w:spacing w:val="3"/>
          <w:w w:val="110"/>
        </w:rPr>
        <w:t>familias </w:t>
      </w:r>
      <w:r>
        <w:rPr>
          <w:color w:val="231F20"/>
          <w:spacing w:val="-4"/>
          <w:w w:val="110"/>
        </w:rPr>
        <w:t>campesinas </w:t>
      </w:r>
      <w:r>
        <w:rPr>
          <w:color w:val="231F20"/>
          <w:spacing w:val="-3"/>
          <w:w w:val="110"/>
        </w:rPr>
        <w:t>que </w:t>
      </w:r>
      <w:r>
        <w:rPr>
          <w:color w:val="231F20"/>
          <w:spacing w:val="-4"/>
          <w:w w:val="110"/>
        </w:rPr>
        <w:t>producen alimentos </w:t>
      </w:r>
      <w:r>
        <w:rPr>
          <w:color w:val="231F20"/>
          <w:spacing w:val="-3"/>
          <w:w w:val="110"/>
        </w:rPr>
        <w:t>por </w:t>
      </w:r>
      <w:r>
        <w:rPr>
          <w:color w:val="231F20"/>
          <w:spacing w:val="-4"/>
          <w:w w:val="110"/>
        </w:rPr>
        <w:t>medio </w:t>
      </w:r>
      <w:r>
        <w:rPr>
          <w:color w:val="231F20"/>
          <w:w w:val="110"/>
        </w:rPr>
        <w:t>de </w:t>
      </w:r>
      <w:r>
        <w:rPr>
          <w:color w:val="231F20"/>
          <w:spacing w:val="-3"/>
          <w:w w:val="110"/>
        </w:rPr>
        <w:t>sus </w:t>
      </w:r>
      <w:r>
        <w:rPr>
          <w:color w:val="231F20"/>
          <w:spacing w:val="-4"/>
          <w:w w:val="110"/>
        </w:rPr>
        <w:t>sistemas agrícolas </w:t>
      </w:r>
      <w:r>
        <w:rPr>
          <w:color w:val="231F20"/>
          <w:spacing w:val="-3"/>
          <w:w w:val="110"/>
        </w:rPr>
        <w:t>tra- </w:t>
      </w:r>
      <w:r>
        <w:rPr>
          <w:color w:val="231F20"/>
          <w:w w:val="110"/>
        </w:rPr>
        <w:t>dicionales en</w:t>
      </w:r>
      <w:r>
        <w:rPr>
          <w:color w:val="231F20"/>
          <w:spacing w:val="36"/>
          <w:w w:val="110"/>
        </w:rPr>
        <w:t> </w:t>
      </w:r>
      <w:r>
        <w:rPr>
          <w:color w:val="231F20"/>
          <w:w w:val="110"/>
        </w:rPr>
        <w:t>México.</w:t>
      </w:r>
    </w:p>
    <w:p>
      <w:pPr>
        <w:pStyle w:val="BodyText"/>
      </w:pPr>
    </w:p>
    <w:p>
      <w:pPr>
        <w:pStyle w:val="BodyText"/>
        <w:spacing w:before="10"/>
        <w:rPr>
          <w:sz w:val="24"/>
        </w:rPr>
      </w:pPr>
    </w:p>
    <w:p>
      <w:pPr>
        <w:spacing w:before="0"/>
        <w:ind w:left="124" w:right="0" w:firstLine="0"/>
        <w:jc w:val="left"/>
        <w:rPr>
          <w:rFonts w:ascii="Times New Roman"/>
          <w:i/>
          <w:sz w:val="19"/>
        </w:rPr>
      </w:pPr>
      <w:r>
        <w:rPr>
          <w:rFonts w:ascii="Times New Roman"/>
          <w:i/>
          <w:color w:val="231F20"/>
          <w:w w:val="95"/>
          <w:sz w:val="24"/>
        </w:rPr>
        <w:t>F</w:t>
      </w:r>
      <w:r>
        <w:rPr>
          <w:rFonts w:ascii="Times New Roman"/>
          <w:i/>
          <w:color w:val="231F20"/>
          <w:w w:val="95"/>
          <w:sz w:val="19"/>
        </w:rPr>
        <w:t>UENTES CONSULTADAS</w:t>
      </w:r>
    </w:p>
    <w:p>
      <w:pPr>
        <w:pStyle w:val="BodyText"/>
        <w:spacing w:before="10"/>
        <w:rPr>
          <w:rFonts w:ascii="Times New Roman"/>
          <w:i/>
          <w:sz w:val="25"/>
        </w:rPr>
      </w:pPr>
    </w:p>
    <w:p>
      <w:pPr>
        <w:spacing w:line="268" w:lineRule="auto" w:before="0"/>
        <w:ind w:left="484" w:right="113" w:hanging="360"/>
        <w:jc w:val="both"/>
        <w:rPr>
          <w:sz w:val="19"/>
        </w:rPr>
      </w:pPr>
      <w:r>
        <w:rPr>
          <w:rFonts w:ascii="Times New Roman" w:hAnsi="Times New Roman"/>
          <w:color w:val="231F20"/>
          <w:w w:val="110"/>
          <w:sz w:val="19"/>
        </w:rPr>
        <w:t>A</w:t>
      </w:r>
      <w:r>
        <w:rPr>
          <w:rFonts w:ascii="Times New Roman" w:hAnsi="Times New Roman"/>
          <w:color w:val="231F20"/>
          <w:w w:val="110"/>
          <w:sz w:val="15"/>
        </w:rPr>
        <w:t>RIAS</w:t>
      </w:r>
      <w:r>
        <w:rPr>
          <w:rFonts w:ascii="Times New Roman" w:hAnsi="Times New Roman"/>
          <w:color w:val="231F20"/>
          <w:w w:val="110"/>
          <w:sz w:val="19"/>
        </w:rPr>
        <w:t>,</w:t>
      </w:r>
      <w:r>
        <w:rPr>
          <w:rFonts w:ascii="Times New Roman" w:hAnsi="Times New Roman"/>
          <w:color w:val="231F20"/>
          <w:spacing w:val="-11"/>
          <w:w w:val="110"/>
          <w:sz w:val="19"/>
        </w:rPr>
        <w:t> </w:t>
      </w:r>
      <w:r>
        <w:rPr>
          <w:color w:val="231F20"/>
          <w:w w:val="110"/>
          <w:sz w:val="19"/>
        </w:rPr>
        <w:t>Patricia</w:t>
      </w:r>
      <w:r>
        <w:rPr>
          <w:color w:val="231F20"/>
          <w:spacing w:val="-5"/>
          <w:w w:val="110"/>
          <w:sz w:val="19"/>
        </w:rPr>
        <w:t> </w:t>
      </w:r>
      <w:r>
        <w:rPr>
          <w:color w:val="231F20"/>
          <w:w w:val="110"/>
          <w:sz w:val="19"/>
        </w:rPr>
        <w:t>(1992),</w:t>
      </w:r>
      <w:r>
        <w:rPr>
          <w:color w:val="231F20"/>
          <w:spacing w:val="-5"/>
          <w:w w:val="110"/>
          <w:sz w:val="19"/>
        </w:rPr>
        <w:t> </w:t>
      </w:r>
      <w:r>
        <w:rPr>
          <w:color w:val="231F20"/>
          <w:w w:val="110"/>
          <w:sz w:val="19"/>
        </w:rPr>
        <w:t>“Dos</w:t>
      </w:r>
      <w:r>
        <w:rPr>
          <w:color w:val="231F20"/>
          <w:spacing w:val="-5"/>
          <w:w w:val="110"/>
          <w:sz w:val="19"/>
        </w:rPr>
        <w:t> </w:t>
      </w:r>
      <w:r>
        <w:rPr>
          <w:color w:val="231F20"/>
          <w:w w:val="110"/>
          <w:sz w:val="19"/>
        </w:rPr>
        <w:t>nociones</w:t>
      </w:r>
      <w:r>
        <w:rPr>
          <w:color w:val="231F20"/>
          <w:spacing w:val="-5"/>
          <w:w w:val="110"/>
          <w:sz w:val="19"/>
        </w:rPr>
        <w:t> </w:t>
      </w:r>
      <w:r>
        <w:rPr>
          <w:color w:val="231F20"/>
          <w:w w:val="110"/>
          <w:sz w:val="19"/>
        </w:rPr>
        <w:t>en</w:t>
      </w:r>
      <w:r>
        <w:rPr>
          <w:color w:val="231F20"/>
          <w:spacing w:val="-5"/>
          <w:w w:val="110"/>
          <w:sz w:val="19"/>
        </w:rPr>
        <w:t> </w:t>
      </w:r>
      <w:r>
        <w:rPr>
          <w:color w:val="231F20"/>
          <w:w w:val="110"/>
          <w:sz w:val="19"/>
        </w:rPr>
        <w:t>torno</w:t>
      </w:r>
      <w:r>
        <w:rPr>
          <w:color w:val="231F20"/>
          <w:spacing w:val="-5"/>
          <w:w w:val="110"/>
          <w:sz w:val="19"/>
        </w:rPr>
        <w:t> </w:t>
      </w:r>
      <w:r>
        <w:rPr>
          <w:color w:val="231F20"/>
          <w:w w:val="110"/>
          <w:sz w:val="19"/>
        </w:rPr>
        <w:t>al</w:t>
      </w:r>
      <w:r>
        <w:rPr>
          <w:color w:val="231F20"/>
          <w:spacing w:val="-5"/>
          <w:w w:val="110"/>
          <w:sz w:val="19"/>
        </w:rPr>
        <w:t> </w:t>
      </w:r>
      <w:r>
        <w:rPr>
          <w:color w:val="231F20"/>
          <w:w w:val="110"/>
          <w:sz w:val="19"/>
        </w:rPr>
        <w:t>campo”,</w:t>
      </w:r>
      <w:r>
        <w:rPr>
          <w:color w:val="231F20"/>
          <w:spacing w:val="-5"/>
          <w:w w:val="110"/>
          <w:sz w:val="19"/>
        </w:rPr>
        <w:t> </w:t>
      </w:r>
      <w:r>
        <w:rPr>
          <w:color w:val="231F20"/>
          <w:w w:val="110"/>
          <w:sz w:val="19"/>
        </w:rPr>
        <w:t>en</w:t>
      </w:r>
      <w:r>
        <w:rPr>
          <w:color w:val="231F20"/>
          <w:spacing w:val="-6"/>
          <w:w w:val="110"/>
          <w:sz w:val="19"/>
        </w:rPr>
        <w:t> </w:t>
      </w:r>
      <w:r>
        <w:rPr>
          <w:i/>
          <w:color w:val="231F20"/>
          <w:w w:val="110"/>
          <w:sz w:val="19"/>
        </w:rPr>
        <w:t>Ajuste</w:t>
      </w:r>
      <w:r>
        <w:rPr>
          <w:i/>
          <w:color w:val="231F20"/>
          <w:spacing w:val="-9"/>
          <w:w w:val="110"/>
          <w:sz w:val="19"/>
        </w:rPr>
        <w:t> </w:t>
      </w:r>
      <w:r>
        <w:rPr>
          <w:i/>
          <w:color w:val="231F20"/>
          <w:w w:val="110"/>
          <w:sz w:val="19"/>
        </w:rPr>
        <w:t>estructural, </w:t>
      </w:r>
      <w:r>
        <w:rPr>
          <w:i/>
          <w:color w:val="231F20"/>
          <w:w w:val="110"/>
          <w:sz w:val="19"/>
        </w:rPr>
        <w:t>mercados</w:t>
      </w:r>
      <w:r>
        <w:rPr>
          <w:i/>
          <w:color w:val="231F20"/>
          <w:spacing w:val="-19"/>
          <w:w w:val="110"/>
          <w:sz w:val="19"/>
        </w:rPr>
        <w:t> </w:t>
      </w:r>
      <w:r>
        <w:rPr>
          <w:i/>
          <w:color w:val="231F20"/>
          <w:w w:val="110"/>
          <w:sz w:val="19"/>
        </w:rPr>
        <w:t>laborales</w:t>
      </w:r>
      <w:r>
        <w:rPr>
          <w:i/>
          <w:color w:val="231F20"/>
          <w:spacing w:val="-19"/>
          <w:w w:val="110"/>
          <w:sz w:val="19"/>
        </w:rPr>
        <w:t> </w:t>
      </w:r>
      <w:r>
        <w:rPr>
          <w:i/>
          <w:color w:val="231F20"/>
          <w:w w:val="110"/>
          <w:sz w:val="19"/>
        </w:rPr>
        <w:t>y</w:t>
      </w:r>
      <w:r>
        <w:rPr>
          <w:i/>
          <w:color w:val="231F20"/>
          <w:spacing w:val="-19"/>
          <w:w w:val="110"/>
          <w:sz w:val="19"/>
        </w:rPr>
        <w:t> </w:t>
      </w:r>
      <w:r>
        <w:rPr>
          <w:rFonts w:ascii="Georgia" w:hAnsi="Georgia"/>
          <w:i/>
          <w:color w:val="231F20"/>
          <w:w w:val="110"/>
          <w:sz w:val="15"/>
        </w:rPr>
        <w:t>TLC</w:t>
      </w:r>
      <w:r>
        <w:rPr>
          <w:color w:val="231F20"/>
          <w:w w:val="110"/>
          <w:sz w:val="19"/>
        </w:rPr>
        <w:t>,</w:t>
      </w:r>
      <w:r>
        <w:rPr>
          <w:color w:val="231F20"/>
          <w:spacing w:val="-15"/>
          <w:w w:val="110"/>
          <w:sz w:val="19"/>
        </w:rPr>
        <w:t> </w:t>
      </w:r>
      <w:r>
        <w:rPr>
          <w:color w:val="231F20"/>
          <w:w w:val="110"/>
          <w:sz w:val="19"/>
        </w:rPr>
        <w:t>México,</w:t>
      </w:r>
      <w:r>
        <w:rPr>
          <w:color w:val="231F20"/>
          <w:spacing w:val="-19"/>
          <w:w w:val="110"/>
          <w:sz w:val="19"/>
        </w:rPr>
        <w:t> </w:t>
      </w:r>
      <w:r>
        <w:rPr>
          <w:color w:val="231F20"/>
          <w:w w:val="110"/>
          <w:sz w:val="19"/>
        </w:rPr>
        <w:t>El</w:t>
      </w:r>
      <w:r>
        <w:rPr>
          <w:color w:val="231F20"/>
          <w:spacing w:val="-15"/>
          <w:w w:val="110"/>
          <w:sz w:val="19"/>
        </w:rPr>
        <w:t> </w:t>
      </w:r>
      <w:r>
        <w:rPr>
          <w:color w:val="231F20"/>
          <w:w w:val="110"/>
          <w:sz w:val="19"/>
        </w:rPr>
        <w:t>Colegio</w:t>
      </w:r>
      <w:r>
        <w:rPr>
          <w:color w:val="231F20"/>
          <w:spacing w:val="-15"/>
          <w:w w:val="110"/>
          <w:sz w:val="19"/>
        </w:rPr>
        <w:t> </w:t>
      </w:r>
      <w:r>
        <w:rPr>
          <w:color w:val="231F20"/>
          <w:w w:val="110"/>
          <w:sz w:val="19"/>
        </w:rPr>
        <w:t>de</w:t>
      </w:r>
      <w:r>
        <w:rPr>
          <w:color w:val="231F20"/>
          <w:spacing w:val="-15"/>
          <w:w w:val="110"/>
          <w:sz w:val="19"/>
        </w:rPr>
        <w:t> </w:t>
      </w:r>
      <w:r>
        <w:rPr>
          <w:color w:val="231F20"/>
          <w:w w:val="110"/>
          <w:sz w:val="19"/>
        </w:rPr>
        <w:t>México/Fundación</w:t>
      </w:r>
      <w:r>
        <w:rPr>
          <w:color w:val="231F20"/>
          <w:spacing w:val="-15"/>
          <w:w w:val="110"/>
          <w:sz w:val="19"/>
        </w:rPr>
        <w:t> </w:t>
      </w:r>
      <w:r>
        <w:rPr>
          <w:color w:val="231F20"/>
          <w:w w:val="110"/>
          <w:sz w:val="19"/>
        </w:rPr>
        <w:t>Friedrich Ebert/El Colegio de la Frontera</w:t>
      </w:r>
      <w:r>
        <w:rPr>
          <w:color w:val="231F20"/>
          <w:spacing w:val="-14"/>
          <w:w w:val="110"/>
          <w:sz w:val="19"/>
        </w:rPr>
        <w:t> </w:t>
      </w:r>
      <w:r>
        <w:rPr>
          <w:color w:val="231F20"/>
          <w:w w:val="110"/>
          <w:sz w:val="19"/>
        </w:rPr>
        <w:t>Norte.</w:t>
      </w:r>
    </w:p>
    <w:p>
      <w:pPr>
        <w:spacing w:line="268" w:lineRule="auto" w:before="0"/>
        <w:ind w:left="484" w:right="112" w:hanging="360"/>
        <w:jc w:val="both"/>
        <w:rPr>
          <w:sz w:val="19"/>
        </w:rPr>
      </w:pPr>
      <w:r>
        <w:rPr>
          <w:rFonts w:ascii="Times New Roman" w:hAnsi="Times New Roman"/>
          <w:color w:val="231F20"/>
          <w:w w:val="105"/>
          <w:sz w:val="19"/>
        </w:rPr>
        <w:t>A</w:t>
      </w:r>
      <w:r>
        <w:rPr>
          <w:rFonts w:ascii="Times New Roman" w:hAnsi="Times New Roman"/>
          <w:color w:val="231F20"/>
          <w:w w:val="105"/>
          <w:sz w:val="15"/>
        </w:rPr>
        <w:t>ZPEITIA </w:t>
      </w:r>
      <w:r>
        <w:rPr>
          <w:rFonts w:ascii="Times New Roman" w:hAnsi="Times New Roman"/>
          <w:color w:val="231F20"/>
          <w:w w:val="105"/>
          <w:sz w:val="19"/>
        </w:rPr>
        <w:t>G</w:t>
      </w:r>
      <w:r>
        <w:rPr>
          <w:rFonts w:ascii="Times New Roman" w:hAnsi="Times New Roman"/>
          <w:color w:val="231F20"/>
          <w:w w:val="105"/>
          <w:sz w:val="15"/>
        </w:rPr>
        <w:t>ÓMEZ</w:t>
      </w:r>
      <w:r>
        <w:rPr>
          <w:color w:val="231F20"/>
          <w:w w:val="105"/>
          <w:sz w:val="19"/>
        </w:rPr>
        <w:t>, Hugo (1987), “La autosuficiencia alimentaria en la política del estado mexicano”, </w:t>
      </w:r>
      <w:r>
        <w:rPr>
          <w:i/>
          <w:color w:val="231F20"/>
          <w:w w:val="105"/>
          <w:sz w:val="19"/>
        </w:rPr>
        <w:t>Nueva Antropología, Revista de Ciencias Sociales, </w:t>
      </w:r>
      <w:r>
        <w:rPr>
          <w:color w:val="231F20"/>
          <w:w w:val="105"/>
          <w:sz w:val="19"/>
        </w:rPr>
        <w:t>vol. IX, núm. 32, noviembre, México, Conacyt/Departamento de Antropología, </w:t>
      </w:r>
      <w:r>
        <w:rPr>
          <w:rFonts w:ascii="Times New Roman" w:hAnsi="Times New Roman"/>
          <w:color w:val="231F20"/>
          <w:w w:val="105"/>
          <w:sz w:val="15"/>
        </w:rPr>
        <w:t>UAM</w:t>
      </w:r>
      <w:r>
        <w:rPr>
          <w:color w:val="231F20"/>
          <w:w w:val="105"/>
          <w:sz w:val="19"/>
        </w:rPr>
        <w:t>-</w:t>
      </w:r>
      <w:r>
        <w:rPr>
          <w:rFonts w:ascii="Times New Roman" w:hAnsi="Times New Roman"/>
          <w:color w:val="231F20"/>
          <w:w w:val="105"/>
          <w:sz w:val="15"/>
        </w:rPr>
        <w:t>I</w:t>
      </w:r>
      <w:r>
        <w:rPr>
          <w:color w:val="231F20"/>
          <w:w w:val="105"/>
          <w:sz w:val="19"/>
        </w:rPr>
        <w:t>.</w:t>
      </w:r>
    </w:p>
    <w:p>
      <w:pPr>
        <w:spacing w:after="0" w:line="268" w:lineRule="auto"/>
        <w:jc w:val="both"/>
        <w:rPr>
          <w:sz w:val="19"/>
        </w:rPr>
        <w:sectPr>
          <w:pgSz w:w="9520" w:h="12920"/>
          <w:pgMar w:header="0" w:footer="1344" w:top="880" w:bottom="1540" w:left="1320" w:right="1000"/>
        </w:sectPr>
      </w:pPr>
    </w:p>
    <w:p>
      <w:pPr>
        <w:spacing w:line="261" w:lineRule="auto" w:before="44"/>
        <w:ind w:left="0" w:right="118" w:firstLine="0"/>
        <w:jc w:val="right"/>
        <w:rPr>
          <w:i/>
          <w:sz w:val="19"/>
        </w:rPr>
      </w:pPr>
      <w:r>
        <w:rPr>
          <w:rFonts w:ascii="Times New Roman" w:hAnsi="Times New Roman"/>
          <w:color w:val="231F20"/>
          <w:w w:val="105"/>
          <w:sz w:val="19"/>
        </w:rPr>
        <w:t>B</w:t>
      </w:r>
      <w:r>
        <w:rPr>
          <w:rFonts w:ascii="Times New Roman" w:hAnsi="Times New Roman"/>
          <w:color w:val="231F20"/>
          <w:w w:val="105"/>
          <w:sz w:val="15"/>
        </w:rPr>
        <w:t>ARFIELD</w:t>
      </w:r>
      <w:r>
        <w:rPr>
          <w:rFonts w:ascii="Times New Roman" w:hAnsi="Times New Roman"/>
          <w:color w:val="231F20"/>
          <w:w w:val="105"/>
          <w:sz w:val="19"/>
        </w:rPr>
        <w:t>, </w:t>
      </w:r>
      <w:r>
        <w:rPr>
          <w:color w:val="231F20"/>
          <w:w w:val="105"/>
          <w:sz w:val="19"/>
        </w:rPr>
        <w:t>Thomas (2000), </w:t>
      </w:r>
      <w:r>
        <w:rPr>
          <w:i/>
          <w:color w:val="231F20"/>
          <w:w w:val="105"/>
          <w:sz w:val="19"/>
        </w:rPr>
        <w:t>Diccionario de Antropología</w:t>
      </w:r>
      <w:r>
        <w:rPr>
          <w:color w:val="231F20"/>
          <w:w w:val="105"/>
          <w:sz w:val="19"/>
        </w:rPr>
        <w:t>, México, Siglo XXI Editores.</w:t>
      </w:r>
      <w:r>
        <w:rPr>
          <w:color w:val="231F20"/>
          <w:w w:val="128"/>
          <w:sz w:val="19"/>
        </w:rPr>
        <w:t> </w:t>
      </w:r>
      <w:r>
        <w:rPr>
          <w:rFonts w:ascii="Times New Roman" w:hAnsi="Times New Roman"/>
          <w:color w:val="231F20"/>
          <w:w w:val="110"/>
          <w:sz w:val="19"/>
        </w:rPr>
        <w:t>B</w:t>
      </w:r>
      <w:r>
        <w:rPr>
          <w:rFonts w:ascii="Times New Roman" w:hAnsi="Times New Roman"/>
          <w:color w:val="231F20"/>
          <w:w w:val="110"/>
          <w:sz w:val="15"/>
        </w:rPr>
        <w:t>ARKIN</w:t>
      </w:r>
      <w:r>
        <w:rPr>
          <w:color w:val="231F20"/>
          <w:w w:val="110"/>
          <w:sz w:val="19"/>
        </w:rPr>
        <w:t>, David (2002), “El desarrollo autónomo: un camino a la sostenibilidad”,</w:t>
      </w:r>
      <w:r>
        <w:rPr>
          <w:color w:val="231F20"/>
          <w:w w:val="107"/>
          <w:sz w:val="19"/>
        </w:rPr>
        <w:t> </w:t>
      </w:r>
      <w:r>
        <w:rPr>
          <w:color w:val="231F20"/>
          <w:w w:val="110"/>
          <w:sz w:val="19"/>
        </w:rPr>
        <w:t>en Héctor Alimonda (coord.), </w:t>
      </w:r>
      <w:r>
        <w:rPr>
          <w:i/>
          <w:color w:val="231F20"/>
          <w:w w:val="110"/>
          <w:sz w:val="19"/>
        </w:rPr>
        <w:t>Ecología política, naturaleza, sociedad y utopía,</w:t>
      </w:r>
    </w:p>
    <w:p>
      <w:pPr>
        <w:spacing w:line="222" w:lineRule="exact" w:before="0"/>
        <w:ind w:left="479" w:right="0" w:firstLine="0"/>
        <w:jc w:val="left"/>
        <w:rPr>
          <w:sz w:val="19"/>
        </w:rPr>
      </w:pPr>
      <w:r>
        <w:rPr>
          <w:color w:val="231F20"/>
          <w:w w:val="115"/>
          <w:sz w:val="19"/>
        </w:rPr>
        <w:t>Buenos Aires, CLACSO.</w:t>
      </w:r>
    </w:p>
    <w:p>
      <w:pPr>
        <w:spacing w:line="261" w:lineRule="auto" w:before="19"/>
        <w:ind w:left="480" w:right="117" w:hanging="360"/>
        <w:jc w:val="both"/>
        <w:rPr>
          <w:sz w:val="19"/>
        </w:rPr>
      </w:pPr>
      <w:r>
        <w:rPr>
          <w:rFonts w:ascii="Times New Roman" w:hAnsi="Times New Roman"/>
          <w:color w:val="231F20"/>
          <w:w w:val="110"/>
          <w:sz w:val="19"/>
        </w:rPr>
        <w:t>B</w:t>
      </w:r>
      <w:r>
        <w:rPr>
          <w:rFonts w:ascii="Times New Roman" w:hAnsi="Times New Roman"/>
          <w:color w:val="231F20"/>
          <w:w w:val="110"/>
          <w:sz w:val="15"/>
        </w:rPr>
        <w:t>ARRIENTOS </w:t>
      </w:r>
      <w:r>
        <w:rPr>
          <w:rFonts w:ascii="Times New Roman" w:hAnsi="Times New Roman"/>
          <w:color w:val="231F20"/>
          <w:w w:val="110"/>
          <w:sz w:val="19"/>
        </w:rPr>
        <w:t>L</w:t>
      </w:r>
      <w:r>
        <w:rPr>
          <w:rFonts w:ascii="Times New Roman" w:hAnsi="Times New Roman"/>
          <w:color w:val="231F20"/>
          <w:w w:val="110"/>
          <w:sz w:val="15"/>
        </w:rPr>
        <w:t>ÓPEZ</w:t>
      </w:r>
      <w:r>
        <w:rPr>
          <w:rFonts w:ascii="Times New Roman" w:hAnsi="Times New Roman"/>
          <w:color w:val="231F20"/>
          <w:w w:val="110"/>
          <w:sz w:val="19"/>
        </w:rPr>
        <w:t>, </w:t>
      </w:r>
      <w:r>
        <w:rPr>
          <w:color w:val="231F20"/>
          <w:w w:val="110"/>
          <w:sz w:val="19"/>
        </w:rPr>
        <w:t>Guadalupe (2004), </w:t>
      </w:r>
      <w:r>
        <w:rPr>
          <w:i/>
          <w:color w:val="231F20"/>
          <w:w w:val="110"/>
          <w:sz w:val="19"/>
        </w:rPr>
        <w:t>Otomíes de Estado de México</w:t>
      </w:r>
      <w:r>
        <w:rPr>
          <w:color w:val="231F20"/>
          <w:w w:val="110"/>
          <w:sz w:val="19"/>
        </w:rPr>
        <w:t>, colección Pueblos Indígenas del México Contemporáneo</w:t>
      </w:r>
      <w:r>
        <w:rPr>
          <w:i/>
          <w:color w:val="231F20"/>
          <w:w w:val="110"/>
          <w:sz w:val="19"/>
        </w:rPr>
        <w:t>, </w:t>
      </w:r>
      <w:r>
        <w:rPr>
          <w:color w:val="231F20"/>
          <w:w w:val="110"/>
          <w:sz w:val="19"/>
        </w:rPr>
        <w:t>México,   </w:t>
      </w:r>
      <w:r>
        <w:rPr>
          <w:rFonts w:ascii="Times New Roman" w:hAnsi="Times New Roman"/>
          <w:color w:val="231F20"/>
          <w:w w:val="110"/>
          <w:sz w:val="15"/>
        </w:rPr>
        <w:t>CDI</w:t>
      </w:r>
      <w:r>
        <w:rPr>
          <w:rFonts w:ascii="Times New Roman" w:hAnsi="Times New Roman"/>
          <w:color w:val="231F20"/>
          <w:w w:val="110"/>
          <w:sz w:val="19"/>
        </w:rPr>
        <w:t>/</w:t>
      </w:r>
      <w:r>
        <w:rPr>
          <w:rFonts w:ascii="Times New Roman" w:hAnsi="Times New Roman"/>
          <w:color w:val="231F20"/>
          <w:w w:val="110"/>
          <w:sz w:val="15"/>
        </w:rPr>
        <w:t>PNUD</w:t>
      </w:r>
      <w:r>
        <w:rPr>
          <w:color w:val="231F20"/>
          <w:w w:val="110"/>
          <w:sz w:val="19"/>
        </w:rPr>
        <w:t>.</w:t>
      </w:r>
    </w:p>
    <w:p>
      <w:pPr>
        <w:spacing w:line="261" w:lineRule="auto" w:before="0"/>
        <w:ind w:left="479" w:right="115" w:hanging="360"/>
        <w:jc w:val="both"/>
        <w:rPr>
          <w:sz w:val="19"/>
        </w:rPr>
      </w:pPr>
      <w:r>
        <w:rPr>
          <w:rFonts w:ascii="Times New Roman" w:hAnsi="Times New Roman"/>
          <w:color w:val="231F20"/>
          <w:w w:val="105"/>
          <w:sz w:val="19"/>
        </w:rPr>
        <w:t>B</w:t>
      </w:r>
      <w:r>
        <w:rPr>
          <w:rFonts w:ascii="Times New Roman" w:hAnsi="Times New Roman"/>
          <w:color w:val="231F20"/>
          <w:w w:val="105"/>
          <w:sz w:val="15"/>
        </w:rPr>
        <w:t>ENÍTEZ</w:t>
      </w:r>
      <w:r>
        <w:rPr>
          <w:color w:val="231F20"/>
          <w:w w:val="105"/>
          <w:sz w:val="19"/>
        </w:rPr>
        <w:t>, Raúl (2014), “Prólogo”, en Salomón Salcedo y Lya Guzmán (eds.), </w:t>
      </w:r>
      <w:r>
        <w:rPr>
          <w:i/>
          <w:color w:val="231F20"/>
          <w:w w:val="105"/>
          <w:sz w:val="19"/>
        </w:rPr>
        <w:t>Agri- </w:t>
      </w:r>
      <w:r>
        <w:rPr>
          <w:i/>
          <w:color w:val="231F20"/>
          <w:w w:val="105"/>
          <w:sz w:val="19"/>
        </w:rPr>
        <w:t>cultura familiar en América Latina y el Caribe. Recomendaciones de política, </w:t>
      </w:r>
      <w:r>
        <w:rPr>
          <w:color w:val="231F20"/>
          <w:w w:val="105"/>
          <w:sz w:val="19"/>
        </w:rPr>
        <w:t>Santiago, Chile,  Organización  de  la  Naciones  Unidad  para  la  Alimentación y  la Agricultura.</w:t>
      </w:r>
    </w:p>
    <w:p>
      <w:pPr>
        <w:spacing w:line="261" w:lineRule="auto" w:before="0"/>
        <w:ind w:left="479" w:right="119" w:hanging="360"/>
        <w:jc w:val="both"/>
        <w:rPr>
          <w:sz w:val="19"/>
        </w:rPr>
      </w:pPr>
      <w:r>
        <w:rPr>
          <w:color w:val="231F20"/>
          <w:w w:val="105"/>
          <w:sz w:val="19"/>
        </w:rPr>
        <w:t>(Centro Internacional de Mejoramiento de Maíz y Trigo) </w:t>
      </w:r>
      <w:r>
        <w:rPr>
          <w:rFonts w:ascii="Times New Roman" w:hAnsi="Times New Roman"/>
          <w:color w:val="231F20"/>
          <w:w w:val="105"/>
          <w:sz w:val="15"/>
        </w:rPr>
        <w:t>CIMMYT </w:t>
      </w:r>
      <w:r>
        <w:rPr>
          <w:color w:val="231F20"/>
          <w:w w:val="105"/>
          <w:sz w:val="19"/>
        </w:rPr>
        <w:t>(2014), “Nues- tra historia”, </w:t>
      </w:r>
      <w:hyperlink r:id="rId142">
        <w:r>
          <w:rPr>
            <w:color w:val="231F20"/>
            <w:w w:val="105"/>
            <w:sz w:val="19"/>
          </w:rPr>
          <w:t>http://www.cimmyt.org.es/quienes-somos/nuestra-historia</w:t>
        </w:r>
      </w:hyperlink>
      <w:r>
        <w:rPr>
          <w:color w:val="231F20"/>
          <w:w w:val="105"/>
          <w:sz w:val="19"/>
        </w:rPr>
        <w:t> (fecha de consulta: 5 de septiembre de     2014).</w:t>
      </w:r>
    </w:p>
    <w:p>
      <w:pPr>
        <w:spacing w:line="261" w:lineRule="auto" w:before="0"/>
        <w:ind w:left="479" w:right="117" w:hanging="360"/>
        <w:jc w:val="both"/>
        <w:rPr>
          <w:sz w:val="19"/>
        </w:rPr>
      </w:pPr>
      <w:r>
        <w:rPr>
          <w:rFonts w:ascii="Times New Roman" w:hAnsi="Times New Roman"/>
          <w:color w:val="231F20"/>
          <w:w w:val="110"/>
          <w:sz w:val="19"/>
        </w:rPr>
        <w:t>G</w:t>
      </w:r>
      <w:r>
        <w:rPr>
          <w:rFonts w:ascii="Times New Roman" w:hAnsi="Times New Roman"/>
          <w:color w:val="231F20"/>
          <w:w w:val="110"/>
          <w:sz w:val="15"/>
        </w:rPr>
        <w:t>ARCÍA</w:t>
      </w:r>
      <w:r>
        <w:rPr>
          <w:color w:val="231F20"/>
          <w:w w:val="110"/>
          <w:sz w:val="19"/>
        </w:rPr>
        <w:t>, Brígida, Humberto Muñoz y Orlandina de Oliveira (1982), </w:t>
      </w:r>
      <w:r>
        <w:rPr>
          <w:i/>
          <w:color w:val="231F20"/>
          <w:w w:val="110"/>
          <w:sz w:val="19"/>
        </w:rPr>
        <w:t>Hogares y </w:t>
      </w:r>
      <w:r>
        <w:rPr>
          <w:i/>
          <w:color w:val="231F20"/>
          <w:w w:val="110"/>
          <w:sz w:val="19"/>
        </w:rPr>
        <w:t>trabajadores en la Ciudad de México, </w:t>
      </w:r>
      <w:r>
        <w:rPr>
          <w:color w:val="231F20"/>
          <w:w w:val="110"/>
          <w:sz w:val="19"/>
        </w:rPr>
        <w:t>México, El Colegio de México/</w:t>
      </w:r>
      <w:r>
        <w:rPr>
          <w:rFonts w:ascii="Times New Roman" w:hAnsi="Times New Roman"/>
          <w:color w:val="231F20"/>
          <w:w w:val="110"/>
          <w:sz w:val="15"/>
        </w:rPr>
        <w:t>UNAM</w:t>
      </w:r>
      <w:r>
        <w:rPr>
          <w:color w:val="231F20"/>
          <w:w w:val="110"/>
          <w:sz w:val="19"/>
        </w:rPr>
        <w:t>.</w:t>
      </w:r>
    </w:p>
    <w:p>
      <w:pPr>
        <w:spacing w:line="261" w:lineRule="auto" w:before="0"/>
        <w:ind w:left="480" w:right="116" w:hanging="360"/>
        <w:jc w:val="both"/>
        <w:rPr>
          <w:sz w:val="19"/>
        </w:rPr>
      </w:pPr>
      <w:r>
        <w:rPr>
          <w:rFonts w:ascii="Times New Roman" w:hAnsi="Times New Roman"/>
          <w:color w:val="231F20"/>
          <w:w w:val="110"/>
          <w:sz w:val="19"/>
        </w:rPr>
        <w:t>G</w:t>
      </w:r>
      <w:r>
        <w:rPr>
          <w:rFonts w:ascii="Times New Roman" w:hAnsi="Times New Roman"/>
          <w:color w:val="231F20"/>
          <w:w w:val="110"/>
          <w:sz w:val="15"/>
        </w:rPr>
        <w:t>ARCÍA </w:t>
      </w:r>
      <w:r>
        <w:rPr>
          <w:rFonts w:ascii="Times New Roman" w:hAnsi="Times New Roman"/>
          <w:color w:val="231F20"/>
          <w:w w:val="110"/>
          <w:sz w:val="19"/>
        </w:rPr>
        <w:t>C</w:t>
      </w:r>
      <w:r>
        <w:rPr>
          <w:rFonts w:ascii="Times New Roman" w:hAnsi="Times New Roman"/>
          <w:color w:val="231F20"/>
          <w:w w:val="110"/>
          <w:sz w:val="15"/>
        </w:rPr>
        <w:t>ASTRO</w:t>
      </w:r>
      <w:r>
        <w:rPr>
          <w:rFonts w:ascii="Times New Roman" w:hAnsi="Times New Roman"/>
          <w:color w:val="231F20"/>
          <w:w w:val="110"/>
          <w:sz w:val="19"/>
        </w:rPr>
        <w:t>,</w:t>
      </w:r>
      <w:r>
        <w:rPr>
          <w:rFonts w:ascii="Times New Roman" w:hAnsi="Times New Roman"/>
          <w:color w:val="231F20"/>
          <w:spacing w:val="-33"/>
          <w:w w:val="110"/>
          <w:sz w:val="19"/>
        </w:rPr>
        <w:t> </w:t>
      </w:r>
      <w:r>
        <w:rPr>
          <w:color w:val="231F20"/>
          <w:w w:val="110"/>
          <w:sz w:val="19"/>
        </w:rPr>
        <w:t>René (1998), “Pueblos, alcaldías mayores y corregimientos en la región de Toluca”, en María </w:t>
      </w:r>
      <w:r>
        <w:rPr>
          <w:color w:val="231F20"/>
          <w:spacing w:val="-3"/>
          <w:w w:val="110"/>
          <w:sz w:val="19"/>
        </w:rPr>
        <w:t>Teresa </w:t>
      </w:r>
      <w:r>
        <w:rPr>
          <w:color w:val="231F20"/>
          <w:w w:val="110"/>
          <w:sz w:val="19"/>
        </w:rPr>
        <w:t>Jarquín Ortega (coord.), </w:t>
      </w:r>
      <w:r>
        <w:rPr>
          <w:i/>
          <w:color w:val="231F20"/>
          <w:w w:val="110"/>
          <w:sz w:val="19"/>
        </w:rPr>
        <w:t>Historia ge- </w:t>
      </w:r>
      <w:r>
        <w:rPr>
          <w:i/>
          <w:color w:val="231F20"/>
          <w:w w:val="110"/>
          <w:sz w:val="19"/>
        </w:rPr>
        <w:t>neral del Estado de México. La época virreinal, </w:t>
      </w:r>
      <w:r>
        <w:rPr>
          <w:color w:val="231F20"/>
          <w:w w:val="110"/>
          <w:sz w:val="19"/>
        </w:rPr>
        <w:t>III, Zinacantepec, Estado de México,</w:t>
      </w:r>
      <w:r>
        <w:rPr>
          <w:color w:val="231F20"/>
          <w:spacing w:val="23"/>
          <w:w w:val="110"/>
          <w:sz w:val="19"/>
        </w:rPr>
        <w:t> </w:t>
      </w:r>
      <w:r>
        <w:rPr>
          <w:color w:val="231F20"/>
          <w:w w:val="110"/>
          <w:sz w:val="19"/>
        </w:rPr>
        <w:t>El</w:t>
      </w:r>
      <w:r>
        <w:rPr>
          <w:color w:val="231F20"/>
          <w:spacing w:val="23"/>
          <w:w w:val="110"/>
          <w:sz w:val="19"/>
        </w:rPr>
        <w:t> </w:t>
      </w:r>
      <w:r>
        <w:rPr>
          <w:color w:val="231F20"/>
          <w:w w:val="110"/>
          <w:sz w:val="19"/>
        </w:rPr>
        <w:t>Colegio</w:t>
      </w:r>
      <w:r>
        <w:rPr>
          <w:color w:val="231F20"/>
          <w:spacing w:val="23"/>
          <w:w w:val="110"/>
          <w:sz w:val="19"/>
        </w:rPr>
        <w:t> </w:t>
      </w:r>
      <w:r>
        <w:rPr>
          <w:color w:val="231F20"/>
          <w:w w:val="110"/>
          <w:sz w:val="19"/>
        </w:rPr>
        <w:t>Mexiquense,</w:t>
      </w:r>
      <w:r>
        <w:rPr>
          <w:color w:val="231F20"/>
          <w:spacing w:val="23"/>
          <w:w w:val="110"/>
          <w:sz w:val="19"/>
        </w:rPr>
        <w:t> </w:t>
      </w:r>
      <w:r>
        <w:rPr>
          <w:color w:val="231F20"/>
          <w:w w:val="110"/>
          <w:sz w:val="19"/>
        </w:rPr>
        <w:t>A.C.,</w:t>
      </w:r>
      <w:r>
        <w:rPr>
          <w:color w:val="231F20"/>
          <w:spacing w:val="23"/>
          <w:w w:val="110"/>
          <w:sz w:val="19"/>
        </w:rPr>
        <w:t> </w:t>
      </w:r>
      <w:r>
        <w:rPr>
          <w:color w:val="231F20"/>
          <w:w w:val="110"/>
          <w:sz w:val="19"/>
        </w:rPr>
        <w:t>Gobierno</w:t>
      </w:r>
      <w:r>
        <w:rPr>
          <w:color w:val="231F20"/>
          <w:spacing w:val="23"/>
          <w:w w:val="110"/>
          <w:sz w:val="19"/>
        </w:rPr>
        <w:t> </w:t>
      </w:r>
      <w:r>
        <w:rPr>
          <w:color w:val="231F20"/>
          <w:w w:val="110"/>
          <w:sz w:val="19"/>
        </w:rPr>
        <w:t>del</w:t>
      </w:r>
      <w:r>
        <w:rPr>
          <w:color w:val="231F20"/>
          <w:spacing w:val="23"/>
          <w:w w:val="110"/>
          <w:sz w:val="19"/>
        </w:rPr>
        <w:t> </w:t>
      </w:r>
      <w:r>
        <w:rPr>
          <w:color w:val="231F20"/>
          <w:w w:val="110"/>
          <w:sz w:val="19"/>
        </w:rPr>
        <w:t>Estado</w:t>
      </w:r>
      <w:r>
        <w:rPr>
          <w:color w:val="231F20"/>
          <w:spacing w:val="23"/>
          <w:w w:val="110"/>
          <w:sz w:val="19"/>
        </w:rPr>
        <w:t> </w:t>
      </w:r>
      <w:r>
        <w:rPr>
          <w:color w:val="231F20"/>
          <w:w w:val="110"/>
          <w:sz w:val="19"/>
        </w:rPr>
        <w:t>de</w:t>
      </w:r>
      <w:r>
        <w:rPr>
          <w:color w:val="231F20"/>
          <w:spacing w:val="23"/>
          <w:w w:val="110"/>
          <w:sz w:val="19"/>
        </w:rPr>
        <w:t> </w:t>
      </w:r>
      <w:r>
        <w:rPr>
          <w:color w:val="231F20"/>
          <w:w w:val="110"/>
          <w:sz w:val="19"/>
        </w:rPr>
        <w:t>México.</w:t>
      </w:r>
    </w:p>
    <w:p>
      <w:pPr>
        <w:spacing w:line="261" w:lineRule="auto" w:before="0"/>
        <w:ind w:left="479" w:right="117" w:hanging="360"/>
        <w:jc w:val="both"/>
        <w:rPr>
          <w:sz w:val="19"/>
        </w:rPr>
      </w:pPr>
      <w:r>
        <w:rPr>
          <w:rFonts w:ascii="Times New Roman" w:hAnsi="Times New Roman"/>
          <w:color w:val="231F20"/>
          <w:w w:val="110"/>
          <w:sz w:val="19"/>
        </w:rPr>
        <w:t>G</w:t>
      </w:r>
      <w:r>
        <w:rPr>
          <w:rFonts w:ascii="Times New Roman" w:hAnsi="Times New Roman"/>
          <w:color w:val="231F20"/>
          <w:w w:val="110"/>
          <w:sz w:val="15"/>
        </w:rPr>
        <w:t>ARCÍA</w:t>
      </w:r>
      <w:r>
        <w:rPr>
          <w:rFonts w:ascii="Times New Roman" w:hAnsi="Times New Roman"/>
          <w:color w:val="231F20"/>
          <w:spacing w:val="-7"/>
          <w:w w:val="110"/>
          <w:sz w:val="15"/>
        </w:rPr>
        <w:t> </w:t>
      </w:r>
      <w:r>
        <w:rPr>
          <w:rFonts w:ascii="Times New Roman" w:hAnsi="Times New Roman"/>
          <w:color w:val="231F20"/>
          <w:spacing w:val="-3"/>
          <w:w w:val="110"/>
          <w:sz w:val="19"/>
        </w:rPr>
        <w:t>P</w:t>
      </w:r>
      <w:r>
        <w:rPr>
          <w:rFonts w:ascii="Times New Roman" w:hAnsi="Times New Roman"/>
          <w:color w:val="231F20"/>
          <w:spacing w:val="-3"/>
          <w:w w:val="110"/>
          <w:sz w:val="15"/>
        </w:rPr>
        <w:t>AYÓN</w:t>
      </w:r>
      <w:r>
        <w:rPr>
          <w:color w:val="231F20"/>
          <w:spacing w:val="-3"/>
          <w:w w:val="110"/>
          <w:sz w:val="19"/>
        </w:rPr>
        <w:t>,</w:t>
      </w:r>
      <w:r>
        <w:rPr>
          <w:color w:val="231F20"/>
          <w:spacing w:val="-12"/>
          <w:w w:val="110"/>
          <w:sz w:val="19"/>
        </w:rPr>
        <w:t> </w:t>
      </w:r>
      <w:r>
        <w:rPr>
          <w:color w:val="231F20"/>
          <w:w w:val="110"/>
          <w:sz w:val="19"/>
        </w:rPr>
        <w:t>Jorge</w:t>
      </w:r>
      <w:r>
        <w:rPr>
          <w:color w:val="231F20"/>
          <w:spacing w:val="-12"/>
          <w:w w:val="110"/>
          <w:sz w:val="19"/>
        </w:rPr>
        <w:t> </w:t>
      </w:r>
      <w:r>
        <w:rPr>
          <w:color w:val="231F20"/>
          <w:w w:val="110"/>
          <w:sz w:val="19"/>
        </w:rPr>
        <w:t>(1974),</w:t>
      </w:r>
      <w:r>
        <w:rPr>
          <w:color w:val="231F20"/>
          <w:spacing w:val="-12"/>
          <w:w w:val="110"/>
          <w:sz w:val="19"/>
        </w:rPr>
        <w:t> </w:t>
      </w:r>
      <w:r>
        <w:rPr>
          <w:i/>
          <w:color w:val="231F20"/>
          <w:w w:val="110"/>
          <w:sz w:val="19"/>
        </w:rPr>
        <w:t>La</w:t>
      </w:r>
      <w:r>
        <w:rPr>
          <w:i/>
          <w:color w:val="231F20"/>
          <w:spacing w:val="-15"/>
          <w:w w:val="110"/>
          <w:sz w:val="19"/>
        </w:rPr>
        <w:t> </w:t>
      </w:r>
      <w:r>
        <w:rPr>
          <w:i/>
          <w:color w:val="231F20"/>
          <w:w w:val="110"/>
          <w:sz w:val="19"/>
        </w:rPr>
        <w:t>zona</w:t>
      </w:r>
      <w:r>
        <w:rPr>
          <w:i/>
          <w:color w:val="231F20"/>
          <w:spacing w:val="-15"/>
          <w:w w:val="110"/>
          <w:sz w:val="19"/>
        </w:rPr>
        <w:t> </w:t>
      </w:r>
      <w:r>
        <w:rPr>
          <w:i/>
          <w:color w:val="231F20"/>
          <w:w w:val="110"/>
          <w:sz w:val="19"/>
        </w:rPr>
        <w:t>arqueológica</w:t>
      </w:r>
      <w:r>
        <w:rPr>
          <w:i/>
          <w:color w:val="231F20"/>
          <w:spacing w:val="-15"/>
          <w:w w:val="110"/>
          <w:sz w:val="19"/>
        </w:rPr>
        <w:t> </w:t>
      </w:r>
      <w:r>
        <w:rPr>
          <w:i/>
          <w:color w:val="231F20"/>
          <w:w w:val="110"/>
          <w:sz w:val="19"/>
        </w:rPr>
        <w:t>de</w:t>
      </w:r>
      <w:r>
        <w:rPr>
          <w:i/>
          <w:color w:val="231F20"/>
          <w:spacing w:val="-15"/>
          <w:w w:val="110"/>
          <w:sz w:val="19"/>
        </w:rPr>
        <w:t> </w:t>
      </w:r>
      <w:r>
        <w:rPr>
          <w:i/>
          <w:color w:val="231F20"/>
          <w:w w:val="110"/>
          <w:sz w:val="19"/>
        </w:rPr>
        <w:t>Tecaxic</w:t>
      </w:r>
      <w:r>
        <w:rPr>
          <w:i/>
          <w:color w:val="231F20"/>
          <w:spacing w:val="-15"/>
          <w:w w:val="110"/>
          <w:sz w:val="19"/>
        </w:rPr>
        <w:t> </w:t>
      </w:r>
      <w:r>
        <w:rPr>
          <w:i/>
          <w:color w:val="231F20"/>
          <w:w w:val="110"/>
          <w:sz w:val="19"/>
        </w:rPr>
        <w:t>Calixtlahuaca</w:t>
      </w:r>
      <w:r>
        <w:rPr>
          <w:i/>
          <w:color w:val="231F20"/>
          <w:spacing w:val="-15"/>
          <w:w w:val="110"/>
          <w:sz w:val="19"/>
        </w:rPr>
        <w:t> </w:t>
      </w:r>
      <w:r>
        <w:rPr>
          <w:i/>
          <w:color w:val="231F20"/>
          <w:w w:val="110"/>
          <w:sz w:val="19"/>
        </w:rPr>
        <w:t>y</w:t>
      </w:r>
      <w:r>
        <w:rPr>
          <w:i/>
          <w:color w:val="231F20"/>
          <w:spacing w:val="-15"/>
          <w:w w:val="110"/>
          <w:sz w:val="19"/>
        </w:rPr>
        <w:t> </w:t>
      </w:r>
      <w:r>
        <w:rPr>
          <w:i/>
          <w:color w:val="231F20"/>
          <w:w w:val="110"/>
          <w:sz w:val="19"/>
        </w:rPr>
        <w:t>los </w:t>
      </w:r>
      <w:r>
        <w:rPr>
          <w:i/>
          <w:color w:val="231F20"/>
          <w:w w:val="110"/>
          <w:sz w:val="19"/>
        </w:rPr>
        <w:t>Matlatzincas,</w:t>
      </w:r>
      <w:r>
        <w:rPr>
          <w:i/>
          <w:color w:val="231F20"/>
          <w:spacing w:val="-16"/>
          <w:w w:val="110"/>
          <w:sz w:val="19"/>
        </w:rPr>
        <w:t> </w:t>
      </w:r>
      <w:r>
        <w:rPr>
          <w:color w:val="231F20"/>
          <w:w w:val="110"/>
          <w:sz w:val="19"/>
        </w:rPr>
        <w:t>primera</w:t>
      </w:r>
      <w:r>
        <w:rPr>
          <w:color w:val="231F20"/>
          <w:spacing w:val="-13"/>
          <w:w w:val="110"/>
          <w:sz w:val="19"/>
        </w:rPr>
        <w:t> </w:t>
      </w:r>
      <w:r>
        <w:rPr>
          <w:color w:val="231F20"/>
          <w:w w:val="110"/>
          <w:sz w:val="19"/>
        </w:rPr>
        <w:t>parte,</w:t>
      </w:r>
      <w:r>
        <w:rPr>
          <w:color w:val="231F20"/>
          <w:spacing w:val="-13"/>
          <w:w w:val="110"/>
          <w:sz w:val="19"/>
        </w:rPr>
        <w:t> </w:t>
      </w:r>
      <w:r>
        <w:rPr>
          <w:color w:val="231F20"/>
          <w:w w:val="110"/>
          <w:sz w:val="19"/>
        </w:rPr>
        <w:t>México,</w:t>
      </w:r>
      <w:r>
        <w:rPr>
          <w:color w:val="231F20"/>
          <w:spacing w:val="-13"/>
          <w:w w:val="110"/>
          <w:sz w:val="19"/>
        </w:rPr>
        <w:t> </w:t>
      </w:r>
      <w:r>
        <w:rPr>
          <w:color w:val="231F20"/>
          <w:w w:val="110"/>
          <w:sz w:val="19"/>
        </w:rPr>
        <w:t>Gobierno</w:t>
      </w:r>
      <w:r>
        <w:rPr>
          <w:color w:val="231F20"/>
          <w:spacing w:val="-13"/>
          <w:w w:val="110"/>
          <w:sz w:val="19"/>
        </w:rPr>
        <w:t> </w:t>
      </w:r>
      <w:r>
        <w:rPr>
          <w:color w:val="231F20"/>
          <w:w w:val="110"/>
          <w:sz w:val="19"/>
        </w:rPr>
        <w:t>del</w:t>
      </w:r>
      <w:r>
        <w:rPr>
          <w:color w:val="231F20"/>
          <w:spacing w:val="-13"/>
          <w:w w:val="110"/>
          <w:sz w:val="19"/>
        </w:rPr>
        <w:t> </w:t>
      </w:r>
      <w:r>
        <w:rPr>
          <w:color w:val="231F20"/>
          <w:w w:val="110"/>
          <w:sz w:val="19"/>
        </w:rPr>
        <w:t>Estado</w:t>
      </w:r>
      <w:r>
        <w:rPr>
          <w:color w:val="231F20"/>
          <w:spacing w:val="-13"/>
          <w:w w:val="110"/>
          <w:sz w:val="19"/>
        </w:rPr>
        <w:t> </w:t>
      </w:r>
      <w:r>
        <w:rPr>
          <w:color w:val="231F20"/>
          <w:w w:val="110"/>
          <w:sz w:val="19"/>
        </w:rPr>
        <w:t>de</w:t>
      </w:r>
      <w:r>
        <w:rPr>
          <w:color w:val="231F20"/>
          <w:spacing w:val="-13"/>
          <w:w w:val="110"/>
          <w:sz w:val="19"/>
        </w:rPr>
        <w:t> </w:t>
      </w:r>
      <w:r>
        <w:rPr>
          <w:color w:val="231F20"/>
          <w:w w:val="110"/>
          <w:sz w:val="19"/>
        </w:rPr>
        <w:t>México,</w:t>
      </w:r>
      <w:r>
        <w:rPr>
          <w:color w:val="231F20"/>
          <w:spacing w:val="-13"/>
          <w:w w:val="110"/>
          <w:sz w:val="19"/>
        </w:rPr>
        <w:t> </w:t>
      </w:r>
      <w:r>
        <w:rPr>
          <w:color w:val="231F20"/>
          <w:w w:val="110"/>
          <w:sz w:val="19"/>
        </w:rPr>
        <w:t>Biblio- teca Enciclopédica del Estado de </w:t>
      </w:r>
      <w:r>
        <w:rPr>
          <w:color w:val="231F20"/>
          <w:spacing w:val="11"/>
          <w:w w:val="110"/>
          <w:sz w:val="19"/>
        </w:rPr>
        <w:t> </w:t>
      </w:r>
      <w:r>
        <w:rPr>
          <w:color w:val="231F20"/>
          <w:w w:val="110"/>
          <w:sz w:val="19"/>
        </w:rPr>
        <w:t>México.</w:t>
      </w:r>
    </w:p>
    <w:p>
      <w:pPr>
        <w:spacing w:line="261" w:lineRule="auto" w:before="0"/>
        <w:ind w:left="480" w:right="116" w:hanging="360"/>
        <w:jc w:val="both"/>
        <w:rPr>
          <w:sz w:val="19"/>
        </w:rPr>
      </w:pPr>
      <w:r>
        <w:rPr>
          <w:rFonts w:ascii="Times New Roman" w:hAnsi="Times New Roman"/>
          <w:color w:val="231F20"/>
          <w:w w:val="105"/>
          <w:sz w:val="19"/>
        </w:rPr>
        <w:t>G</w:t>
      </w:r>
      <w:r>
        <w:rPr>
          <w:rFonts w:ascii="Times New Roman" w:hAnsi="Times New Roman"/>
          <w:color w:val="231F20"/>
          <w:w w:val="105"/>
          <w:sz w:val="15"/>
        </w:rPr>
        <w:t>LIESSMAN</w:t>
      </w:r>
      <w:r>
        <w:rPr>
          <w:color w:val="231F20"/>
          <w:w w:val="105"/>
          <w:sz w:val="19"/>
        </w:rPr>
        <w:t>, Stephen R. (2002), </w:t>
      </w:r>
      <w:r>
        <w:rPr>
          <w:i/>
          <w:color w:val="231F20"/>
          <w:w w:val="105"/>
          <w:sz w:val="19"/>
        </w:rPr>
        <w:t>Agroecología. Procesos ecológicos en agricultura </w:t>
      </w:r>
      <w:r>
        <w:rPr>
          <w:i/>
          <w:color w:val="231F20"/>
          <w:w w:val="105"/>
          <w:sz w:val="19"/>
        </w:rPr>
        <w:t>Sostenible,  </w:t>
      </w:r>
      <w:r>
        <w:rPr>
          <w:color w:val="231F20"/>
          <w:w w:val="105"/>
          <w:sz w:val="19"/>
        </w:rPr>
        <w:t>Costa  Rica,  LITOCAT,    Turrialba.</w:t>
      </w:r>
    </w:p>
    <w:p>
      <w:pPr>
        <w:spacing w:line="261" w:lineRule="auto" w:before="0"/>
        <w:ind w:left="480" w:right="117" w:hanging="360"/>
        <w:jc w:val="both"/>
        <w:rPr>
          <w:sz w:val="19"/>
        </w:rPr>
      </w:pPr>
      <w:r>
        <w:rPr>
          <w:rFonts w:ascii="Times New Roman" w:hAnsi="Times New Roman"/>
          <w:color w:val="231F20"/>
          <w:w w:val="105"/>
          <w:sz w:val="19"/>
        </w:rPr>
        <w:t>G</w:t>
      </w:r>
      <w:r>
        <w:rPr>
          <w:rFonts w:ascii="Times New Roman" w:hAnsi="Times New Roman"/>
          <w:color w:val="231F20"/>
          <w:w w:val="105"/>
          <w:sz w:val="15"/>
        </w:rPr>
        <w:t>ÓMEZ </w:t>
      </w:r>
      <w:r>
        <w:rPr>
          <w:rFonts w:ascii="Times New Roman" w:hAnsi="Times New Roman"/>
          <w:color w:val="231F20"/>
          <w:w w:val="105"/>
          <w:sz w:val="19"/>
        </w:rPr>
        <w:t>P</w:t>
      </w:r>
      <w:r>
        <w:rPr>
          <w:rFonts w:ascii="Times New Roman" w:hAnsi="Times New Roman"/>
          <w:color w:val="231F20"/>
          <w:w w:val="105"/>
          <w:sz w:val="15"/>
        </w:rPr>
        <w:t>OMPA</w:t>
      </w:r>
      <w:r>
        <w:rPr>
          <w:rFonts w:ascii="Times New Roman" w:hAnsi="Times New Roman"/>
          <w:color w:val="231F20"/>
          <w:w w:val="105"/>
          <w:sz w:val="19"/>
        </w:rPr>
        <w:t>, </w:t>
      </w:r>
      <w:r>
        <w:rPr>
          <w:color w:val="231F20"/>
          <w:w w:val="105"/>
          <w:sz w:val="19"/>
        </w:rPr>
        <w:t>Arturo (2007), “Prólogo”, en Alba González Jácome, Silvia del Amo Rodríguez y Francisco D. Gurri (coords.), </w:t>
      </w:r>
      <w:r>
        <w:rPr>
          <w:i/>
          <w:color w:val="231F20"/>
          <w:w w:val="105"/>
          <w:sz w:val="19"/>
        </w:rPr>
        <w:t>Los nuevos caminos de la agricul- </w:t>
      </w:r>
      <w:r>
        <w:rPr>
          <w:i/>
          <w:color w:val="231F20"/>
          <w:w w:val="105"/>
          <w:sz w:val="19"/>
        </w:rPr>
        <w:t>tura: procesos de conversión y perspectivas, </w:t>
      </w:r>
      <w:r>
        <w:rPr>
          <w:color w:val="231F20"/>
          <w:w w:val="105"/>
          <w:sz w:val="19"/>
        </w:rPr>
        <w:t>México, Universidad Iberoame- ricana/Plaza  y Valdés.</w:t>
      </w:r>
    </w:p>
    <w:p>
      <w:pPr>
        <w:spacing w:line="261" w:lineRule="auto" w:before="0"/>
        <w:ind w:left="479" w:right="119" w:hanging="360"/>
        <w:jc w:val="both"/>
        <w:rPr>
          <w:sz w:val="19"/>
        </w:rPr>
      </w:pPr>
      <w:r>
        <w:rPr>
          <w:rFonts w:ascii="Times New Roman" w:hAnsi="Times New Roman"/>
          <w:color w:val="231F20"/>
          <w:w w:val="110"/>
          <w:sz w:val="19"/>
        </w:rPr>
        <w:t>G</w:t>
      </w:r>
      <w:r>
        <w:rPr>
          <w:rFonts w:ascii="Times New Roman" w:hAnsi="Times New Roman"/>
          <w:color w:val="231F20"/>
          <w:w w:val="110"/>
          <w:sz w:val="15"/>
        </w:rPr>
        <w:t>ONZÁLEZ DE LA </w:t>
      </w:r>
      <w:r>
        <w:rPr>
          <w:rFonts w:ascii="Times New Roman" w:hAnsi="Times New Roman"/>
          <w:color w:val="231F20"/>
          <w:w w:val="110"/>
          <w:sz w:val="19"/>
        </w:rPr>
        <w:t>R</w:t>
      </w:r>
      <w:r>
        <w:rPr>
          <w:rFonts w:ascii="Times New Roman" w:hAnsi="Times New Roman"/>
          <w:color w:val="231F20"/>
          <w:w w:val="110"/>
          <w:sz w:val="15"/>
        </w:rPr>
        <w:t>OCHA</w:t>
      </w:r>
      <w:r>
        <w:rPr>
          <w:color w:val="231F20"/>
          <w:w w:val="110"/>
          <w:sz w:val="19"/>
        </w:rPr>
        <w:t>, Mercedes (1989), “Crisis económica doméstica y tra- bajo femenino en Guadalajara”, en Orlandina de Oliveira (coord.), </w:t>
      </w:r>
      <w:r>
        <w:rPr>
          <w:i/>
          <w:color w:val="231F20"/>
          <w:w w:val="110"/>
          <w:sz w:val="19"/>
        </w:rPr>
        <w:t>Trabajo, </w:t>
      </w:r>
      <w:r>
        <w:rPr>
          <w:i/>
          <w:color w:val="231F20"/>
          <w:w w:val="110"/>
          <w:sz w:val="19"/>
        </w:rPr>
        <w:t>poder y sexualidad, </w:t>
      </w:r>
      <w:r>
        <w:rPr>
          <w:color w:val="231F20"/>
          <w:w w:val="110"/>
          <w:sz w:val="19"/>
        </w:rPr>
        <w:t>México</w:t>
      </w:r>
      <w:r>
        <w:rPr>
          <w:i/>
          <w:color w:val="231F20"/>
          <w:w w:val="110"/>
          <w:sz w:val="19"/>
        </w:rPr>
        <w:t>, </w:t>
      </w:r>
      <w:r>
        <w:rPr>
          <w:color w:val="231F20"/>
          <w:w w:val="110"/>
          <w:sz w:val="19"/>
        </w:rPr>
        <w:t>El Colegio de México/</w:t>
      </w:r>
      <w:r>
        <w:rPr>
          <w:rFonts w:ascii="Times New Roman" w:hAnsi="Times New Roman"/>
          <w:color w:val="231F20"/>
          <w:w w:val="110"/>
          <w:sz w:val="15"/>
        </w:rPr>
        <w:t>PIEM</w:t>
      </w:r>
      <w:r>
        <w:rPr>
          <w:color w:val="231F20"/>
          <w:w w:val="110"/>
          <w:sz w:val="19"/>
        </w:rPr>
        <w:t>.</w:t>
      </w:r>
    </w:p>
    <w:p>
      <w:pPr>
        <w:spacing w:line="261" w:lineRule="auto" w:before="0"/>
        <w:ind w:left="479" w:right="119" w:hanging="360"/>
        <w:jc w:val="both"/>
        <w:rPr>
          <w:sz w:val="19"/>
        </w:rPr>
      </w:pPr>
      <w:r>
        <w:rPr>
          <w:rFonts w:ascii="Times New Roman" w:hAnsi="Times New Roman"/>
          <w:color w:val="231F20"/>
          <w:w w:val="105"/>
          <w:sz w:val="19"/>
        </w:rPr>
        <w:t>G</w:t>
      </w:r>
      <w:r>
        <w:rPr>
          <w:rFonts w:ascii="Times New Roman" w:hAnsi="Times New Roman"/>
          <w:color w:val="231F20"/>
          <w:w w:val="105"/>
          <w:sz w:val="15"/>
        </w:rPr>
        <w:t>ONZÁLEZ </w:t>
      </w:r>
      <w:r>
        <w:rPr>
          <w:rFonts w:ascii="Times New Roman" w:hAnsi="Times New Roman"/>
          <w:color w:val="231F20"/>
          <w:w w:val="105"/>
          <w:sz w:val="19"/>
        </w:rPr>
        <w:t>J</w:t>
      </w:r>
      <w:r>
        <w:rPr>
          <w:rFonts w:ascii="Times New Roman" w:hAnsi="Times New Roman"/>
          <w:color w:val="231F20"/>
          <w:w w:val="105"/>
          <w:sz w:val="15"/>
        </w:rPr>
        <w:t>ÁCOME</w:t>
      </w:r>
      <w:r>
        <w:rPr>
          <w:rFonts w:ascii="Times New Roman" w:hAnsi="Times New Roman"/>
          <w:color w:val="231F20"/>
          <w:w w:val="105"/>
          <w:sz w:val="19"/>
        </w:rPr>
        <w:t>, </w:t>
      </w:r>
      <w:r>
        <w:rPr>
          <w:color w:val="231F20"/>
          <w:w w:val="105"/>
          <w:sz w:val="19"/>
        </w:rPr>
        <w:t>Alba y Silvia del Amo Rodríguez (1999), </w:t>
      </w:r>
      <w:r>
        <w:rPr>
          <w:i/>
          <w:color w:val="231F20"/>
          <w:w w:val="105"/>
          <w:sz w:val="19"/>
        </w:rPr>
        <w:t>Agricultura y socie- </w:t>
      </w:r>
      <w:r>
        <w:rPr>
          <w:i/>
          <w:color w:val="231F20"/>
          <w:w w:val="105"/>
          <w:sz w:val="19"/>
        </w:rPr>
        <w:t>dad en México: diversidad, enfoques, estudios de caso, </w:t>
      </w:r>
      <w:r>
        <w:rPr>
          <w:color w:val="231F20"/>
          <w:w w:val="105"/>
          <w:sz w:val="19"/>
        </w:rPr>
        <w:t>México, Universidad Iberoamericana/Plaza  y Valdés.</w:t>
      </w:r>
    </w:p>
    <w:p>
      <w:pPr>
        <w:spacing w:line="261" w:lineRule="auto" w:before="0"/>
        <w:ind w:left="479" w:right="118" w:hanging="360"/>
        <w:jc w:val="both"/>
        <w:rPr>
          <w:sz w:val="19"/>
        </w:rPr>
      </w:pPr>
      <w:r>
        <w:rPr>
          <w:rFonts w:ascii="Times New Roman" w:hAnsi="Times New Roman"/>
          <w:color w:val="231F20"/>
          <w:w w:val="105"/>
          <w:sz w:val="19"/>
        </w:rPr>
        <w:t>G</w:t>
      </w:r>
      <w:r>
        <w:rPr>
          <w:rFonts w:ascii="Times New Roman" w:hAnsi="Times New Roman"/>
          <w:color w:val="231F20"/>
          <w:w w:val="105"/>
          <w:sz w:val="15"/>
        </w:rPr>
        <w:t>ONZÁLEZ </w:t>
      </w:r>
      <w:r>
        <w:rPr>
          <w:rFonts w:ascii="Times New Roman" w:hAnsi="Times New Roman"/>
          <w:color w:val="231F20"/>
          <w:w w:val="105"/>
          <w:sz w:val="19"/>
        </w:rPr>
        <w:t>J</w:t>
      </w:r>
      <w:r>
        <w:rPr>
          <w:rFonts w:ascii="Times New Roman" w:hAnsi="Times New Roman"/>
          <w:color w:val="231F20"/>
          <w:w w:val="105"/>
          <w:sz w:val="15"/>
        </w:rPr>
        <w:t>ÁCOME</w:t>
      </w:r>
      <w:r>
        <w:rPr>
          <w:color w:val="231F20"/>
          <w:w w:val="105"/>
          <w:sz w:val="19"/>
        </w:rPr>
        <w:t>, Alba (2003), </w:t>
      </w:r>
      <w:r>
        <w:rPr>
          <w:i/>
          <w:color w:val="231F20"/>
          <w:w w:val="105"/>
          <w:sz w:val="19"/>
        </w:rPr>
        <w:t>Cultura y agricultura: transformaciones  en  el </w:t>
      </w:r>
      <w:r>
        <w:rPr>
          <w:i/>
          <w:color w:val="231F20"/>
          <w:w w:val="105"/>
          <w:sz w:val="19"/>
        </w:rPr>
        <w:t>agro  mexicano,  </w:t>
      </w:r>
      <w:r>
        <w:rPr>
          <w:color w:val="231F20"/>
          <w:w w:val="105"/>
          <w:sz w:val="19"/>
        </w:rPr>
        <w:t>México,  Universidad   Iberoamericana.</w:t>
      </w:r>
    </w:p>
    <w:p>
      <w:pPr>
        <w:spacing w:line="261" w:lineRule="auto" w:before="0"/>
        <w:ind w:left="479" w:right="119" w:hanging="360"/>
        <w:jc w:val="both"/>
        <w:rPr>
          <w:sz w:val="19"/>
        </w:rPr>
      </w:pPr>
      <w:r>
        <w:rPr>
          <w:rFonts w:ascii="Times New Roman" w:hAnsi="Times New Roman"/>
          <w:color w:val="231F20"/>
          <w:w w:val="110"/>
          <w:sz w:val="19"/>
        </w:rPr>
        <w:t>G</w:t>
      </w:r>
      <w:r>
        <w:rPr>
          <w:rFonts w:ascii="Times New Roman" w:hAnsi="Times New Roman"/>
          <w:color w:val="231F20"/>
          <w:w w:val="110"/>
          <w:sz w:val="15"/>
        </w:rPr>
        <w:t>ONZÁLEZ </w:t>
      </w:r>
      <w:r>
        <w:rPr>
          <w:rFonts w:ascii="Times New Roman" w:hAnsi="Times New Roman"/>
          <w:color w:val="231F20"/>
          <w:w w:val="110"/>
          <w:sz w:val="19"/>
        </w:rPr>
        <w:t>J</w:t>
      </w:r>
      <w:r>
        <w:rPr>
          <w:rFonts w:ascii="Times New Roman" w:hAnsi="Times New Roman"/>
          <w:color w:val="231F20"/>
          <w:w w:val="110"/>
          <w:sz w:val="15"/>
        </w:rPr>
        <w:t>ÁCOME</w:t>
      </w:r>
      <w:r>
        <w:rPr>
          <w:color w:val="231F20"/>
          <w:w w:val="110"/>
          <w:sz w:val="19"/>
        </w:rPr>
        <w:t>, Alba y Laura Reyes Montes (2006), </w:t>
      </w:r>
      <w:r>
        <w:rPr>
          <w:color w:val="231F20"/>
          <w:spacing w:val="5"/>
          <w:w w:val="110"/>
          <w:sz w:val="19"/>
        </w:rPr>
        <w:t>“La </w:t>
      </w:r>
      <w:r>
        <w:rPr>
          <w:color w:val="231F20"/>
          <w:w w:val="110"/>
          <w:sz w:val="19"/>
        </w:rPr>
        <w:t>agricultura comer- cial: una adaptación sociocultural en Santiago </w:t>
      </w:r>
      <w:r>
        <w:rPr>
          <w:color w:val="231F20"/>
          <w:spacing w:val="-4"/>
          <w:w w:val="110"/>
          <w:sz w:val="19"/>
        </w:rPr>
        <w:t>Yeché”, </w:t>
      </w:r>
      <w:r>
        <w:rPr>
          <w:i/>
          <w:color w:val="231F20"/>
          <w:w w:val="110"/>
          <w:sz w:val="19"/>
        </w:rPr>
        <w:t>Anales de Antropolo- </w:t>
      </w:r>
      <w:r>
        <w:rPr>
          <w:i/>
          <w:color w:val="231F20"/>
          <w:w w:val="110"/>
          <w:sz w:val="19"/>
        </w:rPr>
        <w:t>gía, </w:t>
      </w:r>
      <w:r>
        <w:rPr>
          <w:color w:val="231F20"/>
          <w:w w:val="110"/>
          <w:sz w:val="19"/>
        </w:rPr>
        <w:t>vol. 40-I, México, Instituto de Investigaciones Antropológicas, </w:t>
      </w:r>
      <w:r>
        <w:rPr>
          <w:rFonts w:ascii="Times New Roman" w:hAnsi="Times New Roman"/>
          <w:color w:val="231F20"/>
          <w:w w:val="110"/>
          <w:sz w:val="15"/>
        </w:rPr>
        <w:t>UNAM</w:t>
      </w:r>
      <w:r>
        <w:rPr>
          <w:color w:val="231F20"/>
          <w:w w:val="110"/>
          <w:sz w:val="19"/>
        </w:rPr>
        <w:t>.</w:t>
      </w:r>
    </w:p>
    <w:p>
      <w:pPr>
        <w:spacing w:line="264" w:lineRule="auto" w:before="0"/>
        <w:ind w:left="479" w:right="117" w:hanging="360"/>
        <w:jc w:val="both"/>
        <w:rPr>
          <w:sz w:val="19"/>
        </w:rPr>
      </w:pPr>
      <w:r>
        <w:rPr>
          <w:rFonts w:ascii="Times New Roman" w:hAnsi="Times New Roman"/>
          <w:color w:val="231F20"/>
          <w:w w:val="105"/>
          <w:sz w:val="19"/>
        </w:rPr>
        <w:t>G</w:t>
      </w:r>
      <w:r>
        <w:rPr>
          <w:rFonts w:ascii="Times New Roman" w:hAnsi="Times New Roman"/>
          <w:color w:val="231F20"/>
          <w:w w:val="105"/>
          <w:sz w:val="15"/>
        </w:rPr>
        <w:t>ONZÁLEZ </w:t>
      </w:r>
      <w:r>
        <w:rPr>
          <w:rFonts w:ascii="Times New Roman" w:hAnsi="Times New Roman"/>
          <w:color w:val="231F20"/>
          <w:w w:val="105"/>
          <w:sz w:val="19"/>
        </w:rPr>
        <w:t>J</w:t>
      </w:r>
      <w:r>
        <w:rPr>
          <w:rFonts w:ascii="Times New Roman" w:hAnsi="Times New Roman"/>
          <w:color w:val="231F20"/>
          <w:w w:val="105"/>
          <w:sz w:val="15"/>
        </w:rPr>
        <w:t>ÁCOME</w:t>
      </w:r>
      <w:r>
        <w:rPr>
          <w:rFonts w:ascii="Times New Roman" w:hAnsi="Times New Roman"/>
          <w:color w:val="231F20"/>
          <w:w w:val="105"/>
          <w:sz w:val="19"/>
        </w:rPr>
        <w:t>, </w:t>
      </w:r>
      <w:r>
        <w:rPr>
          <w:color w:val="231F20"/>
          <w:w w:val="105"/>
          <w:sz w:val="19"/>
        </w:rPr>
        <w:t>Alba, Silvia del Amo Rodríguez y Francisco D. Gurri García (coords.) (2007), </w:t>
      </w:r>
      <w:r>
        <w:rPr>
          <w:i/>
          <w:color w:val="231F20"/>
          <w:w w:val="105"/>
          <w:sz w:val="19"/>
        </w:rPr>
        <w:t>Los nuevos caminos de la agricultura: procesos de conversión </w:t>
      </w:r>
      <w:r>
        <w:rPr>
          <w:i/>
          <w:color w:val="231F20"/>
          <w:w w:val="105"/>
          <w:sz w:val="19"/>
        </w:rPr>
        <w:t>y perspectivas, </w:t>
      </w:r>
      <w:r>
        <w:rPr>
          <w:color w:val="231F20"/>
          <w:w w:val="105"/>
          <w:sz w:val="19"/>
        </w:rPr>
        <w:t>México, Universidad Iberoamericana/Plaza y </w:t>
      </w:r>
      <w:r>
        <w:rPr>
          <w:color w:val="231F20"/>
          <w:spacing w:val="-6"/>
          <w:w w:val="105"/>
          <w:sz w:val="19"/>
        </w:rPr>
        <w:t>Valdés    </w:t>
      </w:r>
      <w:r>
        <w:rPr>
          <w:color w:val="231F20"/>
          <w:w w:val="105"/>
          <w:sz w:val="19"/>
        </w:rPr>
        <w:t>Editores.</w:t>
      </w:r>
    </w:p>
    <w:p>
      <w:pPr>
        <w:spacing w:after="0" w:line="264" w:lineRule="auto"/>
        <w:jc w:val="both"/>
        <w:rPr>
          <w:sz w:val="19"/>
        </w:rPr>
        <w:sectPr>
          <w:footerReference w:type="even" r:id="rId140"/>
          <w:footerReference w:type="default" r:id="rId141"/>
          <w:pgSz w:w="9520" w:h="12920"/>
          <w:pgMar w:footer="1344" w:header="0" w:top="880" w:bottom="1540" w:left="1000" w:right="1320"/>
        </w:sectPr>
      </w:pPr>
    </w:p>
    <w:p>
      <w:pPr>
        <w:spacing w:line="261" w:lineRule="auto" w:before="44"/>
        <w:ind w:left="484" w:right="113" w:hanging="360"/>
        <w:jc w:val="both"/>
        <w:rPr>
          <w:sz w:val="19"/>
        </w:rPr>
      </w:pPr>
      <w:r>
        <w:rPr>
          <w:rFonts w:ascii="Times New Roman" w:hAnsi="Times New Roman"/>
          <w:color w:val="231F20"/>
          <w:w w:val="110"/>
          <w:sz w:val="19"/>
        </w:rPr>
        <w:t>G</w:t>
      </w:r>
      <w:r>
        <w:rPr>
          <w:rFonts w:ascii="Times New Roman" w:hAnsi="Times New Roman"/>
          <w:color w:val="231F20"/>
          <w:w w:val="110"/>
          <w:sz w:val="15"/>
        </w:rPr>
        <w:t>ONZÁLEZ </w:t>
      </w:r>
      <w:r>
        <w:rPr>
          <w:rFonts w:ascii="Times New Roman" w:hAnsi="Times New Roman"/>
          <w:color w:val="231F20"/>
          <w:w w:val="110"/>
          <w:sz w:val="19"/>
        </w:rPr>
        <w:t>J</w:t>
      </w:r>
      <w:r>
        <w:rPr>
          <w:rFonts w:ascii="Times New Roman" w:hAnsi="Times New Roman"/>
          <w:color w:val="231F20"/>
          <w:w w:val="110"/>
          <w:sz w:val="15"/>
        </w:rPr>
        <w:t>ÁCOME</w:t>
      </w:r>
      <w:r>
        <w:rPr>
          <w:rFonts w:ascii="Times New Roman" w:hAnsi="Times New Roman"/>
          <w:color w:val="231F20"/>
          <w:w w:val="110"/>
          <w:sz w:val="19"/>
        </w:rPr>
        <w:t>, </w:t>
      </w:r>
      <w:r>
        <w:rPr>
          <w:color w:val="231F20"/>
          <w:w w:val="110"/>
          <w:sz w:val="19"/>
        </w:rPr>
        <w:t>Alba y Juan Maestre Alfonso (2007), </w:t>
      </w:r>
      <w:r>
        <w:rPr>
          <w:i/>
          <w:color w:val="231F20"/>
          <w:w w:val="110"/>
          <w:sz w:val="19"/>
        </w:rPr>
        <w:t>Agua y agricultura, </w:t>
      </w:r>
      <w:r>
        <w:rPr>
          <w:i/>
          <w:color w:val="231F20"/>
          <w:w w:val="110"/>
          <w:sz w:val="19"/>
        </w:rPr>
        <w:t>Ángel</w:t>
      </w:r>
      <w:r>
        <w:rPr>
          <w:i/>
          <w:color w:val="231F20"/>
          <w:spacing w:val="-23"/>
          <w:w w:val="110"/>
          <w:sz w:val="19"/>
        </w:rPr>
        <w:t> </w:t>
      </w:r>
      <w:r>
        <w:rPr>
          <w:i/>
          <w:color w:val="231F20"/>
          <w:spacing w:val="-3"/>
          <w:w w:val="110"/>
          <w:sz w:val="19"/>
        </w:rPr>
        <w:t>Palerm,</w:t>
      </w:r>
      <w:r>
        <w:rPr>
          <w:i/>
          <w:color w:val="231F20"/>
          <w:spacing w:val="-23"/>
          <w:w w:val="110"/>
          <w:sz w:val="19"/>
        </w:rPr>
        <w:t> </w:t>
      </w:r>
      <w:r>
        <w:rPr>
          <w:i/>
          <w:color w:val="231F20"/>
          <w:w w:val="110"/>
          <w:sz w:val="19"/>
        </w:rPr>
        <w:t>la</w:t>
      </w:r>
      <w:r>
        <w:rPr>
          <w:i/>
          <w:color w:val="231F20"/>
          <w:spacing w:val="-23"/>
          <w:w w:val="110"/>
          <w:sz w:val="19"/>
        </w:rPr>
        <w:t> </w:t>
      </w:r>
      <w:r>
        <w:rPr>
          <w:i/>
          <w:color w:val="231F20"/>
          <w:w w:val="110"/>
          <w:sz w:val="19"/>
        </w:rPr>
        <w:t>discusión</w:t>
      </w:r>
      <w:r>
        <w:rPr>
          <w:i/>
          <w:color w:val="231F20"/>
          <w:spacing w:val="-23"/>
          <w:w w:val="110"/>
          <w:sz w:val="19"/>
        </w:rPr>
        <w:t> </w:t>
      </w:r>
      <w:r>
        <w:rPr>
          <w:i/>
          <w:color w:val="231F20"/>
          <w:w w:val="110"/>
          <w:sz w:val="19"/>
        </w:rPr>
        <w:t>con</w:t>
      </w:r>
      <w:r>
        <w:rPr>
          <w:i/>
          <w:color w:val="231F20"/>
          <w:spacing w:val="-23"/>
          <w:w w:val="110"/>
          <w:sz w:val="19"/>
        </w:rPr>
        <w:t> </w:t>
      </w:r>
      <w:r>
        <w:rPr>
          <w:i/>
          <w:color w:val="231F20"/>
          <w:w w:val="110"/>
          <w:sz w:val="19"/>
        </w:rPr>
        <w:t>Karl</w:t>
      </w:r>
      <w:r>
        <w:rPr>
          <w:i/>
          <w:color w:val="231F20"/>
          <w:spacing w:val="-23"/>
          <w:w w:val="110"/>
          <w:sz w:val="19"/>
        </w:rPr>
        <w:t> </w:t>
      </w:r>
      <w:r>
        <w:rPr>
          <w:i/>
          <w:color w:val="231F20"/>
          <w:w w:val="110"/>
          <w:sz w:val="19"/>
        </w:rPr>
        <w:t>Wittfogel</w:t>
      </w:r>
      <w:r>
        <w:rPr>
          <w:i/>
          <w:color w:val="231F20"/>
          <w:spacing w:val="-23"/>
          <w:w w:val="110"/>
          <w:sz w:val="19"/>
        </w:rPr>
        <w:t> </w:t>
      </w:r>
      <w:r>
        <w:rPr>
          <w:i/>
          <w:color w:val="231F20"/>
          <w:w w:val="110"/>
          <w:sz w:val="19"/>
        </w:rPr>
        <w:t>sobre</w:t>
      </w:r>
      <w:r>
        <w:rPr>
          <w:i/>
          <w:color w:val="231F20"/>
          <w:spacing w:val="-23"/>
          <w:w w:val="110"/>
          <w:sz w:val="19"/>
        </w:rPr>
        <w:t> </w:t>
      </w:r>
      <w:r>
        <w:rPr>
          <w:i/>
          <w:color w:val="231F20"/>
          <w:w w:val="110"/>
          <w:sz w:val="19"/>
        </w:rPr>
        <w:t>el</w:t>
      </w:r>
      <w:r>
        <w:rPr>
          <w:i/>
          <w:color w:val="231F20"/>
          <w:spacing w:val="-23"/>
          <w:w w:val="110"/>
          <w:sz w:val="19"/>
        </w:rPr>
        <w:t> </w:t>
      </w:r>
      <w:r>
        <w:rPr>
          <w:i/>
          <w:color w:val="231F20"/>
          <w:w w:val="110"/>
          <w:sz w:val="19"/>
        </w:rPr>
        <w:t>Modo</w:t>
      </w:r>
      <w:r>
        <w:rPr>
          <w:i/>
          <w:color w:val="231F20"/>
          <w:spacing w:val="-23"/>
          <w:w w:val="110"/>
          <w:sz w:val="19"/>
        </w:rPr>
        <w:t> </w:t>
      </w:r>
      <w:r>
        <w:rPr>
          <w:i/>
          <w:color w:val="231F20"/>
          <w:w w:val="110"/>
          <w:sz w:val="19"/>
        </w:rPr>
        <w:t>Asiático</w:t>
      </w:r>
      <w:r>
        <w:rPr>
          <w:i/>
          <w:color w:val="231F20"/>
          <w:spacing w:val="-23"/>
          <w:w w:val="110"/>
          <w:sz w:val="19"/>
        </w:rPr>
        <w:t> </w:t>
      </w:r>
      <w:r>
        <w:rPr>
          <w:i/>
          <w:color w:val="231F20"/>
          <w:w w:val="110"/>
          <w:sz w:val="19"/>
        </w:rPr>
        <w:t>de</w:t>
      </w:r>
      <w:r>
        <w:rPr>
          <w:i/>
          <w:color w:val="231F20"/>
          <w:spacing w:val="-23"/>
          <w:w w:val="110"/>
          <w:sz w:val="19"/>
        </w:rPr>
        <w:t> </w:t>
      </w:r>
      <w:r>
        <w:rPr>
          <w:i/>
          <w:color w:val="231F20"/>
          <w:w w:val="110"/>
          <w:sz w:val="19"/>
        </w:rPr>
        <w:t>Produc- ción</w:t>
      </w:r>
      <w:r>
        <w:rPr>
          <w:i/>
          <w:color w:val="231F20"/>
          <w:spacing w:val="-5"/>
          <w:w w:val="110"/>
          <w:sz w:val="19"/>
        </w:rPr>
        <w:t> </w:t>
      </w:r>
      <w:r>
        <w:rPr>
          <w:i/>
          <w:color w:val="231F20"/>
          <w:w w:val="110"/>
          <w:sz w:val="19"/>
        </w:rPr>
        <w:t>y</w:t>
      </w:r>
      <w:r>
        <w:rPr>
          <w:i/>
          <w:color w:val="231F20"/>
          <w:spacing w:val="-5"/>
          <w:w w:val="110"/>
          <w:sz w:val="19"/>
        </w:rPr>
        <w:t> </w:t>
      </w:r>
      <w:r>
        <w:rPr>
          <w:i/>
          <w:color w:val="231F20"/>
          <w:w w:val="110"/>
          <w:sz w:val="19"/>
        </w:rPr>
        <w:t>la</w:t>
      </w:r>
      <w:r>
        <w:rPr>
          <w:i/>
          <w:color w:val="231F20"/>
          <w:spacing w:val="-5"/>
          <w:w w:val="110"/>
          <w:sz w:val="19"/>
        </w:rPr>
        <w:t> </w:t>
      </w:r>
      <w:r>
        <w:rPr>
          <w:i/>
          <w:color w:val="231F20"/>
          <w:w w:val="110"/>
          <w:sz w:val="19"/>
        </w:rPr>
        <w:t>construcción</w:t>
      </w:r>
      <w:r>
        <w:rPr>
          <w:i/>
          <w:color w:val="231F20"/>
          <w:spacing w:val="-5"/>
          <w:w w:val="110"/>
          <w:sz w:val="19"/>
        </w:rPr>
        <w:t> </w:t>
      </w:r>
      <w:r>
        <w:rPr>
          <w:i/>
          <w:color w:val="231F20"/>
          <w:w w:val="110"/>
          <w:sz w:val="19"/>
        </w:rPr>
        <w:t>de</w:t>
      </w:r>
      <w:r>
        <w:rPr>
          <w:i/>
          <w:color w:val="231F20"/>
          <w:spacing w:val="-5"/>
          <w:w w:val="110"/>
          <w:sz w:val="19"/>
        </w:rPr>
        <w:t> </w:t>
      </w:r>
      <w:r>
        <w:rPr>
          <w:i/>
          <w:color w:val="231F20"/>
          <w:w w:val="110"/>
          <w:sz w:val="19"/>
        </w:rPr>
        <w:t>un</w:t>
      </w:r>
      <w:r>
        <w:rPr>
          <w:i/>
          <w:color w:val="231F20"/>
          <w:spacing w:val="-5"/>
          <w:w w:val="110"/>
          <w:sz w:val="19"/>
        </w:rPr>
        <w:t> </w:t>
      </w:r>
      <w:r>
        <w:rPr>
          <w:i/>
          <w:color w:val="231F20"/>
          <w:w w:val="110"/>
          <w:sz w:val="19"/>
        </w:rPr>
        <w:t>modelo</w:t>
      </w:r>
      <w:r>
        <w:rPr>
          <w:i/>
          <w:color w:val="231F20"/>
          <w:spacing w:val="-5"/>
          <w:w w:val="110"/>
          <w:sz w:val="19"/>
        </w:rPr>
        <w:t> </w:t>
      </w:r>
      <w:r>
        <w:rPr>
          <w:i/>
          <w:color w:val="231F20"/>
          <w:w w:val="110"/>
          <w:sz w:val="19"/>
        </w:rPr>
        <w:t>para</w:t>
      </w:r>
      <w:r>
        <w:rPr>
          <w:i/>
          <w:color w:val="231F20"/>
          <w:spacing w:val="-5"/>
          <w:w w:val="110"/>
          <w:sz w:val="19"/>
        </w:rPr>
        <w:t> </w:t>
      </w:r>
      <w:r>
        <w:rPr>
          <w:i/>
          <w:color w:val="231F20"/>
          <w:w w:val="110"/>
          <w:sz w:val="19"/>
        </w:rPr>
        <w:t>el</w:t>
      </w:r>
      <w:r>
        <w:rPr>
          <w:i/>
          <w:color w:val="231F20"/>
          <w:spacing w:val="-5"/>
          <w:w w:val="110"/>
          <w:sz w:val="19"/>
        </w:rPr>
        <w:t> </w:t>
      </w:r>
      <w:r>
        <w:rPr>
          <w:i/>
          <w:color w:val="231F20"/>
          <w:w w:val="110"/>
          <w:sz w:val="19"/>
        </w:rPr>
        <w:t>estudio</w:t>
      </w:r>
      <w:r>
        <w:rPr>
          <w:i/>
          <w:color w:val="231F20"/>
          <w:spacing w:val="-5"/>
          <w:w w:val="110"/>
          <w:sz w:val="19"/>
        </w:rPr>
        <w:t> </w:t>
      </w:r>
      <w:r>
        <w:rPr>
          <w:i/>
          <w:color w:val="231F20"/>
          <w:w w:val="110"/>
          <w:sz w:val="19"/>
        </w:rPr>
        <w:t>de</w:t>
      </w:r>
      <w:r>
        <w:rPr>
          <w:i/>
          <w:color w:val="231F20"/>
          <w:spacing w:val="-5"/>
          <w:w w:val="110"/>
          <w:sz w:val="19"/>
        </w:rPr>
        <w:t> </w:t>
      </w:r>
      <w:r>
        <w:rPr>
          <w:i/>
          <w:color w:val="231F20"/>
          <w:w w:val="110"/>
          <w:sz w:val="19"/>
        </w:rPr>
        <w:t>Mesoamérica, </w:t>
      </w:r>
      <w:r>
        <w:rPr>
          <w:color w:val="231F20"/>
          <w:w w:val="110"/>
          <w:sz w:val="19"/>
        </w:rPr>
        <w:t>México, Universidad Iberoamericana A.C./Agencia Española de Cooperación Inter- nacional, Dirección General de Relaciones Culturales y  </w:t>
      </w:r>
      <w:r>
        <w:rPr>
          <w:color w:val="231F20"/>
          <w:spacing w:val="11"/>
          <w:w w:val="110"/>
          <w:sz w:val="19"/>
        </w:rPr>
        <w:t> </w:t>
      </w:r>
      <w:r>
        <w:rPr>
          <w:color w:val="231F20"/>
          <w:w w:val="110"/>
          <w:sz w:val="19"/>
        </w:rPr>
        <w:t>Científicas.</w:t>
      </w:r>
    </w:p>
    <w:p>
      <w:pPr>
        <w:spacing w:line="261" w:lineRule="auto" w:before="0"/>
        <w:ind w:left="484" w:right="113" w:hanging="360"/>
        <w:jc w:val="both"/>
        <w:rPr>
          <w:sz w:val="19"/>
        </w:rPr>
      </w:pPr>
      <w:r>
        <w:rPr>
          <w:rFonts w:ascii="Times New Roman" w:hAnsi="Times New Roman"/>
          <w:color w:val="231F20"/>
          <w:w w:val="110"/>
          <w:sz w:val="19"/>
        </w:rPr>
        <w:t>G</w:t>
      </w:r>
      <w:r>
        <w:rPr>
          <w:rFonts w:ascii="Times New Roman" w:hAnsi="Times New Roman"/>
          <w:color w:val="231F20"/>
          <w:w w:val="110"/>
          <w:sz w:val="15"/>
        </w:rPr>
        <w:t>UTIÉRREZ DE </w:t>
      </w:r>
      <w:r>
        <w:rPr>
          <w:rFonts w:ascii="Times New Roman" w:hAnsi="Times New Roman"/>
          <w:color w:val="231F20"/>
          <w:w w:val="110"/>
          <w:sz w:val="19"/>
        </w:rPr>
        <w:t>L</w:t>
      </w:r>
      <w:r>
        <w:rPr>
          <w:rFonts w:ascii="Times New Roman" w:hAnsi="Times New Roman"/>
          <w:color w:val="231F20"/>
          <w:w w:val="110"/>
          <w:sz w:val="15"/>
        </w:rPr>
        <w:t>IMÓN</w:t>
      </w:r>
      <w:r>
        <w:rPr>
          <w:rFonts w:ascii="Times New Roman" w:hAnsi="Times New Roman"/>
          <w:color w:val="231F20"/>
          <w:w w:val="110"/>
          <w:sz w:val="19"/>
        </w:rPr>
        <w:t>, </w:t>
      </w:r>
      <w:r>
        <w:rPr>
          <w:color w:val="231F20"/>
          <w:w w:val="110"/>
          <w:sz w:val="19"/>
        </w:rPr>
        <w:t>Silvia (1979), </w:t>
      </w:r>
      <w:r>
        <w:rPr>
          <w:i/>
          <w:color w:val="231F20"/>
          <w:w w:val="110"/>
          <w:sz w:val="19"/>
        </w:rPr>
        <w:t>Arqueología del </w:t>
      </w:r>
      <w:r>
        <w:rPr>
          <w:i/>
          <w:color w:val="231F20"/>
          <w:spacing w:val="-5"/>
          <w:w w:val="110"/>
          <w:sz w:val="19"/>
        </w:rPr>
        <w:t>Valle </w:t>
      </w:r>
      <w:r>
        <w:rPr>
          <w:i/>
          <w:color w:val="231F20"/>
          <w:w w:val="110"/>
          <w:sz w:val="19"/>
        </w:rPr>
        <w:t>de Ixtlahuaca,</w:t>
      </w:r>
      <w:r>
        <w:rPr>
          <w:i/>
          <w:color w:val="231F20"/>
          <w:spacing w:val="-28"/>
          <w:w w:val="110"/>
          <w:sz w:val="19"/>
        </w:rPr>
        <w:t> </w:t>
      </w:r>
      <w:r>
        <w:rPr>
          <w:color w:val="231F20"/>
          <w:w w:val="110"/>
          <w:sz w:val="19"/>
        </w:rPr>
        <w:t>México, Gobierno del Estado de México, Biblioteca Enciclopédica del Estado de México.</w:t>
      </w:r>
    </w:p>
    <w:p>
      <w:pPr>
        <w:spacing w:line="261" w:lineRule="auto" w:before="0"/>
        <w:ind w:left="484" w:right="113" w:hanging="360"/>
        <w:jc w:val="both"/>
        <w:rPr>
          <w:sz w:val="19"/>
        </w:rPr>
      </w:pPr>
      <w:r>
        <w:rPr>
          <w:rFonts w:ascii="Times New Roman" w:hAnsi="Times New Roman"/>
          <w:color w:val="231F20"/>
          <w:w w:val="110"/>
          <w:sz w:val="19"/>
        </w:rPr>
        <w:t>G</w:t>
      </w:r>
      <w:r>
        <w:rPr>
          <w:rFonts w:ascii="Times New Roman" w:hAnsi="Times New Roman"/>
          <w:color w:val="231F20"/>
          <w:w w:val="110"/>
          <w:sz w:val="15"/>
        </w:rPr>
        <w:t>UYER</w:t>
      </w:r>
      <w:r>
        <w:rPr>
          <w:rFonts w:ascii="Times New Roman" w:hAnsi="Times New Roman"/>
          <w:color w:val="231F20"/>
          <w:w w:val="110"/>
          <w:sz w:val="19"/>
        </w:rPr>
        <w:t>, </w:t>
      </w:r>
      <w:r>
        <w:rPr>
          <w:color w:val="231F20"/>
          <w:w w:val="110"/>
          <w:sz w:val="19"/>
        </w:rPr>
        <w:t>Jane I. (1981), “Household and Community in African Studies”, </w:t>
      </w:r>
      <w:r>
        <w:rPr>
          <w:i/>
          <w:color w:val="231F20"/>
          <w:w w:val="110"/>
          <w:sz w:val="19"/>
        </w:rPr>
        <w:t>African </w:t>
      </w:r>
      <w:r>
        <w:rPr>
          <w:i/>
          <w:color w:val="231F20"/>
          <w:w w:val="110"/>
          <w:sz w:val="19"/>
        </w:rPr>
        <w:t>Studies Review, </w:t>
      </w:r>
      <w:r>
        <w:rPr>
          <w:color w:val="231F20"/>
          <w:w w:val="110"/>
          <w:sz w:val="19"/>
        </w:rPr>
        <w:t>24, pp. 87-137.</w:t>
      </w:r>
    </w:p>
    <w:p>
      <w:pPr>
        <w:spacing w:line="261" w:lineRule="auto" w:before="0"/>
        <w:ind w:left="484" w:right="113" w:hanging="360"/>
        <w:jc w:val="both"/>
        <w:rPr>
          <w:sz w:val="19"/>
        </w:rPr>
      </w:pPr>
      <w:r>
        <w:rPr>
          <w:color w:val="231F20"/>
          <w:w w:val="110"/>
          <w:sz w:val="19"/>
        </w:rPr>
        <w:t>Instituto</w:t>
      </w:r>
      <w:r>
        <w:rPr>
          <w:color w:val="231F20"/>
          <w:spacing w:val="-9"/>
          <w:w w:val="110"/>
          <w:sz w:val="19"/>
        </w:rPr>
        <w:t> </w:t>
      </w:r>
      <w:r>
        <w:rPr>
          <w:color w:val="231F20"/>
          <w:w w:val="110"/>
          <w:sz w:val="19"/>
        </w:rPr>
        <w:t>Nacional</w:t>
      </w:r>
      <w:r>
        <w:rPr>
          <w:color w:val="231F20"/>
          <w:spacing w:val="-9"/>
          <w:w w:val="110"/>
          <w:sz w:val="19"/>
        </w:rPr>
        <w:t> </w:t>
      </w:r>
      <w:r>
        <w:rPr>
          <w:color w:val="231F20"/>
          <w:w w:val="110"/>
          <w:sz w:val="19"/>
        </w:rPr>
        <w:t>de</w:t>
      </w:r>
      <w:r>
        <w:rPr>
          <w:color w:val="231F20"/>
          <w:spacing w:val="-9"/>
          <w:w w:val="110"/>
          <w:sz w:val="19"/>
        </w:rPr>
        <w:t> </w:t>
      </w:r>
      <w:r>
        <w:rPr>
          <w:color w:val="231F20"/>
          <w:w w:val="110"/>
          <w:sz w:val="19"/>
        </w:rPr>
        <w:t>Estadística</w:t>
      </w:r>
      <w:r>
        <w:rPr>
          <w:color w:val="231F20"/>
          <w:spacing w:val="-9"/>
          <w:w w:val="110"/>
          <w:sz w:val="19"/>
        </w:rPr>
        <w:t> </w:t>
      </w:r>
      <w:r>
        <w:rPr>
          <w:color w:val="231F20"/>
          <w:w w:val="110"/>
          <w:sz w:val="19"/>
        </w:rPr>
        <w:t>y</w:t>
      </w:r>
      <w:r>
        <w:rPr>
          <w:color w:val="231F20"/>
          <w:spacing w:val="-9"/>
          <w:w w:val="110"/>
          <w:sz w:val="19"/>
        </w:rPr>
        <w:t> </w:t>
      </w:r>
      <w:r>
        <w:rPr>
          <w:color w:val="231F20"/>
          <w:w w:val="110"/>
          <w:sz w:val="19"/>
        </w:rPr>
        <w:t>Geografía</w:t>
      </w:r>
      <w:r>
        <w:rPr>
          <w:color w:val="231F20"/>
          <w:spacing w:val="-9"/>
          <w:w w:val="110"/>
          <w:sz w:val="19"/>
        </w:rPr>
        <w:t> </w:t>
      </w:r>
      <w:r>
        <w:rPr>
          <w:color w:val="231F20"/>
          <w:w w:val="110"/>
          <w:sz w:val="19"/>
        </w:rPr>
        <w:t>(</w:t>
      </w:r>
      <w:r>
        <w:rPr>
          <w:rFonts w:ascii="Times New Roman" w:hAnsi="Times New Roman"/>
          <w:color w:val="231F20"/>
          <w:w w:val="110"/>
          <w:sz w:val="15"/>
        </w:rPr>
        <w:t>INEGI</w:t>
      </w:r>
      <w:r>
        <w:rPr>
          <w:rFonts w:ascii="Times New Roman" w:hAnsi="Times New Roman"/>
          <w:color w:val="231F20"/>
          <w:w w:val="110"/>
          <w:sz w:val="19"/>
        </w:rPr>
        <w:t>)</w:t>
      </w:r>
      <w:r>
        <w:rPr>
          <w:rFonts w:ascii="Times New Roman" w:hAnsi="Times New Roman"/>
          <w:color w:val="231F20"/>
          <w:spacing w:val="-15"/>
          <w:w w:val="110"/>
          <w:sz w:val="19"/>
        </w:rPr>
        <w:t> </w:t>
      </w:r>
      <w:r>
        <w:rPr>
          <w:color w:val="231F20"/>
          <w:w w:val="110"/>
          <w:sz w:val="19"/>
        </w:rPr>
        <w:t>(1997),</w:t>
      </w:r>
      <w:r>
        <w:rPr>
          <w:color w:val="231F20"/>
          <w:spacing w:val="-9"/>
          <w:w w:val="110"/>
          <w:sz w:val="19"/>
        </w:rPr>
        <w:t> </w:t>
      </w:r>
      <w:r>
        <w:rPr>
          <w:i/>
          <w:color w:val="231F20"/>
          <w:w w:val="110"/>
          <w:sz w:val="19"/>
        </w:rPr>
        <w:t>El</w:t>
      </w:r>
      <w:r>
        <w:rPr>
          <w:i/>
          <w:color w:val="231F20"/>
          <w:spacing w:val="-12"/>
          <w:w w:val="110"/>
          <w:sz w:val="19"/>
        </w:rPr>
        <w:t> </w:t>
      </w:r>
      <w:r>
        <w:rPr>
          <w:i/>
          <w:color w:val="231F20"/>
          <w:w w:val="110"/>
          <w:sz w:val="19"/>
        </w:rPr>
        <w:t>maíz</w:t>
      </w:r>
      <w:r>
        <w:rPr>
          <w:i/>
          <w:color w:val="231F20"/>
          <w:spacing w:val="-12"/>
          <w:w w:val="110"/>
          <w:sz w:val="19"/>
        </w:rPr>
        <w:t> </w:t>
      </w:r>
      <w:r>
        <w:rPr>
          <w:i/>
          <w:color w:val="231F20"/>
          <w:w w:val="110"/>
          <w:sz w:val="19"/>
        </w:rPr>
        <w:t>en</w:t>
      </w:r>
      <w:r>
        <w:rPr>
          <w:i/>
          <w:color w:val="231F20"/>
          <w:spacing w:val="-12"/>
          <w:w w:val="110"/>
          <w:sz w:val="19"/>
        </w:rPr>
        <w:t> </w:t>
      </w:r>
      <w:r>
        <w:rPr>
          <w:i/>
          <w:color w:val="231F20"/>
          <w:w w:val="110"/>
          <w:sz w:val="19"/>
        </w:rPr>
        <w:t>el</w:t>
      </w:r>
      <w:r>
        <w:rPr>
          <w:i/>
          <w:color w:val="231F20"/>
          <w:spacing w:val="-12"/>
          <w:w w:val="110"/>
          <w:sz w:val="19"/>
        </w:rPr>
        <w:t> </w:t>
      </w:r>
      <w:r>
        <w:rPr>
          <w:i/>
          <w:color w:val="231F20"/>
          <w:w w:val="110"/>
          <w:sz w:val="19"/>
        </w:rPr>
        <w:t>Estado </w:t>
      </w:r>
      <w:r>
        <w:rPr>
          <w:i/>
          <w:color w:val="231F20"/>
          <w:w w:val="110"/>
          <w:sz w:val="19"/>
        </w:rPr>
        <w:t>de México,</w:t>
      </w:r>
      <w:r>
        <w:rPr>
          <w:i/>
          <w:color w:val="231F20"/>
          <w:spacing w:val="34"/>
          <w:w w:val="110"/>
          <w:sz w:val="19"/>
        </w:rPr>
        <w:t> </w:t>
      </w:r>
      <w:r>
        <w:rPr>
          <w:color w:val="231F20"/>
          <w:w w:val="110"/>
          <w:sz w:val="19"/>
        </w:rPr>
        <w:t>México.</w:t>
      </w:r>
    </w:p>
    <w:p>
      <w:pPr>
        <w:spacing w:line="261" w:lineRule="auto" w:before="0"/>
        <w:ind w:left="484" w:right="111" w:hanging="360"/>
        <w:jc w:val="both"/>
        <w:rPr>
          <w:sz w:val="19"/>
        </w:rPr>
      </w:pPr>
      <w:r>
        <w:rPr>
          <w:rFonts w:ascii="Times New Roman" w:hAnsi="Times New Roman"/>
          <w:color w:val="231F20"/>
          <w:w w:val="105"/>
          <w:sz w:val="15"/>
        </w:rPr>
        <w:t>INEGI </w:t>
      </w:r>
      <w:r>
        <w:rPr>
          <w:color w:val="231F20"/>
          <w:w w:val="105"/>
          <w:sz w:val="19"/>
        </w:rPr>
        <w:t>(2007), </w:t>
      </w:r>
      <w:r>
        <w:rPr>
          <w:i/>
          <w:color w:val="231F20"/>
          <w:w w:val="105"/>
          <w:sz w:val="19"/>
        </w:rPr>
        <w:t>Censo Agrícola, Ganadero y Forestal, </w:t>
      </w:r>
      <w:r>
        <w:rPr>
          <w:color w:val="231F20"/>
          <w:w w:val="105"/>
          <w:sz w:val="19"/>
        </w:rPr>
        <w:t>México, </w:t>
      </w:r>
      <w:hyperlink r:id="rId143">
        <w:r>
          <w:rPr>
            <w:color w:val="231F20"/>
            <w:w w:val="105"/>
            <w:sz w:val="19"/>
          </w:rPr>
          <w:t>http://www.inegi.org.</w:t>
        </w:r>
      </w:hyperlink>
      <w:r>
        <w:rPr>
          <w:color w:val="231F20"/>
          <w:w w:val="105"/>
          <w:sz w:val="19"/>
        </w:rPr>
        <w:t> </w:t>
      </w:r>
      <w:r>
        <w:rPr>
          <w:color w:val="231F20"/>
          <w:w w:val="110"/>
          <w:sz w:val="19"/>
        </w:rPr>
        <w:t>m</w:t>
      </w:r>
      <w:r>
        <w:rPr>
          <w:color w:val="231F20"/>
          <w:w w:val="118"/>
          <w:sz w:val="19"/>
        </w:rPr>
        <w:t>x</w:t>
      </w:r>
      <w:r>
        <w:rPr>
          <w:color w:val="231F20"/>
          <w:w w:val="66"/>
          <w:sz w:val="19"/>
        </w:rPr>
        <w:t>/</w:t>
      </w:r>
      <w:r>
        <w:rPr>
          <w:color w:val="231F20"/>
          <w:w w:val="109"/>
          <w:sz w:val="19"/>
        </w:rPr>
        <w:t>e</w:t>
      </w:r>
      <w:r>
        <w:rPr>
          <w:color w:val="231F20"/>
          <w:w w:val="118"/>
          <w:sz w:val="19"/>
        </w:rPr>
        <w:t>s</w:t>
      </w:r>
      <w:r>
        <w:rPr>
          <w:color w:val="231F20"/>
          <w:w w:val="94"/>
          <w:sz w:val="19"/>
        </w:rPr>
        <w:t>t</w:t>
      </w:r>
      <w:r>
        <w:rPr>
          <w:color w:val="231F20"/>
          <w:w w:val="66"/>
          <w:sz w:val="19"/>
        </w:rPr>
        <w:t>/</w:t>
      </w:r>
      <w:r>
        <w:rPr>
          <w:color w:val="231F20"/>
          <w:w w:val="115"/>
          <w:sz w:val="19"/>
        </w:rPr>
        <w:t>c</w:t>
      </w:r>
      <w:r>
        <w:rPr>
          <w:color w:val="231F20"/>
          <w:w w:val="108"/>
          <w:sz w:val="19"/>
        </w:rPr>
        <w:t>o</w:t>
      </w:r>
      <w:r>
        <w:rPr>
          <w:color w:val="231F20"/>
          <w:w w:val="111"/>
          <w:sz w:val="19"/>
        </w:rPr>
        <w:t>n</w:t>
      </w:r>
      <w:r>
        <w:rPr>
          <w:color w:val="231F20"/>
          <w:w w:val="94"/>
          <w:sz w:val="19"/>
        </w:rPr>
        <w:t>t</w:t>
      </w:r>
      <w:r>
        <w:rPr>
          <w:color w:val="231F20"/>
          <w:w w:val="109"/>
          <w:sz w:val="19"/>
        </w:rPr>
        <w:t>e</w:t>
      </w:r>
      <w:r>
        <w:rPr>
          <w:color w:val="231F20"/>
          <w:w w:val="111"/>
          <w:sz w:val="19"/>
        </w:rPr>
        <w:t>n</w:t>
      </w:r>
      <w:r>
        <w:rPr>
          <w:color w:val="231F20"/>
          <w:w w:val="98"/>
          <w:sz w:val="19"/>
        </w:rPr>
        <w:t>i</w:t>
      </w:r>
      <w:r>
        <w:rPr>
          <w:color w:val="231F20"/>
          <w:w w:val="107"/>
          <w:sz w:val="19"/>
        </w:rPr>
        <w:t>d</w:t>
      </w:r>
      <w:r>
        <w:rPr>
          <w:color w:val="231F20"/>
          <w:w w:val="108"/>
          <w:sz w:val="19"/>
        </w:rPr>
        <w:t>o</w:t>
      </w:r>
      <w:r>
        <w:rPr>
          <w:color w:val="231F20"/>
          <w:w w:val="118"/>
          <w:sz w:val="19"/>
        </w:rPr>
        <w:t>s</w:t>
      </w:r>
      <w:r>
        <w:rPr>
          <w:color w:val="231F20"/>
          <w:w w:val="66"/>
          <w:sz w:val="19"/>
        </w:rPr>
        <w:t>/</w:t>
      </w:r>
      <w:r>
        <w:rPr>
          <w:color w:val="231F20"/>
          <w:w w:val="106"/>
          <w:sz w:val="19"/>
        </w:rPr>
        <w:t>p</w:t>
      </w:r>
      <w:r>
        <w:rPr>
          <w:color w:val="231F20"/>
          <w:w w:val="105"/>
          <w:sz w:val="19"/>
        </w:rPr>
        <w:t>r</w:t>
      </w:r>
      <w:r>
        <w:rPr>
          <w:color w:val="231F20"/>
          <w:w w:val="108"/>
          <w:sz w:val="19"/>
        </w:rPr>
        <w:t>o</w:t>
      </w:r>
      <w:r>
        <w:rPr>
          <w:color w:val="231F20"/>
          <w:w w:val="108"/>
          <w:sz w:val="19"/>
        </w:rPr>
        <w:t>y</w:t>
      </w:r>
      <w:r>
        <w:rPr>
          <w:color w:val="231F20"/>
          <w:w w:val="109"/>
          <w:sz w:val="19"/>
        </w:rPr>
        <w:t>e</w:t>
      </w:r>
      <w:r>
        <w:rPr>
          <w:color w:val="231F20"/>
          <w:w w:val="115"/>
          <w:sz w:val="19"/>
        </w:rPr>
        <w:t>c</w:t>
      </w:r>
      <w:r>
        <w:rPr>
          <w:color w:val="231F20"/>
          <w:w w:val="94"/>
          <w:sz w:val="19"/>
        </w:rPr>
        <w:t>t</w:t>
      </w:r>
      <w:r>
        <w:rPr>
          <w:color w:val="231F20"/>
          <w:w w:val="108"/>
          <w:sz w:val="19"/>
        </w:rPr>
        <w:t>o</w:t>
      </w:r>
      <w:r>
        <w:rPr>
          <w:color w:val="231F20"/>
          <w:w w:val="118"/>
          <w:sz w:val="19"/>
        </w:rPr>
        <w:t>s</w:t>
      </w:r>
      <w:r>
        <w:rPr>
          <w:color w:val="231F20"/>
          <w:w w:val="66"/>
          <w:sz w:val="19"/>
        </w:rPr>
        <w:t>/</w:t>
      </w:r>
      <w:r>
        <w:rPr>
          <w:color w:val="231F20"/>
          <w:w w:val="108"/>
          <w:sz w:val="19"/>
        </w:rPr>
        <w:t>a</w:t>
      </w:r>
      <w:r>
        <w:rPr>
          <w:color w:val="231F20"/>
          <w:w w:val="110"/>
          <w:sz w:val="19"/>
        </w:rPr>
        <w:t>g</w:t>
      </w:r>
      <w:r>
        <w:rPr>
          <w:color w:val="231F20"/>
          <w:w w:val="105"/>
          <w:sz w:val="19"/>
        </w:rPr>
        <w:t>r</w:t>
      </w:r>
      <w:r>
        <w:rPr>
          <w:color w:val="231F20"/>
          <w:w w:val="108"/>
          <w:sz w:val="19"/>
        </w:rPr>
        <w:t>o</w:t>
      </w:r>
      <w:r>
        <w:rPr>
          <w:color w:val="231F20"/>
          <w:w w:val="66"/>
          <w:sz w:val="19"/>
        </w:rPr>
        <w:t>/</w:t>
      </w:r>
      <w:r>
        <w:rPr>
          <w:color w:val="231F20"/>
          <w:w w:val="115"/>
          <w:sz w:val="19"/>
        </w:rPr>
        <w:t>c</w:t>
      </w:r>
      <w:r>
        <w:rPr>
          <w:color w:val="231F20"/>
          <w:w w:val="108"/>
          <w:sz w:val="19"/>
        </w:rPr>
        <w:t>a</w:t>
      </w:r>
      <w:r>
        <w:rPr>
          <w:color w:val="231F20"/>
          <w:w w:val="102"/>
          <w:sz w:val="19"/>
        </w:rPr>
        <w:t>2007</w:t>
      </w:r>
      <w:r>
        <w:rPr>
          <w:color w:val="231F20"/>
          <w:w w:val="66"/>
          <w:sz w:val="19"/>
        </w:rPr>
        <w:t>/</w:t>
      </w:r>
      <w:r>
        <w:rPr>
          <w:color w:val="231F20"/>
          <w:w w:val="105"/>
          <w:sz w:val="19"/>
        </w:rPr>
        <w:t>r</w:t>
      </w:r>
      <w:r>
        <w:rPr>
          <w:color w:val="231F20"/>
          <w:w w:val="109"/>
          <w:sz w:val="19"/>
        </w:rPr>
        <w:t>e</w:t>
      </w:r>
      <w:r>
        <w:rPr>
          <w:color w:val="231F20"/>
          <w:w w:val="118"/>
          <w:sz w:val="19"/>
        </w:rPr>
        <w:t>s</w:t>
      </w:r>
      <w:r>
        <w:rPr>
          <w:color w:val="231F20"/>
          <w:w w:val="113"/>
          <w:sz w:val="19"/>
        </w:rPr>
        <w:t>u</w:t>
      </w:r>
      <w:r>
        <w:rPr>
          <w:color w:val="231F20"/>
          <w:w w:val="101"/>
          <w:sz w:val="19"/>
        </w:rPr>
        <w:t>l</w:t>
      </w:r>
      <w:r>
        <w:rPr>
          <w:color w:val="231F20"/>
          <w:w w:val="94"/>
          <w:sz w:val="19"/>
        </w:rPr>
        <w:t>t</w:t>
      </w:r>
      <w:r>
        <w:rPr>
          <w:color w:val="231F20"/>
          <w:w w:val="108"/>
          <w:sz w:val="19"/>
        </w:rPr>
        <w:t>a</w:t>
      </w:r>
      <w:r>
        <w:rPr>
          <w:color w:val="231F20"/>
          <w:w w:val="107"/>
          <w:sz w:val="19"/>
        </w:rPr>
        <w:t>d</w:t>
      </w:r>
      <w:r>
        <w:rPr>
          <w:color w:val="231F20"/>
          <w:w w:val="108"/>
          <w:sz w:val="19"/>
        </w:rPr>
        <w:t>o</w:t>
      </w:r>
      <w:r>
        <w:rPr>
          <w:color w:val="231F20"/>
          <w:w w:val="118"/>
          <w:sz w:val="19"/>
        </w:rPr>
        <w:t>s</w:t>
      </w:r>
      <w:r>
        <w:rPr>
          <w:color w:val="231F20"/>
          <w:w w:val="134"/>
          <w:sz w:val="19"/>
        </w:rPr>
        <w:t>_</w:t>
      </w:r>
      <w:r>
        <w:rPr>
          <w:color w:val="231F20"/>
          <w:w w:val="108"/>
          <w:sz w:val="19"/>
        </w:rPr>
        <w:t>a</w:t>
      </w:r>
      <w:r>
        <w:rPr>
          <w:color w:val="231F20"/>
          <w:w w:val="110"/>
          <w:sz w:val="19"/>
        </w:rPr>
        <w:t>g</w:t>
      </w:r>
      <w:r>
        <w:rPr>
          <w:color w:val="231F20"/>
          <w:w w:val="105"/>
          <w:sz w:val="19"/>
        </w:rPr>
        <w:t>r</w:t>
      </w:r>
      <w:r>
        <w:rPr>
          <w:color w:val="231F20"/>
          <w:w w:val="98"/>
          <w:sz w:val="19"/>
        </w:rPr>
        <w:t>i</w:t>
      </w:r>
      <w:r>
        <w:rPr>
          <w:color w:val="231F20"/>
          <w:w w:val="115"/>
          <w:sz w:val="19"/>
        </w:rPr>
        <w:t>c</w:t>
      </w:r>
      <w:r>
        <w:rPr>
          <w:color w:val="231F20"/>
          <w:w w:val="108"/>
          <w:sz w:val="19"/>
        </w:rPr>
        <w:t>o</w:t>
      </w:r>
      <w:r>
        <w:rPr>
          <w:color w:val="231F20"/>
          <w:w w:val="101"/>
          <w:sz w:val="19"/>
        </w:rPr>
        <w:t>l</w:t>
      </w:r>
      <w:r>
        <w:rPr>
          <w:color w:val="231F20"/>
          <w:w w:val="108"/>
          <w:sz w:val="19"/>
        </w:rPr>
        <w:t>a</w:t>
      </w:r>
      <w:r>
        <w:rPr>
          <w:color w:val="231F20"/>
          <w:w w:val="66"/>
          <w:sz w:val="19"/>
        </w:rPr>
        <w:t>/</w:t>
      </w:r>
      <w:r>
        <w:rPr>
          <w:color w:val="231F20"/>
          <w:w w:val="107"/>
          <w:sz w:val="19"/>
        </w:rPr>
        <w:t>d</w:t>
      </w:r>
      <w:r>
        <w:rPr>
          <w:color w:val="231F20"/>
          <w:w w:val="109"/>
          <w:sz w:val="19"/>
        </w:rPr>
        <w:t>e</w:t>
      </w:r>
      <w:r>
        <w:rPr>
          <w:color w:val="231F20"/>
          <w:w w:val="108"/>
          <w:sz w:val="19"/>
        </w:rPr>
        <w:t>f</w:t>
      </w:r>
      <w:r>
        <w:rPr>
          <w:color w:val="231F20"/>
          <w:w w:val="108"/>
          <w:sz w:val="19"/>
        </w:rPr>
        <w:t>a</w:t>
      </w:r>
      <w:r>
        <w:rPr>
          <w:color w:val="231F20"/>
          <w:w w:val="113"/>
          <w:sz w:val="19"/>
        </w:rPr>
        <w:t>u</w:t>
      </w:r>
      <w:r>
        <w:rPr>
          <w:color w:val="231F20"/>
          <w:w w:val="101"/>
          <w:sz w:val="19"/>
        </w:rPr>
        <w:t>l</w:t>
      </w:r>
      <w:r>
        <w:rPr>
          <w:color w:val="231F20"/>
          <w:w w:val="94"/>
          <w:sz w:val="19"/>
        </w:rPr>
        <w:t>t</w:t>
      </w:r>
      <w:r>
        <w:rPr>
          <w:color w:val="231F20"/>
          <w:w w:val="128"/>
          <w:sz w:val="19"/>
        </w:rPr>
        <w:t>. </w:t>
      </w:r>
      <w:r>
        <w:rPr>
          <w:color w:val="231F20"/>
          <w:w w:val="105"/>
          <w:sz w:val="19"/>
        </w:rPr>
        <w:t>aspx (fecha de consulta: septiembre de     2014).</w:t>
      </w:r>
    </w:p>
    <w:p>
      <w:pPr>
        <w:spacing w:line="222" w:lineRule="exact" w:before="0"/>
        <w:ind w:left="124" w:right="0" w:firstLine="0"/>
        <w:jc w:val="left"/>
        <w:rPr>
          <w:sz w:val="19"/>
        </w:rPr>
      </w:pPr>
      <w:r>
        <w:rPr>
          <w:rFonts w:ascii="Times New Roman" w:hAnsi="Times New Roman"/>
          <w:color w:val="231F20"/>
          <w:w w:val="105"/>
          <w:sz w:val="15"/>
        </w:rPr>
        <w:t>INEGI  </w:t>
      </w:r>
      <w:r>
        <w:rPr>
          <w:color w:val="231F20"/>
          <w:w w:val="105"/>
          <w:sz w:val="19"/>
        </w:rPr>
        <w:t>(2012),  </w:t>
      </w:r>
      <w:r>
        <w:rPr>
          <w:i/>
          <w:color w:val="231F20"/>
          <w:w w:val="105"/>
          <w:sz w:val="19"/>
        </w:rPr>
        <w:t>Atlas  Agropecuario de México, </w:t>
      </w:r>
      <w:r>
        <w:rPr>
          <w:color w:val="231F20"/>
          <w:w w:val="105"/>
          <w:sz w:val="19"/>
        </w:rPr>
        <w:t>México.</w:t>
      </w:r>
    </w:p>
    <w:p>
      <w:pPr>
        <w:spacing w:line="261" w:lineRule="auto" w:before="19"/>
        <w:ind w:left="484" w:right="113" w:hanging="360"/>
        <w:jc w:val="both"/>
        <w:rPr>
          <w:sz w:val="19"/>
        </w:rPr>
      </w:pPr>
      <w:r>
        <w:rPr>
          <w:rFonts w:ascii="Times New Roman" w:hAnsi="Times New Roman"/>
          <w:color w:val="231F20"/>
          <w:w w:val="110"/>
          <w:sz w:val="19"/>
        </w:rPr>
        <w:t>J</w:t>
      </w:r>
      <w:r>
        <w:rPr>
          <w:rFonts w:ascii="Times New Roman" w:hAnsi="Times New Roman"/>
          <w:color w:val="231F20"/>
          <w:w w:val="110"/>
          <w:sz w:val="15"/>
        </w:rPr>
        <w:t>OHNSTON</w:t>
      </w:r>
      <w:r>
        <w:rPr>
          <w:rFonts w:ascii="Times New Roman" w:hAnsi="Times New Roman"/>
          <w:color w:val="231F20"/>
          <w:w w:val="110"/>
          <w:sz w:val="19"/>
        </w:rPr>
        <w:t>, </w:t>
      </w:r>
      <w:r>
        <w:rPr>
          <w:color w:val="231F20"/>
          <w:w w:val="110"/>
          <w:sz w:val="19"/>
        </w:rPr>
        <w:t>R.J., Derek Gregory y David M. Smith (eds.) (2000), </w:t>
      </w:r>
      <w:r>
        <w:rPr>
          <w:i/>
          <w:color w:val="231F20"/>
          <w:w w:val="110"/>
          <w:sz w:val="19"/>
        </w:rPr>
        <w:t>Diccionario Akal </w:t>
      </w:r>
      <w:r>
        <w:rPr>
          <w:i/>
          <w:color w:val="231F20"/>
          <w:w w:val="110"/>
          <w:sz w:val="19"/>
        </w:rPr>
        <w:t>de Geografía Humana, </w:t>
      </w:r>
      <w:r>
        <w:rPr>
          <w:color w:val="231F20"/>
          <w:w w:val="110"/>
          <w:sz w:val="19"/>
        </w:rPr>
        <w:t>Madrid, Akal.</w:t>
      </w:r>
    </w:p>
    <w:p>
      <w:pPr>
        <w:spacing w:line="261" w:lineRule="auto" w:before="0"/>
        <w:ind w:left="484" w:right="113" w:hanging="360"/>
        <w:jc w:val="both"/>
        <w:rPr>
          <w:sz w:val="19"/>
        </w:rPr>
      </w:pPr>
      <w:r>
        <w:rPr>
          <w:rFonts w:ascii="Times New Roman" w:hAnsi="Times New Roman"/>
          <w:color w:val="231F20"/>
          <w:w w:val="110"/>
          <w:sz w:val="19"/>
        </w:rPr>
        <w:t>M</w:t>
      </w:r>
      <w:r>
        <w:rPr>
          <w:rFonts w:ascii="Times New Roman" w:hAnsi="Times New Roman"/>
          <w:color w:val="231F20"/>
          <w:w w:val="110"/>
          <w:sz w:val="15"/>
        </w:rPr>
        <w:t>ORA</w:t>
      </w:r>
      <w:r>
        <w:rPr>
          <w:rFonts w:ascii="Times New Roman" w:hAnsi="Times New Roman"/>
          <w:color w:val="231F20"/>
          <w:spacing w:val="-7"/>
          <w:w w:val="110"/>
          <w:sz w:val="15"/>
        </w:rPr>
        <w:t> </w:t>
      </w:r>
      <w:r>
        <w:rPr>
          <w:rFonts w:ascii="Times New Roman" w:hAnsi="Times New Roman"/>
          <w:color w:val="231F20"/>
          <w:w w:val="110"/>
          <w:sz w:val="19"/>
        </w:rPr>
        <w:t>D</w:t>
      </w:r>
      <w:r>
        <w:rPr>
          <w:rFonts w:ascii="Times New Roman" w:hAnsi="Times New Roman"/>
          <w:color w:val="231F20"/>
          <w:w w:val="110"/>
          <w:sz w:val="15"/>
        </w:rPr>
        <w:t>ELGADO</w:t>
      </w:r>
      <w:r>
        <w:rPr>
          <w:rFonts w:ascii="Times New Roman" w:hAnsi="Times New Roman"/>
          <w:color w:val="231F20"/>
          <w:w w:val="110"/>
          <w:sz w:val="19"/>
        </w:rPr>
        <w:t>,</w:t>
      </w:r>
      <w:r>
        <w:rPr>
          <w:rFonts w:ascii="Times New Roman" w:hAnsi="Times New Roman"/>
          <w:color w:val="231F20"/>
          <w:spacing w:val="-18"/>
          <w:w w:val="110"/>
          <w:sz w:val="19"/>
        </w:rPr>
        <w:t> </w:t>
      </w:r>
      <w:r>
        <w:rPr>
          <w:color w:val="231F20"/>
          <w:w w:val="110"/>
          <w:sz w:val="19"/>
        </w:rPr>
        <w:t>Jairo</w:t>
      </w:r>
      <w:r>
        <w:rPr>
          <w:color w:val="231F20"/>
          <w:spacing w:val="-12"/>
          <w:w w:val="110"/>
          <w:sz w:val="19"/>
        </w:rPr>
        <w:t> </w:t>
      </w:r>
      <w:r>
        <w:rPr>
          <w:color w:val="231F20"/>
          <w:w w:val="110"/>
          <w:sz w:val="19"/>
        </w:rPr>
        <w:t>(2008),</w:t>
      </w:r>
      <w:r>
        <w:rPr>
          <w:color w:val="231F20"/>
          <w:spacing w:val="-12"/>
          <w:w w:val="110"/>
          <w:sz w:val="19"/>
        </w:rPr>
        <w:t> </w:t>
      </w:r>
      <w:r>
        <w:rPr>
          <w:color w:val="231F20"/>
          <w:w w:val="110"/>
          <w:sz w:val="19"/>
        </w:rPr>
        <w:t>“Persistencia,</w:t>
      </w:r>
      <w:r>
        <w:rPr>
          <w:color w:val="231F20"/>
          <w:spacing w:val="-12"/>
          <w:w w:val="110"/>
          <w:sz w:val="19"/>
        </w:rPr>
        <w:t> </w:t>
      </w:r>
      <w:r>
        <w:rPr>
          <w:color w:val="231F20"/>
          <w:w w:val="110"/>
          <w:sz w:val="19"/>
        </w:rPr>
        <w:t>conocimiento</w:t>
      </w:r>
      <w:r>
        <w:rPr>
          <w:color w:val="231F20"/>
          <w:spacing w:val="-12"/>
          <w:w w:val="110"/>
          <w:sz w:val="19"/>
        </w:rPr>
        <w:t> </w:t>
      </w:r>
      <w:r>
        <w:rPr>
          <w:color w:val="231F20"/>
          <w:w w:val="110"/>
          <w:sz w:val="19"/>
        </w:rPr>
        <w:t>local</w:t>
      </w:r>
      <w:r>
        <w:rPr>
          <w:color w:val="231F20"/>
          <w:spacing w:val="-12"/>
          <w:w w:val="110"/>
          <w:sz w:val="19"/>
        </w:rPr>
        <w:t> </w:t>
      </w:r>
      <w:r>
        <w:rPr>
          <w:color w:val="231F20"/>
          <w:w w:val="110"/>
          <w:sz w:val="19"/>
        </w:rPr>
        <w:t>y</w:t>
      </w:r>
      <w:r>
        <w:rPr>
          <w:color w:val="231F20"/>
          <w:spacing w:val="-12"/>
          <w:w w:val="110"/>
          <w:sz w:val="19"/>
        </w:rPr>
        <w:t> </w:t>
      </w:r>
      <w:r>
        <w:rPr>
          <w:color w:val="231F20"/>
          <w:w w:val="110"/>
          <w:sz w:val="19"/>
        </w:rPr>
        <w:t>estrategias</w:t>
      </w:r>
      <w:r>
        <w:rPr>
          <w:color w:val="231F20"/>
          <w:spacing w:val="-12"/>
          <w:w w:val="110"/>
          <w:sz w:val="19"/>
        </w:rPr>
        <w:t> </w:t>
      </w:r>
      <w:r>
        <w:rPr>
          <w:color w:val="231F20"/>
          <w:w w:val="110"/>
          <w:sz w:val="19"/>
        </w:rPr>
        <w:t>de vida en sociedades campesinas”, </w:t>
      </w:r>
      <w:r>
        <w:rPr>
          <w:i/>
          <w:color w:val="231F20"/>
          <w:spacing w:val="-3"/>
          <w:w w:val="110"/>
          <w:sz w:val="19"/>
        </w:rPr>
        <w:t>Revista </w:t>
      </w:r>
      <w:r>
        <w:rPr>
          <w:i/>
          <w:color w:val="231F20"/>
          <w:w w:val="110"/>
          <w:sz w:val="19"/>
        </w:rPr>
        <w:t>de Estudios Sociales</w:t>
      </w:r>
      <w:r>
        <w:rPr>
          <w:color w:val="231F20"/>
          <w:w w:val="110"/>
          <w:sz w:val="19"/>
        </w:rPr>
        <w:t>, núm. 29, Bo- gotá, Facultad de Ciencias Sociales, Universidad de los Andes, pp.</w:t>
      </w:r>
      <w:r>
        <w:rPr>
          <w:color w:val="231F20"/>
          <w:spacing w:val="-16"/>
          <w:w w:val="110"/>
          <w:sz w:val="19"/>
        </w:rPr>
        <w:t> </w:t>
      </w:r>
      <w:r>
        <w:rPr>
          <w:color w:val="231F20"/>
          <w:w w:val="110"/>
          <w:sz w:val="19"/>
        </w:rPr>
        <w:t>122-133, </w:t>
      </w:r>
      <w:hyperlink r:id="rId144">
        <w:r>
          <w:rPr>
            <w:color w:val="231F20"/>
            <w:w w:val="113"/>
            <w:sz w:val="19"/>
          </w:rPr>
          <w:t>h</w:t>
        </w:r>
        <w:r>
          <w:rPr>
            <w:color w:val="231F20"/>
            <w:w w:val="94"/>
            <w:sz w:val="19"/>
          </w:rPr>
          <w:t>tt</w:t>
        </w:r>
        <w:r>
          <w:rPr>
            <w:color w:val="231F20"/>
            <w:w w:val="106"/>
            <w:sz w:val="19"/>
          </w:rPr>
          <w:t>p</w:t>
        </w:r>
        <w:r>
          <w:rPr>
            <w:color w:val="231F20"/>
            <w:w w:val="131"/>
            <w:sz w:val="19"/>
          </w:rPr>
          <w:t>:</w:t>
        </w:r>
        <w:r>
          <w:rPr>
            <w:color w:val="231F20"/>
            <w:w w:val="66"/>
            <w:sz w:val="19"/>
          </w:rPr>
          <w:t>//</w:t>
        </w:r>
        <w:r>
          <w:rPr>
            <w:color w:val="231F20"/>
            <w:w w:val="105"/>
            <w:sz w:val="19"/>
          </w:rPr>
          <w:t>r</w:t>
        </w:r>
        <w:r>
          <w:rPr>
            <w:color w:val="231F20"/>
            <w:w w:val="109"/>
            <w:sz w:val="19"/>
          </w:rPr>
          <w:t>e</w:t>
        </w:r>
        <w:r>
          <w:rPr>
            <w:color w:val="231F20"/>
            <w:w w:val="118"/>
            <w:sz w:val="19"/>
          </w:rPr>
          <w:t>s</w:t>
        </w:r>
        <w:r>
          <w:rPr>
            <w:color w:val="231F20"/>
            <w:w w:val="128"/>
            <w:sz w:val="19"/>
          </w:rPr>
          <w:t>.</w:t>
        </w:r>
        <w:r>
          <w:rPr>
            <w:color w:val="231F20"/>
            <w:w w:val="113"/>
            <w:sz w:val="19"/>
          </w:rPr>
          <w:t>u</w:t>
        </w:r>
        <w:r>
          <w:rPr>
            <w:color w:val="231F20"/>
            <w:w w:val="111"/>
            <w:sz w:val="19"/>
          </w:rPr>
          <w:t>n</w:t>
        </w:r>
        <w:r>
          <w:rPr>
            <w:color w:val="231F20"/>
            <w:w w:val="98"/>
            <w:sz w:val="19"/>
          </w:rPr>
          <w:t>i</w:t>
        </w:r>
        <w:r>
          <w:rPr>
            <w:color w:val="231F20"/>
            <w:w w:val="108"/>
            <w:sz w:val="19"/>
          </w:rPr>
          <w:t>a</w:t>
        </w:r>
        <w:r>
          <w:rPr>
            <w:color w:val="231F20"/>
            <w:w w:val="111"/>
            <w:sz w:val="19"/>
          </w:rPr>
          <w:t>n</w:t>
        </w:r>
        <w:r>
          <w:rPr>
            <w:color w:val="231F20"/>
            <w:w w:val="107"/>
            <w:sz w:val="19"/>
          </w:rPr>
          <w:t>d</w:t>
        </w:r>
        <w:r>
          <w:rPr>
            <w:color w:val="231F20"/>
            <w:w w:val="109"/>
            <w:sz w:val="19"/>
          </w:rPr>
          <w:t>e</w:t>
        </w:r>
        <w:r>
          <w:rPr>
            <w:color w:val="231F20"/>
            <w:w w:val="118"/>
            <w:sz w:val="19"/>
          </w:rPr>
          <w:t>s</w:t>
        </w:r>
        <w:r>
          <w:rPr>
            <w:color w:val="231F20"/>
            <w:w w:val="128"/>
            <w:sz w:val="19"/>
          </w:rPr>
          <w:t>.</w:t>
        </w:r>
        <w:r>
          <w:rPr>
            <w:color w:val="231F20"/>
            <w:w w:val="109"/>
            <w:sz w:val="19"/>
          </w:rPr>
          <w:t>e</w:t>
        </w:r>
        <w:r>
          <w:rPr>
            <w:color w:val="231F20"/>
            <w:w w:val="107"/>
            <w:sz w:val="19"/>
          </w:rPr>
          <w:t>d</w:t>
        </w:r>
        <w:r>
          <w:rPr>
            <w:color w:val="231F20"/>
            <w:w w:val="113"/>
            <w:sz w:val="19"/>
          </w:rPr>
          <w:t>u</w:t>
        </w:r>
        <w:r>
          <w:rPr>
            <w:color w:val="231F20"/>
            <w:w w:val="128"/>
            <w:sz w:val="19"/>
          </w:rPr>
          <w:t>.</w:t>
        </w:r>
        <w:r>
          <w:rPr>
            <w:color w:val="231F20"/>
            <w:w w:val="115"/>
            <w:sz w:val="19"/>
          </w:rPr>
          <w:t>c</w:t>
        </w:r>
        <w:r>
          <w:rPr>
            <w:color w:val="231F20"/>
            <w:w w:val="108"/>
            <w:sz w:val="19"/>
          </w:rPr>
          <w:t>o</w:t>
        </w:r>
        <w:r>
          <w:rPr>
            <w:color w:val="231F20"/>
            <w:w w:val="66"/>
            <w:sz w:val="19"/>
          </w:rPr>
          <w:t>/</w:t>
        </w:r>
        <w:r>
          <w:rPr>
            <w:color w:val="231F20"/>
            <w:w w:val="98"/>
            <w:sz w:val="19"/>
          </w:rPr>
          <w:t>i</w:t>
        </w:r>
        <w:r>
          <w:rPr>
            <w:color w:val="231F20"/>
            <w:w w:val="111"/>
            <w:sz w:val="19"/>
          </w:rPr>
          <w:t>n</w:t>
        </w:r>
        <w:r>
          <w:rPr>
            <w:color w:val="231F20"/>
            <w:w w:val="107"/>
            <w:sz w:val="19"/>
          </w:rPr>
          <w:t>d</w:t>
        </w:r>
        <w:r>
          <w:rPr>
            <w:color w:val="231F20"/>
            <w:spacing w:val="-4"/>
            <w:w w:val="109"/>
            <w:sz w:val="19"/>
          </w:rPr>
          <w:t>e</w:t>
        </w:r>
        <w:r>
          <w:rPr>
            <w:color w:val="231F20"/>
            <w:w w:val="118"/>
            <w:sz w:val="19"/>
          </w:rPr>
          <w:t>x</w:t>
        </w:r>
        <w:r>
          <w:rPr>
            <w:color w:val="231F20"/>
            <w:w w:val="108"/>
            <w:sz w:val="19"/>
          </w:rPr>
          <w:t>a</w:t>
        </w:r>
        <w:r>
          <w:rPr>
            <w:color w:val="231F20"/>
            <w:spacing w:val="-16"/>
            <w:w w:val="105"/>
            <w:sz w:val="19"/>
          </w:rPr>
          <w:t>r</w:t>
        </w:r>
        <w:r>
          <w:rPr>
            <w:color w:val="231F20"/>
            <w:w w:val="128"/>
            <w:sz w:val="19"/>
          </w:rPr>
          <w:t>.</w:t>
        </w:r>
        <w:r>
          <w:rPr>
            <w:color w:val="231F20"/>
            <w:w w:val="106"/>
            <w:sz w:val="19"/>
          </w:rPr>
          <w:t>p</w:t>
        </w:r>
        <w:r>
          <w:rPr>
            <w:color w:val="231F20"/>
            <w:w w:val="113"/>
            <w:sz w:val="19"/>
          </w:rPr>
          <w:t>h</w:t>
        </w:r>
        <w:r>
          <w:rPr>
            <w:color w:val="231F20"/>
            <w:w w:val="106"/>
            <w:sz w:val="19"/>
          </w:rPr>
          <w:t>p</w:t>
        </w:r>
        <w:r>
          <w:rPr>
            <w:color w:val="231F20"/>
            <w:w w:val="108"/>
            <w:sz w:val="19"/>
          </w:rPr>
          <w:t>?</w:t>
        </w:r>
        <w:r>
          <w:rPr>
            <w:color w:val="231F20"/>
            <w:w w:val="115"/>
            <w:sz w:val="19"/>
          </w:rPr>
          <w:t>c</w:t>
        </w:r>
        <w:r>
          <w:rPr>
            <w:color w:val="231F20"/>
            <w:w w:val="150"/>
            <w:sz w:val="19"/>
          </w:rPr>
          <w:t>=</w:t>
        </w:r>
        <w:r>
          <w:rPr>
            <w:color w:val="231F20"/>
            <w:spacing w:val="-4"/>
            <w:w w:val="108"/>
            <w:sz w:val="19"/>
          </w:rPr>
          <w:t>R</w:t>
        </w:r>
        <w:r>
          <w:rPr>
            <w:color w:val="231F20"/>
            <w:w w:val="109"/>
            <w:sz w:val="19"/>
          </w:rPr>
          <w:t>e</w:t>
        </w:r>
        <w:r>
          <w:rPr>
            <w:color w:val="231F20"/>
            <w:w w:val="108"/>
            <w:sz w:val="19"/>
          </w:rPr>
          <w:t>v</w:t>
        </w:r>
        <w:r>
          <w:rPr>
            <w:color w:val="231F20"/>
            <w:w w:val="98"/>
            <w:sz w:val="19"/>
          </w:rPr>
          <w:t>i</w:t>
        </w:r>
        <w:r>
          <w:rPr>
            <w:color w:val="231F20"/>
            <w:w w:val="118"/>
            <w:sz w:val="19"/>
          </w:rPr>
          <w:t>s</w:t>
        </w:r>
        <w:r>
          <w:rPr>
            <w:color w:val="231F20"/>
            <w:w w:val="94"/>
            <w:sz w:val="19"/>
          </w:rPr>
          <w:t>t</w:t>
        </w:r>
        <w:r>
          <w:rPr>
            <w:color w:val="231F20"/>
            <w:w w:val="108"/>
            <w:sz w:val="19"/>
          </w:rPr>
          <w:t>a</w:t>
        </w:r>
        <w:r>
          <w:rPr>
            <w:color w:val="231F20"/>
            <w:w w:val="150"/>
            <w:sz w:val="19"/>
          </w:rPr>
          <w:t>+</w:t>
        </w:r>
        <w:r>
          <w:rPr>
            <w:color w:val="231F20"/>
            <w:w w:val="119"/>
            <w:sz w:val="19"/>
          </w:rPr>
          <w:t>N</w:t>
        </w:r>
        <w:r>
          <w:rPr>
            <w:color w:val="231F20"/>
            <w:w w:val="108"/>
            <w:sz w:val="19"/>
          </w:rPr>
          <w:t>o</w:t>
        </w:r>
        <w:r>
          <w:rPr>
            <w:color w:val="231F20"/>
            <w:w w:val="150"/>
            <w:sz w:val="19"/>
          </w:rPr>
          <w:t>+</w:t>
        </w:r>
        <w:r>
          <w:rPr>
            <w:color w:val="231F20"/>
            <w:w w:val="102"/>
            <w:sz w:val="19"/>
          </w:rPr>
          <w:t>29</w:t>
        </w:r>
      </w:hyperlink>
      <w:r>
        <w:rPr>
          <w:color w:val="231F20"/>
          <w:sz w:val="19"/>
        </w:rPr>
        <w:t> </w:t>
      </w:r>
      <w:r>
        <w:rPr>
          <w:color w:val="231F20"/>
          <w:spacing w:val="-14"/>
          <w:sz w:val="19"/>
        </w:rPr>
        <w:t> </w:t>
      </w:r>
      <w:r>
        <w:rPr>
          <w:color w:val="231F20"/>
          <w:w w:val="81"/>
          <w:sz w:val="19"/>
        </w:rPr>
        <w:t>(</w:t>
      </w:r>
      <w:r>
        <w:rPr>
          <w:color w:val="231F20"/>
          <w:w w:val="108"/>
          <w:sz w:val="19"/>
        </w:rPr>
        <w:t>f</w:t>
      </w:r>
      <w:r>
        <w:rPr>
          <w:color w:val="231F20"/>
          <w:w w:val="109"/>
          <w:sz w:val="19"/>
        </w:rPr>
        <w:t>e</w:t>
      </w:r>
      <w:r>
        <w:rPr>
          <w:color w:val="231F20"/>
          <w:w w:val="115"/>
          <w:sz w:val="19"/>
        </w:rPr>
        <w:t>c</w:t>
      </w:r>
      <w:r>
        <w:rPr>
          <w:color w:val="231F20"/>
          <w:w w:val="113"/>
          <w:sz w:val="19"/>
        </w:rPr>
        <w:t>h</w:t>
      </w:r>
      <w:r>
        <w:rPr>
          <w:color w:val="231F20"/>
          <w:w w:val="108"/>
          <w:sz w:val="19"/>
        </w:rPr>
        <w:t>a</w:t>
      </w:r>
      <w:r>
        <w:rPr>
          <w:color w:val="231F20"/>
          <w:sz w:val="19"/>
        </w:rPr>
        <w:t> </w:t>
      </w:r>
      <w:r>
        <w:rPr>
          <w:color w:val="231F20"/>
          <w:spacing w:val="-14"/>
          <w:sz w:val="19"/>
        </w:rPr>
        <w:t> </w:t>
      </w:r>
      <w:r>
        <w:rPr>
          <w:color w:val="231F20"/>
          <w:w w:val="107"/>
          <w:sz w:val="19"/>
        </w:rPr>
        <w:t>d</w:t>
      </w:r>
      <w:r>
        <w:rPr>
          <w:color w:val="231F20"/>
          <w:w w:val="109"/>
          <w:sz w:val="19"/>
        </w:rPr>
        <w:t>e</w:t>
      </w:r>
      <w:r>
        <w:rPr>
          <w:color w:val="231F20"/>
          <w:sz w:val="19"/>
        </w:rPr>
        <w:t> </w:t>
      </w:r>
      <w:r>
        <w:rPr>
          <w:color w:val="231F20"/>
          <w:spacing w:val="-14"/>
          <w:sz w:val="19"/>
        </w:rPr>
        <w:t> </w:t>
      </w:r>
      <w:r>
        <w:rPr>
          <w:color w:val="231F20"/>
          <w:w w:val="115"/>
          <w:sz w:val="19"/>
        </w:rPr>
        <w:t>c</w:t>
      </w:r>
      <w:r>
        <w:rPr>
          <w:color w:val="231F20"/>
          <w:w w:val="108"/>
          <w:sz w:val="19"/>
        </w:rPr>
        <w:t>o</w:t>
      </w:r>
      <w:r>
        <w:rPr>
          <w:color w:val="231F20"/>
          <w:spacing w:val="3"/>
          <w:w w:val="111"/>
          <w:sz w:val="19"/>
        </w:rPr>
        <w:t>n</w:t>
      </w:r>
      <w:r>
        <w:rPr>
          <w:color w:val="231F20"/>
          <w:w w:val="93"/>
          <w:sz w:val="19"/>
        </w:rPr>
        <w:t>- </w:t>
      </w:r>
      <w:r>
        <w:rPr>
          <w:color w:val="231F20"/>
          <w:w w:val="110"/>
          <w:sz w:val="19"/>
        </w:rPr>
        <w:t>sulta: 13 de mayo de</w:t>
      </w:r>
      <w:r>
        <w:rPr>
          <w:color w:val="231F20"/>
          <w:spacing w:val="-6"/>
          <w:w w:val="110"/>
          <w:sz w:val="19"/>
        </w:rPr>
        <w:t> </w:t>
      </w:r>
      <w:r>
        <w:rPr>
          <w:color w:val="231F20"/>
          <w:w w:val="110"/>
          <w:sz w:val="19"/>
        </w:rPr>
        <w:t>2014).</w:t>
      </w:r>
    </w:p>
    <w:p>
      <w:pPr>
        <w:spacing w:line="261" w:lineRule="auto" w:before="0"/>
        <w:ind w:left="484" w:right="113" w:hanging="360"/>
        <w:jc w:val="both"/>
        <w:rPr>
          <w:sz w:val="19"/>
        </w:rPr>
      </w:pPr>
      <w:r>
        <w:rPr>
          <w:rFonts w:ascii="Times New Roman"/>
          <w:color w:val="231F20"/>
          <w:w w:val="105"/>
          <w:sz w:val="19"/>
        </w:rPr>
        <w:t>N</w:t>
      </w:r>
      <w:r>
        <w:rPr>
          <w:rFonts w:ascii="Times New Roman"/>
          <w:color w:val="231F20"/>
          <w:w w:val="105"/>
          <w:sz w:val="15"/>
        </w:rPr>
        <w:t>AZAREA</w:t>
      </w:r>
      <w:r>
        <w:rPr>
          <w:rFonts w:ascii="Times New Roman"/>
          <w:color w:val="231F20"/>
          <w:w w:val="105"/>
          <w:sz w:val="19"/>
        </w:rPr>
        <w:t>, </w:t>
      </w:r>
      <w:r>
        <w:rPr>
          <w:color w:val="231F20"/>
          <w:w w:val="105"/>
          <w:sz w:val="19"/>
        </w:rPr>
        <w:t>Virginia, D. (1995), </w:t>
      </w:r>
      <w:r>
        <w:rPr>
          <w:i/>
          <w:color w:val="231F20"/>
          <w:w w:val="105"/>
          <w:sz w:val="19"/>
        </w:rPr>
        <w:t>Local knowledge and Agricultural Decision Making  </w:t>
      </w:r>
      <w:r>
        <w:rPr>
          <w:i/>
          <w:color w:val="231F20"/>
          <w:w w:val="105"/>
          <w:sz w:val="19"/>
        </w:rPr>
        <w:t>in  the  Philippines:  Class,  </w:t>
      </w:r>
      <w:r>
        <w:rPr>
          <w:i/>
          <w:color w:val="231F20"/>
          <w:spacing w:val="-4"/>
          <w:w w:val="105"/>
          <w:sz w:val="19"/>
        </w:rPr>
        <w:t>Gender,  </w:t>
      </w:r>
      <w:r>
        <w:rPr>
          <w:i/>
          <w:color w:val="231F20"/>
          <w:w w:val="105"/>
          <w:sz w:val="19"/>
        </w:rPr>
        <w:t>and  Resistance,  </w:t>
      </w:r>
      <w:r>
        <w:rPr>
          <w:color w:val="231F20"/>
          <w:w w:val="105"/>
          <w:sz w:val="19"/>
        </w:rPr>
        <w:t>College  University</w:t>
      </w:r>
      <w:r>
        <w:rPr>
          <w:color w:val="231F20"/>
          <w:spacing w:val="-9"/>
          <w:w w:val="105"/>
          <w:sz w:val="19"/>
        </w:rPr>
        <w:t> </w:t>
      </w:r>
      <w:r>
        <w:rPr>
          <w:color w:val="231F20"/>
          <w:w w:val="105"/>
          <w:sz w:val="19"/>
        </w:rPr>
        <w:t>Press.</w:t>
      </w:r>
    </w:p>
    <w:p>
      <w:pPr>
        <w:spacing w:line="261" w:lineRule="auto" w:before="0"/>
        <w:ind w:left="484" w:right="113" w:hanging="360"/>
        <w:jc w:val="both"/>
        <w:rPr>
          <w:sz w:val="19"/>
        </w:rPr>
      </w:pPr>
      <w:r>
        <w:rPr>
          <w:rFonts w:ascii="Times New Roman" w:hAnsi="Times New Roman"/>
          <w:color w:val="231F20"/>
          <w:w w:val="110"/>
          <w:sz w:val="19"/>
        </w:rPr>
        <w:t>P</w:t>
      </w:r>
      <w:r>
        <w:rPr>
          <w:rFonts w:ascii="Times New Roman" w:hAnsi="Times New Roman"/>
          <w:color w:val="231F20"/>
          <w:w w:val="110"/>
          <w:sz w:val="15"/>
        </w:rPr>
        <w:t>ALERM</w:t>
      </w:r>
      <w:r>
        <w:rPr>
          <w:rFonts w:ascii="Times New Roman" w:hAnsi="Times New Roman"/>
          <w:color w:val="231F20"/>
          <w:w w:val="110"/>
          <w:sz w:val="19"/>
        </w:rPr>
        <w:t>, </w:t>
      </w:r>
      <w:r>
        <w:rPr>
          <w:color w:val="231F20"/>
          <w:w w:val="110"/>
          <w:sz w:val="19"/>
        </w:rPr>
        <w:t>Ángel (1976), “Sobre la formación del sistema colonial”, en </w:t>
      </w:r>
      <w:r>
        <w:rPr>
          <w:i/>
          <w:color w:val="231F20"/>
          <w:w w:val="110"/>
          <w:sz w:val="19"/>
        </w:rPr>
        <w:t>México: </w:t>
      </w:r>
      <w:r>
        <w:rPr>
          <w:i/>
          <w:color w:val="231F20"/>
          <w:w w:val="110"/>
          <w:sz w:val="19"/>
        </w:rPr>
        <w:t>Apuntes para una discusión</w:t>
      </w:r>
      <w:r>
        <w:rPr>
          <w:color w:val="231F20"/>
          <w:w w:val="110"/>
          <w:sz w:val="19"/>
        </w:rPr>
        <w:t>, México, La Casa   Chata.</w:t>
      </w:r>
    </w:p>
    <w:p>
      <w:pPr>
        <w:tabs>
          <w:tab w:pos="844" w:val="left" w:leader="none"/>
        </w:tabs>
        <w:spacing w:line="222" w:lineRule="exact" w:before="0"/>
        <w:ind w:left="124" w:right="0" w:firstLine="0"/>
        <w:jc w:val="left"/>
        <w:rPr>
          <w:i/>
          <w:sz w:val="19"/>
        </w:rPr>
      </w:pPr>
      <w:r>
        <w:rPr>
          <w:color w:val="231F20"/>
          <w:w w:val="128"/>
          <w:sz w:val="19"/>
          <w:u w:val="single" w:color="231F20"/>
        </w:rPr>
        <w:t> </w:t>
      </w:r>
      <w:r>
        <w:rPr>
          <w:color w:val="231F20"/>
          <w:sz w:val="19"/>
          <w:u w:val="single" w:color="231F20"/>
        </w:rPr>
        <w:tab/>
      </w:r>
      <w:r>
        <w:rPr>
          <w:color w:val="231F20"/>
          <w:sz w:val="19"/>
        </w:rPr>
        <w:t> </w:t>
      </w:r>
      <w:r>
        <w:rPr>
          <w:color w:val="231F20"/>
          <w:spacing w:val="-6"/>
          <w:sz w:val="19"/>
        </w:rPr>
        <w:t> </w:t>
      </w:r>
      <w:r>
        <w:rPr>
          <w:color w:val="231F20"/>
          <w:w w:val="105"/>
          <w:sz w:val="19"/>
        </w:rPr>
        <w:t>(1998),  </w:t>
      </w:r>
      <w:r>
        <w:rPr>
          <w:i/>
          <w:color w:val="231F20"/>
          <w:w w:val="105"/>
          <w:sz w:val="19"/>
        </w:rPr>
        <w:t>Antropología y marxismo, con una presentación de Eric R.   </w:t>
      </w:r>
      <w:r>
        <w:rPr>
          <w:i/>
          <w:color w:val="231F20"/>
          <w:spacing w:val="39"/>
          <w:w w:val="105"/>
          <w:sz w:val="19"/>
        </w:rPr>
        <w:t> </w:t>
      </w:r>
      <w:r>
        <w:rPr>
          <w:i/>
          <w:color w:val="231F20"/>
          <w:spacing w:val="-3"/>
          <w:w w:val="105"/>
          <w:sz w:val="19"/>
        </w:rPr>
        <w:t>Wolf,</w:t>
      </w:r>
    </w:p>
    <w:p>
      <w:pPr>
        <w:spacing w:before="19"/>
        <w:ind w:left="484" w:right="0" w:firstLine="0"/>
        <w:jc w:val="left"/>
        <w:rPr>
          <w:sz w:val="19"/>
        </w:rPr>
      </w:pPr>
      <w:r>
        <w:rPr>
          <w:color w:val="231F20"/>
          <w:w w:val="110"/>
          <w:sz w:val="19"/>
        </w:rPr>
        <w:t>México, Colección Antropología, Serie Clásicos de la Casa    Chata, </w:t>
      </w:r>
      <w:r>
        <w:rPr>
          <w:rFonts w:ascii="Times New Roman" w:hAnsi="Times New Roman"/>
          <w:color w:val="231F20"/>
          <w:w w:val="110"/>
          <w:sz w:val="15"/>
        </w:rPr>
        <w:t>CIESAS</w:t>
      </w:r>
      <w:r>
        <w:rPr>
          <w:color w:val="231F20"/>
          <w:w w:val="110"/>
          <w:sz w:val="19"/>
        </w:rPr>
        <w:t>.</w:t>
      </w:r>
    </w:p>
    <w:p>
      <w:pPr>
        <w:spacing w:line="261" w:lineRule="auto" w:before="19"/>
        <w:ind w:left="484" w:right="113" w:hanging="360"/>
        <w:jc w:val="both"/>
        <w:rPr>
          <w:sz w:val="19"/>
        </w:rPr>
      </w:pPr>
      <w:r>
        <w:rPr>
          <w:rFonts w:ascii="Times New Roman" w:hAnsi="Times New Roman"/>
          <w:color w:val="231F20"/>
          <w:w w:val="110"/>
          <w:sz w:val="19"/>
        </w:rPr>
        <w:t>R</w:t>
      </w:r>
      <w:r>
        <w:rPr>
          <w:rFonts w:ascii="Times New Roman" w:hAnsi="Times New Roman"/>
          <w:color w:val="231F20"/>
          <w:w w:val="110"/>
          <w:sz w:val="15"/>
        </w:rPr>
        <w:t>EYES </w:t>
      </w:r>
      <w:r>
        <w:rPr>
          <w:rFonts w:ascii="Times New Roman" w:hAnsi="Times New Roman"/>
          <w:color w:val="231F20"/>
          <w:w w:val="110"/>
          <w:sz w:val="19"/>
        </w:rPr>
        <w:t>M</w:t>
      </w:r>
      <w:r>
        <w:rPr>
          <w:rFonts w:ascii="Times New Roman" w:hAnsi="Times New Roman"/>
          <w:color w:val="231F20"/>
          <w:w w:val="110"/>
          <w:sz w:val="15"/>
        </w:rPr>
        <w:t>ONTES</w:t>
      </w:r>
      <w:r>
        <w:rPr>
          <w:rFonts w:ascii="Times New Roman" w:hAnsi="Times New Roman"/>
          <w:color w:val="231F20"/>
          <w:w w:val="110"/>
          <w:sz w:val="19"/>
        </w:rPr>
        <w:t>, </w:t>
      </w:r>
      <w:r>
        <w:rPr>
          <w:color w:val="231F20"/>
          <w:w w:val="110"/>
          <w:sz w:val="19"/>
        </w:rPr>
        <w:t>Laura (2003), “Adaptación sociocultural en Santiago </w:t>
      </w:r>
      <w:r>
        <w:rPr>
          <w:color w:val="231F20"/>
          <w:spacing w:val="-4"/>
          <w:w w:val="110"/>
          <w:sz w:val="19"/>
        </w:rPr>
        <w:t>Yeché: </w:t>
      </w:r>
      <w:r>
        <w:rPr>
          <w:color w:val="231F20"/>
          <w:w w:val="110"/>
          <w:sz w:val="19"/>
        </w:rPr>
        <w:t>un estudio</w:t>
      </w:r>
      <w:r>
        <w:rPr>
          <w:color w:val="231F20"/>
          <w:spacing w:val="-11"/>
          <w:w w:val="110"/>
          <w:sz w:val="19"/>
        </w:rPr>
        <w:t> </w:t>
      </w:r>
      <w:r>
        <w:rPr>
          <w:color w:val="231F20"/>
          <w:w w:val="110"/>
          <w:sz w:val="19"/>
        </w:rPr>
        <w:t>de</w:t>
      </w:r>
      <w:r>
        <w:rPr>
          <w:color w:val="231F20"/>
          <w:spacing w:val="-11"/>
          <w:w w:val="110"/>
          <w:sz w:val="19"/>
        </w:rPr>
        <w:t> </w:t>
      </w:r>
      <w:r>
        <w:rPr>
          <w:color w:val="231F20"/>
          <w:w w:val="110"/>
          <w:sz w:val="19"/>
        </w:rPr>
        <w:t>Ecología</w:t>
      </w:r>
      <w:r>
        <w:rPr>
          <w:color w:val="231F20"/>
          <w:spacing w:val="-11"/>
          <w:w w:val="110"/>
          <w:sz w:val="19"/>
        </w:rPr>
        <w:t> </w:t>
      </w:r>
      <w:r>
        <w:rPr>
          <w:color w:val="231F20"/>
          <w:w w:val="110"/>
          <w:sz w:val="19"/>
        </w:rPr>
        <w:t>cultural</w:t>
      </w:r>
      <w:r>
        <w:rPr>
          <w:color w:val="231F20"/>
          <w:spacing w:val="-11"/>
          <w:w w:val="110"/>
          <w:sz w:val="19"/>
        </w:rPr>
        <w:t> </w:t>
      </w:r>
      <w:r>
        <w:rPr>
          <w:color w:val="231F20"/>
          <w:w w:val="110"/>
          <w:sz w:val="19"/>
        </w:rPr>
        <w:t>en</w:t>
      </w:r>
      <w:r>
        <w:rPr>
          <w:color w:val="231F20"/>
          <w:spacing w:val="-11"/>
          <w:w w:val="110"/>
          <w:sz w:val="19"/>
        </w:rPr>
        <w:t> </w:t>
      </w:r>
      <w:r>
        <w:rPr>
          <w:color w:val="231F20"/>
          <w:w w:val="110"/>
          <w:sz w:val="19"/>
        </w:rPr>
        <w:t>México”,</w:t>
      </w:r>
      <w:r>
        <w:rPr>
          <w:color w:val="231F20"/>
          <w:spacing w:val="-11"/>
          <w:w w:val="110"/>
          <w:sz w:val="19"/>
        </w:rPr>
        <w:t> </w:t>
      </w:r>
      <w:r>
        <w:rPr>
          <w:color w:val="231F20"/>
          <w:w w:val="110"/>
          <w:sz w:val="19"/>
        </w:rPr>
        <w:t>tesis</w:t>
      </w:r>
      <w:r>
        <w:rPr>
          <w:color w:val="231F20"/>
          <w:spacing w:val="-11"/>
          <w:w w:val="110"/>
          <w:sz w:val="19"/>
        </w:rPr>
        <w:t> </w:t>
      </w:r>
      <w:r>
        <w:rPr>
          <w:color w:val="231F20"/>
          <w:w w:val="110"/>
          <w:sz w:val="19"/>
        </w:rPr>
        <w:t>de</w:t>
      </w:r>
      <w:r>
        <w:rPr>
          <w:color w:val="231F20"/>
          <w:spacing w:val="-11"/>
          <w:w w:val="110"/>
          <w:sz w:val="19"/>
        </w:rPr>
        <w:t> </w:t>
      </w:r>
      <w:r>
        <w:rPr>
          <w:color w:val="231F20"/>
          <w:w w:val="110"/>
          <w:sz w:val="19"/>
        </w:rPr>
        <w:t>doctorado</w:t>
      </w:r>
      <w:r>
        <w:rPr>
          <w:color w:val="231F20"/>
          <w:spacing w:val="-14"/>
          <w:w w:val="110"/>
          <w:sz w:val="19"/>
        </w:rPr>
        <w:t> </w:t>
      </w:r>
      <w:r>
        <w:rPr>
          <w:color w:val="231F20"/>
          <w:w w:val="110"/>
          <w:sz w:val="19"/>
        </w:rPr>
        <w:t>en</w:t>
      </w:r>
      <w:r>
        <w:rPr>
          <w:color w:val="231F20"/>
          <w:spacing w:val="-11"/>
          <w:w w:val="110"/>
          <w:sz w:val="19"/>
        </w:rPr>
        <w:t> </w:t>
      </w:r>
      <w:r>
        <w:rPr>
          <w:color w:val="231F20"/>
          <w:w w:val="110"/>
          <w:sz w:val="19"/>
        </w:rPr>
        <w:t>Antropología Social, México, Universidad </w:t>
      </w:r>
      <w:r>
        <w:rPr>
          <w:color w:val="231F20"/>
          <w:spacing w:val="9"/>
          <w:w w:val="110"/>
          <w:sz w:val="19"/>
        </w:rPr>
        <w:t> </w:t>
      </w:r>
      <w:r>
        <w:rPr>
          <w:color w:val="231F20"/>
          <w:w w:val="110"/>
          <w:sz w:val="19"/>
        </w:rPr>
        <w:t>Iberoamericana.</w:t>
      </w:r>
    </w:p>
    <w:p>
      <w:pPr>
        <w:tabs>
          <w:tab w:pos="844" w:val="left" w:leader="none"/>
        </w:tabs>
        <w:spacing w:line="261" w:lineRule="auto" w:before="0"/>
        <w:ind w:left="484" w:right="113" w:hanging="360"/>
        <w:jc w:val="both"/>
        <w:rPr>
          <w:sz w:val="19"/>
        </w:rPr>
      </w:pPr>
      <w:r>
        <w:rPr>
          <w:color w:val="231F20"/>
          <w:w w:val="128"/>
          <w:sz w:val="19"/>
          <w:u w:val="single" w:color="231F20"/>
        </w:rPr>
        <w:t> </w:t>
      </w:r>
      <w:r>
        <w:rPr>
          <w:color w:val="231F20"/>
          <w:sz w:val="19"/>
          <w:u w:val="single" w:color="231F20"/>
        </w:rPr>
        <w:tab/>
        <w:tab/>
      </w:r>
      <w:r>
        <w:rPr>
          <w:color w:val="231F20"/>
          <w:sz w:val="19"/>
        </w:rPr>
        <w:t> </w:t>
      </w:r>
      <w:r>
        <w:rPr>
          <w:color w:val="231F20"/>
          <w:spacing w:val="-21"/>
          <w:sz w:val="19"/>
        </w:rPr>
        <w:t> </w:t>
      </w:r>
      <w:r>
        <w:rPr>
          <w:color w:val="231F20"/>
          <w:w w:val="105"/>
          <w:sz w:val="19"/>
        </w:rPr>
        <w:t>(2006),</w:t>
      </w:r>
      <w:r>
        <w:rPr>
          <w:color w:val="231F20"/>
          <w:spacing w:val="-7"/>
          <w:w w:val="105"/>
          <w:sz w:val="19"/>
        </w:rPr>
        <w:t> </w:t>
      </w:r>
      <w:r>
        <w:rPr>
          <w:i/>
          <w:color w:val="231F20"/>
          <w:w w:val="105"/>
          <w:sz w:val="19"/>
        </w:rPr>
        <w:t>Estudio</w:t>
      </w:r>
      <w:r>
        <w:rPr>
          <w:i/>
          <w:color w:val="231F20"/>
          <w:spacing w:val="-11"/>
          <w:w w:val="105"/>
          <w:sz w:val="19"/>
        </w:rPr>
        <w:t> </w:t>
      </w:r>
      <w:r>
        <w:rPr>
          <w:i/>
          <w:color w:val="231F20"/>
          <w:w w:val="105"/>
          <w:sz w:val="19"/>
        </w:rPr>
        <w:t>antropológico</w:t>
      </w:r>
      <w:r>
        <w:rPr>
          <w:i/>
          <w:color w:val="231F20"/>
          <w:spacing w:val="-11"/>
          <w:w w:val="105"/>
          <w:sz w:val="19"/>
        </w:rPr>
        <w:t> </w:t>
      </w:r>
      <w:r>
        <w:rPr>
          <w:i/>
          <w:color w:val="231F20"/>
          <w:w w:val="105"/>
          <w:sz w:val="19"/>
        </w:rPr>
        <w:t>de</w:t>
      </w:r>
      <w:r>
        <w:rPr>
          <w:i/>
          <w:color w:val="231F20"/>
          <w:spacing w:val="-11"/>
          <w:w w:val="105"/>
          <w:sz w:val="19"/>
        </w:rPr>
        <w:t> </w:t>
      </w:r>
      <w:r>
        <w:rPr>
          <w:i/>
          <w:color w:val="231F20"/>
          <w:w w:val="105"/>
          <w:sz w:val="19"/>
        </w:rPr>
        <w:t>una</w:t>
      </w:r>
      <w:r>
        <w:rPr>
          <w:i/>
          <w:color w:val="231F20"/>
          <w:spacing w:val="-11"/>
          <w:w w:val="105"/>
          <w:sz w:val="19"/>
        </w:rPr>
        <w:t> </w:t>
      </w:r>
      <w:r>
        <w:rPr>
          <w:i/>
          <w:color w:val="231F20"/>
          <w:w w:val="105"/>
          <w:sz w:val="19"/>
        </w:rPr>
        <w:t>región</w:t>
      </w:r>
      <w:r>
        <w:rPr>
          <w:i/>
          <w:color w:val="231F20"/>
          <w:spacing w:val="-11"/>
          <w:w w:val="105"/>
          <w:sz w:val="19"/>
        </w:rPr>
        <w:t> </w:t>
      </w:r>
      <w:r>
        <w:rPr>
          <w:i/>
          <w:color w:val="231F20"/>
          <w:w w:val="105"/>
          <w:sz w:val="19"/>
        </w:rPr>
        <w:t>agrícola</w:t>
      </w:r>
      <w:r>
        <w:rPr>
          <w:i/>
          <w:color w:val="231F20"/>
          <w:spacing w:val="-11"/>
          <w:w w:val="105"/>
          <w:sz w:val="19"/>
        </w:rPr>
        <w:t> </w:t>
      </w:r>
      <w:r>
        <w:rPr>
          <w:i/>
          <w:color w:val="231F20"/>
          <w:w w:val="105"/>
          <w:sz w:val="19"/>
        </w:rPr>
        <w:t>al</w:t>
      </w:r>
      <w:r>
        <w:rPr>
          <w:i/>
          <w:color w:val="231F20"/>
          <w:spacing w:val="-11"/>
          <w:w w:val="105"/>
          <w:sz w:val="19"/>
        </w:rPr>
        <w:t> </w:t>
      </w:r>
      <w:r>
        <w:rPr>
          <w:i/>
          <w:color w:val="231F20"/>
          <w:w w:val="105"/>
          <w:sz w:val="19"/>
        </w:rPr>
        <w:t>norte</w:t>
      </w:r>
      <w:r>
        <w:rPr>
          <w:i/>
          <w:color w:val="231F20"/>
          <w:spacing w:val="-11"/>
          <w:w w:val="105"/>
          <w:sz w:val="19"/>
        </w:rPr>
        <w:t> </w:t>
      </w:r>
      <w:r>
        <w:rPr>
          <w:i/>
          <w:color w:val="231F20"/>
          <w:w w:val="105"/>
          <w:sz w:val="19"/>
        </w:rPr>
        <w:t>del</w:t>
      </w:r>
      <w:r>
        <w:rPr>
          <w:i/>
          <w:color w:val="231F20"/>
          <w:spacing w:val="-11"/>
          <w:w w:val="105"/>
          <w:sz w:val="19"/>
        </w:rPr>
        <w:t> </w:t>
      </w:r>
      <w:r>
        <w:rPr>
          <w:i/>
          <w:color w:val="231F20"/>
          <w:w w:val="105"/>
          <w:sz w:val="19"/>
        </w:rPr>
        <w:t>Estado</w:t>
      </w:r>
      <w:r>
        <w:rPr>
          <w:i/>
          <w:color w:val="231F20"/>
          <w:spacing w:val="-11"/>
          <w:w w:val="105"/>
          <w:sz w:val="19"/>
        </w:rPr>
        <w:t> </w:t>
      </w:r>
      <w:r>
        <w:rPr>
          <w:i/>
          <w:color w:val="231F20"/>
          <w:w w:val="105"/>
          <w:sz w:val="19"/>
        </w:rPr>
        <w:t>de</w:t>
      </w:r>
      <w:r>
        <w:rPr>
          <w:i/>
          <w:color w:val="231F20"/>
          <w:w w:val="106"/>
          <w:sz w:val="19"/>
        </w:rPr>
        <w:t> </w:t>
      </w:r>
      <w:r>
        <w:rPr>
          <w:i/>
          <w:color w:val="231F20"/>
          <w:w w:val="110"/>
          <w:sz w:val="19"/>
        </w:rPr>
        <w:t>México, </w:t>
      </w:r>
      <w:r>
        <w:rPr>
          <w:color w:val="231F20"/>
          <w:w w:val="110"/>
          <w:sz w:val="19"/>
        </w:rPr>
        <w:t>Cuadernos de Investigación, cuarta época, vol. 46, México,  </w:t>
      </w:r>
      <w:r>
        <w:rPr>
          <w:color w:val="231F20"/>
          <w:spacing w:val="35"/>
          <w:w w:val="110"/>
          <w:sz w:val="19"/>
        </w:rPr>
        <w:t> </w:t>
      </w:r>
      <w:r>
        <w:rPr>
          <w:rFonts w:ascii="Times New Roman" w:hAnsi="Times New Roman"/>
          <w:color w:val="231F20"/>
          <w:w w:val="110"/>
          <w:sz w:val="15"/>
        </w:rPr>
        <w:t>UAEM</w:t>
      </w:r>
      <w:r>
        <w:rPr>
          <w:color w:val="231F20"/>
          <w:w w:val="110"/>
          <w:sz w:val="19"/>
        </w:rPr>
        <w:t>.</w:t>
      </w:r>
    </w:p>
    <w:p>
      <w:pPr>
        <w:tabs>
          <w:tab w:pos="844" w:val="left" w:leader="none"/>
        </w:tabs>
        <w:spacing w:line="261" w:lineRule="auto" w:before="0"/>
        <w:ind w:left="484" w:right="114" w:hanging="360"/>
        <w:jc w:val="both"/>
        <w:rPr>
          <w:sz w:val="19"/>
        </w:rPr>
      </w:pPr>
      <w:r>
        <w:rPr>
          <w:color w:val="231F20"/>
          <w:w w:val="128"/>
          <w:sz w:val="19"/>
          <w:u w:val="single" w:color="231F20"/>
        </w:rPr>
        <w:t> </w:t>
      </w:r>
      <w:r>
        <w:rPr>
          <w:color w:val="231F20"/>
          <w:sz w:val="19"/>
          <w:u w:val="single" w:color="231F20"/>
        </w:rPr>
        <w:tab/>
        <w:tab/>
      </w:r>
      <w:r>
        <w:rPr>
          <w:color w:val="231F20"/>
          <w:sz w:val="19"/>
        </w:rPr>
        <w:t> </w:t>
      </w:r>
      <w:r>
        <w:rPr>
          <w:color w:val="231F20"/>
          <w:spacing w:val="-21"/>
          <w:sz w:val="19"/>
        </w:rPr>
        <w:t> </w:t>
      </w:r>
      <w:r>
        <w:rPr>
          <w:color w:val="231F20"/>
          <w:w w:val="105"/>
          <w:sz w:val="19"/>
        </w:rPr>
        <w:t>(2007),</w:t>
      </w:r>
      <w:r>
        <w:rPr>
          <w:color w:val="231F20"/>
          <w:spacing w:val="27"/>
          <w:w w:val="105"/>
          <w:sz w:val="19"/>
        </w:rPr>
        <w:t> </w:t>
      </w:r>
      <w:r>
        <w:rPr>
          <w:color w:val="231F20"/>
          <w:w w:val="105"/>
          <w:sz w:val="19"/>
        </w:rPr>
        <w:t>“Tendencias</w:t>
      </w:r>
      <w:r>
        <w:rPr>
          <w:color w:val="231F20"/>
          <w:spacing w:val="27"/>
          <w:w w:val="105"/>
          <w:sz w:val="19"/>
        </w:rPr>
        <w:t> </w:t>
      </w:r>
      <w:r>
        <w:rPr>
          <w:color w:val="231F20"/>
          <w:w w:val="105"/>
          <w:sz w:val="19"/>
        </w:rPr>
        <w:t>de</w:t>
      </w:r>
      <w:r>
        <w:rPr>
          <w:color w:val="231F20"/>
          <w:spacing w:val="27"/>
          <w:w w:val="105"/>
          <w:sz w:val="19"/>
        </w:rPr>
        <w:t> </w:t>
      </w:r>
      <w:r>
        <w:rPr>
          <w:color w:val="231F20"/>
          <w:w w:val="105"/>
          <w:sz w:val="19"/>
        </w:rPr>
        <w:t>la</w:t>
      </w:r>
      <w:r>
        <w:rPr>
          <w:color w:val="231F20"/>
          <w:spacing w:val="27"/>
          <w:w w:val="105"/>
          <w:sz w:val="19"/>
        </w:rPr>
        <w:t> </w:t>
      </w:r>
      <w:r>
        <w:rPr>
          <w:color w:val="231F20"/>
          <w:w w:val="105"/>
          <w:sz w:val="19"/>
        </w:rPr>
        <w:t>agricultura</w:t>
      </w:r>
      <w:r>
        <w:rPr>
          <w:color w:val="231F20"/>
          <w:spacing w:val="27"/>
          <w:w w:val="105"/>
          <w:sz w:val="19"/>
        </w:rPr>
        <w:t> </w:t>
      </w:r>
      <w:r>
        <w:rPr>
          <w:color w:val="231F20"/>
          <w:w w:val="105"/>
          <w:sz w:val="19"/>
        </w:rPr>
        <w:t>en</w:t>
      </w:r>
      <w:r>
        <w:rPr>
          <w:color w:val="231F20"/>
          <w:spacing w:val="27"/>
          <w:w w:val="105"/>
          <w:sz w:val="19"/>
        </w:rPr>
        <w:t> </w:t>
      </w:r>
      <w:r>
        <w:rPr>
          <w:color w:val="231F20"/>
          <w:w w:val="105"/>
          <w:sz w:val="19"/>
        </w:rPr>
        <w:t>el</w:t>
      </w:r>
      <w:r>
        <w:rPr>
          <w:color w:val="231F20"/>
          <w:spacing w:val="27"/>
          <w:w w:val="105"/>
          <w:sz w:val="19"/>
        </w:rPr>
        <w:t> </w:t>
      </w:r>
      <w:r>
        <w:rPr>
          <w:color w:val="231F20"/>
          <w:spacing w:val="-5"/>
          <w:w w:val="105"/>
          <w:sz w:val="19"/>
        </w:rPr>
        <w:t>Valle</w:t>
      </w:r>
      <w:r>
        <w:rPr>
          <w:color w:val="231F20"/>
          <w:spacing w:val="27"/>
          <w:w w:val="105"/>
          <w:sz w:val="19"/>
        </w:rPr>
        <w:t> </w:t>
      </w:r>
      <w:r>
        <w:rPr>
          <w:color w:val="231F20"/>
          <w:w w:val="105"/>
          <w:sz w:val="19"/>
        </w:rPr>
        <w:t>de</w:t>
      </w:r>
      <w:r>
        <w:rPr>
          <w:color w:val="231F20"/>
          <w:spacing w:val="27"/>
          <w:w w:val="105"/>
          <w:sz w:val="19"/>
        </w:rPr>
        <w:t> </w:t>
      </w:r>
      <w:r>
        <w:rPr>
          <w:color w:val="231F20"/>
          <w:w w:val="105"/>
          <w:sz w:val="19"/>
        </w:rPr>
        <w:t>Ixtlahuaca,</w:t>
      </w:r>
      <w:r>
        <w:rPr>
          <w:color w:val="231F20"/>
          <w:spacing w:val="27"/>
          <w:w w:val="105"/>
          <w:sz w:val="19"/>
        </w:rPr>
        <w:t> </w:t>
      </w:r>
      <w:r>
        <w:rPr>
          <w:color w:val="231F20"/>
          <w:w w:val="105"/>
          <w:sz w:val="19"/>
        </w:rPr>
        <w:t>Estado</w:t>
      </w:r>
      <w:r>
        <w:rPr>
          <w:color w:val="231F20"/>
          <w:w w:val="109"/>
          <w:sz w:val="19"/>
        </w:rPr>
        <w:t> </w:t>
      </w:r>
      <w:r>
        <w:rPr>
          <w:color w:val="231F20"/>
          <w:w w:val="105"/>
          <w:sz w:val="19"/>
        </w:rPr>
        <w:t>de México”, en Alba González Jácome, Silvia del Amo y Francisco D. Gurri García (coords.), </w:t>
      </w:r>
      <w:r>
        <w:rPr>
          <w:i/>
          <w:color w:val="231F20"/>
          <w:w w:val="105"/>
          <w:sz w:val="19"/>
        </w:rPr>
        <w:t>Los nuevos caminos de la agricultura: procesos de conversión  </w:t>
      </w:r>
      <w:r>
        <w:rPr>
          <w:i/>
          <w:color w:val="231F20"/>
          <w:w w:val="105"/>
          <w:sz w:val="19"/>
        </w:rPr>
        <w:t>y  perspectivas,  </w:t>
      </w:r>
      <w:r>
        <w:rPr>
          <w:color w:val="231F20"/>
          <w:w w:val="105"/>
          <w:sz w:val="19"/>
        </w:rPr>
        <w:t>México,  Universidad  Iberoamericana/Plaza  y</w:t>
      </w:r>
      <w:r>
        <w:rPr>
          <w:color w:val="231F20"/>
          <w:spacing w:val="36"/>
          <w:w w:val="105"/>
          <w:sz w:val="19"/>
        </w:rPr>
        <w:t> </w:t>
      </w:r>
      <w:r>
        <w:rPr>
          <w:color w:val="231F20"/>
          <w:spacing w:val="-3"/>
          <w:w w:val="105"/>
          <w:sz w:val="19"/>
        </w:rPr>
        <w:t>Valdés.</w:t>
      </w:r>
    </w:p>
    <w:p>
      <w:pPr>
        <w:tabs>
          <w:tab w:pos="844" w:val="left" w:leader="none"/>
        </w:tabs>
        <w:spacing w:line="261" w:lineRule="auto" w:before="0"/>
        <w:ind w:left="484" w:right="114" w:hanging="360"/>
        <w:jc w:val="both"/>
        <w:rPr>
          <w:sz w:val="19"/>
        </w:rPr>
      </w:pPr>
      <w:r>
        <w:rPr>
          <w:color w:val="231F20"/>
          <w:w w:val="128"/>
          <w:sz w:val="19"/>
          <w:u w:val="single" w:color="231F20"/>
        </w:rPr>
        <w:t> </w:t>
      </w:r>
      <w:r>
        <w:rPr>
          <w:color w:val="231F20"/>
          <w:sz w:val="19"/>
          <w:u w:val="single" w:color="231F20"/>
        </w:rPr>
        <w:tab/>
        <w:tab/>
      </w:r>
      <w:r>
        <w:rPr>
          <w:color w:val="231F20"/>
          <w:spacing w:val="18"/>
          <w:sz w:val="19"/>
        </w:rPr>
        <w:t> </w:t>
      </w:r>
      <w:r>
        <w:rPr>
          <w:color w:val="231F20"/>
          <w:w w:val="110"/>
          <w:sz w:val="19"/>
        </w:rPr>
        <w:t>(2009),</w:t>
      </w:r>
      <w:r>
        <w:rPr>
          <w:color w:val="231F20"/>
          <w:spacing w:val="-7"/>
          <w:w w:val="110"/>
          <w:sz w:val="19"/>
        </w:rPr>
        <w:t> </w:t>
      </w:r>
      <w:r>
        <w:rPr>
          <w:color w:val="231F20"/>
          <w:w w:val="110"/>
          <w:sz w:val="19"/>
        </w:rPr>
        <w:t>“Mercados</w:t>
      </w:r>
      <w:r>
        <w:rPr>
          <w:color w:val="231F20"/>
          <w:spacing w:val="-7"/>
          <w:w w:val="110"/>
          <w:sz w:val="19"/>
        </w:rPr>
        <w:t> </w:t>
      </w:r>
      <w:r>
        <w:rPr>
          <w:color w:val="231F20"/>
          <w:w w:val="110"/>
          <w:sz w:val="19"/>
        </w:rPr>
        <w:t>de</w:t>
      </w:r>
      <w:r>
        <w:rPr>
          <w:color w:val="231F20"/>
          <w:spacing w:val="-7"/>
          <w:w w:val="110"/>
          <w:sz w:val="19"/>
        </w:rPr>
        <w:t> </w:t>
      </w:r>
      <w:r>
        <w:rPr>
          <w:color w:val="231F20"/>
          <w:w w:val="110"/>
          <w:sz w:val="19"/>
        </w:rPr>
        <w:t>trabajo</w:t>
      </w:r>
      <w:r>
        <w:rPr>
          <w:color w:val="231F20"/>
          <w:spacing w:val="-7"/>
          <w:w w:val="110"/>
          <w:sz w:val="19"/>
        </w:rPr>
        <w:t> </w:t>
      </w:r>
      <w:r>
        <w:rPr>
          <w:color w:val="231F20"/>
          <w:w w:val="110"/>
          <w:sz w:val="19"/>
        </w:rPr>
        <w:t>y</w:t>
      </w:r>
      <w:r>
        <w:rPr>
          <w:color w:val="231F20"/>
          <w:spacing w:val="-7"/>
          <w:w w:val="110"/>
          <w:sz w:val="19"/>
        </w:rPr>
        <w:t> </w:t>
      </w:r>
      <w:r>
        <w:rPr>
          <w:color w:val="231F20"/>
          <w:w w:val="110"/>
          <w:sz w:val="19"/>
        </w:rPr>
        <w:t>unidad</w:t>
      </w:r>
      <w:r>
        <w:rPr>
          <w:color w:val="231F20"/>
          <w:spacing w:val="-7"/>
          <w:w w:val="110"/>
          <w:sz w:val="19"/>
        </w:rPr>
        <w:t> </w:t>
      </w:r>
      <w:r>
        <w:rPr>
          <w:color w:val="231F20"/>
          <w:w w:val="110"/>
          <w:sz w:val="19"/>
        </w:rPr>
        <w:t>doméstica</w:t>
      </w:r>
      <w:r>
        <w:rPr>
          <w:color w:val="231F20"/>
          <w:spacing w:val="-7"/>
          <w:w w:val="110"/>
          <w:sz w:val="19"/>
        </w:rPr>
        <w:t> </w:t>
      </w:r>
      <w:r>
        <w:rPr>
          <w:color w:val="231F20"/>
          <w:w w:val="110"/>
          <w:sz w:val="19"/>
        </w:rPr>
        <w:t>en</w:t>
      </w:r>
      <w:r>
        <w:rPr>
          <w:color w:val="231F20"/>
          <w:spacing w:val="-7"/>
          <w:w w:val="110"/>
          <w:sz w:val="19"/>
        </w:rPr>
        <w:t> </w:t>
      </w:r>
      <w:r>
        <w:rPr>
          <w:color w:val="231F20"/>
          <w:w w:val="110"/>
          <w:sz w:val="19"/>
        </w:rPr>
        <w:t>la</w:t>
      </w:r>
      <w:r>
        <w:rPr>
          <w:color w:val="231F20"/>
          <w:spacing w:val="-7"/>
          <w:w w:val="110"/>
          <w:sz w:val="19"/>
        </w:rPr>
        <w:t> </w:t>
      </w:r>
      <w:r>
        <w:rPr>
          <w:color w:val="231F20"/>
          <w:w w:val="110"/>
          <w:sz w:val="19"/>
        </w:rPr>
        <w:t>región</w:t>
      </w:r>
      <w:r>
        <w:rPr>
          <w:color w:val="231F20"/>
          <w:spacing w:val="-7"/>
          <w:w w:val="110"/>
          <w:sz w:val="19"/>
        </w:rPr>
        <w:t> </w:t>
      </w:r>
      <w:r>
        <w:rPr>
          <w:color w:val="231F20"/>
          <w:w w:val="110"/>
          <w:sz w:val="19"/>
        </w:rPr>
        <w:t>agrícola</w:t>
      </w:r>
      <w:r>
        <w:rPr>
          <w:color w:val="231F20"/>
          <w:w w:val="108"/>
          <w:sz w:val="19"/>
        </w:rPr>
        <w:t> </w:t>
      </w:r>
      <w:r>
        <w:rPr>
          <w:color w:val="231F20"/>
          <w:w w:val="110"/>
          <w:sz w:val="19"/>
        </w:rPr>
        <w:t>del valle de Ixtlahuaca-Jocotitlán, Estado de México”, en Luz María Salazar Cruz (coord.), </w:t>
      </w:r>
      <w:r>
        <w:rPr>
          <w:i/>
          <w:color w:val="231F20"/>
          <w:w w:val="110"/>
          <w:sz w:val="19"/>
        </w:rPr>
        <w:t>Sujetos laborales en el Estado de México, </w:t>
      </w:r>
      <w:r>
        <w:rPr>
          <w:color w:val="231F20"/>
          <w:w w:val="110"/>
          <w:sz w:val="19"/>
        </w:rPr>
        <w:t>México, El Colegio Mexiquense </w:t>
      </w:r>
      <w:r>
        <w:rPr>
          <w:color w:val="231F20"/>
          <w:spacing w:val="19"/>
          <w:w w:val="110"/>
          <w:sz w:val="19"/>
        </w:rPr>
        <w:t> </w:t>
      </w:r>
      <w:r>
        <w:rPr>
          <w:color w:val="231F20"/>
          <w:w w:val="110"/>
          <w:sz w:val="19"/>
        </w:rPr>
        <w:t>A.C.</w:t>
      </w:r>
    </w:p>
    <w:p>
      <w:pPr>
        <w:spacing w:after="0" w:line="261" w:lineRule="auto"/>
        <w:jc w:val="both"/>
        <w:rPr>
          <w:sz w:val="19"/>
        </w:rPr>
        <w:sectPr>
          <w:pgSz w:w="9520" w:h="12920"/>
          <w:pgMar w:header="0" w:footer="1344" w:top="880" w:bottom="1540" w:left="1320" w:right="1000"/>
        </w:sectPr>
      </w:pPr>
    </w:p>
    <w:p>
      <w:pPr>
        <w:tabs>
          <w:tab w:pos="839" w:val="left" w:leader="none"/>
        </w:tabs>
        <w:spacing w:before="44"/>
        <w:ind w:left="120" w:right="0" w:firstLine="0"/>
        <w:jc w:val="left"/>
        <w:rPr>
          <w:i/>
          <w:sz w:val="19"/>
        </w:rPr>
      </w:pPr>
      <w:r>
        <w:rPr>
          <w:color w:val="231F20"/>
          <w:w w:val="128"/>
          <w:sz w:val="19"/>
          <w:u w:val="single" w:color="231F20"/>
        </w:rPr>
        <w:t> </w:t>
      </w:r>
      <w:r>
        <w:rPr>
          <w:color w:val="231F20"/>
          <w:sz w:val="19"/>
          <w:u w:val="single" w:color="231F20"/>
        </w:rPr>
        <w:tab/>
      </w:r>
      <w:r>
        <w:rPr>
          <w:color w:val="231F20"/>
          <w:spacing w:val="11"/>
          <w:sz w:val="19"/>
        </w:rPr>
        <w:t> </w:t>
      </w:r>
      <w:r>
        <w:rPr>
          <w:color w:val="231F20"/>
          <w:w w:val="105"/>
          <w:sz w:val="19"/>
        </w:rPr>
        <w:t>(2012),</w:t>
      </w:r>
      <w:r>
        <w:rPr>
          <w:color w:val="231F20"/>
          <w:spacing w:val="-1"/>
          <w:w w:val="105"/>
          <w:sz w:val="19"/>
        </w:rPr>
        <w:t> </w:t>
      </w:r>
      <w:r>
        <w:rPr>
          <w:i/>
          <w:color w:val="231F20"/>
          <w:w w:val="105"/>
          <w:sz w:val="19"/>
        </w:rPr>
        <w:t>Familia,</w:t>
      </w:r>
      <w:r>
        <w:rPr>
          <w:i/>
          <w:color w:val="231F20"/>
          <w:spacing w:val="-5"/>
          <w:w w:val="105"/>
          <w:sz w:val="19"/>
        </w:rPr>
        <w:t> </w:t>
      </w:r>
      <w:r>
        <w:rPr>
          <w:i/>
          <w:color w:val="231F20"/>
          <w:w w:val="105"/>
          <w:sz w:val="19"/>
        </w:rPr>
        <w:t>agricultura</w:t>
      </w:r>
      <w:r>
        <w:rPr>
          <w:i/>
          <w:color w:val="231F20"/>
          <w:spacing w:val="-5"/>
          <w:w w:val="105"/>
          <w:sz w:val="19"/>
        </w:rPr>
        <w:t> </w:t>
      </w:r>
      <w:r>
        <w:rPr>
          <w:i/>
          <w:color w:val="231F20"/>
          <w:w w:val="105"/>
          <w:sz w:val="19"/>
        </w:rPr>
        <w:t>y</w:t>
      </w:r>
      <w:r>
        <w:rPr>
          <w:i/>
          <w:color w:val="231F20"/>
          <w:spacing w:val="-5"/>
          <w:w w:val="105"/>
          <w:sz w:val="19"/>
        </w:rPr>
        <w:t> </w:t>
      </w:r>
      <w:r>
        <w:rPr>
          <w:i/>
          <w:color w:val="231F20"/>
          <w:w w:val="105"/>
          <w:sz w:val="19"/>
        </w:rPr>
        <w:t>cultura</w:t>
      </w:r>
      <w:r>
        <w:rPr>
          <w:i/>
          <w:color w:val="231F20"/>
          <w:spacing w:val="-5"/>
          <w:w w:val="105"/>
          <w:sz w:val="19"/>
        </w:rPr>
        <w:t> </w:t>
      </w:r>
      <w:r>
        <w:rPr>
          <w:i/>
          <w:color w:val="231F20"/>
          <w:w w:val="105"/>
          <w:sz w:val="19"/>
        </w:rPr>
        <w:t>en</w:t>
      </w:r>
      <w:r>
        <w:rPr>
          <w:i/>
          <w:color w:val="231F20"/>
          <w:spacing w:val="-5"/>
          <w:w w:val="105"/>
          <w:sz w:val="19"/>
        </w:rPr>
        <w:t> </w:t>
      </w:r>
      <w:r>
        <w:rPr>
          <w:i/>
          <w:color w:val="231F20"/>
          <w:w w:val="105"/>
          <w:sz w:val="19"/>
        </w:rPr>
        <w:t>México.</w:t>
      </w:r>
      <w:r>
        <w:rPr>
          <w:i/>
          <w:color w:val="231F20"/>
          <w:spacing w:val="-5"/>
          <w:w w:val="105"/>
          <w:sz w:val="19"/>
        </w:rPr>
        <w:t> </w:t>
      </w:r>
      <w:r>
        <w:rPr>
          <w:i/>
          <w:color w:val="231F20"/>
          <w:w w:val="105"/>
          <w:sz w:val="19"/>
        </w:rPr>
        <w:t>Un</w:t>
      </w:r>
      <w:r>
        <w:rPr>
          <w:i/>
          <w:color w:val="231F20"/>
          <w:spacing w:val="-5"/>
          <w:w w:val="105"/>
          <w:sz w:val="19"/>
        </w:rPr>
        <w:t> </w:t>
      </w:r>
      <w:r>
        <w:rPr>
          <w:i/>
          <w:color w:val="231F20"/>
          <w:w w:val="105"/>
          <w:sz w:val="19"/>
        </w:rPr>
        <w:t>estudio</w:t>
      </w:r>
      <w:r>
        <w:rPr>
          <w:i/>
          <w:color w:val="231F20"/>
          <w:spacing w:val="-5"/>
          <w:w w:val="105"/>
          <w:sz w:val="19"/>
        </w:rPr>
        <w:t> </w:t>
      </w:r>
      <w:r>
        <w:rPr>
          <w:i/>
          <w:color w:val="231F20"/>
          <w:w w:val="105"/>
          <w:sz w:val="19"/>
        </w:rPr>
        <w:t>antropológico,</w:t>
      </w:r>
    </w:p>
    <w:p>
      <w:pPr>
        <w:spacing w:before="25"/>
        <w:ind w:left="480" w:right="0" w:firstLine="0"/>
        <w:jc w:val="left"/>
        <w:rPr>
          <w:sz w:val="19"/>
        </w:rPr>
      </w:pPr>
      <w:r>
        <w:rPr>
          <w:color w:val="231F20"/>
          <w:w w:val="110"/>
          <w:sz w:val="19"/>
        </w:rPr>
        <w:t>Alemania, Editorial Académica Española.</w:t>
      </w:r>
    </w:p>
    <w:p>
      <w:pPr>
        <w:spacing w:line="266" w:lineRule="auto" w:before="25"/>
        <w:ind w:left="480" w:right="117" w:hanging="360"/>
        <w:jc w:val="both"/>
        <w:rPr>
          <w:sz w:val="19"/>
        </w:rPr>
      </w:pPr>
      <w:r>
        <w:rPr>
          <w:rFonts w:ascii="Times New Roman" w:hAnsi="Times New Roman"/>
          <w:color w:val="231F20"/>
          <w:w w:val="110"/>
          <w:sz w:val="19"/>
        </w:rPr>
        <w:t>R</w:t>
      </w:r>
      <w:r>
        <w:rPr>
          <w:rFonts w:ascii="Times New Roman" w:hAnsi="Times New Roman"/>
          <w:color w:val="231F20"/>
          <w:w w:val="110"/>
          <w:sz w:val="15"/>
        </w:rPr>
        <w:t>EYES </w:t>
      </w:r>
      <w:r>
        <w:rPr>
          <w:rFonts w:ascii="Times New Roman" w:hAnsi="Times New Roman"/>
          <w:color w:val="231F20"/>
          <w:w w:val="110"/>
          <w:sz w:val="19"/>
        </w:rPr>
        <w:t>M</w:t>
      </w:r>
      <w:r>
        <w:rPr>
          <w:rFonts w:ascii="Times New Roman" w:hAnsi="Times New Roman"/>
          <w:color w:val="231F20"/>
          <w:w w:val="110"/>
          <w:sz w:val="15"/>
        </w:rPr>
        <w:t>ONTES</w:t>
      </w:r>
      <w:r>
        <w:rPr>
          <w:rFonts w:ascii="Times New Roman" w:hAnsi="Times New Roman"/>
          <w:color w:val="231F20"/>
          <w:w w:val="110"/>
          <w:sz w:val="19"/>
        </w:rPr>
        <w:t>, </w:t>
      </w:r>
      <w:r>
        <w:rPr>
          <w:color w:val="231F20"/>
          <w:w w:val="110"/>
          <w:sz w:val="19"/>
        </w:rPr>
        <w:t>Laura y Beatriz Albores Zárate (2010), “Agricultura y rituales del tiempo en el </w:t>
      </w:r>
      <w:r>
        <w:rPr>
          <w:color w:val="231F20"/>
          <w:spacing w:val="-5"/>
          <w:w w:val="110"/>
          <w:sz w:val="19"/>
        </w:rPr>
        <w:t>Valle </w:t>
      </w:r>
      <w:r>
        <w:rPr>
          <w:color w:val="231F20"/>
          <w:w w:val="110"/>
          <w:sz w:val="19"/>
        </w:rPr>
        <w:t>de Ixtlahuaca-Jocotitlán, Estado de México”, en</w:t>
      </w:r>
      <w:r>
        <w:rPr>
          <w:color w:val="231F20"/>
          <w:spacing w:val="-28"/>
          <w:w w:val="110"/>
          <w:sz w:val="19"/>
        </w:rPr>
        <w:t> </w:t>
      </w:r>
      <w:r>
        <w:rPr>
          <w:i/>
          <w:color w:val="231F20"/>
          <w:w w:val="110"/>
          <w:sz w:val="19"/>
        </w:rPr>
        <w:t>Docu- </w:t>
      </w:r>
      <w:r>
        <w:rPr>
          <w:i/>
          <w:color w:val="231F20"/>
          <w:w w:val="110"/>
          <w:sz w:val="19"/>
        </w:rPr>
        <w:t>mentos de investigación</w:t>
      </w:r>
      <w:r>
        <w:rPr>
          <w:color w:val="231F20"/>
          <w:w w:val="110"/>
          <w:sz w:val="19"/>
        </w:rPr>
        <w:t>, México, El Colegio Mexiquense  </w:t>
      </w:r>
      <w:r>
        <w:rPr>
          <w:color w:val="231F20"/>
          <w:spacing w:val="2"/>
          <w:w w:val="110"/>
          <w:sz w:val="19"/>
        </w:rPr>
        <w:t> </w:t>
      </w:r>
      <w:r>
        <w:rPr>
          <w:color w:val="231F20"/>
          <w:w w:val="110"/>
          <w:sz w:val="19"/>
        </w:rPr>
        <w:t>A.C.</w:t>
      </w:r>
    </w:p>
    <w:p>
      <w:pPr>
        <w:spacing w:line="266" w:lineRule="auto" w:before="0"/>
        <w:ind w:left="480" w:right="117" w:hanging="360"/>
        <w:jc w:val="both"/>
        <w:rPr>
          <w:sz w:val="19"/>
        </w:rPr>
      </w:pPr>
      <w:r>
        <w:rPr>
          <w:rFonts w:ascii="Times New Roman" w:hAnsi="Times New Roman"/>
          <w:color w:val="231F20"/>
          <w:w w:val="105"/>
          <w:sz w:val="19"/>
        </w:rPr>
        <w:t>S</w:t>
      </w:r>
      <w:r>
        <w:rPr>
          <w:rFonts w:ascii="Times New Roman" w:hAnsi="Times New Roman"/>
          <w:color w:val="231F20"/>
          <w:w w:val="105"/>
          <w:sz w:val="15"/>
        </w:rPr>
        <w:t>OUSTELLE</w:t>
      </w:r>
      <w:r>
        <w:rPr>
          <w:rFonts w:ascii="Times New Roman" w:hAnsi="Times New Roman"/>
          <w:color w:val="231F20"/>
          <w:w w:val="105"/>
          <w:sz w:val="19"/>
        </w:rPr>
        <w:t>, </w:t>
      </w:r>
      <w:r>
        <w:rPr>
          <w:color w:val="231F20"/>
          <w:w w:val="105"/>
          <w:sz w:val="19"/>
        </w:rPr>
        <w:t>Jacques (1993), </w:t>
      </w:r>
      <w:r>
        <w:rPr>
          <w:i/>
          <w:color w:val="231F20"/>
          <w:w w:val="105"/>
          <w:sz w:val="19"/>
        </w:rPr>
        <w:t>La familia otomí-pame del centro de México, </w:t>
      </w:r>
      <w:r>
        <w:rPr>
          <w:color w:val="231F20"/>
          <w:w w:val="105"/>
          <w:sz w:val="19"/>
        </w:rPr>
        <w:t>Toluca, Instituto Mexiquense de Cultura/Universidad Autónoma del Estado de México.</w:t>
      </w:r>
    </w:p>
    <w:p>
      <w:pPr>
        <w:spacing w:line="266" w:lineRule="auto" w:before="0"/>
        <w:ind w:left="480" w:right="119" w:hanging="360"/>
        <w:jc w:val="both"/>
        <w:rPr>
          <w:sz w:val="19"/>
        </w:rPr>
      </w:pPr>
      <w:r>
        <w:rPr>
          <w:rFonts w:ascii="Times New Roman"/>
          <w:color w:val="231F20"/>
          <w:w w:val="105"/>
          <w:sz w:val="19"/>
        </w:rPr>
        <w:t>S</w:t>
      </w:r>
      <w:r>
        <w:rPr>
          <w:rFonts w:ascii="Times New Roman"/>
          <w:color w:val="231F20"/>
          <w:w w:val="105"/>
          <w:sz w:val="15"/>
        </w:rPr>
        <w:t>TEWARD</w:t>
      </w:r>
      <w:r>
        <w:rPr>
          <w:rFonts w:ascii="Times New Roman"/>
          <w:color w:val="231F20"/>
          <w:w w:val="105"/>
          <w:sz w:val="19"/>
        </w:rPr>
        <w:t>, </w:t>
      </w:r>
      <w:r>
        <w:rPr>
          <w:color w:val="231F20"/>
          <w:w w:val="105"/>
          <w:sz w:val="19"/>
        </w:rPr>
        <w:t>Julian H. (1955), </w:t>
      </w:r>
      <w:r>
        <w:rPr>
          <w:i/>
          <w:color w:val="231F20"/>
          <w:w w:val="105"/>
          <w:sz w:val="19"/>
        </w:rPr>
        <w:t>Theory of Culture Change the Methodology of Multili- </w:t>
      </w:r>
      <w:r>
        <w:rPr>
          <w:i/>
          <w:color w:val="231F20"/>
          <w:w w:val="105"/>
          <w:sz w:val="19"/>
        </w:rPr>
        <w:t>near  Evolution,  </w:t>
      </w:r>
      <w:r>
        <w:rPr>
          <w:color w:val="231F20"/>
          <w:w w:val="105"/>
          <w:sz w:val="19"/>
        </w:rPr>
        <w:t>University  of  Illinois Press.</w:t>
      </w:r>
    </w:p>
    <w:p>
      <w:pPr>
        <w:spacing w:line="266" w:lineRule="auto" w:before="0"/>
        <w:ind w:left="480" w:right="117" w:hanging="360"/>
        <w:jc w:val="both"/>
        <w:rPr>
          <w:sz w:val="19"/>
        </w:rPr>
      </w:pPr>
      <w:r>
        <w:rPr>
          <w:color w:val="231F20"/>
          <w:w w:val="105"/>
          <w:sz w:val="19"/>
        </w:rPr>
        <w:t>Secretaría del Convenio sobre la Diversidad Biológica (2011), </w:t>
      </w:r>
      <w:r>
        <w:rPr>
          <w:i/>
          <w:color w:val="231F20"/>
          <w:w w:val="105"/>
          <w:sz w:val="19"/>
        </w:rPr>
        <w:t>Protocolo de Na- </w:t>
      </w:r>
      <w:r>
        <w:rPr>
          <w:i/>
          <w:color w:val="231F20"/>
          <w:w w:val="105"/>
          <w:sz w:val="19"/>
        </w:rPr>
        <w:t>goya sobre Acceso a los Recursos Genéticos y Participación Justa y Equitativa  en los Beneficios que se Deriven de su Utilización al Convenio sobre la Diversi- dad  Biológica:  </w:t>
      </w:r>
      <w:r>
        <w:rPr>
          <w:i/>
          <w:color w:val="231F20"/>
          <w:spacing w:val="-3"/>
          <w:w w:val="105"/>
          <w:sz w:val="19"/>
        </w:rPr>
        <w:t>Texto  </w:t>
      </w:r>
      <w:r>
        <w:rPr>
          <w:i/>
          <w:color w:val="231F20"/>
          <w:w w:val="105"/>
          <w:sz w:val="19"/>
        </w:rPr>
        <w:t>y  Anexo,  </w:t>
      </w:r>
      <w:r>
        <w:rPr>
          <w:color w:val="231F20"/>
          <w:w w:val="105"/>
          <w:sz w:val="19"/>
        </w:rPr>
        <w:t>Montreal,  Quebec,</w:t>
      </w:r>
      <w:r>
        <w:rPr>
          <w:color w:val="231F20"/>
          <w:spacing w:val="-9"/>
          <w:w w:val="105"/>
          <w:sz w:val="19"/>
        </w:rPr>
        <w:t> </w:t>
      </w:r>
      <w:r>
        <w:rPr>
          <w:color w:val="231F20"/>
          <w:w w:val="105"/>
          <w:sz w:val="19"/>
        </w:rPr>
        <w:t>Canadá.</w:t>
      </w:r>
    </w:p>
    <w:p>
      <w:pPr>
        <w:spacing w:line="266" w:lineRule="auto" w:before="0"/>
        <w:ind w:left="479" w:right="118" w:hanging="360"/>
        <w:jc w:val="both"/>
        <w:rPr>
          <w:sz w:val="19"/>
        </w:rPr>
      </w:pPr>
      <w:r>
        <w:rPr>
          <w:rFonts w:ascii="Times New Roman" w:hAnsi="Times New Roman"/>
          <w:color w:val="231F20"/>
          <w:w w:val="105"/>
          <w:sz w:val="19"/>
        </w:rPr>
        <w:t>V</w:t>
      </w:r>
      <w:r>
        <w:rPr>
          <w:rFonts w:ascii="Times New Roman" w:hAnsi="Times New Roman"/>
          <w:color w:val="231F20"/>
          <w:w w:val="105"/>
          <w:sz w:val="15"/>
        </w:rPr>
        <w:t>ELASCO </w:t>
      </w:r>
      <w:r>
        <w:rPr>
          <w:rFonts w:ascii="Times New Roman" w:hAnsi="Times New Roman"/>
          <w:color w:val="231F20"/>
          <w:w w:val="105"/>
          <w:sz w:val="19"/>
        </w:rPr>
        <w:t>G</w:t>
      </w:r>
      <w:r>
        <w:rPr>
          <w:rFonts w:ascii="Times New Roman" w:hAnsi="Times New Roman"/>
          <w:color w:val="231F20"/>
          <w:w w:val="105"/>
          <w:sz w:val="15"/>
        </w:rPr>
        <w:t>ODOY</w:t>
      </w:r>
      <w:r>
        <w:rPr>
          <w:color w:val="231F20"/>
          <w:w w:val="105"/>
          <w:sz w:val="19"/>
        </w:rPr>
        <w:t>, María de los Ángeles  (2005),  </w:t>
      </w:r>
      <w:r>
        <w:rPr>
          <w:i/>
          <w:color w:val="231F20"/>
          <w:w w:val="105"/>
          <w:sz w:val="19"/>
        </w:rPr>
        <w:t>La historia de un cambio en el  </w:t>
      </w:r>
      <w:r>
        <w:rPr>
          <w:i/>
          <w:color w:val="231F20"/>
          <w:spacing w:val="-5"/>
          <w:w w:val="105"/>
          <w:sz w:val="19"/>
        </w:rPr>
        <w:t>Valle </w:t>
      </w:r>
      <w:r>
        <w:rPr>
          <w:i/>
          <w:color w:val="231F20"/>
          <w:w w:val="105"/>
          <w:sz w:val="19"/>
        </w:rPr>
        <w:t>de Ixtlahuaca. La formación de un pueblo colonial, </w:t>
      </w:r>
      <w:r>
        <w:rPr>
          <w:color w:val="231F20"/>
          <w:w w:val="105"/>
          <w:sz w:val="19"/>
        </w:rPr>
        <w:t>México, Universidad Autónoma  del  Estado  de </w:t>
      </w:r>
      <w:r>
        <w:rPr>
          <w:color w:val="231F20"/>
          <w:spacing w:val="6"/>
          <w:w w:val="105"/>
          <w:sz w:val="19"/>
        </w:rPr>
        <w:t> </w:t>
      </w:r>
      <w:r>
        <w:rPr>
          <w:color w:val="231F20"/>
          <w:w w:val="105"/>
          <w:sz w:val="19"/>
        </w:rPr>
        <w:t>México.</w:t>
      </w:r>
    </w:p>
    <w:p>
      <w:pPr>
        <w:spacing w:line="266" w:lineRule="auto" w:before="0"/>
        <w:ind w:left="479" w:right="119" w:hanging="360"/>
        <w:jc w:val="both"/>
        <w:rPr>
          <w:sz w:val="19"/>
        </w:rPr>
      </w:pPr>
      <w:r>
        <w:rPr>
          <w:rFonts w:ascii="Times New Roman" w:hAnsi="Times New Roman"/>
          <w:color w:val="231F20"/>
          <w:w w:val="110"/>
          <w:sz w:val="19"/>
        </w:rPr>
        <w:t>V</w:t>
      </w:r>
      <w:r>
        <w:rPr>
          <w:rFonts w:ascii="Times New Roman" w:hAnsi="Times New Roman"/>
          <w:color w:val="231F20"/>
          <w:w w:val="110"/>
          <w:sz w:val="15"/>
        </w:rPr>
        <w:t>IQUEIRA</w:t>
      </w:r>
      <w:r>
        <w:rPr>
          <w:rFonts w:ascii="Times New Roman" w:hAnsi="Times New Roman"/>
          <w:color w:val="231F20"/>
          <w:w w:val="110"/>
          <w:sz w:val="19"/>
        </w:rPr>
        <w:t>,</w:t>
      </w:r>
      <w:r>
        <w:rPr>
          <w:rFonts w:ascii="Times New Roman" w:hAnsi="Times New Roman"/>
          <w:color w:val="231F20"/>
          <w:spacing w:val="-26"/>
          <w:w w:val="110"/>
          <w:sz w:val="19"/>
        </w:rPr>
        <w:t> </w:t>
      </w:r>
      <w:r>
        <w:rPr>
          <w:color w:val="231F20"/>
          <w:w w:val="110"/>
          <w:sz w:val="19"/>
        </w:rPr>
        <w:t>Carmen</w:t>
      </w:r>
      <w:r>
        <w:rPr>
          <w:color w:val="231F20"/>
          <w:spacing w:val="-19"/>
          <w:w w:val="110"/>
          <w:sz w:val="19"/>
        </w:rPr>
        <w:t> </w:t>
      </w:r>
      <w:r>
        <w:rPr>
          <w:color w:val="231F20"/>
          <w:w w:val="110"/>
          <w:sz w:val="19"/>
        </w:rPr>
        <w:t>(2001),</w:t>
      </w:r>
      <w:r>
        <w:rPr>
          <w:color w:val="231F20"/>
          <w:spacing w:val="-19"/>
          <w:w w:val="110"/>
          <w:sz w:val="19"/>
        </w:rPr>
        <w:t> </w:t>
      </w:r>
      <w:r>
        <w:rPr>
          <w:i/>
          <w:color w:val="231F20"/>
          <w:w w:val="110"/>
          <w:sz w:val="19"/>
        </w:rPr>
        <w:t>El</w:t>
      </w:r>
      <w:r>
        <w:rPr>
          <w:i/>
          <w:color w:val="231F20"/>
          <w:spacing w:val="-22"/>
          <w:w w:val="110"/>
          <w:sz w:val="19"/>
        </w:rPr>
        <w:t> </w:t>
      </w:r>
      <w:r>
        <w:rPr>
          <w:i/>
          <w:color w:val="231F20"/>
          <w:w w:val="110"/>
          <w:sz w:val="19"/>
        </w:rPr>
        <w:t>enfoque</w:t>
      </w:r>
      <w:r>
        <w:rPr>
          <w:i/>
          <w:color w:val="231F20"/>
          <w:spacing w:val="-22"/>
          <w:w w:val="110"/>
          <w:sz w:val="19"/>
        </w:rPr>
        <w:t> </w:t>
      </w:r>
      <w:r>
        <w:rPr>
          <w:i/>
          <w:color w:val="231F20"/>
          <w:w w:val="110"/>
          <w:sz w:val="19"/>
        </w:rPr>
        <w:t>regional</w:t>
      </w:r>
      <w:r>
        <w:rPr>
          <w:i/>
          <w:color w:val="231F20"/>
          <w:spacing w:val="-22"/>
          <w:w w:val="110"/>
          <w:sz w:val="19"/>
        </w:rPr>
        <w:t> </w:t>
      </w:r>
      <w:r>
        <w:rPr>
          <w:i/>
          <w:color w:val="231F20"/>
          <w:w w:val="110"/>
          <w:sz w:val="19"/>
        </w:rPr>
        <w:t>en</w:t>
      </w:r>
      <w:r>
        <w:rPr>
          <w:i/>
          <w:color w:val="231F20"/>
          <w:spacing w:val="-22"/>
          <w:w w:val="110"/>
          <w:sz w:val="19"/>
        </w:rPr>
        <w:t> </w:t>
      </w:r>
      <w:r>
        <w:rPr>
          <w:i/>
          <w:color w:val="231F20"/>
          <w:w w:val="110"/>
          <w:sz w:val="19"/>
        </w:rPr>
        <w:t>antropología,</w:t>
      </w:r>
      <w:r>
        <w:rPr>
          <w:i/>
          <w:color w:val="231F20"/>
          <w:spacing w:val="-22"/>
          <w:w w:val="110"/>
          <w:sz w:val="19"/>
        </w:rPr>
        <w:t> </w:t>
      </w:r>
      <w:r>
        <w:rPr>
          <w:color w:val="231F20"/>
          <w:w w:val="110"/>
          <w:sz w:val="19"/>
        </w:rPr>
        <w:t>México,</w:t>
      </w:r>
      <w:r>
        <w:rPr>
          <w:color w:val="231F20"/>
          <w:spacing w:val="-19"/>
          <w:w w:val="110"/>
          <w:sz w:val="19"/>
        </w:rPr>
        <w:t> </w:t>
      </w:r>
      <w:r>
        <w:rPr>
          <w:color w:val="231F20"/>
          <w:w w:val="110"/>
          <w:sz w:val="19"/>
        </w:rPr>
        <w:t>Universi- dad</w:t>
      </w:r>
      <w:r>
        <w:rPr>
          <w:color w:val="231F20"/>
          <w:spacing w:val="-2"/>
          <w:w w:val="110"/>
          <w:sz w:val="19"/>
        </w:rPr>
        <w:t> </w:t>
      </w:r>
      <w:r>
        <w:rPr>
          <w:color w:val="231F20"/>
          <w:w w:val="110"/>
          <w:sz w:val="19"/>
        </w:rPr>
        <w:t>Iberoamericana.</w:t>
      </w:r>
    </w:p>
    <w:p>
      <w:pPr>
        <w:spacing w:line="266" w:lineRule="auto" w:before="0"/>
        <w:ind w:left="480" w:right="119" w:hanging="360"/>
        <w:jc w:val="both"/>
        <w:rPr>
          <w:sz w:val="19"/>
        </w:rPr>
      </w:pPr>
      <w:r>
        <w:rPr>
          <w:rFonts w:ascii="Times New Roman" w:hAnsi="Times New Roman"/>
          <w:color w:val="231F20"/>
          <w:w w:val="110"/>
          <w:sz w:val="19"/>
        </w:rPr>
        <w:t>W</w:t>
      </w:r>
      <w:r>
        <w:rPr>
          <w:rFonts w:ascii="Times New Roman" w:hAnsi="Times New Roman"/>
          <w:color w:val="231F20"/>
          <w:w w:val="110"/>
          <w:sz w:val="15"/>
        </w:rPr>
        <w:t>ARMAN</w:t>
      </w:r>
      <w:r>
        <w:rPr>
          <w:rFonts w:ascii="Times New Roman" w:hAnsi="Times New Roman"/>
          <w:color w:val="231F20"/>
          <w:w w:val="110"/>
          <w:sz w:val="19"/>
        </w:rPr>
        <w:t>, </w:t>
      </w:r>
      <w:r>
        <w:rPr>
          <w:color w:val="231F20"/>
          <w:w w:val="110"/>
          <w:sz w:val="19"/>
        </w:rPr>
        <w:t>Arturo (1976), </w:t>
      </w:r>
      <w:r>
        <w:rPr>
          <w:i/>
          <w:color w:val="231F20"/>
          <w:w w:val="110"/>
          <w:sz w:val="19"/>
        </w:rPr>
        <w:t>Los campesinos hijos predilectos del régimen, </w:t>
      </w:r>
      <w:r>
        <w:rPr>
          <w:color w:val="231F20"/>
          <w:w w:val="110"/>
          <w:sz w:val="19"/>
        </w:rPr>
        <w:t>México, Instituto Nacional Indigenista.</w:t>
      </w:r>
    </w:p>
    <w:p>
      <w:pPr>
        <w:spacing w:line="266" w:lineRule="auto" w:before="0"/>
        <w:ind w:left="480" w:right="119" w:hanging="360"/>
        <w:jc w:val="both"/>
        <w:rPr>
          <w:sz w:val="19"/>
        </w:rPr>
      </w:pPr>
      <w:r>
        <w:rPr>
          <w:rFonts w:ascii="Times New Roman" w:hAnsi="Times New Roman"/>
          <w:color w:val="231F20"/>
          <w:w w:val="110"/>
          <w:sz w:val="19"/>
        </w:rPr>
        <w:t>W</w:t>
      </w:r>
      <w:r>
        <w:rPr>
          <w:rFonts w:ascii="Times New Roman" w:hAnsi="Times New Roman"/>
          <w:color w:val="231F20"/>
          <w:w w:val="110"/>
          <w:sz w:val="15"/>
        </w:rPr>
        <w:t>OLF</w:t>
      </w:r>
      <w:r>
        <w:rPr>
          <w:rFonts w:ascii="Times New Roman" w:hAnsi="Times New Roman"/>
          <w:color w:val="231F20"/>
          <w:w w:val="110"/>
          <w:sz w:val="19"/>
        </w:rPr>
        <w:t>,</w:t>
      </w:r>
      <w:r>
        <w:rPr>
          <w:rFonts w:ascii="Times New Roman" w:hAnsi="Times New Roman"/>
          <w:color w:val="231F20"/>
          <w:spacing w:val="-25"/>
          <w:w w:val="110"/>
          <w:sz w:val="19"/>
        </w:rPr>
        <w:t> </w:t>
      </w:r>
      <w:r>
        <w:rPr>
          <w:color w:val="231F20"/>
          <w:w w:val="110"/>
          <w:sz w:val="19"/>
        </w:rPr>
        <w:t>Eric</w:t>
      </w:r>
      <w:r>
        <w:rPr>
          <w:color w:val="231F20"/>
          <w:spacing w:val="-19"/>
          <w:w w:val="110"/>
          <w:sz w:val="19"/>
        </w:rPr>
        <w:t> </w:t>
      </w:r>
      <w:r>
        <w:rPr>
          <w:color w:val="231F20"/>
          <w:w w:val="110"/>
          <w:sz w:val="19"/>
        </w:rPr>
        <w:t>R.</w:t>
      </w:r>
      <w:r>
        <w:rPr>
          <w:color w:val="231F20"/>
          <w:spacing w:val="-19"/>
          <w:w w:val="110"/>
          <w:sz w:val="19"/>
        </w:rPr>
        <w:t> </w:t>
      </w:r>
      <w:r>
        <w:rPr>
          <w:color w:val="231F20"/>
          <w:w w:val="110"/>
          <w:sz w:val="19"/>
        </w:rPr>
        <w:t>(1998),</w:t>
      </w:r>
      <w:r>
        <w:rPr>
          <w:color w:val="231F20"/>
          <w:spacing w:val="-19"/>
          <w:w w:val="110"/>
          <w:sz w:val="19"/>
        </w:rPr>
        <w:t> </w:t>
      </w:r>
      <w:r>
        <w:rPr>
          <w:color w:val="231F20"/>
          <w:w w:val="110"/>
          <w:sz w:val="19"/>
        </w:rPr>
        <w:t>“Presentación”,</w:t>
      </w:r>
      <w:r>
        <w:rPr>
          <w:color w:val="231F20"/>
          <w:spacing w:val="-19"/>
          <w:w w:val="110"/>
          <w:sz w:val="19"/>
        </w:rPr>
        <w:t> </w:t>
      </w:r>
      <w:r>
        <w:rPr>
          <w:color w:val="231F20"/>
          <w:w w:val="110"/>
          <w:sz w:val="19"/>
        </w:rPr>
        <w:t>en</w:t>
      </w:r>
      <w:r>
        <w:rPr>
          <w:color w:val="231F20"/>
          <w:spacing w:val="-19"/>
          <w:w w:val="110"/>
          <w:sz w:val="19"/>
        </w:rPr>
        <w:t> </w:t>
      </w:r>
      <w:r>
        <w:rPr>
          <w:color w:val="231F20"/>
          <w:w w:val="110"/>
          <w:sz w:val="19"/>
        </w:rPr>
        <w:t>Ángel</w:t>
      </w:r>
      <w:r>
        <w:rPr>
          <w:color w:val="231F20"/>
          <w:spacing w:val="-19"/>
          <w:w w:val="110"/>
          <w:sz w:val="19"/>
        </w:rPr>
        <w:t> </w:t>
      </w:r>
      <w:r>
        <w:rPr>
          <w:color w:val="231F20"/>
          <w:w w:val="110"/>
          <w:sz w:val="19"/>
        </w:rPr>
        <w:t>Palerm,</w:t>
      </w:r>
      <w:r>
        <w:rPr>
          <w:color w:val="231F20"/>
          <w:spacing w:val="-19"/>
          <w:w w:val="110"/>
          <w:sz w:val="19"/>
        </w:rPr>
        <w:t> </w:t>
      </w:r>
      <w:r>
        <w:rPr>
          <w:i/>
          <w:color w:val="231F20"/>
          <w:w w:val="110"/>
          <w:sz w:val="19"/>
        </w:rPr>
        <w:t>Antropología</w:t>
      </w:r>
      <w:r>
        <w:rPr>
          <w:i/>
          <w:color w:val="231F20"/>
          <w:spacing w:val="-22"/>
          <w:w w:val="110"/>
          <w:sz w:val="19"/>
        </w:rPr>
        <w:t> </w:t>
      </w:r>
      <w:r>
        <w:rPr>
          <w:i/>
          <w:color w:val="231F20"/>
          <w:w w:val="110"/>
          <w:sz w:val="19"/>
        </w:rPr>
        <w:t>y</w:t>
      </w:r>
      <w:r>
        <w:rPr>
          <w:i/>
          <w:color w:val="231F20"/>
          <w:spacing w:val="-22"/>
          <w:w w:val="110"/>
          <w:sz w:val="19"/>
        </w:rPr>
        <w:t> </w:t>
      </w:r>
      <w:r>
        <w:rPr>
          <w:i/>
          <w:color w:val="231F20"/>
          <w:w w:val="110"/>
          <w:sz w:val="19"/>
        </w:rPr>
        <w:t>marxismo</w:t>
      </w:r>
      <w:r>
        <w:rPr>
          <w:color w:val="231F20"/>
          <w:w w:val="110"/>
          <w:sz w:val="19"/>
        </w:rPr>
        <w:t>, Colección</w:t>
      </w:r>
      <w:r>
        <w:rPr>
          <w:color w:val="231F20"/>
          <w:spacing w:val="19"/>
          <w:w w:val="110"/>
          <w:sz w:val="19"/>
        </w:rPr>
        <w:t> </w:t>
      </w:r>
      <w:r>
        <w:rPr>
          <w:color w:val="231F20"/>
          <w:w w:val="110"/>
          <w:sz w:val="19"/>
        </w:rPr>
        <w:t>Antropologías,</w:t>
      </w:r>
      <w:r>
        <w:rPr>
          <w:color w:val="231F20"/>
          <w:spacing w:val="19"/>
          <w:w w:val="110"/>
          <w:sz w:val="19"/>
        </w:rPr>
        <w:t> </w:t>
      </w:r>
      <w:r>
        <w:rPr>
          <w:color w:val="231F20"/>
          <w:w w:val="110"/>
          <w:sz w:val="19"/>
        </w:rPr>
        <w:t>Serie</w:t>
      </w:r>
      <w:r>
        <w:rPr>
          <w:color w:val="231F20"/>
          <w:spacing w:val="19"/>
          <w:w w:val="110"/>
          <w:sz w:val="19"/>
        </w:rPr>
        <w:t> </w:t>
      </w:r>
      <w:r>
        <w:rPr>
          <w:color w:val="231F20"/>
          <w:w w:val="110"/>
          <w:sz w:val="19"/>
        </w:rPr>
        <w:t>Clásicos</w:t>
      </w:r>
      <w:r>
        <w:rPr>
          <w:color w:val="231F20"/>
          <w:spacing w:val="19"/>
          <w:w w:val="110"/>
          <w:sz w:val="19"/>
        </w:rPr>
        <w:t> </w:t>
      </w:r>
      <w:r>
        <w:rPr>
          <w:color w:val="231F20"/>
          <w:w w:val="110"/>
          <w:sz w:val="19"/>
        </w:rPr>
        <w:t>de</w:t>
      </w:r>
      <w:r>
        <w:rPr>
          <w:color w:val="231F20"/>
          <w:spacing w:val="19"/>
          <w:w w:val="110"/>
          <w:sz w:val="19"/>
        </w:rPr>
        <w:t> </w:t>
      </w:r>
      <w:r>
        <w:rPr>
          <w:color w:val="231F20"/>
          <w:w w:val="110"/>
          <w:sz w:val="19"/>
        </w:rPr>
        <w:t>la</w:t>
      </w:r>
      <w:r>
        <w:rPr>
          <w:color w:val="231F20"/>
          <w:spacing w:val="19"/>
          <w:w w:val="110"/>
          <w:sz w:val="19"/>
        </w:rPr>
        <w:t> </w:t>
      </w:r>
      <w:r>
        <w:rPr>
          <w:color w:val="231F20"/>
          <w:w w:val="110"/>
          <w:sz w:val="19"/>
        </w:rPr>
        <w:t>Casa</w:t>
      </w:r>
      <w:r>
        <w:rPr>
          <w:color w:val="231F20"/>
          <w:spacing w:val="19"/>
          <w:w w:val="110"/>
          <w:sz w:val="19"/>
        </w:rPr>
        <w:t> </w:t>
      </w:r>
      <w:r>
        <w:rPr>
          <w:color w:val="231F20"/>
          <w:w w:val="110"/>
          <w:sz w:val="19"/>
        </w:rPr>
        <w:t>Chata,</w:t>
      </w:r>
      <w:r>
        <w:rPr>
          <w:color w:val="231F20"/>
          <w:spacing w:val="19"/>
          <w:w w:val="110"/>
          <w:sz w:val="19"/>
        </w:rPr>
        <w:t> </w:t>
      </w:r>
      <w:r>
        <w:rPr>
          <w:color w:val="231F20"/>
          <w:w w:val="110"/>
          <w:sz w:val="19"/>
        </w:rPr>
        <w:t>México,</w:t>
      </w:r>
      <w:r>
        <w:rPr>
          <w:color w:val="231F20"/>
          <w:spacing w:val="19"/>
          <w:w w:val="110"/>
          <w:sz w:val="19"/>
        </w:rPr>
        <w:t> </w:t>
      </w:r>
      <w:r>
        <w:rPr>
          <w:rFonts w:ascii="Times New Roman" w:hAnsi="Times New Roman"/>
          <w:color w:val="231F20"/>
          <w:w w:val="110"/>
          <w:sz w:val="15"/>
        </w:rPr>
        <w:t>CIESAS</w:t>
      </w:r>
      <w:r>
        <w:rPr>
          <w:color w:val="231F20"/>
          <w:w w:val="110"/>
          <w:sz w:val="19"/>
        </w:rPr>
        <w:t>.</w:t>
      </w:r>
    </w:p>
    <w:p>
      <w:pPr>
        <w:spacing w:after="0" w:line="266" w:lineRule="auto"/>
        <w:jc w:val="both"/>
        <w:rPr>
          <w:sz w:val="19"/>
        </w:rPr>
        <w:sectPr>
          <w:footerReference w:type="even" r:id="rId145"/>
          <w:pgSz w:w="9520" w:h="12920"/>
          <w:pgMar w:footer="0" w:header="0" w:top="880" w:bottom="280" w:left="1000" w:right="1320"/>
        </w:sectPr>
      </w:pPr>
    </w:p>
    <w:p>
      <w:pPr>
        <w:pStyle w:val="BodyText"/>
        <w:spacing w:before="4"/>
        <w:rPr>
          <w:rFonts w:ascii="Times New Roman"/>
          <w:sz w:val="17"/>
        </w:rPr>
      </w:pPr>
    </w:p>
    <w:p>
      <w:pPr>
        <w:spacing w:after="0"/>
        <w:rPr>
          <w:rFonts w:ascii="Times New Roman"/>
          <w:sz w:val="17"/>
        </w:rPr>
        <w:sectPr>
          <w:footerReference w:type="default" r:id="rId146"/>
          <w:pgSz w:w="9520" w:h="12920"/>
          <w:pgMar w:footer="0" w:header="0" w:top="1220" w:bottom="280" w:left="1320" w:right="1320"/>
        </w:sectPr>
      </w:pPr>
    </w:p>
    <w:p>
      <w:pPr>
        <w:pStyle w:val="Heading1"/>
        <w:ind w:left="3592" w:hanging="433"/>
      </w:pPr>
      <w:bookmarkStart w:name="_TOC_250004" w:id="10"/>
      <w:r>
        <w:rPr>
          <w:i/>
          <w:color w:val="231F20"/>
          <w:w w:val="65"/>
        </w:rPr>
        <w:t>Vulnerabilidad social de la población</w:t>
      </w:r>
      <w:r>
        <w:rPr>
          <w:color w:val="231F20"/>
          <w:w w:val="67"/>
        </w:rPr>
        <w:t> </w:t>
      </w:r>
      <w:bookmarkEnd w:id="10"/>
      <w:r>
        <w:rPr>
          <w:color w:val="231F20"/>
          <w:w w:val="65"/>
        </w:rPr>
        <w:t>envejecida del Estado de México</w:t>
      </w:r>
    </w:p>
    <w:p>
      <w:pPr>
        <w:pStyle w:val="Heading2"/>
        <w:spacing w:line="259" w:lineRule="auto"/>
        <w:ind w:left="4969" w:hanging="193"/>
      </w:pPr>
      <w:bookmarkStart w:name="_TOC_250003" w:id="11"/>
      <w:r>
        <w:rPr>
          <w:i/>
          <w:color w:val="231F20"/>
          <w:w w:val="65"/>
        </w:rPr>
        <w:t>Jaciel Bernardino</w:t>
      </w:r>
      <w:r>
        <w:rPr>
          <w:i/>
          <w:color w:val="231F20"/>
          <w:spacing w:val="30"/>
          <w:w w:val="65"/>
        </w:rPr>
        <w:t> </w:t>
      </w:r>
      <w:r>
        <w:rPr>
          <w:i/>
          <w:color w:val="231F20"/>
          <w:w w:val="65"/>
        </w:rPr>
        <w:t>Montoya</w:t>
      </w:r>
      <w:r>
        <w:rPr>
          <w:i/>
          <w:color w:val="231F20"/>
          <w:spacing w:val="15"/>
          <w:w w:val="65"/>
        </w:rPr>
        <w:t> </w:t>
      </w:r>
      <w:r>
        <w:rPr>
          <w:i/>
          <w:color w:val="231F20"/>
          <w:w w:val="65"/>
        </w:rPr>
        <w:t>Arce</w:t>
      </w:r>
      <w:r>
        <w:rPr>
          <w:color w:val="231F20"/>
          <w:w w:val="64"/>
        </w:rPr>
        <w:t> </w:t>
      </w:r>
      <w:r>
        <w:rPr>
          <w:color w:val="231F20"/>
          <w:w w:val="75"/>
        </w:rPr>
        <w:t>Hugo</w:t>
      </w:r>
      <w:r>
        <w:rPr>
          <w:color w:val="231F20"/>
          <w:spacing w:val="-35"/>
          <w:w w:val="75"/>
        </w:rPr>
        <w:t> </w:t>
      </w:r>
      <w:r>
        <w:rPr>
          <w:color w:val="231F20"/>
          <w:w w:val="75"/>
        </w:rPr>
        <w:t>Montes</w:t>
      </w:r>
      <w:r>
        <w:rPr>
          <w:color w:val="231F20"/>
          <w:spacing w:val="-35"/>
          <w:w w:val="75"/>
        </w:rPr>
        <w:t> </w:t>
      </w:r>
      <w:r>
        <w:rPr>
          <w:color w:val="231F20"/>
          <w:w w:val="75"/>
        </w:rPr>
        <w:t>de</w:t>
      </w:r>
      <w:r>
        <w:rPr>
          <w:color w:val="231F20"/>
          <w:spacing w:val="-35"/>
          <w:w w:val="75"/>
        </w:rPr>
        <w:t> </w:t>
      </w:r>
      <w:r>
        <w:rPr>
          <w:color w:val="231F20"/>
          <w:w w:val="75"/>
        </w:rPr>
        <w:t>Oca</w:t>
      </w:r>
      <w:r>
        <w:rPr>
          <w:color w:val="231F20"/>
          <w:spacing w:val="-35"/>
          <w:w w:val="75"/>
        </w:rPr>
        <w:t> </w:t>
      </w:r>
      <w:bookmarkEnd w:id="11"/>
      <w:r>
        <w:rPr>
          <w:color w:val="231F20"/>
          <w:w w:val="75"/>
        </w:rPr>
        <w:t>Vargas</w:t>
      </w:r>
    </w:p>
    <w:p>
      <w:pPr>
        <w:pStyle w:val="Heading2"/>
        <w:spacing w:line="278" w:lineRule="exact" w:before="0"/>
        <w:rPr>
          <w:i/>
        </w:rPr>
      </w:pPr>
      <w:bookmarkStart w:name="_TOC_250002" w:id="12"/>
      <w:bookmarkEnd w:id="12"/>
      <w:r>
        <w:rPr>
          <w:i/>
          <w:color w:val="231F20"/>
          <w:w w:val="65"/>
        </w:rPr>
        <w:t>Sergio Cuauhtémoc Gaxiola Robles  Linares</w:t>
      </w:r>
    </w:p>
    <w:p>
      <w:pPr>
        <w:pStyle w:val="BodyText"/>
        <w:rPr>
          <w:rFonts w:ascii="Trebuchet MS"/>
          <w:i/>
        </w:rPr>
      </w:pPr>
    </w:p>
    <w:p>
      <w:pPr>
        <w:pStyle w:val="BodyText"/>
        <w:rPr>
          <w:rFonts w:ascii="Trebuchet MS"/>
          <w:i/>
        </w:rPr>
      </w:pPr>
    </w:p>
    <w:p>
      <w:pPr>
        <w:pStyle w:val="BodyText"/>
        <w:spacing w:before="10"/>
        <w:rPr>
          <w:rFonts w:ascii="Trebuchet MS"/>
          <w:i/>
        </w:rPr>
      </w:pPr>
    </w:p>
    <w:p>
      <w:pPr>
        <w:spacing w:before="67"/>
        <w:ind w:left="100" w:right="0" w:firstLine="0"/>
        <w:jc w:val="both"/>
        <w:rPr>
          <w:rFonts w:ascii="Times New Roman" w:hAnsi="Times New Roman"/>
          <w:i/>
          <w:sz w:val="19"/>
        </w:rPr>
      </w:pPr>
      <w:r>
        <w:rPr>
          <w:rFonts w:ascii="Times New Roman" w:hAnsi="Times New Roman"/>
          <w:i/>
          <w:color w:val="231F20"/>
          <w:sz w:val="24"/>
        </w:rPr>
        <w:t>I</w:t>
      </w:r>
      <w:r>
        <w:rPr>
          <w:rFonts w:ascii="Times New Roman" w:hAnsi="Times New Roman"/>
          <w:i/>
          <w:color w:val="231F20"/>
          <w:sz w:val="19"/>
        </w:rPr>
        <w:t>NTRODUCCIÓN</w:t>
      </w:r>
    </w:p>
    <w:p>
      <w:pPr>
        <w:pStyle w:val="BodyText"/>
        <w:rPr>
          <w:rFonts w:ascii="Times New Roman"/>
          <w:i/>
          <w:sz w:val="24"/>
        </w:rPr>
      </w:pPr>
    </w:p>
    <w:p>
      <w:pPr>
        <w:pStyle w:val="BodyText"/>
        <w:spacing w:line="285" w:lineRule="auto"/>
        <w:ind w:left="100" w:right="121"/>
        <w:jc w:val="both"/>
      </w:pPr>
      <w:r>
        <w:rPr>
          <w:color w:val="231F20"/>
          <w:w w:val="110"/>
        </w:rPr>
        <w:t>En este capítulo se aborda la vulnerabilidad social de la población adulta mayor del Estado de México. Esta es la entidad más poblada del país; en 2010, según cifras del </w:t>
      </w:r>
      <w:r>
        <w:rPr>
          <w:rFonts w:ascii="Times New Roman" w:hAnsi="Times New Roman"/>
          <w:color w:val="231F20"/>
          <w:w w:val="110"/>
          <w:sz w:val="16"/>
        </w:rPr>
        <w:t>INEGI</w:t>
      </w:r>
      <w:r>
        <w:rPr>
          <w:color w:val="231F20"/>
          <w:w w:val="110"/>
        </w:rPr>
        <w:t>, residían en ella 15’175,862 personas, que re- presentaban 13.5 por ciento de la población nacional. En lo que respecta a la población de 60 años y más en esta misma década, la entidad concentró a 1’137,654 habitantes, lo que representa 7.5 por ciento de la población mexiquense total. Ante esta cifra porcentual de población envejecida, la entidad se encuentra en la fase final de su transición demográfica, la cual se completará en el corto plazo.</w:t>
      </w:r>
    </w:p>
    <w:p>
      <w:pPr>
        <w:pStyle w:val="BodyText"/>
        <w:spacing w:line="285" w:lineRule="auto"/>
        <w:ind w:left="100" w:right="123" w:firstLine="360"/>
        <w:jc w:val="both"/>
      </w:pPr>
      <w:r>
        <w:rPr>
          <w:color w:val="231F20"/>
          <w:w w:val="110"/>
        </w:rPr>
        <w:t>La vulnerabilidad social es un fenómeno que está fuertemente vincu- lado con los adultos mayores, debido a que esta población se encuentra expuesta a múltiples riesgos que afectan sus condiciones de vida, en lo que respecta a la atención de la salud, la seguridad económica, el entorno familiar, entre</w:t>
      </w:r>
      <w:r>
        <w:rPr>
          <w:color w:val="231F20"/>
          <w:spacing w:val="-25"/>
          <w:w w:val="110"/>
        </w:rPr>
        <w:t> </w:t>
      </w:r>
      <w:r>
        <w:rPr>
          <w:color w:val="231F20"/>
          <w:w w:val="110"/>
        </w:rPr>
        <w:t>otros.</w:t>
      </w:r>
    </w:p>
    <w:p>
      <w:pPr>
        <w:pStyle w:val="BodyText"/>
        <w:spacing w:line="285" w:lineRule="auto"/>
        <w:ind w:left="100" w:right="120" w:firstLine="360"/>
        <w:jc w:val="both"/>
      </w:pPr>
      <w:r>
        <w:rPr>
          <w:color w:val="231F20"/>
          <w:w w:val="110"/>
        </w:rPr>
        <w:t>En este sentido, el objetivo de esta investigación es analizar la</w:t>
      </w:r>
      <w:r>
        <w:rPr>
          <w:color w:val="231F20"/>
          <w:spacing w:val="-31"/>
          <w:w w:val="110"/>
        </w:rPr>
        <w:t> </w:t>
      </w:r>
      <w:r>
        <w:rPr>
          <w:color w:val="231F20"/>
          <w:w w:val="110"/>
        </w:rPr>
        <w:t>vulnera- bilidad social de la población adulta mayor en el Estado de México en el año 2010. El estudio de la vulnerabilidad social se basa en las</w:t>
      </w:r>
      <w:r>
        <w:rPr>
          <w:color w:val="231F20"/>
          <w:spacing w:val="-14"/>
          <w:w w:val="110"/>
        </w:rPr>
        <w:t> </w:t>
      </w:r>
      <w:r>
        <w:rPr>
          <w:color w:val="231F20"/>
          <w:w w:val="110"/>
        </w:rPr>
        <w:t>dimensiones de</w:t>
      </w:r>
      <w:r>
        <w:rPr>
          <w:color w:val="231F20"/>
          <w:spacing w:val="-4"/>
          <w:w w:val="110"/>
        </w:rPr>
        <w:t> </w:t>
      </w:r>
      <w:r>
        <w:rPr>
          <w:color w:val="231F20"/>
          <w:w w:val="110"/>
        </w:rPr>
        <w:t>salud</w:t>
      </w:r>
      <w:r>
        <w:rPr>
          <w:color w:val="231F20"/>
          <w:spacing w:val="-4"/>
          <w:w w:val="110"/>
        </w:rPr>
        <w:t> </w:t>
      </w:r>
      <w:r>
        <w:rPr>
          <w:color w:val="231F20"/>
          <w:w w:val="110"/>
        </w:rPr>
        <w:t>y</w:t>
      </w:r>
      <w:r>
        <w:rPr>
          <w:color w:val="231F20"/>
          <w:spacing w:val="-4"/>
          <w:w w:val="110"/>
        </w:rPr>
        <w:t> </w:t>
      </w:r>
      <w:r>
        <w:rPr>
          <w:color w:val="231F20"/>
          <w:w w:val="110"/>
        </w:rPr>
        <w:t>trabajo</w:t>
      </w:r>
      <w:r>
        <w:rPr>
          <w:color w:val="231F20"/>
          <w:spacing w:val="-4"/>
          <w:w w:val="110"/>
        </w:rPr>
        <w:t> </w:t>
      </w:r>
      <w:r>
        <w:rPr>
          <w:color w:val="231F20"/>
          <w:w w:val="110"/>
        </w:rPr>
        <w:t>que</w:t>
      </w:r>
      <w:r>
        <w:rPr>
          <w:color w:val="231F20"/>
          <w:spacing w:val="-4"/>
          <w:w w:val="110"/>
        </w:rPr>
        <w:t> </w:t>
      </w:r>
      <w:r>
        <w:rPr>
          <w:color w:val="231F20"/>
          <w:w w:val="110"/>
        </w:rPr>
        <w:t>se</w:t>
      </w:r>
      <w:r>
        <w:rPr>
          <w:color w:val="231F20"/>
          <w:spacing w:val="-4"/>
          <w:w w:val="110"/>
        </w:rPr>
        <w:t> </w:t>
      </w:r>
      <w:r>
        <w:rPr>
          <w:color w:val="231F20"/>
          <w:w w:val="110"/>
        </w:rPr>
        <w:t>consideran</w:t>
      </w:r>
      <w:r>
        <w:rPr>
          <w:color w:val="231F20"/>
          <w:spacing w:val="-4"/>
          <w:w w:val="110"/>
        </w:rPr>
        <w:t> </w:t>
      </w:r>
      <w:r>
        <w:rPr>
          <w:color w:val="231F20"/>
          <w:w w:val="110"/>
        </w:rPr>
        <w:t>vitales</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bienestar</w:t>
      </w:r>
      <w:r>
        <w:rPr>
          <w:color w:val="231F20"/>
          <w:spacing w:val="-4"/>
          <w:w w:val="110"/>
        </w:rPr>
        <w:t> </w:t>
      </w:r>
      <w:r>
        <w:rPr>
          <w:color w:val="231F20"/>
          <w:w w:val="110"/>
        </w:rPr>
        <w:t>de</w:t>
      </w:r>
      <w:r>
        <w:rPr>
          <w:color w:val="231F20"/>
          <w:spacing w:val="-4"/>
          <w:w w:val="110"/>
        </w:rPr>
        <w:t> </w:t>
      </w:r>
      <w:r>
        <w:rPr>
          <w:color w:val="231F20"/>
          <w:w w:val="110"/>
        </w:rPr>
        <w:t>las</w:t>
      </w:r>
      <w:r>
        <w:rPr>
          <w:color w:val="231F20"/>
          <w:spacing w:val="-4"/>
          <w:w w:val="110"/>
        </w:rPr>
        <w:t> </w:t>
      </w:r>
      <w:r>
        <w:rPr>
          <w:color w:val="231F20"/>
          <w:w w:val="110"/>
        </w:rPr>
        <w:t>personas envejecidas de la entidad</w:t>
      </w:r>
      <w:r>
        <w:rPr>
          <w:color w:val="231F20"/>
          <w:spacing w:val="29"/>
          <w:w w:val="110"/>
        </w:rPr>
        <w:t> </w:t>
      </w:r>
      <w:r>
        <w:rPr>
          <w:color w:val="231F20"/>
          <w:w w:val="110"/>
        </w:rPr>
        <w:t>mexiquense.</w:t>
      </w:r>
    </w:p>
    <w:p>
      <w:pPr>
        <w:spacing w:line="256" w:lineRule="auto" w:before="66"/>
        <w:ind w:left="100" w:right="122" w:firstLine="360"/>
        <w:jc w:val="both"/>
        <w:rPr>
          <w:sz w:val="16"/>
        </w:rPr>
      </w:pPr>
      <w:r>
        <w:rPr>
          <w:color w:val="231F20"/>
          <w:w w:val="110"/>
          <w:position w:val="5"/>
          <w:sz w:val="9"/>
        </w:rPr>
        <w:t>1 </w:t>
      </w:r>
      <w:r>
        <w:rPr>
          <w:color w:val="231F20"/>
          <w:w w:val="110"/>
          <w:sz w:val="16"/>
        </w:rPr>
        <w:t>Centro de Investigación y Estudios Avanzados de la Población. Universidad Autónoma del Estado de México. Correo electrónico:  </w:t>
      </w:r>
      <w:hyperlink r:id="rId148">
        <w:r>
          <w:rPr>
            <w:color w:val="231F20"/>
            <w:w w:val="110"/>
            <w:sz w:val="16"/>
          </w:rPr>
          <w:t>bjmontoyaa@uaemex.mx</w:t>
        </w:r>
      </w:hyperlink>
    </w:p>
    <w:p>
      <w:pPr>
        <w:spacing w:line="256" w:lineRule="auto" w:before="0"/>
        <w:ind w:left="100" w:right="122" w:firstLine="360"/>
        <w:jc w:val="both"/>
        <w:rPr>
          <w:sz w:val="16"/>
        </w:rPr>
      </w:pPr>
      <w:r>
        <w:rPr>
          <w:color w:val="231F20"/>
          <w:w w:val="110"/>
          <w:position w:val="5"/>
          <w:sz w:val="9"/>
        </w:rPr>
        <w:t>2 </w:t>
      </w:r>
      <w:r>
        <w:rPr>
          <w:color w:val="231F20"/>
          <w:w w:val="110"/>
          <w:sz w:val="16"/>
        </w:rPr>
        <w:t>Centro de Investigación y Estudios Avanzados de la Población. Universidad Autónoma del Estado de México.</w:t>
      </w:r>
    </w:p>
    <w:p>
      <w:pPr>
        <w:spacing w:line="256" w:lineRule="auto" w:before="0"/>
        <w:ind w:left="100" w:right="122" w:firstLine="360"/>
        <w:jc w:val="both"/>
        <w:rPr>
          <w:sz w:val="16"/>
        </w:rPr>
      </w:pPr>
      <w:r>
        <w:rPr>
          <w:color w:val="231F20"/>
          <w:w w:val="110"/>
          <w:position w:val="5"/>
          <w:sz w:val="9"/>
        </w:rPr>
        <w:t>3 </w:t>
      </w:r>
      <w:r>
        <w:rPr>
          <w:color w:val="231F20"/>
          <w:w w:val="110"/>
          <w:sz w:val="16"/>
        </w:rPr>
        <w:t>Centro de Investigación y Estudios Avanzados de la Población. Universidad Autónoma del Estado de México.</w:t>
      </w:r>
    </w:p>
    <w:p>
      <w:pPr>
        <w:pStyle w:val="BodyText"/>
        <w:spacing w:before="5"/>
        <w:rPr>
          <w:sz w:val="18"/>
        </w:rPr>
      </w:pPr>
    </w:p>
    <w:p>
      <w:pPr>
        <w:spacing w:before="75"/>
        <w:ind w:left="1388" w:right="1407" w:firstLine="0"/>
        <w:jc w:val="center"/>
        <w:rPr>
          <w:rFonts w:ascii="Calibri"/>
          <w:i/>
          <w:sz w:val="16"/>
        </w:rPr>
      </w:pPr>
      <w:r>
        <w:rPr>
          <w:rFonts w:ascii="Calibri"/>
          <w:i/>
          <w:color w:val="231F20"/>
          <w:w w:val="95"/>
          <w:sz w:val="16"/>
        </w:rPr>
        <w:t>175</w:t>
      </w:r>
    </w:p>
    <w:p>
      <w:pPr>
        <w:spacing w:after="0"/>
        <w:jc w:val="center"/>
        <w:rPr>
          <w:rFonts w:ascii="Calibri"/>
          <w:sz w:val="16"/>
        </w:rPr>
        <w:sectPr>
          <w:footerReference w:type="even" r:id="rId147"/>
          <w:pgSz w:w="9520" w:h="12920"/>
          <w:pgMar w:footer="0" w:header="0" w:top="1220" w:bottom="280" w:left="1020" w:right="1320"/>
        </w:sectPr>
      </w:pPr>
    </w:p>
    <w:p>
      <w:pPr>
        <w:pStyle w:val="BodyText"/>
        <w:spacing w:line="295" w:lineRule="auto" w:before="42"/>
        <w:ind w:left="124" w:right="112" w:firstLine="360"/>
        <w:jc w:val="both"/>
      </w:pPr>
      <w:r>
        <w:rPr>
          <w:color w:val="231F20"/>
          <w:w w:val="110"/>
        </w:rPr>
        <w:t>El presente capítulo se estructura en cuatro secciones. En primer lu- </w:t>
      </w:r>
      <w:r>
        <w:rPr>
          <w:color w:val="231F20"/>
          <w:spacing w:val="-5"/>
          <w:w w:val="110"/>
        </w:rPr>
        <w:t>gar, </w:t>
      </w:r>
      <w:r>
        <w:rPr>
          <w:color w:val="231F20"/>
          <w:w w:val="110"/>
        </w:rPr>
        <w:t>se expone el vínculo que existe entre el envejecimiento y la vulnerabi- lidad social. En la segunda sección se presenta el marco teórico en torno  al fenómeno de la vulnerabilidad social con base en las dimensiones de salud y trabajo. A continuación, en el tercer apartado, se exponen la meto- </w:t>
      </w:r>
      <w:r>
        <w:rPr>
          <w:color w:val="231F20"/>
          <w:spacing w:val="3"/>
          <w:w w:val="110"/>
        </w:rPr>
        <w:t>dología </w:t>
      </w:r>
      <w:r>
        <w:rPr>
          <w:color w:val="231F20"/>
          <w:w w:val="110"/>
        </w:rPr>
        <w:t>y la </w:t>
      </w:r>
      <w:r>
        <w:rPr>
          <w:color w:val="231F20"/>
          <w:spacing w:val="3"/>
          <w:w w:val="110"/>
        </w:rPr>
        <w:t>fuente </w:t>
      </w:r>
      <w:r>
        <w:rPr>
          <w:color w:val="231F20"/>
          <w:w w:val="110"/>
        </w:rPr>
        <w:t>de </w:t>
      </w:r>
      <w:r>
        <w:rPr>
          <w:color w:val="231F20"/>
          <w:spacing w:val="3"/>
          <w:w w:val="110"/>
        </w:rPr>
        <w:t>información utilizadas. </w:t>
      </w:r>
      <w:r>
        <w:rPr>
          <w:color w:val="231F20"/>
          <w:w w:val="110"/>
        </w:rPr>
        <w:t>Por </w:t>
      </w:r>
      <w:r>
        <w:rPr>
          <w:color w:val="231F20"/>
          <w:spacing w:val="3"/>
          <w:w w:val="110"/>
        </w:rPr>
        <w:t>último, </w:t>
      </w:r>
      <w:r>
        <w:rPr>
          <w:color w:val="231F20"/>
          <w:w w:val="110"/>
        </w:rPr>
        <w:t>se </w:t>
      </w:r>
      <w:r>
        <w:rPr>
          <w:color w:val="231F20"/>
          <w:spacing w:val="3"/>
          <w:w w:val="110"/>
        </w:rPr>
        <w:t>realiza </w:t>
      </w:r>
      <w:r>
        <w:rPr>
          <w:color w:val="231F20"/>
          <w:w w:val="110"/>
        </w:rPr>
        <w:t>un análisis empírico que muestra la situación de vulnerabilidad social de los adultos mayores</w:t>
      </w:r>
      <w:r>
        <w:rPr>
          <w:color w:val="231F20"/>
          <w:spacing w:val="36"/>
          <w:w w:val="110"/>
        </w:rPr>
        <w:t> </w:t>
      </w:r>
      <w:r>
        <w:rPr>
          <w:color w:val="231F20"/>
          <w:w w:val="110"/>
        </w:rPr>
        <w:t>mexiquenses.</w:t>
      </w:r>
    </w:p>
    <w:p>
      <w:pPr>
        <w:pStyle w:val="BodyText"/>
      </w:pPr>
    </w:p>
    <w:p>
      <w:pPr>
        <w:pStyle w:val="BodyText"/>
        <w:spacing w:before="9"/>
        <w:rPr>
          <w:sz w:val="24"/>
        </w:rPr>
      </w:pPr>
    </w:p>
    <w:p>
      <w:pPr>
        <w:spacing w:before="0"/>
        <w:ind w:left="124" w:right="0" w:firstLine="0"/>
        <w:jc w:val="both"/>
        <w:rPr>
          <w:rFonts w:ascii="Times New Roman"/>
          <w:i/>
          <w:sz w:val="24"/>
        </w:rPr>
      </w:pPr>
      <w:r>
        <w:rPr>
          <w:rFonts w:ascii="Times New Roman"/>
          <w:i/>
          <w:color w:val="231F20"/>
          <w:w w:val="95"/>
          <w:sz w:val="24"/>
        </w:rPr>
        <w:t>E</w:t>
      </w:r>
      <w:r>
        <w:rPr>
          <w:rFonts w:ascii="Times New Roman"/>
          <w:i/>
          <w:color w:val="231F20"/>
          <w:w w:val="95"/>
          <w:sz w:val="19"/>
        </w:rPr>
        <w:t>NVEJECIMIENTO Y VULNERABILIDAD</w:t>
      </w:r>
      <w:r>
        <w:rPr>
          <w:rFonts w:ascii="Times New Roman"/>
          <w:i/>
          <w:color w:val="231F20"/>
          <w:w w:val="95"/>
          <w:sz w:val="24"/>
        </w:rPr>
        <w:t>.</w:t>
      </w:r>
    </w:p>
    <w:p>
      <w:pPr>
        <w:spacing w:before="12"/>
        <w:ind w:left="124" w:right="0" w:firstLine="0"/>
        <w:jc w:val="both"/>
        <w:rPr>
          <w:rFonts w:ascii="Times New Roman" w:hAnsi="Times New Roman"/>
          <w:i/>
          <w:sz w:val="24"/>
        </w:rPr>
      </w:pPr>
      <w:r>
        <w:rPr>
          <w:rFonts w:ascii="Times New Roman" w:hAnsi="Times New Roman"/>
          <w:i/>
          <w:color w:val="231F20"/>
          <w:w w:val="95"/>
          <w:sz w:val="24"/>
        </w:rPr>
        <w:t>¿U</w:t>
      </w:r>
      <w:r>
        <w:rPr>
          <w:rFonts w:ascii="Times New Roman" w:hAnsi="Times New Roman"/>
          <w:i/>
          <w:color w:val="231F20"/>
          <w:w w:val="95"/>
          <w:sz w:val="19"/>
        </w:rPr>
        <w:t>NA RELACIÓN INEVITABLE</w:t>
      </w:r>
      <w:r>
        <w:rPr>
          <w:rFonts w:ascii="Times New Roman" w:hAnsi="Times New Roman"/>
          <w:i/>
          <w:color w:val="231F20"/>
          <w:w w:val="95"/>
          <w:sz w:val="24"/>
        </w:rPr>
        <w:t>?</w:t>
      </w:r>
    </w:p>
    <w:p>
      <w:pPr>
        <w:pStyle w:val="BodyText"/>
        <w:spacing w:before="4"/>
        <w:rPr>
          <w:rFonts w:ascii="Times New Roman"/>
          <w:i/>
          <w:sz w:val="28"/>
        </w:rPr>
      </w:pPr>
    </w:p>
    <w:p>
      <w:pPr>
        <w:pStyle w:val="BodyText"/>
        <w:spacing w:line="295" w:lineRule="auto"/>
        <w:ind w:left="124" w:right="109"/>
        <w:jc w:val="both"/>
      </w:pPr>
      <w:r>
        <w:rPr>
          <w:color w:val="231F20"/>
          <w:w w:val="110"/>
        </w:rPr>
        <w:t>Una de las implicaciones del envejecimiento demográfico se debe, en gran medida, a que una sociedad con un alto porcentaje de personas adultas mayores podría tener problemáticas vinculadas con la insuficiente cober- tura de los </w:t>
      </w:r>
      <w:r>
        <w:rPr>
          <w:color w:val="231F20"/>
          <w:spacing w:val="2"/>
          <w:w w:val="110"/>
        </w:rPr>
        <w:t>servicios </w:t>
      </w:r>
      <w:r>
        <w:rPr>
          <w:color w:val="231F20"/>
          <w:w w:val="110"/>
        </w:rPr>
        <w:t>de </w:t>
      </w:r>
      <w:r>
        <w:rPr>
          <w:color w:val="231F20"/>
          <w:spacing w:val="2"/>
          <w:w w:val="110"/>
        </w:rPr>
        <w:t>salud, </w:t>
      </w:r>
      <w:r>
        <w:rPr>
          <w:color w:val="231F20"/>
          <w:w w:val="110"/>
        </w:rPr>
        <w:t>la </w:t>
      </w:r>
      <w:r>
        <w:rPr>
          <w:color w:val="231F20"/>
          <w:spacing w:val="2"/>
          <w:w w:val="110"/>
        </w:rPr>
        <w:t>insuficiencia alimentaria </w:t>
      </w:r>
      <w:r>
        <w:rPr>
          <w:color w:val="231F20"/>
          <w:w w:val="110"/>
        </w:rPr>
        <w:t>e incluso los cambios en las estructuras familiares que traerá consigo el hecho de que uno de cada cuatro mexicanos tendrá más de 60 años de edad en el 2050 (Conapo, 2014). Al respecto, Sunkel (2006) menciona que en las últimas décadas,</w:t>
      </w:r>
      <w:r>
        <w:rPr>
          <w:color w:val="231F20"/>
          <w:spacing w:val="-5"/>
          <w:w w:val="110"/>
        </w:rPr>
        <w:t> </w:t>
      </w:r>
      <w:r>
        <w:rPr>
          <w:color w:val="231F20"/>
          <w:w w:val="110"/>
        </w:rPr>
        <w:t>la</w:t>
      </w:r>
      <w:r>
        <w:rPr>
          <w:color w:val="231F20"/>
          <w:spacing w:val="-5"/>
          <w:w w:val="110"/>
        </w:rPr>
        <w:t> </w:t>
      </w:r>
      <w:r>
        <w:rPr>
          <w:color w:val="231F20"/>
          <w:w w:val="110"/>
        </w:rPr>
        <w:t>familia</w:t>
      </w:r>
      <w:r>
        <w:rPr>
          <w:color w:val="231F20"/>
          <w:spacing w:val="-5"/>
          <w:w w:val="110"/>
        </w:rPr>
        <w:t> </w:t>
      </w:r>
      <w:r>
        <w:rPr>
          <w:color w:val="231F20"/>
          <w:w w:val="110"/>
        </w:rPr>
        <w:t>ha</w:t>
      </w:r>
      <w:r>
        <w:rPr>
          <w:color w:val="231F20"/>
          <w:spacing w:val="-5"/>
          <w:w w:val="110"/>
        </w:rPr>
        <w:t> </w:t>
      </w:r>
      <w:r>
        <w:rPr>
          <w:color w:val="231F20"/>
          <w:w w:val="110"/>
        </w:rPr>
        <w:t>sufrido</w:t>
      </w:r>
      <w:r>
        <w:rPr>
          <w:color w:val="231F20"/>
          <w:spacing w:val="-5"/>
          <w:w w:val="110"/>
        </w:rPr>
        <w:t> </w:t>
      </w:r>
      <w:r>
        <w:rPr>
          <w:color w:val="231F20"/>
          <w:w w:val="110"/>
        </w:rPr>
        <w:t>profundas</w:t>
      </w:r>
      <w:r>
        <w:rPr>
          <w:color w:val="231F20"/>
          <w:spacing w:val="-5"/>
          <w:w w:val="110"/>
        </w:rPr>
        <w:t> </w:t>
      </w:r>
      <w:r>
        <w:rPr>
          <w:color w:val="231F20"/>
          <w:w w:val="110"/>
        </w:rPr>
        <w:t>transformaciones</w:t>
      </w:r>
      <w:r>
        <w:rPr>
          <w:color w:val="231F20"/>
          <w:spacing w:val="-5"/>
          <w:w w:val="110"/>
        </w:rPr>
        <w:t> </w:t>
      </w:r>
      <w:r>
        <w:rPr>
          <w:color w:val="231F20"/>
          <w:w w:val="110"/>
        </w:rPr>
        <w:t>que</w:t>
      </w:r>
      <w:r>
        <w:rPr>
          <w:color w:val="231F20"/>
          <w:spacing w:val="-5"/>
          <w:w w:val="110"/>
        </w:rPr>
        <w:t> </w:t>
      </w:r>
      <w:r>
        <w:rPr>
          <w:color w:val="231F20"/>
          <w:w w:val="110"/>
        </w:rPr>
        <w:t>han</w:t>
      </w:r>
      <w:r>
        <w:rPr>
          <w:color w:val="231F20"/>
          <w:spacing w:val="-5"/>
          <w:w w:val="110"/>
        </w:rPr>
        <w:t> </w:t>
      </w:r>
      <w:r>
        <w:rPr>
          <w:color w:val="231F20"/>
          <w:w w:val="110"/>
        </w:rPr>
        <w:t>diversi- ficado las estructuras familiares; lo que impacta en el debilitamiento de la institución familiar, fragmentando los apoyos familiares que se les otorga a los adultos</w:t>
      </w:r>
      <w:r>
        <w:rPr>
          <w:color w:val="231F20"/>
          <w:spacing w:val="34"/>
          <w:w w:val="110"/>
        </w:rPr>
        <w:t> </w:t>
      </w:r>
      <w:r>
        <w:rPr>
          <w:color w:val="231F20"/>
          <w:w w:val="110"/>
        </w:rPr>
        <w:t>mayores.</w:t>
      </w:r>
    </w:p>
    <w:p>
      <w:pPr>
        <w:pStyle w:val="BodyText"/>
        <w:spacing w:line="295" w:lineRule="auto"/>
        <w:ind w:left="124" w:right="111" w:firstLine="360"/>
        <w:jc w:val="both"/>
      </w:pPr>
      <w:r>
        <w:rPr>
          <w:color w:val="231F20"/>
          <w:w w:val="105"/>
        </w:rPr>
        <w:t>Aunado a lo anterior, en México las principales instituciones de seguri- dad social </w:t>
      </w:r>
      <w:r>
        <w:rPr>
          <w:color w:val="231F20"/>
          <w:spacing w:val="-3"/>
          <w:w w:val="105"/>
        </w:rPr>
        <w:t>(</w:t>
      </w:r>
      <w:r>
        <w:rPr>
          <w:rFonts w:ascii="Times New Roman" w:hAnsi="Times New Roman"/>
          <w:color w:val="231F20"/>
          <w:spacing w:val="-3"/>
          <w:w w:val="105"/>
          <w:sz w:val="16"/>
        </w:rPr>
        <w:t>IMSS</w:t>
      </w:r>
      <w:r>
        <w:rPr>
          <w:color w:val="231F20"/>
          <w:spacing w:val="-3"/>
          <w:w w:val="105"/>
        </w:rPr>
        <w:t>, </w:t>
      </w:r>
      <w:r>
        <w:rPr>
          <w:rFonts w:ascii="Times New Roman" w:hAnsi="Times New Roman"/>
          <w:color w:val="231F20"/>
          <w:spacing w:val="-3"/>
          <w:w w:val="105"/>
          <w:sz w:val="16"/>
        </w:rPr>
        <w:t>ISSSTE</w:t>
      </w:r>
      <w:r>
        <w:rPr>
          <w:color w:val="231F20"/>
          <w:spacing w:val="-3"/>
          <w:w w:val="105"/>
        </w:rPr>
        <w:t>) </w:t>
      </w:r>
      <w:r>
        <w:rPr>
          <w:color w:val="231F20"/>
          <w:w w:val="105"/>
        </w:rPr>
        <w:t>plantean su insostenibilidad financiera, lo que podría implicar la fragmentación del sistema de seguridad social, agravando la situación de la población cubierta por esta institución, entre las que desta-  can  los </w:t>
      </w:r>
      <w:r>
        <w:rPr>
          <w:color w:val="231F20"/>
          <w:spacing w:val="36"/>
          <w:w w:val="105"/>
        </w:rPr>
        <w:t> </w:t>
      </w:r>
      <w:r>
        <w:rPr>
          <w:color w:val="231F20"/>
          <w:w w:val="105"/>
        </w:rPr>
        <w:t>pensionados.</w:t>
      </w:r>
    </w:p>
    <w:p>
      <w:pPr>
        <w:pStyle w:val="BodyText"/>
        <w:spacing w:line="295" w:lineRule="auto"/>
        <w:ind w:left="124" w:right="113" w:firstLine="360"/>
        <w:jc w:val="both"/>
      </w:pPr>
      <w:r>
        <w:rPr>
          <w:color w:val="231F20"/>
          <w:w w:val="110"/>
        </w:rPr>
        <w:t>Frente a estas prospectivas, resulta importante que las ciencias socia- les, en especial desde los estudios de la población, se analice el envejeci- </w:t>
      </w:r>
      <w:r>
        <w:rPr>
          <w:color w:val="231F20"/>
          <w:spacing w:val="3"/>
          <w:w w:val="110"/>
        </w:rPr>
        <w:t>miento </w:t>
      </w:r>
      <w:r>
        <w:rPr>
          <w:color w:val="231F20"/>
          <w:w w:val="110"/>
        </w:rPr>
        <w:t>de la </w:t>
      </w:r>
      <w:r>
        <w:rPr>
          <w:color w:val="231F20"/>
          <w:spacing w:val="3"/>
          <w:w w:val="110"/>
        </w:rPr>
        <w:t>población, </w:t>
      </w:r>
      <w:r>
        <w:rPr>
          <w:color w:val="231F20"/>
          <w:spacing w:val="2"/>
          <w:w w:val="110"/>
        </w:rPr>
        <w:t>que </w:t>
      </w:r>
      <w:r>
        <w:rPr>
          <w:color w:val="231F20"/>
          <w:w w:val="110"/>
        </w:rPr>
        <w:t>se </w:t>
      </w:r>
      <w:r>
        <w:rPr>
          <w:color w:val="231F20"/>
          <w:spacing w:val="2"/>
          <w:w w:val="110"/>
        </w:rPr>
        <w:t>refiere </w:t>
      </w:r>
      <w:r>
        <w:rPr>
          <w:color w:val="231F20"/>
          <w:w w:val="110"/>
        </w:rPr>
        <w:t>al </w:t>
      </w:r>
      <w:r>
        <w:rPr>
          <w:color w:val="231F20"/>
          <w:spacing w:val="3"/>
          <w:w w:val="110"/>
        </w:rPr>
        <w:t>aumento </w:t>
      </w:r>
      <w:r>
        <w:rPr>
          <w:color w:val="231F20"/>
          <w:w w:val="110"/>
        </w:rPr>
        <w:t>en la </w:t>
      </w:r>
      <w:r>
        <w:rPr>
          <w:color w:val="231F20"/>
          <w:spacing w:val="3"/>
          <w:w w:val="110"/>
        </w:rPr>
        <w:t>proporción </w:t>
      </w:r>
      <w:r>
        <w:rPr>
          <w:color w:val="231F20"/>
          <w:w w:val="110"/>
        </w:rPr>
        <w:t>de personas adultas mayores (60 años y más) con respecto al total de la po- blación,</w:t>
      </w:r>
      <w:r>
        <w:rPr>
          <w:color w:val="231F20"/>
          <w:spacing w:val="-4"/>
          <w:w w:val="110"/>
        </w:rPr>
        <w:t> </w:t>
      </w:r>
      <w:r>
        <w:rPr>
          <w:color w:val="231F20"/>
          <w:w w:val="110"/>
        </w:rPr>
        <w:t>lo</w:t>
      </w:r>
      <w:r>
        <w:rPr>
          <w:color w:val="231F20"/>
          <w:spacing w:val="-4"/>
          <w:w w:val="110"/>
        </w:rPr>
        <w:t> </w:t>
      </w:r>
      <w:r>
        <w:rPr>
          <w:color w:val="231F20"/>
          <w:w w:val="110"/>
        </w:rPr>
        <w:t>que</w:t>
      </w:r>
      <w:r>
        <w:rPr>
          <w:color w:val="231F20"/>
          <w:spacing w:val="-4"/>
          <w:w w:val="110"/>
        </w:rPr>
        <w:t> </w:t>
      </w:r>
      <w:r>
        <w:rPr>
          <w:color w:val="231F20"/>
          <w:w w:val="110"/>
        </w:rPr>
        <w:t>trae</w:t>
      </w:r>
      <w:r>
        <w:rPr>
          <w:color w:val="231F20"/>
          <w:spacing w:val="-4"/>
          <w:w w:val="110"/>
        </w:rPr>
        <w:t> </w:t>
      </w:r>
      <w:r>
        <w:rPr>
          <w:color w:val="231F20"/>
          <w:w w:val="110"/>
        </w:rPr>
        <w:t>como</w:t>
      </w:r>
      <w:r>
        <w:rPr>
          <w:color w:val="231F20"/>
          <w:spacing w:val="-4"/>
          <w:w w:val="110"/>
        </w:rPr>
        <w:t> </w:t>
      </w:r>
      <w:r>
        <w:rPr>
          <w:color w:val="231F20"/>
          <w:w w:val="110"/>
        </w:rPr>
        <w:t>contrapartida</w:t>
      </w:r>
      <w:r>
        <w:rPr>
          <w:color w:val="231F20"/>
          <w:spacing w:val="-4"/>
          <w:w w:val="110"/>
        </w:rPr>
        <w:t> </w:t>
      </w:r>
      <w:r>
        <w:rPr>
          <w:color w:val="231F20"/>
          <w:w w:val="110"/>
        </w:rPr>
        <w:t>la</w:t>
      </w:r>
      <w:r>
        <w:rPr>
          <w:color w:val="231F20"/>
          <w:spacing w:val="-4"/>
          <w:w w:val="110"/>
        </w:rPr>
        <w:t> </w:t>
      </w:r>
      <w:r>
        <w:rPr>
          <w:color w:val="231F20"/>
          <w:w w:val="110"/>
        </w:rPr>
        <w:t>disminución</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proporción</w:t>
      </w:r>
      <w:r>
        <w:rPr>
          <w:color w:val="231F20"/>
          <w:spacing w:val="-4"/>
          <w:w w:val="110"/>
        </w:rPr>
        <w:t> </w:t>
      </w:r>
      <w:r>
        <w:rPr>
          <w:color w:val="231F20"/>
          <w:w w:val="110"/>
        </w:rPr>
        <w:t>de niños y jóvenes (Montoya y Montes de Oca, 2006,</w:t>
      </w:r>
      <w:r>
        <w:rPr>
          <w:color w:val="231F20"/>
          <w:spacing w:val="30"/>
          <w:w w:val="110"/>
        </w:rPr>
        <w:t> </w:t>
      </w:r>
      <w:r>
        <w:rPr>
          <w:color w:val="231F20"/>
          <w:w w:val="110"/>
        </w:rPr>
        <w:t>2011a).</w:t>
      </w:r>
    </w:p>
    <w:p>
      <w:pPr>
        <w:spacing w:after="0" w:line="295" w:lineRule="auto"/>
        <w:jc w:val="both"/>
        <w:sectPr>
          <w:footerReference w:type="even" r:id="rId149"/>
          <w:footerReference w:type="default" r:id="rId150"/>
          <w:pgSz w:w="9520" w:h="12920"/>
          <w:pgMar w:footer="1344" w:header="0" w:top="880" w:bottom="1540" w:left="1320" w:right="1000"/>
          <w:pgNumType w:start="176"/>
        </w:sectPr>
      </w:pPr>
    </w:p>
    <w:p>
      <w:pPr>
        <w:pStyle w:val="BodyText"/>
        <w:spacing w:line="288" w:lineRule="auto" w:before="42"/>
        <w:ind w:left="100" w:right="119" w:firstLine="360"/>
        <w:jc w:val="both"/>
      </w:pPr>
      <w:r>
        <w:rPr>
          <w:color w:val="231F20"/>
          <w:w w:val="110"/>
        </w:rPr>
        <w:t>El</w:t>
      </w:r>
      <w:r>
        <w:rPr>
          <w:color w:val="231F20"/>
          <w:spacing w:val="-4"/>
          <w:w w:val="110"/>
        </w:rPr>
        <w:t> </w:t>
      </w:r>
      <w:r>
        <w:rPr>
          <w:color w:val="231F20"/>
          <w:w w:val="110"/>
        </w:rPr>
        <w:t>envejecimiento</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población</w:t>
      </w:r>
      <w:r>
        <w:rPr>
          <w:color w:val="231F20"/>
          <w:spacing w:val="-4"/>
          <w:w w:val="110"/>
        </w:rPr>
        <w:t> </w:t>
      </w:r>
      <w:r>
        <w:rPr>
          <w:color w:val="231F20"/>
          <w:w w:val="110"/>
        </w:rPr>
        <w:t>genera</w:t>
      </w:r>
      <w:r>
        <w:rPr>
          <w:color w:val="231F20"/>
          <w:spacing w:val="-4"/>
          <w:w w:val="110"/>
        </w:rPr>
        <w:t> </w:t>
      </w:r>
      <w:r>
        <w:rPr>
          <w:color w:val="231F20"/>
          <w:w w:val="110"/>
        </w:rPr>
        <w:t>una</w:t>
      </w:r>
      <w:r>
        <w:rPr>
          <w:color w:val="231F20"/>
          <w:spacing w:val="-4"/>
          <w:w w:val="110"/>
        </w:rPr>
        <w:t> </w:t>
      </w:r>
      <w:r>
        <w:rPr>
          <w:color w:val="231F20"/>
          <w:w w:val="110"/>
        </w:rPr>
        <w:t>serie</w:t>
      </w:r>
      <w:r>
        <w:rPr>
          <w:color w:val="231F20"/>
          <w:spacing w:val="-4"/>
          <w:w w:val="110"/>
        </w:rPr>
        <w:t> </w:t>
      </w:r>
      <w:r>
        <w:rPr>
          <w:color w:val="231F20"/>
          <w:w w:val="110"/>
        </w:rPr>
        <w:t>de</w:t>
      </w:r>
      <w:r>
        <w:rPr>
          <w:color w:val="231F20"/>
          <w:spacing w:val="-4"/>
          <w:w w:val="110"/>
        </w:rPr>
        <w:t> </w:t>
      </w:r>
      <w:r>
        <w:rPr>
          <w:color w:val="231F20"/>
          <w:w w:val="110"/>
        </w:rPr>
        <w:t>demandas</w:t>
      </w:r>
      <w:r>
        <w:rPr>
          <w:color w:val="231F20"/>
          <w:spacing w:val="-4"/>
          <w:w w:val="110"/>
        </w:rPr>
        <w:t> </w:t>
      </w:r>
      <w:r>
        <w:rPr>
          <w:color w:val="231F20"/>
          <w:w w:val="110"/>
        </w:rPr>
        <w:t>socia- les relacionadas con los ingresos que requiere la población para satisfacer sus necesidades de salud, alimentación, vestido y </w:t>
      </w:r>
      <w:r>
        <w:rPr>
          <w:color w:val="231F20"/>
          <w:spacing w:val="25"/>
          <w:w w:val="110"/>
        </w:rPr>
        <w:t> </w:t>
      </w:r>
      <w:r>
        <w:rPr>
          <w:color w:val="231F20"/>
          <w:w w:val="110"/>
        </w:rPr>
        <w:t>vivienda.</w:t>
      </w:r>
    </w:p>
    <w:p>
      <w:pPr>
        <w:pStyle w:val="BodyText"/>
        <w:spacing w:line="288" w:lineRule="auto"/>
        <w:ind w:left="100" w:right="117" w:firstLine="360"/>
        <w:jc w:val="both"/>
      </w:pPr>
      <w:r>
        <w:rPr>
          <w:color w:val="231F20"/>
          <w:w w:val="110"/>
        </w:rPr>
        <w:t>El trabajo es un elemento central para la población envejecida, debido a las pocas posibilidades de insertarse en el mercado laboral y obtener un ingreso que permita mejorar las condiciones de vida y otorgar autosufi- ciencia en aspectos económicos y sociales a los adultos   mayores.</w:t>
      </w:r>
    </w:p>
    <w:p>
      <w:pPr>
        <w:pStyle w:val="BodyText"/>
        <w:spacing w:line="288" w:lineRule="auto"/>
        <w:ind w:left="100" w:right="118" w:firstLine="360"/>
        <w:jc w:val="both"/>
      </w:pPr>
      <w:r>
        <w:rPr>
          <w:color w:val="231F20"/>
          <w:w w:val="110"/>
        </w:rPr>
        <w:t>En </w:t>
      </w:r>
      <w:r>
        <w:rPr>
          <w:color w:val="231F20"/>
          <w:spacing w:val="-3"/>
          <w:w w:val="110"/>
        </w:rPr>
        <w:t>este </w:t>
      </w:r>
      <w:r>
        <w:rPr>
          <w:color w:val="231F20"/>
          <w:spacing w:val="-4"/>
          <w:w w:val="110"/>
        </w:rPr>
        <w:t>sentido, </w:t>
      </w:r>
      <w:r>
        <w:rPr>
          <w:color w:val="231F20"/>
          <w:w w:val="110"/>
        </w:rPr>
        <w:t>se </w:t>
      </w:r>
      <w:r>
        <w:rPr>
          <w:color w:val="231F20"/>
          <w:spacing w:val="-4"/>
          <w:w w:val="110"/>
        </w:rPr>
        <w:t>reconoce </w:t>
      </w:r>
      <w:r>
        <w:rPr>
          <w:color w:val="231F20"/>
          <w:spacing w:val="-3"/>
          <w:w w:val="110"/>
        </w:rPr>
        <w:t>que </w:t>
      </w:r>
      <w:r>
        <w:rPr>
          <w:color w:val="231F20"/>
          <w:w w:val="110"/>
        </w:rPr>
        <w:t>el </w:t>
      </w:r>
      <w:r>
        <w:rPr>
          <w:color w:val="231F20"/>
          <w:spacing w:val="-4"/>
          <w:w w:val="110"/>
        </w:rPr>
        <w:t>grupo etario </w:t>
      </w:r>
      <w:r>
        <w:rPr>
          <w:color w:val="231F20"/>
          <w:w w:val="110"/>
        </w:rPr>
        <w:t>en </w:t>
      </w:r>
      <w:r>
        <w:rPr>
          <w:color w:val="231F20"/>
          <w:spacing w:val="-4"/>
          <w:w w:val="110"/>
        </w:rPr>
        <w:t>cuestión experimenta </w:t>
      </w:r>
      <w:r>
        <w:rPr>
          <w:color w:val="231F20"/>
          <w:w w:val="110"/>
        </w:rPr>
        <w:t>vulnerabilidad social al estar más expuesto que otros grupos de edad a enfermedades (declive fisiológico), a la pobreza (reducción de ingresos, jubilación o discriminación laboral) y la marginación social (disminución del flujo de relaciones sociales y políticas sociales inadecuadas o insufi- cientes).</w:t>
      </w:r>
    </w:p>
    <w:p>
      <w:pPr>
        <w:pStyle w:val="BodyText"/>
        <w:spacing w:line="288" w:lineRule="auto"/>
        <w:ind w:left="100" w:right="117" w:firstLine="360"/>
        <w:jc w:val="both"/>
      </w:pPr>
      <w:r>
        <w:rPr>
          <w:color w:val="231F20"/>
          <w:w w:val="110"/>
        </w:rPr>
        <w:t>Es </w:t>
      </w:r>
      <w:r>
        <w:rPr>
          <w:color w:val="231F20"/>
          <w:spacing w:val="2"/>
          <w:w w:val="110"/>
        </w:rPr>
        <w:t>importante señalar </w:t>
      </w:r>
      <w:r>
        <w:rPr>
          <w:color w:val="231F20"/>
          <w:w w:val="110"/>
        </w:rPr>
        <w:t>que el </w:t>
      </w:r>
      <w:r>
        <w:rPr>
          <w:color w:val="231F20"/>
          <w:spacing w:val="2"/>
          <w:w w:val="110"/>
        </w:rPr>
        <w:t>envejecimiento trae consigo aspectos </w:t>
      </w:r>
      <w:r>
        <w:rPr>
          <w:color w:val="231F20"/>
          <w:w w:val="110"/>
        </w:rPr>
        <w:t>positivos,</w:t>
      </w:r>
      <w:r>
        <w:rPr>
          <w:color w:val="231F20"/>
          <w:spacing w:val="-6"/>
          <w:w w:val="110"/>
        </w:rPr>
        <w:t> </w:t>
      </w:r>
      <w:r>
        <w:rPr>
          <w:color w:val="231F20"/>
          <w:w w:val="110"/>
        </w:rPr>
        <w:t>como</w:t>
      </w:r>
      <w:r>
        <w:rPr>
          <w:color w:val="231F20"/>
          <w:spacing w:val="-6"/>
          <w:w w:val="110"/>
        </w:rPr>
        <w:t> </w:t>
      </w:r>
      <w:r>
        <w:rPr>
          <w:color w:val="231F20"/>
          <w:w w:val="110"/>
        </w:rPr>
        <w:t>el</w:t>
      </w:r>
      <w:r>
        <w:rPr>
          <w:color w:val="231F20"/>
          <w:spacing w:val="-6"/>
          <w:w w:val="110"/>
        </w:rPr>
        <w:t> </w:t>
      </w:r>
      <w:r>
        <w:rPr>
          <w:color w:val="231F20"/>
          <w:w w:val="110"/>
        </w:rPr>
        <w:t>logro</w:t>
      </w:r>
      <w:r>
        <w:rPr>
          <w:color w:val="231F20"/>
          <w:spacing w:val="-6"/>
          <w:w w:val="110"/>
        </w:rPr>
        <w:t> </w:t>
      </w:r>
      <w:r>
        <w:rPr>
          <w:color w:val="231F20"/>
          <w:w w:val="110"/>
        </w:rPr>
        <w:t>de</w:t>
      </w:r>
      <w:r>
        <w:rPr>
          <w:color w:val="231F20"/>
          <w:spacing w:val="-6"/>
          <w:w w:val="110"/>
        </w:rPr>
        <w:t> </w:t>
      </w:r>
      <w:r>
        <w:rPr>
          <w:color w:val="231F20"/>
          <w:w w:val="110"/>
        </w:rPr>
        <w:t>sobrevivir</w:t>
      </w:r>
      <w:r>
        <w:rPr>
          <w:color w:val="231F20"/>
          <w:spacing w:val="-6"/>
          <w:w w:val="110"/>
        </w:rPr>
        <w:t> </w:t>
      </w:r>
      <w:r>
        <w:rPr>
          <w:color w:val="231F20"/>
          <w:w w:val="110"/>
        </w:rPr>
        <w:t>más</w:t>
      </w:r>
      <w:r>
        <w:rPr>
          <w:color w:val="231F20"/>
          <w:spacing w:val="-6"/>
          <w:w w:val="110"/>
        </w:rPr>
        <w:t> </w:t>
      </w:r>
      <w:r>
        <w:rPr>
          <w:color w:val="231F20"/>
          <w:w w:val="110"/>
        </w:rPr>
        <w:t>años</w:t>
      </w:r>
      <w:r>
        <w:rPr>
          <w:color w:val="231F20"/>
          <w:spacing w:val="-6"/>
          <w:w w:val="110"/>
        </w:rPr>
        <w:t> </w:t>
      </w:r>
      <w:r>
        <w:rPr>
          <w:color w:val="231F20"/>
          <w:w w:val="110"/>
        </w:rPr>
        <w:t>y</w:t>
      </w:r>
      <w:r>
        <w:rPr>
          <w:color w:val="231F20"/>
          <w:spacing w:val="-6"/>
          <w:w w:val="110"/>
        </w:rPr>
        <w:t> </w:t>
      </w:r>
      <w:r>
        <w:rPr>
          <w:color w:val="231F20"/>
          <w:w w:val="110"/>
        </w:rPr>
        <w:t>negativos</w:t>
      </w:r>
      <w:r>
        <w:rPr>
          <w:color w:val="231F20"/>
          <w:spacing w:val="-6"/>
          <w:w w:val="110"/>
        </w:rPr>
        <w:t> </w:t>
      </w:r>
      <w:r>
        <w:rPr>
          <w:color w:val="231F20"/>
          <w:w w:val="110"/>
        </w:rPr>
        <w:t>como</w:t>
      </w:r>
      <w:r>
        <w:rPr>
          <w:color w:val="231F20"/>
          <w:spacing w:val="-6"/>
          <w:w w:val="110"/>
        </w:rPr>
        <w:t> </w:t>
      </w:r>
      <w:r>
        <w:rPr>
          <w:color w:val="231F20"/>
          <w:w w:val="110"/>
        </w:rPr>
        <w:t>el</w:t>
      </w:r>
      <w:r>
        <w:rPr>
          <w:color w:val="231F20"/>
          <w:spacing w:val="-6"/>
          <w:w w:val="110"/>
        </w:rPr>
        <w:t> </w:t>
      </w:r>
      <w:r>
        <w:rPr>
          <w:color w:val="231F20"/>
          <w:w w:val="110"/>
        </w:rPr>
        <w:t>que</w:t>
      </w:r>
      <w:r>
        <w:rPr>
          <w:color w:val="231F20"/>
          <w:spacing w:val="-6"/>
          <w:w w:val="110"/>
        </w:rPr>
        <w:t> </w:t>
      </w:r>
      <w:r>
        <w:rPr>
          <w:color w:val="231F20"/>
          <w:w w:val="110"/>
        </w:rPr>
        <w:t>las personas dejan de ser independientes, de manera que quienes presenten esta situación se encuentran en un estado de vulnerabilidad. Los estereo- tipos negativos provocan que la percepción inmediata del envejecimiento sea</w:t>
      </w:r>
      <w:r>
        <w:rPr>
          <w:color w:val="231F20"/>
          <w:spacing w:val="-8"/>
          <w:w w:val="110"/>
        </w:rPr>
        <w:t> </w:t>
      </w:r>
      <w:r>
        <w:rPr>
          <w:color w:val="231F20"/>
          <w:w w:val="110"/>
        </w:rPr>
        <w:t>concebir</w:t>
      </w:r>
      <w:r>
        <w:rPr>
          <w:color w:val="231F20"/>
          <w:spacing w:val="-8"/>
          <w:w w:val="110"/>
        </w:rPr>
        <w:t> </w:t>
      </w:r>
      <w:r>
        <w:rPr>
          <w:color w:val="231F20"/>
          <w:w w:val="110"/>
        </w:rPr>
        <w:t>esta</w:t>
      </w:r>
      <w:r>
        <w:rPr>
          <w:color w:val="231F20"/>
          <w:spacing w:val="-8"/>
          <w:w w:val="110"/>
        </w:rPr>
        <w:t> </w:t>
      </w:r>
      <w:r>
        <w:rPr>
          <w:color w:val="231F20"/>
          <w:w w:val="110"/>
        </w:rPr>
        <w:t>etapa</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vida</w:t>
      </w:r>
      <w:r>
        <w:rPr>
          <w:color w:val="231F20"/>
          <w:spacing w:val="-8"/>
          <w:w w:val="110"/>
        </w:rPr>
        <w:t> </w:t>
      </w:r>
      <w:r>
        <w:rPr>
          <w:color w:val="231F20"/>
          <w:w w:val="110"/>
        </w:rPr>
        <w:t>como</w:t>
      </w:r>
      <w:r>
        <w:rPr>
          <w:color w:val="231F20"/>
          <w:spacing w:val="-8"/>
          <w:w w:val="110"/>
        </w:rPr>
        <w:t> </w:t>
      </w:r>
      <w:r>
        <w:rPr>
          <w:color w:val="231F20"/>
          <w:w w:val="110"/>
        </w:rPr>
        <w:t>un</w:t>
      </w:r>
      <w:r>
        <w:rPr>
          <w:color w:val="231F20"/>
          <w:spacing w:val="-8"/>
          <w:w w:val="110"/>
        </w:rPr>
        <w:t> </w:t>
      </w:r>
      <w:r>
        <w:rPr>
          <w:color w:val="231F20"/>
          <w:w w:val="110"/>
        </w:rPr>
        <w:t>problema</w:t>
      </w:r>
      <w:r>
        <w:rPr>
          <w:color w:val="231F20"/>
          <w:spacing w:val="-8"/>
          <w:w w:val="110"/>
        </w:rPr>
        <w:t> </w:t>
      </w:r>
      <w:r>
        <w:rPr>
          <w:color w:val="231F20"/>
          <w:w w:val="110"/>
        </w:rPr>
        <w:t>social,</w:t>
      </w:r>
      <w:r>
        <w:rPr>
          <w:color w:val="231F20"/>
          <w:spacing w:val="-8"/>
          <w:w w:val="110"/>
        </w:rPr>
        <w:t> </w:t>
      </w:r>
      <w:r>
        <w:rPr>
          <w:color w:val="231F20"/>
          <w:w w:val="110"/>
        </w:rPr>
        <w:t>donde</w:t>
      </w:r>
      <w:r>
        <w:rPr>
          <w:color w:val="231F20"/>
          <w:spacing w:val="-8"/>
          <w:w w:val="110"/>
        </w:rPr>
        <w:t> </w:t>
      </w:r>
      <w:r>
        <w:rPr>
          <w:color w:val="231F20"/>
          <w:w w:val="110"/>
        </w:rPr>
        <w:t>el</w:t>
      </w:r>
      <w:r>
        <w:rPr>
          <w:color w:val="231F20"/>
          <w:spacing w:val="-8"/>
          <w:w w:val="110"/>
        </w:rPr>
        <w:t> </w:t>
      </w:r>
      <w:r>
        <w:rPr>
          <w:color w:val="231F20"/>
          <w:w w:val="110"/>
        </w:rPr>
        <w:t>incon- veniente no es el envejecimiento por sí mismo, sino la serie de elementos que lo rodean, ya que se convierte en una visión genérica y estereotipada donde diferentes problemas sociales se vinculan a la vejez </w:t>
      </w:r>
      <w:r>
        <w:rPr>
          <w:color w:val="231F20"/>
          <w:spacing w:val="-9"/>
          <w:w w:val="110"/>
        </w:rPr>
        <w:t>y, </w:t>
      </w:r>
      <w:r>
        <w:rPr>
          <w:color w:val="231F20"/>
          <w:w w:val="110"/>
        </w:rPr>
        <w:t>por conse- cuencia,</w:t>
      </w:r>
      <w:r>
        <w:rPr>
          <w:color w:val="231F20"/>
          <w:spacing w:val="-14"/>
          <w:w w:val="110"/>
        </w:rPr>
        <w:t> </w:t>
      </w:r>
      <w:r>
        <w:rPr>
          <w:color w:val="231F20"/>
          <w:w w:val="110"/>
        </w:rPr>
        <w:t>son</w:t>
      </w:r>
      <w:r>
        <w:rPr>
          <w:color w:val="231F20"/>
          <w:spacing w:val="-14"/>
          <w:w w:val="110"/>
        </w:rPr>
        <w:t> </w:t>
      </w:r>
      <w:r>
        <w:rPr>
          <w:color w:val="231F20"/>
          <w:w w:val="110"/>
        </w:rPr>
        <w:t>enmarcados</w:t>
      </w:r>
      <w:r>
        <w:rPr>
          <w:color w:val="231F20"/>
          <w:spacing w:val="-14"/>
          <w:w w:val="110"/>
        </w:rPr>
        <w:t> </w:t>
      </w:r>
      <w:r>
        <w:rPr>
          <w:color w:val="231F20"/>
          <w:w w:val="110"/>
        </w:rPr>
        <w:t>como</w:t>
      </w:r>
      <w:r>
        <w:rPr>
          <w:color w:val="231F20"/>
          <w:spacing w:val="-14"/>
          <w:w w:val="110"/>
        </w:rPr>
        <w:t> </w:t>
      </w:r>
      <w:r>
        <w:rPr>
          <w:color w:val="231F20"/>
          <w:w w:val="110"/>
        </w:rPr>
        <w:t>un</w:t>
      </w:r>
      <w:r>
        <w:rPr>
          <w:color w:val="231F20"/>
          <w:spacing w:val="-14"/>
          <w:w w:val="110"/>
        </w:rPr>
        <w:t> </w:t>
      </w:r>
      <w:r>
        <w:rPr>
          <w:color w:val="231F20"/>
          <w:w w:val="110"/>
        </w:rPr>
        <w:t>problema</w:t>
      </w:r>
      <w:r>
        <w:rPr>
          <w:color w:val="231F20"/>
          <w:spacing w:val="-14"/>
          <w:w w:val="110"/>
        </w:rPr>
        <w:t> </w:t>
      </w:r>
      <w:r>
        <w:rPr>
          <w:color w:val="231F20"/>
          <w:w w:val="110"/>
        </w:rPr>
        <w:t>que</w:t>
      </w:r>
      <w:r>
        <w:rPr>
          <w:color w:val="231F20"/>
          <w:spacing w:val="-14"/>
          <w:w w:val="110"/>
        </w:rPr>
        <w:t> </w:t>
      </w:r>
      <w:r>
        <w:rPr>
          <w:color w:val="231F20"/>
          <w:w w:val="110"/>
        </w:rPr>
        <w:t>conlleva</w:t>
      </w:r>
      <w:r>
        <w:rPr>
          <w:color w:val="231F20"/>
          <w:spacing w:val="-14"/>
          <w:w w:val="110"/>
        </w:rPr>
        <w:t> </w:t>
      </w:r>
      <w:r>
        <w:rPr>
          <w:color w:val="231F20"/>
          <w:w w:val="110"/>
        </w:rPr>
        <w:t>el</w:t>
      </w:r>
      <w:r>
        <w:rPr>
          <w:color w:val="231F20"/>
          <w:spacing w:val="-14"/>
          <w:w w:val="110"/>
        </w:rPr>
        <w:t> </w:t>
      </w:r>
      <w:r>
        <w:rPr>
          <w:color w:val="231F20"/>
          <w:w w:val="110"/>
        </w:rPr>
        <w:t>envejecimiento (Giraldo y </w:t>
      </w:r>
      <w:r>
        <w:rPr>
          <w:color w:val="231F20"/>
          <w:spacing w:val="-3"/>
          <w:w w:val="110"/>
        </w:rPr>
        <w:t>Torres,</w:t>
      </w:r>
      <w:r>
        <w:rPr>
          <w:color w:val="231F20"/>
          <w:spacing w:val="-32"/>
          <w:w w:val="110"/>
        </w:rPr>
        <w:t> </w:t>
      </w:r>
      <w:r>
        <w:rPr>
          <w:color w:val="231F20"/>
          <w:w w:val="110"/>
        </w:rPr>
        <w:t>2010).</w:t>
      </w:r>
    </w:p>
    <w:p>
      <w:pPr>
        <w:pStyle w:val="BodyText"/>
        <w:spacing w:line="288" w:lineRule="auto"/>
        <w:ind w:left="100" w:right="117" w:firstLine="360"/>
        <w:jc w:val="both"/>
      </w:pPr>
      <w:r>
        <w:rPr>
          <w:color w:val="231F20"/>
          <w:spacing w:val="2"/>
          <w:w w:val="110"/>
        </w:rPr>
        <w:t>El </w:t>
      </w:r>
      <w:r>
        <w:rPr>
          <w:color w:val="231F20"/>
          <w:spacing w:val="4"/>
          <w:w w:val="110"/>
        </w:rPr>
        <w:t>aumento </w:t>
      </w:r>
      <w:r>
        <w:rPr>
          <w:color w:val="231F20"/>
          <w:spacing w:val="2"/>
          <w:w w:val="110"/>
        </w:rPr>
        <w:t>de la </w:t>
      </w:r>
      <w:r>
        <w:rPr>
          <w:color w:val="231F20"/>
          <w:spacing w:val="4"/>
          <w:w w:val="110"/>
        </w:rPr>
        <w:t>esperanza </w:t>
      </w:r>
      <w:r>
        <w:rPr>
          <w:color w:val="231F20"/>
          <w:spacing w:val="2"/>
          <w:w w:val="110"/>
        </w:rPr>
        <w:t>de </w:t>
      </w:r>
      <w:r>
        <w:rPr>
          <w:color w:val="231F20"/>
          <w:spacing w:val="3"/>
          <w:w w:val="110"/>
        </w:rPr>
        <w:t>vida </w:t>
      </w:r>
      <w:r>
        <w:rPr>
          <w:color w:val="231F20"/>
          <w:spacing w:val="2"/>
          <w:w w:val="110"/>
        </w:rPr>
        <w:t>en la </w:t>
      </w:r>
      <w:r>
        <w:rPr>
          <w:color w:val="231F20"/>
          <w:spacing w:val="4"/>
          <w:w w:val="110"/>
        </w:rPr>
        <w:t>población envejecida </w:t>
      </w:r>
      <w:r>
        <w:rPr>
          <w:color w:val="231F20"/>
          <w:spacing w:val="2"/>
          <w:w w:val="110"/>
        </w:rPr>
        <w:t>se  </w:t>
      </w:r>
      <w:r>
        <w:rPr>
          <w:color w:val="231F20"/>
          <w:w w:val="110"/>
        </w:rPr>
        <w:t>acompaña de una mayor vulnerabilidad. De acuerdo con Gómes (2001), la disminución de la mortalidad trae consigo un aumento en la sobreviven- cia de los hombres y las mujeres hasta edades avanzadas, provocando que la vejez se convierta en la etapa de la vida más prolongada, que empieza   a los 60 años y que puede durar hasta 20 o 30 años más, de manera que    la población sufre un deterioro en las condiciones de salud por la presen- cia</w:t>
      </w:r>
      <w:r>
        <w:rPr>
          <w:color w:val="231F20"/>
          <w:spacing w:val="-14"/>
          <w:w w:val="110"/>
        </w:rPr>
        <w:t> </w:t>
      </w:r>
      <w:r>
        <w:rPr>
          <w:color w:val="231F20"/>
          <w:w w:val="110"/>
        </w:rPr>
        <w:t>de</w:t>
      </w:r>
      <w:r>
        <w:rPr>
          <w:color w:val="231F20"/>
          <w:spacing w:val="-14"/>
          <w:w w:val="110"/>
        </w:rPr>
        <w:t> </w:t>
      </w:r>
      <w:r>
        <w:rPr>
          <w:color w:val="231F20"/>
          <w:w w:val="110"/>
        </w:rPr>
        <w:t>enfermedades</w:t>
      </w:r>
      <w:r>
        <w:rPr>
          <w:color w:val="231F20"/>
          <w:spacing w:val="-14"/>
          <w:w w:val="110"/>
        </w:rPr>
        <w:t> </w:t>
      </w:r>
      <w:r>
        <w:rPr>
          <w:color w:val="231F20"/>
          <w:w w:val="110"/>
        </w:rPr>
        <w:t>crónico-degenerativas.</w:t>
      </w:r>
      <w:r>
        <w:rPr>
          <w:color w:val="231F20"/>
          <w:spacing w:val="-14"/>
          <w:w w:val="110"/>
        </w:rPr>
        <w:t> </w:t>
      </w:r>
      <w:r>
        <w:rPr>
          <w:color w:val="231F20"/>
          <w:w w:val="110"/>
        </w:rPr>
        <w:t>A</w:t>
      </w:r>
      <w:r>
        <w:rPr>
          <w:color w:val="231F20"/>
          <w:spacing w:val="-14"/>
          <w:w w:val="110"/>
        </w:rPr>
        <w:t> </w:t>
      </w:r>
      <w:r>
        <w:rPr>
          <w:color w:val="231F20"/>
          <w:w w:val="110"/>
        </w:rPr>
        <w:t>ello</w:t>
      </w:r>
      <w:r>
        <w:rPr>
          <w:color w:val="231F20"/>
          <w:spacing w:val="-14"/>
          <w:w w:val="110"/>
        </w:rPr>
        <w:t> </w:t>
      </w:r>
      <w:r>
        <w:rPr>
          <w:color w:val="231F20"/>
          <w:w w:val="110"/>
        </w:rPr>
        <w:t>se</w:t>
      </w:r>
      <w:r>
        <w:rPr>
          <w:color w:val="231F20"/>
          <w:spacing w:val="-14"/>
          <w:w w:val="110"/>
        </w:rPr>
        <w:t> </w:t>
      </w:r>
      <w:r>
        <w:rPr>
          <w:color w:val="231F20"/>
          <w:w w:val="110"/>
        </w:rPr>
        <w:t>suman</w:t>
      </w:r>
      <w:r>
        <w:rPr>
          <w:color w:val="231F20"/>
          <w:spacing w:val="-14"/>
          <w:w w:val="110"/>
        </w:rPr>
        <w:t> </w:t>
      </w:r>
      <w:r>
        <w:rPr>
          <w:color w:val="231F20"/>
          <w:w w:val="110"/>
        </w:rPr>
        <w:t>las</w:t>
      </w:r>
      <w:r>
        <w:rPr>
          <w:color w:val="231F20"/>
          <w:spacing w:val="-14"/>
          <w:w w:val="110"/>
        </w:rPr>
        <w:t> </w:t>
      </w:r>
      <w:r>
        <w:rPr>
          <w:color w:val="231F20"/>
          <w:w w:val="110"/>
        </w:rPr>
        <w:t>dificultades económicas que en conjunto con el debilitamiento de la familia como</w:t>
      </w:r>
      <w:r>
        <w:rPr>
          <w:color w:val="231F20"/>
          <w:spacing w:val="-22"/>
          <w:w w:val="110"/>
        </w:rPr>
        <w:t> </w:t>
      </w:r>
      <w:r>
        <w:rPr>
          <w:color w:val="231F20"/>
          <w:w w:val="110"/>
        </w:rPr>
        <w:t>insti- tución</w:t>
      </w:r>
      <w:r>
        <w:rPr>
          <w:color w:val="231F20"/>
          <w:spacing w:val="-10"/>
          <w:w w:val="110"/>
        </w:rPr>
        <w:t> </w:t>
      </w:r>
      <w:r>
        <w:rPr>
          <w:color w:val="231F20"/>
          <w:w w:val="110"/>
        </w:rPr>
        <w:t>de</w:t>
      </w:r>
      <w:r>
        <w:rPr>
          <w:color w:val="231F20"/>
          <w:spacing w:val="-10"/>
          <w:w w:val="110"/>
        </w:rPr>
        <w:t> </w:t>
      </w:r>
      <w:r>
        <w:rPr>
          <w:color w:val="231F20"/>
          <w:w w:val="110"/>
        </w:rPr>
        <w:t>apoyo</w:t>
      </w:r>
      <w:r>
        <w:rPr>
          <w:color w:val="231F20"/>
          <w:spacing w:val="-10"/>
          <w:w w:val="110"/>
        </w:rPr>
        <w:t> </w:t>
      </w:r>
      <w:r>
        <w:rPr>
          <w:color w:val="231F20"/>
          <w:spacing w:val="-3"/>
          <w:w w:val="110"/>
        </w:rPr>
        <w:t>exponen</w:t>
      </w:r>
      <w:r>
        <w:rPr>
          <w:color w:val="231F20"/>
          <w:spacing w:val="-10"/>
          <w:w w:val="110"/>
        </w:rPr>
        <w:t> </w:t>
      </w:r>
      <w:r>
        <w:rPr>
          <w:color w:val="231F20"/>
          <w:w w:val="110"/>
        </w:rPr>
        <w:t>al</w:t>
      </w:r>
      <w:r>
        <w:rPr>
          <w:color w:val="231F20"/>
          <w:spacing w:val="-10"/>
          <w:w w:val="110"/>
        </w:rPr>
        <w:t> </w:t>
      </w:r>
      <w:r>
        <w:rPr>
          <w:color w:val="231F20"/>
          <w:w w:val="110"/>
        </w:rPr>
        <w:t>adulto</w:t>
      </w:r>
      <w:r>
        <w:rPr>
          <w:color w:val="231F20"/>
          <w:spacing w:val="-10"/>
          <w:w w:val="110"/>
        </w:rPr>
        <w:t> </w:t>
      </w:r>
      <w:r>
        <w:rPr>
          <w:color w:val="231F20"/>
          <w:w w:val="110"/>
        </w:rPr>
        <w:t>mayor</w:t>
      </w:r>
      <w:r>
        <w:rPr>
          <w:color w:val="231F20"/>
          <w:spacing w:val="-10"/>
          <w:w w:val="110"/>
        </w:rPr>
        <w:t> </w:t>
      </w:r>
      <w:r>
        <w:rPr>
          <w:color w:val="231F20"/>
          <w:w w:val="110"/>
        </w:rPr>
        <w:t>a</w:t>
      </w:r>
      <w:r>
        <w:rPr>
          <w:color w:val="231F20"/>
          <w:spacing w:val="-10"/>
          <w:w w:val="110"/>
        </w:rPr>
        <w:t> </w:t>
      </w:r>
      <w:r>
        <w:rPr>
          <w:color w:val="231F20"/>
          <w:w w:val="110"/>
        </w:rPr>
        <w:t>una</w:t>
      </w:r>
      <w:r>
        <w:rPr>
          <w:color w:val="231F20"/>
          <w:spacing w:val="-10"/>
          <w:w w:val="110"/>
        </w:rPr>
        <w:t> </w:t>
      </w:r>
      <w:r>
        <w:rPr>
          <w:color w:val="231F20"/>
          <w:w w:val="110"/>
        </w:rPr>
        <w:t>situación</w:t>
      </w:r>
      <w:r>
        <w:rPr>
          <w:color w:val="231F20"/>
          <w:spacing w:val="-10"/>
          <w:w w:val="110"/>
        </w:rPr>
        <w:t> </w:t>
      </w:r>
      <w:r>
        <w:rPr>
          <w:color w:val="231F20"/>
          <w:w w:val="110"/>
        </w:rPr>
        <w:t>de</w:t>
      </w:r>
      <w:r>
        <w:rPr>
          <w:color w:val="231F20"/>
          <w:spacing w:val="-10"/>
          <w:w w:val="110"/>
        </w:rPr>
        <w:t> </w:t>
      </w:r>
      <w:r>
        <w:rPr>
          <w:color w:val="231F20"/>
          <w:w w:val="110"/>
        </w:rPr>
        <w:t>vulnerabilidad. Según</w:t>
      </w:r>
      <w:r>
        <w:rPr>
          <w:color w:val="231F20"/>
          <w:spacing w:val="-14"/>
          <w:w w:val="110"/>
        </w:rPr>
        <w:t> </w:t>
      </w:r>
      <w:r>
        <w:rPr>
          <w:color w:val="231F20"/>
          <w:w w:val="110"/>
        </w:rPr>
        <w:t>Foschiatti</w:t>
      </w:r>
      <w:r>
        <w:rPr>
          <w:color w:val="231F20"/>
          <w:spacing w:val="-14"/>
          <w:w w:val="110"/>
        </w:rPr>
        <w:t> </w:t>
      </w:r>
      <w:r>
        <w:rPr>
          <w:color w:val="231F20"/>
          <w:w w:val="110"/>
        </w:rPr>
        <w:t>(2007),</w:t>
      </w:r>
      <w:r>
        <w:rPr>
          <w:color w:val="231F20"/>
          <w:spacing w:val="-14"/>
          <w:w w:val="110"/>
        </w:rPr>
        <w:t> </w:t>
      </w:r>
      <w:r>
        <w:rPr>
          <w:color w:val="231F20"/>
          <w:w w:val="110"/>
        </w:rPr>
        <w:t>la</w:t>
      </w:r>
      <w:r>
        <w:rPr>
          <w:color w:val="231F20"/>
          <w:spacing w:val="-14"/>
          <w:w w:val="110"/>
        </w:rPr>
        <w:t> </w:t>
      </w:r>
      <w:r>
        <w:rPr>
          <w:color w:val="231F20"/>
          <w:w w:val="110"/>
        </w:rPr>
        <w:t>ausencia</w:t>
      </w:r>
      <w:r>
        <w:rPr>
          <w:color w:val="231F20"/>
          <w:spacing w:val="-14"/>
          <w:w w:val="110"/>
        </w:rPr>
        <w:t> </w:t>
      </w:r>
      <w:r>
        <w:rPr>
          <w:color w:val="231F20"/>
          <w:w w:val="110"/>
        </w:rPr>
        <w:t>de</w:t>
      </w:r>
      <w:r>
        <w:rPr>
          <w:color w:val="231F20"/>
          <w:spacing w:val="-14"/>
          <w:w w:val="110"/>
        </w:rPr>
        <w:t> </w:t>
      </w:r>
      <w:r>
        <w:rPr>
          <w:color w:val="231F20"/>
          <w:w w:val="110"/>
        </w:rPr>
        <w:t>factores</w:t>
      </w:r>
      <w:r>
        <w:rPr>
          <w:color w:val="231F20"/>
          <w:spacing w:val="-14"/>
          <w:w w:val="110"/>
        </w:rPr>
        <w:t> </w:t>
      </w:r>
      <w:r>
        <w:rPr>
          <w:color w:val="231F20"/>
          <w:w w:val="110"/>
        </w:rPr>
        <w:t>que</w:t>
      </w:r>
      <w:r>
        <w:rPr>
          <w:color w:val="231F20"/>
          <w:spacing w:val="-14"/>
          <w:w w:val="110"/>
        </w:rPr>
        <w:t> </w:t>
      </w:r>
      <w:r>
        <w:rPr>
          <w:color w:val="231F20"/>
          <w:w w:val="110"/>
        </w:rPr>
        <w:t>brinden</w:t>
      </w:r>
      <w:r>
        <w:rPr>
          <w:color w:val="231F20"/>
          <w:spacing w:val="-14"/>
          <w:w w:val="110"/>
        </w:rPr>
        <w:t> </w:t>
      </w:r>
      <w:r>
        <w:rPr>
          <w:color w:val="231F20"/>
          <w:w w:val="110"/>
        </w:rPr>
        <w:t>oportunidades de</w:t>
      </w:r>
      <w:r>
        <w:rPr>
          <w:color w:val="231F20"/>
          <w:spacing w:val="-11"/>
          <w:w w:val="110"/>
        </w:rPr>
        <w:t> </w:t>
      </w:r>
      <w:r>
        <w:rPr>
          <w:color w:val="231F20"/>
          <w:spacing w:val="-4"/>
          <w:w w:val="110"/>
        </w:rPr>
        <w:t>bienestar</w:t>
      </w:r>
      <w:r>
        <w:rPr>
          <w:color w:val="231F20"/>
          <w:spacing w:val="-11"/>
          <w:w w:val="110"/>
        </w:rPr>
        <w:t> </w:t>
      </w:r>
      <w:r>
        <w:rPr>
          <w:color w:val="231F20"/>
          <w:spacing w:val="-4"/>
          <w:w w:val="110"/>
        </w:rPr>
        <w:t>genera</w:t>
      </w:r>
      <w:r>
        <w:rPr>
          <w:color w:val="231F20"/>
          <w:spacing w:val="-11"/>
          <w:w w:val="110"/>
        </w:rPr>
        <w:t> </w:t>
      </w:r>
      <w:r>
        <w:rPr>
          <w:color w:val="231F20"/>
          <w:w w:val="110"/>
        </w:rPr>
        <w:t>un</w:t>
      </w:r>
      <w:r>
        <w:rPr>
          <w:color w:val="231F20"/>
          <w:spacing w:val="-11"/>
          <w:w w:val="110"/>
        </w:rPr>
        <w:t> </w:t>
      </w:r>
      <w:r>
        <w:rPr>
          <w:color w:val="231F20"/>
          <w:spacing w:val="-4"/>
          <w:w w:val="110"/>
        </w:rPr>
        <w:t>impacto</w:t>
      </w:r>
      <w:r>
        <w:rPr>
          <w:color w:val="231F20"/>
          <w:spacing w:val="-11"/>
          <w:w w:val="110"/>
        </w:rPr>
        <w:t> </w:t>
      </w:r>
      <w:r>
        <w:rPr>
          <w:color w:val="231F20"/>
          <w:w w:val="110"/>
        </w:rPr>
        <w:t>de</w:t>
      </w:r>
      <w:r>
        <w:rPr>
          <w:color w:val="231F20"/>
          <w:spacing w:val="-11"/>
          <w:w w:val="110"/>
        </w:rPr>
        <w:t> </w:t>
      </w:r>
      <w:r>
        <w:rPr>
          <w:color w:val="231F20"/>
          <w:spacing w:val="-4"/>
          <w:w w:val="110"/>
        </w:rPr>
        <w:t>vulnerabilidad</w:t>
      </w:r>
      <w:r>
        <w:rPr>
          <w:color w:val="231F20"/>
          <w:spacing w:val="-11"/>
          <w:w w:val="110"/>
        </w:rPr>
        <w:t> </w:t>
      </w:r>
      <w:r>
        <w:rPr>
          <w:color w:val="231F20"/>
          <w:spacing w:val="-3"/>
          <w:w w:val="110"/>
        </w:rPr>
        <w:t>ante</w:t>
      </w:r>
      <w:r>
        <w:rPr>
          <w:color w:val="231F20"/>
          <w:spacing w:val="-11"/>
          <w:w w:val="110"/>
        </w:rPr>
        <w:t> </w:t>
      </w:r>
      <w:r>
        <w:rPr>
          <w:color w:val="231F20"/>
          <w:w w:val="110"/>
        </w:rPr>
        <w:t>la</w:t>
      </w:r>
      <w:r>
        <w:rPr>
          <w:color w:val="231F20"/>
          <w:spacing w:val="-11"/>
          <w:w w:val="110"/>
        </w:rPr>
        <w:t> </w:t>
      </w:r>
      <w:r>
        <w:rPr>
          <w:color w:val="231F20"/>
          <w:spacing w:val="-4"/>
          <w:w w:val="110"/>
        </w:rPr>
        <w:t>escasez</w:t>
      </w:r>
      <w:r>
        <w:rPr>
          <w:color w:val="231F20"/>
          <w:spacing w:val="-11"/>
          <w:w w:val="110"/>
        </w:rPr>
        <w:t> </w:t>
      </w:r>
      <w:r>
        <w:rPr>
          <w:color w:val="231F20"/>
          <w:w w:val="110"/>
        </w:rPr>
        <w:t>de</w:t>
      </w:r>
      <w:r>
        <w:rPr>
          <w:color w:val="231F20"/>
          <w:spacing w:val="-11"/>
          <w:w w:val="110"/>
        </w:rPr>
        <w:t> </w:t>
      </w:r>
      <w:r>
        <w:rPr>
          <w:color w:val="231F20"/>
          <w:spacing w:val="-3"/>
          <w:w w:val="110"/>
        </w:rPr>
        <w:t>recursos,</w:t>
      </w:r>
    </w:p>
    <w:p>
      <w:pPr>
        <w:spacing w:after="0" w:line="288" w:lineRule="auto"/>
        <w:jc w:val="both"/>
        <w:sectPr>
          <w:pgSz w:w="9520" w:h="12920"/>
          <w:pgMar w:header="0" w:footer="1344" w:top="880" w:bottom="1540" w:left="1020" w:right="1320"/>
        </w:sectPr>
      </w:pPr>
    </w:p>
    <w:p>
      <w:pPr>
        <w:pStyle w:val="BodyText"/>
        <w:spacing w:line="288" w:lineRule="auto" w:before="42"/>
        <w:ind w:left="124" w:right="113"/>
        <w:jc w:val="both"/>
      </w:pPr>
      <w:r>
        <w:rPr>
          <w:color w:val="231F20"/>
          <w:w w:val="110"/>
        </w:rPr>
        <w:t>bajos niveles educativos e inseguridad familiar, alimentaria, asistencia y cuidados.</w:t>
      </w:r>
    </w:p>
    <w:p>
      <w:pPr>
        <w:pStyle w:val="BodyText"/>
        <w:spacing w:line="288" w:lineRule="auto"/>
        <w:ind w:left="124" w:right="112" w:firstLine="360"/>
        <w:jc w:val="both"/>
      </w:pPr>
      <w:r>
        <w:rPr>
          <w:color w:val="231F20"/>
          <w:w w:val="110"/>
        </w:rPr>
        <w:t>De acuerdo con la Organización Mundial de Salud, en las próximas dé- cadas incrementará el número de ancianos, por lo que las estructuras fa- miliares presentarán cambios relevantes, como personas que vivan solas en una vivienda, sobre todo mujeres ancianas solteras y viudas, aumento de</w:t>
      </w:r>
      <w:r>
        <w:rPr>
          <w:color w:val="231F20"/>
          <w:spacing w:val="-18"/>
          <w:w w:val="110"/>
        </w:rPr>
        <w:t> </w:t>
      </w:r>
      <w:r>
        <w:rPr>
          <w:color w:val="231F20"/>
          <w:w w:val="110"/>
        </w:rPr>
        <w:t>personas</w:t>
      </w:r>
      <w:r>
        <w:rPr>
          <w:color w:val="231F20"/>
          <w:spacing w:val="-18"/>
          <w:w w:val="110"/>
        </w:rPr>
        <w:t> </w:t>
      </w:r>
      <w:r>
        <w:rPr>
          <w:color w:val="231F20"/>
          <w:w w:val="110"/>
        </w:rPr>
        <w:t>que</w:t>
      </w:r>
      <w:r>
        <w:rPr>
          <w:color w:val="231F20"/>
          <w:spacing w:val="-18"/>
          <w:w w:val="110"/>
        </w:rPr>
        <w:t> </w:t>
      </w:r>
      <w:r>
        <w:rPr>
          <w:color w:val="231F20"/>
          <w:w w:val="110"/>
        </w:rPr>
        <w:t>estén</w:t>
      </w:r>
      <w:r>
        <w:rPr>
          <w:color w:val="231F20"/>
          <w:spacing w:val="-18"/>
          <w:w w:val="110"/>
        </w:rPr>
        <w:t> </w:t>
      </w:r>
      <w:r>
        <w:rPr>
          <w:color w:val="231F20"/>
          <w:w w:val="110"/>
        </w:rPr>
        <w:t>socialmente</w:t>
      </w:r>
      <w:r>
        <w:rPr>
          <w:color w:val="231F20"/>
          <w:spacing w:val="-18"/>
          <w:w w:val="110"/>
        </w:rPr>
        <w:t> </w:t>
      </w:r>
      <w:r>
        <w:rPr>
          <w:color w:val="231F20"/>
          <w:w w:val="110"/>
        </w:rPr>
        <w:t>aislados</w:t>
      </w:r>
      <w:r>
        <w:rPr>
          <w:color w:val="231F20"/>
          <w:spacing w:val="-18"/>
          <w:w w:val="110"/>
        </w:rPr>
        <w:t> </w:t>
      </w:r>
      <w:r>
        <w:rPr>
          <w:color w:val="231F20"/>
          <w:w w:val="110"/>
        </w:rPr>
        <w:t>(individuos</w:t>
      </w:r>
      <w:r>
        <w:rPr>
          <w:color w:val="231F20"/>
          <w:spacing w:val="-18"/>
          <w:w w:val="110"/>
        </w:rPr>
        <w:t> </w:t>
      </w:r>
      <w:r>
        <w:rPr>
          <w:color w:val="231F20"/>
          <w:w w:val="110"/>
        </w:rPr>
        <w:t>o</w:t>
      </w:r>
      <w:r>
        <w:rPr>
          <w:color w:val="231F20"/>
          <w:spacing w:val="-18"/>
          <w:w w:val="110"/>
        </w:rPr>
        <w:t> </w:t>
      </w:r>
      <w:r>
        <w:rPr>
          <w:color w:val="231F20"/>
          <w:w w:val="110"/>
        </w:rPr>
        <w:t>parejas),</w:t>
      </w:r>
      <w:r>
        <w:rPr>
          <w:color w:val="231F20"/>
          <w:spacing w:val="-18"/>
          <w:w w:val="110"/>
        </w:rPr>
        <w:t> </w:t>
      </w:r>
      <w:r>
        <w:rPr>
          <w:color w:val="231F20"/>
          <w:w w:val="110"/>
        </w:rPr>
        <w:t>ancianos sin hijos y con alguna limitación, enfermedad o discapacidad severa. Ante esta heterogeneidad de situaciones se acentúa la vulnerabilidad social en los adultos</w:t>
      </w:r>
      <w:r>
        <w:rPr>
          <w:color w:val="231F20"/>
          <w:spacing w:val="22"/>
          <w:w w:val="110"/>
        </w:rPr>
        <w:t> </w:t>
      </w:r>
      <w:r>
        <w:rPr>
          <w:color w:val="231F20"/>
          <w:w w:val="110"/>
        </w:rPr>
        <w:t>mayores.</w:t>
      </w:r>
    </w:p>
    <w:p>
      <w:pPr>
        <w:pStyle w:val="BodyText"/>
      </w:pPr>
    </w:p>
    <w:p>
      <w:pPr>
        <w:pStyle w:val="BodyText"/>
        <w:spacing w:before="10"/>
        <w:rPr>
          <w:sz w:val="24"/>
        </w:rPr>
      </w:pPr>
    </w:p>
    <w:p>
      <w:pPr>
        <w:spacing w:before="0"/>
        <w:ind w:left="124" w:right="0" w:firstLine="0"/>
        <w:jc w:val="both"/>
        <w:rPr>
          <w:rFonts w:ascii="Times New Roman" w:hAnsi="Times New Roman"/>
          <w:i/>
          <w:sz w:val="19"/>
        </w:rPr>
      </w:pPr>
      <w:r>
        <w:rPr>
          <w:rFonts w:ascii="Times New Roman" w:hAnsi="Times New Roman"/>
          <w:i/>
          <w:color w:val="231F20"/>
          <w:w w:val="95"/>
          <w:sz w:val="24"/>
        </w:rPr>
        <w:t>V</w:t>
      </w:r>
      <w:r>
        <w:rPr>
          <w:rFonts w:ascii="Times New Roman" w:hAnsi="Times New Roman"/>
          <w:i/>
          <w:color w:val="231F20"/>
          <w:w w:val="95"/>
          <w:sz w:val="19"/>
        </w:rPr>
        <w:t>ULNERABILIDAD SOCIAL</w:t>
      </w:r>
      <w:r>
        <w:rPr>
          <w:rFonts w:ascii="Times New Roman" w:hAnsi="Times New Roman"/>
          <w:i/>
          <w:color w:val="231F20"/>
          <w:w w:val="95"/>
          <w:sz w:val="24"/>
        </w:rPr>
        <w:t>: </w:t>
      </w:r>
      <w:r>
        <w:rPr>
          <w:rFonts w:ascii="Times New Roman" w:hAnsi="Times New Roman"/>
          <w:i/>
          <w:color w:val="231F20"/>
          <w:w w:val="95"/>
          <w:sz w:val="19"/>
        </w:rPr>
        <w:t>UNA REVISIÓN TEÓRICA</w:t>
      </w:r>
    </w:p>
    <w:p>
      <w:pPr>
        <w:pStyle w:val="BodyText"/>
        <w:spacing w:before="9"/>
        <w:rPr>
          <w:rFonts w:ascii="Times New Roman"/>
          <w:i/>
          <w:sz w:val="27"/>
        </w:rPr>
      </w:pPr>
    </w:p>
    <w:p>
      <w:pPr>
        <w:pStyle w:val="BodyText"/>
        <w:spacing w:line="288" w:lineRule="auto"/>
        <w:ind w:left="124" w:right="113"/>
        <w:jc w:val="both"/>
      </w:pPr>
      <w:r>
        <w:rPr>
          <w:color w:val="231F20"/>
          <w:w w:val="110"/>
        </w:rPr>
        <w:t>El debate teórico que se ha desarrollado alrededor del concepto de vulne- rabilidad social no es reciente, sino que se ha vuelto necesario durante las últimas décadas del siglo </w:t>
      </w:r>
      <w:r>
        <w:rPr>
          <w:rFonts w:ascii="Times New Roman" w:hAnsi="Times New Roman"/>
          <w:color w:val="231F20"/>
          <w:w w:val="110"/>
          <w:sz w:val="16"/>
        </w:rPr>
        <w:t>XX</w:t>
      </w:r>
      <w:r>
        <w:rPr>
          <w:color w:val="231F20"/>
          <w:w w:val="110"/>
        </w:rPr>
        <w:t>, no sólo en el ámbito académico, sino en el social, el económico y en el  político.</w:t>
      </w:r>
    </w:p>
    <w:p>
      <w:pPr>
        <w:pStyle w:val="BodyText"/>
        <w:spacing w:line="288" w:lineRule="auto"/>
        <w:ind w:left="124" w:right="112" w:firstLine="360"/>
        <w:jc w:val="both"/>
      </w:pPr>
      <w:r>
        <w:rPr>
          <w:color w:val="231F20"/>
          <w:w w:val="105"/>
        </w:rPr>
        <w:t>De acuerdo con Aranibar (2001), la vulnerabilidad como concepto y  como recurso analítico se ha sometido a una discusión bastante prolongada (alrededor de 30 años), donde no se ha podido llegar a un concepto unita-   rio  que  pueda  resultar</w:t>
      </w:r>
      <w:r>
        <w:rPr>
          <w:color w:val="231F20"/>
          <w:spacing w:val="27"/>
          <w:w w:val="105"/>
        </w:rPr>
        <w:t> </w:t>
      </w:r>
      <w:r>
        <w:rPr>
          <w:color w:val="231F20"/>
          <w:w w:val="105"/>
        </w:rPr>
        <w:t>inequívoco.</w:t>
      </w:r>
    </w:p>
    <w:p>
      <w:pPr>
        <w:pStyle w:val="BodyText"/>
        <w:spacing w:line="288" w:lineRule="auto"/>
        <w:ind w:left="124" w:right="114" w:firstLine="360"/>
        <w:jc w:val="both"/>
      </w:pPr>
      <w:r>
        <w:rPr>
          <w:color w:val="231F20"/>
          <w:w w:val="110"/>
        </w:rPr>
        <w:t>Desde la década de 1980 se ha hecho énfasis en la teoría sobre el</w:t>
      </w:r>
      <w:r>
        <w:rPr>
          <w:color w:val="231F20"/>
          <w:spacing w:val="-27"/>
          <w:w w:val="110"/>
        </w:rPr>
        <w:t> </w:t>
      </w:r>
      <w:r>
        <w:rPr>
          <w:color w:val="231F20"/>
          <w:w w:val="110"/>
        </w:rPr>
        <w:t>tema, donde Zaman (1999) y Busso (2001), elaboran una revisión al respecto, resaltando la manera en que las desigualdades sociales, económicas y</w:t>
      </w:r>
      <w:r>
        <w:rPr>
          <w:color w:val="231F20"/>
          <w:spacing w:val="-29"/>
          <w:w w:val="110"/>
        </w:rPr>
        <w:t> </w:t>
      </w:r>
      <w:r>
        <w:rPr>
          <w:color w:val="231F20"/>
          <w:w w:val="110"/>
        </w:rPr>
        <w:t>polí- ticas hacen a un grupo vulnerable. Se asume, entonces, que el riesgo de llegar a un estado que afecte negativamente las condiciones de vida de los individuos impacta en la vulnerabilidad social.</w:t>
      </w:r>
    </w:p>
    <w:p>
      <w:pPr>
        <w:pStyle w:val="BodyText"/>
        <w:spacing w:line="288" w:lineRule="auto"/>
        <w:ind w:left="124" w:right="113" w:firstLine="360"/>
        <w:jc w:val="both"/>
      </w:pPr>
      <w:r>
        <w:rPr>
          <w:color w:val="231F20"/>
          <w:w w:val="110"/>
        </w:rPr>
        <w:t>A inicios del siglo </w:t>
      </w:r>
      <w:r>
        <w:rPr>
          <w:rFonts w:ascii="Times New Roman" w:hAnsi="Times New Roman"/>
          <w:color w:val="231F20"/>
          <w:w w:val="110"/>
          <w:sz w:val="16"/>
        </w:rPr>
        <w:t>XXI</w:t>
      </w:r>
      <w:r>
        <w:rPr>
          <w:color w:val="231F20"/>
          <w:w w:val="110"/>
        </w:rPr>
        <w:t>, la Comisión Económica para América Latina y el Caribe</w:t>
      </w:r>
      <w:r>
        <w:rPr>
          <w:color w:val="231F20"/>
          <w:spacing w:val="-11"/>
          <w:w w:val="110"/>
        </w:rPr>
        <w:t> </w:t>
      </w:r>
      <w:r>
        <w:rPr>
          <w:color w:val="231F20"/>
          <w:w w:val="110"/>
        </w:rPr>
        <w:t>(</w:t>
      </w:r>
      <w:r>
        <w:rPr>
          <w:rFonts w:ascii="Times New Roman" w:hAnsi="Times New Roman"/>
          <w:color w:val="231F20"/>
          <w:w w:val="110"/>
          <w:sz w:val="16"/>
        </w:rPr>
        <w:t>CEPAL</w:t>
      </w:r>
      <w:r>
        <w:rPr>
          <w:color w:val="231F20"/>
          <w:w w:val="110"/>
        </w:rPr>
        <w:t>,</w:t>
      </w:r>
      <w:r>
        <w:rPr>
          <w:color w:val="231F20"/>
          <w:spacing w:val="-11"/>
          <w:w w:val="110"/>
        </w:rPr>
        <w:t> </w:t>
      </w:r>
      <w:r>
        <w:rPr>
          <w:color w:val="231F20"/>
          <w:w w:val="110"/>
        </w:rPr>
        <w:t>2002)</w:t>
      </w:r>
      <w:r>
        <w:rPr>
          <w:color w:val="231F20"/>
          <w:spacing w:val="-11"/>
          <w:w w:val="110"/>
        </w:rPr>
        <w:t> </w:t>
      </w:r>
      <w:r>
        <w:rPr>
          <w:color w:val="231F20"/>
          <w:w w:val="110"/>
        </w:rPr>
        <w:t>define</w:t>
      </w:r>
      <w:r>
        <w:rPr>
          <w:color w:val="231F20"/>
          <w:spacing w:val="-11"/>
          <w:w w:val="110"/>
        </w:rPr>
        <w:t> </w:t>
      </w:r>
      <w:r>
        <w:rPr>
          <w:color w:val="231F20"/>
          <w:w w:val="110"/>
        </w:rPr>
        <w:t>la</w:t>
      </w:r>
      <w:r>
        <w:rPr>
          <w:color w:val="231F20"/>
          <w:spacing w:val="-11"/>
          <w:w w:val="110"/>
        </w:rPr>
        <w:t> </w:t>
      </w:r>
      <w:r>
        <w:rPr>
          <w:color w:val="231F20"/>
          <w:w w:val="110"/>
        </w:rPr>
        <w:t>vulnerabilidad</w:t>
      </w:r>
      <w:r>
        <w:rPr>
          <w:color w:val="231F20"/>
          <w:spacing w:val="-11"/>
          <w:w w:val="110"/>
        </w:rPr>
        <w:t> </w:t>
      </w:r>
      <w:r>
        <w:rPr>
          <w:color w:val="231F20"/>
          <w:w w:val="110"/>
        </w:rPr>
        <w:t>social</w:t>
      </w:r>
      <w:r>
        <w:rPr>
          <w:color w:val="231F20"/>
          <w:spacing w:val="-11"/>
          <w:w w:val="110"/>
        </w:rPr>
        <w:t> </w:t>
      </w:r>
      <w:r>
        <w:rPr>
          <w:color w:val="231F20"/>
          <w:w w:val="110"/>
        </w:rPr>
        <w:t>como</w:t>
      </w:r>
      <w:r>
        <w:rPr>
          <w:color w:val="231F20"/>
          <w:spacing w:val="-11"/>
          <w:w w:val="110"/>
        </w:rPr>
        <w:t> </w:t>
      </w:r>
      <w:r>
        <w:rPr>
          <w:color w:val="231F20"/>
          <w:w w:val="110"/>
        </w:rPr>
        <w:t>“la</w:t>
      </w:r>
      <w:r>
        <w:rPr>
          <w:color w:val="231F20"/>
          <w:spacing w:val="-11"/>
          <w:w w:val="110"/>
        </w:rPr>
        <w:t> </w:t>
      </w:r>
      <w:r>
        <w:rPr>
          <w:color w:val="231F20"/>
          <w:w w:val="110"/>
        </w:rPr>
        <w:t>escasa</w:t>
      </w:r>
      <w:r>
        <w:rPr>
          <w:color w:val="231F20"/>
          <w:spacing w:val="-11"/>
          <w:w w:val="110"/>
        </w:rPr>
        <w:t> </w:t>
      </w:r>
      <w:r>
        <w:rPr>
          <w:color w:val="231F20"/>
          <w:w w:val="110"/>
        </w:rPr>
        <w:t>capaci- dad de respuesta individual o grupal ante riesgos y contingencias y tam- bién como la predisposición a la caída del nivel de bienestar derivada de una configuración de atributos negativa”, concepto que esta investigación retoma como definición de vulnerabilidad</w:t>
      </w:r>
      <w:r>
        <w:rPr>
          <w:color w:val="231F20"/>
          <w:spacing w:val="-5"/>
          <w:w w:val="110"/>
        </w:rPr>
        <w:t> </w:t>
      </w:r>
      <w:r>
        <w:rPr>
          <w:color w:val="231F20"/>
          <w:w w:val="110"/>
        </w:rPr>
        <w:t>social.</w:t>
      </w:r>
    </w:p>
    <w:p>
      <w:pPr>
        <w:pStyle w:val="BodyText"/>
        <w:spacing w:line="288" w:lineRule="auto"/>
        <w:ind w:left="124" w:right="112" w:firstLine="360"/>
        <w:jc w:val="both"/>
      </w:pPr>
      <w:r>
        <w:rPr>
          <w:color w:val="231F20"/>
          <w:w w:val="110"/>
        </w:rPr>
        <w:t>En el presente capítulo se plantea que una sociedad que envejece se</w:t>
      </w:r>
      <w:r>
        <w:rPr>
          <w:color w:val="231F20"/>
          <w:spacing w:val="-15"/>
          <w:w w:val="110"/>
        </w:rPr>
        <w:t> </w:t>
      </w:r>
      <w:r>
        <w:rPr>
          <w:color w:val="231F20"/>
          <w:w w:val="110"/>
        </w:rPr>
        <w:t>ve afectada</w:t>
      </w:r>
      <w:r>
        <w:rPr>
          <w:color w:val="231F20"/>
          <w:spacing w:val="-17"/>
          <w:w w:val="110"/>
        </w:rPr>
        <w:t> </w:t>
      </w:r>
      <w:r>
        <w:rPr>
          <w:color w:val="231F20"/>
          <w:w w:val="110"/>
        </w:rPr>
        <w:t>por</w:t>
      </w:r>
      <w:r>
        <w:rPr>
          <w:color w:val="231F20"/>
          <w:spacing w:val="-17"/>
          <w:w w:val="110"/>
        </w:rPr>
        <w:t> </w:t>
      </w:r>
      <w:r>
        <w:rPr>
          <w:color w:val="231F20"/>
          <w:w w:val="110"/>
        </w:rPr>
        <w:t>una</w:t>
      </w:r>
      <w:r>
        <w:rPr>
          <w:color w:val="231F20"/>
          <w:spacing w:val="-17"/>
          <w:w w:val="110"/>
        </w:rPr>
        <w:t> </w:t>
      </w:r>
      <w:r>
        <w:rPr>
          <w:color w:val="231F20"/>
          <w:w w:val="110"/>
        </w:rPr>
        <w:t>serie</w:t>
      </w:r>
      <w:r>
        <w:rPr>
          <w:color w:val="231F20"/>
          <w:spacing w:val="-17"/>
          <w:w w:val="110"/>
        </w:rPr>
        <w:t> </w:t>
      </w:r>
      <w:r>
        <w:rPr>
          <w:color w:val="231F20"/>
          <w:w w:val="110"/>
        </w:rPr>
        <w:t>de</w:t>
      </w:r>
      <w:r>
        <w:rPr>
          <w:color w:val="231F20"/>
          <w:spacing w:val="-17"/>
          <w:w w:val="110"/>
        </w:rPr>
        <w:t> </w:t>
      </w:r>
      <w:r>
        <w:rPr>
          <w:color w:val="231F20"/>
          <w:w w:val="110"/>
        </w:rPr>
        <w:t>variables</w:t>
      </w:r>
      <w:r>
        <w:rPr>
          <w:color w:val="231F20"/>
          <w:spacing w:val="-17"/>
          <w:w w:val="110"/>
        </w:rPr>
        <w:t> </w:t>
      </w:r>
      <w:r>
        <w:rPr>
          <w:color w:val="231F20"/>
          <w:w w:val="110"/>
        </w:rPr>
        <w:t>que</w:t>
      </w:r>
      <w:r>
        <w:rPr>
          <w:color w:val="231F20"/>
          <w:spacing w:val="-17"/>
          <w:w w:val="110"/>
        </w:rPr>
        <w:t> </w:t>
      </w:r>
      <w:r>
        <w:rPr>
          <w:color w:val="231F20"/>
          <w:w w:val="110"/>
        </w:rPr>
        <w:t>impactan</w:t>
      </w:r>
      <w:r>
        <w:rPr>
          <w:color w:val="231F20"/>
          <w:spacing w:val="-17"/>
          <w:w w:val="110"/>
        </w:rPr>
        <w:t> </w:t>
      </w:r>
      <w:r>
        <w:rPr>
          <w:color w:val="231F20"/>
          <w:w w:val="110"/>
        </w:rPr>
        <w:t>en</w:t>
      </w:r>
      <w:r>
        <w:rPr>
          <w:color w:val="231F20"/>
          <w:spacing w:val="-17"/>
          <w:w w:val="110"/>
        </w:rPr>
        <w:t> </w:t>
      </w:r>
      <w:r>
        <w:rPr>
          <w:color w:val="231F20"/>
          <w:w w:val="110"/>
        </w:rPr>
        <w:t>la</w:t>
      </w:r>
      <w:r>
        <w:rPr>
          <w:color w:val="231F20"/>
          <w:spacing w:val="-17"/>
          <w:w w:val="110"/>
        </w:rPr>
        <w:t> </w:t>
      </w:r>
      <w:r>
        <w:rPr>
          <w:color w:val="231F20"/>
          <w:w w:val="110"/>
        </w:rPr>
        <w:t>vulnerabilidad</w:t>
      </w:r>
      <w:r>
        <w:rPr>
          <w:color w:val="231F20"/>
          <w:spacing w:val="-17"/>
          <w:w w:val="110"/>
        </w:rPr>
        <w:t> </w:t>
      </w:r>
      <w:r>
        <w:rPr>
          <w:color w:val="231F20"/>
          <w:w w:val="110"/>
        </w:rPr>
        <w:t>social.</w:t>
      </w:r>
    </w:p>
    <w:p>
      <w:pPr>
        <w:spacing w:after="0" w:line="288" w:lineRule="auto"/>
        <w:jc w:val="both"/>
        <w:sectPr>
          <w:pgSz w:w="9520" w:h="12920"/>
          <w:pgMar w:header="0" w:footer="1344" w:top="880" w:bottom="1540" w:left="1320" w:right="1000"/>
        </w:sectPr>
      </w:pPr>
    </w:p>
    <w:p>
      <w:pPr>
        <w:pStyle w:val="BodyText"/>
        <w:spacing w:line="288" w:lineRule="auto" w:before="42"/>
        <w:ind w:left="120" w:right="116" w:firstLine="360"/>
        <w:jc w:val="both"/>
      </w:pPr>
      <w:r>
        <w:rPr>
          <w:color w:val="231F20"/>
          <w:w w:val="110"/>
        </w:rPr>
        <w:t>Según Andrew, Minitski y Rockwood (2008), las discusiones sobre la vulnerabilidad en los adultos mayores se desarrolla dentro de cinco gran- des áreas: la salud, la económica, la demográfica, la social y la   ambiental.</w:t>
      </w:r>
    </w:p>
    <w:p>
      <w:pPr>
        <w:pStyle w:val="BodyText"/>
        <w:spacing w:line="288" w:lineRule="auto"/>
        <w:ind w:left="119" w:right="117" w:firstLine="360"/>
        <w:jc w:val="both"/>
      </w:pPr>
      <w:r>
        <w:rPr>
          <w:color w:val="231F20"/>
          <w:w w:val="110"/>
        </w:rPr>
        <w:t>Si bien Busso (2001) afirma que, en mayor o menor medida, todas las sociedades son vulnerables debido a uno o varios factores que convergen en</w:t>
      </w:r>
      <w:r>
        <w:rPr>
          <w:color w:val="231F20"/>
          <w:spacing w:val="-18"/>
          <w:w w:val="110"/>
        </w:rPr>
        <w:t> </w:t>
      </w:r>
      <w:r>
        <w:rPr>
          <w:color w:val="231F20"/>
          <w:w w:val="110"/>
        </w:rPr>
        <w:t>algún</w:t>
      </w:r>
      <w:r>
        <w:rPr>
          <w:color w:val="231F20"/>
          <w:spacing w:val="-18"/>
          <w:w w:val="110"/>
        </w:rPr>
        <w:t> </w:t>
      </w:r>
      <w:r>
        <w:rPr>
          <w:color w:val="231F20"/>
          <w:w w:val="110"/>
        </w:rPr>
        <w:t>momento</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historia</w:t>
      </w:r>
      <w:r>
        <w:rPr>
          <w:color w:val="231F20"/>
          <w:spacing w:val="-18"/>
          <w:w w:val="110"/>
        </w:rPr>
        <w:t> </w:t>
      </w:r>
      <w:r>
        <w:rPr>
          <w:color w:val="231F20"/>
          <w:w w:val="110"/>
        </w:rPr>
        <w:t>como</w:t>
      </w:r>
      <w:r>
        <w:rPr>
          <w:color w:val="231F20"/>
          <w:spacing w:val="-18"/>
          <w:w w:val="110"/>
        </w:rPr>
        <w:t> </w:t>
      </w:r>
      <w:r>
        <w:rPr>
          <w:color w:val="231F20"/>
          <w:w w:val="110"/>
        </w:rPr>
        <w:t>ambientales,</w:t>
      </w:r>
      <w:r>
        <w:rPr>
          <w:color w:val="231F20"/>
          <w:spacing w:val="-18"/>
          <w:w w:val="110"/>
        </w:rPr>
        <w:t> </w:t>
      </w:r>
      <w:r>
        <w:rPr>
          <w:color w:val="231F20"/>
          <w:w w:val="110"/>
        </w:rPr>
        <w:t>demográficos,</w:t>
      </w:r>
      <w:r>
        <w:rPr>
          <w:color w:val="231F20"/>
          <w:spacing w:val="-18"/>
          <w:w w:val="110"/>
        </w:rPr>
        <w:t> </w:t>
      </w:r>
      <w:r>
        <w:rPr>
          <w:color w:val="231F20"/>
          <w:w w:val="110"/>
        </w:rPr>
        <w:t>socioeco- nómicos, políticos, jurídicos y/o culturales, lo cierto es que en este tiempo </w:t>
      </w:r>
      <w:r>
        <w:rPr>
          <w:color w:val="231F20"/>
          <w:spacing w:val="2"/>
          <w:w w:val="110"/>
        </w:rPr>
        <w:t>histórico-social </w:t>
      </w:r>
      <w:r>
        <w:rPr>
          <w:color w:val="231F20"/>
          <w:w w:val="110"/>
        </w:rPr>
        <w:t>la población de 60 años y más enfrenta condiciones sin precedentes que lo convierten en un grupo vulnerable, Por ejemplo, según el</w:t>
      </w:r>
      <w:r>
        <w:rPr>
          <w:color w:val="231F20"/>
          <w:spacing w:val="-11"/>
          <w:w w:val="110"/>
        </w:rPr>
        <w:t> </w:t>
      </w:r>
      <w:r>
        <w:rPr>
          <w:rFonts w:ascii="Times New Roman" w:hAnsi="Times New Roman"/>
          <w:color w:val="231F20"/>
          <w:w w:val="110"/>
          <w:sz w:val="16"/>
        </w:rPr>
        <w:t>INEGI</w:t>
      </w:r>
      <w:r>
        <w:rPr>
          <w:rFonts w:ascii="Times New Roman" w:hAnsi="Times New Roman"/>
          <w:color w:val="231F20"/>
          <w:spacing w:val="-6"/>
          <w:w w:val="110"/>
          <w:sz w:val="16"/>
        </w:rPr>
        <w:t> </w:t>
      </w:r>
      <w:r>
        <w:rPr>
          <w:color w:val="231F20"/>
          <w:w w:val="110"/>
        </w:rPr>
        <w:t>(2010),</w:t>
      </w:r>
      <w:r>
        <w:rPr>
          <w:color w:val="231F20"/>
          <w:spacing w:val="-11"/>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w w:val="110"/>
        </w:rPr>
        <w:t>Estado</w:t>
      </w:r>
      <w:r>
        <w:rPr>
          <w:color w:val="231F20"/>
          <w:spacing w:val="-11"/>
          <w:w w:val="110"/>
        </w:rPr>
        <w:t> </w:t>
      </w:r>
      <w:r>
        <w:rPr>
          <w:color w:val="231F20"/>
          <w:w w:val="110"/>
        </w:rPr>
        <w:t>de</w:t>
      </w:r>
      <w:r>
        <w:rPr>
          <w:color w:val="231F20"/>
          <w:spacing w:val="-11"/>
          <w:w w:val="110"/>
        </w:rPr>
        <w:t> </w:t>
      </w:r>
      <w:r>
        <w:rPr>
          <w:color w:val="231F20"/>
          <w:w w:val="110"/>
        </w:rPr>
        <w:t>México</w:t>
      </w:r>
      <w:r>
        <w:rPr>
          <w:color w:val="231F20"/>
          <w:spacing w:val="-11"/>
          <w:w w:val="110"/>
        </w:rPr>
        <w:t> </w:t>
      </w:r>
      <w:r>
        <w:rPr>
          <w:color w:val="231F20"/>
          <w:w w:val="110"/>
        </w:rPr>
        <w:t>aproximadamente</w:t>
      </w:r>
      <w:r>
        <w:rPr>
          <w:color w:val="231F20"/>
          <w:spacing w:val="-11"/>
          <w:w w:val="110"/>
        </w:rPr>
        <w:t> </w:t>
      </w:r>
      <w:r>
        <w:rPr>
          <w:color w:val="231F20"/>
          <w:w w:val="110"/>
        </w:rPr>
        <w:t>siete</w:t>
      </w:r>
      <w:r>
        <w:rPr>
          <w:color w:val="231F20"/>
          <w:spacing w:val="-11"/>
          <w:w w:val="110"/>
        </w:rPr>
        <w:t> </w:t>
      </w:r>
      <w:r>
        <w:rPr>
          <w:color w:val="231F20"/>
          <w:w w:val="110"/>
        </w:rPr>
        <w:t>de</w:t>
      </w:r>
      <w:r>
        <w:rPr>
          <w:color w:val="231F20"/>
          <w:spacing w:val="-11"/>
          <w:w w:val="110"/>
        </w:rPr>
        <w:t> </w:t>
      </w:r>
      <w:r>
        <w:rPr>
          <w:color w:val="231F20"/>
          <w:w w:val="110"/>
        </w:rPr>
        <w:t>cada</w:t>
      </w:r>
      <w:r>
        <w:rPr>
          <w:color w:val="231F20"/>
          <w:spacing w:val="-11"/>
          <w:w w:val="110"/>
        </w:rPr>
        <w:t> </w:t>
      </w:r>
      <w:r>
        <w:rPr>
          <w:color w:val="231F20"/>
          <w:w w:val="110"/>
        </w:rPr>
        <w:t>diez adultos mayores no cuentan con una pensión, lo anterior expone que gran parte de los adultos mayores mexiquenses no tienen acceso a atención médica</w:t>
      </w:r>
      <w:r>
        <w:rPr>
          <w:color w:val="231F20"/>
          <w:spacing w:val="-4"/>
          <w:w w:val="110"/>
        </w:rPr>
        <w:t> </w:t>
      </w:r>
      <w:r>
        <w:rPr>
          <w:color w:val="231F20"/>
          <w:w w:val="110"/>
        </w:rPr>
        <w:t>por</w:t>
      </w:r>
      <w:r>
        <w:rPr>
          <w:color w:val="231F20"/>
          <w:spacing w:val="-4"/>
          <w:w w:val="110"/>
        </w:rPr>
        <w:t> </w:t>
      </w:r>
      <w:r>
        <w:rPr>
          <w:color w:val="231F20"/>
          <w:w w:val="110"/>
        </w:rPr>
        <w:t>parte</w:t>
      </w:r>
      <w:r>
        <w:rPr>
          <w:color w:val="231F20"/>
          <w:spacing w:val="-4"/>
          <w:w w:val="110"/>
        </w:rPr>
        <w:t> </w:t>
      </w:r>
      <w:r>
        <w:rPr>
          <w:color w:val="231F20"/>
          <w:w w:val="110"/>
        </w:rPr>
        <w:t>de</w:t>
      </w:r>
      <w:r>
        <w:rPr>
          <w:color w:val="231F20"/>
          <w:spacing w:val="-4"/>
          <w:w w:val="110"/>
        </w:rPr>
        <w:t> </w:t>
      </w:r>
      <w:r>
        <w:rPr>
          <w:color w:val="231F20"/>
          <w:w w:val="110"/>
        </w:rPr>
        <w:t>alguna</w:t>
      </w:r>
      <w:r>
        <w:rPr>
          <w:color w:val="231F20"/>
          <w:spacing w:val="-4"/>
          <w:w w:val="110"/>
        </w:rPr>
        <w:t> </w:t>
      </w:r>
      <w:r>
        <w:rPr>
          <w:color w:val="231F20"/>
          <w:w w:val="110"/>
        </w:rPr>
        <w:t>institución</w:t>
      </w:r>
      <w:r>
        <w:rPr>
          <w:color w:val="231F20"/>
          <w:spacing w:val="-4"/>
          <w:w w:val="110"/>
        </w:rPr>
        <w:t> </w:t>
      </w:r>
      <w:r>
        <w:rPr>
          <w:color w:val="231F20"/>
          <w:w w:val="110"/>
        </w:rPr>
        <w:t>de</w:t>
      </w:r>
      <w:r>
        <w:rPr>
          <w:color w:val="231F20"/>
          <w:spacing w:val="-4"/>
          <w:w w:val="110"/>
        </w:rPr>
        <w:t> </w:t>
      </w:r>
      <w:r>
        <w:rPr>
          <w:color w:val="231F20"/>
          <w:w w:val="110"/>
        </w:rPr>
        <w:t>seguridad</w:t>
      </w:r>
      <w:r>
        <w:rPr>
          <w:color w:val="231F20"/>
          <w:spacing w:val="-4"/>
          <w:w w:val="110"/>
        </w:rPr>
        <w:t> </w:t>
      </w:r>
      <w:r>
        <w:rPr>
          <w:color w:val="231F20"/>
          <w:w w:val="110"/>
        </w:rPr>
        <w:t>social,</w:t>
      </w:r>
      <w:r>
        <w:rPr>
          <w:color w:val="231F20"/>
          <w:spacing w:val="-4"/>
          <w:w w:val="110"/>
        </w:rPr>
        <w:t> </w:t>
      </w:r>
      <w:r>
        <w:rPr>
          <w:color w:val="231F20"/>
          <w:w w:val="110"/>
        </w:rPr>
        <w:t>lo</w:t>
      </w:r>
      <w:r>
        <w:rPr>
          <w:color w:val="231F20"/>
          <w:spacing w:val="-4"/>
          <w:w w:val="110"/>
        </w:rPr>
        <w:t> </w:t>
      </w:r>
      <w:r>
        <w:rPr>
          <w:color w:val="231F20"/>
          <w:w w:val="110"/>
        </w:rPr>
        <w:t>que</w:t>
      </w:r>
      <w:r>
        <w:rPr>
          <w:color w:val="231F20"/>
          <w:spacing w:val="-4"/>
          <w:w w:val="110"/>
        </w:rPr>
        <w:t> </w:t>
      </w:r>
      <w:r>
        <w:rPr>
          <w:color w:val="231F20"/>
          <w:w w:val="110"/>
        </w:rPr>
        <w:t>potencia su vulnerabilidad</w:t>
      </w:r>
      <w:r>
        <w:rPr>
          <w:color w:val="231F20"/>
          <w:spacing w:val="8"/>
          <w:w w:val="110"/>
        </w:rPr>
        <w:t> </w:t>
      </w:r>
      <w:r>
        <w:rPr>
          <w:color w:val="231F20"/>
          <w:w w:val="110"/>
        </w:rPr>
        <w:t>social.</w:t>
      </w:r>
    </w:p>
    <w:p>
      <w:pPr>
        <w:pStyle w:val="BodyText"/>
        <w:spacing w:line="288" w:lineRule="auto"/>
        <w:ind w:left="120" w:right="117" w:firstLine="360"/>
        <w:jc w:val="both"/>
      </w:pPr>
      <w:r>
        <w:rPr>
          <w:color w:val="231F20"/>
          <w:w w:val="110"/>
        </w:rPr>
        <w:t>Como se mencionó en las líneas anteriores, diversos factores (salud, económicos, laboral, demográficos, ambientales, etcétera) suponen vulne- rabilidad social; sin embargo, esta investigación profundiza en la salud y</w:t>
      </w:r>
      <w:r>
        <w:rPr>
          <w:color w:val="231F20"/>
          <w:spacing w:val="-22"/>
          <w:w w:val="110"/>
        </w:rPr>
        <w:t> </w:t>
      </w:r>
      <w:r>
        <w:rPr>
          <w:color w:val="231F20"/>
          <w:w w:val="110"/>
        </w:rPr>
        <w:t>el trabajo</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adultos</w:t>
      </w:r>
      <w:r>
        <w:rPr>
          <w:color w:val="231F20"/>
          <w:spacing w:val="-7"/>
          <w:w w:val="110"/>
        </w:rPr>
        <w:t> </w:t>
      </w:r>
      <w:r>
        <w:rPr>
          <w:color w:val="231F20"/>
          <w:w w:val="110"/>
        </w:rPr>
        <w:t>mayores,</w:t>
      </w:r>
      <w:r>
        <w:rPr>
          <w:color w:val="231F20"/>
          <w:spacing w:val="-7"/>
          <w:w w:val="110"/>
        </w:rPr>
        <w:t> </w:t>
      </w:r>
      <w:r>
        <w:rPr>
          <w:color w:val="231F20"/>
          <w:w w:val="110"/>
        </w:rPr>
        <w:t>debido</w:t>
      </w:r>
      <w:r>
        <w:rPr>
          <w:color w:val="231F20"/>
          <w:spacing w:val="-7"/>
          <w:w w:val="110"/>
        </w:rPr>
        <w:t> </w:t>
      </w:r>
      <w:r>
        <w:rPr>
          <w:color w:val="231F20"/>
          <w:w w:val="110"/>
        </w:rPr>
        <w:t>a</w:t>
      </w:r>
      <w:r>
        <w:rPr>
          <w:color w:val="231F20"/>
          <w:spacing w:val="-7"/>
          <w:w w:val="110"/>
        </w:rPr>
        <w:t> </w:t>
      </w:r>
      <w:r>
        <w:rPr>
          <w:color w:val="231F20"/>
          <w:w w:val="110"/>
        </w:rPr>
        <w:t>que</w:t>
      </w:r>
      <w:r>
        <w:rPr>
          <w:color w:val="231F20"/>
          <w:spacing w:val="-7"/>
          <w:w w:val="110"/>
        </w:rPr>
        <w:t> </w:t>
      </w:r>
      <w:r>
        <w:rPr>
          <w:color w:val="231F20"/>
          <w:w w:val="110"/>
        </w:rPr>
        <w:t>éstos</w:t>
      </w:r>
      <w:r>
        <w:rPr>
          <w:color w:val="231F20"/>
          <w:spacing w:val="-7"/>
          <w:w w:val="110"/>
        </w:rPr>
        <w:t> </w:t>
      </w:r>
      <w:r>
        <w:rPr>
          <w:color w:val="231F20"/>
          <w:w w:val="110"/>
        </w:rPr>
        <w:t>otorgan</w:t>
      </w:r>
      <w:r>
        <w:rPr>
          <w:color w:val="231F20"/>
          <w:spacing w:val="-7"/>
          <w:w w:val="110"/>
        </w:rPr>
        <w:t> </w:t>
      </w:r>
      <w:r>
        <w:rPr>
          <w:color w:val="231F20"/>
          <w:w w:val="110"/>
        </w:rPr>
        <w:t>aspectos</w:t>
      </w:r>
      <w:r>
        <w:rPr>
          <w:color w:val="231F20"/>
          <w:spacing w:val="-7"/>
          <w:w w:val="110"/>
        </w:rPr>
        <w:t> </w:t>
      </w:r>
      <w:r>
        <w:rPr>
          <w:color w:val="231F20"/>
          <w:w w:val="110"/>
        </w:rPr>
        <w:t>vitales para la sobrevivencia y la calidad de vida de la población objetivo. Es im- portante</w:t>
      </w:r>
      <w:r>
        <w:rPr>
          <w:color w:val="231F20"/>
          <w:spacing w:val="-8"/>
          <w:w w:val="110"/>
        </w:rPr>
        <w:t> </w:t>
      </w:r>
      <w:r>
        <w:rPr>
          <w:color w:val="231F20"/>
          <w:w w:val="110"/>
        </w:rPr>
        <w:t>mencionar</w:t>
      </w:r>
      <w:r>
        <w:rPr>
          <w:color w:val="231F20"/>
          <w:spacing w:val="-8"/>
          <w:w w:val="110"/>
        </w:rPr>
        <w:t> </w:t>
      </w:r>
      <w:r>
        <w:rPr>
          <w:color w:val="231F20"/>
          <w:w w:val="110"/>
        </w:rPr>
        <w:t>que</w:t>
      </w:r>
      <w:r>
        <w:rPr>
          <w:color w:val="231F20"/>
          <w:spacing w:val="-8"/>
          <w:w w:val="110"/>
        </w:rPr>
        <w:t> </w:t>
      </w:r>
      <w:r>
        <w:rPr>
          <w:color w:val="231F20"/>
          <w:w w:val="110"/>
        </w:rPr>
        <w:t>un</w:t>
      </w:r>
      <w:r>
        <w:rPr>
          <w:color w:val="231F20"/>
          <w:spacing w:val="-8"/>
          <w:w w:val="110"/>
        </w:rPr>
        <w:t> </w:t>
      </w:r>
      <w:r>
        <w:rPr>
          <w:color w:val="231F20"/>
          <w:w w:val="110"/>
        </w:rPr>
        <w:t>buen</w:t>
      </w:r>
      <w:r>
        <w:rPr>
          <w:color w:val="231F20"/>
          <w:spacing w:val="-8"/>
          <w:w w:val="110"/>
        </w:rPr>
        <w:t> </w:t>
      </w:r>
      <w:r>
        <w:rPr>
          <w:color w:val="231F20"/>
          <w:w w:val="110"/>
        </w:rPr>
        <w:t>estado</w:t>
      </w:r>
      <w:r>
        <w:rPr>
          <w:color w:val="231F20"/>
          <w:spacing w:val="-8"/>
          <w:w w:val="110"/>
        </w:rPr>
        <w:t> </w:t>
      </w:r>
      <w:r>
        <w:rPr>
          <w:color w:val="231F20"/>
          <w:w w:val="110"/>
        </w:rPr>
        <w:t>de</w:t>
      </w:r>
      <w:r>
        <w:rPr>
          <w:color w:val="231F20"/>
          <w:spacing w:val="-8"/>
          <w:w w:val="110"/>
        </w:rPr>
        <w:t> </w:t>
      </w:r>
      <w:r>
        <w:rPr>
          <w:color w:val="231F20"/>
          <w:w w:val="110"/>
        </w:rPr>
        <w:t>salud</w:t>
      </w:r>
      <w:r>
        <w:rPr>
          <w:color w:val="231F20"/>
          <w:spacing w:val="-8"/>
          <w:w w:val="110"/>
        </w:rPr>
        <w:t> </w:t>
      </w:r>
      <w:r>
        <w:rPr>
          <w:color w:val="231F20"/>
          <w:w w:val="110"/>
        </w:rPr>
        <w:t>reduce</w:t>
      </w:r>
      <w:r>
        <w:rPr>
          <w:color w:val="231F20"/>
          <w:spacing w:val="-8"/>
          <w:w w:val="110"/>
        </w:rPr>
        <w:t> </w:t>
      </w:r>
      <w:r>
        <w:rPr>
          <w:color w:val="231F20"/>
          <w:w w:val="110"/>
        </w:rPr>
        <w:t>el</w:t>
      </w:r>
      <w:r>
        <w:rPr>
          <w:color w:val="231F20"/>
          <w:spacing w:val="-8"/>
          <w:w w:val="110"/>
        </w:rPr>
        <w:t> </w:t>
      </w:r>
      <w:r>
        <w:rPr>
          <w:color w:val="231F20"/>
          <w:w w:val="110"/>
        </w:rPr>
        <w:t>riesgo</w:t>
      </w:r>
      <w:r>
        <w:rPr>
          <w:color w:val="231F20"/>
          <w:spacing w:val="-8"/>
          <w:w w:val="110"/>
        </w:rPr>
        <w:t> </w:t>
      </w:r>
      <w:r>
        <w:rPr>
          <w:color w:val="231F20"/>
          <w:w w:val="110"/>
        </w:rPr>
        <w:t>de</w:t>
      </w:r>
      <w:r>
        <w:rPr>
          <w:color w:val="231F20"/>
          <w:spacing w:val="-8"/>
          <w:w w:val="110"/>
        </w:rPr>
        <w:t> </w:t>
      </w:r>
      <w:r>
        <w:rPr>
          <w:color w:val="231F20"/>
          <w:w w:val="110"/>
        </w:rPr>
        <w:t>vulne- rabilidad en las personas de 60 años y más. En lo que respecta al trabajo, esta dimensión proporciona independencia económica y con ello mejores condiciones de</w:t>
      </w:r>
      <w:r>
        <w:rPr>
          <w:color w:val="231F20"/>
          <w:spacing w:val="19"/>
          <w:w w:val="110"/>
        </w:rPr>
        <w:t> </w:t>
      </w:r>
      <w:r>
        <w:rPr>
          <w:color w:val="231F20"/>
          <w:w w:val="110"/>
        </w:rPr>
        <w:t>vida.</w:t>
      </w:r>
    </w:p>
    <w:p>
      <w:pPr>
        <w:pStyle w:val="BodyText"/>
      </w:pPr>
    </w:p>
    <w:p>
      <w:pPr>
        <w:pStyle w:val="BodyText"/>
        <w:spacing w:before="10"/>
        <w:rPr>
          <w:sz w:val="24"/>
        </w:rPr>
      </w:pPr>
    </w:p>
    <w:p>
      <w:pPr>
        <w:spacing w:before="0"/>
        <w:ind w:left="120" w:right="0" w:firstLine="0"/>
        <w:jc w:val="both"/>
        <w:rPr>
          <w:rFonts w:ascii="Times New Roman"/>
          <w:i/>
          <w:sz w:val="19"/>
        </w:rPr>
      </w:pPr>
      <w:r>
        <w:rPr>
          <w:rFonts w:ascii="Times New Roman"/>
          <w:i/>
          <w:color w:val="231F20"/>
          <w:sz w:val="24"/>
        </w:rPr>
        <w:t>S</w:t>
      </w:r>
      <w:r>
        <w:rPr>
          <w:rFonts w:ascii="Times New Roman"/>
          <w:i/>
          <w:color w:val="231F20"/>
          <w:sz w:val="19"/>
        </w:rPr>
        <w:t>ALUD</w:t>
      </w:r>
    </w:p>
    <w:p>
      <w:pPr>
        <w:pStyle w:val="BodyText"/>
        <w:spacing w:before="9"/>
        <w:rPr>
          <w:rFonts w:ascii="Times New Roman"/>
          <w:i/>
          <w:sz w:val="27"/>
        </w:rPr>
      </w:pPr>
    </w:p>
    <w:p>
      <w:pPr>
        <w:pStyle w:val="BodyText"/>
        <w:spacing w:line="288" w:lineRule="auto"/>
        <w:ind w:left="120" w:right="117"/>
        <w:jc w:val="both"/>
      </w:pPr>
      <w:r>
        <w:rPr>
          <w:color w:val="231F20"/>
          <w:w w:val="110"/>
        </w:rPr>
        <w:t>Para</w:t>
      </w:r>
      <w:r>
        <w:rPr>
          <w:color w:val="231F20"/>
          <w:spacing w:val="-5"/>
          <w:w w:val="110"/>
        </w:rPr>
        <w:t> </w:t>
      </w:r>
      <w:r>
        <w:rPr>
          <w:color w:val="231F20"/>
          <w:w w:val="110"/>
        </w:rPr>
        <w:t>el</w:t>
      </w:r>
      <w:r>
        <w:rPr>
          <w:color w:val="231F20"/>
          <w:spacing w:val="-5"/>
          <w:w w:val="110"/>
        </w:rPr>
        <w:t> </w:t>
      </w:r>
      <w:r>
        <w:rPr>
          <w:color w:val="231F20"/>
          <w:w w:val="110"/>
        </w:rPr>
        <w:t>estudio</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vulnerabilidad</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población</w:t>
      </w:r>
      <w:r>
        <w:rPr>
          <w:color w:val="231F20"/>
          <w:spacing w:val="-5"/>
          <w:w w:val="110"/>
        </w:rPr>
        <w:t> </w:t>
      </w:r>
      <w:r>
        <w:rPr>
          <w:color w:val="231F20"/>
          <w:w w:val="110"/>
        </w:rPr>
        <w:t>desde</w:t>
      </w:r>
      <w:r>
        <w:rPr>
          <w:color w:val="231F20"/>
          <w:spacing w:val="-5"/>
          <w:w w:val="110"/>
        </w:rPr>
        <w:t> </w:t>
      </w:r>
      <w:r>
        <w:rPr>
          <w:color w:val="231F20"/>
          <w:w w:val="110"/>
        </w:rPr>
        <w:t>la</w:t>
      </w:r>
      <w:r>
        <w:rPr>
          <w:color w:val="231F20"/>
          <w:spacing w:val="-5"/>
          <w:w w:val="110"/>
        </w:rPr>
        <w:t> </w:t>
      </w:r>
      <w:r>
        <w:rPr>
          <w:color w:val="231F20"/>
          <w:w w:val="110"/>
        </w:rPr>
        <w:t>perspectiva</w:t>
      </w:r>
      <w:r>
        <w:rPr>
          <w:color w:val="231F20"/>
          <w:spacing w:val="-5"/>
          <w:w w:val="110"/>
        </w:rPr>
        <w:t> </w:t>
      </w:r>
      <w:r>
        <w:rPr>
          <w:color w:val="231F20"/>
          <w:w w:val="110"/>
        </w:rPr>
        <w:t>de la salud, es importante la observación del estado físico de los individuos, es </w:t>
      </w:r>
      <w:r>
        <w:rPr>
          <w:color w:val="231F20"/>
          <w:spacing w:val="-3"/>
          <w:w w:val="110"/>
        </w:rPr>
        <w:t>decir, </w:t>
      </w:r>
      <w:r>
        <w:rPr>
          <w:color w:val="231F20"/>
          <w:w w:val="110"/>
        </w:rPr>
        <w:t>de sus padecimientos y/o enfermedades así como de sus discapa- cidades, tomando en cuenta la atención de éstas, lo que implica el acceso  a la derechohabiencia y a los sistemas de </w:t>
      </w:r>
      <w:r>
        <w:rPr>
          <w:color w:val="231F20"/>
          <w:spacing w:val="30"/>
          <w:w w:val="110"/>
        </w:rPr>
        <w:t> </w:t>
      </w:r>
      <w:r>
        <w:rPr>
          <w:color w:val="231F20"/>
          <w:w w:val="110"/>
        </w:rPr>
        <w:t>atención.</w:t>
      </w:r>
    </w:p>
    <w:p>
      <w:pPr>
        <w:pStyle w:val="BodyText"/>
        <w:spacing w:line="288" w:lineRule="auto"/>
        <w:ind w:left="120" w:right="117" w:firstLine="360"/>
        <w:jc w:val="both"/>
      </w:pPr>
      <w:r>
        <w:rPr>
          <w:color w:val="231F20"/>
          <w:w w:val="110"/>
        </w:rPr>
        <w:t>Vázquez (1997) menciona que la salud en la población se ve reflejada en</w:t>
      </w:r>
      <w:r>
        <w:rPr>
          <w:color w:val="231F20"/>
          <w:spacing w:val="-13"/>
          <w:w w:val="110"/>
        </w:rPr>
        <w:t> </w:t>
      </w:r>
      <w:r>
        <w:rPr>
          <w:color w:val="231F20"/>
          <w:w w:val="110"/>
        </w:rPr>
        <w:t>un</w:t>
      </w:r>
      <w:r>
        <w:rPr>
          <w:color w:val="231F20"/>
          <w:spacing w:val="-13"/>
          <w:w w:val="110"/>
        </w:rPr>
        <w:t> </w:t>
      </w:r>
      <w:r>
        <w:rPr>
          <w:color w:val="231F20"/>
          <w:w w:val="110"/>
        </w:rPr>
        <w:t>estado</w:t>
      </w:r>
      <w:r>
        <w:rPr>
          <w:color w:val="231F20"/>
          <w:spacing w:val="-13"/>
          <w:w w:val="110"/>
        </w:rPr>
        <w:t> </w:t>
      </w:r>
      <w:r>
        <w:rPr>
          <w:color w:val="231F20"/>
          <w:w w:val="110"/>
        </w:rPr>
        <w:t>de</w:t>
      </w:r>
      <w:r>
        <w:rPr>
          <w:color w:val="231F20"/>
          <w:spacing w:val="-13"/>
          <w:w w:val="110"/>
        </w:rPr>
        <w:t> </w:t>
      </w:r>
      <w:r>
        <w:rPr>
          <w:color w:val="231F20"/>
          <w:w w:val="110"/>
        </w:rPr>
        <w:t>completo</w:t>
      </w:r>
      <w:r>
        <w:rPr>
          <w:color w:val="231F20"/>
          <w:spacing w:val="-13"/>
          <w:w w:val="110"/>
        </w:rPr>
        <w:t> </w:t>
      </w:r>
      <w:r>
        <w:rPr>
          <w:color w:val="231F20"/>
          <w:w w:val="110"/>
        </w:rPr>
        <w:t>bienestar</w:t>
      </w:r>
      <w:r>
        <w:rPr>
          <w:color w:val="231F20"/>
          <w:spacing w:val="-13"/>
          <w:w w:val="110"/>
        </w:rPr>
        <w:t> </w:t>
      </w:r>
      <w:r>
        <w:rPr>
          <w:color w:val="231F20"/>
          <w:w w:val="110"/>
        </w:rPr>
        <w:t>físico,</w:t>
      </w:r>
      <w:r>
        <w:rPr>
          <w:color w:val="231F20"/>
          <w:spacing w:val="-13"/>
          <w:w w:val="110"/>
        </w:rPr>
        <w:t> </w:t>
      </w:r>
      <w:r>
        <w:rPr>
          <w:color w:val="231F20"/>
          <w:w w:val="110"/>
        </w:rPr>
        <w:t>mental</w:t>
      </w:r>
      <w:r>
        <w:rPr>
          <w:color w:val="231F20"/>
          <w:spacing w:val="-13"/>
          <w:w w:val="110"/>
        </w:rPr>
        <w:t> </w:t>
      </w:r>
      <w:r>
        <w:rPr>
          <w:color w:val="231F20"/>
          <w:w w:val="110"/>
        </w:rPr>
        <w:t>y</w:t>
      </w:r>
      <w:r>
        <w:rPr>
          <w:color w:val="231F20"/>
          <w:spacing w:val="-13"/>
          <w:w w:val="110"/>
        </w:rPr>
        <w:t> </w:t>
      </w:r>
      <w:r>
        <w:rPr>
          <w:color w:val="231F20"/>
          <w:w w:val="110"/>
        </w:rPr>
        <w:t>social</w:t>
      </w:r>
      <w:r>
        <w:rPr>
          <w:color w:val="231F20"/>
          <w:spacing w:val="-13"/>
          <w:w w:val="110"/>
        </w:rPr>
        <w:t> </w:t>
      </w:r>
      <w:r>
        <w:rPr>
          <w:color w:val="231F20"/>
          <w:w w:val="110"/>
        </w:rPr>
        <w:t>y</w:t>
      </w:r>
      <w:r>
        <w:rPr>
          <w:color w:val="231F20"/>
          <w:spacing w:val="-13"/>
          <w:w w:val="110"/>
        </w:rPr>
        <w:t> </w:t>
      </w:r>
      <w:r>
        <w:rPr>
          <w:color w:val="231F20"/>
          <w:w w:val="110"/>
        </w:rPr>
        <w:t>no</w:t>
      </w:r>
      <w:r>
        <w:rPr>
          <w:color w:val="231F20"/>
          <w:spacing w:val="-13"/>
          <w:w w:val="110"/>
        </w:rPr>
        <w:t> </w:t>
      </w:r>
      <w:r>
        <w:rPr>
          <w:color w:val="231F20"/>
          <w:w w:val="110"/>
        </w:rPr>
        <w:t>solamente</w:t>
      </w:r>
      <w:r>
        <w:rPr>
          <w:color w:val="231F20"/>
          <w:spacing w:val="-13"/>
          <w:w w:val="110"/>
        </w:rPr>
        <w:t> </w:t>
      </w:r>
      <w:r>
        <w:rPr>
          <w:color w:val="231F20"/>
          <w:w w:val="110"/>
        </w:rPr>
        <w:t>en la ausencia de afecciones o enfermedades, por lo que el estado de salud   de </w:t>
      </w:r>
      <w:r>
        <w:rPr>
          <w:color w:val="231F20"/>
          <w:spacing w:val="-3"/>
          <w:w w:val="110"/>
        </w:rPr>
        <w:t>las </w:t>
      </w:r>
      <w:r>
        <w:rPr>
          <w:color w:val="231F20"/>
          <w:spacing w:val="-4"/>
          <w:w w:val="110"/>
        </w:rPr>
        <w:t>personas tendría </w:t>
      </w:r>
      <w:r>
        <w:rPr>
          <w:color w:val="231F20"/>
          <w:spacing w:val="-3"/>
          <w:w w:val="110"/>
        </w:rPr>
        <w:t>que </w:t>
      </w:r>
      <w:r>
        <w:rPr>
          <w:color w:val="231F20"/>
          <w:spacing w:val="-4"/>
          <w:w w:val="110"/>
        </w:rPr>
        <w:t>comprender </w:t>
      </w:r>
      <w:r>
        <w:rPr>
          <w:color w:val="231F20"/>
          <w:w w:val="110"/>
        </w:rPr>
        <w:t>no </w:t>
      </w:r>
      <w:r>
        <w:rPr>
          <w:color w:val="231F20"/>
          <w:spacing w:val="-3"/>
          <w:w w:val="110"/>
        </w:rPr>
        <w:t>sólo </w:t>
      </w:r>
      <w:r>
        <w:rPr>
          <w:color w:val="231F20"/>
          <w:w w:val="110"/>
        </w:rPr>
        <w:t>el </w:t>
      </w:r>
      <w:r>
        <w:rPr>
          <w:color w:val="231F20"/>
          <w:spacing w:val="-3"/>
          <w:w w:val="110"/>
        </w:rPr>
        <w:t>área </w:t>
      </w:r>
      <w:r>
        <w:rPr>
          <w:color w:val="231F20"/>
          <w:spacing w:val="-4"/>
          <w:w w:val="110"/>
        </w:rPr>
        <w:t>física, </w:t>
      </w:r>
      <w:r>
        <w:rPr>
          <w:color w:val="231F20"/>
          <w:spacing w:val="-3"/>
          <w:w w:val="110"/>
        </w:rPr>
        <w:t>sino los</w:t>
      </w:r>
      <w:r>
        <w:rPr>
          <w:color w:val="231F20"/>
          <w:w w:val="110"/>
        </w:rPr>
        <w:t> </w:t>
      </w:r>
      <w:r>
        <w:rPr>
          <w:color w:val="231F20"/>
          <w:spacing w:val="-4"/>
          <w:w w:val="110"/>
        </w:rPr>
        <w:t>demás</w:t>
      </w:r>
    </w:p>
    <w:p>
      <w:pPr>
        <w:spacing w:after="0" w:line="288" w:lineRule="auto"/>
        <w:jc w:val="both"/>
        <w:sectPr>
          <w:pgSz w:w="9520" w:h="12920"/>
          <w:pgMar w:header="0" w:footer="1344" w:top="880" w:bottom="1540" w:left="1000" w:right="1320"/>
        </w:sectPr>
      </w:pPr>
    </w:p>
    <w:p>
      <w:pPr>
        <w:pStyle w:val="BodyText"/>
        <w:spacing w:line="295" w:lineRule="auto" w:before="42"/>
        <w:ind w:left="124" w:right="111"/>
        <w:jc w:val="both"/>
      </w:pPr>
      <w:r>
        <w:rPr>
          <w:color w:val="231F20"/>
          <w:w w:val="110"/>
        </w:rPr>
        <w:t>ámbitos de la vida de las personas. De esta manera se asume que la vulne- rabilidad en el ámbito de la salud es el conjunto de condiciones que, en función</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edad,</w:t>
      </w:r>
      <w:r>
        <w:rPr>
          <w:color w:val="231F20"/>
          <w:spacing w:val="-5"/>
          <w:w w:val="110"/>
        </w:rPr>
        <w:t> </w:t>
      </w:r>
      <w:r>
        <w:rPr>
          <w:color w:val="231F20"/>
          <w:w w:val="110"/>
        </w:rPr>
        <w:t>determinan</w:t>
      </w:r>
      <w:r>
        <w:rPr>
          <w:color w:val="231F20"/>
          <w:spacing w:val="-5"/>
          <w:w w:val="110"/>
        </w:rPr>
        <w:t> </w:t>
      </w:r>
      <w:r>
        <w:rPr>
          <w:color w:val="231F20"/>
          <w:w w:val="110"/>
        </w:rPr>
        <w:t>un</w:t>
      </w:r>
      <w:r>
        <w:rPr>
          <w:color w:val="231F20"/>
          <w:spacing w:val="-5"/>
          <w:w w:val="110"/>
        </w:rPr>
        <w:t> </w:t>
      </w:r>
      <w:r>
        <w:rPr>
          <w:color w:val="231F20"/>
          <w:w w:val="110"/>
        </w:rPr>
        <w:t>estado</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que</w:t>
      </w:r>
      <w:r>
        <w:rPr>
          <w:color w:val="231F20"/>
          <w:spacing w:val="-5"/>
          <w:w w:val="110"/>
        </w:rPr>
        <w:t> </w:t>
      </w:r>
      <w:r>
        <w:rPr>
          <w:color w:val="231F20"/>
          <w:w w:val="110"/>
        </w:rPr>
        <w:t>los</w:t>
      </w:r>
      <w:r>
        <w:rPr>
          <w:color w:val="231F20"/>
          <w:spacing w:val="-5"/>
          <w:w w:val="110"/>
        </w:rPr>
        <w:t> </w:t>
      </w:r>
      <w:r>
        <w:rPr>
          <w:color w:val="231F20"/>
          <w:w w:val="110"/>
        </w:rPr>
        <w:t>riesgos</w:t>
      </w:r>
      <w:r>
        <w:rPr>
          <w:color w:val="231F20"/>
          <w:spacing w:val="-5"/>
          <w:w w:val="110"/>
        </w:rPr>
        <w:t> </w:t>
      </w:r>
      <w:r>
        <w:rPr>
          <w:color w:val="231F20"/>
          <w:w w:val="110"/>
        </w:rPr>
        <w:t>de</w:t>
      </w:r>
      <w:r>
        <w:rPr>
          <w:color w:val="231F20"/>
          <w:spacing w:val="-5"/>
          <w:w w:val="110"/>
        </w:rPr>
        <w:t> </w:t>
      </w:r>
      <w:r>
        <w:rPr>
          <w:color w:val="231F20"/>
          <w:w w:val="110"/>
        </w:rPr>
        <w:t>enfrentar un evento con consecuencias negativas sobre el individuo se incrementan de manera que se toma como una situación dada, que puede variar según el contexto en el que se ubica un </w:t>
      </w:r>
      <w:r>
        <w:rPr>
          <w:color w:val="231F20"/>
          <w:spacing w:val="25"/>
          <w:w w:val="110"/>
        </w:rPr>
        <w:t> </w:t>
      </w:r>
      <w:r>
        <w:rPr>
          <w:color w:val="231F20"/>
          <w:w w:val="110"/>
        </w:rPr>
        <w:t>individuo.</w:t>
      </w:r>
    </w:p>
    <w:p>
      <w:pPr>
        <w:pStyle w:val="BodyText"/>
        <w:spacing w:line="295" w:lineRule="auto"/>
        <w:ind w:left="124" w:right="113" w:firstLine="360"/>
        <w:jc w:val="both"/>
      </w:pPr>
      <w:r>
        <w:rPr>
          <w:color w:val="231F20"/>
          <w:w w:val="110"/>
        </w:rPr>
        <w:t>Dos elementos son esenciales para determinar el grado de vulnerabili- dad en la salud:</w:t>
      </w:r>
    </w:p>
    <w:p>
      <w:pPr>
        <w:pStyle w:val="BodyText"/>
        <w:spacing w:before="6"/>
        <w:rPr>
          <w:sz w:val="24"/>
        </w:rPr>
      </w:pPr>
    </w:p>
    <w:p>
      <w:pPr>
        <w:pStyle w:val="ListParagraph"/>
        <w:numPr>
          <w:ilvl w:val="0"/>
          <w:numId w:val="4"/>
        </w:numPr>
        <w:tabs>
          <w:tab w:pos="492" w:val="left" w:leader="none"/>
        </w:tabs>
        <w:spacing w:line="295" w:lineRule="auto" w:before="0" w:after="0"/>
        <w:ind w:left="484" w:right="112" w:hanging="240"/>
        <w:jc w:val="both"/>
        <w:rPr>
          <w:sz w:val="20"/>
        </w:rPr>
      </w:pPr>
      <w:r>
        <w:rPr>
          <w:color w:val="231F20"/>
          <w:w w:val="110"/>
          <w:sz w:val="20"/>
        </w:rPr>
        <w:t>Aspectos relacionados con el estado de salud: nutrición, condiciones de la vivienda, acceso a servicios de cuidado a la salud, seguridad</w:t>
      </w:r>
      <w:r>
        <w:rPr>
          <w:color w:val="231F20"/>
          <w:spacing w:val="-16"/>
          <w:w w:val="110"/>
          <w:sz w:val="20"/>
        </w:rPr>
        <w:t> </w:t>
      </w:r>
      <w:r>
        <w:rPr>
          <w:color w:val="231F20"/>
          <w:w w:val="110"/>
          <w:sz w:val="20"/>
        </w:rPr>
        <w:t>física y</w:t>
      </w:r>
      <w:r>
        <w:rPr>
          <w:color w:val="231F20"/>
          <w:spacing w:val="19"/>
          <w:w w:val="110"/>
          <w:sz w:val="20"/>
        </w:rPr>
        <w:t> </w:t>
      </w:r>
      <w:r>
        <w:rPr>
          <w:color w:val="231F20"/>
          <w:w w:val="110"/>
          <w:sz w:val="20"/>
        </w:rPr>
        <w:t>económica.</w:t>
      </w:r>
    </w:p>
    <w:p>
      <w:pPr>
        <w:pStyle w:val="ListParagraph"/>
        <w:numPr>
          <w:ilvl w:val="0"/>
          <w:numId w:val="4"/>
        </w:numPr>
        <w:tabs>
          <w:tab w:pos="494" w:val="left" w:leader="none"/>
        </w:tabs>
        <w:spacing w:line="295" w:lineRule="auto" w:before="0" w:after="0"/>
        <w:ind w:left="484" w:right="112" w:hanging="240"/>
        <w:jc w:val="both"/>
        <w:rPr>
          <w:sz w:val="20"/>
        </w:rPr>
      </w:pPr>
      <w:r>
        <w:rPr>
          <w:color w:val="231F20"/>
          <w:w w:val="110"/>
          <w:sz w:val="20"/>
        </w:rPr>
        <w:t>Aspectos relacionados con el grado de autonomía para satisfacer sus necesidades básicas: desplazamiento, toma de los alimentos, aseo en general e interacción con otras</w:t>
      </w:r>
      <w:r>
        <w:rPr>
          <w:color w:val="231F20"/>
          <w:spacing w:val="45"/>
          <w:w w:val="110"/>
          <w:sz w:val="20"/>
        </w:rPr>
        <w:t> </w:t>
      </w:r>
      <w:r>
        <w:rPr>
          <w:color w:val="231F20"/>
          <w:w w:val="110"/>
          <w:sz w:val="20"/>
        </w:rPr>
        <w:t>personas.</w:t>
      </w:r>
    </w:p>
    <w:p>
      <w:pPr>
        <w:pStyle w:val="BodyText"/>
        <w:spacing w:before="6"/>
        <w:rPr>
          <w:sz w:val="24"/>
        </w:rPr>
      </w:pPr>
    </w:p>
    <w:p>
      <w:pPr>
        <w:pStyle w:val="BodyText"/>
        <w:spacing w:line="295" w:lineRule="auto"/>
        <w:ind w:left="124" w:right="113" w:firstLine="360"/>
        <w:jc w:val="both"/>
      </w:pPr>
      <w:r>
        <w:rPr>
          <w:color w:val="231F20"/>
          <w:w w:val="110"/>
        </w:rPr>
        <w:t>Aunado a lo anterior, autores como Ogg (2005); y Scharf, Phillipson, Smith</w:t>
      </w:r>
      <w:r>
        <w:rPr>
          <w:color w:val="231F20"/>
          <w:spacing w:val="-6"/>
          <w:w w:val="110"/>
        </w:rPr>
        <w:t> </w:t>
      </w:r>
      <w:r>
        <w:rPr>
          <w:color w:val="231F20"/>
          <w:w w:val="110"/>
        </w:rPr>
        <w:t>y</w:t>
      </w:r>
      <w:r>
        <w:rPr>
          <w:color w:val="231F20"/>
          <w:spacing w:val="-6"/>
          <w:w w:val="110"/>
        </w:rPr>
        <w:t> </w:t>
      </w:r>
      <w:r>
        <w:rPr>
          <w:color w:val="231F20"/>
          <w:w w:val="110"/>
        </w:rPr>
        <w:t>Kingston</w:t>
      </w:r>
      <w:r>
        <w:rPr>
          <w:color w:val="231F20"/>
          <w:spacing w:val="-6"/>
          <w:w w:val="110"/>
        </w:rPr>
        <w:t> </w:t>
      </w:r>
      <w:r>
        <w:rPr>
          <w:color w:val="231F20"/>
          <w:w w:val="110"/>
        </w:rPr>
        <w:t>(2002),</w:t>
      </w:r>
      <w:r>
        <w:rPr>
          <w:color w:val="231F20"/>
          <w:spacing w:val="-6"/>
          <w:w w:val="110"/>
        </w:rPr>
        <w:t> </w:t>
      </w:r>
      <w:r>
        <w:rPr>
          <w:color w:val="231F20"/>
          <w:w w:val="110"/>
        </w:rPr>
        <w:t>plantean</w:t>
      </w:r>
      <w:r>
        <w:rPr>
          <w:color w:val="231F20"/>
          <w:spacing w:val="-6"/>
          <w:w w:val="110"/>
        </w:rPr>
        <w:t> </w:t>
      </w:r>
      <w:r>
        <w:rPr>
          <w:color w:val="231F20"/>
          <w:w w:val="110"/>
        </w:rPr>
        <w:t>que</w:t>
      </w:r>
      <w:r>
        <w:rPr>
          <w:color w:val="231F20"/>
          <w:spacing w:val="-6"/>
          <w:w w:val="110"/>
        </w:rPr>
        <w:t> </w:t>
      </w:r>
      <w:r>
        <w:rPr>
          <w:color w:val="231F20"/>
          <w:w w:val="110"/>
        </w:rPr>
        <w:t>la</w:t>
      </w:r>
      <w:r>
        <w:rPr>
          <w:color w:val="231F20"/>
          <w:spacing w:val="-6"/>
          <w:w w:val="110"/>
        </w:rPr>
        <w:t> </w:t>
      </w:r>
      <w:r>
        <w:rPr>
          <w:color w:val="231F20"/>
          <w:w w:val="110"/>
        </w:rPr>
        <w:t>vulnerabilidad</w:t>
      </w:r>
      <w:r>
        <w:rPr>
          <w:color w:val="231F20"/>
          <w:spacing w:val="-6"/>
          <w:w w:val="110"/>
        </w:rPr>
        <w:t> </w:t>
      </w:r>
      <w:r>
        <w:rPr>
          <w:color w:val="231F20"/>
          <w:w w:val="110"/>
        </w:rPr>
        <w:t>social</w:t>
      </w:r>
      <w:r>
        <w:rPr>
          <w:color w:val="231F20"/>
          <w:spacing w:val="-6"/>
          <w:w w:val="110"/>
        </w:rPr>
        <w:t> </w:t>
      </w:r>
      <w:r>
        <w:rPr>
          <w:color w:val="231F20"/>
          <w:w w:val="110"/>
        </w:rPr>
        <w:t>se</w:t>
      </w:r>
      <w:r>
        <w:rPr>
          <w:color w:val="231F20"/>
          <w:spacing w:val="-6"/>
          <w:w w:val="110"/>
        </w:rPr>
        <w:t> </w:t>
      </w:r>
      <w:r>
        <w:rPr>
          <w:color w:val="231F20"/>
          <w:w w:val="110"/>
        </w:rPr>
        <w:t>deriva</w:t>
      </w:r>
      <w:r>
        <w:rPr>
          <w:color w:val="231F20"/>
          <w:spacing w:val="-6"/>
          <w:w w:val="110"/>
        </w:rPr>
        <w:t> </w:t>
      </w:r>
      <w:r>
        <w:rPr>
          <w:color w:val="231F20"/>
          <w:w w:val="110"/>
        </w:rPr>
        <w:t>de las condiciones de exclusión social, que se asocian con un ingreso insufi- ciente, la carencia de interacción con otros individuos, las malas condicio- nes de salud y un ambiente inadecuado para </w:t>
      </w:r>
      <w:r>
        <w:rPr>
          <w:color w:val="231F20"/>
          <w:spacing w:val="17"/>
          <w:w w:val="110"/>
        </w:rPr>
        <w:t> </w:t>
      </w:r>
      <w:r>
        <w:rPr>
          <w:color w:val="231F20"/>
          <w:spacing w:val="-3"/>
          <w:w w:val="110"/>
        </w:rPr>
        <w:t>vivir.</w:t>
      </w:r>
    </w:p>
    <w:p>
      <w:pPr>
        <w:pStyle w:val="BodyText"/>
        <w:spacing w:line="295" w:lineRule="auto"/>
        <w:ind w:left="124" w:right="109" w:firstLine="360"/>
        <w:jc w:val="both"/>
      </w:pPr>
      <w:r>
        <w:rPr>
          <w:color w:val="231F20"/>
          <w:w w:val="110"/>
        </w:rPr>
        <w:t>Para Andrew, Minitski y Rockwood (2008), las inequidades sociales, el ambiente social, el control sobre su vida o la posibilidad de tomar decisio- nes, los elementos de apoyo, la participación en redes sociales, los com- promisos sociales, el capital social, la cohesión social y el estatus socioe- conómico, constituyen la serie de factores que se identifican, en cierto momento, como determinantes de la vulnerabilidad, en especial en lo que concierne al estado de salud de las personas de 60 años y   más.</w:t>
      </w:r>
    </w:p>
    <w:p>
      <w:pPr>
        <w:pStyle w:val="BodyText"/>
        <w:spacing w:line="292" w:lineRule="auto"/>
        <w:ind w:left="124" w:right="112" w:firstLine="360"/>
        <w:jc w:val="both"/>
      </w:pPr>
      <w:r>
        <w:rPr>
          <w:color w:val="231F20"/>
          <w:w w:val="110"/>
        </w:rPr>
        <w:t>Con base en lo anterior, la vulnerabilidad social en el área de salud se plantea como un fenómeno multidimensional que abarca aspectos médi- cos, sociales, familiares, etcétera. Sin embargo, en esta investigación se presentaron diversas limitaciones empíricas para abordar la vulnerabi- lidad en el ámbito de la salud, por lo que se optó por considerar en esta dimensión únicamente el acceso a la derechohabiencia a servicios de salud.</w:t>
      </w:r>
    </w:p>
    <w:p>
      <w:pPr>
        <w:spacing w:after="0" w:line="292" w:lineRule="auto"/>
        <w:jc w:val="both"/>
        <w:sectPr>
          <w:pgSz w:w="9520" w:h="12920"/>
          <w:pgMar w:header="0" w:footer="1344" w:top="880" w:bottom="1540" w:left="1320" w:right="1000"/>
        </w:sectPr>
      </w:pPr>
    </w:p>
    <w:p>
      <w:pPr>
        <w:spacing w:before="39"/>
        <w:ind w:left="100" w:right="0" w:firstLine="0"/>
        <w:jc w:val="both"/>
        <w:rPr>
          <w:rFonts w:ascii="Times New Roman"/>
          <w:i/>
          <w:sz w:val="19"/>
        </w:rPr>
      </w:pPr>
      <w:r>
        <w:rPr>
          <w:rFonts w:ascii="Times New Roman"/>
          <w:i/>
          <w:color w:val="231F20"/>
          <w:sz w:val="24"/>
        </w:rPr>
        <w:t>T</w:t>
      </w:r>
      <w:r>
        <w:rPr>
          <w:rFonts w:ascii="Times New Roman"/>
          <w:i/>
          <w:color w:val="231F20"/>
          <w:sz w:val="19"/>
        </w:rPr>
        <w:t>RABAJO</w:t>
      </w:r>
    </w:p>
    <w:p>
      <w:pPr>
        <w:pStyle w:val="BodyText"/>
        <w:spacing w:before="9"/>
        <w:rPr>
          <w:rFonts w:ascii="Times New Roman"/>
          <w:i/>
          <w:sz w:val="27"/>
        </w:rPr>
      </w:pPr>
    </w:p>
    <w:p>
      <w:pPr>
        <w:pStyle w:val="BodyText"/>
        <w:spacing w:line="288" w:lineRule="auto"/>
        <w:ind w:left="100" w:right="115"/>
        <w:jc w:val="both"/>
      </w:pPr>
      <w:r>
        <w:rPr>
          <w:color w:val="231F20"/>
          <w:w w:val="110"/>
        </w:rPr>
        <w:t>Bajo</w:t>
      </w:r>
      <w:r>
        <w:rPr>
          <w:color w:val="231F20"/>
          <w:spacing w:val="-4"/>
          <w:w w:val="110"/>
        </w:rPr>
        <w:t> </w:t>
      </w:r>
      <w:r>
        <w:rPr>
          <w:color w:val="231F20"/>
          <w:w w:val="110"/>
        </w:rPr>
        <w:t>el</w:t>
      </w:r>
      <w:r>
        <w:rPr>
          <w:color w:val="231F20"/>
          <w:spacing w:val="-4"/>
          <w:w w:val="110"/>
        </w:rPr>
        <w:t> </w:t>
      </w:r>
      <w:r>
        <w:rPr>
          <w:color w:val="231F20"/>
          <w:w w:val="110"/>
        </w:rPr>
        <w:t>entendido</w:t>
      </w:r>
      <w:r>
        <w:rPr>
          <w:color w:val="231F20"/>
          <w:spacing w:val="-4"/>
          <w:w w:val="110"/>
        </w:rPr>
        <w:t> </w:t>
      </w:r>
      <w:r>
        <w:rPr>
          <w:color w:val="231F20"/>
          <w:w w:val="110"/>
        </w:rPr>
        <w:t>de</w:t>
      </w:r>
      <w:r>
        <w:rPr>
          <w:color w:val="231F20"/>
          <w:spacing w:val="-4"/>
          <w:w w:val="110"/>
        </w:rPr>
        <w:t> </w:t>
      </w:r>
      <w:r>
        <w:rPr>
          <w:color w:val="231F20"/>
          <w:w w:val="110"/>
        </w:rPr>
        <w:t>que</w:t>
      </w:r>
      <w:r>
        <w:rPr>
          <w:color w:val="231F20"/>
          <w:spacing w:val="-4"/>
          <w:w w:val="110"/>
        </w:rPr>
        <w:t> </w:t>
      </w:r>
      <w:r>
        <w:rPr>
          <w:color w:val="231F20"/>
          <w:w w:val="110"/>
        </w:rPr>
        <w:t>una</w:t>
      </w:r>
      <w:r>
        <w:rPr>
          <w:color w:val="231F20"/>
          <w:spacing w:val="-4"/>
          <w:w w:val="110"/>
        </w:rPr>
        <w:t> </w:t>
      </w:r>
      <w:r>
        <w:rPr>
          <w:color w:val="231F20"/>
          <w:w w:val="110"/>
        </w:rPr>
        <w:t>mayor</w:t>
      </w:r>
      <w:r>
        <w:rPr>
          <w:color w:val="231F20"/>
          <w:spacing w:val="-4"/>
          <w:w w:val="110"/>
        </w:rPr>
        <w:t> </w:t>
      </w:r>
      <w:r>
        <w:rPr>
          <w:color w:val="231F20"/>
          <w:w w:val="110"/>
        </w:rPr>
        <w:t>cantidad</w:t>
      </w:r>
      <w:r>
        <w:rPr>
          <w:color w:val="231F20"/>
          <w:spacing w:val="-4"/>
          <w:w w:val="110"/>
        </w:rPr>
        <w:t> </w:t>
      </w:r>
      <w:r>
        <w:rPr>
          <w:color w:val="231F20"/>
          <w:w w:val="110"/>
        </w:rPr>
        <w:t>de</w:t>
      </w:r>
      <w:r>
        <w:rPr>
          <w:color w:val="231F20"/>
          <w:spacing w:val="-4"/>
          <w:w w:val="110"/>
        </w:rPr>
        <w:t> </w:t>
      </w:r>
      <w:r>
        <w:rPr>
          <w:color w:val="231F20"/>
          <w:w w:val="110"/>
        </w:rPr>
        <w:t>personas</w:t>
      </w:r>
      <w:r>
        <w:rPr>
          <w:color w:val="231F20"/>
          <w:spacing w:val="-4"/>
          <w:w w:val="110"/>
        </w:rPr>
        <w:t> </w:t>
      </w:r>
      <w:r>
        <w:rPr>
          <w:color w:val="231F20"/>
          <w:w w:val="110"/>
        </w:rPr>
        <w:t>experimentan</w:t>
      </w:r>
      <w:r>
        <w:rPr>
          <w:color w:val="231F20"/>
          <w:spacing w:val="-4"/>
          <w:w w:val="110"/>
        </w:rPr>
        <w:t> </w:t>
      </w:r>
      <w:r>
        <w:rPr>
          <w:color w:val="231F20"/>
          <w:w w:val="110"/>
        </w:rPr>
        <w:t>el proceso del envejecimiento con todos los fenómenos que esta transición implica, no sólo biológicos sino sociales, es importante evidenciar que una de las </w:t>
      </w:r>
      <w:r>
        <w:rPr>
          <w:color w:val="231F20"/>
          <w:spacing w:val="2"/>
          <w:w w:val="110"/>
        </w:rPr>
        <w:t>características </w:t>
      </w:r>
      <w:r>
        <w:rPr>
          <w:color w:val="231F20"/>
          <w:w w:val="110"/>
        </w:rPr>
        <w:t>de </w:t>
      </w:r>
      <w:r>
        <w:rPr>
          <w:color w:val="231F20"/>
          <w:spacing w:val="2"/>
          <w:w w:val="110"/>
        </w:rPr>
        <w:t>esta etapa </w:t>
      </w:r>
      <w:r>
        <w:rPr>
          <w:color w:val="231F20"/>
          <w:w w:val="110"/>
        </w:rPr>
        <w:t>es el </w:t>
      </w:r>
      <w:r>
        <w:rPr>
          <w:color w:val="231F20"/>
          <w:spacing w:val="2"/>
          <w:w w:val="110"/>
        </w:rPr>
        <w:t>retiro </w:t>
      </w:r>
      <w:r>
        <w:rPr>
          <w:color w:val="231F20"/>
          <w:w w:val="110"/>
        </w:rPr>
        <w:t>del </w:t>
      </w:r>
      <w:r>
        <w:rPr>
          <w:color w:val="231F20"/>
          <w:spacing w:val="2"/>
          <w:w w:val="110"/>
        </w:rPr>
        <w:t>trabajo, </w:t>
      </w:r>
      <w:r>
        <w:rPr>
          <w:color w:val="231F20"/>
          <w:w w:val="110"/>
        </w:rPr>
        <w:t>lo que </w:t>
      </w:r>
      <w:r>
        <w:rPr>
          <w:color w:val="231F20"/>
          <w:spacing w:val="2"/>
          <w:w w:val="110"/>
        </w:rPr>
        <w:t>Solís  </w:t>
      </w:r>
      <w:r>
        <w:rPr>
          <w:color w:val="231F20"/>
          <w:w w:val="110"/>
        </w:rPr>
        <w:t>(1996) llama el retiro de la actividad económica. Para muchos adultos ma- yores, sin embargo, el retiro de la actividad productiva es postergado, e incluso resulta imposible la insuficiente cobertura de los sistemas de pen- siones para muchas personas de este grupo etario, lo que genera que el retiro laboral a veces ocurra después de los 60 años, así que resulta perti- nente</w:t>
      </w:r>
      <w:r>
        <w:rPr>
          <w:color w:val="231F20"/>
          <w:spacing w:val="-5"/>
          <w:w w:val="110"/>
        </w:rPr>
        <w:t> </w:t>
      </w:r>
      <w:r>
        <w:rPr>
          <w:color w:val="231F20"/>
          <w:w w:val="110"/>
        </w:rPr>
        <w:t>mostrar</w:t>
      </w:r>
      <w:r>
        <w:rPr>
          <w:color w:val="231F20"/>
          <w:spacing w:val="-5"/>
          <w:w w:val="110"/>
        </w:rPr>
        <w:t> </w:t>
      </w:r>
      <w:r>
        <w:rPr>
          <w:color w:val="231F20"/>
          <w:w w:val="110"/>
        </w:rPr>
        <w:t>qué</w:t>
      </w:r>
      <w:r>
        <w:rPr>
          <w:color w:val="231F20"/>
          <w:spacing w:val="-5"/>
          <w:w w:val="110"/>
        </w:rPr>
        <w:t> </w:t>
      </w:r>
      <w:r>
        <w:rPr>
          <w:color w:val="231F20"/>
          <w:w w:val="110"/>
        </w:rPr>
        <w:t>tipo</w:t>
      </w:r>
      <w:r>
        <w:rPr>
          <w:color w:val="231F20"/>
          <w:spacing w:val="-5"/>
          <w:w w:val="110"/>
        </w:rPr>
        <w:t> </w:t>
      </w:r>
      <w:r>
        <w:rPr>
          <w:color w:val="231F20"/>
          <w:w w:val="110"/>
        </w:rPr>
        <w:t>de</w:t>
      </w:r>
      <w:r>
        <w:rPr>
          <w:color w:val="231F20"/>
          <w:spacing w:val="-5"/>
          <w:w w:val="110"/>
        </w:rPr>
        <w:t> </w:t>
      </w:r>
      <w:r>
        <w:rPr>
          <w:color w:val="231F20"/>
          <w:w w:val="110"/>
        </w:rPr>
        <w:t>actividad</w:t>
      </w:r>
      <w:r>
        <w:rPr>
          <w:color w:val="231F20"/>
          <w:spacing w:val="-5"/>
          <w:w w:val="110"/>
        </w:rPr>
        <w:t> </w:t>
      </w:r>
      <w:r>
        <w:rPr>
          <w:color w:val="231F20"/>
          <w:w w:val="110"/>
        </w:rPr>
        <w:t>realizan</w:t>
      </w:r>
      <w:r>
        <w:rPr>
          <w:color w:val="231F20"/>
          <w:spacing w:val="-5"/>
          <w:w w:val="110"/>
        </w:rPr>
        <w:t> </w:t>
      </w:r>
      <w:r>
        <w:rPr>
          <w:color w:val="231F20"/>
          <w:w w:val="110"/>
        </w:rPr>
        <w:t>los</w:t>
      </w:r>
      <w:r>
        <w:rPr>
          <w:color w:val="231F20"/>
          <w:spacing w:val="-5"/>
          <w:w w:val="110"/>
        </w:rPr>
        <w:t> </w:t>
      </w:r>
      <w:r>
        <w:rPr>
          <w:color w:val="231F20"/>
          <w:w w:val="110"/>
        </w:rPr>
        <w:t>adultos</w:t>
      </w:r>
      <w:r>
        <w:rPr>
          <w:color w:val="231F20"/>
          <w:spacing w:val="-5"/>
          <w:w w:val="110"/>
        </w:rPr>
        <w:t> </w:t>
      </w:r>
      <w:r>
        <w:rPr>
          <w:color w:val="231F20"/>
          <w:w w:val="110"/>
        </w:rPr>
        <w:t>mayores,</w:t>
      </w:r>
      <w:r>
        <w:rPr>
          <w:color w:val="231F20"/>
          <w:spacing w:val="-5"/>
          <w:w w:val="110"/>
        </w:rPr>
        <w:t> </w:t>
      </w:r>
      <w:r>
        <w:rPr>
          <w:color w:val="231F20"/>
          <w:w w:val="110"/>
        </w:rPr>
        <w:t>así</w:t>
      </w:r>
      <w:r>
        <w:rPr>
          <w:color w:val="231F20"/>
          <w:spacing w:val="-5"/>
          <w:w w:val="110"/>
        </w:rPr>
        <w:t> </w:t>
      </w:r>
      <w:r>
        <w:rPr>
          <w:color w:val="231F20"/>
          <w:w w:val="110"/>
        </w:rPr>
        <w:t>como qué tan frecuentemente las personas de 60 años o más tienen una activi- dad</w:t>
      </w:r>
      <w:r>
        <w:rPr>
          <w:color w:val="231F20"/>
          <w:spacing w:val="-8"/>
          <w:w w:val="110"/>
        </w:rPr>
        <w:t> </w:t>
      </w:r>
      <w:r>
        <w:rPr>
          <w:color w:val="231F20"/>
          <w:w w:val="110"/>
        </w:rPr>
        <w:t>laboral,</w:t>
      </w:r>
      <w:r>
        <w:rPr>
          <w:color w:val="231F20"/>
          <w:spacing w:val="-8"/>
          <w:w w:val="110"/>
        </w:rPr>
        <w:t> </w:t>
      </w:r>
      <w:r>
        <w:rPr>
          <w:color w:val="231F20"/>
          <w:w w:val="110"/>
        </w:rPr>
        <w:t>misma</w:t>
      </w:r>
      <w:r>
        <w:rPr>
          <w:color w:val="231F20"/>
          <w:spacing w:val="-8"/>
          <w:w w:val="110"/>
        </w:rPr>
        <w:t> </w:t>
      </w:r>
      <w:r>
        <w:rPr>
          <w:color w:val="231F20"/>
          <w:w w:val="110"/>
        </w:rPr>
        <w:t>que</w:t>
      </w:r>
      <w:r>
        <w:rPr>
          <w:color w:val="231F20"/>
          <w:spacing w:val="-8"/>
          <w:w w:val="110"/>
        </w:rPr>
        <w:t> </w:t>
      </w:r>
      <w:r>
        <w:rPr>
          <w:color w:val="231F20"/>
          <w:w w:val="110"/>
        </w:rPr>
        <w:t>podría</w:t>
      </w:r>
      <w:r>
        <w:rPr>
          <w:color w:val="231F20"/>
          <w:spacing w:val="-8"/>
          <w:w w:val="110"/>
        </w:rPr>
        <w:t> </w:t>
      </w:r>
      <w:r>
        <w:rPr>
          <w:color w:val="231F20"/>
          <w:w w:val="110"/>
        </w:rPr>
        <w:t>tener</w:t>
      </w:r>
      <w:r>
        <w:rPr>
          <w:color w:val="231F20"/>
          <w:spacing w:val="-8"/>
          <w:w w:val="110"/>
        </w:rPr>
        <w:t> </w:t>
      </w:r>
      <w:r>
        <w:rPr>
          <w:color w:val="231F20"/>
          <w:w w:val="110"/>
        </w:rPr>
        <w:t>como</w:t>
      </w:r>
      <w:r>
        <w:rPr>
          <w:color w:val="231F20"/>
          <w:spacing w:val="-8"/>
          <w:w w:val="110"/>
        </w:rPr>
        <w:t> </w:t>
      </w:r>
      <w:r>
        <w:rPr>
          <w:color w:val="231F20"/>
          <w:w w:val="110"/>
        </w:rPr>
        <w:t>finalidad</w:t>
      </w:r>
      <w:r>
        <w:rPr>
          <w:color w:val="231F20"/>
          <w:spacing w:val="-8"/>
          <w:w w:val="110"/>
        </w:rPr>
        <w:t> </w:t>
      </w:r>
      <w:r>
        <w:rPr>
          <w:color w:val="231F20"/>
          <w:w w:val="110"/>
        </w:rPr>
        <w:t>asegurar</w:t>
      </w:r>
      <w:r>
        <w:rPr>
          <w:color w:val="231F20"/>
          <w:spacing w:val="-8"/>
          <w:w w:val="110"/>
        </w:rPr>
        <w:t> </w:t>
      </w:r>
      <w:r>
        <w:rPr>
          <w:color w:val="231F20"/>
          <w:w w:val="110"/>
        </w:rPr>
        <w:t>una</w:t>
      </w:r>
      <w:r>
        <w:rPr>
          <w:color w:val="231F20"/>
          <w:spacing w:val="-8"/>
          <w:w w:val="110"/>
        </w:rPr>
        <w:t> </w:t>
      </w:r>
      <w:r>
        <w:rPr>
          <w:color w:val="231F20"/>
          <w:w w:val="110"/>
        </w:rPr>
        <w:t>situación económica de independencia, debido a que la permanencia de los adultos mayores dentro de las actividades económicas puede </w:t>
      </w:r>
      <w:r>
        <w:rPr>
          <w:color w:val="231F20"/>
          <w:spacing w:val="-5"/>
          <w:w w:val="110"/>
        </w:rPr>
        <w:t>ser, </w:t>
      </w:r>
      <w:r>
        <w:rPr>
          <w:color w:val="231F20"/>
          <w:w w:val="110"/>
        </w:rPr>
        <w:t>en algunos ca- sos, una estrategia de supervivencia (Montoya y Montes de Oca, </w:t>
      </w:r>
      <w:r>
        <w:rPr>
          <w:color w:val="231F20"/>
          <w:spacing w:val="8"/>
          <w:w w:val="110"/>
        </w:rPr>
        <w:t> </w:t>
      </w:r>
      <w:r>
        <w:rPr>
          <w:color w:val="231F20"/>
          <w:w w:val="110"/>
        </w:rPr>
        <w:t>2006).</w:t>
      </w:r>
    </w:p>
    <w:p>
      <w:pPr>
        <w:pStyle w:val="BodyText"/>
        <w:spacing w:line="288" w:lineRule="auto"/>
        <w:ind w:left="100" w:right="117" w:firstLine="360"/>
        <w:jc w:val="both"/>
      </w:pPr>
      <w:r>
        <w:rPr>
          <w:color w:val="231F20"/>
          <w:w w:val="110"/>
        </w:rPr>
        <w:t>De acuerdo con Del Popolo (2001), una característica de los empleos u ocupaciones de la población envejecida es la precaria condición de las ac- tividades, pues de acuerdo con el </w:t>
      </w:r>
      <w:r>
        <w:rPr>
          <w:rFonts w:ascii="Times New Roman" w:hAnsi="Times New Roman"/>
          <w:color w:val="231F20"/>
          <w:w w:val="110"/>
          <w:sz w:val="16"/>
        </w:rPr>
        <w:t>INEGI </w:t>
      </w:r>
      <w:r>
        <w:rPr>
          <w:color w:val="231F20"/>
          <w:w w:val="110"/>
        </w:rPr>
        <w:t>(2000) 78 por ciento de los adultos mayores que trabajan lo hace en el sector  informal.</w:t>
      </w:r>
    </w:p>
    <w:p>
      <w:pPr>
        <w:pStyle w:val="BodyText"/>
        <w:spacing w:line="288" w:lineRule="auto"/>
        <w:ind w:left="100" w:right="116" w:firstLine="360"/>
        <w:jc w:val="both"/>
      </w:pPr>
      <w:r>
        <w:rPr>
          <w:color w:val="231F20"/>
          <w:spacing w:val="2"/>
          <w:w w:val="110"/>
        </w:rPr>
        <w:t>Ante </w:t>
      </w:r>
      <w:r>
        <w:rPr>
          <w:color w:val="231F20"/>
          <w:w w:val="110"/>
        </w:rPr>
        <w:t>las </w:t>
      </w:r>
      <w:r>
        <w:rPr>
          <w:color w:val="231F20"/>
          <w:spacing w:val="2"/>
          <w:w w:val="110"/>
        </w:rPr>
        <w:t>crecientes restricciones para insertarse dentro </w:t>
      </w:r>
      <w:r>
        <w:rPr>
          <w:color w:val="231F20"/>
          <w:w w:val="110"/>
        </w:rPr>
        <w:t>del </w:t>
      </w:r>
      <w:r>
        <w:rPr>
          <w:color w:val="231F20"/>
          <w:spacing w:val="2"/>
          <w:w w:val="110"/>
        </w:rPr>
        <w:t>trabajo </w:t>
      </w:r>
      <w:r>
        <w:rPr>
          <w:color w:val="231F20"/>
          <w:w w:val="110"/>
        </w:rPr>
        <w:t>formal,</w:t>
      </w:r>
      <w:r>
        <w:rPr>
          <w:color w:val="231F20"/>
          <w:spacing w:val="-5"/>
          <w:w w:val="110"/>
        </w:rPr>
        <w:t> </w:t>
      </w:r>
      <w:r>
        <w:rPr>
          <w:color w:val="231F20"/>
          <w:w w:val="110"/>
        </w:rPr>
        <w:t>donde</w:t>
      </w:r>
      <w:r>
        <w:rPr>
          <w:color w:val="231F20"/>
          <w:spacing w:val="-5"/>
          <w:w w:val="110"/>
        </w:rPr>
        <w:t> </w:t>
      </w:r>
      <w:r>
        <w:rPr>
          <w:color w:val="231F20"/>
          <w:w w:val="110"/>
        </w:rPr>
        <w:t>una</w:t>
      </w:r>
      <w:r>
        <w:rPr>
          <w:color w:val="231F20"/>
          <w:spacing w:val="-5"/>
          <w:w w:val="110"/>
        </w:rPr>
        <w:t> </w:t>
      </w:r>
      <w:r>
        <w:rPr>
          <w:color w:val="231F20"/>
          <w:w w:val="110"/>
        </w:rPr>
        <w:t>prioridad</w:t>
      </w:r>
      <w:r>
        <w:rPr>
          <w:color w:val="231F20"/>
          <w:spacing w:val="-5"/>
          <w:w w:val="110"/>
        </w:rPr>
        <w:t> </w:t>
      </w:r>
      <w:r>
        <w:rPr>
          <w:color w:val="231F20"/>
          <w:w w:val="110"/>
        </w:rPr>
        <w:t>es</w:t>
      </w:r>
      <w:r>
        <w:rPr>
          <w:color w:val="231F20"/>
          <w:spacing w:val="-5"/>
          <w:w w:val="110"/>
        </w:rPr>
        <w:t> </w:t>
      </w:r>
      <w:r>
        <w:rPr>
          <w:color w:val="231F20"/>
          <w:w w:val="110"/>
        </w:rPr>
        <w:t>incorporar</w:t>
      </w:r>
      <w:r>
        <w:rPr>
          <w:color w:val="231F20"/>
          <w:spacing w:val="-5"/>
          <w:w w:val="110"/>
        </w:rPr>
        <w:t> </w:t>
      </w:r>
      <w:r>
        <w:rPr>
          <w:color w:val="231F20"/>
          <w:w w:val="110"/>
        </w:rPr>
        <w:t>a</w:t>
      </w:r>
      <w:r>
        <w:rPr>
          <w:color w:val="231F20"/>
          <w:spacing w:val="-5"/>
          <w:w w:val="110"/>
        </w:rPr>
        <w:t> </w:t>
      </w:r>
      <w:r>
        <w:rPr>
          <w:color w:val="231F20"/>
          <w:w w:val="110"/>
        </w:rPr>
        <w:t>una</w:t>
      </w:r>
      <w:r>
        <w:rPr>
          <w:color w:val="231F20"/>
          <w:spacing w:val="-5"/>
          <w:w w:val="110"/>
        </w:rPr>
        <w:t> </w:t>
      </w:r>
      <w:r>
        <w:rPr>
          <w:color w:val="231F20"/>
          <w:w w:val="110"/>
        </w:rPr>
        <w:t>población</w:t>
      </w:r>
      <w:r>
        <w:rPr>
          <w:color w:val="231F20"/>
          <w:spacing w:val="-5"/>
          <w:w w:val="110"/>
        </w:rPr>
        <w:t> </w:t>
      </w:r>
      <w:r>
        <w:rPr>
          <w:color w:val="231F20"/>
          <w:w w:val="110"/>
        </w:rPr>
        <w:t>joven</w:t>
      </w:r>
      <w:r>
        <w:rPr>
          <w:color w:val="231F20"/>
          <w:spacing w:val="-5"/>
          <w:w w:val="110"/>
        </w:rPr>
        <w:t> </w:t>
      </w:r>
      <w:r>
        <w:rPr>
          <w:color w:val="231F20"/>
          <w:w w:val="110"/>
        </w:rPr>
        <w:t>y</w:t>
      </w:r>
      <w:r>
        <w:rPr>
          <w:color w:val="231F20"/>
          <w:spacing w:val="-5"/>
          <w:w w:val="110"/>
        </w:rPr>
        <w:t> </w:t>
      </w:r>
      <w:r>
        <w:rPr>
          <w:color w:val="231F20"/>
          <w:w w:val="110"/>
        </w:rPr>
        <w:t>en</w:t>
      </w:r>
      <w:r>
        <w:rPr>
          <w:color w:val="231F20"/>
          <w:spacing w:val="-5"/>
          <w:w w:val="110"/>
        </w:rPr>
        <w:t> </w:t>
      </w:r>
      <w:r>
        <w:rPr>
          <w:color w:val="231F20"/>
          <w:w w:val="110"/>
        </w:rPr>
        <w:t>edad laboral, se construye una competencia tensa entre los diferentes segmen- tos poblacionales </w:t>
      </w:r>
      <w:r>
        <w:rPr>
          <w:color w:val="231F20"/>
          <w:spacing w:val="-4"/>
          <w:w w:val="110"/>
        </w:rPr>
        <w:t>(Wong </w:t>
      </w:r>
      <w:r>
        <w:rPr>
          <w:color w:val="231F20"/>
          <w:w w:val="110"/>
        </w:rPr>
        <w:t>y Aysa,</w:t>
      </w:r>
      <w:r>
        <w:rPr>
          <w:color w:val="231F20"/>
          <w:spacing w:val="-7"/>
          <w:w w:val="110"/>
        </w:rPr>
        <w:t> </w:t>
      </w:r>
      <w:r>
        <w:rPr>
          <w:color w:val="231F20"/>
          <w:w w:val="110"/>
        </w:rPr>
        <w:t>2001).</w:t>
      </w:r>
    </w:p>
    <w:p>
      <w:pPr>
        <w:pStyle w:val="BodyText"/>
        <w:spacing w:line="288" w:lineRule="auto"/>
        <w:ind w:left="100" w:right="117" w:firstLine="360"/>
        <w:jc w:val="both"/>
      </w:pPr>
      <w:r>
        <w:rPr>
          <w:color w:val="231F20"/>
          <w:w w:val="110"/>
        </w:rPr>
        <w:t>Lo anterior plantea una desventaja de los adultos mayores que expone la vulnerabilidad de este sector de la población, quedando como recurso</w:t>
      </w:r>
      <w:r>
        <w:rPr>
          <w:color w:val="231F20"/>
          <w:spacing w:val="-22"/>
          <w:w w:val="110"/>
        </w:rPr>
        <w:t> </w:t>
      </w:r>
      <w:r>
        <w:rPr>
          <w:color w:val="231F20"/>
          <w:w w:val="110"/>
        </w:rPr>
        <w:t>la incorporación al autoempleo o al empleo informal (Ham,</w:t>
      </w:r>
      <w:r>
        <w:rPr>
          <w:color w:val="231F20"/>
          <w:spacing w:val="-25"/>
          <w:w w:val="110"/>
        </w:rPr>
        <w:t> </w:t>
      </w:r>
      <w:r>
        <w:rPr>
          <w:color w:val="231F20"/>
          <w:w w:val="110"/>
        </w:rPr>
        <w:t>1999).</w:t>
      </w:r>
    </w:p>
    <w:p>
      <w:pPr>
        <w:pStyle w:val="BodyText"/>
        <w:spacing w:line="288" w:lineRule="auto"/>
        <w:ind w:left="100" w:right="116" w:firstLine="360"/>
        <w:jc w:val="both"/>
      </w:pPr>
      <w:r>
        <w:rPr>
          <w:color w:val="231F20"/>
          <w:w w:val="110"/>
        </w:rPr>
        <w:t>De esta manera, la precariedad en el acceso a la infraestructura de salud y la seguridad social, contribuyen aún más a la vulnerabilidad de la población.</w:t>
      </w:r>
    </w:p>
    <w:p>
      <w:pPr>
        <w:pStyle w:val="BodyText"/>
        <w:spacing w:line="288" w:lineRule="auto"/>
        <w:ind w:left="100" w:right="116" w:firstLine="360"/>
        <w:jc w:val="both"/>
      </w:pPr>
      <w:r>
        <w:rPr>
          <w:color w:val="231F20"/>
          <w:w w:val="105"/>
        </w:rPr>
        <w:t>Así, para la presente investigación la  vulnerabilidad  social  vinculada  con el trabajo se definirá mediante la condición de actividad de la pobla-   </w:t>
      </w:r>
      <w:r>
        <w:rPr>
          <w:color w:val="231F20"/>
          <w:spacing w:val="4"/>
          <w:w w:val="105"/>
        </w:rPr>
        <w:t>ción </w:t>
      </w:r>
      <w:r>
        <w:rPr>
          <w:color w:val="231F20"/>
          <w:spacing w:val="2"/>
          <w:w w:val="105"/>
        </w:rPr>
        <w:t>con </w:t>
      </w:r>
      <w:r>
        <w:rPr>
          <w:color w:val="231F20"/>
          <w:w w:val="105"/>
        </w:rPr>
        <w:t>60 </w:t>
      </w:r>
      <w:r>
        <w:rPr>
          <w:color w:val="231F20"/>
          <w:spacing w:val="3"/>
          <w:w w:val="105"/>
        </w:rPr>
        <w:t>años  </w:t>
      </w:r>
      <w:r>
        <w:rPr>
          <w:color w:val="231F20"/>
          <w:w w:val="105"/>
        </w:rPr>
        <w:t>o  </w:t>
      </w:r>
      <w:r>
        <w:rPr>
          <w:color w:val="231F20"/>
          <w:spacing w:val="3"/>
          <w:w w:val="105"/>
        </w:rPr>
        <w:t>más,  </w:t>
      </w:r>
      <w:r>
        <w:rPr>
          <w:color w:val="231F20"/>
          <w:w w:val="105"/>
        </w:rPr>
        <w:t>es  decir,  si  </w:t>
      </w:r>
      <w:r>
        <w:rPr>
          <w:color w:val="231F20"/>
          <w:spacing w:val="2"/>
          <w:w w:val="105"/>
        </w:rPr>
        <w:t>una  </w:t>
      </w:r>
      <w:r>
        <w:rPr>
          <w:color w:val="231F20"/>
          <w:spacing w:val="3"/>
          <w:w w:val="105"/>
        </w:rPr>
        <w:t>persona  adulta  mayor  trabaja </w:t>
      </w:r>
      <w:r>
        <w:rPr>
          <w:color w:val="231F20"/>
          <w:w w:val="105"/>
        </w:rPr>
        <w:t>se  considera vulnerable debido a que por derechos laborales una persona    de</w:t>
      </w:r>
      <w:r>
        <w:rPr>
          <w:color w:val="231F20"/>
          <w:spacing w:val="27"/>
          <w:w w:val="105"/>
        </w:rPr>
        <w:t> </w:t>
      </w:r>
      <w:r>
        <w:rPr>
          <w:color w:val="231F20"/>
          <w:w w:val="105"/>
        </w:rPr>
        <w:t>ese</w:t>
      </w:r>
      <w:r>
        <w:rPr>
          <w:color w:val="231F20"/>
          <w:spacing w:val="27"/>
          <w:w w:val="105"/>
        </w:rPr>
        <w:t> </w:t>
      </w:r>
      <w:r>
        <w:rPr>
          <w:color w:val="231F20"/>
          <w:w w:val="105"/>
        </w:rPr>
        <w:t>grupo</w:t>
      </w:r>
      <w:r>
        <w:rPr>
          <w:color w:val="231F20"/>
          <w:spacing w:val="27"/>
          <w:w w:val="105"/>
        </w:rPr>
        <w:t> </w:t>
      </w:r>
      <w:r>
        <w:rPr>
          <w:color w:val="231F20"/>
          <w:w w:val="105"/>
        </w:rPr>
        <w:t>de</w:t>
      </w:r>
      <w:r>
        <w:rPr>
          <w:color w:val="231F20"/>
          <w:spacing w:val="27"/>
          <w:w w:val="105"/>
        </w:rPr>
        <w:t> </w:t>
      </w:r>
      <w:r>
        <w:rPr>
          <w:color w:val="231F20"/>
          <w:w w:val="105"/>
        </w:rPr>
        <w:t>edad</w:t>
      </w:r>
      <w:r>
        <w:rPr>
          <w:color w:val="231F20"/>
          <w:spacing w:val="27"/>
          <w:w w:val="105"/>
        </w:rPr>
        <w:t> </w:t>
      </w:r>
      <w:r>
        <w:rPr>
          <w:color w:val="231F20"/>
          <w:w w:val="105"/>
        </w:rPr>
        <w:t>debería</w:t>
      </w:r>
      <w:r>
        <w:rPr>
          <w:color w:val="231F20"/>
          <w:spacing w:val="27"/>
          <w:w w:val="105"/>
        </w:rPr>
        <w:t> </w:t>
      </w:r>
      <w:r>
        <w:rPr>
          <w:color w:val="231F20"/>
          <w:w w:val="105"/>
        </w:rPr>
        <w:t>estar</w:t>
      </w:r>
      <w:r>
        <w:rPr>
          <w:color w:val="231F20"/>
          <w:spacing w:val="27"/>
          <w:w w:val="105"/>
        </w:rPr>
        <w:t> </w:t>
      </w:r>
      <w:r>
        <w:rPr>
          <w:color w:val="231F20"/>
          <w:w w:val="105"/>
        </w:rPr>
        <w:t>disfrutando</w:t>
      </w:r>
      <w:r>
        <w:rPr>
          <w:color w:val="231F20"/>
          <w:spacing w:val="27"/>
          <w:w w:val="105"/>
        </w:rPr>
        <w:t> </w:t>
      </w:r>
      <w:r>
        <w:rPr>
          <w:color w:val="231F20"/>
          <w:w w:val="105"/>
        </w:rPr>
        <w:t>de</w:t>
      </w:r>
      <w:r>
        <w:rPr>
          <w:color w:val="231F20"/>
          <w:spacing w:val="27"/>
          <w:w w:val="105"/>
        </w:rPr>
        <w:t> </w:t>
      </w:r>
      <w:r>
        <w:rPr>
          <w:color w:val="231F20"/>
          <w:w w:val="105"/>
        </w:rPr>
        <w:t>su</w:t>
      </w:r>
      <w:r>
        <w:rPr>
          <w:color w:val="231F20"/>
          <w:spacing w:val="27"/>
          <w:w w:val="105"/>
        </w:rPr>
        <w:t> </w:t>
      </w:r>
      <w:r>
        <w:rPr>
          <w:color w:val="231F20"/>
          <w:w w:val="105"/>
        </w:rPr>
        <w:t>pensión</w:t>
      </w:r>
      <w:r>
        <w:rPr>
          <w:color w:val="231F20"/>
          <w:spacing w:val="27"/>
          <w:w w:val="105"/>
        </w:rPr>
        <w:t> </w:t>
      </w:r>
      <w:r>
        <w:rPr>
          <w:color w:val="231F20"/>
          <w:w w:val="105"/>
        </w:rPr>
        <w:t>o</w:t>
      </w:r>
      <w:r>
        <w:rPr>
          <w:color w:val="231F20"/>
          <w:spacing w:val="27"/>
          <w:w w:val="105"/>
        </w:rPr>
        <w:t> </w:t>
      </w:r>
      <w:r>
        <w:rPr>
          <w:color w:val="231F20"/>
          <w:w w:val="105"/>
        </w:rPr>
        <w:t>jubilación.</w:t>
      </w:r>
    </w:p>
    <w:p>
      <w:pPr>
        <w:spacing w:after="0" w:line="288" w:lineRule="auto"/>
        <w:jc w:val="both"/>
        <w:sectPr>
          <w:footerReference w:type="even" r:id="rId151"/>
          <w:footerReference w:type="default" r:id="rId152"/>
          <w:pgSz w:w="9520" w:h="12920"/>
          <w:pgMar w:footer="1344" w:header="0" w:top="880" w:bottom="1540" w:left="1020" w:right="1320"/>
        </w:sectPr>
      </w:pPr>
    </w:p>
    <w:p>
      <w:pPr>
        <w:pStyle w:val="BodyText"/>
        <w:spacing w:line="280" w:lineRule="auto" w:before="42"/>
        <w:ind w:left="124" w:right="113"/>
        <w:jc w:val="both"/>
      </w:pPr>
      <w:r>
        <w:rPr>
          <w:color w:val="231F20"/>
          <w:w w:val="110"/>
        </w:rPr>
        <w:t>Es</w:t>
      </w:r>
      <w:r>
        <w:rPr>
          <w:color w:val="231F20"/>
          <w:spacing w:val="-6"/>
          <w:w w:val="110"/>
        </w:rPr>
        <w:t> </w:t>
      </w:r>
      <w:r>
        <w:rPr>
          <w:color w:val="231F20"/>
          <w:w w:val="110"/>
        </w:rPr>
        <w:t>importante</w:t>
      </w:r>
      <w:r>
        <w:rPr>
          <w:color w:val="231F20"/>
          <w:spacing w:val="-6"/>
          <w:w w:val="110"/>
        </w:rPr>
        <w:t> </w:t>
      </w:r>
      <w:r>
        <w:rPr>
          <w:color w:val="231F20"/>
          <w:w w:val="110"/>
        </w:rPr>
        <w:t>mencionar</w:t>
      </w:r>
      <w:r>
        <w:rPr>
          <w:color w:val="231F20"/>
          <w:spacing w:val="-6"/>
          <w:w w:val="110"/>
        </w:rPr>
        <w:t> </w:t>
      </w:r>
      <w:r>
        <w:rPr>
          <w:color w:val="231F20"/>
          <w:w w:val="110"/>
        </w:rPr>
        <w:t>que</w:t>
      </w:r>
      <w:r>
        <w:rPr>
          <w:color w:val="231F20"/>
          <w:spacing w:val="-6"/>
          <w:w w:val="110"/>
        </w:rPr>
        <w:t> </w:t>
      </w:r>
      <w:r>
        <w:rPr>
          <w:color w:val="231F20"/>
          <w:w w:val="110"/>
        </w:rPr>
        <w:t>en</w:t>
      </w:r>
      <w:r>
        <w:rPr>
          <w:color w:val="231F20"/>
          <w:spacing w:val="-6"/>
          <w:w w:val="110"/>
        </w:rPr>
        <w:t> </w:t>
      </w:r>
      <w:r>
        <w:rPr>
          <w:color w:val="231F20"/>
          <w:w w:val="110"/>
        </w:rPr>
        <w:t>esta</w:t>
      </w:r>
      <w:r>
        <w:rPr>
          <w:color w:val="231F20"/>
          <w:spacing w:val="-6"/>
          <w:w w:val="110"/>
        </w:rPr>
        <w:t> </w:t>
      </w:r>
      <w:r>
        <w:rPr>
          <w:color w:val="231F20"/>
          <w:w w:val="110"/>
        </w:rPr>
        <w:t>investigación</w:t>
      </w:r>
      <w:r>
        <w:rPr>
          <w:color w:val="231F20"/>
          <w:spacing w:val="-6"/>
          <w:w w:val="110"/>
        </w:rPr>
        <w:t> </w:t>
      </w:r>
      <w:r>
        <w:rPr>
          <w:color w:val="231F20"/>
          <w:w w:val="110"/>
        </w:rPr>
        <w:t>se</w:t>
      </w:r>
      <w:r>
        <w:rPr>
          <w:color w:val="231F20"/>
          <w:spacing w:val="-6"/>
          <w:w w:val="110"/>
        </w:rPr>
        <w:t> </w:t>
      </w:r>
      <w:r>
        <w:rPr>
          <w:color w:val="231F20"/>
          <w:w w:val="110"/>
        </w:rPr>
        <w:t>desarrolla</w:t>
      </w:r>
      <w:r>
        <w:rPr>
          <w:color w:val="231F20"/>
          <w:spacing w:val="-6"/>
          <w:w w:val="110"/>
        </w:rPr>
        <w:t> </w:t>
      </w:r>
      <w:r>
        <w:rPr>
          <w:color w:val="231F20"/>
          <w:w w:val="110"/>
        </w:rPr>
        <w:t>el</w:t>
      </w:r>
      <w:r>
        <w:rPr>
          <w:color w:val="231F20"/>
          <w:spacing w:val="-6"/>
          <w:w w:val="110"/>
        </w:rPr>
        <w:t> </w:t>
      </w:r>
      <w:r>
        <w:rPr>
          <w:color w:val="231F20"/>
          <w:w w:val="110"/>
        </w:rPr>
        <w:t>estudio de las diferencias por sexo y tipo de localidad, que permite conocer con mayor detalle la vulnerabilidad en estas</w:t>
      </w:r>
      <w:r>
        <w:rPr>
          <w:color w:val="231F20"/>
          <w:spacing w:val="5"/>
          <w:w w:val="110"/>
        </w:rPr>
        <w:t> </w:t>
      </w:r>
      <w:r>
        <w:rPr>
          <w:color w:val="231F20"/>
          <w:w w:val="110"/>
        </w:rPr>
        <w:t>poblaciones.</w:t>
      </w:r>
    </w:p>
    <w:p>
      <w:pPr>
        <w:pStyle w:val="BodyText"/>
      </w:pPr>
    </w:p>
    <w:p>
      <w:pPr>
        <w:pStyle w:val="BodyText"/>
        <w:spacing w:before="1"/>
        <w:rPr>
          <w:sz w:val="23"/>
        </w:rPr>
      </w:pPr>
    </w:p>
    <w:p>
      <w:pPr>
        <w:spacing w:before="0"/>
        <w:ind w:left="124" w:right="0" w:firstLine="0"/>
        <w:jc w:val="both"/>
        <w:rPr>
          <w:rFonts w:ascii="Times New Roman" w:hAnsi="Times New Roman"/>
          <w:i/>
          <w:sz w:val="19"/>
        </w:rPr>
      </w:pPr>
      <w:r>
        <w:rPr>
          <w:rFonts w:ascii="Times New Roman" w:hAnsi="Times New Roman"/>
          <w:i/>
          <w:color w:val="231F20"/>
          <w:sz w:val="24"/>
        </w:rPr>
        <w:t>M</w:t>
      </w:r>
      <w:r>
        <w:rPr>
          <w:rFonts w:ascii="Times New Roman" w:hAnsi="Times New Roman"/>
          <w:i/>
          <w:color w:val="231F20"/>
          <w:sz w:val="19"/>
        </w:rPr>
        <w:t>ETODOLOGÍA</w:t>
      </w:r>
    </w:p>
    <w:p>
      <w:pPr>
        <w:pStyle w:val="BodyText"/>
        <w:spacing w:before="1"/>
        <w:rPr>
          <w:rFonts w:ascii="Times New Roman"/>
          <w:i/>
          <w:sz w:val="27"/>
        </w:rPr>
      </w:pPr>
    </w:p>
    <w:p>
      <w:pPr>
        <w:pStyle w:val="BodyText"/>
        <w:spacing w:line="280" w:lineRule="auto"/>
        <w:ind w:left="124" w:right="110"/>
        <w:jc w:val="both"/>
      </w:pPr>
      <w:r>
        <w:rPr>
          <w:color w:val="231F20"/>
          <w:spacing w:val="2"/>
          <w:w w:val="110"/>
        </w:rPr>
        <w:t>Las </w:t>
      </w:r>
      <w:r>
        <w:rPr>
          <w:color w:val="231F20"/>
          <w:w w:val="110"/>
        </w:rPr>
        <w:t>dimensiones que se van a utilizar para operacionalizar el fenómeno  de</w:t>
      </w:r>
      <w:r>
        <w:rPr>
          <w:color w:val="231F20"/>
          <w:spacing w:val="-8"/>
          <w:w w:val="110"/>
        </w:rPr>
        <w:t> </w:t>
      </w:r>
      <w:r>
        <w:rPr>
          <w:color w:val="231F20"/>
          <w:w w:val="110"/>
        </w:rPr>
        <w:t>la</w:t>
      </w:r>
      <w:r>
        <w:rPr>
          <w:color w:val="231F20"/>
          <w:spacing w:val="-11"/>
          <w:w w:val="110"/>
        </w:rPr>
        <w:t> </w:t>
      </w:r>
      <w:r>
        <w:rPr>
          <w:color w:val="231F20"/>
          <w:w w:val="110"/>
        </w:rPr>
        <w:t>vulnerabilidad</w:t>
      </w:r>
      <w:r>
        <w:rPr>
          <w:color w:val="231F20"/>
          <w:spacing w:val="-11"/>
          <w:w w:val="110"/>
        </w:rPr>
        <w:t> </w:t>
      </w:r>
      <w:r>
        <w:rPr>
          <w:color w:val="231F20"/>
          <w:w w:val="110"/>
        </w:rPr>
        <w:t>son</w:t>
      </w:r>
      <w:r>
        <w:rPr>
          <w:color w:val="231F20"/>
          <w:spacing w:val="-11"/>
          <w:w w:val="110"/>
        </w:rPr>
        <w:t> </w:t>
      </w:r>
      <w:r>
        <w:rPr>
          <w:color w:val="231F20"/>
          <w:w w:val="110"/>
        </w:rPr>
        <w:t>la</w:t>
      </w:r>
      <w:r>
        <w:rPr>
          <w:color w:val="231F20"/>
          <w:spacing w:val="-11"/>
          <w:w w:val="110"/>
        </w:rPr>
        <w:t> </w:t>
      </w:r>
      <w:r>
        <w:rPr>
          <w:color w:val="231F20"/>
          <w:w w:val="110"/>
        </w:rPr>
        <w:t>salud</w:t>
      </w:r>
      <w:r>
        <w:rPr>
          <w:color w:val="231F20"/>
          <w:spacing w:val="-11"/>
          <w:w w:val="110"/>
        </w:rPr>
        <w:t> </w:t>
      </w:r>
      <w:r>
        <w:rPr>
          <w:color w:val="231F20"/>
          <w:w w:val="110"/>
        </w:rPr>
        <w:t>y</w:t>
      </w:r>
      <w:r>
        <w:rPr>
          <w:color w:val="231F20"/>
          <w:spacing w:val="-11"/>
          <w:w w:val="110"/>
        </w:rPr>
        <w:t> </w:t>
      </w:r>
      <w:r>
        <w:rPr>
          <w:color w:val="231F20"/>
          <w:w w:val="110"/>
        </w:rPr>
        <w:t>el</w:t>
      </w:r>
      <w:r>
        <w:rPr>
          <w:color w:val="231F20"/>
          <w:spacing w:val="-11"/>
          <w:w w:val="110"/>
        </w:rPr>
        <w:t> </w:t>
      </w:r>
      <w:r>
        <w:rPr>
          <w:color w:val="231F20"/>
          <w:w w:val="110"/>
        </w:rPr>
        <w:t>trabajo.</w:t>
      </w:r>
      <w:r>
        <w:rPr>
          <w:color w:val="231F20"/>
          <w:spacing w:val="-11"/>
          <w:w w:val="110"/>
        </w:rPr>
        <w:t> </w:t>
      </w:r>
      <w:r>
        <w:rPr>
          <w:color w:val="231F20"/>
          <w:w w:val="110"/>
        </w:rPr>
        <w:t>En</w:t>
      </w:r>
      <w:r>
        <w:rPr>
          <w:color w:val="231F20"/>
          <w:spacing w:val="-11"/>
          <w:w w:val="110"/>
        </w:rPr>
        <w:t> </w:t>
      </w:r>
      <w:r>
        <w:rPr>
          <w:color w:val="231F20"/>
          <w:w w:val="110"/>
        </w:rPr>
        <w:t>lo</w:t>
      </w:r>
      <w:r>
        <w:rPr>
          <w:color w:val="231F20"/>
          <w:spacing w:val="-11"/>
          <w:w w:val="110"/>
        </w:rPr>
        <w:t> </w:t>
      </w:r>
      <w:r>
        <w:rPr>
          <w:color w:val="231F20"/>
          <w:w w:val="110"/>
        </w:rPr>
        <w:t>que</w:t>
      </w:r>
      <w:r>
        <w:rPr>
          <w:color w:val="231F20"/>
          <w:spacing w:val="-11"/>
          <w:w w:val="110"/>
        </w:rPr>
        <w:t> </w:t>
      </w:r>
      <w:r>
        <w:rPr>
          <w:color w:val="231F20"/>
          <w:w w:val="110"/>
        </w:rPr>
        <w:t>respecta</w:t>
      </w:r>
      <w:r>
        <w:rPr>
          <w:color w:val="231F20"/>
          <w:spacing w:val="-11"/>
          <w:w w:val="110"/>
        </w:rPr>
        <w:t> </w:t>
      </w:r>
      <w:r>
        <w:rPr>
          <w:color w:val="231F20"/>
          <w:w w:val="110"/>
        </w:rPr>
        <w:t>a</w:t>
      </w:r>
      <w:r>
        <w:rPr>
          <w:color w:val="231F20"/>
          <w:spacing w:val="-11"/>
          <w:w w:val="110"/>
        </w:rPr>
        <w:t> </w:t>
      </w:r>
      <w:r>
        <w:rPr>
          <w:color w:val="231F20"/>
          <w:w w:val="110"/>
        </w:rPr>
        <w:t>la</w:t>
      </w:r>
      <w:r>
        <w:rPr>
          <w:color w:val="231F20"/>
          <w:spacing w:val="-11"/>
          <w:w w:val="110"/>
        </w:rPr>
        <w:t> </w:t>
      </w:r>
      <w:r>
        <w:rPr>
          <w:color w:val="231F20"/>
          <w:w w:val="110"/>
        </w:rPr>
        <w:t>primera dimensión,</w:t>
      </w:r>
      <w:r>
        <w:rPr>
          <w:color w:val="231F20"/>
          <w:spacing w:val="-25"/>
          <w:w w:val="110"/>
        </w:rPr>
        <w:t> </w:t>
      </w:r>
      <w:r>
        <w:rPr>
          <w:color w:val="231F20"/>
          <w:w w:val="110"/>
        </w:rPr>
        <w:t>esta</w:t>
      </w:r>
      <w:r>
        <w:rPr>
          <w:color w:val="231F20"/>
          <w:spacing w:val="-25"/>
          <w:w w:val="110"/>
        </w:rPr>
        <w:t> </w:t>
      </w:r>
      <w:r>
        <w:rPr>
          <w:color w:val="231F20"/>
          <w:w w:val="110"/>
        </w:rPr>
        <w:t>investigación</w:t>
      </w:r>
      <w:r>
        <w:rPr>
          <w:color w:val="231F20"/>
          <w:spacing w:val="-25"/>
          <w:w w:val="110"/>
        </w:rPr>
        <w:t> </w:t>
      </w:r>
      <w:r>
        <w:rPr>
          <w:color w:val="231F20"/>
          <w:w w:val="110"/>
        </w:rPr>
        <w:t>optó</w:t>
      </w:r>
      <w:r>
        <w:rPr>
          <w:color w:val="231F20"/>
          <w:spacing w:val="-25"/>
          <w:w w:val="110"/>
        </w:rPr>
        <w:t> </w:t>
      </w:r>
      <w:r>
        <w:rPr>
          <w:color w:val="231F20"/>
          <w:w w:val="110"/>
        </w:rPr>
        <w:t>por</w:t>
      </w:r>
      <w:r>
        <w:rPr>
          <w:color w:val="231F20"/>
          <w:spacing w:val="-25"/>
          <w:w w:val="110"/>
        </w:rPr>
        <w:t> </w:t>
      </w:r>
      <w:r>
        <w:rPr>
          <w:color w:val="231F20"/>
          <w:w w:val="110"/>
        </w:rPr>
        <w:t>realizar</w:t>
      </w:r>
      <w:r>
        <w:rPr>
          <w:color w:val="231F20"/>
          <w:spacing w:val="-25"/>
          <w:w w:val="110"/>
        </w:rPr>
        <w:t> </w:t>
      </w:r>
      <w:r>
        <w:rPr>
          <w:color w:val="231F20"/>
          <w:w w:val="110"/>
        </w:rPr>
        <w:t>un</w:t>
      </w:r>
      <w:r>
        <w:rPr>
          <w:color w:val="231F20"/>
          <w:spacing w:val="-25"/>
          <w:w w:val="110"/>
        </w:rPr>
        <w:t> </w:t>
      </w:r>
      <w:r>
        <w:rPr>
          <w:color w:val="231F20"/>
          <w:w w:val="110"/>
        </w:rPr>
        <w:t>análisis</w:t>
      </w:r>
      <w:r>
        <w:rPr>
          <w:color w:val="231F20"/>
          <w:spacing w:val="-25"/>
          <w:w w:val="110"/>
        </w:rPr>
        <w:t> </w:t>
      </w:r>
      <w:r>
        <w:rPr>
          <w:color w:val="231F20"/>
          <w:w w:val="110"/>
        </w:rPr>
        <w:t>trivariado</w:t>
      </w:r>
      <w:r>
        <w:rPr>
          <w:color w:val="231F20"/>
          <w:spacing w:val="-25"/>
          <w:w w:val="110"/>
        </w:rPr>
        <w:t> </w:t>
      </w:r>
      <w:r>
        <w:rPr>
          <w:color w:val="231F20"/>
          <w:w w:val="110"/>
        </w:rPr>
        <w:t>entre</w:t>
      </w:r>
      <w:r>
        <w:rPr>
          <w:color w:val="231F20"/>
          <w:spacing w:val="-25"/>
          <w:w w:val="110"/>
        </w:rPr>
        <w:t> </w:t>
      </w:r>
      <w:r>
        <w:rPr>
          <w:color w:val="231F20"/>
          <w:w w:val="110"/>
        </w:rPr>
        <w:t>la condición</w:t>
      </w:r>
      <w:r>
        <w:rPr>
          <w:color w:val="231F20"/>
          <w:spacing w:val="-4"/>
          <w:w w:val="110"/>
        </w:rPr>
        <w:t> </w:t>
      </w:r>
      <w:r>
        <w:rPr>
          <w:color w:val="231F20"/>
          <w:w w:val="110"/>
        </w:rPr>
        <w:t>de</w:t>
      </w:r>
      <w:r>
        <w:rPr>
          <w:color w:val="231F20"/>
          <w:spacing w:val="-4"/>
          <w:w w:val="110"/>
        </w:rPr>
        <w:t> </w:t>
      </w:r>
      <w:r>
        <w:rPr>
          <w:color w:val="231F20"/>
          <w:w w:val="110"/>
        </w:rPr>
        <w:t>derechohabiencia,</w:t>
      </w:r>
      <w:r>
        <w:rPr>
          <w:color w:val="231F20"/>
          <w:spacing w:val="-4"/>
          <w:w w:val="110"/>
        </w:rPr>
        <w:t> </w:t>
      </w:r>
      <w:r>
        <w:rPr>
          <w:color w:val="231F20"/>
          <w:w w:val="110"/>
        </w:rPr>
        <w:t>el</w:t>
      </w:r>
      <w:r>
        <w:rPr>
          <w:color w:val="231F20"/>
          <w:spacing w:val="-4"/>
          <w:w w:val="110"/>
        </w:rPr>
        <w:t> </w:t>
      </w:r>
      <w:r>
        <w:rPr>
          <w:color w:val="231F20"/>
          <w:w w:val="110"/>
        </w:rPr>
        <w:t>sexo</w:t>
      </w:r>
      <w:r>
        <w:rPr>
          <w:color w:val="231F20"/>
          <w:spacing w:val="-4"/>
          <w:w w:val="110"/>
        </w:rPr>
        <w:t> </w:t>
      </w:r>
      <w:r>
        <w:rPr>
          <w:color w:val="231F20"/>
          <w:w w:val="110"/>
        </w:rPr>
        <w:t>y</w:t>
      </w:r>
      <w:r>
        <w:rPr>
          <w:color w:val="231F20"/>
          <w:spacing w:val="-4"/>
          <w:w w:val="110"/>
        </w:rPr>
        <w:t> </w:t>
      </w:r>
      <w:r>
        <w:rPr>
          <w:color w:val="231F20"/>
          <w:w w:val="110"/>
        </w:rPr>
        <w:t>el</w:t>
      </w:r>
      <w:r>
        <w:rPr>
          <w:color w:val="231F20"/>
          <w:spacing w:val="-4"/>
          <w:w w:val="110"/>
        </w:rPr>
        <w:t> </w:t>
      </w:r>
      <w:r>
        <w:rPr>
          <w:color w:val="231F20"/>
          <w:w w:val="110"/>
        </w:rPr>
        <w:t>tipo</w:t>
      </w:r>
      <w:r>
        <w:rPr>
          <w:color w:val="231F20"/>
          <w:spacing w:val="-4"/>
          <w:w w:val="110"/>
        </w:rPr>
        <w:t> </w:t>
      </w:r>
      <w:r>
        <w:rPr>
          <w:color w:val="231F20"/>
          <w:w w:val="110"/>
        </w:rPr>
        <w:t>de</w:t>
      </w:r>
      <w:r>
        <w:rPr>
          <w:color w:val="231F20"/>
          <w:spacing w:val="-4"/>
          <w:w w:val="110"/>
        </w:rPr>
        <w:t> </w:t>
      </w:r>
      <w:r>
        <w:rPr>
          <w:color w:val="231F20"/>
          <w:w w:val="110"/>
        </w:rPr>
        <w:t>localidad.</w:t>
      </w:r>
      <w:r>
        <w:rPr>
          <w:color w:val="231F20"/>
          <w:spacing w:val="-4"/>
          <w:w w:val="110"/>
        </w:rPr>
        <w:t> </w:t>
      </w:r>
      <w:r>
        <w:rPr>
          <w:color w:val="231F20"/>
          <w:w w:val="110"/>
        </w:rPr>
        <w:t>Por</w:t>
      </w:r>
      <w:r>
        <w:rPr>
          <w:color w:val="231F20"/>
          <w:spacing w:val="-4"/>
          <w:w w:val="110"/>
        </w:rPr>
        <w:t> </w:t>
      </w:r>
      <w:r>
        <w:rPr>
          <w:color w:val="231F20"/>
          <w:w w:val="110"/>
        </w:rPr>
        <w:t>otro</w:t>
      </w:r>
      <w:r>
        <w:rPr>
          <w:color w:val="231F20"/>
          <w:spacing w:val="-4"/>
          <w:w w:val="110"/>
        </w:rPr>
        <w:t> </w:t>
      </w:r>
      <w:r>
        <w:rPr>
          <w:color w:val="231F20"/>
          <w:w w:val="110"/>
        </w:rPr>
        <w:t>lado, la vulnerabilidad en el trabajo se propone analizarla mediante la variable de condición de actividad que nos permite conocer qué tipo de actividad realizan las personas adultos mayores. También en este caso se desarrolla un</w:t>
      </w:r>
      <w:r>
        <w:rPr>
          <w:color w:val="231F20"/>
          <w:spacing w:val="-4"/>
          <w:w w:val="110"/>
        </w:rPr>
        <w:t> </w:t>
      </w:r>
      <w:r>
        <w:rPr>
          <w:color w:val="231F20"/>
          <w:w w:val="110"/>
        </w:rPr>
        <w:t>análisis</w:t>
      </w:r>
      <w:r>
        <w:rPr>
          <w:color w:val="231F20"/>
          <w:spacing w:val="-4"/>
          <w:w w:val="110"/>
        </w:rPr>
        <w:t> </w:t>
      </w:r>
      <w:r>
        <w:rPr>
          <w:color w:val="231F20"/>
          <w:w w:val="110"/>
        </w:rPr>
        <w:t>trivariado</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condición</w:t>
      </w:r>
      <w:r>
        <w:rPr>
          <w:color w:val="231F20"/>
          <w:spacing w:val="-4"/>
          <w:w w:val="110"/>
        </w:rPr>
        <w:t> </w:t>
      </w:r>
      <w:r>
        <w:rPr>
          <w:color w:val="231F20"/>
          <w:w w:val="110"/>
        </w:rPr>
        <w:t>de</w:t>
      </w:r>
      <w:r>
        <w:rPr>
          <w:color w:val="231F20"/>
          <w:spacing w:val="-4"/>
          <w:w w:val="110"/>
        </w:rPr>
        <w:t> </w:t>
      </w:r>
      <w:r>
        <w:rPr>
          <w:color w:val="231F20"/>
          <w:w w:val="110"/>
        </w:rPr>
        <w:t>actividad</w:t>
      </w:r>
      <w:r>
        <w:rPr>
          <w:color w:val="231F20"/>
          <w:spacing w:val="-4"/>
          <w:w w:val="110"/>
        </w:rPr>
        <w:t> </w:t>
      </w:r>
      <w:r>
        <w:rPr>
          <w:color w:val="231F20"/>
          <w:w w:val="110"/>
        </w:rPr>
        <w:t>según</w:t>
      </w:r>
      <w:r>
        <w:rPr>
          <w:color w:val="231F20"/>
          <w:spacing w:val="-4"/>
          <w:w w:val="110"/>
        </w:rPr>
        <w:t> </w:t>
      </w:r>
      <w:r>
        <w:rPr>
          <w:color w:val="231F20"/>
          <w:w w:val="110"/>
        </w:rPr>
        <w:t>el</w:t>
      </w:r>
      <w:r>
        <w:rPr>
          <w:color w:val="231F20"/>
          <w:spacing w:val="-4"/>
          <w:w w:val="110"/>
        </w:rPr>
        <w:t> </w:t>
      </w:r>
      <w:r>
        <w:rPr>
          <w:color w:val="231F20"/>
          <w:w w:val="110"/>
        </w:rPr>
        <w:t>sexo</w:t>
      </w:r>
      <w:r>
        <w:rPr>
          <w:color w:val="231F20"/>
          <w:spacing w:val="-4"/>
          <w:w w:val="110"/>
        </w:rPr>
        <w:t> </w:t>
      </w:r>
      <w:r>
        <w:rPr>
          <w:color w:val="231F20"/>
          <w:w w:val="110"/>
        </w:rPr>
        <w:t>y</w:t>
      </w:r>
      <w:r>
        <w:rPr>
          <w:color w:val="231F20"/>
          <w:spacing w:val="-4"/>
          <w:w w:val="110"/>
        </w:rPr>
        <w:t> </w:t>
      </w:r>
      <w:r>
        <w:rPr>
          <w:color w:val="231F20"/>
          <w:w w:val="110"/>
        </w:rPr>
        <w:t>el</w:t>
      </w:r>
      <w:r>
        <w:rPr>
          <w:color w:val="231F20"/>
          <w:spacing w:val="-4"/>
          <w:w w:val="110"/>
        </w:rPr>
        <w:t> </w:t>
      </w:r>
      <w:r>
        <w:rPr>
          <w:color w:val="231F20"/>
          <w:w w:val="110"/>
        </w:rPr>
        <w:t>tipo</w:t>
      </w:r>
      <w:r>
        <w:rPr>
          <w:color w:val="231F20"/>
          <w:spacing w:val="-4"/>
          <w:w w:val="110"/>
        </w:rPr>
        <w:t> </w:t>
      </w:r>
      <w:r>
        <w:rPr>
          <w:color w:val="231F20"/>
          <w:w w:val="110"/>
        </w:rPr>
        <w:t>de localidad de los adultos</w:t>
      </w:r>
      <w:r>
        <w:rPr>
          <w:color w:val="231F20"/>
          <w:spacing w:val="23"/>
          <w:w w:val="110"/>
        </w:rPr>
        <w:t> </w:t>
      </w:r>
      <w:r>
        <w:rPr>
          <w:color w:val="231F20"/>
          <w:w w:val="110"/>
        </w:rPr>
        <w:t>mayores.</w:t>
      </w:r>
    </w:p>
    <w:p>
      <w:pPr>
        <w:pStyle w:val="BodyText"/>
      </w:pPr>
    </w:p>
    <w:p>
      <w:pPr>
        <w:pStyle w:val="BodyText"/>
        <w:spacing w:before="9"/>
        <w:rPr>
          <w:sz w:val="24"/>
        </w:rPr>
      </w:pPr>
    </w:p>
    <w:p>
      <w:pPr>
        <w:spacing w:before="1"/>
        <w:ind w:left="124" w:right="0" w:firstLine="0"/>
        <w:jc w:val="both"/>
        <w:rPr>
          <w:rFonts w:ascii="Times New Roman" w:hAnsi="Times New Roman"/>
          <w:i/>
          <w:sz w:val="19"/>
        </w:rPr>
      </w:pPr>
      <w:r>
        <w:rPr>
          <w:rFonts w:ascii="Times New Roman" w:hAnsi="Times New Roman"/>
          <w:i/>
          <w:color w:val="231F20"/>
          <w:w w:val="95"/>
          <w:sz w:val="24"/>
        </w:rPr>
        <w:t>F</w:t>
      </w:r>
      <w:r>
        <w:rPr>
          <w:rFonts w:ascii="Times New Roman" w:hAnsi="Times New Roman"/>
          <w:i/>
          <w:color w:val="231F20"/>
          <w:w w:val="95"/>
          <w:sz w:val="19"/>
        </w:rPr>
        <w:t>UENTE DE INFORMACIÓN</w:t>
      </w:r>
    </w:p>
    <w:p>
      <w:pPr>
        <w:pStyle w:val="BodyText"/>
        <w:spacing w:before="1"/>
        <w:rPr>
          <w:rFonts w:ascii="Times New Roman"/>
          <w:i/>
          <w:sz w:val="27"/>
        </w:rPr>
      </w:pPr>
    </w:p>
    <w:p>
      <w:pPr>
        <w:pStyle w:val="BodyText"/>
        <w:spacing w:line="280" w:lineRule="auto"/>
        <w:ind w:left="124" w:right="114"/>
        <w:jc w:val="both"/>
      </w:pPr>
      <w:r>
        <w:rPr>
          <w:color w:val="231F20"/>
          <w:w w:val="110"/>
        </w:rPr>
        <w:t>La fuente de información que se utiliza en esta investigación es el Censo de</w:t>
      </w:r>
      <w:r>
        <w:rPr>
          <w:color w:val="231F20"/>
          <w:spacing w:val="-12"/>
          <w:w w:val="110"/>
        </w:rPr>
        <w:t> </w:t>
      </w:r>
      <w:r>
        <w:rPr>
          <w:color w:val="231F20"/>
          <w:w w:val="110"/>
        </w:rPr>
        <w:t>Población</w:t>
      </w:r>
      <w:r>
        <w:rPr>
          <w:color w:val="231F20"/>
          <w:spacing w:val="-12"/>
          <w:w w:val="110"/>
        </w:rPr>
        <w:t> </w:t>
      </w:r>
      <w:r>
        <w:rPr>
          <w:color w:val="231F20"/>
          <w:w w:val="110"/>
        </w:rPr>
        <w:t>y</w:t>
      </w:r>
      <w:r>
        <w:rPr>
          <w:color w:val="231F20"/>
          <w:spacing w:val="-12"/>
          <w:w w:val="110"/>
        </w:rPr>
        <w:t> </w:t>
      </w:r>
      <w:r>
        <w:rPr>
          <w:color w:val="231F20"/>
          <w:w w:val="110"/>
        </w:rPr>
        <w:t>Vivienda</w:t>
      </w:r>
      <w:r>
        <w:rPr>
          <w:color w:val="231F20"/>
          <w:spacing w:val="-12"/>
          <w:w w:val="110"/>
        </w:rPr>
        <w:t> </w:t>
      </w:r>
      <w:r>
        <w:rPr>
          <w:color w:val="231F20"/>
          <w:w w:val="110"/>
        </w:rPr>
        <w:t>2010</w:t>
      </w:r>
      <w:r>
        <w:rPr>
          <w:color w:val="231F20"/>
          <w:spacing w:val="-12"/>
          <w:w w:val="110"/>
        </w:rPr>
        <w:t> </w:t>
      </w:r>
      <w:r>
        <w:rPr>
          <w:color w:val="231F20"/>
          <w:w w:val="110"/>
        </w:rPr>
        <w:t>(cuestionario</w:t>
      </w:r>
      <w:r>
        <w:rPr>
          <w:color w:val="231F20"/>
          <w:spacing w:val="-12"/>
          <w:w w:val="110"/>
        </w:rPr>
        <w:t> </w:t>
      </w:r>
      <w:r>
        <w:rPr>
          <w:color w:val="231F20"/>
          <w:w w:val="110"/>
        </w:rPr>
        <w:t>básico),</w:t>
      </w:r>
      <w:r>
        <w:rPr>
          <w:color w:val="231F20"/>
          <w:spacing w:val="-12"/>
          <w:w w:val="110"/>
        </w:rPr>
        <w:t> </w:t>
      </w:r>
      <w:r>
        <w:rPr>
          <w:color w:val="231F20"/>
          <w:w w:val="110"/>
        </w:rPr>
        <w:t>el</w:t>
      </w:r>
      <w:r>
        <w:rPr>
          <w:color w:val="231F20"/>
          <w:spacing w:val="-12"/>
          <w:w w:val="110"/>
        </w:rPr>
        <w:t> </w:t>
      </w:r>
      <w:r>
        <w:rPr>
          <w:color w:val="231F20"/>
          <w:w w:val="110"/>
        </w:rPr>
        <w:t>objetivo</w:t>
      </w:r>
      <w:r>
        <w:rPr>
          <w:color w:val="231F20"/>
          <w:spacing w:val="-12"/>
          <w:w w:val="110"/>
        </w:rPr>
        <w:t> </w:t>
      </w:r>
      <w:r>
        <w:rPr>
          <w:color w:val="231F20"/>
          <w:w w:val="110"/>
        </w:rPr>
        <w:t>del</w:t>
      </w:r>
      <w:r>
        <w:rPr>
          <w:color w:val="231F20"/>
          <w:spacing w:val="-12"/>
          <w:w w:val="110"/>
        </w:rPr>
        <w:t> </w:t>
      </w:r>
      <w:r>
        <w:rPr>
          <w:color w:val="231F20"/>
          <w:w w:val="110"/>
        </w:rPr>
        <w:t>Censo</w:t>
      </w:r>
      <w:r>
        <w:rPr>
          <w:color w:val="231F20"/>
          <w:spacing w:val="-12"/>
          <w:w w:val="110"/>
        </w:rPr>
        <w:t> </w:t>
      </w:r>
      <w:r>
        <w:rPr>
          <w:color w:val="231F20"/>
          <w:w w:val="110"/>
        </w:rPr>
        <w:t>es contar</w:t>
      </w:r>
      <w:r>
        <w:rPr>
          <w:color w:val="231F20"/>
          <w:spacing w:val="-7"/>
          <w:w w:val="110"/>
        </w:rPr>
        <w:t> </w:t>
      </w:r>
      <w:r>
        <w:rPr>
          <w:color w:val="231F20"/>
          <w:w w:val="110"/>
        </w:rPr>
        <w:t>a</w:t>
      </w:r>
      <w:r>
        <w:rPr>
          <w:color w:val="231F20"/>
          <w:spacing w:val="-7"/>
          <w:w w:val="110"/>
        </w:rPr>
        <w:t> </w:t>
      </w:r>
      <w:r>
        <w:rPr>
          <w:color w:val="231F20"/>
          <w:w w:val="110"/>
        </w:rPr>
        <w:t>la</w:t>
      </w:r>
      <w:r>
        <w:rPr>
          <w:color w:val="231F20"/>
          <w:spacing w:val="-7"/>
          <w:w w:val="110"/>
        </w:rPr>
        <w:t> </w:t>
      </w:r>
      <w:r>
        <w:rPr>
          <w:color w:val="231F20"/>
          <w:w w:val="110"/>
        </w:rPr>
        <w:t>población</w:t>
      </w:r>
      <w:r>
        <w:rPr>
          <w:color w:val="231F20"/>
          <w:spacing w:val="-7"/>
          <w:w w:val="110"/>
        </w:rPr>
        <w:t> </w:t>
      </w:r>
      <w:r>
        <w:rPr>
          <w:color w:val="231F20"/>
          <w:w w:val="110"/>
        </w:rPr>
        <w:t>residente</w:t>
      </w:r>
      <w:r>
        <w:rPr>
          <w:color w:val="231F20"/>
          <w:spacing w:val="-7"/>
          <w:w w:val="110"/>
        </w:rPr>
        <w:t> </w:t>
      </w:r>
      <w:r>
        <w:rPr>
          <w:color w:val="231F20"/>
          <w:w w:val="110"/>
        </w:rPr>
        <w:t>del</w:t>
      </w:r>
      <w:r>
        <w:rPr>
          <w:color w:val="231F20"/>
          <w:spacing w:val="-7"/>
          <w:w w:val="110"/>
        </w:rPr>
        <w:t> </w:t>
      </w:r>
      <w:r>
        <w:rPr>
          <w:color w:val="231F20"/>
          <w:w w:val="110"/>
        </w:rPr>
        <w:t>país,</w:t>
      </w:r>
      <w:r>
        <w:rPr>
          <w:color w:val="231F20"/>
          <w:spacing w:val="-7"/>
          <w:w w:val="110"/>
        </w:rPr>
        <w:t> </w:t>
      </w:r>
      <w:r>
        <w:rPr>
          <w:color w:val="231F20"/>
          <w:w w:val="110"/>
        </w:rPr>
        <w:t>actualizar</w:t>
      </w:r>
      <w:r>
        <w:rPr>
          <w:color w:val="231F20"/>
          <w:spacing w:val="-7"/>
          <w:w w:val="110"/>
        </w:rPr>
        <w:t> </w:t>
      </w:r>
      <w:r>
        <w:rPr>
          <w:color w:val="231F20"/>
          <w:w w:val="110"/>
        </w:rPr>
        <w:t>la</w:t>
      </w:r>
      <w:r>
        <w:rPr>
          <w:color w:val="231F20"/>
          <w:spacing w:val="-7"/>
          <w:w w:val="110"/>
        </w:rPr>
        <w:t> </w:t>
      </w:r>
      <w:r>
        <w:rPr>
          <w:color w:val="231F20"/>
          <w:w w:val="110"/>
        </w:rPr>
        <w:t>información</w:t>
      </w:r>
      <w:r>
        <w:rPr>
          <w:color w:val="231F20"/>
          <w:spacing w:val="-7"/>
          <w:w w:val="110"/>
        </w:rPr>
        <w:t> </w:t>
      </w:r>
      <w:r>
        <w:rPr>
          <w:color w:val="231F20"/>
          <w:w w:val="110"/>
        </w:rPr>
        <w:t>sobre</w:t>
      </w:r>
      <w:r>
        <w:rPr>
          <w:color w:val="231F20"/>
          <w:spacing w:val="-7"/>
          <w:w w:val="110"/>
        </w:rPr>
        <w:t> </w:t>
      </w:r>
      <w:r>
        <w:rPr>
          <w:color w:val="231F20"/>
          <w:w w:val="110"/>
        </w:rPr>
        <w:t>sus principales características demográficas y socioeconómicas. Sin embargo, una de las limitaciones que presenta esta fuente de información es el nú- mero de preguntas que se realizan por cada tema, además de que la infor- mación corresponde al año</w:t>
      </w:r>
      <w:r>
        <w:rPr>
          <w:color w:val="231F20"/>
          <w:spacing w:val="10"/>
          <w:w w:val="110"/>
        </w:rPr>
        <w:t> </w:t>
      </w:r>
      <w:r>
        <w:rPr>
          <w:color w:val="231F20"/>
          <w:w w:val="110"/>
        </w:rPr>
        <w:t>2010.</w:t>
      </w:r>
    </w:p>
    <w:p>
      <w:pPr>
        <w:pStyle w:val="BodyText"/>
      </w:pPr>
    </w:p>
    <w:p>
      <w:pPr>
        <w:pStyle w:val="BodyText"/>
        <w:spacing w:before="9"/>
        <w:rPr>
          <w:sz w:val="24"/>
        </w:rPr>
      </w:pPr>
    </w:p>
    <w:p>
      <w:pPr>
        <w:spacing w:line="275" w:lineRule="exact" w:before="1"/>
        <w:ind w:left="124" w:right="0" w:firstLine="0"/>
        <w:jc w:val="both"/>
        <w:rPr>
          <w:rFonts w:ascii="Times New Roman" w:hAnsi="Times New Roman"/>
          <w:i/>
          <w:sz w:val="19"/>
        </w:rPr>
      </w:pPr>
      <w:r>
        <w:rPr>
          <w:rFonts w:ascii="Times New Roman" w:hAnsi="Times New Roman"/>
          <w:i/>
          <w:color w:val="231F20"/>
          <w:w w:val="95"/>
          <w:sz w:val="24"/>
        </w:rPr>
        <w:t>V</w:t>
      </w:r>
      <w:r>
        <w:rPr>
          <w:rFonts w:ascii="Times New Roman" w:hAnsi="Times New Roman"/>
          <w:i/>
          <w:color w:val="231F20"/>
          <w:w w:val="95"/>
          <w:sz w:val="19"/>
        </w:rPr>
        <w:t>ULNERABILIDAD SOCIAL DE LA POBLACIÓN</w:t>
      </w:r>
    </w:p>
    <w:p>
      <w:pPr>
        <w:spacing w:line="275" w:lineRule="exact" w:before="0"/>
        <w:ind w:left="124" w:right="0" w:firstLine="0"/>
        <w:jc w:val="both"/>
        <w:rPr>
          <w:rFonts w:ascii="Times New Roman" w:hAnsi="Times New Roman"/>
          <w:i/>
          <w:sz w:val="19"/>
        </w:rPr>
      </w:pPr>
      <w:r>
        <w:rPr>
          <w:rFonts w:ascii="Times New Roman" w:hAnsi="Times New Roman"/>
          <w:i/>
          <w:color w:val="231F20"/>
          <w:sz w:val="19"/>
        </w:rPr>
        <w:t>DE </w:t>
      </w:r>
      <w:r>
        <w:rPr>
          <w:rFonts w:ascii="Times New Roman" w:hAnsi="Times New Roman"/>
          <w:i/>
          <w:color w:val="231F20"/>
          <w:sz w:val="24"/>
        </w:rPr>
        <w:t>60 </w:t>
      </w:r>
      <w:r>
        <w:rPr>
          <w:rFonts w:ascii="Times New Roman" w:hAnsi="Times New Roman"/>
          <w:i/>
          <w:color w:val="231F20"/>
          <w:sz w:val="19"/>
        </w:rPr>
        <w:t>AÑOS Y MÁS EN EL </w:t>
      </w:r>
      <w:r>
        <w:rPr>
          <w:rFonts w:ascii="Times New Roman" w:hAnsi="Times New Roman"/>
          <w:i/>
          <w:color w:val="231F20"/>
          <w:sz w:val="24"/>
        </w:rPr>
        <w:t>E</w:t>
      </w:r>
      <w:r>
        <w:rPr>
          <w:rFonts w:ascii="Times New Roman" w:hAnsi="Times New Roman"/>
          <w:i/>
          <w:color w:val="231F20"/>
          <w:sz w:val="19"/>
        </w:rPr>
        <w:t>STADO DE </w:t>
      </w:r>
      <w:r>
        <w:rPr>
          <w:rFonts w:ascii="Times New Roman" w:hAnsi="Times New Roman"/>
          <w:i/>
          <w:color w:val="231F20"/>
          <w:sz w:val="24"/>
        </w:rPr>
        <w:t>M</w:t>
      </w:r>
      <w:r>
        <w:rPr>
          <w:rFonts w:ascii="Times New Roman" w:hAnsi="Times New Roman"/>
          <w:i/>
          <w:color w:val="231F20"/>
          <w:sz w:val="19"/>
        </w:rPr>
        <w:t>ÉXICO</w:t>
      </w:r>
    </w:p>
    <w:p>
      <w:pPr>
        <w:pStyle w:val="BodyText"/>
        <w:spacing w:before="1"/>
        <w:rPr>
          <w:rFonts w:ascii="Times New Roman"/>
          <w:i/>
          <w:sz w:val="27"/>
        </w:rPr>
      </w:pPr>
    </w:p>
    <w:p>
      <w:pPr>
        <w:pStyle w:val="BodyText"/>
        <w:spacing w:line="283" w:lineRule="auto"/>
        <w:ind w:left="124" w:right="113"/>
        <w:jc w:val="both"/>
      </w:pPr>
      <w:r>
        <w:rPr>
          <w:color w:val="231F20"/>
          <w:w w:val="110"/>
        </w:rPr>
        <w:t>El Estado de México, al igual que el resto del país, ha atravesado por cam- bios significativos en su dinámica demográfica, la cual ha hecho que la población se incremente de manera considerable. El descenso de la mor- talidad,</w:t>
      </w:r>
      <w:r>
        <w:rPr>
          <w:color w:val="231F20"/>
          <w:spacing w:val="-16"/>
          <w:w w:val="110"/>
        </w:rPr>
        <w:t> </w:t>
      </w:r>
      <w:r>
        <w:rPr>
          <w:color w:val="231F20"/>
          <w:w w:val="110"/>
        </w:rPr>
        <w:t>la</w:t>
      </w:r>
      <w:r>
        <w:rPr>
          <w:color w:val="231F20"/>
          <w:spacing w:val="-16"/>
          <w:w w:val="110"/>
        </w:rPr>
        <w:t> </w:t>
      </w:r>
      <w:r>
        <w:rPr>
          <w:color w:val="231F20"/>
          <w:w w:val="110"/>
        </w:rPr>
        <w:t>persistencia</w:t>
      </w:r>
      <w:r>
        <w:rPr>
          <w:color w:val="231F20"/>
          <w:spacing w:val="-16"/>
          <w:w w:val="110"/>
        </w:rPr>
        <w:t> </w:t>
      </w:r>
      <w:r>
        <w:rPr>
          <w:color w:val="231F20"/>
          <w:w w:val="110"/>
        </w:rPr>
        <w:t>de</w:t>
      </w:r>
      <w:r>
        <w:rPr>
          <w:color w:val="231F20"/>
          <w:spacing w:val="-16"/>
          <w:w w:val="110"/>
        </w:rPr>
        <w:t> </w:t>
      </w:r>
      <w:r>
        <w:rPr>
          <w:color w:val="231F20"/>
          <w:w w:val="110"/>
        </w:rPr>
        <w:t>altas</w:t>
      </w:r>
      <w:r>
        <w:rPr>
          <w:color w:val="231F20"/>
          <w:spacing w:val="-16"/>
          <w:w w:val="110"/>
        </w:rPr>
        <w:t> </w:t>
      </w:r>
      <w:r>
        <w:rPr>
          <w:color w:val="231F20"/>
          <w:w w:val="110"/>
        </w:rPr>
        <w:t>tasas</w:t>
      </w:r>
      <w:r>
        <w:rPr>
          <w:color w:val="231F20"/>
          <w:spacing w:val="-16"/>
          <w:w w:val="110"/>
        </w:rPr>
        <w:t> </w:t>
      </w:r>
      <w:r>
        <w:rPr>
          <w:color w:val="231F20"/>
          <w:w w:val="110"/>
        </w:rPr>
        <w:t>de</w:t>
      </w:r>
      <w:r>
        <w:rPr>
          <w:color w:val="231F20"/>
          <w:spacing w:val="-16"/>
          <w:w w:val="110"/>
        </w:rPr>
        <w:t> </w:t>
      </w:r>
      <w:r>
        <w:rPr>
          <w:color w:val="231F20"/>
          <w:w w:val="110"/>
        </w:rPr>
        <w:t>fecundidad</w:t>
      </w:r>
      <w:r>
        <w:rPr>
          <w:color w:val="231F20"/>
          <w:spacing w:val="-16"/>
          <w:w w:val="110"/>
        </w:rPr>
        <w:t> </w:t>
      </w:r>
      <w:r>
        <w:rPr>
          <w:color w:val="231F20"/>
          <w:w w:val="110"/>
        </w:rPr>
        <w:t>y</w:t>
      </w:r>
      <w:r>
        <w:rPr>
          <w:color w:val="231F20"/>
          <w:spacing w:val="-16"/>
          <w:w w:val="110"/>
        </w:rPr>
        <w:t> </w:t>
      </w:r>
      <w:r>
        <w:rPr>
          <w:color w:val="231F20"/>
          <w:w w:val="110"/>
        </w:rPr>
        <w:t>la</w:t>
      </w:r>
      <w:r>
        <w:rPr>
          <w:color w:val="231F20"/>
          <w:spacing w:val="-16"/>
          <w:w w:val="110"/>
        </w:rPr>
        <w:t> </w:t>
      </w:r>
      <w:r>
        <w:rPr>
          <w:color w:val="231F20"/>
          <w:w w:val="110"/>
        </w:rPr>
        <w:t>inmigración</w:t>
      </w:r>
      <w:r>
        <w:rPr>
          <w:color w:val="231F20"/>
          <w:spacing w:val="-16"/>
          <w:w w:val="110"/>
        </w:rPr>
        <w:t> </w:t>
      </w:r>
      <w:r>
        <w:rPr>
          <w:color w:val="231F20"/>
          <w:w w:val="110"/>
        </w:rPr>
        <w:t>durante la segunda mitad del siglo </w:t>
      </w:r>
      <w:r>
        <w:rPr>
          <w:rFonts w:ascii="Times New Roman" w:hAnsi="Times New Roman"/>
          <w:color w:val="231F20"/>
          <w:w w:val="110"/>
          <w:sz w:val="16"/>
        </w:rPr>
        <w:t>XX</w:t>
      </w:r>
      <w:r>
        <w:rPr>
          <w:color w:val="231F20"/>
          <w:w w:val="110"/>
        </w:rPr>
        <w:t>, coincidieron con la consolidación  industrial</w:t>
      </w:r>
    </w:p>
    <w:p>
      <w:pPr>
        <w:spacing w:after="0" w:line="283" w:lineRule="auto"/>
        <w:jc w:val="both"/>
        <w:sectPr>
          <w:pgSz w:w="9520" w:h="12920"/>
          <w:pgMar w:header="0" w:footer="1344" w:top="880" w:bottom="1540" w:left="1320" w:right="1000"/>
        </w:sectPr>
      </w:pPr>
    </w:p>
    <w:p>
      <w:pPr>
        <w:pStyle w:val="BodyText"/>
        <w:spacing w:line="285" w:lineRule="auto" w:before="42"/>
        <w:ind w:left="100" w:right="117"/>
        <w:jc w:val="both"/>
      </w:pPr>
      <w:r>
        <w:rPr>
          <w:color w:val="231F20"/>
          <w:w w:val="110"/>
        </w:rPr>
        <w:t>de algunos de los municipios aledaños a la Ciudad de México. La conjun- ción de factores de la dinámica demográfica con otros resultados del de- sarrollo de la industria mexiquense, favorecieron un elevado crecimiento poblacional.</w:t>
      </w:r>
    </w:p>
    <w:p>
      <w:pPr>
        <w:pStyle w:val="BodyText"/>
        <w:spacing w:line="285" w:lineRule="auto"/>
        <w:ind w:left="100" w:right="113" w:firstLine="360"/>
        <w:jc w:val="both"/>
      </w:pPr>
      <w:r>
        <w:rPr>
          <w:color w:val="231F20"/>
          <w:w w:val="110"/>
        </w:rPr>
        <w:t>En 1970 se registró la tasa de crecimiento más elevada en la historia demográfica de la entidad mexiquense (7.6 por ciento anual), década en la cual la inmigración estimulada por el crecimiento industrial local fue el factor principal del crecimiento demográfico en la entidad. De esta forma, de un total de 3.8 millones de habitantes en 1970 (</w:t>
      </w:r>
      <w:r>
        <w:rPr>
          <w:rFonts w:ascii="Times New Roman" w:hAnsi="Times New Roman"/>
          <w:color w:val="231F20"/>
          <w:w w:val="110"/>
          <w:sz w:val="16"/>
        </w:rPr>
        <w:t>INEGI</w:t>
      </w:r>
      <w:r>
        <w:rPr>
          <w:color w:val="231F20"/>
          <w:w w:val="110"/>
        </w:rPr>
        <w:t>, 1970), para 1980 la población se duplicó alcanzando 7.6 millones de personas, volviendo a duplicarse en el año 2000, con 13.6 millones de habitantes (</w:t>
      </w:r>
      <w:r>
        <w:rPr>
          <w:rFonts w:ascii="Times New Roman" w:hAnsi="Times New Roman"/>
          <w:color w:val="231F20"/>
          <w:w w:val="110"/>
          <w:sz w:val="16"/>
        </w:rPr>
        <w:t>INEGI</w:t>
      </w:r>
      <w:r>
        <w:rPr>
          <w:color w:val="231F20"/>
          <w:w w:val="110"/>
        </w:rPr>
        <w:t>, 2000).</w:t>
      </w:r>
    </w:p>
    <w:p>
      <w:pPr>
        <w:pStyle w:val="BodyText"/>
        <w:spacing w:line="285" w:lineRule="auto"/>
        <w:ind w:left="100" w:right="116" w:firstLine="360"/>
        <w:jc w:val="both"/>
      </w:pPr>
      <w:r>
        <w:rPr>
          <w:color w:val="231F20"/>
          <w:w w:val="110"/>
        </w:rPr>
        <w:t>Para finales del siglo pasado el Estado de México se colocó como la entidad más poblada del país, posición que aún mantiene, contando con 15’175,862</w:t>
      </w:r>
      <w:r>
        <w:rPr>
          <w:color w:val="231F20"/>
          <w:w w:val="110"/>
          <w:position w:val="6"/>
          <w:sz w:val="11"/>
        </w:rPr>
        <w:t>1</w:t>
      </w:r>
      <w:r>
        <w:rPr>
          <w:color w:val="231F20"/>
          <w:spacing w:val="10"/>
          <w:w w:val="110"/>
          <w:position w:val="6"/>
          <w:sz w:val="11"/>
        </w:rPr>
        <w:t> </w:t>
      </w:r>
      <w:r>
        <w:rPr>
          <w:color w:val="231F20"/>
          <w:w w:val="110"/>
        </w:rPr>
        <w:t>de</w:t>
      </w:r>
      <w:r>
        <w:rPr>
          <w:color w:val="231F20"/>
          <w:spacing w:val="-11"/>
          <w:w w:val="110"/>
        </w:rPr>
        <w:t> </w:t>
      </w:r>
      <w:r>
        <w:rPr>
          <w:color w:val="231F20"/>
          <w:w w:val="110"/>
        </w:rPr>
        <w:t>habitantes</w:t>
      </w:r>
      <w:r>
        <w:rPr>
          <w:color w:val="231F20"/>
          <w:spacing w:val="-11"/>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w w:val="110"/>
        </w:rPr>
        <w:t>año</w:t>
      </w:r>
      <w:r>
        <w:rPr>
          <w:color w:val="231F20"/>
          <w:spacing w:val="-11"/>
          <w:w w:val="110"/>
        </w:rPr>
        <w:t> </w:t>
      </w:r>
      <w:r>
        <w:rPr>
          <w:color w:val="231F20"/>
          <w:w w:val="110"/>
        </w:rPr>
        <w:t>2010,</w:t>
      </w:r>
      <w:r>
        <w:rPr>
          <w:color w:val="231F20"/>
          <w:spacing w:val="-11"/>
          <w:w w:val="110"/>
        </w:rPr>
        <w:t> </w:t>
      </w:r>
      <w:r>
        <w:rPr>
          <w:color w:val="231F20"/>
          <w:w w:val="110"/>
        </w:rPr>
        <w:t>lo</w:t>
      </w:r>
      <w:r>
        <w:rPr>
          <w:color w:val="231F20"/>
          <w:spacing w:val="-11"/>
          <w:w w:val="110"/>
        </w:rPr>
        <w:t> </w:t>
      </w:r>
      <w:r>
        <w:rPr>
          <w:color w:val="231F20"/>
          <w:w w:val="110"/>
        </w:rPr>
        <w:t>que</w:t>
      </w:r>
      <w:r>
        <w:rPr>
          <w:color w:val="231F20"/>
          <w:spacing w:val="-11"/>
          <w:w w:val="110"/>
        </w:rPr>
        <w:t> </w:t>
      </w:r>
      <w:r>
        <w:rPr>
          <w:color w:val="231F20"/>
          <w:w w:val="110"/>
        </w:rPr>
        <w:t>representa</w:t>
      </w:r>
      <w:r>
        <w:rPr>
          <w:color w:val="231F20"/>
          <w:spacing w:val="-11"/>
          <w:w w:val="110"/>
        </w:rPr>
        <w:t> </w:t>
      </w:r>
      <w:r>
        <w:rPr>
          <w:color w:val="231F20"/>
          <w:w w:val="110"/>
        </w:rPr>
        <w:t>13.5</w:t>
      </w:r>
      <w:r>
        <w:rPr>
          <w:color w:val="231F20"/>
          <w:spacing w:val="-11"/>
          <w:w w:val="110"/>
        </w:rPr>
        <w:t> </w:t>
      </w:r>
      <w:r>
        <w:rPr>
          <w:color w:val="231F20"/>
          <w:w w:val="110"/>
        </w:rPr>
        <w:t>por</w:t>
      </w:r>
      <w:r>
        <w:rPr>
          <w:color w:val="231F20"/>
          <w:spacing w:val="-11"/>
          <w:w w:val="110"/>
        </w:rPr>
        <w:t> </w:t>
      </w:r>
      <w:r>
        <w:rPr>
          <w:color w:val="231F20"/>
          <w:w w:val="110"/>
        </w:rPr>
        <w:t>ciento de la población total nacional. Siguiendo esta tendencia, y de acuerdo con proyecciones de población del Conapo (2014), la entidad mexiquense ten- drá más de 18 millones de habitantes en 2020, que serán más de 20 millo- nes para el año 2030. El Estado de México se transforma paulatinamente en una entidad con más viejos y menos niños y ello supone que cada vez será más común convivir con un adulto mayor dentro del ámbito familiar, situación poco frecuente hasta hace pocas </w:t>
      </w:r>
      <w:r>
        <w:rPr>
          <w:color w:val="231F20"/>
          <w:spacing w:val="31"/>
          <w:w w:val="110"/>
        </w:rPr>
        <w:t> </w:t>
      </w:r>
      <w:r>
        <w:rPr>
          <w:color w:val="231F20"/>
          <w:w w:val="110"/>
        </w:rPr>
        <w:t>décadas.</w:t>
      </w:r>
    </w:p>
    <w:p>
      <w:pPr>
        <w:pStyle w:val="BodyText"/>
        <w:spacing w:line="285" w:lineRule="auto"/>
        <w:ind w:left="100" w:right="116" w:firstLine="360"/>
        <w:jc w:val="both"/>
      </w:pPr>
      <w:r>
        <w:rPr>
          <w:color w:val="231F20"/>
          <w:w w:val="110"/>
        </w:rPr>
        <w:t>En la gráfica 1 se muestra la tendencia en el peso relativo que tiene la población de 60 años o más en el total de la entidad. En 1930, la población de 60 </w:t>
      </w:r>
      <w:r>
        <w:rPr>
          <w:color w:val="231F20"/>
          <w:spacing w:val="2"/>
          <w:w w:val="110"/>
        </w:rPr>
        <w:t>años </w:t>
      </w:r>
      <w:r>
        <w:rPr>
          <w:color w:val="231F20"/>
          <w:w w:val="110"/>
        </w:rPr>
        <w:t>y más era </w:t>
      </w:r>
      <w:r>
        <w:rPr>
          <w:color w:val="231F20"/>
          <w:spacing w:val="2"/>
          <w:w w:val="110"/>
        </w:rPr>
        <w:t>aproximadamente </w:t>
      </w:r>
      <w:r>
        <w:rPr>
          <w:color w:val="231F20"/>
          <w:w w:val="110"/>
        </w:rPr>
        <w:t>de </w:t>
      </w:r>
      <w:r>
        <w:rPr>
          <w:color w:val="231F20"/>
          <w:spacing w:val="2"/>
          <w:w w:val="110"/>
        </w:rPr>
        <w:t>52,633 personas, cifra </w:t>
      </w:r>
      <w:r>
        <w:rPr>
          <w:color w:val="231F20"/>
          <w:w w:val="110"/>
        </w:rPr>
        <w:t>que conformaba</w:t>
      </w:r>
      <w:r>
        <w:rPr>
          <w:color w:val="231F20"/>
          <w:spacing w:val="-10"/>
          <w:w w:val="110"/>
        </w:rPr>
        <w:t> </w:t>
      </w:r>
      <w:r>
        <w:rPr>
          <w:color w:val="231F20"/>
          <w:w w:val="110"/>
        </w:rPr>
        <w:t>5.3</w:t>
      </w:r>
      <w:r>
        <w:rPr>
          <w:color w:val="231F20"/>
          <w:spacing w:val="-10"/>
          <w:w w:val="110"/>
        </w:rPr>
        <w:t> </w:t>
      </w:r>
      <w:r>
        <w:rPr>
          <w:color w:val="231F20"/>
          <w:w w:val="110"/>
        </w:rPr>
        <w:t>por</w:t>
      </w:r>
      <w:r>
        <w:rPr>
          <w:color w:val="231F20"/>
          <w:spacing w:val="-10"/>
          <w:w w:val="110"/>
        </w:rPr>
        <w:t> </w:t>
      </w:r>
      <w:r>
        <w:rPr>
          <w:color w:val="231F20"/>
          <w:w w:val="110"/>
        </w:rPr>
        <w:t>ciento</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población</w:t>
      </w:r>
      <w:r>
        <w:rPr>
          <w:color w:val="231F20"/>
          <w:spacing w:val="-10"/>
          <w:w w:val="110"/>
        </w:rPr>
        <w:t> </w:t>
      </w:r>
      <w:r>
        <w:rPr>
          <w:color w:val="231F20"/>
          <w:w w:val="110"/>
        </w:rPr>
        <w:t>total.</w:t>
      </w:r>
      <w:r>
        <w:rPr>
          <w:color w:val="231F20"/>
          <w:spacing w:val="-10"/>
          <w:w w:val="110"/>
        </w:rPr>
        <w:t> </w:t>
      </w:r>
      <w:r>
        <w:rPr>
          <w:color w:val="231F20"/>
          <w:w w:val="110"/>
        </w:rPr>
        <w:t>Para</w:t>
      </w:r>
      <w:r>
        <w:rPr>
          <w:color w:val="231F20"/>
          <w:spacing w:val="-10"/>
          <w:w w:val="110"/>
        </w:rPr>
        <w:t> </w:t>
      </w:r>
      <w:r>
        <w:rPr>
          <w:color w:val="231F20"/>
          <w:w w:val="110"/>
        </w:rPr>
        <w:t>1950,</w:t>
      </w:r>
      <w:r>
        <w:rPr>
          <w:color w:val="231F20"/>
          <w:spacing w:val="-10"/>
          <w:w w:val="110"/>
        </w:rPr>
        <w:t> </w:t>
      </w:r>
      <w:r>
        <w:rPr>
          <w:color w:val="231F20"/>
          <w:w w:val="110"/>
        </w:rPr>
        <w:t>dicha</w:t>
      </w:r>
      <w:r>
        <w:rPr>
          <w:color w:val="231F20"/>
          <w:spacing w:val="-10"/>
          <w:w w:val="110"/>
        </w:rPr>
        <w:t> </w:t>
      </w:r>
      <w:r>
        <w:rPr>
          <w:color w:val="231F20"/>
          <w:w w:val="110"/>
        </w:rPr>
        <w:t>población ascendió a 82,901 (6.0 por ciento), para 1960 el número de viejos descen- dió</w:t>
      </w:r>
      <w:r>
        <w:rPr>
          <w:color w:val="231F20"/>
          <w:spacing w:val="-4"/>
          <w:w w:val="110"/>
        </w:rPr>
        <w:t> </w:t>
      </w:r>
      <w:r>
        <w:rPr>
          <w:color w:val="231F20"/>
          <w:w w:val="110"/>
        </w:rPr>
        <w:t>a</w:t>
      </w:r>
      <w:r>
        <w:rPr>
          <w:color w:val="231F20"/>
          <w:spacing w:val="-4"/>
          <w:w w:val="110"/>
        </w:rPr>
        <w:t> </w:t>
      </w:r>
      <w:r>
        <w:rPr>
          <w:color w:val="231F20"/>
          <w:w w:val="110"/>
        </w:rPr>
        <w:t>109,756</w:t>
      </w:r>
      <w:r>
        <w:rPr>
          <w:color w:val="231F20"/>
          <w:spacing w:val="-4"/>
          <w:w w:val="110"/>
        </w:rPr>
        <w:t> </w:t>
      </w:r>
      <w:r>
        <w:rPr>
          <w:color w:val="231F20"/>
          <w:w w:val="110"/>
        </w:rPr>
        <w:t>senescentes,</w:t>
      </w:r>
      <w:r>
        <w:rPr>
          <w:color w:val="231F20"/>
          <w:spacing w:val="-4"/>
          <w:w w:val="110"/>
        </w:rPr>
        <w:t> </w:t>
      </w:r>
      <w:r>
        <w:rPr>
          <w:color w:val="231F20"/>
          <w:w w:val="110"/>
        </w:rPr>
        <w:t>los</w:t>
      </w:r>
      <w:r>
        <w:rPr>
          <w:color w:val="231F20"/>
          <w:spacing w:val="-4"/>
          <w:w w:val="110"/>
        </w:rPr>
        <w:t> </w:t>
      </w:r>
      <w:r>
        <w:rPr>
          <w:color w:val="231F20"/>
          <w:w w:val="110"/>
        </w:rPr>
        <w:t>cuales</w:t>
      </w:r>
      <w:r>
        <w:rPr>
          <w:color w:val="231F20"/>
          <w:spacing w:val="-4"/>
          <w:w w:val="110"/>
        </w:rPr>
        <w:t> </w:t>
      </w:r>
      <w:r>
        <w:rPr>
          <w:color w:val="231F20"/>
          <w:w w:val="110"/>
        </w:rPr>
        <w:t>constituían</w:t>
      </w:r>
      <w:r>
        <w:rPr>
          <w:color w:val="231F20"/>
          <w:spacing w:val="-4"/>
          <w:w w:val="110"/>
        </w:rPr>
        <w:t> </w:t>
      </w:r>
      <w:r>
        <w:rPr>
          <w:color w:val="231F20"/>
          <w:w w:val="110"/>
        </w:rPr>
        <w:t>5.8</w:t>
      </w:r>
      <w:r>
        <w:rPr>
          <w:color w:val="231F20"/>
          <w:spacing w:val="-4"/>
          <w:w w:val="110"/>
        </w:rPr>
        <w:t> </w:t>
      </w:r>
      <w:r>
        <w:rPr>
          <w:color w:val="231F20"/>
          <w:w w:val="110"/>
        </w:rPr>
        <w:t>por</w:t>
      </w:r>
      <w:r>
        <w:rPr>
          <w:color w:val="231F20"/>
          <w:spacing w:val="-4"/>
          <w:w w:val="110"/>
        </w:rPr>
        <w:t> </w:t>
      </w:r>
      <w:r>
        <w:rPr>
          <w:color w:val="231F20"/>
          <w:w w:val="110"/>
        </w:rPr>
        <w:t>ciento</w:t>
      </w:r>
      <w:r>
        <w:rPr>
          <w:color w:val="231F20"/>
          <w:spacing w:val="-4"/>
          <w:w w:val="110"/>
        </w:rPr>
        <w:t> </w:t>
      </w:r>
      <w:r>
        <w:rPr>
          <w:color w:val="231F20"/>
          <w:w w:val="110"/>
        </w:rPr>
        <w:t>del</w:t>
      </w:r>
      <w:r>
        <w:rPr>
          <w:color w:val="231F20"/>
          <w:spacing w:val="-4"/>
          <w:w w:val="110"/>
        </w:rPr>
        <w:t> </w:t>
      </w:r>
      <w:r>
        <w:rPr>
          <w:color w:val="231F20"/>
          <w:w w:val="110"/>
        </w:rPr>
        <w:t>total</w:t>
      </w:r>
      <w:r>
        <w:rPr>
          <w:color w:val="231F20"/>
          <w:spacing w:val="-4"/>
          <w:w w:val="110"/>
        </w:rPr>
        <w:t> </w:t>
      </w:r>
      <w:r>
        <w:rPr>
          <w:color w:val="231F20"/>
          <w:w w:val="110"/>
        </w:rPr>
        <w:t>de los habitantes en la</w:t>
      </w:r>
      <w:r>
        <w:rPr>
          <w:color w:val="231F20"/>
          <w:spacing w:val="11"/>
          <w:w w:val="110"/>
        </w:rPr>
        <w:t> </w:t>
      </w:r>
      <w:r>
        <w:rPr>
          <w:color w:val="231F20"/>
          <w:w w:val="110"/>
        </w:rPr>
        <w:t>entidad.</w:t>
      </w:r>
    </w:p>
    <w:p>
      <w:pPr>
        <w:pStyle w:val="BodyText"/>
        <w:spacing w:line="285" w:lineRule="auto"/>
        <w:ind w:left="100" w:right="118" w:firstLine="360"/>
        <w:jc w:val="both"/>
      </w:pPr>
      <w:r>
        <w:rPr>
          <w:color w:val="231F20"/>
          <w:w w:val="110"/>
        </w:rPr>
        <w:t>Entre</w:t>
      </w:r>
      <w:r>
        <w:rPr>
          <w:color w:val="231F20"/>
          <w:spacing w:val="-11"/>
          <w:w w:val="110"/>
        </w:rPr>
        <w:t> </w:t>
      </w:r>
      <w:r>
        <w:rPr>
          <w:color w:val="231F20"/>
          <w:w w:val="110"/>
        </w:rPr>
        <w:t>1970</w:t>
      </w:r>
      <w:r>
        <w:rPr>
          <w:color w:val="231F20"/>
          <w:spacing w:val="-11"/>
          <w:w w:val="110"/>
        </w:rPr>
        <w:t> </w:t>
      </w:r>
      <w:r>
        <w:rPr>
          <w:color w:val="231F20"/>
          <w:w w:val="110"/>
        </w:rPr>
        <w:t>y</w:t>
      </w:r>
      <w:r>
        <w:rPr>
          <w:color w:val="231F20"/>
          <w:spacing w:val="-11"/>
          <w:w w:val="110"/>
        </w:rPr>
        <w:t> </w:t>
      </w:r>
      <w:r>
        <w:rPr>
          <w:color w:val="231F20"/>
          <w:w w:val="110"/>
        </w:rPr>
        <w:t>1980,</w:t>
      </w:r>
      <w:r>
        <w:rPr>
          <w:color w:val="231F20"/>
          <w:spacing w:val="-11"/>
          <w:w w:val="110"/>
        </w:rPr>
        <w:t> </w:t>
      </w:r>
      <w:r>
        <w:rPr>
          <w:color w:val="231F20"/>
          <w:w w:val="110"/>
        </w:rPr>
        <w:t>la</w:t>
      </w:r>
      <w:r>
        <w:rPr>
          <w:color w:val="231F20"/>
          <w:spacing w:val="-11"/>
          <w:w w:val="110"/>
        </w:rPr>
        <w:t> </w:t>
      </w:r>
      <w:r>
        <w:rPr>
          <w:color w:val="231F20"/>
          <w:w w:val="110"/>
        </w:rPr>
        <w:t>inmigración</w:t>
      </w:r>
      <w:r>
        <w:rPr>
          <w:color w:val="231F20"/>
          <w:spacing w:val="-11"/>
          <w:w w:val="110"/>
        </w:rPr>
        <w:t> </w:t>
      </w:r>
      <w:r>
        <w:rPr>
          <w:color w:val="231F20"/>
          <w:w w:val="110"/>
        </w:rPr>
        <w:t>hacia</w:t>
      </w:r>
      <w:r>
        <w:rPr>
          <w:color w:val="231F20"/>
          <w:spacing w:val="-11"/>
          <w:w w:val="110"/>
        </w:rPr>
        <w:t> </w:t>
      </w:r>
      <w:r>
        <w:rPr>
          <w:color w:val="231F20"/>
          <w:w w:val="110"/>
        </w:rPr>
        <w:t>el</w:t>
      </w:r>
      <w:r>
        <w:rPr>
          <w:color w:val="231F20"/>
          <w:spacing w:val="-11"/>
          <w:w w:val="110"/>
        </w:rPr>
        <w:t> </w:t>
      </w:r>
      <w:r>
        <w:rPr>
          <w:color w:val="231F20"/>
          <w:w w:val="110"/>
        </w:rPr>
        <w:t>interior</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entidad</w:t>
      </w:r>
      <w:r>
        <w:rPr>
          <w:color w:val="231F20"/>
          <w:spacing w:val="-11"/>
          <w:w w:val="110"/>
        </w:rPr>
        <w:t> </w:t>
      </w:r>
      <w:r>
        <w:rPr>
          <w:color w:val="231F20"/>
          <w:w w:val="110"/>
        </w:rPr>
        <w:t>jugó</w:t>
      </w:r>
      <w:r>
        <w:rPr>
          <w:color w:val="231F20"/>
          <w:spacing w:val="-11"/>
          <w:w w:val="110"/>
        </w:rPr>
        <w:t> </w:t>
      </w:r>
      <w:r>
        <w:rPr>
          <w:color w:val="231F20"/>
          <w:w w:val="110"/>
        </w:rPr>
        <w:t>un papel importante en el rejuvenecimiento de la población, provocando una disminución en la importancia relativa del grupo de adultos mayores, que pasó de 4.7 a 3.9 por ciento en dicho periodo, para luego incrementarse  </w:t>
      </w:r>
      <w:r>
        <w:rPr>
          <w:color w:val="231F20"/>
          <w:spacing w:val="9"/>
          <w:w w:val="110"/>
        </w:rPr>
        <w:t> </w:t>
      </w:r>
      <w:r>
        <w:rPr>
          <w:color w:val="231F20"/>
          <w:w w:val="110"/>
        </w:rPr>
        <w:t>a</w:t>
      </w:r>
    </w:p>
    <w:p>
      <w:pPr>
        <w:pStyle w:val="BodyText"/>
        <w:spacing w:line="285" w:lineRule="auto"/>
        <w:ind w:left="100" w:right="118"/>
        <w:jc w:val="both"/>
      </w:pPr>
      <w:r>
        <w:rPr>
          <w:color w:val="231F20"/>
          <w:spacing w:val="-3"/>
          <w:w w:val="110"/>
        </w:rPr>
        <w:t>4.6 </w:t>
      </w:r>
      <w:r>
        <w:rPr>
          <w:color w:val="231F20"/>
          <w:w w:val="110"/>
        </w:rPr>
        <w:t>en el </w:t>
      </w:r>
      <w:r>
        <w:rPr>
          <w:color w:val="231F20"/>
          <w:spacing w:val="-3"/>
          <w:w w:val="110"/>
        </w:rPr>
        <w:t>año </w:t>
      </w:r>
      <w:r>
        <w:rPr>
          <w:color w:val="231F20"/>
          <w:spacing w:val="-4"/>
          <w:w w:val="110"/>
        </w:rPr>
        <w:t>1990. </w:t>
      </w:r>
      <w:r>
        <w:rPr>
          <w:color w:val="231F20"/>
          <w:spacing w:val="-5"/>
          <w:w w:val="110"/>
        </w:rPr>
        <w:t>Para </w:t>
      </w:r>
      <w:r>
        <w:rPr>
          <w:color w:val="231F20"/>
          <w:w w:val="110"/>
        </w:rPr>
        <w:t>el </w:t>
      </w:r>
      <w:r>
        <w:rPr>
          <w:color w:val="231F20"/>
          <w:spacing w:val="-3"/>
          <w:w w:val="110"/>
        </w:rPr>
        <w:t>año </w:t>
      </w:r>
      <w:r>
        <w:rPr>
          <w:color w:val="231F20"/>
          <w:spacing w:val="-4"/>
          <w:w w:val="110"/>
        </w:rPr>
        <w:t>2000, </w:t>
      </w:r>
      <w:r>
        <w:rPr>
          <w:color w:val="231F20"/>
          <w:w w:val="110"/>
        </w:rPr>
        <w:t>la </w:t>
      </w:r>
      <w:r>
        <w:rPr>
          <w:color w:val="231F20"/>
          <w:spacing w:val="-4"/>
          <w:w w:val="110"/>
        </w:rPr>
        <w:t>población </w:t>
      </w:r>
      <w:r>
        <w:rPr>
          <w:color w:val="231F20"/>
          <w:w w:val="110"/>
        </w:rPr>
        <w:t>de 60 </w:t>
      </w:r>
      <w:r>
        <w:rPr>
          <w:color w:val="231F20"/>
          <w:spacing w:val="-3"/>
          <w:w w:val="110"/>
        </w:rPr>
        <w:t>años </w:t>
      </w:r>
      <w:r>
        <w:rPr>
          <w:color w:val="231F20"/>
          <w:w w:val="110"/>
        </w:rPr>
        <w:t>y </w:t>
      </w:r>
      <w:r>
        <w:rPr>
          <w:color w:val="231F20"/>
          <w:spacing w:val="-3"/>
          <w:w w:val="110"/>
        </w:rPr>
        <w:t>más aumentó </w:t>
      </w:r>
      <w:r>
        <w:rPr>
          <w:color w:val="231F20"/>
          <w:w w:val="110"/>
        </w:rPr>
        <w:t>a 5.7 por ciento, mientras que en el 2010 este grupo etario representó 7.5 por ciento de la población total mexiquense (véase gráfica 1).</w:t>
      </w:r>
    </w:p>
    <w:p>
      <w:pPr>
        <w:pStyle w:val="BodyText"/>
        <w:spacing w:before="11"/>
        <w:rPr>
          <w:sz w:val="19"/>
        </w:rPr>
      </w:pPr>
    </w:p>
    <w:p>
      <w:pPr>
        <w:spacing w:before="0"/>
        <w:ind w:left="460" w:right="0" w:firstLine="0"/>
        <w:jc w:val="left"/>
        <w:rPr>
          <w:sz w:val="16"/>
        </w:rPr>
      </w:pPr>
      <w:r>
        <w:rPr>
          <w:color w:val="231F20"/>
          <w:w w:val="110"/>
          <w:position w:val="5"/>
          <w:sz w:val="9"/>
        </w:rPr>
        <w:t>1 </w:t>
      </w:r>
      <w:r>
        <w:rPr>
          <w:color w:val="000009"/>
          <w:w w:val="110"/>
          <w:sz w:val="16"/>
        </w:rPr>
        <w:t>Censo de Población y Vivienda 2010, </w:t>
      </w:r>
      <w:r>
        <w:rPr>
          <w:rFonts w:ascii="Times New Roman" w:hAnsi="Times New Roman"/>
          <w:color w:val="000009"/>
          <w:w w:val="110"/>
          <w:sz w:val="13"/>
        </w:rPr>
        <w:t>INEGI</w:t>
      </w:r>
      <w:r>
        <w:rPr>
          <w:color w:val="000009"/>
          <w:w w:val="110"/>
          <w:sz w:val="16"/>
        </w:rPr>
        <w:t>.</w:t>
      </w:r>
    </w:p>
    <w:p>
      <w:pPr>
        <w:spacing w:after="0"/>
        <w:jc w:val="left"/>
        <w:rPr>
          <w:sz w:val="16"/>
        </w:rPr>
        <w:sectPr>
          <w:footerReference w:type="default" r:id="rId153"/>
          <w:footerReference w:type="even" r:id="rId154"/>
          <w:pgSz w:w="9520" w:h="12920"/>
          <w:pgMar w:footer="1344" w:header="0" w:top="880" w:bottom="1540" w:left="1020" w:right="1320"/>
          <w:pgNumType w:start="183"/>
        </w:sectPr>
      </w:pPr>
    </w:p>
    <w:p>
      <w:pPr>
        <w:spacing w:line="185" w:lineRule="exact" w:before="65"/>
        <w:ind w:left="465" w:right="457" w:firstLine="0"/>
        <w:jc w:val="center"/>
        <w:rPr>
          <w:sz w:val="16"/>
        </w:rPr>
      </w:pPr>
      <w:r>
        <w:rPr>
          <w:color w:val="231F20"/>
          <w:w w:val="105"/>
          <w:sz w:val="16"/>
        </w:rPr>
        <w:t>Gráfica 1</w:t>
      </w:r>
    </w:p>
    <w:p>
      <w:pPr>
        <w:spacing w:line="220" w:lineRule="exact" w:before="0"/>
        <w:ind w:left="465" w:right="457" w:firstLine="0"/>
        <w:jc w:val="center"/>
        <w:rPr>
          <w:sz w:val="19"/>
        </w:rPr>
      </w:pPr>
      <w:r>
        <w:rPr>
          <w:color w:val="231F20"/>
          <w:w w:val="90"/>
          <w:sz w:val="19"/>
        </w:rPr>
        <w:t>Porcentaje de población de 60 años y más. Estado de México, 1930-2010</w:t>
      </w:r>
    </w:p>
    <w:p>
      <w:pPr>
        <w:pStyle w:val="BodyText"/>
        <w:spacing w:before="5"/>
        <w:rPr>
          <w:sz w:val="18"/>
        </w:rPr>
      </w:pPr>
    </w:p>
    <w:p>
      <w:pPr>
        <w:spacing w:before="80"/>
        <w:ind w:left="449" w:right="0" w:firstLine="0"/>
        <w:jc w:val="left"/>
        <w:rPr>
          <w:sz w:val="14"/>
        </w:rPr>
      </w:pPr>
      <w:r>
        <w:rPr/>
        <w:pict>
          <v:group style="position:absolute;margin-left:95.781197pt;margin-top:8.182405pt;width:312.95pt;height:124.9pt;mso-position-horizontal-relative:page;mso-position-vertical-relative:paragraph;z-index:4072" coordorigin="1916,164" coordsize="6259,2498">
            <v:shape style="position:absolute;left:1919;top:167;width:6160;height:2492" coordorigin="1919,167" coordsize="6160,2492" path="m1973,2604l1973,167m1973,2604l8078,2604m1973,1386l1919,1386m1973,1690l1919,1690m1973,1081l1919,1081m1973,472l1919,472m1973,777l1919,777m1973,168l1919,168m1973,2299l1919,2299m1973,2604l1919,2604m1973,1995l1919,1995m4686,2604l4686,2658m5365,2604l5365,2658m4008,2604l4008,2658m2651,2604l2651,2658m3330,2604l3330,2658m1973,2604l1973,2658m6722,2604l6722,2658m7400,2604l7400,2658m8078,2604l8078,2658m6043,2604l6043,2658e" filled="false" stroked="true" strokeweight=".296pt" strokecolor="#231f20">
              <v:path arrowok="t"/>
            </v:shape>
            <v:shape style="position:absolute;left:7979;top:511;width:196;height:140" type="#_x0000_t202" filled="false" stroked="false">
              <v:textbox inset="0,0,0,0">
                <w:txbxContent>
                  <w:p>
                    <w:pPr>
                      <w:spacing w:line="140" w:lineRule="exact" w:before="0"/>
                      <w:ind w:left="0" w:right="-17" w:firstLine="0"/>
                      <w:jc w:val="left"/>
                      <w:rPr>
                        <w:sz w:val="14"/>
                      </w:rPr>
                    </w:pPr>
                    <w:r>
                      <w:rPr>
                        <w:color w:val="231F20"/>
                        <w:w w:val="105"/>
                        <w:sz w:val="14"/>
                      </w:rPr>
                      <w:t>7.5</w:t>
                    </w:r>
                  </w:p>
                </w:txbxContent>
              </v:textbox>
              <w10:wrap type="none"/>
            </v:shape>
            <w10:wrap type="none"/>
          </v:group>
        </w:pict>
      </w:r>
      <w:r>
        <w:rPr>
          <w:color w:val="231F20"/>
          <w:w w:val="102"/>
          <w:sz w:val="14"/>
        </w:rPr>
        <w:t>8</w:t>
      </w:r>
    </w:p>
    <w:p>
      <w:pPr>
        <w:pStyle w:val="BodyText"/>
        <w:rPr>
          <w:sz w:val="12"/>
        </w:rPr>
      </w:pPr>
    </w:p>
    <w:p>
      <w:pPr>
        <w:spacing w:before="0"/>
        <w:ind w:left="449" w:right="0" w:firstLine="0"/>
        <w:jc w:val="left"/>
        <w:rPr>
          <w:sz w:val="14"/>
        </w:rPr>
      </w:pPr>
      <w:r>
        <w:rPr>
          <w:color w:val="231F20"/>
          <w:w w:val="102"/>
          <w:sz w:val="14"/>
        </w:rPr>
        <w:t>7</w:t>
      </w:r>
    </w:p>
    <w:p>
      <w:pPr>
        <w:pStyle w:val="BodyText"/>
        <w:rPr>
          <w:sz w:val="12"/>
        </w:rPr>
      </w:pPr>
    </w:p>
    <w:p>
      <w:pPr>
        <w:spacing w:before="0"/>
        <w:ind w:left="449" w:right="0" w:firstLine="0"/>
        <w:jc w:val="left"/>
        <w:rPr>
          <w:sz w:val="14"/>
        </w:rPr>
      </w:pPr>
      <w:r>
        <w:rPr/>
        <w:pict>
          <v:group style="position:absolute;margin-left:128.262680pt;margin-top:1.826941pt;width:278.1pt;height:49.55pt;mso-position-horizontal-relative:page;mso-position-vertical-relative:paragraph;z-index:4024" coordorigin="2565,37" coordsize="5562,991">
            <v:shape style="position:absolute;left:2644;top:86;width:5435;height:878" coordorigin="2644,86" coordsize="5435,878" path="m2644,625l2722,619,2799,614,2875,609,2951,605,3027,600,3103,595,3179,589,3254,582,3330,573,3405,562,3480,548,3556,532,3631,515,3706,498,3782,482,3857,468,3933,458,4008,451,4083,448,4159,446,4234,447,4309,449,4385,454,4460,461,4536,471,4611,484,4686,500,4762,520,4837,546,4913,576,4988,608,5063,642,5139,676,5214,709,5289,740,5365,768,5440,795,5516,823,5591,852,5666,880,5742,905,5817,928,5892,946,5968,958,6043,963,6119,961,6194,952,6269,937,6345,918,6420,895,6495,870,6571,844,6646,818,6722,792,6797,768,6872,743,6948,717,7023,689,7098,661,7174,630,7249,597,7325,562,7400,524,7468,487,7536,447,7604,405,7671,361,7739,316,7807,269,7875,223,7943,176,8011,130,8078,86e" filled="false" stroked="true" strokeweight=".592pt" strokecolor="#a7a9ac">
              <v:path arrowok="t"/>
            </v:shape>
            <v:shape style="position:absolute;left:2584;top:568;width:114;height:114" type="#_x0000_t75" stroked="false">
              <v:imagedata r:id="rId155" o:title=""/>
            </v:shape>
            <v:shape style="position:absolute;left:3275;top:511;width:114;height:114" type="#_x0000_t75" stroked="false">
              <v:imagedata r:id="rId156" o:title=""/>
            </v:shape>
            <v:shape style="position:absolute;left:3959;top:397;width:114;height:114" type="#_x0000_t75" stroked="false">
              <v:imagedata r:id="rId155" o:title=""/>
            </v:shape>
            <v:shape style="position:absolute;left:4625;top:438;width:114;height:114" type="#_x0000_t75" stroked="false">
              <v:imagedata r:id="rId155" o:title=""/>
            </v:shape>
            <v:shape style="position:absolute;left:5312;top:703;width:114;height:114" type="#_x0000_t75" stroked="false">
              <v:imagedata r:id="rId155" o:title=""/>
            </v:shape>
            <v:shape style="position:absolute;left:6000;top:913;width:114;height:114" type="#_x0000_t75" stroked="false">
              <v:imagedata r:id="rId155" o:title=""/>
            </v:shape>
            <v:shape style="position:absolute;left:6664;top:740;width:114;height:114" type="#_x0000_t75" stroked="false">
              <v:imagedata r:id="rId155" o:title=""/>
            </v:shape>
            <v:shape style="position:absolute;left:7347;top:477;width:114;height:114" type="#_x0000_t75" stroked="false">
              <v:imagedata r:id="rId155" o:title=""/>
            </v:shape>
            <v:shape style="position:absolute;left:8013;top:37;width:114;height:114" type="#_x0000_t75" stroked="false">
              <v:imagedata r:id="rId157" o:title=""/>
            </v:shape>
            <v:shape style="position:absolute;left:2565;top:361;width:196;height:140" type="#_x0000_t202" filled="false" stroked="false">
              <v:textbox inset="0,0,0,0">
                <w:txbxContent>
                  <w:p>
                    <w:pPr>
                      <w:spacing w:line="140" w:lineRule="exact" w:before="0"/>
                      <w:ind w:left="0" w:right="-17" w:firstLine="0"/>
                      <w:jc w:val="left"/>
                      <w:rPr>
                        <w:sz w:val="14"/>
                      </w:rPr>
                    </w:pPr>
                    <w:r>
                      <w:rPr>
                        <w:color w:val="231F20"/>
                        <w:w w:val="105"/>
                        <w:sz w:val="14"/>
                      </w:rPr>
                      <w:t>5.3</w:t>
                    </w:r>
                  </w:p>
                </w:txbxContent>
              </v:textbox>
              <w10:wrap type="none"/>
            </v:shape>
            <v:shape style="position:absolute;left:3259;top:314;width:196;height:140" type="#_x0000_t202" filled="false" stroked="false">
              <v:textbox inset="0,0,0,0">
                <w:txbxContent>
                  <w:p>
                    <w:pPr>
                      <w:spacing w:line="140" w:lineRule="exact" w:before="0"/>
                      <w:ind w:left="0" w:right="-17" w:firstLine="0"/>
                      <w:jc w:val="left"/>
                      <w:rPr>
                        <w:sz w:val="14"/>
                      </w:rPr>
                    </w:pPr>
                    <w:r>
                      <w:rPr>
                        <w:color w:val="231F20"/>
                        <w:w w:val="105"/>
                        <w:sz w:val="14"/>
                      </w:rPr>
                      <w:t>5.5</w:t>
                    </w:r>
                  </w:p>
                </w:txbxContent>
              </v:textbox>
              <w10:wrap type="none"/>
            </v:shape>
            <v:shape style="position:absolute;left:3927;top:224;width:196;height:140" type="#_x0000_t202" filled="false" stroked="false">
              <v:textbox inset="0,0,0,0">
                <w:txbxContent>
                  <w:p>
                    <w:pPr>
                      <w:spacing w:line="140" w:lineRule="exact" w:before="0"/>
                      <w:ind w:left="0" w:right="-17" w:firstLine="0"/>
                      <w:jc w:val="left"/>
                      <w:rPr>
                        <w:sz w:val="14"/>
                      </w:rPr>
                    </w:pPr>
                    <w:r>
                      <w:rPr>
                        <w:color w:val="231F20"/>
                        <w:w w:val="105"/>
                        <w:sz w:val="14"/>
                      </w:rPr>
                      <w:t>6.0</w:t>
                    </w:r>
                  </w:p>
                </w:txbxContent>
              </v:textbox>
              <w10:wrap type="none"/>
            </v:shape>
            <v:shape style="position:absolute;left:4625;top:248;width:196;height:140" type="#_x0000_t202" filled="false" stroked="false">
              <v:textbox inset="0,0,0,0">
                <w:txbxContent>
                  <w:p>
                    <w:pPr>
                      <w:spacing w:line="140" w:lineRule="exact" w:before="0"/>
                      <w:ind w:left="0" w:right="-17" w:firstLine="0"/>
                      <w:jc w:val="left"/>
                      <w:rPr>
                        <w:sz w:val="14"/>
                      </w:rPr>
                    </w:pPr>
                    <w:r>
                      <w:rPr>
                        <w:color w:val="231F20"/>
                        <w:w w:val="105"/>
                        <w:sz w:val="14"/>
                      </w:rPr>
                      <w:t>5.8</w:t>
                    </w:r>
                  </w:p>
                </w:txbxContent>
              </v:textbox>
              <w10:wrap type="none"/>
            </v:shape>
            <v:shape style="position:absolute;left:7295;top:272;width:196;height:140" type="#_x0000_t202" filled="false" stroked="false">
              <v:textbox inset="0,0,0,0">
                <w:txbxContent>
                  <w:p>
                    <w:pPr>
                      <w:spacing w:line="140" w:lineRule="exact" w:before="0"/>
                      <w:ind w:left="0" w:right="-17" w:firstLine="0"/>
                      <w:jc w:val="left"/>
                      <w:rPr>
                        <w:sz w:val="14"/>
                      </w:rPr>
                    </w:pPr>
                    <w:r>
                      <w:rPr>
                        <w:color w:val="231F20"/>
                        <w:w w:val="105"/>
                        <w:sz w:val="14"/>
                      </w:rPr>
                      <w:t>5.7</w:t>
                    </w:r>
                  </w:p>
                </w:txbxContent>
              </v:textbox>
              <w10:wrap type="none"/>
            </v:shape>
            <v:shape style="position:absolute;left:5279;top:506;width:196;height:140" type="#_x0000_t202" filled="false" stroked="false">
              <v:textbox inset="0,0,0,0">
                <w:txbxContent>
                  <w:p>
                    <w:pPr>
                      <w:spacing w:line="140" w:lineRule="exact" w:before="0"/>
                      <w:ind w:left="0" w:right="-17" w:firstLine="0"/>
                      <w:jc w:val="left"/>
                      <w:rPr>
                        <w:sz w:val="14"/>
                      </w:rPr>
                    </w:pPr>
                    <w:r>
                      <w:rPr>
                        <w:color w:val="231F20"/>
                        <w:w w:val="105"/>
                        <w:sz w:val="14"/>
                      </w:rPr>
                      <w:t>4.7</w:t>
                    </w:r>
                  </w:p>
                </w:txbxContent>
              </v:textbox>
              <w10:wrap type="none"/>
            </v:shape>
            <v:shape style="position:absolute;left:6653;top:541;width:196;height:140" type="#_x0000_t202" filled="false" stroked="false">
              <v:textbox inset="0,0,0,0">
                <w:txbxContent>
                  <w:p>
                    <w:pPr>
                      <w:spacing w:line="140" w:lineRule="exact" w:before="0"/>
                      <w:ind w:left="0" w:right="-17" w:firstLine="0"/>
                      <w:jc w:val="left"/>
                      <w:rPr>
                        <w:sz w:val="14"/>
                      </w:rPr>
                    </w:pPr>
                    <w:r>
                      <w:rPr>
                        <w:color w:val="231F20"/>
                        <w:w w:val="105"/>
                        <w:sz w:val="14"/>
                      </w:rPr>
                      <w:t>4.6</w:t>
                    </w:r>
                  </w:p>
                </w:txbxContent>
              </v:textbox>
              <w10:wrap type="none"/>
            </v:shape>
            <v:shape style="position:absolute;left:5967;top:740;width:196;height:140" type="#_x0000_t202" filled="false" stroked="false">
              <v:textbox inset="0,0,0,0">
                <w:txbxContent>
                  <w:p>
                    <w:pPr>
                      <w:spacing w:line="140" w:lineRule="exact" w:before="0"/>
                      <w:ind w:left="0" w:right="-17" w:firstLine="0"/>
                      <w:jc w:val="left"/>
                      <w:rPr>
                        <w:sz w:val="14"/>
                      </w:rPr>
                    </w:pPr>
                    <w:r>
                      <w:rPr>
                        <w:color w:val="231F20"/>
                        <w:w w:val="105"/>
                        <w:sz w:val="14"/>
                      </w:rPr>
                      <w:t>3.9</w:t>
                    </w:r>
                  </w:p>
                </w:txbxContent>
              </v:textbox>
              <w10:wrap type="none"/>
            </v:shape>
            <w10:wrap type="none"/>
          </v:group>
        </w:pict>
      </w:r>
      <w:r>
        <w:rPr>
          <w:color w:val="231F20"/>
          <w:w w:val="102"/>
          <w:sz w:val="14"/>
        </w:rPr>
        <w:t>6</w:t>
      </w:r>
    </w:p>
    <w:p>
      <w:pPr>
        <w:pStyle w:val="BodyText"/>
        <w:rPr>
          <w:sz w:val="12"/>
        </w:rPr>
      </w:pPr>
    </w:p>
    <w:p>
      <w:pPr>
        <w:spacing w:before="0"/>
        <w:ind w:left="449" w:right="0" w:firstLine="0"/>
        <w:jc w:val="left"/>
        <w:rPr>
          <w:sz w:val="14"/>
        </w:rPr>
      </w:pPr>
      <w:r>
        <w:rPr>
          <w:color w:val="231F20"/>
          <w:w w:val="102"/>
          <w:sz w:val="14"/>
        </w:rPr>
        <w:t>5</w:t>
      </w:r>
    </w:p>
    <w:p>
      <w:pPr>
        <w:pStyle w:val="BodyText"/>
        <w:rPr>
          <w:sz w:val="12"/>
        </w:rPr>
      </w:pPr>
    </w:p>
    <w:p>
      <w:pPr>
        <w:spacing w:before="0"/>
        <w:ind w:left="449" w:right="0" w:firstLine="0"/>
        <w:jc w:val="left"/>
        <w:rPr>
          <w:sz w:val="14"/>
        </w:rPr>
      </w:pPr>
      <w:r>
        <w:rPr>
          <w:color w:val="231F20"/>
          <w:w w:val="102"/>
          <w:sz w:val="14"/>
        </w:rPr>
        <w:t>4</w:t>
      </w:r>
    </w:p>
    <w:p>
      <w:pPr>
        <w:pStyle w:val="BodyText"/>
        <w:rPr>
          <w:sz w:val="12"/>
        </w:rPr>
      </w:pPr>
    </w:p>
    <w:p>
      <w:pPr>
        <w:spacing w:before="0"/>
        <w:ind w:left="449" w:right="0" w:firstLine="0"/>
        <w:jc w:val="left"/>
        <w:rPr>
          <w:sz w:val="14"/>
        </w:rPr>
      </w:pPr>
      <w:r>
        <w:rPr>
          <w:color w:val="231F20"/>
          <w:w w:val="102"/>
          <w:sz w:val="14"/>
        </w:rPr>
        <w:t>3</w:t>
      </w:r>
    </w:p>
    <w:p>
      <w:pPr>
        <w:pStyle w:val="BodyText"/>
        <w:rPr>
          <w:sz w:val="12"/>
        </w:rPr>
      </w:pPr>
    </w:p>
    <w:p>
      <w:pPr>
        <w:spacing w:before="0"/>
        <w:ind w:left="449" w:right="0" w:firstLine="0"/>
        <w:jc w:val="left"/>
        <w:rPr>
          <w:sz w:val="14"/>
        </w:rPr>
      </w:pPr>
      <w:r>
        <w:rPr>
          <w:color w:val="231F20"/>
          <w:w w:val="102"/>
          <w:sz w:val="14"/>
        </w:rPr>
        <w:t>2</w:t>
      </w:r>
    </w:p>
    <w:p>
      <w:pPr>
        <w:pStyle w:val="BodyText"/>
        <w:rPr>
          <w:sz w:val="12"/>
        </w:rPr>
      </w:pPr>
    </w:p>
    <w:p>
      <w:pPr>
        <w:spacing w:before="0"/>
        <w:ind w:left="449" w:right="0" w:firstLine="0"/>
        <w:jc w:val="left"/>
        <w:rPr>
          <w:sz w:val="14"/>
        </w:rPr>
      </w:pPr>
      <w:r>
        <w:rPr>
          <w:color w:val="231F20"/>
          <w:w w:val="102"/>
          <w:sz w:val="14"/>
        </w:rPr>
        <w:t>1</w:t>
      </w:r>
    </w:p>
    <w:p>
      <w:pPr>
        <w:spacing w:after="0"/>
        <w:jc w:val="left"/>
        <w:rPr>
          <w:sz w:val="14"/>
        </w:rPr>
        <w:sectPr>
          <w:pgSz w:w="9520" w:h="12920"/>
          <w:pgMar w:header="0" w:footer="1344" w:top="880" w:bottom="1540" w:left="1320" w:right="1000"/>
        </w:sectPr>
      </w:pPr>
    </w:p>
    <w:p>
      <w:pPr>
        <w:pStyle w:val="BodyText"/>
        <w:rPr>
          <w:sz w:val="12"/>
        </w:rPr>
      </w:pPr>
    </w:p>
    <w:p>
      <w:pPr>
        <w:spacing w:line="158" w:lineRule="exact" w:before="0"/>
        <w:ind w:left="171" w:right="0" w:firstLine="0"/>
        <w:jc w:val="center"/>
        <w:rPr>
          <w:sz w:val="14"/>
        </w:rPr>
      </w:pPr>
      <w:r>
        <w:rPr>
          <w:color w:val="231F20"/>
          <w:w w:val="102"/>
          <w:sz w:val="14"/>
        </w:rPr>
        <w:t>0</w:t>
      </w:r>
    </w:p>
    <w:p>
      <w:pPr>
        <w:spacing w:line="158" w:lineRule="exact" w:before="0"/>
        <w:ind w:left="490" w:right="-14" w:firstLine="0"/>
        <w:jc w:val="left"/>
        <w:rPr>
          <w:sz w:val="14"/>
        </w:rPr>
      </w:pPr>
      <w:r>
        <w:rPr>
          <w:color w:val="231F20"/>
          <w:sz w:val="14"/>
        </w:rPr>
        <w:t>1920</w:t>
      </w:r>
    </w:p>
    <w:p>
      <w:pPr>
        <w:pStyle w:val="BodyText"/>
        <w:rPr>
          <w:sz w:val="14"/>
        </w:rPr>
      </w:pPr>
      <w:r>
        <w:rPr/>
        <w:br w:type="column"/>
      </w:r>
      <w:r>
        <w:rPr>
          <w:sz w:val="14"/>
        </w:rPr>
      </w:r>
    </w:p>
    <w:p>
      <w:pPr>
        <w:pStyle w:val="BodyText"/>
        <w:rPr>
          <w:sz w:val="11"/>
        </w:rPr>
      </w:pPr>
    </w:p>
    <w:p>
      <w:pPr>
        <w:spacing w:before="0"/>
        <w:ind w:left="323" w:right="-14" w:firstLine="0"/>
        <w:jc w:val="left"/>
        <w:rPr>
          <w:sz w:val="14"/>
        </w:rPr>
      </w:pPr>
      <w:r>
        <w:rPr>
          <w:color w:val="231F20"/>
          <w:sz w:val="14"/>
        </w:rPr>
        <w:t>1930</w:t>
      </w:r>
    </w:p>
    <w:p>
      <w:pPr>
        <w:pStyle w:val="BodyText"/>
        <w:rPr>
          <w:sz w:val="14"/>
        </w:rPr>
      </w:pPr>
      <w:r>
        <w:rPr/>
        <w:br w:type="column"/>
      </w:r>
      <w:r>
        <w:rPr>
          <w:sz w:val="14"/>
        </w:rPr>
      </w:r>
    </w:p>
    <w:p>
      <w:pPr>
        <w:pStyle w:val="BodyText"/>
        <w:rPr>
          <w:sz w:val="11"/>
        </w:rPr>
      </w:pPr>
    </w:p>
    <w:p>
      <w:pPr>
        <w:spacing w:before="0"/>
        <w:ind w:left="323" w:right="-14" w:firstLine="0"/>
        <w:jc w:val="left"/>
        <w:rPr>
          <w:sz w:val="14"/>
        </w:rPr>
      </w:pPr>
      <w:r>
        <w:rPr>
          <w:color w:val="231F20"/>
          <w:sz w:val="14"/>
        </w:rPr>
        <w:t>1940</w:t>
      </w:r>
    </w:p>
    <w:p>
      <w:pPr>
        <w:pStyle w:val="BodyText"/>
        <w:rPr>
          <w:sz w:val="14"/>
        </w:rPr>
      </w:pPr>
      <w:r>
        <w:rPr/>
        <w:br w:type="column"/>
      </w:r>
      <w:r>
        <w:rPr>
          <w:sz w:val="14"/>
        </w:rPr>
      </w:r>
    </w:p>
    <w:p>
      <w:pPr>
        <w:pStyle w:val="BodyText"/>
        <w:rPr>
          <w:sz w:val="11"/>
        </w:rPr>
      </w:pPr>
    </w:p>
    <w:p>
      <w:pPr>
        <w:spacing w:before="0"/>
        <w:ind w:left="323" w:right="-14" w:firstLine="0"/>
        <w:jc w:val="left"/>
        <w:rPr>
          <w:sz w:val="14"/>
        </w:rPr>
      </w:pPr>
      <w:r>
        <w:rPr>
          <w:color w:val="231F20"/>
          <w:sz w:val="14"/>
        </w:rPr>
        <w:t>1950</w:t>
      </w:r>
    </w:p>
    <w:p>
      <w:pPr>
        <w:pStyle w:val="BodyText"/>
        <w:rPr>
          <w:sz w:val="14"/>
        </w:rPr>
      </w:pPr>
      <w:r>
        <w:rPr/>
        <w:br w:type="column"/>
      </w:r>
      <w:r>
        <w:rPr>
          <w:sz w:val="14"/>
        </w:rPr>
      </w:r>
    </w:p>
    <w:p>
      <w:pPr>
        <w:pStyle w:val="BodyText"/>
        <w:rPr>
          <w:sz w:val="11"/>
        </w:rPr>
      </w:pPr>
    </w:p>
    <w:p>
      <w:pPr>
        <w:spacing w:before="0"/>
        <w:ind w:left="323" w:right="-14" w:firstLine="0"/>
        <w:jc w:val="left"/>
        <w:rPr>
          <w:sz w:val="14"/>
        </w:rPr>
      </w:pPr>
      <w:r>
        <w:rPr>
          <w:color w:val="231F20"/>
          <w:sz w:val="14"/>
        </w:rPr>
        <w:t>1960</w:t>
      </w:r>
    </w:p>
    <w:p>
      <w:pPr>
        <w:pStyle w:val="BodyText"/>
        <w:rPr>
          <w:sz w:val="14"/>
        </w:rPr>
      </w:pPr>
      <w:r>
        <w:rPr/>
        <w:br w:type="column"/>
      </w:r>
      <w:r>
        <w:rPr>
          <w:sz w:val="14"/>
        </w:rPr>
      </w:r>
    </w:p>
    <w:p>
      <w:pPr>
        <w:pStyle w:val="BodyText"/>
        <w:rPr>
          <w:sz w:val="11"/>
        </w:rPr>
      </w:pPr>
    </w:p>
    <w:p>
      <w:pPr>
        <w:spacing w:before="0"/>
        <w:ind w:left="323" w:right="-14" w:firstLine="0"/>
        <w:jc w:val="left"/>
        <w:rPr>
          <w:sz w:val="14"/>
        </w:rPr>
      </w:pPr>
      <w:r>
        <w:rPr>
          <w:color w:val="231F20"/>
          <w:sz w:val="14"/>
        </w:rPr>
        <w:t>1970</w:t>
      </w:r>
    </w:p>
    <w:p>
      <w:pPr>
        <w:spacing w:before="68"/>
        <w:ind w:left="-1" w:right="-14" w:firstLine="0"/>
        <w:jc w:val="left"/>
        <w:rPr>
          <w:sz w:val="14"/>
        </w:rPr>
      </w:pPr>
      <w:r>
        <w:rPr>
          <w:color w:val="231F20"/>
          <w:w w:val="115"/>
          <w:sz w:val="14"/>
        </w:rPr>
        <w:t>Años</w:t>
      </w:r>
    </w:p>
    <w:p>
      <w:pPr>
        <w:pStyle w:val="BodyText"/>
        <w:rPr>
          <w:sz w:val="14"/>
        </w:rPr>
      </w:pPr>
      <w:r>
        <w:rPr/>
        <w:br w:type="column"/>
      </w:r>
      <w:r>
        <w:rPr>
          <w:sz w:val="14"/>
        </w:rPr>
      </w:r>
    </w:p>
    <w:p>
      <w:pPr>
        <w:pStyle w:val="BodyText"/>
        <w:rPr>
          <w:sz w:val="11"/>
        </w:rPr>
      </w:pPr>
    </w:p>
    <w:p>
      <w:pPr>
        <w:spacing w:before="0"/>
        <w:ind w:left="323" w:right="-14" w:firstLine="0"/>
        <w:jc w:val="left"/>
        <w:rPr>
          <w:sz w:val="14"/>
        </w:rPr>
      </w:pPr>
      <w:r>
        <w:rPr>
          <w:color w:val="231F20"/>
          <w:sz w:val="14"/>
        </w:rPr>
        <w:t>1980</w:t>
      </w:r>
    </w:p>
    <w:p>
      <w:pPr>
        <w:pStyle w:val="BodyText"/>
        <w:rPr>
          <w:sz w:val="14"/>
        </w:rPr>
      </w:pPr>
      <w:r>
        <w:rPr/>
        <w:br w:type="column"/>
      </w:r>
      <w:r>
        <w:rPr>
          <w:sz w:val="14"/>
        </w:rPr>
      </w:r>
    </w:p>
    <w:p>
      <w:pPr>
        <w:pStyle w:val="BodyText"/>
        <w:rPr>
          <w:sz w:val="11"/>
        </w:rPr>
      </w:pPr>
    </w:p>
    <w:p>
      <w:pPr>
        <w:spacing w:before="0"/>
        <w:ind w:left="323" w:right="-14" w:firstLine="0"/>
        <w:jc w:val="left"/>
        <w:rPr>
          <w:sz w:val="14"/>
        </w:rPr>
      </w:pPr>
      <w:r>
        <w:rPr>
          <w:color w:val="231F20"/>
          <w:sz w:val="14"/>
        </w:rPr>
        <w:t>1990</w:t>
      </w:r>
    </w:p>
    <w:p>
      <w:pPr>
        <w:pStyle w:val="BodyText"/>
        <w:rPr>
          <w:sz w:val="14"/>
        </w:rPr>
      </w:pPr>
      <w:r>
        <w:rPr/>
        <w:br w:type="column"/>
      </w:r>
      <w:r>
        <w:rPr>
          <w:sz w:val="14"/>
        </w:rPr>
      </w:r>
    </w:p>
    <w:p>
      <w:pPr>
        <w:pStyle w:val="BodyText"/>
        <w:rPr>
          <w:sz w:val="11"/>
        </w:rPr>
      </w:pPr>
    </w:p>
    <w:p>
      <w:pPr>
        <w:spacing w:before="0"/>
        <w:ind w:left="323" w:right="-14" w:firstLine="0"/>
        <w:jc w:val="left"/>
        <w:rPr>
          <w:sz w:val="14"/>
        </w:rPr>
      </w:pPr>
      <w:r>
        <w:rPr>
          <w:color w:val="231F20"/>
          <w:sz w:val="14"/>
        </w:rPr>
        <w:t>2000</w:t>
      </w:r>
    </w:p>
    <w:p>
      <w:pPr>
        <w:pStyle w:val="BodyText"/>
        <w:rPr>
          <w:sz w:val="14"/>
        </w:rPr>
      </w:pPr>
      <w:r>
        <w:rPr/>
        <w:br w:type="column"/>
      </w:r>
      <w:r>
        <w:rPr>
          <w:sz w:val="14"/>
        </w:rPr>
      </w:r>
    </w:p>
    <w:p>
      <w:pPr>
        <w:pStyle w:val="BodyText"/>
        <w:rPr>
          <w:sz w:val="11"/>
        </w:rPr>
      </w:pPr>
    </w:p>
    <w:p>
      <w:pPr>
        <w:spacing w:before="0"/>
        <w:ind w:left="323" w:right="0" w:firstLine="0"/>
        <w:jc w:val="left"/>
        <w:rPr>
          <w:sz w:val="14"/>
        </w:rPr>
      </w:pPr>
      <w:r>
        <w:rPr>
          <w:color w:val="231F20"/>
          <w:sz w:val="14"/>
        </w:rPr>
        <w:t>2010</w:t>
      </w:r>
    </w:p>
    <w:p>
      <w:pPr>
        <w:spacing w:after="0"/>
        <w:jc w:val="left"/>
        <w:rPr>
          <w:sz w:val="14"/>
        </w:rPr>
        <w:sectPr>
          <w:type w:val="continuous"/>
          <w:pgSz w:w="9520" w:h="12920"/>
          <w:pgMar w:top="0" w:bottom="0" w:left="1320" w:right="1000"/>
          <w:cols w:num="10" w:equalWidth="0">
            <w:col w:w="807" w:space="40"/>
            <w:col w:w="640" w:space="40"/>
            <w:col w:w="640" w:space="40"/>
            <w:col w:w="640" w:space="40"/>
            <w:col w:w="640" w:space="40"/>
            <w:col w:w="640" w:space="40"/>
            <w:col w:w="640" w:space="40"/>
            <w:col w:w="640" w:space="40"/>
            <w:col w:w="640" w:space="40"/>
            <w:col w:w="913"/>
          </w:cols>
        </w:sectPr>
      </w:pPr>
    </w:p>
    <w:p>
      <w:pPr>
        <w:spacing w:before="79"/>
        <w:ind w:left="484" w:right="0" w:firstLine="0"/>
        <w:jc w:val="left"/>
        <w:rPr>
          <w:sz w:val="15"/>
        </w:rPr>
      </w:pPr>
      <w:r>
        <w:rPr>
          <w:color w:val="231F20"/>
          <w:w w:val="110"/>
          <w:sz w:val="15"/>
        </w:rPr>
        <w:t>Fuente: Elaboración propia con datos de </w:t>
      </w:r>
      <w:r>
        <w:rPr>
          <w:rFonts w:ascii="Times New Roman" w:hAnsi="Times New Roman"/>
          <w:color w:val="231F20"/>
          <w:w w:val="110"/>
          <w:sz w:val="12"/>
        </w:rPr>
        <w:t>INEGI </w:t>
      </w:r>
      <w:r>
        <w:rPr>
          <w:color w:val="231F20"/>
          <w:w w:val="110"/>
          <w:sz w:val="15"/>
        </w:rPr>
        <w:t>(1930 a 2010).</w:t>
      </w:r>
    </w:p>
    <w:p>
      <w:pPr>
        <w:pStyle w:val="BodyText"/>
        <w:rPr>
          <w:sz w:val="14"/>
        </w:rPr>
      </w:pPr>
    </w:p>
    <w:p>
      <w:pPr>
        <w:pStyle w:val="BodyText"/>
        <w:spacing w:before="10"/>
        <w:rPr>
          <w:sz w:val="14"/>
        </w:rPr>
      </w:pPr>
    </w:p>
    <w:p>
      <w:pPr>
        <w:pStyle w:val="BodyText"/>
        <w:spacing w:line="285" w:lineRule="auto"/>
        <w:ind w:left="124" w:right="110" w:firstLine="360"/>
        <w:jc w:val="both"/>
      </w:pPr>
      <w:r>
        <w:rPr>
          <w:color w:val="231F20"/>
          <w:spacing w:val="2"/>
          <w:w w:val="110"/>
        </w:rPr>
        <w:t>Considerando </w:t>
      </w:r>
      <w:r>
        <w:rPr>
          <w:color w:val="231F20"/>
          <w:w w:val="110"/>
        </w:rPr>
        <w:t>la </w:t>
      </w:r>
      <w:r>
        <w:rPr>
          <w:color w:val="231F20"/>
          <w:spacing w:val="2"/>
          <w:w w:val="110"/>
        </w:rPr>
        <w:t>tendencia </w:t>
      </w:r>
      <w:r>
        <w:rPr>
          <w:color w:val="231F20"/>
          <w:w w:val="110"/>
        </w:rPr>
        <w:t>de la </w:t>
      </w:r>
      <w:r>
        <w:rPr>
          <w:color w:val="231F20"/>
          <w:spacing w:val="2"/>
          <w:w w:val="110"/>
        </w:rPr>
        <w:t>acumulación </w:t>
      </w:r>
      <w:r>
        <w:rPr>
          <w:color w:val="231F20"/>
          <w:w w:val="110"/>
        </w:rPr>
        <w:t>de </w:t>
      </w:r>
      <w:r>
        <w:rPr>
          <w:color w:val="231F20"/>
          <w:spacing w:val="2"/>
          <w:w w:val="110"/>
        </w:rPr>
        <w:t>población joven </w:t>
      </w:r>
      <w:r>
        <w:rPr>
          <w:color w:val="231F20"/>
          <w:w w:val="110"/>
        </w:rPr>
        <w:t>y adulta en la estructura piramidal se espera que el porcentaje de la pobla- ción</w:t>
      </w:r>
      <w:r>
        <w:rPr>
          <w:color w:val="231F20"/>
          <w:spacing w:val="-18"/>
          <w:w w:val="110"/>
        </w:rPr>
        <w:t> </w:t>
      </w:r>
      <w:r>
        <w:rPr>
          <w:color w:val="231F20"/>
          <w:w w:val="110"/>
        </w:rPr>
        <w:t>envejecida</w:t>
      </w:r>
      <w:r>
        <w:rPr>
          <w:color w:val="231F20"/>
          <w:spacing w:val="-18"/>
          <w:w w:val="110"/>
        </w:rPr>
        <w:t> </w:t>
      </w:r>
      <w:r>
        <w:rPr>
          <w:color w:val="231F20"/>
          <w:w w:val="110"/>
        </w:rPr>
        <w:t>seguirá</w:t>
      </w:r>
      <w:r>
        <w:rPr>
          <w:color w:val="231F20"/>
          <w:spacing w:val="-18"/>
          <w:w w:val="110"/>
        </w:rPr>
        <w:t> </w:t>
      </w:r>
      <w:r>
        <w:rPr>
          <w:color w:val="231F20"/>
          <w:w w:val="110"/>
        </w:rPr>
        <w:t>aumentando</w:t>
      </w:r>
      <w:r>
        <w:rPr>
          <w:color w:val="231F20"/>
          <w:spacing w:val="-18"/>
          <w:w w:val="110"/>
        </w:rPr>
        <w:t> </w:t>
      </w:r>
      <w:r>
        <w:rPr>
          <w:color w:val="231F20"/>
          <w:w w:val="110"/>
        </w:rPr>
        <w:t>constantemente,</w:t>
      </w:r>
      <w:r>
        <w:rPr>
          <w:color w:val="231F20"/>
          <w:spacing w:val="-18"/>
          <w:w w:val="110"/>
        </w:rPr>
        <w:t> </w:t>
      </w:r>
      <w:r>
        <w:rPr>
          <w:color w:val="231F20"/>
          <w:w w:val="110"/>
        </w:rPr>
        <w:t>ya</w:t>
      </w:r>
      <w:r>
        <w:rPr>
          <w:color w:val="231F20"/>
          <w:spacing w:val="-18"/>
          <w:w w:val="110"/>
        </w:rPr>
        <w:t> </w:t>
      </w:r>
      <w:r>
        <w:rPr>
          <w:color w:val="231F20"/>
          <w:w w:val="110"/>
        </w:rPr>
        <w:t>que</w:t>
      </w:r>
      <w:r>
        <w:rPr>
          <w:color w:val="231F20"/>
          <w:spacing w:val="-18"/>
          <w:w w:val="110"/>
        </w:rPr>
        <w:t> </w:t>
      </w:r>
      <w:r>
        <w:rPr>
          <w:color w:val="231F20"/>
          <w:w w:val="110"/>
        </w:rPr>
        <w:t>esta</w:t>
      </w:r>
      <w:r>
        <w:rPr>
          <w:color w:val="231F20"/>
          <w:spacing w:val="-18"/>
          <w:w w:val="110"/>
        </w:rPr>
        <w:t> </w:t>
      </w:r>
      <w:r>
        <w:rPr>
          <w:color w:val="231F20"/>
          <w:w w:val="110"/>
        </w:rPr>
        <w:t>población envejecerá en el corto plazo y engrosará los contingentes de los grupos de población de 60 años y más y con ellos el aumento en la demanda de tra- bajo, ingresos, salud y cambios en la estructura </w:t>
      </w:r>
      <w:r>
        <w:rPr>
          <w:color w:val="231F20"/>
          <w:spacing w:val="15"/>
          <w:w w:val="110"/>
        </w:rPr>
        <w:t> </w:t>
      </w:r>
      <w:r>
        <w:rPr>
          <w:color w:val="231F20"/>
          <w:w w:val="110"/>
        </w:rPr>
        <w:t>familiar.</w:t>
      </w:r>
    </w:p>
    <w:p>
      <w:pPr>
        <w:pStyle w:val="BodyText"/>
        <w:spacing w:line="285" w:lineRule="auto" w:before="1"/>
        <w:ind w:left="124" w:right="112" w:firstLine="360"/>
        <w:jc w:val="both"/>
      </w:pPr>
      <w:r>
        <w:rPr>
          <w:color w:val="231F20"/>
          <w:w w:val="110"/>
        </w:rPr>
        <w:t>Dicho lo anterior, en la actualidad, el Estado de México se sitúa en los márgenes de una fase avanzada de la transición demográfica con mayores ganancias en las edades intermedias y avanzadas. Las estadísticas</w:t>
      </w:r>
      <w:r>
        <w:rPr>
          <w:color w:val="231F20"/>
          <w:spacing w:val="-22"/>
          <w:w w:val="110"/>
        </w:rPr>
        <w:t> </w:t>
      </w:r>
      <w:r>
        <w:rPr>
          <w:color w:val="231F20"/>
          <w:w w:val="110"/>
        </w:rPr>
        <w:t>apuntan a que dichas tendencias seguirán teniendo profundas consecuencias en la estructura por edad de la población y se seguirá manifestando en un ace- </w:t>
      </w:r>
      <w:r>
        <w:rPr>
          <w:color w:val="231F20"/>
          <w:spacing w:val="2"/>
          <w:w w:val="110"/>
        </w:rPr>
        <w:t>lerado proceso </w:t>
      </w:r>
      <w:r>
        <w:rPr>
          <w:color w:val="231F20"/>
          <w:w w:val="110"/>
        </w:rPr>
        <w:t>de </w:t>
      </w:r>
      <w:r>
        <w:rPr>
          <w:color w:val="231F20"/>
          <w:spacing w:val="2"/>
          <w:w w:val="110"/>
        </w:rPr>
        <w:t>envejecimiento. </w:t>
      </w:r>
      <w:r>
        <w:rPr>
          <w:color w:val="231F20"/>
          <w:w w:val="110"/>
        </w:rPr>
        <w:t>De </w:t>
      </w:r>
      <w:r>
        <w:rPr>
          <w:color w:val="231F20"/>
          <w:spacing w:val="2"/>
          <w:w w:val="110"/>
        </w:rPr>
        <w:t>acuerdo </w:t>
      </w:r>
      <w:r>
        <w:rPr>
          <w:color w:val="231F20"/>
          <w:w w:val="110"/>
        </w:rPr>
        <w:t>con las </w:t>
      </w:r>
      <w:r>
        <w:rPr>
          <w:color w:val="231F20"/>
          <w:spacing w:val="2"/>
          <w:w w:val="110"/>
        </w:rPr>
        <w:t>estimaciones </w:t>
      </w:r>
      <w:r>
        <w:rPr>
          <w:color w:val="231F20"/>
          <w:w w:val="110"/>
        </w:rPr>
        <w:t>de proyecciones del Consejo Nacional de Población (Conapo, 2012), se</w:t>
      </w:r>
      <w:r>
        <w:rPr>
          <w:color w:val="231F20"/>
          <w:spacing w:val="-22"/>
          <w:w w:val="110"/>
        </w:rPr>
        <w:t> </w:t>
      </w:r>
      <w:r>
        <w:rPr>
          <w:color w:val="231F20"/>
          <w:w w:val="110"/>
        </w:rPr>
        <w:t>espera que en la entidad mexiquense el porcentaje de población de 60 años y más alcance para el año 2020 11.9 por ciento y 14.7 para el</w:t>
      </w:r>
      <w:r>
        <w:rPr>
          <w:color w:val="231F20"/>
          <w:spacing w:val="1"/>
          <w:w w:val="110"/>
        </w:rPr>
        <w:t> </w:t>
      </w:r>
      <w:r>
        <w:rPr>
          <w:color w:val="231F20"/>
          <w:w w:val="110"/>
        </w:rPr>
        <w:t>2030.</w:t>
      </w:r>
    </w:p>
    <w:p>
      <w:pPr>
        <w:pStyle w:val="BodyText"/>
        <w:spacing w:line="285" w:lineRule="auto" w:before="1"/>
        <w:ind w:left="124" w:right="112" w:firstLine="360"/>
        <w:jc w:val="both"/>
      </w:pPr>
      <w:r>
        <w:rPr>
          <w:color w:val="231F20"/>
          <w:w w:val="110"/>
        </w:rPr>
        <w:t>Esta situación hace imperativo prestar atención a un sinnúmero de temas relacionados con el proceso de envejecimiento en un entorno favo- rable y con un nivel de calidad de vida apropiado de las personas adultas mayores.</w:t>
      </w:r>
    </w:p>
    <w:p>
      <w:pPr>
        <w:pStyle w:val="BodyText"/>
        <w:spacing w:line="288" w:lineRule="auto" w:before="3"/>
        <w:ind w:left="124" w:right="113" w:firstLine="360"/>
        <w:jc w:val="both"/>
      </w:pPr>
      <w:r>
        <w:rPr>
          <w:color w:val="231F20"/>
          <w:w w:val="110"/>
        </w:rPr>
        <w:t>En</w:t>
      </w:r>
      <w:r>
        <w:rPr>
          <w:color w:val="231F20"/>
          <w:spacing w:val="-12"/>
          <w:w w:val="110"/>
        </w:rPr>
        <w:t> </w:t>
      </w:r>
      <w:r>
        <w:rPr>
          <w:color w:val="231F20"/>
          <w:w w:val="110"/>
        </w:rPr>
        <w:t>el</w:t>
      </w:r>
      <w:r>
        <w:rPr>
          <w:color w:val="231F20"/>
          <w:spacing w:val="-12"/>
          <w:w w:val="110"/>
        </w:rPr>
        <w:t> </w:t>
      </w:r>
      <w:r>
        <w:rPr>
          <w:color w:val="231F20"/>
          <w:w w:val="110"/>
        </w:rPr>
        <w:t>análisis</w:t>
      </w:r>
      <w:r>
        <w:rPr>
          <w:color w:val="231F20"/>
          <w:spacing w:val="-12"/>
          <w:w w:val="110"/>
        </w:rPr>
        <w:t> </w:t>
      </w:r>
      <w:r>
        <w:rPr>
          <w:color w:val="231F20"/>
          <w:w w:val="110"/>
        </w:rPr>
        <w:t>del</w:t>
      </w:r>
      <w:r>
        <w:rPr>
          <w:color w:val="231F20"/>
          <w:spacing w:val="-12"/>
          <w:w w:val="110"/>
        </w:rPr>
        <w:t> </w:t>
      </w:r>
      <w:r>
        <w:rPr>
          <w:color w:val="231F20"/>
          <w:w w:val="110"/>
        </w:rPr>
        <w:t>envejecimiento</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población</w:t>
      </w:r>
      <w:r>
        <w:rPr>
          <w:color w:val="231F20"/>
          <w:spacing w:val="-12"/>
          <w:w w:val="110"/>
        </w:rPr>
        <w:t> </w:t>
      </w:r>
      <w:r>
        <w:rPr>
          <w:color w:val="231F20"/>
          <w:w w:val="110"/>
        </w:rPr>
        <w:t>en</w:t>
      </w:r>
      <w:r>
        <w:rPr>
          <w:color w:val="231F20"/>
          <w:spacing w:val="-12"/>
          <w:w w:val="110"/>
        </w:rPr>
        <w:t> </w:t>
      </w:r>
      <w:r>
        <w:rPr>
          <w:color w:val="231F20"/>
          <w:w w:val="110"/>
        </w:rPr>
        <w:t>el</w:t>
      </w:r>
      <w:r>
        <w:rPr>
          <w:color w:val="231F20"/>
          <w:spacing w:val="-12"/>
          <w:w w:val="110"/>
        </w:rPr>
        <w:t> </w:t>
      </w:r>
      <w:r>
        <w:rPr>
          <w:color w:val="231F20"/>
          <w:w w:val="110"/>
        </w:rPr>
        <w:t>Estado</w:t>
      </w:r>
      <w:r>
        <w:rPr>
          <w:color w:val="231F20"/>
          <w:spacing w:val="-12"/>
          <w:w w:val="110"/>
        </w:rPr>
        <w:t> </w:t>
      </w:r>
      <w:r>
        <w:rPr>
          <w:color w:val="231F20"/>
          <w:w w:val="110"/>
        </w:rPr>
        <w:t>de</w:t>
      </w:r>
      <w:r>
        <w:rPr>
          <w:color w:val="231F20"/>
          <w:spacing w:val="-12"/>
          <w:w w:val="110"/>
        </w:rPr>
        <w:t> </w:t>
      </w:r>
      <w:r>
        <w:rPr>
          <w:color w:val="231F20"/>
          <w:w w:val="110"/>
        </w:rPr>
        <w:t>México, es</w:t>
      </w:r>
      <w:r>
        <w:rPr>
          <w:color w:val="231F20"/>
          <w:spacing w:val="-5"/>
          <w:w w:val="110"/>
        </w:rPr>
        <w:t> </w:t>
      </w:r>
      <w:r>
        <w:rPr>
          <w:color w:val="231F20"/>
          <w:w w:val="110"/>
        </w:rPr>
        <w:t>importante</w:t>
      </w:r>
      <w:r>
        <w:rPr>
          <w:color w:val="231F20"/>
          <w:spacing w:val="-5"/>
          <w:w w:val="110"/>
        </w:rPr>
        <w:t> </w:t>
      </w:r>
      <w:r>
        <w:rPr>
          <w:color w:val="231F20"/>
          <w:w w:val="110"/>
        </w:rPr>
        <w:t>tomar</w:t>
      </w:r>
      <w:r>
        <w:rPr>
          <w:color w:val="231F20"/>
          <w:spacing w:val="-5"/>
          <w:w w:val="110"/>
        </w:rPr>
        <w:t> </w:t>
      </w:r>
      <w:r>
        <w:rPr>
          <w:color w:val="231F20"/>
          <w:w w:val="110"/>
        </w:rPr>
        <w:t>en</w:t>
      </w:r>
      <w:r>
        <w:rPr>
          <w:color w:val="231F20"/>
          <w:spacing w:val="-5"/>
          <w:w w:val="110"/>
        </w:rPr>
        <w:t> </w:t>
      </w:r>
      <w:r>
        <w:rPr>
          <w:color w:val="231F20"/>
          <w:w w:val="110"/>
        </w:rPr>
        <w:t>cuenta</w:t>
      </w:r>
      <w:r>
        <w:rPr>
          <w:color w:val="231F20"/>
          <w:spacing w:val="-5"/>
          <w:w w:val="110"/>
        </w:rPr>
        <w:t> </w:t>
      </w:r>
      <w:r>
        <w:rPr>
          <w:color w:val="231F20"/>
          <w:w w:val="110"/>
        </w:rPr>
        <w:t>la</w:t>
      </w:r>
      <w:r>
        <w:rPr>
          <w:color w:val="231F20"/>
          <w:spacing w:val="-5"/>
          <w:w w:val="110"/>
        </w:rPr>
        <w:t> </w:t>
      </w:r>
      <w:r>
        <w:rPr>
          <w:color w:val="231F20"/>
          <w:w w:val="110"/>
        </w:rPr>
        <w:t>heterogeneidad</w:t>
      </w:r>
      <w:r>
        <w:rPr>
          <w:color w:val="231F20"/>
          <w:spacing w:val="-5"/>
          <w:w w:val="110"/>
        </w:rPr>
        <w:t> </w:t>
      </w:r>
      <w:r>
        <w:rPr>
          <w:color w:val="231F20"/>
          <w:w w:val="110"/>
        </w:rPr>
        <w:t>que</w:t>
      </w:r>
      <w:r>
        <w:rPr>
          <w:color w:val="231F20"/>
          <w:spacing w:val="-5"/>
          <w:w w:val="110"/>
        </w:rPr>
        <w:t> </w:t>
      </w:r>
      <w:r>
        <w:rPr>
          <w:color w:val="231F20"/>
          <w:w w:val="110"/>
        </w:rPr>
        <w:t>proviene</w:t>
      </w:r>
      <w:r>
        <w:rPr>
          <w:color w:val="231F20"/>
          <w:spacing w:val="-5"/>
          <w:w w:val="110"/>
        </w:rPr>
        <w:t> </w:t>
      </w:r>
      <w:r>
        <w:rPr>
          <w:color w:val="231F20"/>
          <w:w w:val="110"/>
        </w:rPr>
        <w:t>del</w:t>
      </w:r>
      <w:r>
        <w:rPr>
          <w:color w:val="231F20"/>
          <w:spacing w:val="-5"/>
          <w:w w:val="110"/>
        </w:rPr>
        <w:t> </w:t>
      </w:r>
      <w:r>
        <w:rPr>
          <w:color w:val="231F20"/>
          <w:w w:val="110"/>
        </w:rPr>
        <w:t>sexo</w:t>
      </w:r>
      <w:r>
        <w:rPr>
          <w:color w:val="231F20"/>
          <w:spacing w:val="-5"/>
          <w:w w:val="110"/>
        </w:rPr>
        <w:t> </w:t>
      </w:r>
      <w:r>
        <w:rPr>
          <w:color w:val="231F20"/>
          <w:w w:val="110"/>
        </w:rPr>
        <w:t>de</w:t>
      </w:r>
    </w:p>
    <w:p>
      <w:pPr>
        <w:spacing w:after="0" w:line="288" w:lineRule="auto"/>
        <w:jc w:val="both"/>
        <w:sectPr>
          <w:type w:val="continuous"/>
          <w:pgSz w:w="9520" w:h="12920"/>
          <w:pgMar w:top="0" w:bottom="0" w:left="1320" w:right="1000"/>
        </w:sectPr>
      </w:pPr>
    </w:p>
    <w:p>
      <w:pPr>
        <w:pStyle w:val="BodyText"/>
        <w:spacing w:line="288" w:lineRule="auto" w:before="42"/>
        <w:ind w:left="100" w:right="117"/>
        <w:jc w:val="both"/>
      </w:pPr>
      <w:r>
        <w:rPr>
          <w:color w:val="231F20"/>
          <w:w w:val="110"/>
        </w:rPr>
        <w:t>la población y el nivel de urbanización. En este estudio se considera como </w:t>
      </w:r>
      <w:r>
        <w:rPr>
          <w:color w:val="231F20"/>
          <w:spacing w:val="-4"/>
          <w:w w:val="110"/>
        </w:rPr>
        <w:t>medio</w:t>
      </w:r>
      <w:r>
        <w:rPr>
          <w:color w:val="231F20"/>
          <w:spacing w:val="-9"/>
          <w:w w:val="110"/>
        </w:rPr>
        <w:t> </w:t>
      </w:r>
      <w:r>
        <w:rPr>
          <w:color w:val="231F20"/>
          <w:spacing w:val="-4"/>
          <w:w w:val="110"/>
        </w:rPr>
        <w:t>rural</w:t>
      </w:r>
      <w:r>
        <w:rPr>
          <w:color w:val="231F20"/>
          <w:spacing w:val="-9"/>
          <w:w w:val="110"/>
        </w:rPr>
        <w:t> </w:t>
      </w:r>
      <w:r>
        <w:rPr>
          <w:color w:val="231F20"/>
          <w:w w:val="110"/>
        </w:rPr>
        <w:t>a</w:t>
      </w:r>
      <w:r>
        <w:rPr>
          <w:color w:val="231F20"/>
          <w:spacing w:val="-9"/>
          <w:w w:val="110"/>
        </w:rPr>
        <w:t> </w:t>
      </w:r>
      <w:r>
        <w:rPr>
          <w:color w:val="231F20"/>
          <w:spacing w:val="-4"/>
          <w:w w:val="110"/>
        </w:rPr>
        <w:t>aquellas</w:t>
      </w:r>
      <w:r>
        <w:rPr>
          <w:color w:val="231F20"/>
          <w:spacing w:val="-9"/>
          <w:w w:val="110"/>
        </w:rPr>
        <w:t> </w:t>
      </w:r>
      <w:r>
        <w:rPr>
          <w:color w:val="231F20"/>
          <w:spacing w:val="-4"/>
          <w:w w:val="110"/>
        </w:rPr>
        <w:t>localidades</w:t>
      </w:r>
      <w:r>
        <w:rPr>
          <w:color w:val="231F20"/>
          <w:spacing w:val="-9"/>
          <w:w w:val="110"/>
        </w:rPr>
        <w:t> </w:t>
      </w:r>
      <w:r>
        <w:rPr>
          <w:color w:val="231F20"/>
          <w:spacing w:val="-3"/>
          <w:w w:val="110"/>
        </w:rPr>
        <w:t>con</w:t>
      </w:r>
      <w:r>
        <w:rPr>
          <w:color w:val="231F20"/>
          <w:spacing w:val="-9"/>
          <w:w w:val="110"/>
        </w:rPr>
        <w:t> </w:t>
      </w:r>
      <w:r>
        <w:rPr>
          <w:color w:val="231F20"/>
          <w:spacing w:val="-4"/>
          <w:w w:val="110"/>
        </w:rPr>
        <w:t>menos</w:t>
      </w:r>
      <w:r>
        <w:rPr>
          <w:color w:val="231F20"/>
          <w:spacing w:val="-9"/>
          <w:w w:val="110"/>
        </w:rPr>
        <w:t> </w:t>
      </w:r>
      <w:r>
        <w:rPr>
          <w:color w:val="231F20"/>
          <w:w w:val="110"/>
        </w:rPr>
        <w:t>de</w:t>
      </w:r>
      <w:r>
        <w:rPr>
          <w:color w:val="231F20"/>
          <w:spacing w:val="-9"/>
          <w:w w:val="110"/>
        </w:rPr>
        <w:t> </w:t>
      </w:r>
      <w:r>
        <w:rPr>
          <w:color w:val="231F20"/>
          <w:spacing w:val="-4"/>
          <w:w w:val="110"/>
        </w:rPr>
        <w:t>2,500</w:t>
      </w:r>
      <w:r>
        <w:rPr>
          <w:color w:val="231F20"/>
          <w:spacing w:val="-9"/>
          <w:w w:val="110"/>
        </w:rPr>
        <w:t> </w:t>
      </w:r>
      <w:r>
        <w:rPr>
          <w:color w:val="231F20"/>
          <w:spacing w:val="-4"/>
          <w:w w:val="110"/>
        </w:rPr>
        <w:t>habitantes</w:t>
      </w:r>
      <w:r>
        <w:rPr>
          <w:color w:val="231F20"/>
          <w:spacing w:val="-9"/>
          <w:w w:val="110"/>
        </w:rPr>
        <w:t> </w:t>
      </w:r>
      <w:r>
        <w:rPr>
          <w:color w:val="231F20"/>
          <w:w w:val="110"/>
        </w:rPr>
        <w:t>y</w:t>
      </w:r>
      <w:r>
        <w:rPr>
          <w:color w:val="231F20"/>
          <w:spacing w:val="-9"/>
          <w:w w:val="110"/>
        </w:rPr>
        <w:t> </w:t>
      </w:r>
      <w:r>
        <w:rPr>
          <w:color w:val="231F20"/>
          <w:spacing w:val="-3"/>
          <w:w w:val="110"/>
        </w:rPr>
        <w:t>como</w:t>
      </w:r>
      <w:r>
        <w:rPr>
          <w:color w:val="231F20"/>
          <w:spacing w:val="-9"/>
          <w:w w:val="110"/>
        </w:rPr>
        <w:t> </w:t>
      </w:r>
      <w:r>
        <w:rPr>
          <w:color w:val="231F20"/>
          <w:spacing w:val="-3"/>
          <w:w w:val="110"/>
        </w:rPr>
        <w:t>me- </w:t>
      </w:r>
      <w:r>
        <w:rPr>
          <w:color w:val="231F20"/>
          <w:w w:val="110"/>
        </w:rPr>
        <w:t>dio urbano, aquellas localidades de 2,500 y más</w:t>
      </w:r>
      <w:r>
        <w:rPr>
          <w:color w:val="231F20"/>
          <w:spacing w:val="38"/>
          <w:w w:val="110"/>
        </w:rPr>
        <w:t> </w:t>
      </w:r>
      <w:r>
        <w:rPr>
          <w:color w:val="231F20"/>
          <w:w w:val="110"/>
        </w:rPr>
        <w:t>habitantes.</w:t>
      </w:r>
    </w:p>
    <w:p>
      <w:pPr>
        <w:pStyle w:val="BodyText"/>
        <w:spacing w:line="288" w:lineRule="auto"/>
        <w:ind w:left="100" w:right="116" w:firstLine="360"/>
        <w:jc w:val="both"/>
      </w:pPr>
      <w:r>
        <w:rPr>
          <w:color w:val="231F20"/>
          <w:w w:val="110"/>
        </w:rPr>
        <w:t>Con base en el Censo de Población y Vivienda 2010 en el Estado de México la población en edades avanzadas reside predominantemente en localidades urbanas, ya que representa 86.9 por ciento, en tanto que la población en localidades de tipo rural es de 13.1 por ciento. En el análisis por sexo de la población se aprecia que 13.3 por ciento de los hombres y</w:t>
      </w:r>
    </w:p>
    <w:p>
      <w:pPr>
        <w:pStyle w:val="BodyText"/>
        <w:spacing w:line="288" w:lineRule="auto"/>
        <w:ind w:left="100" w:right="117"/>
        <w:jc w:val="both"/>
      </w:pPr>
      <w:r>
        <w:rPr>
          <w:color w:val="231F20"/>
          <w:w w:val="110"/>
        </w:rPr>
        <w:t>12.9 por ciento de las mujeres en edades avanzadas viven en localidades rurales.</w:t>
      </w:r>
    </w:p>
    <w:p>
      <w:pPr>
        <w:pStyle w:val="BodyText"/>
        <w:spacing w:line="288" w:lineRule="auto"/>
        <w:ind w:left="100" w:right="117" w:firstLine="360"/>
        <w:jc w:val="both"/>
      </w:pPr>
      <w:r>
        <w:rPr>
          <w:color w:val="231F20"/>
          <w:w w:val="110"/>
        </w:rPr>
        <w:t>Como consecuencia de la mayor esperanza de vida que presentan las mujeres,</w:t>
      </w:r>
      <w:r>
        <w:rPr>
          <w:color w:val="231F20"/>
          <w:spacing w:val="-6"/>
          <w:w w:val="110"/>
        </w:rPr>
        <w:t> </w:t>
      </w:r>
      <w:r>
        <w:rPr>
          <w:color w:val="231F20"/>
          <w:w w:val="110"/>
        </w:rPr>
        <w:t>el</w:t>
      </w:r>
      <w:r>
        <w:rPr>
          <w:color w:val="231F20"/>
          <w:spacing w:val="-6"/>
          <w:w w:val="110"/>
        </w:rPr>
        <w:t> </w:t>
      </w:r>
      <w:r>
        <w:rPr>
          <w:color w:val="231F20"/>
          <w:w w:val="110"/>
        </w:rPr>
        <w:t>proceso</w:t>
      </w:r>
      <w:r>
        <w:rPr>
          <w:color w:val="231F20"/>
          <w:spacing w:val="-6"/>
          <w:w w:val="110"/>
        </w:rPr>
        <w:t> </w:t>
      </w:r>
      <w:r>
        <w:rPr>
          <w:color w:val="231F20"/>
          <w:w w:val="110"/>
        </w:rPr>
        <w:t>de</w:t>
      </w:r>
      <w:r>
        <w:rPr>
          <w:color w:val="231F20"/>
          <w:spacing w:val="-6"/>
          <w:w w:val="110"/>
        </w:rPr>
        <w:t> </w:t>
      </w:r>
      <w:r>
        <w:rPr>
          <w:color w:val="231F20"/>
          <w:w w:val="110"/>
        </w:rPr>
        <w:t>envejecimiento</w:t>
      </w:r>
      <w:r>
        <w:rPr>
          <w:color w:val="231F20"/>
          <w:spacing w:val="-6"/>
          <w:w w:val="110"/>
        </w:rPr>
        <w:t> </w:t>
      </w:r>
      <w:r>
        <w:rPr>
          <w:color w:val="231F20"/>
          <w:w w:val="110"/>
        </w:rPr>
        <w:t>aparece</w:t>
      </w:r>
      <w:r>
        <w:rPr>
          <w:color w:val="231F20"/>
          <w:spacing w:val="-6"/>
          <w:w w:val="110"/>
        </w:rPr>
        <w:t> </w:t>
      </w:r>
      <w:r>
        <w:rPr>
          <w:color w:val="231F20"/>
          <w:w w:val="110"/>
        </w:rPr>
        <w:t>como</w:t>
      </w:r>
      <w:r>
        <w:rPr>
          <w:color w:val="231F20"/>
          <w:spacing w:val="-6"/>
          <w:w w:val="110"/>
        </w:rPr>
        <w:t> </w:t>
      </w:r>
      <w:r>
        <w:rPr>
          <w:color w:val="231F20"/>
          <w:w w:val="110"/>
        </w:rPr>
        <w:t>un</w:t>
      </w:r>
      <w:r>
        <w:rPr>
          <w:color w:val="231F20"/>
          <w:spacing w:val="-6"/>
          <w:w w:val="110"/>
        </w:rPr>
        <w:t> </w:t>
      </w:r>
      <w:r>
        <w:rPr>
          <w:color w:val="231F20"/>
          <w:w w:val="110"/>
        </w:rPr>
        <w:t>fenómeno</w:t>
      </w:r>
      <w:r>
        <w:rPr>
          <w:color w:val="231F20"/>
          <w:spacing w:val="-6"/>
          <w:w w:val="110"/>
        </w:rPr>
        <w:t> </w:t>
      </w:r>
      <w:r>
        <w:rPr>
          <w:color w:val="231F20"/>
          <w:w w:val="110"/>
        </w:rPr>
        <w:t>mayori- tariamente femenino. Los porcentajes de la gráfica 2 muestran que la po- blación</w:t>
      </w:r>
      <w:r>
        <w:rPr>
          <w:color w:val="231F20"/>
          <w:spacing w:val="-13"/>
          <w:w w:val="110"/>
        </w:rPr>
        <w:t> </w:t>
      </w:r>
      <w:r>
        <w:rPr>
          <w:color w:val="231F20"/>
          <w:w w:val="110"/>
        </w:rPr>
        <w:t>femenina</w:t>
      </w:r>
      <w:r>
        <w:rPr>
          <w:color w:val="231F20"/>
          <w:spacing w:val="-13"/>
          <w:w w:val="110"/>
        </w:rPr>
        <w:t> </w:t>
      </w:r>
      <w:r>
        <w:rPr>
          <w:color w:val="231F20"/>
          <w:w w:val="110"/>
        </w:rPr>
        <w:t>en</w:t>
      </w:r>
      <w:r>
        <w:rPr>
          <w:color w:val="231F20"/>
          <w:spacing w:val="-13"/>
          <w:w w:val="110"/>
        </w:rPr>
        <w:t> </w:t>
      </w:r>
      <w:r>
        <w:rPr>
          <w:color w:val="231F20"/>
          <w:w w:val="110"/>
        </w:rPr>
        <w:t>edades</w:t>
      </w:r>
      <w:r>
        <w:rPr>
          <w:color w:val="231F20"/>
          <w:spacing w:val="-13"/>
          <w:w w:val="110"/>
        </w:rPr>
        <w:t> </w:t>
      </w:r>
      <w:r>
        <w:rPr>
          <w:color w:val="231F20"/>
          <w:w w:val="110"/>
        </w:rPr>
        <w:t>de</w:t>
      </w:r>
      <w:r>
        <w:rPr>
          <w:color w:val="231F20"/>
          <w:spacing w:val="-13"/>
          <w:w w:val="110"/>
        </w:rPr>
        <w:t> </w:t>
      </w:r>
      <w:r>
        <w:rPr>
          <w:color w:val="231F20"/>
          <w:w w:val="110"/>
        </w:rPr>
        <w:t>60</w:t>
      </w:r>
      <w:r>
        <w:rPr>
          <w:color w:val="231F20"/>
          <w:spacing w:val="-13"/>
          <w:w w:val="110"/>
        </w:rPr>
        <w:t> </w:t>
      </w:r>
      <w:r>
        <w:rPr>
          <w:color w:val="231F20"/>
          <w:w w:val="110"/>
        </w:rPr>
        <w:t>años</w:t>
      </w:r>
      <w:r>
        <w:rPr>
          <w:color w:val="231F20"/>
          <w:spacing w:val="-13"/>
          <w:w w:val="110"/>
        </w:rPr>
        <w:t> </w:t>
      </w:r>
      <w:r>
        <w:rPr>
          <w:color w:val="231F20"/>
          <w:w w:val="110"/>
        </w:rPr>
        <w:t>y</w:t>
      </w:r>
      <w:r>
        <w:rPr>
          <w:color w:val="231F20"/>
          <w:spacing w:val="-13"/>
          <w:w w:val="110"/>
        </w:rPr>
        <w:t> </w:t>
      </w:r>
      <w:r>
        <w:rPr>
          <w:color w:val="231F20"/>
          <w:w w:val="110"/>
        </w:rPr>
        <w:t>más,</w:t>
      </w:r>
      <w:r>
        <w:rPr>
          <w:color w:val="231F20"/>
          <w:spacing w:val="-13"/>
          <w:w w:val="110"/>
        </w:rPr>
        <w:t> </w:t>
      </w:r>
      <w:r>
        <w:rPr>
          <w:color w:val="231F20"/>
          <w:w w:val="110"/>
        </w:rPr>
        <w:t>representa</w:t>
      </w:r>
      <w:r>
        <w:rPr>
          <w:color w:val="231F20"/>
          <w:spacing w:val="-13"/>
          <w:w w:val="110"/>
        </w:rPr>
        <w:t> </w:t>
      </w:r>
      <w:r>
        <w:rPr>
          <w:color w:val="231F20"/>
          <w:w w:val="110"/>
        </w:rPr>
        <w:t>53.9</w:t>
      </w:r>
      <w:r>
        <w:rPr>
          <w:color w:val="231F20"/>
          <w:spacing w:val="-13"/>
          <w:w w:val="110"/>
        </w:rPr>
        <w:t> </w:t>
      </w:r>
      <w:r>
        <w:rPr>
          <w:color w:val="231F20"/>
          <w:w w:val="110"/>
        </w:rPr>
        <w:t>por</w:t>
      </w:r>
      <w:r>
        <w:rPr>
          <w:color w:val="231F20"/>
          <w:spacing w:val="-13"/>
          <w:w w:val="110"/>
        </w:rPr>
        <w:t> </w:t>
      </w:r>
      <w:r>
        <w:rPr>
          <w:color w:val="231F20"/>
          <w:w w:val="110"/>
        </w:rPr>
        <w:t>ciento</w:t>
      </w:r>
      <w:r>
        <w:rPr>
          <w:color w:val="231F20"/>
          <w:spacing w:val="-13"/>
          <w:w w:val="110"/>
        </w:rPr>
        <w:t> </w:t>
      </w:r>
      <w:r>
        <w:rPr>
          <w:color w:val="231F20"/>
          <w:w w:val="110"/>
        </w:rPr>
        <w:t>de la población total, mientras que la población masculina es 46.1 por ciento. Esta tendencia se mantiene en el análisis por localidad, ya que en los me- dios rurales la participación de las mujeres en edades avanzadas alcanza la cifra de 53.1 por ciento y en localidades urbanas es 54.0 por </w:t>
      </w:r>
      <w:r>
        <w:rPr>
          <w:color w:val="231F20"/>
          <w:spacing w:val="22"/>
          <w:w w:val="110"/>
        </w:rPr>
        <w:t> </w:t>
      </w:r>
      <w:r>
        <w:rPr>
          <w:color w:val="231F20"/>
          <w:w w:val="110"/>
        </w:rPr>
        <w:t>ciento.</w:t>
      </w:r>
    </w:p>
    <w:p>
      <w:pPr>
        <w:pStyle w:val="BodyText"/>
        <w:spacing w:before="4"/>
      </w:pPr>
    </w:p>
    <w:p>
      <w:pPr>
        <w:spacing w:line="185" w:lineRule="exact" w:before="0"/>
        <w:ind w:left="1389" w:right="1407" w:firstLine="0"/>
        <w:jc w:val="center"/>
        <w:rPr>
          <w:sz w:val="16"/>
        </w:rPr>
      </w:pPr>
      <w:r>
        <w:rPr>
          <w:color w:val="231F20"/>
          <w:w w:val="105"/>
          <w:sz w:val="16"/>
        </w:rPr>
        <w:t>Gráfica 2</w:t>
      </w:r>
    </w:p>
    <w:p>
      <w:pPr>
        <w:spacing w:line="210" w:lineRule="exact" w:before="9"/>
        <w:ind w:left="1096" w:right="1114" w:firstLine="0"/>
        <w:jc w:val="center"/>
        <w:rPr>
          <w:sz w:val="19"/>
        </w:rPr>
      </w:pPr>
      <w:r>
        <w:rPr>
          <w:color w:val="231F20"/>
          <w:w w:val="90"/>
          <w:sz w:val="19"/>
        </w:rPr>
        <w:t>Distribución</w:t>
      </w:r>
      <w:r>
        <w:rPr>
          <w:color w:val="231F20"/>
          <w:spacing w:val="-12"/>
          <w:w w:val="90"/>
          <w:sz w:val="19"/>
        </w:rPr>
        <w:t> </w:t>
      </w:r>
      <w:r>
        <w:rPr>
          <w:color w:val="231F20"/>
          <w:w w:val="90"/>
          <w:sz w:val="19"/>
        </w:rPr>
        <w:t>porcentual</w:t>
      </w:r>
      <w:r>
        <w:rPr>
          <w:color w:val="231F20"/>
          <w:spacing w:val="-12"/>
          <w:w w:val="90"/>
          <w:sz w:val="19"/>
        </w:rPr>
        <w:t> </w:t>
      </w:r>
      <w:r>
        <w:rPr>
          <w:color w:val="231F20"/>
          <w:w w:val="90"/>
          <w:sz w:val="19"/>
        </w:rPr>
        <w:t>de</w:t>
      </w:r>
      <w:r>
        <w:rPr>
          <w:color w:val="231F20"/>
          <w:spacing w:val="-12"/>
          <w:w w:val="90"/>
          <w:sz w:val="19"/>
        </w:rPr>
        <w:t> </w:t>
      </w:r>
      <w:r>
        <w:rPr>
          <w:color w:val="231F20"/>
          <w:w w:val="90"/>
          <w:sz w:val="19"/>
        </w:rPr>
        <w:t>la</w:t>
      </w:r>
      <w:r>
        <w:rPr>
          <w:color w:val="231F20"/>
          <w:spacing w:val="-12"/>
          <w:w w:val="90"/>
          <w:sz w:val="19"/>
        </w:rPr>
        <w:t> </w:t>
      </w:r>
      <w:r>
        <w:rPr>
          <w:color w:val="231F20"/>
          <w:w w:val="90"/>
          <w:sz w:val="19"/>
        </w:rPr>
        <w:t>población</w:t>
      </w:r>
      <w:r>
        <w:rPr>
          <w:color w:val="231F20"/>
          <w:spacing w:val="-12"/>
          <w:w w:val="90"/>
          <w:sz w:val="19"/>
        </w:rPr>
        <w:t> </w:t>
      </w:r>
      <w:r>
        <w:rPr>
          <w:color w:val="231F20"/>
          <w:w w:val="90"/>
          <w:sz w:val="19"/>
        </w:rPr>
        <w:t>adulta</w:t>
      </w:r>
      <w:r>
        <w:rPr>
          <w:color w:val="231F20"/>
          <w:spacing w:val="-12"/>
          <w:w w:val="90"/>
          <w:sz w:val="19"/>
        </w:rPr>
        <w:t> </w:t>
      </w:r>
      <w:r>
        <w:rPr>
          <w:color w:val="231F20"/>
          <w:w w:val="90"/>
          <w:sz w:val="19"/>
        </w:rPr>
        <w:t>mayor</w:t>
      </w:r>
      <w:r>
        <w:rPr>
          <w:color w:val="231F20"/>
          <w:spacing w:val="-12"/>
          <w:w w:val="90"/>
          <w:sz w:val="19"/>
        </w:rPr>
        <w:t> </w:t>
      </w:r>
      <w:r>
        <w:rPr>
          <w:color w:val="231F20"/>
          <w:w w:val="90"/>
          <w:sz w:val="19"/>
        </w:rPr>
        <w:t>según</w:t>
      </w:r>
      <w:r>
        <w:rPr>
          <w:color w:val="231F20"/>
          <w:spacing w:val="-12"/>
          <w:w w:val="90"/>
          <w:sz w:val="19"/>
        </w:rPr>
        <w:t> </w:t>
      </w:r>
      <w:r>
        <w:rPr>
          <w:color w:val="231F20"/>
          <w:w w:val="90"/>
          <w:sz w:val="19"/>
        </w:rPr>
        <w:t>localidad</w:t>
      </w:r>
      <w:r>
        <w:rPr>
          <w:color w:val="231F20"/>
          <w:w w:val="85"/>
          <w:sz w:val="19"/>
        </w:rPr>
        <w:t> </w:t>
      </w:r>
      <w:r>
        <w:rPr>
          <w:color w:val="231F20"/>
          <w:w w:val="90"/>
          <w:sz w:val="19"/>
        </w:rPr>
        <w:t>de residencia y sexo, Estado de México,</w:t>
      </w:r>
      <w:r>
        <w:rPr>
          <w:color w:val="231F20"/>
          <w:spacing w:val="-20"/>
          <w:w w:val="90"/>
          <w:sz w:val="19"/>
        </w:rPr>
        <w:t> </w:t>
      </w:r>
      <w:r>
        <w:rPr>
          <w:color w:val="231F20"/>
          <w:w w:val="90"/>
          <w:sz w:val="19"/>
        </w:rPr>
        <w:t>2010</w:t>
      </w:r>
    </w:p>
    <w:p>
      <w:pPr>
        <w:pStyle w:val="BodyText"/>
        <w:spacing w:before="4"/>
        <w:rPr>
          <w:sz w:val="17"/>
        </w:rPr>
      </w:pPr>
    </w:p>
    <w:p>
      <w:pPr>
        <w:spacing w:before="80"/>
        <w:ind w:left="699" w:right="0" w:firstLine="0"/>
        <w:jc w:val="left"/>
        <w:rPr>
          <w:sz w:val="14"/>
        </w:rPr>
      </w:pPr>
      <w:r>
        <w:rPr/>
        <w:pict>
          <v:group style="position:absolute;margin-left:100.190002pt;margin-top:8.09332pt;width:250.1pt;height:160.35pt;mso-position-horizontal-relative:page;mso-position-vertical-relative:paragraph;z-index:4096" coordorigin="2004,162" coordsize="5002,3207">
            <v:shape style="position:absolute;left:2006;top:164;width:4846;height:3202" coordorigin="2006,164" coordsize="4846,3202" path="m2006,3305l6361,3305,6852,2921,2558,2921,2064,3305m2006,164l2064,164,2064,3305m2006,2986l2064,2986m2064,2676l2006,2676m2064,2364l2006,2364m2064,2052l2006,2052m2064,1731l2006,1731m2064,1419l2006,1419m2064,1107l2006,1107m2064,795l2006,795m2064,484l2006,484m3493,3305l3493,3366m2064,3305l2064,3366m4928,3305l4928,3366m6358,3305l6358,3366e" filled="false" stroked="true" strokeweight=".245pt" strokecolor="#231f20">
              <v:path arrowok="t"/>
            </v:shape>
            <v:shape style="position:absolute;left:2642;top:162;width:766;height:137" coordorigin="2642,162" coordsize="766,137" path="m3407,162l2832,162,2642,299,3213,299,3407,162xe" filled="true" fillcolor="#939598" stroked="false">
              <v:path arrowok="t"/>
              <v:fill type="solid"/>
            </v:shape>
            <v:rect style="position:absolute;left:2642;top:299;width:572;height:1538" filled="true" fillcolor="#a7a9ac" stroked="false">
              <v:fill type="solid"/>
            </v:rect>
            <v:shape style="position:absolute;left:3213;top:162;width:195;height:1674" coordorigin="3213,162" coordsize="195,1674" path="m3407,162l3213,299,3214,1836,3407,1693,3407,162xe" filled="true" fillcolor="#808285" stroked="false">
              <v:path arrowok="t"/>
              <v:fill type="solid"/>
            </v:shape>
            <v:shape style="position:absolute;left:3214;top:1693;width:194;height:1493" coordorigin="3214,1693" coordsize="194,1493" path="m3407,1693l3214,1836,3214,3186,3407,3049,3407,1693xe" filled="true" fillcolor="#58595b" stroked="false">
              <v:path arrowok="t"/>
              <v:fill type="solid"/>
            </v:shape>
            <v:rect style="position:absolute;left:2642;top:1836;width:572;height:1350" filled="true" fillcolor="#6d6e71" stroked="false">
              <v:fill type="solid"/>
            </v:rect>
            <v:shape style="position:absolute;left:4082;top:164;width:766;height:137" coordorigin="4082,164" coordsize="766,137" path="m4848,164l4272,164,4082,301,4653,301,4848,164xe" filled="true" fillcolor="#939598" stroked="false">
              <v:path arrowok="t"/>
              <v:fill type="solid"/>
            </v:shape>
            <v:rect style="position:absolute;left:4082;top:301;width:572;height:1538" filled="true" fillcolor="#a7a9ac" stroked="false">
              <v:fill type="solid"/>
            </v:rect>
            <v:shape style="position:absolute;left:4653;top:164;width:195;height:1674" coordorigin="4653,164" coordsize="195,1674" path="m4848,164l4653,301,4654,1838,4848,1695,4848,164xe" filled="true" fillcolor="#808285" stroked="false">
              <v:path arrowok="t"/>
              <v:fill type="solid"/>
            </v:shape>
            <v:shape style="position:absolute;left:4654;top:1695;width:194;height:1493" coordorigin="4654,1695" coordsize="194,1493" path="m4848,1695l4654,1838,4654,3188,4848,3050,4848,1695xe" filled="true" fillcolor="#58595b" stroked="false">
              <v:path arrowok="t"/>
              <v:fill type="solid"/>
            </v:shape>
            <v:rect style="position:absolute;left:4082;top:1838;width:572;height:1350" filled="true" fillcolor="#6d6e71" stroked="false">
              <v:fill type="solid"/>
            </v:rect>
            <v:shape style="position:absolute;left:5513;top:164;width:766;height:137" coordorigin="5513,164" coordsize="766,137" path="m6279,164l5703,164,5513,301,6084,301,6279,164xe" filled="true" fillcolor="#939598" stroked="false">
              <v:path arrowok="t"/>
              <v:fill type="solid"/>
            </v:shape>
            <v:rect style="position:absolute;left:5513;top:301;width:572;height:1538" filled="true" fillcolor="#a7a9ac" stroked="false">
              <v:fill type="solid"/>
            </v:rect>
            <v:shape style="position:absolute;left:6084;top:164;width:195;height:1674" coordorigin="6084,164" coordsize="195,1674" path="m6279,164l6084,301,6085,1838,6279,1695,6279,164xe" filled="true" fillcolor="#808285" stroked="false">
              <v:path arrowok="t"/>
              <v:fill type="solid"/>
            </v:shape>
            <v:shape style="position:absolute;left:6085;top:1695;width:194;height:1493" coordorigin="6085,1695" coordsize="194,1493" path="m6279,1695l6085,1838,6085,3188,6279,3050,6279,1695xe" filled="true" fillcolor="#58595b" stroked="false">
              <v:path arrowok="t"/>
              <v:fill type="solid"/>
            </v:shape>
            <v:rect style="position:absolute;left:5513;top:1838;width:572;height:1350" filled="true" fillcolor="#6d6e71" stroked="false">
              <v:fill type="solid"/>
            </v:rect>
            <v:line style="position:absolute" from="6857,1651" to="6962,1651" stroked="true" strokeweight="4.274pt" strokecolor="#6d6e71"/>
            <v:line style="position:absolute" from="6857,1283" to="6962,1283" stroked="true" strokeweight="4.274pt" strokecolor="#a7a9ac"/>
            <w10:wrap type="none"/>
          </v:group>
        </w:pict>
      </w:r>
      <w:r>
        <w:rPr>
          <w:color w:val="231F20"/>
          <w:sz w:val="14"/>
        </w:rPr>
        <w:t>100</w:t>
      </w:r>
    </w:p>
    <w:p>
      <w:pPr>
        <w:pStyle w:val="BodyText"/>
        <w:spacing w:before="9"/>
        <w:rPr>
          <w:sz w:val="12"/>
        </w:rPr>
      </w:pPr>
    </w:p>
    <w:p>
      <w:pPr>
        <w:spacing w:before="0"/>
        <w:ind w:left="778" w:right="0" w:firstLine="0"/>
        <w:jc w:val="left"/>
        <w:rPr>
          <w:sz w:val="14"/>
        </w:rPr>
      </w:pPr>
      <w:r>
        <w:rPr>
          <w:color w:val="231F20"/>
          <w:sz w:val="14"/>
        </w:rPr>
        <w:t>90</w:t>
      </w:r>
    </w:p>
    <w:p>
      <w:pPr>
        <w:pStyle w:val="BodyText"/>
        <w:spacing w:before="9"/>
        <w:rPr>
          <w:sz w:val="12"/>
        </w:rPr>
      </w:pPr>
    </w:p>
    <w:p>
      <w:pPr>
        <w:spacing w:before="0"/>
        <w:ind w:left="778" w:right="0" w:firstLine="0"/>
        <w:jc w:val="left"/>
        <w:rPr>
          <w:sz w:val="14"/>
        </w:rPr>
      </w:pPr>
      <w:r>
        <w:rPr>
          <w:color w:val="231F20"/>
          <w:sz w:val="14"/>
        </w:rPr>
        <w:t>80</w:t>
      </w:r>
    </w:p>
    <w:p>
      <w:pPr>
        <w:pStyle w:val="BodyText"/>
        <w:spacing w:before="9"/>
        <w:rPr>
          <w:sz w:val="12"/>
        </w:rPr>
      </w:pPr>
    </w:p>
    <w:p>
      <w:pPr>
        <w:spacing w:before="0"/>
        <w:ind w:left="778" w:right="0" w:firstLine="0"/>
        <w:jc w:val="left"/>
        <w:rPr>
          <w:sz w:val="14"/>
        </w:rPr>
      </w:pPr>
      <w:r>
        <w:rPr>
          <w:color w:val="231F20"/>
          <w:sz w:val="14"/>
        </w:rPr>
        <w:t>70</w:t>
      </w:r>
    </w:p>
    <w:p>
      <w:pPr>
        <w:spacing w:line="143" w:lineRule="exact" w:before="28"/>
        <w:ind w:left="100" w:right="624" w:firstLine="0"/>
        <w:jc w:val="right"/>
        <w:rPr>
          <w:sz w:val="14"/>
        </w:rPr>
      </w:pPr>
      <w:r>
        <w:rPr>
          <w:color w:val="231F20"/>
          <w:w w:val="110"/>
          <w:sz w:val="14"/>
        </w:rPr>
        <w:t>Mujeres</w:t>
      </w:r>
    </w:p>
    <w:p>
      <w:pPr>
        <w:spacing w:line="143" w:lineRule="exact" w:before="0"/>
        <w:ind w:left="778" w:right="0" w:firstLine="0"/>
        <w:jc w:val="left"/>
        <w:rPr>
          <w:sz w:val="14"/>
        </w:rPr>
      </w:pPr>
      <w:r>
        <w:rPr>
          <w:color w:val="231F20"/>
          <w:sz w:val="14"/>
        </w:rPr>
        <w:t>60</w:t>
      </w:r>
    </w:p>
    <w:p>
      <w:pPr>
        <w:spacing w:line="133" w:lineRule="exact" w:before="49"/>
        <w:ind w:left="100" w:right="548" w:firstLine="0"/>
        <w:jc w:val="right"/>
        <w:rPr>
          <w:sz w:val="14"/>
        </w:rPr>
      </w:pPr>
      <w:r>
        <w:rPr>
          <w:color w:val="231F20"/>
          <w:w w:val="110"/>
          <w:sz w:val="14"/>
        </w:rPr>
        <w:t>Hombres</w:t>
      </w:r>
    </w:p>
    <w:p>
      <w:pPr>
        <w:spacing w:line="133" w:lineRule="exact" w:before="0"/>
        <w:ind w:left="778" w:right="0" w:firstLine="0"/>
        <w:jc w:val="left"/>
        <w:rPr>
          <w:sz w:val="14"/>
        </w:rPr>
      </w:pPr>
      <w:r>
        <w:rPr>
          <w:color w:val="231F20"/>
          <w:sz w:val="14"/>
        </w:rPr>
        <w:t>50</w:t>
      </w:r>
    </w:p>
    <w:p>
      <w:pPr>
        <w:pStyle w:val="BodyText"/>
        <w:spacing w:before="9"/>
        <w:rPr>
          <w:sz w:val="12"/>
        </w:rPr>
      </w:pPr>
    </w:p>
    <w:p>
      <w:pPr>
        <w:spacing w:before="0"/>
        <w:ind w:left="778" w:right="0" w:firstLine="0"/>
        <w:jc w:val="left"/>
        <w:rPr>
          <w:sz w:val="14"/>
        </w:rPr>
      </w:pPr>
      <w:r>
        <w:rPr>
          <w:color w:val="231F20"/>
          <w:sz w:val="14"/>
        </w:rPr>
        <w:t>40</w:t>
      </w:r>
    </w:p>
    <w:p>
      <w:pPr>
        <w:pStyle w:val="BodyText"/>
        <w:spacing w:before="9"/>
        <w:rPr>
          <w:sz w:val="12"/>
        </w:rPr>
      </w:pPr>
    </w:p>
    <w:p>
      <w:pPr>
        <w:spacing w:before="0"/>
        <w:ind w:left="778" w:right="0" w:firstLine="0"/>
        <w:jc w:val="left"/>
        <w:rPr>
          <w:sz w:val="14"/>
        </w:rPr>
      </w:pPr>
      <w:r>
        <w:rPr>
          <w:color w:val="231F20"/>
          <w:sz w:val="14"/>
        </w:rPr>
        <w:t>30</w:t>
      </w:r>
    </w:p>
    <w:p>
      <w:pPr>
        <w:pStyle w:val="BodyText"/>
        <w:spacing w:before="9"/>
        <w:rPr>
          <w:sz w:val="12"/>
        </w:rPr>
      </w:pPr>
    </w:p>
    <w:p>
      <w:pPr>
        <w:spacing w:before="0"/>
        <w:ind w:left="778" w:right="0" w:firstLine="0"/>
        <w:jc w:val="left"/>
        <w:rPr>
          <w:sz w:val="14"/>
        </w:rPr>
      </w:pPr>
      <w:r>
        <w:rPr>
          <w:color w:val="231F20"/>
          <w:sz w:val="14"/>
        </w:rPr>
        <w:t>20</w:t>
      </w:r>
    </w:p>
    <w:p>
      <w:pPr>
        <w:pStyle w:val="BodyText"/>
        <w:spacing w:before="9"/>
        <w:rPr>
          <w:sz w:val="12"/>
        </w:rPr>
      </w:pPr>
    </w:p>
    <w:p>
      <w:pPr>
        <w:spacing w:before="0"/>
        <w:ind w:left="778" w:right="0" w:firstLine="0"/>
        <w:jc w:val="left"/>
        <w:rPr>
          <w:sz w:val="14"/>
        </w:rPr>
      </w:pPr>
      <w:r>
        <w:rPr>
          <w:color w:val="231F20"/>
          <w:sz w:val="14"/>
        </w:rPr>
        <w:t>10</w:t>
      </w:r>
    </w:p>
    <w:p>
      <w:pPr>
        <w:spacing w:after="0"/>
        <w:jc w:val="left"/>
        <w:rPr>
          <w:sz w:val="14"/>
        </w:rPr>
        <w:sectPr>
          <w:pgSz w:w="9520" w:h="12920"/>
          <w:pgMar w:header="0" w:footer="1344" w:top="880" w:bottom="1540" w:left="1020" w:right="1320"/>
        </w:sectPr>
      </w:pPr>
    </w:p>
    <w:p>
      <w:pPr>
        <w:pStyle w:val="BodyText"/>
        <w:spacing w:before="9"/>
        <w:rPr>
          <w:sz w:val="12"/>
        </w:rPr>
      </w:pPr>
    </w:p>
    <w:p>
      <w:pPr>
        <w:spacing w:before="0"/>
        <w:ind w:left="857" w:right="0" w:firstLine="0"/>
        <w:jc w:val="left"/>
        <w:rPr>
          <w:sz w:val="14"/>
        </w:rPr>
      </w:pPr>
      <w:r>
        <w:rPr>
          <w:color w:val="231F20"/>
          <w:w w:val="102"/>
          <w:sz w:val="14"/>
        </w:rPr>
        <w:t>0</w:t>
      </w:r>
    </w:p>
    <w:p>
      <w:pPr>
        <w:tabs>
          <w:tab w:pos="2962" w:val="left" w:leader="none"/>
        </w:tabs>
        <w:spacing w:before="31"/>
        <w:ind w:left="1501" w:right="0" w:firstLine="0"/>
        <w:jc w:val="left"/>
        <w:rPr>
          <w:sz w:val="14"/>
        </w:rPr>
      </w:pPr>
      <w:r>
        <w:rPr>
          <w:color w:val="231F20"/>
          <w:w w:val="110"/>
          <w:sz w:val="14"/>
        </w:rPr>
        <w:t>Rural</w:t>
        <w:tab/>
        <w:t>Urbana</w:t>
      </w:r>
    </w:p>
    <w:p>
      <w:pPr>
        <w:pStyle w:val="BodyText"/>
        <w:rPr>
          <w:sz w:val="14"/>
        </w:rPr>
      </w:pPr>
      <w:r>
        <w:rPr/>
        <w:br w:type="column"/>
      </w:r>
      <w:r>
        <w:rPr>
          <w:sz w:val="14"/>
        </w:rPr>
      </w:r>
    </w:p>
    <w:p>
      <w:pPr>
        <w:pStyle w:val="BodyText"/>
        <w:spacing w:before="5"/>
        <w:rPr>
          <w:sz w:val="15"/>
        </w:rPr>
      </w:pPr>
    </w:p>
    <w:p>
      <w:pPr>
        <w:spacing w:before="0"/>
        <w:ind w:left="857" w:right="0" w:firstLine="0"/>
        <w:jc w:val="left"/>
        <w:rPr>
          <w:sz w:val="14"/>
        </w:rPr>
      </w:pPr>
      <w:r>
        <w:rPr>
          <w:color w:val="231F20"/>
          <w:w w:val="105"/>
          <w:sz w:val="14"/>
        </w:rPr>
        <w:t>Total</w:t>
      </w:r>
    </w:p>
    <w:p>
      <w:pPr>
        <w:spacing w:after="0"/>
        <w:jc w:val="left"/>
        <w:rPr>
          <w:sz w:val="14"/>
        </w:rPr>
        <w:sectPr>
          <w:type w:val="continuous"/>
          <w:pgSz w:w="9520" w:h="12920"/>
          <w:pgMar w:top="0" w:bottom="0" w:left="1020" w:right="1320"/>
          <w:cols w:num="2" w:equalWidth="0">
            <w:col w:w="3454" w:space="269"/>
            <w:col w:w="3457"/>
          </w:cols>
        </w:sectPr>
      </w:pPr>
    </w:p>
    <w:p>
      <w:pPr>
        <w:spacing w:before="117"/>
        <w:ind w:left="460" w:right="0" w:firstLine="0"/>
        <w:jc w:val="left"/>
        <w:rPr>
          <w:sz w:val="15"/>
        </w:rPr>
      </w:pPr>
      <w:r>
        <w:rPr>
          <w:color w:val="231F20"/>
          <w:w w:val="110"/>
          <w:sz w:val="15"/>
        </w:rPr>
        <w:t>Fuente: Elaboración propia con base en el Censo de Población y Vivienda, </w:t>
      </w:r>
      <w:r>
        <w:rPr>
          <w:rFonts w:ascii="Times New Roman" w:hAnsi="Times New Roman"/>
          <w:color w:val="231F20"/>
          <w:w w:val="110"/>
          <w:sz w:val="12"/>
        </w:rPr>
        <w:t>INEGI</w:t>
      </w:r>
      <w:r>
        <w:rPr>
          <w:color w:val="231F20"/>
          <w:w w:val="110"/>
          <w:sz w:val="15"/>
        </w:rPr>
        <w:t>.  2010.</w:t>
      </w:r>
    </w:p>
    <w:p>
      <w:pPr>
        <w:spacing w:after="0"/>
        <w:jc w:val="left"/>
        <w:rPr>
          <w:sz w:val="15"/>
        </w:rPr>
        <w:sectPr>
          <w:type w:val="continuous"/>
          <w:pgSz w:w="9520" w:h="12920"/>
          <w:pgMar w:top="0" w:bottom="0" w:left="1020" w:right="1320"/>
        </w:sectPr>
      </w:pPr>
    </w:p>
    <w:p>
      <w:pPr>
        <w:spacing w:line="249" w:lineRule="auto" w:before="39"/>
        <w:ind w:left="124" w:right="3467" w:firstLine="0"/>
        <w:jc w:val="left"/>
        <w:rPr>
          <w:rFonts w:ascii="Times New Roman" w:hAnsi="Times New Roman"/>
          <w:i/>
          <w:sz w:val="19"/>
        </w:rPr>
      </w:pPr>
      <w:r>
        <w:rPr>
          <w:rFonts w:ascii="Times New Roman" w:hAnsi="Times New Roman"/>
          <w:i/>
          <w:color w:val="231F20"/>
          <w:sz w:val="24"/>
        </w:rPr>
        <w:t>M</w:t>
      </w:r>
      <w:r>
        <w:rPr>
          <w:rFonts w:ascii="Times New Roman" w:hAnsi="Times New Roman"/>
          <w:i/>
          <w:color w:val="231F20"/>
          <w:sz w:val="19"/>
        </w:rPr>
        <w:t>ORBILIDAD</w:t>
      </w:r>
      <w:r>
        <w:rPr>
          <w:rFonts w:ascii="Times New Roman" w:hAnsi="Times New Roman"/>
          <w:i/>
          <w:color w:val="231F20"/>
          <w:spacing w:val="-26"/>
          <w:sz w:val="19"/>
        </w:rPr>
        <w:t> </w:t>
      </w:r>
      <w:r>
        <w:rPr>
          <w:rFonts w:ascii="Times New Roman" w:hAnsi="Times New Roman"/>
          <w:i/>
          <w:color w:val="231F20"/>
          <w:sz w:val="19"/>
        </w:rPr>
        <w:t>EN</w:t>
      </w:r>
      <w:r>
        <w:rPr>
          <w:rFonts w:ascii="Times New Roman" w:hAnsi="Times New Roman"/>
          <w:i/>
          <w:color w:val="231F20"/>
          <w:spacing w:val="-26"/>
          <w:sz w:val="19"/>
        </w:rPr>
        <w:t> </w:t>
      </w:r>
      <w:r>
        <w:rPr>
          <w:rFonts w:ascii="Times New Roman" w:hAnsi="Times New Roman"/>
          <w:i/>
          <w:color w:val="231F20"/>
          <w:spacing w:val="5"/>
          <w:sz w:val="19"/>
        </w:rPr>
        <w:t>LAS</w:t>
      </w:r>
      <w:r>
        <w:rPr>
          <w:rFonts w:ascii="Times New Roman" w:hAnsi="Times New Roman"/>
          <w:i/>
          <w:color w:val="231F20"/>
          <w:spacing w:val="-26"/>
          <w:sz w:val="19"/>
        </w:rPr>
        <w:t> </w:t>
      </w:r>
      <w:r>
        <w:rPr>
          <w:rFonts w:ascii="Times New Roman" w:hAnsi="Times New Roman"/>
          <w:i/>
          <w:color w:val="231F20"/>
          <w:sz w:val="19"/>
        </w:rPr>
        <w:t>EDADES</w:t>
      </w:r>
      <w:r>
        <w:rPr>
          <w:rFonts w:ascii="Times New Roman" w:hAnsi="Times New Roman"/>
          <w:i/>
          <w:color w:val="231F20"/>
          <w:spacing w:val="-26"/>
          <w:sz w:val="19"/>
        </w:rPr>
        <w:t> </w:t>
      </w:r>
      <w:r>
        <w:rPr>
          <w:rFonts w:ascii="Times New Roman" w:hAnsi="Times New Roman"/>
          <w:i/>
          <w:color w:val="231F20"/>
          <w:spacing w:val="-3"/>
          <w:sz w:val="19"/>
        </w:rPr>
        <w:t>AVANZADAS </w:t>
      </w:r>
      <w:r>
        <w:rPr>
          <w:rFonts w:ascii="Times New Roman" w:hAnsi="Times New Roman"/>
          <w:i/>
          <w:color w:val="231F20"/>
          <w:sz w:val="19"/>
        </w:rPr>
        <w:t>EN</w:t>
      </w:r>
      <w:r>
        <w:rPr>
          <w:rFonts w:ascii="Times New Roman" w:hAnsi="Times New Roman"/>
          <w:i/>
          <w:color w:val="231F20"/>
          <w:spacing w:val="-16"/>
          <w:sz w:val="19"/>
        </w:rPr>
        <w:t> </w:t>
      </w:r>
      <w:r>
        <w:rPr>
          <w:rFonts w:ascii="Times New Roman" w:hAnsi="Times New Roman"/>
          <w:i/>
          <w:color w:val="231F20"/>
          <w:sz w:val="19"/>
        </w:rPr>
        <w:t>EL</w:t>
      </w:r>
      <w:r>
        <w:rPr>
          <w:rFonts w:ascii="Times New Roman" w:hAnsi="Times New Roman"/>
          <w:i/>
          <w:color w:val="231F20"/>
          <w:spacing w:val="-16"/>
          <w:sz w:val="19"/>
        </w:rPr>
        <w:t> </w:t>
      </w:r>
      <w:r>
        <w:rPr>
          <w:rFonts w:ascii="Times New Roman" w:hAnsi="Times New Roman"/>
          <w:i/>
          <w:color w:val="231F20"/>
          <w:spacing w:val="-3"/>
          <w:sz w:val="24"/>
        </w:rPr>
        <w:t>E</w:t>
      </w:r>
      <w:r>
        <w:rPr>
          <w:rFonts w:ascii="Times New Roman" w:hAnsi="Times New Roman"/>
          <w:i/>
          <w:color w:val="231F20"/>
          <w:spacing w:val="-3"/>
          <w:sz w:val="19"/>
        </w:rPr>
        <w:t>STADO</w:t>
      </w:r>
      <w:r>
        <w:rPr>
          <w:rFonts w:ascii="Times New Roman" w:hAnsi="Times New Roman"/>
          <w:i/>
          <w:color w:val="231F20"/>
          <w:spacing w:val="-16"/>
          <w:sz w:val="19"/>
        </w:rPr>
        <w:t> </w:t>
      </w:r>
      <w:r>
        <w:rPr>
          <w:rFonts w:ascii="Times New Roman" w:hAnsi="Times New Roman"/>
          <w:i/>
          <w:color w:val="231F20"/>
          <w:sz w:val="19"/>
        </w:rPr>
        <w:t>DE</w:t>
      </w:r>
      <w:r>
        <w:rPr>
          <w:rFonts w:ascii="Times New Roman" w:hAnsi="Times New Roman"/>
          <w:i/>
          <w:color w:val="231F20"/>
          <w:spacing w:val="-16"/>
          <w:sz w:val="19"/>
        </w:rPr>
        <w:t> </w:t>
      </w:r>
      <w:r>
        <w:rPr>
          <w:rFonts w:ascii="Times New Roman" w:hAnsi="Times New Roman"/>
          <w:i/>
          <w:color w:val="231F20"/>
          <w:sz w:val="24"/>
        </w:rPr>
        <w:t>M</w:t>
      </w:r>
      <w:r>
        <w:rPr>
          <w:rFonts w:ascii="Times New Roman" w:hAnsi="Times New Roman"/>
          <w:i/>
          <w:color w:val="231F20"/>
          <w:sz w:val="19"/>
        </w:rPr>
        <w:t>ÉXICO</w:t>
      </w:r>
    </w:p>
    <w:p>
      <w:pPr>
        <w:pStyle w:val="BodyText"/>
        <w:spacing w:before="4"/>
        <w:rPr>
          <w:rFonts w:ascii="Times New Roman"/>
          <w:i/>
          <w:sz w:val="27"/>
        </w:rPr>
      </w:pPr>
    </w:p>
    <w:p>
      <w:pPr>
        <w:pStyle w:val="BodyText"/>
        <w:spacing w:line="295" w:lineRule="auto" w:before="1"/>
        <w:ind w:left="124" w:right="112"/>
        <w:jc w:val="both"/>
      </w:pPr>
      <w:r>
        <w:rPr>
          <w:color w:val="231F20"/>
          <w:w w:val="110"/>
        </w:rPr>
        <w:t>En esta sección se analiza información de salud de la población de 60 años y más en el Estado de México, que da cuenta de la situación de vulnerabi- lidad de los adultos mayores. Entre los datos revisados se encuentran los padecimientos de enfermedades que presenta la población adulta mayor  y la situación de derechohabiencia a servicios de salud. El envejecimiento de la población es un proceso heterogéneo que afecta de manera desigual a hombres y mujeres según el tipo de localidad. Existe una mayor propor- ción de mujeres que de hombres en edades avanzadas que se encuentran en situación de vulnerabilidad, ya que éstas viven más años con alguna</w:t>
      </w:r>
      <w:r>
        <w:rPr>
          <w:color w:val="231F20"/>
          <w:spacing w:val="-16"/>
          <w:w w:val="110"/>
        </w:rPr>
        <w:t> </w:t>
      </w:r>
      <w:r>
        <w:rPr>
          <w:color w:val="231F20"/>
          <w:w w:val="110"/>
        </w:rPr>
        <w:t>en- fermedad crónico-degenerativa, entre otros aspectos. Según Ham (1999), conforme avanza la edad en la población envejecida, incrementa el riesgo de la pérdida de las capacidades físicas y mentales, con ello la disminución en el desarrollo de algún tipo de actividad física y motriz, lo que implica que esta población presente un mayor grado de</w:t>
      </w:r>
      <w:r>
        <w:rPr>
          <w:color w:val="231F20"/>
          <w:spacing w:val="30"/>
          <w:w w:val="110"/>
        </w:rPr>
        <w:t> </w:t>
      </w:r>
      <w:r>
        <w:rPr>
          <w:color w:val="231F20"/>
          <w:w w:val="110"/>
        </w:rPr>
        <w:t>vulnerabilidad.</w:t>
      </w:r>
    </w:p>
    <w:p>
      <w:pPr>
        <w:pStyle w:val="BodyText"/>
        <w:spacing w:line="295" w:lineRule="auto"/>
        <w:ind w:left="124" w:right="113" w:firstLine="360"/>
        <w:jc w:val="both"/>
      </w:pPr>
      <w:r>
        <w:rPr>
          <w:color w:val="231F20"/>
          <w:w w:val="110"/>
        </w:rPr>
        <w:t>Los</w:t>
      </w:r>
      <w:r>
        <w:rPr>
          <w:color w:val="231F20"/>
          <w:spacing w:val="-7"/>
          <w:w w:val="110"/>
        </w:rPr>
        <w:t> </w:t>
      </w:r>
      <w:r>
        <w:rPr>
          <w:color w:val="231F20"/>
          <w:w w:val="110"/>
        </w:rPr>
        <w:t>adultos</w:t>
      </w:r>
      <w:r>
        <w:rPr>
          <w:color w:val="231F20"/>
          <w:spacing w:val="-7"/>
          <w:w w:val="110"/>
        </w:rPr>
        <w:t> </w:t>
      </w:r>
      <w:r>
        <w:rPr>
          <w:color w:val="231F20"/>
          <w:w w:val="110"/>
        </w:rPr>
        <w:t>mayores</w:t>
      </w:r>
      <w:r>
        <w:rPr>
          <w:color w:val="231F20"/>
          <w:spacing w:val="-7"/>
          <w:w w:val="110"/>
        </w:rPr>
        <w:t> </w:t>
      </w:r>
      <w:r>
        <w:rPr>
          <w:color w:val="231F20"/>
          <w:w w:val="110"/>
        </w:rPr>
        <w:t>viven</w:t>
      </w:r>
      <w:r>
        <w:rPr>
          <w:color w:val="231F20"/>
          <w:spacing w:val="-7"/>
          <w:w w:val="110"/>
        </w:rPr>
        <w:t> </w:t>
      </w:r>
      <w:r>
        <w:rPr>
          <w:color w:val="231F20"/>
          <w:w w:val="110"/>
        </w:rPr>
        <w:t>de</w:t>
      </w:r>
      <w:r>
        <w:rPr>
          <w:color w:val="231F20"/>
          <w:spacing w:val="-7"/>
          <w:w w:val="110"/>
        </w:rPr>
        <w:t> </w:t>
      </w:r>
      <w:r>
        <w:rPr>
          <w:color w:val="231F20"/>
          <w:w w:val="110"/>
        </w:rPr>
        <w:t>manera</w:t>
      </w:r>
      <w:r>
        <w:rPr>
          <w:color w:val="231F20"/>
          <w:spacing w:val="-7"/>
          <w:w w:val="110"/>
        </w:rPr>
        <w:t> </w:t>
      </w:r>
      <w:r>
        <w:rPr>
          <w:color w:val="231F20"/>
          <w:w w:val="110"/>
        </w:rPr>
        <w:t>diferente</w:t>
      </w:r>
      <w:r>
        <w:rPr>
          <w:color w:val="231F20"/>
          <w:spacing w:val="-7"/>
          <w:w w:val="110"/>
        </w:rPr>
        <w:t> </w:t>
      </w:r>
      <w:r>
        <w:rPr>
          <w:color w:val="231F20"/>
          <w:w w:val="110"/>
        </w:rPr>
        <w:t>al</w:t>
      </w:r>
      <w:r>
        <w:rPr>
          <w:color w:val="231F20"/>
          <w:spacing w:val="-7"/>
          <w:w w:val="110"/>
        </w:rPr>
        <w:t> </w:t>
      </w:r>
      <w:r>
        <w:rPr>
          <w:color w:val="231F20"/>
          <w:w w:val="110"/>
        </w:rPr>
        <w:t>resto</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población debido a enfermedades y lesiones que han padecido a lo largo de su vida, lo cual es resultado de las actividades realizadas, así como de las respon- sabilidades y estilos de vida en los que se han desarrollado, aspectos que se vuelven complejos en la población adulta mayor conforme aumenta su edad.</w:t>
      </w:r>
    </w:p>
    <w:p>
      <w:pPr>
        <w:pStyle w:val="BodyText"/>
        <w:spacing w:line="295" w:lineRule="auto"/>
        <w:ind w:left="124" w:right="112" w:firstLine="360"/>
        <w:jc w:val="both"/>
      </w:pPr>
      <w:r>
        <w:rPr>
          <w:color w:val="231F20"/>
          <w:w w:val="110"/>
        </w:rPr>
        <w:t>Entre las personas envejecidas es frecuente que un individuo presente varios</w:t>
      </w:r>
      <w:r>
        <w:rPr>
          <w:color w:val="231F20"/>
          <w:spacing w:val="-17"/>
          <w:w w:val="110"/>
        </w:rPr>
        <w:t> </w:t>
      </w:r>
      <w:r>
        <w:rPr>
          <w:color w:val="231F20"/>
          <w:w w:val="110"/>
        </w:rPr>
        <w:t>padecimientos</w:t>
      </w:r>
      <w:r>
        <w:rPr>
          <w:color w:val="231F20"/>
          <w:spacing w:val="-17"/>
          <w:w w:val="110"/>
        </w:rPr>
        <w:t> </w:t>
      </w:r>
      <w:r>
        <w:rPr>
          <w:color w:val="231F20"/>
          <w:w w:val="110"/>
        </w:rPr>
        <w:t>a</w:t>
      </w:r>
      <w:r>
        <w:rPr>
          <w:color w:val="231F20"/>
          <w:spacing w:val="-17"/>
          <w:w w:val="110"/>
        </w:rPr>
        <w:t> </w:t>
      </w:r>
      <w:r>
        <w:rPr>
          <w:color w:val="231F20"/>
          <w:w w:val="110"/>
        </w:rPr>
        <w:t>la</w:t>
      </w:r>
      <w:r>
        <w:rPr>
          <w:color w:val="231F20"/>
          <w:spacing w:val="-17"/>
          <w:w w:val="110"/>
        </w:rPr>
        <w:t> </w:t>
      </w:r>
      <w:r>
        <w:rPr>
          <w:color w:val="231F20"/>
          <w:w w:val="110"/>
        </w:rPr>
        <w:t>vez,</w:t>
      </w:r>
      <w:r>
        <w:rPr>
          <w:color w:val="231F20"/>
          <w:spacing w:val="-17"/>
          <w:w w:val="110"/>
        </w:rPr>
        <w:t> </w:t>
      </w:r>
      <w:r>
        <w:rPr>
          <w:color w:val="231F20"/>
          <w:w w:val="110"/>
        </w:rPr>
        <w:t>como</w:t>
      </w:r>
      <w:r>
        <w:rPr>
          <w:color w:val="231F20"/>
          <w:spacing w:val="-17"/>
          <w:w w:val="110"/>
        </w:rPr>
        <w:t> </w:t>
      </w:r>
      <w:r>
        <w:rPr>
          <w:color w:val="231F20"/>
          <w:w w:val="110"/>
        </w:rPr>
        <w:t>enfermedades</w:t>
      </w:r>
      <w:r>
        <w:rPr>
          <w:color w:val="231F20"/>
          <w:spacing w:val="-17"/>
          <w:w w:val="110"/>
        </w:rPr>
        <w:t> </w:t>
      </w:r>
      <w:r>
        <w:rPr>
          <w:color w:val="231F20"/>
          <w:w w:val="110"/>
        </w:rPr>
        <w:t>crónicas,</w:t>
      </w:r>
      <w:r>
        <w:rPr>
          <w:color w:val="231F20"/>
          <w:spacing w:val="-17"/>
          <w:w w:val="110"/>
        </w:rPr>
        <w:t> </w:t>
      </w:r>
      <w:r>
        <w:rPr>
          <w:color w:val="231F20"/>
          <w:w w:val="110"/>
        </w:rPr>
        <w:t>discapacidades y accidentes. Estos factores hacen que la población de 60 años y más sea  el principal grupo consumidor de servicios de </w:t>
      </w:r>
      <w:r>
        <w:rPr>
          <w:color w:val="231F20"/>
          <w:spacing w:val="13"/>
          <w:w w:val="110"/>
        </w:rPr>
        <w:t> </w:t>
      </w:r>
      <w:r>
        <w:rPr>
          <w:color w:val="231F20"/>
          <w:w w:val="110"/>
        </w:rPr>
        <w:t>salud.</w:t>
      </w:r>
    </w:p>
    <w:p>
      <w:pPr>
        <w:pStyle w:val="BodyText"/>
        <w:spacing w:line="295" w:lineRule="auto"/>
        <w:ind w:left="124" w:right="112" w:firstLine="360"/>
        <w:jc w:val="both"/>
      </w:pPr>
      <w:r>
        <w:rPr>
          <w:color w:val="231F20"/>
          <w:w w:val="110"/>
        </w:rPr>
        <w:t>La salud está íntimamente ligada a las condiciones de vida de la pobla- ción adulta </w:t>
      </w:r>
      <w:r>
        <w:rPr>
          <w:color w:val="231F20"/>
          <w:spacing w:val="-3"/>
          <w:w w:val="110"/>
        </w:rPr>
        <w:t>mayor. </w:t>
      </w:r>
      <w:r>
        <w:rPr>
          <w:color w:val="231F20"/>
          <w:w w:val="110"/>
        </w:rPr>
        <w:t>En general, quienes están satisfechos con su existencia gozan en cierta forma de una mejor salud y calidad de vida que los demás, es </w:t>
      </w:r>
      <w:r>
        <w:rPr>
          <w:color w:val="231F20"/>
          <w:spacing w:val="-5"/>
          <w:w w:val="110"/>
        </w:rPr>
        <w:t>decir, </w:t>
      </w:r>
      <w:r>
        <w:rPr>
          <w:color w:val="231F20"/>
          <w:w w:val="110"/>
        </w:rPr>
        <w:t>son menos vulnerables, ya que tienen una ventaja cuando se trata de</w:t>
      </w:r>
      <w:r>
        <w:rPr>
          <w:color w:val="231F20"/>
          <w:spacing w:val="-16"/>
          <w:w w:val="110"/>
        </w:rPr>
        <w:t> </w:t>
      </w:r>
      <w:r>
        <w:rPr>
          <w:color w:val="231F20"/>
          <w:w w:val="110"/>
        </w:rPr>
        <w:t>sobreponerse</w:t>
      </w:r>
      <w:r>
        <w:rPr>
          <w:color w:val="231F20"/>
          <w:spacing w:val="-16"/>
          <w:w w:val="110"/>
        </w:rPr>
        <w:t> </w:t>
      </w:r>
      <w:r>
        <w:rPr>
          <w:color w:val="231F20"/>
          <w:w w:val="110"/>
        </w:rPr>
        <w:t>a</w:t>
      </w:r>
      <w:r>
        <w:rPr>
          <w:color w:val="231F20"/>
          <w:spacing w:val="-16"/>
          <w:w w:val="110"/>
        </w:rPr>
        <w:t> </w:t>
      </w:r>
      <w:r>
        <w:rPr>
          <w:color w:val="231F20"/>
          <w:w w:val="110"/>
        </w:rPr>
        <w:t>eventos</w:t>
      </w:r>
      <w:r>
        <w:rPr>
          <w:color w:val="231F20"/>
          <w:spacing w:val="-16"/>
          <w:w w:val="110"/>
        </w:rPr>
        <w:t> </w:t>
      </w:r>
      <w:r>
        <w:rPr>
          <w:color w:val="231F20"/>
          <w:w w:val="110"/>
        </w:rPr>
        <w:t>difíciles</w:t>
      </w:r>
      <w:r>
        <w:rPr>
          <w:color w:val="231F20"/>
          <w:spacing w:val="-16"/>
          <w:w w:val="110"/>
        </w:rPr>
        <w:t> </w:t>
      </w:r>
      <w:r>
        <w:rPr>
          <w:color w:val="231F20"/>
          <w:w w:val="110"/>
        </w:rPr>
        <w:t>o</w:t>
      </w:r>
      <w:r>
        <w:rPr>
          <w:color w:val="231F20"/>
          <w:spacing w:val="-16"/>
          <w:w w:val="110"/>
        </w:rPr>
        <w:t> </w:t>
      </w:r>
      <w:r>
        <w:rPr>
          <w:color w:val="231F20"/>
          <w:w w:val="110"/>
        </w:rPr>
        <w:t>pérdidas</w:t>
      </w:r>
      <w:r>
        <w:rPr>
          <w:color w:val="231F20"/>
          <w:spacing w:val="-16"/>
          <w:w w:val="110"/>
        </w:rPr>
        <w:t> </w:t>
      </w:r>
      <w:r>
        <w:rPr>
          <w:color w:val="231F20"/>
          <w:w w:val="110"/>
        </w:rPr>
        <w:t>significativas,</w:t>
      </w:r>
      <w:r>
        <w:rPr>
          <w:color w:val="231F20"/>
          <w:spacing w:val="-16"/>
          <w:w w:val="110"/>
        </w:rPr>
        <w:t> </w:t>
      </w:r>
      <w:r>
        <w:rPr>
          <w:color w:val="231F20"/>
          <w:w w:val="110"/>
        </w:rPr>
        <w:t>o</w:t>
      </w:r>
      <w:r>
        <w:rPr>
          <w:color w:val="231F20"/>
          <w:spacing w:val="-16"/>
          <w:w w:val="110"/>
        </w:rPr>
        <w:t> </w:t>
      </w:r>
      <w:r>
        <w:rPr>
          <w:color w:val="231F20"/>
          <w:w w:val="110"/>
        </w:rPr>
        <w:t>bien</w:t>
      </w:r>
      <w:r>
        <w:rPr>
          <w:color w:val="231F20"/>
          <w:spacing w:val="-16"/>
          <w:w w:val="110"/>
        </w:rPr>
        <w:t> </w:t>
      </w:r>
      <w:r>
        <w:rPr>
          <w:color w:val="231F20"/>
          <w:w w:val="110"/>
        </w:rPr>
        <w:t>de</w:t>
      </w:r>
      <w:r>
        <w:rPr>
          <w:color w:val="231F20"/>
          <w:spacing w:val="-16"/>
          <w:w w:val="110"/>
        </w:rPr>
        <w:t> </w:t>
      </w:r>
      <w:r>
        <w:rPr>
          <w:color w:val="231F20"/>
          <w:w w:val="110"/>
        </w:rPr>
        <w:t>hacer frente al estrés y cultivar las relaciones sociales. Sin embargo, como se mencionó en líneas anteriores, la vulnerabilidad es diferencial según sexo y</w:t>
      </w:r>
      <w:r>
        <w:rPr>
          <w:color w:val="231F20"/>
          <w:spacing w:val="-2"/>
          <w:w w:val="110"/>
        </w:rPr>
        <w:t> </w:t>
      </w:r>
      <w:r>
        <w:rPr>
          <w:color w:val="231F20"/>
          <w:w w:val="110"/>
        </w:rPr>
        <w:t>localidad.</w:t>
      </w:r>
    </w:p>
    <w:p>
      <w:pPr>
        <w:spacing w:after="0" w:line="295" w:lineRule="auto"/>
        <w:jc w:val="both"/>
        <w:sectPr>
          <w:pgSz w:w="9520" w:h="12920"/>
          <w:pgMar w:header="0" w:footer="1344" w:top="880" w:bottom="1540" w:left="1320" w:right="1000"/>
        </w:sectPr>
      </w:pPr>
    </w:p>
    <w:p>
      <w:pPr>
        <w:pStyle w:val="BodyText"/>
        <w:spacing w:line="295" w:lineRule="auto" w:before="42"/>
        <w:ind w:left="100" w:right="117" w:firstLine="360"/>
        <w:jc w:val="both"/>
      </w:pPr>
      <w:r>
        <w:rPr>
          <w:color w:val="231F20"/>
          <w:w w:val="110"/>
        </w:rPr>
        <w:t>De acuerdo con Checkoway (1994) la población femenina es más vul- nerable que la masculina, pues con el incremento de la edad tiende a pre- sentar enfermedades crónico-degenerativas mucho más tiempo que la masculina, que fallece a edades más  tempranas.</w:t>
      </w:r>
    </w:p>
    <w:p>
      <w:pPr>
        <w:pStyle w:val="BodyText"/>
        <w:spacing w:line="295" w:lineRule="auto"/>
        <w:ind w:left="100" w:right="116" w:firstLine="360"/>
        <w:jc w:val="both"/>
      </w:pPr>
      <w:r>
        <w:rPr>
          <w:color w:val="231F20"/>
          <w:w w:val="110"/>
        </w:rPr>
        <w:t>De manera particular, el Estado de México tiene una generación de personas adultas mayores que viven cambios sociales importantes, sin embargo, una alta proporción no ha tenido acceso a la salud necesaria para garantizar sus últimos años de vida, lo que ha generado que presente estilos de vida poco saludables. La compleja situación de salud de la</w:t>
      </w:r>
      <w:r>
        <w:rPr>
          <w:color w:val="231F20"/>
          <w:spacing w:val="-23"/>
          <w:w w:val="110"/>
        </w:rPr>
        <w:t> </w:t>
      </w:r>
      <w:r>
        <w:rPr>
          <w:color w:val="231F20"/>
          <w:w w:val="110"/>
        </w:rPr>
        <w:t>pobla- ción adulta mayor obliga a estudiar la mortalidad y la morbilidad de este grupo</w:t>
      </w:r>
      <w:r>
        <w:rPr>
          <w:color w:val="231F20"/>
          <w:spacing w:val="-6"/>
          <w:w w:val="110"/>
        </w:rPr>
        <w:t> </w:t>
      </w:r>
      <w:r>
        <w:rPr>
          <w:color w:val="231F20"/>
          <w:w w:val="110"/>
        </w:rPr>
        <w:t>de</w:t>
      </w:r>
      <w:r>
        <w:rPr>
          <w:color w:val="231F20"/>
          <w:spacing w:val="-6"/>
          <w:w w:val="110"/>
        </w:rPr>
        <w:t> </w:t>
      </w:r>
      <w:r>
        <w:rPr>
          <w:color w:val="231F20"/>
          <w:w w:val="110"/>
        </w:rPr>
        <w:t>población</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entidad</w:t>
      </w:r>
      <w:r>
        <w:rPr>
          <w:color w:val="231F20"/>
          <w:spacing w:val="-6"/>
          <w:w w:val="110"/>
        </w:rPr>
        <w:t> </w:t>
      </w:r>
      <w:r>
        <w:rPr>
          <w:color w:val="231F20"/>
          <w:w w:val="110"/>
        </w:rPr>
        <w:t>mexiquense.</w:t>
      </w:r>
      <w:r>
        <w:rPr>
          <w:color w:val="231F20"/>
          <w:spacing w:val="-6"/>
          <w:w w:val="110"/>
        </w:rPr>
        <w:t> </w:t>
      </w:r>
      <w:r>
        <w:rPr>
          <w:color w:val="231F20"/>
          <w:w w:val="110"/>
        </w:rPr>
        <w:t>Una</w:t>
      </w:r>
      <w:r>
        <w:rPr>
          <w:color w:val="231F20"/>
          <w:spacing w:val="-6"/>
          <w:w w:val="110"/>
        </w:rPr>
        <w:t> </w:t>
      </w:r>
      <w:r>
        <w:rPr>
          <w:color w:val="231F20"/>
          <w:w w:val="110"/>
        </w:rPr>
        <w:t>aproximación</w:t>
      </w:r>
      <w:r>
        <w:rPr>
          <w:color w:val="231F20"/>
          <w:spacing w:val="-6"/>
          <w:w w:val="110"/>
        </w:rPr>
        <w:t> </w:t>
      </w:r>
      <w:r>
        <w:rPr>
          <w:color w:val="231F20"/>
          <w:w w:val="110"/>
        </w:rPr>
        <w:t>a</w:t>
      </w:r>
      <w:r>
        <w:rPr>
          <w:color w:val="231F20"/>
          <w:spacing w:val="-6"/>
          <w:w w:val="110"/>
        </w:rPr>
        <w:t> </w:t>
      </w:r>
      <w:r>
        <w:rPr>
          <w:color w:val="231F20"/>
          <w:w w:val="110"/>
        </w:rPr>
        <w:t>la</w:t>
      </w:r>
      <w:r>
        <w:rPr>
          <w:color w:val="231F20"/>
          <w:spacing w:val="-6"/>
          <w:w w:val="110"/>
        </w:rPr>
        <w:t> </w:t>
      </w:r>
      <w:r>
        <w:rPr>
          <w:color w:val="231F20"/>
          <w:w w:val="110"/>
        </w:rPr>
        <w:t>situa- ción del estado de salud de la población de 60 años y más se puede hacer  a través de la morbimortalidad, es </w:t>
      </w:r>
      <w:r>
        <w:rPr>
          <w:color w:val="231F20"/>
          <w:spacing w:val="-3"/>
          <w:w w:val="110"/>
        </w:rPr>
        <w:t>decir, </w:t>
      </w:r>
      <w:r>
        <w:rPr>
          <w:color w:val="231F20"/>
          <w:w w:val="110"/>
        </w:rPr>
        <w:t>las enfermedades, traumatismos o lesiones que conllevan al deceso, que son registradas en las estadísticas de</w:t>
      </w:r>
      <w:r>
        <w:rPr>
          <w:color w:val="231F20"/>
          <w:spacing w:val="-19"/>
          <w:w w:val="110"/>
        </w:rPr>
        <w:t> </w:t>
      </w:r>
      <w:r>
        <w:rPr>
          <w:color w:val="231F20"/>
          <w:w w:val="110"/>
        </w:rPr>
        <w:t>mortalidad.</w:t>
      </w:r>
    </w:p>
    <w:p>
      <w:pPr>
        <w:pStyle w:val="BodyText"/>
        <w:spacing w:line="295" w:lineRule="auto"/>
        <w:ind w:left="100" w:right="116" w:firstLine="360"/>
        <w:jc w:val="both"/>
      </w:pPr>
      <w:r>
        <w:rPr>
          <w:color w:val="231F20"/>
          <w:w w:val="110"/>
        </w:rPr>
        <w:t>Según Frenk y colaboradores (1991) en 1990 la población entraba en una transición epidemiológica, la cual implica el cambio de las causas de enfermedades infecciosas y parasitarias a crónico-degenerativas en la po- blación,</w:t>
      </w:r>
      <w:r>
        <w:rPr>
          <w:color w:val="231F20"/>
          <w:spacing w:val="-12"/>
          <w:w w:val="110"/>
        </w:rPr>
        <w:t> </w:t>
      </w:r>
      <w:r>
        <w:rPr>
          <w:color w:val="231F20"/>
          <w:w w:val="110"/>
        </w:rPr>
        <w:t>dado</w:t>
      </w:r>
      <w:r>
        <w:rPr>
          <w:color w:val="231F20"/>
          <w:spacing w:val="-12"/>
          <w:w w:val="110"/>
        </w:rPr>
        <w:t> </w:t>
      </w:r>
      <w:r>
        <w:rPr>
          <w:color w:val="231F20"/>
          <w:w w:val="110"/>
        </w:rPr>
        <w:t>que</w:t>
      </w:r>
      <w:r>
        <w:rPr>
          <w:color w:val="231F20"/>
          <w:spacing w:val="-12"/>
          <w:w w:val="110"/>
        </w:rPr>
        <w:t> </w:t>
      </w:r>
      <w:r>
        <w:rPr>
          <w:color w:val="231F20"/>
          <w:w w:val="110"/>
        </w:rPr>
        <w:t>su</w:t>
      </w:r>
      <w:r>
        <w:rPr>
          <w:color w:val="231F20"/>
          <w:spacing w:val="-12"/>
          <w:w w:val="110"/>
        </w:rPr>
        <w:t> </w:t>
      </w:r>
      <w:r>
        <w:rPr>
          <w:color w:val="231F20"/>
          <w:w w:val="110"/>
        </w:rPr>
        <w:t>estructura</w:t>
      </w:r>
      <w:r>
        <w:rPr>
          <w:color w:val="231F20"/>
          <w:spacing w:val="-12"/>
          <w:w w:val="110"/>
        </w:rPr>
        <w:t> </w:t>
      </w:r>
      <w:r>
        <w:rPr>
          <w:color w:val="231F20"/>
          <w:w w:val="110"/>
        </w:rPr>
        <w:t>poblacional</w:t>
      </w:r>
      <w:r>
        <w:rPr>
          <w:color w:val="231F20"/>
          <w:spacing w:val="-12"/>
          <w:w w:val="110"/>
        </w:rPr>
        <w:t> </w:t>
      </w:r>
      <w:r>
        <w:rPr>
          <w:color w:val="231F20"/>
          <w:w w:val="110"/>
        </w:rPr>
        <w:t>comenzaba</w:t>
      </w:r>
      <w:r>
        <w:rPr>
          <w:color w:val="231F20"/>
          <w:spacing w:val="-12"/>
          <w:w w:val="110"/>
        </w:rPr>
        <w:t> </w:t>
      </w:r>
      <w:r>
        <w:rPr>
          <w:color w:val="231F20"/>
          <w:w w:val="110"/>
        </w:rPr>
        <w:t>a</w:t>
      </w:r>
      <w:r>
        <w:rPr>
          <w:color w:val="231F20"/>
          <w:spacing w:val="-12"/>
          <w:w w:val="110"/>
        </w:rPr>
        <w:t> </w:t>
      </w:r>
      <w:r>
        <w:rPr>
          <w:color w:val="231F20"/>
          <w:w w:val="110"/>
        </w:rPr>
        <w:t>envejecer</w:t>
      </w:r>
      <w:r>
        <w:rPr>
          <w:color w:val="231F20"/>
          <w:spacing w:val="-12"/>
          <w:w w:val="110"/>
        </w:rPr>
        <w:t> </w:t>
      </w:r>
      <w:r>
        <w:rPr>
          <w:color w:val="231F20"/>
          <w:w w:val="110"/>
        </w:rPr>
        <w:t>progre- sivamente. Dicha transición evoluciona en dos fases: la fase temprana, donde predomina la edad joven que enferma y fallece por enfermedades infecciosas, y la fase tardía, donde prevalece la población adulta que se en- ferma y muere bajo la influencia de enfermedades crónico-degenerativas. Al respecto, la entidad mexiquense está entrando en la fase tardía porque presenta un proceso de envejecimiento constante, en el que cada vez más población está llegando a cumplir más de 60 años de edad, lo cual se ha logrado por el aumento de la esperanza de vida, apoyado por un auge de desarrollo económico, social, cultural, de salud y </w:t>
      </w:r>
      <w:r>
        <w:rPr>
          <w:color w:val="231F20"/>
          <w:spacing w:val="19"/>
          <w:w w:val="110"/>
        </w:rPr>
        <w:t> </w:t>
      </w:r>
      <w:r>
        <w:rPr>
          <w:color w:val="231F20"/>
          <w:w w:val="110"/>
        </w:rPr>
        <w:t>tecnológico.</w:t>
      </w:r>
    </w:p>
    <w:p>
      <w:pPr>
        <w:pStyle w:val="BodyText"/>
        <w:spacing w:line="295" w:lineRule="auto"/>
        <w:ind w:left="100" w:right="117" w:firstLine="360"/>
        <w:jc w:val="both"/>
      </w:pPr>
      <w:r>
        <w:rPr>
          <w:color w:val="231F20"/>
          <w:w w:val="110"/>
        </w:rPr>
        <w:t>El incremento de la longevidad implicará grandes retos en materia de salud,</w:t>
      </w:r>
      <w:r>
        <w:rPr>
          <w:color w:val="231F20"/>
          <w:spacing w:val="-10"/>
          <w:w w:val="110"/>
        </w:rPr>
        <w:t> </w:t>
      </w:r>
      <w:r>
        <w:rPr>
          <w:color w:val="231F20"/>
          <w:w w:val="110"/>
        </w:rPr>
        <w:t>pues</w:t>
      </w:r>
      <w:r>
        <w:rPr>
          <w:color w:val="231F20"/>
          <w:spacing w:val="-10"/>
          <w:w w:val="110"/>
        </w:rPr>
        <w:t> </w:t>
      </w:r>
      <w:r>
        <w:rPr>
          <w:color w:val="231F20"/>
          <w:w w:val="110"/>
        </w:rPr>
        <w:t>habrá</w:t>
      </w:r>
      <w:r>
        <w:rPr>
          <w:color w:val="231F20"/>
          <w:spacing w:val="-10"/>
          <w:w w:val="110"/>
        </w:rPr>
        <w:t> </w:t>
      </w:r>
      <w:r>
        <w:rPr>
          <w:color w:val="231F20"/>
          <w:w w:val="110"/>
        </w:rPr>
        <w:t>cada</w:t>
      </w:r>
      <w:r>
        <w:rPr>
          <w:color w:val="231F20"/>
          <w:spacing w:val="-10"/>
          <w:w w:val="110"/>
        </w:rPr>
        <w:t> </w:t>
      </w:r>
      <w:r>
        <w:rPr>
          <w:color w:val="231F20"/>
          <w:w w:val="110"/>
        </w:rPr>
        <w:t>vez</w:t>
      </w:r>
      <w:r>
        <w:rPr>
          <w:color w:val="231F20"/>
          <w:spacing w:val="-10"/>
          <w:w w:val="110"/>
        </w:rPr>
        <w:t> </w:t>
      </w:r>
      <w:r>
        <w:rPr>
          <w:color w:val="231F20"/>
          <w:w w:val="110"/>
        </w:rPr>
        <w:t>un</w:t>
      </w:r>
      <w:r>
        <w:rPr>
          <w:color w:val="231F20"/>
          <w:spacing w:val="-10"/>
          <w:w w:val="110"/>
        </w:rPr>
        <w:t> </w:t>
      </w:r>
      <w:r>
        <w:rPr>
          <w:color w:val="231F20"/>
          <w:w w:val="110"/>
        </w:rPr>
        <w:t>mayor</w:t>
      </w:r>
      <w:r>
        <w:rPr>
          <w:color w:val="231F20"/>
          <w:spacing w:val="-10"/>
          <w:w w:val="110"/>
        </w:rPr>
        <w:t> </w:t>
      </w:r>
      <w:r>
        <w:rPr>
          <w:color w:val="231F20"/>
          <w:w w:val="110"/>
        </w:rPr>
        <w:t>número</w:t>
      </w:r>
      <w:r>
        <w:rPr>
          <w:color w:val="231F20"/>
          <w:spacing w:val="-10"/>
          <w:w w:val="110"/>
        </w:rPr>
        <w:t> </w:t>
      </w:r>
      <w:r>
        <w:rPr>
          <w:color w:val="231F20"/>
          <w:w w:val="110"/>
        </w:rPr>
        <w:t>de</w:t>
      </w:r>
      <w:r>
        <w:rPr>
          <w:color w:val="231F20"/>
          <w:spacing w:val="-10"/>
          <w:w w:val="110"/>
        </w:rPr>
        <w:t> </w:t>
      </w:r>
      <w:r>
        <w:rPr>
          <w:color w:val="231F20"/>
          <w:w w:val="110"/>
        </w:rPr>
        <w:t>población</w:t>
      </w:r>
      <w:r>
        <w:rPr>
          <w:color w:val="231F20"/>
          <w:spacing w:val="-10"/>
          <w:w w:val="110"/>
        </w:rPr>
        <w:t> </w:t>
      </w:r>
      <w:r>
        <w:rPr>
          <w:color w:val="231F20"/>
          <w:w w:val="110"/>
        </w:rPr>
        <w:t>a</w:t>
      </w:r>
      <w:r>
        <w:rPr>
          <w:color w:val="231F20"/>
          <w:spacing w:val="-10"/>
          <w:w w:val="110"/>
        </w:rPr>
        <w:t> </w:t>
      </w:r>
      <w:r>
        <w:rPr>
          <w:color w:val="231F20"/>
          <w:w w:val="110"/>
        </w:rPr>
        <w:t>edad</w:t>
      </w:r>
      <w:r>
        <w:rPr>
          <w:color w:val="231F20"/>
          <w:spacing w:val="-10"/>
          <w:w w:val="110"/>
        </w:rPr>
        <w:t> </w:t>
      </w:r>
      <w:r>
        <w:rPr>
          <w:color w:val="231F20"/>
          <w:w w:val="110"/>
        </w:rPr>
        <w:t>avanzada que estará en riesgo de sufrir alguna enfermedad crónica-degenerativa o alguna discapacidad, e incluso la aparición de procesos patológicos que se agravan con el paso del tiempo. En este sentido, la pérdida de salud cons- tituye una condición que incide negativamente sobre la vida de un indivi- duo y puede llevarlo, en última instancia, a la </w:t>
      </w:r>
      <w:r>
        <w:rPr>
          <w:color w:val="231F20"/>
          <w:spacing w:val="12"/>
          <w:w w:val="110"/>
        </w:rPr>
        <w:t> </w:t>
      </w:r>
      <w:r>
        <w:rPr>
          <w:color w:val="231F20"/>
          <w:w w:val="110"/>
        </w:rPr>
        <w:t>muerte.</w:t>
      </w:r>
    </w:p>
    <w:p>
      <w:pPr>
        <w:spacing w:after="0" w:line="295" w:lineRule="auto"/>
        <w:jc w:val="both"/>
        <w:sectPr>
          <w:pgSz w:w="9520" w:h="12920"/>
          <w:pgMar w:header="0" w:footer="1344" w:top="880" w:bottom="1540" w:left="1020" w:right="1320"/>
        </w:sectPr>
      </w:pPr>
    </w:p>
    <w:p>
      <w:pPr>
        <w:pStyle w:val="BodyText"/>
        <w:spacing w:line="288" w:lineRule="auto" w:before="42"/>
        <w:ind w:left="144" w:right="112" w:firstLine="360"/>
        <w:jc w:val="both"/>
      </w:pPr>
      <w:r>
        <w:rPr>
          <w:color w:val="231F20"/>
          <w:w w:val="110"/>
        </w:rPr>
        <w:t>La</w:t>
      </w:r>
      <w:r>
        <w:rPr>
          <w:color w:val="231F20"/>
          <w:spacing w:val="-6"/>
          <w:w w:val="110"/>
        </w:rPr>
        <w:t> </w:t>
      </w:r>
      <w:r>
        <w:rPr>
          <w:color w:val="231F20"/>
          <w:w w:val="110"/>
        </w:rPr>
        <w:t>mortalidad</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población</w:t>
      </w:r>
      <w:r>
        <w:rPr>
          <w:color w:val="231F20"/>
          <w:spacing w:val="-6"/>
          <w:w w:val="110"/>
        </w:rPr>
        <w:t> </w:t>
      </w:r>
      <w:r>
        <w:rPr>
          <w:color w:val="231F20"/>
          <w:w w:val="110"/>
        </w:rPr>
        <w:t>adulta</w:t>
      </w:r>
      <w:r>
        <w:rPr>
          <w:color w:val="231F20"/>
          <w:spacing w:val="-6"/>
          <w:w w:val="110"/>
        </w:rPr>
        <w:t> </w:t>
      </w:r>
      <w:r>
        <w:rPr>
          <w:color w:val="231F20"/>
          <w:w w:val="110"/>
        </w:rPr>
        <w:t>mayor</w:t>
      </w:r>
      <w:r>
        <w:rPr>
          <w:color w:val="231F20"/>
          <w:spacing w:val="-6"/>
          <w:w w:val="110"/>
        </w:rPr>
        <w:t> </w:t>
      </w:r>
      <w:r>
        <w:rPr>
          <w:color w:val="231F20"/>
          <w:w w:val="110"/>
        </w:rPr>
        <w:t>es</w:t>
      </w:r>
      <w:r>
        <w:rPr>
          <w:color w:val="231F20"/>
          <w:spacing w:val="-6"/>
          <w:w w:val="110"/>
        </w:rPr>
        <w:t> </w:t>
      </w:r>
      <w:r>
        <w:rPr>
          <w:color w:val="231F20"/>
          <w:w w:val="110"/>
        </w:rPr>
        <w:t>diferencial</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interior de</w:t>
      </w:r>
      <w:r>
        <w:rPr>
          <w:color w:val="231F20"/>
          <w:spacing w:val="-7"/>
          <w:w w:val="110"/>
        </w:rPr>
        <w:t> </w:t>
      </w:r>
      <w:r>
        <w:rPr>
          <w:color w:val="231F20"/>
          <w:w w:val="110"/>
        </w:rPr>
        <w:t>la</w:t>
      </w:r>
      <w:r>
        <w:rPr>
          <w:color w:val="231F20"/>
          <w:spacing w:val="-7"/>
          <w:w w:val="110"/>
        </w:rPr>
        <w:t> </w:t>
      </w:r>
      <w:r>
        <w:rPr>
          <w:color w:val="231F20"/>
          <w:w w:val="110"/>
        </w:rPr>
        <w:t>entidad</w:t>
      </w:r>
      <w:r>
        <w:rPr>
          <w:color w:val="231F20"/>
          <w:spacing w:val="-7"/>
          <w:w w:val="110"/>
        </w:rPr>
        <w:t> </w:t>
      </w:r>
      <w:r>
        <w:rPr>
          <w:color w:val="231F20"/>
          <w:w w:val="110"/>
        </w:rPr>
        <w:t>mexiquense</w:t>
      </w:r>
      <w:r>
        <w:rPr>
          <w:color w:val="231F20"/>
          <w:spacing w:val="-7"/>
          <w:w w:val="110"/>
        </w:rPr>
        <w:t> </w:t>
      </w:r>
      <w:r>
        <w:rPr>
          <w:color w:val="231F20"/>
          <w:w w:val="110"/>
        </w:rPr>
        <w:t>debido</w:t>
      </w:r>
      <w:r>
        <w:rPr>
          <w:color w:val="231F20"/>
          <w:spacing w:val="-7"/>
          <w:w w:val="110"/>
        </w:rPr>
        <w:t> </w:t>
      </w:r>
      <w:r>
        <w:rPr>
          <w:color w:val="231F20"/>
          <w:w w:val="110"/>
        </w:rPr>
        <w:t>a</w:t>
      </w:r>
      <w:r>
        <w:rPr>
          <w:color w:val="231F20"/>
          <w:spacing w:val="-7"/>
          <w:w w:val="110"/>
        </w:rPr>
        <w:t> </w:t>
      </w:r>
      <w:r>
        <w:rPr>
          <w:color w:val="231F20"/>
          <w:w w:val="110"/>
        </w:rPr>
        <w:t>varios</w:t>
      </w:r>
      <w:r>
        <w:rPr>
          <w:color w:val="231F20"/>
          <w:spacing w:val="-7"/>
          <w:w w:val="110"/>
        </w:rPr>
        <w:t> </w:t>
      </w:r>
      <w:r>
        <w:rPr>
          <w:color w:val="231F20"/>
          <w:w w:val="110"/>
        </w:rPr>
        <w:t>factores,</w:t>
      </w:r>
      <w:r>
        <w:rPr>
          <w:color w:val="231F20"/>
          <w:spacing w:val="-7"/>
          <w:w w:val="110"/>
        </w:rPr>
        <w:t> </w:t>
      </w:r>
      <w:r>
        <w:rPr>
          <w:color w:val="231F20"/>
          <w:w w:val="110"/>
        </w:rPr>
        <w:t>entre</w:t>
      </w:r>
      <w:r>
        <w:rPr>
          <w:color w:val="231F20"/>
          <w:spacing w:val="-7"/>
          <w:w w:val="110"/>
        </w:rPr>
        <w:t> </w:t>
      </w:r>
      <w:r>
        <w:rPr>
          <w:color w:val="231F20"/>
          <w:w w:val="110"/>
        </w:rPr>
        <w:t>los</w:t>
      </w:r>
      <w:r>
        <w:rPr>
          <w:color w:val="231F20"/>
          <w:spacing w:val="-7"/>
          <w:w w:val="110"/>
        </w:rPr>
        <w:t> </w:t>
      </w:r>
      <w:r>
        <w:rPr>
          <w:color w:val="231F20"/>
          <w:w w:val="110"/>
        </w:rPr>
        <w:t>que</w:t>
      </w:r>
      <w:r>
        <w:rPr>
          <w:color w:val="231F20"/>
          <w:spacing w:val="-7"/>
          <w:w w:val="110"/>
        </w:rPr>
        <w:t> </w:t>
      </w:r>
      <w:r>
        <w:rPr>
          <w:color w:val="231F20"/>
          <w:w w:val="110"/>
        </w:rPr>
        <w:t>se</w:t>
      </w:r>
      <w:r>
        <w:rPr>
          <w:color w:val="231F20"/>
          <w:spacing w:val="-7"/>
          <w:w w:val="110"/>
        </w:rPr>
        <w:t> </w:t>
      </w:r>
      <w:r>
        <w:rPr>
          <w:color w:val="231F20"/>
          <w:w w:val="110"/>
        </w:rPr>
        <w:t>encuen- tran:</w:t>
      </w:r>
      <w:r>
        <w:rPr>
          <w:color w:val="231F20"/>
          <w:spacing w:val="-19"/>
          <w:w w:val="110"/>
        </w:rPr>
        <w:t> </w:t>
      </w:r>
      <w:r>
        <w:rPr>
          <w:color w:val="231F20"/>
          <w:w w:val="110"/>
        </w:rPr>
        <w:t>la</w:t>
      </w:r>
      <w:r>
        <w:rPr>
          <w:color w:val="231F20"/>
          <w:spacing w:val="-19"/>
          <w:w w:val="110"/>
        </w:rPr>
        <w:t> </w:t>
      </w:r>
      <w:r>
        <w:rPr>
          <w:color w:val="231F20"/>
          <w:w w:val="110"/>
        </w:rPr>
        <w:t>ubicación</w:t>
      </w:r>
      <w:r>
        <w:rPr>
          <w:color w:val="231F20"/>
          <w:spacing w:val="-19"/>
          <w:w w:val="110"/>
        </w:rPr>
        <w:t> </w:t>
      </w:r>
      <w:r>
        <w:rPr>
          <w:color w:val="231F20"/>
          <w:w w:val="110"/>
        </w:rPr>
        <w:t>geográfica,</w:t>
      </w:r>
      <w:r>
        <w:rPr>
          <w:color w:val="231F20"/>
          <w:spacing w:val="-19"/>
          <w:w w:val="110"/>
        </w:rPr>
        <w:t> </w:t>
      </w:r>
      <w:r>
        <w:rPr>
          <w:color w:val="231F20"/>
          <w:w w:val="110"/>
        </w:rPr>
        <w:t>el</w:t>
      </w:r>
      <w:r>
        <w:rPr>
          <w:color w:val="231F20"/>
          <w:spacing w:val="-19"/>
          <w:w w:val="110"/>
        </w:rPr>
        <w:t> </w:t>
      </w:r>
      <w:r>
        <w:rPr>
          <w:color w:val="231F20"/>
          <w:w w:val="110"/>
        </w:rPr>
        <w:t>grado</w:t>
      </w:r>
      <w:r>
        <w:rPr>
          <w:color w:val="231F20"/>
          <w:spacing w:val="-19"/>
          <w:w w:val="110"/>
        </w:rPr>
        <w:t> </w:t>
      </w:r>
      <w:r>
        <w:rPr>
          <w:color w:val="231F20"/>
          <w:w w:val="110"/>
        </w:rPr>
        <w:t>de</w:t>
      </w:r>
      <w:r>
        <w:rPr>
          <w:color w:val="231F20"/>
          <w:spacing w:val="-19"/>
          <w:w w:val="110"/>
        </w:rPr>
        <w:t> </w:t>
      </w:r>
      <w:r>
        <w:rPr>
          <w:color w:val="231F20"/>
          <w:w w:val="110"/>
        </w:rPr>
        <w:t>desarrollo</w:t>
      </w:r>
      <w:r>
        <w:rPr>
          <w:color w:val="231F20"/>
          <w:spacing w:val="-19"/>
          <w:w w:val="110"/>
        </w:rPr>
        <w:t> </w:t>
      </w:r>
      <w:r>
        <w:rPr>
          <w:color w:val="231F20"/>
          <w:w w:val="110"/>
        </w:rPr>
        <w:t>económico,</w:t>
      </w:r>
      <w:r>
        <w:rPr>
          <w:color w:val="231F20"/>
          <w:spacing w:val="-19"/>
          <w:w w:val="110"/>
        </w:rPr>
        <w:t> </w:t>
      </w:r>
      <w:r>
        <w:rPr>
          <w:color w:val="231F20"/>
          <w:w w:val="110"/>
        </w:rPr>
        <w:t>la</w:t>
      </w:r>
      <w:r>
        <w:rPr>
          <w:color w:val="231F20"/>
          <w:spacing w:val="-19"/>
          <w:w w:val="110"/>
        </w:rPr>
        <w:t> </w:t>
      </w:r>
      <w:r>
        <w:rPr>
          <w:color w:val="231F20"/>
          <w:w w:val="110"/>
        </w:rPr>
        <w:t>estructura por edad y el sexo de la población, la ocupación laboral de la población, entre otros. De acuerdo con datos del Censo de Población y Vivienda</w:t>
      </w:r>
      <w:r>
        <w:rPr>
          <w:color w:val="231F20"/>
          <w:spacing w:val="-13"/>
          <w:w w:val="110"/>
        </w:rPr>
        <w:t> </w:t>
      </w:r>
      <w:r>
        <w:rPr>
          <w:color w:val="231F20"/>
          <w:w w:val="110"/>
        </w:rPr>
        <w:t>2010, la entidad mexiquense registró un promedio de 30 muertes por cada mil habitantes de 60 años y</w:t>
      </w:r>
      <w:r>
        <w:rPr>
          <w:color w:val="231F20"/>
          <w:spacing w:val="41"/>
          <w:w w:val="110"/>
        </w:rPr>
        <w:t> </w:t>
      </w:r>
      <w:r>
        <w:rPr>
          <w:color w:val="231F20"/>
          <w:w w:val="110"/>
        </w:rPr>
        <w:t>más.</w:t>
      </w:r>
    </w:p>
    <w:p>
      <w:pPr>
        <w:pStyle w:val="BodyText"/>
        <w:spacing w:line="288" w:lineRule="auto"/>
        <w:ind w:left="144" w:right="113" w:firstLine="360"/>
        <w:jc w:val="both"/>
      </w:pPr>
      <w:r>
        <w:rPr>
          <w:color w:val="231F20"/>
          <w:w w:val="110"/>
        </w:rPr>
        <w:t>El efecto de la mortalidad según el sexo es diferencial, pues la preva- lencia de muertes en la población adulta mayor de hombres es mayor que en la de mujeres, lo que los hace más   vulnerables.</w:t>
      </w:r>
    </w:p>
    <w:p>
      <w:pPr>
        <w:pStyle w:val="BodyText"/>
        <w:spacing w:line="288" w:lineRule="auto"/>
        <w:ind w:left="144" w:right="113" w:firstLine="360"/>
        <w:jc w:val="both"/>
      </w:pPr>
      <w:r>
        <w:rPr>
          <w:color w:val="231F20"/>
          <w:w w:val="110"/>
        </w:rPr>
        <w:t>Esto lo podemos observar en el cuadro 1, en el cual se expone las cau- sas de la mortalidad de la población por sexo, los hombres presentan una </w:t>
      </w:r>
      <w:r>
        <w:rPr>
          <w:color w:val="231F20"/>
          <w:spacing w:val="-4"/>
          <w:w w:val="110"/>
        </w:rPr>
        <w:t>mayor mortalidad </w:t>
      </w:r>
      <w:r>
        <w:rPr>
          <w:color w:val="231F20"/>
          <w:spacing w:val="-3"/>
          <w:w w:val="110"/>
        </w:rPr>
        <w:t>que las </w:t>
      </w:r>
      <w:r>
        <w:rPr>
          <w:color w:val="231F20"/>
          <w:spacing w:val="-4"/>
          <w:w w:val="110"/>
        </w:rPr>
        <w:t>mujeres, </w:t>
      </w:r>
      <w:r>
        <w:rPr>
          <w:color w:val="231F20"/>
          <w:spacing w:val="-3"/>
          <w:w w:val="110"/>
        </w:rPr>
        <w:t>por </w:t>
      </w:r>
      <w:r>
        <w:rPr>
          <w:color w:val="231F20"/>
          <w:w w:val="110"/>
        </w:rPr>
        <w:t>lo </w:t>
      </w:r>
      <w:r>
        <w:rPr>
          <w:color w:val="231F20"/>
          <w:spacing w:val="-3"/>
          <w:w w:val="110"/>
        </w:rPr>
        <w:t>que </w:t>
      </w:r>
      <w:r>
        <w:rPr>
          <w:color w:val="231F20"/>
          <w:w w:val="110"/>
        </w:rPr>
        <w:t>si se </w:t>
      </w:r>
      <w:r>
        <w:rPr>
          <w:color w:val="231F20"/>
          <w:spacing w:val="-4"/>
          <w:w w:val="110"/>
        </w:rPr>
        <w:t>actúa </w:t>
      </w:r>
      <w:r>
        <w:rPr>
          <w:color w:val="231F20"/>
          <w:w w:val="110"/>
        </w:rPr>
        <w:t>en el </w:t>
      </w:r>
      <w:r>
        <w:rPr>
          <w:color w:val="231F20"/>
          <w:spacing w:val="-4"/>
          <w:w w:val="110"/>
        </w:rPr>
        <w:t>mejoramiento </w:t>
      </w:r>
      <w:r>
        <w:rPr>
          <w:color w:val="231F20"/>
          <w:w w:val="110"/>
        </w:rPr>
        <w:t>y atención de salud respecto a las condiciones que inciden sobre las enfer- medades del sistema circulatorio, enfermedades endócrinas y nutriciona- les, enfermedades del sistema digestivo, enfermedades del sistema respi- ratorio y tumores (neoplasias), es probable que se modifiquen los niveles de sobrevivencia de la población mexiquense tanto en hombres como en mujeres.</w:t>
      </w:r>
    </w:p>
    <w:p>
      <w:pPr>
        <w:pStyle w:val="BodyText"/>
        <w:spacing w:before="4"/>
      </w:pPr>
    </w:p>
    <w:p>
      <w:pPr>
        <w:spacing w:line="185" w:lineRule="exact" w:before="0"/>
        <w:ind w:left="28" w:right="0" w:firstLine="0"/>
        <w:jc w:val="center"/>
        <w:rPr>
          <w:sz w:val="16"/>
        </w:rPr>
      </w:pPr>
      <w:r>
        <w:rPr>
          <w:color w:val="231F20"/>
          <w:w w:val="105"/>
          <w:sz w:val="16"/>
        </w:rPr>
        <w:t>Cuadro 1</w:t>
      </w:r>
    </w:p>
    <w:p>
      <w:pPr>
        <w:spacing w:line="220" w:lineRule="exact" w:before="0"/>
        <w:ind w:left="28" w:right="0" w:firstLine="0"/>
        <w:jc w:val="center"/>
        <w:rPr>
          <w:sz w:val="19"/>
        </w:rPr>
      </w:pPr>
      <w:r>
        <w:rPr/>
        <w:pict>
          <v:group style="position:absolute;margin-left:189.419998pt;margin-top:33.675869pt;width:231pt;height:12.15pt;mso-position-horizontal-relative:page;mso-position-vertical-relative:paragraph;z-index:-454744" coordorigin="3788,674" coordsize="4620,243">
            <v:shape style="position:absolute;left:3792;top:791;width:4612;height:2" coordorigin="3792,791" coordsize="4612,0" path="m3792,791l4956,791m4956,791l6119,791m6119,791l7282,791m7282,791l8404,791e" filled="false" stroked="true" strokeweight=".4pt" strokecolor="#231f20">
              <v:path arrowok="t"/>
            </v:shape>
            <v:line style="position:absolute" from="5984,705" to="5984,885" stroked="true" strokeweight="3.12pt" strokecolor="#ffffff"/>
            <w10:wrap type="none"/>
          </v:group>
        </w:pict>
      </w:r>
      <w:r>
        <w:rPr>
          <w:color w:val="231F20"/>
          <w:w w:val="95"/>
          <w:sz w:val="19"/>
        </w:rPr>
        <w:t>Causas de mortalidad de la población con 60 años o más en el Estado de México, 2010</w:t>
      </w:r>
    </w:p>
    <w:p>
      <w:pPr>
        <w:pStyle w:val="BodyText"/>
        <w:spacing w:before="6"/>
        <w:rPr>
          <w:sz w:val="13"/>
        </w:rPr>
      </w:pPr>
      <w:r>
        <w:rPr/>
        <w:pict>
          <v:group style="position:absolute;margin-left:72.019997pt;margin-top:9.889418pt;width:348.4pt;height:.4pt;mso-position-horizontal-relative:page;mso-position-vertical-relative:paragraph;z-index:4120;mso-wrap-distance-left:0;mso-wrap-distance-right:0" coordorigin="1440,198" coordsize="6968,8">
            <v:line style="position:absolute" from="1444,202" to="3792,202" stroked="true" strokeweight=".4pt" strokecolor="#231f20"/>
            <v:line style="position:absolute" from="3792,202" to="4956,202" stroked="true" strokeweight=".4pt" strokecolor="#231f20"/>
            <v:line style="position:absolute" from="4956,202" to="6119,202" stroked="true" strokeweight=".4pt" strokecolor="#231f20"/>
            <v:line style="position:absolute" from="6119,202" to="7282,202" stroked="true" strokeweight=".4pt" strokecolor="#231f20"/>
            <v:line style="position:absolute" from="7282,202" to="8404,202" stroked="true" strokeweight=".4pt" strokecolor="#231f20"/>
            <w10:wrap type="topAndBottom"/>
          </v:group>
        </w:pict>
      </w:r>
    </w:p>
    <w:p>
      <w:pPr>
        <w:tabs>
          <w:tab w:pos="5656" w:val="left" w:leader="none"/>
        </w:tabs>
        <w:spacing w:before="47"/>
        <w:ind w:left="3314" w:right="0" w:firstLine="0"/>
        <w:jc w:val="left"/>
        <w:rPr>
          <w:i/>
          <w:sz w:val="17"/>
        </w:rPr>
      </w:pPr>
      <w:r>
        <w:rPr>
          <w:i/>
          <w:color w:val="231F20"/>
          <w:w w:val="110"/>
          <w:sz w:val="17"/>
        </w:rPr>
        <w:t>Hombres</w:t>
        <w:tab/>
      </w:r>
      <w:r>
        <w:rPr>
          <w:i/>
          <w:color w:val="231F20"/>
          <w:w w:val="110"/>
          <w:position w:val="1"/>
          <w:sz w:val="17"/>
        </w:rPr>
        <w:t>Mujeres</w:t>
      </w:r>
    </w:p>
    <w:p>
      <w:pPr>
        <w:pStyle w:val="BodyText"/>
        <w:spacing w:before="4"/>
        <w:rPr>
          <w:i/>
          <w:sz w:val="14"/>
        </w:rPr>
      </w:pPr>
    </w:p>
    <w:p>
      <w:pPr>
        <w:tabs>
          <w:tab w:pos="2608" w:val="left" w:leader="none"/>
          <w:tab w:pos="4062" w:val="left" w:leader="none"/>
          <w:tab w:pos="4935" w:val="left" w:leader="none"/>
          <w:tab w:pos="6368" w:val="left" w:leader="none"/>
        </w:tabs>
        <w:spacing w:before="0"/>
        <w:ind w:left="778" w:right="0" w:firstLine="0"/>
        <w:jc w:val="left"/>
        <w:rPr>
          <w:i/>
          <w:sz w:val="17"/>
        </w:rPr>
      </w:pPr>
      <w:r>
        <w:rPr>
          <w:i/>
          <w:color w:val="231F20"/>
          <w:w w:val="105"/>
          <w:sz w:val="17"/>
        </w:rPr>
        <w:t>Enfermedades</w:t>
        <w:tab/>
        <w:t>Defunciones</w:t>
        <w:tab/>
      </w:r>
      <w:r>
        <w:rPr>
          <w:i/>
          <w:color w:val="231F20"/>
          <w:spacing w:val="-3"/>
          <w:w w:val="105"/>
          <w:sz w:val="17"/>
        </w:rPr>
        <w:t>Tasa</w:t>
        <w:tab/>
      </w:r>
      <w:r>
        <w:rPr>
          <w:i/>
          <w:color w:val="231F20"/>
          <w:w w:val="105"/>
          <w:sz w:val="17"/>
        </w:rPr>
        <w:t>Defunciones</w:t>
        <w:tab/>
      </w:r>
      <w:r>
        <w:rPr>
          <w:i/>
          <w:color w:val="231F20"/>
          <w:spacing w:val="-3"/>
          <w:w w:val="105"/>
          <w:sz w:val="17"/>
        </w:rPr>
        <w:t>Tasa</w:t>
      </w:r>
    </w:p>
    <w:p>
      <w:pPr>
        <w:pStyle w:val="BodyText"/>
        <w:rPr>
          <w:i/>
          <w:sz w:val="7"/>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41"/>
        <w:gridCol w:w="1163"/>
        <w:gridCol w:w="1045"/>
        <w:gridCol w:w="1271"/>
        <w:gridCol w:w="1075"/>
      </w:tblGrid>
      <w:tr>
        <w:trPr>
          <w:trHeight w:val="303" w:hRule="exact"/>
        </w:trPr>
        <w:tc>
          <w:tcPr>
            <w:tcW w:w="2441" w:type="dxa"/>
            <w:tcBorders>
              <w:top w:val="single" w:sz="3" w:space="0" w:color="231F20"/>
            </w:tcBorders>
          </w:tcPr>
          <w:p>
            <w:pPr>
              <w:pStyle w:val="TableParagraph"/>
              <w:spacing w:line="240" w:lineRule="auto" w:before="84"/>
              <w:ind w:left="35"/>
              <w:jc w:val="left"/>
              <w:rPr>
                <w:sz w:val="17"/>
              </w:rPr>
            </w:pPr>
            <w:r>
              <w:rPr>
                <w:color w:val="231F20"/>
                <w:w w:val="105"/>
                <w:sz w:val="17"/>
              </w:rPr>
              <w:t>Total</w:t>
            </w:r>
          </w:p>
        </w:tc>
        <w:tc>
          <w:tcPr>
            <w:tcW w:w="1163" w:type="dxa"/>
            <w:tcBorders>
              <w:top w:val="single" w:sz="3" w:space="0" w:color="231F20"/>
            </w:tcBorders>
          </w:tcPr>
          <w:p>
            <w:pPr>
              <w:pStyle w:val="TableParagraph"/>
              <w:spacing w:line="240" w:lineRule="auto" w:before="84"/>
              <w:ind w:right="375"/>
              <w:jc w:val="right"/>
              <w:rPr>
                <w:sz w:val="17"/>
              </w:rPr>
            </w:pPr>
            <w:r>
              <w:rPr>
                <w:color w:val="231F20"/>
                <w:sz w:val="17"/>
              </w:rPr>
              <w:t>12,293</w:t>
            </w:r>
          </w:p>
        </w:tc>
        <w:tc>
          <w:tcPr>
            <w:tcW w:w="1045" w:type="dxa"/>
            <w:tcBorders>
              <w:top w:val="single" w:sz="3" w:space="0" w:color="231F20"/>
            </w:tcBorders>
          </w:tcPr>
          <w:p>
            <w:pPr>
              <w:pStyle w:val="TableParagraph"/>
              <w:spacing w:line="240" w:lineRule="auto" w:before="84"/>
              <w:ind w:right="377"/>
              <w:jc w:val="right"/>
              <w:rPr>
                <w:sz w:val="17"/>
              </w:rPr>
            </w:pPr>
            <w:r>
              <w:rPr>
                <w:color w:val="231F20"/>
                <w:sz w:val="17"/>
              </w:rPr>
              <w:t>236</w:t>
            </w:r>
          </w:p>
        </w:tc>
        <w:tc>
          <w:tcPr>
            <w:tcW w:w="1271" w:type="dxa"/>
            <w:tcBorders>
              <w:top w:val="single" w:sz="3" w:space="0" w:color="231F20"/>
            </w:tcBorders>
          </w:tcPr>
          <w:p>
            <w:pPr>
              <w:pStyle w:val="TableParagraph"/>
              <w:spacing w:line="240" w:lineRule="auto" w:before="84"/>
              <w:ind w:right="364"/>
              <w:jc w:val="right"/>
              <w:rPr>
                <w:sz w:val="17"/>
              </w:rPr>
            </w:pPr>
            <w:r>
              <w:rPr>
                <w:color w:val="231F20"/>
                <w:sz w:val="17"/>
              </w:rPr>
              <w:t>13,051</w:t>
            </w:r>
          </w:p>
        </w:tc>
        <w:tc>
          <w:tcPr>
            <w:tcW w:w="1075" w:type="dxa"/>
            <w:tcBorders>
              <w:top w:val="single" w:sz="3" w:space="0" w:color="231F20"/>
            </w:tcBorders>
          </w:tcPr>
          <w:p>
            <w:pPr>
              <w:pStyle w:val="TableParagraph"/>
              <w:spacing w:line="240" w:lineRule="auto" w:before="84"/>
              <w:ind w:right="419"/>
              <w:jc w:val="right"/>
              <w:rPr>
                <w:sz w:val="17"/>
              </w:rPr>
            </w:pPr>
            <w:r>
              <w:rPr>
                <w:color w:val="231F20"/>
                <w:sz w:val="17"/>
              </w:rPr>
              <w:t>212</w:t>
            </w:r>
          </w:p>
        </w:tc>
      </w:tr>
      <w:tr>
        <w:trPr>
          <w:trHeight w:val="210" w:hRule="exact"/>
        </w:trPr>
        <w:tc>
          <w:tcPr>
            <w:tcW w:w="2441" w:type="dxa"/>
          </w:tcPr>
          <w:p>
            <w:pPr>
              <w:pStyle w:val="TableParagraph"/>
              <w:ind w:left="35"/>
              <w:jc w:val="left"/>
              <w:rPr>
                <w:sz w:val="17"/>
              </w:rPr>
            </w:pPr>
            <w:r>
              <w:rPr>
                <w:color w:val="231F20"/>
                <w:w w:val="110"/>
                <w:sz w:val="17"/>
              </w:rPr>
              <w:t>Del sistema circulatorio</w:t>
            </w:r>
          </w:p>
        </w:tc>
        <w:tc>
          <w:tcPr>
            <w:tcW w:w="1163" w:type="dxa"/>
          </w:tcPr>
          <w:p>
            <w:pPr>
              <w:pStyle w:val="TableParagraph"/>
              <w:ind w:right="375"/>
              <w:jc w:val="right"/>
              <w:rPr>
                <w:sz w:val="17"/>
              </w:rPr>
            </w:pPr>
            <w:r>
              <w:rPr>
                <w:color w:val="231F20"/>
                <w:w w:val="105"/>
                <w:sz w:val="17"/>
              </w:rPr>
              <w:t>3,316</w:t>
            </w:r>
          </w:p>
        </w:tc>
        <w:tc>
          <w:tcPr>
            <w:tcW w:w="1045" w:type="dxa"/>
          </w:tcPr>
          <w:p>
            <w:pPr>
              <w:pStyle w:val="TableParagraph"/>
              <w:ind w:right="377"/>
              <w:jc w:val="right"/>
              <w:rPr>
                <w:sz w:val="17"/>
              </w:rPr>
            </w:pPr>
            <w:r>
              <w:rPr>
                <w:color w:val="231F20"/>
                <w:sz w:val="17"/>
              </w:rPr>
              <w:t>64</w:t>
            </w:r>
          </w:p>
        </w:tc>
        <w:tc>
          <w:tcPr>
            <w:tcW w:w="1271" w:type="dxa"/>
          </w:tcPr>
          <w:p>
            <w:pPr>
              <w:pStyle w:val="TableParagraph"/>
              <w:ind w:right="364"/>
              <w:jc w:val="right"/>
              <w:rPr>
                <w:sz w:val="17"/>
              </w:rPr>
            </w:pPr>
            <w:r>
              <w:rPr>
                <w:color w:val="231F20"/>
                <w:w w:val="105"/>
                <w:sz w:val="17"/>
              </w:rPr>
              <w:t>4,326</w:t>
            </w:r>
          </w:p>
        </w:tc>
        <w:tc>
          <w:tcPr>
            <w:tcW w:w="1075" w:type="dxa"/>
          </w:tcPr>
          <w:p>
            <w:pPr>
              <w:pStyle w:val="TableParagraph"/>
              <w:ind w:right="419"/>
              <w:jc w:val="right"/>
              <w:rPr>
                <w:sz w:val="17"/>
              </w:rPr>
            </w:pPr>
            <w:r>
              <w:rPr>
                <w:color w:val="231F20"/>
                <w:sz w:val="17"/>
              </w:rPr>
              <w:t>70</w:t>
            </w:r>
          </w:p>
        </w:tc>
      </w:tr>
      <w:tr>
        <w:trPr>
          <w:trHeight w:val="210" w:hRule="exact"/>
        </w:trPr>
        <w:tc>
          <w:tcPr>
            <w:tcW w:w="2441" w:type="dxa"/>
          </w:tcPr>
          <w:p>
            <w:pPr>
              <w:pStyle w:val="TableParagraph"/>
              <w:ind w:left="35"/>
              <w:jc w:val="left"/>
              <w:rPr>
                <w:sz w:val="17"/>
              </w:rPr>
            </w:pPr>
            <w:r>
              <w:rPr>
                <w:color w:val="231F20"/>
                <w:w w:val="110"/>
                <w:sz w:val="17"/>
              </w:rPr>
              <w:t>Del sistema digestivo</w:t>
            </w:r>
          </w:p>
        </w:tc>
        <w:tc>
          <w:tcPr>
            <w:tcW w:w="1163" w:type="dxa"/>
          </w:tcPr>
          <w:p>
            <w:pPr>
              <w:pStyle w:val="TableParagraph"/>
              <w:ind w:right="375"/>
              <w:jc w:val="right"/>
              <w:rPr>
                <w:sz w:val="17"/>
              </w:rPr>
            </w:pPr>
            <w:r>
              <w:rPr>
                <w:color w:val="231F20"/>
                <w:w w:val="105"/>
                <w:sz w:val="17"/>
              </w:rPr>
              <w:t>1,784</w:t>
            </w:r>
          </w:p>
        </w:tc>
        <w:tc>
          <w:tcPr>
            <w:tcW w:w="1045" w:type="dxa"/>
          </w:tcPr>
          <w:p>
            <w:pPr>
              <w:pStyle w:val="TableParagraph"/>
              <w:ind w:right="377"/>
              <w:jc w:val="right"/>
              <w:rPr>
                <w:sz w:val="17"/>
              </w:rPr>
            </w:pPr>
            <w:r>
              <w:rPr>
                <w:color w:val="231F20"/>
                <w:sz w:val="17"/>
              </w:rPr>
              <w:t>34</w:t>
            </w:r>
          </w:p>
        </w:tc>
        <w:tc>
          <w:tcPr>
            <w:tcW w:w="1271" w:type="dxa"/>
          </w:tcPr>
          <w:p>
            <w:pPr>
              <w:pStyle w:val="TableParagraph"/>
              <w:ind w:right="364"/>
              <w:jc w:val="right"/>
              <w:rPr>
                <w:sz w:val="17"/>
              </w:rPr>
            </w:pPr>
            <w:r>
              <w:rPr>
                <w:color w:val="231F20"/>
                <w:w w:val="105"/>
                <w:sz w:val="17"/>
              </w:rPr>
              <w:t>1,242</w:t>
            </w:r>
          </w:p>
        </w:tc>
        <w:tc>
          <w:tcPr>
            <w:tcW w:w="1075" w:type="dxa"/>
          </w:tcPr>
          <w:p>
            <w:pPr>
              <w:pStyle w:val="TableParagraph"/>
              <w:ind w:right="419"/>
              <w:jc w:val="right"/>
              <w:rPr>
                <w:sz w:val="17"/>
              </w:rPr>
            </w:pPr>
            <w:r>
              <w:rPr>
                <w:color w:val="231F20"/>
                <w:sz w:val="17"/>
              </w:rPr>
              <w:t>20</w:t>
            </w:r>
          </w:p>
        </w:tc>
      </w:tr>
      <w:tr>
        <w:trPr>
          <w:trHeight w:val="210" w:hRule="exact"/>
        </w:trPr>
        <w:tc>
          <w:tcPr>
            <w:tcW w:w="2441" w:type="dxa"/>
          </w:tcPr>
          <w:p>
            <w:pPr>
              <w:pStyle w:val="TableParagraph"/>
              <w:ind w:left="35"/>
              <w:jc w:val="left"/>
              <w:rPr>
                <w:sz w:val="17"/>
              </w:rPr>
            </w:pPr>
            <w:r>
              <w:rPr>
                <w:color w:val="231F20"/>
                <w:w w:val="110"/>
                <w:sz w:val="17"/>
              </w:rPr>
              <w:t>Del sistema respiratorio</w:t>
            </w:r>
          </w:p>
        </w:tc>
        <w:tc>
          <w:tcPr>
            <w:tcW w:w="1163" w:type="dxa"/>
          </w:tcPr>
          <w:p>
            <w:pPr>
              <w:pStyle w:val="TableParagraph"/>
              <w:ind w:right="375"/>
              <w:jc w:val="right"/>
              <w:rPr>
                <w:sz w:val="17"/>
              </w:rPr>
            </w:pPr>
            <w:r>
              <w:rPr>
                <w:color w:val="231F20"/>
                <w:w w:val="105"/>
                <w:sz w:val="17"/>
              </w:rPr>
              <w:t>1,652</w:t>
            </w:r>
          </w:p>
        </w:tc>
        <w:tc>
          <w:tcPr>
            <w:tcW w:w="1045" w:type="dxa"/>
          </w:tcPr>
          <w:p>
            <w:pPr>
              <w:pStyle w:val="TableParagraph"/>
              <w:ind w:right="377"/>
              <w:jc w:val="right"/>
              <w:rPr>
                <w:sz w:val="17"/>
              </w:rPr>
            </w:pPr>
            <w:r>
              <w:rPr>
                <w:color w:val="231F20"/>
                <w:sz w:val="17"/>
              </w:rPr>
              <w:t>32</w:t>
            </w:r>
          </w:p>
        </w:tc>
        <w:tc>
          <w:tcPr>
            <w:tcW w:w="1271" w:type="dxa"/>
          </w:tcPr>
          <w:p>
            <w:pPr>
              <w:pStyle w:val="TableParagraph"/>
              <w:ind w:right="364"/>
              <w:jc w:val="right"/>
              <w:rPr>
                <w:sz w:val="17"/>
              </w:rPr>
            </w:pPr>
            <w:r>
              <w:rPr>
                <w:color w:val="231F20"/>
                <w:w w:val="105"/>
                <w:sz w:val="17"/>
              </w:rPr>
              <w:t>1,588</w:t>
            </w:r>
          </w:p>
        </w:tc>
        <w:tc>
          <w:tcPr>
            <w:tcW w:w="1075" w:type="dxa"/>
          </w:tcPr>
          <w:p>
            <w:pPr>
              <w:pStyle w:val="TableParagraph"/>
              <w:ind w:right="419"/>
              <w:jc w:val="right"/>
              <w:rPr>
                <w:sz w:val="17"/>
              </w:rPr>
            </w:pPr>
            <w:r>
              <w:rPr>
                <w:color w:val="231F20"/>
                <w:sz w:val="17"/>
              </w:rPr>
              <w:t>26</w:t>
            </w:r>
          </w:p>
        </w:tc>
      </w:tr>
      <w:tr>
        <w:trPr>
          <w:trHeight w:val="210" w:hRule="exact"/>
        </w:trPr>
        <w:tc>
          <w:tcPr>
            <w:tcW w:w="2441" w:type="dxa"/>
          </w:tcPr>
          <w:p>
            <w:pPr>
              <w:pStyle w:val="TableParagraph"/>
              <w:ind w:left="35"/>
              <w:jc w:val="left"/>
              <w:rPr>
                <w:sz w:val="17"/>
              </w:rPr>
            </w:pPr>
            <w:r>
              <w:rPr>
                <w:color w:val="231F20"/>
                <w:w w:val="110"/>
                <w:sz w:val="17"/>
              </w:rPr>
              <w:t>Endocrinas y nutricionales</w:t>
            </w:r>
          </w:p>
        </w:tc>
        <w:tc>
          <w:tcPr>
            <w:tcW w:w="1163" w:type="dxa"/>
          </w:tcPr>
          <w:p>
            <w:pPr>
              <w:pStyle w:val="TableParagraph"/>
              <w:ind w:right="375"/>
              <w:jc w:val="right"/>
              <w:rPr>
                <w:sz w:val="17"/>
              </w:rPr>
            </w:pPr>
            <w:r>
              <w:rPr>
                <w:color w:val="231F20"/>
                <w:w w:val="105"/>
                <w:sz w:val="17"/>
              </w:rPr>
              <w:t>2,217</w:t>
            </w:r>
          </w:p>
        </w:tc>
        <w:tc>
          <w:tcPr>
            <w:tcW w:w="1045" w:type="dxa"/>
          </w:tcPr>
          <w:p>
            <w:pPr>
              <w:pStyle w:val="TableParagraph"/>
              <w:ind w:right="377"/>
              <w:jc w:val="right"/>
              <w:rPr>
                <w:sz w:val="17"/>
              </w:rPr>
            </w:pPr>
            <w:r>
              <w:rPr>
                <w:color w:val="231F20"/>
                <w:sz w:val="17"/>
              </w:rPr>
              <w:t>43</w:t>
            </w:r>
          </w:p>
        </w:tc>
        <w:tc>
          <w:tcPr>
            <w:tcW w:w="1271" w:type="dxa"/>
          </w:tcPr>
          <w:p>
            <w:pPr>
              <w:pStyle w:val="TableParagraph"/>
              <w:ind w:right="364"/>
              <w:jc w:val="right"/>
              <w:rPr>
                <w:sz w:val="17"/>
              </w:rPr>
            </w:pPr>
            <w:r>
              <w:rPr>
                <w:color w:val="231F20"/>
                <w:w w:val="105"/>
                <w:sz w:val="17"/>
              </w:rPr>
              <w:t>2,875</w:t>
            </w:r>
          </w:p>
        </w:tc>
        <w:tc>
          <w:tcPr>
            <w:tcW w:w="1075" w:type="dxa"/>
          </w:tcPr>
          <w:p>
            <w:pPr>
              <w:pStyle w:val="TableParagraph"/>
              <w:ind w:right="419"/>
              <w:jc w:val="right"/>
              <w:rPr>
                <w:sz w:val="17"/>
              </w:rPr>
            </w:pPr>
            <w:r>
              <w:rPr>
                <w:color w:val="231F20"/>
                <w:sz w:val="17"/>
              </w:rPr>
              <w:t>47</w:t>
            </w:r>
          </w:p>
        </w:tc>
      </w:tr>
      <w:tr>
        <w:trPr>
          <w:trHeight w:val="210" w:hRule="exact"/>
        </w:trPr>
        <w:tc>
          <w:tcPr>
            <w:tcW w:w="2441" w:type="dxa"/>
          </w:tcPr>
          <w:p>
            <w:pPr>
              <w:pStyle w:val="TableParagraph"/>
              <w:ind w:left="35"/>
              <w:jc w:val="left"/>
              <w:rPr>
                <w:sz w:val="17"/>
              </w:rPr>
            </w:pPr>
            <w:r>
              <w:rPr>
                <w:color w:val="231F20"/>
                <w:w w:val="110"/>
                <w:sz w:val="17"/>
              </w:rPr>
              <w:t>Tumores (Neoplasias)</w:t>
            </w:r>
          </w:p>
        </w:tc>
        <w:tc>
          <w:tcPr>
            <w:tcW w:w="1163" w:type="dxa"/>
          </w:tcPr>
          <w:p>
            <w:pPr>
              <w:pStyle w:val="TableParagraph"/>
              <w:ind w:right="375"/>
              <w:jc w:val="right"/>
              <w:rPr>
                <w:sz w:val="17"/>
              </w:rPr>
            </w:pPr>
            <w:r>
              <w:rPr>
                <w:color w:val="231F20"/>
                <w:w w:val="105"/>
                <w:sz w:val="17"/>
              </w:rPr>
              <w:t>1,531</w:t>
            </w:r>
          </w:p>
        </w:tc>
        <w:tc>
          <w:tcPr>
            <w:tcW w:w="1045" w:type="dxa"/>
          </w:tcPr>
          <w:p>
            <w:pPr>
              <w:pStyle w:val="TableParagraph"/>
              <w:ind w:right="377"/>
              <w:jc w:val="right"/>
              <w:rPr>
                <w:sz w:val="17"/>
              </w:rPr>
            </w:pPr>
            <w:r>
              <w:rPr>
                <w:color w:val="231F20"/>
                <w:sz w:val="17"/>
              </w:rPr>
              <w:t>29</w:t>
            </w:r>
          </w:p>
        </w:tc>
        <w:tc>
          <w:tcPr>
            <w:tcW w:w="1271" w:type="dxa"/>
          </w:tcPr>
          <w:p>
            <w:pPr>
              <w:pStyle w:val="TableParagraph"/>
              <w:ind w:right="364"/>
              <w:jc w:val="right"/>
              <w:rPr>
                <w:sz w:val="17"/>
              </w:rPr>
            </w:pPr>
            <w:r>
              <w:rPr>
                <w:color w:val="231F20"/>
                <w:w w:val="105"/>
                <w:sz w:val="17"/>
              </w:rPr>
              <w:t>1,634</w:t>
            </w:r>
          </w:p>
        </w:tc>
        <w:tc>
          <w:tcPr>
            <w:tcW w:w="1075" w:type="dxa"/>
          </w:tcPr>
          <w:p>
            <w:pPr>
              <w:pStyle w:val="TableParagraph"/>
              <w:ind w:right="419"/>
              <w:jc w:val="right"/>
              <w:rPr>
                <w:sz w:val="17"/>
              </w:rPr>
            </w:pPr>
            <w:r>
              <w:rPr>
                <w:color w:val="231F20"/>
                <w:sz w:val="17"/>
              </w:rPr>
              <w:t>27</w:t>
            </w:r>
          </w:p>
        </w:tc>
      </w:tr>
      <w:tr>
        <w:trPr>
          <w:trHeight w:val="276" w:hRule="exact"/>
        </w:trPr>
        <w:tc>
          <w:tcPr>
            <w:tcW w:w="2441" w:type="dxa"/>
            <w:tcBorders>
              <w:bottom w:val="single" w:sz="3" w:space="0" w:color="231F20"/>
            </w:tcBorders>
          </w:tcPr>
          <w:p>
            <w:pPr>
              <w:pStyle w:val="TableParagraph"/>
              <w:ind w:left="35"/>
              <w:jc w:val="left"/>
              <w:rPr>
                <w:sz w:val="17"/>
              </w:rPr>
            </w:pPr>
            <w:r>
              <w:rPr>
                <w:color w:val="231F20"/>
                <w:w w:val="110"/>
                <w:sz w:val="17"/>
              </w:rPr>
              <w:t>Otras enfermedades</w:t>
            </w:r>
          </w:p>
        </w:tc>
        <w:tc>
          <w:tcPr>
            <w:tcW w:w="1163" w:type="dxa"/>
            <w:tcBorders>
              <w:bottom w:val="single" w:sz="3" w:space="0" w:color="231F20"/>
            </w:tcBorders>
          </w:tcPr>
          <w:p>
            <w:pPr>
              <w:pStyle w:val="TableParagraph"/>
              <w:ind w:right="375"/>
              <w:jc w:val="right"/>
              <w:rPr>
                <w:sz w:val="17"/>
              </w:rPr>
            </w:pPr>
            <w:r>
              <w:rPr>
                <w:color w:val="231F20"/>
                <w:w w:val="105"/>
                <w:sz w:val="17"/>
              </w:rPr>
              <w:t>1,793</w:t>
            </w:r>
          </w:p>
        </w:tc>
        <w:tc>
          <w:tcPr>
            <w:tcW w:w="1045" w:type="dxa"/>
            <w:tcBorders>
              <w:bottom w:val="single" w:sz="3" w:space="0" w:color="231F20"/>
            </w:tcBorders>
          </w:tcPr>
          <w:p>
            <w:pPr>
              <w:pStyle w:val="TableParagraph"/>
              <w:ind w:right="377"/>
              <w:jc w:val="right"/>
              <w:rPr>
                <w:sz w:val="17"/>
              </w:rPr>
            </w:pPr>
            <w:r>
              <w:rPr>
                <w:color w:val="231F20"/>
                <w:sz w:val="17"/>
              </w:rPr>
              <w:t>34</w:t>
            </w:r>
          </w:p>
        </w:tc>
        <w:tc>
          <w:tcPr>
            <w:tcW w:w="1271" w:type="dxa"/>
            <w:tcBorders>
              <w:bottom w:val="single" w:sz="3" w:space="0" w:color="231F20"/>
            </w:tcBorders>
          </w:tcPr>
          <w:p>
            <w:pPr>
              <w:pStyle w:val="TableParagraph"/>
              <w:ind w:right="364"/>
              <w:jc w:val="right"/>
              <w:rPr>
                <w:sz w:val="17"/>
              </w:rPr>
            </w:pPr>
            <w:r>
              <w:rPr>
                <w:color w:val="231F20"/>
                <w:w w:val="105"/>
                <w:sz w:val="17"/>
              </w:rPr>
              <w:t>1,386</w:t>
            </w:r>
          </w:p>
        </w:tc>
        <w:tc>
          <w:tcPr>
            <w:tcW w:w="1075" w:type="dxa"/>
            <w:tcBorders>
              <w:bottom w:val="single" w:sz="3" w:space="0" w:color="231F20"/>
            </w:tcBorders>
          </w:tcPr>
          <w:p>
            <w:pPr>
              <w:pStyle w:val="TableParagraph"/>
              <w:ind w:right="418"/>
              <w:jc w:val="right"/>
              <w:rPr>
                <w:sz w:val="17"/>
              </w:rPr>
            </w:pPr>
            <w:r>
              <w:rPr>
                <w:color w:val="231F20"/>
                <w:sz w:val="17"/>
              </w:rPr>
              <w:t>23</w:t>
            </w:r>
          </w:p>
        </w:tc>
      </w:tr>
    </w:tbl>
    <w:p>
      <w:pPr>
        <w:spacing w:line="173" w:lineRule="exact" w:before="63"/>
        <w:ind w:left="504" w:right="0" w:firstLine="0"/>
        <w:jc w:val="left"/>
        <w:rPr>
          <w:sz w:val="15"/>
        </w:rPr>
      </w:pPr>
      <w:r>
        <w:rPr>
          <w:color w:val="231F20"/>
          <w:w w:val="110"/>
          <w:sz w:val="15"/>
        </w:rPr>
        <w:t>1/ Causas de muerte según causas detalladas  CIE10.</w:t>
      </w:r>
    </w:p>
    <w:p>
      <w:pPr>
        <w:spacing w:line="170" w:lineRule="exact" w:before="0"/>
        <w:ind w:left="504" w:right="0" w:firstLine="0"/>
        <w:jc w:val="left"/>
        <w:rPr>
          <w:sz w:val="15"/>
        </w:rPr>
      </w:pPr>
      <w:r>
        <w:rPr>
          <w:color w:val="231F20"/>
          <w:w w:val="110"/>
          <w:sz w:val="15"/>
        </w:rPr>
        <w:t>2/ Tasa por cada 10,000 mil hombres y mujeres de 60 años o más  respectivamente.</w:t>
      </w:r>
    </w:p>
    <w:p>
      <w:pPr>
        <w:spacing w:line="170" w:lineRule="exact" w:before="3"/>
        <w:ind w:left="504" w:right="0" w:firstLine="0"/>
        <w:jc w:val="left"/>
        <w:rPr>
          <w:sz w:val="15"/>
        </w:rPr>
      </w:pPr>
      <w:r>
        <w:rPr>
          <w:color w:val="231F20"/>
          <w:w w:val="110"/>
          <w:sz w:val="15"/>
        </w:rPr>
        <w:t>Nota: Para la construcción de las tasas se utilizó la Base de Datos de Defunciones 2010, </w:t>
      </w:r>
      <w:r>
        <w:rPr>
          <w:rFonts w:ascii="Times New Roman" w:hAnsi="Times New Roman"/>
          <w:color w:val="231F20"/>
          <w:w w:val="110"/>
          <w:sz w:val="12"/>
        </w:rPr>
        <w:t>INEGI</w:t>
      </w:r>
      <w:r>
        <w:rPr>
          <w:color w:val="231F20"/>
          <w:w w:val="110"/>
          <w:sz w:val="15"/>
        </w:rPr>
        <w:t>. Fuente: </w:t>
      </w:r>
      <w:r>
        <w:rPr>
          <w:rFonts w:ascii="Times New Roman" w:hAnsi="Times New Roman"/>
          <w:color w:val="231F20"/>
          <w:w w:val="110"/>
          <w:sz w:val="12"/>
        </w:rPr>
        <w:t>INEGI</w:t>
      </w:r>
      <w:r>
        <w:rPr>
          <w:color w:val="231F20"/>
          <w:w w:val="110"/>
          <w:sz w:val="15"/>
        </w:rPr>
        <w:t>, Censos de Población y Vivienda, 2010.</w:t>
      </w:r>
    </w:p>
    <w:p>
      <w:pPr>
        <w:spacing w:after="0" w:line="170" w:lineRule="exact"/>
        <w:jc w:val="left"/>
        <w:rPr>
          <w:sz w:val="15"/>
        </w:rPr>
        <w:sectPr>
          <w:pgSz w:w="9520" w:h="12920"/>
          <w:pgMar w:header="0" w:footer="1344" w:top="880" w:bottom="1540" w:left="1300" w:right="1000"/>
        </w:sectPr>
      </w:pPr>
    </w:p>
    <w:p>
      <w:pPr>
        <w:pStyle w:val="BodyText"/>
        <w:spacing w:line="280" w:lineRule="auto" w:before="42"/>
        <w:ind w:left="120" w:right="114" w:firstLine="360"/>
        <w:jc w:val="both"/>
      </w:pPr>
      <w:r>
        <w:rPr>
          <w:color w:val="231F20"/>
          <w:w w:val="110"/>
        </w:rPr>
        <w:t>La atención de salud es uno de los retos que enfrentará la población mexiquense ante su gradual envejecimiento demográfico en las próximas décadas. De acuerdo con Gutiérrez (2010), ante el aumento del envejeci- miento</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población,</w:t>
      </w:r>
      <w:r>
        <w:rPr>
          <w:color w:val="231F20"/>
          <w:spacing w:val="-9"/>
          <w:w w:val="110"/>
        </w:rPr>
        <w:t> </w:t>
      </w:r>
      <w:r>
        <w:rPr>
          <w:color w:val="231F20"/>
          <w:w w:val="110"/>
        </w:rPr>
        <w:t>las</w:t>
      </w:r>
      <w:r>
        <w:rPr>
          <w:color w:val="231F20"/>
          <w:spacing w:val="-9"/>
          <w:w w:val="110"/>
        </w:rPr>
        <w:t> </w:t>
      </w:r>
      <w:r>
        <w:rPr>
          <w:color w:val="231F20"/>
          <w:w w:val="110"/>
        </w:rPr>
        <w:t>enfermedades</w:t>
      </w:r>
      <w:r>
        <w:rPr>
          <w:color w:val="231F20"/>
          <w:spacing w:val="-9"/>
          <w:w w:val="110"/>
        </w:rPr>
        <w:t> </w:t>
      </w:r>
      <w:r>
        <w:rPr>
          <w:color w:val="231F20"/>
          <w:w w:val="110"/>
        </w:rPr>
        <w:t>crónico-degenerativas</w:t>
      </w:r>
      <w:r>
        <w:rPr>
          <w:color w:val="231F20"/>
          <w:spacing w:val="-9"/>
          <w:w w:val="110"/>
        </w:rPr>
        <w:t> </w:t>
      </w:r>
      <w:r>
        <w:rPr>
          <w:color w:val="231F20"/>
          <w:w w:val="110"/>
        </w:rPr>
        <w:t>han</w:t>
      </w:r>
      <w:r>
        <w:rPr>
          <w:color w:val="231F20"/>
          <w:spacing w:val="-9"/>
          <w:w w:val="110"/>
        </w:rPr>
        <w:t> </w:t>
      </w:r>
      <w:r>
        <w:rPr>
          <w:color w:val="231F20"/>
          <w:w w:val="110"/>
        </w:rPr>
        <w:t>reem- plazado a las enfermedades transmisibles como las principales causas de mortalidad, por lo que las enfermedades cardiovasculares, el </w:t>
      </w:r>
      <w:r>
        <w:rPr>
          <w:color w:val="231F20"/>
          <w:spacing w:val="-3"/>
          <w:w w:val="110"/>
        </w:rPr>
        <w:t>cáncer, </w:t>
      </w:r>
      <w:r>
        <w:rPr>
          <w:color w:val="231F20"/>
          <w:w w:val="110"/>
        </w:rPr>
        <w:t>los traumatismos y la discapacidad están surgiendo y aumentarán aún más como los problemas de salud más importantes en este grupo de población </w:t>
      </w:r>
      <w:r>
        <w:rPr>
          <w:color w:val="231F20"/>
          <w:w w:val="105"/>
        </w:rPr>
        <w:t>(Gutiérrez,</w:t>
      </w:r>
      <w:r>
        <w:rPr>
          <w:color w:val="231F20"/>
          <w:spacing w:val="22"/>
          <w:w w:val="105"/>
        </w:rPr>
        <w:t> </w:t>
      </w:r>
      <w:r>
        <w:rPr>
          <w:color w:val="231F20"/>
          <w:w w:val="105"/>
        </w:rPr>
        <w:t>2010).</w:t>
      </w:r>
    </w:p>
    <w:p>
      <w:pPr>
        <w:pStyle w:val="BodyText"/>
        <w:spacing w:line="280" w:lineRule="auto"/>
        <w:ind w:left="120" w:right="117" w:firstLine="360"/>
        <w:jc w:val="both"/>
      </w:pPr>
      <w:r>
        <w:rPr>
          <w:color w:val="231F20"/>
          <w:w w:val="110"/>
        </w:rPr>
        <w:t>El sistema de salud médica y la atención requerida hacia la población envejecida</w:t>
      </w:r>
      <w:r>
        <w:rPr>
          <w:color w:val="231F20"/>
          <w:spacing w:val="-18"/>
          <w:w w:val="110"/>
        </w:rPr>
        <w:t> </w:t>
      </w:r>
      <w:r>
        <w:rPr>
          <w:color w:val="231F20"/>
          <w:w w:val="110"/>
        </w:rPr>
        <w:t>deberán</w:t>
      </w:r>
      <w:r>
        <w:rPr>
          <w:color w:val="231F20"/>
          <w:spacing w:val="-18"/>
          <w:w w:val="110"/>
        </w:rPr>
        <w:t> </w:t>
      </w:r>
      <w:r>
        <w:rPr>
          <w:color w:val="231F20"/>
          <w:w w:val="110"/>
        </w:rPr>
        <w:t>modificarse</w:t>
      </w:r>
      <w:r>
        <w:rPr>
          <w:color w:val="231F20"/>
          <w:spacing w:val="-18"/>
          <w:w w:val="110"/>
        </w:rPr>
        <w:t> </w:t>
      </w:r>
      <w:r>
        <w:rPr>
          <w:color w:val="231F20"/>
          <w:w w:val="110"/>
        </w:rPr>
        <w:t>para</w:t>
      </w:r>
      <w:r>
        <w:rPr>
          <w:color w:val="231F20"/>
          <w:spacing w:val="-18"/>
          <w:w w:val="110"/>
        </w:rPr>
        <w:t> </w:t>
      </w:r>
      <w:r>
        <w:rPr>
          <w:color w:val="231F20"/>
          <w:w w:val="110"/>
        </w:rPr>
        <w:t>atender</w:t>
      </w:r>
      <w:r>
        <w:rPr>
          <w:color w:val="231F20"/>
          <w:spacing w:val="-18"/>
          <w:w w:val="110"/>
        </w:rPr>
        <w:t> </w:t>
      </w:r>
      <w:r>
        <w:rPr>
          <w:color w:val="231F20"/>
          <w:w w:val="110"/>
        </w:rPr>
        <w:t>de</w:t>
      </w:r>
      <w:r>
        <w:rPr>
          <w:color w:val="231F20"/>
          <w:spacing w:val="-18"/>
          <w:w w:val="110"/>
        </w:rPr>
        <w:t> </w:t>
      </w:r>
      <w:r>
        <w:rPr>
          <w:color w:val="231F20"/>
          <w:w w:val="110"/>
        </w:rPr>
        <w:t>manera</w:t>
      </w:r>
      <w:r>
        <w:rPr>
          <w:color w:val="231F20"/>
          <w:spacing w:val="-18"/>
          <w:w w:val="110"/>
        </w:rPr>
        <w:t> </w:t>
      </w:r>
      <w:r>
        <w:rPr>
          <w:color w:val="231F20"/>
          <w:w w:val="110"/>
        </w:rPr>
        <w:t>eficaz</w:t>
      </w:r>
      <w:r>
        <w:rPr>
          <w:color w:val="231F20"/>
          <w:spacing w:val="-18"/>
          <w:w w:val="110"/>
        </w:rPr>
        <w:t> </w:t>
      </w:r>
      <w:r>
        <w:rPr>
          <w:color w:val="231F20"/>
          <w:w w:val="110"/>
        </w:rPr>
        <w:t>el</w:t>
      </w:r>
      <w:r>
        <w:rPr>
          <w:color w:val="231F20"/>
          <w:spacing w:val="-18"/>
          <w:w w:val="110"/>
        </w:rPr>
        <w:t> </w:t>
      </w:r>
      <w:r>
        <w:rPr>
          <w:color w:val="231F20"/>
          <w:w w:val="110"/>
        </w:rPr>
        <w:t>tipo</w:t>
      </w:r>
      <w:r>
        <w:rPr>
          <w:color w:val="231F20"/>
          <w:spacing w:val="-18"/>
          <w:w w:val="110"/>
        </w:rPr>
        <w:t> </w:t>
      </w:r>
      <w:r>
        <w:rPr>
          <w:color w:val="231F20"/>
          <w:w w:val="110"/>
        </w:rPr>
        <w:t>de</w:t>
      </w:r>
      <w:r>
        <w:rPr>
          <w:color w:val="231F20"/>
          <w:spacing w:val="-18"/>
          <w:w w:val="110"/>
        </w:rPr>
        <w:t> </w:t>
      </w:r>
      <w:r>
        <w:rPr>
          <w:color w:val="231F20"/>
          <w:w w:val="110"/>
        </w:rPr>
        <w:t>en- fermedades que suelen prevalecer en la población anciana. El principal reto al respecto es que no toda la población adulta mayor cuenta con co- bertura de salud, lo que es aún más frecuente entre aquellos que residen en espacios geográficos</w:t>
      </w:r>
      <w:r>
        <w:rPr>
          <w:color w:val="231F20"/>
          <w:spacing w:val="41"/>
          <w:w w:val="110"/>
        </w:rPr>
        <w:t> </w:t>
      </w:r>
      <w:r>
        <w:rPr>
          <w:color w:val="231F20"/>
          <w:w w:val="110"/>
        </w:rPr>
        <w:t>aislados.</w:t>
      </w:r>
    </w:p>
    <w:p>
      <w:pPr>
        <w:pStyle w:val="BodyText"/>
      </w:pPr>
    </w:p>
    <w:p>
      <w:pPr>
        <w:pStyle w:val="BodyText"/>
        <w:spacing w:before="9"/>
        <w:rPr>
          <w:sz w:val="24"/>
        </w:rPr>
      </w:pPr>
    </w:p>
    <w:p>
      <w:pPr>
        <w:spacing w:before="1"/>
        <w:ind w:left="119" w:right="3407" w:firstLine="0"/>
        <w:jc w:val="left"/>
        <w:rPr>
          <w:rFonts w:ascii="Times New Roman" w:hAnsi="Times New Roman"/>
          <w:i/>
          <w:sz w:val="19"/>
        </w:rPr>
      </w:pPr>
      <w:r>
        <w:rPr>
          <w:rFonts w:ascii="Times New Roman" w:hAnsi="Times New Roman"/>
          <w:i/>
          <w:color w:val="231F20"/>
          <w:w w:val="95"/>
          <w:sz w:val="24"/>
        </w:rPr>
        <w:t>D</w:t>
      </w:r>
      <w:r>
        <w:rPr>
          <w:rFonts w:ascii="Times New Roman" w:hAnsi="Times New Roman"/>
          <w:i/>
          <w:color w:val="231F20"/>
          <w:w w:val="95"/>
          <w:sz w:val="19"/>
        </w:rPr>
        <w:t>ERECHOHABIENCIA Y USOS DE SERVICIOS </w:t>
      </w:r>
      <w:r>
        <w:rPr>
          <w:rFonts w:ascii="Times New Roman" w:hAnsi="Times New Roman"/>
          <w:i/>
          <w:color w:val="231F20"/>
          <w:sz w:val="19"/>
        </w:rPr>
        <w:t>DE SALUD EN EL </w:t>
      </w:r>
      <w:r>
        <w:rPr>
          <w:rFonts w:ascii="Times New Roman" w:hAnsi="Times New Roman"/>
          <w:i/>
          <w:color w:val="231F20"/>
          <w:sz w:val="24"/>
        </w:rPr>
        <w:t>E</w:t>
      </w:r>
      <w:r>
        <w:rPr>
          <w:rFonts w:ascii="Times New Roman" w:hAnsi="Times New Roman"/>
          <w:i/>
          <w:color w:val="231F20"/>
          <w:sz w:val="19"/>
        </w:rPr>
        <w:t>STADO DE </w:t>
      </w:r>
      <w:r>
        <w:rPr>
          <w:rFonts w:ascii="Times New Roman" w:hAnsi="Times New Roman"/>
          <w:i/>
          <w:color w:val="231F20"/>
          <w:sz w:val="24"/>
        </w:rPr>
        <w:t>M</w:t>
      </w:r>
      <w:r>
        <w:rPr>
          <w:rFonts w:ascii="Times New Roman" w:hAnsi="Times New Roman"/>
          <w:i/>
          <w:color w:val="231F20"/>
          <w:sz w:val="19"/>
        </w:rPr>
        <w:t>ÉXICO</w:t>
      </w:r>
    </w:p>
    <w:p>
      <w:pPr>
        <w:pStyle w:val="BodyText"/>
        <w:spacing w:before="1"/>
        <w:rPr>
          <w:rFonts w:ascii="Times New Roman"/>
          <w:i/>
          <w:sz w:val="27"/>
        </w:rPr>
      </w:pPr>
    </w:p>
    <w:p>
      <w:pPr>
        <w:pStyle w:val="BodyText"/>
        <w:spacing w:line="280" w:lineRule="auto"/>
        <w:ind w:left="120" w:right="114"/>
        <w:jc w:val="right"/>
      </w:pPr>
      <w:r>
        <w:rPr>
          <w:color w:val="231F20"/>
          <w:w w:val="110"/>
        </w:rPr>
        <w:t>La presencia cada vez mayor de población envejecida está</w:t>
      </w:r>
      <w:r>
        <w:rPr>
          <w:color w:val="231F20"/>
          <w:spacing w:val="43"/>
          <w:w w:val="110"/>
        </w:rPr>
        <w:t> </w:t>
      </w:r>
      <w:r>
        <w:rPr>
          <w:color w:val="231F20"/>
          <w:w w:val="110"/>
        </w:rPr>
        <w:t>originando</w:t>
      </w:r>
      <w:r>
        <w:rPr>
          <w:color w:val="231F20"/>
          <w:spacing w:val="15"/>
          <w:w w:val="110"/>
        </w:rPr>
        <w:t> </w:t>
      </w:r>
      <w:r>
        <w:rPr>
          <w:color w:val="231F20"/>
          <w:w w:val="110"/>
        </w:rPr>
        <w:t>un</w:t>
      </w:r>
      <w:r>
        <w:rPr>
          <w:color w:val="231F20"/>
          <w:w w:val="112"/>
        </w:rPr>
        <w:t> </w:t>
      </w:r>
      <w:r>
        <w:rPr>
          <w:color w:val="231F20"/>
          <w:w w:val="110"/>
        </w:rPr>
        <w:t>incremento</w:t>
      </w:r>
      <w:r>
        <w:rPr>
          <w:color w:val="231F20"/>
          <w:spacing w:val="20"/>
          <w:w w:val="110"/>
        </w:rPr>
        <w:t> </w:t>
      </w:r>
      <w:r>
        <w:rPr>
          <w:color w:val="231F20"/>
          <w:w w:val="110"/>
        </w:rPr>
        <w:t>en</w:t>
      </w:r>
      <w:r>
        <w:rPr>
          <w:color w:val="231F20"/>
          <w:spacing w:val="20"/>
          <w:w w:val="110"/>
        </w:rPr>
        <w:t> </w:t>
      </w:r>
      <w:r>
        <w:rPr>
          <w:color w:val="231F20"/>
          <w:w w:val="110"/>
        </w:rPr>
        <w:t>la</w:t>
      </w:r>
      <w:r>
        <w:rPr>
          <w:color w:val="231F20"/>
          <w:spacing w:val="20"/>
          <w:w w:val="110"/>
        </w:rPr>
        <w:t> </w:t>
      </w:r>
      <w:r>
        <w:rPr>
          <w:color w:val="231F20"/>
          <w:w w:val="110"/>
        </w:rPr>
        <w:t>demanda</w:t>
      </w:r>
      <w:r>
        <w:rPr>
          <w:color w:val="231F20"/>
          <w:spacing w:val="20"/>
          <w:w w:val="110"/>
        </w:rPr>
        <w:t> </w:t>
      </w:r>
      <w:r>
        <w:rPr>
          <w:color w:val="231F20"/>
          <w:w w:val="110"/>
        </w:rPr>
        <w:t>de</w:t>
      </w:r>
      <w:r>
        <w:rPr>
          <w:color w:val="231F20"/>
          <w:spacing w:val="20"/>
          <w:w w:val="110"/>
        </w:rPr>
        <w:t> </w:t>
      </w:r>
      <w:r>
        <w:rPr>
          <w:color w:val="231F20"/>
          <w:w w:val="110"/>
        </w:rPr>
        <w:t>servicios</w:t>
      </w:r>
      <w:r>
        <w:rPr>
          <w:color w:val="231F20"/>
          <w:spacing w:val="20"/>
          <w:w w:val="110"/>
        </w:rPr>
        <w:t> </w:t>
      </w:r>
      <w:r>
        <w:rPr>
          <w:color w:val="231F20"/>
          <w:w w:val="110"/>
        </w:rPr>
        <w:t>médicos</w:t>
      </w:r>
      <w:r>
        <w:rPr>
          <w:color w:val="231F20"/>
          <w:spacing w:val="20"/>
          <w:w w:val="110"/>
        </w:rPr>
        <w:t> </w:t>
      </w:r>
      <w:r>
        <w:rPr>
          <w:color w:val="231F20"/>
          <w:w w:val="110"/>
        </w:rPr>
        <w:t>y</w:t>
      </w:r>
      <w:r>
        <w:rPr>
          <w:color w:val="231F20"/>
          <w:spacing w:val="20"/>
          <w:w w:val="110"/>
        </w:rPr>
        <w:t> </w:t>
      </w:r>
      <w:r>
        <w:rPr>
          <w:color w:val="231F20"/>
          <w:w w:val="110"/>
        </w:rPr>
        <w:t>hospitalarios.</w:t>
      </w:r>
      <w:r>
        <w:rPr>
          <w:color w:val="231F20"/>
          <w:spacing w:val="20"/>
          <w:w w:val="110"/>
        </w:rPr>
        <w:t> </w:t>
      </w:r>
      <w:r>
        <w:rPr>
          <w:color w:val="231F20"/>
          <w:w w:val="110"/>
        </w:rPr>
        <w:t>La</w:t>
      </w:r>
      <w:r>
        <w:rPr>
          <w:color w:val="231F20"/>
          <w:spacing w:val="20"/>
          <w:w w:val="110"/>
        </w:rPr>
        <w:t> </w:t>
      </w:r>
      <w:r>
        <w:rPr>
          <w:color w:val="231F20"/>
          <w:w w:val="110"/>
        </w:rPr>
        <w:t>edad</w:t>
      </w:r>
      <w:r>
        <w:rPr>
          <w:color w:val="231F20"/>
          <w:w w:val="108"/>
        </w:rPr>
        <w:t> </w:t>
      </w:r>
      <w:r>
        <w:rPr>
          <w:color w:val="231F20"/>
          <w:w w:val="110"/>
        </w:rPr>
        <w:t>es uno de los principales factores en el empeoramiento de</w:t>
      </w:r>
      <w:r>
        <w:rPr>
          <w:color w:val="231F20"/>
          <w:spacing w:val="43"/>
          <w:w w:val="110"/>
        </w:rPr>
        <w:t> </w:t>
      </w:r>
      <w:r>
        <w:rPr>
          <w:color w:val="231F20"/>
          <w:w w:val="110"/>
        </w:rPr>
        <w:t>las</w:t>
      </w:r>
      <w:r>
        <w:rPr>
          <w:color w:val="231F20"/>
          <w:spacing w:val="4"/>
          <w:w w:val="110"/>
        </w:rPr>
        <w:t> </w:t>
      </w:r>
      <w:r>
        <w:rPr>
          <w:color w:val="231F20"/>
          <w:w w:val="110"/>
        </w:rPr>
        <w:t>condiciones</w:t>
      </w:r>
      <w:r>
        <w:rPr>
          <w:color w:val="231F20"/>
          <w:w w:val="110"/>
        </w:rPr>
        <w:t> </w:t>
      </w:r>
      <w:r>
        <w:rPr>
          <w:color w:val="231F20"/>
          <w:w w:val="110"/>
        </w:rPr>
        <w:t>de salud de la población en edad avanzada, pues conforme ésta</w:t>
      </w:r>
      <w:r>
        <w:rPr>
          <w:color w:val="231F20"/>
          <w:spacing w:val="9"/>
          <w:w w:val="110"/>
        </w:rPr>
        <w:t> </w:t>
      </w:r>
      <w:r>
        <w:rPr>
          <w:color w:val="231F20"/>
          <w:w w:val="110"/>
        </w:rPr>
        <w:t>avanza,</w:t>
      </w:r>
      <w:r>
        <w:rPr>
          <w:color w:val="231F20"/>
          <w:spacing w:val="5"/>
          <w:w w:val="110"/>
        </w:rPr>
        <w:t> </w:t>
      </w:r>
      <w:r>
        <w:rPr>
          <w:color w:val="231F20"/>
          <w:w w:val="110"/>
        </w:rPr>
        <w:t>se</w:t>
      </w:r>
      <w:r>
        <w:rPr>
          <w:color w:val="231F20"/>
          <w:w w:val="113"/>
        </w:rPr>
        <w:t> </w:t>
      </w:r>
      <w:r>
        <w:rPr>
          <w:color w:val="231F20"/>
          <w:w w:val="110"/>
        </w:rPr>
        <w:t>incrementa</w:t>
      </w:r>
      <w:r>
        <w:rPr>
          <w:color w:val="231F20"/>
          <w:spacing w:val="-11"/>
          <w:w w:val="110"/>
        </w:rPr>
        <w:t> </w:t>
      </w:r>
      <w:r>
        <w:rPr>
          <w:color w:val="231F20"/>
          <w:w w:val="110"/>
        </w:rPr>
        <w:t>la</w:t>
      </w:r>
      <w:r>
        <w:rPr>
          <w:color w:val="231F20"/>
          <w:spacing w:val="-11"/>
          <w:w w:val="110"/>
        </w:rPr>
        <w:t> </w:t>
      </w:r>
      <w:r>
        <w:rPr>
          <w:color w:val="231F20"/>
          <w:w w:val="110"/>
        </w:rPr>
        <w:t>probabilidad</w:t>
      </w:r>
      <w:r>
        <w:rPr>
          <w:color w:val="231F20"/>
          <w:spacing w:val="-11"/>
          <w:w w:val="110"/>
        </w:rPr>
        <w:t> </w:t>
      </w:r>
      <w:r>
        <w:rPr>
          <w:color w:val="231F20"/>
          <w:w w:val="110"/>
        </w:rPr>
        <w:t>de</w:t>
      </w:r>
      <w:r>
        <w:rPr>
          <w:color w:val="231F20"/>
          <w:spacing w:val="-11"/>
          <w:w w:val="110"/>
        </w:rPr>
        <w:t> </w:t>
      </w:r>
      <w:r>
        <w:rPr>
          <w:color w:val="231F20"/>
          <w:w w:val="110"/>
        </w:rPr>
        <w:t>padecer</w:t>
      </w:r>
      <w:r>
        <w:rPr>
          <w:color w:val="231F20"/>
          <w:spacing w:val="-11"/>
          <w:w w:val="110"/>
        </w:rPr>
        <w:t> </w:t>
      </w:r>
      <w:r>
        <w:rPr>
          <w:color w:val="231F20"/>
          <w:w w:val="110"/>
        </w:rPr>
        <w:t>una</w:t>
      </w:r>
      <w:r>
        <w:rPr>
          <w:color w:val="231F20"/>
          <w:spacing w:val="-11"/>
          <w:w w:val="110"/>
        </w:rPr>
        <w:t> </w:t>
      </w:r>
      <w:r>
        <w:rPr>
          <w:color w:val="231F20"/>
          <w:w w:val="110"/>
        </w:rPr>
        <w:t>enfermedad</w:t>
      </w:r>
      <w:r>
        <w:rPr>
          <w:color w:val="231F20"/>
          <w:spacing w:val="-11"/>
          <w:w w:val="110"/>
        </w:rPr>
        <w:t> </w:t>
      </w:r>
      <w:r>
        <w:rPr>
          <w:color w:val="231F20"/>
          <w:w w:val="110"/>
        </w:rPr>
        <w:t>de</w:t>
      </w:r>
      <w:r>
        <w:rPr>
          <w:color w:val="231F20"/>
          <w:spacing w:val="-11"/>
          <w:w w:val="110"/>
        </w:rPr>
        <w:t> </w:t>
      </w:r>
      <w:r>
        <w:rPr>
          <w:color w:val="231F20"/>
          <w:w w:val="110"/>
        </w:rPr>
        <w:t>tipo</w:t>
      </w:r>
      <w:r>
        <w:rPr>
          <w:color w:val="231F20"/>
          <w:spacing w:val="-11"/>
          <w:w w:val="110"/>
        </w:rPr>
        <w:t> </w:t>
      </w:r>
      <w:r>
        <w:rPr>
          <w:color w:val="231F20"/>
          <w:w w:val="110"/>
        </w:rPr>
        <w:t>crónico-de-</w:t>
      </w:r>
      <w:r>
        <w:rPr>
          <w:color w:val="231F20"/>
          <w:w w:val="93"/>
        </w:rPr>
        <w:t> </w:t>
      </w:r>
      <w:r>
        <w:rPr>
          <w:color w:val="231F20"/>
          <w:spacing w:val="-4"/>
          <w:w w:val="110"/>
        </w:rPr>
        <w:t>generativo</w:t>
      </w:r>
      <w:r>
        <w:rPr>
          <w:color w:val="231F20"/>
          <w:spacing w:val="-8"/>
          <w:w w:val="110"/>
        </w:rPr>
        <w:t> </w:t>
      </w:r>
      <w:r>
        <w:rPr>
          <w:color w:val="231F20"/>
          <w:w w:val="110"/>
        </w:rPr>
        <w:t>o</w:t>
      </w:r>
      <w:r>
        <w:rPr>
          <w:color w:val="231F20"/>
          <w:spacing w:val="-8"/>
          <w:w w:val="110"/>
        </w:rPr>
        <w:t> </w:t>
      </w:r>
      <w:r>
        <w:rPr>
          <w:color w:val="231F20"/>
          <w:w w:val="110"/>
        </w:rPr>
        <w:t>de</w:t>
      </w:r>
      <w:r>
        <w:rPr>
          <w:color w:val="231F20"/>
          <w:spacing w:val="-8"/>
          <w:w w:val="110"/>
        </w:rPr>
        <w:t> </w:t>
      </w:r>
      <w:r>
        <w:rPr>
          <w:color w:val="231F20"/>
          <w:spacing w:val="-4"/>
          <w:w w:val="110"/>
        </w:rPr>
        <w:t>sufrir</w:t>
      </w:r>
      <w:r>
        <w:rPr>
          <w:color w:val="231F20"/>
          <w:spacing w:val="-8"/>
          <w:w w:val="110"/>
        </w:rPr>
        <w:t> </w:t>
      </w:r>
      <w:r>
        <w:rPr>
          <w:color w:val="231F20"/>
          <w:spacing w:val="-4"/>
          <w:w w:val="110"/>
        </w:rPr>
        <w:t>algún</w:t>
      </w:r>
      <w:r>
        <w:rPr>
          <w:color w:val="231F20"/>
          <w:spacing w:val="-8"/>
          <w:w w:val="110"/>
        </w:rPr>
        <w:t> </w:t>
      </w:r>
      <w:r>
        <w:rPr>
          <w:color w:val="231F20"/>
          <w:spacing w:val="-4"/>
          <w:w w:val="110"/>
        </w:rPr>
        <w:t>percance</w:t>
      </w:r>
      <w:r>
        <w:rPr>
          <w:color w:val="231F20"/>
          <w:spacing w:val="-8"/>
          <w:w w:val="110"/>
        </w:rPr>
        <w:t> </w:t>
      </w:r>
      <w:r>
        <w:rPr>
          <w:color w:val="231F20"/>
          <w:w w:val="110"/>
        </w:rPr>
        <w:t>o</w:t>
      </w:r>
      <w:r>
        <w:rPr>
          <w:color w:val="231F20"/>
          <w:spacing w:val="-8"/>
          <w:w w:val="110"/>
        </w:rPr>
        <w:t> </w:t>
      </w:r>
      <w:r>
        <w:rPr>
          <w:color w:val="231F20"/>
          <w:spacing w:val="-4"/>
          <w:w w:val="110"/>
        </w:rPr>
        <w:t>accidente.</w:t>
      </w:r>
      <w:r>
        <w:rPr>
          <w:color w:val="231F20"/>
          <w:spacing w:val="-8"/>
          <w:w w:val="110"/>
        </w:rPr>
        <w:t> </w:t>
      </w:r>
      <w:r>
        <w:rPr>
          <w:color w:val="231F20"/>
          <w:w w:val="110"/>
        </w:rPr>
        <w:t>De</w:t>
      </w:r>
      <w:r>
        <w:rPr>
          <w:color w:val="231F20"/>
          <w:spacing w:val="-8"/>
          <w:w w:val="110"/>
        </w:rPr>
        <w:t> </w:t>
      </w:r>
      <w:r>
        <w:rPr>
          <w:color w:val="231F20"/>
          <w:spacing w:val="-4"/>
          <w:w w:val="110"/>
        </w:rPr>
        <w:t>acuerdo</w:t>
      </w:r>
      <w:r>
        <w:rPr>
          <w:color w:val="231F20"/>
          <w:spacing w:val="-8"/>
          <w:w w:val="110"/>
        </w:rPr>
        <w:t> </w:t>
      </w:r>
      <w:r>
        <w:rPr>
          <w:color w:val="231F20"/>
          <w:spacing w:val="-3"/>
          <w:w w:val="110"/>
        </w:rPr>
        <w:t>con</w:t>
      </w:r>
      <w:r>
        <w:rPr>
          <w:color w:val="231F20"/>
          <w:spacing w:val="-8"/>
          <w:w w:val="110"/>
        </w:rPr>
        <w:t> </w:t>
      </w:r>
      <w:r>
        <w:rPr>
          <w:color w:val="231F20"/>
          <w:spacing w:val="-3"/>
          <w:w w:val="110"/>
        </w:rPr>
        <w:t>Domínguez</w:t>
      </w:r>
      <w:r>
        <w:rPr>
          <w:color w:val="231F20"/>
          <w:w w:val="111"/>
        </w:rPr>
        <w:t> </w:t>
      </w:r>
      <w:r>
        <w:rPr>
          <w:color w:val="231F20"/>
          <w:w w:val="110"/>
        </w:rPr>
        <w:t>(1992)</w:t>
      </w:r>
      <w:r>
        <w:rPr>
          <w:color w:val="231F20"/>
          <w:spacing w:val="-23"/>
          <w:w w:val="110"/>
        </w:rPr>
        <w:t> </w:t>
      </w:r>
      <w:r>
        <w:rPr>
          <w:color w:val="231F20"/>
          <w:w w:val="110"/>
        </w:rPr>
        <w:t>la</w:t>
      </w:r>
      <w:r>
        <w:rPr>
          <w:color w:val="231F20"/>
          <w:spacing w:val="-23"/>
          <w:w w:val="110"/>
        </w:rPr>
        <w:t> </w:t>
      </w:r>
      <w:r>
        <w:rPr>
          <w:color w:val="231F20"/>
          <w:w w:val="110"/>
        </w:rPr>
        <w:t>frecuencia</w:t>
      </w:r>
      <w:r>
        <w:rPr>
          <w:color w:val="231F20"/>
          <w:spacing w:val="-23"/>
          <w:w w:val="110"/>
        </w:rPr>
        <w:t> </w:t>
      </w:r>
      <w:r>
        <w:rPr>
          <w:color w:val="231F20"/>
          <w:w w:val="110"/>
        </w:rPr>
        <w:t>de</w:t>
      </w:r>
      <w:r>
        <w:rPr>
          <w:color w:val="231F20"/>
          <w:spacing w:val="-23"/>
          <w:w w:val="110"/>
        </w:rPr>
        <w:t> </w:t>
      </w:r>
      <w:r>
        <w:rPr>
          <w:color w:val="231F20"/>
          <w:w w:val="110"/>
        </w:rPr>
        <w:t>la</w:t>
      </w:r>
      <w:r>
        <w:rPr>
          <w:color w:val="231F20"/>
          <w:spacing w:val="-23"/>
          <w:w w:val="110"/>
        </w:rPr>
        <w:t> </w:t>
      </w:r>
      <w:r>
        <w:rPr>
          <w:color w:val="231F20"/>
          <w:w w:val="110"/>
        </w:rPr>
        <w:t>enfermedad,</w:t>
      </w:r>
      <w:r>
        <w:rPr>
          <w:color w:val="231F20"/>
          <w:spacing w:val="-23"/>
          <w:w w:val="110"/>
        </w:rPr>
        <w:t> </w:t>
      </w:r>
      <w:r>
        <w:rPr>
          <w:color w:val="231F20"/>
          <w:w w:val="110"/>
        </w:rPr>
        <w:t>su</w:t>
      </w:r>
      <w:r>
        <w:rPr>
          <w:color w:val="231F20"/>
          <w:spacing w:val="-23"/>
          <w:w w:val="110"/>
        </w:rPr>
        <w:t> </w:t>
      </w:r>
      <w:r>
        <w:rPr>
          <w:color w:val="231F20"/>
          <w:w w:val="110"/>
        </w:rPr>
        <w:t>severidad,</w:t>
      </w:r>
      <w:r>
        <w:rPr>
          <w:color w:val="231F20"/>
          <w:spacing w:val="-23"/>
          <w:w w:val="110"/>
        </w:rPr>
        <w:t> </w:t>
      </w:r>
      <w:r>
        <w:rPr>
          <w:color w:val="231F20"/>
          <w:w w:val="110"/>
        </w:rPr>
        <w:t>así</w:t>
      </w:r>
      <w:r>
        <w:rPr>
          <w:color w:val="231F20"/>
          <w:spacing w:val="-23"/>
          <w:w w:val="110"/>
        </w:rPr>
        <w:t> </w:t>
      </w:r>
      <w:r>
        <w:rPr>
          <w:color w:val="231F20"/>
          <w:w w:val="110"/>
        </w:rPr>
        <w:t>como</w:t>
      </w:r>
      <w:r>
        <w:rPr>
          <w:color w:val="231F20"/>
          <w:spacing w:val="-23"/>
          <w:w w:val="110"/>
        </w:rPr>
        <w:t> </w:t>
      </w:r>
      <w:r>
        <w:rPr>
          <w:color w:val="231F20"/>
          <w:w w:val="110"/>
        </w:rPr>
        <w:t>la</w:t>
      </w:r>
      <w:r>
        <w:rPr>
          <w:color w:val="231F20"/>
          <w:spacing w:val="-23"/>
          <w:w w:val="110"/>
        </w:rPr>
        <w:t> </w:t>
      </w:r>
      <w:r>
        <w:rPr>
          <w:color w:val="231F20"/>
          <w:w w:val="110"/>
        </w:rPr>
        <w:t>complejidad</w:t>
      </w:r>
      <w:r>
        <w:rPr>
          <w:color w:val="231F20"/>
          <w:w w:val="107"/>
        </w:rPr>
        <w:t> </w:t>
      </w:r>
      <w:r>
        <w:rPr>
          <w:color w:val="231F20"/>
          <w:w w:val="110"/>
        </w:rPr>
        <w:t>del tratamiento requerido, están estrechamente relacionadas con</w:t>
      </w:r>
      <w:r>
        <w:rPr>
          <w:color w:val="231F20"/>
          <w:spacing w:val="11"/>
          <w:w w:val="110"/>
        </w:rPr>
        <w:t> </w:t>
      </w:r>
      <w:r>
        <w:rPr>
          <w:color w:val="231F20"/>
          <w:w w:val="110"/>
        </w:rPr>
        <w:t>la</w:t>
      </w:r>
      <w:r>
        <w:rPr>
          <w:color w:val="231F20"/>
          <w:spacing w:val="1"/>
          <w:w w:val="110"/>
        </w:rPr>
        <w:t> </w:t>
      </w:r>
      <w:r>
        <w:rPr>
          <w:color w:val="231F20"/>
          <w:w w:val="110"/>
        </w:rPr>
        <w:t>edad.</w:t>
      </w:r>
      <w:r>
        <w:rPr>
          <w:color w:val="231F20"/>
          <w:w w:val="109"/>
        </w:rPr>
        <w:t> </w:t>
      </w:r>
      <w:r>
        <w:rPr>
          <w:color w:val="231F20"/>
          <w:w w:val="110"/>
        </w:rPr>
        <w:t>Según Golbert (1991) la atención y el cuidado de la salud en</w:t>
      </w:r>
      <w:r>
        <w:rPr>
          <w:color w:val="231F20"/>
          <w:spacing w:val="21"/>
          <w:w w:val="110"/>
        </w:rPr>
        <w:t> </w:t>
      </w:r>
      <w:r>
        <w:rPr>
          <w:color w:val="231F20"/>
          <w:w w:val="110"/>
        </w:rPr>
        <w:t>la</w:t>
      </w:r>
      <w:r>
        <w:rPr>
          <w:color w:val="231F20"/>
          <w:spacing w:val="9"/>
          <w:w w:val="110"/>
        </w:rPr>
        <w:t> </w:t>
      </w:r>
      <w:r>
        <w:rPr>
          <w:color w:val="231F20"/>
          <w:w w:val="110"/>
        </w:rPr>
        <w:t>pobla-</w:t>
      </w:r>
      <w:r>
        <w:rPr>
          <w:color w:val="231F20"/>
          <w:w w:val="93"/>
        </w:rPr>
        <w:t> </w:t>
      </w:r>
      <w:r>
        <w:rPr>
          <w:color w:val="231F20"/>
          <w:w w:val="110"/>
        </w:rPr>
        <w:t>ción de edad avanzada representan un alto costo, ya que su cuidado</w:t>
      </w:r>
      <w:r>
        <w:rPr>
          <w:color w:val="231F20"/>
          <w:spacing w:val="7"/>
          <w:w w:val="110"/>
        </w:rPr>
        <w:t> </w:t>
      </w:r>
      <w:r>
        <w:rPr>
          <w:color w:val="231F20"/>
          <w:w w:val="110"/>
        </w:rPr>
        <w:t>y hos-</w:t>
      </w:r>
      <w:r>
        <w:rPr>
          <w:color w:val="231F20"/>
          <w:w w:val="93"/>
        </w:rPr>
        <w:t> </w:t>
      </w:r>
      <w:r>
        <w:rPr>
          <w:color w:val="231F20"/>
          <w:spacing w:val="3"/>
          <w:w w:val="110"/>
        </w:rPr>
        <w:t>pitalización</w:t>
      </w:r>
      <w:r>
        <w:rPr>
          <w:color w:val="231F20"/>
          <w:spacing w:val="29"/>
          <w:w w:val="110"/>
        </w:rPr>
        <w:t> </w:t>
      </w:r>
      <w:r>
        <w:rPr>
          <w:color w:val="231F20"/>
          <w:spacing w:val="3"/>
          <w:w w:val="110"/>
        </w:rPr>
        <w:t>pueden</w:t>
      </w:r>
      <w:r>
        <w:rPr>
          <w:color w:val="231F20"/>
          <w:spacing w:val="29"/>
          <w:w w:val="110"/>
        </w:rPr>
        <w:t> </w:t>
      </w:r>
      <w:r>
        <w:rPr>
          <w:color w:val="231F20"/>
          <w:spacing w:val="3"/>
          <w:w w:val="110"/>
        </w:rPr>
        <w:t>llegar</w:t>
      </w:r>
      <w:r>
        <w:rPr>
          <w:color w:val="231F20"/>
          <w:spacing w:val="29"/>
          <w:w w:val="110"/>
        </w:rPr>
        <w:t> </w:t>
      </w:r>
      <w:r>
        <w:rPr>
          <w:color w:val="231F20"/>
          <w:w w:val="110"/>
        </w:rPr>
        <w:t>a</w:t>
      </w:r>
      <w:r>
        <w:rPr>
          <w:color w:val="231F20"/>
          <w:spacing w:val="29"/>
          <w:w w:val="110"/>
        </w:rPr>
        <w:t> </w:t>
      </w:r>
      <w:r>
        <w:rPr>
          <w:color w:val="231F20"/>
          <w:spacing w:val="3"/>
          <w:w w:val="110"/>
        </w:rPr>
        <w:t>multiplicarse</w:t>
      </w:r>
      <w:r>
        <w:rPr>
          <w:color w:val="231F20"/>
          <w:spacing w:val="29"/>
          <w:w w:val="110"/>
        </w:rPr>
        <w:t> </w:t>
      </w:r>
      <w:r>
        <w:rPr>
          <w:color w:val="231F20"/>
          <w:spacing w:val="3"/>
          <w:w w:val="110"/>
        </w:rPr>
        <w:t>hasta</w:t>
      </w:r>
      <w:r>
        <w:rPr>
          <w:color w:val="231F20"/>
          <w:spacing w:val="29"/>
          <w:w w:val="110"/>
        </w:rPr>
        <w:t> </w:t>
      </w:r>
      <w:r>
        <w:rPr>
          <w:color w:val="231F20"/>
          <w:spacing w:val="3"/>
          <w:w w:val="110"/>
        </w:rPr>
        <w:t>diez</w:t>
      </w:r>
      <w:r>
        <w:rPr>
          <w:color w:val="231F20"/>
          <w:spacing w:val="29"/>
          <w:w w:val="110"/>
        </w:rPr>
        <w:t> </w:t>
      </w:r>
      <w:r>
        <w:rPr>
          <w:color w:val="231F20"/>
          <w:spacing w:val="3"/>
          <w:w w:val="110"/>
        </w:rPr>
        <w:t>veces</w:t>
      </w:r>
      <w:r>
        <w:rPr>
          <w:color w:val="231F20"/>
          <w:spacing w:val="29"/>
          <w:w w:val="110"/>
        </w:rPr>
        <w:t> </w:t>
      </w:r>
      <w:r>
        <w:rPr>
          <w:color w:val="231F20"/>
          <w:spacing w:val="2"/>
          <w:w w:val="110"/>
        </w:rPr>
        <w:t>más</w:t>
      </w:r>
      <w:r>
        <w:rPr>
          <w:color w:val="231F20"/>
          <w:spacing w:val="29"/>
          <w:w w:val="110"/>
        </w:rPr>
        <w:t> </w:t>
      </w:r>
      <w:r>
        <w:rPr>
          <w:color w:val="231F20"/>
          <w:spacing w:val="2"/>
          <w:w w:val="110"/>
        </w:rPr>
        <w:t>que</w:t>
      </w:r>
      <w:r>
        <w:rPr>
          <w:color w:val="231F20"/>
          <w:spacing w:val="29"/>
          <w:w w:val="110"/>
        </w:rPr>
        <w:t> </w:t>
      </w:r>
      <w:r>
        <w:rPr>
          <w:color w:val="231F20"/>
          <w:w w:val="110"/>
        </w:rPr>
        <w:t>al</w:t>
      </w:r>
    </w:p>
    <w:p>
      <w:pPr>
        <w:pStyle w:val="BodyText"/>
        <w:spacing w:line="234" w:lineRule="exact"/>
        <w:ind w:left="120"/>
      </w:pPr>
      <w:r>
        <w:rPr>
          <w:color w:val="231F20"/>
          <w:w w:val="110"/>
        </w:rPr>
        <w:t>atender las enfermedades que se presentan en la población más  joven.</w:t>
      </w:r>
    </w:p>
    <w:p>
      <w:pPr>
        <w:pStyle w:val="BodyText"/>
        <w:spacing w:line="280" w:lineRule="auto" w:before="39"/>
        <w:ind w:left="120" w:right="117" w:firstLine="360"/>
        <w:jc w:val="both"/>
      </w:pPr>
      <w:r>
        <w:rPr>
          <w:color w:val="231F20"/>
          <w:w w:val="110"/>
        </w:rPr>
        <w:t>El</w:t>
      </w:r>
      <w:r>
        <w:rPr>
          <w:color w:val="231F20"/>
          <w:spacing w:val="-4"/>
          <w:w w:val="110"/>
        </w:rPr>
        <w:t> </w:t>
      </w:r>
      <w:r>
        <w:rPr>
          <w:color w:val="231F20"/>
          <w:w w:val="110"/>
        </w:rPr>
        <w:t>sector</w:t>
      </w:r>
      <w:r>
        <w:rPr>
          <w:color w:val="231F20"/>
          <w:spacing w:val="-4"/>
          <w:w w:val="110"/>
        </w:rPr>
        <w:t> </w:t>
      </w:r>
      <w:r>
        <w:rPr>
          <w:color w:val="231F20"/>
          <w:w w:val="110"/>
        </w:rPr>
        <w:t>salud</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Estado</w:t>
      </w:r>
      <w:r>
        <w:rPr>
          <w:color w:val="231F20"/>
          <w:spacing w:val="-4"/>
          <w:w w:val="110"/>
        </w:rPr>
        <w:t> </w:t>
      </w:r>
      <w:r>
        <w:rPr>
          <w:color w:val="231F20"/>
          <w:w w:val="110"/>
        </w:rPr>
        <w:t>de</w:t>
      </w:r>
      <w:r>
        <w:rPr>
          <w:color w:val="231F20"/>
          <w:spacing w:val="-4"/>
          <w:w w:val="110"/>
        </w:rPr>
        <w:t> </w:t>
      </w:r>
      <w:r>
        <w:rPr>
          <w:color w:val="231F20"/>
          <w:w w:val="110"/>
        </w:rPr>
        <w:t>México</w:t>
      </w:r>
      <w:r>
        <w:rPr>
          <w:color w:val="231F20"/>
          <w:spacing w:val="-4"/>
          <w:w w:val="110"/>
        </w:rPr>
        <w:t> </w:t>
      </w:r>
      <w:r>
        <w:rPr>
          <w:color w:val="231F20"/>
          <w:w w:val="110"/>
        </w:rPr>
        <w:t>se</w:t>
      </w:r>
      <w:r>
        <w:rPr>
          <w:color w:val="231F20"/>
          <w:spacing w:val="-4"/>
          <w:w w:val="110"/>
        </w:rPr>
        <w:t> </w:t>
      </w:r>
      <w:r>
        <w:rPr>
          <w:color w:val="231F20"/>
          <w:w w:val="110"/>
        </w:rPr>
        <w:t>caracteriza</w:t>
      </w:r>
      <w:r>
        <w:rPr>
          <w:color w:val="231F20"/>
          <w:spacing w:val="-4"/>
          <w:w w:val="110"/>
        </w:rPr>
        <w:t> </w:t>
      </w:r>
      <w:r>
        <w:rPr>
          <w:color w:val="231F20"/>
          <w:w w:val="110"/>
        </w:rPr>
        <w:t>por</w:t>
      </w:r>
      <w:r>
        <w:rPr>
          <w:color w:val="231F20"/>
          <w:spacing w:val="-4"/>
          <w:w w:val="110"/>
        </w:rPr>
        <w:t> </w:t>
      </w:r>
      <w:r>
        <w:rPr>
          <w:color w:val="231F20"/>
          <w:w w:val="110"/>
        </w:rPr>
        <w:t>una</w:t>
      </w:r>
      <w:r>
        <w:rPr>
          <w:color w:val="231F20"/>
          <w:spacing w:val="-4"/>
          <w:w w:val="110"/>
        </w:rPr>
        <w:t> </w:t>
      </w:r>
      <w:r>
        <w:rPr>
          <w:color w:val="231F20"/>
          <w:w w:val="110"/>
        </w:rPr>
        <w:t>cobertura médica</w:t>
      </w:r>
      <w:r>
        <w:rPr>
          <w:color w:val="231F20"/>
          <w:spacing w:val="-16"/>
          <w:w w:val="110"/>
        </w:rPr>
        <w:t> </w:t>
      </w:r>
      <w:r>
        <w:rPr>
          <w:color w:val="231F20"/>
          <w:w w:val="110"/>
        </w:rPr>
        <w:t>o</w:t>
      </w:r>
      <w:r>
        <w:rPr>
          <w:color w:val="231F20"/>
          <w:spacing w:val="-16"/>
          <w:w w:val="110"/>
        </w:rPr>
        <w:t> </w:t>
      </w:r>
      <w:r>
        <w:rPr>
          <w:color w:val="231F20"/>
          <w:w w:val="110"/>
        </w:rPr>
        <w:t>de</w:t>
      </w:r>
      <w:r>
        <w:rPr>
          <w:color w:val="231F20"/>
          <w:spacing w:val="-16"/>
          <w:w w:val="110"/>
        </w:rPr>
        <w:t> </w:t>
      </w:r>
      <w:r>
        <w:rPr>
          <w:color w:val="231F20"/>
          <w:w w:val="110"/>
        </w:rPr>
        <w:t>salud</w:t>
      </w:r>
      <w:r>
        <w:rPr>
          <w:color w:val="231F20"/>
          <w:spacing w:val="-16"/>
          <w:w w:val="110"/>
        </w:rPr>
        <w:t> </w:t>
      </w:r>
      <w:r>
        <w:rPr>
          <w:color w:val="231F20"/>
          <w:w w:val="110"/>
        </w:rPr>
        <w:t>total</w:t>
      </w:r>
      <w:r>
        <w:rPr>
          <w:color w:val="231F20"/>
          <w:spacing w:val="-16"/>
          <w:w w:val="110"/>
        </w:rPr>
        <w:t> </w:t>
      </w:r>
      <w:r>
        <w:rPr>
          <w:color w:val="231F20"/>
          <w:w w:val="110"/>
        </w:rPr>
        <w:t>de</w:t>
      </w:r>
      <w:r>
        <w:rPr>
          <w:color w:val="231F20"/>
          <w:spacing w:val="-16"/>
          <w:w w:val="110"/>
        </w:rPr>
        <w:t> </w:t>
      </w:r>
      <w:r>
        <w:rPr>
          <w:color w:val="231F20"/>
          <w:w w:val="110"/>
        </w:rPr>
        <w:t>población</w:t>
      </w:r>
      <w:r>
        <w:rPr>
          <w:color w:val="231F20"/>
          <w:spacing w:val="-16"/>
          <w:w w:val="110"/>
        </w:rPr>
        <w:t> </w:t>
      </w:r>
      <w:r>
        <w:rPr>
          <w:color w:val="231F20"/>
          <w:w w:val="110"/>
        </w:rPr>
        <w:t>derechohabiente</w:t>
      </w:r>
      <w:r>
        <w:rPr>
          <w:color w:val="231F20"/>
          <w:spacing w:val="-16"/>
          <w:w w:val="110"/>
        </w:rPr>
        <w:t> </w:t>
      </w:r>
      <w:r>
        <w:rPr>
          <w:color w:val="231F20"/>
          <w:w w:val="110"/>
        </w:rPr>
        <w:t>a</w:t>
      </w:r>
      <w:r>
        <w:rPr>
          <w:color w:val="231F20"/>
          <w:spacing w:val="-16"/>
          <w:w w:val="110"/>
        </w:rPr>
        <w:t> </w:t>
      </w:r>
      <w:r>
        <w:rPr>
          <w:color w:val="231F20"/>
          <w:w w:val="110"/>
        </w:rPr>
        <w:t>nivel</w:t>
      </w:r>
      <w:r>
        <w:rPr>
          <w:color w:val="231F20"/>
          <w:spacing w:val="-16"/>
          <w:w w:val="110"/>
        </w:rPr>
        <w:t> </w:t>
      </w:r>
      <w:r>
        <w:rPr>
          <w:color w:val="231F20"/>
          <w:w w:val="110"/>
        </w:rPr>
        <w:t>estatal</w:t>
      </w:r>
      <w:r>
        <w:rPr>
          <w:color w:val="231F20"/>
          <w:spacing w:val="-16"/>
          <w:w w:val="110"/>
        </w:rPr>
        <w:t> </w:t>
      </w:r>
      <w:r>
        <w:rPr>
          <w:color w:val="231F20"/>
          <w:w w:val="110"/>
        </w:rPr>
        <w:t>y</w:t>
      </w:r>
      <w:r>
        <w:rPr>
          <w:color w:val="231F20"/>
          <w:spacing w:val="-16"/>
          <w:w w:val="110"/>
        </w:rPr>
        <w:t> </w:t>
      </w:r>
      <w:r>
        <w:rPr>
          <w:color w:val="231F20"/>
          <w:w w:val="110"/>
        </w:rPr>
        <w:t>muni- cipal.</w:t>
      </w:r>
      <w:r>
        <w:rPr>
          <w:color w:val="231F20"/>
          <w:spacing w:val="-14"/>
          <w:w w:val="110"/>
        </w:rPr>
        <w:t> </w:t>
      </w:r>
      <w:r>
        <w:rPr>
          <w:color w:val="231F20"/>
          <w:spacing w:val="-4"/>
          <w:w w:val="110"/>
        </w:rPr>
        <w:t>También</w:t>
      </w:r>
      <w:r>
        <w:rPr>
          <w:color w:val="231F20"/>
          <w:spacing w:val="-14"/>
          <w:w w:val="110"/>
        </w:rPr>
        <w:t> </w:t>
      </w:r>
      <w:r>
        <w:rPr>
          <w:color w:val="231F20"/>
          <w:w w:val="110"/>
        </w:rPr>
        <w:t>están</w:t>
      </w:r>
      <w:r>
        <w:rPr>
          <w:color w:val="231F20"/>
          <w:spacing w:val="-14"/>
          <w:w w:val="110"/>
        </w:rPr>
        <w:t> </w:t>
      </w:r>
      <w:r>
        <w:rPr>
          <w:color w:val="231F20"/>
          <w:w w:val="110"/>
        </w:rPr>
        <w:t>los</w:t>
      </w:r>
      <w:r>
        <w:rPr>
          <w:color w:val="231F20"/>
          <w:spacing w:val="-14"/>
          <w:w w:val="110"/>
        </w:rPr>
        <w:t> </w:t>
      </w:r>
      <w:r>
        <w:rPr>
          <w:color w:val="231F20"/>
          <w:spacing w:val="-3"/>
          <w:w w:val="110"/>
        </w:rPr>
        <w:t>organismos</w:t>
      </w:r>
      <w:r>
        <w:rPr>
          <w:color w:val="231F20"/>
          <w:spacing w:val="-14"/>
          <w:w w:val="110"/>
        </w:rPr>
        <w:t> </w:t>
      </w:r>
      <w:r>
        <w:rPr>
          <w:color w:val="231F20"/>
          <w:w w:val="110"/>
        </w:rPr>
        <w:t>descentralizados</w:t>
      </w:r>
      <w:r>
        <w:rPr>
          <w:color w:val="231F20"/>
          <w:spacing w:val="-14"/>
          <w:w w:val="110"/>
        </w:rPr>
        <w:t> </w:t>
      </w:r>
      <w:r>
        <w:rPr>
          <w:color w:val="231F20"/>
          <w:w w:val="110"/>
        </w:rPr>
        <w:t>que</w:t>
      </w:r>
      <w:r>
        <w:rPr>
          <w:color w:val="231F20"/>
          <w:spacing w:val="-14"/>
          <w:w w:val="110"/>
        </w:rPr>
        <w:t> </w:t>
      </w:r>
      <w:r>
        <w:rPr>
          <w:color w:val="231F20"/>
          <w:w w:val="110"/>
        </w:rPr>
        <w:t>cubren</w:t>
      </w:r>
      <w:r>
        <w:rPr>
          <w:color w:val="231F20"/>
          <w:spacing w:val="-14"/>
          <w:w w:val="110"/>
        </w:rPr>
        <w:t> </w:t>
      </w:r>
      <w:r>
        <w:rPr>
          <w:color w:val="231F20"/>
          <w:w w:val="110"/>
        </w:rPr>
        <w:t>el</w:t>
      </w:r>
      <w:r>
        <w:rPr>
          <w:color w:val="231F20"/>
          <w:spacing w:val="-14"/>
          <w:w w:val="110"/>
        </w:rPr>
        <w:t> </w:t>
      </w:r>
      <w:r>
        <w:rPr>
          <w:color w:val="231F20"/>
          <w:w w:val="110"/>
        </w:rPr>
        <w:t>servicio médico de la población abierta de bajos recursos y que no tiene una afilia- ción</w:t>
      </w:r>
      <w:r>
        <w:rPr>
          <w:color w:val="231F20"/>
          <w:spacing w:val="-15"/>
          <w:w w:val="110"/>
        </w:rPr>
        <w:t> </w:t>
      </w:r>
      <w:r>
        <w:rPr>
          <w:color w:val="231F20"/>
          <w:w w:val="110"/>
        </w:rPr>
        <w:t>directa</w:t>
      </w:r>
      <w:r>
        <w:rPr>
          <w:color w:val="231F20"/>
          <w:spacing w:val="-15"/>
          <w:w w:val="110"/>
        </w:rPr>
        <w:t> </w:t>
      </w:r>
      <w:r>
        <w:rPr>
          <w:color w:val="231F20"/>
          <w:w w:val="110"/>
        </w:rPr>
        <w:t>por</w:t>
      </w:r>
      <w:r>
        <w:rPr>
          <w:color w:val="231F20"/>
          <w:spacing w:val="-15"/>
          <w:w w:val="110"/>
        </w:rPr>
        <w:t> </w:t>
      </w:r>
      <w:r>
        <w:rPr>
          <w:color w:val="231F20"/>
          <w:w w:val="110"/>
        </w:rPr>
        <w:t>el</w:t>
      </w:r>
      <w:r>
        <w:rPr>
          <w:color w:val="231F20"/>
          <w:spacing w:val="-15"/>
          <w:w w:val="110"/>
        </w:rPr>
        <w:t> </w:t>
      </w:r>
      <w:r>
        <w:rPr>
          <w:color w:val="231F20"/>
          <w:w w:val="110"/>
        </w:rPr>
        <w:t>trabajo</w:t>
      </w:r>
      <w:r>
        <w:rPr>
          <w:color w:val="231F20"/>
          <w:spacing w:val="-15"/>
          <w:w w:val="110"/>
        </w:rPr>
        <w:t> </w:t>
      </w:r>
      <w:r>
        <w:rPr>
          <w:color w:val="231F20"/>
          <w:w w:val="110"/>
        </w:rPr>
        <w:t>que</w:t>
      </w:r>
      <w:r>
        <w:rPr>
          <w:color w:val="231F20"/>
          <w:spacing w:val="-15"/>
          <w:w w:val="110"/>
        </w:rPr>
        <w:t> </w:t>
      </w:r>
      <w:r>
        <w:rPr>
          <w:color w:val="231F20"/>
          <w:w w:val="110"/>
        </w:rPr>
        <w:t>desempeña</w:t>
      </w:r>
      <w:r>
        <w:rPr>
          <w:color w:val="231F20"/>
          <w:spacing w:val="-15"/>
          <w:w w:val="110"/>
        </w:rPr>
        <w:t> </w:t>
      </w:r>
      <w:r>
        <w:rPr>
          <w:color w:val="231F20"/>
          <w:w w:val="110"/>
        </w:rPr>
        <w:t>la</w:t>
      </w:r>
      <w:r>
        <w:rPr>
          <w:color w:val="231F20"/>
          <w:spacing w:val="-15"/>
          <w:w w:val="110"/>
        </w:rPr>
        <w:t> </w:t>
      </w:r>
      <w:r>
        <w:rPr>
          <w:color w:val="231F20"/>
          <w:w w:val="110"/>
        </w:rPr>
        <w:t>población</w:t>
      </w:r>
      <w:r>
        <w:rPr>
          <w:color w:val="231F20"/>
          <w:spacing w:val="-15"/>
          <w:w w:val="110"/>
        </w:rPr>
        <w:t> </w:t>
      </w:r>
      <w:r>
        <w:rPr>
          <w:color w:val="231F20"/>
          <w:w w:val="110"/>
        </w:rPr>
        <w:t>no</w:t>
      </w:r>
      <w:r>
        <w:rPr>
          <w:color w:val="231F20"/>
          <w:spacing w:val="-15"/>
          <w:w w:val="110"/>
        </w:rPr>
        <w:t> </w:t>
      </w:r>
      <w:r>
        <w:rPr>
          <w:color w:val="231F20"/>
          <w:w w:val="110"/>
        </w:rPr>
        <w:t>derechohabiente.</w:t>
      </w:r>
    </w:p>
    <w:p>
      <w:pPr>
        <w:spacing w:after="0" w:line="280" w:lineRule="auto"/>
        <w:jc w:val="both"/>
        <w:sectPr>
          <w:pgSz w:w="9520" w:h="12920"/>
          <w:pgMar w:header="0" w:footer="1344" w:top="880" w:bottom="1540" w:left="1000" w:right="1320"/>
        </w:sectPr>
      </w:pPr>
    </w:p>
    <w:p>
      <w:pPr>
        <w:pStyle w:val="BodyText"/>
        <w:spacing w:line="283" w:lineRule="auto" w:before="42"/>
        <w:ind w:left="124" w:right="112"/>
        <w:jc w:val="both"/>
      </w:pPr>
      <w:r>
        <w:rPr>
          <w:color w:val="231F20"/>
          <w:w w:val="110"/>
        </w:rPr>
        <w:t>Otro de los servicios públicos que presta el Estado es la seguridad social por medio de instituciones encargadas de cubrir a los trabajadores asala- riados y del sector público, con la participación de cuotas por parte del trabajador, los patrones y el Estado. En tanto, los servicios de salud otor- gados por el sector privado son aquellos que demandan los sectores socia- les medios y altos y tienen la característica de presentar altos costos de </w:t>
      </w:r>
      <w:r>
        <w:rPr>
          <w:color w:val="231F20"/>
          <w:w w:val="105"/>
        </w:rPr>
        <w:t>operación  (Rodríguez, 1993).</w:t>
      </w:r>
    </w:p>
    <w:p>
      <w:pPr>
        <w:pStyle w:val="BodyText"/>
        <w:spacing w:line="283" w:lineRule="auto"/>
        <w:ind w:left="124" w:right="113" w:firstLine="360"/>
        <w:jc w:val="both"/>
      </w:pPr>
      <w:r>
        <w:rPr>
          <w:color w:val="231F20"/>
          <w:w w:val="110"/>
        </w:rPr>
        <w:t>Ahora bien, si se considera que la seguridad social aún presenta una baja cobertura en la asistencia de salud, se requiere redoblar esfuerzos para</w:t>
      </w:r>
      <w:r>
        <w:rPr>
          <w:color w:val="231F20"/>
          <w:spacing w:val="-13"/>
          <w:w w:val="110"/>
        </w:rPr>
        <w:t> </w:t>
      </w:r>
      <w:r>
        <w:rPr>
          <w:color w:val="231F20"/>
          <w:w w:val="110"/>
        </w:rPr>
        <w:t>realizar</w:t>
      </w:r>
      <w:r>
        <w:rPr>
          <w:color w:val="231F20"/>
          <w:spacing w:val="-13"/>
          <w:w w:val="110"/>
        </w:rPr>
        <w:t> </w:t>
      </w:r>
      <w:r>
        <w:rPr>
          <w:color w:val="231F20"/>
          <w:w w:val="110"/>
        </w:rPr>
        <w:t>mejoras</w:t>
      </w:r>
      <w:r>
        <w:rPr>
          <w:color w:val="231F20"/>
          <w:spacing w:val="-13"/>
          <w:w w:val="110"/>
        </w:rPr>
        <w:t> </w:t>
      </w:r>
      <w:r>
        <w:rPr>
          <w:color w:val="231F20"/>
          <w:w w:val="110"/>
        </w:rPr>
        <w:t>en</w:t>
      </w:r>
      <w:r>
        <w:rPr>
          <w:color w:val="231F20"/>
          <w:spacing w:val="-13"/>
          <w:w w:val="110"/>
        </w:rPr>
        <w:t> </w:t>
      </w:r>
      <w:r>
        <w:rPr>
          <w:color w:val="231F20"/>
          <w:w w:val="110"/>
        </w:rPr>
        <w:t>la</w:t>
      </w:r>
      <w:r>
        <w:rPr>
          <w:color w:val="231F20"/>
          <w:spacing w:val="-13"/>
          <w:w w:val="110"/>
        </w:rPr>
        <w:t> </w:t>
      </w:r>
      <w:r>
        <w:rPr>
          <w:color w:val="231F20"/>
          <w:w w:val="110"/>
        </w:rPr>
        <w:t>operacionalización</w:t>
      </w:r>
      <w:r>
        <w:rPr>
          <w:color w:val="231F20"/>
          <w:spacing w:val="-13"/>
          <w:w w:val="110"/>
        </w:rPr>
        <w:t> </w:t>
      </w:r>
      <w:r>
        <w:rPr>
          <w:color w:val="231F20"/>
          <w:w w:val="110"/>
        </w:rPr>
        <w:t>y</w:t>
      </w:r>
      <w:r>
        <w:rPr>
          <w:color w:val="231F20"/>
          <w:spacing w:val="-13"/>
          <w:w w:val="110"/>
        </w:rPr>
        <w:t> </w:t>
      </w:r>
      <w:r>
        <w:rPr>
          <w:color w:val="231F20"/>
          <w:w w:val="110"/>
        </w:rPr>
        <w:t>administración</w:t>
      </w:r>
      <w:r>
        <w:rPr>
          <w:color w:val="231F20"/>
          <w:spacing w:val="-13"/>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spacing w:val="-4"/>
          <w:w w:val="110"/>
        </w:rPr>
        <w:t>orga- </w:t>
      </w:r>
      <w:r>
        <w:rPr>
          <w:color w:val="231F20"/>
          <w:w w:val="110"/>
        </w:rPr>
        <w:t>nismos e instituciones encargadas de otorgar dichos servicios a la pobla- ción de edad avanzada, ya que su dinámica y crecimiento acelerado hacen necesaria una mayor cobertura y eficiencia de ambos </w:t>
      </w:r>
      <w:r>
        <w:rPr>
          <w:color w:val="231F20"/>
          <w:spacing w:val="23"/>
          <w:w w:val="110"/>
        </w:rPr>
        <w:t> </w:t>
      </w:r>
      <w:r>
        <w:rPr>
          <w:color w:val="231F20"/>
          <w:w w:val="110"/>
        </w:rPr>
        <w:t>servicios.</w:t>
      </w:r>
    </w:p>
    <w:p>
      <w:pPr>
        <w:pStyle w:val="BodyText"/>
        <w:spacing w:line="283" w:lineRule="auto"/>
        <w:ind w:left="124" w:right="112" w:firstLine="360"/>
        <w:jc w:val="both"/>
      </w:pPr>
      <w:r>
        <w:rPr>
          <w:color w:val="231F20"/>
          <w:w w:val="110"/>
        </w:rPr>
        <w:t>Entre</w:t>
      </w:r>
      <w:r>
        <w:rPr>
          <w:color w:val="231F20"/>
          <w:spacing w:val="-11"/>
          <w:w w:val="110"/>
        </w:rPr>
        <w:t> </w:t>
      </w:r>
      <w:r>
        <w:rPr>
          <w:color w:val="231F20"/>
          <w:w w:val="110"/>
        </w:rPr>
        <w:t>las</w:t>
      </w:r>
      <w:r>
        <w:rPr>
          <w:color w:val="231F20"/>
          <w:spacing w:val="-11"/>
          <w:w w:val="110"/>
        </w:rPr>
        <w:t> </w:t>
      </w:r>
      <w:r>
        <w:rPr>
          <w:color w:val="231F20"/>
          <w:w w:val="110"/>
        </w:rPr>
        <w:t>instituciones</w:t>
      </w:r>
      <w:r>
        <w:rPr>
          <w:color w:val="231F20"/>
          <w:spacing w:val="-12"/>
          <w:w w:val="110"/>
        </w:rPr>
        <w:t> </w:t>
      </w:r>
      <w:r>
        <w:rPr>
          <w:color w:val="231F20"/>
          <w:w w:val="110"/>
        </w:rPr>
        <w:t>de</w:t>
      </w:r>
      <w:r>
        <w:rPr>
          <w:color w:val="231F20"/>
          <w:spacing w:val="-11"/>
          <w:w w:val="110"/>
        </w:rPr>
        <w:t> </w:t>
      </w:r>
      <w:r>
        <w:rPr>
          <w:color w:val="231F20"/>
          <w:w w:val="110"/>
        </w:rPr>
        <w:t>seguridad</w:t>
      </w:r>
      <w:r>
        <w:rPr>
          <w:color w:val="231F20"/>
          <w:spacing w:val="-12"/>
          <w:w w:val="110"/>
        </w:rPr>
        <w:t> </w:t>
      </w:r>
      <w:r>
        <w:rPr>
          <w:color w:val="231F20"/>
          <w:w w:val="110"/>
        </w:rPr>
        <w:t>social</w:t>
      </w:r>
      <w:r>
        <w:rPr>
          <w:color w:val="231F20"/>
          <w:spacing w:val="-11"/>
          <w:w w:val="110"/>
        </w:rPr>
        <w:t> </w:t>
      </w:r>
      <w:r>
        <w:rPr>
          <w:color w:val="231F20"/>
          <w:w w:val="110"/>
        </w:rPr>
        <w:t>está</w:t>
      </w:r>
      <w:r>
        <w:rPr>
          <w:color w:val="231F20"/>
          <w:spacing w:val="-11"/>
          <w:w w:val="110"/>
        </w:rPr>
        <w:t> </w:t>
      </w:r>
      <w:r>
        <w:rPr>
          <w:color w:val="231F20"/>
          <w:w w:val="110"/>
        </w:rPr>
        <w:t>el</w:t>
      </w:r>
      <w:r>
        <w:rPr>
          <w:color w:val="231F20"/>
          <w:spacing w:val="-11"/>
          <w:w w:val="110"/>
        </w:rPr>
        <w:t> </w:t>
      </w:r>
      <w:r>
        <w:rPr>
          <w:color w:val="231F20"/>
          <w:w w:val="110"/>
        </w:rPr>
        <w:t>Instituto</w:t>
      </w:r>
      <w:r>
        <w:rPr>
          <w:color w:val="231F20"/>
          <w:spacing w:val="-11"/>
          <w:w w:val="110"/>
        </w:rPr>
        <w:t> </w:t>
      </w:r>
      <w:r>
        <w:rPr>
          <w:color w:val="231F20"/>
          <w:spacing w:val="-3"/>
          <w:w w:val="110"/>
        </w:rPr>
        <w:t>Mexicano</w:t>
      </w:r>
      <w:r>
        <w:rPr>
          <w:color w:val="231F20"/>
          <w:spacing w:val="-11"/>
          <w:w w:val="110"/>
        </w:rPr>
        <w:t> </w:t>
      </w:r>
      <w:r>
        <w:rPr>
          <w:color w:val="231F20"/>
          <w:w w:val="110"/>
        </w:rPr>
        <w:t>del Seguro Social (</w:t>
      </w:r>
      <w:r>
        <w:rPr>
          <w:rFonts w:ascii="Times New Roman" w:hAnsi="Times New Roman"/>
          <w:color w:val="231F20"/>
          <w:w w:val="110"/>
          <w:sz w:val="16"/>
        </w:rPr>
        <w:t>IMSS</w:t>
      </w:r>
      <w:r>
        <w:rPr>
          <w:color w:val="231F20"/>
          <w:w w:val="110"/>
        </w:rPr>
        <w:t>) que es el responsable de brindar servicios a la pobla- ción</w:t>
      </w:r>
      <w:r>
        <w:rPr>
          <w:color w:val="231F20"/>
          <w:spacing w:val="-9"/>
          <w:w w:val="110"/>
        </w:rPr>
        <w:t> </w:t>
      </w:r>
      <w:r>
        <w:rPr>
          <w:color w:val="231F20"/>
          <w:w w:val="110"/>
        </w:rPr>
        <w:t>ocupada</w:t>
      </w:r>
      <w:r>
        <w:rPr>
          <w:color w:val="231F20"/>
          <w:spacing w:val="-9"/>
          <w:w w:val="110"/>
        </w:rPr>
        <w:t> </w:t>
      </w:r>
      <w:r>
        <w:rPr>
          <w:color w:val="231F20"/>
          <w:w w:val="110"/>
        </w:rPr>
        <w:t>del</w:t>
      </w:r>
      <w:r>
        <w:rPr>
          <w:color w:val="231F20"/>
          <w:spacing w:val="-9"/>
          <w:w w:val="110"/>
        </w:rPr>
        <w:t> </w:t>
      </w:r>
      <w:r>
        <w:rPr>
          <w:color w:val="231F20"/>
          <w:w w:val="110"/>
        </w:rPr>
        <w:t>sector</w:t>
      </w:r>
      <w:r>
        <w:rPr>
          <w:color w:val="231F20"/>
          <w:spacing w:val="-9"/>
          <w:w w:val="110"/>
        </w:rPr>
        <w:t> </w:t>
      </w:r>
      <w:r>
        <w:rPr>
          <w:color w:val="231F20"/>
          <w:w w:val="110"/>
        </w:rPr>
        <w:t>privado</w:t>
      </w:r>
      <w:r>
        <w:rPr>
          <w:color w:val="231F20"/>
          <w:spacing w:val="-9"/>
          <w:w w:val="110"/>
        </w:rPr>
        <w:t> </w:t>
      </w:r>
      <w:r>
        <w:rPr>
          <w:color w:val="231F20"/>
          <w:w w:val="110"/>
        </w:rPr>
        <w:t>y</w:t>
      </w:r>
      <w:r>
        <w:rPr>
          <w:color w:val="231F20"/>
          <w:spacing w:val="-9"/>
          <w:w w:val="110"/>
        </w:rPr>
        <w:t> </w:t>
      </w:r>
      <w:r>
        <w:rPr>
          <w:color w:val="231F20"/>
          <w:w w:val="110"/>
        </w:rPr>
        <w:t>a</w:t>
      </w:r>
      <w:r>
        <w:rPr>
          <w:color w:val="231F20"/>
          <w:spacing w:val="-9"/>
          <w:w w:val="110"/>
        </w:rPr>
        <w:t> </w:t>
      </w:r>
      <w:r>
        <w:rPr>
          <w:color w:val="231F20"/>
          <w:w w:val="110"/>
        </w:rPr>
        <w:t>sus</w:t>
      </w:r>
      <w:r>
        <w:rPr>
          <w:color w:val="231F20"/>
          <w:spacing w:val="-9"/>
          <w:w w:val="110"/>
        </w:rPr>
        <w:t> </w:t>
      </w:r>
      <w:r>
        <w:rPr>
          <w:color w:val="231F20"/>
          <w:w w:val="110"/>
        </w:rPr>
        <w:t>familiares;</w:t>
      </w:r>
      <w:r>
        <w:rPr>
          <w:color w:val="231F20"/>
          <w:spacing w:val="-9"/>
          <w:w w:val="110"/>
        </w:rPr>
        <w:t> </w:t>
      </w:r>
      <w:r>
        <w:rPr>
          <w:color w:val="231F20"/>
          <w:w w:val="110"/>
        </w:rPr>
        <w:t>el</w:t>
      </w:r>
      <w:r>
        <w:rPr>
          <w:color w:val="231F20"/>
          <w:spacing w:val="-9"/>
          <w:w w:val="110"/>
        </w:rPr>
        <w:t> </w:t>
      </w:r>
      <w:r>
        <w:rPr>
          <w:color w:val="231F20"/>
          <w:w w:val="110"/>
        </w:rPr>
        <w:t>Instituto</w:t>
      </w:r>
      <w:r>
        <w:rPr>
          <w:color w:val="231F20"/>
          <w:spacing w:val="-9"/>
          <w:w w:val="110"/>
        </w:rPr>
        <w:t> </w:t>
      </w:r>
      <w:r>
        <w:rPr>
          <w:color w:val="231F20"/>
          <w:w w:val="110"/>
        </w:rPr>
        <w:t>de</w:t>
      </w:r>
      <w:r>
        <w:rPr>
          <w:color w:val="231F20"/>
          <w:spacing w:val="-9"/>
          <w:w w:val="110"/>
        </w:rPr>
        <w:t> </w:t>
      </w:r>
      <w:r>
        <w:rPr>
          <w:color w:val="231F20"/>
          <w:w w:val="110"/>
        </w:rPr>
        <w:t>Seguridad y Servicios Sociales de los Trabajadores del Estado (</w:t>
      </w:r>
      <w:r>
        <w:rPr>
          <w:rFonts w:ascii="Times New Roman" w:hAnsi="Times New Roman"/>
          <w:color w:val="231F20"/>
          <w:w w:val="110"/>
          <w:sz w:val="16"/>
        </w:rPr>
        <w:t>ISSSTE</w:t>
      </w:r>
      <w:r>
        <w:rPr>
          <w:color w:val="231F20"/>
          <w:w w:val="110"/>
        </w:rPr>
        <w:t>) proporciona servicios</w:t>
      </w:r>
      <w:r>
        <w:rPr>
          <w:color w:val="231F20"/>
          <w:spacing w:val="-4"/>
          <w:w w:val="110"/>
        </w:rPr>
        <w:t> </w:t>
      </w:r>
      <w:r>
        <w:rPr>
          <w:color w:val="231F20"/>
          <w:w w:val="110"/>
        </w:rPr>
        <w:t>de</w:t>
      </w:r>
      <w:r>
        <w:rPr>
          <w:color w:val="231F20"/>
          <w:spacing w:val="-4"/>
          <w:w w:val="110"/>
        </w:rPr>
        <w:t> </w:t>
      </w:r>
      <w:r>
        <w:rPr>
          <w:color w:val="231F20"/>
          <w:w w:val="110"/>
        </w:rPr>
        <w:t>salud</w:t>
      </w:r>
      <w:r>
        <w:rPr>
          <w:color w:val="231F20"/>
          <w:spacing w:val="-4"/>
          <w:w w:val="110"/>
        </w:rPr>
        <w:t> </w:t>
      </w:r>
      <w:r>
        <w:rPr>
          <w:color w:val="231F20"/>
          <w:w w:val="110"/>
        </w:rPr>
        <w:t>a</w:t>
      </w:r>
      <w:r>
        <w:rPr>
          <w:color w:val="231F20"/>
          <w:spacing w:val="-4"/>
          <w:w w:val="110"/>
        </w:rPr>
        <w:t> </w:t>
      </w:r>
      <w:r>
        <w:rPr>
          <w:color w:val="231F20"/>
          <w:w w:val="110"/>
        </w:rPr>
        <w:t>los</w:t>
      </w:r>
      <w:r>
        <w:rPr>
          <w:color w:val="231F20"/>
          <w:spacing w:val="-4"/>
          <w:w w:val="110"/>
        </w:rPr>
        <w:t> </w:t>
      </w:r>
      <w:r>
        <w:rPr>
          <w:color w:val="231F20"/>
          <w:w w:val="110"/>
        </w:rPr>
        <w:t>empleados</w:t>
      </w:r>
      <w:r>
        <w:rPr>
          <w:color w:val="231F20"/>
          <w:spacing w:val="-4"/>
          <w:w w:val="110"/>
        </w:rPr>
        <w:t> </w:t>
      </w:r>
      <w:r>
        <w:rPr>
          <w:color w:val="231F20"/>
          <w:w w:val="110"/>
        </w:rPr>
        <w:t>del</w:t>
      </w:r>
      <w:r>
        <w:rPr>
          <w:color w:val="231F20"/>
          <w:spacing w:val="-4"/>
          <w:w w:val="110"/>
        </w:rPr>
        <w:t> </w:t>
      </w:r>
      <w:r>
        <w:rPr>
          <w:color w:val="231F20"/>
          <w:w w:val="110"/>
        </w:rPr>
        <w:t>gobierno</w:t>
      </w:r>
      <w:r>
        <w:rPr>
          <w:color w:val="231F20"/>
          <w:spacing w:val="-4"/>
          <w:w w:val="110"/>
        </w:rPr>
        <w:t> </w:t>
      </w:r>
      <w:r>
        <w:rPr>
          <w:color w:val="231F20"/>
          <w:w w:val="110"/>
        </w:rPr>
        <w:t>y</w:t>
      </w:r>
      <w:r>
        <w:rPr>
          <w:color w:val="231F20"/>
          <w:spacing w:val="-4"/>
          <w:w w:val="110"/>
        </w:rPr>
        <w:t> </w:t>
      </w:r>
      <w:r>
        <w:rPr>
          <w:color w:val="231F20"/>
          <w:w w:val="110"/>
        </w:rPr>
        <w:t>su</w:t>
      </w:r>
      <w:r>
        <w:rPr>
          <w:color w:val="231F20"/>
          <w:spacing w:val="-4"/>
          <w:w w:val="110"/>
        </w:rPr>
        <w:t> </w:t>
      </w:r>
      <w:r>
        <w:rPr>
          <w:color w:val="231F20"/>
          <w:w w:val="110"/>
        </w:rPr>
        <w:t>familia;</w:t>
      </w:r>
      <w:r>
        <w:rPr>
          <w:color w:val="231F20"/>
          <w:spacing w:val="-4"/>
          <w:w w:val="110"/>
        </w:rPr>
        <w:t> </w:t>
      </w:r>
      <w:r>
        <w:rPr>
          <w:color w:val="231F20"/>
          <w:w w:val="110"/>
        </w:rPr>
        <w:t>se</w:t>
      </w:r>
      <w:r>
        <w:rPr>
          <w:color w:val="231F20"/>
          <w:spacing w:val="-4"/>
          <w:w w:val="110"/>
        </w:rPr>
        <w:t> </w:t>
      </w:r>
      <w:r>
        <w:rPr>
          <w:color w:val="231F20"/>
          <w:w w:val="110"/>
        </w:rPr>
        <w:t>encuentran también</w:t>
      </w:r>
      <w:r>
        <w:rPr>
          <w:color w:val="231F20"/>
          <w:spacing w:val="-10"/>
          <w:w w:val="110"/>
        </w:rPr>
        <w:t> </w:t>
      </w:r>
      <w:r>
        <w:rPr>
          <w:color w:val="231F20"/>
          <w:w w:val="110"/>
        </w:rPr>
        <w:t>Petróleos</w:t>
      </w:r>
      <w:r>
        <w:rPr>
          <w:color w:val="231F20"/>
          <w:spacing w:val="-10"/>
          <w:w w:val="110"/>
        </w:rPr>
        <w:t> </w:t>
      </w:r>
      <w:r>
        <w:rPr>
          <w:color w:val="231F20"/>
          <w:w w:val="110"/>
        </w:rPr>
        <w:t>Mexicanos</w:t>
      </w:r>
      <w:r>
        <w:rPr>
          <w:color w:val="231F20"/>
          <w:spacing w:val="-10"/>
          <w:w w:val="110"/>
        </w:rPr>
        <w:t> </w:t>
      </w:r>
      <w:r>
        <w:rPr>
          <w:color w:val="231F20"/>
          <w:w w:val="110"/>
        </w:rPr>
        <w:t>(Pemex),</w:t>
      </w:r>
      <w:r>
        <w:rPr>
          <w:color w:val="231F20"/>
          <w:spacing w:val="-10"/>
          <w:w w:val="110"/>
        </w:rPr>
        <w:t> </w:t>
      </w:r>
      <w:r>
        <w:rPr>
          <w:color w:val="231F20"/>
          <w:w w:val="110"/>
        </w:rPr>
        <w:t>la</w:t>
      </w:r>
      <w:r>
        <w:rPr>
          <w:color w:val="231F20"/>
          <w:spacing w:val="-10"/>
          <w:w w:val="110"/>
        </w:rPr>
        <w:t> </w:t>
      </w:r>
      <w:r>
        <w:rPr>
          <w:color w:val="231F20"/>
          <w:w w:val="110"/>
        </w:rPr>
        <w:t>Secretaría</w:t>
      </w:r>
      <w:r>
        <w:rPr>
          <w:color w:val="231F20"/>
          <w:spacing w:val="-10"/>
          <w:w w:val="110"/>
        </w:rPr>
        <w:t> </w:t>
      </w:r>
      <w:r>
        <w:rPr>
          <w:color w:val="231F20"/>
          <w:w w:val="110"/>
        </w:rPr>
        <w:t>de</w:t>
      </w:r>
      <w:r>
        <w:rPr>
          <w:color w:val="231F20"/>
          <w:spacing w:val="-10"/>
          <w:w w:val="110"/>
        </w:rPr>
        <w:t> </w:t>
      </w:r>
      <w:r>
        <w:rPr>
          <w:color w:val="231F20"/>
          <w:w w:val="110"/>
        </w:rPr>
        <w:t>Marina</w:t>
      </w:r>
      <w:r>
        <w:rPr>
          <w:color w:val="231F20"/>
          <w:spacing w:val="-10"/>
          <w:w w:val="110"/>
        </w:rPr>
        <w:t> </w:t>
      </w:r>
      <w:r>
        <w:rPr>
          <w:color w:val="231F20"/>
          <w:w w:val="110"/>
        </w:rPr>
        <w:t>(Semar)</w:t>
      </w:r>
      <w:r>
        <w:rPr>
          <w:color w:val="231F20"/>
          <w:spacing w:val="-10"/>
          <w:w w:val="110"/>
        </w:rPr>
        <w:t> </w:t>
      </w:r>
      <w:r>
        <w:rPr>
          <w:color w:val="231F20"/>
          <w:w w:val="110"/>
        </w:rPr>
        <w:t>y</w:t>
      </w:r>
      <w:r>
        <w:rPr>
          <w:color w:val="231F20"/>
          <w:spacing w:val="-10"/>
          <w:w w:val="110"/>
        </w:rPr>
        <w:t> </w:t>
      </w:r>
      <w:r>
        <w:rPr>
          <w:color w:val="231F20"/>
          <w:w w:val="110"/>
        </w:rPr>
        <w:t>la Secretaría de la Defensa Nacional (Sedena). En el ámbito estatal, se cuenta con el Instituto de Seguridad Social del Estado de México y Municipios (</w:t>
      </w:r>
      <w:r>
        <w:rPr>
          <w:rFonts w:ascii="Times New Roman" w:hAnsi="Times New Roman"/>
          <w:color w:val="231F20"/>
          <w:w w:val="110"/>
          <w:sz w:val="16"/>
        </w:rPr>
        <w:t>ISSEM</w:t>
      </w:r>
      <w:r>
        <w:rPr>
          <w:color w:val="231F20"/>
          <w:w w:val="110"/>
        </w:rPr>
        <w:t>y</w:t>
      </w:r>
      <w:r>
        <w:rPr>
          <w:rFonts w:ascii="Times New Roman" w:hAnsi="Times New Roman"/>
          <w:color w:val="231F20"/>
          <w:w w:val="110"/>
          <w:sz w:val="16"/>
        </w:rPr>
        <w:t>M</w:t>
      </w:r>
      <w:r>
        <w:rPr>
          <w:color w:val="231F20"/>
          <w:w w:val="110"/>
        </w:rPr>
        <w:t>) que brinda </w:t>
      </w:r>
      <w:r>
        <w:rPr>
          <w:color w:val="231F20"/>
          <w:spacing w:val="2"/>
          <w:w w:val="110"/>
        </w:rPr>
        <w:t>servicios </w:t>
      </w:r>
      <w:r>
        <w:rPr>
          <w:color w:val="231F20"/>
          <w:w w:val="110"/>
        </w:rPr>
        <w:t>de seguridad social a sus trabajadores y </w:t>
      </w:r>
      <w:r>
        <w:rPr>
          <w:color w:val="231F20"/>
          <w:spacing w:val="2"/>
          <w:w w:val="110"/>
        </w:rPr>
        <w:t>familias; </w:t>
      </w:r>
      <w:r>
        <w:rPr>
          <w:color w:val="231F20"/>
          <w:w w:val="110"/>
        </w:rPr>
        <w:t>existen </w:t>
      </w:r>
      <w:r>
        <w:rPr>
          <w:color w:val="231F20"/>
          <w:spacing w:val="2"/>
          <w:w w:val="110"/>
        </w:rPr>
        <w:t>otras instituciones </w:t>
      </w:r>
      <w:r>
        <w:rPr>
          <w:color w:val="231F20"/>
          <w:w w:val="110"/>
        </w:rPr>
        <w:t>de </w:t>
      </w:r>
      <w:r>
        <w:rPr>
          <w:color w:val="231F20"/>
          <w:spacing w:val="2"/>
          <w:w w:val="110"/>
        </w:rPr>
        <w:t>carácter privado </w:t>
      </w:r>
      <w:r>
        <w:rPr>
          <w:color w:val="231F20"/>
          <w:w w:val="110"/>
        </w:rPr>
        <w:t>en las que por medio de acuerdos las personas o empleadores acceden a la prestación de servicios de</w:t>
      </w:r>
      <w:r>
        <w:rPr>
          <w:color w:val="231F20"/>
          <w:spacing w:val="32"/>
          <w:w w:val="110"/>
        </w:rPr>
        <w:t> </w:t>
      </w:r>
      <w:r>
        <w:rPr>
          <w:color w:val="231F20"/>
          <w:w w:val="110"/>
        </w:rPr>
        <w:t>salud.</w:t>
      </w:r>
    </w:p>
    <w:p>
      <w:pPr>
        <w:pStyle w:val="BodyText"/>
        <w:spacing w:line="283" w:lineRule="auto"/>
        <w:ind w:left="124" w:right="112" w:firstLine="360"/>
        <w:jc w:val="both"/>
      </w:pPr>
      <w:r>
        <w:rPr>
          <w:color w:val="231F20"/>
          <w:spacing w:val="2"/>
          <w:w w:val="110"/>
        </w:rPr>
        <w:t>La </w:t>
      </w:r>
      <w:r>
        <w:rPr>
          <w:color w:val="231F20"/>
          <w:w w:val="110"/>
        </w:rPr>
        <w:t>derechohabiencia hasta antes de 2002 sólo hacía referencia a las personas</w:t>
      </w:r>
      <w:r>
        <w:rPr>
          <w:color w:val="231F20"/>
          <w:spacing w:val="-16"/>
          <w:w w:val="110"/>
        </w:rPr>
        <w:t> </w:t>
      </w:r>
      <w:r>
        <w:rPr>
          <w:color w:val="231F20"/>
          <w:w w:val="110"/>
        </w:rPr>
        <w:t>que</w:t>
      </w:r>
      <w:r>
        <w:rPr>
          <w:color w:val="231F20"/>
          <w:spacing w:val="-16"/>
          <w:w w:val="110"/>
        </w:rPr>
        <w:t> </w:t>
      </w:r>
      <w:r>
        <w:rPr>
          <w:color w:val="231F20"/>
          <w:w w:val="110"/>
        </w:rPr>
        <w:t>estaban</w:t>
      </w:r>
      <w:r>
        <w:rPr>
          <w:color w:val="231F20"/>
          <w:spacing w:val="-16"/>
          <w:w w:val="110"/>
        </w:rPr>
        <w:t> </w:t>
      </w:r>
      <w:r>
        <w:rPr>
          <w:color w:val="231F20"/>
          <w:w w:val="110"/>
        </w:rPr>
        <w:t>afiliadas</w:t>
      </w:r>
      <w:r>
        <w:rPr>
          <w:color w:val="231F20"/>
          <w:spacing w:val="-16"/>
          <w:w w:val="110"/>
        </w:rPr>
        <w:t> </w:t>
      </w:r>
      <w:r>
        <w:rPr>
          <w:color w:val="231F20"/>
          <w:w w:val="110"/>
        </w:rPr>
        <w:t>a</w:t>
      </w:r>
      <w:r>
        <w:rPr>
          <w:color w:val="231F20"/>
          <w:spacing w:val="-16"/>
          <w:w w:val="110"/>
        </w:rPr>
        <w:t> </w:t>
      </w:r>
      <w:r>
        <w:rPr>
          <w:color w:val="231F20"/>
          <w:w w:val="110"/>
        </w:rPr>
        <w:t>instituciones</w:t>
      </w:r>
      <w:r>
        <w:rPr>
          <w:color w:val="231F20"/>
          <w:spacing w:val="-16"/>
          <w:w w:val="110"/>
        </w:rPr>
        <w:t> </w:t>
      </w:r>
      <w:r>
        <w:rPr>
          <w:color w:val="231F20"/>
          <w:w w:val="110"/>
        </w:rPr>
        <w:t>de</w:t>
      </w:r>
      <w:r>
        <w:rPr>
          <w:color w:val="231F20"/>
          <w:spacing w:val="-16"/>
          <w:w w:val="110"/>
        </w:rPr>
        <w:t> </w:t>
      </w:r>
      <w:r>
        <w:rPr>
          <w:color w:val="231F20"/>
          <w:w w:val="110"/>
        </w:rPr>
        <w:t>seguridad</w:t>
      </w:r>
      <w:r>
        <w:rPr>
          <w:color w:val="231F20"/>
          <w:spacing w:val="-16"/>
          <w:w w:val="110"/>
        </w:rPr>
        <w:t> </w:t>
      </w:r>
      <w:r>
        <w:rPr>
          <w:color w:val="231F20"/>
          <w:w w:val="110"/>
        </w:rPr>
        <w:t>social,</w:t>
      </w:r>
      <w:r>
        <w:rPr>
          <w:color w:val="231F20"/>
          <w:spacing w:val="-16"/>
          <w:w w:val="110"/>
        </w:rPr>
        <w:t> </w:t>
      </w:r>
      <w:r>
        <w:rPr>
          <w:color w:val="231F20"/>
          <w:w w:val="110"/>
        </w:rPr>
        <w:t>pero</w:t>
      </w:r>
      <w:r>
        <w:rPr>
          <w:color w:val="231F20"/>
          <w:spacing w:val="-16"/>
          <w:w w:val="110"/>
        </w:rPr>
        <w:t> </w:t>
      </w:r>
      <w:r>
        <w:rPr>
          <w:color w:val="231F20"/>
          <w:w w:val="110"/>
        </w:rPr>
        <w:t>des- pués de ese año la Secretaría de Salud (</w:t>
      </w:r>
      <w:r>
        <w:rPr>
          <w:rFonts w:ascii="Times New Roman" w:hAnsi="Times New Roman"/>
          <w:color w:val="231F20"/>
          <w:w w:val="110"/>
          <w:sz w:val="16"/>
        </w:rPr>
        <w:t>SSA</w:t>
      </w:r>
      <w:r>
        <w:rPr>
          <w:color w:val="231F20"/>
          <w:w w:val="110"/>
        </w:rPr>
        <w:t>) comenzó a ofrecer un servicio médico voluntario a las personas no inscritas en el </w:t>
      </w:r>
      <w:r>
        <w:rPr>
          <w:rFonts w:ascii="Times New Roman" w:hAnsi="Times New Roman"/>
          <w:color w:val="231F20"/>
          <w:w w:val="110"/>
          <w:sz w:val="16"/>
        </w:rPr>
        <w:t>IMSS </w:t>
      </w:r>
      <w:r>
        <w:rPr>
          <w:color w:val="231F20"/>
          <w:w w:val="110"/>
        </w:rPr>
        <w:t>o el </w:t>
      </w:r>
      <w:r>
        <w:rPr>
          <w:rFonts w:ascii="Times New Roman" w:hAnsi="Times New Roman"/>
          <w:color w:val="231F20"/>
          <w:w w:val="110"/>
          <w:sz w:val="16"/>
        </w:rPr>
        <w:t>ISSSTE</w:t>
      </w:r>
      <w:r>
        <w:rPr>
          <w:color w:val="231F20"/>
          <w:w w:val="110"/>
        </w:rPr>
        <w:t>, el cual se le conoce como Seguro Popular (</w:t>
      </w:r>
      <w:r>
        <w:rPr>
          <w:rFonts w:ascii="Times New Roman" w:hAnsi="Times New Roman"/>
          <w:color w:val="231F20"/>
          <w:w w:val="110"/>
          <w:sz w:val="16"/>
        </w:rPr>
        <w:t>SP</w:t>
      </w:r>
      <w:r>
        <w:rPr>
          <w:color w:val="231F20"/>
          <w:w w:val="110"/>
        </w:rPr>
        <w:t>), para garantizar a la población el acceso a los servicios </w:t>
      </w:r>
      <w:r>
        <w:rPr>
          <w:color w:val="231F20"/>
          <w:spacing w:val="26"/>
          <w:w w:val="110"/>
        </w:rPr>
        <w:t> </w:t>
      </w:r>
      <w:r>
        <w:rPr>
          <w:color w:val="231F20"/>
          <w:w w:val="110"/>
        </w:rPr>
        <w:t>médicos.</w:t>
      </w:r>
    </w:p>
    <w:p>
      <w:pPr>
        <w:pStyle w:val="BodyText"/>
        <w:spacing w:line="283" w:lineRule="auto"/>
        <w:ind w:left="124" w:right="114" w:firstLine="360"/>
        <w:jc w:val="both"/>
      </w:pPr>
      <w:r>
        <w:rPr>
          <w:color w:val="231F20"/>
          <w:w w:val="110"/>
        </w:rPr>
        <w:t>Desde su implementación, el </w:t>
      </w:r>
      <w:r>
        <w:rPr>
          <w:rFonts w:ascii="Times New Roman" w:hAnsi="Times New Roman"/>
          <w:color w:val="231F20"/>
          <w:w w:val="110"/>
          <w:sz w:val="16"/>
        </w:rPr>
        <w:t>SP</w:t>
      </w:r>
      <w:r>
        <w:rPr>
          <w:color w:val="231F20"/>
          <w:w w:val="110"/>
          <w:position w:val="6"/>
          <w:sz w:val="11"/>
        </w:rPr>
        <w:t>2 </w:t>
      </w:r>
      <w:r>
        <w:rPr>
          <w:color w:val="231F20"/>
          <w:w w:val="110"/>
        </w:rPr>
        <w:t>extendió su cobertura de manera ace- lerada, representando actualmente la segunda opción más importante de acceso a servicios de salud para la población adulta mayor   mexiquense.</w:t>
      </w:r>
    </w:p>
    <w:p>
      <w:pPr>
        <w:pStyle w:val="BodyText"/>
        <w:spacing w:before="4"/>
        <w:rPr>
          <w:sz w:val="15"/>
        </w:rPr>
      </w:pPr>
    </w:p>
    <w:p>
      <w:pPr>
        <w:spacing w:line="256" w:lineRule="auto" w:before="0"/>
        <w:ind w:left="124" w:right="114" w:firstLine="360"/>
        <w:jc w:val="both"/>
        <w:rPr>
          <w:sz w:val="16"/>
        </w:rPr>
      </w:pPr>
      <w:r>
        <w:rPr>
          <w:color w:val="231F20"/>
          <w:w w:val="110"/>
          <w:position w:val="5"/>
          <w:sz w:val="9"/>
        </w:rPr>
        <w:t>2</w:t>
      </w:r>
      <w:r>
        <w:rPr>
          <w:color w:val="231F20"/>
          <w:spacing w:val="-5"/>
          <w:w w:val="110"/>
          <w:position w:val="5"/>
          <w:sz w:val="9"/>
        </w:rPr>
        <w:t> </w:t>
      </w:r>
      <w:r>
        <w:rPr>
          <w:color w:val="231F20"/>
          <w:w w:val="110"/>
          <w:sz w:val="16"/>
        </w:rPr>
        <w:t>Es</w:t>
      </w:r>
      <w:r>
        <w:rPr>
          <w:color w:val="231F20"/>
          <w:spacing w:val="-2"/>
          <w:w w:val="110"/>
          <w:sz w:val="16"/>
        </w:rPr>
        <w:t> </w:t>
      </w:r>
      <w:r>
        <w:rPr>
          <w:color w:val="231F20"/>
          <w:w w:val="110"/>
          <w:sz w:val="16"/>
        </w:rPr>
        <w:t>importante</w:t>
      </w:r>
      <w:r>
        <w:rPr>
          <w:color w:val="231F20"/>
          <w:spacing w:val="-2"/>
          <w:w w:val="110"/>
          <w:sz w:val="16"/>
        </w:rPr>
        <w:t> </w:t>
      </w:r>
      <w:r>
        <w:rPr>
          <w:color w:val="231F20"/>
          <w:w w:val="110"/>
          <w:sz w:val="16"/>
        </w:rPr>
        <w:t>señalar</w:t>
      </w:r>
      <w:r>
        <w:rPr>
          <w:color w:val="231F20"/>
          <w:spacing w:val="-2"/>
          <w:w w:val="110"/>
          <w:sz w:val="16"/>
        </w:rPr>
        <w:t> </w:t>
      </w:r>
      <w:r>
        <w:rPr>
          <w:color w:val="231F20"/>
          <w:w w:val="110"/>
          <w:sz w:val="16"/>
        </w:rPr>
        <w:t>que</w:t>
      </w:r>
      <w:r>
        <w:rPr>
          <w:color w:val="231F20"/>
          <w:spacing w:val="-2"/>
          <w:w w:val="110"/>
          <w:sz w:val="16"/>
        </w:rPr>
        <w:t> </w:t>
      </w:r>
      <w:r>
        <w:rPr>
          <w:color w:val="231F20"/>
          <w:w w:val="110"/>
          <w:sz w:val="16"/>
        </w:rPr>
        <w:t>el</w:t>
      </w:r>
      <w:r>
        <w:rPr>
          <w:color w:val="231F20"/>
          <w:spacing w:val="-2"/>
          <w:w w:val="110"/>
          <w:sz w:val="16"/>
        </w:rPr>
        <w:t> </w:t>
      </w:r>
      <w:r>
        <w:rPr>
          <w:color w:val="231F20"/>
          <w:w w:val="110"/>
          <w:sz w:val="16"/>
        </w:rPr>
        <w:t>Seguro</w:t>
      </w:r>
      <w:r>
        <w:rPr>
          <w:color w:val="231F20"/>
          <w:spacing w:val="-2"/>
          <w:w w:val="110"/>
          <w:sz w:val="16"/>
        </w:rPr>
        <w:t> </w:t>
      </w:r>
      <w:r>
        <w:rPr>
          <w:color w:val="231F20"/>
          <w:w w:val="110"/>
          <w:sz w:val="16"/>
        </w:rPr>
        <w:t>Popular</w:t>
      </w:r>
      <w:r>
        <w:rPr>
          <w:color w:val="231F20"/>
          <w:spacing w:val="-2"/>
          <w:w w:val="110"/>
          <w:sz w:val="16"/>
        </w:rPr>
        <w:t> </w:t>
      </w:r>
      <w:r>
        <w:rPr>
          <w:color w:val="231F20"/>
          <w:w w:val="110"/>
          <w:sz w:val="16"/>
        </w:rPr>
        <w:t>se</w:t>
      </w:r>
      <w:r>
        <w:rPr>
          <w:color w:val="231F20"/>
          <w:spacing w:val="-2"/>
          <w:w w:val="110"/>
          <w:sz w:val="16"/>
        </w:rPr>
        <w:t> </w:t>
      </w:r>
      <w:r>
        <w:rPr>
          <w:color w:val="231F20"/>
          <w:w w:val="110"/>
          <w:sz w:val="16"/>
        </w:rPr>
        <w:t>otorga</w:t>
      </w:r>
      <w:r>
        <w:rPr>
          <w:color w:val="231F20"/>
          <w:spacing w:val="-2"/>
          <w:w w:val="110"/>
          <w:sz w:val="16"/>
        </w:rPr>
        <w:t> </w:t>
      </w:r>
      <w:r>
        <w:rPr>
          <w:color w:val="231F20"/>
          <w:w w:val="110"/>
          <w:sz w:val="16"/>
        </w:rPr>
        <w:t>como</w:t>
      </w:r>
      <w:r>
        <w:rPr>
          <w:color w:val="231F20"/>
          <w:spacing w:val="-2"/>
          <w:w w:val="110"/>
          <w:sz w:val="16"/>
        </w:rPr>
        <w:t> </w:t>
      </w:r>
      <w:r>
        <w:rPr>
          <w:color w:val="231F20"/>
          <w:w w:val="110"/>
          <w:sz w:val="16"/>
        </w:rPr>
        <w:t>un</w:t>
      </w:r>
      <w:r>
        <w:rPr>
          <w:color w:val="231F20"/>
          <w:spacing w:val="-2"/>
          <w:w w:val="110"/>
          <w:sz w:val="16"/>
        </w:rPr>
        <w:t> </w:t>
      </w:r>
      <w:r>
        <w:rPr>
          <w:color w:val="231F20"/>
          <w:w w:val="110"/>
          <w:sz w:val="16"/>
        </w:rPr>
        <w:t>programa</w:t>
      </w:r>
      <w:r>
        <w:rPr>
          <w:color w:val="231F20"/>
          <w:spacing w:val="-2"/>
          <w:w w:val="110"/>
          <w:sz w:val="16"/>
        </w:rPr>
        <w:t> </w:t>
      </w:r>
      <w:r>
        <w:rPr>
          <w:color w:val="231F20"/>
          <w:w w:val="110"/>
          <w:sz w:val="16"/>
        </w:rPr>
        <w:t>de</w:t>
      </w:r>
      <w:r>
        <w:rPr>
          <w:color w:val="231F20"/>
          <w:spacing w:val="-2"/>
          <w:w w:val="110"/>
          <w:sz w:val="16"/>
        </w:rPr>
        <w:t> </w:t>
      </w:r>
      <w:r>
        <w:rPr>
          <w:color w:val="231F20"/>
          <w:w w:val="110"/>
          <w:sz w:val="16"/>
        </w:rPr>
        <w:t>asistencia social</w:t>
      </w:r>
      <w:r>
        <w:rPr>
          <w:color w:val="231F20"/>
          <w:spacing w:val="-4"/>
          <w:w w:val="110"/>
          <w:sz w:val="16"/>
        </w:rPr>
        <w:t> </w:t>
      </w:r>
      <w:r>
        <w:rPr>
          <w:color w:val="231F20"/>
          <w:w w:val="110"/>
          <w:sz w:val="16"/>
        </w:rPr>
        <w:t>a</w:t>
      </w:r>
      <w:r>
        <w:rPr>
          <w:color w:val="231F20"/>
          <w:spacing w:val="-4"/>
          <w:w w:val="110"/>
          <w:sz w:val="16"/>
        </w:rPr>
        <w:t> </w:t>
      </w:r>
      <w:r>
        <w:rPr>
          <w:color w:val="231F20"/>
          <w:w w:val="110"/>
          <w:sz w:val="16"/>
        </w:rPr>
        <w:t>población</w:t>
      </w:r>
      <w:r>
        <w:rPr>
          <w:color w:val="231F20"/>
          <w:spacing w:val="-4"/>
          <w:w w:val="110"/>
          <w:sz w:val="16"/>
        </w:rPr>
        <w:t> </w:t>
      </w:r>
      <w:r>
        <w:rPr>
          <w:color w:val="231F20"/>
          <w:w w:val="110"/>
          <w:sz w:val="16"/>
        </w:rPr>
        <w:t>abierta.</w:t>
      </w:r>
      <w:r>
        <w:rPr>
          <w:color w:val="231F20"/>
          <w:spacing w:val="-4"/>
          <w:w w:val="110"/>
          <w:sz w:val="16"/>
        </w:rPr>
        <w:t> </w:t>
      </w:r>
      <w:r>
        <w:rPr>
          <w:color w:val="231F20"/>
          <w:w w:val="110"/>
          <w:sz w:val="16"/>
        </w:rPr>
        <w:t>En</w:t>
      </w:r>
      <w:r>
        <w:rPr>
          <w:color w:val="231F20"/>
          <w:spacing w:val="-4"/>
          <w:w w:val="110"/>
          <w:sz w:val="16"/>
        </w:rPr>
        <w:t> </w:t>
      </w:r>
      <w:r>
        <w:rPr>
          <w:color w:val="231F20"/>
          <w:w w:val="110"/>
          <w:sz w:val="16"/>
        </w:rPr>
        <w:t>lo</w:t>
      </w:r>
      <w:r>
        <w:rPr>
          <w:color w:val="231F20"/>
          <w:spacing w:val="-4"/>
          <w:w w:val="110"/>
          <w:sz w:val="16"/>
        </w:rPr>
        <w:t> </w:t>
      </w:r>
      <w:r>
        <w:rPr>
          <w:color w:val="231F20"/>
          <w:w w:val="110"/>
          <w:sz w:val="16"/>
        </w:rPr>
        <w:t>que</w:t>
      </w:r>
      <w:r>
        <w:rPr>
          <w:color w:val="231F20"/>
          <w:spacing w:val="-4"/>
          <w:w w:val="110"/>
          <w:sz w:val="16"/>
        </w:rPr>
        <w:t> </w:t>
      </w:r>
      <w:r>
        <w:rPr>
          <w:color w:val="231F20"/>
          <w:w w:val="110"/>
          <w:sz w:val="16"/>
        </w:rPr>
        <w:t>respecta</w:t>
      </w:r>
      <w:r>
        <w:rPr>
          <w:color w:val="231F20"/>
          <w:spacing w:val="-4"/>
          <w:w w:val="110"/>
          <w:sz w:val="16"/>
        </w:rPr>
        <w:t> </w:t>
      </w:r>
      <w:r>
        <w:rPr>
          <w:color w:val="231F20"/>
          <w:w w:val="110"/>
          <w:sz w:val="16"/>
        </w:rPr>
        <w:t>a</w:t>
      </w:r>
      <w:r>
        <w:rPr>
          <w:color w:val="231F20"/>
          <w:spacing w:val="-4"/>
          <w:w w:val="110"/>
          <w:sz w:val="16"/>
        </w:rPr>
        <w:t> </w:t>
      </w:r>
      <w:r>
        <w:rPr>
          <w:color w:val="231F20"/>
          <w:w w:val="110"/>
          <w:sz w:val="16"/>
        </w:rPr>
        <w:t>la</w:t>
      </w:r>
      <w:r>
        <w:rPr>
          <w:color w:val="231F20"/>
          <w:spacing w:val="-4"/>
          <w:w w:val="110"/>
          <w:sz w:val="16"/>
        </w:rPr>
        <w:t> </w:t>
      </w:r>
      <w:r>
        <w:rPr>
          <w:color w:val="231F20"/>
          <w:w w:val="110"/>
          <w:sz w:val="16"/>
        </w:rPr>
        <w:t>derechohabiencia,</w:t>
      </w:r>
      <w:r>
        <w:rPr>
          <w:color w:val="231F20"/>
          <w:spacing w:val="-4"/>
          <w:w w:val="110"/>
          <w:sz w:val="16"/>
        </w:rPr>
        <w:t> </w:t>
      </w:r>
      <w:r>
        <w:rPr>
          <w:color w:val="231F20"/>
          <w:w w:val="110"/>
          <w:sz w:val="16"/>
        </w:rPr>
        <w:t>se</w:t>
      </w:r>
      <w:r>
        <w:rPr>
          <w:color w:val="231F20"/>
          <w:spacing w:val="-4"/>
          <w:w w:val="110"/>
          <w:sz w:val="16"/>
        </w:rPr>
        <w:t> </w:t>
      </w:r>
      <w:r>
        <w:rPr>
          <w:color w:val="231F20"/>
          <w:w w:val="110"/>
          <w:sz w:val="16"/>
        </w:rPr>
        <w:t>accede</w:t>
      </w:r>
      <w:r>
        <w:rPr>
          <w:color w:val="231F20"/>
          <w:spacing w:val="-4"/>
          <w:w w:val="110"/>
          <w:sz w:val="16"/>
        </w:rPr>
        <w:t> </w:t>
      </w:r>
      <w:r>
        <w:rPr>
          <w:color w:val="231F20"/>
          <w:w w:val="110"/>
          <w:sz w:val="16"/>
        </w:rPr>
        <w:t>a</w:t>
      </w:r>
      <w:r>
        <w:rPr>
          <w:color w:val="231F20"/>
          <w:spacing w:val="-4"/>
          <w:w w:val="110"/>
          <w:sz w:val="16"/>
        </w:rPr>
        <w:t> </w:t>
      </w:r>
      <w:r>
        <w:rPr>
          <w:color w:val="231F20"/>
          <w:w w:val="110"/>
          <w:sz w:val="16"/>
        </w:rPr>
        <w:t>este</w:t>
      </w:r>
      <w:r>
        <w:rPr>
          <w:color w:val="231F20"/>
          <w:spacing w:val="-4"/>
          <w:w w:val="110"/>
          <w:sz w:val="16"/>
        </w:rPr>
        <w:t> </w:t>
      </w:r>
      <w:r>
        <w:rPr>
          <w:color w:val="231F20"/>
          <w:w w:val="110"/>
          <w:sz w:val="16"/>
        </w:rPr>
        <w:t>beneficio como parte de un derecho</w:t>
      </w:r>
      <w:r>
        <w:rPr>
          <w:color w:val="231F20"/>
          <w:spacing w:val="28"/>
          <w:w w:val="110"/>
          <w:sz w:val="16"/>
        </w:rPr>
        <w:t> </w:t>
      </w:r>
      <w:r>
        <w:rPr>
          <w:color w:val="231F20"/>
          <w:w w:val="110"/>
          <w:sz w:val="16"/>
        </w:rPr>
        <w:t>laboral.</w:t>
      </w:r>
    </w:p>
    <w:p>
      <w:pPr>
        <w:spacing w:after="0" w:line="256" w:lineRule="auto"/>
        <w:jc w:val="both"/>
        <w:rPr>
          <w:sz w:val="16"/>
        </w:rPr>
        <w:sectPr>
          <w:pgSz w:w="9520" w:h="12920"/>
          <w:pgMar w:header="0" w:footer="1344" w:top="880" w:bottom="1540" w:left="1320" w:right="1000"/>
        </w:sectPr>
      </w:pPr>
    </w:p>
    <w:p>
      <w:pPr>
        <w:pStyle w:val="BodyText"/>
        <w:spacing w:line="288" w:lineRule="auto" w:before="42"/>
        <w:ind w:left="119" w:right="117" w:firstLine="360"/>
        <w:jc w:val="both"/>
      </w:pPr>
      <w:r>
        <w:rPr>
          <w:color w:val="231F20"/>
          <w:w w:val="110"/>
        </w:rPr>
        <w:t>Según</w:t>
      </w:r>
      <w:r>
        <w:rPr>
          <w:color w:val="231F20"/>
          <w:spacing w:val="-12"/>
          <w:w w:val="110"/>
        </w:rPr>
        <w:t> </w:t>
      </w:r>
      <w:r>
        <w:rPr>
          <w:color w:val="231F20"/>
          <w:w w:val="110"/>
        </w:rPr>
        <w:t>el</w:t>
      </w:r>
      <w:r>
        <w:rPr>
          <w:color w:val="231F20"/>
          <w:spacing w:val="-12"/>
          <w:w w:val="110"/>
        </w:rPr>
        <w:t> </w:t>
      </w:r>
      <w:r>
        <w:rPr>
          <w:rFonts w:ascii="Times New Roman" w:hAnsi="Times New Roman"/>
          <w:color w:val="231F20"/>
          <w:w w:val="110"/>
          <w:sz w:val="16"/>
        </w:rPr>
        <w:t>INEGI</w:t>
      </w:r>
      <w:r>
        <w:rPr>
          <w:rFonts w:ascii="Times New Roman" w:hAnsi="Times New Roman"/>
          <w:color w:val="231F20"/>
          <w:spacing w:val="-8"/>
          <w:w w:val="110"/>
          <w:sz w:val="16"/>
        </w:rPr>
        <w:t> </w:t>
      </w:r>
      <w:r>
        <w:rPr>
          <w:color w:val="231F20"/>
          <w:w w:val="110"/>
        </w:rPr>
        <w:t>(2010),</w:t>
      </w:r>
      <w:r>
        <w:rPr>
          <w:color w:val="231F20"/>
          <w:spacing w:val="-12"/>
          <w:w w:val="110"/>
        </w:rPr>
        <w:t> </w:t>
      </w:r>
      <w:r>
        <w:rPr>
          <w:color w:val="231F20"/>
          <w:w w:val="110"/>
        </w:rPr>
        <w:t>la</w:t>
      </w:r>
      <w:r>
        <w:rPr>
          <w:color w:val="231F20"/>
          <w:spacing w:val="-12"/>
          <w:w w:val="110"/>
        </w:rPr>
        <w:t> </w:t>
      </w:r>
      <w:r>
        <w:rPr>
          <w:color w:val="231F20"/>
          <w:w w:val="110"/>
        </w:rPr>
        <w:t>cobertura</w:t>
      </w:r>
      <w:r>
        <w:rPr>
          <w:color w:val="231F20"/>
          <w:spacing w:val="-12"/>
          <w:w w:val="110"/>
        </w:rPr>
        <w:t> </w:t>
      </w:r>
      <w:r>
        <w:rPr>
          <w:color w:val="231F20"/>
          <w:w w:val="110"/>
        </w:rPr>
        <w:t>en</w:t>
      </w:r>
      <w:r>
        <w:rPr>
          <w:color w:val="231F20"/>
          <w:spacing w:val="-12"/>
          <w:w w:val="110"/>
        </w:rPr>
        <w:t> </w:t>
      </w:r>
      <w:r>
        <w:rPr>
          <w:color w:val="231F20"/>
          <w:w w:val="110"/>
        </w:rPr>
        <w:t>derechohabiencia</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población de 60 años y más a nivel estatal apenas rebasaba 50 por ciento del total de la</w:t>
      </w:r>
      <w:r>
        <w:rPr>
          <w:color w:val="231F20"/>
          <w:spacing w:val="-19"/>
          <w:w w:val="110"/>
        </w:rPr>
        <w:t> </w:t>
      </w:r>
      <w:r>
        <w:rPr>
          <w:color w:val="231F20"/>
          <w:w w:val="110"/>
        </w:rPr>
        <w:t>población</w:t>
      </w:r>
      <w:r>
        <w:rPr>
          <w:color w:val="231F20"/>
          <w:spacing w:val="-19"/>
          <w:w w:val="110"/>
        </w:rPr>
        <w:t> </w:t>
      </w:r>
      <w:r>
        <w:rPr>
          <w:color w:val="231F20"/>
          <w:w w:val="110"/>
        </w:rPr>
        <w:t>envejecida;</w:t>
      </w:r>
      <w:r>
        <w:rPr>
          <w:color w:val="231F20"/>
          <w:spacing w:val="-19"/>
          <w:w w:val="110"/>
        </w:rPr>
        <w:t> </w:t>
      </w:r>
      <w:r>
        <w:rPr>
          <w:color w:val="231F20"/>
          <w:w w:val="110"/>
        </w:rPr>
        <w:t>cabe</w:t>
      </w:r>
      <w:r>
        <w:rPr>
          <w:color w:val="231F20"/>
          <w:spacing w:val="-19"/>
          <w:w w:val="110"/>
        </w:rPr>
        <w:t> </w:t>
      </w:r>
      <w:r>
        <w:rPr>
          <w:color w:val="231F20"/>
          <w:w w:val="110"/>
        </w:rPr>
        <w:t>destacar</w:t>
      </w:r>
      <w:r>
        <w:rPr>
          <w:color w:val="231F20"/>
          <w:spacing w:val="-19"/>
          <w:w w:val="110"/>
        </w:rPr>
        <w:t> </w:t>
      </w:r>
      <w:r>
        <w:rPr>
          <w:color w:val="231F20"/>
          <w:w w:val="110"/>
        </w:rPr>
        <w:t>que</w:t>
      </w:r>
      <w:r>
        <w:rPr>
          <w:color w:val="231F20"/>
          <w:spacing w:val="-19"/>
          <w:w w:val="110"/>
        </w:rPr>
        <w:t> </w:t>
      </w:r>
      <w:r>
        <w:rPr>
          <w:color w:val="231F20"/>
          <w:w w:val="110"/>
        </w:rPr>
        <w:t>la</w:t>
      </w:r>
      <w:r>
        <w:rPr>
          <w:color w:val="231F20"/>
          <w:spacing w:val="-19"/>
          <w:w w:val="110"/>
        </w:rPr>
        <w:t> </w:t>
      </w:r>
      <w:r>
        <w:rPr>
          <w:color w:val="231F20"/>
          <w:w w:val="110"/>
        </w:rPr>
        <w:t>cobertura</w:t>
      </w:r>
      <w:r>
        <w:rPr>
          <w:color w:val="231F20"/>
          <w:spacing w:val="-19"/>
          <w:w w:val="110"/>
        </w:rPr>
        <w:t> </w:t>
      </w:r>
      <w:r>
        <w:rPr>
          <w:color w:val="231F20"/>
          <w:w w:val="110"/>
        </w:rPr>
        <w:t>de</w:t>
      </w:r>
      <w:r>
        <w:rPr>
          <w:color w:val="231F20"/>
          <w:spacing w:val="-19"/>
          <w:w w:val="110"/>
        </w:rPr>
        <w:t> </w:t>
      </w:r>
      <w:r>
        <w:rPr>
          <w:color w:val="231F20"/>
          <w:w w:val="110"/>
        </w:rPr>
        <w:t>servicios</w:t>
      </w:r>
      <w:r>
        <w:rPr>
          <w:color w:val="231F20"/>
          <w:spacing w:val="-19"/>
          <w:w w:val="110"/>
        </w:rPr>
        <w:t> </w:t>
      </w:r>
      <w:r>
        <w:rPr>
          <w:color w:val="231F20"/>
          <w:w w:val="110"/>
        </w:rPr>
        <w:t>de</w:t>
      </w:r>
      <w:r>
        <w:rPr>
          <w:color w:val="231F20"/>
          <w:spacing w:val="-19"/>
          <w:w w:val="110"/>
        </w:rPr>
        <w:t> </w:t>
      </w:r>
      <w:r>
        <w:rPr>
          <w:color w:val="231F20"/>
          <w:w w:val="110"/>
        </w:rPr>
        <w:t>salud de </w:t>
      </w:r>
      <w:r>
        <w:rPr>
          <w:color w:val="231F20"/>
          <w:spacing w:val="-3"/>
          <w:w w:val="110"/>
        </w:rPr>
        <w:t>este </w:t>
      </w:r>
      <w:r>
        <w:rPr>
          <w:color w:val="231F20"/>
          <w:spacing w:val="-4"/>
          <w:w w:val="110"/>
        </w:rPr>
        <w:t>grupo poblacional </w:t>
      </w:r>
      <w:r>
        <w:rPr>
          <w:color w:val="231F20"/>
          <w:w w:val="110"/>
        </w:rPr>
        <w:t>no es </w:t>
      </w:r>
      <w:r>
        <w:rPr>
          <w:color w:val="231F20"/>
          <w:spacing w:val="-4"/>
          <w:w w:val="110"/>
        </w:rPr>
        <w:t>homogénea </w:t>
      </w:r>
      <w:r>
        <w:rPr>
          <w:color w:val="231F20"/>
          <w:spacing w:val="-3"/>
          <w:w w:val="110"/>
        </w:rPr>
        <w:t>por </w:t>
      </w:r>
      <w:r>
        <w:rPr>
          <w:color w:val="231F20"/>
          <w:spacing w:val="-5"/>
          <w:w w:val="110"/>
        </w:rPr>
        <w:t>sexo </w:t>
      </w:r>
      <w:r>
        <w:rPr>
          <w:color w:val="231F20"/>
          <w:w w:val="110"/>
        </w:rPr>
        <w:t>ni </w:t>
      </w:r>
      <w:r>
        <w:rPr>
          <w:color w:val="231F20"/>
          <w:spacing w:val="-3"/>
          <w:w w:val="110"/>
        </w:rPr>
        <w:t>por </w:t>
      </w:r>
      <w:r>
        <w:rPr>
          <w:color w:val="231F20"/>
          <w:spacing w:val="-4"/>
          <w:w w:val="110"/>
        </w:rPr>
        <w:t>localidad. </w:t>
      </w:r>
      <w:r>
        <w:rPr>
          <w:color w:val="231F20"/>
          <w:w w:val="110"/>
        </w:rPr>
        <w:t>A </w:t>
      </w:r>
      <w:r>
        <w:rPr>
          <w:color w:val="231F20"/>
          <w:spacing w:val="-4"/>
          <w:w w:val="110"/>
        </w:rPr>
        <w:t>nivel </w:t>
      </w:r>
      <w:r>
        <w:rPr>
          <w:color w:val="231F20"/>
          <w:w w:val="110"/>
        </w:rPr>
        <w:t>estatal, sobresale que la población masculina y femenina tiene una cober- tura similar (aproximadamente 55 por ciento). En el caso del </w:t>
      </w:r>
      <w:r>
        <w:rPr>
          <w:rFonts w:ascii="Times New Roman" w:hAnsi="Times New Roman"/>
          <w:color w:val="231F20"/>
          <w:w w:val="110"/>
          <w:sz w:val="16"/>
        </w:rPr>
        <w:t>SP </w:t>
      </w:r>
      <w:r>
        <w:rPr>
          <w:color w:val="231F20"/>
          <w:w w:val="110"/>
        </w:rPr>
        <w:t>sólo 12.8 por ciento de los hombres y 15.4 por ciento de las mujeres cuentan con esta cobertura en salud. El resto de la población tanto de hombres como </w:t>
      </w:r>
      <w:r>
        <w:rPr>
          <w:color w:val="231F20"/>
          <w:spacing w:val="3"/>
          <w:w w:val="110"/>
        </w:rPr>
        <w:t>mujeres —31.3 </w:t>
      </w:r>
      <w:r>
        <w:rPr>
          <w:color w:val="231F20"/>
          <w:w w:val="110"/>
        </w:rPr>
        <w:t>y 30 </w:t>
      </w:r>
      <w:r>
        <w:rPr>
          <w:color w:val="231F20"/>
          <w:spacing w:val="2"/>
          <w:w w:val="110"/>
        </w:rPr>
        <w:t>por </w:t>
      </w:r>
      <w:r>
        <w:rPr>
          <w:color w:val="231F20"/>
          <w:spacing w:val="3"/>
          <w:w w:val="110"/>
        </w:rPr>
        <w:t>ciento, respectivamente— carece </w:t>
      </w:r>
      <w:r>
        <w:rPr>
          <w:color w:val="231F20"/>
          <w:w w:val="110"/>
        </w:rPr>
        <w:t>de </w:t>
      </w:r>
      <w:r>
        <w:rPr>
          <w:color w:val="231F20"/>
          <w:spacing w:val="3"/>
          <w:w w:val="110"/>
        </w:rPr>
        <w:t>servicios </w:t>
      </w:r>
      <w:r>
        <w:rPr>
          <w:color w:val="231F20"/>
          <w:w w:val="110"/>
        </w:rPr>
        <w:t>de salud o son no derechohabientes, por lo que su atención en cuestión de salud es solventada por ellos mismos o por sus familias a través de la asis- tencia de servicios médicos privados y servicios de salud que se brinda a la población</w:t>
      </w:r>
      <w:r>
        <w:rPr>
          <w:color w:val="231F20"/>
          <w:spacing w:val="-14"/>
          <w:w w:val="110"/>
        </w:rPr>
        <w:t> </w:t>
      </w:r>
      <w:r>
        <w:rPr>
          <w:color w:val="231F20"/>
          <w:w w:val="110"/>
        </w:rPr>
        <w:t>abierta.</w:t>
      </w:r>
    </w:p>
    <w:p>
      <w:pPr>
        <w:pStyle w:val="BodyText"/>
        <w:spacing w:line="288" w:lineRule="auto"/>
        <w:ind w:left="120" w:right="114" w:firstLine="360"/>
        <w:jc w:val="both"/>
      </w:pPr>
      <w:r>
        <w:rPr>
          <w:color w:val="231F20"/>
          <w:w w:val="110"/>
        </w:rPr>
        <w:t>La derechohabiencia en las instituciones de salud que se otorga a la población de 60 años y más está estrechamente relacionada con el empleo formal,</w:t>
      </w:r>
      <w:r>
        <w:rPr>
          <w:color w:val="231F20"/>
          <w:spacing w:val="-13"/>
          <w:w w:val="110"/>
        </w:rPr>
        <w:t> </w:t>
      </w:r>
      <w:r>
        <w:rPr>
          <w:color w:val="231F20"/>
          <w:w w:val="110"/>
        </w:rPr>
        <w:t>que</w:t>
      </w:r>
      <w:r>
        <w:rPr>
          <w:color w:val="231F20"/>
          <w:spacing w:val="-13"/>
          <w:w w:val="110"/>
        </w:rPr>
        <w:t> </w:t>
      </w:r>
      <w:r>
        <w:rPr>
          <w:color w:val="231F20"/>
          <w:w w:val="110"/>
        </w:rPr>
        <w:t>se</w:t>
      </w:r>
      <w:r>
        <w:rPr>
          <w:color w:val="231F20"/>
          <w:spacing w:val="-13"/>
          <w:w w:val="110"/>
        </w:rPr>
        <w:t> </w:t>
      </w:r>
      <w:r>
        <w:rPr>
          <w:color w:val="231F20"/>
          <w:w w:val="110"/>
        </w:rPr>
        <w:t>realiza</w:t>
      </w:r>
      <w:r>
        <w:rPr>
          <w:color w:val="231F20"/>
          <w:spacing w:val="-13"/>
          <w:w w:val="110"/>
        </w:rPr>
        <w:t> </w:t>
      </w:r>
      <w:r>
        <w:rPr>
          <w:color w:val="231F20"/>
          <w:w w:val="110"/>
        </w:rPr>
        <w:t>sobre</w:t>
      </w:r>
      <w:r>
        <w:rPr>
          <w:color w:val="231F20"/>
          <w:spacing w:val="-13"/>
          <w:w w:val="110"/>
        </w:rPr>
        <w:t> </w:t>
      </w:r>
      <w:r>
        <w:rPr>
          <w:color w:val="231F20"/>
          <w:w w:val="110"/>
        </w:rPr>
        <w:t>todo</w:t>
      </w:r>
      <w:r>
        <w:rPr>
          <w:color w:val="231F20"/>
          <w:spacing w:val="-13"/>
          <w:w w:val="110"/>
        </w:rPr>
        <w:t> </w:t>
      </w:r>
      <w:r>
        <w:rPr>
          <w:color w:val="231F20"/>
          <w:w w:val="110"/>
        </w:rPr>
        <w:t>en</w:t>
      </w:r>
      <w:r>
        <w:rPr>
          <w:color w:val="231F20"/>
          <w:spacing w:val="-13"/>
          <w:w w:val="110"/>
        </w:rPr>
        <w:t> </w:t>
      </w:r>
      <w:r>
        <w:rPr>
          <w:color w:val="231F20"/>
          <w:w w:val="110"/>
        </w:rPr>
        <w:t>las</w:t>
      </w:r>
      <w:r>
        <w:rPr>
          <w:color w:val="231F20"/>
          <w:spacing w:val="-13"/>
          <w:w w:val="110"/>
        </w:rPr>
        <w:t> </w:t>
      </w:r>
      <w:r>
        <w:rPr>
          <w:color w:val="231F20"/>
          <w:w w:val="110"/>
        </w:rPr>
        <w:t>localidades</w:t>
      </w:r>
      <w:r>
        <w:rPr>
          <w:color w:val="231F20"/>
          <w:spacing w:val="-13"/>
          <w:w w:val="110"/>
        </w:rPr>
        <w:t> </w:t>
      </w:r>
      <w:r>
        <w:rPr>
          <w:color w:val="231F20"/>
          <w:w w:val="110"/>
        </w:rPr>
        <w:t>urbanas,</w:t>
      </w:r>
      <w:r>
        <w:rPr>
          <w:color w:val="231F20"/>
          <w:spacing w:val="-13"/>
          <w:w w:val="110"/>
        </w:rPr>
        <w:t> </w:t>
      </w:r>
      <w:r>
        <w:rPr>
          <w:color w:val="231F20"/>
          <w:w w:val="110"/>
        </w:rPr>
        <w:t>y</w:t>
      </w:r>
      <w:r>
        <w:rPr>
          <w:color w:val="231F20"/>
          <w:spacing w:val="-13"/>
          <w:w w:val="110"/>
        </w:rPr>
        <w:t> </w:t>
      </w:r>
      <w:r>
        <w:rPr>
          <w:color w:val="231F20"/>
          <w:w w:val="110"/>
        </w:rPr>
        <w:t>en</w:t>
      </w:r>
      <w:r>
        <w:rPr>
          <w:color w:val="231F20"/>
          <w:spacing w:val="-13"/>
          <w:w w:val="110"/>
        </w:rPr>
        <w:t> </w:t>
      </w:r>
      <w:r>
        <w:rPr>
          <w:color w:val="231F20"/>
          <w:w w:val="110"/>
        </w:rPr>
        <w:t>un</w:t>
      </w:r>
      <w:r>
        <w:rPr>
          <w:color w:val="231F20"/>
          <w:spacing w:val="-13"/>
          <w:w w:val="110"/>
        </w:rPr>
        <w:t> </w:t>
      </w:r>
      <w:r>
        <w:rPr>
          <w:color w:val="231F20"/>
          <w:w w:val="110"/>
        </w:rPr>
        <w:t>mínimo porcentaje, en localidades rurales en actividades relacionadas con servi- cios administrativos desarrollados en las cabeceras municipales. Según datos del </w:t>
      </w:r>
      <w:r>
        <w:rPr>
          <w:rFonts w:ascii="Times New Roman" w:hAnsi="Times New Roman"/>
          <w:color w:val="231F20"/>
          <w:w w:val="110"/>
          <w:sz w:val="16"/>
        </w:rPr>
        <w:t>INEGI </w:t>
      </w:r>
      <w:r>
        <w:rPr>
          <w:color w:val="231F20"/>
          <w:w w:val="110"/>
        </w:rPr>
        <w:t>(2010), la institución que mayor cobertura presenta en la entidad</w:t>
      </w:r>
      <w:r>
        <w:rPr>
          <w:color w:val="231F20"/>
          <w:spacing w:val="13"/>
          <w:w w:val="110"/>
        </w:rPr>
        <w:t> </w:t>
      </w:r>
      <w:r>
        <w:rPr>
          <w:color w:val="231F20"/>
          <w:w w:val="110"/>
        </w:rPr>
        <w:t>mexiquense</w:t>
      </w:r>
      <w:r>
        <w:rPr>
          <w:color w:val="231F20"/>
          <w:spacing w:val="13"/>
          <w:w w:val="110"/>
        </w:rPr>
        <w:t> </w:t>
      </w:r>
      <w:r>
        <w:rPr>
          <w:color w:val="231F20"/>
          <w:w w:val="110"/>
        </w:rPr>
        <w:t>es</w:t>
      </w:r>
      <w:r>
        <w:rPr>
          <w:color w:val="231F20"/>
          <w:spacing w:val="13"/>
          <w:w w:val="110"/>
        </w:rPr>
        <w:t> </w:t>
      </w:r>
      <w:r>
        <w:rPr>
          <w:color w:val="231F20"/>
          <w:w w:val="110"/>
        </w:rPr>
        <w:t>el</w:t>
      </w:r>
      <w:r>
        <w:rPr>
          <w:color w:val="231F20"/>
          <w:spacing w:val="13"/>
          <w:w w:val="110"/>
        </w:rPr>
        <w:t> </w:t>
      </w:r>
      <w:r>
        <w:rPr>
          <w:rFonts w:ascii="Times New Roman" w:hAnsi="Times New Roman"/>
          <w:color w:val="231F20"/>
          <w:w w:val="110"/>
          <w:sz w:val="16"/>
        </w:rPr>
        <w:t>IMSS</w:t>
      </w:r>
      <w:r>
        <w:rPr>
          <w:color w:val="231F20"/>
          <w:w w:val="110"/>
        </w:rPr>
        <w:t>,</w:t>
      </w:r>
      <w:r>
        <w:rPr>
          <w:color w:val="231F20"/>
          <w:spacing w:val="13"/>
          <w:w w:val="110"/>
        </w:rPr>
        <w:t> </w:t>
      </w:r>
      <w:r>
        <w:rPr>
          <w:color w:val="231F20"/>
          <w:w w:val="110"/>
        </w:rPr>
        <w:t>el</w:t>
      </w:r>
      <w:r>
        <w:rPr>
          <w:color w:val="231F20"/>
          <w:spacing w:val="13"/>
          <w:w w:val="110"/>
        </w:rPr>
        <w:t> </w:t>
      </w:r>
      <w:r>
        <w:rPr>
          <w:color w:val="231F20"/>
          <w:w w:val="110"/>
        </w:rPr>
        <w:t>cual</w:t>
      </w:r>
      <w:r>
        <w:rPr>
          <w:color w:val="231F20"/>
          <w:spacing w:val="13"/>
          <w:w w:val="110"/>
        </w:rPr>
        <w:t> </w:t>
      </w:r>
      <w:r>
        <w:rPr>
          <w:color w:val="231F20"/>
          <w:w w:val="110"/>
        </w:rPr>
        <w:t>registró</w:t>
      </w:r>
      <w:r>
        <w:rPr>
          <w:color w:val="231F20"/>
          <w:spacing w:val="13"/>
          <w:w w:val="110"/>
        </w:rPr>
        <w:t> </w:t>
      </w:r>
      <w:r>
        <w:rPr>
          <w:color w:val="231F20"/>
          <w:w w:val="110"/>
        </w:rPr>
        <w:t>una</w:t>
      </w:r>
      <w:r>
        <w:rPr>
          <w:color w:val="231F20"/>
          <w:spacing w:val="13"/>
          <w:w w:val="110"/>
        </w:rPr>
        <w:t> </w:t>
      </w:r>
      <w:r>
        <w:rPr>
          <w:color w:val="231F20"/>
          <w:w w:val="110"/>
        </w:rPr>
        <w:t>cobertura</w:t>
      </w:r>
      <w:r>
        <w:rPr>
          <w:color w:val="231F20"/>
          <w:spacing w:val="13"/>
          <w:w w:val="110"/>
        </w:rPr>
        <w:t> </w:t>
      </w:r>
      <w:r>
        <w:rPr>
          <w:color w:val="231F20"/>
          <w:w w:val="110"/>
        </w:rPr>
        <w:t>en</w:t>
      </w:r>
      <w:r>
        <w:rPr>
          <w:color w:val="231F20"/>
          <w:spacing w:val="13"/>
          <w:w w:val="110"/>
        </w:rPr>
        <w:t> </w:t>
      </w:r>
      <w:r>
        <w:rPr>
          <w:color w:val="231F20"/>
          <w:w w:val="110"/>
        </w:rPr>
        <w:t>salud</w:t>
      </w:r>
      <w:r>
        <w:rPr>
          <w:color w:val="231F20"/>
          <w:spacing w:val="13"/>
          <w:w w:val="110"/>
        </w:rPr>
        <w:t> </w:t>
      </w:r>
      <w:r>
        <w:rPr>
          <w:color w:val="231F20"/>
          <w:w w:val="110"/>
        </w:rPr>
        <w:t>de</w:t>
      </w:r>
    </w:p>
    <w:p>
      <w:pPr>
        <w:pStyle w:val="BodyText"/>
        <w:spacing w:line="288" w:lineRule="auto"/>
        <w:ind w:left="120" w:right="117"/>
        <w:jc w:val="both"/>
      </w:pPr>
      <w:r>
        <w:rPr>
          <w:color w:val="231F20"/>
          <w:w w:val="110"/>
        </w:rPr>
        <w:t>58.5</w:t>
      </w:r>
      <w:r>
        <w:rPr>
          <w:color w:val="231F20"/>
          <w:spacing w:val="-8"/>
          <w:w w:val="110"/>
        </w:rPr>
        <w:t> </w:t>
      </w:r>
      <w:r>
        <w:rPr>
          <w:color w:val="231F20"/>
          <w:w w:val="110"/>
        </w:rPr>
        <w:t>por</w:t>
      </w:r>
      <w:r>
        <w:rPr>
          <w:color w:val="231F20"/>
          <w:spacing w:val="-8"/>
          <w:w w:val="110"/>
        </w:rPr>
        <w:t> </w:t>
      </w:r>
      <w:r>
        <w:rPr>
          <w:color w:val="231F20"/>
          <w:w w:val="110"/>
        </w:rPr>
        <w:t>ciento</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población</w:t>
      </w:r>
      <w:r>
        <w:rPr>
          <w:color w:val="231F20"/>
          <w:spacing w:val="-8"/>
          <w:w w:val="110"/>
        </w:rPr>
        <w:t> </w:t>
      </w:r>
      <w:r>
        <w:rPr>
          <w:color w:val="231F20"/>
          <w:w w:val="110"/>
        </w:rPr>
        <w:t>total</w:t>
      </w:r>
      <w:r>
        <w:rPr>
          <w:color w:val="231F20"/>
          <w:spacing w:val="-8"/>
          <w:w w:val="110"/>
        </w:rPr>
        <w:t> </w:t>
      </w:r>
      <w:r>
        <w:rPr>
          <w:color w:val="231F20"/>
          <w:w w:val="110"/>
        </w:rPr>
        <w:t>de</w:t>
      </w:r>
      <w:r>
        <w:rPr>
          <w:color w:val="231F20"/>
          <w:spacing w:val="-8"/>
          <w:w w:val="110"/>
        </w:rPr>
        <w:t> </w:t>
      </w:r>
      <w:r>
        <w:rPr>
          <w:color w:val="231F20"/>
          <w:w w:val="110"/>
        </w:rPr>
        <w:t>adultos</w:t>
      </w:r>
      <w:r>
        <w:rPr>
          <w:color w:val="231F20"/>
          <w:spacing w:val="-8"/>
          <w:w w:val="110"/>
        </w:rPr>
        <w:t> </w:t>
      </w:r>
      <w:r>
        <w:rPr>
          <w:color w:val="231F20"/>
          <w:w w:val="110"/>
        </w:rPr>
        <w:t>mayores</w:t>
      </w:r>
      <w:r>
        <w:rPr>
          <w:color w:val="231F20"/>
          <w:spacing w:val="-8"/>
          <w:w w:val="110"/>
        </w:rPr>
        <w:t> </w:t>
      </w:r>
      <w:r>
        <w:rPr>
          <w:color w:val="231F20"/>
          <w:w w:val="110"/>
        </w:rPr>
        <w:t>derechohabientes; le sigue el </w:t>
      </w:r>
      <w:r>
        <w:rPr>
          <w:rFonts w:ascii="Times New Roman" w:hAnsi="Times New Roman"/>
          <w:color w:val="231F20"/>
          <w:w w:val="110"/>
          <w:sz w:val="16"/>
        </w:rPr>
        <w:t>ISSSTE</w:t>
      </w:r>
      <w:r>
        <w:rPr>
          <w:color w:val="231F20"/>
          <w:w w:val="110"/>
        </w:rPr>
        <w:t>, con una cobertura del 14.4 por ciento. En cambio, otras instituciones —entre las que se incluye al Instituto de Seguridad Social del Estado de México y Municipios (</w:t>
      </w:r>
      <w:r>
        <w:rPr>
          <w:rFonts w:ascii="Times New Roman" w:hAnsi="Times New Roman"/>
          <w:color w:val="231F20"/>
          <w:w w:val="110"/>
          <w:sz w:val="16"/>
        </w:rPr>
        <w:t>ISSEM</w:t>
      </w:r>
      <w:r>
        <w:rPr>
          <w:color w:val="231F20"/>
          <w:w w:val="110"/>
        </w:rPr>
        <w:t>y</w:t>
      </w:r>
      <w:r>
        <w:rPr>
          <w:rFonts w:ascii="Times New Roman" w:hAnsi="Times New Roman"/>
          <w:color w:val="231F20"/>
          <w:w w:val="110"/>
          <w:sz w:val="16"/>
        </w:rPr>
        <w:t>M</w:t>
      </w:r>
      <w:r>
        <w:rPr>
          <w:color w:val="231F20"/>
          <w:w w:val="110"/>
        </w:rPr>
        <w:t>)— tienen una cobertura de dere- chohabiencia de adultos mayores de 2.7 puntos </w:t>
      </w:r>
      <w:r>
        <w:rPr>
          <w:color w:val="231F20"/>
          <w:spacing w:val="5"/>
          <w:w w:val="110"/>
        </w:rPr>
        <w:t> </w:t>
      </w:r>
      <w:r>
        <w:rPr>
          <w:color w:val="231F20"/>
          <w:w w:val="110"/>
        </w:rPr>
        <w:t>porcentuales.</w:t>
      </w:r>
    </w:p>
    <w:p>
      <w:pPr>
        <w:pStyle w:val="BodyText"/>
        <w:spacing w:line="288" w:lineRule="auto"/>
        <w:ind w:left="119" w:right="117" w:firstLine="360"/>
        <w:jc w:val="both"/>
      </w:pPr>
      <w:r>
        <w:rPr>
          <w:color w:val="231F20"/>
          <w:w w:val="110"/>
        </w:rPr>
        <w:t>Cabe destacar que estas instituciones (</w:t>
      </w:r>
      <w:r>
        <w:rPr>
          <w:rFonts w:ascii="Times New Roman" w:hAnsi="Times New Roman"/>
          <w:color w:val="231F20"/>
          <w:w w:val="110"/>
          <w:sz w:val="16"/>
        </w:rPr>
        <w:t>IMSS</w:t>
      </w:r>
      <w:r>
        <w:rPr>
          <w:color w:val="231F20"/>
          <w:w w:val="110"/>
        </w:rPr>
        <w:t>, </w:t>
      </w:r>
      <w:r>
        <w:rPr>
          <w:rFonts w:ascii="Times New Roman" w:hAnsi="Times New Roman"/>
          <w:color w:val="231F20"/>
          <w:w w:val="110"/>
          <w:sz w:val="16"/>
        </w:rPr>
        <w:t>ISSSTE</w:t>
      </w:r>
      <w:r>
        <w:rPr>
          <w:color w:val="231F20"/>
          <w:w w:val="110"/>
        </w:rPr>
        <w:t>, </w:t>
      </w:r>
      <w:r>
        <w:rPr>
          <w:rFonts w:ascii="Times New Roman" w:hAnsi="Times New Roman"/>
          <w:color w:val="231F20"/>
          <w:w w:val="110"/>
          <w:sz w:val="16"/>
        </w:rPr>
        <w:t>ISSEM</w:t>
      </w:r>
      <w:r>
        <w:rPr>
          <w:color w:val="231F20"/>
          <w:w w:val="110"/>
        </w:rPr>
        <w:t>y</w:t>
      </w:r>
      <w:r>
        <w:rPr>
          <w:rFonts w:ascii="Times New Roman" w:hAnsi="Times New Roman"/>
          <w:color w:val="231F20"/>
          <w:w w:val="110"/>
          <w:sz w:val="16"/>
        </w:rPr>
        <w:t>M</w:t>
      </w:r>
      <w:r>
        <w:rPr>
          <w:color w:val="231F20"/>
          <w:w w:val="110"/>
        </w:rPr>
        <w:t>) tienen la obligación de atender gratuitamente cualquier padecimiento de las perso- nas adultas mayores y de cualquier otro grupo de población; por lo que a atención médica se refiere, el </w:t>
      </w:r>
      <w:r>
        <w:rPr>
          <w:rFonts w:ascii="Times New Roman" w:hAnsi="Times New Roman"/>
          <w:color w:val="231F20"/>
          <w:w w:val="110"/>
          <w:sz w:val="16"/>
        </w:rPr>
        <w:t>SP</w:t>
      </w:r>
      <w:r>
        <w:rPr>
          <w:color w:val="231F20"/>
          <w:w w:val="110"/>
        </w:rPr>
        <w:t>, según la Comisión Nacional de</w:t>
      </w:r>
      <w:r>
        <w:rPr>
          <w:color w:val="231F20"/>
          <w:spacing w:val="-14"/>
          <w:w w:val="110"/>
        </w:rPr>
        <w:t> </w:t>
      </w:r>
      <w:r>
        <w:rPr>
          <w:color w:val="231F20"/>
          <w:w w:val="110"/>
        </w:rPr>
        <w:t>Protección Social</w:t>
      </w:r>
      <w:r>
        <w:rPr>
          <w:color w:val="231F20"/>
          <w:spacing w:val="-6"/>
          <w:w w:val="110"/>
        </w:rPr>
        <w:t> </w:t>
      </w:r>
      <w:r>
        <w:rPr>
          <w:color w:val="231F20"/>
          <w:w w:val="110"/>
        </w:rPr>
        <w:t>en</w:t>
      </w:r>
      <w:r>
        <w:rPr>
          <w:color w:val="231F20"/>
          <w:spacing w:val="-6"/>
          <w:w w:val="110"/>
        </w:rPr>
        <w:t> </w:t>
      </w:r>
      <w:r>
        <w:rPr>
          <w:color w:val="231F20"/>
          <w:w w:val="110"/>
        </w:rPr>
        <w:t>Salud</w:t>
      </w:r>
      <w:r>
        <w:rPr>
          <w:color w:val="231F20"/>
          <w:spacing w:val="-6"/>
          <w:w w:val="110"/>
        </w:rPr>
        <w:t> </w:t>
      </w:r>
      <w:r>
        <w:rPr>
          <w:color w:val="231F20"/>
          <w:w w:val="110"/>
        </w:rPr>
        <w:t>(</w:t>
      </w:r>
      <w:r>
        <w:rPr>
          <w:rFonts w:ascii="Times New Roman" w:hAnsi="Times New Roman"/>
          <w:color w:val="231F20"/>
          <w:w w:val="110"/>
          <w:sz w:val="16"/>
        </w:rPr>
        <w:t>CNPSS</w:t>
      </w:r>
      <w:r>
        <w:rPr>
          <w:color w:val="231F20"/>
          <w:w w:val="110"/>
        </w:rPr>
        <w:t>,</w:t>
      </w:r>
      <w:r>
        <w:rPr>
          <w:color w:val="231F20"/>
          <w:spacing w:val="-6"/>
          <w:w w:val="110"/>
        </w:rPr>
        <w:t> </w:t>
      </w:r>
      <w:r>
        <w:rPr>
          <w:color w:val="231F20"/>
          <w:w w:val="110"/>
        </w:rPr>
        <w:t>2010)</w:t>
      </w:r>
      <w:r>
        <w:rPr>
          <w:color w:val="231F20"/>
          <w:spacing w:val="-6"/>
          <w:w w:val="110"/>
        </w:rPr>
        <w:t> </w:t>
      </w:r>
      <w:r>
        <w:rPr>
          <w:color w:val="231F20"/>
          <w:w w:val="110"/>
        </w:rPr>
        <w:t>tiene</w:t>
      </w:r>
      <w:r>
        <w:rPr>
          <w:color w:val="231F20"/>
          <w:spacing w:val="-6"/>
          <w:w w:val="110"/>
        </w:rPr>
        <w:t> </w:t>
      </w:r>
      <w:r>
        <w:rPr>
          <w:color w:val="231F20"/>
          <w:w w:val="110"/>
        </w:rPr>
        <w:t>una</w:t>
      </w:r>
      <w:r>
        <w:rPr>
          <w:color w:val="231F20"/>
          <w:spacing w:val="-6"/>
          <w:w w:val="110"/>
        </w:rPr>
        <w:t> </w:t>
      </w:r>
      <w:r>
        <w:rPr>
          <w:color w:val="231F20"/>
          <w:w w:val="110"/>
        </w:rPr>
        <w:t>cobertura</w:t>
      </w:r>
      <w:r>
        <w:rPr>
          <w:color w:val="231F20"/>
          <w:spacing w:val="-6"/>
          <w:w w:val="110"/>
        </w:rPr>
        <w:t> </w:t>
      </w:r>
      <w:r>
        <w:rPr>
          <w:color w:val="231F20"/>
          <w:w w:val="110"/>
        </w:rPr>
        <w:t>limitada</w:t>
      </w:r>
      <w:r>
        <w:rPr>
          <w:color w:val="231F20"/>
          <w:spacing w:val="-6"/>
          <w:w w:val="110"/>
        </w:rPr>
        <w:t> </w:t>
      </w:r>
      <w:r>
        <w:rPr>
          <w:color w:val="231F20"/>
          <w:w w:val="110"/>
        </w:rPr>
        <w:t>a</w:t>
      </w:r>
      <w:r>
        <w:rPr>
          <w:color w:val="231F20"/>
          <w:spacing w:val="-6"/>
          <w:w w:val="110"/>
        </w:rPr>
        <w:t> </w:t>
      </w:r>
      <w:r>
        <w:rPr>
          <w:color w:val="231F20"/>
          <w:w w:val="110"/>
        </w:rPr>
        <w:t>un</w:t>
      </w:r>
      <w:r>
        <w:rPr>
          <w:color w:val="231F20"/>
          <w:spacing w:val="-6"/>
          <w:w w:val="110"/>
        </w:rPr>
        <w:t> </w:t>
      </w:r>
      <w:r>
        <w:rPr>
          <w:color w:val="231F20"/>
          <w:w w:val="110"/>
        </w:rPr>
        <w:t>catálogo</w:t>
      </w:r>
      <w:r>
        <w:rPr>
          <w:color w:val="231F20"/>
          <w:spacing w:val="-6"/>
          <w:w w:val="110"/>
        </w:rPr>
        <w:t> </w:t>
      </w:r>
      <w:r>
        <w:rPr>
          <w:color w:val="231F20"/>
          <w:w w:val="110"/>
        </w:rPr>
        <w:t>de </w:t>
      </w:r>
      <w:r>
        <w:rPr>
          <w:color w:val="231F20"/>
          <w:spacing w:val="3"/>
          <w:w w:val="110"/>
        </w:rPr>
        <w:t>padecimientos, además </w:t>
      </w:r>
      <w:r>
        <w:rPr>
          <w:color w:val="231F20"/>
          <w:w w:val="110"/>
        </w:rPr>
        <w:t>de </w:t>
      </w:r>
      <w:r>
        <w:rPr>
          <w:color w:val="231F20"/>
          <w:spacing w:val="3"/>
          <w:w w:val="110"/>
        </w:rPr>
        <w:t>establecer cuotas anuales para </w:t>
      </w:r>
      <w:r>
        <w:rPr>
          <w:color w:val="231F20"/>
          <w:spacing w:val="2"/>
          <w:w w:val="110"/>
        </w:rPr>
        <w:t>los </w:t>
      </w:r>
      <w:r>
        <w:rPr>
          <w:color w:val="231F20"/>
          <w:spacing w:val="3"/>
          <w:w w:val="110"/>
        </w:rPr>
        <w:t>asegura- </w:t>
      </w:r>
      <w:r>
        <w:rPr>
          <w:color w:val="231F20"/>
          <w:spacing w:val="2"/>
          <w:w w:val="110"/>
        </w:rPr>
        <w:t>dos </w:t>
      </w:r>
      <w:r>
        <w:rPr>
          <w:color w:val="231F20"/>
          <w:w w:val="110"/>
        </w:rPr>
        <w:t>de acuerdo con su situación económica, así como el cobro de diversos pagos por el tratamiento de otros padecimientos que no se consideran en su </w:t>
      </w:r>
      <w:r>
        <w:rPr>
          <w:color w:val="231F20"/>
          <w:spacing w:val="3"/>
          <w:w w:val="110"/>
        </w:rPr>
        <w:t>paquete </w:t>
      </w:r>
      <w:r>
        <w:rPr>
          <w:color w:val="231F20"/>
          <w:w w:val="110"/>
        </w:rPr>
        <w:t>de </w:t>
      </w:r>
      <w:r>
        <w:rPr>
          <w:color w:val="231F20"/>
          <w:spacing w:val="3"/>
          <w:w w:val="110"/>
        </w:rPr>
        <w:t>servicios. Otro </w:t>
      </w:r>
      <w:r>
        <w:rPr>
          <w:color w:val="231F20"/>
          <w:w w:val="110"/>
        </w:rPr>
        <w:t>de </w:t>
      </w:r>
      <w:r>
        <w:rPr>
          <w:color w:val="231F20"/>
          <w:spacing w:val="2"/>
          <w:w w:val="110"/>
        </w:rPr>
        <w:t>los </w:t>
      </w:r>
      <w:r>
        <w:rPr>
          <w:color w:val="231F20"/>
          <w:spacing w:val="3"/>
          <w:w w:val="110"/>
        </w:rPr>
        <w:t>aspectos </w:t>
      </w:r>
      <w:r>
        <w:rPr>
          <w:color w:val="231F20"/>
          <w:spacing w:val="2"/>
          <w:w w:val="110"/>
        </w:rPr>
        <w:t>por </w:t>
      </w:r>
      <w:r>
        <w:rPr>
          <w:color w:val="231F20"/>
          <w:spacing w:val="3"/>
          <w:w w:val="110"/>
        </w:rPr>
        <w:t>considerar según </w:t>
      </w:r>
      <w:r>
        <w:rPr>
          <w:color w:val="231F20"/>
          <w:w w:val="110"/>
        </w:rPr>
        <w:t>la  </w:t>
      </w:r>
      <w:r>
        <w:rPr>
          <w:color w:val="231F20"/>
          <w:spacing w:val="3"/>
          <w:w w:val="110"/>
        </w:rPr>
        <w:t>Ley </w:t>
      </w:r>
      <w:r>
        <w:rPr>
          <w:color w:val="231F20"/>
          <w:w w:val="110"/>
        </w:rPr>
        <w:t>General de Salud, en la última reforma del 17 de abril del año 2009 (CDDHCU,</w:t>
      </w:r>
      <w:r>
        <w:rPr>
          <w:color w:val="231F20"/>
          <w:spacing w:val="30"/>
          <w:w w:val="110"/>
        </w:rPr>
        <w:t> </w:t>
      </w:r>
      <w:r>
        <w:rPr>
          <w:color w:val="231F20"/>
          <w:w w:val="110"/>
        </w:rPr>
        <w:t>2009),</w:t>
      </w:r>
      <w:r>
        <w:rPr>
          <w:color w:val="231F20"/>
          <w:spacing w:val="29"/>
          <w:w w:val="110"/>
        </w:rPr>
        <w:t> </w:t>
      </w:r>
      <w:r>
        <w:rPr>
          <w:color w:val="231F20"/>
          <w:w w:val="110"/>
        </w:rPr>
        <w:t>estipula</w:t>
      </w:r>
      <w:r>
        <w:rPr>
          <w:color w:val="231F20"/>
          <w:spacing w:val="30"/>
          <w:w w:val="110"/>
        </w:rPr>
        <w:t> </w:t>
      </w:r>
      <w:r>
        <w:rPr>
          <w:color w:val="231F20"/>
          <w:w w:val="110"/>
        </w:rPr>
        <w:t>que</w:t>
      </w:r>
      <w:r>
        <w:rPr>
          <w:color w:val="231F20"/>
          <w:spacing w:val="30"/>
          <w:w w:val="110"/>
        </w:rPr>
        <w:t> </w:t>
      </w:r>
      <w:r>
        <w:rPr>
          <w:color w:val="231F20"/>
          <w:w w:val="110"/>
        </w:rPr>
        <w:t>el</w:t>
      </w:r>
      <w:r>
        <w:rPr>
          <w:color w:val="231F20"/>
          <w:spacing w:val="29"/>
          <w:w w:val="110"/>
        </w:rPr>
        <w:t> </w:t>
      </w:r>
      <w:r>
        <w:rPr>
          <w:rFonts w:ascii="Times New Roman" w:hAnsi="Times New Roman"/>
          <w:color w:val="231F20"/>
          <w:w w:val="110"/>
          <w:sz w:val="16"/>
        </w:rPr>
        <w:t>SP</w:t>
      </w:r>
      <w:r>
        <w:rPr>
          <w:rFonts w:ascii="Times New Roman" w:hAnsi="Times New Roman"/>
          <w:color w:val="231F20"/>
          <w:spacing w:val="34"/>
          <w:w w:val="110"/>
          <w:sz w:val="16"/>
        </w:rPr>
        <w:t> </w:t>
      </w:r>
      <w:r>
        <w:rPr>
          <w:color w:val="231F20"/>
          <w:w w:val="110"/>
        </w:rPr>
        <w:t>atiende</w:t>
      </w:r>
      <w:r>
        <w:rPr>
          <w:color w:val="231F20"/>
          <w:spacing w:val="29"/>
          <w:w w:val="110"/>
        </w:rPr>
        <w:t> </w:t>
      </w:r>
      <w:r>
        <w:rPr>
          <w:color w:val="231F20"/>
          <w:w w:val="110"/>
        </w:rPr>
        <w:t>a</w:t>
      </w:r>
      <w:r>
        <w:rPr>
          <w:color w:val="231F20"/>
          <w:spacing w:val="29"/>
          <w:w w:val="110"/>
        </w:rPr>
        <w:t> </w:t>
      </w:r>
      <w:r>
        <w:rPr>
          <w:color w:val="231F20"/>
          <w:w w:val="110"/>
        </w:rPr>
        <w:t>las</w:t>
      </w:r>
      <w:r>
        <w:rPr>
          <w:color w:val="231F20"/>
          <w:spacing w:val="29"/>
          <w:w w:val="110"/>
        </w:rPr>
        <w:t> </w:t>
      </w:r>
      <w:r>
        <w:rPr>
          <w:color w:val="231F20"/>
          <w:w w:val="110"/>
        </w:rPr>
        <w:t>personas</w:t>
      </w:r>
      <w:r>
        <w:rPr>
          <w:color w:val="231F20"/>
          <w:spacing w:val="29"/>
          <w:w w:val="110"/>
        </w:rPr>
        <w:t> </w:t>
      </w:r>
      <w:r>
        <w:rPr>
          <w:color w:val="231F20"/>
          <w:w w:val="110"/>
        </w:rPr>
        <w:t>enfermas</w:t>
      </w:r>
      <w:r>
        <w:rPr>
          <w:color w:val="231F20"/>
          <w:spacing w:val="29"/>
          <w:w w:val="110"/>
        </w:rPr>
        <w:t> </w:t>
      </w:r>
      <w:r>
        <w:rPr>
          <w:color w:val="231F20"/>
          <w:w w:val="110"/>
        </w:rPr>
        <w:t>en</w:t>
      </w:r>
    </w:p>
    <w:p>
      <w:pPr>
        <w:spacing w:after="0" w:line="288" w:lineRule="auto"/>
        <w:jc w:val="both"/>
        <w:sectPr>
          <w:footerReference w:type="even" r:id="rId158"/>
          <w:footerReference w:type="default" r:id="rId159"/>
          <w:pgSz w:w="9520" w:h="12920"/>
          <w:pgMar w:footer="1344" w:header="0" w:top="880" w:bottom="1540" w:left="1000" w:right="1320"/>
        </w:sectPr>
      </w:pPr>
    </w:p>
    <w:p>
      <w:pPr>
        <w:pStyle w:val="BodyText"/>
        <w:spacing w:line="288" w:lineRule="auto" w:before="42"/>
        <w:ind w:left="144" w:right="112"/>
        <w:jc w:val="both"/>
      </w:pPr>
      <w:r>
        <w:rPr>
          <w:color w:val="231F20"/>
          <w:w w:val="110"/>
        </w:rPr>
        <w:t>instituciones públicas o privadas más cercanas a su domicilio o localidad, por lo que una de las condiciones para acceder al servicio del </w:t>
      </w:r>
      <w:r>
        <w:rPr>
          <w:rFonts w:ascii="Times New Roman" w:hAnsi="Times New Roman"/>
          <w:color w:val="231F20"/>
          <w:w w:val="110"/>
          <w:sz w:val="16"/>
        </w:rPr>
        <w:t>SP </w:t>
      </w:r>
      <w:r>
        <w:rPr>
          <w:color w:val="231F20"/>
          <w:w w:val="110"/>
        </w:rPr>
        <w:t>es la cer- canía que el usuario tenga a alguna unidad de salud, lo cual hace que se limite</w:t>
      </w:r>
      <w:r>
        <w:rPr>
          <w:color w:val="231F20"/>
          <w:spacing w:val="-4"/>
          <w:w w:val="110"/>
        </w:rPr>
        <w:t> </w:t>
      </w:r>
      <w:r>
        <w:rPr>
          <w:color w:val="231F20"/>
          <w:w w:val="110"/>
        </w:rPr>
        <w:t>su</w:t>
      </w:r>
      <w:r>
        <w:rPr>
          <w:color w:val="231F20"/>
          <w:spacing w:val="-4"/>
          <w:w w:val="110"/>
        </w:rPr>
        <w:t> </w:t>
      </w:r>
      <w:r>
        <w:rPr>
          <w:color w:val="231F20"/>
          <w:w w:val="110"/>
        </w:rPr>
        <w:t>cobertura.</w:t>
      </w:r>
      <w:r>
        <w:rPr>
          <w:color w:val="231F20"/>
          <w:spacing w:val="-4"/>
          <w:w w:val="110"/>
        </w:rPr>
        <w:t> </w:t>
      </w:r>
      <w:r>
        <w:rPr>
          <w:color w:val="231F20"/>
          <w:w w:val="110"/>
        </w:rPr>
        <w:t>Para</w:t>
      </w:r>
      <w:r>
        <w:rPr>
          <w:color w:val="231F20"/>
          <w:spacing w:val="-4"/>
          <w:w w:val="110"/>
        </w:rPr>
        <w:t> </w:t>
      </w:r>
      <w:r>
        <w:rPr>
          <w:color w:val="231F20"/>
          <w:w w:val="110"/>
        </w:rPr>
        <w:t>el</w:t>
      </w:r>
      <w:r>
        <w:rPr>
          <w:color w:val="231F20"/>
          <w:spacing w:val="-4"/>
          <w:w w:val="110"/>
        </w:rPr>
        <w:t> </w:t>
      </w:r>
      <w:r>
        <w:rPr>
          <w:color w:val="231F20"/>
          <w:w w:val="110"/>
        </w:rPr>
        <w:t>año</w:t>
      </w:r>
      <w:r>
        <w:rPr>
          <w:color w:val="231F20"/>
          <w:spacing w:val="-4"/>
          <w:w w:val="110"/>
        </w:rPr>
        <w:t> </w:t>
      </w:r>
      <w:r>
        <w:rPr>
          <w:color w:val="231F20"/>
          <w:w w:val="110"/>
        </w:rPr>
        <w:t>2010,</w:t>
      </w:r>
      <w:r>
        <w:rPr>
          <w:color w:val="231F20"/>
          <w:spacing w:val="-4"/>
          <w:w w:val="110"/>
        </w:rPr>
        <w:t> </w:t>
      </w:r>
      <w:r>
        <w:rPr>
          <w:color w:val="231F20"/>
          <w:w w:val="110"/>
        </w:rPr>
        <w:t>20.4</w:t>
      </w:r>
      <w:r>
        <w:rPr>
          <w:color w:val="231F20"/>
          <w:spacing w:val="-4"/>
          <w:w w:val="110"/>
        </w:rPr>
        <w:t> </w:t>
      </w:r>
      <w:r>
        <w:rPr>
          <w:color w:val="231F20"/>
          <w:w w:val="110"/>
        </w:rPr>
        <w:t>por</w:t>
      </w:r>
      <w:r>
        <w:rPr>
          <w:color w:val="231F20"/>
          <w:spacing w:val="-4"/>
          <w:w w:val="110"/>
        </w:rPr>
        <w:t> </w:t>
      </w:r>
      <w:r>
        <w:rPr>
          <w:color w:val="231F20"/>
          <w:w w:val="110"/>
        </w:rPr>
        <w:t>ciento</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población</w:t>
      </w:r>
      <w:r>
        <w:rPr>
          <w:color w:val="231F20"/>
          <w:spacing w:val="-4"/>
          <w:w w:val="110"/>
        </w:rPr>
        <w:t> </w:t>
      </w:r>
      <w:r>
        <w:rPr>
          <w:color w:val="231F20"/>
          <w:w w:val="110"/>
        </w:rPr>
        <w:t>de</w:t>
      </w:r>
      <w:r>
        <w:rPr>
          <w:color w:val="231F20"/>
          <w:spacing w:val="-4"/>
          <w:w w:val="110"/>
        </w:rPr>
        <w:t> </w:t>
      </w:r>
      <w:r>
        <w:rPr>
          <w:color w:val="231F20"/>
          <w:w w:val="110"/>
        </w:rPr>
        <w:t>60 años y más declaró estar afiliada al </w:t>
      </w:r>
      <w:r>
        <w:rPr>
          <w:rFonts w:ascii="Times New Roman" w:hAnsi="Times New Roman"/>
          <w:color w:val="231F20"/>
          <w:w w:val="110"/>
          <w:sz w:val="16"/>
        </w:rPr>
        <w:t>SP </w:t>
      </w:r>
      <w:r>
        <w:rPr>
          <w:color w:val="231F20"/>
          <w:w w:val="110"/>
        </w:rPr>
        <w:t>a nivel estatal (véase cuadro</w:t>
      </w:r>
      <w:r>
        <w:rPr>
          <w:color w:val="231F20"/>
          <w:spacing w:val="36"/>
          <w:w w:val="110"/>
        </w:rPr>
        <w:t> </w:t>
      </w:r>
      <w:r>
        <w:rPr>
          <w:color w:val="231F20"/>
          <w:w w:val="110"/>
        </w:rPr>
        <w:t>2).</w:t>
      </w:r>
    </w:p>
    <w:p>
      <w:pPr>
        <w:pStyle w:val="BodyText"/>
        <w:spacing w:line="288" w:lineRule="auto"/>
        <w:ind w:left="144" w:right="111" w:firstLine="360"/>
        <w:jc w:val="both"/>
      </w:pPr>
      <w:r>
        <w:rPr>
          <w:color w:val="231F20"/>
          <w:w w:val="110"/>
        </w:rPr>
        <w:t>En</w:t>
      </w:r>
      <w:r>
        <w:rPr>
          <w:color w:val="231F20"/>
          <w:spacing w:val="-7"/>
          <w:w w:val="110"/>
        </w:rPr>
        <w:t> </w:t>
      </w:r>
      <w:r>
        <w:rPr>
          <w:color w:val="231F20"/>
          <w:w w:val="110"/>
        </w:rPr>
        <w:t>lo</w:t>
      </w:r>
      <w:r>
        <w:rPr>
          <w:color w:val="231F20"/>
          <w:spacing w:val="-7"/>
          <w:w w:val="110"/>
        </w:rPr>
        <w:t> </w:t>
      </w:r>
      <w:r>
        <w:rPr>
          <w:color w:val="231F20"/>
          <w:w w:val="110"/>
        </w:rPr>
        <w:t>que</w:t>
      </w:r>
      <w:r>
        <w:rPr>
          <w:color w:val="231F20"/>
          <w:spacing w:val="-7"/>
          <w:w w:val="110"/>
        </w:rPr>
        <w:t> </w:t>
      </w:r>
      <w:r>
        <w:rPr>
          <w:color w:val="231F20"/>
          <w:w w:val="110"/>
        </w:rPr>
        <w:t>respecta</w:t>
      </w:r>
      <w:r>
        <w:rPr>
          <w:color w:val="231F20"/>
          <w:spacing w:val="-7"/>
          <w:w w:val="110"/>
        </w:rPr>
        <w:t> </w:t>
      </w:r>
      <w:r>
        <w:rPr>
          <w:color w:val="231F20"/>
          <w:w w:val="110"/>
        </w:rPr>
        <w:t>a</w:t>
      </w:r>
      <w:r>
        <w:rPr>
          <w:color w:val="231F20"/>
          <w:spacing w:val="-7"/>
          <w:w w:val="110"/>
        </w:rPr>
        <w:t> </w:t>
      </w:r>
      <w:r>
        <w:rPr>
          <w:color w:val="231F20"/>
          <w:w w:val="110"/>
        </w:rPr>
        <w:t>la</w:t>
      </w:r>
      <w:r>
        <w:rPr>
          <w:color w:val="231F20"/>
          <w:spacing w:val="-7"/>
          <w:w w:val="110"/>
        </w:rPr>
        <w:t> </w:t>
      </w:r>
      <w:r>
        <w:rPr>
          <w:color w:val="231F20"/>
          <w:w w:val="110"/>
        </w:rPr>
        <w:t>diferencia</w:t>
      </w:r>
      <w:r>
        <w:rPr>
          <w:color w:val="231F20"/>
          <w:spacing w:val="-7"/>
          <w:w w:val="110"/>
        </w:rPr>
        <w:t> </w:t>
      </w:r>
      <w:r>
        <w:rPr>
          <w:color w:val="231F20"/>
          <w:w w:val="110"/>
        </w:rPr>
        <w:t>por</w:t>
      </w:r>
      <w:r>
        <w:rPr>
          <w:color w:val="231F20"/>
          <w:spacing w:val="-7"/>
          <w:w w:val="110"/>
        </w:rPr>
        <w:t> </w:t>
      </w:r>
      <w:r>
        <w:rPr>
          <w:color w:val="231F20"/>
          <w:w w:val="110"/>
        </w:rPr>
        <w:t>sexo</w:t>
      </w:r>
      <w:r>
        <w:rPr>
          <w:color w:val="231F20"/>
          <w:spacing w:val="-7"/>
          <w:w w:val="110"/>
        </w:rPr>
        <w:t> </w:t>
      </w:r>
      <w:r>
        <w:rPr>
          <w:color w:val="231F20"/>
          <w:w w:val="110"/>
        </w:rPr>
        <w:t>según</w:t>
      </w:r>
      <w:r>
        <w:rPr>
          <w:color w:val="231F20"/>
          <w:spacing w:val="-7"/>
          <w:w w:val="110"/>
        </w:rPr>
        <w:t> </w:t>
      </w:r>
      <w:r>
        <w:rPr>
          <w:color w:val="231F20"/>
          <w:w w:val="110"/>
        </w:rPr>
        <w:t>condición</w:t>
      </w:r>
      <w:r>
        <w:rPr>
          <w:color w:val="231F20"/>
          <w:spacing w:val="-7"/>
          <w:w w:val="110"/>
        </w:rPr>
        <w:t> </w:t>
      </w:r>
      <w:r>
        <w:rPr>
          <w:color w:val="231F20"/>
          <w:w w:val="110"/>
        </w:rPr>
        <w:t>de</w:t>
      </w:r>
      <w:r>
        <w:rPr>
          <w:color w:val="231F20"/>
          <w:spacing w:val="-7"/>
          <w:w w:val="110"/>
        </w:rPr>
        <w:t> </w:t>
      </w:r>
      <w:r>
        <w:rPr>
          <w:color w:val="231F20"/>
          <w:w w:val="110"/>
        </w:rPr>
        <w:t>derecho- habiencia,</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cuadro</w:t>
      </w:r>
      <w:r>
        <w:rPr>
          <w:color w:val="231F20"/>
          <w:spacing w:val="-7"/>
          <w:w w:val="110"/>
        </w:rPr>
        <w:t> </w:t>
      </w:r>
      <w:r>
        <w:rPr>
          <w:color w:val="231F20"/>
          <w:w w:val="110"/>
        </w:rPr>
        <w:t>2</w:t>
      </w:r>
      <w:r>
        <w:rPr>
          <w:color w:val="231F20"/>
          <w:spacing w:val="-7"/>
          <w:w w:val="110"/>
        </w:rPr>
        <w:t> </w:t>
      </w:r>
      <w:r>
        <w:rPr>
          <w:color w:val="231F20"/>
          <w:w w:val="110"/>
        </w:rPr>
        <w:t>se</w:t>
      </w:r>
      <w:r>
        <w:rPr>
          <w:color w:val="231F20"/>
          <w:spacing w:val="-7"/>
          <w:w w:val="110"/>
        </w:rPr>
        <w:t> </w:t>
      </w:r>
      <w:r>
        <w:rPr>
          <w:color w:val="231F20"/>
          <w:w w:val="110"/>
        </w:rPr>
        <w:t>observa</w:t>
      </w:r>
      <w:r>
        <w:rPr>
          <w:color w:val="231F20"/>
          <w:spacing w:val="-7"/>
          <w:w w:val="110"/>
        </w:rPr>
        <w:t> </w:t>
      </w:r>
      <w:r>
        <w:rPr>
          <w:color w:val="231F20"/>
          <w:w w:val="110"/>
        </w:rPr>
        <w:t>que</w:t>
      </w:r>
      <w:r>
        <w:rPr>
          <w:color w:val="231F20"/>
          <w:spacing w:val="-7"/>
          <w:w w:val="110"/>
        </w:rPr>
        <w:t> </w:t>
      </w:r>
      <w:r>
        <w:rPr>
          <w:color w:val="231F20"/>
          <w:w w:val="110"/>
        </w:rPr>
        <w:t>el</w:t>
      </w:r>
      <w:r>
        <w:rPr>
          <w:color w:val="231F20"/>
          <w:spacing w:val="-6"/>
          <w:w w:val="110"/>
        </w:rPr>
        <w:t> </w:t>
      </w:r>
      <w:r>
        <w:rPr>
          <w:rFonts w:ascii="Times New Roman" w:hAnsi="Times New Roman"/>
          <w:color w:val="231F20"/>
          <w:spacing w:val="-3"/>
          <w:w w:val="110"/>
          <w:sz w:val="16"/>
        </w:rPr>
        <w:t>IMSS </w:t>
      </w:r>
      <w:r>
        <w:rPr>
          <w:color w:val="231F20"/>
          <w:w w:val="110"/>
        </w:rPr>
        <w:t>cubre</w:t>
      </w:r>
      <w:r>
        <w:rPr>
          <w:color w:val="231F20"/>
          <w:spacing w:val="-7"/>
          <w:w w:val="110"/>
        </w:rPr>
        <w:t> </w:t>
      </w:r>
      <w:r>
        <w:rPr>
          <w:color w:val="231F20"/>
          <w:w w:val="110"/>
        </w:rPr>
        <w:t>a</w:t>
      </w:r>
      <w:r>
        <w:rPr>
          <w:color w:val="231F20"/>
          <w:spacing w:val="-7"/>
          <w:w w:val="110"/>
        </w:rPr>
        <w:t> </w:t>
      </w:r>
      <w:r>
        <w:rPr>
          <w:color w:val="231F20"/>
          <w:w w:val="110"/>
        </w:rPr>
        <w:t>un</w:t>
      </w:r>
      <w:r>
        <w:rPr>
          <w:color w:val="231F20"/>
          <w:spacing w:val="-7"/>
          <w:w w:val="110"/>
        </w:rPr>
        <w:t> </w:t>
      </w:r>
      <w:r>
        <w:rPr>
          <w:color w:val="231F20"/>
          <w:w w:val="110"/>
        </w:rPr>
        <w:t>total</w:t>
      </w:r>
      <w:r>
        <w:rPr>
          <w:color w:val="231F20"/>
          <w:spacing w:val="-7"/>
          <w:w w:val="110"/>
        </w:rPr>
        <w:t> </w:t>
      </w:r>
      <w:r>
        <w:rPr>
          <w:color w:val="231F20"/>
          <w:w w:val="110"/>
        </w:rPr>
        <w:t>de</w:t>
      </w:r>
      <w:r>
        <w:rPr>
          <w:color w:val="231F20"/>
          <w:spacing w:val="-7"/>
          <w:w w:val="110"/>
        </w:rPr>
        <w:t> </w:t>
      </w:r>
      <w:r>
        <w:rPr>
          <w:color w:val="231F20"/>
          <w:w w:val="110"/>
        </w:rPr>
        <w:t>59.8</w:t>
      </w:r>
      <w:r>
        <w:rPr>
          <w:color w:val="231F20"/>
          <w:spacing w:val="-7"/>
          <w:w w:val="110"/>
        </w:rPr>
        <w:t> </w:t>
      </w:r>
      <w:r>
        <w:rPr>
          <w:color w:val="231F20"/>
          <w:w w:val="110"/>
        </w:rPr>
        <w:t>por ciento</w:t>
      </w:r>
      <w:r>
        <w:rPr>
          <w:color w:val="231F20"/>
          <w:spacing w:val="-4"/>
          <w:w w:val="110"/>
        </w:rPr>
        <w:t> </w:t>
      </w:r>
      <w:r>
        <w:rPr>
          <w:color w:val="231F20"/>
          <w:w w:val="110"/>
        </w:rPr>
        <w:t>de</w:t>
      </w:r>
      <w:r>
        <w:rPr>
          <w:color w:val="231F20"/>
          <w:spacing w:val="-4"/>
          <w:w w:val="110"/>
        </w:rPr>
        <w:t> </w:t>
      </w:r>
      <w:r>
        <w:rPr>
          <w:color w:val="231F20"/>
          <w:w w:val="110"/>
        </w:rPr>
        <w:t>los</w:t>
      </w:r>
      <w:r>
        <w:rPr>
          <w:color w:val="231F20"/>
          <w:spacing w:val="-4"/>
          <w:w w:val="110"/>
        </w:rPr>
        <w:t> </w:t>
      </w:r>
      <w:r>
        <w:rPr>
          <w:color w:val="231F20"/>
          <w:w w:val="110"/>
        </w:rPr>
        <w:t>hombres</w:t>
      </w:r>
      <w:r>
        <w:rPr>
          <w:color w:val="231F20"/>
          <w:spacing w:val="-4"/>
          <w:w w:val="110"/>
        </w:rPr>
        <w:t> </w:t>
      </w:r>
      <w:r>
        <w:rPr>
          <w:color w:val="231F20"/>
          <w:w w:val="110"/>
        </w:rPr>
        <w:t>y</w:t>
      </w:r>
      <w:r>
        <w:rPr>
          <w:color w:val="231F20"/>
          <w:spacing w:val="-4"/>
          <w:w w:val="110"/>
        </w:rPr>
        <w:t> </w:t>
      </w:r>
      <w:r>
        <w:rPr>
          <w:color w:val="231F20"/>
          <w:w w:val="110"/>
        </w:rPr>
        <w:t>57.4</w:t>
      </w:r>
      <w:r>
        <w:rPr>
          <w:color w:val="231F20"/>
          <w:spacing w:val="-4"/>
          <w:w w:val="110"/>
        </w:rPr>
        <w:t> </w:t>
      </w:r>
      <w:r>
        <w:rPr>
          <w:color w:val="231F20"/>
          <w:w w:val="110"/>
        </w:rPr>
        <w:t>por</w:t>
      </w:r>
      <w:r>
        <w:rPr>
          <w:color w:val="231F20"/>
          <w:spacing w:val="-4"/>
          <w:w w:val="110"/>
        </w:rPr>
        <w:t> </w:t>
      </w:r>
      <w:r>
        <w:rPr>
          <w:color w:val="231F20"/>
          <w:w w:val="110"/>
        </w:rPr>
        <w:t>ciento</w:t>
      </w:r>
      <w:r>
        <w:rPr>
          <w:color w:val="231F20"/>
          <w:spacing w:val="-4"/>
          <w:w w:val="110"/>
        </w:rPr>
        <w:t> </w:t>
      </w:r>
      <w:r>
        <w:rPr>
          <w:color w:val="231F20"/>
          <w:w w:val="110"/>
        </w:rPr>
        <w:t>de</w:t>
      </w:r>
      <w:r>
        <w:rPr>
          <w:color w:val="231F20"/>
          <w:spacing w:val="-4"/>
          <w:w w:val="110"/>
        </w:rPr>
        <w:t> </w:t>
      </w:r>
      <w:r>
        <w:rPr>
          <w:color w:val="231F20"/>
          <w:w w:val="110"/>
        </w:rPr>
        <w:t>mujeres,</w:t>
      </w:r>
      <w:r>
        <w:rPr>
          <w:color w:val="231F20"/>
          <w:spacing w:val="-4"/>
          <w:w w:val="110"/>
        </w:rPr>
        <w:t> </w:t>
      </w:r>
      <w:r>
        <w:rPr>
          <w:color w:val="231F20"/>
          <w:w w:val="110"/>
        </w:rPr>
        <w:t>entre</w:t>
      </w:r>
      <w:r>
        <w:rPr>
          <w:color w:val="231F20"/>
          <w:spacing w:val="-4"/>
          <w:w w:val="110"/>
        </w:rPr>
        <w:t> </w:t>
      </w:r>
      <w:r>
        <w:rPr>
          <w:color w:val="231F20"/>
          <w:w w:val="110"/>
        </w:rPr>
        <w:t>el</w:t>
      </w:r>
      <w:r>
        <w:rPr>
          <w:color w:val="231F20"/>
          <w:spacing w:val="-4"/>
          <w:w w:val="110"/>
        </w:rPr>
        <w:t> </w:t>
      </w:r>
      <w:r>
        <w:rPr>
          <w:rFonts w:ascii="Times New Roman" w:hAnsi="Times New Roman"/>
          <w:color w:val="231F20"/>
          <w:w w:val="110"/>
          <w:sz w:val="16"/>
        </w:rPr>
        <w:t>ISSSTE</w:t>
      </w:r>
      <w:r>
        <w:rPr>
          <w:color w:val="231F20"/>
          <w:w w:val="110"/>
        </w:rPr>
        <w:t>,</w:t>
      </w:r>
      <w:r>
        <w:rPr>
          <w:color w:val="231F20"/>
          <w:spacing w:val="-4"/>
          <w:w w:val="110"/>
        </w:rPr>
        <w:t> </w:t>
      </w:r>
      <w:r>
        <w:rPr>
          <w:color w:val="231F20"/>
          <w:w w:val="110"/>
        </w:rPr>
        <w:t>Pemex- Marina otras instituciones e instituciones privadas las variaciones entre sexo son mínimas. En el caso del Seguro </w:t>
      </w:r>
      <w:r>
        <w:rPr>
          <w:color w:val="231F20"/>
          <w:spacing w:val="-3"/>
          <w:w w:val="110"/>
        </w:rPr>
        <w:t>Popular, </w:t>
      </w:r>
      <w:r>
        <w:rPr>
          <w:color w:val="231F20"/>
          <w:w w:val="110"/>
        </w:rPr>
        <w:t>éste atiende a más mu- jeres</w:t>
      </w:r>
      <w:r>
        <w:rPr>
          <w:color w:val="231F20"/>
          <w:spacing w:val="-8"/>
          <w:w w:val="110"/>
        </w:rPr>
        <w:t> </w:t>
      </w:r>
      <w:r>
        <w:rPr>
          <w:color w:val="231F20"/>
          <w:w w:val="110"/>
        </w:rPr>
        <w:t>que</w:t>
      </w:r>
      <w:r>
        <w:rPr>
          <w:color w:val="231F20"/>
          <w:spacing w:val="-8"/>
          <w:w w:val="110"/>
        </w:rPr>
        <w:t> </w:t>
      </w:r>
      <w:r>
        <w:rPr>
          <w:color w:val="231F20"/>
          <w:w w:val="110"/>
        </w:rPr>
        <w:t>hombres</w:t>
      </w:r>
      <w:r>
        <w:rPr>
          <w:color w:val="231F20"/>
          <w:spacing w:val="-8"/>
          <w:w w:val="110"/>
        </w:rPr>
        <w:t> </w:t>
      </w:r>
      <w:r>
        <w:rPr>
          <w:color w:val="231F20"/>
          <w:w w:val="110"/>
        </w:rPr>
        <w:t>a</w:t>
      </w:r>
      <w:r>
        <w:rPr>
          <w:color w:val="231F20"/>
          <w:spacing w:val="-8"/>
          <w:w w:val="110"/>
        </w:rPr>
        <w:t> </w:t>
      </w:r>
      <w:r>
        <w:rPr>
          <w:color w:val="231F20"/>
          <w:w w:val="110"/>
        </w:rPr>
        <w:t>nivel</w:t>
      </w:r>
      <w:r>
        <w:rPr>
          <w:color w:val="231F20"/>
          <w:spacing w:val="-8"/>
          <w:w w:val="110"/>
        </w:rPr>
        <w:t> </w:t>
      </w:r>
      <w:r>
        <w:rPr>
          <w:color w:val="231F20"/>
          <w:w w:val="110"/>
        </w:rPr>
        <w:t>estatal</w:t>
      </w:r>
      <w:r>
        <w:rPr>
          <w:color w:val="231F20"/>
          <w:spacing w:val="-8"/>
          <w:w w:val="110"/>
        </w:rPr>
        <w:t> </w:t>
      </w:r>
      <w:r>
        <w:rPr>
          <w:color w:val="231F20"/>
          <w:w w:val="110"/>
        </w:rPr>
        <w:t>(21.8</w:t>
      </w:r>
      <w:r>
        <w:rPr>
          <w:color w:val="231F20"/>
          <w:spacing w:val="-8"/>
          <w:w w:val="110"/>
        </w:rPr>
        <w:t> </w:t>
      </w:r>
      <w:r>
        <w:rPr>
          <w:color w:val="231F20"/>
          <w:w w:val="110"/>
        </w:rPr>
        <w:t>y</w:t>
      </w:r>
      <w:r>
        <w:rPr>
          <w:color w:val="231F20"/>
          <w:spacing w:val="-8"/>
          <w:w w:val="110"/>
        </w:rPr>
        <w:t> </w:t>
      </w:r>
      <w:r>
        <w:rPr>
          <w:color w:val="231F20"/>
          <w:w w:val="110"/>
        </w:rPr>
        <w:t>18.7</w:t>
      </w:r>
      <w:r>
        <w:rPr>
          <w:color w:val="231F20"/>
          <w:spacing w:val="-8"/>
          <w:w w:val="110"/>
        </w:rPr>
        <w:t> </w:t>
      </w:r>
      <w:r>
        <w:rPr>
          <w:color w:val="231F20"/>
          <w:w w:val="110"/>
        </w:rPr>
        <w:t>por</w:t>
      </w:r>
      <w:r>
        <w:rPr>
          <w:color w:val="231F20"/>
          <w:spacing w:val="-8"/>
          <w:w w:val="110"/>
        </w:rPr>
        <w:t> </w:t>
      </w:r>
      <w:r>
        <w:rPr>
          <w:color w:val="231F20"/>
          <w:w w:val="110"/>
        </w:rPr>
        <w:t>ciento,</w:t>
      </w:r>
      <w:r>
        <w:rPr>
          <w:color w:val="231F20"/>
          <w:spacing w:val="-8"/>
          <w:w w:val="110"/>
        </w:rPr>
        <w:t> </w:t>
      </w:r>
      <w:r>
        <w:rPr>
          <w:color w:val="231F20"/>
          <w:w w:val="110"/>
        </w:rPr>
        <w:t>respectivamente).</w:t>
      </w:r>
    </w:p>
    <w:p>
      <w:pPr>
        <w:pStyle w:val="BodyText"/>
        <w:spacing w:before="4"/>
      </w:pPr>
    </w:p>
    <w:p>
      <w:pPr>
        <w:spacing w:line="185" w:lineRule="exact" w:before="0"/>
        <w:ind w:left="28" w:right="0" w:firstLine="0"/>
        <w:jc w:val="center"/>
        <w:rPr>
          <w:sz w:val="16"/>
        </w:rPr>
      </w:pPr>
      <w:r>
        <w:rPr>
          <w:color w:val="231F20"/>
          <w:w w:val="105"/>
          <w:sz w:val="16"/>
        </w:rPr>
        <w:t>Cuadro 2</w:t>
      </w:r>
    </w:p>
    <w:p>
      <w:pPr>
        <w:spacing w:line="210" w:lineRule="exact" w:before="9"/>
        <w:ind w:left="785" w:right="755" w:firstLine="0"/>
        <w:jc w:val="center"/>
        <w:rPr>
          <w:sz w:val="19"/>
        </w:rPr>
      </w:pPr>
      <w:r>
        <w:rPr>
          <w:color w:val="231F20"/>
          <w:w w:val="90"/>
          <w:sz w:val="19"/>
        </w:rPr>
        <w:t>Porcentaje de población de 60 años o más por condición de derechohabiencia, según localidad y sexo, Estado de México, 2010</w:t>
      </w:r>
    </w:p>
    <w:p>
      <w:pPr>
        <w:pStyle w:val="BodyText"/>
        <w:spacing w:before="6"/>
        <w:rPr>
          <w:sz w:val="13"/>
        </w:rPr>
      </w:pPr>
      <w:r>
        <w:rPr/>
        <w:pict>
          <v:group style="position:absolute;margin-left:72.019997pt;margin-top:9.900032pt;width:348.4pt;height:.4pt;mso-position-horizontal-relative:page;mso-position-vertical-relative:paragraph;z-index:4168;mso-wrap-distance-left:0;mso-wrap-distance-right:0" coordorigin="1440,198" coordsize="6968,8">
            <v:line style="position:absolute" from="1444,202" to="3336,202" stroked="true" strokeweight=".4pt" strokecolor="#231f20"/>
            <v:line style="position:absolute" from="3336,202" to="4308,202" stroked="true" strokeweight=".4pt" strokecolor="#231f20"/>
            <v:line style="position:absolute" from="4308,202" to="5124,202" stroked="true" strokeweight=".4pt" strokecolor="#231f20"/>
            <v:line style="position:absolute" from="5124,202" to="5976,202" stroked="true" strokeweight=".4pt" strokecolor="#231f20"/>
            <v:line style="position:absolute" from="5976,202" to="6780,202" stroked="true" strokeweight=".4pt" strokecolor="#231f20"/>
            <v:line style="position:absolute" from="6780,202" to="7620,202" stroked="true" strokeweight=".4pt" strokecolor="#231f20"/>
            <v:line style="position:absolute" from="7620,202" to="8404,202" stroked="true" strokeweight=".4pt" strokecolor="#231f20"/>
            <w10:wrap type="topAndBottom"/>
          </v:group>
        </w:pict>
      </w:r>
    </w:p>
    <w:p>
      <w:pPr>
        <w:spacing w:after="0"/>
        <w:rPr>
          <w:sz w:val="13"/>
        </w:rPr>
        <w:sectPr>
          <w:pgSz w:w="9520" w:h="12920"/>
          <w:pgMar w:header="0" w:footer="1344" w:top="880" w:bottom="1540" w:left="1300" w:right="1000"/>
        </w:sectPr>
      </w:pPr>
    </w:p>
    <w:p>
      <w:pPr>
        <w:pStyle w:val="BodyText"/>
        <w:spacing w:before="4"/>
        <w:rPr>
          <w:sz w:val="21"/>
        </w:rPr>
      </w:pPr>
    </w:p>
    <w:p>
      <w:pPr>
        <w:spacing w:before="0"/>
        <w:ind w:left="862" w:right="-14" w:firstLine="0"/>
        <w:jc w:val="left"/>
        <w:rPr>
          <w:i/>
          <w:sz w:val="17"/>
        </w:rPr>
      </w:pPr>
      <w:r>
        <w:rPr>
          <w:i/>
          <w:color w:val="231F20"/>
          <w:spacing w:val="-2"/>
          <w:w w:val="105"/>
          <w:sz w:val="17"/>
        </w:rPr>
        <w:t>Lugar</w:t>
      </w:r>
    </w:p>
    <w:p>
      <w:pPr>
        <w:spacing w:before="69"/>
        <w:ind w:left="0" w:right="0" w:firstLine="0"/>
        <w:jc w:val="right"/>
        <w:rPr>
          <w:i/>
          <w:sz w:val="17"/>
        </w:rPr>
      </w:pPr>
      <w:r>
        <w:rPr/>
        <w:br w:type="column"/>
      </w:r>
      <w:r>
        <w:rPr>
          <w:i/>
          <w:color w:val="231F20"/>
          <w:sz w:val="17"/>
        </w:rPr>
        <w:t>Rural</w:t>
      </w:r>
    </w:p>
    <w:p>
      <w:pPr>
        <w:tabs>
          <w:tab w:pos="2521" w:val="left" w:leader="none"/>
        </w:tabs>
        <w:spacing w:before="69"/>
        <w:ind w:left="862" w:right="0" w:firstLine="0"/>
        <w:jc w:val="left"/>
        <w:rPr>
          <w:i/>
          <w:sz w:val="17"/>
        </w:rPr>
      </w:pPr>
      <w:r>
        <w:rPr/>
        <w:br w:type="column"/>
      </w:r>
      <w:r>
        <w:rPr>
          <w:i/>
          <w:color w:val="231F20"/>
          <w:w w:val="105"/>
          <w:sz w:val="17"/>
        </w:rPr>
        <w:t>Urbana</w:t>
        <w:tab/>
        <w:t>Estatal</w:t>
      </w:r>
    </w:p>
    <w:p>
      <w:pPr>
        <w:spacing w:after="0"/>
        <w:jc w:val="left"/>
        <w:rPr>
          <w:sz w:val="17"/>
        </w:rPr>
        <w:sectPr>
          <w:type w:val="continuous"/>
          <w:pgSz w:w="9520" w:h="12920"/>
          <w:pgMar w:top="0" w:bottom="0" w:left="1300" w:right="1000"/>
          <w:cols w:num="3" w:equalWidth="0">
            <w:col w:w="1307" w:space="557"/>
            <w:col w:w="1271" w:space="367"/>
            <w:col w:w="3718"/>
          </w:cols>
        </w:sectPr>
      </w:pPr>
    </w:p>
    <w:p>
      <w:pPr>
        <w:tabs>
          <w:tab w:pos="2180" w:val="left" w:leader="none"/>
          <w:tab w:pos="3110" w:val="left" w:leader="none"/>
        </w:tabs>
        <w:spacing w:line="190" w:lineRule="exact" w:before="0"/>
        <w:ind w:left="314" w:right="0" w:firstLine="0"/>
        <w:jc w:val="left"/>
        <w:rPr>
          <w:i/>
          <w:sz w:val="17"/>
        </w:rPr>
      </w:pPr>
      <w:r>
        <w:rPr/>
        <w:pict>
          <v:shape style="position:absolute;margin-left:166.820007pt;margin-top:-5.662292pt;width:253.4pt;height:.1pt;mso-position-horizontal-relative:page;mso-position-vertical-relative:paragraph;z-index:4192" coordorigin="3336,-113" coordsize="5068,0" path="m3336,-113l4308,-113m4308,-113l5124,-113m5124,-113l5976,-113m5976,-113l6780,-113m6780,-113l7620,-113m7620,-113l8404,-113e" filled="false" stroked="true" strokeweight=".4pt" strokecolor="#231f20">
            <v:path arrowok="t"/>
            <w10:wrap type="none"/>
          </v:shape>
        </w:pict>
      </w:r>
      <w:r>
        <w:rPr>
          <w:i/>
          <w:color w:val="231F20"/>
          <w:w w:val="105"/>
          <w:sz w:val="17"/>
        </w:rPr>
        <w:t>de</w:t>
      </w:r>
      <w:r>
        <w:rPr>
          <w:i/>
          <w:color w:val="231F20"/>
          <w:spacing w:val="7"/>
          <w:w w:val="105"/>
          <w:sz w:val="17"/>
        </w:rPr>
        <w:t> </w:t>
      </w:r>
      <w:r>
        <w:rPr>
          <w:i/>
          <w:color w:val="231F20"/>
          <w:w w:val="105"/>
          <w:sz w:val="17"/>
        </w:rPr>
        <w:t>derechohabiencia</w:t>
        <w:tab/>
      </w:r>
      <w:r>
        <w:rPr>
          <w:i/>
          <w:color w:val="231F20"/>
          <w:w w:val="105"/>
          <w:position w:val="2"/>
          <w:sz w:val="17"/>
        </w:rPr>
        <w:t>Hombres</w:t>
        <w:tab/>
        <w:t>Mujeres     Hombres     Mujeres     Hombres    </w:t>
      </w:r>
      <w:r>
        <w:rPr>
          <w:i/>
          <w:color w:val="231F20"/>
          <w:spacing w:val="18"/>
          <w:w w:val="105"/>
          <w:position w:val="2"/>
          <w:sz w:val="17"/>
        </w:rPr>
        <w:t> </w:t>
      </w:r>
      <w:r>
        <w:rPr>
          <w:i/>
          <w:color w:val="231F20"/>
          <w:w w:val="105"/>
          <w:position w:val="2"/>
          <w:sz w:val="17"/>
        </w:rPr>
        <w:t>Mujeres</w:t>
      </w:r>
    </w:p>
    <w:p>
      <w:pPr>
        <w:pStyle w:val="BodyText"/>
        <w:spacing w:before="8"/>
        <w:rPr>
          <w:i/>
          <w:sz w:val="5"/>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36"/>
        <w:gridCol w:w="817"/>
        <w:gridCol w:w="874"/>
        <w:gridCol w:w="838"/>
        <w:gridCol w:w="822"/>
        <w:gridCol w:w="812"/>
        <w:gridCol w:w="797"/>
      </w:tblGrid>
      <w:tr>
        <w:trPr>
          <w:trHeight w:val="263" w:hRule="exact"/>
        </w:trPr>
        <w:tc>
          <w:tcPr>
            <w:tcW w:w="2036" w:type="dxa"/>
            <w:tcBorders>
              <w:top w:val="single" w:sz="3" w:space="0" w:color="231F20"/>
            </w:tcBorders>
          </w:tcPr>
          <w:p>
            <w:pPr>
              <w:pStyle w:val="TableParagraph"/>
              <w:spacing w:line="240" w:lineRule="auto" w:before="84"/>
              <w:ind w:left="35"/>
              <w:jc w:val="left"/>
              <w:rPr>
                <w:rFonts w:ascii="Times New Roman"/>
                <w:sz w:val="13"/>
              </w:rPr>
            </w:pPr>
            <w:r>
              <w:rPr>
                <w:rFonts w:ascii="Times New Roman"/>
                <w:color w:val="231F20"/>
                <w:w w:val="110"/>
                <w:sz w:val="13"/>
              </w:rPr>
              <w:t>IMSS</w:t>
            </w:r>
          </w:p>
        </w:tc>
        <w:tc>
          <w:tcPr>
            <w:tcW w:w="817" w:type="dxa"/>
            <w:tcBorders>
              <w:top w:val="single" w:sz="3" w:space="0" w:color="231F20"/>
            </w:tcBorders>
          </w:tcPr>
          <w:p>
            <w:pPr>
              <w:pStyle w:val="TableParagraph"/>
              <w:spacing w:line="240" w:lineRule="auto" w:before="44"/>
              <w:ind w:right="231"/>
              <w:jc w:val="right"/>
              <w:rPr>
                <w:sz w:val="17"/>
              </w:rPr>
            </w:pPr>
            <w:r>
              <w:rPr>
                <w:color w:val="231F20"/>
                <w:sz w:val="17"/>
              </w:rPr>
              <w:t>16.2</w:t>
            </w:r>
          </w:p>
        </w:tc>
        <w:tc>
          <w:tcPr>
            <w:tcW w:w="874" w:type="dxa"/>
            <w:tcBorders>
              <w:top w:val="single" w:sz="3" w:space="0" w:color="231F20"/>
            </w:tcBorders>
          </w:tcPr>
          <w:p>
            <w:pPr>
              <w:pStyle w:val="TableParagraph"/>
              <w:spacing w:line="240" w:lineRule="auto" w:before="44"/>
              <w:ind w:right="209"/>
              <w:jc w:val="right"/>
              <w:rPr>
                <w:sz w:val="17"/>
              </w:rPr>
            </w:pPr>
            <w:r>
              <w:rPr>
                <w:color w:val="231F20"/>
                <w:sz w:val="17"/>
              </w:rPr>
              <w:t>12.7</w:t>
            </w:r>
          </w:p>
        </w:tc>
        <w:tc>
          <w:tcPr>
            <w:tcW w:w="838" w:type="dxa"/>
            <w:tcBorders>
              <w:top w:val="single" w:sz="3" w:space="0" w:color="231F20"/>
            </w:tcBorders>
          </w:tcPr>
          <w:p>
            <w:pPr>
              <w:pStyle w:val="TableParagraph"/>
              <w:spacing w:line="240" w:lineRule="auto" w:before="44"/>
              <w:ind w:left="286" w:right="176"/>
              <w:rPr>
                <w:sz w:val="17"/>
              </w:rPr>
            </w:pPr>
            <w:r>
              <w:rPr>
                <w:color w:val="231F20"/>
                <w:w w:val="105"/>
                <w:sz w:val="17"/>
              </w:rPr>
              <w:t>65.8</w:t>
            </w:r>
          </w:p>
        </w:tc>
        <w:tc>
          <w:tcPr>
            <w:tcW w:w="822" w:type="dxa"/>
            <w:tcBorders>
              <w:top w:val="single" w:sz="3" w:space="0" w:color="231F20"/>
            </w:tcBorders>
          </w:tcPr>
          <w:p>
            <w:pPr>
              <w:pStyle w:val="TableParagraph"/>
              <w:spacing w:line="240" w:lineRule="auto" w:before="44"/>
              <w:ind w:right="193"/>
              <w:jc w:val="right"/>
              <w:rPr>
                <w:sz w:val="17"/>
              </w:rPr>
            </w:pPr>
            <w:r>
              <w:rPr>
                <w:color w:val="231F20"/>
                <w:sz w:val="17"/>
              </w:rPr>
              <w:t>63.7</w:t>
            </w:r>
          </w:p>
        </w:tc>
        <w:tc>
          <w:tcPr>
            <w:tcW w:w="812" w:type="dxa"/>
            <w:tcBorders>
              <w:top w:val="single" w:sz="3" w:space="0" w:color="231F20"/>
            </w:tcBorders>
          </w:tcPr>
          <w:p>
            <w:pPr>
              <w:pStyle w:val="TableParagraph"/>
              <w:spacing w:line="240" w:lineRule="auto" w:before="44"/>
              <w:ind w:right="185"/>
              <w:jc w:val="right"/>
              <w:rPr>
                <w:sz w:val="17"/>
              </w:rPr>
            </w:pPr>
            <w:r>
              <w:rPr>
                <w:color w:val="231F20"/>
                <w:sz w:val="17"/>
              </w:rPr>
              <w:t>59.8</w:t>
            </w:r>
          </w:p>
        </w:tc>
        <w:tc>
          <w:tcPr>
            <w:tcW w:w="797" w:type="dxa"/>
            <w:tcBorders>
              <w:top w:val="single" w:sz="3" w:space="0" w:color="231F20"/>
            </w:tcBorders>
          </w:tcPr>
          <w:p>
            <w:pPr>
              <w:pStyle w:val="TableParagraph"/>
              <w:spacing w:line="240" w:lineRule="auto" w:before="44"/>
              <w:ind w:right="179"/>
              <w:jc w:val="right"/>
              <w:rPr>
                <w:sz w:val="17"/>
              </w:rPr>
            </w:pPr>
            <w:r>
              <w:rPr>
                <w:color w:val="231F20"/>
                <w:sz w:val="17"/>
              </w:rPr>
              <w:t>57.4</w:t>
            </w:r>
          </w:p>
        </w:tc>
      </w:tr>
      <w:tr>
        <w:trPr>
          <w:trHeight w:val="210" w:hRule="exact"/>
        </w:trPr>
        <w:tc>
          <w:tcPr>
            <w:tcW w:w="2036" w:type="dxa"/>
          </w:tcPr>
          <w:p>
            <w:pPr>
              <w:pStyle w:val="TableParagraph"/>
              <w:spacing w:line="240" w:lineRule="auto" w:before="35"/>
              <w:ind w:left="35"/>
              <w:jc w:val="left"/>
              <w:rPr>
                <w:rFonts w:ascii="Times New Roman"/>
                <w:sz w:val="13"/>
              </w:rPr>
            </w:pPr>
            <w:r>
              <w:rPr>
                <w:rFonts w:ascii="Times New Roman"/>
                <w:color w:val="231F20"/>
                <w:w w:val="110"/>
                <w:sz w:val="13"/>
              </w:rPr>
              <w:t>ISSSTE</w:t>
            </w:r>
          </w:p>
        </w:tc>
        <w:tc>
          <w:tcPr>
            <w:tcW w:w="817" w:type="dxa"/>
          </w:tcPr>
          <w:p>
            <w:pPr>
              <w:pStyle w:val="TableParagraph"/>
              <w:ind w:right="231"/>
              <w:jc w:val="right"/>
              <w:rPr>
                <w:sz w:val="17"/>
              </w:rPr>
            </w:pPr>
            <w:r>
              <w:rPr>
                <w:color w:val="231F20"/>
                <w:w w:val="105"/>
                <w:sz w:val="17"/>
              </w:rPr>
              <w:t>6.4</w:t>
            </w:r>
          </w:p>
        </w:tc>
        <w:tc>
          <w:tcPr>
            <w:tcW w:w="874" w:type="dxa"/>
          </w:tcPr>
          <w:p>
            <w:pPr>
              <w:pStyle w:val="TableParagraph"/>
              <w:ind w:right="209"/>
              <w:jc w:val="right"/>
              <w:rPr>
                <w:sz w:val="17"/>
              </w:rPr>
            </w:pPr>
            <w:r>
              <w:rPr>
                <w:color w:val="231F20"/>
                <w:w w:val="105"/>
                <w:sz w:val="17"/>
              </w:rPr>
              <w:t>4.8</w:t>
            </w:r>
          </w:p>
        </w:tc>
        <w:tc>
          <w:tcPr>
            <w:tcW w:w="838" w:type="dxa"/>
          </w:tcPr>
          <w:p>
            <w:pPr>
              <w:pStyle w:val="TableParagraph"/>
              <w:ind w:left="286" w:right="176"/>
              <w:rPr>
                <w:sz w:val="17"/>
              </w:rPr>
            </w:pPr>
            <w:r>
              <w:rPr>
                <w:color w:val="231F20"/>
                <w:w w:val="105"/>
                <w:sz w:val="17"/>
              </w:rPr>
              <w:t>15.7</w:t>
            </w:r>
          </w:p>
        </w:tc>
        <w:tc>
          <w:tcPr>
            <w:tcW w:w="822" w:type="dxa"/>
          </w:tcPr>
          <w:p>
            <w:pPr>
              <w:pStyle w:val="TableParagraph"/>
              <w:ind w:right="193"/>
              <w:jc w:val="right"/>
              <w:rPr>
                <w:sz w:val="17"/>
              </w:rPr>
            </w:pPr>
            <w:r>
              <w:rPr>
                <w:color w:val="231F20"/>
                <w:sz w:val="17"/>
              </w:rPr>
              <w:t>15.6</w:t>
            </w:r>
          </w:p>
        </w:tc>
        <w:tc>
          <w:tcPr>
            <w:tcW w:w="812" w:type="dxa"/>
          </w:tcPr>
          <w:p>
            <w:pPr>
              <w:pStyle w:val="TableParagraph"/>
              <w:ind w:right="185"/>
              <w:jc w:val="right"/>
              <w:rPr>
                <w:sz w:val="17"/>
              </w:rPr>
            </w:pPr>
            <w:r>
              <w:rPr>
                <w:color w:val="231F20"/>
                <w:sz w:val="17"/>
              </w:rPr>
              <w:t>14.6</w:t>
            </w:r>
          </w:p>
        </w:tc>
        <w:tc>
          <w:tcPr>
            <w:tcW w:w="797" w:type="dxa"/>
          </w:tcPr>
          <w:p>
            <w:pPr>
              <w:pStyle w:val="TableParagraph"/>
              <w:ind w:right="179"/>
              <w:jc w:val="right"/>
              <w:rPr>
                <w:sz w:val="17"/>
              </w:rPr>
            </w:pPr>
            <w:r>
              <w:rPr>
                <w:color w:val="231F20"/>
                <w:sz w:val="17"/>
              </w:rPr>
              <w:t>14.3</w:t>
            </w:r>
          </w:p>
        </w:tc>
      </w:tr>
      <w:tr>
        <w:trPr>
          <w:trHeight w:val="210" w:hRule="exact"/>
        </w:trPr>
        <w:tc>
          <w:tcPr>
            <w:tcW w:w="2036" w:type="dxa"/>
          </w:tcPr>
          <w:p>
            <w:pPr>
              <w:pStyle w:val="TableParagraph"/>
              <w:ind w:left="35"/>
              <w:jc w:val="left"/>
              <w:rPr>
                <w:sz w:val="17"/>
              </w:rPr>
            </w:pPr>
            <w:r>
              <w:rPr>
                <w:color w:val="231F20"/>
                <w:w w:val="110"/>
                <w:sz w:val="17"/>
              </w:rPr>
              <w:t>Pemex-Marina-Defensa</w:t>
            </w:r>
          </w:p>
        </w:tc>
        <w:tc>
          <w:tcPr>
            <w:tcW w:w="817" w:type="dxa"/>
          </w:tcPr>
          <w:p>
            <w:pPr>
              <w:pStyle w:val="TableParagraph"/>
              <w:ind w:right="231"/>
              <w:jc w:val="right"/>
              <w:rPr>
                <w:sz w:val="17"/>
              </w:rPr>
            </w:pPr>
            <w:r>
              <w:rPr>
                <w:color w:val="231F20"/>
                <w:w w:val="105"/>
                <w:sz w:val="17"/>
              </w:rPr>
              <w:t>0.5</w:t>
            </w:r>
          </w:p>
        </w:tc>
        <w:tc>
          <w:tcPr>
            <w:tcW w:w="874" w:type="dxa"/>
          </w:tcPr>
          <w:p>
            <w:pPr>
              <w:pStyle w:val="TableParagraph"/>
              <w:ind w:right="209"/>
              <w:jc w:val="right"/>
              <w:rPr>
                <w:sz w:val="17"/>
              </w:rPr>
            </w:pPr>
            <w:r>
              <w:rPr>
                <w:color w:val="231F20"/>
                <w:w w:val="105"/>
                <w:sz w:val="17"/>
              </w:rPr>
              <w:t>0.4</w:t>
            </w:r>
          </w:p>
        </w:tc>
        <w:tc>
          <w:tcPr>
            <w:tcW w:w="838" w:type="dxa"/>
          </w:tcPr>
          <w:p>
            <w:pPr>
              <w:pStyle w:val="TableParagraph"/>
              <w:ind w:left="287" w:right="81"/>
              <w:rPr>
                <w:sz w:val="17"/>
              </w:rPr>
            </w:pPr>
            <w:r>
              <w:rPr>
                <w:color w:val="231F20"/>
                <w:w w:val="105"/>
                <w:sz w:val="17"/>
              </w:rPr>
              <w:t>2.0</w:t>
            </w:r>
          </w:p>
        </w:tc>
        <w:tc>
          <w:tcPr>
            <w:tcW w:w="822" w:type="dxa"/>
          </w:tcPr>
          <w:p>
            <w:pPr>
              <w:pStyle w:val="TableParagraph"/>
              <w:ind w:right="193"/>
              <w:jc w:val="right"/>
              <w:rPr>
                <w:sz w:val="17"/>
              </w:rPr>
            </w:pPr>
            <w:r>
              <w:rPr>
                <w:color w:val="231F20"/>
                <w:w w:val="105"/>
                <w:sz w:val="17"/>
              </w:rPr>
              <w:t>2.0</w:t>
            </w:r>
          </w:p>
        </w:tc>
        <w:tc>
          <w:tcPr>
            <w:tcW w:w="812" w:type="dxa"/>
          </w:tcPr>
          <w:p>
            <w:pPr>
              <w:pStyle w:val="TableParagraph"/>
              <w:ind w:right="185"/>
              <w:jc w:val="right"/>
              <w:rPr>
                <w:sz w:val="17"/>
              </w:rPr>
            </w:pPr>
            <w:r>
              <w:rPr>
                <w:color w:val="231F20"/>
                <w:w w:val="105"/>
                <w:sz w:val="17"/>
              </w:rPr>
              <w:t>1.8</w:t>
            </w:r>
          </w:p>
        </w:tc>
        <w:tc>
          <w:tcPr>
            <w:tcW w:w="797" w:type="dxa"/>
          </w:tcPr>
          <w:p>
            <w:pPr>
              <w:pStyle w:val="TableParagraph"/>
              <w:ind w:right="179"/>
              <w:jc w:val="right"/>
              <w:rPr>
                <w:sz w:val="17"/>
              </w:rPr>
            </w:pPr>
            <w:r>
              <w:rPr>
                <w:color w:val="231F20"/>
                <w:w w:val="105"/>
                <w:sz w:val="17"/>
              </w:rPr>
              <w:t>1.8</w:t>
            </w:r>
          </w:p>
        </w:tc>
      </w:tr>
      <w:tr>
        <w:trPr>
          <w:trHeight w:val="210" w:hRule="exact"/>
        </w:trPr>
        <w:tc>
          <w:tcPr>
            <w:tcW w:w="2036" w:type="dxa"/>
          </w:tcPr>
          <w:p>
            <w:pPr>
              <w:pStyle w:val="TableParagraph"/>
              <w:ind w:left="35"/>
              <w:jc w:val="left"/>
              <w:rPr>
                <w:sz w:val="17"/>
              </w:rPr>
            </w:pPr>
            <w:r>
              <w:rPr>
                <w:color w:val="231F20"/>
                <w:w w:val="110"/>
                <w:sz w:val="17"/>
              </w:rPr>
              <w:t>En otra institución</w:t>
            </w:r>
          </w:p>
        </w:tc>
        <w:tc>
          <w:tcPr>
            <w:tcW w:w="817" w:type="dxa"/>
          </w:tcPr>
          <w:p>
            <w:pPr>
              <w:pStyle w:val="TableParagraph"/>
              <w:ind w:right="231"/>
              <w:jc w:val="right"/>
              <w:rPr>
                <w:sz w:val="17"/>
              </w:rPr>
            </w:pPr>
            <w:r>
              <w:rPr>
                <w:color w:val="231F20"/>
                <w:w w:val="105"/>
                <w:sz w:val="17"/>
              </w:rPr>
              <w:t>2.4</w:t>
            </w:r>
          </w:p>
        </w:tc>
        <w:tc>
          <w:tcPr>
            <w:tcW w:w="874" w:type="dxa"/>
          </w:tcPr>
          <w:p>
            <w:pPr>
              <w:pStyle w:val="TableParagraph"/>
              <w:ind w:right="209"/>
              <w:jc w:val="right"/>
              <w:rPr>
                <w:sz w:val="17"/>
              </w:rPr>
            </w:pPr>
            <w:r>
              <w:rPr>
                <w:color w:val="231F20"/>
                <w:w w:val="105"/>
                <w:sz w:val="17"/>
              </w:rPr>
              <w:t>1.8</w:t>
            </w:r>
          </w:p>
        </w:tc>
        <w:tc>
          <w:tcPr>
            <w:tcW w:w="838" w:type="dxa"/>
          </w:tcPr>
          <w:p>
            <w:pPr>
              <w:pStyle w:val="TableParagraph"/>
              <w:ind w:left="287" w:right="81"/>
              <w:rPr>
                <w:sz w:val="17"/>
              </w:rPr>
            </w:pPr>
            <w:r>
              <w:rPr>
                <w:color w:val="231F20"/>
                <w:w w:val="105"/>
                <w:sz w:val="17"/>
              </w:rPr>
              <w:t>2.8</w:t>
            </w:r>
          </w:p>
        </w:tc>
        <w:tc>
          <w:tcPr>
            <w:tcW w:w="822" w:type="dxa"/>
          </w:tcPr>
          <w:p>
            <w:pPr>
              <w:pStyle w:val="TableParagraph"/>
              <w:ind w:right="193"/>
              <w:jc w:val="right"/>
              <w:rPr>
                <w:sz w:val="17"/>
              </w:rPr>
            </w:pPr>
            <w:r>
              <w:rPr>
                <w:color w:val="231F20"/>
                <w:w w:val="105"/>
                <w:sz w:val="17"/>
              </w:rPr>
              <w:t>2.8</w:t>
            </w:r>
          </w:p>
        </w:tc>
        <w:tc>
          <w:tcPr>
            <w:tcW w:w="812" w:type="dxa"/>
          </w:tcPr>
          <w:p>
            <w:pPr>
              <w:pStyle w:val="TableParagraph"/>
              <w:ind w:right="185"/>
              <w:jc w:val="right"/>
              <w:rPr>
                <w:sz w:val="17"/>
              </w:rPr>
            </w:pPr>
            <w:r>
              <w:rPr>
                <w:color w:val="231F20"/>
                <w:w w:val="105"/>
                <w:sz w:val="17"/>
              </w:rPr>
              <w:t>2.8</w:t>
            </w:r>
          </w:p>
        </w:tc>
        <w:tc>
          <w:tcPr>
            <w:tcW w:w="797" w:type="dxa"/>
          </w:tcPr>
          <w:p>
            <w:pPr>
              <w:pStyle w:val="TableParagraph"/>
              <w:ind w:right="179"/>
              <w:jc w:val="right"/>
              <w:rPr>
                <w:sz w:val="17"/>
              </w:rPr>
            </w:pPr>
            <w:r>
              <w:rPr>
                <w:color w:val="231F20"/>
                <w:w w:val="105"/>
                <w:sz w:val="17"/>
              </w:rPr>
              <w:t>2.7</w:t>
            </w:r>
          </w:p>
        </w:tc>
      </w:tr>
      <w:tr>
        <w:trPr>
          <w:trHeight w:val="210" w:hRule="exact"/>
        </w:trPr>
        <w:tc>
          <w:tcPr>
            <w:tcW w:w="2036" w:type="dxa"/>
          </w:tcPr>
          <w:p>
            <w:pPr>
              <w:pStyle w:val="TableParagraph"/>
              <w:ind w:left="35"/>
              <w:jc w:val="left"/>
              <w:rPr>
                <w:sz w:val="17"/>
              </w:rPr>
            </w:pPr>
            <w:r>
              <w:rPr>
                <w:color w:val="231F20"/>
                <w:w w:val="110"/>
                <w:sz w:val="17"/>
              </w:rPr>
              <w:t>Instituciones privadas</w:t>
            </w:r>
          </w:p>
        </w:tc>
        <w:tc>
          <w:tcPr>
            <w:tcW w:w="817" w:type="dxa"/>
          </w:tcPr>
          <w:p>
            <w:pPr>
              <w:pStyle w:val="TableParagraph"/>
              <w:ind w:right="231"/>
              <w:jc w:val="right"/>
              <w:rPr>
                <w:sz w:val="17"/>
              </w:rPr>
            </w:pPr>
            <w:r>
              <w:rPr>
                <w:color w:val="231F20"/>
                <w:w w:val="105"/>
                <w:sz w:val="17"/>
              </w:rPr>
              <w:t>0.6</w:t>
            </w:r>
          </w:p>
        </w:tc>
        <w:tc>
          <w:tcPr>
            <w:tcW w:w="874" w:type="dxa"/>
          </w:tcPr>
          <w:p>
            <w:pPr>
              <w:pStyle w:val="TableParagraph"/>
              <w:ind w:right="209"/>
              <w:jc w:val="right"/>
              <w:rPr>
                <w:sz w:val="17"/>
              </w:rPr>
            </w:pPr>
            <w:r>
              <w:rPr>
                <w:color w:val="231F20"/>
                <w:w w:val="105"/>
                <w:sz w:val="17"/>
              </w:rPr>
              <w:t>0.4</w:t>
            </w:r>
          </w:p>
        </w:tc>
        <w:tc>
          <w:tcPr>
            <w:tcW w:w="838" w:type="dxa"/>
          </w:tcPr>
          <w:p>
            <w:pPr>
              <w:pStyle w:val="TableParagraph"/>
              <w:ind w:left="287" w:right="81"/>
              <w:rPr>
                <w:sz w:val="17"/>
              </w:rPr>
            </w:pPr>
            <w:r>
              <w:rPr>
                <w:color w:val="231F20"/>
                <w:w w:val="105"/>
                <w:sz w:val="17"/>
              </w:rPr>
              <w:t>2.5</w:t>
            </w:r>
          </w:p>
        </w:tc>
        <w:tc>
          <w:tcPr>
            <w:tcW w:w="822" w:type="dxa"/>
          </w:tcPr>
          <w:p>
            <w:pPr>
              <w:pStyle w:val="TableParagraph"/>
              <w:ind w:right="193"/>
              <w:jc w:val="right"/>
              <w:rPr>
                <w:sz w:val="17"/>
              </w:rPr>
            </w:pPr>
            <w:r>
              <w:rPr>
                <w:color w:val="231F20"/>
                <w:w w:val="105"/>
                <w:sz w:val="17"/>
              </w:rPr>
              <w:t>2.2</w:t>
            </w:r>
          </w:p>
        </w:tc>
        <w:tc>
          <w:tcPr>
            <w:tcW w:w="812" w:type="dxa"/>
          </w:tcPr>
          <w:p>
            <w:pPr>
              <w:pStyle w:val="TableParagraph"/>
              <w:ind w:right="185"/>
              <w:jc w:val="right"/>
              <w:rPr>
                <w:sz w:val="17"/>
              </w:rPr>
            </w:pPr>
            <w:r>
              <w:rPr>
                <w:color w:val="231F20"/>
                <w:w w:val="105"/>
                <w:sz w:val="17"/>
              </w:rPr>
              <w:t>2.3</w:t>
            </w:r>
          </w:p>
        </w:tc>
        <w:tc>
          <w:tcPr>
            <w:tcW w:w="797" w:type="dxa"/>
          </w:tcPr>
          <w:p>
            <w:pPr>
              <w:pStyle w:val="TableParagraph"/>
              <w:ind w:right="179"/>
              <w:jc w:val="right"/>
              <w:rPr>
                <w:sz w:val="17"/>
              </w:rPr>
            </w:pPr>
            <w:r>
              <w:rPr>
                <w:color w:val="231F20"/>
                <w:w w:val="105"/>
                <w:sz w:val="17"/>
              </w:rPr>
              <w:t>2.0</w:t>
            </w:r>
          </w:p>
        </w:tc>
      </w:tr>
      <w:tr>
        <w:trPr>
          <w:trHeight w:val="210" w:hRule="exact"/>
        </w:trPr>
        <w:tc>
          <w:tcPr>
            <w:tcW w:w="2036" w:type="dxa"/>
          </w:tcPr>
          <w:p>
            <w:pPr>
              <w:pStyle w:val="TableParagraph"/>
              <w:ind w:left="35"/>
              <w:jc w:val="left"/>
              <w:rPr>
                <w:sz w:val="17"/>
              </w:rPr>
            </w:pPr>
            <w:r>
              <w:rPr>
                <w:color w:val="231F20"/>
                <w:w w:val="110"/>
                <w:sz w:val="17"/>
              </w:rPr>
              <w:t>Seguro popular</w:t>
            </w:r>
          </w:p>
        </w:tc>
        <w:tc>
          <w:tcPr>
            <w:tcW w:w="817" w:type="dxa"/>
          </w:tcPr>
          <w:p>
            <w:pPr>
              <w:pStyle w:val="TableParagraph"/>
              <w:ind w:right="231"/>
              <w:jc w:val="right"/>
              <w:rPr>
                <w:sz w:val="17"/>
              </w:rPr>
            </w:pPr>
            <w:r>
              <w:rPr>
                <w:color w:val="231F20"/>
                <w:sz w:val="17"/>
              </w:rPr>
              <w:t>73.9</w:t>
            </w:r>
          </w:p>
        </w:tc>
        <w:tc>
          <w:tcPr>
            <w:tcW w:w="874" w:type="dxa"/>
          </w:tcPr>
          <w:p>
            <w:pPr>
              <w:pStyle w:val="TableParagraph"/>
              <w:ind w:right="209"/>
              <w:jc w:val="right"/>
              <w:rPr>
                <w:sz w:val="17"/>
              </w:rPr>
            </w:pPr>
            <w:r>
              <w:rPr>
                <w:color w:val="231F20"/>
                <w:sz w:val="17"/>
              </w:rPr>
              <w:t>79.9</w:t>
            </w:r>
          </w:p>
        </w:tc>
        <w:tc>
          <w:tcPr>
            <w:tcW w:w="838" w:type="dxa"/>
          </w:tcPr>
          <w:p>
            <w:pPr>
              <w:pStyle w:val="TableParagraph"/>
              <w:ind w:left="286" w:right="176"/>
              <w:rPr>
                <w:sz w:val="17"/>
              </w:rPr>
            </w:pPr>
            <w:r>
              <w:rPr>
                <w:color w:val="231F20"/>
                <w:w w:val="105"/>
                <w:sz w:val="17"/>
              </w:rPr>
              <w:t>11.2</w:t>
            </w:r>
          </w:p>
        </w:tc>
        <w:tc>
          <w:tcPr>
            <w:tcW w:w="822" w:type="dxa"/>
          </w:tcPr>
          <w:p>
            <w:pPr>
              <w:pStyle w:val="TableParagraph"/>
              <w:ind w:right="193"/>
              <w:jc w:val="right"/>
              <w:rPr>
                <w:sz w:val="17"/>
              </w:rPr>
            </w:pPr>
            <w:r>
              <w:rPr>
                <w:color w:val="231F20"/>
                <w:sz w:val="17"/>
              </w:rPr>
              <w:t>13.7</w:t>
            </w:r>
          </w:p>
        </w:tc>
        <w:tc>
          <w:tcPr>
            <w:tcW w:w="812" w:type="dxa"/>
          </w:tcPr>
          <w:p>
            <w:pPr>
              <w:pStyle w:val="TableParagraph"/>
              <w:ind w:right="185"/>
              <w:jc w:val="right"/>
              <w:rPr>
                <w:sz w:val="17"/>
              </w:rPr>
            </w:pPr>
            <w:r>
              <w:rPr>
                <w:color w:val="231F20"/>
                <w:sz w:val="17"/>
              </w:rPr>
              <w:t>18.7</w:t>
            </w:r>
          </w:p>
        </w:tc>
        <w:tc>
          <w:tcPr>
            <w:tcW w:w="797" w:type="dxa"/>
          </w:tcPr>
          <w:p>
            <w:pPr>
              <w:pStyle w:val="TableParagraph"/>
              <w:ind w:right="179"/>
              <w:jc w:val="right"/>
              <w:rPr>
                <w:sz w:val="17"/>
              </w:rPr>
            </w:pPr>
            <w:r>
              <w:rPr>
                <w:color w:val="231F20"/>
                <w:sz w:val="17"/>
              </w:rPr>
              <w:t>21.8</w:t>
            </w:r>
          </w:p>
        </w:tc>
      </w:tr>
      <w:tr>
        <w:trPr>
          <w:trHeight w:val="276" w:hRule="exact"/>
        </w:trPr>
        <w:tc>
          <w:tcPr>
            <w:tcW w:w="2036" w:type="dxa"/>
            <w:tcBorders>
              <w:bottom w:val="single" w:sz="5" w:space="0" w:color="231F20"/>
            </w:tcBorders>
          </w:tcPr>
          <w:p>
            <w:pPr>
              <w:pStyle w:val="TableParagraph"/>
              <w:ind w:left="35"/>
              <w:jc w:val="left"/>
              <w:rPr>
                <w:sz w:val="17"/>
              </w:rPr>
            </w:pPr>
            <w:r>
              <w:rPr>
                <w:color w:val="231F20"/>
                <w:w w:val="105"/>
                <w:sz w:val="17"/>
              </w:rPr>
              <w:t>Total</w:t>
            </w:r>
          </w:p>
        </w:tc>
        <w:tc>
          <w:tcPr>
            <w:tcW w:w="817" w:type="dxa"/>
            <w:tcBorders>
              <w:bottom w:val="single" w:sz="5" w:space="0" w:color="231F20"/>
            </w:tcBorders>
          </w:tcPr>
          <w:p>
            <w:pPr>
              <w:pStyle w:val="TableParagraph"/>
              <w:ind w:right="231"/>
              <w:jc w:val="right"/>
              <w:rPr>
                <w:sz w:val="17"/>
              </w:rPr>
            </w:pPr>
            <w:r>
              <w:rPr>
                <w:color w:val="231F20"/>
                <w:sz w:val="17"/>
              </w:rPr>
              <w:t>100.0</w:t>
            </w:r>
          </w:p>
        </w:tc>
        <w:tc>
          <w:tcPr>
            <w:tcW w:w="874" w:type="dxa"/>
            <w:tcBorders>
              <w:bottom w:val="single" w:sz="5" w:space="0" w:color="231F20"/>
            </w:tcBorders>
          </w:tcPr>
          <w:p>
            <w:pPr>
              <w:pStyle w:val="TableParagraph"/>
              <w:ind w:right="209"/>
              <w:jc w:val="right"/>
              <w:rPr>
                <w:sz w:val="17"/>
              </w:rPr>
            </w:pPr>
            <w:r>
              <w:rPr>
                <w:color w:val="231F20"/>
                <w:sz w:val="17"/>
              </w:rPr>
              <w:t>100.0</w:t>
            </w:r>
          </w:p>
        </w:tc>
        <w:tc>
          <w:tcPr>
            <w:tcW w:w="838" w:type="dxa"/>
            <w:tcBorders>
              <w:bottom w:val="single" w:sz="5" w:space="0" w:color="231F20"/>
            </w:tcBorders>
          </w:tcPr>
          <w:p>
            <w:pPr>
              <w:pStyle w:val="TableParagraph"/>
              <w:ind w:left="189" w:right="176"/>
              <w:rPr>
                <w:sz w:val="17"/>
              </w:rPr>
            </w:pPr>
            <w:r>
              <w:rPr>
                <w:color w:val="231F20"/>
                <w:w w:val="105"/>
                <w:sz w:val="17"/>
              </w:rPr>
              <w:t>100.0</w:t>
            </w:r>
          </w:p>
        </w:tc>
        <w:tc>
          <w:tcPr>
            <w:tcW w:w="822" w:type="dxa"/>
            <w:tcBorders>
              <w:bottom w:val="single" w:sz="5" w:space="0" w:color="231F20"/>
            </w:tcBorders>
          </w:tcPr>
          <w:p>
            <w:pPr>
              <w:pStyle w:val="TableParagraph"/>
              <w:ind w:right="193"/>
              <w:jc w:val="right"/>
              <w:rPr>
                <w:sz w:val="17"/>
              </w:rPr>
            </w:pPr>
            <w:r>
              <w:rPr>
                <w:color w:val="231F20"/>
                <w:sz w:val="17"/>
              </w:rPr>
              <w:t>100.0</w:t>
            </w:r>
          </w:p>
        </w:tc>
        <w:tc>
          <w:tcPr>
            <w:tcW w:w="812" w:type="dxa"/>
            <w:tcBorders>
              <w:bottom w:val="single" w:sz="5" w:space="0" w:color="231F20"/>
            </w:tcBorders>
          </w:tcPr>
          <w:p>
            <w:pPr>
              <w:pStyle w:val="TableParagraph"/>
              <w:ind w:right="185"/>
              <w:jc w:val="right"/>
              <w:rPr>
                <w:sz w:val="17"/>
              </w:rPr>
            </w:pPr>
            <w:r>
              <w:rPr>
                <w:color w:val="231F20"/>
                <w:sz w:val="17"/>
              </w:rPr>
              <w:t>100.0</w:t>
            </w:r>
          </w:p>
        </w:tc>
        <w:tc>
          <w:tcPr>
            <w:tcW w:w="797" w:type="dxa"/>
            <w:tcBorders>
              <w:bottom w:val="single" w:sz="5" w:space="0" w:color="231F20"/>
            </w:tcBorders>
          </w:tcPr>
          <w:p>
            <w:pPr>
              <w:pStyle w:val="TableParagraph"/>
              <w:ind w:right="179"/>
              <w:jc w:val="right"/>
              <w:rPr>
                <w:sz w:val="17"/>
              </w:rPr>
            </w:pPr>
            <w:r>
              <w:rPr>
                <w:color w:val="231F20"/>
                <w:sz w:val="17"/>
              </w:rPr>
              <w:t>100.0</w:t>
            </w:r>
          </w:p>
        </w:tc>
      </w:tr>
    </w:tbl>
    <w:p>
      <w:pPr>
        <w:spacing w:line="173" w:lineRule="exact" w:before="61"/>
        <w:ind w:left="504" w:right="0" w:firstLine="0"/>
        <w:jc w:val="left"/>
        <w:rPr>
          <w:rFonts w:ascii="Times New Roman" w:hAnsi="Times New Roman"/>
          <w:sz w:val="15"/>
        </w:rPr>
      </w:pPr>
      <w:r>
        <w:rPr>
          <w:color w:val="231F20"/>
          <w:w w:val="110"/>
          <w:sz w:val="15"/>
        </w:rPr>
        <w:t>Fuente: Elaboración propia con base en el Censo de Población y Vivienda 2010,  </w:t>
      </w:r>
      <w:r>
        <w:rPr>
          <w:rFonts w:ascii="Times New Roman" w:hAnsi="Times New Roman"/>
          <w:color w:val="231F20"/>
          <w:w w:val="110"/>
          <w:sz w:val="12"/>
        </w:rPr>
        <w:t>INEGI</w:t>
      </w:r>
      <w:r>
        <w:rPr>
          <w:rFonts w:ascii="Times New Roman" w:hAnsi="Times New Roman"/>
          <w:color w:val="231F20"/>
          <w:w w:val="110"/>
          <w:sz w:val="15"/>
        </w:rPr>
        <w:t>.</w:t>
      </w:r>
    </w:p>
    <w:p>
      <w:pPr>
        <w:spacing w:line="170" w:lineRule="exact" w:before="0"/>
        <w:ind w:left="504" w:right="0" w:firstLine="0"/>
        <w:jc w:val="left"/>
        <w:rPr>
          <w:sz w:val="15"/>
        </w:rPr>
      </w:pPr>
      <w:r>
        <w:rPr>
          <w:color w:val="231F20"/>
          <w:w w:val="115"/>
          <w:sz w:val="15"/>
        </w:rPr>
        <w:t>Notas:</w:t>
      </w:r>
    </w:p>
    <w:p>
      <w:pPr>
        <w:spacing w:line="170" w:lineRule="exact" w:before="3"/>
        <w:ind w:left="144" w:right="113" w:firstLine="360"/>
        <w:jc w:val="both"/>
        <w:rPr>
          <w:sz w:val="15"/>
        </w:rPr>
      </w:pPr>
      <w:r>
        <w:rPr>
          <w:color w:val="231F20"/>
          <w:w w:val="110"/>
          <w:sz w:val="15"/>
        </w:rPr>
        <w:t>En el lugar de derechohabiencia </w:t>
      </w:r>
      <w:r>
        <w:rPr>
          <w:rFonts w:ascii="Times New Roman" w:hAnsi="Times New Roman"/>
          <w:color w:val="231F20"/>
          <w:w w:val="110"/>
          <w:sz w:val="12"/>
        </w:rPr>
        <w:t>ISSSTE</w:t>
      </w:r>
      <w:r>
        <w:rPr>
          <w:color w:val="231F20"/>
          <w:w w:val="110"/>
          <w:sz w:val="15"/>
        </w:rPr>
        <w:t>, están incluidos los derechohabientes tanto nacionales como estatales.</w:t>
      </w:r>
    </w:p>
    <w:p>
      <w:pPr>
        <w:spacing w:line="170" w:lineRule="exact" w:before="0"/>
        <w:ind w:left="144" w:right="114" w:firstLine="360"/>
        <w:jc w:val="both"/>
        <w:rPr>
          <w:sz w:val="15"/>
        </w:rPr>
      </w:pPr>
      <w:r>
        <w:rPr>
          <w:color w:val="231F20"/>
          <w:w w:val="110"/>
          <w:sz w:val="15"/>
        </w:rPr>
        <w:t>En otras instituciones se consideran las instituciones privadas y las públicas que no aparecen individualmente.</w:t>
      </w:r>
    </w:p>
    <w:p>
      <w:pPr>
        <w:spacing w:line="169" w:lineRule="exact" w:before="0"/>
        <w:ind w:left="504" w:right="0" w:firstLine="0"/>
        <w:jc w:val="left"/>
        <w:rPr>
          <w:sz w:val="15"/>
        </w:rPr>
      </w:pPr>
      <w:r>
        <w:rPr>
          <w:color w:val="231F20"/>
          <w:w w:val="110"/>
          <w:sz w:val="15"/>
        </w:rPr>
        <w:t>El Seguro Popular se incluye como no  derechohabiente.</w:t>
      </w:r>
    </w:p>
    <w:p>
      <w:pPr>
        <w:pStyle w:val="BodyText"/>
        <w:rPr>
          <w:sz w:val="14"/>
        </w:rPr>
      </w:pPr>
    </w:p>
    <w:p>
      <w:pPr>
        <w:pStyle w:val="BodyText"/>
        <w:rPr>
          <w:sz w:val="15"/>
        </w:rPr>
      </w:pPr>
    </w:p>
    <w:p>
      <w:pPr>
        <w:pStyle w:val="BodyText"/>
        <w:spacing w:line="288" w:lineRule="auto"/>
        <w:ind w:left="144" w:right="113" w:firstLine="360"/>
        <w:jc w:val="both"/>
      </w:pPr>
      <w:r>
        <w:rPr>
          <w:color w:val="231F20"/>
          <w:w w:val="110"/>
        </w:rPr>
        <w:t>En el mismo cuadro, en lo que respecta al tipo de localidad, se eviden- cia que los adultos mayores que viven en zonas rurales están en condicio- nes de mayor vulnerabilidad por tener una menor cobertura institucional. En las localidades rurales la derechohabiencia es baja, ya que gran parte de las actividades económicas son consideradas no formales; sin embargo, el Seguro Popular, tiene una mayor cobertura en la población senescente, beneficiando a más de 70 por ciento tanto de hombres como de mujeres,</w:t>
      </w:r>
    </w:p>
    <w:p>
      <w:pPr>
        <w:spacing w:after="0" w:line="288" w:lineRule="auto"/>
        <w:jc w:val="both"/>
        <w:sectPr>
          <w:type w:val="continuous"/>
          <w:pgSz w:w="9520" w:h="12920"/>
          <w:pgMar w:top="0" w:bottom="0" w:left="1300" w:right="1000"/>
        </w:sectPr>
      </w:pPr>
    </w:p>
    <w:p>
      <w:pPr>
        <w:pStyle w:val="BodyText"/>
        <w:spacing w:line="295" w:lineRule="auto" w:before="42"/>
        <w:ind w:left="120" w:right="114"/>
        <w:jc w:val="both"/>
      </w:pPr>
      <w:r>
        <w:rPr>
          <w:color w:val="231F20"/>
          <w:spacing w:val="2"/>
          <w:w w:val="110"/>
        </w:rPr>
        <w:t>siendo </w:t>
      </w:r>
      <w:r>
        <w:rPr>
          <w:color w:val="231F20"/>
          <w:w w:val="110"/>
        </w:rPr>
        <w:t>la </w:t>
      </w:r>
      <w:r>
        <w:rPr>
          <w:color w:val="231F20"/>
          <w:spacing w:val="2"/>
          <w:w w:val="110"/>
        </w:rPr>
        <w:t>población femenina quien tiene </w:t>
      </w:r>
      <w:r>
        <w:rPr>
          <w:color w:val="231F20"/>
          <w:w w:val="110"/>
        </w:rPr>
        <w:t>una mayor cobertura (79 por ciento). El </w:t>
      </w:r>
      <w:r>
        <w:rPr>
          <w:rFonts w:ascii="Times New Roman" w:hAnsi="Times New Roman"/>
          <w:color w:val="231F20"/>
          <w:w w:val="110"/>
          <w:sz w:val="16"/>
        </w:rPr>
        <w:t>IMSS  </w:t>
      </w:r>
      <w:r>
        <w:rPr>
          <w:color w:val="231F20"/>
          <w:w w:val="110"/>
        </w:rPr>
        <w:t>cubre sólo 16 por ciento de los hombres y 12 por ciento  de las mujeres; el </w:t>
      </w:r>
      <w:r>
        <w:rPr>
          <w:rFonts w:ascii="Times New Roman" w:hAnsi="Times New Roman"/>
          <w:color w:val="231F20"/>
          <w:w w:val="110"/>
          <w:sz w:val="16"/>
        </w:rPr>
        <w:t>ISSSTE </w:t>
      </w:r>
      <w:r>
        <w:rPr>
          <w:color w:val="231F20"/>
          <w:w w:val="110"/>
        </w:rPr>
        <w:t>cubre 6 por ciento y 4 por ciento de hombres y mujeres respectivamente, mientras que otras instituciones, entre las que </w:t>
      </w:r>
      <w:r>
        <w:rPr>
          <w:color w:val="231F20"/>
          <w:spacing w:val="3"/>
          <w:w w:val="110"/>
        </w:rPr>
        <w:t>destaca </w:t>
      </w:r>
      <w:r>
        <w:rPr>
          <w:color w:val="231F20"/>
          <w:w w:val="110"/>
        </w:rPr>
        <w:t>el </w:t>
      </w:r>
      <w:r>
        <w:rPr>
          <w:rFonts w:ascii="Times New Roman" w:hAnsi="Times New Roman"/>
          <w:color w:val="231F20"/>
          <w:spacing w:val="3"/>
          <w:w w:val="110"/>
          <w:sz w:val="16"/>
        </w:rPr>
        <w:t>ISSEM</w:t>
      </w:r>
      <w:r>
        <w:rPr>
          <w:color w:val="231F20"/>
          <w:spacing w:val="3"/>
          <w:w w:val="110"/>
        </w:rPr>
        <w:t>y</w:t>
      </w:r>
      <w:r>
        <w:rPr>
          <w:rFonts w:ascii="Times New Roman" w:hAnsi="Times New Roman"/>
          <w:color w:val="231F20"/>
          <w:spacing w:val="3"/>
          <w:w w:val="110"/>
          <w:sz w:val="16"/>
        </w:rPr>
        <w:t>M</w:t>
      </w:r>
      <w:r>
        <w:rPr>
          <w:color w:val="231F20"/>
          <w:spacing w:val="3"/>
          <w:w w:val="110"/>
        </w:rPr>
        <w:t>, sólo cubren </w:t>
      </w:r>
      <w:r>
        <w:rPr>
          <w:color w:val="231F20"/>
          <w:spacing w:val="2"/>
          <w:w w:val="110"/>
        </w:rPr>
        <w:t>dos por </w:t>
      </w:r>
      <w:r>
        <w:rPr>
          <w:color w:val="231F20"/>
          <w:spacing w:val="3"/>
          <w:w w:val="110"/>
        </w:rPr>
        <w:t>ciento </w:t>
      </w:r>
      <w:r>
        <w:rPr>
          <w:color w:val="231F20"/>
          <w:w w:val="110"/>
        </w:rPr>
        <w:t>de </w:t>
      </w:r>
      <w:r>
        <w:rPr>
          <w:color w:val="231F20"/>
          <w:spacing w:val="3"/>
          <w:w w:val="110"/>
        </w:rPr>
        <w:t>hombres </w:t>
      </w:r>
      <w:r>
        <w:rPr>
          <w:color w:val="231F20"/>
          <w:w w:val="110"/>
        </w:rPr>
        <w:t>y </w:t>
      </w:r>
      <w:r>
        <w:rPr>
          <w:color w:val="231F20"/>
          <w:spacing w:val="2"/>
          <w:w w:val="110"/>
        </w:rPr>
        <w:t>uno por </w:t>
      </w:r>
      <w:r>
        <w:rPr>
          <w:color w:val="231F20"/>
          <w:w w:val="110"/>
        </w:rPr>
        <w:t>ciento de</w:t>
      </w:r>
      <w:r>
        <w:rPr>
          <w:color w:val="231F20"/>
          <w:spacing w:val="26"/>
          <w:w w:val="110"/>
        </w:rPr>
        <w:t> </w:t>
      </w:r>
      <w:r>
        <w:rPr>
          <w:color w:val="231F20"/>
          <w:w w:val="110"/>
        </w:rPr>
        <w:t>mujeres.</w:t>
      </w:r>
    </w:p>
    <w:p>
      <w:pPr>
        <w:pStyle w:val="BodyText"/>
        <w:spacing w:line="295" w:lineRule="auto"/>
        <w:ind w:left="119" w:right="118" w:firstLine="360"/>
        <w:jc w:val="both"/>
      </w:pPr>
      <w:r>
        <w:rPr>
          <w:color w:val="231F20"/>
          <w:w w:val="110"/>
        </w:rPr>
        <w:t>Del total de población de 60 años y más de las zonas urbanas, el </w:t>
      </w:r>
      <w:r>
        <w:rPr>
          <w:rFonts w:ascii="Times New Roman" w:hAnsi="Times New Roman"/>
          <w:color w:val="231F20"/>
          <w:w w:val="110"/>
          <w:sz w:val="16"/>
        </w:rPr>
        <w:t>IMSS </w:t>
      </w:r>
      <w:r>
        <w:rPr>
          <w:color w:val="231F20"/>
          <w:w w:val="110"/>
        </w:rPr>
        <w:t>cubre</w:t>
      </w:r>
      <w:r>
        <w:rPr>
          <w:color w:val="231F20"/>
          <w:spacing w:val="-15"/>
          <w:w w:val="110"/>
        </w:rPr>
        <w:t> </w:t>
      </w:r>
      <w:r>
        <w:rPr>
          <w:color w:val="231F20"/>
          <w:w w:val="110"/>
        </w:rPr>
        <w:t>64</w:t>
      </w:r>
      <w:r>
        <w:rPr>
          <w:color w:val="231F20"/>
          <w:spacing w:val="-15"/>
          <w:w w:val="110"/>
        </w:rPr>
        <w:t> </w:t>
      </w:r>
      <w:r>
        <w:rPr>
          <w:color w:val="231F20"/>
          <w:w w:val="110"/>
        </w:rPr>
        <w:t>por</w:t>
      </w:r>
      <w:r>
        <w:rPr>
          <w:color w:val="231F20"/>
          <w:spacing w:val="-15"/>
          <w:w w:val="110"/>
        </w:rPr>
        <w:t> </w:t>
      </w:r>
      <w:r>
        <w:rPr>
          <w:color w:val="231F20"/>
          <w:w w:val="110"/>
        </w:rPr>
        <w:t>ciento,</w:t>
      </w:r>
      <w:r>
        <w:rPr>
          <w:color w:val="231F20"/>
          <w:spacing w:val="-15"/>
          <w:w w:val="110"/>
        </w:rPr>
        <w:t> </w:t>
      </w:r>
      <w:r>
        <w:rPr>
          <w:color w:val="231F20"/>
          <w:w w:val="110"/>
        </w:rPr>
        <w:t>seguido</w:t>
      </w:r>
      <w:r>
        <w:rPr>
          <w:color w:val="231F20"/>
          <w:spacing w:val="-15"/>
          <w:w w:val="110"/>
        </w:rPr>
        <w:t> </w:t>
      </w:r>
      <w:r>
        <w:rPr>
          <w:color w:val="231F20"/>
          <w:w w:val="110"/>
        </w:rPr>
        <w:t>por</w:t>
      </w:r>
      <w:r>
        <w:rPr>
          <w:color w:val="231F20"/>
          <w:spacing w:val="-15"/>
          <w:w w:val="110"/>
        </w:rPr>
        <w:t> </w:t>
      </w:r>
      <w:r>
        <w:rPr>
          <w:color w:val="231F20"/>
          <w:w w:val="110"/>
        </w:rPr>
        <w:t>el</w:t>
      </w:r>
      <w:r>
        <w:rPr>
          <w:color w:val="231F20"/>
          <w:spacing w:val="-16"/>
          <w:w w:val="110"/>
        </w:rPr>
        <w:t> </w:t>
      </w:r>
      <w:r>
        <w:rPr>
          <w:rFonts w:ascii="Times New Roman" w:hAnsi="Times New Roman"/>
          <w:color w:val="231F20"/>
          <w:spacing w:val="-3"/>
          <w:w w:val="110"/>
          <w:sz w:val="16"/>
        </w:rPr>
        <w:t>ISSSTE</w:t>
      </w:r>
      <w:r>
        <w:rPr>
          <w:rFonts w:ascii="Times New Roman" w:hAnsi="Times New Roman"/>
          <w:color w:val="231F20"/>
          <w:spacing w:val="-11"/>
          <w:w w:val="110"/>
          <w:sz w:val="16"/>
        </w:rPr>
        <w:t> </w:t>
      </w:r>
      <w:r>
        <w:rPr>
          <w:color w:val="231F20"/>
          <w:w w:val="110"/>
        </w:rPr>
        <w:t>(15</w:t>
      </w:r>
      <w:r>
        <w:rPr>
          <w:color w:val="231F20"/>
          <w:spacing w:val="-15"/>
          <w:w w:val="110"/>
        </w:rPr>
        <w:t> </w:t>
      </w:r>
      <w:r>
        <w:rPr>
          <w:color w:val="231F20"/>
          <w:w w:val="110"/>
        </w:rPr>
        <w:t>por</w:t>
      </w:r>
      <w:r>
        <w:rPr>
          <w:color w:val="231F20"/>
          <w:spacing w:val="-15"/>
          <w:w w:val="110"/>
        </w:rPr>
        <w:t> </w:t>
      </w:r>
      <w:r>
        <w:rPr>
          <w:color w:val="231F20"/>
          <w:w w:val="110"/>
        </w:rPr>
        <w:t>ciento)</w:t>
      </w:r>
      <w:r>
        <w:rPr>
          <w:color w:val="231F20"/>
          <w:spacing w:val="-15"/>
          <w:w w:val="110"/>
        </w:rPr>
        <w:t> </w:t>
      </w:r>
      <w:r>
        <w:rPr>
          <w:color w:val="231F20"/>
          <w:w w:val="110"/>
        </w:rPr>
        <w:t>y</w:t>
      </w:r>
      <w:r>
        <w:rPr>
          <w:color w:val="231F20"/>
          <w:spacing w:val="-15"/>
          <w:w w:val="110"/>
        </w:rPr>
        <w:t> </w:t>
      </w:r>
      <w:r>
        <w:rPr>
          <w:color w:val="231F20"/>
          <w:w w:val="110"/>
        </w:rPr>
        <w:t>el</w:t>
      </w:r>
      <w:r>
        <w:rPr>
          <w:color w:val="231F20"/>
          <w:spacing w:val="-15"/>
          <w:w w:val="110"/>
        </w:rPr>
        <w:t> </w:t>
      </w:r>
      <w:r>
        <w:rPr>
          <w:color w:val="231F20"/>
          <w:w w:val="110"/>
        </w:rPr>
        <w:t>Seguro</w:t>
      </w:r>
      <w:r>
        <w:rPr>
          <w:color w:val="231F20"/>
          <w:spacing w:val="-15"/>
          <w:w w:val="110"/>
        </w:rPr>
        <w:t> </w:t>
      </w:r>
      <w:r>
        <w:rPr>
          <w:color w:val="231F20"/>
          <w:spacing w:val="-3"/>
          <w:w w:val="110"/>
        </w:rPr>
        <w:t>Popular </w:t>
      </w:r>
      <w:r>
        <w:rPr>
          <w:color w:val="231F20"/>
          <w:w w:val="110"/>
        </w:rPr>
        <w:t>(12 por ciento). En lo que respecta a la diferencia por sexo, la derechoha- biencia que otorga el </w:t>
      </w:r>
      <w:r>
        <w:rPr>
          <w:rFonts w:ascii="Times New Roman" w:hAnsi="Times New Roman"/>
          <w:color w:val="231F20"/>
          <w:w w:val="110"/>
          <w:sz w:val="16"/>
        </w:rPr>
        <w:t>IMSS </w:t>
      </w:r>
      <w:r>
        <w:rPr>
          <w:color w:val="231F20"/>
          <w:w w:val="110"/>
        </w:rPr>
        <w:t>predomina más en los hombres que en las mu- jeres (65.0 por ciento y 63.0 por ciento); seguida por hombres y mujeres </w:t>
      </w:r>
      <w:r>
        <w:rPr>
          <w:color w:val="231F20"/>
          <w:spacing w:val="2"/>
          <w:w w:val="110"/>
        </w:rPr>
        <w:t>del </w:t>
      </w:r>
      <w:r>
        <w:rPr>
          <w:rFonts w:ascii="Times New Roman" w:hAnsi="Times New Roman"/>
          <w:color w:val="231F20"/>
          <w:spacing w:val="2"/>
          <w:w w:val="110"/>
          <w:sz w:val="16"/>
        </w:rPr>
        <w:t>ISSSTE</w:t>
      </w:r>
      <w:r>
        <w:rPr>
          <w:rFonts w:ascii="Times New Roman" w:hAnsi="Times New Roman"/>
          <w:color w:val="231F20"/>
          <w:spacing w:val="2"/>
          <w:w w:val="110"/>
        </w:rPr>
        <w:t>, </w:t>
      </w:r>
      <w:r>
        <w:rPr>
          <w:color w:val="231F20"/>
          <w:spacing w:val="2"/>
          <w:w w:val="110"/>
        </w:rPr>
        <w:t>con </w:t>
      </w:r>
      <w:r>
        <w:rPr>
          <w:color w:val="231F20"/>
          <w:spacing w:val="3"/>
          <w:w w:val="110"/>
        </w:rPr>
        <w:t>15.0 </w:t>
      </w:r>
      <w:r>
        <w:rPr>
          <w:color w:val="231F20"/>
          <w:spacing w:val="2"/>
          <w:w w:val="110"/>
        </w:rPr>
        <w:t>por </w:t>
      </w:r>
      <w:r>
        <w:rPr>
          <w:color w:val="231F20"/>
          <w:spacing w:val="3"/>
          <w:w w:val="110"/>
        </w:rPr>
        <w:t>ciento ambos; </w:t>
      </w:r>
      <w:r>
        <w:rPr>
          <w:color w:val="231F20"/>
          <w:w w:val="110"/>
        </w:rPr>
        <w:t>el </w:t>
      </w:r>
      <w:r>
        <w:rPr>
          <w:color w:val="231F20"/>
          <w:spacing w:val="3"/>
          <w:w w:val="110"/>
        </w:rPr>
        <w:t>Seguro </w:t>
      </w:r>
      <w:r>
        <w:rPr>
          <w:color w:val="231F20"/>
          <w:spacing w:val="2"/>
          <w:w w:val="110"/>
        </w:rPr>
        <w:t>Popular </w:t>
      </w:r>
      <w:r>
        <w:rPr>
          <w:color w:val="231F20"/>
          <w:spacing w:val="3"/>
          <w:w w:val="110"/>
        </w:rPr>
        <w:t>cubre </w:t>
      </w:r>
      <w:r>
        <w:rPr>
          <w:color w:val="231F20"/>
          <w:w w:val="110"/>
        </w:rPr>
        <w:t>11 </w:t>
      </w:r>
      <w:r>
        <w:rPr>
          <w:color w:val="231F20"/>
          <w:spacing w:val="2"/>
          <w:w w:val="110"/>
        </w:rPr>
        <w:t>por </w:t>
      </w:r>
      <w:r>
        <w:rPr>
          <w:color w:val="231F20"/>
          <w:w w:val="110"/>
        </w:rPr>
        <w:t>ciento de los hombres y 13 por ciento de las </w:t>
      </w:r>
      <w:r>
        <w:rPr>
          <w:color w:val="231F20"/>
          <w:spacing w:val="31"/>
          <w:w w:val="110"/>
        </w:rPr>
        <w:t> </w:t>
      </w:r>
      <w:r>
        <w:rPr>
          <w:color w:val="231F20"/>
          <w:w w:val="110"/>
        </w:rPr>
        <w:t>mujeres.</w:t>
      </w:r>
    </w:p>
    <w:p>
      <w:pPr>
        <w:pStyle w:val="BodyText"/>
        <w:spacing w:line="295" w:lineRule="auto"/>
        <w:ind w:left="120" w:right="118" w:firstLine="360"/>
        <w:jc w:val="both"/>
      </w:pPr>
      <w:r>
        <w:rPr>
          <w:color w:val="231F20"/>
          <w:w w:val="110"/>
        </w:rPr>
        <w:t>Las cifras permiten entrever que la cobertura de seguridad social aún tiene un reto importante ante el aumento venidero de población con 60 años y más.</w:t>
      </w:r>
    </w:p>
    <w:p>
      <w:pPr>
        <w:pStyle w:val="BodyText"/>
        <w:spacing w:line="295" w:lineRule="auto"/>
        <w:ind w:left="120" w:right="117" w:firstLine="360"/>
        <w:jc w:val="both"/>
      </w:pPr>
      <w:r>
        <w:rPr>
          <w:color w:val="231F20"/>
          <w:w w:val="110"/>
        </w:rPr>
        <w:t>Si bien, opciones como el </w:t>
      </w:r>
      <w:r>
        <w:rPr>
          <w:rFonts w:ascii="Times New Roman" w:hAnsi="Times New Roman"/>
          <w:color w:val="231F20"/>
          <w:w w:val="110"/>
          <w:sz w:val="16"/>
        </w:rPr>
        <w:t>SP </w:t>
      </w:r>
      <w:r>
        <w:rPr>
          <w:color w:val="231F20"/>
          <w:w w:val="110"/>
        </w:rPr>
        <w:t>están aumentando su cobertura, no cuen- tan con la capacidad de cubrir y atender enfermedades crónico-degenera- tivas propias de la población en edad avanzada (</w:t>
      </w:r>
      <w:r>
        <w:rPr>
          <w:rFonts w:ascii="Times New Roman" w:hAnsi="Times New Roman"/>
          <w:color w:val="231F20"/>
          <w:w w:val="110"/>
          <w:sz w:val="16"/>
        </w:rPr>
        <w:t>CNPSS</w:t>
      </w:r>
      <w:r>
        <w:rPr>
          <w:color w:val="231F20"/>
          <w:w w:val="110"/>
        </w:rPr>
        <w:t>, 2010), lo que deja a esta población —sobre todo a la que reside en localidades rurales— en una mayor desventaja, al igual que la que está afiliada en localidades</w:t>
      </w:r>
      <w:r>
        <w:rPr>
          <w:color w:val="231F20"/>
          <w:spacing w:val="-10"/>
          <w:w w:val="110"/>
        </w:rPr>
        <w:t> </w:t>
      </w:r>
      <w:r>
        <w:rPr>
          <w:color w:val="231F20"/>
          <w:w w:val="110"/>
        </w:rPr>
        <w:t>urba- nas, pues ante la presencia de algún padecimiento crónico-degenerativo, son ellos mismos quienes deben cubrir sus gastos en atención a la salud    y en el mejor de los casos esta responsabilidad recaerá en algún familiar del adulto </w:t>
      </w:r>
      <w:r>
        <w:rPr>
          <w:color w:val="231F20"/>
          <w:spacing w:val="-3"/>
          <w:w w:val="110"/>
        </w:rPr>
        <w:t>mayor, </w:t>
      </w:r>
      <w:r>
        <w:rPr>
          <w:color w:val="231F20"/>
          <w:w w:val="110"/>
        </w:rPr>
        <w:t>lo cual no sólo hace vulnerable al propio adulto </w:t>
      </w:r>
      <w:r>
        <w:rPr>
          <w:color w:val="231F20"/>
          <w:spacing w:val="-3"/>
          <w:w w:val="110"/>
        </w:rPr>
        <w:t>mayor, </w:t>
      </w:r>
      <w:r>
        <w:rPr>
          <w:color w:val="231F20"/>
          <w:w w:val="110"/>
        </w:rPr>
        <w:t>sino también a su</w:t>
      </w:r>
      <w:r>
        <w:rPr>
          <w:color w:val="231F20"/>
          <w:spacing w:val="31"/>
          <w:w w:val="110"/>
        </w:rPr>
        <w:t> </w:t>
      </w:r>
      <w:r>
        <w:rPr>
          <w:color w:val="231F20"/>
          <w:w w:val="110"/>
        </w:rPr>
        <w:t>familia.</w:t>
      </w:r>
    </w:p>
    <w:p>
      <w:pPr>
        <w:pStyle w:val="BodyText"/>
      </w:pPr>
    </w:p>
    <w:p>
      <w:pPr>
        <w:pStyle w:val="BodyText"/>
        <w:spacing w:before="9"/>
        <w:rPr>
          <w:sz w:val="24"/>
        </w:rPr>
      </w:pPr>
    </w:p>
    <w:p>
      <w:pPr>
        <w:spacing w:line="249" w:lineRule="auto" w:before="0"/>
        <w:ind w:left="120" w:right="3728" w:firstLine="0"/>
        <w:jc w:val="left"/>
        <w:rPr>
          <w:rFonts w:ascii="Times New Roman" w:hAnsi="Times New Roman"/>
          <w:i/>
          <w:sz w:val="19"/>
        </w:rPr>
      </w:pPr>
      <w:r>
        <w:rPr>
          <w:rFonts w:ascii="Times New Roman" w:hAnsi="Times New Roman"/>
          <w:i/>
          <w:color w:val="231F20"/>
          <w:sz w:val="24"/>
        </w:rPr>
        <w:t>T</w:t>
      </w:r>
      <w:r>
        <w:rPr>
          <w:rFonts w:ascii="Times New Roman" w:hAnsi="Times New Roman"/>
          <w:i/>
          <w:color w:val="231F20"/>
          <w:sz w:val="19"/>
        </w:rPr>
        <w:t>RABAJO EN LAS EDADES AVANZADAS </w:t>
      </w:r>
      <w:r>
        <w:rPr>
          <w:rFonts w:ascii="Times New Roman" w:hAnsi="Times New Roman"/>
          <w:i/>
          <w:color w:val="231F20"/>
          <w:sz w:val="19"/>
        </w:rPr>
        <w:t>EN EL </w:t>
      </w:r>
      <w:r>
        <w:rPr>
          <w:rFonts w:ascii="Times New Roman" w:hAnsi="Times New Roman"/>
          <w:i/>
          <w:color w:val="231F20"/>
          <w:sz w:val="24"/>
        </w:rPr>
        <w:t>E</w:t>
      </w:r>
      <w:r>
        <w:rPr>
          <w:rFonts w:ascii="Times New Roman" w:hAnsi="Times New Roman"/>
          <w:i/>
          <w:color w:val="231F20"/>
          <w:sz w:val="19"/>
        </w:rPr>
        <w:t>STADO DE </w:t>
      </w:r>
      <w:r>
        <w:rPr>
          <w:rFonts w:ascii="Times New Roman" w:hAnsi="Times New Roman"/>
          <w:i/>
          <w:color w:val="231F20"/>
          <w:sz w:val="24"/>
        </w:rPr>
        <w:t>M</w:t>
      </w:r>
      <w:r>
        <w:rPr>
          <w:rFonts w:ascii="Times New Roman" w:hAnsi="Times New Roman"/>
          <w:i/>
          <w:color w:val="231F20"/>
          <w:sz w:val="19"/>
        </w:rPr>
        <w:t>ÉXICO</w:t>
      </w:r>
    </w:p>
    <w:p>
      <w:pPr>
        <w:pStyle w:val="BodyText"/>
        <w:spacing w:before="4"/>
        <w:rPr>
          <w:rFonts w:ascii="Times New Roman"/>
          <w:i/>
          <w:sz w:val="27"/>
        </w:rPr>
      </w:pPr>
    </w:p>
    <w:p>
      <w:pPr>
        <w:pStyle w:val="BodyText"/>
        <w:spacing w:line="295" w:lineRule="auto" w:before="1"/>
        <w:ind w:left="120" w:right="116"/>
        <w:jc w:val="both"/>
      </w:pPr>
      <w:r>
        <w:rPr>
          <w:color w:val="231F20"/>
          <w:w w:val="110"/>
        </w:rPr>
        <w:t>Una variable clave en el análisis de la vulnerabilidad económica de la po- blación adulta mayor es la de la participación económica, sobre todo al considerar que sólo un segmento reducido de la población cuenta con una pensión y que los estipendios son  reducidos.</w:t>
      </w:r>
    </w:p>
    <w:p>
      <w:pPr>
        <w:spacing w:after="0" w:line="295" w:lineRule="auto"/>
        <w:jc w:val="both"/>
        <w:sectPr>
          <w:footerReference w:type="default" r:id="rId160"/>
          <w:footerReference w:type="even" r:id="rId161"/>
          <w:pgSz w:w="9520" w:h="12920"/>
          <w:pgMar w:footer="1344" w:header="0" w:top="880" w:bottom="1540" w:left="1000" w:right="1320"/>
          <w:pgNumType w:start="193"/>
        </w:sectPr>
      </w:pPr>
    </w:p>
    <w:p>
      <w:pPr>
        <w:pStyle w:val="BodyText"/>
        <w:spacing w:line="295" w:lineRule="auto" w:before="42"/>
        <w:ind w:left="124" w:right="113" w:firstLine="360"/>
        <w:jc w:val="right"/>
      </w:pPr>
      <w:r>
        <w:rPr>
          <w:color w:val="231F20"/>
          <w:w w:val="110"/>
        </w:rPr>
        <w:t>La</w:t>
      </w:r>
      <w:r>
        <w:rPr>
          <w:color w:val="231F20"/>
          <w:spacing w:val="-23"/>
          <w:w w:val="110"/>
        </w:rPr>
        <w:t> </w:t>
      </w:r>
      <w:r>
        <w:rPr>
          <w:color w:val="231F20"/>
          <w:w w:val="110"/>
        </w:rPr>
        <w:t>participación</w:t>
      </w:r>
      <w:r>
        <w:rPr>
          <w:color w:val="231F20"/>
          <w:spacing w:val="-23"/>
          <w:w w:val="110"/>
        </w:rPr>
        <w:t> </w:t>
      </w:r>
      <w:r>
        <w:rPr>
          <w:color w:val="231F20"/>
          <w:w w:val="110"/>
        </w:rPr>
        <w:t>de</w:t>
      </w:r>
      <w:r>
        <w:rPr>
          <w:color w:val="231F20"/>
          <w:spacing w:val="-23"/>
          <w:w w:val="110"/>
        </w:rPr>
        <w:t> </w:t>
      </w:r>
      <w:r>
        <w:rPr>
          <w:color w:val="231F20"/>
          <w:w w:val="110"/>
        </w:rPr>
        <w:t>los</w:t>
      </w:r>
      <w:r>
        <w:rPr>
          <w:color w:val="231F20"/>
          <w:spacing w:val="-23"/>
          <w:w w:val="110"/>
        </w:rPr>
        <w:t> </w:t>
      </w:r>
      <w:r>
        <w:rPr>
          <w:color w:val="231F20"/>
          <w:w w:val="110"/>
        </w:rPr>
        <w:t>adultos</w:t>
      </w:r>
      <w:r>
        <w:rPr>
          <w:color w:val="231F20"/>
          <w:spacing w:val="-23"/>
          <w:w w:val="110"/>
        </w:rPr>
        <w:t> </w:t>
      </w:r>
      <w:r>
        <w:rPr>
          <w:color w:val="231F20"/>
          <w:w w:val="110"/>
        </w:rPr>
        <w:t>mayores</w:t>
      </w:r>
      <w:r>
        <w:rPr>
          <w:color w:val="231F20"/>
          <w:spacing w:val="-23"/>
          <w:w w:val="110"/>
        </w:rPr>
        <w:t> </w:t>
      </w:r>
      <w:r>
        <w:rPr>
          <w:color w:val="231F20"/>
          <w:w w:val="110"/>
        </w:rPr>
        <w:t>en</w:t>
      </w:r>
      <w:r>
        <w:rPr>
          <w:color w:val="231F20"/>
          <w:spacing w:val="-23"/>
          <w:w w:val="110"/>
        </w:rPr>
        <w:t> </w:t>
      </w:r>
      <w:r>
        <w:rPr>
          <w:color w:val="231F20"/>
          <w:w w:val="110"/>
        </w:rPr>
        <w:t>el</w:t>
      </w:r>
      <w:r>
        <w:rPr>
          <w:color w:val="231F20"/>
          <w:spacing w:val="-23"/>
          <w:w w:val="110"/>
        </w:rPr>
        <w:t> </w:t>
      </w:r>
      <w:r>
        <w:rPr>
          <w:color w:val="231F20"/>
          <w:w w:val="110"/>
        </w:rPr>
        <w:t>mercado</w:t>
      </w:r>
      <w:r>
        <w:rPr>
          <w:color w:val="231F20"/>
          <w:spacing w:val="-23"/>
          <w:w w:val="110"/>
        </w:rPr>
        <w:t> </w:t>
      </w:r>
      <w:r>
        <w:rPr>
          <w:color w:val="231F20"/>
          <w:w w:val="110"/>
        </w:rPr>
        <w:t>laboral</w:t>
      </w:r>
      <w:r>
        <w:rPr>
          <w:color w:val="231F20"/>
          <w:spacing w:val="-23"/>
          <w:w w:val="110"/>
        </w:rPr>
        <w:t> </w:t>
      </w:r>
      <w:r>
        <w:rPr>
          <w:color w:val="231F20"/>
          <w:w w:val="110"/>
        </w:rPr>
        <w:t>constituye</w:t>
      </w:r>
      <w:r>
        <w:rPr>
          <w:color w:val="231F20"/>
          <w:w w:val="109"/>
        </w:rPr>
        <w:t> </w:t>
      </w:r>
      <w:r>
        <w:rPr>
          <w:color w:val="231F20"/>
          <w:w w:val="110"/>
        </w:rPr>
        <w:t>una estrategia para garantizar los ingresos necesarios para</w:t>
      </w:r>
      <w:r>
        <w:rPr>
          <w:color w:val="231F20"/>
          <w:spacing w:val="2"/>
          <w:w w:val="110"/>
        </w:rPr>
        <w:t> </w:t>
      </w:r>
      <w:r>
        <w:rPr>
          <w:color w:val="231F20"/>
          <w:w w:val="110"/>
        </w:rPr>
        <w:t>satisfacer</w:t>
      </w:r>
      <w:r>
        <w:rPr>
          <w:color w:val="231F20"/>
          <w:spacing w:val="18"/>
          <w:w w:val="110"/>
        </w:rPr>
        <w:t> </w:t>
      </w:r>
      <w:r>
        <w:rPr>
          <w:color w:val="231F20"/>
          <w:w w:val="110"/>
        </w:rPr>
        <w:t>las</w:t>
      </w:r>
      <w:r>
        <w:rPr>
          <w:color w:val="231F20"/>
          <w:w w:val="118"/>
        </w:rPr>
        <w:t> </w:t>
      </w:r>
      <w:r>
        <w:rPr>
          <w:color w:val="231F20"/>
          <w:w w:val="110"/>
        </w:rPr>
        <w:t>necesidades básicas en alimento, vivienda, vestido y sobre todo</w:t>
      </w:r>
      <w:r>
        <w:rPr>
          <w:color w:val="231F20"/>
          <w:spacing w:val="32"/>
          <w:w w:val="110"/>
        </w:rPr>
        <w:t> </w:t>
      </w:r>
      <w:r>
        <w:rPr>
          <w:color w:val="231F20"/>
          <w:w w:val="110"/>
        </w:rPr>
        <w:t>en</w:t>
      </w:r>
      <w:r>
        <w:rPr>
          <w:color w:val="231F20"/>
          <w:spacing w:val="9"/>
          <w:w w:val="110"/>
        </w:rPr>
        <w:t> </w:t>
      </w:r>
      <w:r>
        <w:rPr>
          <w:color w:val="231F20"/>
          <w:w w:val="110"/>
        </w:rPr>
        <w:t>salud.</w:t>
      </w:r>
      <w:r>
        <w:rPr>
          <w:color w:val="231F20"/>
          <w:w w:val="111"/>
        </w:rPr>
        <w:t> </w:t>
      </w:r>
      <w:r>
        <w:rPr>
          <w:color w:val="231F20"/>
          <w:w w:val="110"/>
        </w:rPr>
        <w:t>En general, se espera que la actividad económica disminuya</w:t>
      </w:r>
      <w:r>
        <w:rPr>
          <w:color w:val="231F20"/>
          <w:spacing w:val="39"/>
          <w:w w:val="110"/>
        </w:rPr>
        <w:t> </w:t>
      </w:r>
      <w:r>
        <w:rPr>
          <w:color w:val="231F20"/>
          <w:w w:val="110"/>
        </w:rPr>
        <w:t>a</w:t>
      </w:r>
      <w:r>
        <w:rPr>
          <w:color w:val="231F20"/>
          <w:spacing w:val="9"/>
          <w:w w:val="110"/>
        </w:rPr>
        <w:t> </w:t>
      </w:r>
      <w:r>
        <w:rPr>
          <w:color w:val="231F20"/>
          <w:w w:val="110"/>
        </w:rPr>
        <w:t>medida</w:t>
      </w:r>
      <w:r>
        <w:rPr>
          <w:color w:val="231F20"/>
          <w:w w:val="107"/>
        </w:rPr>
        <w:t> </w:t>
      </w:r>
      <w:r>
        <w:rPr>
          <w:color w:val="231F20"/>
          <w:w w:val="110"/>
        </w:rPr>
        <w:t>que</w:t>
      </w:r>
      <w:r>
        <w:rPr>
          <w:color w:val="231F20"/>
          <w:spacing w:val="25"/>
          <w:w w:val="110"/>
        </w:rPr>
        <w:t> </w:t>
      </w:r>
      <w:r>
        <w:rPr>
          <w:color w:val="231F20"/>
          <w:w w:val="110"/>
        </w:rPr>
        <w:t>aumenta</w:t>
      </w:r>
      <w:r>
        <w:rPr>
          <w:color w:val="231F20"/>
          <w:spacing w:val="25"/>
          <w:w w:val="110"/>
        </w:rPr>
        <w:t> </w:t>
      </w:r>
      <w:r>
        <w:rPr>
          <w:color w:val="231F20"/>
          <w:w w:val="110"/>
        </w:rPr>
        <w:t>la</w:t>
      </w:r>
      <w:r>
        <w:rPr>
          <w:color w:val="231F20"/>
          <w:spacing w:val="25"/>
          <w:w w:val="110"/>
        </w:rPr>
        <w:t> </w:t>
      </w:r>
      <w:r>
        <w:rPr>
          <w:color w:val="231F20"/>
          <w:w w:val="110"/>
        </w:rPr>
        <w:t>edad.</w:t>
      </w:r>
      <w:r>
        <w:rPr>
          <w:color w:val="231F20"/>
          <w:spacing w:val="25"/>
          <w:w w:val="110"/>
        </w:rPr>
        <w:t> </w:t>
      </w:r>
      <w:r>
        <w:rPr>
          <w:color w:val="231F20"/>
          <w:w w:val="110"/>
        </w:rPr>
        <w:t>También</w:t>
      </w:r>
      <w:r>
        <w:rPr>
          <w:color w:val="231F20"/>
          <w:spacing w:val="25"/>
          <w:w w:val="110"/>
        </w:rPr>
        <w:t> </w:t>
      </w:r>
      <w:r>
        <w:rPr>
          <w:color w:val="231F20"/>
          <w:w w:val="110"/>
        </w:rPr>
        <w:t>se</w:t>
      </w:r>
      <w:r>
        <w:rPr>
          <w:color w:val="231F20"/>
          <w:spacing w:val="25"/>
          <w:w w:val="110"/>
        </w:rPr>
        <w:t> </w:t>
      </w:r>
      <w:r>
        <w:rPr>
          <w:color w:val="231F20"/>
          <w:w w:val="110"/>
        </w:rPr>
        <w:t>advierte</w:t>
      </w:r>
      <w:r>
        <w:rPr>
          <w:color w:val="231F20"/>
          <w:spacing w:val="25"/>
          <w:w w:val="110"/>
        </w:rPr>
        <w:t> </w:t>
      </w:r>
      <w:r>
        <w:rPr>
          <w:color w:val="231F20"/>
          <w:w w:val="110"/>
        </w:rPr>
        <w:t>que</w:t>
      </w:r>
      <w:r>
        <w:rPr>
          <w:color w:val="231F20"/>
          <w:spacing w:val="25"/>
          <w:w w:val="110"/>
        </w:rPr>
        <w:t> </w:t>
      </w:r>
      <w:r>
        <w:rPr>
          <w:color w:val="231F20"/>
          <w:w w:val="110"/>
        </w:rPr>
        <w:t>son</w:t>
      </w:r>
      <w:r>
        <w:rPr>
          <w:color w:val="231F20"/>
          <w:spacing w:val="25"/>
          <w:w w:val="110"/>
        </w:rPr>
        <w:t> </w:t>
      </w:r>
      <w:r>
        <w:rPr>
          <w:color w:val="231F20"/>
          <w:w w:val="110"/>
        </w:rPr>
        <w:t>los</w:t>
      </w:r>
      <w:r>
        <w:rPr>
          <w:color w:val="231F20"/>
          <w:spacing w:val="25"/>
          <w:w w:val="110"/>
        </w:rPr>
        <w:t> </w:t>
      </w:r>
      <w:r>
        <w:rPr>
          <w:color w:val="231F20"/>
          <w:w w:val="110"/>
        </w:rPr>
        <w:t>hombres</w:t>
      </w:r>
      <w:r>
        <w:rPr>
          <w:color w:val="231F20"/>
          <w:spacing w:val="25"/>
          <w:w w:val="110"/>
        </w:rPr>
        <w:t> </w:t>
      </w:r>
      <w:r>
        <w:rPr>
          <w:color w:val="231F20"/>
          <w:w w:val="110"/>
        </w:rPr>
        <w:t>adultos</w:t>
      </w:r>
      <w:r>
        <w:rPr>
          <w:color w:val="231F20"/>
          <w:w w:val="118"/>
        </w:rPr>
        <w:t> </w:t>
      </w:r>
      <w:r>
        <w:rPr>
          <w:color w:val="231F20"/>
          <w:w w:val="110"/>
        </w:rPr>
        <w:t>mayores quienes presentan mayores tasas de participación en</w:t>
      </w:r>
      <w:r>
        <w:rPr>
          <w:color w:val="231F20"/>
          <w:spacing w:val="39"/>
          <w:w w:val="110"/>
        </w:rPr>
        <w:t> </w:t>
      </w:r>
      <w:r>
        <w:rPr>
          <w:color w:val="231F20"/>
          <w:w w:val="110"/>
        </w:rPr>
        <w:t>el</w:t>
      </w:r>
      <w:r>
        <w:rPr>
          <w:color w:val="231F20"/>
          <w:spacing w:val="4"/>
          <w:w w:val="110"/>
        </w:rPr>
        <w:t> </w:t>
      </w:r>
      <w:r>
        <w:rPr>
          <w:color w:val="231F20"/>
          <w:w w:val="110"/>
        </w:rPr>
        <w:t>mercado</w:t>
      </w:r>
      <w:r>
        <w:rPr>
          <w:color w:val="231F20"/>
          <w:w w:val="109"/>
        </w:rPr>
        <w:t> </w:t>
      </w:r>
      <w:r>
        <w:rPr>
          <w:color w:val="231F20"/>
          <w:w w:val="110"/>
        </w:rPr>
        <w:t>laboral.</w:t>
      </w:r>
      <w:r>
        <w:rPr>
          <w:color w:val="231F20"/>
          <w:spacing w:val="-12"/>
          <w:w w:val="110"/>
        </w:rPr>
        <w:t> </w:t>
      </w:r>
      <w:r>
        <w:rPr>
          <w:color w:val="231F20"/>
          <w:w w:val="110"/>
        </w:rPr>
        <w:t>Kinsella</w:t>
      </w:r>
      <w:r>
        <w:rPr>
          <w:color w:val="231F20"/>
          <w:spacing w:val="-12"/>
          <w:w w:val="110"/>
        </w:rPr>
        <w:t> </w:t>
      </w:r>
      <w:r>
        <w:rPr>
          <w:color w:val="231F20"/>
          <w:w w:val="110"/>
        </w:rPr>
        <w:t>y</w:t>
      </w:r>
      <w:r>
        <w:rPr>
          <w:color w:val="231F20"/>
          <w:spacing w:val="-12"/>
          <w:w w:val="110"/>
        </w:rPr>
        <w:t> </w:t>
      </w:r>
      <w:r>
        <w:rPr>
          <w:color w:val="231F20"/>
          <w:w w:val="110"/>
        </w:rPr>
        <w:t>Phillips</w:t>
      </w:r>
      <w:r>
        <w:rPr>
          <w:color w:val="231F20"/>
          <w:spacing w:val="-12"/>
          <w:w w:val="110"/>
        </w:rPr>
        <w:t> </w:t>
      </w:r>
      <w:r>
        <w:rPr>
          <w:color w:val="231F20"/>
          <w:w w:val="110"/>
        </w:rPr>
        <w:t>(2005)</w:t>
      </w:r>
      <w:r>
        <w:rPr>
          <w:color w:val="231F20"/>
          <w:spacing w:val="-12"/>
          <w:w w:val="110"/>
        </w:rPr>
        <w:t> </w:t>
      </w:r>
      <w:r>
        <w:rPr>
          <w:color w:val="231F20"/>
          <w:w w:val="110"/>
        </w:rPr>
        <w:t>destacan</w:t>
      </w:r>
      <w:r>
        <w:rPr>
          <w:color w:val="231F20"/>
          <w:spacing w:val="-12"/>
          <w:w w:val="110"/>
        </w:rPr>
        <w:t> </w:t>
      </w:r>
      <w:r>
        <w:rPr>
          <w:color w:val="231F20"/>
          <w:w w:val="110"/>
        </w:rPr>
        <w:t>las</w:t>
      </w:r>
      <w:r>
        <w:rPr>
          <w:color w:val="231F20"/>
          <w:spacing w:val="-12"/>
          <w:w w:val="110"/>
        </w:rPr>
        <w:t> </w:t>
      </w:r>
      <w:r>
        <w:rPr>
          <w:color w:val="231F20"/>
          <w:w w:val="110"/>
        </w:rPr>
        <w:t>diferencias</w:t>
      </w:r>
      <w:r>
        <w:rPr>
          <w:color w:val="231F20"/>
          <w:spacing w:val="-12"/>
          <w:w w:val="110"/>
        </w:rPr>
        <w:t> </w:t>
      </w:r>
      <w:r>
        <w:rPr>
          <w:color w:val="231F20"/>
          <w:w w:val="110"/>
        </w:rPr>
        <w:t>que</w:t>
      </w:r>
      <w:r>
        <w:rPr>
          <w:color w:val="231F20"/>
          <w:spacing w:val="-12"/>
          <w:w w:val="110"/>
        </w:rPr>
        <w:t> </w:t>
      </w:r>
      <w:r>
        <w:rPr>
          <w:color w:val="231F20"/>
          <w:w w:val="110"/>
        </w:rPr>
        <w:t>existen</w:t>
      </w:r>
      <w:r>
        <w:rPr>
          <w:color w:val="231F20"/>
          <w:spacing w:val="-12"/>
          <w:w w:val="110"/>
        </w:rPr>
        <w:t> </w:t>
      </w:r>
      <w:r>
        <w:rPr>
          <w:color w:val="231F20"/>
          <w:w w:val="110"/>
        </w:rPr>
        <w:t>entre</w:t>
      </w:r>
      <w:r>
        <w:rPr>
          <w:color w:val="231F20"/>
          <w:w w:val="106"/>
        </w:rPr>
        <w:t> </w:t>
      </w:r>
      <w:r>
        <w:rPr>
          <w:color w:val="231F20"/>
          <w:w w:val="110"/>
        </w:rPr>
        <w:t>países. Los autores encuentran que en muchos países en</w:t>
      </w:r>
      <w:r>
        <w:rPr>
          <w:color w:val="231F20"/>
          <w:spacing w:val="25"/>
          <w:w w:val="110"/>
        </w:rPr>
        <w:t> </w:t>
      </w:r>
      <w:r>
        <w:rPr>
          <w:color w:val="231F20"/>
          <w:w w:val="110"/>
        </w:rPr>
        <w:t>desarrollo,</w:t>
      </w:r>
      <w:r>
        <w:rPr>
          <w:color w:val="231F20"/>
          <w:spacing w:val="19"/>
          <w:w w:val="110"/>
        </w:rPr>
        <w:t> </w:t>
      </w:r>
      <w:r>
        <w:rPr>
          <w:color w:val="231F20"/>
          <w:w w:val="110"/>
        </w:rPr>
        <w:t>más</w:t>
      </w:r>
      <w:r>
        <w:rPr>
          <w:color w:val="231F20"/>
          <w:w w:val="112"/>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mitad</w:t>
      </w:r>
      <w:r>
        <w:rPr>
          <w:color w:val="231F20"/>
          <w:spacing w:val="-9"/>
          <w:w w:val="110"/>
        </w:rPr>
        <w:t> </w:t>
      </w:r>
      <w:r>
        <w:rPr>
          <w:color w:val="231F20"/>
          <w:w w:val="110"/>
        </w:rPr>
        <w:t>de</w:t>
      </w:r>
      <w:r>
        <w:rPr>
          <w:color w:val="231F20"/>
          <w:spacing w:val="-9"/>
          <w:w w:val="110"/>
        </w:rPr>
        <w:t> </w:t>
      </w:r>
      <w:r>
        <w:rPr>
          <w:color w:val="231F20"/>
          <w:w w:val="110"/>
        </w:rPr>
        <w:t>todos</w:t>
      </w:r>
      <w:r>
        <w:rPr>
          <w:color w:val="231F20"/>
          <w:spacing w:val="-9"/>
          <w:w w:val="110"/>
        </w:rPr>
        <w:t> </w:t>
      </w:r>
      <w:r>
        <w:rPr>
          <w:color w:val="231F20"/>
          <w:w w:val="110"/>
        </w:rPr>
        <w:t>los</w:t>
      </w:r>
      <w:r>
        <w:rPr>
          <w:color w:val="231F20"/>
          <w:spacing w:val="-9"/>
          <w:w w:val="110"/>
        </w:rPr>
        <w:t> </w:t>
      </w:r>
      <w:r>
        <w:rPr>
          <w:color w:val="231F20"/>
          <w:w w:val="110"/>
        </w:rPr>
        <w:t>hombres</w:t>
      </w:r>
      <w:r>
        <w:rPr>
          <w:color w:val="231F20"/>
          <w:spacing w:val="-9"/>
          <w:w w:val="110"/>
        </w:rPr>
        <w:t> </w:t>
      </w:r>
      <w:r>
        <w:rPr>
          <w:color w:val="231F20"/>
          <w:w w:val="110"/>
        </w:rPr>
        <w:t>envejecidos</w:t>
      </w:r>
      <w:r>
        <w:rPr>
          <w:color w:val="231F20"/>
          <w:spacing w:val="-9"/>
          <w:w w:val="110"/>
        </w:rPr>
        <w:t> </w:t>
      </w:r>
      <w:r>
        <w:rPr>
          <w:color w:val="231F20"/>
          <w:w w:val="110"/>
        </w:rPr>
        <w:t>son</w:t>
      </w:r>
      <w:r>
        <w:rPr>
          <w:color w:val="231F20"/>
          <w:spacing w:val="-9"/>
          <w:w w:val="110"/>
        </w:rPr>
        <w:t> </w:t>
      </w:r>
      <w:r>
        <w:rPr>
          <w:color w:val="231F20"/>
          <w:w w:val="110"/>
        </w:rPr>
        <w:t>económicamente</w:t>
      </w:r>
      <w:r>
        <w:rPr>
          <w:color w:val="231F20"/>
          <w:spacing w:val="-9"/>
          <w:w w:val="110"/>
        </w:rPr>
        <w:t> </w:t>
      </w:r>
      <w:r>
        <w:rPr>
          <w:color w:val="231F20"/>
          <w:w w:val="110"/>
        </w:rPr>
        <w:t>activos,</w:t>
      </w:r>
      <w:r>
        <w:rPr>
          <w:color w:val="231F20"/>
          <w:w w:val="128"/>
        </w:rPr>
        <w:t> </w:t>
      </w:r>
      <w:r>
        <w:rPr>
          <w:color w:val="231F20"/>
          <w:w w:val="110"/>
        </w:rPr>
        <w:t>mientras que en los países desarrollados sólo dos por ciento</w:t>
      </w:r>
      <w:r>
        <w:rPr>
          <w:color w:val="231F20"/>
          <w:spacing w:val="36"/>
          <w:w w:val="110"/>
        </w:rPr>
        <w:t> </w:t>
      </w:r>
      <w:r>
        <w:rPr>
          <w:color w:val="231F20"/>
          <w:w w:val="110"/>
        </w:rPr>
        <w:t>participa</w:t>
      </w:r>
      <w:r>
        <w:rPr>
          <w:color w:val="231F20"/>
          <w:spacing w:val="13"/>
          <w:w w:val="110"/>
        </w:rPr>
        <w:t> </w:t>
      </w:r>
      <w:r>
        <w:rPr>
          <w:color w:val="231F20"/>
          <w:w w:val="110"/>
        </w:rPr>
        <w:t>en</w:t>
      </w:r>
      <w:r>
        <w:rPr>
          <w:color w:val="231F20"/>
          <w:w w:val="110"/>
        </w:rPr>
        <w:t> </w:t>
      </w:r>
      <w:r>
        <w:rPr>
          <w:color w:val="231F20"/>
          <w:w w:val="110"/>
        </w:rPr>
        <w:t>la</w:t>
      </w:r>
      <w:r>
        <w:rPr>
          <w:color w:val="231F20"/>
          <w:spacing w:val="38"/>
          <w:w w:val="110"/>
        </w:rPr>
        <w:t> </w:t>
      </w:r>
      <w:r>
        <w:rPr>
          <w:color w:val="231F20"/>
          <w:w w:val="110"/>
        </w:rPr>
        <w:t>actividad</w:t>
      </w:r>
      <w:r>
        <w:rPr>
          <w:color w:val="231F20"/>
          <w:spacing w:val="38"/>
          <w:w w:val="110"/>
        </w:rPr>
        <w:t> </w:t>
      </w:r>
      <w:r>
        <w:rPr>
          <w:color w:val="231F20"/>
          <w:w w:val="110"/>
        </w:rPr>
        <w:t>laboral.</w:t>
      </w:r>
      <w:r>
        <w:rPr>
          <w:color w:val="231F20"/>
          <w:spacing w:val="38"/>
          <w:w w:val="110"/>
        </w:rPr>
        <w:t> </w:t>
      </w:r>
      <w:r>
        <w:rPr>
          <w:color w:val="231F20"/>
          <w:w w:val="110"/>
        </w:rPr>
        <w:t>De</w:t>
      </w:r>
      <w:r>
        <w:rPr>
          <w:color w:val="231F20"/>
          <w:spacing w:val="38"/>
          <w:w w:val="110"/>
        </w:rPr>
        <w:t> </w:t>
      </w:r>
      <w:r>
        <w:rPr>
          <w:color w:val="231F20"/>
          <w:w w:val="110"/>
        </w:rPr>
        <w:t>hecho,</w:t>
      </w:r>
      <w:r>
        <w:rPr>
          <w:color w:val="231F20"/>
          <w:spacing w:val="38"/>
          <w:w w:val="110"/>
        </w:rPr>
        <w:t> </w:t>
      </w:r>
      <w:r>
        <w:rPr>
          <w:color w:val="231F20"/>
          <w:w w:val="110"/>
        </w:rPr>
        <w:t>muchas</w:t>
      </w:r>
      <w:r>
        <w:rPr>
          <w:color w:val="231F20"/>
          <w:spacing w:val="38"/>
          <w:w w:val="110"/>
        </w:rPr>
        <w:t> </w:t>
      </w:r>
      <w:r>
        <w:rPr>
          <w:color w:val="231F20"/>
          <w:w w:val="110"/>
        </w:rPr>
        <w:t>de</w:t>
      </w:r>
      <w:r>
        <w:rPr>
          <w:color w:val="231F20"/>
          <w:spacing w:val="38"/>
          <w:w w:val="110"/>
        </w:rPr>
        <w:t> </w:t>
      </w:r>
      <w:r>
        <w:rPr>
          <w:color w:val="231F20"/>
          <w:w w:val="110"/>
        </w:rPr>
        <w:t>las</w:t>
      </w:r>
      <w:r>
        <w:rPr>
          <w:color w:val="231F20"/>
          <w:spacing w:val="38"/>
          <w:w w:val="110"/>
        </w:rPr>
        <w:t> </w:t>
      </w:r>
      <w:r>
        <w:rPr>
          <w:color w:val="231F20"/>
          <w:w w:val="110"/>
        </w:rPr>
        <w:t>personas</w:t>
      </w:r>
      <w:r>
        <w:rPr>
          <w:color w:val="231F20"/>
          <w:spacing w:val="38"/>
          <w:w w:val="110"/>
        </w:rPr>
        <w:t> </w:t>
      </w:r>
      <w:r>
        <w:rPr>
          <w:color w:val="231F20"/>
          <w:w w:val="110"/>
        </w:rPr>
        <w:t>mayores</w:t>
      </w:r>
      <w:r>
        <w:rPr>
          <w:color w:val="231F20"/>
          <w:spacing w:val="38"/>
          <w:w w:val="110"/>
        </w:rPr>
        <w:t> </w:t>
      </w:r>
      <w:r>
        <w:rPr>
          <w:color w:val="231F20"/>
          <w:w w:val="110"/>
        </w:rPr>
        <w:t>en</w:t>
      </w:r>
      <w:r>
        <w:rPr>
          <w:color w:val="231F20"/>
          <w:spacing w:val="38"/>
          <w:w w:val="110"/>
        </w:rPr>
        <w:t> </w:t>
      </w:r>
      <w:r>
        <w:rPr>
          <w:color w:val="231F20"/>
          <w:w w:val="110"/>
        </w:rPr>
        <w:t>los</w:t>
      </w:r>
      <w:r>
        <w:rPr>
          <w:color w:val="231F20"/>
          <w:w w:val="118"/>
        </w:rPr>
        <w:t> </w:t>
      </w:r>
      <w:r>
        <w:rPr>
          <w:color w:val="231F20"/>
          <w:w w:val="110"/>
        </w:rPr>
        <w:t>países en desarrollo trabajan hasta que ya no son capaces, en</w:t>
      </w:r>
      <w:r>
        <w:rPr>
          <w:color w:val="231F20"/>
          <w:spacing w:val="38"/>
          <w:w w:val="110"/>
        </w:rPr>
        <w:t> </w:t>
      </w:r>
      <w:r>
        <w:rPr>
          <w:color w:val="231F20"/>
          <w:w w:val="110"/>
        </w:rPr>
        <w:t>su</w:t>
      </w:r>
      <w:r>
        <w:rPr>
          <w:color w:val="231F20"/>
          <w:spacing w:val="12"/>
          <w:w w:val="110"/>
        </w:rPr>
        <w:t> </w:t>
      </w:r>
      <w:r>
        <w:rPr>
          <w:color w:val="231F20"/>
          <w:w w:val="110"/>
        </w:rPr>
        <w:t>mayoría</w:t>
      </w:r>
      <w:r>
        <w:rPr>
          <w:color w:val="231F20"/>
          <w:w w:val="107"/>
        </w:rPr>
        <w:t> </w:t>
      </w:r>
      <w:r>
        <w:rPr>
          <w:color w:val="231F20"/>
          <w:w w:val="110"/>
        </w:rPr>
        <w:t>en la agricultura a pequeña escala y la producción artesanal y la</w:t>
      </w:r>
      <w:r>
        <w:rPr>
          <w:color w:val="231F20"/>
          <w:spacing w:val="32"/>
          <w:w w:val="110"/>
        </w:rPr>
        <w:t> </w:t>
      </w:r>
      <w:r>
        <w:rPr>
          <w:color w:val="231F20"/>
          <w:w w:val="110"/>
        </w:rPr>
        <w:t>economía</w:t>
      </w:r>
    </w:p>
    <w:p>
      <w:pPr>
        <w:pStyle w:val="BodyText"/>
        <w:spacing w:line="234" w:lineRule="exact"/>
        <w:ind w:left="124"/>
      </w:pPr>
      <w:r>
        <w:rPr>
          <w:color w:val="231F20"/>
          <w:w w:val="110"/>
        </w:rPr>
        <w:t>informal (Kalache, Barreto y Keller, 2005).</w:t>
      </w:r>
    </w:p>
    <w:p>
      <w:pPr>
        <w:pStyle w:val="BodyText"/>
        <w:spacing w:line="295" w:lineRule="auto" w:before="53"/>
        <w:ind w:left="124" w:right="109" w:firstLine="360"/>
        <w:jc w:val="both"/>
      </w:pPr>
      <w:r>
        <w:rPr>
          <w:color w:val="231F20"/>
          <w:w w:val="110"/>
        </w:rPr>
        <w:t>La principal condición de actividad es una variable que da cuenta de la vulnerabilidad social y económica que reporta la población adulta </w:t>
      </w:r>
      <w:r>
        <w:rPr>
          <w:color w:val="231F20"/>
          <w:spacing w:val="-3"/>
          <w:w w:val="110"/>
        </w:rPr>
        <w:t>mayor. </w:t>
      </w:r>
      <w:r>
        <w:rPr>
          <w:color w:val="231F20"/>
          <w:w w:val="110"/>
        </w:rPr>
        <w:t>Los porcentajes de la gráfica 3 muestran claras desigualdades entre las </w:t>
      </w:r>
      <w:r>
        <w:rPr>
          <w:color w:val="231F20"/>
          <w:spacing w:val="-4"/>
          <w:w w:val="110"/>
        </w:rPr>
        <w:t>actividades </w:t>
      </w:r>
      <w:r>
        <w:rPr>
          <w:color w:val="231F20"/>
          <w:spacing w:val="-3"/>
          <w:w w:val="110"/>
        </w:rPr>
        <w:t>que </w:t>
      </w:r>
      <w:r>
        <w:rPr>
          <w:color w:val="231F20"/>
          <w:spacing w:val="-4"/>
          <w:w w:val="110"/>
        </w:rPr>
        <w:t>realizan </w:t>
      </w:r>
      <w:r>
        <w:rPr>
          <w:color w:val="231F20"/>
          <w:spacing w:val="-3"/>
          <w:w w:val="110"/>
        </w:rPr>
        <w:t>las </w:t>
      </w:r>
      <w:r>
        <w:rPr>
          <w:color w:val="231F20"/>
          <w:spacing w:val="-4"/>
          <w:w w:val="110"/>
        </w:rPr>
        <w:t>mujeres </w:t>
      </w:r>
      <w:r>
        <w:rPr>
          <w:color w:val="231F20"/>
          <w:w w:val="110"/>
        </w:rPr>
        <w:t>y </w:t>
      </w:r>
      <w:r>
        <w:rPr>
          <w:color w:val="231F20"/>
          <w:spacing w:val="-3"/>
          <w:w w:val="110"/>
        </w:rPr>
        <w:t>los </w:t>
      </w:r>
      <w:r>
        <w:rPr>
          <w:color w:val="231F20"/>
          <w:spacing w:val="-4"/>
          <w:w w:val="110"/>
        </w:rPr>
        <w:t>hombres, tanto </w:t>
      </w:r>
      <w:r>
        <w:rPr>
          <w:color w:val="231F20"/>
          <w:w w:val="110"/>
        </w:rPr>
        <w:t>a </w:t>
      </w:r>
      <w:r>
        <w:rPr>
          <w:color w:val="231F20"/>
          <w:spacing w:val="-4"/>
          <w:w w:val="110"/>
        </w:rPr>
        <w:t>nivel estatal </w:t>
      </w:r>
      <w:r>
        <w:rPr>
          <w:color w:val="231F20"/>
          <w:spacing w:val="-3"/>
          <w:w w:val="110"/>
        </w:rPr>
        <w:t>como </w:t>
      </w:r>
      <w:r>
        <w:rPr>
          <w:color w:val="231F20"/>
          <w:w w:val="110"/>
        </w:rPr>
        <w:t>por tipo de localidad. Entre las mujeres, 65.8 por ciento se dedica a los quehaceres del hogar, </w:t>
      </w:r>
      <w:r>
        <w:rPr>
          <w:color w:val="231F20"/>
          <w:spacing w:val="-8"/>
          <w:w w:val="110"/>
        </w:rPr>
        <w:t>y,  </w:t>
      </w:r>
      <w:r>
        <w:rPr>
          <w:color w:val="231F20"/>
          <w:w w:val="110"/>
        </w:rPr>
        <w:t>como era de esperar, ello es más frecuente en    las</w:t>
      </w:r>
      <w:r>
        <w:rPr>
          <w:color w:val="231F20"/>
          <w:spacing w:val="-9"/>
          <w:w w:val="110"/>
        </w:rPr>
        <w:t> </w:t>
      </w:r>
      <w:r>
        <w:rPr>
          <w:color w:val="231F20"/>
          <w:w w:val="110"/>
        </w:rPr>
        <w:t>zonas</w:t>
      </w:r>
      <w:r>
        <w:rPr>
          <w:color w:val="231F20"/>
          <w:spacing w:val="-9"/>
          <w:w w:val="110"/>
        </w:rPr>
        <w:t> </w:t>
      </w:r>
      <w:r>
        <w:rPr>
          <w:color w:val="231F20"/>
          <w:w w:val="110"/>
        </w:rPr>
        <w:t>rurales</w:t>
      </w:r>
      <w:r>
        <w:rPr>
          <w:color w:val="231F20"/>
          <w:spacing w:val="-9"/>
          <w:w w:val="110"/>
        </w:rPr>
        <w:t> </w:t>
      </w:r>
      <w:r>
        <w:rPr>
          <w:color w:val="231F20"/>
          <w:w w:val="110"/>
        </w:rPr>
        <w:t>(73.3</w:t>
      </w:r>
      <w:r>
        <w:rPr>
          <w:color w:val="231F20"/>
          <w:spacing w:val="-9"/>
          <w:w w:val="110"/>
        </w:rPr>
        <w:t> </w:t>
      </w:r>
      <w:r>
        <w:rPr>
          <w:color w:val="231F20"/>
          <w:w w:val="110"/>
        </w:rPr>
        <w:t>por</w:t>
      </w:r>
      <w:r>
        <w:rPr>
          <w:color w:val="231F20"/>
          <w:spacing w:val="-9"/>
          <w:w w:val="110"/>
        </w:rPr>
        <w:t> </w:t>
      </w:r>
      <w:r>
        <w:rPr>
          <w:color w:val="231F20"/>
          <w:w w:val="110"/>
        </w:rPr>
        <w:t>ciento)</w:t>
      </w:r>
      <w:r>
        <w:rPr>
          <w:color w:val="231F20"/>
          <w:spacing w:val="-9"/>
          <w:w w:val="110"/>
        </w:rPr>
        <w:t> </w:t>
      </w:r>
      <w:r>
        <w:rPr>
          <w:color w:val="231F20"/>
          <w:w w:val="110"/>
        </w:rPr>
        <w:t>que</w:t>
      </w:r>
      <w:r>
        <w:rPr>
          <w:color w:val="231F20"/>
          <w:spacing w:val="-9"/>
          <w:w w:val="110"/>
        </w:rPr>
        <w:t> </w:t>
      </w:r>
      <w:r>
        <w:rPr>
          <w:color w:val="231F20"/>
          <w:w w:val="110"/>
        </w:rPr>
        <w:t>en</w:t>
      </w:r>
      <w:r>
        <w:rPr>
          <w:color w:val="231F20"/>
          <w:spacing w:val="-9"/>
          <w:w w:val="110"/>
        </w:rPr>
        <w:t> </w:t>
      </w:r>
      <w:r>
        <w:rPr>
          <w:color w:val="231F20"/>
          <w:w w:val="110"/>
        </w:rPr>
        <w:t>las</w:t>
      </w:r>
      <w:r>
        <w:rPr>
          <w:color w:val="231F20"/>
          <w:spacing w:val="-9"/>
          <w:w w:val="110"/>
        </w:rPr>
        <w:t> </w:t>
      </w:r>
      <w:r>
        <w:rPr>
          <w:color w:val="231F20"/>
          <w:w w:val="110"/>
        </w:rPr>
        <w:t>urbanas</w:t>
      </w:r>
      <w:r>
        <w:rPr>
          <w:color w:val="231F20"/>
          <w:spacing w:val="-9"/>
          <w:w w:val="110"/>
        </w:rPr>
        <w:t> </w:t>
      </w:r>
      <w:r>
        <w:rPr>
          <w:color w:val="231F20"/>
          <w:w w:val="110"/>
        </w:rPr>
        <w:t>(64.7</w:t>
      </w:r>
      <w:r>
        <w:rPr>
          <w:color w:val="231F20"/>
          <w:spacing w:val="-9"/>
          <w:w w:val="110"/>
        </w:rPr>
        <w:t> </w:t>
      </w:r>
      <w:r>
        <w:rPr>
          <w:color w:val="231F20"/>
          <w:w w:val="110"/>
        </w:rPr>
        <w:t>por</w:t>
      </w:r>
      <w:r>
        <w:rPr>
          <w:color w:val="231F20"/>
          <w:spacing w:val="-9"/>
          <w:w w:val="110"/>
        </w:rPr>
        <w:t> </w:t>
      </w:r>
      <w:r>
        <w:rPr>
          <w:color w:val="231F20"/>
          <w:w w:val="110"/>
        </w:rPr>
        <w:t>ciento).</w:t>
      </w:r>
      <w:r>
        <w:rPr>
          <w:color w:val="231F20"/>
          <w:spacing w:val="-9"/>
          <w:w w:val="110"/>
        </w:rPr>
        <w:t> </w:t>
      </w:r>
      <w:r>
        <w:rPr>
          <w:color w:val="231F20"/>
          <w:w w:val="110"/>
        </w:rPr>
        <w:t>Por el contrario, la población masculina que reporta los quehaceres del hogar como su principal condición de trabajo sólo representa 3.5 por ciento, en </w:t>
      </w:r>
      <w:r>
        <w:rPr>
          <w:color w:val="231F20"/>
          <w:spacing w:val="-3"/>
          <w:w w:val="110"/>
        </w:rPr>
        <w:t>las</w:t>
      </w:r>
      <w:r>
        <w:rPr>
          <w:color w:val="231F20"/>
          <w:spacing w:val="-6"/>
          <w:w w:val="110"/>
        </w:rPr>
        <w:t> </w:t>
      </w:r>
      <w:r>
        <w:rPr>
          <w:color w:val="231F20"/>
          <w:spacing w:val="-4"/>
          <w:w w:val="110"/>
        </w:rPr>
        <w:t>localidades</w:t>
      </w:r>
      <w:r>
        <w:rPr>
          <w:color w:val="231F20"/>
          <w:spacing w:val="-6"/>
          <w:w w:val="110"/>
        </w:rPr>
        <w:t> </w:t>
      </w:r>
      <w:r>
        <w:rPr>
          <w:color w:val="231F20"/>
          <w:spacing w:val="-4"/>
          <w:w w:val="110"/>
        </w:rPr>
        <w:t>rurales</w:t>
      </w:r>
      <w:r>
        <w:rPr>
          <w:color w:val="231F20"/>
          <w:spacing w:val="-6"/>
          <w:w w:val="110"/>
        </w:rPr>
        <w:t> </w:t>
      </w:r>
      <w:r>
        <w:rPr>
          <w:color w:val="231F20"/>
          <w:w w:val="110"/>
        </w:rPr>
        <w:t>es</w:t>
      </w:r>
      <w:r>
        <w:rPr>
          <w:color w:val="231F20"/>
          <w:spacing w:val="-6"/>
          <w:w w:val="110"/>
        </w:rPr>
        <w:t> </w:t>
      </w:r>
      <w:r>
        <w:rPr>
          <w:color w:val="231F20"/>
          <w:spacing w:val="-3"/>
          <w:w w:val="110"/>
        </w:rPr>
        <w:t>6.8</w:t>
      </w:r>
      <w:r>
        <w:rPr>
          <w:color w:val="231F20"/>
          <w:spacing w:val="-6"/>
          <w:w w:val="110"/>
        </w:rPr>
        <w:t> </w:t>
      </w:r>
      <w:r>
        <w:rPr>
          <w:color w:val="231F20"/>
          <w:spacing w:val="-3"/>
          <w:w w:val="110"/>
        </w:rPr>
        <w:t>por</w:t>
      </w:r>
      <w:r>
        <w:rPr>
          <w:color w:val="231F20"/>
          <w:spacing w:val="-6"/>
          <w:w w:val="110"/>
        </w:rPr>
        <w:t> </w:t>
      </w:r>
      <w:r>
        <w:rPr>
          <w:color w:val="231F20"/>
          <w:spacing w:val="-4"/>
          <w:w w:val="110"/>
        </w:rPr>
        <w:t>ciento</w:t>
      </w:r>
      <w:r>
        <w:rPr>
          <w:color w:val="231F20"/>
          <w:spacing w:val="-6"/>
          <w:w w:val="110"/>
        </w:rPr>
        <w:t> </w:t>
      </w:r>
      <w:r>
        <w:rPr>
          <w:color w:val="231F20"/>
          <w:w w:val="110"/>
        </w:rPr>
        <w:t>y</w:t>
      </w:r>
      <w:r>
        <w:rPr>
          <w:color w:val="231F20"/>
          <w:spacing w:val="-6"/>
          <w:w w:val="110"/>
        </w:rPr>
        <w:t> </w:t>
      </w:r>
      <w:r>
        <w:rPr>
          <w:color w:val="231F20"/>
          <w:w w:val="110"/>
        </w:rPr>
        <w:t>en</w:t>
      </w:r>
      <w:r>
        <w:rPr>
          <w:color w:val="231F20"/>
          <w:spacing w:val="-6"/>
          <w:w w:val="110"/>
        </w:rPr>
        <w:t> </w:t>
      </w:r>
      <w:r>
        <w:rPr>
          <w:color w:val="231F20"/>
          <w:spacing w:val="-3"/>
          <w:w w:val="110"/>
        </w:rPr>
        <w:t>las</w:t>
      </w:r>
      <w:r>
        <w:rPr>
          <w:color w:val="231F20"/>
          <w:spacing w:val="-6"/>
          <w:w w:val="110"/>
        </w:rPr>
        <w:t> </w:t>
      </w:r>
      <w:r>
        <w:rPr>
          <w:color w:val="231F20"/>
          <w:spacing w:val="-4"/>
          <w:w w:val="110"/>
        </w:rPr>
        <w:t>urbanas</w:t>
      </w:r>
      <w:r>
        <w:rPr>
          <w:color w:val="231F20"/>
          <w:spacing w:val="-6"/>
          <w:w w:val="110"/>
        </w:rPr>
        <w:t> </w:t>
      </w:r>
      <w:r>
        <w:rPr>
          <w:color w:val="231F20"/>
          <w:w w:val="110"/>
        </w:rPr>
        <w:t>3</w:t>
      </w:r>
      <w:r>
        <w:rPr>
          <w:color w:val="231F20"/>
          <w:spacing w:val="-6"/>
          <w:w w:val="110"/>
        </w:rPr>
        <w:t> </w:t>
      </w:r>
      <w:r>
        <w:rPr>
          <w:color w:val="231F20"/>
          <w:spacing w:val="-3"/>
          <w:w w:val="110"/>
        </w:rPr>
        <w:t>por</w:t>
      </w:r>
      <w:r>
        <w:rPr>
          <w:color w:val="231F20"/>
          <w:spacing w:val="-6"/>
          <w:w w:val="110"/>
        </w:rPr>
        <w:t> </w:t>
      </w:r>
      <w:r>
        <w:rPr>
          <w:color w:val="231F20"/>
          <w:spacing w:val="-4"/>
          <w:w w:val="110"/>
        </w:rPr>
        <w:t>ciento.</w:t>
      </w:r>
      <w:r>
        <w:rPr>
          <w:color w:val="231F20"/>
          <w:spacing w:val="-6"/>
          <w:w w:val="110"/>
        </w:rPr>
        <w:t> </w:t>
      </w:r>
      <w:r>
        <w:rPr>
          <w:color w:val="231F20"/>
          <w:spacing w:val="-5"/>
          <w:w w:val="110"/>
        </w:rPr>
        <w:t>Para</w:t>
      </w:r>
      <w:r>
        <w:rPr>
          <w:color w:val="231F20"/>
          <w:spacing w:val="-6"/>
          <w:w w:val="110"/>
        </w:rPr>
        <w:t> </w:t>
      </w:r>
      <w:r>
        <w:rPr>
          <w:color w:val="231F20"/>
          <w:spacing w:val="-3"/>
          <w:w w:val="110"/>
        </w:rPr>
        <w:t>los </w:t>
      </w:r>
      <w:r>
        <w:rPr>
          <w:color w:val="231F20"/>
          <w:w w:val="110"/>
        </w:rPr>
        <w:t>hombres en edades avanzadas, la actividad que predomina es el trabajo; aproximadamente la mitad de la población masculina en la entidad mexi- quense trabaja, en las localidades rurales el porcentaje es 54.9 por ciento y</w:t>
      </w:r>
      <w:r>
        <w:rPr>
          <w:color w:val="231F20"/>
          <w:spacing w:val="-16"/>
          <w:w w:val="110"/>
        </w:rPr>
        <w:t> </w:t>
      </w:r>
      <w:r>
        <w:rPr>
          <w:color w:val="231F20"/>
          <w:w w:val="110"/>
        </w:rPr>
        <w:t>en</w:t>
      </w:r>
      <w:r>
        <w:rPr>
          <w:color w:val="231F20"/>
          <w:spacing w:val="-16"/>
          <w:w w:val="110"/>
        </w:rPr>
        <w:t> </w:t>
      </w:r>
      <w:r>
        <w:rPr>
          <w:color w:val="231F20"/>
          <w:w w:val="110"/>
        </w:rPr>
        <w:t>las</w:t>
      </w:r>
      <w:r>
        <w:rPr>
          <w:color w:val="231F20"/>
          <w:spacing w:val="-16"/>
          <w:w w:val="110"/>
        </w:rPr>
        <w:t> </w:t>
      </w:r>
      <w:r>
        <w:rPr>
          <w:color w:val="231F20"/>
          <w:w w:val="110"/>
        </w:rPr>
        <w:t>urbanas</w:t>
      </w:r>
      <w:r>
        <w:rPr>
          <w:color w:val="231F20"/>
          <w:spacing w:val="-16"/>
          <w:w w:val="110"/>
        </w:rPr>
        <w:t> </w:t>
      </w:r>
      <w:r>
        <w:rPr>
          <w:color w:val="231F20"/>
          <w:w w:val="110"/>
        </w:rPr>
        <w:t>49.5</w:t>
      </w:r>
      <w:r>
        <w:rPr>
          <w:color w:val="231F20"/>
          <w:spacing w:val="-16"/>
          <w:w w:val="110"/>
        </w:rPr>
        <w:t> </w:t>
      </w:r>
      <w:r>
        <w:rPr>
          <w:color w:val="231F20"/>
          <w:w w:val="110"/>
        </w:rPr>
        <w:t>por</w:t>
      </w:r>
      <w:r>
        <w:rPr>
          <w:color w:val="231F20"/>
          <w:spacing w:val="-16"/>
          <w:w w:val="110"/>
        </w:rPr>
        <w:t> </w:t>
      </w:r>
      <w:r>
        <w:rPr>
          <w:color w:val="231F20"/>
          <w:w w:val="110"/>
        </w:rPr>
        <w:t>ciento.</w:t>
      </w:r>
      <w:r>
        <w:rPr>
          <w:color w:val="231F20"/>
          <w:spacing w:val="-16"/>
          <w:w w:val="110"/>
        </w:rPr>
        <w:t> </w:t>
      </w:r>
      <w:r>
        <w:rPr>
          <w:color w:val="231F20"/>
          <w:w w:val="110"/>
        </w:rPr>
        <w:t>Esta</w:t>
      </w:r>
      <w:r>
        <w:rPr>
          <w:color w:val="231F20"/>
          <w:spacing w:val="-16"/>
          <w:w w:val="110"/>
        </w:rPr>
        <w:t> </w:t>
      </w:r>
      <w:r>
        <w:rPr>
          <w:color w:val="231F20"/>
          <w:w w:val="110"/>
        </w:rPr>
        <w:t>condición</w:t>
      </w:r>
      <w:r>
        <w:rPr>
          <w:color w:val="231F20"/>
          <w:spacing w:val="-16"/>
          <w:w w:val="110"/>
        </w:rPr>
        <w:t> </w:t>
      </w:r>
      <w:r>
        <w:rPr>
          <w:color w:val="231F20"/>
          <w:w w:val="110"/>
        </w:rPr>
        <w:t>de</w:t>
      </w:r>
      <w:r>
        <w:rPr>
          <w:color w:val="231F20"/>
          <w:spacing w:val="-16"/>
          <w:w w:val="110"/>
        </w:rPr>
        <w:t> </w:t>
      </w:r>
      <w:r>
        <w:rPr>
          <w:color w:val="231F20"/>
          <w:w w:val="110"/>
        </w:rPr>
        <w:t>actividad</w:t>
      </w:r>
      <w:r>
        <w:rPr>
          <w:color w:val="231F20"/>
          <w:spacing w:val="-16"/>
          <w:w w:val="110"/>
        </w:rPr>
        <w:t> </w:t>
      </w:r>
      <w:r>
        <w:rPr>
          <w:color w:val="231F20"/>
          <w:w w:val="110"/>
        </w:rPr>
        <w:t>difiere</w:t>
      </w:r>
      <w:r>
        <w:rPr>
          <w:color w:val="231F20"/>
          <w:spacing w:val="-16"/>
          <w:w w:val="110"/>
        </w:rPr>
        <w:t> </w:t>
      </w:r>
      <w:r>
        <w:rPr>
          <w:color w:val="231F20"/>
          <w:w w:val="110"/>
        </w:rPr>
        <w:t>conside- rablemente entre las mujeres, ya que sólo 16.5 por ciento de ellas señaló  el </w:t>
      </w:r>
      <w:r>
        <w:rPr>
          <w:color w:val="231F20"/>
          <w:spacing w:val="2"/>
          <w:w w:val="110"/>
        </w:rPr>
        <w:t>trabajo como actividad principal, </w:t>
      </w:r>
      <w:r>
        <w:rPr>
          <w:color w:val="231F20"/>
          <w:w w:val="110"/>
        </w:rPr>
        <w:t>en las </w:t>
      </w:r>
      <w:r>
        <w:rPr>
          <w:color w:val="231F20"/>
          <w:spacing w:val="2"/>
          <w:w w:val="110"/>
        </w:rPr>
        <w:t>localidades rurales 13.4 </w:t>
      </w:r>
      <w:r>
        <w:rPr>
          <w:color w:val="231F20"/>
          <w:w w:val="110"/>
        </w:rPr>
        <w:t>por ciento se encuentra trabajando en el mercado laboral, mientras que en las urbanas 16.9 por</w:t>
      </w:r>
      <w:r>
        <w:rPr>
          <w:color w:val="231F20"/>
          <w:spacing w:val="9"/>
          <w:w w:val="110"/>
        </w:rPr>
        <w:t> </w:t>
      </w:r>
      <w:r>
        <w:rPr>
          <w:color w:val="231F20"/>
          <w:w w:val="110"/>
        </w:rPr>
        <w:t>ciento.</w:t>
      </w:r>
    </w:p>
    <w:p>
      <w:pPr>
        <w:spacing w:after="0" w:line="295" w:lineRule="auto"/>
        <w:jc w:val="both"/>
        <w:sectPr>
          <w:pgSz w:w="9520" w:h="12920"/>
          <w:pgMar w:header="0" w:footer="1344" w:top="880" w:bottom="1540" w:left="1320" w:right="1000"/>
        </w:sectPr>
      </w:pPr>
    </w:p>
    <w:p>
      <w:pPr>
        <w:spacing w:line="185" w:lineRule="exact" w:before="65"/>
        <w:ind w:left="1389" w:right="1407" w:firstLine="0"/>
        <w:jc w:val="center"/>
        <w:rPr>
          <w:sz w:val="16"/>
        </w:rPr>
      </w:pPr>
      <w:r>
        <w:rPr>
          <w:color w:val="231F20"/>
          <w:w w:val="105"/>
          <w:sz w:val="16"/>
        </w:rPr>
        <w:t>Gráfica 3</w:t>
      </w:r>
    </w:p>
    <w:p>
      <w:pPr>
        <w:spacing w:line="210" w:lineRule="exact" w:before="9"/>
        <w:ind w:left="1389" w:right="1407" w:firstLine="0"/>
        <w:jc w:val="center"/>
        <w:rPr>
          <w:sz w:val="19"/>
        </w:rPr>
      </w:pPr>
      <w:r>
        <w:rPr>
          <w:color w:val="231F20"/>
          <w:w w:val="90"/>
          <w:sz w:val="19"/>
        </w:rPr>
        <w:t>Distribución de la población según condición de actividad,</w:t>
      </w:r>
      <w:r>
        <w:rPr>
          <w:color w:val="231F20"/>
          <w:w w:val="86"/>
          <w:sz w:val="19"/>
        </w:rPr>
        <w:t> </w:t>
      </w:r>
      <w:r>
        <w:rPr>
          <w:color w:val="231F20"/>
          <w:w w:val="90"/>
          <w:sz w:val="19"/>
        </w:rPr>
        <w:t>sexo y localidad de residencia, Estado de México, 2010</w:t>
      </w:r>
    </w:p>
    <w:p>
      <w:pPr>
        <w:pStyle w:val="BodyText"/>
        <w:rPr>
          <w:sz w:val="15"/>
        </w:rPr>
      </w:pPr>
    </w:p>
    <w:p>
      <w:pPr>
        <w:spacing w:before="80"/>
        <w:ind w:left="349" w:right="0" w:firstLine="0"/>
        <w:jc w:val="left"/>
        <w:rPr>
          <w:sz w:val="14"/>
        </w:rPr>
      </w:pPr>
      <w:r>
        <w:rPr/>
        <w:pict>
          <v:group style="position:absolute;margin-left:84.25pt;margin-top:7.905179pt;width:302.25pt;height:134.4pt;mso-position-horizontal-relative:page;mso-position-vertical-relative:paragraph;z-index:-454528" coordorigin="1685,158" coordsize="6045,2688">
            <v:shape style="position:absolute;left:1688;top:161;width:6039;height:2682" coordorigin="1688,161" coordsize="6039,2682" path="m1688,2492l7598,2492,7727,2393,1874,2393,1745,2492m1688,161l1745,161,1745,2843m2720,2492l2720,2662m3698,2492l3698,2843m4673,2492l4673,2662m5642,2492l5642,2843m6620,2492l6620,2662m7598,2492l7598,2843m1745,2204l1688,2204m1745,1910l1688,1910m1745,1615l1688,1615m1745,1332l1688,1332m1745,1037l1688,1037m1745,742l1688,742m1745,449l1688,449e" filled="false" stroked="true" strokeweight=".3pt" strokecolor="#231f20">
              <v:path arrowok="t"/>
            </v:shape>
            <v:shape style="position:absolute;left:1900;top:825;width:202;height:29" coordorigin="1900,825" coordsize="202,29" path="m2102,825l1950,825,1900,854,2051,854,2102,825xe" filled="true" fillcolor="#808285" stroked="false">
              <v:path arrowok="t"/>
              <v:fill type="solid"/>
            </v:shape>
            <v:rect style="position:absolute;left:1900;top:854;width:151;height:1612" filled="true" fillcolor="#939598" stroked="false">
              <v:fill type="solid"/>
            </v:rect>
            <v:line style="position:absolute" from="2077,825" to="2077,2322" stroked="true" strokeweight="2.567pt" strokecolor="#6d6e71"/>
            <v:shape style="position:absolute;left:2051;top:2130;width:503;height:336" type="#_x0000_t75" stroked="false">
              <v:imagedata r:id="rId162" o:title=""/>
            </v:shape>
            <v:shape style="position:absolute;left:2500;top:1741;width:202;height:29" coordorigin="2500,1741" coordsize="202,29" path="m2702,1741l2550,1741,2500,1769,2651,1769,2702,1741xe" filled="true" fillcolor="#6d6e71" stroked="false">
              <v:path arrowok="t"/>
              <v:fill type="solid"/>
            </v:shape>
            <v:rect style="position:absolute;left:2500;top:1769;width:151;height:696" filled="true" fillcolor="#808285" stroked="false">
              <v:fill type="solid"/>
            </v:rect>
            <v:line style="position:absolute" from="2676,1741" to="2676,2466" stroked="true" strokeweight="2.567pt" strokecolor="#58595b"/>
            <v:shape style="position:absolute;left:2874;top:2041;width:202;height:424" type="#_x0000_t75" stroked="false">
              <v:imagedata r:id="rId163" o:title=""/>
            </v:shape>
            <v:shape style="position:absolute;left:3025;top:2041;width:52;height:425" coordorigin="3025,2041" coordsize="52,425" path="m3076,2041l3025,2069,3025,2465,3076,2436,3076,2041xe" filled="true" fillcolor="#6d6e71" stroked="false">
              <v:path arrowok="t"/>
              <v:fill type="solid"/>
            </v:shape>
            <v:shape style="position:absolute;left:3025;top:2408;width:202;height:29" coordorigin="3025,2408" coordsize="202,29" path="m3227,2408l3076,2408,3025,2437,3175,2437,3227,2408xe" filled="true" fillcolor="#a7a9ac" stroked="false">
              <v:path arrowok="t"/>
              <v:fill type="solid"/>
            </v:shape>
            <v:line style="position:absolute" from="3025,2451" to="3176,2451" stroked="true" strokeweight="1.439pt" strokecolor="#bcbec0"/>
            <v:shape style="position:absolute;left:3175;top:286;width:202;height:2178" coordorigin="3175,286" coordsize="202,2178" path="m3227,2408l3175,2437,3176,2464,3227,2436,3227,2408m3377,286l3225,286,3175,314,3325,314,3377,286e" filled="true" fillcolor="#939598" stroked="false">
              <v:path arrowok="t"/>
              <v:fill type="solid"/>
            </v:shape>
            <v:rect style="position:absolute;left:3175;top:314;width:151;height:2151" filled="true" fillcolor="#a7a9ac" stroked="false">
              <v:fill type="solid"/>
            </v:rect>
            <v:line style="position:absolute" from="3351,286" to="3351,2284" stroked="true" strokeweight="2.567pt" strokecolor="#808285"/>
            <v:shape style="position:absolute;left:3325;top:2233;width:352;height:233" type="#_x0000_t75" stroked="false">
              <v:imagedata r:id="rId164" o:title=""/>
            </v:shape>
            <v:shape style="position:absolute;left:3847;top:984;width:202;height:29" coordorigin="3847,984" coordsize="202,29" path="m4049,984l3897,984,3847,1012,3998,1012,4049,984xe" filled="true" fillcolor="#808285" stroked="false">
              <v:path arrowok="t"/>
              <v:fill type="solid"/>
            </v:shape>
            <v:rect style="position:absolute;left:3847;top:1012;width:151;height:1454" filled="true" fillcolor="#939598" stroked="false">
              <v:fill type="solid"/>
            </v:rect>
            <v:line style="position:absolute" from="4023,984" to="4023,1602" stroked="true" strokeweight="2.578pt" strokecolor="#6d6e71"/>
            <v:shape style="position:absolute;left:3997;top:1574;width:202;height:29" coordorigin="3997,1574" coordsize="202,29" path="m4199,1574l4048,1574,3997,1602,4148,1602,4199,1574xe" filled="true" fillcolor="#a7a9ac" stroked="false">
              <v:path arrowok="t"/>
              <v:fill type="solid"/>
            </v:shape>
            <v:rect style="position:absolute;left:3997;top:1602;width:151;height:864" filled="true" fillcolor="#bcbec0" stroked="false">
              <v:fill type="solid"/>
            </v:rect>
            <v:line style="position:absolute" from="4174,1574" to="4174,2370" stroked="true" strokeweight="2.567pt" strokecolor="#8a8c8e"/>
            <v:shape style="position:absolute;left:4148;top:2049;width:503;height:416" type="#_x0000_t75" stroked="false">
              <v:imagedata r:id="rId165" o:title=""/>
            </v:shape>
            <v:shape style="position:absolute;left:4600;top:2049;width:52;height:417" coordorigin="4600,2049" coordsize="52,417" path="m4651,2049l4600,2078,4600,2466,4651,2436,4651,2049xe" filled="true" fillcolor="#58595b" stroked="false">
              <v:path arrowok="t"/>
              <v:fill type="solid"/>
            </v:shape>
            <v:shape style="position:absolute;left:5816;top:983;width:202;height:29" coordorigin="5816,983" coordsize="202,29" path="m6018,983l5866,983,5816,1011,5967,1011,6018,983xe" filled="true" fillcolor="#808285" stroked="false">
              <v:path arrowok="t"/>
              <v:fill type="solid"/>
            </v:shape>
            <v:rect style="position:absolute;left:5816;top:1011;width:151;height:1454" filled="true" fillcolor="#939598" stroked="false">
              <v:fill type="solid"/>
            </v:rect>
            <v:line style="position:absolute" from="5992,983" to="5992,1689" stroked="true" strokeweight="2.579pt" strokecolor="#6d6e71"/>
            <v:shape style="position:absolute;left:5966;top:1661;width:202;height:29" coordorigin="5966,1661" coordsize="202,29" path="m6168,1661l6017,1661,5966,1689,6117,1689,6168,1661xe" filled="true" fillcolor="#a7a9ac" stroked="false">
              <v:path arrowok="t"/>
              <v:fill type="solid"/>
            </v:shape>
            <v:rect style="position:absolute;left:5966;top:1689;width:151;height:776" filled="true" fillcolor="#bcbec0" stroked="false">
              <v:fill type="solid"/>
            </v:rect>
            <v:line style="position:absolute" from="6143,1661" to="6143,2465" stroked="true" strokeweight="2.567pt" strokecolor="#8a8c8e"/>
            <v:shape style="position:absolute;left:6118;top:2257;width:352;height:208" type="#_x0000_t75" stroked="false">
              <v:imagedata r:id="rId166" o:title=""/>
            </v:shape>
            <v:shape style="position:absolute;left:6418;top:2010;width:202;height:29" coordorigin="6418,2010" coordsize="202,29" path="m6620,2010l6468,2010,6418,2038,6569,2038,6620,2010xe" filled="true" fillcolor="#6d6e71" stroked="false">
              <v:path arrowok="t"/>
              <v:fill type="solid"/>
            </v:shape>
            <v:rect style="position:absolute;left:6418;top:2038;width:151;height:427" filled="true" fillcolor="#808285" stroked="false">
              <v:fill type="solid"/>
            </v:rect>
            <v:shape style="position:absolute;left:6569;top:2010;width:52;height:456" coordorigin="6569,2010" coordsize="52,456" path="m6620,2010l6569,2038,6569,2465,6620,2435,6620,2010xe" filled="true" fillcolor="#58595b" stroked="false">
              <v:path arrowok="t"/>
              <v:fill type="solid"/>
            </v:shape>
            <v:shape style="position:absolute;left:4827;top:1933;width:202;height:29" coordorigin="4827,1933" coordsize="202,29" path="m5029,1933l4877,1933,4827,1962,4978,1962,5029,1933xe" filled="true" fillcolor="#808285" stroked="false">
              <v:path arrowok="t"/>
              <v:fill type="solid"/>
            </v:shape>
            <v:rect style="position:absolute;left:4827;top:1962;width:151;height:504" filled="true" fillcolor="#939598" stroked="false">
              <v:fill type="solid"/>
            </v:rect>
            <v:shape style="position:absolute;left:4978;top:1933;width:52;height:425" coordorigin="4978,1933" coordsize="52,425" path="m5029,1933l4978,1962,4978,2358,5029,2328,5029,1933xe" filled="true" fillcolor="#6d6e71" stroked="false">
              <v:path arrowok="t"/>
              <v:fill type="solid"/>
            </v:shape>
            <v:shape style="position:absolute;left:4978;top:2151;width:202;height:314" type="#_x0000_t75" stroked="false">
              <v:imagedata r:id="rId167" o:title=""/>
            </v:shape>
            <v:shape style="position:absolute;left:5128;top:540;width:202;height:29" coordorigin="5128,540" coordsize="202,29" path="m5330,540l5178,540,5128,569,5278,569,5330,540xe" filled="true" fillcolor="#939598" stroked="false">
              <v:path arrowok="t"/>
              <v:fill type="solid"/>
            </v:shape>
            <v:rect style="position:absolute;left:5128;top:569;width:151;height:1897" filled="true" fillcolor="#a7a9ac" stroked="false">
              <v:fill type="solid"/>
            </v:rect>
            <v:line style="position:absolute" from="5304,540" to="5304,2338" stroked="true" strokeweight="2.567pt" strokecolor="#808285"/>
            <v:shape style="position:absolute;left:5279;top:2286;width:352;height:180" type="#_x0000_t75" stroked="false">
              <v:imagedata r:id="rId168" o:title=""/>
            </v:shape>
            <v:shape style="position:absolute;left:6793;top:1937;width:202;height:29" coordorigin="6793,1937" coordsize="202,29" path="m6995,1937l6843,1937,6793,1966,6943,1966,6995,1937xe" filled="true" fillcolor="#808285" stroked="false">
              <v:path arrowok="t"/>
              <v:fill type="solid"/>
            </v:shape>
            <v:rect style="position:absolute;left:6793;top:1966;width:151;height:500" filled="true" fillcolor="#939598" stroked="false">
              <v:fill type="solid"/>
            </v:rect>
            <v:shape style="position:absolute;left:6943;top:1937;width:52;height:425" coordorigin="6943,1937" coordsize="52,425" path="m6995,1937l6943,1966,6944,2362,6995,2332,6995,1937xe" filled="true" fillcolor="#6d6e71" stroked="false">
              <v:path arrowok="t"/>
              <v:fill type="solid"/>
            </v:shape>
            <v:shape style="position:absolute;left:6943;top:2155;width:202;height:310" type="#_x0000_t75" stroked="false">
              <v:imagedata r:id="rId169" o:title=""/>
            </v:shape>
            <v:shape style="position:absolute;left:7094;top:544;width:202;height:29" coordorigin="7094,544" coordsize="202,29" path="m7296,544l7144,544,7094,572,7244,572,7296,544xe" filled="true" fillcolor="#939598" stroked="false">
              <v:path arrowok="t"/>
              <v:fill type="solid"/>
            </v:shape>
            <v:rect style="position:absolute;left:7094;top:573;width:151;height:1893" filled="true" fillcolor="#a7a9ac" stroked="false">
              <v:fill type="solid"/>
            </v:rect>
            <v:line style="position:absolute" from="7270,544" to="7270,2342" stroked="true" strokeweight="2.567pt" strokecolor="#808285"/>
            <v:shape style="position:absolute;left:7244;top:2290;width:352;height:175" type="#_x0000_t75" stroked="false">
              <v:imagedata r:id="rId170" o:title=""/>
            </v:shape>
            <v:shape style="position:absolute;left:1946;top:2584;width:614;height:140" type="#_x0000_t202" filled="false" stroked="false">
              <v:textbox inset="0,0,0,0">
                <w:txbxContent>
                  <w:p>
                    <w:pPr>
                      <w:spacing w:line="140" w:lineRule="exact" w:before="0"/>
                      <w:ind w:left="0" w:right="-11" w:firstLine="0"/>
                      <w:jc w:val="left"/>
                      <w:rPr>
                        <w:sz w:val="14"/>
                      </w:rPr>
                    </w:pPr>
                    <w:r>
                      <w:rPr>
                        <w:color w:val="231F20"/>
                        <w:w w:val="110"/>
                        <w:sz w:val="14"/>
                      </w:rPr>
                      <w:t>Hombres</w:t>
                    </w:r>
                  </w:p>
                </w:txbxContent>
              </v:textbox>
              <w10:wrap type="none"/>
            </v:shape>
            <v:shape style="position:absolute;left:2930;top:2584;width:538;height:140" type="#_x0000_t202" filled="false" stroked="false">
              <v:textbox inset="0,0,0,0">
                <w:txbxContent>
                  <w:p>
                    <w:pPr>
                      <w:spacing w:line="140" w:lineRule="exact" w:before="0"/>
                      <w:ind w:left="0" w:right="-14" w:firstLine="0"/>
                      <w:jc w:val="left"/>
                      <w:rPr>
                        <w:sz w:val="14"/>
                      </w:rPr>
                    </w:pPr>
                    <w:r>
                      <w:rPr>
                        <w:color w:val="231F20"/>
                        <w:w w:val="110"/>
                        <w:sz w:val="14"/>
                      </w:rPr>
                      <w:t>Mujeres</w:t>
                    </w:r>
                  </w:p>
                </w:txbxContent>
              </v:textbox>
              <w10:wrap type="none"/>
            </v:shape>
            <v:shape style="position:absolute;left:3913;top:2584;width:614;height:140" type="#_x0000_t202" filled="false" stroked="false">
              <v:textbox inset="0,0,0,0">
                <w:txbxContent>
                  <w:p>
                    <w:pPr>
                      <w:spacing w:line="140" w:lineRule="exact" w:before="0"/>
                      <w:ind w:left="0" w:right="-11" w:firstLine="0"/>
                      <w:jc w:val="left"/>
                      <w:rPr>
                        <w:sz w:val="14"/>
                      </w:rPr>
                    </w:pPr>
                    <w:r>
                      <w:rPr>
                        <w:color w:val="231F20"/>
                        <w:w w:val="110"/>
                        <w:sz w:val="14"/>
                      </w:rPr>
                      <w:t>Hombres</w:t>
                    </w:r>
                  </w:p>
                </w:txbxContent>
              </v:textbox>
              <w10:wrap type="none"/>
            </v:shape>
            <v:shape style="position:absolute;left:4897;top:2584;width:538;height:140" type="#_x0000_t202" filled="false" stroked="false">
              <v:textbox inset="0,0,0,0">
                <w:txbxContent>
                  <w:p>
                    <w:pPr>
                      <w:spacing w:line="140" w:lineRule="exact" w:before="0"/>
                      <w:ind w:left="0" w:right="-14" w:firstLine="0"/>
                      <w:jc w:val="left"/>
                      <w:rPr>
                        <w:sz w:val="14"/>
                      </w:rPr>
                    </w:pPr>
                    <w:r>
                      <w:rPr>
                        <w:color w:val="231F20"/>
                        <w:w w:val="110"/>
                        <w:sz w:val="14"/>
                      </w:rPr>
                      <w:t>Mujeres</w:t>
                    </w:r>
                  </w:p>
                </w:txbxContent>
              </v:textbox>
              <w10:wrap type="none"/>
            </v:shape>
            <v:shape style="position:absolute;left:5828;top:2584;width:614;height:140" type="#_x0000_t202" filled="false" stroked="false">
              <v:textbox inset="0,0,0,0">
                <w:txbxContent>
                  <w:p>
                    <w:pPr>
                      <w:spacing w:line="140" w:lineRule="exact" w:before="0"/>
                      <w:ind w:left="0" w:right="-11" w:firstLine="0"/>
                      <w:jc w:val="left"/>
                      <w:rPr>
                        <w:sz w:val="14"/>
                      </w:rPr>
                    </w:pPr>
                    <w:r>
                      <w:rPr>
                        <w:color w:val="231F20"/>
                        <w:w w:val="110"/>
                        <w:sz w:val="14"/>
                      </w:rPr>
                      <w:t>Hombres</w:t>
                    </w:r>
                  </w:p>
                </w:txbxContent>
              </v:textbox>
              <w10:wrap type="none"/>
            </v:shape>
            <v:shape style="position:absolute;left:6864;top:2584;width:538;height:140" type="#_x0000_t202" filled="false" stroked="false">
              <v:textbox inset="0,0,0,0">
                <w:txbxContent>
                  <w:p>
                    <w:pPr>
                      <w:spacing w:line="140" w:lineRule="exact" w:before="0"/>
                      <w:ind w:left="0" w:right="-14" w:firstLine="0"/>
                      <w:jc w:val="left"/>
                      <w:rPr>
                        <w:sz w:val="14"/>
                      </w:rPr>
                    </w:pPr>
                    <w:r>
                      <w:rPr>
                        <w:color w:val="231F20"/>
                        <w:w w:val="110"/>
                        <w:sz w:val="14"/>
                      </w:rPr>
                      <w:t>Mujeres</w:t>
                    </w:r>
                  </w:p>
                </w:txbxContent>
              </v:textbox>
              <w10:wrap type="none"/>
            </v:shape>
            <w10:wrap type="none"/>
          </v:group>
        </w:pict>
      </w:r>
      <w:r>
        <w:rPr>
          <w:color w:val="231F20"/>
          <w:w w:val="105"/>
          <w:sz w:val="14"/>
        </w:rPr>
        <w:t>80.0</w:t>
      </w:r>
    </w:p>
    <w:p>
      <w:pPr>
        <w:pStyle w:val="BodyText"/>
        <w:spacing w:before="9"/>
        <w:rPr>
          <w:sz w:val="10"/>
        </w:rPr>
      </w:pPr>
    </w:p>
    <w:p>
      <w:pPr>
        <w:spacing w:before="0"/>
        <w:ind w:left="349" w:right="0" w:firstLine="0"/>
        <w:jc w:val="left"/>
        <w:rPr>
          <w:sz w:val="14"/>
        </w:rPr>
      </w:pPr>
      <w:r>
        <w:rPr>
          <w:color w:val="231F20"/>
          <w:w w:val="105"/>
          <w:sz w:val="14"/>
        </w:rPr>
        <w:t>70.0</w:t>
      </w:r>
    </w:p>
    <w:p>
      <w:pPr>
        <w:pStyle w:val="BodyText"/>
        <w:spacing w:before="9"/>
        <w:rPr>
          <w:sz w:val="10"/>
        </w:rPr>
      </w:pPr>
    </w:p>
    <w:p>
      <w:pPr>
        <w:spacing w:before="0"/>
        <w:ind w:left="349" w:right="0" w:firstLine="0"/>
        <w:jc w:val="left"/>
        <w:rPr>
          <w:sz w:val="14"/>
        </w:rPr>
      </w:pPr>
      <w:r>
        <w:rPr>
          <w:color w:val="231F20"/>
          <w:w w:val="105"/>
          <w:sz w:val="14"/>
        </w:rPr>
        <w:t>60.0</w:t>
      </w:r>
    </w:p>
    <w:p>
      <w:pPr>
        <w:pStyle w:val="BodyText"/>
        <w:spacing w:before="9"/>
        <w:rPr>
          <w:sz w:val="10"/>
        </w:rPr>
      </w:pPr>
    </w:p>
    <w:p>
      <w:pPr>
        <w:spacing w:before="0"/>
        <w:ind w:left="349" w:right="0" w:firstLine="0"/>
        <w:jc w:val="left"/>
        <w:rPr>
          <w:sz w:val="14"/>
        </w:rPr>
      </w:pPr>
      <w:r>
        <w:rPr>
          <w:color w:val="231F20"/>
          <w:w w:val="105"/>
          <w:sz w:val="14"/>
        </w:rPr>
        <w:t>50.0</w:t>
      </w:r>
    </w:p>
    <w:p>
      <w:pPr>
        <w:pStyle w:val="BodyText"/>
        <w:spacing w:before="9"/>
        <w:rPr>
          <w:sz w:val="10"/>
        </w:rPr>
      </w:pPr>
    </w:p>
    <w:p>
      <w:pPr>
        <w:spacing w:before="0"/>
        <w:ind w:left="349" w:right="0" w:firstLine="0"/>
        <w:jc w:val="left"/>
        <w:rPr>
          <w:sz w:val="14"/>
        </w:rPr>
      </w:pPr>
      <w:r>
        <w:rPr>
          <w:color w:val="231F20"/>
          <w:w w:val="105"/>
          <w:sz w:val="14"/>
        </w:rPr>
        <w:t>40.0</w:t>
      </w:r>
    </w:p>
    <w:p>
      <w:pPr>
        <w:pStyle w:val="BodyText"/>
        <w:spacing w:before="9"/>
        <w:rPr>
          <w:sz w:val="10"/>
        </w:rPr>
      </w:pPr>
    </w:p>
    <w:p>
      <w:pPr>
        <w:spacing w:before="0"/>
        <w:ind w:left="349" w:right="0" w:firstLine="0"/>
        <w:jc w:val="left"/>
        <w:rPr>
          <w:sz w:val="14"/>
        </w:rPr>
      </w:pPr>
      <w:r>
        <w:rPr>
          <w:color w:val="231F20"/>
          <w:w w:val="105"/>
          <w:sz w:val="14"/>
        </w:rPr>
        <w:t>30.0</w:t>
      </w:r>
    </w:p>
    <w:p>
      <w:pPr>
        <w:pStyle w:val="BodyText"/>
        <w:spacing w:before="9"/>
        <w:rPr>
          <w:sz w:val="10"/>
        </w:rPr>
      </w:pPr>
    </w:p>
    <w:p>
      <w:pPr>
        <w:spacing w:before="0"/>
        <w:ind w:left="349" w:right="0" w:firstLine="0"/>
        <w:jc w:val="left"/>
        <w:rPr>
          <w:sz w:val="14"/>
        </w:rPr>
      </w:pPr>
      <w:r>
        <w:rPr>
          <w:color w:val="231F20"/>
          <w:w w:val="105"/>
          <w:sz w:val="14"/>
        </w:rPr>
        <w:t>20.0</w:t>
      </w:r>
    </w:p>
    <w:p>
      <w:pPr>
        <w:pStyle w:val="BodyText"/>
        <w:spacing w:before="9"/>
        <w:rPr>
          <w:sz w:val="10"/>
        </w:rPr>
      </w:pPr>
    </w:p>
    <w:p>
      <w:pPr>
        <w:spacing w:before="0"/>
        <w:ind w:left="349" w:right="0" w:firstLine="0"/>
        <w:jc w:val="left"/>
        <w:rPr>
          <w:sz w:val="14"/>
        </w:rPr>
      </w:pPr>
      <w:r>
        <w:rPr>
          <w:color w:val="231F20"/>
          <w:w w:val="105"/>
          <w:sz w:val="14"/>
        </w:rPr>
        <w:t>10.0</w:t>
      </w:r>
    </w:p>
    <w:p>
      <w:pPr>
        <w:pStyle w:val="BodyText"/>
        <w:spacing w:before="9"/>
        <w:rPr>
          <w:sz w:val="10"/>
        </w:rPr>
      </w:pPr>
    </w:p>
    <w:p>
      <w:pPr>
        <w:spacing w:before="0"/>
        <w:ind w:left="544" w:right="0" w:firstLine="0"/>
        <w:jc w:val="left"/>
        <w:rPr>
          <w:sz w:val="14"/>
        </w:rPr>
      </w:pPr>
      <w:r>
        <w:rPr>
          <w:color w:val="231F20"/>
          <w:w w:val="102"/>
          <w:sz w:val="14"/>
        </w:rPr>
        <w:t>0</w:t>
      </w:r>
    </w:p>
    <w:p>
      <w:pPr>
        <w:pStyle w:val="BodyText"/>
        <w:spacing w:before="5"/>
        <w:rPr>
          <w:sz w:val="10"/>
        </w:rPr>
      </w:pPr>
    </w:p>
    <w:p>
      <w:pPr>
        <w:tabs>
          <w:tab w:pos="3444" w:val="left" w:leader="none"/>
          <w:tab w:pos="5451" w:val="left" w:leader="none"/>
        </w:tabs>
        <w:spacing w:before="79"/>
        <w:ind w:left="1533" w:right="0" w:firstLine="0"/>
        <w:jc w:val="left"/>
        <w:rPr>
          <w:sz w:val="14"/>
        </w:rPr>
      </w:pPr>
      <w:r>
        <w:rPr>
          <w:color w:val="231F20"/>
          <w:w w:val="110"/>
          <w:sz w:val="14"/>
        </w:rPr>
        <w:t>Rural</w:t>
        <w:tab/>
        <w:t>Urbana</w:t>
        <w:tab/>
      </w:r>
      <w:r>
        <w:rPr>
          <w:color w:val="231F20"/>
          <w:spacing w:val="-3"/>
          <w:w w:val="110"/>
          <w:sz w:val="14"/>
        </w:rPr>
        <w:t>Total</w:t>
      </w:r>
    </w:p>
    <w:p>
      <w:pPr>
        <w:spacing w:after="0"/>
        <w:jc w:val="left"/>
        <w:rPr>
          <w:sz w:val="14"/>
        </w:rPr>
        <w:sectPr>
          <w:pgSz w:w="9520" w:h="12920"/>
          <w:pgMar w:header="0" w:footer="1344" w:top="880" w:bottom="1540" w:left="1020" w:right="1320"/>
        </w:sectPr>
      </w:pPr>
    </w:p>
    <w:p>
      <w:pPr>
        <w:pStyle w:val="BodyText"/>
        <w:spacing w:before="8"/>
        <w:rPr>
          <w:sz w:val="11"/>
        </w:rPr>
      </w:pPr>
    </w:p>
    <w:p>
      <w:pPr>
        <w:spacing w:before="0"/>
        <w:ind w:left="939" w:right="0" w:firstLine="0"/>
        <w:jc w:val="left"/>
        <w:rPr>
          <w:sz w:val="14"/>
        </w:rPr>
      </w:pPr>
      <w:r>
        <w:rPr/>
        <w:pict>
          <v:line style="position:absolute;mso-position-horizontal-relative:page;mso-position-vertical-relative:paragraph;z-index:4384" from="89.166pt,3.529481pt" to="93.966pt,3.529481pt" stroked="true" strokeweight="4.2pt" strokecolor="#939598">
            <w10:wrap type="none"/>
          </v:line>
        </w:pict>
      </w:r>
      <w:r>
        <w:rPr>
          <w:color w:val="231F20"/>
          <w:w w:val="110"/>
          <w:sz w:val="14"/>
        </w:rPr>
        <w:t>Trabajó</w:t>
      </w:r>
    </w:p>
    <w:p>
      <w:pPr>
        <w:spacing w:line="350" w:lineRule="auto" w:before="75"/>
        <w:ind w:left="939" w:right="0" w:firstLine="0"/>
        <w:jc w:val="left"/>
        <w:rPr>
          <w:sz w:val="14"/>
        </w:rPr>
      </w:pPr>
      <w:r>
        <w:rPr/>
        <w:pict>
          <v:line style="position:absolute;mso-position-horizontal-relative:page;mso-position-vertical-relative:paragraph;z-index:4408" from="89.166pt,7.128132pt" to="93.966pt,7.128132pt" stroked="true" strokeweight="4.2pt" strokecolor="#bcbec0">
            <w10:wrap type="none"/>
          </v:line>
        </w:pict>
      </w:r>
      <w:r>
        <w:rPr/>
        <w:pict>
          <v:line style="position:absolute;mso-position-horizontal-relative:page;mso-position-vertical-relative:paragraph;z-index:4432" from="89.166pt,19.553133pt" to="93.966pt,19.553133pt" stroked="true" strokeweight="4.2pt" strokecolor="#a7a9ac">
            <w10:wrap type="none"/>
          </v:line>
        </w:pict>
      </w:r>
      <w:r>
        <w:rPr>
          <w:color w:val="231F20"/>
          <w:w w:val="110"/>
          <w:sz w:val="14"/>
        </w:rPr>
        <w:t>Se dedica a los quehaceres del hogar Otra situación</w:t>
      </w:r>
    </w:p>
    <w:p>
      <w:pPr>
        <w:pStyle w:val="BodyText"/>
        <w:spacing w:before="7"/>
        <w:rPr>
          <w:sz w:val="11"/>
        </w:rPr>
      </w:pPr>
      <w:r>
        <w:rPr/>
        <w:br w:type="column"/>
      </w:r>
      <w:r>
        <w:rPr>
          <w:sz w:val="11"/>
        </w:rPr>
      </w:r>
    </w:p>
    <w:p>
      <w:pPr>
        <w:spacing w:before="0"/>
        <w:ind w:left="867" w:right="0" w:firstLine="0"/>
        <w:jc w:val="left"/>
        <w:rPr>
          <w:sz w:val="14"/>
        </w:rPr>
      </w:pPr>
      <w:r>
        <w:rPr>
          <w:color w:val="231F20"/>
          <w:w w:val="105"/>
          <w:sz w:val="14"/>
        </w:rPr>
        <w:t>Pensionada (o) o jubilada (o)</w:t>
      </w:r>
    </w:p>
    <w:p>
      <w:pPr>
        <w:spacing w:before="76"/>
        <w:ind w:left="867" w:right="0" w:firstLine="0"/>
        <w:jc w:val="left"/>
        <w:rPr>
          <w:sz w:val="14"/>
        </w:rPr>
      </w:pPr>
      <w:r>
        <w:rPr/>
        <w:pict>
          <v:line style="position:absolute;mso-position-horizontal-relative:page;mso-position-vertical-relative:paragraph;z-index:4456" from="256.798004pt,-4.646868pt" to="261.598004pt,-4.646868pt" stroked="true" strokeweight="4.2pt" strokecolor="#d1d3d4">
            <w10:wrap type="none"/>
          </v:line>
        </w:pict>
      </w:r>
      <w:r>
        <w:rPr/>
        <w:pict>
          <v:line style="position:absolute;mso-position-horizontal-relative:page;mso-position-vertical-relative:paragraph;z-index:4480" from="256.798004pt,7.178132pt" to="261.598004pt,7.178132pt" stroked="true" strokeweight="4.2pt" strokecolor="#808285">
            <w10:wrap type="none"/>
          </v:line>
        </w:pict>
      </w:r>
      <w:r>
        <w:rPr>
          <w:color w:val="231F20"/>
          <w:w w:val="110"/>
          <w:sz w:val="14"/>
        </w:rPr>
        <w:t>Tiene alguna limitación física o mental</w:t>
      </w:r>
    </w:p>
    <w:p>
      <w:pPr>
        <w:spacing w:after="0"/>
        <w:jc w:val="left"/>
        <w:rPr>
          <w:sz w:val="14"/>
        </w:rPr>
        <w:sectPr>
          <w:type w:val="continuous"/>
          <w:pgSz w:w="9520" w:h="12920"/>
          <w:pgMar w:top="0" w:bottom="0" w:left="1020" w:right="1320"/>
          <w:cols w:num="2" w:equalWidth="0">
            <w:col w:w="3383" w:space="40"/>
            <w:col w:w="3757"/>
          </w:cols>
        </w:sectPr>
      </w:pPr>
    </w:p>
    <w:p>
      <w:pPr>
        <w:spacing w:line="173" w:lineRule="exact" w:before="0"/>
        <w:ind w:left="460" w:right="0" w:firstLine="0"/>
        <w:jc w:val="left"/>
        <w:rPr>
          <w:sz w:val="15"/>
        </w:rPr>
      </w:pPr>
      <w:r>
        <w:rPr>
          <w:color w:val="231F20"/>
          <w:w w:val="110"/>
          <w:sz w:val="15"/>
        </w:rPr>
        <w:t>Fuente: Elaboración propia con base en el Censo de Población y Vivienda, </w:t>
      </w:r>
      <w:r>
        <w:rPr>
          <w:rFonts w:ascii="Times New Roman" w:hAnsi="Times New Roman"/>
          <w:color w:val="231F20"/>
          <w:w w:val="110"/>
          <w:sz w:val="12"/>
        </w:rPr>
        <w:t>INEGI</w:t>
      </w:r>
      <w:r>
        <w:rPr>
          <w:color w:val="231F20"/>
          <w:w w:val="110"/>
          <w:sz w:val="15"/>
        </w:rPr>
        <w:t>,  2010.</w:t>
      </w:r>
    </w:p>
    <w:p>
      <w:pPr>
        <w:pStyle w:val="BodyText"/>
        <w:rPr>
          <w:sz w:val="14"/>
        </w:rPr>
      </w:pPr>
    </w:p>
    <w:p>
      <w:pPr>
        <w:pStyle w:val="BodyText"/>
        <w:rPr>
          <w:sz w:val="15"/>
        </w:rPr>
      </w:pPr>
    </w:p>
    <w:p>
      <w:pPr>
        <w:pStyle w:val="BodyText"/>
        <w:spacing w:line="288" w:lineRule="auto"/>
        <w:ind w:left="100" w:right="113" w:firstLine="360"/>
        <w:jc w:val="both"/>
      </w:pPr>
      <w:r>
        <w:rPr>
          <w:color w:val="231F20"/>
          <w:w w:val="110"/>
        </w:rPr>
        <w:t>Las estadísticas de la gráfica 3 indican que es poca la población mexi- quense que está pensionada. Asimismo, resaltan las desigualdades por sexo, pues mientras sólo 8.5 por ciento de las mujeres está pensionada o jubilada, entre los hombres esta proporción es 26.2. Destacan las cifras que se presentan en las localidades rurales, ya que menos del 1 por ciento de las mujeres y 4.6 por ciento de los hombres son   pensionados.</w:t>
      </w:r>
    </w:p>
    <w:p>
      <w:pPr>
        <w:pStyle w:val="BodyText"/>
      </w:pPr>
    </w:p>
    <w:p>
      <w:pPr>
        <w:pStyle w:val="BodyText"/>
        <w:spacing w:before="10"/>
        <w:rPr>
          <w:sz w:val="24"/>
        </w:rPr>
      </w:pPr>
    </w:p>
    <w:p>
      <w:pPr>
        <w:spacing w:before="0"/>
        <w:ind w:left="100" w:right="0" w:firstLine="0"/>
        <w:jc w:val="both"/>
        <w:rPr>
          <w:rFonts w:ascii="Times New Roman" w:hAnsi="Times New Roman"/>
          <w:i/>
          <w:sz w:val="19"/>
        </w:rPr>
      </w:pPr>
      <w:r>
        <w:rPr>
          <w:rFonts w:ascii="Times New Roman" w:hAnsi="Times New Roman"/>
          <w:i/>
          <w:color w:val="231F20"/>
          <w:sz w:val="24"/>
        </w:rPr>
        <w:t>A </w:t>
      </w:r>
      <w:r>
        <w:rPr>
          <w:rFonts w:ascii="Times New Roman" w:hAnsi="Times New Roman"/>
          <w:i/>
          <w:color w:val="231F20"/>
          <w:sz w:val="19"/>
        </w:rPr>
        <w:t>MANERA DE CONCLUSIÓN</w:t>
      </w:r>
    </w:p>
    <w:p>
      <w:pPr>
        <w:pStyle w:val="BodyText"/>
        <w:spacing w:before="9"/>
        <w:rPr>
          <w:rFonts w:ascii="Times New Roman"/>
          <w:i/>
          <w:sz w:val="27"/>
        </w:rPr>
      </w:pPr>
    </w:p>
    <w:p>
      <w:pPr>
        <w:pStyle w:val="BodyText"/>
        <w:spacing w:line="288" w:lineRule="auto"/>
        <w:ind w:left="100" w:right="117"/>
        <w:jc w:val="both"/>
      </w:pPr>
      <w:r>
        <w:rPr>
          <w:color w:val="231F20"/>
          <w:w w:val="110"/>
        </w:rPr>
        <w:t>Las características económicas en la vejez aparecen como uno de los</w:t>
      </w:r>
      <w:r>
        <w:rPr>
          <w:color w:val="231F20"/>
          <w:spacing w:val="-25"/>
          <w:w w:val="110"/>
        </w:rPr>
        <w:t> </w:t>
      </w:r>
      <w:r>
        <w:rPr>
          <w:color w:val="231F20"/>
          <w:w w:val="110"/>
        </w:rPr>
        <w:t>facto- res</w:t>
      </w:r>
      <w:r>
        <w:rPr>
          <w:color w:val="231F20"/>
          <w:spacing w:val="-17"/>
          <w:w w:val="110"/>
        </w:rPr>
        <w:t> </w:t>
      </w:r>
      <w:r>
        <w:rPr>
          <w:color w:val="231F20"/>
          <w:w w:val="110"/>
        </w:rPr>
        <w:t>más</w:t>
      </w:r>
      <w:r>
        <w:rPr>
          <w:color w:val="231F20"/>
          <w:spacing w:val="-17"/>
          <w:w w:val="110"/>
        </w:rPr>
        <w:t> </w:t>
      </w:r>
      <w:r>
        <w:rPr>
          <w:color w:val="231F20"/>
          <w:w w:val="110"/>
        </w:rPr>
        <w:t>importantes</w:t>
      </w:r>
      <w:r>
        <w:rPr>
          <w:color w:val="231F20"/>
          <w:spacing w:val="-17"/>
          <w:w w:val="110"/>
        </w:rPr>
        <w:t> </w:t>
      </w:r>
      <w:r>
        <w:rPr>
          <w:color w:val="231F20"/>
          <w:w w:val="110"/>
        </w:rPr>
        <w:t>vinculados</w:t>
      </w:r>
      <w:r>
        <w:rPr>
          <w:color w:val="231F20"/>
          <w:spacing w:val="-17"/>
          <w:w w:val="110"/>
        </w:rPr>
        <w:t> </w:t>
      </w:r>
      <w:r>
        <w:rPr>
          <w:color w:val="231F20"/>
          <w:w w:val="110"/>
        </w:rPr>
        <w:t>con</w:t>
      </w:r>
      <w:r>
        <w:rPr>
          <w:color w:val="231F20"/>
          <w:spacing w:val="-17"/>
          <w:w w:val="110"/>
        </w:rPr>
        <w:t> </w:t>
      </w:r>
      <w:r>
        <w:rPr>
          <w:color w:val="231F20"/>
          <w:w w:val="110"/>
        </w:rPr>
        <w:t>la</w:t>
      </w:r>
      <w:r>
        <w:rPr>
          <w:color w:val="231F20"/>
          <w:spacing w:val="-17"/>
          <w:w w:val="110"/>
        </w:rPr>
        <w:t> </w:t>
      </w:r>
      <w:r>
        <w:rPr>
          <w:color w:val="231F20"/>
          <w:w w:val="110"/>
        </w:rPr>
        <w:t>vulnerabilidad</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población</w:t>
      </w:r>
      <w:r>
        <w:rPr>
          <w:color w:val="231F20"/>
          <w:spacing w:val="-17"/>
          <w:w w:val="110"/>
        </w:rPr>
        <w:t> </w:t>
      </w:r>
      <w:r>
        <w:rPr>
          <w:color w:val="231F20"/>
          <w:w w:val="110"/>
        </w:rPr>
        <w:t>adulta </w:t>
      </w:r>
      <w:r>
        <w:rPr>
          <w:color w:val="231F20"/>
          <w:spacing w:val="-3"/>
          <w:w w:val="110"/>
        </w:rPr>
        <w:t>mayor. </w:t>
      </w:r>
      <w:r>
        <w:rPr>
          <w:color w:val="231F20"/>
          <w:w w:val="110"/>
        </w:rPr>
        <w:t>Por lo general, el mayor nivel socioeconómico se asocia con meno- res niveles de vulnerabilidad. En la sección anterior se realizó un diagnós- </w:t>
      </w:r>
      <w:r>
        <w:rPr>
          <w:color w:val="231F20"/>
          <w:spacing w:val="-3"/>
          <w:w w:val="110"/>
        </w:rPr>
        <w:t>tico </w:t>
      </w:r>
      <w:r>
        <w:rPr>
          <w:color w:val="231F20"/>
          <w:spacing w:val="-4"/>
          <w:w w:val="110"/>
        </w:rPr>
        <w:t>exploratorio sobre </w:t>
      </w:r>
      <w:r>
        <w:rPr>
          <w:color w:val="231F20"/>
          <w:spacing w:val="-3"/>
          <w:w w:val="110"/>
        </w:rPr>
        <w:t>las </w:t>
      </w:r>
      <w:r>
        <w:rPr>
          <w:color w:val="231F20"/>
          <w:spacing w:val="-4"/>
          <w:w w:val="110"/>
        </w:rPr>
        <w:t>principales variables </w:t>
      </w:r>
      <w:r>
        <w:rPr>
          <w:color w:val="231F20"/>
          <w:w w:val="110"/>
        </w:rPr>
        <w:t>de </w:t>
      </w:r>
      <w:r>
        <w:rPr>
          <w:color w:val="231F20"/>
          <w:spacing w:val="-4"/>
          <w:w w:val="110"/>
        </w:rPr>
        <w:t>salud </w:t>
      </w:r>
      <w:r>
        <w:rPr>
          <w:color w:val="231F20"/>
          <w:w w:val="110"/>
        </w:rPr>
        <w:t>y </w:t>
      </w:r>
      <w:r>
        <w:rPr>
          <w:color w:val="231F20"/>
          <w:spacing w:val="-4"/>
          <w:w w:val="110"/>
        </w:rPr>
        <w:t>económicas </w:t>
      </w:r>
      <w:r>
        <w:rPr>
          <w:color w:val="231F20"/>
          <w:spacing w:val="-3"/>
          <w:w w:val="110"/>
        </w:rPr>
        <w:t>con </w:t>
      </w:r>
      <w:r>
        <w:rPr>
          <w:color w:val="231F20"/>
          <w:w w:val="110"/>
        </w:rPr>
        <w:t>la finalidad de identificar los rasgos más característicos de esta población y lograr</w:t>
      </w:r>
      <w:r>
        <w:rPr>
          <w:color w:val="231F20"/>
          <w:spacing w:val="-8"/>
          <w:w w:val="110"/>
        </w:rPr>
        <w:t> </w:t>
      </w:r>
      <w:r>
        <w:rPr>
          <w:color w:val="231F20"/>
          <w:w w:val="110"/>
        </w:rPr>
        <w:t>un</w:t>
      </w:r>
      <w:r>
        <w:rPr>
          <w:color w:val="231F20"/>
          <w:spacing w:val="-8"/>
          <w:w w:val="110"/>
        </w:rPr>
        <w:t> </w:t>
      </w:r>
      <w:r>
        <w:rPr>
          <w:color w:val="231F20"/>
          <w:w w:val="110"/>
        </w:rPr>
        <w:t>primer</w:t>
      </w:r>
      <w:r>
        <w:rPr>
          <w:color w:val="231F20"/>
          <w:spacing w:val="-8"/>
          <w:w w:val="110"/>
        </w:rPr>
        <w:t> </w:t>
      </w:r>
      <w:r>
        <w:rPr>
          <w:color w:val="231F20"/>
          <w:w w:val="110"/>
        </w:rPr>
        <w:t>acercamiento</w:t>
      </w:r>
      <w:r>
        <w:rPr>
          <w:color w:val="231F20"/>
          <w:spacing w:val="-8"/>
          <w:w w:val="110"/>
        </w:rPr>
        <w:t> </w:t>
      </w:r>
      <w:r>
        <w:rPr>
          <w:color w:val="231F20"/>
          <w:w w:val="110"/>
        </w:rPr>
        <w:t>a</w:t>
      </w:r>
      <w:r>
        <w:rPr>
          <w:color w:val="231F20"/>
          <w:spacing w:val="-8"/>
          <w:w w:val="110"/>
        </w:rPr>
        <w:t> </w:t>
      </w:r>
      <w:r>
        <w:rPr>
          <w:color w:val="231F20"/>
          <w:w w:val="110"/>
        </w:rPr>
        <w:t>aquellas</w:t>
      </w:r>
      <w:r>
        <w:rPr>
          <w:color w:val="231F20"/>
          <w:spacing w:val="-8"/>
          <w:w w:val="110"/>
        </w:rPr>
        <w:t> </w:t>
      </w:r>
      <w:r>
        <w:rPr>
          <w:color w:val="231F20"/>
          <w:w w:val="110"/>
        </w:rPr>
        <w:t>situaciones</w:t>
      </w:r>
      <w:r>
        <w:rPr>
          <w:color w:val="231F20"/>
          <w:spacing w:val="-8"/>
          <w:w w:val="110"/>
        </w:rPr>
        <w:t> </w:t>
      </w:r>
      <w:r>
        <w:rPr>
          <w:color w:val="231F20"/>
          <w:w w:val="110"/>
        </w:rPr>
        <w:t>que</w:t>
      </w:r>
      <w:r>
        <w:rPr>
          <w:color w:val="231F20"/>
          <w:spacing w:val="-8"/>
          <w:w w:val="110"/>
        </w:rPr>
        <w:t> </w:t>
      </w:r>
      <w:r>
        <w:rPr>
          <w:color w:val="231F20"/>
          <w:w w:val="110"/>
        </w:rPr>
        <w:t>limitan</w:t>
      </w:r>
      <w:r>
        <w:rPr>
          <w:color w:val="231F20"/>
          <w:spacing w:val="-8"/>
          <w:w w:val="110"/>
        </w:rPr>
        <w:t> </w:t>
      </w:r>
      <w:r>
        <w:rPr>
          <w:color w:val="231F20"/>
          <w:w w:val="110"/>
        </w:rPr>
        <w:t>la</w:t>
      </w:r>
      <w:r>
        <w:rPr>
          <w:color w:val="231F20"/>
          <w:spacing w:val="-8"/>
          <w:w w:val="110"/>
        </w:rPr>
        <w:t> </w:t>
      </w:r>
      <w:r>
        <w:rPr>
          <w:color w:val="231F20"/>
          <w:w w:val="110"/>
        </w:rPr>
        <w:t>capaci- dad de respuesta de los individuos y que reducen sus niveles de</w:t>
      </w:r>
      <w:r>
        <w:rPr>
          <w:color w:val="231F20"/>
          <w:spacing w:val="7"/>
          <w:w w:val="110"/>
        </w:rPr>
        <w:t> </w:t>
      </w:r>
      <w:r>
        <w:rPr>
          <w:color w:val="231F20"/>
          <w:w w:val="110"/>
        </w:rPr>
        <w:t>bienestar.</w:t>
      </w:r>
    </w:p>
    <w:p>
      <w:pPr>
        <w:spacing w:after="0" w:line="288" w:lineRule="auto"/>
        <w:jc w:val="both"/>
        <w:sectPr>
          <w:type w:val="continuous"/>
          <w:pgSz w:w="9520" w:h="12920"/>
          <w:pgMar w:top="0" w:bottom="0" w:left="1020" w:right="1320"/>
        </w:sectPr>
      </w:pPr>
    </w:p>
    <w:p>
      <w:pPr>
        <w:pStyle w:val="BodyText"/>
        <w:spacing w:line="288" w:lineRule="auto" w:before="42"/>
        <w:ind w:left="124" w:right="112" w:firstLine="360"/>
        <w:jc w:val="right"/>
      </w:pPr>
      <w:r>
        <w:rPr>
          <w:color w:val="231F20"/>
          <w:w w:val="110"/>
        </w:rPr>
        <w:t>En relación con la condición de actividad resaltan las</w:t>
      </w:r>
      <w:r>
        <w:rPr>
          <w:color w:val="231F20"/>
          <w:spacing w:val="11"/>
          <w:w w:val="110"/>
        </w:rPr>
        <w:t> </w:t>
      </w:r>
      <w:r>
        <w:rPr>
          <w:color w:val="231F20"/>
          <w:w w:val="110"/>
        </w:rPr>
        <w:t>diferencias</w:t>
      </w:r>
      <w:r>
        <w:rPr>
          <w:color w:val="231F20"/>
          <w:spacing w:val="1"/>
          <w:w w:val="110"/>
        </w:rPr>
        <w:t> </w:t>
      </w:r>
      <w:r>
        <w:rPr>
          <w:color w:val="231F20"/>
          <w:w w:val="110"/>
        </w:rPr>
        <w:t>entre</w:t>
      </w:r>
      <w:r>
        <w:rPr>
          <w:color w:val="231F20"/>
          <w:w w:val="106"/>
        </w:rPr>
        <w:t> </w:t>
      </w:r>
      <w:r>
        <w:rPr>
          <w:color w:val="231F20"/>
          <w:w w:val="110"/>
        </w:rPr>
        <w:t>mujeres y hombres. En la población masculina un</w:t>
      </w:r>
      <w:r>
        <w:rPr>
          <w:color w:val="231F20"/>
          <w:spacing w:val="45"/>
          <w:w w:val="110"/>
        </w:rPr>
        <w:t> </w:t>
      </w:r>
      <w:r>
        <w:rPr>
          <w:color w:val="231F20"/>
          <w:w w:val="110"/>
        </w:rPr>
        <w:t>porcentaje</w:t>
      </w:r>
      <w:r>
        <w:rPr>
          <w:color w:val="231F20"/>
          <w:spacing w:val="17"/>
          <w:w w:val="110"/>
        </w:rPr>
        <w:t> </w:t>
      </w:r>
      <w:r>
        <w:rPr>
          <w:color w:val="231F20"/>
          <w:w w:val="110"/>
        </w:rPr>
        <w:t>importante</w:t>
      </w:r>
      <w:r>
        <w:rPr>
          <w:color w:val="231F20"/>
          <w:w w:val="106"/>
        </w:rPr>
        <w:t> </w:t>
      </w:r>
      <w:r>
        <w:rPr>
          <w:color w:val="231F20"/>
          <w:w w:val="110"/>
        </w:rPr>
        <w:t>reporta</w:t>
      </w:r>
      <w:r>
        <w:rPr>
          <w:color w:val="231F20"/>
          <w:spacing w:val="-11"/>
          <w:w w:val="110"/>
        </w:rPr>
        <w:t> </w:t>
      </w:r>
      <w:r>
        <w:rPr>
          <w:color w:val="231F20"/>
          <w:w w:val="110"/>
        </w:rPr>
        <w:t>el</w:t>
      </w:r>
      <w:r>
        <w:rPr>
          <w:color w:val="231F20"/>
          <w:spacing w:val="-11"/>
          <w:w w:val="110"/>
        </w:rPr>
        <w:t> </w:t>
      </w:r>
      <w:r>
        <w:rPr>
          <w:color w:val="231F20"/>
          <w:w w:val="110"/>
        </w:rPr>
        <w:t>trabajo</w:t>
      </w:r>
      <w:r>
        <w:rPr>
          <w:color w:val="231F20"/>
          <w:spacing w:val="-11"/>
          <w:w w:val="110"/>
        </w:rPr>
        <w:t> </w:t>
      </w:r>
      <w:r>
        <w:rPr>
          <w:color w:val="231F20"/>
          <w:w w:val="110"/>
        </w:rPr>
        <w:t>como</w:t>
      </w:r>
      <w:r>
        <w:rPr>
          <w:color w:val="231F20"/>
          <w:spacing w:val="-11"/>
          <w:w w:val="110"/>
        </w:rPr>
        <w:t> </w:t>
      </w:r>
      <w:r>
        <w:rPr>
          <w:color w:val="231F20"/>
          <w:w w:val="110"/>
        </w:rPr>
        <w:t>su</w:t>
      </w:r>
      <w:r>
        <w:rPr>
          <w:color w:val="231F20"/>
          <w:spacing w:val="-11"/>
          <w:w w:val="110"/>
        </w:rPr>
        <w:t> </w:t>
      </w:r>
      <w:r>
        <w:rPr>
          <w:color w:val="231F20"/>
          <w:w w:val="110"/>
        </w:rPr>
        <w:t>principal</w:t>
      </w:r>
      <w:r>
        <w:rPr>
          <w:color w:val="231F20"/>
          <w:spacing w:val="-11"/>
          <w:w w:val="110"/>
        </w:rPr>
        <w:t> </w:t>
      </w:r>
      <w:r>
        <w:rPr>
          <w:color w:val="231F20"/>
          <w:w w:val="110"/>
        </w:rPr>
        <w:t>condición</w:t>
      </w:r>
      <w:r>
        <w:rPr>
          <w:color w:val="231F20"/>
          <w:spacing w:val="-11"/>
          <w:w w:val="110"/>
        </w:rPr>
        <w:t> </w:t>
      </w:r>
      <w:r>
        <w:rPr>
          <w:color w:val="231F20"/>
          <w:w w:val="110"/>
        </w:rPr>
        <w:t>de</w:t>
      </w:r>
      <w:r>
        <w:rPr>
          <w:color w:val="231F20"/>
          <w:spacing w:val="-11"/>
          <w:w w:val="110"/>
        </w:rPr>
        <w:t> </w:t>
      </w:r>
      <w:r>
        <w:rPr>
          <w:color w:val="231F20"/>
          <w:w w:val="110"/>
        </w:rPr>
        <w:t>actividad,</w:t>
      </w:r>
      <w:r>
        <w:rPr>
          <w:color w:val="231F20"/>
          <w:spacing w:val="-11"/>
          <w:w w:val="110"/>
        </w:rPr>
        <w:t> </w:t>
      </w:r>
      <w:r>
        <w:rPr>
          <w:color w:val="231F20"/>
          <w:w w:val="110"/>
        </w:rPr>
        <w:t>mientras</w:t>
      </w:r>
      <w:r>
        <w:rPr>
          <w:color w:val="231F20"/>
          <w:spacing w:val="-11"/>
          <w:w w:val="110"/>
        </w:rPr>
        <w:t> </w:t>
      </w:r>
      <w:r>
        <w:rPr>
          <w:color w:val="231F20"/>
          <w:w w:val="110"/>
        </w:rPr>
        <w:t>que</w:t>
      </w:r>
      <w:r>
        <w:rPr>
          <w:color w:val="231F20"/>
          <w:spacing w:val="-11"/>
          <w:w w:val="110"/>
        </w:rPr>
        <w:t> </w:t>
      </w:r>
      <w:r>
        <w:rPr>
          <w:color w:val="231F20"/>
          <w:w w:val="110"/>
        </w:rPr>
        <w:t>la</w:t>
      </w:r>
      <w:r>
        <w:rPr>
          <w:color w:val="231F20"/>
          <w:w w:val="108"/>
        </w:rPr>
        <w:t> </w:t>
      </w:r>
      <w:r>
        <w:rPr>
          <w:color w:val="231F20"/>
          <w:w w:val="110"/>
        </w:rPr>
        <w:t>población</w:t>
      </w:r>
      <w:r>
        <w:rPr>
          <w:color w:val="231F20"/>
          <w:spacing w:val="-13"/>
          <w:w w:val="110"/>
        </w:rPr>
        <w:t> </w:t>
      </w:r>
      <w:r>
        <w:rPr>
          <w:color w:val="231F20"/>
          <w:w w:val="110"/>
        </w:rPr>
        <w:t>femenina</w:t>
      </w:r>
      <w:r>
        <w:rPr>
          <w:color w:val="231F20"/>
          <w:spacing w:val="-13"/>
          <w:w w:val="110"/>
        </w:rPr>
        <w:t> </w:t>
      </w:r>
      <w:r>
        <w:rPr>
          <w:color w:val="231F20"/>
          <w:w w:val="110"/>
        </w:rPr>
        <w:t>se</w:t>
      </w:r>
      <w:r>
        <w:rPr>
          <w:color w:val="231F20"/>
          <w:spacing w:val="-13"/>
          <w:w w:val="110"/>
        </w:rPr>
        <w:t> </w:t>
      </w:r>
      <w:r>
        <w:rPr>
          <w:color w:val="231F20"/>
          <w:w w:val="110"/>
        </w:rPr>
        <w:t>dedica</w:t>
      </w:r>
      <w:r>
        <w:rPr>
          <w:color w:val="231F20"/>
          <w:spacing w:val="-13"/>
          <w:w w:val="110"/>
        </w:rPr>
        <w:t> </w:t>
      </w:r>
      <w:r>
        <w:rPr>
          <w:color w:val="231F20"/>
          <w:w w:val="110"/>
        </w:rPr>
        <w:t>mayoritariamente</w:t>
      </w:r>
      <w:r>
        <w:rPr>
          <w:color w:val="231F20"/>
          <w:spacing w:val="-13"/>
          <w:w w:val="110"/>
        </w:rPr>
        <w:t> </w:t>
      </w:r>
      <w:r>
        <w:rPr>
          <w:color w:val="231F20"/>
          <w:w w:val="110"/>
        </w:rPr>
        <w:t>a</w:t>
      </w:r>
      <w:r>
        <w:rPr>
          <w:color w:val="231F20"/>
          <w:spacing w:val="-13"/>
          <w:w w:val="110"/>
        </w:rPr>
        <w:t> </w:t>
      </w:r>
      <w:r>
        <w:rPr>
          <w:color w:val="231F20"/>
          <w:w w:val="110"/>
        </w:rPr>
        <w:t>los</w:t>
      </w:r>
      <w:r>
        <w:rPr>
          <w:color w:val="231F20"/>
          <w:spacing w:val="-13"/>
          <w:w w:val="110"/>
        </w:rPr>
        <w:t> </w:t>
      </w:r>
      <w:r>
        <w:rPr>
          <w:color w:val="231F20"/>
          <w:w w:val="110"/>
        </w:rPr>
        <w:t>quehaceres</w:t>
      </w:r>
      <w:r>
        <w:rPr>
          <w:color w:val="231F20"/>
          <w:spacing w:val="-13"/>
          <w:w w:val="110"/>
        </w:rPr>
        <w:t> </w:t>
      </w:r>
      <w:r>
        <w:rPr>
          <w:color w:val="231F20"/>
          <w:w w:val="110"/>
        </w:rPr>
        <w:t>del</w:t>
      </w:r>
      <w:r>
        <w:rPr>
          <w:color w:val="231F20"/>
          <w:spacing w:val="-13"/>
          <w:w w:val="110"/>
        </w:rPr>
        <w:t> </w:t>
      </w:r>
      <w:r>
        <w:rPr>
          <w:color w:val="231F20"/>
          <w:spacing w:val="-5"/>
          <w:w w:val="110"/>
        </w:rPr>
        <w:t>hogar.</w:t>
      </w:r>
      <w:r>
        <w:rPr>
          <w:color w:val="231F20"/>
          <w:w w:val="128"/>
        </w:rPr>
        <w:t> </w:t>
      </w:r>
      <w:r>
        <w:rPr>
          <w:color w:val="231F20"/>
          <w:w w:val="110"/>
        </w:rPr>
        <w:t>De acuerdo con la información analizada en los</w:t>
      </w:r>
      <w:r>
        <w:rPr>
          <w:color w:val="231F20"/>
          <w:spacing w:val="20"/>
          <w:w w:val="110"/>
        </w:rPr>
        <w:t> </w:t>
      </w:r>
      <w:r>
        <w:rPr>
          <w:color w:val="231F20"/>
          <w:w w:val="110"/>
        </w:rPr>
        <w:t>apartados</w:t>
      </w:r>
      <w:r>
        <w:rPr>
          <w:color w:val="231F20"/>
          <w:spacing w:val="14"/>
          <w:w w:val="110"/>
        </w:rPr>
        <w:t> </w:t>
      </w:r>
      <w:r>
        <w:rPr>
          <w:color w:val="231F20"/>
          <w:w w:val="110"/>
        </w:rPr>
        <w:t>anteriores,</w:t>
      </w:r>
      <w:r>
        <w:rPr>
          <w:color w:val="231F20"/>
          <w:w w:val="108"/>
        </w:rPr>
        <w:t> </w:t>
      </w:r>
      <w:r>
        <w:rPr>
          <w:color w:val="231F20"/>
          <w:w w:val="110"/>
        </w:rPr>
        <w:t>podemos</w:t>
      </w:r>
      <w:r>
        <w:rPr>
          <w:color w:val="231F20"/>
          <w:spacing w:val="21"/>
          <w:w w:val="110"/>
        </w:rPr>
        <w:t> </w:t>
      </w:r>
      <w:r>
        <w:rPr>
          <w:color w:val="231F20"/>
          <w:w w:val="110"/>
        </w:rPr>
        <w:t>hacer</w:t>
      </w:r>
      <w:r>
        <w:rPr>
          <w:color w:val="231F20"/>
          <w:spacing w:val="21"/>
          <w:w w:val="110"/>
        </w:rPr>
        <w:t> </w:t>
      </w:r>
      <w:r>
        <w:rPr>
          <w:color w:val="231F20"/>
          <w:w w:val="110"/>
        </w:rPr>
        <w:t>mención</w:t>
      </w:r>
      <w:r>
        <w:rPr>
          <w:color w:val="231F20"/>
          <w:spacing w:val="21"/>
          <w:w w:val="110"/>
        </w:rPr>
        <w:t> </w:t>
      </w:r>
      <w:r>
        <w:rPr>
          <w:color w:val="231F20"/>
          <w:w w:val="110"/>
        </w:rPr>
        <w:t>que</w:t>
      </w:r>
      <w:r>
        <w:rPr>
          <w:color w:val="231F20"/>
          <w:spacing w:val="21"/>
          <w:w w:val="110"/>
        </w:rPr>
        <w:t> </w:t>
      </w:r>
      <w:r>
        <w:rPr>
          <w:color w:val="231F20"/>
          <w:w w:val="110"/>
        </w:rPr>
        <w:t>la</w:t>
      </w:r>
      <w:r>
        <w:rPr>
          <w:color w:val="231F20"/>
          <w:spacing w:val="21"/>
          <w:w w:val="110"/>
        </w:rPr>
        <w:t> </w:t>
      </w:r>
      <w:r>
        <w:rPr>
          <w:color w:val="231F20"/>
          <w:w w:val="110"/>
        </w:rPr>
        <w:t>población</w:t>
      </w:r>
      <w:r>
        <w:rPr>
          <w:color w:val="231F20"/>
          <w:spacing w:val="21"/>
          <w:w w:val="110"/>
        </w:rPr>
        <w:t> </w:t>
      </w:r>
      <w:r>
        <w:rPr>
          <w:color w:val="231F20"/>
          <w:w w:val="110"/>
        </w:rPr>
        <w:t>de</w:t>
      </w:r>
      <w:r>
        <w:rPr>
          <w:color w:val="231F20"/>
          <w:spacing w:val="21"/>
          <w:w w:val="110"/>
        </w:rPr>
        <w:t> </w:t>
      </w:r>
      <w:r>
        <w:rPr>
          <w:color w:val="231F20"/>
          <w:w w:val="110"/>
        </w:rPr>
        <w:t>60</w:t>
      </w:r>
      <w:r>
        <w:rPr>
          <w:color w:val="231F20"/>
          <w:spacing w:val="21"/>
          <w:w w:val="110"/>
        </w:rPr>
        <w:t> </w:t>
      </w:r>
      <w:r>
        <w:rPr>
          <w:color w:val="231F20"/>
          <w:w w:val="110"/>
        </w:rPr>
        <w:t>años</w:t>
      </w:r>
      <w:r>
        <w:rPr>
          <w:color w:val="231F20"/>
          <w:spacing w:val="21"/>
          <w:w w:val="110"/>
        </w:rPr>
        <w:t> </w:t>
      </w:r>
      <w:r>
        <w:rPr>
          <w:color w:val="231F20"/>
          <w:w w:val="110"/>
        </w:rPr>
        <w:t>y</w:t>
      </w:r>
      <w:r>
        <w:rPr>
          <w:color w:val="231F20"/>
          <w:spacing w:val="21"/>
          <w:w w:val="110"/>
        </w:rPr>
        <w:t> </w:t>
      </w:r>
      <w:r>
        <w:rPr>
          <w:color w:val="231F20"/>
          <w:w w:val="110"/>
        </w:rPr>
        <w:t>más</w:t>
      </w:r>
      <w:r>
        <w:rPr>
          <w:color w:val="231F20"/>
          <w:spacing w:val="21"/>
          <w:w w:val="110"/>
        </w:rPr>
        <w:t> </w:t>
      </w:r>
      <w:r>
        <w:rPr>
          <w:color w:val="231F20"/>
          <w:w w:val="110"/>
        </w:rPr>
        <w:t>requiere</w:t>
      </w:r>
      <w:r>
        <w:rPr>
          <w:color w:val="231F20"/>
          <w:spacing w:val="21"/>
          <w:w w:val="110"/>
        </w:rPr>
        <w:t> </w:t>
      </w:r>
      <w:r>
        <w:rPr>
          <w:color w:val="231F20"/>
          <w:w w:val="110"/>
        </w:rPr>
        <w:t>de</w:t>
      </w:r>
      <w:r>
        <w:rPr>
          <w:color w:val="231F20"/>
          <w:w w:val="109"/>
        </w:rPr>
        <w:t> </w:t>
      </w:r>
      <w:r>
        <w:rPr>
          <w:color w:val="231F20"/>
          <w:w w:val="110"/>
        </w:rPr>
        <w:t>servicios</w:t>
      </w:r>
      <w:r>
        <w:rPr>
          <w:color w:val="231F20"/>
          <w:spacing w:val="-9"/>
          <w:w w:val="110"/>
        </w:rPr>
        <w:t> </w:t>
      </w:r>
      <w:r>
        <w:rPr>
          <w:color w:val="231F20"/>
          <w:w w:val="110"/>
        </w:rPr>
        <w:t>de</w:t>
      </w:r>
      <w:r>
        <w:rPr>
          <w:color w:val="231F20"/>
          <w:spacing w:val="-9"/>
          <w:w w:val="110"/>
        </w:rPr>
        <w:t> </w:t>
      </w:r>
      <w:r>
        <w:rPr>
          <w:color w:val="231F20"/>
          <w:w w:val="110"/>
        </w:rPr>
        <w:t>salud</w:t>
      </w:r>
      <w:r>
        <w:rPr>
          <w:color w:val="231F20"/>
          <w:spacing w:val="-9"/>
          <w:w w:val="110"/>
        </w:rPr>
        <w:t> </w:t>
      </w:r>
      <w:r>
        <w:rPr>
          <w:color w:val="231F20"/>
          <w:w w:val="110"/>
        </w:rPr>
        <w:t>especializados,</w:t>
      </w:r>
      <w:r>
        <w:rPr>
          <w:color w:val="231F20"/>
          <w:spacing w:val="-9"/>
          <w:w w:val="110"/>
        </w:rPr>
        <w:t> </w:t>
      </w:r>
      <w:r>
        <w:rPr>
          <w:color w:val="231F20"/>
          <w:w w:val="110"/>
        </w:rPr>
        <w:t>para</w:t>
      </w:r>
      <w:r>
        <w:rPr>
          <w:color w:val="231F20"/>
          <w:spacing w:val="-9"/>
          <w:w w:val="110"/>
        </w:rPr>
        <w:t> </w:t>
      </w:r>
      <w:r>
        <w:rPr>
          <w:color w:val="231F20"/>
          <w:w w:val="110"/>
        </w:rPr>
        <w:t>que</w:t>
      </w:r>
      <w:r>
        <w:rPr>
          <w:color w:val="231F20"/>
          <w:spacing w:val="-9"/>
          <w:w w:val="110"/>
        </w:rPr>
        <w:t> </w:t>
      </w:r>
      <w:r>
        <w:rPr>
          <w:color w:val="231F20"/>
          <w:w w:val="110"/>
        </w:rPr>
        <w:t>este</w:t>
      </w:r>
      <w:r>
        <w:rPr>
          <w:color w:val="231F20"/>
          <w:spacing w:val="-9"/>
          <w:w w:val="110"/>
        </w:rPr>
        <w:t> </w:t>
      </w:r>
      <w:r>
        <w:rPr>
          <w:color w:val="231F20"/>
          <w:w w:val="110"/>
        </w:rPr>
        <w:t>grupo</w:t>
      </w:r>
      <w:r>
        <w:rPr>
          <w:color w:val="231F20"/>
          <w:spacing w:val="-9"/>
          <w:w w:val="110"/>
        </w:rPr>
        <w:t> </w:t>
      </w:r>
      <w:r>
        <w:rPr>
          <w:color w:val="231F20"/>
          <w:w w:val="110"/>
        </w:rPr>
        <w:t>de</w:t>
      </w:r>
      <w:r>
        <w:rPr>
          <w:color w:val="231F20"/>
          <w:spacing w:val="-9"/>
          <w:w w:val="110"/>
        </w:rPr>
        <w:t> </w:t>
      </w:r>
      <w:r>
        <w:rPr>
          <w:color w:val="231F20"/>
          <w:w w:val="110"/>
        </w:rPr>
        <w:t>población</w:t>
      </w:r>
      <w:r>
        <w:rPr>
          <w:color w:val="231F20"/>
          <w:spacing w:val="-9"/>
          <w:w w:val="110"/>
        </w:rPr>
        <w:t> </w:t>
      </w:r>
      <w:r>
        <w:rPr>
          <w:color w:val="231F20"/>
          <w:w w:val="110"/>
        </w:rPr>
        <w:t>goce</w:t>
      </w:r>
      <w:r>
        <w:rPr>
          <w:color w:val="231F20"/>
          <w:spacing w:val="-9"/>
          <w:w w:val="110"/>
        </w:rPr>
        <w:t> </w:t>
      </w:r>
      <w:r>
        <w:rPr>
          <w:color w:val="231F20"/>
          <w:w w:val="110"/>
        </w:rPr>
        <w:t>de</w:t>
      </w:r>
      <w:r>
        <w:rPr>
          <w:color w:val="231F20"/>
          <w:w w:val="109"/>
        </w:rPr>
        <w:t> </w:t>
      </w:r>
      <w:r>
        <w:rPr>
          <w:color w:val="231F20"/>
          <w:w w:val="110"/>
        </w:rPr>
        <w:t>una calidad de vida digna en su última etapa de ciclo de vida. Ante</w:t>
      </w:r>
      <w:r>
        <w:rPr>
          <w:color w:val="231F20"/>
          <w:spacing w:val="-7"/>
          <w:w w:val="110"/>
        </w:rPr>
        <w:t> </w:t>
      </w:r>
      <w:r>
        <w:rPr>
          <w:color w:val="231F20"/>
          <w:w w:val="110"/>
        </w:rPr>
        <w:t>el</w:t>
      </w:r>
      <w:r>
        <w:rPr>
          <w:color w:val="231F20"/>
          <w:spacing w:val="-1"/>
          <w:w w:val="110"/>
        </w:rPr>
        <w:t> </w:t>
      </w:r>
      <w:r>
        <w:rPr>
          <w:color w:val="231F20"/>
          <w:w w:val="110"/>
        </w:rPr>
        <w:t>creci-</w:t>
      </w:r>
      <w:r>
        <w:rPr>
          <w:color w:val="231F20"/>
          <w:w w:val="107"/>
        </w:rPr>
        <w:t> </w:t>
      </w:r>
      <w:r>
        <w:rPr>
          <w:color w:val="231F20"/>
          <w:w w:val="110"/>
        </w:rPr>
        <w:t>miento esperado de la población de 60 años y más, y ante el aumento</w:t>
      </w:r>
      <w:r>
        <w:rPr>
          <w:color w:val="231F20"/>
          <w:spacing w:val="-9"/>
          <w:w w:val="110"/>
        </w:rPr>
        <w:t> </w:t>
      </w:r>
      <w:r>
        <w:rPr>
          <w:color w:val="231F20"/>
          <w:w w:val="110"/>
        </w:rPr>
        <w:t>de</w:t>
      </w:r>
      <w:r>
        <w:rPr>
          <w:color w:val="231F20"/>
          <w:spacing w:val="-1"/>
          <w:w w:val="110"/>
        </w:rPr>
        <w:t> </w:t>
      </w:r>
      <w:r>
        <w:rPr>
          <w:color w:val="231F20"/>
          <w:w w:val="110"/>
        </w:rPr>
        <w:t>la</w:t>
      </w:r>
      <w:r>
        <w:rPr>
          <w:color w:val="231F20"/>
          <w:w w:val="108"/>
        </w:rPr>
        <w:t> </w:t>
      </w:r>
      <w:r>
        <w:rPr>
          <w:color w:val="231F20"/>
          <w:w w:val="110"/>
        </w:rPr>
        <w:t>longevidad, se deben redoblar esfuerzos aún en la cobertura</w:t>
      </w:r>
      <w:r>
        <w:rPr>
          <w:color w:val="231F20"/>
          <w:spacing w:val="39"/>
          <w:w w:val="110"/>
        </w:rPr>
        <w:t> </w:t>
      </w:r>
      <w:r>
        <w:rPr>
          <w:color w:val="231F20"/>
          <w:w w:val="110"/>
        </w:rPr>
        <w:t>de</w:t>
      </w:r>
      <w:r>
        <w:rPr>
          <w:color w:val="231F20"/>
          <w:spacing w:val="4"/>
          <w:w w:val="110"/>
        </w:rPr>
        <w:t> </w:t>
      </w:r>
      <w:r>
        <w:rPr>
          <w:color w:val="231F20"/>
          <w:w w:val="110"/>
        </w:rPr>
        <w:t>seguridad</w:t>
      </w:r>
      <w:r>
        <w:rPr>
          <w:color w:val="231F20"/>
          <w:w w:val="109"/>
        </w:rPr>
        <w:t> </w:t>
      </w:r>
      <w:r>
        <w:rPr>
          <w:color w:val="231F20"/>
          <w:spacing w:val="-4"/>
          <w:w w:val="110"/>
        </w:rPr>
        <w:t>social,</w:t>
      </w:r>
      <w:r>
        <w:rPr>
          <w:color w:val="231F20"/>
          <w:spacing w:val="-10"/>
          <w:w w:val="110"/>
        </w:rPr>
        <w:t> </w:t>
      </w:r>
      <w:r>
        <w:rPr>
          <w:color w:val="231F20"/>
          <w:spacing w:val="-4"/>
          <w:w w:val="110"/>
        </w:rPr>
        <w:t>sobre</w:t>
      </w:r>
      <w:r>
        <w:rPr>
          <w:color w:val="231F20"/>
          <w:spacing w:val="-10"/>
          <w:w w:val="110"/>
        </w:rPr>
        <w:t> </w:t>
      </w:r>
      <w:r>
        <w:rPr>
          <w:color w:val="231F20"/>
          <w:spacing w:val="-3"/>
          <w:w w:val="110"/>
        </w:rPr>
        <w:t>todo</w:t>
      </w:r>
      <w:r>
        <w:rPr>
          <w:color w:val="231F20"/>
          <w:spacing w:val="-10"/>
          <w:w w:val="110"/>
        </w:rPr>
        <w:t> </w:t>
      </w:r>
      <w:r>
        <w:rPr>
          <w:color w:val="231F20"/>
          <w:w w:val="110"/>
        </w:rPr>
        <w:t>en</w:t>
      </w:r>
      <w:r>
        <w:rPr>
          <w:color w:val="231F20"/>
          <w:spacing w:val="-10"/>
          <w:w w:val="110"/>
        </w:rPr>
        <w:t> </w:t>
      </w:r>
      <w:r>
        <w:rPr>
          <w:color w:val="231F20"/>
          <w:w w:val="110"/>
        </w:rPr>
        <w:t>lo</w:t>
      </w:r>
      <w:r>
        <w:rPr>
          <w:color w:val="231F20"/>
          <w:spacing w:val="-10"/>
          <w:w w:val="110"/>
        </w:rPr>
        <w:t> </w:t>
      </w:r>
      <w:r>
        <w:rPr>
          <w:color w:val="231F20"/>
          <w:spacing w:val="-3"/>
          <w:w w:val="110"/>
        </w:rPr>
        <w:t>que</w:t>
      </w:r>
      <w:r>
        <w:rPr>
          <w:color w:val="231F20"/>
          <w:spacing w:val="-10"/>
          <w:w w:val="110"/>
        </w:rPr>
        <w:t> </w:t>
      </w:r>
      <w:r>
        <w:rPr>
          <w:color w:val="231F20"/>
          <w:w w:val="110"/>
        </w:rPr>
        <w:t>a</w:t>
      </w:r>
      <w:r>
        <w:rPr>
          <w:color w:val="231F20"/>
          <w:spacing w:val="-10"/>
          <w:w w:val="110"/>
        </w:rPr>
        <w:t> </w:t>
      </w:r>
      <w:r>
        <w:rPr>
          <w:color w:val="231F20"/>
          <w:spacing w:val="-4"/>
          <w:w w:val="110"/>
        </w:rPr>
        <w:t>derechohabiencia</w:t>
      </w:r>
      <w:r>
        <w:rPr>
          <w:color w:val="231F20"/>
          <w:spacing w:val="-10"/>
          <w:w w:val="110"/>
        </w:rPr>
        <w:t> </w:t>
      </w:r>
      <w:r>
        <w:rPr>
          <w:color w:val="231F20"/>
          <w:w w:val="110"/>
        </w:rPr>
        <w:t>se</w:t>
      </w:r>
      <w:r>
        <w:rPr>
          <w:color w:val="231F20"/>
          <w:spacing w:val="-10"/>
          <w:w w:val="110"/>
        </w:rPr>
        <w:t> </w:t>
      </w:r>
      <w:r>
        <w:rPr>
          <w:color w:val="231F20"/>
          <w:spacing w:val="-3"/>
          <w:w w:val="110"/>
        </w:rPr>
        <w:t>refiere,</w:t>
      </w:r>
      <w:r>
        <w:rPr>
          <w:color w:val="231F20"/>
          <w:spacing w:val="-10"/>
          <w:w w:val="110"/>
        </w:rPr>
        <w:t> </w:t>
      </w:r>
      <w:r>
        <w:rPr>
          <w:color w:val="231F20"/>
          <w:spacing w:val="-3"/>
          <w:w w:val="110"/>
        </w:rPr>
        <w:t>pues</w:t>
      </w:r>
      <w:r>
        <w:rPr>
          <w:color w:val="231F20"/>
          <w:spacing w:val="-10"/>
          <w:w w:val="110"/>
        </w:rPr>
        <w:t> </w:t>
      </w:r>
      <w:r>
        <w:rPr>
          <w:color w:val="231F20"/>
          <w:w w:val="110"/>
        </w:rPr>
        <w:t>a</w:t>
      </w:r>
      <w:r>
        <w:rPr>
          <w:color w:val="231F20"/>
          <w:spacing w:val="-10"/>
          <w:w w:val="110"/>
        </w:rPr>
        <w:t> </w:t>
      </w:r>
      <w:r>
        <w:rPr>
          <w:color w:val="231F20"/>
          <w:spacing w:val="-4"/>
          <w:w w:val="110"/>
        </w:rPr>
        <w:t>pesar</w:t>
      </w:r>
      <w:r>
        <w:rPr>
          <w:color w:val="231F20"/>
          <w:spacing w:val="-10"/>
          <w:w w:val="110"/>
        </w:rPr>
        <w:t> </w:t>
      </w:r>
      <w:r>
        <w:rPr>
          <w:color w:val="231F20"/>
          <w:w w:val="110"/>
        </w:rPr>
        <w:t>de</w:t>
      </w:r>
      <w:r>
        <w:rPr>
          <w:color w:val="231F20"/>
          <w:spacing w:val="-10"/>
          <w:w w:val="110"/>
        </w:rPr>
        <w:t> </w:t>
      </w:r>
      <w:r>
        <w:rPr>
          <w:color w:val="231F20"/>
          <w:spacing w:val="-3"/>
          <w:w w:val="110"/>
        </w:rPr>
        <w:t>que</w:t>
      </w:r>
      <w:r>
        <w:rPr>
          <w:color w:val="231F20"/>
          <w:w w:val="109"/>
        </w:rPr>
        <w:t> </w:t>
      </w:r>
      <w:r>
        <w:rPr>
          <w:color w:val="231F20"/>
          <w:w w:val="110"/>
        </w:rPr>
        <w:t>con</w:t>
      </w:r>
      <w:r>
        <w:rPr>
          <w:color w:val="231F20"/>
          <w:spacing w:val="-4"/>
          <w:w w:val="110"/>
        </w:rPr>
        <w:t> </w:t>
      </w:r>
      <w:r>
        <w:rPr>
          <w:color w:val="231F20"/>
          <w:w w:val="110"/>
        </w:rPr>
        <w:t>el</w:t>
      </w:r>
      <w:r>
        <w:rPr>
          <w:color w:val="231F20"/>
          <w:spacing w:val="-4"/>
          <w:w w:val="110"/>
        </w:rPr>
        <w:t> </w:t>
      </w:r>
      <w:r>
        <w:rPr>
          <w:color w:val="231F20"/>
          <w:w w:val="110"/>
        </w:rPr>
        <w:t>Seguro</w:t>
      </w:r>
      <w:r>
        <w:rPr>
          <w:color w:val="231F20"/>
          <w:spacing w:val="-4"/>
          <w:w w:val="110"/>
        </w:rPr>
        <w:t> </w:t>
      </w:r>
      <w:r>
        <w:rPr>
          <w:color w:val="231F20"/>
          <w:w w:val="110"/>
        </w:rPr>
        <w:t>Popular</w:t>
      </w:r>
      <w:r>
        <w:rPr>
          <w:color w:val="231F20"/>
          <w:spacing w:val="-4"/>
          <w:w w:val="110"/>
        </w:rPr>
        <w:t> </w:t>
      </w:r>
      <w:r>
        <w:rPr>
          <w:color w:val="231F20"/>
          <w:w w:val="110"/>
        </w:rPr>
        <w:t>ha</w:t>
      </w:r>
      <w:r>
        <w:rPr>
          <w:color w:val="231F20"/>
          <w:spacing w:val="-4"/>
          <w:w w:val="110"/>
        </w:rPr>
        <w:t> </w:t>
      </w:r>
      <w:r>
        <w:rPr>
          <w:color w:val="231F20"/>
          <w:w w:val="110"/>
        </w:rPr>
        <w:t>ampliado</w:t>
      </w:r>
      <w:r>
        <w:rPr>
          <w:color w:val="231F20"/>
          <w:spacing w:val="-4"/>
          <w:w w:val="110"/>
        </w:rPr>
        <w:t> </w:t>
      </w:r>
      <w:r>
        <w:rPr>
          <w:color w:val="231F20"/>
          <w:w w:val="110"/>
        </w:rPr>
        <w:t>la</w:t>
      </w:r>
      <w:r>
        <w:rPr>
          <w:color w:val="231F20"/>
          <w:spacing w:val="-4"/>
          <w:w w:val="110"/>
        </w:rPr>
        <w:t> </w:t>
      </w:r>
      <w:r>
        <w:rPr>
          <w:color w:val="231F20"/>
          <w:w w:val="110"/>
        </w:rPr>
        <w:t>atención</w:t>
      </w:r>
      <w:r>
        <w:rPr>
          <w:color w:val="231F20"/>
          <w:spacing w:val="-4"/>
          <w:w w:val="110"/>
        </w:rPr>
        <w:t> </w:t>
      </w:r>
      <w:r>
        <w:rPr>
          <w:color w:val="231F20"/>
          <w:w w:val="110"/>
        </w:rPr>
        <w:t>en</w:t>
      </w:r>
      <w:r>
        <w:rPr>
          <w:color w:val="231F20"/>
          <w:spacing w:val="-4"/>
          <w:w w:val="110"/>
        </w:rPr>
        <w:t> </w:t>
      </w:r>
      <w:r>
        <w:rPr>
          <w:color w:val="231F20"/>
          <w:w w:val="110"/>
        </w:rPr>
        <w:t>salud,</w:t>
      </w:r>
      <w:r>
        <w:rPr>
          <w:color w:val="231F20"/>
          <w:spacing w:val="-4"/>
          <w:w w:val="110"/>
        </w:rPr>
        <w:t> </w:t>
      </w:r>
      <w:r>
        <w:rPr>
          <w:color w:val="231F20"/>
          <w:w w:val="110"/>
        </w:rPr>
        <w:t>aún</w:t>
      </w:r>
      <w:r>
        <w:rPr>
          <w:color w:val="231F20"/>
          <w:spacing w:val="-4"/>
          <w:w w:val="110"/>
        </w:rPr>
        <w:t> </w:t>
      </w:r>
      <w:r>
        <w:rPr>
          <w:color w:val="231F20"/>
          <w:w w:val="110"/>
        </w:rPr>
        <w:t>no</w:t>
      </w:r>
      <w:r>
        <w:rPr>
          <w:color w:val="231F20"/>
          <w:spacing w:val="-4"/>
          <w:w w:val="110"/>
        </w:rPr>
        <w:t> </w:t>
      </w:r>
      <w:r>
        <w:rPr>
          <w:color w:val="231F20"/>
          <w:w w:val="110"/>
        </w:rPr>
        <w:t>es</w:t>
      </w:r>
      <w:r>
        <w:rPr>
          <w:color w:val="231F20"/>
          <w:spacing w:val="-4"/>
          <w:w w:val="110"/>
        </w:rPr>
        <w:t> </w:t>
      </w:r>
      <w:r>
        <w:rPr>
          <w:color w:val="231F20"/>
          <w:w w:val="110"/>
        </w:rPr>
        <w:t>suficien-</w:t>
      </w:r>
      <w:r>
        <w:rPr>
          <w:color w:val="231F20"/>
          <w:w w:val="93"/>
        </w:rPr>
        <w:t> </w:t>
      </w:r>
      <w:r>
        <w:rPr>
          <w:color w:val="231F20"/>
          <w:w w:val="110"/>
        </w:rPr>
        <w:t>te en calidad de servicios y cobertura, pues un porcentaje</w:t>
      </w:r>
      <w:r>
        <w:rPr>
          <w:color w:val="231F20"/>
          <w:spacing w:val="3"/>
          <w:w w:val="110"/>
        </w:rPr>
        <w:t> </w:t>
      </w:r>
      <w:r>
        <w:rPr>
          <w:color w:val="231F20"/>
          <w:w w:val="110"/>
        </w:rPr>
        <w:t>considerable</w:t>
      </w:r>
      <w:r>
        <w:rPr>
          <w:color w:val="231F20"/>
          <w:spacing w:val="5"/>
          <w:w w:val="110"/>
        </w:rPr>
        <w:t> </w:t>
      </w:r>
      <w:r>
        <w:rPr>
          <w:color w:val="231F20"/>
          <w:w w:val="110"/>
        </w:rPr>
        <w:t>de</w:t>
      </w:r>
      <w:r>
        <w:rPr>
          <w:color w:val="231F20"/>
          <w:w w:val="108"/>
        </w:rPr>
        <w:t> </w:t>
      </w:r>
      <w:r>
        <w:rPr>
          <w:color w:val="231F20"/>
          <w:w w:val="110"/>
        </w:rPr>
        <w:t>población</w:t>
      </w:r>
      <w:r>
        <w:rPr>
          <w:color w:val="231F20"/>
          <w:spacing w:val="-12"/>
          <w:w w:val="110"/>
        </w:rPr>
        <w:t> </w:t>
      </w:r>
      <w:r>
        <w:rPr>
          <w:color w:val="231F20"/>
          <w:w w:val="110"/>
        </w:rPr>
        <w:t>adulta</w:t>
      </w:r>
      <w:r>
        <w:rPr>
          <w:color w:val="231F20"/>
          <w:spacing w:val="-12"/>
          <w:w w:val="110"/>
        </w:rPr>
        <w:t> </w:t>
      </w:r>
      <w:r>
        <w:rPr>
          <w:color w:val="231F20"/>
          <w:w w:val="110"/>
        </w:rPr>
        <w:t>mayor</w:t>
      </w:r>
      <w:r>
        <w:rPr>
          <w:color w:val="231F20"/>
          <w:spacing w:val="-12"/>
          <w:w w:val="110"/>
        </w:rPr>
        <w:t> </w:t>
      </w:r>
      <w:r>
        <w:rPr>
          <w:color w:val="231F20"/>
          <w:w w:val="110"/>
        </w:rPr>
        <w:t>no</w:t>
      </w:r>
      <w:r>
        <w:rPr>
          <w:color w:val="231F20"/>
          <w:spacing w:val="-12"/>
          <w:w w:val="110"/>
        </w:rPr>
        <w:t> </w:t>
      </w:r>
      <w:r>
        <w:rPr>
          <w:color w:val="231F20"/>
          <w:w w:val="110"/>
        </w:rPr>
        <w:t>cuenta</w:t>
      </w:r>
      <w:r>
        <w:rPr>
          <w:color w:val="231F20"/>
          <w:spacing w:val="-12"/>
          <w:w w:val="110"/>
        </w:rPr>
        <w:t> </w:t>
      </w:r>
      <w:r>
        <w:rPr>
          <w:color w:val="231F20"/>
          <w:w w:val="110"/>
        </w:rPr>
        <w:t>con</w:t>
      </w:r>
      <w:r>
        <w:rPr>
          <w:color w:val="231F20"/>
          <w:spacing w:val="-12"/>
          <w:w w:val="110"/>
        </w:rPr>
        <w:t> </w:t>
      </w:r>
      <w:r>
        <w:rPr>
          <w:color w:val="231F20"/>
          <w:w w:val="110"/>
        </w:rPr>
        <w:t>algún</w:t>
      </w:r>
      <w:r>
        <w:rPr>
          <w:color w:val="231F20"/>
          <w:spacing w:val="-12"/>
          <w:w w:val="110"/>
        </w:rPr>
        <w:t> </w:t>
      </w:r>
      <w:r>
        <w:rPr>
          <w:color w:val="231F20"/>
          <w:w w:val="110"/>
        </w:rPr>
        <w:t>tipo</w:t>
      </w:r>
      <w:r>
        <w:rPr>
          <w:color w:val="231F20"/>
          <w:spacing w:val="-12"/>
          <w:w w:val="110"/>
        </w:rPr>
        <w:t> </w:t>
      </w:r>
      <w:r>
        <w:rPr>
          <w:color w:val="231F20"/>
          <w:w w:val="110"/>
        </w:rPr>
        <w:t>de</w:t>
      </w:r>
      <w:r>
        <w:rPr>
          <w:color w:val="231F20"/>
          <w:spacing w:val="-12"/>
          <w:w w:val="110"/>
        </w:rPr>
        <w:t> </w:t>
      </w:r>
      <w:r>
        <w:rPr>
          <w:color w:val="231F20"/>
          <w:w w:val="110"/>
        </w:rPr>
        <w:t>servicio</w:t>
      </w:r>
      <w:r>
        <w:rPr>
          <w:color w:val="231F20"/>
          <w:spacing w:val="-12"/>
          <w:w w:val="110"/>
        </w:rPr>
        <w:t> </w:t>
      </w:r>
      <w:r>
        <w:rPr>
          <w:color w:val="231F20"/>
          <w:w w:val="110"/>
        </w:rPr>
        <w:t>de</w:t>
      </w:r>
      <w:r>
        <w:rPr>
          <w:color w:val="231F20"/>
          <w:spacing w:val="-12"/>
          <w:w w:val="110"/>
        </w:rPr>
        <w:t> </w:t>
      </w:r>
      <w:r>
        <w:rPr>
          <w:color w:val="231F20"/>
          <w:w w:val="110"/>
        </w:rPr>
        <w:t>salud,</w:t>
      </w:r>
      <w:r>
        <w:rPr>
          <w:color w:val="231F20"/>
          <w:spacing w:val="-12"/>
          <w:w w:val="110"/>
        </w:rPr>
        <w:t> </w:t>
      </w:r>
      <w:r>
        <w:rPr>
          <w:color w:val="231F20"/>
          <w:w w:val="110"/>
        </w:rPr>
        <w:t>situa-</w:t>
      </w:r>
      <w:r>
        <w:rPr>
          <w:color w:val="231F20"/>
          <w:w w:val="93"/>
        </w:rPr>
        <w:t> </w:t>
      </w:r>
      <w:r>
        <w:rPr>
          <w:color w:val="231F20"/>
          <w:w w:val="110"/>
        </w:rPr>
        <w:t>ción</w:t>
      </w:r>
      <w:r>
        <w:rPr>
          <w:color w:val="231F20"/>
          <w:spacing w:val="25"/>
          <w:w w:val="110"/>
        </w:rPr>
        <w:t> </w:t>
      </w:r>
      <w:r>
        <w:rPr>
          <w:color w:val="231F20"/>
          <w:w w:val="110"/>
        </w:rPr>
        <w:t>que</w:t>
      </w:r>
      <w:r>
        <w:rPr>
          <w:color w:val="231F20"/>
          <w:spacing w:val="25"/>
          <w:w w:val="110"/>
        </w:rPr>
        <w:t> </w:t>
      </w:r>
      <w:r>
        <w:rPr>
          <w:color w:val="231F20"/>
          <w:w w:val="110"/>
        </w:rPr>
        <w:t>se</w:t>
      </w:r>
      <w:r>
        <w:rPr>
          <w:color w:val="231F20"/>
          <w:spacing w:val="25"/>
          <w:w w:val="110"/>
        </w:rPr>
        <w:t> </w:t>
      </w:r>
      <w:r>
        <w:rPr>
          <w:color w:val="231F20"/>
          <w:w w:val="110"/>
        </w:rPr>
        <w:t>agravará</w:t>
      </w:r>
      <w:r>
        <w:rPr>
          <w:color w:val="231F20"/>
          <w:spacing w:val="25"/>
          <w:w w:val="110"/>
        </w:rPr>
        <w:t> </w:t>
      </w:r>
      <w:r>
        <w:rPr>
          <w:color w:val="231F20"/>
          <w:w w:val="110"/>
        </w:rPr>
        <w:t>aún</w:t>
      </w:r>
      <w:r>
        <w:rPr>
          <w:color w:val="231F20"/>
          <w:spacing w:val="25"/>
          <w:w w:val="110"/>
        </w:rPr>
        <w:t> </w:t>
      </w:r>
      <w:r>
        <w:rPr>
          <w:color w:val="231F20"/>
          <w:w w:val="110"/>
        </w:rPr>
        <w:t>más</w:t>
      </w:r>
      <w:r>
        <w:rPr>
          <w:color w:val="231F20"/>
          <w:spacing w:val="25"/>
          <w:w w:val="110"/>
        </w:rPr>
        <w:t> </w:t>
      </w:r>
      <w:r>
        <w:rPr>
          <w:color w:val="231F20"/>
          <w:w w:val="110"/>
        </w:rPr>
        <w:t>si</w:t>
      </w:r>
      <w:r>
        <w:rPr>
          <w:color w:val="231F20"/>
          <w:spacing w:val="25"/>
          <w:w w:val="110"/>
        </w:rPr>
        <w:t> </w:t>
      </w:r>
      <w:r>
        <w:rPr>
          <w:color w:val="231F20"/>
          <w:w w:val="110"/>
        </w:rPr>
        <w:t>se</w:t>
      </w:r>
      <w:r>
        <w:rPr>
          <w:color w:val="231F20"/>
          <w:spacing w:val="25"/>
          <w:w w:val="110"/>
        </w:rPr>
        <w:t> </w:t>
      </w:r>
      <w:r>
        <w:rPr>
          <w:color w:val="231F20"/>
          <w:w w:val="110"/>
        </w:rPr>
        <w:t>considera</w:t>
      </w:r>
      <w:r>
        <w:rPr>
          <w:color w:val="231F20"/>
          <w:spacing w:val="25"/>
          <w:w w:val="110"/>
        </w:rPr>
        <w:t> </w:t>
      </w:r>
      <w:r>
        <w:rPr>
          <w:color w:val="231F20"/>
          <w:w w:val="110"/>
        </w:rPr>
        <w:t>que</w:t>
      </w:r>
      <w:r>
        <w:rPr>
          <w:color w:val="231F20"/>
          <w:spacing w:val="25"/>
          <w:w w:val="110"/>
        </w:rPr>
        <w:t> </w:t>
      </w:r>
      <w:r>
        <w:rPr>
          <w:color w:val="231F20"/>
          <w:w w:val="110"/>
        </w:rPr>
        <w:t>conforme</w:t>
      </w:r>
      <w:r>
        <w:rPr>
          <w:color w:val="231F20"/>
          <w:spacing w:val="25"/>
          <w:w w:val="110"/>
        </w:rPr>
        <w:t> </w:t>
      </w:r>
      <w:r>
        <w:rPr>
          <w:color w:val="231F20"/>
          <w:w w:val="110"/>
        </w:rPr>
        <w:t>aumenta</w:t>
      </w:r>
      <w:r>
        <w:rPr>
          <w:color w:val="231F20"/>
          <w:spacing w:val="25"/>
          <w:w w:val="110"/>
        </w:rPr>
        <w:t> </w:t>
      </w:r>
      <w:r>
        <w:rPr>
          <w:color w:val="231F20"/>
          <w:w w:val="110"/>
        </w:rPr>
        <w:t>la</w:t>
      </w:r>
      <w:r>
        <w:rPr>
          <w:color w:val="231F20"/>
          <w:w w:val="108"/>
        </w:rPr>
        <w:t> </w:t>
      </w:r>
      <w:r>
        <w:rPr>
          <w:color w:val="231F20"/>
          <w:w w:val="110"/>
        </w:rPr>
        <w:t>edad,</w:t>
      </w:r>
      <w:r>
        <w:rPr>
          <w:color w:val="231F20"/>
          <w:spacing w:val="-5"/>
          <w:w w:val="110"/>
        </w:rPr>
        <w:t> </w:t>
      </w:r>
      <w:r>
        <w:rPr>
          <w:color w:val="231F20"/>
          <w:w w:val="110"/>
        </w:rPr>
        <w:t>se</w:t>
      </w:r>
      <w:r>
        <w:rPr>
          <w:color w:val="231F20"/>
          <w:spacing w:val="-5"/>
          <w:w w:val="110"/>
        </w:rPr>
        <w:t> </w:t>
      </w:r>
      <w:r>
        <w:rPr>
          <w:color w:val="231F20"/>
          <w:w w:val="110"/>
        </w:rPr>
        <w:t>incrementa</w:t>
      </w:r>
      <w:r>
        <w:rPr>
          <w:color w:val="231F20"/>
          <w:spacing w:val="-5"/>
          <w:w w:val="110"/>
        </w:rPr>
        <w:t> </w:t>
      </w:r>
      <w:r>
        <w:rPr>
          <w:color w:val="231F20"/>
          <w:w w:val="110"/>
        </w:rPr>
        <w:t>la</w:t>
      </w:r>
      <w:r>
        <w:rPr>
          <w:color w:val="231F20"/>
          <w:spacing w:val="-5"/>
          <w:w w:val="110"/>
        </w:rPr>
        <w:t> </w:t>
      </w:r>
      <w:r>
        <w:rPr>
          <w:color w:val="231F20"/>
          <w:w w:val="110"/>
        </w:rPr>
        <w:t>pérdida</w:t>
      </w:r>
      <w:r>
        <w:rPr>
          <w:color w:val="231F20"/>
          <w:spacing w:val="-5"/>
          <w:w w:val="110"/>
        </w:rPr>
        <w:t> </w:t>
      </w:r>
      <w:r>
        <w:rPr>
          <w:color w:val="231F20"/>
          <w:w w:val="110"/>
        </w:rPr>
        <w:t>de</w:t>
      </w:r>
      <w:r>
        <w:rPr>
          <w:color w:val="231F20"/>
          <w:spacing w:val="-5"/>
          <w:w w:val="110"/>
        </w:rPr>
        <w:t> </w:t>
      </w:r>
      <w:r>
        <w:rPr>
          <w:color w:val="231F20"/>
          <w:w w:val="110"/>
        </w:rPr>
        <w:t>capacidad</w:t>
      </w:r>
      <w:r>
        <w:rPr>
          <w:color w:val="231F20"/>
          <w:spacing w:val="-5"/>
          <w:w w:val="110"/>
        </w:rPr>
        <w:t> </w:t>
      </w:r>
      <w:r>
        <w:rPr>
          <w:color w:val="231F20"/>
          <w:w w:val="110"/>
        </w:rPr>
        <w:t>física</w:t>
      </w:r>
      <w:r>
        <w:rPr>
          <w:color w:val="231F20"/>
          <w:spacing w:val="-5"/>
          <w:w w:val="110"/>
        </w:rPr>
        <w:t> </w:t>
      </w:r>
      <w:r>
        <w:rPr>
          <w:color w:val="231F20"/>
          <w:w w:val="110"/>
        </w:rPr>
        <w:t>y</w:t>
      </w:r>
      <w:r>
        <w:rPr>
          <w:color w:val="231F20"/>
          <w:spacing w:val="-5"/>
          <w:w w:val="110"/>
        </w:rPr>
        <w:t> </w:t>
      </w:r>
      <w:r>
        <w:rPr>
          <w:color w:val="231F20"/>
          <w:w w:val="110"/>
        </w:rPr>
        <w:t>mental</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población</w:t>
      </w:r>
    </w:p>
    <w:p>
      <w:pPr>
        <w:pStyle w:val="BodyText"/>
        <w:ind w:left="124"/>
      </w:pPr>
      <w:r>
        <w:rPr>
          <w:color w:val="231F20"/>
          <w:w w:val="110"/>
        </w:rPr>
        <w:t>más envejecida.</w:t>
      </w:r>
    </w:p>
    <w:p>
      <w:pPr>
        <w:pStyle w:val="BodyText"/>
        <w:spacing w:line="288" w:lineRule="auto" w:before="47"/>
        <w:ind w:left="124" w:right="110" w:firstLine="360"/>
        <w:jc w:val="both"/>
      </w:pPr>
      <w:r>
        <w:rPr>
          <w:color w:val="231F20"/>
          <w:w w:val="110"/>
        </w:rPr>
        <w:t>La solución a los problemas de salud en la población de 60 años y más, además de requerir capital humano especializado, requiere también una nueva percepción de la salud individual, así como de un nuevo enfoque de la salud pública hacia una cultura del envejecimiento. Es necesario aplicar programas de detección de enfermedades oportunas para poder prevenir y </w:t>
      </w:r>
      <w:r>
        <w:rPr>
          <w:color w:val="231F20"/>
          <w:spacing w:val="-4"/>
          <w:w w:val="110"/>
        </w:rPr>
        <w:t>proveer </w:t>
      </w:r>
      <w:r>
        <w:rPr>
          <w:color w:val="231F20"/>
          <w:spacing w:val="-3"/>
          <w:w w:val="110"/>
        </w:rPr>
        <w:t>las </w:t>
      </w:r>
      <w:r>
        <w:rPr>
          <w:color w:val="231F20"/>
          <w:spacing w:val="-4"/>
          <w:w w:val="110"/>
        </w:rPr>
        <w:t>acciones necesarias </w:t>
      </w:r>
      <w:r>
        <w:rPr>
          <w:color w:val="231F20"/>
          <w:w w:val="110"/>
        </w:rPr>
        <w:t>en </w:t>
      </w:r>
      <w:r>
        <w:rPr>
          <w:color w:val="231F20"/>
          <w:spacing w:val="-4"/>
          <w:w w:val="110"/>
        </w:rPr>
        <w:t>cuidados </w:t>
      </w:r>
      <w:r>
        <w:rPr>
          <w:color w:val="231F20"/>
          <w:w w:val="110"/>
        </w:rPr>
        <w:t>y de </w:t>
      </w:r>
      <w:r>
        <w:rPr>
          <w:color w:val="231F20"/>
          <w:spacing w:val="-4"/>
          <w:w w:val="110"/>
        </w:rPr>
        <w:t>rehabilitación. </w:t>
      </w:r>
      <w:r>
        <w:rPr>
          <w:color w:val="231F20"/>
          <w:w w:val="110"/>
        </w:rPr>
        <w:t>El </w:t>
      </w:r>
      <w:r>
        <w:rPr>
          <w:color w:val="231F20"/>
          <w:spacing w:val="-4"/>
          <w:w w:val="110"/>
        </w:rPr>
        <w:t>conocer </w:t>
      </w:r>
      <w:r>
        <w:rPr>
          <w:color w:val="231F20"/>
          <w:w w:val="110"/>
        </w:rPr>
        <w:t>los determinantes de la salud permite tener una amplia gama de factores que contribuyen a la salud de la población adulta </w:t>
      </w:r>
      <w:r>
        <w:rPr>
          <w:color w:val="231F20"/>
          <w:spacing w:val="-2"/>
          <w:w w:val="110"/>
        </w:rPr>
        <w:t>mayor, </w:t>
      </w:r>
      <w:r>
        <w:rPr>
          <w:color w:val="231F20"/>
          <w:w w:val="110"/>
        </w:rPr>
        <w:t>de igual forma permite saber en qué situaciones de riesgo se presenta dicha población, por lo que se requiere disminuir los factores de riesgo como el</w:t>
      </w:r>
      <w:r>
        <w:rPr>
          <w:color w:val="231F20"/>
          <w:spacing w:val="-18"/>
          <w:w w:val="110"/>
        </w:rPr>
        <w:t> </w:t>
      </w:r>
      <w:r>
        <w:rPr>
          <w:color w:val="231F20"/>
          <w:w w:val="110"/>
        </w:rPr>
        <w:t>aislamiento social, la pobreza, la mala nutrición, el sedentarismo, el estrés, la ansiedad y la</w:t>
      </w:r>
      <w:r>
        <w:rPr>
          <w:color w:val="231F20"/>
          <w:spacing w:val="15"/>
          <w:w w:val="110"/>
        </w:rPr>
        <w:t> </w:t>
      </w:r>
      <w:r>
        <w:rPr>
          <w:color w:val="231F20"/>
          <w:w w:val="110"/>
        </w:rPr>
        <w:t>depresión.</w:t>
      </w:r>
    </w:p>
    <w:p>
      <w:pPr>
        <w:pStyle w:val="BodyText"/>
        <w:spacing w:line="288" w:lineRule="auto"/>
        <w:ind w:left="124" w:right="112" w:firstLine="360"/>
        <w:jc w:val="both"/>
      </w:pPr>
      <w:r>
        <w:rPr>
          <w:color w:val="231F20"/>
          <w:w w:val="110"/>
        </w:rPr>
        <w:t>El desarrollo de una política de Estado sobre el envejecimiento se da en un contexto heterogéneo de facetas sociales, políticas, económicas y culturales complejas. Por lo que la política social, en atención al aumento gradual del proceso de envejecimiento de la población, deberá reconocer el valor de los derechos humanos de este grupo de población, en apoyo al mejoramiento de su calidad de vida, y proteger su derecho a vivir con dig- nidad su vejez, como una etapa final de su  vida.</w:t>
      </w:r>
    </w:p>
    <w:p>
      <w:pPr>
        <w:spacing w:after="0" w:line="288" w:lineRule="auto"/>
        <w:jc w:val="both"/>
        <w:sectPr>
          <w:pgSz w:w="9520" w:h="12920"/>
          <w:pgMar w:header="0" w:footer="1344" w:top="880" w:bottom="1540" w:left="1320" w:right="1000"/>
        </w:sectPr>
      </w:pPr>
    </w:p>
    <w:p>
      <w:pPr>
        <w:spacing w:before="39"/>
        <w:ind w:left="120" w:right="0" w:firstLine="0"/>
        <w:jc w:val="left"/>
        <w:rPr>
          <w:rFonts w:ascii="Times New Roman"/>
          <w:i/>
          <w:sz w:val="19"/>
        </w:rPr>
      </w:pPr>
      <w:r>
        <w:rPr>
          <w:rFonts w:ascii="Times New Roman"/>
          <w:i/>
          <w:color w:val="231F20"/>
          <w:w w:val="95"/>
          <w:sz w:val="24"/>
        </w:rPr>
        <w:t>F</w:t>
      </w:r>
      <w:r>
        <w:rPr>
          <w:rFonts w:ascii="Times New Roman"/>
          <w:i/>
          <w:color w:val="231F20"/>
          <w:w w:val="95"/>
          <w:sz w:val="19"/>
        </w:rPr>
        <w:t>UENTES CONSULTADAS</w:t>
      </w:r>
    </w:p>
    <w:p>
      <w:pPr>
        <w:pStyle w:val="BodyText"/>
        <w:spacing w:before="8"/>
        <w:rPr>
          <w:rFonts w:ascii="Times New Roman"/>
          <w:i/>
          <w:sz w:val="25"/>
        </w:rPr>
      </w:pPr>
    </w:p>
    <w:p>
      <w:pPr>
        <w:spacing w:line="266" w:lineRule="auto" w:before="0"/>
        <w:ind w:left="479" w:right="118" w:hanging="360"/>
        <w:jc w:val="both"/>
        <w:rPr>
          <w:sz w:val="19"/>
        </w:rPr>
      </w:pPr>
      <w:r>
        <w:rPr>
          <w:rFonts w:ascii="Times New Roman"/>
          <w:color w:val="231F20"/>
          <w:w w:val="110"/>
          <w:sz w:val="19"/>
        </w:rPr>
        <w:t>A</w:t>
      </w:r>
      <w:r>
        <w:rPr>
          <w:rFonts w:ascii="Times New Roman"/>
          <w:color w:val="231F20"/>
          <w:w w:val="110"/>
          <w:sz w:val="15"/>
        </w:rPr>
        <w:t>NDREW</w:t>
      </w:r>
      <w:r>
        <w:rPr>
          <w:color w:val="231F20"/>
          <w:w w:val="110"/>
          <w:sz w:val="19"/>
        </w:rPr>
        <w:t>, Minitski y Rockwood. 2008. Social vulnerability, frailty and</w:t>
      </w:r>
      <w:r>
        <w:rPr>
          <w:color w:val="231F20"/>
          <w:spacing w:val="-10"/>
          <w:w w:val="110"/>
          <w:sz w:val="19"/>
        </w:rPr>
        <w:t> </w:t>
      </w:r>
      <w:r>
        <w:rPr>
          <w:color w:val="231F20"/>
          <w:w w:val="110"/>
          <w:sz w:val="19"/>
        </w:rPr>
        <w:t>mortality in elderly people. PLoS ONE 2008, 3:</w:t>
      </w:r>
      <w:r>
        <w:rPr>
          <w:color w:val="231F20"/>
          <w:spacing w:val="37"/>
          <w:w w:val="110"/>
          <w:sz w:val="19"/>
        </w:rPr>
        <w:t> </w:t>
      </w:r>
      <w:r>
        <w:rPr>
          <w:color w:val="231F20"/>
          <w:w w:val="110"/>
          <w:sz w:val="19"/>
        </w:rPr>
        <w:t>e2232.</w:t>
      </w:r>
    </w:p>
    <w:p>
      <w:pPr>
        <w:spacing w:line="266" w:lineRule="auto" w:before="0"/>
        <w:ind w:left="46" w:right="114" w:firstLine="0"/>
        <w:jc w:val="right"/>
        <w:rPr>
          <w:sz w:val="19"/>
        </w:rPr>
      </w:pPr>
      <w:r>
        <w:rPr>
          <w:rFonts w:ascii="Times New Roman" w:hAnsi="Times New Roman"/>
          <w:color w:val="231F20"/>
          <w:w w:val="110"/>
          <w:sz w:val="19"/>
        </w:rPr>
        <w:t>A</w:t>
      </w:r>
      <w:r>
        <w:rPr>
          <w:rFonts w:ascii="Times New Roman" w:hAnsi="Times New Roman"/>
          <w:color w:val="231F20"/>
          <w:w w:val="110"/>
          <w:sz w:val="15"/>
        </w:rPr>
        <w:t>RANIBAR</w:t>
      </w:r>
      <w:r>
        <w:rPr>
          <w:color w:val="231F20"/>
          <w:w w:val="110"/>
          <w:sz w:val="19"/>
        </w:rPr>
        <w:t>,</w:t>
      </w:r>
      <w:r>
        <w:rPr>
          <w:color w:val="231F20"/>
          <w:spacing w:val="-10"/>
          <w:w w:val="110"/>
          <w:sz w:val="19"/>
        </w:rPr>
        <w:t> P., </w:t>
      </w:r>
      <w:r>
        <w:rPr>
          <w:color w:val="231F20"/>
          <w:w w:val="110"/>
          <w:sz w:val="19"/>
        </w:rPr>
        <w:t>2001. Acercamiento conceptual a la situación del adulto mayor en</w:t>
      </w:r>
      <w:r>
        <w:rPr>
          <w:color w:val="231F20"/>
          <w:w w:val="110"/>
          <w:sz w:val="19"/>
        </w:rPr>
        <w:t> </w:t>
      </w:r>
      <w:r>
        <w:rPr>
          <w:color w:val="231F20"/>
          <w:w w:val="110"/>
          <w:sz w:val="19"/>
        </w:rPr>
        <w:t>América Latina. Serie Población y Desarrollo, 21. Santiago de Chile: </w:t>
      </w:r>
      <w:r>
        <w:rPr>
          <w:rFonts w:ascii="Times New Roman" w:hAnsi="Times New Roman"/>
          <w:color w:val="231F20"/>
          <w:w w:val="110"/>
          <w:sz w:val="15"/>
        </w:rPr>
        <w:t>CEPAL</w:t>
      </w:r>
      <w:r>
        <w:rPr>
          <w:rFonts w:ascii="Times New Roman" w:hAnsi="Times New Roman"/>
          <w:color w:val="231F20"/>
          <w:w w:val="101"/>
          <w:sz w:val="15"/>
        </w:rPr>
        <w:t> </w:t>
      </w:r>
      <w:r>
        <w:rPr>
          <w:rFonts w:ascii="Times New Roman" w:hAnsi="Times New Roman"/>
          <w:color w:val="231F20"/>
          <w:w w:val="110"/>
          <w:sz w:val="19"/>
        </w:rPr>
        <w:t>B</w:t>
      </w:r>
      <w:r>
        <w:rPr>
          <w:rFonts w:ascii="Times New Roman" w:hAnsi="Times New Roman"/>
          <w:color w:val="231F20"/>
          <w:w w:val="110"/>
          <w:sz w:val="15"/>
        </w:rPr>
        <w:t>USSO</w:t>
      </w:r>
      <w:r>
        <w:rPr>
          <w:color w:val="231F20"/>
          <w:w w:val="110"/>
          <w:sz w:val="19"/>
        </w:rPr>
        <w:t>, G., 2001. Vulnerabilidad social: nociones e implicancias de políticas</w:t>
      </w:r>
      <w:r>
        <w:rPr>
          <w:color w:val="231F20"/>
          <w:w w:val="118"/>
          <w:sz w:val="19"/>
        </w:rPr>
        <w:t> </w:t>
      </w:r>
      <w:r>
        <w:rPr>
          <w:color w:val="231F20"/>
          <w:w w:val="110"/>
          <w:sz w:val="19"/>
        </w:rPr>
        <w:t>para Latinoamérica a inicios del siglo </w:t>
      </w:r>
      <w:r>
        <w:rPr>
          <w:rFonts w:ascii="Times New Roman" w:hAnsi="Times New Roman"/>
          <w:color w:val="231F20"/>
          <w:w w:val="110"/>
          <w:sz w:val="15"/>
        </w:rPr>
        <w:t>XXI</w:t>
      </w:r>
      <w:r>
        <w:rPr>
          <w:color w:val="231F20"/>
          <w:w w:val="110"/>
          <w:sz w:val="19"/>
        </w:rPr>
        <w:t>, en </w:t>
      </w:r>
      <w:r>
        <w:rPr>
          <w:rFonts w:ascii="Times New Roman" w:hAnsi="Times New Roman"/>
          <w:color w:val="231F20"/>
          <w:w w:val="110"/>
          <w:sz w:val="15"/>
        </w:rPr>
        <w:t>CEPAL</w:t>
      </w:r>
      <w:r>
        <w:rPr>
          <w:color w:val="231F20"/>
          <w:w w:val="110"/>
          <w:sz w:val="19"/>
        </w:rPr>
        <w:t>, Informe de la Reunión</w:t>
      </w:r>
    </w:p>
    <w:p>
      <w:pPr>
        <w:spacing w:line="266" w:lineRule="auto" w:before="0"/>
        <w:ind w:left="480" w:right="117" w:firstLine="0"/>
        <w:jc w:val="both"/>
        <w:rPr>
          <w:sz w:val="19"/>
        </w:rPr>
      </w:pPr>
      <w:r>
        <w:rPr>
          <w:color w:val="231F20"/>
          <w:w w:val="110"/>
          <w:sz w:val="19"/>
        </w:rPr>
        <w:t>de Expertos: Seminario Internacional sobre las Diferentes Expresiones de la Vulnerabilidad Social en América Latina y el Caribe, División de Pobla- ción de la </w:t>
      </w:r>
      <w:r>
        <w:rPr>
          <w:rFonts w:ascii="Times New Roman" w:hAnsi="Times New Roman"/>
          <w:color w:val="231F20"/>
          <w:w w:val="110"/>
          <w:sz w:val="15"/>
        </w:rPr>
        <w:t>CEPAL</w:t>
      </w:r>
      <w:r>
        <w:rPr>
          <w:color w:val="231F20"/>
          <w:w w:val="110"/>
          <w:sz w:val="19"/>
        </w:rPr>
        <w:t>/</w:t>
      </w:r>
      <w:r>
        <w:rPr>
          <w:rFonts w:ascii="Times New Roman" w:hAnsi="Times New Roman"/>
          <w:color w:val="231F20"/>
          <w:w w:val="110"/>
          <w:sz w:val="15"/>
        </w:rPr>
        <w:t>CELADE</w:t>
      </w:r>
      <w:r>
        <w:rPr>
          <w:color w:val="231F20"/>
          <w:w w:val="110"/>
          <w:sz w:val="19"/>
        </w:rPr>
        <w:t>, Santiago de Chile, Chile.</w:t>
      </w:r>
    </w:p>
    <w:p>
      <w:pPr>
        <w:spacing w:line="266" w:lineRule="auto" w:before="0"/>
        <w:ind w:left="479" w:right="117" w:hanging="360"/>
        <w:jc w:val="both"/>
        <w:rPr>
          <w:sz w:val="19"/>
        </w:rPr>
      </w:pPr>
      <w:r>
        <w:rPr>
          <w:rFonts w:ascii="Times New Roman" w:hAnsi="Times New Roman"/>
          <w:color w:val="231F20"/>
          <w:w w:val="110"/>
          <w:sz w:val="15"/>
        </w:rPr>
        <w:t>CEPAL</w:t>
      </w:r>
      <w:r>
        <w:rPr>
          <w:color w:val="231F20"/>
          <w:w w:val="110"/>
          <w:sz w:val="19"/>
        </w:rPr>
        <w:t>-ECLAC, 2002, Vulnerabilidad Sociodemográfica: viejos y nuevos riesgos para comunidades, hogares y personas. Brasilia, Brasil, </w:t>
      </w:r>
      <w:r>
        <w:rPr>
          <w:rFonts w:ascii="Times New Roman" w:hAnsi="Times New Roman"/>
          <w:color w:val="231F20"/>
          <w:w w:val="110"/>
          <w:sz w:val="15"/>
        </w:rPr>
        <w:t>ONU</w:t>
      </w:r>
      <w:r>
        <w:rPr>
          <w:color w:val="231F20"/>
          <w:w w:val="110"/>
          <w:sz w:val="19"/>
        </w:rPr>
        <w:t>, LC/R.2086, 22 abril.</w:t>
      </w:r>
    </w:p>
    <w:p>
      <w:pPr>
        <w:spacing w:before="0"/>
        <w:ind w:left="120" w:right="0" w:firstLine="0"/>
        <w:jc w:val="left"/>
        <w:rPr>
          <w:sz w:val="19"/>
        </w:rPr>
      </w:pPr>
      <w:r>
        <w:rPr>
          <w:rFonts w:ascii="Times New Roman" w:hAnsi="Times New Roman"/>
          <w:color w:val="231F20"/>
          <w:w w:val="110"/>
          <w:sz w:val="15"/>
        </w:rPr>
        <w:t>CDDHCU</w:t>
      </w:r>
      <w:r>
        <w:rPr>
          <w:color w:val="231F20"/>
          <w:w w:val="110"/>
          <w:sz w:val="19"/>
        </w:rPr>
        <w:t>, 2009, Ley General de Salud: última reforma 17 Abril 2009,  México.</w:t>
      </w:r>
    </w:p>
    <w:p>
      <w:pPr>
        <w:spacing w:line="266" w:lineRule="auto" w:before="25"/>
        <w:ind w:left="479" w:right="117" w:hanging="360"/>
        <w:jc w:val="both"/>
        <w:rPr>
          <w:sz w:val="19"/>
        </w:rPr>
      </w:pPr>
      <w:r>
        <w:rPr>
          <w:rFonts w:ascii="Times New Roman"/>
          <w:color w:val="231F20"/>
          <w:spacing w:val="-3"/>
          <w:w w:val="110"/>
          <w:sz w:val="19"/>
        </w:rPr>
        <w:t>C</w:t>
      </w:r>
      <w:r>
        <w:rPr>
          <w:rFonts w:ascii="Times New Roman"/>
          <w:color w:val="231F20"/>
          <w:spacing w:val="-3"/>
          <w:w w:val="110"/>
          <w:sz w:val="15"/>
        </w:rPr>
        <w:t>HECKOWAY</w:t>
      </w:r>
      <w:r>
        <w:rPr>
          <w:color w:val="231F20"/>
          <w:spacing w:val="-3"/>
          <w:w w:val="110"/>
          <w:sz w:val="19"/>
        </w:rPr>
        <w:t>,</w:t>
      </w:r>
      <w:r>
        <w:rPr>
          <w:color w:val="231F20"/>
          <w:spacing w:val="-8"/>
          <w:w w:val="110"/>
          <w:sz w:val="19"/>
        </w:rPr>
        <w:t> </w:t>
      </w:r>
      <w:r>
        <w:rPr>
          <w:color w:val="231F20"/>
          <w:w w:val="110"/>
          <w:sz w:val="19"/>
        </w:rPr>
        <w:t>Barry,</w:t>
      </w:r>
      <w:r>
        <w:rPr>
          <w:color w:val="231F20"/>
          <w:spacing w:val="-8"/>
          <w:w w:val="110"/>
          <w:sz w:val="19"/>
        </w:rPr>
        <w:t> </w:t>
      </w:r>
      <w:r>
        <w:rPr>
          <w:color w:val="231F20"/>
          <w:w w:val="110"/>
          <w:sz w:val="19"/>
        </w:rPr>
        <w:t>1994,</w:t>
      </w:r>
      <w:r>
        <w:rPr>
          <w:color w:val="231F20"/>
          <w:spacing w:val="-8"/>
          <w:w w:val="110"/>
          <w:sz w:val="19"/>
        </w:rPr>
        <w:t> </w:t>
      </w:r>
      <w:r>
        <w:rPr>
          <w:color w:val="231F20"/>
          <w:w w:val="110"/>
          <w:sz w:val="19"/>
        </w:rPr>
        <w:t>Core</w:t>
      </w:r>
      <w:r>
        <w:rPr>
          <w:color w:val="231F20"/>
          <w:spacing w:val="-8"/>
          <w:w w:val="110"/>
          <w:sz w:val="19"/>
        </w:rPr>
        <w:t> </w:t>
      </w:r>
      <w:r>
        <w:rPr>
          <w:color w:val="231F20"/>
          <w:w w:val="110"/>
          <w:sz w:val="19"/>
        </w:rPr>
        <w:t>concepts</w:t>
      </w:r>
      <w:r>
        <w:rPr>
          <w:color w:val="231F20"/>
          <w:spacing w:val="-8"/>
          <w:w w:val="110"/>
          <w:sz w:val="19"/>
        </w:rPr>
        <w:t> </w:t>
      </w:r>
      <w:r>
        <w:rPr>
          <w:color w:val="231F20"/>
          <w:w w:val="110"/>
          <w:sz w:val="19"/>
        </w:rPr>
        <w:t>for</w:t>
      </w:r>
      <w:r>
        <w:rPr>
          <w:color w:val="231F20"/>
          <w:spacing w:val="-8"/>
          <w:w w:val="110"/>
          <w:sz w:val="19"/>
        </w:rPr>
        <w:t> </w:t>
      </w:r>
      <w:r>
        <w:rPr>
          <w:color w:val="231F20"/>
          <w:w w:val="110"/>
          <w:sz w:val="19"/>
        </w:rPr>
        <w:t>community</w:t>
      </w:r>
      <w:r>
        <w:rPr>
          <w:color w:val="231F20"/>
          <w:spacing w:val="-8"/>
          <w:w w:val="110"/>
          <w:sz w:val="19"/>
        </w:rPr>
        <w:t> </w:t>
      </w:r>
      <w:r>
        <w:rPr>
          <w:color w:val="231F20"/>
          <w:w w:val="110"/>
          <w:sz w:val="19"/>
        </w:rPr>
        <w:t>change,</w:t>
      </w:r>
      <w:r>
        <w:rPr>
          <w:color w:val="231F20"/>
          <w:spacing w:val="-8"/>
          <w:w w:val="110"/>
          <w:sz w:val="19"/>
        </w:rPr>
        <w:t> </w:t>
      </w:r>
      <w:r>
        <w:rPr>
          <w:color w:val="231F20"/>
          <w:spacing w:val="-3"/>
          <w:w w:val="110"/>
          <w:sz w:val="19"/>
        </w:rPr>
        <w:t>Working</w:t>
      </w:r>
      <w:r>
        <w:rPr>
          <w:color w:val="231F20"/>
          <w:spacing w:val="-8"/>
          <w:w w:val="110"/>
          <w:sz w:val="19"/>
        </w:rPr>
        <w:t> </w:t>
      </w:r>
      <w:r>
        <w:rPr>
          <w:color w:val="231F20"/>
          <w:w w:val="110"/>
          <w:sz w:val="19"/>
        </w:rPr>
        <w:t>Paper Series, PCMA </w:t>
      </w:r>
      <w:r>
        <w:rPr>
          <w:color w:val="231F20"/>
          <w:spacing w:val="-3"/>
          <w:w w:val="110"/>
          <w:sz w:val="19"/>
        </w:rPr>
        <w:t>Worlung </w:t>
      </w:r>
      <w:r>
        <w:rPr>
          <w:color w:val="231F20"/>
          <w:w w:val="110"/>
          <w:sz w:val="19"/>
        </w:rPr>
        <w:t>Paper No. 44.  </w:t>
      </w:r>
      <w:r>
        <w:rPr>
          <w:color w:val="231F20"/>
          <w:spacing w:val="4"/>
          <w:w w:val="110"/>
          <w:sz w:val="19"/>
        </w:rPr>
        <w:t> </w:t>
      </w:r>
      <w:r>
        <w:rPr>
          <w:color w:val="231F20"/>
          <w:w w:val="110"/>
          <w:sz w:val="19"/>
        </w:rPr>
        <w:t>Michigan</w:t>
      </w:r>
    </w:p>
    <w:p>
      <w:pPr>
        <w:spacing w:line="266" w:lineRule="auto" w:before="0"/>
        <w:ind w:left="480" w:right="119" w:hanging="360"/>
        <w:jc w:val="both"/>
        <w:rPr>
          <w:sz w:val="19"/>
        </w:rPr>
      </w:pPr>
      <w:r>
        <w:rPr>
          <w:rFonts w:ascii="Times New Roman" w:hAnsi="Times New Roman"/>
          <w:color w:val="231F20"/>
          <w:w w:val="110"/>
          <w:sz w:val="15"/>
        </w:rPr>
        <w:t>CNPSS</w:t>
      </w:r>
      <w:r>
        <w:rPr>
          <w:color w:val="231F20"/>
          <w:w w:val="110"/>
          <w:sz w:val="19"/>
        </w:rPr>
        <w:t>, Comisión Nacional de Protección Social en Salud, 2010: Informe de re- sultados primer semestre 2009. México DF: Secretaría de Salud,   México.</w:t>
      </w:r>
    </w:p>
    <w:p>
      <w:pPr>
        <w:spacing w:line="266" w:lineRule="auto" w:before="0"/>
        <w:ind w:left="480" w:right="114" w:hanging="360"/>
        <w:jc w:val="both"/>
        <w:rPr>
          <w:sz w:val="19"/>
        </w:rPr>
      </w:pPr>
      <w:r>
        <w:rPr>
          <w:color w:val="231F20"/>
          <w:w w:val="110"/>
          <w:sz w:val="19"/>
        </w:rPr>
        <w:t>Conapo 2012, Documento metodológico Proyecciones de la población de México 2010-2050, México.</w:t>
      </w:r>
    </w:p>
    <w:p>
      <w:pPr>
        <w:spacing w:line="266" w:lineRule="auto" w:before="0"/>
        <w:ind w:left="480" w:right="118" w:hanging="360"/>
        <w:jc w:val="both"/>
        <w:rPr>
          <w:sz w:val="19"/>
        </w:rPr>
      </w:pPr>
      <w:r>
        <w:rPr>
          <w:color w:val="231F20"/>
          <w:w w:val="110"/>
          <w:sz w:val="19"/>
        </w:rPr>
        <w:t>Conapo, 2014, Dinámica demográfica 1990-2010 y proyecciones de población </w:t>
      </w:r>
      <w:r>
        <w:rPr>
          <w:color w:val="231F20"/>
          <w:w w:val="105"/>
          <w:sz w:val="19"/>
        </w:rPr>
        <w:t>2010-2030. México</w:t>
      </w:r>
    </w:p>
    <w:p>
      <w:pPr>
        <w:spacing w:line="266" w:lineRule="auto" w:before="0"/>
        <w:ind w:left="479" w:right="119" w:hanging="360"/>
        <w:jc w:val="both"/>
        <w:rPr>
          <w:sz w:val="19"/>
        </w:rPr>
      </w:pPr>
      <w:r>
        <w:rPr>
          <w:color w:val="231F20"/>
          <w:w w:val="110"/>
          <w:sz w:val="19"/>
        </w:rPr>
        <w:t>Conapo, </w:t>
      </w:r>
      <w:r>
        <w:rPr>
          <w:rFonts w:ascii="Times New Roman" w:hAnsi="Times New Roman"/>
          <w:color w:val="231F20"/>
          <w:w w:val="110"/>
          <w:sz w:val="15"/>
        </w:rPr>
        <w:t>DIF</w:t>
      </w:r>
      <w:r>
        <w:rPr>
          <w:color w:val="231F20"/>
          <w:w w:val="110"/>
          <w:sz w:val="19"/>
        </w:rPr>
        <w:t>, 1994, El proceso de envejecimiento en el mundo. Serie, sociode- mográfica del envejecimiento en México.  México.</w:t>
      </w:r>
    </w:p>
    <w:p>
      <w:pPr>
        <w:spacing w:line="266" w:lineRule="auto" w:before="0"/>
        <w:ind w:left="479" w:right="117" w:hanging="360"/>
        <w:jc w:val="both"/>
        <w:rPr>
          <w:sz w:val="19"/>
        </w:rPr>
      </w:pPr>
      <w:r>
        <w:rPr>
          <w:rFonts w:ascii="Times New Roman" w:hAnsi="Times New Roman"/>
          <w:color w:val="231F20"/>
          <w:w w:val="110"/>
          <w:sz w:val="19"/>
        </w:rPr>
        <w:t>D</w:t>
      </w:r>
      <w:r>
        <w:rPr>
          <w:rFonts w:ascii="Times New Roman" w:hAnsi="Times New Roman"/>
          <w:color w:val="231F20"/>
          <w:w w:val="110"/>
          <w:sz w:val="15"/>
        </w:rPr>
        <w:t>EL </w:t>
      </w:r>
      <w:r>
        <w:rPr>
          <w:rFonts w:ascii="Times New Roman" w:hAnsi="Times New Roman"/>
          <w:color w:val="231F20"/>
          <w:w w:val="110"/>
          <w:sz w:val="19"/>
        </w:rPr>
        <w:t>P</w:t>
      </w:r>
      <w:r>
        <w:rPr>
          <w:rFonts w:ascii="Times New Roman" w:hAnsi="Times New Roman"/>
          <w:color w:val="231F20"/>
          <w:w w:val="110"/>
          <w:sz w:val="15"/>
        </w:rPr>
        <w:t>OPOLO</w:t>
      </w:r>
      <w:r>
        <w:rPr>
          <w:color w:val="231F20"/>
          <w:w w:val="110"/>
          <w:sz w:val="19"/>
        </w:rPr>
        <w:t>, Fabiana, 2001, Características sociodemográficas y socioeco- nómicas de las personas de edad en América Latina, Serie Población y Desarrollo, núm. 19, Comisión Económica para América Latina y el Cari- be/Centro Latinoamericano y Caribeño de Demografía, Santiago de Chile, noviembre.</w:t>
      </w:r>
    </w:p>
    <w:p>
      <w:pPr>
        <w:spacing w:line="266" w:lineRule="auto" w:before="0"/>
        <w:ind w:left="480" w:right="119" w:hanging="360"/>
        <w:jc w:val="both"/>
        <w:rPr>
          <w:sz w:val="19"/>
        </w:rPr>
      </w:pPr>
      <w:r>
        <w:rPr>
          <w:rFonts w:ascii="Times New Roman" w:hAnsi="Times New Roman"/>
          <w:color w:val="231F20"/>
          <w:w w:val="110"/>
          <w:sz w:val="19"/>
        </w:rPr>
        <w:t>D</w:t>
      </w:r>
      <w:r>
        <w:rPr>
          <w:rFonts w:ascii="Times New Roman" w:hAnsi="Times New Roman"/>
          <w:color w:val="231F20"/>
          <w:w w:val="110"/>
          <w:sz w:val="15"/>
        </w:rPr>
        <w:t>OMÍNGUEZ</w:t>
      </w:r>
      <w:r>
        <w:rPr>
          <w:color w:val="231F20"/>
          <w:w w:val="110"/>
          <w:sz w:val="19"/>
        </w:rPr>
        <w:t>, Carmen, 1992, “Envejecimiento y Familia”, en Papers, núm. 40, Universidad Autónoma de Barcelona,  España.</w:t>
      </w:r>
    </w:p>
    <w:p>
      <w:pPr>
        <w:spacing w:line="266" w:lineRule="auto" w:before="0"/>
        <w:ind w:left="479" w:right="119" w:hanging="360"/>
        <w:jc w:val="both"/>
        <w:rPr>
          <w:sz w:val="19"/>
        </w:rPr>
      </w:pPr>
      <w:r>
        <w:rPr>
          <w:rFonts w:ascii="Times New Roman" w:hAnsi="Times New Roman"/>
          <w:color w:val="231F20"/>
          <w:w w:val="110"/>
          <w:sz w:val="19"/>
        </w:rPr>
        <w:t>F</w:t>
      </w:r>
      <w:r>
        <w:rPr>
          <w:rFonts w:ascii="Times New Roman" w:hAnsi="Times New Roman"/>
          <w:color w:val="231F20"/>
          <w:w w:val="110"/>
          <w:sz w:val="15"/>
        </w:rPr>
        <w:t>RENK </w:t>
      </w:r>
      <w:r>
        <w:rPr>
          <w:color w:val="231F20"/>
          <w:w w:val="125"/>
          <w:sz w:val="19"/>
        </w:rPr>
        <w:t>J. </w:t>
      </w:r>
      <w:r>
        <w:rPr>
          <w:i/>
          <w:color w:val="231F20"/>
          <w:w w:val="110"/>
          <w:sz w:val="19"/>
        </w:rPr>
        <w:t>et. al</w:t>
      </w:r>
      <w:r>
        <w:rPr>
          <w:color w:val="231F20"/>
          <w:w w:val="110"/>
          <w:sz w:val="19"/>
        </w:rPr>
        <w:t>, (1991), “La transición epidemiológica en América Latina”, Bole- tín de la Oficina Sanitaria Panamericana, vol. 111, N° 6, Washington,   D.C.</w:t>
      </w:r>
    </w:p>
    <w:p>
      <w:pPr>
        <w:spacing w:line="266" w:lineRule="auto" w:before="0"/>
        <w:ind w:left="480" w:right="117" w:hanging="360"/>
        <w:jc w:val="both"/>
        <w:rPr>
          <w:sz w:val="19"/>
        </w:rPr>
      </w:pPr>
      <w:r>
        <w:rPr>
          <w:rFonts w:ascii="Times New Roman" w:hAnsi="Times New Roman"/>
          <w:color w:val="231F20"/>
          <w:w w:val="110"/>
          <w:sz w:val="19"/>
        </w:rPr>
        <w:t>F</w:t>
      </w:r>
      <w:r>
        <w:rPr>
          <w:rFonts w:ascii="Times New Roman" w:hAnsi="Times New Roman"/>
          <w:color w:val="231F20"/>
          <w:w w:val="110"/>
          <w:sz w:val="15"/>
        </w:rPr>
        <w:t>OSCHIATTI</w:t>
      </w:r>
      <w:r>
        <w:rPr>
          <w:color w:val="231F20"/>
          <w:w w:val="110"/>
          <w:sz w:val="19"/>
        </w:rPr>
        <w:t>, Ana Maria, 2007, Vulnerabilidad, pobreza y exclusión. Problemas de gran impacto en la población del nordeste argentino, en Anales de Geo- grafía, vol. 27, núm. 2, 9-40 Universidad Complutence de  Madrid.</w:t>
      </w:r>
    </w:p>
    <w:p>
      <w:pPr>
        <w:spacing w:line="266" w:lineRule="auto" w:before="0"/>
        <w:ind w:left="480" w:right="119" w:hanging="360"/>
        <w:jc w:val="both"/>
        <w:rPr>
          <w:sz w:val="19"/>
        </w:rPr>
      </w:pPr>
      <w:r>
        <w:rPr>
          <w:rFonts w:ascii="Times New Roman" w:hAnsi="Times New Roman"/>
          <w:color w:val="231F20"/>
          <w:w w:val="110"/>
          <w:sz w:val="19"/>
        </w:rPr>
        <w:t>G</w:t>
      </w:r>
      <w:r>
        <w:rPr>
          <w:rFonts w:ascii="Times New Roman" w:hAnsi="Times New Roman"/>
          <w:color w:val="231F20"/>
          <w:w w:val="110"/>
          <w:sz w:val="15"/>
        </w:rPr>
        <w:t>IRALDO</w:t>
      </w:r>
      <w:r>
        <w:rPr>
          <w:rFonts w:ascii="Times New Roman" w:hAnsi="Times New Roman"/>
          <w:color w:val="231F20"/>
          <w:spacing w:val="-2"/>
          <w:w w:val="110"/>
          <w:sz w:val="15"/>
        </w:rPr>
        <w:t> </w:t>
      </w:r>
      <w:r>
        <w:rPr>
          <w:rFonts w:ascii="Times New Roman" w:hAnsi="Times New Roman"/>
          <w:color w:val="231F20"/>
          <w:w w:val="110"/>
          <w:sz w:val="19"/>
        </w:rPr>
        <w:t>R</w:t>
      </w:r>
      <w:r>
        <w:rPr>
          <w:rFonts w:ascii="Times New Roman" w:hAnsi="Times New Roman"/>
          <w:color w:val="231F20"/>
          <w:w w:val="110"/>
          <w:sz w:val="15"/>
        </w:rPr>
        <w:t>ODRÍGUEZ</w:t>
      </w:r>
      <w:r>
        <w:rPr>
          <w:color w:val="231F20"/>
          <w:w w:val="110"/>
          <w:sz w:val="19"/>
        </w:rPr>
        <w:t>,</w:t>
      </w:r>
      <w:r>
        <w:rPr>
          <w:color w:val="231F20"/>
          <w:spacing w:val="-8"/>
          <w:w w:val="110"/>
          <w:sz w:val="19"/>
        </w:rPr>
        <w:t> </w:t>
      </w:r>
      <w:r>
        <w:rPr>
          <w:color w:val="231F20"/>
          <w:w w:val="110"/>
          <w:sz w:val="19"/>
        </w:rPr>
        <w:t>Liliana</w:t>
      </w:r>
      <w:r>
        <w:rPr>
          <w:color w:val="231F20"/>
          <w:spacing w:val="-8"/>
          <w:w w:val="110"/>
          <w:sz w:val="19"/>
        </w:rPr>
        <w:t> </w:t>
      </w:r>
      <w:r>
        <w:rPr>
          <w:color w:val="231F20"/>
          <w:w w:val="110"/>
          <w:sz w:val="19"/>
        </w:rPr>
        <w:t>y</w:t>
      </w:r>
      <w:r>
        <w:rPr>
          <w:color w:val="231F20"/>
          <w:spacing w:val="-8"/>
          <w:w w:val="110"/>
          <w:sz w:val="19"/>
        </w:rPr>
        <w:t> </w:t>
      </w:r>
      <w:r>
        <w:rPr>
          <w:color w:val="231F20"/>
          <w:w w:val="110"/>
          <w:sz w:val="19"/>
        </w:rPr>
        <w:t>Sara</w:t>
      </w:r>
      <w:r>
        <w:rPr>
          <w:color w:val="231F20"/>
          <w:spacing w:val="-8"/>
          <w:w w:val="110"/>
          <w:sz w:val="19"/>
        </w:rPr>
        <w:t> </w:t>
      </w:r>
      <w:r>
        <w:rPr>
          <w:color w:val="231F20"/>
          <w:spacing w:val="-3"/>
          <w:w w:val="110"/>
          <w:sz w:val="19"/>
        </w:rPr>
        <w:t>Torres</w:t>
      </w:r>
      <w:r>
        <w:rPr>
          <w:color w:val="231F20"/>
          <w:spacing w:val="-8"/>
          <w:w w:val="110"/>
          <w:sz w:val="19"/>
        </w:rPr>
        <w:t> </w:t>
      </w:r>
      <w:r>
        <w:rPr>
          <w:color w:val="231F20"/>
          <w:w w:val="110"/>
          <w:sz w:val="19"/>
        </w:rPr>
        <w:t>Castro,</w:t>
      </w:r>
      <w:r>
        <w:rPr>
          <w:color w:val="231F20"/>
          <w:spacing w:val="-8"/>
          <w:w w:val="110"/>
          <w:sz w:val="19"/>
        </w:rPr>
        <w:t> </w:t>
      </w:r>
      <w:r>
        <w:rPr>
          <w:color w:val="231F20"/>
          <w:w w:val="110"/>
          <w:sz w:val="19"/>
        </w:rPr>
        <w:t>2010,</w:t>
      </w:r>
      <w:r>
        <w:rPr>
          <w:color w:val="231F20"/>
          <w:spacing w:val="-8"/>
          <w:w w:val="110"/>
          <w:sz w:val="19"/>
        </w:rPr>
        <w:t> </w:t>
      </w:r>
      <w:r>
        <w:rPr>
          <w:color w:val="231F20"/>
          <w:w w:val="110"/>
          <w:sz w:val="19"/>
        </w:rPr>
        <w:t>Envejecimiento,</w:t>
      </w:r>
      <w:r>
        <w:rPr>
          <w:color w:val="231F20"/>
          <w:spacing w:val="-8"/>
          <w:w w:val="110"/>
          <w:sz w:val="19"/>
        </w:rPr>
        <w:t> </w:t>
      </w:r>
      <w:r>
        <w:rPr>
          <w:color w:val="231F20"/>
          <w:spacing w:val="-4"/>
          <w:w w:val="110"/>
          <w:sz w:val="19"/>
        </w:rPr>
        <w:t>Vulne- </w:t>
      </w:r>
      <w:r>
        <w:rPr>
          <w:color w:val="231F20"/>
          <w:w w:val="110"/>
          <w:sz w:val="19"/>
        </w:rPr>
        <w:t>rabilidad</w:t>
      </w:r>
      <w:r>
        <w:rPr>
          <w:color w:val="231F20"/>
          <w:spacing w:val="-10"/>
          <w:w w:val="110"/>
          <w:sz w:val="19"/>
        </w:rPr>
        <w:t> </w:t>
      </w:r>
      <w:r>
        <w:rPr>
          <w:color w:val="231F20"/>
          <w:w w:val="110"/>
          <w:sz w:val="19"/>
        </w:rPr>
        <w:t>y</w:t>
      </w:r>
      <w:r>
        <w:rPr>
          <w:color w:val="231F20"/>
          <w:spacing w:val="-10"/>
          <w:w w:val="110"/>
          <w:sz w:val="19"/>
        </w:rPr>
        <w:t> </w:t>
      </w:r>
      <w:r>
        <w:rPr>
          <w:color w:val="231F20"/>
          <w:w w:val="110"/>
          <w:sz w:val="19"/>
        </w:rPr>
        <w:t>Maltrato</w:t>
      </w:r>
      <w:r>
        <w:rPr>
          <w:color w:val="231F20"/>
          <w:spacing w:val="-10"/>
          <w:w w:val="110"/>
          <w:sz w:val="19"/>
        </w:rPr>
        <w:t> </w:t>
      </w:r>
      <w:r>
        <w:rPr>
          <w:color w:val="231F20"/>
          <w:w w:val="110"/>
          <w:sz w:val="19"/>
        </w:rPr>
        <w:t>en</w:t>
      </w:r>
      <w:r>
        <w:rPr>
          <w:color w:val="231F20"/>
          <w:spacing w:val="-10"/>
          <w:w w:val="110"/>
          <w:sz w:val="19"/>
        </w:rPr>
        <w:t> </w:t>
      </w:r>
      <w:r>
        <w:rPr>
          <w:color w:val="231F20"/>
          <w:w w:val="110"/>
          <w:sz w:val="19"/>
        </w:rPr>
        <w:t>Gutiérrez</w:t>
      </w:r>
      <w:r>
        <w:rPr>
          <w:color w:val="231F20"/>
          <w:spacing w:val="-10"/>
          <w:w w:val="110"/>
          <w:sz w:val="19"/>
        </w:rPr>
        <w:t> </w:t>
      </w:r>
      <w:r>
        <w:rPr>
          <w:color w:val="231F20"/>
          <w:w w:val="110"/>
          <w:sz w:val="19"/>
        </w:rPr>
        <w:t>Robledo,</w:t>
      </w:r>
      <w:r>
        <w:rPr>
          <w:color w:val="231F20"/>
          <w:spacing w:val="-10"/>
          <w:w w:val="110"/>
          <w:sz w:val="19"/>
        </w:rPr>
        <w:t> </w:t>
      </w:r>
      <w:r>
        <w:rPr>
          <w:color w:val="231F20"/>
          <w:w w:val="110"/>
          <w:sz w:val="19"/>
        </w:rPr>
        <w:t>en</w:t>
      </w:r>
      <w:r>
        <w:rPr>
          <w:color w:val="231F20"/>
          <w:spacing w:val="-10"/>
          <w:w w:val="110"/>
          <w:sz w:val="19"/>
        </w:rPr>
        <w:t> </w:t>
      </w:r>
      <w:r>
        <w:rPr>
          <w:color w:val="231F20"/>
          <w:w w:val="110"/>
          <w:sz w:val="19"/>
        </w:rPr>
        <w:t>Una</w:t>
      </w:r>
      <w:r>
        <w:rPr>
          <w:color w:val="231F20"/>
          <w:spacing w:val="-10"/>
          <w:w w:val="110"/>
          <w:sz w:val="19"/>
        </w:rPr>
        <w:t> </w:t>
      </w:r>
      <w:r>
        <w:rPr>
          <w:color w:val="231F20"/>
          <w:w w:val="110"/>
          <w:sz w:val="19"/>
        </w:rPr>
        <w:t>visión</w:t>
      </w:r>
      <w:r>
        <w:rPr>
          <w:color w:val="231F20"/>
          <w:spacing w:val="-10"/>
          <w:w w:val="110"/>
          <w:sz w:val="19"/>
        </w:rPr>
        <w:t> </w:t>
      </w:r>
      <w:r>
        <w:rPr>
          <w:color w:val="231F20"/>
          <w:w w:val="110"/>
          <w:sz w:val="19"/>
        </w:rPr>
        <w:t>transdisciplinaria. Instituto</w:t>
      </w:r>
      <w:r>
        <w:rPr>
          <w:color w:val="231F20"/>
          <w:spacing w:val="-5"/>
          <w:w w:val="110"/>
          <w:sz w:val="19"/>
        </w:rPr>
        <w:t> </w:t>
      </w:r>
      <w:r>
        <w:rPr>
          <w:color w:val="231F20"/>
          <w:w w:val="110"/>
          <w:sz w:val="19"/>
        </w:rPr>
        <w:t>de</w:t>
      </w:r>
      <w:r>
        <w:rPr>
          <w:color w:val="231F20"/>
          <w:spacing w:val="-5"/>
          <w:w w:val="110"/>
          <w:sz w:val="19"/>
        </w:rPr>
        <w:t> </w:t>
      </w:r>
      <w:r>
        <w:rPr>
          <w:color w:val="231F20"/>
          <w:w w:val="110"/>
          <w:sz w:val="19"/>
        </w:rPr>
        <w:t>Geriatría,</w:t>
      </w:r>
      <w:r>
        <w:rPr>
          <w:color w:val="231F20"/>
          <w:spacing w:val="-5"/>
          <w:w w:val="110"/>
          <w:sz w:val="19"/>
        </w:rPr>
        <w:t> </w:t>
      </w:r>
      <w:r>
        <w:rPr>
          <w:color w:val="231F20"/>
          <w:w w:val="110"/>
          <w:sz w:val="19"/>
        </w:rPr>
        <w:t>México,</w:t>
      </w:r>
      <w:r>
        <w:rPr>
          <w:color w:val="231F20"/>
          <w:spacing w:val="-5"/>
          <w:w w:val="110"/>
          <w:sz w:val="19"/>
        </w:rPr>
        <w:t> </w:t>
      </w:r>
      <w:r>
        <w:rPr>
          <w:color w:val="231F20"/>
          <w:w w:val="110"/>
          <w:sz w:val="19"/>
        </w:rPr>
        <w:t>Distrito</w:t>
      </w:r>
      <w:r>
        <w:rPr>
          <w:color w:val="231F20"/>
          <w:spacing w:val="-5"/>
          <w:w w:val="110"/>
          <w:sz w:val="19"/>
        </w:rPr>
        <w:t> </w:t>
      </w:r>
      <w:r>
        <w:rPr>
          <w:color w:val="231F20"/>
          <w:w w:val="110"/>
          <w:sz w:val="19"/>
        </w:rPr>
        <w:t>Federal.</w:t>
      </w:r>
      <w:r>
        <w:rPr>
          <w:color w:val="231F20"/>
          <w:spacing w:val="-5"/>
          <w:w w:val="110"/>
          <w:sz w:val="19"/>
        </w:rPr>
        <w:t> </w:t>
      </w:r>
      <w:r>
        <w:rPr>
          <w:color w:val="231F20"/>
          <w:w w:val="110"/>
          <w:sz w:val="19"/>
        </w:rPr>
        <w:t>pp.</w:t>
      </w:r>
      <w:r>
        <w:rPr>
          <w:color w:val="231F20"/>
          <w:spacing w:val="-5"/>
          <w:w w:val="110"/>
          <w:sz w:val="19"/>
        </w:rPr>
        <w:t> </w:t>
      </w:r>
      <w:r>
        <w:rPr>
          <w:color w:val="231F20"/>
          <w:w w:val="110"/>
          <w:sz w:val="19"/>
        </w:rPr>
        <w:t>315-324</w:t>
      </w:r>
    </w:p>
    <w:p>
      <w:pPr>
        <w:spacing w:after="0" w:line="266" w:lineRule="auto"/>
        <w:jc w:val="both"/>
        <w:rPr>
          <w:sz w:val="19"/>
        </w:rPr>
        <w:sectPr>
          <w:pgSz w:w="9520" w:h="12920"/>
          <w:pgMar w:header="0" w:footer="1344" w:top="880" w:bottom="1540" w:left="1000" w:right="1320"/>
        </w:sectPr>
      </w:pPr>
    </w:p>
    <w:p>
      <w:pPr>
        <w:spacing w:line="266" w:lineRule="auto" w:before="44"/>
        <w:ind w:left="484" w:right="113" w:hanging="360"/>
        <w:jc w:val="both"/>
        <w:rPr>
          <w:sz w:val="19"/>
        </w:rPr>
      </w:pPr>
      <w:r>
        <w:rPr>
          <w:rFonts w:ascii="Times New Roman" w:hAnsi="Times New Roman"/>
          <w:color w:val="231F20"/>
          <w:w w:val="110"/>
          <w:sz w:val="19"/>
        </w:rPr>
        <w:t>G</w:t>
      </w:r>
      <w:r>
        <w:rPr>
          <w:rFonts w:ascii="Times New Roman" w:hAnsi="Times New Roman"/>
          <w:color w:val="231F20"/>
          <w:w w:val="110"/>
          <w:sz w:val="15"/>
        </w:rPr>
        <w:t>OLBERT</w:t>
      </w:r>
      <w:r>
        <w:rPr>
          <w:color w:val="231F20"/>
          <w:w w:val="110"/>
          <w:sz w:val="19"/>
        </w:rPr>
        <w:t>, Laura, 1991, “El bienestar de los ancianos: un problema para la se- guridad social”, Kopoff, René A. y María Julieta Oddone, (comp.), en Di- mensiones de la vejez en la sociedad Argentina, Centro Editor de América Latina, Buenos Aires.</w:t>
      </w:r>
    </w:p>
    <w:p>
      <w:pPr>
        <w:spacing w:line="266" w:lineRule="auto" w:before="0"/>
        <w:ind w:left="484" w:right="113" w:hanging="360"/>
        <w:jc w:val="both"/>
        <w:rPr>
          <w:sz w:val="19"/>
        </w:rPr>
      </w:pPr>
      <w:r>
        <w:rPr>
          <w:rFonts w:ascii="Times New Roman" w:hAnsi="Times New Roman"/>
          <w:color w:val="231F20"/>
          <w:w w:val="110"/>
          <w:sz w:val="19"/>
        </w:rPr>
        <w:t>G</w:t>
      </w:r>
      <w:r>
        <w:rPr>
          <w:rFonts w:ascii="Times New Roman" w:hAnsi="Times New Roman"/>
          <w:color w:val="231F20"/>
          <w:w w:val="110"/>
          <w:sz w:val="15"/>
        </w:rPr>
        <w:t>ÓMES</w:t>
      </w:r>
      <w:r>
        <w:rPr>
          <w:color w:val="231F20"/>
          <w:w w:val="110"/>
          <w:sz w:val="19"/>
        </w:rPr>
        <w:t>, Cristina 2001 “Corresidencia intergeneracional y jefatura en hogares con individuos mayores de 60 años. Brasil y México” en Procesos sociales, población y familia. Alternativas teóricas y empíricas en las investigacio- nes sobre vida doméstica. Flacso, Miguel Ángel Porrúa ediciones. México. </w:t>
      </w:r>
      <w:r>
        <w:rPr>
          <w:color w:val="231F20"/>
          <w:w w:val="105"/>
          <w:sz w:val="19"/>
        </w:rPr>
        <w:t>p.p. 395-415.</w:t>
      </w:r>
    </w:p>
    <w:p>
      <w:pPr>
        <w:spacing w:line="266" w:lineRule="auto" w:before="0"/>
        <w:ind w:left="484" w:right="113" w:hanging="360"/>
        <w:jc w:val="both"/>
        <w:rPr>
          <w:sz w:val="19"/>
        </w:rPr>
      </w:pPr>
      <w:r>
        <w:rPr>
          <w:rFonts w:ascii="Times New Roman" w:hAnsi="Times New Roman"/>
          <w:color w:val="231F20"/>
          <w:w w:val="110"/>
          <w:sz w:val="19"/>
        </w:rPr>
        <w:t>G</w:t>
      </w:r>
      <w:r>
        <w:rPr>
          <w:rFonts w:ascii="Times New Roman" w:hAnsi="Times New Roman"/>
          <w:color w:val="231F20"/>
          <w:w w:val="110"/>
          <w:sz w:val="15"/>
        </w:rPr>
        <w:t>UTIÉRREZ </w:t>
      </w:r>
      <w:r>
        <w:rPr>
          <w:rFonts w:ascii="Times New Roman" w:hAnsi="Times New Roman"/>
          <w:color w:val="231F20"/>
          <w:w w:val="110"/>
          <w:sz w:val="19"/>
        </w:rPr>
        <w:t>R</w:t>
      </w:r>
      <w:r>
        <w:rPr>
          <w:rFonts w:ascii="Times New Roman" w:hAnsi="Times New Roman"/>
          <w:color w:val="231F20"/>
          <w:w w:val="110"/>
          <w:sz w:val="15"/>
        </w:rPr>
        <w:t>OBLEDO</w:t>
      </w:r>
      <w:r>
        <w:rPr>
          <w:color w:val="231F20"/>
          <w:w w:val="110"/>
          <w:sz w:val="19"/>
        </w:rPr>
        <w:t>, L. M. 2010, México y la revolución de la longevidad. En Envejecimiento humano: una visión transdisciplinaria. Instituto de Geria- tría, México, Distrito Federal. pp. 21-36.</w:t>
      </w:r>
    </w:p>
    <w:p>
      <w:pPr>
        <w:spacing w:line="266" w:lineRule="auto" w:before="0"/>
        <w:ind w:left="484" w:right="114" w:hanging="360"/>
        <w:jc w:val="both"/>
        <w:rPr>
          <w:sz w:val="19"/>
        </w:rPr>
      </w:pPr>
      <w:r>
        <w:rPr>
          <w:rFonts w:ascii="Times New Roman" w:hAnsi="Times New Roman"/>
          <w:color w:val="231F20"/>
          <w:w w:val="110"/>
          <w:sz w:val="19"/>
        </w:rPr>
        <w:t>H</w:t>
      </w:r>
      <w:r>
        <w:rPr>
          <w:rFonts w:ascii="Times New Roman" w:hAnsi="Times New Roman"/>
          <w:color w:val="231F20"/>
          <w:w w:val="110"/>
          <w:sz w:val="15"/>
        </w:rPr>
        <w:t>AM </w:t>
      </w:r>
      <w:r>
        <w:rPr>
          <w:rFonts w:ascii="Times New Roman" w:hAnsi="Times New Roman"/>
          <w:color w:val="231F20"/>
          <w:w w:val="110"/>
          <w:sz w:val="19"/>
        </w:rPr>
        <w:t>C</w:t>
      </w:r>
      <w:r>
        <w:rPr>
          <w:rFonts w:ascii="Times New Roman" w:hAnsi="Times New Roman"/>
          <w:color w:val="231F20"/>
          <w:w w:val="110"/>
          <w:sz w:val="15"/>
        </w:rPr>
        <w:t>HAMDE</w:t>
      </w:r>
      <w:r>
        <w:rPr>
          <w:color w:val="231F20"/>
          <w:w w:val="110"/>
          <w:sz w:val="19"/>
        </w:rPr>
        <w:t>, Roberto, 1999 “El envejecimiento en México: de los conceptos a las necesidades”, en Papeles de Población. Nueva Época, año 5, núm. 19. pp. 7-21.</w:t>
      </w:r>
    </w:p>
    <w:p>
      <w:pPr>
        <w:spacing w:before="0"/>
        <w:ind w:left="124" w:right="0" w:firstLine="0"/>
        <w:jc w:val="left"/>
        <w:rPr>
          <w:sz w:val="19"/>
        </w:rPr>
      </w:pPr>
      <w:r>
        <w:rPr>
          <w:rFonts w:ascii="Times New Roman" w:hAnsi="Times New Roman"/>
          <w:color w:val="231F20"/>
          <w:w w:val="110"/>
          <w:sz w:val="15"/>
        </w:rPr>
        <w:t>INEGI</w:t>
      </w:r>
      <w:r>
        <w:rPr>
          <w:color w:val="231F20"/>
          <w:w w:val="110"/>
          <w:sz w:val="19"/>
        </w:rPr>
        <w:t>, 1970, IX Censo general de población y vivienda, Estado de    México.</w:t>
      </w:r>
    </w:p>
    <w:p>
      <w:pPr>
        <w:spacing w:before="25"/>
        <w:ind w:left="124" w:right="0" w:firstLine="0"/>
        <w:jc w:val="left"/>
        <w:rPr>
          <w:sz w:val="19"/>
        </w:rPr>
      </w:pPr>
      <w:r>
        <w:rPr>
          <w:rFonts w:ascii="Times New Roman" w:hAnsi="Times New Roman"/>
          <w:color w:val="231F20"/>
          <w:w w:val="110"/>
          <w:sz w:val="15"/>
        </w:rPr>
        <w:t>INEGI </w:t>
      </w:r>
      <w:r>
        <w:rPr>
          <w:color w:val="231F20"/>
          <w:w w:val="110"/>
          <w:sz w:val="19"/>
        </w:rPr>
        <w:t>2000.XII Censo de Población y Vivienda 2000</w:t>
      </w:r>
    </w:p>
    <w:p>
      <w:pPr>
        <w:spacing w:before="25"/>
        <w:ind w:left="124" w:right="0" w:firstLine="0"/>
        <w:jc w:val="left"/>
        <w:rPr>
          <w:sz w:val="19"/>
        </w:rPr>
      </w:pPr>
      <w:r>
        <w:rPr>
          <w:rFonts w:ascii="Times New Roman" w:hAnsi="Times New Roman"/>
          <w:color w:val="231F20"/>
          <w:w w:val="110"/>
          <w:sz w:val="15"/>
        </w:rPr>
        <w:t>INEGI</w:t>
      </w:r>
      <w:r>
        <w:rPr>
          <w:color w:val="231F20"/>
          <w:w w:val="110"/>
          <w:sz w:val="19"/>
        </w:rPr>
        <w:t>, 2010 XIII Censo de Población y Vivienda 2010</w:t>
      </w:r>
    </w:p>
    <w:p>
      <w:pPr>
        <w:spacing w:line="266" w:lineRule="auto" w:before="25"/>
        <w:ind w:left="484" w:right="112" w:hanging="360"/>
        <w:jc w:val="both"/>
        <w:rPr>
          <w:sz w:val="19"/>
        </w:rPr>
      </w:pPr>
      <w:r>
        <w:rPr>
          <w:rFonts w:ascii="Times New Roman" w:hAnsi="Times New Roman"/>
          <w:color w:val="231F20"/>
          <w:w w:val="110"/>
          <w:sz w:val="19"/>
        </w:rPr>
        <w:t>K</w:t>
      </w:r>
      <w:r>
        <w:rPr>
          <w:rFonts w:ascii="Times New Roman" w:hAnsi="Times New Roman"/>
          <w:color w:val="231F20"/>
          <w:w w:val="110"/>
          <w:sz w:val="15"/>
        </w:rPr>
        <w:t>ALACHE</w:t>
      </w:r>
      <w:r>
        <w:rPr>
          <w:color w:val="231F20"/>
          <w:w w:val="110"/>
          <w:sz w:val="19"/>
        </w:rPr>
        <w:t>, Alexander, Sandhi M Barreto e Ingrid Keller, 2005. “Global Ageing: The Demographic Revolution in All Societies” en M. L. Johnson (editor), The Cambridge Handbook of Age and Ageing, pp.  30-46</w:t>
      </w:r>
    </w:p>
    <w:p>
      <w:pPr>
        <w:spacing w:line="266" w:lineRule="auto" w:before="0"/>
        <w:ind w:left="484" w:right="110" w:hanging="360"/>
        <w:jc w:val="both"/>
        <w:rPr>
          <w:sz w:val="19"/>
        </w:rPr>
      </w:pPr>
      <w:r>
        <w:rPr>
          <w:rFonts w:ascii="Times New Roman" w:hAnsi="Times New Roman"/>
          <w:color w:val="231F20"/>
          <w:w w:val="110"/>
          <w:sz w:val="19"/>
        </w:rPr>
        <w:t>K</w:t>
      </w:r>
      <w:r>
        <w:rPr>
          <w:rFonts w:ascii="Times New Roman" w:hAnsi="Times New Roman"/>
          <w:color w:val="231F20"/>
          <w:w w:val="110"/>
          <w:sz w:val="15"/>
        </w:rPr>
        <w:t>INSELLA</w:t>
      </w:r>
      <w:r>
        <w:rPr>
          <w:color w:val="231F20"/>
          <w:w w:val="110"/>
          <w:sz w:val="19"/>
        </w:rPr>
        <w:t>, Kevin y David R. Phillips, 2005. “Global Aging: The Challenge of Success”, Population Bulletin, Vol. 60.</w:t>
      </w:r>
    </w:p>
    <w:p>
      <w:pPr>
        <w:spacing w:line="266" w:lineRule="auto" w:before="0"/>
        <w:ind w:left="484" w:right="113" w:hanging="360"/>
        <w:jc w:val="both"/>
        <w:rPr>
          <w:sz w:val="19"/>
        </w:rPr>
      </w:pPr>
      <w:r>
        <w:rPr>
          <w:rFonts w:ascii="Times New Roman" w:hAnsi="Times New Roman"/>
          <w:color w:val="231F20"/>
          <w:spacing w:val="-3"/>
          <w:w w:val="110"/>
          <w:sz w:val="19"/>
        </w:rPr>
        <w:t>M</w:t>
      </w:r>
      <w:r>
        <w:rPr>
          <w:rFonts w:ascii="Times New Roman" w:hAnsi="Times New Roman"/>
          <w:color w:val="231F20"/>
          <w:spacing w:val="-3"/>
          <w:w w:val="110"/>
          <w:sz w:val="15"/>
        </w:rPr>
        <w:t>ONTOYA</w:t>
      </w:r>
      <w:r>
        <w:rPr>
          <w:rFonts w:ascii="Times New Roman" w:hAnsi="Times New Roman"/>
          <w:color w:val="231F20"/>
          <w:spacing w:val="-3"/>
          <w:w w:val="110"/>
          <w:sz w:val="19"/>
        </w:rPr>
        <w:t>-A</w:t>
      </w:r>
      <w:r>
        <w:rPr>
          <w:rFonts w:ascii="Times New Roman" w:hAnsi="Times New Roman"/>
          <w:color w:val="231F20"/>
          <w:spacing w:val="-3"/>
          <w:w w:val="110"/>
          <w:sz w:val="15"/>
        </w:rPr>
        <w:t>RCE</w:t>
      </w:r>
      <w:r>
        <w:rPr>
          <w:rFonts w:ascii="Times New Roman" w:hAnsi="Times New Roman"/>
          <w:color w:val="231F20"/>
          <w:spacing w:val="-3"/>
          <w:w w:val="110"/>
          <w:sz w:val="19"/>
        </w:rPr>
        <w:t>, </w:t>
      </w:r>
      <w:r>
        <w:rPr>
          <w:color w:val="231F20"/>
          <w:w w:val="110"/>
          <w:sz w:val="19"/>
        </w:rPr>
        <w:t>B. Jaciel y Hugo Montes de Oca </w:t>
      </w:r>
      <w:r>
        <w:rPr>
          <w:color w:val="231F20"/>
          <w:spacing w:val="-5"/>
          <w:w w:val="110"/>
          <w:sz w:val="19"/>
        </w:rPr>
        <w:t>Vargas, </w:t>
      </w:r>
      <w:r>
        <w:rPr>
          <w:color w:val="231F20"/>
          <w:w w:val="110"/>
          <w:sz w:val="19"/>
        </w:rPr>
        <w:t>2006, “Envejecimiento poblacional en el Estado de México: situación actual y perspectivas futu- ras”,</w:t>
      </w:r>
      <w:r>
        <w:rPr>
          <w:color w:val="231F20"/>
          <w:spacing w:val="-9"/>
          <w:w w:val="110"/>
          <w:sz w:val="19"/>
        </w:rPr>
        <w:t> </w:t>
      </w:r>
      <w:r>
        <w:rPr>
          <w:color w:val="231F20"/>
          <w:w w:val="110"/>
          <w:sz w:val="19"/>
        </w:rPr>
        <w:t>en</w:t>
      </w:r>
      <w:r>
        <w:rPr>
          <w:color w:val="231F20"/>
          <w:spacing w:val="-9"/>
          <w:w w:val="110"/>
          <w:sz w:val="19"/>
        </w:rPr>
        <w:t> </w:t>
      </w:r>
      <w:r>
        <w:rPr>
          <w:color w:val="231F20"/>
          <w:spacing w:val="-3"/>
          <w:w w:val="110"/>
          <w:sz w:val="19"/>
        </w:rPr>
        <w:t>Papeles</w:t>
      </w:r>
      <w:r>
        <w:rPr>
          <w:color w:val="231F20"/>
          <w:spacing w:val="-9"/>
          <w:w w:val="110"/>
          <w:sz w:val="19"/>
        </w:rPr>
        <w:t> </w:t>
      </w:r>
      <w:r>
        <w:rPr>
          <w:color w:val="231F20"/>
          <w:w w:val="110"/>
          <w:sz w:val="19"/>
        </w:rPr>
        <w:t>de</w:t>
      </w:r>
      <w:r>
        <w:rPr>
          <w:color w:val="231F20"/>
          <w:spacing w:val="-9"/>
          <w:w w:val="110"/>
          <w:sz w:val="19"/>
        </w:rPr>
        <w:t> </w:t>
      </w:r>
      <w:r>
        <w:rPr>
          <w:color w:val="231F20"/>
          <w:spacing w:val="-3"/>
          <w:w w:val="110"/>
          <w:sz w:val="19"/>
        </w:rPr>
        <w:t>Población</w:t>
      </w:r>
      <w:r>
        <w:rPr>
          <w:color w:val="231F20"/>
          <w:spacing w:val="-9"/>
          <w:w w:val="110"/>
          <w:sz w:val="19"/>
        </w:rPr>
        <w:t> </w:t>
      </w:r>
      <w:r>
        <w:rPr>
          <w:color w:val="231F20"/>
          <w:w w:val="110"/>
          <w:sz w:val="19"/>
        </w:rPr>
        <w:t>No.</w:t>
      </w:r>
      <w:r>
        <w:rPr>
          <w:color w:val="231F20"/>
          <w:spacing w:val="-9"/>
          <w:w w:val="110"/>
          <w:sz w:val="19"/>
        </w:rPr>
        <w:t> </w:t>
      </w:r>
      <w:r>
        <w:rPr>
          <w:color w:val="231F20"/>
          <w:w w:val="110"/>
          <w:sz w:val="19"/>
        </w:rPr>
        <w:t>50</w:t>
      </w:r>
      <w:r>
        <w:rPr>
          <w:color w:val="231F20"/>
          <w:spacing w:val="-9"/>
          <w:w w:val="110"/>
          <w:sz w:val="19"/>
        </w:rPr>
        <w:t> </w:t>
      </w:r>
      <w:r>
        <w:rPr>
          <w:color w:val="231F20"/>
          <w:w w:val="110"/>
          <w:sz w:val="19"/>
        </w:rPr>
        <w:t>octubre-diciembre.</w:t>
      </w:r>
      <w:r>
        <w:rPr>
          <w:color w:val="231F20"/>
          <w:spacing w:val="-9"/>
          <w:w w:val="110"/>
          <w:sz w:val="19"/>
        </w:rPr>
        <w:t> </w:t>
      </w:r>
      <w:r>
        <w:rPr>
          <w:rFonts w:ascii="Times New Roman" w:hAnsi="Times New Roman"/>
          <w:color w:val="231F20"/>
          <w:spacing w:val="-3"/>
          <w:w w:val="110"/>
          <w:sz w:val="15"/>
        </w:rPr>
        <w:t>UAEM</w:t>
      </w:r>
      <w:r>
        <w:rPr>
          <w:color w:val="231F20"/>
          <w:spacing w:val="-3"/>
          <w:w w:val="110"/>
          <w:sz w:val="19"/>
        </w:rPr>
        <w:t>-</w:t>
      </w:r>
      <w:r>
        <w:rPr>
          <w:rFonts w:ascii="Times New Roman" w:hAnsi="Times New Roman"/>
          <w:color w:val="231F20"/>
          <w:spacing w:val="-3"/>
          <w:w w:val="110"/>
          <w:sz w:val="15"/>
        </w:rPr>
        <w:t>CIEAP</w:t>
      </w:r>
      <w:r>
        <w:rPr>
          <w:color w:val="231F20"/>
          <w:spacing w:val="-3"/>
          <w:w w:val="110"/>
          <w:sz w:val="19"/>
        </w:rPr>
        <w:t>,</w:t>
      </w:r>
      <w:r>
        <w:rPr>
          <w:color w:val="231F20"/>
          <w:spacing w:val="-9"/>
          <w:w w:val="110"/>
          <w:sz w:val="19"/>
        </w:rPr>
        <w:t> </w:t>
      </w:r>
      <w:r>
        <w:rPr>
          <w:color w:val="231F20"/>
          <w:spacing w:val="-4"/>
          <w:w w:val="110"/>
          <w:sz w:val="19"/>
        </w:rPr>
        <w:t>Toluca.</w:t>
      </w:r>
    </w:p>
    <w:p>
      <w:pPr>
        <w:tabs>
          <w:tab w:pos="844" w:val="left" w:leader="none"/>
        </w:tabs>
        <w:spacing w:line="266" w:lineRule="auto" w:before="0"/>
        <w:ind w:left="484" w:right="112" w:hanging="360"/>
        <w:jc w:val="both"/>
        <w:rPr>
          <w:sz w:val="19"/>
        </w:rPr>
      </w:pPr>
      <w:r>
        <w:rPr>
          <w:color w:val="231F20"/>
          <w:w w:val="128"/>
          <w:sz w:val="19"/>
          <w:u w:val="single" w:color="231F20"/>
        </w:rPr>
        <w:t> </w:t>
      </w:r>
      <w:r>
        <w:rPr>
          <w:color w:val="231F20"/>
          <w:sz w:val="19"/>
          <w:u w:val="single" w:color="231F20"/>
        </w:rPr>
        <w:tab/>
        <w:tab/>
      </w:r>
      <w:r>
        <w:rPr>
          <w:color w:val="231F20"/>
          <w:w w:val="110"/>
          <w:sz w:val="19"/>
        </w:rPr>
        <w:t>, 2011a, “Perfil sociodemográfico del envejecimiento en el   </w:t>
      </w:r>
      <w:r>
        <w:rPr>
          <w:color w:val="231F20"/>
          <w:spacing w:val="10"/>
          <w:w w:val="110"/>
          <w:sz w:val="19"/>
        </w:rPr>
        <w:t> </w:t>
      </w:r>
      <w:r>
        <w:rPr>
          <w:color w:val="231F20"/>
          <w:w w:val="110"/>
          <w:sz w:val="19"/>
        </w:rPr>
        <w:t>Estado</w:t>
      </w:r>
      <w:r>
        <w:rPr>
          <w:color w:val="231F20"/>
          <w:spacing w:val="18"/>
          <w:w w:val="110"/>
          <w:sz w:val="19"/>
        </w:rPr>
        <w:t> </w:t>
      </w:r>
      <w:r>
        <w:rPr>
          <w:color w:val="231F20"/>
          <w:w w:val="110"/>
          <w:sz w:val="19"/>
        </w:rPr>
        <w:t>de</w:t>
      </w:r>
      <w:r>
        <w:rPr>
          <w:color w:val="231F20"/>
          <w:w w:val="109"/>
          <w:sz w:val="19"/>
        </w:rPr>
        <w:t> </w:t>
      </w:r>
      <w:r>
        <w:rPr>
          <w:color w:val="231F20"/>
          <w:w w:val="110"/>
          <w:sz w:val="19"/>
        </w:rPr>
        <w:t>México”, en Montoya-Arce B. Jaciel y Hugo Montes de Oca </w:t>
      </w:r>
      <w:r>
        <w:rPr>
          <w:color w:val="231F20"/>
          <w:spacing w:val="-4"/>
          <w:w w:val="110"/>
          <w:sz w:val="19"/>
        </w:rPr>
        <w:t>Vargas </w:t>
      </w:r>
      <w:r>
        <w:rPr>
          <w:color w:val="231F20"/>
          <w:w w:val="110"/>
          <w:sz w:val="19"/>
        </w:rPr>
        <w:t>(Com- </w:t>
      </w:r>
      <w:r>
        <w:rPr>
          <w:color w:val="231F20"/>
          <w:spacing w:val="4"/>
          <w:w w:val="110"/>
          <w:sz w:val="19"/>
        </w:rPr>
        <w:t>piladores) </w:t>
      </w:r>
      <w:r>
        <w:rPr>
          <w:color w:val="231F20"/>
          <w:spacing w:val="3"/>
          <w:w w:val="110"/>
          <w:sz w:val="19"/>
        </w:rPr>
        <w:t>Análisis sociodemográfico </w:t>
      </w:r>
      <w:r>
        <w:rPr>
          <w:color w:val="231F20"/>
          <w:spacing w:val="2"/>
          <w:w w:val="110"/>
          <w:sz w:val="19"/>
        </w:rPr>
        <w:t>del </w:t>
      </w:r>
      <w:r>
        <w:rPr>
          <w:color w:val="231F20"/>
          <w:spacing w:val="3"/>
          <w:w w:val="110"/>
          <w:sz w:val="19"/>
        </w:rPr>
        <w:t>envejecimiento </w:t>
      </w:r>
      <w:r>
        <w:rPr>
          <w:color w:val="231F20"/>
          <w:w w:val="110"/>
          <w:sz w:val="19"/>
        </w:rPr>
        <w:t>en el </w:t>
      </w:r>
      <w:r>
        <w:rPr>
          <w:color w:val="231F20"/>
          <w:spacing w:val="3"/>
          <w:w w:val="110"/>
          <w:sz w:val="19"/>
        </w:rPr>
        <w:t>Estado</w:t>
      </w:r>
      <w:r>
        <w:rPr>
          <w:color w:val="231F20"/>
          <w:spacing w:val="52"/>
          <w:w w:val="110"/>
          <w:sz w:val="19"/>
        </w:rPr>
        <w:t> </w:t>
      </w:r>
      <w:r>
        <w:rPr>
          <w:color w:val="231F20"/>
          <w:w w:val="110"/>
          <w:sz w:val="19"/>
        </w:rPr>
        <w:t>de México, Universidad </w:t>
      </w:r>
      <w:r>
        <w:rPr>
          <w:color w:val="231F20"/>
          <w:spacing w:val="-3"/>
          <w:w w:val="110"/>
          <w:sz w:val="19"/>
        </w:rPr>
        <w:t>Autónoma </w:t>
      </w:r>
      <w:r>
        <w:rPr>
          <w:color w:val="231F20"/>
          <w:w w:val="110"/>
          <w:sz w:val="19"/>
        </w:rPr>
        <w:t>del Estado de México, </w:t>
      </w:r>
      <w:r>
        <w:rPr>
          <w:color w:val="231F20"/>
          <w:spacing w:val="-4"/>
          <w:w w:val="110"/>
          <w:sz w:val="19"/>
        </w:rPr>
        <w:t>Toluca, </w:t>
      </w:r>
      <w:r>
        <w:rPr>
          <w:color w:val="231F20"/>
          <w:w w:val="110"/>
          <w:sz w:val="19"/>
        </w:rPr>
        <w:t>Estado de México,</w:t>
      </w:r>
      <w:r>
        <w:rPr>
          <w:color w:val="231F20"/>
          <w:spacing w:val="5"/>
          <w:w w:val="110"/>
          <w:sz w:val="19"/>
        </w:rPr>
        <w:t> </w:t>
      </w:r>
      <w:r>
        <w:rPr>
          <w:color w:val="231F20"/>
          <w:w w:val="110"/>
          <w:sz w:val="19"/>
        </w:rPr>
        <w:t>2011.</w:t>
      </w:r>
    </w:p>
    <w:p>
      <w:pPr>
        <w:spacing w:line="266" w:lineRule="auto" w:before="0"/>
        <w:ind w:left="484" w:right="112" w:hanging="360"/>
        <w:jc w:val="both"/>
        <w:rPr>
          <w:sz w:val="19"/>
        </w:rPr>
      </w:pPr>
      <w:r>
        <w:rPr>
          <w:rFonts w:ascii="Times New Roman"/>
          <w:color w:val="231F20"/>
          <w:w w:val="110"/>
          <w:sz w:val="15"/>
        </w:rPr>
        <w:t>OGG</w:t>
      </w:r>
      <w:r>
        <w:rPr>
          <w:color w:val="231F20"/>
          <w:w w:val="110"/>
          <w:sz w:val="19"/>
        </w:rPr>
        <w:t>, Jim. 2005. Social exclusion and insecurity among older Europeans: the influence of welfare regimes. Ageing &amp; Society 25, 2005, pp. 69-90.</w:t>
      </w:r>
    </w:p>
    <w:p>
      <w:pPr>
        <w:spacing w:line="266" w:lineRule="auto" w:before="0"/>
        <w:ind w:left="484" w:right="113" w:hanging="360"/>
        <w:jc w:val="both"/>
        <w:rPr>
          <w:sz w:val="19"/>
        </w:rPr>
      </w:pPr>
      <w:r>
        <w:rPr>
          <w:rFonts w:ascii="Times New Roman" w:hAnsi="Times New Roman"/>
          <w:color w:val="231F20"/>
          <w:w w:val="110"/>
          <w:sz w:val="19"/>
        </w:rPr>
        <w:t>R</w:t>
      </w:r>
      <w:r>
        <w:rPr>
          <w:rFonts w:ascii="Times New Roman" w:hAnsi="Times New Roman"/>
          <w:color w:val="231F20"/>
          <w:w w:val="110"/>
          <w:sz w:val="15"/>
        </w:rPr>
        <w:t>ODRÍGUEZ HERNÁNDEZ</w:t>
      </w:r>
      <w:r>
        <w:rPr>
          <w:color w:val="231F20"/>
          <w:w w:val="110"/>
          <w:sz w:val="19"/>
        </w:rPr>
        <w:t>, Francisco, 1993, Desigualdad regional y distribución de los recursos para la atención de la salud en México, en Raúl Bejar Na- varro y Héctor Hernández Bringas (Coord), Población y desigualdad social en México, Centro Regional de Investigaciones Multidisciplinarias, </w:t>
      </w:r>
      <w:r>
        <w:rPr>
          <w:rFonts w:ascii="Times New Roman" w:hAnsi="Times New Roman"/>
          <w:color w:val="231F20"/>
          <w:w w:val="110"/>
          <w:sz w:val="15"/>
        </w:rPr>
        <w:t>UNAM</w:t>
      </w:r>
      <w:r>
        <w:rPr>
          <w:color w:val="231F20"/>
          <w:w w:val="110"/>
          <w:sz w:val="19"/>
        </w:rPr>
        <w:t>, México.</w:t>
      </w:r>
    </w:p>
    <w:p>
      <w:pPr>
        <w:spacing w:line="266" w:lineRule="auto" w:before="0"/>
        <w:ind w:left="484" w:right="110" w:hanging="360"/>
        <w:jc w:val="both"/>
        <w:rPr>
          <w:sz w:val="19"/>
        </w:rPr>
      </w:pPr>
      <w:r>
        <w:rPr>
          <w:rFonts w:ascii="Times New Roman" w:hAnsi="Times New Roman"/>
          <w:color w:val="231F20"/>
          <w:w w:val="110"/>
          <w:sz w:val="19"/>
        </w:rPr>
        <w:t>S</w:t>
      </w:r>
      <w:r>
        <w:rPr>
          <w:rFonts w:ascii="Times New Roman" w:hAnsi="Times New Roman"/>
          <w:color w:val="231F20"/>
          <w:w w:val="110"/>
          <w:sz w:val="15"/>
        </w:rPr>
        <w:t>CHARF</w:t>
      </w:r>
      <w:r>
        <w:rPr>
          <w:color w:val="231F20"/>
          <w:w w:val="110"/>
          <w:sz w:val="19"/>
        </w:rPr>
        <w:t>, T., Phillipson, C., Smith, A.E. y Kingston, P. 2002. Growing Older in Socially Deprived Areas: Social Exclusión in Later Life. London, Help the Aged.ORG.</w:t>
      </w:r>
    </w:p>
    <w:p>
      <w:pPr>
        <w:spacing w:after="0" w:line="266" w:lineRule="auto"/>
        <w:jc w:val="both"/>
        <w:rPr>
          <w:sz w:val="19"/>
        </w:rPr>
        <w:sectPr>
          <w:pgSz w:w="9520" w:h="12920"/>
          <w:pgMar w:header="0" w:footer="1344" w:top="880" w:bottom="1540" w:left="1320" w:right="1000"/>
        </w:sectPr>
      </w:pPr>
    </w:p>
    <w:p>
      <w:pPr>
        <w:spacing w:line="266" w:lineRule="auto" w:before="44"/>
        <w:ind w:left="479" w:right="117" w:hanging="360"/>
        <w:jc w:val="both"/>
        <w:rPr>
          <w:sz w:val="19"/>
        </w:rPr>
      </w:pPr>
      <w:r>
        <w:rPr>
          <w:rFonts w:ascii="Times New Roman" w:hAnsi="Times New Roman"/>
          <w:color w:val="231F20"/>
          <w:w w:val="110"/>
          <w:sz w:val="19"/>
        </w:rPr>
        <w:t>S</w:t>
      </w:r>
      <w:r>
        <w:rPr>
          <w:rFonts w:ascii="Times New Roman" w:hAnsi="Times New Roman"/>
          <w:color w:val="231F20"/>
          <w:w w:val="110"/>
          <w:sz w:val="15"/>
        </w:rPr>
        <w:t>OLÍS</w:t>
      </w:r>
      <w:r>
        <w:rPr>
          <w:color w:val="231F20"/>
          <w:w w:val="110"/>
          <w:sz w:val="19"/>
        </w:rPr>
        <w:t>,</w:t>
      </w:r>
      <w:r>
        <w:rPr>
          <w:color w:val="231F20"/>
          <w:spacing w:val="-5"/>
          <w:w w:val="110"/>
          <w:sz w:val="19"/>
        </w:rPr>
        <w:t> </w:t>
      </w:r>
      <w:r>
        <w:rPr>
          <w:color w:val="231F20"/>
          <w:w w:val="110"/>
          <w:sz w:val="19"/>
        </w:rPr>
        <w:t>Patricio,</w:t>
      </w:r>
      <w:r>
        <w:rPr>
          <w:color w:val="231F20"/>
          <w:spacing w:val="-5"/>
          <w:w w:val="110"/>
          <w:sz w:val="19"/>
        </w:rPr>
        <w:t> </w:t>
      </w:r>
      <w:r>
        <w:rPr>
          <w:color w:val="231F20"/>
          <w:w w:val="110"/>
          <w:sz w:val="19"/>
        </w:rPr>
        <w:t>1996,</w:t>
      </w:r>
      <w:r>
        <w:rPr>
          <w:color w:val="231F20"/>
          <w:spacing w:val="-5"/>
          <w:w w:val="110"/>
          <w:sz w:val="19"/>
        </w:rPr>
        <w:t> </w:t>
      </w:r>
      <w:r>
        <w:rPr>
          <w:color w:val="231F20"/>
          <w:w w:val="110"/>
          <w:sz w:val="19"/>
        </w:rPr>
        <w:t>“El</w:t>
      </w:r>
      <w:r>
        <w:rPr>
          <w:color w:val="231F20"/>
          <w:spacing w:val="-5"/>
          <w:w w:val="110"/>
          <w:sz w:val="19"/>
        </w:rPr>
        <w:t> </w:t>
      </w:r>
      <w:r>
        <w:rPr>
          <w:color w:val="231F20"/>
          <w:w w:val="110"/>
          <w:sz w:val="19"/>
        </w:rPr>
        <w:t>retiro</w:t>
      </w:r>
      <w:r>
        <w:rPr>
          <w:color w:val="231F20"/>
          <w:spacing w:val="-5"/>
          <w:w w:val="110"/>
          <w:sz w:val="19"/>
        </w:rPr>
        <w:t> </w:t>
      </w:r>
      <w:r>
        <w:rPr>
          <w:color w:val="231F20"/>
          <w:w w:val="110"/>
          <w:sz w:val="19"/>
        </w:rPr>
        <w:t>como</w:t>
      </w:r>
      <w:r>
        <w:rPr>
          <w:color w:val="231F20"/>
          <w:spacing w:val="-5"/>
          <w:w w:val="110"/>
          <w:sz w:val="19"/>
        </w:rPr>
        <w:t> </w:t>
      </w:r>
      <w:r>
        <w:rPr>
          <w:color w:val="231F20"/>
          <w:w w:val="110"/>
          <w:sz w:val="19"/>
        </w:rPr>
        <w:t>transición</w:t>
      </w:r>
      <w:r>
        <w:rPr>
          <w:color w:val="231F20"/>
          <w:spacing w:val="-5"/>
          <w:w w:val="110"/>
          <w:sz w:val="19"/>
        </w:rPr>
        <w:t> </w:t>
      </w:r>
      <w:r>
        <w:rPr>
          <w:color w:val="231F20"/>
          <w:w w:val="110"/>
          <w:sz w:val="19"/>
        </w:rPr>
        <w:t>a</w:t>
      </w:r>
      <w:r>
        <w:rPr>
          <w:color w:val="231F20"/>
          <w:spacing w:val="-5"/>
          <w:w w:val="110"/>
          <w:sz w:val="19"/>
        </w:rPr>
        <w:t> </w:t>
      </w:r>
      <w:r>
        <w:rPr>
          <w:color w:val="231F20"/>
          <w:w w:val="110"/>
          <w:sz w:val="19"/>
        </w:rPr>
        <w:t>la</w:t>
      </w:r>
      <w:r>
        <w:rPr>
          <w:color w:val="231F20"/>
          <w:spacing w:val="-5"/>
          <w:w w:val="110"/>
          <w:sz w:val="19"/>
        </w:rPr>
        <w:t> </w:t>
      </w:r>
      <w:r>
        <w:rPr>
          <w:color w:val="231F20"/>
          <w:w w:val="110"/>
          <w:sz w:val="19"/>
        </w:rPr>
        <w:t>vejez</w:t>
      </w:r>
      <w:r>
        <w:rPr>
          <w:color w:val="231F20"/>
          <w:spacing w:val="-5"/>
          <w:w w:val="110"/>
          <w:sz w:val="19"/>
        </w:rPr>
        <w:t> </w:t>
      </w:r>
      <w:r>
        <w:rPr>
          <w:color w:val="231F20"/>
          <w:w w:val="110"/>
          <w:sz w:val="19"/>
        </w:rPr>
        <w:t>en</w:t>
      </w:r>
      <w:r>
        <w:rPr>
          <w:color w:val="231F20"/>
          <w:spacing w:val="-5"/>
          <w:w w:val="110"/>
          <w:sz w:val="19"/>
        </w:rPr>
        <w:t> </w:t>
      </w:r>
      <w:r>
        <w:rPr>
          <w:color w:val="231F20"/>
          <w:w w:val="110"/>
          <w:sz w:val="19"/>
        </w:rPr>
        <w:t>México”,</w:t>
      </w:r>
      <w:r>
        <w:rPr>
          <w:color w:val="231F20"/>
          <w:spacing w:val="-5"/>
          <w:w w:val="110"/>
          <w:sz w:val="19"/>
        </w:rPr>
        <w:t> </w:t>
      </w:r>
      <w:r>
        <w:rPr>
          <w:color w:val="231F20"/>
          <w:w w:val="110"/>
          <w:sz w:val="19"/>
        </w:rPr>
        <w:t>en</w:t>
      </w:r>
      <w:r>
        <w:rPr>
          <w:color w:val="231F20"/>
          <w:spacing w:val="-5"/>
          <w:w w:val="110"/>
          <w:sz w:val="19"/>
        </w:rPr>
        <w:t> </w:t>
      </w:r>
      <w:r>
        <w:rPr>
          <w:color w:val="231F20"/>
          <w:w w:val="110"/>
          <w:sz w:val="19"/>
        </w:rPr>
        <w:t>Carlos </w:t>
      </w:r>
      <w:r>
        <w:rPr>
          <w:color w:val="231F20"/>
          <w:spacing w:val="-4"/>
          <w:w w:val="110"/>
          <w:sz w:val="19"/>
        </w:rPr>
        <w:t>Welti </w:t>
      </w:r>
      <w:r>
        <w:rPr>
          <w:color w:val="231F20"/>
          <w:w w:val="110"/>
          <w:sz w:val="19"/>
        </w:rPr>
        <w:t>(coord.), Dinámica demográfica y cambio social, Programa Latinoa- mericano de Población, México, pp. 141-165. </w:t>
      </w:r>
      <w:r>
        <w:rPr>
          <w:color w:val="231F20"/>
          <w:spacing w:val="-3"/>
          <w:w w:val="110"/>
          <w:sz w:val="19"/>
        </w:rPr>
        <w:t>Vallin, </w:t>
      </w:r>
      <w:r>
        <w:rPr>
          <w:color w:val="231F20"/>
          <w:w w:val="110"/>
          <w:sz w:val="19"/>
        </w:rPr>
        <w:t>Jacques, 1999. La po- blación mundial. Alianza Editorial,  S.A.</w:t>
      </w:r>
    </w:p>
    <w:p>
      <w:pPr>
        <w:spacing w:line="266" w:lineRule="auto" w:before="0"/>
        <w:ind w:left="479" w:right="119" w:hanging="360"/>
        <w:jc w:val="both"/>
        <w:rPr>
          <w:sz w:val="19"/>
        </w:rPr>
      </w:pPr>
      <w:r>
        <w:rPr>
          <w:rFonts w:ascii="Times New Roman" w:hAnsi="Times New Roman"/>
          <w:color w:val="231F20"/>
          <w:w w:val="110"/>
          <w:sz w:val="19"/>
        </w:rPr>
        <w:t>S</w:t>
      </w:r>
      <w:r>
        <w:rPr>
          <w:rFonts w:ascii="Times New Roman" w:hAnsi="Times New Roman"/>
          <w:color w:val="231F20"/>
          <w:w w:val="110"/>
          <w:sz w:val="15"/>
        </w:rPr>
        <w:t>UNKEL</w:t>
      </w:r>
      <w:r>
        <w:rPr>
          <w:color w:val="231F20"/>
          <w:w w:val="110"/>
          <w:sz w:val="19"/>
        </w:rPr>
        <w:t>, Guillermo, 2006, El papel de la familia en la protección social en amé- rica latina, en Comentarios de Seguridad Social - Nº11,   Abril-Junio.</w:t>
      </w:r>
    </w:p>
    <w:p>
      <w:pPr>
        <w:spacing w:line="266" w:lineRule="auto" w:before="0"/>
        <w:ind w:left="479" w:right="119" w:hanging="360"/>
        <w:jc w:val="both"/>
        <w:rPr>
          <w:sz w:val="19"/>
        </w:rPr>
      </w:pPr>
      <w:r>
        <w:rPr>
          <w:rFonts w:ascii="Times New Roman" w:hAnsi="Times New Roman"/>
          <w:color w:val="231F20"/>
          <w:w w:val="110"/>
          <w:sz w:val="19"/>
        </w:rPr>
        <w:t>V</w:t>
      </w:r>
      <w:r>
        <w:rPr>
          <w:rFonts w:ascii="Times New Roman" w:hAnsi="Times New Roman"/>
          <w:color w:val="231F20"/>
          <w:w w:val="110"/>
          <w:sz w:val="15"/>
        </w:rPr>
        <w:t>ÁZQUEZ</w:t>
      </w:r>
      <w:r>
        <w:rPr>
          <w:color w:val="231F20"/>
          <w:w w:val="110"/>
          <w:sz w:val="19"/>
        </w:rPr>
        <w:t>, Rodolfo, 2007. “La bioética en Contexto. El derecho a la salud como derecho social” en Aspectos Sociales de la Bioética. Memorias </w:t>
      </w:r>
      <w:r>
        <w:rPr>
          <w:rFonts w:ascii="Times New Roman" w:hAnsi="Times New Roman"/>
          <w:color w:val="231F20"/>
          <w:w w:val="110"/>
          <w:sz w:val="15"/>
        </w:rPr>
        <w:t>CNB</w:t>
      </w:r>
      <w:r>
        <w:rPr>
          <w:color w:val="231F20"/>
          <w:w w:val="110"/>
          <w:sz w:val="19"/>
        </w:rPr>
        <w:t>3. Comi- sión Nacional de Bioética.  México.</w:t>
      </w:r>
    </w:p>
    <w:p>
      <w:pPr>
        <w:spacing w:line="266" w:lineRule="auto" w:before="0"/>
        <w:ind w:left="479" w:right="117" w:hanging="360"/>
        <w:jc w:val="both"/>
        <w:rPr>
          <w:sz w:val="19"/>
        </w:rPr>
      </w:pPr>
      <w:r>
        <w:rPr>
          <w:rFonts w:ascii="Times New Roman" w:hAnsi="Times New Roman"/>
          <w:color w:val="231F20"/>
          <w:w w:val="105"/>
          <w:sz w:val="19"/>
        </w:rPr>
        <w:t>W</w:t>
      </w:r>
      <w:r>
        <w:rPr>
          <w:rFonts w:ascii="Times New Roman" w:hAnsi="Times New Roman"/>
          <w:color w:val="231F20"/>
          <w:w w:val="105"/>
          <w:sz w:val="15"/>
        </w:rPr>
        <w:t>ONG</w:t>
      </w:r>
      <w:r>
        <w:rPr>
          <w:color w:val="231F20"/>
          <w:w w:val="105"/>
          <w:sz w:val="19"/>
        </w:rPr>
        <w:t>, </w:t>
      </w:r>
      <w:r>
        <w:rPr>
          <w:color w:val="231F20"/>
          <w:spacing w:val="-3"/>
          <w:w w:val="105"/>
          <w:sz w:val="19"/>
        </w:rPr>
        <w:t>Rebeca </w:t>
      </w:r>
      <w:r>
        <w:rPr>
          <w:color w:val="231F20"/>
          <w:w w:val="105"/>
          <w:sz w:val="19"/>
        </w:rPr>
        <w:t>y </w:t>
      </w:r>
      <w:r>
        <w:rPr>
          <w:color w:val="231F20"/>
          <w:spacing w:val="-4"/>
          <w:w w:val="105"/>
          <w:sz w:val="19"/>
        </w:rPr>
        <w:t>AYSA-Lastra,  </w:t>
      </w:r>
      <w:r>
        <w:rPr>
          <w:color w:val="231F20"/>
          <w:w w:val="105"/>
          <w:sz w:val="19"/>
        </w:rPr>
        <w:t>María, (2001). Envejecimiento y salud en México:  un  enfoque </w:t>
      </w:r>
      <w:r>
        <w:rPr>
          <w:color w:val="231F20"/>
          <w:spacing w:val="16"/>
          <w:w w:val="105"/>
          <w:sz w:val="19"/>
        </w:rPr>
        <w:t> </w:t>
      </w:r>
      <w:r>
        <w:rPr>
          <w:color w:val="231F20"/>
          <w:w w:val="105"/>
          <w:sz w:val="19"/>
        </w:rPr>
        <w:t>integrado.</w:t>
      </w:r>
    </w:p>
    <w:p>
      <w:pPr>
        <w:spacing w:line="266" w:lineRule="auto" w:before="0"/>
        <w:ind w:left="480" w:right="117" w:hanging="360"/>
        <w:jc w:val="both"/>
        <w:rPr>
          <w:sz w:val="19"/>
        </w:rPr>
      </w:pPr>
      <w:r>
        <w:rPr>
          <w:rFonts w:ascii="Times New Roman" w:hAnsi="Times New Roman"/>
          <w:color w:val="231F20"/>
          <w:w w:val="110"/>
          <w:sz w:val="19"/>
        </w:rPr>
        <w:t>Z</w:t>
      </w:r>
      <w:r>
        <w:rPr>
          <w:rFonts w:ascii="Times New Roman" w:hAnsi="Times New Roman"/>
          <w:color w:val="231F20"/>
          <w:w w:val="110"/>
          <w:sz w:val="15"/>
        </w:rPr>
        <w:t>AMAN</w:t>
      </w:r>
      <w:r>
        <w:rPr>
          <w:color w:val="231F20"/>
          <w:w w:val="110"/>
          <w:sz w:val="19"/>
        </w:rPr>
        <w:t>, MQ., 1999, “Vulnerability, disaster, and survival in Bangladesh: three case studies”, en oliver-smith, A. S. Hoffman (ed.), en The Angry Earth: Disaster in Anthropological Perspective, Routledge, New York citado en Sánchez y Egea, 2011.</w:t>
      </w:r>
    </w:p>
    <w:p>
      <w:pPr>
        <w:spacing w:after="0" w:line="266" w:lineRule="auto"/>
        <w:jc w:val="both"/>
        <w:rPr>
          <w:sz w:val="19"/>
        </w:rPr>
        <w:sectPr>
          <w:footerReference w:type="even" r:id="rId171"/>
          <w:pgSz w:w="9520" w:h="12920"/>
          <w:pgMar w:footer="0" w:header="0" w:top="880" w:bottom="280" w:left="1000" w:right="1320"/>
        </w:sectPr>
      </w:pPr>
    </w:p>
    <w:p>
      <w:pPr>
        <w:pStyle w:val="BodyText"/>
        <w:spacing w:before="4"/>
        <w:rPr>
          <w:rFonts w:ascii="Times New Roman"/>
          <w:sz w:val="17"/>
        </w:rPr>
      </w:pPr>
    </w:p>
    <w:p>
      <w:pPr>
        <w:spacing w:after="0"/>
        <w:rPr>
          <w:rFonts w:ascii="Times New Roman"/>
          <w:sz w:val="17"/>
        </w:rPr>
        <w:sectPr>
          <w:footerReference w:type="default" r:id="rId172"/>
          <w:pgSz w:w="9520" w:h="12920"/>
          <w:pgMar w:footer="0" w:header="0" w:top="1220" w:bottom="280" w:left="1320" w:right="1320"/>
        </w:sectPr>
      </w:pPr>
    </w:p>
    <w:p>
      <w:pPr>
        <w:pStyle w:val="Heading1"/>
        <w:ind w:left="2480" w:hanging="98"/>
      </w:pPr>
      <w:r>
        <w:rPr>
          <w:i/>
          <w:color w:val="231F20"/>
          <w:w w:val="70"/>
        </w:rPr>
        <w:t>Desigualdad</w:t>
      </w:r>
      <w:r>
        <w:rPr>
          <w:i/>
          <w:color w:val="231F20"/>
          <w:spacing w:val="-46"/>
          <w:w w:val="70"/>
        </w:rPr>
        <w:t> </w:t>
      </w:r>
      <w:r>
        <w:rPr>
          <w:i/>
          <w:color w:val="231F20"/>
          <w:w w:val="70"/>
        </w:rPr>
        <w:t>socioeconómica</w:t>
      </w:r>
      <w:r>
        <w:rPr>
          <w:i/>
          <w:color w:val="231F20"/>
          <w:spacing w:val="-46"/>
          <w:w w:val="70"/>
        </w:rPr>
        <w:t> </w:t>
      </w:r>
      <w:r>
        <w:rPr>
          <w:i/>
          <w:color w:val="231F20"/>
          <w:w w:val="70"/>
        </w:rPr>
        <w:t>de</w:t>
      </w:r>
      <w:r>
        <w:rPr>
          <w:i/>
          <w:color w:val="231F20"/>
          <w:spacing w:val="-46"/>
          <w:w w:val="70"/>
        </w:rPr>
        <w:t> </w:t>
      </w:r>
      <w:r>
        <w:rPr>
          <w:i/>
          <w:color w:val="231F20"/>
          <w:w w:val="70"/>
        </w:rPr>
        <w:t>los</w:t>
      </w:r>
      <w:r>
        <w:rPr>
          <w:i/>
          <w:color w:val="231F20"/>
          <w:spacing w:val="-46"/>
          <w:w w:val="70"/>
        </w:rPr>
        <w:t> </w:t>
      </w:r>
      <w:r>
        <w:rPr>
          <w:i/>
          <w:color w:val="231F20"/>
          <w:w w:val="70"/>
        </w:rPr>
        <w:t>adultos</w:t>
      </w:r>
      <w:r>
        <w:rPr>
          <w:color w:val="231F20"/>
          <w:w w:val="65"/>
        </w:rPr>
        <w:t> </w:t>
      </w:r>
      <w:r>
        <w:rPr>
          <w:color w:val="231F20"/>
          <w:w w:val="65"/>
        </w:rPr>
        <w:t>mayores en las cinco zonas</w:t>
      </w:r>
      <w:r>
        <w:rPr>
          <w:color w:val="231F20"/>
          <w:spacing w:val="67"/>
          <w:w w:val="65"/>
        </w:rPr>
        <w:t> </w:t>
      </w:r>
      <w:r>
        <w:rPr>
          <w:color w:val="231F20"/>
          <w:w w:val="65"/>
        </w:rPr>
        <w:t>metropolitanas</w:t>
      </w:r>
    </w:p>
    <w:p>
      <w:pPr>
        <w:spacing w:line="400" w:lineRule="exact" w:before="0"/>
        <w:ind w:left="100" w:right="117" w:firstLine="0"/>
        <w:jc w:val="right"/>
        <w:rPr>
          <w:rFonts w:ascii="Trebuchet MS" w:hAnsi="Trebuchet MS"/>
          <w:i/>
          <w:sz w:val="36"/>
        </w:rPr>
      </w:pPr>
      <w:r>
        <w:rPr>
          <w:rFonts w:ascii="Trebuchet MS" w:hAnsi="Trebuchet MS"/>
          <w:i/>
          <w:color w:val="231F20"/>
          <w:w w:val="70"/>
          <w:sz w:val="36"/>
        </w:rPr>
        <w:t>más grandes de México</w:t>
      </w:r>
    </w:p>
    <w:p>
      <w:pPr>
        <w:pStyle w:val="Heading2"/>
        <w:spacing w:line="259" w:lineRule="auto"/>
        <w:ind w:left="5028" w:firstLine="748"/>
      </w:pPr>
      <w:bookmarkStart w:name="_TOC_250001" w:id="13"/>
      <w:r>
        <w:rPr>
          <w:i/>
          <w:color w:val="231F20"/>
          <w:w w:val="65"/>
        </w:rPr>
        <w:t>Pablo Jasso Salas</w:t>
      </w:r>
      <w:r>
        <w:rPr>
          <w:color w:val="231F20"/>
          <w:w w:val="63"/>
        </w:rPr>
        <w:t> </w:t>
      </w:r>
      <w:bookmarkEnd w:id="13"/>
      <w:r>
        <w:rPr>
          <w:color w:val="231F20"/>
          <w:w w:val="70"/>
        </w:rPr>
        <w:t>Zoraida Ronzón Hernández</w:t>
      </w:r>
    </w:p>
    <w:p>
      <w:pPr>
        <w:pStyle w:val="BodyText"/>
        <w:rPr>
          <w:rFonts w:ascii="Trebuchet MS"/>
          <w:i/>
        </w:rPr>
      </w:pPr>
    </w:p>
    <w:p>
      <w:pPr>
        <w:pStyle w:val="BodyText"/>
        <w:rPr>
          <w:rFonts w:ascii="Trebuchet MS"/>
          <w:i/>
        </w:rPr>
      </w:pPr>
    </w:p>
    <w:p>
      <w:pPr>
        <w:spacing w:before="191"/>
        <w:ind w:left="100" w:right="0" w:firstLine="0"/>
        <w:jc w:val="both"/>
        <w:rPr>
          <w:rFonts w:ascii="Times New Roman" w:hAnsi="Times New Roman"/>
          <w:i/>
          <w:sz w:val="19"/>
        </w:rPr>
      </w:pPr>
      <w:r>
        <w:rPr>
          <w:rFonts w:ascii="Times New Roman" w:hAnsi="Times New Roman"/>
          <w:i/>
          <w:color w:val="231F20"/>
          <w:sz w:val="24"/>
        </w:rPr>
        <w:t>I</w:t>
      </w:r>
      <w:r>
        <w:rPr>
          <w:rFonts w:ascii="Times New Roman" w:hAnsi="Times New Roman"/>
          <w:i/>
          <w:color w:val="231F20"/>
          <w:sz w:val="19"/>
        </w:rPr>
        <w:t>NTRODUCCIÓN</w:t>
      </w:r>
    </w:p>
    <w:p>
      <w:pPr>
        <w:pStyle w:val="BodyText"/>
        <w:spacing w:before="4"/>
        <w:rPr>
          <w:rFonts w:ascii="Times New Roman"/>
          <w:i/>
          <w:sz w:val="28"/>
        </w:rPr>
      </w:pPr>
    </w:p>
    <w:p>
      <w:pPr>
        <w:pStyle w:val="BodyText"/>
        <w:spacing w:line="295" w:lineRule="auto"/>
        <w:ind w:left="100" w:right="121"/>
        <w:jc w:val="both"/>
      </w:pPr>
      <w:r>
        <w:rPr>
          <w:color w:val="231F20"/>
          <w:w w:val="110"/>
        </w:rPr>
        <w:t>El envejecimiento demográfico en México ha mostrado un acelerado</w:t>
      </w:r>
      <w:r>
        <w:rPr>
          <w:color w:val="231F20"/>
          <w:spacing w:val="-7"/>
          <w:w w:val="110"/>
        </w:rPr>
        <w:t> </w:t>
      </w:r>
      <w:r>
        <w:rPr>
          <w:color w:val="231F20"/>
          <w:w w:val="110"/>
        </w:rPr>
        <w:t>creci- miento</w:t>
      </w:r>
      <w:r>
        <w:rPr>
          <w:color w:val="231F20"/>
          <w:spacing w:val="-6"/>
          <w:w w:val="110"/>
        </w:rPr>
        <w:t> </w:t>
      </w:r>
      <w:r>
        <w:rPr>
          <w:color w:val="231F20"/>
          <w:w w:val="110"/>
        </w:rPr>
        <w:t>en</w:t>
      </w:r>
      <w:r>
        <w:rPr>
          <w:color w:val="231F20"/>
          <w:spacing w:val="-6"/>
          <w:w w:val="110"/>
        </w:rPr>
        <w:t> </w:t>
      </w:r>
      <w:r>
        <w:rPr>
          <w:color w:val="231F20"/>
          <w:w w:val="110"/>
        </w:rPr>
        <w:t>las</w:t>
      </w:r>
      <w:r>
        <w:rPr>
          <w:color w:val="231F20"/>
          <w:spacing w:val="-6"/>
          <w:w w:val="110"/>
        </w:rPr>
        <w:t> </w:t>
      </w:r>
      <w:r>
        <w:rPr>
          <w:color w:val="231F20"/>
          <w:w w:val="110"/>
        </w:rPr>
        <w:t>últimas</w:t>
      </w:r>
      <w:r>
        <w:rPr>
          <w:color w:val="231F20"/>
          <w:spacing w:val="-6"/>
          <w:w w:val="110"/>
        </w:rPr>
        <w:t> </w:t>
      </w:r>
      <w:r>
        <w:rPr>
          <w:color w:val="231F20"/>
          <w:w w:val="110"/>
        </w:rPr>
        <w:t>dos</w:t>
      </w:r>
      <w:r>
        <w:rPr>
          <w:color w:val="231F20"/>
          <w:spacing w:val="-6"/>
          <w:w w:val="110"/>
        </w:rPr>
        <w:t> </w:t>
      </w:r>
      <w:r>
        <w:rPr>
          <w:color w:val="231F20"/>
          <w:w w:val="110"/>
        </w:rPr>
        <w:t>décadas</w:t>
      </w:r>
      <w:r>
        <w:rPr>
          <w:color w:val="231F20"/>
          <w:spacing w:val="-6"/>
          <w:w w:val="110"/>
        </w:rPr>
        <w:t> </w:t>
      </w:r>
      <w:r>
        <w:rPr>
          <w:color w:val="231F20"/>
          <w:spacing w:val="-3"/>
          <w:w w:val="110"/>
        </w:rPr>
        <w:t>(Velázquez,</w:t>
      </w:r>
      <w:r>
        <w:rPr>
          <w:color w:val="231F20"/>
          <w:spacing w:val="-6"/>
          <w:w w:val="110"/>
        </w:rPr>
        <w:t> </w:t>
      </w:r>
      <w:r>
        <w:rPr>
          <w:color w:val="231F20"/>
          <w:w w:val="110"/>
        </w:rPr>
        <w:t>2004),</w:t>
      </w:r>
      <w:r>
        <w:rPr>
          <w:color w:val="231F20"/>
          <w:spacing w:val="-6"/>
          <w:w w:val="110"/>
        </w:rPr>
        <w:t> </w:t>
      </w:r>
      <w:r>
        <w:rPr>
          <w:color w:val="231F20"/>
          <w:w w:val="110"/>
        </w:rPr>
        <w:t>pues</w:t>
      </w:r>
      <w:r>
        <w:rPr>
          <w:color w:val="231F20"/>
          <w:spacing w:val="-6"/>
          <w:w w:val="110"/>
        </w:rPr>
        <w:t> </w:t>
      </w:r>
      <w:r>
        <w:rPr>
          <w:color w:val="231F20"/>
          <w:w w:val="110"/>
        </w:rPr>
        <w:t>al</w:t>
      </w:r>
      <w:r>
        <w:rPr>
          <w:color w:val="231F20"/>
          <w:spacing w:val="-6"/>
          <w:w w:val="110"/>
        </w:rPr>
        <w:t> </w:t>
      </w:r>
      <w:r>
        <w:rPr>
          <w:color w:val="231F20"/>
          <w:w w:val="110"/>
        </w:rPr>
        <w:t>estar</w:t>
      </w:r>
      <w:r>
        <w:rPr>
          <w:color w:val="231F20"/>
          <w:spacing w:val="-6"/>
          <w:w w:val="110"/>
        </w:rPr>
        <w:t> </w:t>
      </w:r>
      <w:r>
        <w:rPr>
          <w:color w:val="231F20"/>
          <w:w w:val="110"/>
        </w:rPr>
        <w:t>inmerso en la transición demográfica, enfrenta profundos cambios en los ámbitos social, económico, político, cultural, entre otros. En el caso de México, este fenómeno se presenta con mayor dinamismo en los centros urbanos (Sán- </w:t>
      </w:r>
      <w:r>
        <w:rPr>
          <w:color w:val="231F20"/>
          <w:spacing w:val="2"/>
          <w:w w:val="110"/>
        </w:rPr>
        <w:t>chez, 2007; Montes </w:t>
      </w:r>
      <w:r>
        <w:rPr>
          <w:color w:val="231F20"/>
          <w:w w:val="110"/>
        </w:rPr>
        <w:t>de </w:t>
      </w:r>
      <w:r>
        <w:rPr>
          <w:color w:val="231F20"/>
          <w:spacing w:val="2"/>
          <w:w w:val="110"/>
        </w:rPr>
        <w:t>Oca, 2003), </w:t>
      </w:r>
      <w:r>
        <w:rPr>
          <w:color w:val="231F20"/>
          <w:w w:val="110"/>
        </w:rPr>
        <w:t>a tal </w:t>
      </w:r>
      <w:r>
        <w:rPr>
          <w:color w:val="231F20"/>
          <w:spacing w:val="2"/>
          <w:w w:val="110"/>
        </w:rPr>
        <w:t>grado </w:t>
      </w:r>
      <w:r>
        <w:rPr>
          <w:color w:val="231F20"/>
          <w:w w:val="110"/>
        </w:rPr>
        <w:t>que en el año </w:t>
      </w:r>
      <w:r>
        <w:rPr>
          <w:color w:val="231F20"/>
          <w:spacing w:val="2"/>
          <w:w w:val="110"/>
        </w:rPr>
        <w:t>2005,</w:t>
      </w:r>
      <w:r>
        <w:rPr>
          <w:color w:val="231F20"/>
          <w:spacing w:val="2"/>
          <w:w w:val="110"/>
          <w:position w:val="6"/>
          <w:sz w:val="11"/>
        </w:rPr>
        <w:t>1 </w:t>
      </w:r>
      <w:r>
        <w:rPr>
          <w:color w:val="231F20"/>
          <w:w w:val="110"/>
        </w:rPr>
        <w:t>las cinco zonas metropolitanas más grandes del país concentraban más de la mitad</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población</w:t>
      </w:r>
      <w:r>
        <w:rPr>
          <w:color w:val="231F20"/>
          <w:spacing w:val="11"/>
          <w:w w:val="110"/>
        </w:rPr>
        <w:t> </w:t>
      </w:r>
      <w:r>
        <w:rPr>
          <w:color w:val="231F20"/>
          <w:w w:val="110"/>
        </w:rPr>
        <w:t>de</w:t>
      </w:r>
      <w:r>
        <w:rPr>
          <w:color w:val="231F20"/>
          <w:spacing w:val="11"/>
          <w:w w:val="110"/>
        </w:rPr>
        <w:t> </w:t>
      </w:r>
      <w:r>
        <w:rPr>
          <w:color w:val="231F20"/>
          <w:w w:val="110"/>
        </w:rPr>
        <w:t>65</w:t>
      </w:r>
      <w:r>
        <w:rPr>
          <w:color w:val="231F20"/>
          <w:spacing w:val="11"/>
          <w:w w:val="110"/>
        </w:rPr>
        <w:t> </w:t>
      </w:r>
      <w:r>
        <w:rPr>
          <w:color w:val="231F20"/>
          <w:w w:val="110"/>
        </w:rPr>
        <w:t>años</w:t>
      </w:r>
      <w:r>
        <w:rPr>
          <w:color w:val="231F20"/>
          <w:spacing w:val="11"/>
          <w:w w:val="110"/>
        </w:rPr>
        <w:t> </w:t>
      </w:r>
      <w:r>
        <w:rPr>
          <w:color w:val="231F20"/>
          <w:w w:val="110"/>
        </w:rPr>
        <w:t>y</w:t>
      </w:r>
      <w:r>
        <w:rPr>
          <w:color w:val="231F20"/>
          <w:spacing w:val="11"/>
          <w:w w:val="110"/>
        </w:rPr>
        <w:t> </w:t>
      </w:r>
      <w:r>
        <w:rPr>
          <w:color w:val="231F20"/>
          <w:w w:val="110"/>
        </w:rPr>
        <w:t>más</w:t>
      </w:r>
      <w:r>
        <w:rPr>
          <w:color w:val="231F20"/>
          <w:spacing w:val="11"/>
          <w:w w:val="110"/>
        </w:rPr>
        <w:t> </w:t>
      </w:r>
      <w:r>
        <w:rPr>
          <w:color w:val="231F20"/>
          <w:w w:val="110"/>
        </w:rPr>
        <w:t>(Sánchez,</w:t>
      </w:r>
      <w:r>
        <w:rPr>
          <w:color w:val="231F20"/>
          <w:spacing w:val="11"/>
          <w:w w:val="110"/>
        </w:rPr>
        <w:t> </w:t>
      </w:r>
      <w:r>
        <w:rPr>
          <w:color w:val="231F20"/>
          <w:w w:val="110"/>
        </w:rPr>
        <w:t>2007),</w:t>
      </w:r>
      <w:r>
        <w:rPr>
          <w:color w:val="231F20"/>
          <w:spacing w:val="11"/>
          <w:w w:val="110"/>
        </w:rPr>
        <w:t> </w:t>
      </w:r>
      <w:r>
        <w:rPr>
          <w:color w:val="231F20"/>
          <w:w w:val="110"/>
        </w:rPr>
        <w:t>es</w:t>
      </w:r>
      <w:r>
        <w:rPr>
          <w:color w:val="231F20"/>
          <w:spacing w:val="11"/>
          <w:w w:val="110"/>
        </w:rPr>
        <w:t> </w:t>
      </w:r>
      <w:r>
        <w:rPr>
          <w:color w:val="231F20"/>
          <w:spacing w:val="-3"/>
          <w:w w:val="110"/>
        </w:rPr>
        <w:t>decir,</w:t>
      </w:r>
      <w:r>
        <w:rPr>
          <w:color w:val="231F20"/>
          <w:spacing w:val="11"/>
          <w:w w:val="110"/>
        </w:rPr>
        <w:t> </w:t>
      </w:r>
      <w:r>
        <w:rPr>
          <w:color w:val="231F20"/>
          <w:w w:val="110"/>
        </w:rPr>
        <w:t>más</w:t>
      </w:r>
      <w:r>
        <w:rPr>
          <w:color w:val="231F20"/>
          <w:spacing w:val="11"/>
          <w:w w:val="110"/>
        </w:rPr>
        <w:t> </w:t>
      </w:r>
      <w:r>
        <w:rPr>
          <w:color w:val="231F20"/>
          <w:w w:val="110"/>
        </w:rPr>
        <w:t>de</w:t>
      </w:r>
    </w:p>
    <w:p>
      <w:pPr>
        <w:pStyle w:val="BodyText"/>
        <w:spacing w:line="295" w:lineRule="auto"/>
        <w:ind w:left="100" w:right="122"/>
        <w:jc w:val="both"/>
      </w:pPr>
      <w:r>
        <w:rPr>
          <w:color w:val="231F20"/>
          <w:w w:val="110"/>
        </w:rPr>
        <w:t>1.5 millones de personas, que representan 26.5 por ciento de la población adulta mayor del país. Para el año 2010 esta población asciende a más   de</w:t>
      </w:r>
    </w:p>
    <w:p>
      <w:pPr>
        <w:pStyle w:val="BodyText"/>
        <w:spacing w:line="295" w:lineRule="auto"/>
        <w:ind w:left="100" w:right="123"/>
        <w:jc w:val="both"/>
      </w:pPr>
      <w:r>
        <w:rPr>
          <w:color w:val="231F20"/>
          <w:w w:val="110"/>
        </w:rPr>
        <w:t>1.9 millones de personas, y en el año 2030 alcanzará la cantidad de 4.3</w:t>
      </w:r>
      <w:r>
        <w:rPr>
          <w:color w:val="231F20"/>
          <w:w w:val="110"/>
          <w:position w:val="6"/>
          <w:sz w:val="11"/>
        </w:rPr>
        <w:t>2 </w:t>
      </w:r>
      <w:r>
        <w:rPr>
          <w:color w:val="231F20"/>
          <w:w w:val="110"/>
        </w:rPr>
        <w:t>millones. En tan sólo 20 años esta población aumentará 2.3  veces.</w:t>
      </w:r>
    </w:p>
    <w:p>
      <w:pPr>
        <w:pStyle w:val="BodyText"/>
        <w:spacing w:line="295" w:lineRule="auto"/>
        <w:ind w:left="100" w:right="121" w:firstLine="360"/>
        <w:jc w:val="both"/>
      </w:pPr>
      <w:r>
        <w:rPr>
          <w:color w:val="231F20"/>
          <w:w w:val="110"/>
        </w:rPr>
        <w:t>Si bien estas cifras dan cuenta de la magnitud de la población de adul- tos mayores que residen en las cinco zonas metropolitanas más grandes de México, así como del crecimiento acelerado que experimentará esta población en los próximos 20 años, no reflejan las condiciones socioeco- nómicas en que se encuentra este grupo de  población.</w:t>
      </w:r>
    </w:p>
    <w:p>
      <w:pPr>
        <w:pStyle w:val="BodyText"/>
      </w:pPr>
    </w:p>
    <w:p>
      <w:pPr>
        <w:spacing w:line="256" w:lineRule="auto" w:before="175"/>
        <w:ind w:left="100" w:right="122" w:firstLine="360"/>
        <w:jc w:val="both"/>
        <w:rPr>
          <w:sz w:val="16"/>
        </w:rPr>
      </w:pPr>
      <w:r>
        <w:rPr>
          <w:color w:val="231F20"/>
          <w:w w:val="110"/>
          <w:position w:val="5"/>
          <w:sz w:val="9"/>
        </w:rPr>
        <w:t>1 </w:t>
      </w:r>
      <w:r>
        <w:rPr>
          <w:color w:val="231F20"/>
          <w:w w:val="110"/>
          <w:sz w:val="16"/>
        </w:rPr>
        <w:t>Se </w:t>
      </w:r>
      <w:r>
        <w:rPr>
          <w:color w:val="231F20"/>
          <w:spacing w:val="2"/>
          <w:w w:val="110"/>
          <w:sz w:val="16"/>
        </w:rPr>
        <w:t>hace referencia </w:t>
      </w:r>
      <w:r>
        <w:rPr>
          <w:color w:val="231F20"/>
          <w:w w:val="110"/>
          <w:sz w:val="16"/>
        </w:rPr>
        <w:t>de la </w:t>
      </w:r>
      <w:r>
        <w:rPr>
          <w:color w:val="231F20"/>
          <w:spacing w:val="2"/>
          <w:w w:val="110"/>
          <w:sz w:val="16"/>
        </w:rPr>
        <w:t>población total mayor </w:t>
      </w:r>
      <w:r>
        <w:rPr>
          <w:color w:val="231F20"/>
          <w:w w:val="110"/>
          <w:sz w:val="16"/>
        </w:rPr>
        <w:t>de 65 </w:t>
      </w:r>
      <w:r>
        <w:rPr>
          <w:color w:val="231F20"/>
          <w:spacing w:val="2"/>
          <w:w w:val="110"/>
          <w:sz w:val="16"/>
        </w:rPr>
        <w:t>años hasta </w:t>
      </w:r>
      <w:r>
        <w:rPr>
          <w:color w:val="231F20"/>
          <w:w w:val="110"/>
          <w:sz w:val="16"/>
        </w:rPr>
        <w:t>el año </w:t>
      </w:r>
      <w:r>
        <w:rPr>
          <w:color w:val="231F20"/>
          <w:spacing w:val="2"/>
          <w:w w:val="110"/>
          <w:sz w:val="16"/>
        </w:rPr>
        <w:t>2010 para </w:t>
      </w:r>
      <w:r>
        <w:rPr>
          <w:color w:val="231F20"/>
          <w:w w:val="110"/>
          <w:sz w:val="16"/>
        </w:rPr>
        <w:t>contextualizar este fenómeno en las zonas metropolitanas de México en los años recientes,  el análisis se centra en el periodo de referencia al tomar en cuenta la información disponible de los índices de</w:t>
      </w:r>
      <w:r>
        <w:rPr>
          <w:color w:val="231F20"/>
          <w:spacing w:val="27"/>
          <w:w w:val="110"/>
          <w:sz w:val="16"/>
        </w:rPr>
        <w:t> </w:t>
      </w:r>
      <w:r>
        <w:rPr>
          <w:color w:val="231F20"/>
          <w:w w:val="110"/>
          <w:sz w:val="16"/>
        </w:rPr>
        <w:t>marginación.</w:t>
      </w:r>
    </w:p>
    <w:p>
      <w:pPr>
        <w:spacing w:line="256" w:lineRule="auto" w:before="0"/>
        <w:ind w:left="100" w:right="122" w:firstLine="360"/>
        <w:jc w:val="both"/>
        <w:rPr>
          <w:sz w:val="16"/>
        </w:rPr>
      </w:pPr>
      <w:r>
        <w:rPr>
          <w:color w:val="231F20"/>
          <w:w w:val="103"/>
          <w:position w:val="5"/>
          <w:sz w:val="9"/>
        </w:rPr>
        <w:t>2</w:t>
      </w:r>
      <w:r>
        <w:rPr>
          <w:color w:val="231F20"/>
          <w:position w:val="5"/>
          <w:sz w:val="9"/>
        </w:rPr>
        <w:t> </w:t>
      </w:r>
      <w:r>
        <w:rPr>
          <w:color w:val="231F20"/>
          <w:w w:val="106"/>
          <w:sz w:val="16"/>
        </w:rPr>
        <w:t>F</w:t>
      </w:r>
      <w:r>
        <w:rPr>
          <w:color w:val="231F20"/>
          <w:w w:val="113"/>
          <w:sz w:val="16"/>
        </w:rPr>
        <w:t>u</w:t>
      </w:r>
      <w:r>
        <w:rPr>
          <w:color w:val="231F20"/>
          <w:w w:val="109"/>
          <w:sz w:val="16"/>
        </w:rPr>
        <w:t>e</w:t>
      </w:r>
      <w:r>
        <w:rPr>
          <w:color w:val="231F20"/>
          <w:w w:val="111"/>
          <w:sz w:val="16"/>
        </w:rPr>
        <w:t>n</w:t>
      </w:r>
      <w:r>
        <w:rPr>
          <w:color w:val="231F20"/>
          <w:w w:val="94"/>
          <w:sz w:val="16"/>
        </w:rPr>
        <w:t>t</w:t>
      </w:r>
      <w:r>
        <w:rPr>
          <w:color w:val="231F20"/>
          <w:w w:val="109"/>
          <w:sz w:val="16"/>
        </w:rPr>
        <w:t>e</w:t>
      </w:r>
      <w:r>
        <w:rPr>
          <w:color w:val="231F20"/>
          <w:w w:val="131"/>
          <w:sz w:val="16"/>
        </w:rPr>
        <w:t>:</w:t>
      </w:r>
      <w:r>
        <w:rPr>
          <w:color w:val="231F20"/>
          <w:sz w:val="16"/>
        </w:rPr>
        <w:t>  </w:t>
      </w:r>
      <w:r>
        <w:rPr>
          <w:color w:val="231F20"/>
          <w:w w:val="106"/>
          <w:sz w:val="16"/>
        </w:rPr>
        <w:t>p</w:t>
      </w:r>
      <w:r>
        <w:rPr>
          <w:color w:val="231F20"/>
          <w:w w:val="105"/>
          <w:sz w:val="16"/>
        </w:rPr>
        <w:t>r</w:t>
      </w:r>
      <w:r>
        <w:rPr>
          <w:color w:val="231F20"/>
          <w:w w:val="108"/>
          <w:sz w:val="16"/>
        </w:rPr>
        <w:t>o</w:t>
      </w:r>
      <w:r>
        <w:rPr>
          <w:color w:val="231F20"/>
          <w:w w:val="108"/>
          <w:sz w:val="16"/>
        </w:rPr>
        <w:t>y</w:t>
      </w:r>
      <w:r>
        <w:rPr>
          <w:color w:val="231F20"/>
          <w:w w:val="109"/>
          <w:sz w:val="16"/>
        </w:rPr>
        <w:t>e</w:t>
      </w:r>
      <w:r>
        <w:rPr>
          <w:color w:val="231F20"/>
          <w:w w:val="115"/>
          <w:sz w:val="16"/>
        </w:rPr>
        <w:t>cc</w:t>
      </w:r>
      <w:r>
        <w:rPr>
          <w:color w:val="231F20"/>
          <w:w w:val="98"/>
          <w:sz w:val="16"/>
        </w:rPr>
        <w:t>i</w:t>
      </w:r>
      <w:r>
        <w:rPr>
          <w:color w:val="231F20"/>
          <w:w w:val="108"/>
          <w:sz w:val="16"/>
        </w:rPr>
        <w:t>o</w:t>
      </w:r>
      <w:r>
        <w:rPr>
          <w:color w:val="231F20"/>
          <w:w w:val="111"/>
          <w:sz w:val="16"/>
        </w:rPr>
        <w:t>n</w:t>
      </w:r>
      <w:r>
        <w:rPr>
          <w:color w:val="231F20"/>
          <w:w w:val="109"/>
          <w:sz w:val="16"/>
        </w:rPr>
        <w:t>e</w:t>
      </w:r>
      <w:r>
        <w:rPr>
          <w:color w:val="231F20"/>
          <w:w w:val="118"/>
          <w:sz w:val="16"/>
        </w:rPr>
        <w:t>s</w:t>
      </w:r>
      <w:r>
        <w:rPr>
          <w:color w:val="231F20"/>
          <w:sz w:val="16"/>
        </w:rPr>
        <w:t>  </w:t>
      </w:r>
      <w:r>
        <w:rPr>
          <w:color w:val="231F20"/>
          <w:w w:val="107"/>
          <w:sz w:val="16"/>
        </w:rPr>
        <w:t>d</w:t>
      </w:r>
      <w:r>
        <w:rPr>
          <w:color w:val="231F20"/>
          <w:w w:val="109"/>
          <w:sz w:val="16"/>
        </w:rPr>
        <w:t>e</w:t>
      </w:r>
      <w:r>
        <w:rPr>
          <w:color w:val="231F20"/>
          <w:sz w:val="16"/>
        </w:rPr>
        <w:t>  </w:t>
      </w:r>
      <w:r>
        <w:rPr>
          <w:color w:val="231F20"/>
          <w:w w:val="126"/>
          <w:sz w:val="16"/>
        </w:rPr>
        <w:t>C</w:t>
      </w:r>
      <w:r>
        <w:rPr>
          <w:color w:val="231F20"/>
          <w:w w:val="108"/>
          <w:sz w:val="16"/>
        </w:rPr>
        <w:t>o</w:t>
      </w:r>
      <w:r>
        <w:rPr>
          <w:color w:val="231F20"/>
          <w:w w:val="111"/>
          <w:sz w:val="16"/>
        </w:rPr>
        <w:t>n</w:t>
      </w:r>
      <w:r>
        <w:rPr>
          <w:color w:val="231F20"/>
          <w:w w:val="108"/>
          <w:sz w:val="16"/>
        </w:rPr>
        <w:t>a</w:t>
      </w:r>
      <w:r>
        <w:rPr>
          <w:color w:val="231F20"/>
          <w:w w:val="106"/>
          <w:sz w:val="16"/>
        </w:rPr>
        <w:t>p</w:t>
      </w:r>
      <w:r>
        <w:rPr>
          <w:color w:val="231F20"/>
          <w:w w:val="108"/>
          <w:sz w:val="16"/>
        </w:rPr>
        <w:t>o</w:t>
      </w:r>
      <w:r>
        <w:rPr>
          <w:color w:val="231F20"/>
          <w:w w:val="131"/>
          <w:sz w:val="16"/>
        </w:rPr>
        <w:t>:</w:t>
      </w:r>
      <w:hyperlink r:id="rId174">
        <w:r>
          <w:rPr>
            <w:color w:val="231F20"/>
            <w:w w:val="113"/>
            <w:sz w:val="16"/>
          </w:rPr>
          <w:t>h</w:t>
        </w:r>
        <w:r>
          <w:rPr>
            <w:color w:val="231F20"/>
            <w:w w:val="94"/>
            <w:sz w:val="16"/>
          </w:rPr>
          <w:t>tt</w:t>
        </w:r>
        <w:r>
          <w:rPr>
            <w:color w:val="231F20"/>
            <w:w w:val="106"/>
            <w:sz w:val="16"/>
          </w:rPr>
          <w:t>p</w:t>
        </w:r>
        <w:r>
          <w:rPr>
            <w:color w:val="231F20"/>
            <w:w w:val="131"/>
            <w:sz w:val="16"/>
          </w:rPr>
          <w:t>:</w:t>
        </w:r>
        <w:r>
          <w:rPr>
            <w:color w:val="231F20"/>
            <w:w w:val="66"/>
            <w:sz w:val="16"/>
          </w:rPr>
          <w:t>//</w:t>
        </w:r>
        <w:r>
          <w:rPr>
            <w:color w:val="231F20"/>
            <w:w w:val="108"/>
            <w:sz w:val="16"/>
          </w:rPr>
          <w:t>www</w:t>
        </w:r>
        <w:r>
          <w:rPr>
            <w:color w:val="231F20"/>
            <w:w w:val="128"/>
            <w:sz w:val="16"/>
          </w:rPr>
          <w:t>.</w:t>
        </w:r>
        <w:r>
          <w:rPr>
            <w:color w:val="231F20"/>
            <w:w w:val="115"/>
            <w:sz w:val="16"/>
          </w:rPr>
          <w:t>c</w:t>
        </w:r>
        <w:r>
          <w:rPr>
            <w:color w:val="231F20"/>
            <w:w w:val="108"/>
            <w:sz w:val="16"/>
          </w:rPr>
          <w:t>o</w:t>
        </w:r>
        <w:r>
          <w:rPr>
            <w:color w:val="231F20"/>
            <w:w w:val="111"/>
            <w:sz w:val="16"/>
          </w:rPr>
          <w:t>n</w:t>
        </w:r>
        <w:r>
          <w:rPr>
            <w:color w:val="231F20"/>
            <w:w w:val="108"/>
            <w:sz w:val="16"/>
          </w:rPr>
          <w:t>a</w:t>
        </w:r>
        <w:r>
          <w:rPr>
            <w:color w:val="231F20"/>
            <w:w w:val="106"/>
            <w:sz w:val="16"/>
          </w:rPr>
          <w:t>p</w:t>
        </w:r>
        <w:r>
          <w:rPr>
            <w:color w:val="231F20"/>
            <w:w w:val="108"/>
            <w:sz w:val="16"/>
          </w:rPr>
          <w:t>o</w:t>
        </w:r>
        <w:r>
          <w:rPr>
            <w:color w:val="231F20"/>
            <w:w w:val="128"/>
            <w:sz w:val="16"/>
          </w:rPr>
          <w:t>.</w:t>
        </w:r>
        <w:r>
          <w:rPr>
            <w:color w:val="231F20"/>
            <w:w w:val="110"/>
            <w:sz w:val="16"/>
          </w:rPr>
          <w:t>g</w:t>
        </w:r>
        <w:r>
          <w:rPr>
            <w:color w:val="231F20"/>
            <w:w w:val="108"/>
            <w:sz w:val="16"/>
          </w:rPr>
          <w:t>o</w:t>
        </w:r>
        <w:r>
          <w:rPr>
            <w:color w:val="231F20"/>
            <w:w w:val="107"/>
            <w:sz w:val="16"/>
          </w:rPr>
          <w:t>b</w:t>
        </w:r>
        <w:r>
          <w:rPr>
            <w:color w:val="231F20"/>
            <w:w w:val="128"/>
            <w:sz w:val="16"/>
          </w:rPr>
          <w:t>.</w:t>
        </w:r>
        <w:r>
          <w:rPr>
            <w:color w:val="231F20"/>
            <w:w w:val="110"/>
            <w:sz w:val="16"/>
          </w:rPr>
          <w:t>m</w:t>
        </w:r>
        <w:r>
          <w:rPr>
            <w:color w:val="231F20"/>
            <w:w w:val="118"/>
            <w:sz w:val="16"/>
          </w:rPr>
          <w:t>x</w:t>
        </w:r>
        <w:r>
          <w:rPr>
            <w:color w:val="231F20"/>
            <w:w w:val="66"/>
            <w:sz w:val="16"/>
          </w:rPr>
          <w:t>/</w:t>
        </w:r>
        <w:r>
          <w:rPr>
            <w:color w:val="231F20"/>
            <w:w w:val="98"/>
            <w:sz w:val="16"/>
          </w:rPr>
          <w:t>i</w:t>
        </w:r>
        <w:r>
          <w:rPr>
            <w:color w:val="231F20"/>
            <w:w w:val="111"/>
            <w:sz w:val="16"/>
          </w:rPr>
          <w:t>n</w:t>
        </w:r>
        <w:r>
          <w:rPr>
            <w:color w:val="231F20"/>
            <w:w w:val="107"/>
            <w:sz w:val="16"/>
          </w:rPr>
          <w:t>d</w:t>
        </w:r>
        <w:r>
          <w:rPr>
            <w:color w:val="231F20"/>
            <w:w w:val="109"/>
            <w:sz w:val="16"/>
          </w:rPr>
          <w:t>e</w:t>
        </w:r>
        <w:r>
          <w:rPr>
            <w:color w:val="231F20"/>
            <w:w w:val="118"/>
            <w:sz w:val="16"/>
          </w:rPr>
          <w:t>x</w:t>
        </w:r>
        <w:r>
          <w:rPr>
            <w:color w:val="231F20"/>
            <w:w w:val="128"/>
            <w:sz w:val="16"/>
          </w:rPr>
          <w:t>.</w:t>
        </w:r>
        <w:r>
          <w:rPr>
            <w:color w:val="231F20"/>
            <w:w w:val="106"/>
            <w:sz w:val="16"/>
          </w:rPr>
          <w:t>p</w:t>
        </w:r>
        <w:r>
          <w:rPr>
            <w:color w:val="231F20"/>
            <w:w w:val="113"/>
            <w:sz w:val="16"/>
          </w:rPr>
          <w:t>h</w:t>
        </w:r>
        <w:r>
          <w:rPr>
            <w:color w:val="231F20"/>
            <w:w w:val="106"/>
            <w:sz w:val="16"/>
          </w:rPr>
          <w:t>p</w:t>
        </w:r>
        <w:r>
          <w:rPr>
            <w:color w:val="231F20"/>
            <w:w w:val="108"/>
            <w:sz w:val="16"/>
          </w:rPr>
          <w:t>?</w:t>
        </w:r>
        <w:r>
          <w:rPr>
            <w:color w:val="231F20"/>
            <w:w w:val="108"/>
            <w:sz w:val="16"/>
          </w:rPr>
          <w:t>o</w:t>
        </w:r>
        <w:r>
          <w:rPr>
            <w:color w:val="231F20"/>
            <w:w w:val="106"/>
            <w:sz w:val="16"/>
          </w:rPr>
          <w:t>p</w:t>
        </w:r>
        <w:r>
          <w:rPr>
            <w:color w:val="231F20"/>
            <w:w w:val="94"/>
            <w:sz w:val="16"/>
          </w:rPr>
          <w:t>t</w:t>
        </w:r>
        <w:r>
          <w:rPr>
            <w:color w:val="231F20"/>
            <w:w w:val="98"/>
            <w:sz w:val="16"/>
          </w:rPr>
          <w:t>i</w:t>
        </w:r>
        <w:r>
          <w:rPr>
            <w:color w:val="231F20"/>
            <w:w w:val="108"/>
            <w:sz w:val="16"/>
          </w:rPr>
          <w:t>o</w:t>
        </w:r>
        <w:r>
          <w:rPr>
            <w:color w:val="231F20"/>
            <w:w w:val="111"/>
            <w:sz w:val="16"/>
          </w:rPr>
          <w:t>n</w:t>
        </w:r>
        <w:r>
          <w:rPr>
            <w:color w:val="231F20"/>
            <w:w w:val="150"/>
            <w:sz w:val="16"/>
          </w:rPr>
          <w:t>=</w:t>
        </w:r>
        <w:r>
          <w:rPr>
            <w:color w:val="231F20"/>
            <w:w w:val="115"/>
            <w:sz w:val="16"/>
          </w:rPr>
          <w:t>c</w:t>
        </w:r>
        <w:r>
          <w:rPr>
            <w:color w:val="231F20"/>
            <w:w w:val="108"/>
            <w:sz w:val="16"/>
          </w:rPr>
          <w:t>o</w:t>
        </w:r>
        <w:r>
          <w:rPr>
            <w:color w:val="231F20"/>
            <w:w w:val="110"/>
            <w:sz w:val="16"/>
          </w:rPr>
          <w:t>m</w:t>
        </w:r>
        <w:r>
          <w:rPr>
            <w:color w:val="231F20"/>
            <w:w w:val="134"/>
            <w:sz w:val="16"/>
          </w:rPr>
          <w:t>_</w:t>
        </w:r>
      </w:hyperlink>
      <w:r>
        <w:rPr>
          <w:color w:val="231F20"/>
          <w:w w:val="134"/>
          <w:sz w:val="16"/>
        </w:rPr>
        <w:t> </w:t>
      </w:r>
      <w:r>
        <w:rPr>
          <w:color w:val="231F20"/>
          <w:w w:val="110"/>
          <w:sz w:val="16"/>
        </w:rPr>
        <w:t>content&amp;view=article&amp;id=36&amp;Itemid=234</w:t>
      </w:r>
    </w:p>
    <w:p>
      <w:pPr>
        <w:pStyle w:val="BodyText"/>
        <w:spacing w:before="5"/>
        <w:rPr>
          <w:sz w:val="17"/>
        </w:rPr>
      </w:pPr>
    </w:p>
    <w:p>
      <w:pPr>
        <w:spacing w:before="75"/>
        <w:ind w:left="1388" w:right="1407" w:firstLine="0"/>
        <w:jc w:val="center"/>
        <w:rPr>
          <w:rFonts w:ascii="Calibri"/>
          <w:i/>
          <w:sz w:val="16"/>
        </w:rPr>
      </w:pPr>
      <w:r>
        <w:rPr>
          <w:rFonts w:ascii="Calibri"/>
          <w:i/>
          <w:color w:val="231F20"/>
          <w:w w:val="95"/>
          <w:sz w:val="16"/>
        </w:rPr>
        <w:t>201</w:t>
      </w:r>
    </w:p>
    <w:p>
      <w:pPr>
        <w:spacing w:after="0"/>
        <w:jc w:val="center"/>
        <w:rPr>
          <w:rFonts w:ascii="Calibri"/>
          <w:sz w:val="16"/>
        </w:rPr>
        <w:sectPr>
          <w:footerReference w:type="even" r:id="rId173"/>
          <w:pgSz w:w="9520" w:h="12920"/>
          <w:pgMar w:footer="0" w:header="0" w:top="1220" w:bottom="280" w:left="1020" w:right="1320"/>
        </w:sectPr>
      </w:pPr>
    </w:p>
    <w:p>
      <w:pPr>
        <w:pStyle w:val="BodyText"/>
        <w:spacing w:line="288" w:lineRule="auto" w:before="42"/>
        <w:ind w:left="124" w:right="109" w:firstLine="360"/>
        <w:jc w:val="both"/>
      </w:pPr>
      <w:r>
        <w:rPr>
          <w:color w:val="231F20"/>
          <w:w w:val="110"/>
        </w:rPr>
        <w:t>Actualmente no se dispone de estudios suficientes que aborden la si- tuación de la desigualdad social y económica de la población adulta mayor en dichas zonas, y que permitan, a través de indicadores de desigualdad socioterritorial (grados de marginación), realizar un análisis para ubicar este grupo de población en zonas con diferentes grados de marginación, según su nivel de desarrollo  económico.</w:t>
      </w:r>
    </w:p>
    <w:p>
      <w:pPr>
        <w:pStyle w:val="BodyText"/>
        <w:spacing w:line="288" w:lineRule="auto"/>
        <w:ind w:left="124" w:right="113" w:firstLine="360"/>
        <w:jc w:val="both"/>
      </w:pPr>
      <w:r>
        <w:rPr>
          <w:color w:val="231F20"/>
          <w:w w:val="110"/>
        </w:rPr>
        <w:t>Es por ello que este trabajo tiene como objetivo analizar las desigual- dades sociales y económicas de los adultos mayores en las cinco zonas metropolitanas (</w:t>
      </w:r>
      <w:r>
        <w:rPr>
          <w:rFonts w:ascii="Times New Roman" w:hAnsi="Times New Roman"/>
          <w:color w:val="231F20"/>
          <w:w w:val="110"/>
          <w:sz w:val="16"/>
        </w:rPr>
        <w:t>ZM</w:t>
      </w:r>
      <w:r>
        <w:rPr>
          <w:color w:val="231F20"/>
          <w:w w:val="110"/>
        </w:rPr>
        <w:t>) más grandes de México </w:t>
      </w:r>
      <w:r>
        <w:rPr>
          <w:color w:val="231F20"/>
          <w:spacing w:val="-4"/>
          <w:w w:val="110"/>
        </w:rPr>
        <w:t>(Valle </w:t>
      </w:r>
      <w:r>
        <w:rPr>
          <w:color w:val="231F20"/>
          <w:w w:val="110"/>
        </w:rPr>
        <w:t>de México,</w:t>
      </w:r>
      <w:r>
        <w:rPr>
          <w:color w:val="231F20"/>
          <w:spacing w:val="-22"/>
          <w:w w:val="110"/>
        </w:rPr>
        <w:t> </w:t>
      </w:r>
      <w:r>
        <w:rPr>
          <w:color w:val="231F20"/>
          <w:w w:val="110"/>
        </w:rPr>
        <w:t>Guadalajara, Monterrey, Puebla-Tlaxcala y </w:t>
      </w:r>
      <w:r>
        <w:rPr>
          <w:color w:val="231F20"/>
          <w:spacing w:val="-3"/>
          <w:w w:val="110"/>
        </w:rPr>
        <w:t>Toluca) </w:t>
      </w:r>
      <w:r>
        <w:rPr>
          <w:color w:val="231F20"/>
          <w:w w:val="110"/>
        </w:rPr>
        <w:t>considerando los diferentes niveles de envejecimiento y grados de</w:t>
      </w:r>
      <w:r>
        <w:rPr>
          <w:color w:val="231F20"/>
          <w:spacing w:val="18"/>
          <w:w w:val="110"/>
        </w:rPr>
        <w:t> </w:t>
      </w:r>
      <w:r>
        <w:rPr>
          <w:color w:val="231F20"/>
          <w:w w:val="110"/>
        </w:rPr>
        <w:t>marginación.</w:t>
      </w:r>
    </w:p>
    <w:p>
      <w:pPr>
        <w:pStyle w:val="BodyText"/>
        <w:spacing w:line="288" w:lineRule="auto"/>
        <w:ind w:left="124" w:right="109" w:firstLine="360"/>
        <w:jc w:val="both"/>
      </w:pPr>
      <w:r>
        <w:rPr>
          <w:color w:val="231F20"/>
          <w:w w:val="110"/>
        </w:rPr>
        <w:t>El trabajo se divide en cinco apartados, iniciando con esta introduc- ción. El segundo apartado comprende el estado del conocimiento en mate- ria</w:t>
      </w:r>
      <w:r>
        <w:rPr>
          <w:color w:val="231F20"/>
          <w:spacing w:val="-13"/>
          <w:w w:val="110"/>
        </w:rPr>
        <w:t> </w:t>
      </w:r>
      <w:r>
        <w:rPr>
          <w:color w:val="231F20"/>
          <w:w w:val="110"/>
        </w:rPr>
        <w:t>del</w:t>
      </w:r>
      <w:r>
        <w:rPr>
          <w:color w:val="231F20"/>
          <w:spacing w:val="-13"/>
          <w:w w:val="110"/>
        </w:rPr>
        <w:t> </w:t>
      </w:r>
      <w:r>
        <w:rPr>
          <w:color w:val="231F20"/>
          <w:w w:val="110"/>
        </w:rPr>
        <w:t>envejecimiento</w:t>
      </w:r>
      <w:r>
        <w:rPr>
          <w:color w:val="231F20"/>
          <w:spacing w:val="-13"/>
          <w:w w:val="110"/>
        </w:rPr>
        <w:t> </w:t>
      </w:r>
      <w:r>
        <w:rPr>
          <w:color w:val="231F20"/>
          <w:w w:val="110"/>
        </w:rPr>
        <w:t>y</w:t>
      </w:r>
      <w:r>
        <w:rPr>
          <w:color w:val="231F20"/>
          <w:spacing w:val="-13"/>
          <w:w w:val="110"/>
        </w:rPr>
        <w:t> </w:t>
      </w:r>
      <w:r>
        <w:rPr>
          <w:color w:val="231F20"/>
          <w:w w:val="110"/>
        </w:rPr>
        <w:t>la</w:t>
      </w:r>
      <w:r>
        <w:rPr>
          <w:color w:val="231F20"/>
          <w:spacing w:val="-13"/>
          <w:w w:val="110"/>
        </w:rPr>
        <w:t> </w:t>
      </w:r>
      <w:r>
        <w:rPr>
          <w:color w:val="231F20"/>
          <w:w w:val="110"/>
        </w:rPr>
        <w:t>desigualdad</w:t>
      </w:r>
      <w:r>
        <w:rPr>
          <w:color w:val="231F20"/>
          <w:spacing w:val="-13"/>
          <w:w w:val="110"/>
        </w:rPr>
        <w:t> </w:t>
      </w:r>
      <w:r>
        <w:rPr>
          <w:color w:val="231F20"/>
          <w:w w:val="110"/>
        </w:rPr>
        <w:t>socioeconómica</w:t>
      </w:r>
      <w:r>
        <w:rPr>
          <w:color w:val="231F20"/>
          <w:spacing w:val="-13"/>
          <w:w w:val="110"/>
        </w:rPr>
        <w:t> </w:t>
      </w:r>
      <w:r>
        <w:rPr>
          <w:color w:val="231F20"/>
          <w:w w:val="110"/>
        </w:rPr>
        <w:t>y</w:t>
      </w:r>
      <w:r>
        <w:rPr>
          <w:color w:val="231F20"/>
          <w:spacing w:val="-13"/>
          <w:w w:val="110"/>
        </w:rPr>
        <w:t> </w:t>
      </w:r>
      <w:r>
        <w:rPr>
          <w:color w:val="231F20"/>
          <w:w w:val="110"/>
        </w:rPr>
        <w:t>territorial</w:t>
      </w:r>
      <w:r>
        <w:rPr>
          <w:color w:val="231F20"/>
          <w:spacing w:val="-13"/>
          <w:w w:val="110"/>
        </w:rPr>
        <w:t> </w:t>
      </w:r>
      <w:r>
        <w:rPr>
          <w:color w:val="231F20"/>
          <w:w w:val="110"/>
        </w:rPr>
        <w:t>a</w:t>
      </w:r>
      <w:r>
        <w:rPr>
          <w:color w:val="231F20"/>
          <w:spacing w:val="-13"/>
          <w:w w:val="110"/>
        </w:rPr>
        <w:t> </w:t>
      </w:r>
      <w:r>
        <w:rPr>
          <w:color w:val="231F20"/>
          <w:w w:val="110"/>
        </w:rPr>
        <w:t>partir de </w:t>
      </w:r>
      <w:r>
        <w:rPr>
          <w:color w:val="231F20"/>
          <w:spacing w:val="-3"/>
          <w:w w:val="110"/>
        </w:rPr>
        <w:t>los </w:t>
      </w:r>
      <w:r>
        <w:rPr>
          <w:color w:val="231F20"/>
          <w:spacing w:val="-4"/>
          <w:w w:val="110"/>
        </w:rPr>
        <w:t>cambios </w:t>
      </w:r>
      <w:r>
        <w:rPr>
          <w:color w:val="231F20"/>
          <w:w w:val="110"/>
        </w:rPr>
        <w:t>en la </w:t>
      </w:r>
      <w:r>
        <w:rPr>
          <w:color w:val="231F20"/>
          <w:spacing w:val="-4"/>
          <w:w w:val="110"/>
        </w:rPr>
        <w:t>estructura poblacional </w:t>
      </w:r>
      <w:r>
        <w:rPr>
          <w:color w:val="231F20"/>
          <w:w w:val="110"/>
        </w:rPr>
        <w:t>y el </w:t>
      </w:r>
      <w:r>
        <w:rPr>
          <w:color w:val="231F20"/>
          <w:spacing w:val="-4"/>
          <w:w w:val="110"/>
        </w:rPr>
        <w:t>índice </w:t>
      </w:r>
      <w:r>
        <w:rPr>
          <w:color w:val="231F20"/>
          <w:w w:val="110"/>
        </w:rPr>
        <w:t>de </w:t>
      </w:r>
      <w:r>
        <w:rPr>
          <w:color w:val="231F20"/>
          <w:spacing w:val="-5"/>
          <w:w w:val="110"/>
        </w:rPr>
        <w:t>marginación </w:t>
      </w:r>
      <w:r>
        <w:rPr>
          <w:color w:val="231F20"/>
          <w:w w:val="110"/>
        </w:rPr>
        <w:t>y </w:t>
      </w:r>
      <w:r>
        <w:rPr>
          <w:color w:val="231F20"/>
          <w:spacing w:val="-4"/>
          <w:w w:val="110"/>
        </w:rPr>
        <w:t>deli- </w:t>
      </w:r>
      <w:r>
        <w:rPr>
          <w:color w:val="231F20"/>
          <w:w w:val="110"/>
        </w:rPr>
        <w:t>mitación de la población objetivo. En la tercera sección se describe la me- todología de la investigación, las fuentes de información consultadas, el análisis estadístico de la información y la delimitación de la unidad de es- tudio</w:t>
      </w:r>
      <w:r>
        <w:rPr>
          <w:color w:val="231F20"/>
          <w:spacing w:val="-20"/>
          <w:w w:val="110"/>
        </w:rPr>
        <w:t> </w:t>
      </w:r>
      <w:r>
        <w:rPr>
          <w:color w:val="231F20"/>
          <w:w w:val="110"/>
        </w:rPr>
        <w:t>(zona</w:t>
      </w:r>
      <w:r>
        <w:rPr>
          <w:color w:val="231F20"/>
          <w:spacing w:val="-20"/>
          <w:w w:val="110"/>
        </w:rPr>
        <w:t> </w:t>
      </w:r>
      <w:r>
        <w:rPr>
          <w:color w:val="231F20"/>
          <w:w w:val="110"/>
        </w:rPr>
        <w:t>metropolitana)</w:t>
      </w:r>
      <w:r>
        <w:rPr>
          <w:color w:val="231F20"/>
          <w:spacing w:val="-20"/>
          <w:w w:val="110"/>
        </w:rPr>
        <w:t> </w:t>
      </w:r>
      <w:r>
        <w:rPr>
          <w:color w:val="231F20"/>
          <w:w w:val="110"/>
        </w:rPr>
        <w:t>a</w:t>
      </w:r>
      <w:r>
        <w:rPr>
          <w:color w:val="231F20"/>
          <w:spacing w:val="-20"/>
          <w:w w:val="110"/>
        </w:rPr>
        <w:t> </w:t>
      </w:r>
      <w:r>
        <w:rPr>
          <w:color w:val="231F20"/>
          <w:w w:val="110"/>
        </w:rPr>
        <w:t>partir</w:t>
      </w:r>
      <w:r>
        <w:rPr>
          <w:color w:val="231F20"/>
          <w:spacing w:val="-20"/>
          <w:w w:val="110"/>
        </w:rPr>
        <w:t> </w:t>
      </w:r>
      <w:r>
        <w:rPr>
          <w:color w:val="231F20"/>
          <w:w w:val="110"/>
        </w:rPr>
        <w:t>de</w:t>
      </w:r>
      <w:r>
        <w:rPr>
          <w:color w:val="231F20"/>
          <w:spacing w:val="-20"/>
          <w:w w:val="110"/>
        </w:rPr>
        <w:t> </w:t>
      </w:r>
      <w:r>
        <w:rPr>
          <w:color w:val="231F20"/>
          <w:w w:val="110"/>
        </w:rPr>
        <w:t>los</w:t>
      </w:r>
      <w:r>
        <w:rPr>
          <w:color w:val="231F20"/>
          <w:spacing w:val="-20"/>
          <w:w w:val="110"/>
        </w:rPr>
        <w:t> </w:t>
      </w:r>
      <w:r>
        <w:rPr>
          <w:color w:val="231F20"/>
          <w:w w:val="110"/>
        </w:rPr>
        <w:t>criterios</w:t>
      </w:r>
      <w:r>
        <w:rPr>
          <w:color w:val="231F20"/>
          <w:spacing w:val="-20"/>
          <w:w w:val="110"/>
        </w:rPr>
        <w:t> </w:t>
      </w:r>
      <w:r>
        <w:rPr>
          <w:color w:val="231F20"/>
          <w:w w:val="110"/>
        </w:rPr>
        <w:t>generalmente</w:t>
      </w:r>
      <w:r>
        <w:rPr>
          <w:color w:val="231F20"/>
          <w:spacing w:val="-20"/>
          <w:w w:val="110"/>
        </w:rPr>
        <w:t> </w:t>
      </w:r>
      <w:r>
        <w:rPr>
          <w:color w:val="231F20"/>
          <w:w w:val="110"/>
        </w:rPr>
        <w:t>aceptados, lo que permite analizar la distribución espacial de la población objeto de estudio. En el siguiente apartado se presentan y discuten los resultados, analizando el proceso del envejecimiento poblacional en las zonas metro- politanas</w:t>
      </w:r>
      <w:r>
        <w:rPr>
          <w:color w:val="231F20"/>
          <w:spacing w:val="-6"/>
          <w:w w:val="110"/>
        </w:rPr>
        <w:t> </w:t>
      </w:r>
      <w:r>
        <w:rPr>
          <w:color w:val="231F20"/>
          <w:w w:val="110"/>
        </w:rPr>
        <w:t>a</w:t>
      </w:r>
      <w:r>
        <w:rPr>
          <w:color w:val="231F20"/>
          <w:spacing w:val="-6"/>
          <w:w w:val="110"/>
        </w:rPr>
        <w:t> </w:t>
      </w:r>
      <w:r>
        <w:rPr>
          <w:color w:val="231F20"/>
          <w:w w:val="110"/>
        </w:rPr>
        <w:t>partir</w:t>
      </w:r>
      <w:r>
        <w:rPr>
          <w:color w:val="231F20"/>
          <w:spacing w:val="-6"/>
          <w:w w:val="110"/>
        </w:rPr>
        <w:t> </w:t>
      </w:r>
      <w:r>
        <w:rPr>
          <w:color w:val="231F20"/>
          <w:w w:val="110"/>
        </w:rPr>
        <w:t>de</w:t>
      </w:r>
      <w:r>
        <w:rPr>
          <w:color w:val="231F20"/>
          <w:spacing w:val="-6"/>
          <w:w w:val="110"/>
        </w:rPr>
        <w:t> </w:t>
      </w:r>
      <w:r>
        <w:rPr>
          <w:color w:val="231F20"/>
          <w:w w:val="110"/>
        </w:rPr>
        <w:t>indicadores</w:t>
      </w:r>
      <w:r>
        <w:rPr>
          <w:color w:val="231F20"/>
          <w:spacing w:val="-6"/>
          <w:w w:val="110"/>
        </w:rPr>
        <w:t> </w:t>
      </w:r>
      <w:r>
        <w:rPr>
          <w:color w:val="231F20"/>
          <w:w w:val="110"/>
        </w:rPr>
        <w:t>analíticos</w:t>
      </w:r>
      <w:r>
        <w:rPr>
          <w:color w:val="231F20"/>
          <w:spacing w:val="-6"/>
          <w:w w:val="110"/>
        </w:rPr>
        <w:t> </w:t>
      </w:r>
      <w:r>
        <w:rPr>
          <w:color w:val="231F20"/>
          <w:w w:val="110"/>
        </w:rPr>
        <w:t>y</w:t>
      </w:r>
      <w:r>
        <w:rPr>
          <w:color w:val="231F20"/>
          <w:spacing w:val="-6"/>
          <w:w w:val="110"/>
        </w:rPr>
        <w:t> </w:t>
      </w:r>
      <w:r>
        <w:rPr>
          <w:color w:val="231F20"/>
          <w:w w:val="110"/>
        </w:rPr>
        <w:t>estructurales</w:t>
      </w:r>
      <w:r>
        <w:rPr>
          <w:color w:val="231F20"/>
          <w:spacing w:val="-6"/>
          <w:w w:val="110"/>
        </w:rPr>
        <w:t> </w:t>
      </w:r>
      <w:r>
        <w:rPr>
          <w:color w:val="231F20"/>
          <w:w w:val="110"/>
        </w:rPr>
        <w:t>(tasa</w:t>
      </w:r>
      <w:r>
        <w:rPr>
          <w:color w:val="231F20"/>
          <w:spacing w:val="-6"/>
          <w:w w:val="110"/>
        </w:rPr>
        <w:t> </w:t>
      </w:r>
      <w:r>
        <w:rPr>
          <w:color w:val="231F20"/>
          <w:w w:val="110"/>
        </w:rPr>
        <w:t>e</w:t>
      </w:r>
      <w:r>
        <w:rPr>
          <w:color w:val="231F20"/>
          <w:spacing w:val="-6"/>
          <w:w w:val="110"/>
        </w:rPr>
        <w:t> </w:t>
      </w:r>
      <w:r>
        <w:rPr>
          <w:color w:val="231F20"/>
          <w:w w:val="110"/>
        </w:rPr>
        <w:t>índice</w:t>
      </w:r>
      <w:r>
        <w:rPr>
          <w:color w:val="231F20"/>
          <w:spacing w:val="-6"/>
          <w:w w:val="110"/>
        </w:rPr>
        <w:t> </w:t>
      </w:r>
      <w:r>
        <w:rPr>
          <w:color w:val="231F20"/>
          <w:w w:val="110"/>
        </w:rPr>
        <w:t>de envejecimiento</w:t>
      </w:r>
      <w:r>
        <w:rPr>
          <w:color w:val="231F20"/>
          <w:spacing w:val="-6"/>
          <w:w w:val="110"/>
        </w:rPr>
        <w:t> </w:t>
      </w:r>
      <w:r>
        <w:rPr>
          <w:color w:val="231F20"/>
          <w:w w:val="110"/>
        </w:rPr>
        <w:t>y</w:t>
      </w:r>
      <w:r>
        <w:rPr>
          <w:color w:val="231F20"/>
          <w:spacing w:val="-6"/>
          <w:w w:val="110"/>
        </w:rPr>
        <w:t> </w:t>
      </w:r>
      <w:r>
        <w:rPr>
          <w:color w:val="231F20"/>
          <w:w w:val="110"/>
        </w:rPr>
        <w:t>el</w:t>
      </w:r>
      <w:r>
        <w:rPr>
          <w:color w:val="231F20"/>
          <w:spacing w:val="-6"/>
          <w:w w:val="110"/>
        </w:rPr>
        <w:t> </w:t>
      </w:r>
      <w:r>
        <w:rPr>
          <w:color w:val="231F20"/>
          <w:w w:val="110"/>
        </w:rPr>
        <w:t>índice</w:t>
      </w:r>
      <w:r>
        <w:rPr>
          <w:color w:val="231F20"/>
          <w:spacing w:val="-6"/>
          <w:w w:val="110"/>
        </w:rPr>
        <w:t> </w:t>
      </w:r>
      <w:r>
        <w:rPr>
          <w:color w:val="231F20"/>
          <w:w w:val="110"/>
        </w:rPr>
        <w:t>de</w:t>
      </w:r>
      <w:r>
        <w:rPr>
          <w:color w:val="231F20"/>
          <w:spacing w:val="-6"/>
          <w:w w:val="110"/>
        </w:rPr>
        <w:t> </w:t>
      </w:r>
      <w:r>
        <w:rPr>
          <w:color w:val="231F20"/>
          <w:w w:val="110"/>
        </w:rPr>
        <w:t>marginación,</w:t>
      </w:r>
      <w:r>
        <w:rPr>
          <w:color w:val="231F20"/>
          <w:spacing w:val="-6"/>
          <w:w w:val="110"/>
        </w:rPr>
        <w:t> </w:t>
      </w:r>
      <w:r>
        <w:rPr>
          <w:color w:val="231F20"/>
          <w:w w:val="110"/>
        </w:rPr>
        <w:t>respectivamente).</w:t>
      </w:r>
      <w:r>
        <w:rPr>
          <w:color w:val="231F20"/>
          <w:spacing w:val="-6"/>
          <w:w w:val="110"/>
        </w:rPr>
        <w:t> </w:t>
      </w:r>
      <w:r>
        <w:rPr>
          <w:color w:val="231F20"/>
          <w:w w:val="110"/>
        </w:rPr>
        <w:t>Asimismo,</w:t>
      </w:r>
      <w:r>
        <w:rPr>
          <w:color w:val="231F20"/>
          <w:spacing w:val="-6"/>
          <w:w w:val="110"/>
        </w:rPr>
        <w:t> </w:t>
      </w:r>
      <w:r>
        <w:rPr>
          <w:color w:val="231F20"/>
          <w:w w:val="110"/>
        </w:rPr>
        <w:t>se analiza la relación entre envejecimiento, marginación y tamaño de las zo- nas metropolitanas. En el último apartado se plantean las discusiones y conclusiones.</w:t>
      </w:r>
    </w:p>
    <w:p>
      <w:pPr>
        <w:pStyle w:val="BodyText"/>
      </w:pPr>
    </w:p>
    <w:p>
      <w:pPr>
        <w:pStyle w:val="BodyText"/>
        <w:spacing w:before="10"/>
        <w:rPr>
          <w:sz w:val="24"/>
        </w:rPr>
      </w:pPr>
    </w:p>
    <w:p>
      <w:pPr>
        <w:spacing w:line="285" w:lineRule="auto" w:before="0"/>
        <w:ind w:left="124" w:right="2294" w:firstLine="0"/>
        <w:jc w:val="left"/>
        <w:rPr>
          <w:rFonts w:ascii="Times New Roman"/>
          <w:i/>
          <w:sz w:val="19"/>
        </w:rPr>
      </w:pPr>
      <w:r>
        <w:rPr>
          <w:rFonts w:ascii="Times New Roman"/>
          <w:i/>
          <w:color w:val="231F20"/>
          <w:w w:val="95"/>
          <w:sz w:val="24"/>
        </w:rPr>
        <w:t>E</w:t>
      </w:r>
      <w:r>
        <w:rPr>
          <w:rFonts w:ascii="Times New Roman"/>
          <w:i/>
          <w:color w:val="231F20"/>
          <w:w w:val="95"/>
          <w:sz w:val="19"/>
        </w:rPr>
        <w:t>STADO DEL CONOCIMIENTO</w:t>
      </w:r>
      <w:r>
        <w:rPr>
          <w:rFonts w:ascii="Times New Roman"/>
          <w:i/>
          <w:color w:val="231F20"/>
          <w:w w:val="95"/>
          <w:sz w:val="24"/>
        </w:rPr>
        <w:t>. E</w:t>
      </w:r>
      <w:r>
        <w:rPr>
          <w:rFonts w:ascii="Times New Roman"/>
          <w:i/>
          <w:color w:val="231F20"/>
          <w:w w:val="95"/>
          <w:sz w:val="19"/>
        </w:rPr>
        <w:t>L ENVEJECIMIENTO</w:t>
      </w:r>
      <w:r>
        <w:rPr>
          <w:rFonts w:ascii="Times New Roman"/>
          <w:i/>
          <w:color w:val="231F20"/>
          <w:w w:val="95"/>
          <w:sz w:val="24"/>
        </w:rPr>
        <w:t>: </w:t>
      </w:r>
      <w:r>
        <w:rPr>
          <w:rFonts w:ascii="Times New Roman"/>
          <w:i/>
          <w:color w:val="231F20"/>
          <w:w w:val="90"/>
          <w:sz w:val="19"/>
        </w:rPr>
        <w:t>DEFINICIONES  Y PERCEPCIONES</w:t>
      </w:r>
    </w:p>
    <w:p>
      <w:pPr>
        <w:pStyle w:val="BodyText"/>
        <w:spacing w:before="3"/>
        <w:rPr>
          <w:rFonts w:ascii="Times New Roman"/>
          <w:i/>
          <w:sz w:val="25"/>
        </w:rPr>
      </w:pPr>
    </w:p>
    <w:p>
      <w:pPr>
        <w:pStyle w:val="BodyText"/>
        <w:spacing w:line="288" w:lineRule="auto"/>
        <w:ind w:left="124" w:right="113"/>
        <w:jc w:val="both"/>
      </w:pPr>
      <w:r>
        <w:rPr>
          <w:color w:val="231F20"/>
          <w:w w:val="110"/>
        </w:rPr>
        <w:t>El</w:t>
      </w:r>
      <w:r>
        <w:rPr>
          <w:color w:val="231F20"/>
          <w:spacing w:val="-9"/>
          <w:w w:val="110"/>
        </w:rPr>
        <w:t> </w:t>
      </w:r>
      <w:r>
        <w:rPr>
          <w:color w:val="231F20"/>
          <w:w w:val="110"/>
        </w:rPr>
        <w:t>proceso</w:t>
      </w:r>
      <w:r>
        <w:rPr>
          <w:color w:val="231F20"/>
          <w:spacing w:val="-9"/>
          <w:w w:val="110"/>
        </w:rPr>
        <w:t> </w:t>
      </w:r>
      <w:r>
        <w:rPr>
          <w:color w:val="231F20"/>
          <w:w w:val="110"/>
        </w:rPr>
        <w:t>de</w:t>
      </w:r>
      <w:r>
        <w:rPr>
          <w:color w:val="231F20"/>
          <w:spacing w:val="-9"/>
          <w:w w:val="110"/>
        </w:rPr>
        <w:t> </w:t>
      </w:r>
      <w:r>
        <w:rPr>
          <w:color w:val="231F20"/>
          <w:w w:val="110"/>
        </w:rPr>
        <w:t>envejecimiento</w:t>
      </w:r>
      <w:r>
        <w:rPr>
          <w:color w:val="231F20"/>
          <w:spacing w:val="-9"/>
          <w:w w:val="110"/>
        </w:rPr>
        <w:t> </w:t>
      </w:r>
      <w:r>
        <w:rPr>
          <w:color w:val="231F20"/>
          <w:w w:val="110"/>
        </w:rPr>
        <w:t>demográfico</w:t>
      </w:r>
      <w:r>
        <w:rPr>
          <w:color w:val="231F20"/>
          <w:spacing w:val="-9"/>
          <w:w w:val="110"/>
        </w:rPr>
        <w:t> </w:t>
      </w:r>
      <w:r>
        <w:rPr>
          <w:color w:val="231F20"/>
          <w:w w:val="110"/>
        </w:rPr>
        <w:t>no</w:t>
      </w:r>
      <w:r>
        <w:rPr>
          <w:color w:val="231F20"/>
          <w:spacing w:val="-9"/>
          <w:w w:val="110"/>
        </w:rPr>
        <w:t> </w:t>
      </w:r>
      <w:r>
        <w:rPr>
          <w:color w:val="231F20"/>
          <w:w w:val="110"/>
        </w:rPr>
        <w:t>es</w:t>
      </w:r>
      <w:r>
        <w:rPr>
          <w:color w:val="231F20"/>
          <w:spacing w:val="-9"/>
          <w:w w:val="110"/>
        </w:rPr>
        <w:t> </w:t>
      </w:r>
      <w:r>
        <w:rPr>
          <w:color w:val="231F20"/>
          <w:w w:val="110"/>
        </w:rPr>
        <w:t>único</w:t>
      </w:r>
      <w:r>
        <w:rPr>
          <w:color w:val="231F20"/>
          <w:spacing w:val="-9"/>
          <w:w w:val="110"/>
        </w:rPr>
        <w:t> </w:t>
      </w:r>
      <w:r>
        <w:rPr>
          <w:color w:val="231F20"/>
          <w:w w:val="110"/>
        </w:rPr>
        <w:t>de</w:t>
      </w:r>
      <w:r>
        <w:rPr>
          <w:color w:val="231F20"/>
          <w:spacing w:val="-9"/>
          <w:w w:val="110"/>
        </w:rPr>
        <w:t> </w:t>
      </w:r>
      <w:r>
        <w:rPr>
          <w:color w:val="231F20"/>
          <w:w w:val="110"/>
        </w:rPr>
        <w:t>nuestro</w:t>
      </w:r>
      <w:r>
        <w:rPr>
          <w:color w:val="231F20"/>
          <w:spacing w:val="-9"/>
          <w:w w:val="110"/>
        </w:rPr>
        <w:t> </w:t>
      </w:r>
      <w:r>
        <w:rPr>
          <w:color w:val="231F20"/>
          <w:w w:val="110"/>
        </w:rPr>
        <w:t>país,</w:t>
      </w:r>
      <w:r>
        <w:rPr>
          <w:color w:val="231F20"/>
          <w:spacing w:val="-9"/>
          <w:w w:val="110"/>
        </w:rPr>
        <w:t> </w:t>
      </w:r>
      <w:r>
        <w:rPr>
          <w:color w:val="231F20"/>
          <w:w w:val="110"/>
        </w:rPr>
        <w:t>sino que</w:t>
      </w:r>
      <w:r>
        <w:rPr>
          <w:color w:val="231F20"/>
          <w:spacing w:val="-10"/>
          <w:w w:val="110"/>
        </w:rPr>
        <w:t> </w:t>
      </w:r>
      <w:r>
        <w:rPr>
          <w:color w:val="231F20"/>
          <w:w w:val="110"/>
        </w:rPr>
        <w:t>forma</w:t>
      </w:r>
      <w:r>
        <w:rPr>
          <w:color w:val="231F20"/>
          <w:spacing w:val="-10"/>
          <w:w w:val="110"/>
        </w:rPr>
        <w:t> </w:t>
      </w:r>
      <w:r>
        <w:rPr>
          <w:color w:val="231F20"/>
          <w:w w:val="110"/>
        </w:rPr>
        <w:t>parte</w:t>
      </w:r>
      <w:r>
        <w:rPr>
          <w:color w:val="231F20"/>
          <w:spacing w:val="-10"/>
          <w:w w:val="110"/>
        </w:rPr>
        <w:t> </w:t>
      </w:r>
      <w:r>
        <w:rPr>
          <w:color w:val="231F20"/>
          <w:w w:val="110"/>
        </w:rPr>
        <w:t>de</w:t>
      </w:r>
      <w:r>
        <w:rPr>
          <w:color w:val="231F20"/>
          <w:spacing w:val="-10"/>
          <w:w w:val="110"/>
        </w:rPr>
        <w:t> </w:t>
      </w:r>
      <w:r>
        <w:rPr>
          <w:color w:val="231F20"/>
          <w:w w:val="110"/>
        </w:rPr>
        <w:t>un</w:t>
      </w:r>
      <w:r>
        <w:rPr>
          <w:color w:val="231F20"/>
          <w:spacing w:val="-10"/>
          <w:w w:val="110"/>
        </w:rPr>
        <w:t> </w:t>
      </w:r>
      <w:r>
        <w:rPr>
          <w:color w:val="231F20"/>
          <w:w w:val="110"/>
        </w:rPr>
        <w:t>fenómeno</w:t>
      </w:r>
      <w:r>
        <w:rPr>
          <w:color w:val="231F20"/>
          <w:spacing w:val="-10"/>
          <w:w w:val="110"/>
        </w:rPr>
        <w:t> </w:t>
      </w:r>
      <w:r>
        <w:rPr>
          <w:color w:val="231F20"/>
          <w:w w:val="110"/>
        </w:rPr>
        <w:t>mundial</w:t>
      </w:r>
      <w:r>
        <w:rPr>
          <w:color w:val="231F20"/>
          <w:spacing w:val="-10"/>
          <w:w w:val="110"/>
        </w:rPr>
        <w:t> </w:t>
      </w:r>
      <w:r>
        <w:rPr>
          <w:color w:val="231F20"/>
          <w:w w:val="110"/>
        </w:rPr>
        <w:t>que</w:t>
      </w:r>
      <w:r>
        <w:rPr>
          <w:color w:val="231F20"/>
          <w:spacing w:val="-10"/>
          <w:w w:val="110"/>
        </w:rPr>
        <w:t> </w:t>
      </w:r>
      <w:r>
        <w:rPr>
          <w:color w:val="231F20"/>
          <w:w w:val="110"/>
        </w:rPr>
        <w:t>en</w:t>
      </w:r>
      <w:r>
        <w:rPr>
          <w:color w:val="231F20"/>
          <w:spacing w:val="-10"/>
          <w:w w:val="110"/>
        </w:rPr>
        <w:t> </w:t>
      </w:r>
      <w:r>
        <w:rPr>
          <w:color w:val="231F20"/>
          <w:w w:val="110"/>
        </w:rPr>
        <w:t>distintas</w:t>
      </w:r>
      <w:r>
        <w:rPr>
          <w:color w:val="231F20"/>
          <w:spacing w:val="-10"/>
          <w:w w:val="110"/>
        </w:rPr>
        <w:t> </w:t>
      </w:r>
      <w:r>
        <w:rPr>
          <w:color w:val="231F20"/>
          <w:w w:val="110"/>
        </w:rPr>
        <w:t>etapas</w:t>
      </w:r>
      <w:r>
        <w:rPr>
          <w:color w:val="231F20"/>
          <w:spacing w:val="-10"/>
          <w:w w:val="110"/>
        </w:rPr>
        <w:t> </w:t>
      </w:r>
      <w:r>
        <w:rPr>
          <w:color w:val="231F20"/>
          <w:w w:val="110"/>
        </w:rPr>
        <w:t>afecta</w:t>
      </w:r>
      <w:r>
        <w:rPr>
          <w:color w:val="231F20"/>
          <w:spacing w:val="-10"/>
          <w:w w:val="110"/>
        </w:rPr>
        <w:t> </w:t>
      </w:r>
      <w:r>
        <w:rPr>
          <w:color w:val="231F20"/>
          <w:w w:val="110"/>
        </w:rPr>
        <w:t>a</w:t>
      </w:r>
      <w:r>
        <w:rPr>
          <w:color w:val="231F20"/>
          <w:spacing w:val="-10"/>
          <w:w w:val="110"/>
        </w:rPr>
        <w:t> </w:t>
      </w:r>
      <w:r>
        <w:rPr>
          <w:color w:val="231F20"/>
          <w:w w:val="110"/>
        </w:rPr>
        <w:t>la casi totalidad de las naciones del mundo, pues como ya se había advertido décadas antes, en los países con condiciones sociales y económicas  </w:t>
      </w:r>
      <w:r>
        <w:rPr>
          <w:color w:val="231F20"/>
          <w:spacing w:val="33"/>
          <w:w w:val="110"/>
        </w:rPr>
        <w:t> </w:t>
      </w:r>
      <w:r>
        <w:rPr>
          <w:color w:val="231F20"/>
          <w:w w:val="110"/>
        </w:rPr>
        <w:t>inter-</w:t>
      </w:r>
    </w:p>
    <w:p>
      <w:pPr>
        <w:spacing w:after="0" w:line="288" w:lineRule="auto"/>
        <w:jc w:val="both"/>
        <w:sectPr>
          <w:footerReference w:type="even" r:id="rId175"/>
          <w:footerReference w:type="default" r:id="rId176"/>
          <w:pgSz w:w="9520" w:h="12920"/>
          <w:pgMar w:footer="1344" w:header="0" w:top="880" w:bottom="1540" w:left="1320" w:right="1000"/>
          <w:pgNumType w:start="202"/>
        </w:sectPr>
      </w:pPr>
    </w:p>
    <w:p>
      <w:pPr>
        <w:pStyle w:val="BodyText"/>
        <w:spacing w:line="288" w:lineRule="auto" w:before="42"/>
        <w:ind w:left="120" w:right="117"/>
        <w:jc w:val="right"/>
      </w:pPr>
      <w:r>
        <w:rPr>
          <w:color w:val="231F20"/>
          <w:w w:val="110"/>
        </w:rPr>
        <w:t>medias</w:t>
      </w:r>
      <w:r>
        <w:rPr>
          <w:color w:val="231F20"/>
          <w:spacing w:val="-6"/>
          <w:w w:val="110"/>
        </w:rPr>
        <w:t> </w:t>
      </w:r>
      <w:r>
        <w:rPr>
          <w:color w:val="231F20"/>
          <w:w w:val="110"/>
        </w:rPr>
        <w:t>el</w:t>
      </w:r>
      <w:r>
        <w:rPr>
          <w:color w:val="231F20"/>
          <w:spacing w:val="-6"/>
          <w:w w:val="110"/>
        </w:rPr>
        <w:t> </w:t>
      </w:r>
      <w:r>
        <w:rPr>
          <w:color w:val="231F20"/>
          <w:w w:val="110"/>
        </w:rPr>
        <w:t>envejecimiento</w:t>
      </w:r>
      <w:r>
        <w:rPr>
          <w:color w:val="231F20"/>
          <w:spacing w:val="-6"/>
          <w:w w:val="110"/>
        </w:rPr>
        <w:t> </w:t>
      </w:r>
      <w:r>
        <w:rPr>
          <w:color w:val="231F20"/>
          <w:w w:val="110"/>
        </w:rPr>
        <w:t>se</w:t>
      </w:r>
      <w:r>
        <w:rPr>
          <w:color w:val="231F20"/>
          <w:spacing w:val="-6"/>
          <w:w w:val="110"/>
        </w:rPr>
        <w:t> </w:t>
      </w:r>
      <w:r>
        <w:rPr>
          <w:color w:val="231F20"/>
          <w:w w:val="110"/>
        </w:rPr>
        <w:t>despliega</w:t>
      </w:r>
      <w:r>
        <w:rPr>
          <w:color w:val="231F20"/>
          <w:spacing w:val="-6"/>
          <w:w w:val="110"/>
        </w:rPr>
        <w:t> </w:t>
      </w:r>
      <w:r>
        <w:rPr>
          <w:color w:val="231F20"/>
          <w:w w:val="110"/>
        </w:rPr>
        <w:t>con</w:t>
      </w:r>
      <w:r>
        <w:rPr>
          <w:color w:val="231F20"/>
          <w:spacing w:val="-6"/>
          <w:w w:val="110"/>
        </w:rPr>
        <w:t> </w:t>
      </w:r>
      <w:r>
        <w:rPr>
          <w:color w:val="231F20"/>
          <w:w w:val="110"/>
        </w:rPr>
        <w:t>gran</w:t>
      </w:r>
      <w:r>
        <w:rPr>
          <w:color w:val="231F20"/>
          <w:spacing w:val="-6"/>
          <w:w w:val="110"/>
        </w:rPr>
        <w:t> </w:t>
      </w:r>
      <w:r>
        <w:rPr>
          <w:color w:val="231F20"/>
          <w:w w:val="110"/>
        </w:rPr>
        <w:t>rapidez</w:t>
      </w:r>
      <w:r>
        <w:rPr>
          <w:color w:val="231F20"/>
          <w:spacing w:val="-6"/>
          <w:w w:val="110"/>
        </w:rPr>
        <w:t> </w:t>
      </w:r>
      <w:r>
        <w:rPr>
          <w:color w:val="231F20"/>
          <w:spacing w:val="-3"/>
          <w:w w:val="110"/>
        </w:rPr>
        <w:t>(Vallin,</w:t>
      </w:r>
      <w:r>
        <w:rPr>
          <w:color w:val="231F20"/>
          <w:spacing w:val="-6"/>
          <w:w w:val="110"/>
        </w:rPr>
        <w:t> </w:t>
      </w:r>
      <w:r>
        <w:rPr>
          <w:color w:val="231F20"/>
          <w:w w:val="110"/>
        </w:rPr>
        <w:t>1994),</w:t>
      </w:r>
      <w:r>
        <w:rPr>
          <w:color w:val="231F20"/>
          <w:spacing w:val="-6"/>
          <w:w w:val="110"/>
        </w:rPr>
        <w:t> </w:t>
      </w:r>
      <w:r>
        <w:rPr>
          <w:color w:val="231F20"/>
          <w:w w:val="110"/>
        </w:rPr>
        <w:t>aña-</w:t>
      </w:r>
      <w:r>
        <w:rPr>
          <w:color w:val="231F20"/>
          <w:w w:val="107"/>
        </w:rPr>
        <w:t> </w:t>
      </w:r>
      <w:r>
        <w:rPr>
          <w:color w:val="231F20"/>
          <w:w w:val="110"/>
        </w:rPr>
        <w:t>diendo</w:t>
      </w:r>
      <w:r>
        <w:rPr>
          <w:color w:val="231F20"/>
          <w:spacing w:val="-13"/>
          <w:w w:val="110"/>
        </w:rPr>
        <w:t> </w:t>
      </w:r>
      <w:r>
        <w:rPr>
          <w:color w:val="231F20"/>
          <w:w w:val="110"/>
        </w:rPr>
        <w:t>más</w:t>
      </w:r>
      <w:r>
        <w:rPr>
          <w:color w:val="231F20"/>
          <w:spacing w:val="-13"/>
          <w:w w:val="110"/>
        </w:rPr>
        <w:t> </w:t>
      </w:r>
      <w:r>
        <w:rPr>
          <w:color w:val="231F20"/>
          <w:w w:val="110"/>
        </w:rPr>
        <w:t>obstáculos</w:t>
      </w:r>
      <w:r>
        <w:rPr>
          <w:color w:val="231F20"/>
          <w:spacing w:val="-13"/>
          <w:w w:val="110"/>
        </w:rPr>
        <w:t> </w:t>
      </w:r>
      <w:r>
        <w:rPr>
          <w:color w:val="231F20"/>
          <w:w w:val="110"/>
        </w:rPr>
        <w:t>que</w:t>
      </w:r>
      <w:r>
        <w:rPr>
          <w:color w:val="231F20"/>
          <w:spacing w:val="-13"/>
          <w:w w:val="110"/>
        </w:rPr>
        <w:t> </w:t>
      </w:r>
      <w:r>
        <w:rPr>
          <w:color w:val="231F20"/>
          <w:w w:val="110"/>
        </w:rPr>
        <w:t>oportunidades</w:t>
      </w:r>
      <w:r>
        <w:rPr>
          <w:color w:val="231F20"/>
          <w:spacing w:val="-13"/>
          <w:w w:val="110"/>
        </w:rPr>
        <w:t> </w:t>
      </w:r>
      <w:r>
        <w:rPr>
          <w:color w:val="231F20"/>
          <w:w w:val="110"/>
        </w:rPr>
        <w:t>a</w:t>
      </w:r>
      <w:r>
        <w:rPr>
          <w:color w:val="231F20"/>
          <w:spacing w:val="-13"/>
          <w:w w:val="110"/>
        </w:rPr>
        <w:t> </w:t>
      </w:r>
      <w:r>
        <w:rPr>
          <w:color w:val="231F20"/>
          <w:w w:val="110"/>
        </w:rPr>
        <w:t>las</w:t>
      </w:r>
      <w:r>
        <w:rPr>
          <w:color w:val="231F20"/>
          <w:spacing w:val="-13"/>
          <w:w w:val="110"/>
        </w:rPr>
        <w:t> </w:t>
      </w:r>
      <w:r>
        <w:rPr>
          <w:color w:val="231F20"/>
          <w:w w:val="110"/>
        </w:rPr>
        <w:t>posibilidades</w:t>
      </w:r>
      <w:r>
        <w:rPr>
          <w:color w:val="231F20"/>
          <w:spacing w:val="-13"/>
          <w:w w:val="110"/>
        </w:rPr>
        <w:t> </w:t>
      </w:r>
      <w:r>
        <w:rPr>
          <w:color w:val="231F20"/>
          <w:w w:val="110"/>
        </w:rPr>
        <w:t>de</w:t>
      </w:r>
      <w:r>
        <w:rPr>
          <w:color w:val="231F20"/>
          <w:spacing w:val="-13"/>
          <w:w w:val="110"/>
        </w:rPr>
        <w:t> </w:t>
      </w:r>
      <w:r>
        <w:rPr>
          <w:color w:val="231F20"/>
          <w:w w:val="110"/>
        </w:rPr>
        <w:t>desarrollo.</w:t>
      </w:r>
      <w:r>
        <w:rPr>
          <w:color w:val="231F20"/>
          <w:w w:val="128"/>
        </w:rPr>
        <w:t> </w:t>
      </w:r>
      <w:r>
        <w:rPr>
          <w:color w:val="231F20"/>
          <w:w w:val="110"/>
        </w:rPr>
        <w:t>El proceso de envejecimiento demográfico es el resultado de</w:t>
      </w:r>
      <w:r>
        <w:rPr>
          <w:color w:val="231F20"/>
          <w:spacing w:val="6"/>
          <w:w w:val="110"/>
        </w:rPr>
        <w:t> </w:t>
      </w:r>
      <w:r>
        <w:rPr>
          <w:color w:val="231F20"/>
          <w:w w:val="110"/>
        </w:rPr>
        <w:t>las carac-</w:t>
      </w:r>
      <w:r>
        <w:rPr>
          <w:color w:val="231F20"/>
          <w:w w:val="93"/>
        </w:rPr>
        <w:t> </w:t>
      </w:r>
      <w:r>
        <w:rPr>
          <w:color w:val="231F20"/>
          <w:w w:val="110"/>
        </w:rPr>
        <w:t>terísticas</w:t>
      </w:r>
      <w:r>
        <w:rPr>
          <w:color w:val="231F20"/>
          <w:spacing w:val="16"/>
          <w:w w:val="110"/>
        </w:rPr>
        <w:t> </w:t>
      </w:r>
      <w:r>
        <w:rPr>
          <w:color w:val="231F20"/>
          <w:w w:val="110"/>
        </w:rPr>
        <w:t>propias</w:t>
      </w:r>
      <w:r>
        <w:rPr>
          <w:color w:val="231F20"/>
          <w:spacing w:val="16"/>
          <w:w w:val="110"/>
        </w:rPr>
        <w:t> </w:t>
      </w:r>
      <w:r>
        <w:rPr>
          <w:color w:val="231F20"/>
          <w:w w:val="110"/>
        </w:rPr>
        <w:t>del</w:t>
      </w:r>
      <w:r>
        <w:rPr>
          <w:color w:val="231F20"/>
          <w:spacing w:val="16"/>
          <w:w w:val="110"/>
        </w:rPr>
        <w:t> </w:t>
      </w:r>
      <w:r>
        <w:rPr>
          <w:color w:val="231F20"/>
          <w:w w:val="110"/>
        </w:rPr>
        <w:t>país</w:t>
      </w:r>
      <w:r>
        <w:rPr>
          <w:color w:val="231F20"/>
          <w:spacing w:val="16"/>
          <w:w w:val="110"/>
        </w:rPr>
        <w:t> </w:t>
      </w:r>
      <w:r>
        <w:rPr>
          <w:color w:val="231F20"/>
          <w:w w:val="110"/>
        </w:rPr>
        <w:t>o</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sociedad</w:t>
      </w:r>
      <w:r>
        <w:rPr>
          <w:color w:val="231F20"/>
          <w:spacing w:val="16"/>
          <w:w w:val="110"/>
        </w:rPr>
        <w:t> </w:t>
      </w:r>
      <w:r>
        <w:rPr>
          <w:color w:val="231F20"/>
          <w:w w:val="110"/>
        </w:rPr>
        <w:t>donde</w:t>
      </w:r>
      <w:r>
        <w:rPr>
          <w:color w:val="231F20"/>
          <w:spacing w:val="16"/>
          <w:w w:val="110"/>
        </w:rPr>
        <w:t> </w:t>
      </w:r>
      <w:r>
        <w:rPr>
          <w:color w:val="231F20"/>
          <w:w w:val="110"/>
        </w:rPr>
        <w:t>sucede,</w:t>
      </w:r>
      <w:r>
        <w:rPr>
          <w:color w:val="231F20"/>
          <w:spacing w:val="16"/>
          <w:w w:val="110"/>
        </w:rPr>
        <w:t> </w:t>
      </w:r>
      <w:r>
        <w:rPr>
          <w:color w:val="231F20"/>
          <w:w w:val="110"/>
        </w:rPr>
        <w:t>que</w:t>
      </w:r>
      <w:r>
        <w:rPr>
          <w:color w:val="231F20"/>
          <w:spacing w:val="16"/>
          <w:w w:val="110"/>
        </w:rPr>
        <w:t> </w:t>
      </w:r>
      <w:r>
        <w:rPr>
          <w:color w:val="231F20"/>
          <w:w w:val="110"/>
        </w:rPr>
        <w:t>tienen</w:t>
      </w:r>
      <w:r>
        <w:rPr>
          <w:color w:val="231F20"/>
          <w:spacing w:val="16"/>
          <w:w w:val="110"/>
        </w:rPr>
        <w:t> </w:t>
      </w:r>
      <w:r>
        <w:rPr>
          <w:color w:val="231F20"/>
          <w:w w:val="110"/>
        </w:rPr>
        <w:t>que</w:t>
      </w:r>
    </w:p>
    <w:p>
      <w:pPr>
        <w:pStyle w:val="BodyText"/>
        <w:ind w:left="120"/>
      </w:pPr>
      <w:r>
        <w:rPr>
          <w:color w:val="231F20"/>
          <w:w w:val="110"/>
        </w:rPr>
        <w:t>ver con su propia dinámica de población (Ham, 2003).</w:t>
      </w:r>
    </w:p>
    <w:p>
      <w:pPr>
        <w:pStyle w:val="BodyText"/>
        <w:spacing w:line="288" w:lineRule="auto" w:before="47"/>
        <w:ind w:left="120" w:right="116" w:firstLine="360"/>
        <w:jc w:val="both"/>
      </w:pPr>
      <w:r>
        <w:rPr>
          <w:color w:val="231F20"/>
          <w:w w:val="110"/>
        </w:rPr>
        <w:t>Cuando se habla de envejecimiento de la población se hace referencia  a un proceso espacio-temporal, porque la población habita, ocupa y utiliza un</w:t>
      </w:r>
      <w:r>
        <w:rPr>
          <w:color w:val="231F20"/>
          <w:spacing w:val="-15"/>
          <w:w w:val="110"/>
        </w:rPr>
        <w:t> </w:t>
      </w:r>
      <w:r>
        <w:rPr>
          <w:color w:val="231F20"/>
          <w:w w:val="110"/>
        </w:rPr>
        <w:t>ámbito</w:t>
      </w:r>
      <w:r>
        <w:rPr>
          <w:color w:val="231F20"/>
          <w:spacing w:val="-15"/>
          <w:w w:val="110"/>
        </w:rPr>
        <w:t> </w:t>
      </w:r>
      <w:r>
        <w:rPr>
          <w:color w:val="231F20"/>
          <w:w w:val="110"/>
        </w:rPr>
        <w:t>territorial</w:t>
      </w:r>
      <w:r>
        <w:rPr>
          <w:color w:val="231F20"/>
          <w:spacing w:val="-15"/>
          <w:w w:val="110"/>
        </w:rPr>
        <w:t> </w:t>
      </w:r>
      <w:r>
        <w:rPr>
          <w:color w:val="231F20"/>
          <w:w w:val="110"/>
        </w:rPr>
        <w:t>determinado</w:t>
      </w:r>
      <w:r>
        <w:rPr>
          <w:color w:val="231F20"/>
          <w:spacing w:val="-15"/>
          <w:w w:val="110"/>
        </w:rPr>
        <w:t> </w:t>
      </w:r>
      <w:r>
        <w:rPr>
          <w:color w:val="231F20"/>
          <w:w w:val="110"/>
        </w:rPr>
        <w:t>(Vinuesa,</w:t>
      </w:r>
      <w:r>
        <w:rPr>
          <w:color w:val="231F20"/>
          <w:spacing w:val="-15"/>
          <w:w w:val="110"/>
        </w:rPr>
        <w:t> </w:t>
      </w:r>
      <w:r>
        <w:rPr>
          <w:color w:val="231F20"/>
          <w:w w:val="110"/>
        </w:rPr>
        <w:t>2010).</w:t>
      </w:r>
      <w:r>
        <w:rPr>
          <w:color w:val="231F20"/>
          <w:spacing w:val="-15"/>
          <w:w w:val="110"/>
        </w:rPr>
        <w:t> </w:t>
      </w:r>
      <w:r>
        <w:rPr>
          <w:color w:val="231F20"/>
          <w:w w:val="110"/>
        </w:rPr>
        <w:t>En</w:t>
      </w:r>
      <w:r>
        <w:rPr>
          <w:color w:val="231F20"/>
          <w:spacing w:val="-15"/>
          <w:w w:val="110"/>
        </w:rPr>
        <w:t> </w:t>
      </w:r>
      <w:r>
        <w:rPr>
          <w:color w:val="231F20"/>
          <w:w w:val="110"/>
        </w:rPr>
        <w:t>este</w:t>
      </w:r>
      <w:r>
        <w:rPr>
          <w:color w:val="231F20"/>
          <w:spacing w:val="-15"/>
          <w:w w:val="110"/>
        </w:rPr>
        <w:t> </w:t>
      </w:r>
      <w:r>
        <w:rPr>
          <w:color w:val="231F20"/>
          <w:w w:val="110"/>
        </w:rPr>
        <w:t>sentido,</w:t>
      </w:r>
      <w:r>
        <w:rPr>
          <w:color w:val="231F20"/>
          <w:spacing w:val="-15"/>
          <w:w w:val="110"/>
        </w:rPr>
        <w:t> </w:t>
      </w:r>
      <w:r>
        <w:rPr>
          <w:color w:val="231F20"/>
          <w:w w:val="110"/>
        </w:rPr>
        <w:t>el</w:t>
      </w:r>
      <w:r>
        <w:rPr>
          <w:color w:val="231F20"/>
          <w:spacing w:val="-15"/>
          <w:w w:val="110"/>
        </w:rPr>
        <w:t> </w:t>
      </w:r>
      <w:r>
        <w:rPr>
          <w:color w:val="231F20"/>
          <w:w w:val="110"/>
        </w:rPr>
        <w:t>enve- jecimiento demográfico debe considerarse como un proceso dinámico a través del tiempo y del espacio que adquiere dimensiones sociales, econó- micas,</w:t>
      </w:r>
      <w:r>
        <w:rPr>
          <w:color w:val="231F20"/>
          <w:spacing w:val="-4"/>
          <w:w w:val="110"/>
        </w:rPr>
        <w:t> </w:t>
      </w:r>
      <w:r>
        <w:rPr>
          <w:color w:val="231F20"/>
          <w:w w:val="110"/>
        </w:rPr>
        <w:t>políticas</w:t>
      </w:r>
      <w:r>
        <w:rPr>
          <w:color w:val="231F20"/>
          <w:spacing w:val="-4"/>
          <w:w w:val="110"/>
        </w:rPr>
        <w:t> </w:t>
      </w:r>
      <w:r>
        <w:rPr>
          <w:color w:val="231F20"/>
          <w:w w:val="110"/>
        </w:rPr>
        <w:t>e</w:t>
      </w:r>
      <w:r>
        <w:rPr>
          <w:color w:val="231F20"/>
          <w:spacing w:val="-4"/>
          <w:w w:val="110"/>
        </w:rPr>
        <w:t> </w:t>
      </w:r>
      <w:r>
        <w:rPr>
          <w:color w:val="231F20"/>
          <w:w w:val="110"/>
        </w:rPr>
        <w:t>institucionales,</w:t>
      </w:r>
      <w:r>
        <w:rPr>
          <w:color w:val="231F20"/>
          <w:spacing w:val="-4"/>
          <w:w w:val="110"/>
        </w:rPr>
        <w:t> </w:t>
      </w:r>
      <w:r>
        <w:rPr>
          <w:color w:val="231F20"/>
          <w:w w:val="110"/>
        </w:rPr>
        <w:t>ya</w:t>
      </w:r>
      <w:r>
        <w:rPr>
          <w:color w:val="231F20"/>
          <w:spacing w:val="-4"/>
          <w:w w:val="110"/>
        </w:rPr>
        <w:t> </w:t>
      </w:r>
      <w:r>
        <w:rPr>
          <w:color w:val="231F20"/>
          <w:w w:val="110"/>
        </w:rPr>
        <w:t>que</w:t>
      </w:r>
      <w:r>
        <w:rPr>
          <w:color w:val="231F20"/>
          <w:spacing w:val="-4"/>
          <w:w w:val="110"/>
        </w:rPr>
        <w:t> </w:t>
      </w:r>
      <w:r>
        <w:rPr>
          <w:color w:val="231F20"/>
          <w:w w:val="110"/>
        </w:rPr>
        <w:t>al</w:t>
      </w:r>
      <w:r>
        <w:rPr>
          <w:color w:val="231F20"/>
          <w:spacing w:val="-4"/>
          <w:w w:val="110"/>
        </w:rPr>
        <w:t> </w:t>
      </w:r>
      <w:r>
        <w:rPr>
          <w:color w:val="231F20"/>
          <w:w w:val="110"/>
        </w:rPr>
        <w:t>producirse</w:t>
      </w:r>
      <w:r>
        <w:rPr>
          <w:color w:val="231F20"/>
          <w:spacing w:val="-4"/>
          <w:w w:val="110"/>
        </w:rPr>
        <w:t> </w:t>
      </w:r>
      <w:r>
        <w:rPr>
          <w:color w:val="231F20"/>
          <w:w w:val="110"/>
        </w:rPr>
        <w:t>transformaciones</w:t>
      </w:r>
      <w:r>
        <w:rPr>
          <w:color w:val="231F20"/>
          <w:spacing w:val="-4"/>
          <w:w w:val="110"/>
        </w:rPr>
        <w:t> </w:t>
      </w:r>
      <w:r>
        <w:rPr>
          <w:color w:val="231F20"/>
          <w:w w:val="110"/>
        </w:rPr>
        <w:t>en la estructura de edad de la población es necesario vincularlos con la</w:t>
      </w:r>
      <w:r>
        <w:rPr>
          <w:color w:val="231F20"/>
          <w:spacing w:val="-19"/>
          <w:w w:val="110"/>
        </w:rPr>
        <w:t> </w:t>
      </w:r>
      <w:r>
        <w:rPr>
          <w:color w:val="231F20"/>
          <w:w w:val="110"/>
        </w:rPr>
        <w:t>distri- bución espacial de la población, la urbanización y el desarrollo de las ciu- dades.</w:t>
      </w:r>
      <w:r>
        <w:rPr>
          <w:color w:val="231F20"/>
          <w:spacing w:val="-7"/>
          <w:w w:val="110"/>
        </w:rPr>
        <w:t> </w:t>
      </w:r>
      <w:r>
        <w:rPr>
          <w:color w:val="231F20"/>
          <w:w w:val="110"/>
        </w:rPr>
        <w:t>Esto</w:t>
      </w:r>
      <w:r>
        <w:rPr>
          <w:color w:val="231F20"/>
          <w:spacing w:val="-7"/>
          <w:w w:val="110"/>
        </w:rPr>
        <w:t> </w:t>
      </w:r>
      <w:r>
        <w:rPr>
          <w:color w:val="231F20"/>
          <w:w w:val="110"/>
        </w:rPr>
        <w:t>permite</w:t>
      </w:r>
      <w:r>
        <w:rPr>
          <w:color w:val="231F20"/>
          <w:spacing w:val="-7"/>
          <w:w w:val="110"/>
        </w:rPr>
        <w:t> </w:t>
      </w:r>
      <w:r>
        <w:rPr>
          <w:color w:val="231F20"/>
          <w:w w:val="110"/>
        </w:rPr>
        <w:t>conocer</w:t>
      </w:r>
      <w:r>
        <w:rPr>
          <w:color w:val="231F20"/>
          <w:spacing w:val="-7"/>
          <w:w w:val="110"/>
        </w:rPr>
        <w:t> </w:t>
      </w:r>
      <w:r>
        <w:rPr>
          <w:color w:val="231F20"/>
          <w:w w:val="110"/>
        </w:rPr>
        <w:t>las</w:t>
      </w:r>
      <w:r>
        <w:rPr>
          <w:color w:val="231F20"/>
          <w:spacing w:val="-7"/>
          <w:w w:val="110"/>
        </w:rPr>
        <w:t> </w:t>
      </w:r>
      <w:r>
        <w:rPr>
          <w:color w:val="231F20"/>
          <w:w w:val="110"/>
        </w:rPr>
        <w:t>distintas</w:t>
      </w:r>
      <w:r>
        <w:rPr>
          <w:color w:val="231F20"/>
          <w:spacing w:val="-7"/>
          <w:w w:val="110"/>
        </w:rPr>
        <w:t> </w:t>
      </w:r>
      <w:r>
        <w:rPr>
          <w:color w:val="231F20"/>
          <w:w w:val="110"/>
        </w:rPr>
        <w:t>formas</w:t>
      </w:r>
      <w:r>
        <w:rPr>
          <w:color w:val="231F20"/>
          <w:spacing w:val="-7"/>
          <w:w w:val="110"/>
        </w:rPr>
        <w:t> </w:t>
      </w:r>
      <w:r>
        <w:rPr>
          <w:color w:val="231F20"/>
          <w:w w:val="110"/>
        </w:rPr>
        <w:t>en</w:t>
      </w:r>
      <w:r>
        <w:rPr>
          <w:color w:val="231F20"/>
          <w:spacing w:val="-7"/>
          <w:w w:val="110"/>
        </w:rPr>
        <w:t> </w:t>
      </w:r>
      <w:r>
        <w:rPr>
          <w:color w:val="231F20"/>
          <w:w w:val="110"/>
        </w:rPr>
        <w:t>que</w:t>
      </w:r>
      <w:r>
        <w:rPr>
          <w:color w:val="231F20"/>
          <w:spacing w:val="-7"/>
          <w:w w:val="110"/>
        </w:rPr>
        <w:t> </w:t>
      </w:r>
      <w:r>
        <w:rPr>
          <w:color w:val="231F20"/>
          <w:w w:val="110"/>
        </w:rPr>
        <w:t>las</w:t>
      </w:r>
      <w:r>
        <w:rPr>
          <w:color w:val="231F20"/>
          <w:spacing w:val="-7"/>
          <w:w w:val="110"/>
        </w:rPr>
        <w:t> </w:t>
      </w:r>
      <w:r>
        <w:rPr>
          <w:color w:val="231F20"/>
          <w:w w:val="110"/>
        </w:rPr>
        <w:t>ciudades,</w:t>
      </w:r>
      <w:r>
        <w:rPr>
          <w:color w:val="231F20"/>
          <w:spacing w:val="-7"/>
          <w:w w:val="110"/>
        </w:rPr>
        <w:t> </w:t>
      </w:r>
      <w:r>
        <w:rPr>
          <w:color w:val="231F20"/>
          <w:w w:val="110"/>
        </w:rPr>
        <w:t>zonas metropolitanas y regiones concentran altas cantidades de población enve- jecida y cómo estos centros urbanos ofrecen a este grupo de población las oportunidades de empleo, ingreso, servicios de salud, educación, vivienda, pensiones, seguridad social, convivencia, respeto a sus derechos</w:t>
      </w:r>
      <w:r>
        <w:rPr>
          <w:color w:val="231F20"/>
          <w:spacing w:val="-16"/>
          <w:w w:val="110"/>
        </w:rPr>
        <w:t> </w:t>
      </w:r>
      <w:r>
        <w:rPr>
          <w:color w:val="231F20"/>
          <w:w w:val="110"/>
        </w:rPr>
        <w:t>humanos; que</w:t>
      </w:r>
      <w:r>
        <w:rPr>
          <w:color w:val="231F20"/>
          <w:spacing w:val="-5"/>
          <w:w w:val="110"/>
        </w:rPr>
        <w:t> </w:t>
      </w:r>
      <w:r>
        <w:rPr>
          <w:color w:val="231F20"/>
          <w:w w:val="110"/>
        </w:rPr>
        <w:t>les</w:t>
      </w:r>
      <w:r>
        <w:rPr>
          <w:color w:val="231F20"/>
          <w:spacing w:val="-5"/>
          <w:w w:val="110"/>
        </w:rPr>
        <w:t> </w:t>
      </w:r>
      <w:r>
        <w:rPr>
          <w:color w:val="231F20"/>
          <w:w w:val="110"/>
        </w:rPr>
        <w:t>permita</w:t>
      </w:r>
      <w:r>
        <w:rPr>
          <w:color w:val="231F20"/>
          <w:spacing w:val="-5"/>
          <w:w w:val="110"/>
        </w:rPr>
        <w:t> </w:t>
      </w:r>
      <w:r>
        <w:rPr>
          <w:color w:val="231F20"/>
          <w:w w:val="110"/>
        </w:rPr>
        <w:t>alcanzar</w:t>
      </w:r>
      <w:r>
        <w:rPr>
          <w:color w:val="231F20"/>
          <w:spacing w:val="-5"/>
          <w:w w:val="110"/>
        </w:rPr>
        <w:t> </w:t>
      </w:r>
      <w:r>
        <w:rPr>
          <w:color w:val="231F20"/>
          <w:w w:val="110"/>
        </w:rPr>
        <w:t>buenos</w:t>
      </w:r>
      <w:r>
        <w:rPr>
          <w:color w:val="231F20"/>
          <w:spacing w:val="-5"/>
          <w:w w:val="110"/>
        </w:rPr>
        <w:t> </w:t>
      </w:r>
      <w:r>
        <w:rPr>
          <w:color w:val="231F20"/>
          <w:w w:val="110"/>
        </w:rPr>
        <w:t>niveles</w:t>
      </w:r>
      <w:r>
        <w:rPr>
          <w:color w:val="231F20"/>
          <w:spacing w:val="-5"/>
          <w:w w:val="110"/>
        </w:rPr>
        <w:t> </w:t>
      </w:r>
      <w:r>
        <w:rPr>
          <w:color w:val="231F20"/>
          <w:w w:val="110"/>
        </w:rPr>
        <w:t>de</w:t>
      </w:r>
      <w:r>
        <w:rPr>
          <w:color w:val="231F20"/>
          <w:spacing w:val="-5"/>
          <w:w w:val="110"/>
        </w:rPr>
        <w:t> </w:t>
      </w:r>
      <w:r>
        <w:rPr>
          <w:color w:val="231F20"/>
          <w:w w:val="110"/>
        </w:rPr>
        <w:t>bienestar</w:t>
      </w:r>
      <w:r>
        <w:rPr>
          <w:color w:val="231F20"/>
          <w:spacing w:val="-5"/>
          <w:w w:val="110"/>
        </w:rPr>
        <w:t> </w:t>
      </w:r>
      <w:r>
        <w:rPr>
          <w:color w:val="231F20"/>
          <w:w w:val="110"/>
        </w:rPr>
        <w:t>y</w:t>
      </w:r>
      <w:r>
        <w:rPr>
          <w:color w:val="231F20"/>
          <w:spacing w:val="-5"/>
          <w:w w:val="110"/>
        </w:rPr>
        <w:t> </w:t>
      </w:r>
      <w:r>
        <w:rPr>
          <w:color w:val="231F20"/>
          <w:w w:val="110"/>
        </w:rPr>
        <w:t>desarrollo</w:t>
      </w:r>
      <w:r>
        <w:rPr>
          <w:color w:val="231F20"/>
          <w:spacing w:val="-5"/>
          <w:w w:val="110"/>
        </w:rPr>
        <w:t> </w:t>
      </w:r>
      <w:r>
        <w:rPr>
          <w:color w:val="231F20"/>
          <w:w w:val="110"/>
        </w:rPr>
        <w:t>humano. Lo anterior implica explicar el proceso de envejecimiento a través del</w:t>
      </w:r>
      <w:r>
        <w:rPr>
          <w:color w:val="231F20"/>
          <w:spacing w:val="-27"/>
          <w:w w:val="110"/>
        </w:rPr>
        <w:t> </w:t>
      </w:r>
      <w:r>
        <w:rPr>
          <w:color w:val="231F20"/>
          <w:w w:val="110"/>
        </w:rPr>
        <w:t>paso de niveles de natalidad y mortalidad altos y sin control a niveles bajos y </w:t>
      </w:r>
      <w:r>
        <w:rPr>
          <w:color w:val="231F20"/>
          <w:w w:val="105"/>
        </w:rPr>
        <w:t>controlados (Partida,</w:t>
      </w:r>
      <w:r>
        <w:rPr>
          <w:color w:val="231F20"/>
          <w:spacing w:val="21"/>
          <w:w w:val="105"/>
        </w:rPr>
        <w:t> </w:t>
      </w:r>
      <w:r>
        <w:rPr>
          <w:color w:val="231F20"/>
          <w:w w:val="105"/>
        </w:rPr>
        <w:t>2005).</w:t>
      </w:r>
    </w:p>
    <w:p>
      <w:pPr>
        <w:pStyle w:val="BodyText"/>
        <w:spacing w:line="288" w:lineRule="auto"/>
        <w:ind w:left="120" w:right="118" w:firstLine="360"/>
        <w:jc w:val="both"/>
      </w:pPr>
      <w:r>
        <w:rPr>
          <w:color w:val="231F20"/>
          <w:w w:val="110"/>
        </w:rPr>
        <w:t>La transición demográfica</w:t>
      </w:r>
      <w:r>
        <w:rPr>
          <w:color w:val="231F20"/>
          <w:w w:val="110"/>
          <w:position w:val="6"/>
          <w:sz w:val="11"/>
        </w:rPr>
        <w:t>3 </w:t>
      </w:r>
      <w:r>
        <w:rPr>
          <w:color w:val="231F20"/>
          <w:w w:val="110"/>
        </w:rPr>
        <w:t>en los países desarrollados, principalmente en Europa, comenzó a producirse hace más de 200 años. En cambio, en México,</w:t>
      </w:r>
      <w:r>
        <w:rPr>
          <w:color w:val="231F20"/>
          <w:spacing w:val="-11"/>
          <w:w w:val="110"/>
        </w:rPr>
        <w:t> </w:t>
      </w:r>
      <w:r>
        <w:rPr>
          <w:color w:val="231F20"/>
          <w:w w:val="110"/>
        </w:rPr>
        <w:t>como</w:t>
      </w:r>
      <w:r>
        <w:rPr>
          <w:color w:val="231F20"/>
          <w:spacing w:val="-11"/>
          <w:w w:val="110"/>
        </w:rPr>
        <w:t> </w:t>
      </w:r>
      <w:r>
        <w:rPr>
          <w:color w:val="231F20"/>
          <w:w w:val="110"/>
        </w:rPr>
        <w:t>país</w:t>
      </w:r>
      <w:r>
        <w:rPr>
          <w:color w:val="231F20"/>
          <w:spacing w:val="-11"/>
          <w:w w:val="110"/>
        </w:rPr>
        <w:t> </w:t>
      </w:r>
      <w:r>
        <w:rPr>
          <w:color w:val="231F20"/>
          <w:w w:val="110"/>
        </w:rPr>
        <w:t>en</w:t>
      </w:r>
      <w:r>
        <w:rPr>
          <w:color w:val="231F20"/>
          <w:spacing w:val="-11"/>
          <w:w w:val="110"/>
        </w:rPr>
        <w:t> </w:t>
      </w:r>
      <w:r>
        <w:rPr>
          <w:color w:val="231F20"/>
          <w:w w:val="110"/>
        </w:rPr>
        <w:t>desarrollo,</w:t>
      </w:r>
      <w:r>
        <w:rPr>
          <w:color w:val="231F20"/>
          <w:spacing w:val="-11"/>
          <w:w w:val="110"/>
        </w:rPr>
        <w:t> </w:t>
      </w:r>
      <w:r>
        <w:rPr>
          <w:color w:val="231F20"/>
          <w:w w:val="110"/>
        </w:rPr>
        <w:t>la</w:t>
      </w:r>
      <w:r>
        <w:rPr>
          <w:color w:val="231F20"/>
          <w:spacing w:val="-11"/>
          <w:w w:val="110"/>
        </w:rPr>
        <w:t> </w:t>
      </w:r>
      <w:r>
        <w:rPr>
          <w:color w:val="231F20"/>
          <w:w w:val="110"/>
        </w:rPr>
        <w:t>primera</w:t>
      </w:r>
      <w:r>
        <w:rPr>
          <w:color w:val="231F20"/>
          <w:spacing w:val="-11"/>
          <w:w w:val="110"/>
        </w:rPr>
        <w:t> </w:t>
      </w:r>
      <w:r>
        <w:rPr>
          <w:color w:val="231F20"/>
          <w:w w:val="110"/>
        </w:rPr>
        <w:t>etapa</w:t>
      </w:r>
      <w:r>
        <w:rPr>
          <w:color w:val="231F20"/>
          <w:spacing w:val="-11"/>
          <w:w w:val="110"/>
        </w:rPr>
        <w:t> </w:t>
      </w:r>
      <w:r>
        <w:rPr>
          <w:color w:val="231F20"/>
          <w:w w:val="110"/>
        </w:rPr>
        <w:t>inició</w:t>
      </w:r>
      <w:r>
        <w:rPr>
          <w:color w:val="231F20"/>
          <w:spacing w:val="-11"/>
          <w:w w:val="110"/>
        </w:rPr>
        <w:t> </w:t>
      </w:r>
      <w:r>
        <w:rPr>
          <w:color w:val="231F20"/>
          <w:w w:val="110"/>
        </w:rPr>
        <w:t>a</w:t>
      </w:r>
      <w:r>
        <w:rPr>
          <w:color w:val="231F20"/>
          <w:spacing w:val="-11"/>
          <w:w w:val="110"/>
        </w:rPr>
        <w:t> </w:t>
      </w:r>
      <w:r>
        <w:rPr>
          <w:color w:val="231F20"/>
          <w:w w:val="110"/>
        </w:rPr>
        <w:t>mitad</w:t>
      </w:r>
      <w:r>
        <w:rPr>
          <w:color w:val="231F20"/>
          <w:spacing w:val="-11"/>
          <w:w w:val="110"/>
        </w:rPr>
        <w:t> </w:t>
      </w:r>
      <w:r>
        <w:rPr>
          <w:color w:val="231F20"/>
          <w:w w:val="110"/>
        </w:rPr>
        <w:t>del</w:t>
      </w:r>
      <w:r>
        <w:rPr>
          <w:color w:val="231F20"/>
          <w:spacing w:val="-11"/>
          <w:w w:val="110"/>
        </w:rPr>
        <w:t> </w:t>
      </w:r>
      <w:r>
        <w:rPr>
          <w:color w:val="231F20"/>
          <w:w w:val="110"/>
        </w:rPr>
        <w:t>siglo</w:t>
      </w:r>
      <w:r>
        <w:rPr>
          <w:color w:val="231F20"/>
          <w:spacing w:val="-11"/>
          <w:w w:val="110"/>
        </w:rPr>
        <w:t> </w:t>
      </w:r>
      <w:r>
        <w:rPr>
          <w:rFonts w:ascii="Times New Roman" w:hAnsi="Times New Roman"/>
          <w:color w:val="231F20"/>
          <w:w w:val="110"/>
          <w:sz w:val="16"/>
        </w:rPr>
        <w:t>XX </w:t>
      </w:r>
      <w:r>
        <w:rPr>
          <w:color w:val="231F20"/>
          <w:spacing w:val="-4"/>
          <w:w w:val="110"/>
        </w:rPr>
        <w:t>(1945),</w:t>
      </w:r>
      <w:r>
        <w:rPr>
          <w:color w:val="231F20"/>
          <w:spacing w:val="-9"/>
          <w:w w:val="110"/>
        </w:rPr>
        <w:t> </w:t>
      </w:r>
      <w:r>
        <w:rPr>
          <w:color w:val="231F20"/>
          <w:w w:val="110"/>
        </w:rPr>
        <w:t>y</w:t>
      </w:r>
      <w:r>
        <w:rPr>
          <w:color w:val="231F20"/>
          <w:spacing w:val="-9"/>
          <w:w w:val="110"/>
        </w:rPr>
        <w:t> </w:t>
      </w:r>
      <w:r>
        <w:rPr>
          <w:color w:val="231F20"/>
          <w:w w:val="110"/>
        </w:rPr>
        <w:t>se</w:t>
      </w:r>
      <w:r>
        <w:rPr>
          <w:color w:val="231F20"/>
          <w:spacing w:val="-9"/>
          <w:w w:val="110"/>
        </w:rPr>
        <w:t> </w:t>
      </w:r>
      <w:r>
        <w:rPr>
          <w:color w:val="231F20"/>
          <w:spacing w:val="-4"/>
          <w:w w:val="110"/>
        </w:rPr>
        <w:t>caracterizó</w:t>
      </w:r>
      <w:r>
        <w:rPr>
          <w:color w:val="231F20"/>
          <w:spacing w:val="-9"/>
          <w:w w:val="110"/>
        </w:rPr>
        <w:t> </w:t>
      </w:r>
      <w:r>
        <w:rPr>
          <w:color w:val="231F20"/>
          <w:spacing w:val="-3"/>
          <w:w w:val="110"/>
        </w:rPr>
        <w:t>por</w:t>
      </w:r>
      <w:r>
        <w:rPr>
          <w:color w:val="231F20"/>
          <w:spacing w:val="-9"/>
          <w:w w:val="110"/>
        </w:rPr>
        <w:t> </w:t>
      </w:r>
      <w:r>
        <w:rPr>
          <w:color w:val="231F20"/>
          <w:w w:val="110"/>
        </w:rPr>
        <w:t>un</w:t>
      </w:r>
      <w:r>
        <w:rPr>
          <w:color w:val="231F20"/>
          <w:spacing w:val="-9"/>
          <w:w w:val="110"/>
        </w:rPr>
        <w:t> </w:t>
      </w:r>
      <w:r>
        <w:rPr>
          <w:color w:val="231F20"/>
          <w:spacing w:val="-4"/>
          <w:w w:val="110"/>
        </w:rPr>
        <w:t>despegue</w:t>
      </w:r>
      <w:r>
        <w:rPr>
          <w:color w:val="231F20"/>
          <w:spacing w:val="-9"/>
          <w:w w:val="110"/>
        </w:rPr>
        <w:t> </w:t>
      </w:r>
      <w:r>
        <w:rPr>
          <w:color w:val="231F20"/>
          <w:w w:val="110"/>
        </w:rPr>
        <w:t>y</w:t>
      </w:r>
      <w:r>
        <w:rPr>
          <w:color w:val="231F20"/>
          <w:spacing w:val="-9"/>
          <w:w w:val="110"/>
        </w:rPr>
        <w:t> </w:t>
      </w:r>
      <w:r>
        <w:rPr>
          <w:color w:val="231F20"/>
          <w:spacing w:val="-4"/>
          <w:w w:val="110"/>
        </w:rPr>
        <w:t>rápido</w:t>
      </w:r>
      <w:r>
        <w:rPr>
          <w:color w:val="231F20"/>
          <w:spacing w:val="-9"/>
          <w:w w:val="110"/>
        </w:rPr>
        <w:t> </w:t>
      </w:r>
      <w:r>
        <w:rPr>
          <w:color w:val="231F20"/>
          <w:spacing w:val="-4"/>
          <w:w w:val="110"/>
        </w:rPr>
        <w:t>crecimiento</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spacing w:val="-4"/>
          <w:w w:val="110"/>
        </w:rPr>
        <w:t>población </w:t>
      </w:r>
      <w:r>
        <w:rPr>
          <w:color w:val="231F20"/>
          <w:w w:val="110"/>
        </w:rPr>
        <w:t>(proceso de rejuvenecimiento demográfico). La segunda etapa se ubica en el periodo 1970-2000, y se caracterizó por la disminución de la natalidad y el estrechamiento de la base de la pirámide poblacional. La tercera etapa tendrá lugar durante la primera mitad del presente siglo, cuando los nive- les de natalidad y mortalidad convergen definiendo así un proceso de en- </w:t>
      </w:r>
      <w:r>
        <w:rPr>
          <w:color w:val="231F20"/>
          <w:spacing w:val="2"/>
          <w:w w:val="110"/>
        </w:rPr>
        <w:t>vejecimiento poblacional (inversión </w:t>
      </w:r>
      <w:r>
        <w:rPr>
          <w:color w:val="231F20"/>
          <w:w w:val="110"/>
        </w:rPr>
        <w:t>de la </w:t>
      </w:r>
      <w:r>
        <w:rPr>
          <w:color w:val="231F20"/>
          <w:spacing w:val="2"/>
          <w:w w:val="110"/>
        </w:rPr>
        <w:t>pirámide </w:t>
      </w:r>
      <w:r>
        <w:rPr>
          <w:color w:val="231F20"/>
          <w:w w:val="110"/>
        </w:rPr>
        <w:t>de </w:t>
      </w:r>
      <w:r>
        <w:rPr>
          <w:color w:val="231F20"/>
          <w:spacing w:val="2"/>
          <w:w w:val="110"/>
        </w:rPr>
        <w:t>edades) </w:t>
      </w:r>
      <w:r>
        <w:rPr>
          <w:color w:val="231F20"/>
          <w:w w:val="110"/>
        </w:rPr>
        <w:t>(Partida, 2005; Ham, 2003; Chesnais,</w:t>
      </w:r>
      <w:r>
        <w:rPr>
          <w:color w:val="231F20"/>
          <w:spacing w:val="13"/>
          <w:w w:val="110"/>
        </w:rPr>
        <w:t> </w:t>
      </w:r>
      <w:r>
        <w:rPr>
          <w:color w:val="231F20"/>
          <w:w w:val="110"/>
        </w:rPr>
        <w:t>1990).</w:t>
      </w:r>
    </w:p>
    <w:p>
      <w:pPr>
        <w:pStyle w:val="BodyText"/>
        <w:spacing w:before="1"/>
        <w:rPr>
          <w:sz w:val="22"/>
        </w:rPr>
      </w:pPr>
    </w:p>
    <w:p>
      <w:pPr>
        <w:spacing w:line="256" w:lineRule="auto" w:before="1"/>
        <w:ind w:left="119" w:right="118" w:firstLine="360"/>
        <w:jc w:val="both"/>
        <w:rPr>
          <w:sz w:val="16"/>
        </w:rPr>
      </w:pPr>
      <w:r>
        <w:rPr>
          <w:color w:val="231F20"/>
          <w:w w:val="105"/>
          <w:position w:val="5"/>
          <w:sz w:val="9"/>
        </w:rPr>
        <w:t>3 </w:t>
      </w:r>
      <w:r>
        <w:rPr>
          <w:color w:val="231F20"/>
          <w:w w:val="105"/>
          <w:sz w:val="16"/>
        </w:rPr>
        <w:t>La transición demográfica alude al paso de altos niveles de natalidad y de mortalidad     </w:t>
      </w:r>
      <w:r>
        <w:rPr>
          <w:color w:val="231F20"/>
          <w:spacing w:val="37"/>
          <w:w w:val="105"/>
          <w:sz w:val="16"/>
        </w:rPr>
        <w:t> </w:t>
      </w:r>
      <w:r>
        <w:rPr>
          <w:color w:val="231F20"/>
          <w:w w:val="105"/>
          <w:sz w:val="16"/>
        </w:rPr>
        <w:t>sin control, a bajos niveles controlados. México ha seguido el patrón típico de este proceso (Partida, 2005:</w:t>
      </w:r>
      <w:r>
        <w:rPr>
          <w:color w:val="231F20"/>
          <w:spacing w:val="-7"/>
          <w:w w:val="105"/>
          <w:sz w:val="16"/>
        </w:rPr>
        <w:t> </w:t>
      </w:r>
      <w:r>
        <w:rPr>
          <w:color w:val="231F20"/>
          <w:w w:val="105"/>
          <w:sz w:val="16"/>
        </w:rPr>
        <w:t>10).</w:t>
      </w:r>
    </w:p>
    <w:p>
      <w:pPr>
        <w:spacing w:after="0" w:line="256" w:lineRule="auto"/>
        <w:jc w:val="both"/>
        <w:rPr>
          <w:sz w:val="16"/>
        </w:rPr>
        <w:sectPr>
          <w:pgSz w:w="9520" w:h="12920"/>
          <w:pgMar w:header="0" w:footer="1344" w:top="880" w:bottom="1540" w:left="1000" w:right="1320"/>
        </w:sectPr>
      </w:pPr>
    </w:p>
    <w:p>
      <w:pPr>
        <w:pStyle w:val="BodyText"/>
        <w:spacing w:line="283" w:lineRule="auto" w:before="42"/>
        <w:ind w:left="124" w:right="110" w:firstLine="360"/>
        <w:jc w:val="both"/>
      </w:pPr>
      <w:r>
        <w:rPr>
          <w:color w:val="231F20"/>
          <w:w w:val="105"/>
        </w:rPr>
        <w:t>Uno de los principales efectos de la transición demográfica es el enve- jecimiento de la población, el cual se manifiesta como el incremento abso- luto y porcentual de la población en edades avanzadas (Ham, 2003), lo que algunos autores como Vinuesa (2010)  denominan  como  “envejecimiento  por la cúspide de la pirámide”, es </w:t>
      </w:r>
      <w:r>
        <w:rPr>
          <w:color w:val="231F20"/>
          <w:spacing w:val="-3"/>
          <w:w w:val="105"/>
        </w:rPr>
        <w:t>decir, </w:t>
      </w:r>
      <w:r>
        <w:rPr>
          <w:color w:val="231F20"/>
          <w:w w:val="105"/>
        </w:rPr>
        <w:t>cuando aumenta el grupo de per- sonas mayores en términos absolutos y lo  hace  a  un  ritmo  sostenido.  Lo que provoca, en términos  generales,  el  aumento  de  la  esperanza  de  vida en  todas  las</w:t>
      </w:r>
      <w:r>
        <w:rPr>
          <w:color w:val="231F20"/>
          <w:spacing w:val="29"/>
          <w:w w:val="105"/>
        </w:rPr>
        <w:t> </w:t>
      </w:r>
      <w:r>
        <w:rPr>
          <w:color w:val="231F20"/>
          <w:w w:val="105"/>
        </w:rPr>
        <w:t>edades.</w:t>
      </w:r>
    </w:p>
    <w:p>
      <w:pPr>
        <w:pStyle w:val="BodyText"/>
        <w:spacing w:line="283" w:lineRule="auto"/>
        <w:ind w:left="124" w:right="112" w:firstLine="360"/>
        <w:jc w:val="both"/>
      </w:pPr>
      <w:r>
        <w:rPr>
          <w:color w:val="231F20"/>
          <w:spacing w:val="-4"/>
          <w:w w:val="110"/>
        </w:rPr>
        <w:t>Para</w:t>
      </w:r>
      <w:r>
        <w:rPr>
          <w:color w:val="231F20"/>
          <w:spacing w:val="-19"/>
          <w:w w:val="110"/>
        </w:rPr>
        <w:t> </w:t>
      </w:r>
      <w:r>
        <w:rPr>
          <w:color w:val="231F20"/>
          <w:w w:val="110"/>
        </w:rPr>
        <w:t>quienes</w:t>
      </w:r>
      <w:r>
        <w:rPr>
          <w:color w:val="231F20"/>
          <w:spacing w:val="-19"/>
          <w:w w:val="110"/>
        </w:rPr>
        <w:t> </w:t>
      </w:r>
      <w:r>
        <w:rPr>
          <w:color w:val="231F20"/>
          <w:w w:val="110"/>
        </w:rPr>
        <w:t>tienen</w:t>
      </w:r>
      <w:r>
        <w:rPr>
          <w:color w:val="231F20"/>
          <w:spacing w:val="-19"/>
          <w:w w:val="110"/>
        </w:rPr>
        <w:t> </w:t>
      </w:r>
      <w:r>
        <w:rPr>
          <w:color w:val="231F20"/>
          <w:w w:val="110"/>
        </w:rPr>
        <w:t>como</w:t>
      </w:r>
      <w:r>
        <w:rPr>
          <w:color w:val="231F20"/>
          <w:spacing w:val="-19"/>
          <w:w w:val="110"/>
        </w:rPr>
        <w:t> </w:t>
      </w:r>
      <w:r>
        <w:rPr>
          <w:color w:val="231F20"/>
          <w:w w:val="110"/>
        </w:rPr>
        <w:t>principal</w:t>
      </w:r>
      <w:r>
        <w:rPr>
          <w:color w:val="231F20"/>
          <w:spacing w:val="-19"/>
          <w:w w:val="110"/>
        </w:rPr>
        <w:t> </w:t>
      </w:r>
      <w:r>
        <w:rPr>
          <w:color w:val="231F20"/>
          <w:w w:val="110"/>
        </w:rPr>
        <w:t>preocupación</w:t>
      </w:r>
      <w:r>
        <w:rPr>
          <w:color w:val="231F20"/>
          <w:spacing w:val="-19"/>
          <w:w w:val="110"/>
        </w:rPr>
        <w:t> </w:t>
      </w:r>
      <w:r>
        <w:rPr>
          <w:color w:val="231F20"/>
          <w:w w:val="110"/>
        </w:rPr>
        <w:t>el</w:t>
      </w:r>
      <w:r>
        <w:rPr>
          <w:color w:val="231F20"/>
          <w:spacing w:val="-19"/>
          <w:w w:val="110"/>
        </w:rPr>
        <w:t> </w:t>
      </w:r>
      <w:r>
        <w:rPr>
          <w:color w:val="231F20"/>
          <w:w w:val="110"/>
        </w:rPr>
        <w:t>cambio</w:t>
      </w:r>
      <w:r>
        <w:rPr>
          <w:color w:val="231F20"/>
          <w:spacing w:val="-19"/>
          <w:w w:val="110"/>
        </w:rPr>
        <w:t> </w:t>
      </w:r>
      <w:r>
        <w:rPr>
          <w:color w:val="231F20"/>
          <w:w w:val="110"/>
        </w:rPr>
        <w:t>en</w:t>
      </w:r>
      <w:r>
        <w:rPr>
          <w:color w:val="231F20"/>
          <w:spacing w:val="-19"/>
          <w:w w:val="110"/>
        </w:rPr>
        <w:t> </w:t>
      </w:r>
      <w:r>
        <w:rPr>
          <w:color w:val="231F20"/>
          <w:w w:val="110"/>
        </w:rPr>
        <w:t>la</w:t>
      </w:r>
      <w:r>
        <w:rPr>
          <w:color w:val="231F20"/>
          <w:spacing w:val="-19"/>
          <w:w w:val="110"/>
        </w:rPr>
        <w:t> </w:t>
      </w:r>
      <w:r>
        <w:rPr>
          <w:color w:val="231F20"/>
          <w:w w:val="110"/>
        </w:rPr>
        <w:t>estruc- </w:t>
      </w:r>
      <w:r>
        <w:rPr>
          <w:color w:val="231F20"/>
          <w:spacing w:val="-3"/>
          <w:w w:val="110"/>
        </w:rPr>
        <w:t>tura por </w:t>
      </w:r>
      <w:r>
        <w:rPr>
          <w:color w:val="231F20"/>
          <w:spacing w:val="-4"/>
          <w:w w:val="110"/>
        </w:rPr>
        <w:t>edades, también </w:t>
      </w:r>
      <w:r>
        <w:rPr>
          <w:color w:val="231F20"/>
          <w:w w:val="110"/>
        </w:rPr>
        <w:t>es </w:t>
      </w:r>
      <w:r>
        <w:rPr>
          <w:color w:val="231F20"/>
          <w:spacing w:val="-4"/>
          <w:w w:val="110"/>
        </w:rPr>
        <w:t>importante </w:t>
      </w:r>
      <w:r>
        <w:rPr>
          <w:color w:val="231F20"/>
          <w:w w:val="110"/>
        </w:rPr>
        <w:t>la </w:t>
      </w:r>
      <w:r>
        <w:rPr>
          <w:color w:val="231F20"/>
          <w:spacing w:val="-4"/>
          <w:w w:val="110"/>
        </w:rPr>
        <w:t>velocidad </w:t>
      </w:r>
      <w:r>
        <w:rPr>
          <w:color w:val="231F20"/>
          <w:spacing w:val="-3"/>
          <w:w w:val="110"/>
        </w:rPr>
        <w:t>con que </w:t>
      </w:r>
      <w:r>
        <w:rPr>
          <w:color w:val="231F20"/>
          <w:w w:val="110"/>
        </w:rPr>
        <w:t>se da el</w:t>
      </w:r>
      <w:r>
        <w:rPr>
          <w:color w:val="231F20"/>
          <w:spacing w:val="-16"/>
          <w:w w:val="110"/>
        </w:rPr>
        <w:t> </w:t>
      </w:r>
      <w:r>
        <w:rPr>
          <w:color w:val="231F20"/>
          <w:spacing w:val="-4"/>
          <w:w w:val="110"/>
        </w:rPr>
        <w:t>proceso </w:t>
      </w:r>
      <w:r>
        <w:rPr>
          <w:color w:val="231F20"/>
          <w:w w:val="110"/>
        </w:rPr>
        <w:t>de envejecimiento, pues se cuenta con menor tiempo para enfrentar los retos</w:t>
      </w:r>
      <w:r>
        <w:rPr>
          <w:color w:val="231F20"/>
          <w:spacing w:val="-18"/>
          <w:w w:val="110"/>
        </w:rPr>
        <w:t> </w:t>
      </w:r>
      <w:r>
        <w:rPr>
          <w:color w:val="231F20"/>
          <w:w w:val="110"/>
        </w:rPr>
        <w:t>que</w:t>
      </w:r>
      <w:r>
        <w:rPr>
          <w:color w:val="231F20"/>
          <w:spacing w:val="-18"/>
          <w:w w:val="110"/>
        </w:rPr>
        <w:t> </w:t>
      </w:r>
      <w:r>
        <w:rPr>
          <w:color w:val="231F20"/>
          <w:w w:val="110"/>
        </w:rPr>
        <w:t>esto</w:t>
      </w:r>
      <w:r>
        <w:rPr>
          <w:color w:val="231F20"/>
          <w:spacing w:val="-18"/>
          <w:w w:val="110"/>
        </w:rPr>
        <w:t> </w:t>
      </w:r>
      <w:r>
        <w:rPr>
          <w:color w:val="231F20"/>
          <w:w w:val="110"/>
        </w:rPr>
        <w:t>conlleva.</w:t>
      </w:r>
      <w:r>
        <w:rPr>
          <w:color w:val="231F20"/>
          <w:spacing w:val="-18"/>
          <w:w w:val="110"/>
        </w:rPr>
        <w:t> </w:t>
      </w:r>
      <w:r>
        <w:rPr>
          <w:color w:val="231F20"/>
          <w:w w:val="110"/>
        </w:rPr>
        <w:t>Eso</w:t>
      </w:r>
      <w:r>
        <w:rPr>
          <w:color w:val="231F20"/>
          <w:spacing w:val="-18"/>
          <w:w w:val="110"/>
        </w:rPr>
        <w:t> </w:t>
      </w:r>
      <w:r>
        <w:rPr>
          <w:color w:val="231F20"/>
          <w:w w:val="110"/>
        </w:rPr>
        <w:t>es</w:t>
      </w:r>
      <w:r>
        <w:rPr>
          <w:color w:val="231F20"/>
          <w:spacing w:val="-18"/>
          <w:w w:val="110"/>
        </w:rPr>
        <w:t> </w:t>
      </w:r>
      <w:r>
        <w:rPr>
          <w:color w:val="231F20"/>
          <w:w w:val="110"/>
        </w:rPr>
        <w:t>el</w:t>
      </w:r>
      <w:r>
        <w:rPr>
          <w:color w:val="231F20"/>
          <w:spacing w:val="-18"/>
          <w:w w:val="110"/>
        </w:rPr>
        <w:t> </w:t>
      </w:r>
      <w:r>
        <w:rPr>
          <w:color w:val="231F20"/>
          <w:w w:val="110"/>
        </w:rPr>
        <w:t>envejecimiento</w:t>
      </w:r>
      <w:r>
        <w:rPr>
          <w:color w:val="231F20"/>
          <w:spacing w:val="-18"/>
          <w:w w:val="110"/>
        </w:rPr>
        <w:t> </w:t>
      </w:r>
      <w:r>
        <w:rPr>
          <w:color w:val="231F20"/>
          <w:w w:val="110"/>
        </w:rPr>
        <w:t>demográfico</w:t>
      </w:r>
      <w:r>
        <w:rPr>
          <w:color w:val="231F20"/>
          <w:spacing w:val="-18"/>
          <w:w w:val="110"/>
        </w:rPr>
        <w:t> </w:t>
      </w:r>
      <w:r>
        <w:rPr>
          <w:color w:val="231F20"/>
          <w:w w:val="110"/>
        </w:rPr>
        <w:t>(Pérez,</w:t>
      </w:r>
      <w:r>
        <w:rPr>
          <w:color w:val="231F20"/>
          <w:spacing w:val="-18"/>
          <w:w w:val="110"/>
        </w:rPr>
        <w:t> </w:t>
      </w:r>
      <w:r>
        <w:rPr>
          <w:color w:val="231F20"/>
          <w:w w:val="110"/>
        </w:rPr>
        <w:t>2002). La migración es otro factor que ha influido en este cambio demográfico, puesto</w:t>
      </w:r>
      <w:r>
        <w:rPr>
          <w:color w:val="231F20"/>
          <w:spacing w:val="-10"/>
          <w:w w:val="110"/>
        </w:rPr>
        <w:t> </w:t>
      </w:r>
      <w:r>
        <w:rPr>
          <w:color w:val="231F20"/>
          <w:w w:val="110"/>
        </w:rPr>
        <w:t>que</w:t>
      </w:r>
      <w:r>
        <w:rPr>
          <w:color w:val="231F20"/>
          <w:spacing w:val="-10"/>
          <w:w w:val="110"/>
        </w:rPr>
        <w:t> </w:t>
      </w:r>
      <w:r>
        <w:rPr>
          <w:color w:val="231F20"/>
          <w:w w:val="110"/>
        </w:rPr>
        <w:t>este</w:t>
      </w:r>
      <w:r>
        <w:rPr>
          <w:color w:val="231F20"/>
          <w:spacing w:val="-10"/>
          <w:w w:val="110"/>
        </w:rPr>
        <w:t> </w:t>
      </w:r>
      <w:r>
        <w:rPr>
          <w:color w:val="231F20"/>
          <w:w w:val="110"/>
        </w:rPr>
        <w:t>proceso</w:t>
      </w:r>
      <w:r>
        <w:rPr>
          <w:color w:val="231F20"/>
          <w:spacing w:val="-10"/>
          <w:w w:val="110"/>
        </w:rPr>
        <w:t> </w:t>
      </w:r>
      <w:r>
        <w:rPr>
          <w:color w:val="231F20"/>
          <w:w w:val="110"/>
        </w:rPr>
        <w:t>social</w:t>
      </w:r>
      <w:r>
        <w:rPr>
          <w:color w:val="231F20"/>
          <w:spacing w:val="-10"/>
          <w:w w:val="110"/>
        </w:rPr>
        <w:t> </w:t>
      </w:r>
      <w:r>
        <w:rPr>
          <w:color w:val="231F20"/>
          <w:w w:val="110"/>
        </w:rPr>
        <w:t>se</w:t>
      </w:r>
      <w:r>
        <w:rPr>
          <w:color w:val="231F20"/>
          <w:spacing w:val="-10"/>
          <w:w w:val="110"/>
        </w:rPr>
        <w:t> </w:t>
      </w:r>
      <w:r>
        <w:rPr>
          <w:color w:val="231F20"/>
          <w:w w:val="110"/>
        </w:rPr>
        <w:t>da</w:t>
      </w:r>
      <w:r>
        <w:rPr>
          <w:color w:val="231F20"/>
          <w:spacing w:val="-10"/>
          <w:w w:val="110"/>
        </w:rPr>
        <w:t> </w:t>
      </w:r>
      <w:r>
        <w:rPr>
          <w:color w:val="231F20"/>
          <w:w w:val="110"/>
        </w:rPr>
        <w:t>entre</w:t>
      </w:r>
      <w:r>
        <w:rPr>
          <w:color w:val="231F20"/>
          <w:spacing w:val="-10"/>
          <w:w w:val="110"/>
        </w:rPr>
        <w:t> </w:t>
      </w:r>
      <w:r>
        <w:rPr>
          <w:color w:val="231F20"/>
          <w:w w:val="110"/>
        </w:rPr>
        <w:t>los</w:t>
      </w:r>
      <w:r>
        <w:rPr>
          <w:color w:val="231F20"/>
          <w:spacing w:val="-10"/>
          <w:w w:val="110"/>
        </w:rPr>
        <w:t> </w:t>
      </w:r>
      <w:r>
        <w:rPr>
          <w:color w:val="231F20"/>
          <w:w w:val="110"/>
        </w:rPr>
        <w:t>jóvenes</w:t>
      </w:r>
      <w:r>
        <w:rPr>
          <w:color w:val="231F20"/>
          <w:spacing w:val="-10"/>
          <w:w w:val="110"/>
        </w:rPr>
        <w:t> </w:t>
      </w:r>
      <w:r>
        <w:rPr>
          <w:color w:val="231F20"/>
          <w:w w:val="110"/>
        </w:rPr>
        <w:t>y</w:t>
      </w:r>
      <w:r>
        <w:rPr>
          <w:color w:val="231F20"/>
          <w:spacing w:val="-10"/>
          <w:w w:val="110"/>
        </w:rPr>
        <w:t> </w:t>
      </w:r>
      <w:r>
        <w:rPr>
          <w:color w:val="231F20"/>
          <w:w w:val="110"/>
        </w:rPr>
        <w:t>adultos</w:t>
      </w:r>
      <w:r>
        <w:rPr>
          <w:color w:val="231F20"/>
          <w:spacing w:val="-10"/>
          <w:w w:val="110"/>
        </w:rPr>
        <w:t> </w:t>
      </w:r>
      <w:r>
        <w:rPr>
          <w:color w:val="231F20"/>
          <w:w w:val="110"/>
        </w:rPr>
        <w:t>jóvenes</w:t>
      </w:r>
      <w:r>
        <w:rPr>
          <w:color w:val="231F20"/>
          <w:spacing w:val="-10"/>
          <w:w w:val="110"/>
        </w:rPr>
        <w:t> </w:t>
      </w:r>
      <w:r>
        <w:rPr>
          <w:color w:val="231F20"/>
          <w:w w:val="110"/>
        </w:rPr>
        <w:t>que son quienes tienen una mayor probabilidad de migrar por motivos funda- </w:t>
      </w:r>
      <w:r>
        <w:rPr>
          <w:color w:val="231F20"/>
          <w:spacing w:val="-4"/>
          <w:w w:val="110"/>
        </w:rPr>
        <w:t>mentalmente</w:t>
      </w:r>
      <w:r>
        <w:rPr>
          <w:color w:val="231F20"/>
          <w:spacing w:val="-10"/>
          <w:w w:val="110"/>
        </w:rPr>
        <w:t> </w:t>
      </w:r>
      <w:r>
        <w:rPr>
          <w:color w:val="231F20"/>
          <w:spacing w:val="-4"/>
          <w:w w:val="110"/>
        </w:rPr>
        <w:t>económicos,</w:t>
      </w:r>
      <w:r>
        <w:rPr>
          <w:color w:val="231F20"/>
          <w:spacing w:val="-10"/>
          <w:w w:val="110"/>
        </w:rPr>
        <w:t> </w:t>
      </w:r>
      <w:r>
        <w:rPr>
          <w:color w:val="231F20"/>
          <w:spacing w:val="-4"/>
          <w:w w:val="110"/>
        </w:rPr>
        <w:t>laborales</w:t>
      </w:r>
      <w:r>
        <w:rPr>
          <w:color w:val="231F20"/>
          <w:spacing w:val="-10"/>
          <w:w w:val="110"/>
        </w:rPr>
        <w:t> </w:t>
      </w:r>
      <w:r>
        <w:rPr>
          <w:color w:val="231F20"/>
          <w:w w:val="110"/>
        </w:rPr>
        <w:t>o</w:t>
      </w:r>
      <w:r>
        <w:rPr>
          <w:color w:val="231F20"/>
          <w:spacing w:val="-10"/>
          <w:w w:val="110"/>
        </w:rPr>
        <w:t> </w:t>
      </w:r>
      <w:r>
        <w:rPr>
          <w:color w:val="231F20"/>
          <w:w w:val="110"/>
        </w:rPr>
        <w:t>de</w:t>
      </w:r>
      <w:r>
        <w:rPr>
          <w:color w:val="231F20"/>
          <w:spacing w:val="-10"/>
          <w:w w:val="110"/>
        </w:rPr>
        <w:t> </w:t>
      </w:r>
      <w:r>
        <w:rPr>
          <w:color w:val="231F20"/>
          <w:spacing w:val="-4"/>
          <w:w w:val="110"/>
        </w:rPr>
        <w:t>estudios</w:t>
      </w:r>
      <w:r>
        <w:rPr>
          <w:color w:val="231F20"/>
          <w:spacing w:val="-10"/>
          <w:w w:val="110"/>
        </w:rPr>
        <w:t> </w:t>
      </w:r>
      <w:r>
        <w:rPr>
          <w:color w:val="231F20"/>
          <w:spacing w:val="-4"/>
          <w:w w:val="110"/>
        </w:rPr>
        <w:t>(Negrete,</w:t>
      </w:r>
      <w:r>
        <w:rPr>
          <w:color w:val="231F20"/>
          <w:spacing w:val="-10"/>
          <w:w w:val="110"/>
        </w:rPr>
        <w:t> </w:t>
      </w:r>
      <w:r>
        <w:rPr>
          <w:color w:val="231F20"/>
          <w:spacing w:val="-4"/>
          <w:w w:val="110"/>
        </w:rPr>
        <w:t>2003;</w:t>
      </w:r>
      <w:r>
        <w:rPr>
          <w:color w:val="231F20"/>
          <w:spacing w:val="-10"/>
          <w:w w:val="110"/>
        </w:rPr>
        <w:t> </w:t>
      </w:r>
      <w:r>
        <w:rPr>
          <w:color w:val="231F20"/>
          <w:spacing w:val="-4"/>
          <w:w w:val="110"/>
        </w:rPr>
        <w:t>Guengannt, </w:t>
      </w:r>
      <w:r>
        <w:rPr>
          <w:color w:val="231F20"/>
          <w:w w:val="110"/>
        </w:rPr>
        <w:t>1993). Para abordar el proceso de envejecimiento es necesario establecer la edad a partir de la cual consideramos a la población como </w:t>
      </w:r>
      <w:r>
        <w:rPr>
          <w:color w:val="231F20"/>
          <w:spacing w:val="33"/>
          <w:w w:val="110"/>
        </w:rPr>
        <w:t> </w:t>
      </w:r>
      <w:r>
        <w:rPr>
          <w:color w:val="231F20"/>
          <w:w w:val="110"/>
        </w:rPr>
        <w:t>envejecida.</w:t>
      </w:r>
    </w:p>
    <w:p>
      <w:pPr>
        <w:pStyle w:val="BodyText"/>
      </w:pPr>
    </w:p>
    <w:p>
      <w:pPr>
        <w:pStyle w:val="BodyText"/>
        <w:spacing w:before="9"/>
        <w:rPr>
          <w:sz w:val="24"/>
        </w:rPr>
      </w:pPr>
    </w:p>
    <w:p>
      <w:pPr>
        <w:spacing w:before="0"/>
        <w:ind w:left="124" w:right="0" w:firstLine="0"/>
        <w:jc w:val="both"/>
        <w:rPr>
          <w:rFonts w:ascii="Times New Roman"/>
          <w:i/>
          <w:sz w:val="19"/>
        </w:rPr>
      </w:pPr>
      <w:r>
        <w:rPr>
          <w:rFonts w:ascii="Times New Roman"/>
          <w:i/>
          <w:color w:val="231F20"/>
          <w:w w:val="95"/>
          <w:sz w:val="24"/>
        </w:rPr>
        <w:t>L</w:t>
      </w:r>
      <w:r>
        <w:rPr>
          <w:rFonts w:ascii="Times New Roman"/>
          <w:i/>
          <w:color w:val="231F20"/>
          <w:w w:val="95"/>
          <w:sz w:val="19"/>
        </w:rPr>
        <w:t>A EDAD DE ENVEJECIMIENTO</w:t>
      </w:r>
    </w:p>
    <w:p>
      <w:pPr>
        <w:pStyle w:val="BodyText"/>
        <w:spacing w:before="3"/>
        <w:rPr>
          <w:rFonts w:ascii="Times New Roman"/>
          <w:i/>
          <w:sz w:val="27"/>
        </w:rPr>
      </w:pPr>
    </w:p>
    <w:p>
      <w:pPr>
        <w:pStyle w:val="BodyText"/>
        <w:spacing w:line="283" w:lineRule="auto"/>
        <w:ind w:left="124" w:right="112"/>
        <w:jc w:val="both"/>
      </w:pPr>
      <w:r>
        <w:rPr>
          <w:color w:val="231F20"/>
          <w:w w:val="110"/>
        </w:rPr>
        <w:t>El</w:t>
      </w:r>
      <w:r>
        <w:rPr>
          <w:color w:val="231F20"/>
          <w:spacing w:val="-12"/>
          <w:w w:val="110"/>
        </w:rPr>
        <w:t> </w:t>
      </w:r>
      <w:r>
        <w:rPr>
          <w:color w:val="231F20"/>
          <w:spacing w:val="-4"/>
          <w:w w:val="110"/>
        </w:rPr>
        <w:t>límite</w:t>
      </w:r>
      <w:r>
        <w:rPr>
          <w:color w:val="231F20"/>
          <w:spacing w:val="-12"/>
          <w:w w:val="110"/>
        </w:rPr>
        <w:t> </w:t>
      </w:r>
      <w:r>
        <w:rPr>
          <w:color w:val="231F20"/>
          <w:w w:val="110"/>
        </w:rPr>
        <w:t>de</w:t>
      </w:r>
      <w:r>
        <w:rPr>
          <w:color w:val="231F20"/>
          <w:spacing w:val="-12"/>
          <w:w w:val="110"/>
        </w:rPr>
        <w:t> </w:t>
      </w:r>
      <w:r>
        <w:rPr>
          <w:color w:val="231F20"/>
          <w:spacing w:val="-3"/>
          <w:w w:val="110"/>
        </w:rPr>
        <w:t>edad</w:t>
      </w:r>
      <w:r>
        <w:rPr>
          <w:color w:val="231F20"/>
          <w:spacing w:val="-12"/>
          <w:w w:val="110"/>
        </w:rPr>
        <w:t> </w:t>
      </w:r>
      <w:r>
        <w:rPr>
          <w:color w:val="231F20"/>
          <w:spacing w:val="-3"/>
          <w:w w:val="110"/>
        </w:rPr>
        <w:t>para</w:t>
      </w:r>
      <w:r>
        <w:rPr>
          <w:color w:val="231F20"/>
          <w:spacing w:val="-12"/>
          <w:w w:val="110"/>
        </w:rPr>
        <w:t> </w:t>
      </w:r>
      <w:r>
        <w:rPr>
          <w:color w:val="231F20"/>
          <w:spacing w:val="-3"/>
          <w:w w:val="110"/>
        </w:rPr>
        <w:t>definir</w:t>
      </w:r>
      <w:r>
        <w:rPr>
          <w:color w:val="231F20"/>
          <w:spacing w:val="-12"/>
          <w:w w:val="110"/>
        </w:rPr>
        <w:t> </w:t>
      </w:r>
      <w:r>
        <w:rPr>
          <w:color w:val="231F20"/>
          <w:w w:val="110"/>
        </w:rPr>
        <w:t>a</w:t>
      </w:r>
      <w:r>
        <w:rPr>
          <w:color w:val="231F20"/>
          <w:spacing w:val="-12"/>
          <w:w w:val="110"/>
        </w:rPr>
        <w:t> </w:t>
      </w:r>
      <w:r>
        <w:rPr>
          <w:color w:val="231F20"/>
          <w:spacing w:val="-3"/>
          <w:w w:val="110"/>
        </w:rPr>
        <w:t>una</w:t>
      </w:r>
      <w:r>
        <w:rPr>
          <w:color w:val="231F20"/>
          <w:spacing w:val="-12"/>
          <w:w w:val="110"/>
        </w:rPr>
        <w:t> </w:t>
      </w:r>
      <w:r>
        <w:rPr>
          <w:color w:val="231F20"/>
          <w:spacing w:val="-4"/>
          <w:w w:val="110"/>
        </w:rPr>
        <w:t>persona</w:t>
      </w:r>
      <w:r>
        <w:rPr>
          <w:color w:val="231F20"/>
          <w:spacing w:val="-12"/>
          <w:w w:val="110"/>
        </w:rPr>
        <w:t> </w:t>
      </w:r>
      <w:r>
        <w:rPr>
          <w:color w:val="231F20"/>
          <w:spacing w:val="-3"/>
          <w:w w:val="110"/>
        </w:rPr>
        <w:t>como</w:t>
      </w:r>
      <w:r>
        <w:rPr>
          <w:color w:val="231F20"/>
          <w:spacing w:val="-12"/>
          <w:w w:val="110"/>
        </w:rPr>
        <w:t> </w:t>
      </w:r>
      <w:r>
        <w:rPr>
          <w:color w:val="231F20"/>
          <w:spacing w:val="-4"/>
          <w:w w:val="110"/>
        </w:rPr>
        <w:t>envejecida</w:t>
      </w:r>
      <w:r>
        <w:rPr>
          <w:color w:val="231F20"/>
          <w:spacing w:val="-12"/>
          <w:w w:val="110"/>
        </w:rPr>
        <w:t> </w:t>
      </w:r>
      <w:r>
        <w:rPr>
          <w:color w:val="231F20"/>
          <w:spacing w:val="-4"/>
          <w:w w:val="110"/>
        </w:rPr>
        <w:t>varía</w:t>
      </w:r>
      <w:r>
        <w:rPr>
          <w:color w:val="231F20"/>
          <w:spacing w:val="-12"/>
          <w:w w:val="110"/>
        </w:rPr>
        <w:t> </w:t>
      </w:r>
      <w:r>
        <w:rPr>
          <w:color w:val="231F20"/>
          <w:w w:val="110"/>
        </w:rPr>
        <w:t>de</w:t>
      </w:r>
      <w:r>
        <w:rPr>
          <w:color w:val="231F20"/>
          <w:spacing w:val="-12"/>
          <w:w w:val="110"/>
        </w:rPr>
        <w:t> </w:t>
      </w:r>
      <w:r>
        <w:rPr>
          <w:color w:val="231F20"/>
          <w:spacing w:val="-4"/>
          <w:w w:val="110"/>
        </w:rPr>
        <w:t>acuerdo </w:t>
      </w:r>
      <w:r>
        <w:rPr>
          <w:color w:val="231F20"/>
          <w:w w:val="110"/>
        </w:rPr>
        <w:t>con los objetivos que se persigue en cada investigación, con la disponi- bilidad de información, así como con la conveniencia para</w:t>
      </w:r>
      <w:r>
        <w:rPr>
          <w:color w:val="231F20"/>
          <w:spacing w:val="43"/>
          <w:w w:val="110"/>
        </w:rPr>
        <w:t> </w:t>
      </w:r>
      <w:r>
        <w:rPr>
          <w:color w:val="231F20"/>
          <w:w w:val="110"/>
        </w:rPr>
        <w:t>determinarla.</w:t>
      </w:r>
    </w:p>
    <w:p>
      <w:pPr>
        <w:pStyle w:val="BodyText"/>
        <w:spacing w:line="285" w:lineRule="auto"/>
        <w:ind w:left="124" w:right="112" w:firstLine="360"/>
        <w:jc w:val="both"/>
      </w:pPr>
      <w:r>
        <w:rPr>
          <w:color w:val="231F20"/>
          <w:w w:val="110"/>
        </w:rPr>
        <w:t>La literatura demográfica establece, indistintamente, a la población de 60 o más años o la de 65 años y más, como envejecida, a la que nos refe- riremos</w:t>
      </w:r>
      <w:r>
        <w:rPr>
          <w:color w:val="231F20"/>
          <w:spacing w:val="-6"/>
          <w:w w:val="110"/>
        </w:rPr>
        <w:t> </w:t>
      </w:r>
      <w:r>
        <w:rPr>
          <w:color w:val="231F20"/>
          <w:w w:val="110"/>
        </w:rPr>
        <w:t>en</w:t>
      </w:r>
      <w:r>
        <w:rPr>
          <w:color w:val="231F20"/>
          <w:spacing w:val="-6"/>
          <w:w w:val="110"/>
        </w:rPr>
        <w:t> </w:t>
      </w:r>
      <w:r>
        <w:rPr>
          <w:color w:val="231F20"/>
          <w:w w:val="110"/>
        </w:rPr>
        <w:t>adelante</w:t>
      </w:r>
      <w:r>
        <w:rPr>
          <w:color w:val="231F20"/>
          <w:spacing w:val="-6"/>
          <w:w w:val="110"/>
        </w:rPr>
        <w:t> </w:t>
      </w:r>
      <w:r>
        <w:rPr>
          <w:color w:val="231F20"/>
          <w:w w:val="110"/>
        </w:rPr>
        <w:t>como</w:t>
      </w:r>
      <w:r>
        <w:rPr>
          <w:color w:val="231F20"/>
          <w:spacing w:val="-6"/>
          <w:w w:val="110"/>
        </w:rPr>
        <w:t> </w:t>
      </w:r>
      <w:r>
        <w:rPr>
          <w:color w:val="231F20"/>
          <w:w w:val="110"/>
        </w:rPr>
        <w:t>población</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tercera</w:t>
      </w:r>
      <w:r>
        <w:rPr>
          <w:color w:val="231F20"/>
          <w:spacing w:val="-6"/>
          <w:w w:val="110"/>
        </w:rPr>
        <w:t> </w:t>
      </w:r>
      <w:r>
        <w:rPr>
          <w:color w:val="231F20"/>
          <w:w w:val="110"/>
        </w:rPr>
        <w:t>edad</w:t>
      </w:r>
      <w:r>
        <w:rPr>
          <w:color w:val="231F20"/>
          <w:w w:val="110"/>
          <w:position w:val="6"/>
          <w:sz w:val="11"/>
        </w:rPr>
        <w:t>4</w:t>
      </w:r>
      <w:r>
        <w:rPr>
          <w:color w:val="231F20"/>
          <w:spacing w:val="12"/>
          <w:w w:val="110"/>
          <w:position w:val="6"/>
          <w:sz w:val="11"/>
        </w:rPr>
        <w:t> </w:t>
      </w:r>
      <w:r>
        <w:rPr>
          <w:color w:val="231F20"/>
          <w:w w:val="110"/>
        </w:rPr>
        <w:t>o</w:t>
      </w:r>
      <w:r>
        <w:rPr>
          <w:color w:val="231F20"/>
          <w:spacing w:val="-6"/>
          <w:w w:val="110"/>
        </w:rPr>
        <w:t> </w:t>
      </w:r>
      <w:r>
        <w:rPr>
          <w:color w:val="231F20"/>
          <w:w w:val="110"/>
        </w:rPr>
        <w:t>adultos</w:t>
      </w:r>
      <w:r>
        <w:rPr>
          <w:color w:val="231F20"/>
          <w:spacing w:val="-6"/>
          <w:w w:val="110"/>
        </w:rPr>
        <w:t> </w:t>
      </w:r>
      <w:r>
        <w:rPr>
          <w:color w:val="231F20"/>
          <w:w w:val="110"/>
        </w:rPr>
        <w:t>mayores, (Ham y González, 2008; Ortiz y Gerónimo, 2008; Sánchez, 2005 y 2007, entre otros). Sin embargo, en la presente investigación la edad para</w:t>
      </w:r>
      <w:r>
        <w:rPr>
          <w:color w:val="231F20"/>
          <w:spacing w:val="-30"/>
          <w:w w:val="110"/>
        </w:rPr>
        <w:t> </w:t>
      </w:r>
      <w:r>
        <w:rPr>
          <w:color w:val="231F20"/>
          <w:w w:val="110"/>
        </w:rPr>
        <w:t>definir la</w:t>
      </w:r>
      <w:r>
        <w:rPr>
          <w:color w:val="231F20"/>
          <w:spacing w:val="14"/>
          <w:w w:val="110"/>
        </w:rPr>
        <w:t> </w:t>
      </w:r>
      <w:r>
        <w:rPr>
          <w:color w:val="231F20"/>
          <w:w w:val="110"/>
        </w:rPr>
        <w:t>población</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tercera</w:t>
      </w:r>
      <w:r>
        <w:rPr>
          <w:color w:val="231F20"/>
          <w:spacing w:val="14"/>
          <w:w w:val="110"/>
        </w:rPr>
        <w:t> </w:t>
      </w:r>
      <w:r>
        <w:rPr>
          <w:color w:val="231F20"/>
          <w:w w:val="110"/>
        </w:rPr>
        <w:t>edad</w:t>
      </w:r>
      <w:r>
        <w:rPr>
          <w:color w:val="231F20"/>
          <w:spacing w:val="14"/>
          <w:w w:val="110"/>
        </w:rPr>
        <w:t> </w:t>
      </w:r>
      <w:r>
        <w:rPr>
          <w:color w:val="231F20"/>
          <w:w w:val="110"/>
        </w:rPr>
        <w:t>es</w:t>
      </w:r>
      <w:r>
        <w:rPr>
          <w:color w:val="231F20"/>
          <w:spacing w:val="14"/>
          <w:w w:val="110"/>
        </w:rPr>
        <w:t> </w:t>
      </w:r>
      <w:r>
        <w:rPr>
          <w:color w:val="231F20"/>
          <w:w w:val="110"/>
        </w:rPr>
        <w:t>a</w:t>
      </w:r>
      <w:r>
        <w:rPr>
          <w:color w:val="231F20"/>
          <w:spacing w:val="14"/>
          <w:w w:val="110"/>
        </w:rPr>
        <w:t> </w:t>
      </w:r>
      <w:r>
        <w:rPr>
          <w:color w:val="231F20"/>
          <w:w w:val="110"/>
        </w:rPr>
        <w:t>partir</w:t>
      </w:r>
      <w:r>
        <w:rPr>
          <w:color w:val="231F20"/>
          <w:spacing w:val="14"/>
          <w:w w:val="110"/>
        </w:rPr>
        <w:t> </w:t>
      </w:r>
      <w:r>
        <w:rPr>
          <w:color w:val="231F20"/>
          <w:w w:val="110"/>
        </w:rPr>
        <w:t>de</w:t>
      </w:r>
      <w:r>
        <w:rPr>
          <w:color w:val="231F20"/>
          <w:spacing w:val="14"/>
          <w:w w:val="110"/>
        </w:rPr>
        <w:t> </w:t>
      </w:r>
      <w:r>
        <w:rPr>
          <w:color w:val="231F20"/>
          <w:w w:val="110"/>
        </w:rPr>
        <w:t>los</w:t>
      </w:r>
      <w:r>
        <w:rPr>
          <w:color w:val="231F20"/>
          <w:spacing w:val="14"/>
          <w:w w:val="110"/>
        </w:rPr>
        <w:t> </w:t>
      </w:r>
      <w:r>
        <w:rPr>
          <w:color w:val="231F20"/>
          <w:w w:val="110"/>
        </w:rPr>
        <w:t>65</w:t>
      </w:r>
      <w:r>
        <w:rPr>
          <w:color w:val="231F20"/>
          <w:spacing w:val="14"/>
          <w:w w:val="110"/>
        </w:rPr>
        <w:t> </w:t>
      </w:r>
      <w:r>
        <w:rPr>
          <w:color w:val="231F20"/>
          <w:w w:val="110"/>
        </w:rPr>
        <w:t>años,</w:t>
      </w:r>
      <w:r>
        <w:rPr>
          <w:color w:val="231F20"/>
          <w:spacing w:val="14"/>
          <w:w w:val="110"/>
        </w:rPr>
        <w:t> </w:t>
      </w:r>
      <w:r>
        <w:rPr>
          <w:color w:val="231F20"/>
          <w:w w:val="110"/>
        </w:rPr>
        <w:t>tomando</w:t>
      </w:r>
      <w:r>
        <w:rPr>
          <w:color w:val="231F20"/>
          <w:spacing w:val="14"/>
          <w:w w:val="110"/>
        </w:rPr>
        <w:t> </w:t>
      </w:r>
      <w:r>
        <w:rPr>
          <w:color w:val="231F20"/>
          <w:w w:val="110"/>
        </w:rPr>
        <w:t>como</w:t>
      </w:r>
    </w:p>
    <w:p>
      <w:pPr>
        <w:pStyle w:val="BodyText"/>
        <w:spacing w:before="6"/>
        <w:rPr>
          <w:sz w:val="15"/>
        </w:rPr>
      </w:pPr>
    </w:p>
    <w:p>
      <w:pPr>
        <w:spacing w:line="256" w:lineRule="auto" w:before="0"/>
        <w:ind w:left="124" w:right="111" w:firstLine="360"/>
        <w:jc w:val="both"/>
        <w:rPr>
          <w:sz w:val="16"/>
        </w:rPr>
      </w:pPr>
      <w:r>
        <w:rPr>
          <w:color w:val="231F20"/>
          <w:w w:val="110"/>
          <w:position w:val="5"/>
          <w:sz w:val="9"/>
        </w:rPr>
        <w:t>4 </w:t>
      </w:r>
      <w:r>
        <w:rPr>
          <w:color w:val="231F20"/>
          <w:w w:val="110"/>
          <w:sz w:val="16"/>
        </w:rPr>
        <w:t>Edad caracterizada por pérdidas en las capacidades físicas y mentales, retiro de la acti- vidad y del trabajo, detrimento en el rol familiar y social, y deterioro en la salud de conse- cuencias permanentes que disminuyen la autonomía y la adaptabilidad (Ham, 1999: 10 y 2003: 62). Lo que implica un regreso a la dependencia hacia la familia y a la sociedad en general,</w:t>
      </w:r>
      <w:r>
        <w:rPr>
          <w:color w:val="231F20"/>
          <w:spacing w:val="-6"/>
          <w:w w:val="110"/>
          <w:sz w:val="16"/>
        </w:rPr>
        <w:t> </w:t>
      </w:r>
      <w:r>
        <w:rPr>
          <w:color w:val="231F20"/>
          <w:w w:val="110"/>
          <w:sz w:val="16"/>
        </w:rPr>
        <w:t>lo</w:t>
      </w:r>
      <w:r>
        <w:rPr>
          <w:color w:val="231F20"/>
          <w:spacing w:val="-6"/>
          <w:w w:val="110"/>
          <w:sz w:val="16"/>
        </w:rPr>
        <w:t> </w:t>
      </w:r>
      <w:r>
        <w:rPr>
          <w:color w:val="231F20"/>
          <w:w w:val="110"/>
          <w:sz w:val="16"/>
        </w:rPr>
        <w:t>cual</w:t>
      </w:r>
      <w:r>
        <w:rPr>
          <w:color w:val="231F20"/>
          <w:spacing w:val="-6"/>
          <w:w w:val="110"/>
          <w:sz w:val="16"/>
        </w:rPr>
        <w:t> </w:t>
      </w:r>
      <w:r>
        <w:rPr>
          <w:color w:val="231F20"/>
          <w:w w:val="110"/>
          <w:sz w:val="16"/>
        </w:rPr>
        <w:t>implica</w:t>
      </w:r>
      <w:r>
        <w:rPr>
          <w:color w:val="231F20"/>
          <w:spacing w:val="-6"/>
          <w:w w:val="110"/>
          <w:sz w:val="16"/>
        </w:rPr>
        <w:t> </w:t>
      </w:r>
      <w:r>
        <w:rPr>
          <w:color w:val="231F20"/>
          <w:w w:val="110"/>
          <w:sz w:val="16"/>
        </w:rPr>
        <w:t>que</w:t>
      </w:r>
      <w:r>
        <w:rPr>
          <w:color w:val="231F20"/>
          <w:spacing w:val="-6"/>
          <w:w w:val="110"/>
          <w:sz w:val="16"/>
        </w:rPr>
        <w:t> </w:t>
      </w:r>
      <w:r>
        <w:rPr>
          <w:color w:val="231F20"/>
          <w:w w:val="110"/>
          <w:sz w:val="16"/>
        </w:rPr>
        <w:t>la</w:t>
      </w:r>
      <w:r>
        <w:rPr>
          <w:color w:val="231F20"/>
          <w:spacing w:val="-6"/>
          <w:w w:val="110"/>
          <w:sz w:val="16"/>
        </w:rPr>
        <w:t> </w:t>
      </w:r>
      <w:r>
        <w:rPr>
          <w:color w:val="231F20"/>
          <w:w w:val="110"/>
          <w:sz w:val="16"/>
        </w:rPr>
        <w:t>población</w:t>
      </w:r>
      <w:r>
        <w:rPr>
          <w:color w:val="231F20"/>
          <w:spacing w:val="-6"/>
          <w:w w:val="110"/>
          <w:sz w:val="16"/>
        </w:rPr>
        <w:t> </w:t>
      </w:r>
      <w:r>
        <w:rPr>
          <w:color w:val="231F20"/>
          <w:w w:val="110"/>
          <w:sz w:val="16"/>
        </w:rPr>
        <w:t>vieja</w:t>
      </w:r>
      <w:r>
        <w:rPr>
          <w:color w:val="231F20"/>
          <w:spacing w:val="-6"/>
          <w:w w:val="110"/>
          <w:sz w:val="16"/>
        </w:rPr>
        <w:t> </w:t>
      </w:r>
      <w:r>
        <w:rPr>
          <w:color w:val="231F20"/>
          <w:w w:val="110"/>
          <w:sz w:val="16"/>
        </w:rPr>
        <w:t>tenga</w:t>
      </w:r>
      <w:r>
        <w:rPr>
          <w:color w:val="231F20"/>
          <w:spacing w:val="-6"/>
          <w:w w:val="110"/>
          <w:sz w:val="16"/>
        </w:rPr>
        <w:t> </w:t>
      </w:r>
      <w:r>
        <w:rPr>
          <w:color w:val="231F20"/>
          <w:w w:val="110"/>
          <w:sz w:val="16"/>
        </w:rPr>
        <w:t>la</w:t>
      </w:r>
      <w:r>
        <w:rPr>
          <w:color w:val="231F20"/>
          <w:spacing w:val="-6"/>
          <w:w w:val="110"/>
          <w:sz w:val="16"/>
        </w:rPr>
        <w:t> </w:t>
      </w:r>
      <w:r>
        <w:rPr>
          <w:color w:val="231F20"/>
          <w:w w:val="110"/>
          <w:sz w:val="16"/>
        </w:rPr>
        <w:t>necesidad</w:t>
      </w:r>
      <w:r>
        <w:rPr>
          <w:color w:val="231F20"/>
          <w:spacing w:val="-6"/>
          <w:w w:val="110"/>
          <w:sz w:val="16"/>
        </w:rPr>
        <w:t> </w:t>
      </w:r>
      <w:r>
        <w:rPr>
          <w:color w:val="231F20"/>
          <w:w w:val="110"/>
          <w:sz w:val="16"/>
        </w:rPr>
        <w:t>de</w:t>
      </w:r>
      <w:r>
        <w:rPr>
          <w:color w:val="231F20"/>
          <w:spacing w:val="-6"/>
          <w:w w:val="110"/>
          <w:sz w:val="16"/>
        </w:rPr>
        <w:t> </w:t>
      </w:r>
      <w:r>
        <w:rPr>
          <w:color w:val="231F20"/>
          <w:w w:val="110"/>
          <w:sz w:val="16"/>
        </w:rPr>
        <w:t>demandar</w:t>
      </w:r>
      <w:r>
        <w:rPr>
          <w:color w:val="231F20"/>
          <w:spacing w:val="-6"/>
          <w:w w:val="110"/>
          <w:sz w:val="16"/>
        </w:rPr>
        <w:t> </w:t>
      </w:r>
      <w:r>
        <w:rPr>
          <w:color w:val="231F20"/>
          <w:w w:val="110"/>
          <w:sz w:val="16"/>
        </w:rPr>
        <w:t>cada</w:t>
      </w:r>
      <w:r>
        <w:rPr>
          <w:color w:val="231F20"/>
          <w:spacing w:val="-6"/>
          <w:w w:val="110"/>
          <w:sz w:val="16"/>
        </w:rPr>
        <w:t> </w:t>
      </w:r>
      <w:r>
        <w:rPr>
          <w:color w:val="231F20"/>
          <w:w w:val="110"/>
          <w:sz w:val="16"/>
        </w:rPr>
        <w:t>vez</w:t>
      </w:r>
      <w:r>
        <w:rPr>
          <w:color w:val="231F20"/>
          <w:spacing w:val="-6"/>
          <w:w w:val="110"/>
          <w:sz w:val="16"/>
        </w:rPr>
        <w:t> </w:t>
      </w:r>
      <w:r>
        <w:rPr>
          <w:color w:val="231F20"/>
          <w:w w:val="110"/>
          <w:sz w:val="16"/>
        </w:rPr>
        <w:t>mayor manutención y cuidado físico, motriz, mental, social, económico y la pérdida permanente de la</w:t>
      </w:r>
      <w:r>
        <w:rPr>
          <w:color w:val="231F20"/>
          <w:spacing w:val="13"/>
          <w:w w:val="110"/>
          <w:sz w:val="16"/>
        </w:rPr>
        <w:t> </w:t>
      </w:r>
      <w:r>
        <w:rPr>
          <w:color w:val="231F20"/>
          <w:w w:val="110"/>
          <w:sz w:val="16"/>
        </w:rPr>
        <w:t>salud.</w:t>
      </w:r>
    </w:p>
    <w:p>
      <w:pPr>
        <w:spacing w:after="0" w:line="256" w:lineRule="auto"/>
        <w:jc w:val="both"/>
        <w:rPr>
          <w:sz w:val="16"/>
        </w:rPr>
        <w:sectPr>
          <w:pgSz w:w="9520" w:h="12920"/>
          <w:pgMar w:header="0" w:footer="1344" w:top="880" w:bottom="1540" w:left="1320" w:right="1000"/>
        </w:sectPr>
      </w:pPr>
    </w:p>
    <w:p>
      <w:pPr>
        <w:pStyle w:val="BodyText"/>
        <w:spacing w:line="280" w:lineRule="auto" w:before="42"/>
        <w:ind w:left="120"/>
      </w:pPr>
      <w:r>
        <w:rPr>
          <w:color w:val="231F20"/>
          <w:w w:val="110"/>
        </w:rPr>
        <w:t>referencia dos criterios establecidos y aceptados, de forma separada, por Ham (1999, 2000 y 2003) y, Garrocho y Campos (2005).</w:t>
      </w:r>
    </w:p>
    <w:p>
      <w:pPr>
        <w:pStyle w:val="BodyText"/>
        <w:spacing w:line="280" w:lineRule="auto"/>
        <w:ind w:left="119" w:right="116" w:firstLine="360"/>
        <w:jc w:val="both"/>
      </w:pPr>
      <w:r>
        <w:rPr>
          <w:color w:val="231F20"/>
          <w:w w:val="110"/>
        </w:rPr>
        <w:t>Primero, en México la edad de 65 años se utiliza como criterio para definir el retiro de la actividad económica para pasar a la jubilación (Ham, 2003), y que lo establece la Ley del Seguro Social, considerada ésta</w:t>
      </w:r>
      <w:r>
        <w:rPr>
          <w:color w:val="231F20"/>
          <w:spacing w:val="-9"/>
          <w:w w:val="110"/>
        </w:rPr>
        <w:t> </w:t>
      </w:r>
      <w:r>
        <w:rPr>
          <w:color w:val="231F20"/>
          <w:w w:val="110"/>
        </w:rPr>
        <w:t>porque el Instituto Mexicano del Seguro Social concentra la mayoría de la pobla- ción afiliada al régimen de seguridad social.</w:t>
      </w:r>
      <w:r>
        <w:rPr>
          <w:color w:val="231F20"/>
          <w:w w:val="110"/>
          <w:position w:val="6"/>
          <w:sz w:val="11"/>
        </w:rPr>
        <w:t>5 </w:t>
      </w:r>
      <w:r>
        <w:rPr>
          <w:color w:val="231F20"/>
          <w:w w:val="110"/>
        </w:rPr>
        <w:t>Segundo, la organización de los datos demográficos, por un lado, se presentan en las fuentes de datos, principalmente en los censos, ya que durante los censos de 1990 y 2000 la población adulta mayor se presentaba a partir de los 60 años y más, sin embargo, en el censo de 2010 se cuenta con información del grupo de po- blación envejecida en los rubros de 60 años y más, así como de 65 años y más; por otro lado, las condiciones de cese de actividades, roles, respon- sabilidades</w:t>
      </w:r>
      <w:r>
        <w:rPr>
          <w:color w:val="231F20"/>
          <w:spacing w:val="-15"/>
          <w:w w:val="110"/>
        </w:rPr>
        <w:t> </w:t>
      </w:r>
      <w:r>
        <w:rPr>
          <w:color w:val="231F20"/>
          <w:w w:val="110"/>
        </w:rPr>
        <w:t>determinan</w:t>
      </w:r>
      <w:r>
        <w:rPr>
          <w:color w:val="231F20"/>
          <w:spacing w:val="-15"/>
          <w:w w:val="110"/>
        </w:rPr>
        <w:t> </w:t>
      </w:r>
      <w:r>
        <w:rPr>
          <w:color w:val="231F20"/>
          <w:w w:val="110"/>
        </w:rPr>
        <w:t>el</w:t>
      </w:r>
      <w:r>
        <w:rPr>
          <w:color w:val="231F20"/>
          <w:spacing w:val="-15"/>
          <w:w w:val="110"/>
        </w:rPr>
        <w:t> </w:t>
      </w:r>
      <w:r>
        <w:rPr>
          <w:color w:val="231F20"/>
          <w:w w:val="110"/>
        </w:rPr>
        <w:t>envejecimiento</w:t>
      </w:r>
      <w:r>
        <w:rPr>
          <w:color w:val="231F20"/>
          <w:w w:val="110"/>
          <w:position w:val="6"/>
          <w:sz w:val="11"/>
        </w:rPr>
        <w:t>6</w:t>
      </w:r>
      <w:r>
        <w:rPr>
          <w:color w:val="231F20"/>
          <w:spacing w:val="7"/>
          <w:w w:val="110"/>
          <w:position w:val="6"/>
          <w:sz w:val="11"/>
        </w:rPr>
        <w:t> </w:t>
      </w:r>
      <w:r>
        <w:rPr>
          <w:color w:val="231F20"/>
          <w:w w:val="110"/>
        </w:rPr>
        <w:t>que</w:t>
      </w:r>
      <w:r>
        <w:rPr>
          <w:color w:val="231F20"/>
          <w:spacing w:val="-15"/>
          <w:w w:val="110"/>
        </w:rPr>
        <w:t> </w:t>
      </w:r>
      <w:r>
        <w:rPr>
          <w:color w:val="231F20"/>
          <w:w w:val="110"/>
        </w:rPr>
        <w:t>en</w:t>
      </w:r>
      <w:r>
        <w:rPr>
          <w:color w:val="231F20"/>
          <w:spacing w:val="-15"/>
          <w:w w:val="110"/>
        </w:rPr>
        <w:t> </w:t>
      </w:r>
      <w:r>
        <w:rPr>
          <w:color w:val="231F20"/>
          <w:w w:val="110"/>
        </w:rPr>
        <w:t>etapas</w:t>
      </w:r>
      <w:r>
        <w:rPr>
          <w:color w:val="231F20"/>
          <w:spacing w:val="-15"/>
          <w:w w:val="110"/>
        </w:rPr>
        <w:t> </w:t>
      </w:r>
      <w:r>
        <w:rPr>
          <w:color w:val="231F20"/>
          <w:w w:val="110"/>
        </w:rPr>
        <w:t>posteriores</w:t>
      </w:r>
      <w:r>
        <w:rPr>
          <w:color w:val="231F20"/>
          <w:spacing w:val="-15"/>
          <w:w w:val="110"/>
        </w:rPr>
        <w:t> </w:t>
      </w:r>
      <w:r>
        <w:rPr>
          <w:color w:val="231F20"/>
          <w:w w:val="110"/>
        </w:rPr>
        <w:t>termi- nan en dependencia (Ham, 1999 y 2000) (Garrocho y Campos,</w:t>
      </w:r>
      <w:r>
        <w:rPr>
          <w:color w:val="231F20"/>
          <w:spacing w:val="-5"/>
          <w:w w:val="110"/>
        </w:rPr>
        <w:t> </w:t>
      </w:r>
      <w:r>
        <w:rPr>
          <w:color w:val="231F20"/>
          <w:w w:val="110"/>
        </w:rPr>
        <w:t>2005).</w:t>
      </w:r>
    </w:p>
    <w:p>
      <w:pPr>
        <w:pStyle w:val="BodyText"/>
        <w:spacing w:line="280" w:lineRule="auto"/>
        <w:ind w:left="120" w:right="117" w:firstLine="360"/>
        <w:jc w:val="both"/>
      </w:pPr>
      <w:r>
        <w:rPr>
          <w:color w:val="231F20"/>
          <w:w w:val="110"/>
        </w:rPr>
        <w:t>De esta manera, la población que alcanza esta edad se identifica con la población que se encuentra en retiro de su trabajo, así como con las per- sonas que presentan las crecientes incidencias y prevalencias de las en- fermedades crónicas, degenerativas e incapacitantes que disminuyen la autonomía y la adaptabilidad; asimismo, se caracterizan por la pérdida en las capacidades físicas y mentales, menoscabo de papeles familiares y so- ciales (Laslett, 1990).</w:t>
      </w:r>
    </w:p>
    <w:p>
      <w:pPr>
        <w:pStyle w:val="BodyText"/>
        <w:spacing w:line="280" w:lineRule="auto"/>
        <w:ind w:left="119" w:right="116" w:firstLine="360"/>
        <w:jc w:val="both"/>
      </w:pPr>
      <w:r>
        <w:rPr>
          <w:color w:val="231F20"/>
          <w:w w:val="110"/>
        </w:rPr>
        <w:t>En este sentido, la asociación entre edad avanzada y pérdidas de fun- cionalidad física, social y económica, se puede establecer en el umbral de la edad de envejecimiento de acuerdo con edades alcanzadas, pero consi- derando que el envejecimiento es un proceso con gradientes, en busca de criterios prácticos y accesibles para el manejo estadístico y demográfico </w:t>
      </w:r>
      <w:r>
        <w:rPr>
          <w:color w:val="231F20"/>
          <w:w w:val="105"/>
        </w:rPr>
        <w:t>(Ham, 2003).</w:t>
      </w:r>
    </w:p>
    <w:p>
      <w:pPr>
        <w:spacing w:line="247" w:lineRule="auto" w:before="153"/>
        <w:ind w:left="120" w:right="115" w:firstLine="360"/>
        <w:jc w:val="both"/>
        <w:rPr>
          <w:sz w:val="16"/>
        </w:rPr>
      </w:pPr>
      <w:r>
        <w:rPr>
          <w:color w:val="231F20"/>
          <w:w w:val="110"/>
          <w:position w:val="5"/>
          <w:sz w:val="9"/>
        </w:rPr>
        <w:t>5</w:t>
      </w:r>
      <w:r>
        <w:rPr>
          <w:color w:val="231F20"/>
          <w:spacing w:val="-8"/>
          <w:w w:val="110"/>
          <w:position w:val="5"/>
          <w:sz w:val="9"/>
        </w:rPr>
        <w:t> </w:t>
      </w:r>
      <w:r>
        <w:rPr>
          <w:color w:val="231F20"/>
          <w:w w:val="110"/>
          <w:sz w:val="16"/>
        </w:rPr>
        <w:t>La</w:t>
      </w:r>
      <w:r>
        <w:rPr>
          <w:color w:val="231F20"/>
          <w:spacing w:val="-8"/>
          <w:w w:val="110"/>
          <w:sz w:val="16"/>
        </w:rPr>
        <w:t> </w:t>
      </w:r>
      <w:r>
        <w:rPr>
          <w:color w:val="231F20"/>
          <w:w w:val="110"/>
          <w:sz w:val="16"/>
        </w:rPr>
        <w:t>Ley</w:t>
      </w:r>
      <w:r>
        <w:rPr>
          <w:color w:val="231F20"/>
          <w:spacing w:val="-8"/>
          <w:w w:val="110"/>
          <w:sz w:val="16"/>
        </w:rPr>
        <w:t> </w:t>
      </w:r>
      <w:r>
        <w:rPr>
          <w:color w:val="231F20"/>
          <w:w w:val="110"/>
          <w:sz w:val="16"/>
        </w:rPr>
        <w:t>del</w:t>
      </w:r>
      <w:r>
        <w:rPr>
          <w:color w:val="231F20"/>
          <w:spacing w:val="-8"/>
          <w:w w:val="110"/>
          <w:sz w:val="16"/>
        </w:rPr>
        <w:t> </w:t>
      </w:r>
      <w:r>
        <w:rPr>
          <w:color w:val="231F20"/>
          <w:w w:val="110"/>
          <w:sz w:val="16"/>
        </w:rPr>
        <w:t>seguro</w:t>
      </w:r>
      <w:r>
        <w:rPr>
          <w:color w:val="231F20"/>
          <w:spacing w:val="-8"/>
          <w:w w:val="110"/>
          <w:sz w:val="16"/>
        </w:rPr>
        <w:t> </w:t>
      </w:r>
      <w:r>
        <w:rPr>
          <w:color w:val="231F20"/>
          <w:w w:val="110"/>
          <w:sz w:val="16"/>
        </w:rPr>
        <w:t>social</w:t>
      </w:r>
      <w:r>
        <w:rPr>
          <w:color w:val="231F20"/>
          <w:spacing w:val="-8"/>
          <w:w w:val="110"/>
          <w:sz w:val="16"/>
        </w:rPr>
        <w:t> </w:t>
      </w:r>
      <w:r>
        <w:rPr>
          <w:color w:val="231F20"/>
          <w:w w:val="110"/>
          <w:sz w:val="16"/>
        </w:rPr>
        <w:t>establece</w:t>
      </w:r>
      <w:r>
        <w:rPr>
          <w:color w:val="231F20"/>
          <w:spacing w:val="-8"/>
          <w:w w:val="110"/>
          <w:sz w:val="16"/>
        </w:rPr>
        <w:t> </w:t>
      </w:r>
      <w:r>
        <w:rPr>
          <w:color w:val="231F20"/>
          <w:w w:val="110"/>
          <w:sz w:val="16"/>
        </w:rPr>
        <w:t>como</w:t>
      </w:r>
      <w:r>
        <w:rPr>
          <w:color w:val="231F20"/>
          <w:spacing w:val="-8"/>
          <w:w w:val="110"/>
          <w:sz w:val="16"/>
        </w:rPr>
        <w:t> </w:t>
      </w:r>
      <w:r>
        <w:rPr>
          <w:color w:val="231F20"/>
          <w:w w:val="110"/>
          <w:sz w:val="16"/>
        </w:rPr>
        <w:t>edad</w:t>
      </w:r>
      <w:r>
        <w:rPr>
          <w:color w:val="231F20"/>
          <w:spacing w:val="-8"/>
          <w:w w:val="110"/>
          <w:sz w:val="16"/>
        </w:rPr>
        <w:t> </w:t>
      </w:r>
      <w:r>
        <w:rPr>
          <w:color w:val="231F20"/>
          <w:w w:val="110"/>
          <w:sz w:val="16"/>
        </w:rPr>
        <w:t>para</w:t>
      </w:r>
      <w:r>
        <w:rPr>
          <w:color w:val="231F20"/>
          <w:spacing w:val="-8"/>
          <w:w w:val="110"/>
          <w:sz w:val="16"/>
        </w:rPr>
        <w:t> </w:t>
      </w:r>
      <w:r>
        <w:rPr>
          <w:color w:val="231F20"/>
          <w:w w:val="110"/>
          <w:sz w:val="16"/>
        </w:rPr>
        <w:t>el</w:t>
      </w:r>
      <w:r>
        <w:rPr>
          <w:color w:val="231F20"/>
          <w:spacing w:val="-8"/>
          <w:w w:val="110"/>
          <w:sz w:val="16"/>
        </w:rPr>
        <w:t> </w:t>
      </w:r>
      <w:r>
        <w:rPr>
          <w:color w:val="231F20"/>
          <w:w w:val="110"/>
          <w:sz w:val="16"/>
        </w:rPr>
        <w:t>retiro</w:t>
      </w:r>
      <w:r>
        <w:rPr>
          <w:color w:val="231F20"/>
          <w:spacing w:val="-8"/>
          <w:w w:val="110"/>
          <w:sz w:val="16"/>
        </w:rPr>
        <w:t> </w:t>
      </w:r>
      <w:r>
        <w:rPr>
          <w:color w:val="231F20"/>
          <w:w w:val="110"/>
          <w:sz w:val="16"/>
        </w:rPr>
        <w:t>los</w:t>
      </w:r>
      <w:r>
        <w:rPr>
          <w:color w:val="231F20"/>
          <w:spacing w:val="-8"/>
          <w:w w:val="110"/>
          <w:sz w:val="16"/>
        </w:rPr>
        <w:t> </w:t>
      </w:r>
      <w:r>
        <w:rPr>
          <w:color w:val="231F20"/>
          <w:w w:val="110"/>
          <w:sz w:val="16"/>
        </w:rPr>
        <w:t>sesenta</w:t>
      </w:r>
      <w:r>
        <w:rPr>
          <w:color w:val="231F20"/>
          <w:spacing w:val="-8"/>
          <w:w w:val="110"/>
          <w:sz w:val="16"/>
        </w:rPr>
        <w:t> </w:t>
      </w:r>
      <w:r>
        <w:rPr>
          <w:color w:val="231F20"/>
          <w:w w:val="110"/>
          <w:sz w:val="16"/>
        </w:rPr>
        <w:t>años</w:t>
      </w:r>
      <w:r>
        <w:rPr>
          <w:color w:val="231F20"/>
          <w:spacing w:val="-8"/>
          <w:w w:val="110"/>
          <w:sz w:val="16"/>
        </w:rPr>
        <w:t> </w:t>
      </w:r>
      <w:r>
        <w:rPr>
          <w:color w:val="231F20"/>
          <w:w w:val="110"/>
          <w:sz w:val="16"/>
        </w:rPr>
        <w:t>(</w:t>
      </w:r>
      <w:r>
        <w:rPr>
          <w:rFonts w:ascii="Times New Roman" w:hAnsi="Times New Roman"/>
          <w:color w:val="231F20"/>
          <w:w w:val="110"/>
          <w:sz w:val="12"/>
        </w:rPr>
        <w:t>IMSS</w:t>
      </w:r>
      <w:r>
        <w:rPr>
          <w:color w:val="231F20"/>
          <w:w w:val="110"/>
          <w:sz w:val="16"/>
        </w:rPr>
        <w:t>,</w:t>
      </w:r>
      <w:r>
        <w:rPr>
          <w:color w:val="231F20"/>
          <w:spacing w:val="-8"/>
          <w:w w:val="110"/>
          <w:sz w:val="16"/>
        </w:rPr>
        <w:t> </w:t>
      </w:r>
      <w:r>
        <w:rPr>
          <w:color w:val="231F20"/>
          <w:w w:val="110"/>
          <w:sz w:val="16"/>
        </w:rPr>
        <w:t>2012), sin embargo, los registros de la seguridad social en México muestran que el retiro de la actividad económica comienza a ser estadísticamente importante desde los 60 años, aunque la incidencia mayor se da a los 65 años (Ham, 2003: </w:t>
      </w:r>
      <w:r>
        <w:rPr>
          <w:color w:val="231F20"/>
          <w:spacing w:val="6"/>
          <w:w w:val="110"/>
          <w:sz w:val="16"/>
        </w:rPr>
        <w:t> </w:t>
      </w:r>
      <w:r>
        <w:rPr>
          <w:color w:val="231F20"/>
          <w:w w:val="110"/>
          <w:sz w:val="16"/>
        </w:rPr>
        <w:t>83).</w:t>
      </w:r>
    </w:p>
    <w:p>
      <w:pPr>
        <w:spacing w:line="247" w:lineRule="auto" w:before="0"/>
        <w:ind w:left="120" w:right="117" w:firstLine="360"/>
        <w:jc w:val="both"/>
        <w:rPr>
          <w:sz w:val="16"/>
        </w:rPr>
      </w:pPr>
      <w:r>
        <w:rPr>
          <w:color w:val="231F20"/>
          <w:w w:val="110"/>
          <w:position w:val="5"/>
          <w:sz w:val="9"/>
        </w:rPr>
        <w:t>6 </w:t>
      </w:r>
      <w:r>
        <w:rPr>
          <w:color w:val="231F20"/>
          <w:w w:val="110"/>
          <w:sz w:val="16"/>
        </w:rPr>
        <w:t>Aunque este criterio crea controversia, ya que se puede establecer que existe</w:t>
      </w:r>
      <w:r>
        <w:rPr>
          <w:color w:val="231F20"/>
          <w:spacing w:val="-18"/>
          <w:w w:val="110"/>
          <w:sz w:val="16"/>
        </w:rPr>
        <w:t> </w:t>
      </w:r>
      <w:r>
        <w:rPr>
          <w:color w:val="231F20"/>
          <w:w w:val="110"/>
          <w:sz w:val="16"/>
        </w:rPr>
        <w:t>población con más de 65 años que se siente joven y activa, en tanto puede existir población con 60</w:t>
      </w:r>
      <w:r>
        <w:rPr>
          <w:color w:val="231F20"/>
          <w:spacing w:val="-19"/>
          <w:w w:val="110"/>
          <w:sz w:val="16"/>
        </w:rPr>
        <w:t> </w:t>
      </w:r>
      <w:r>
        <w:rPr>
          <w:color w:val="231F20"/>
          <w:w w:val="110"/>
          <w:sz w:val="16"/>
        </w:rPr>
        <w:t>años que actúan y se comportan como viejos dadas sus condiciones de salud, físicas y estado de ánimo. Esto se define como “vejez funcional”. En este sentido, el criterio parte del supuesto de que todas las personas que alcanzan las edades avanzadas lo hicieran sin mayores pro- blemas,</w:t>
      </w:r>
      <w:r>
        <w:rPr>
          <w:color w:val="231F20"/>
          <w:spacing w:val="-5"/>
          <w:w w:val="110"/>
          <w:sz w:val="16"/>
        </w:rPr>
        <w:t> </w:t>
      </w:r>
      <w:r>
        <w:rPr>
          <w:color w:val="231F20"/>
          <w:w w:val="110"/>
          <w:sz w:val="16"/>
        </w:rPr>
        <w:t>con</w:t>
      </w:r>
      <w:r>
        <w:rPr>
          <w:color w:val="231F20"/>
          <w:spacing w:val="-5"/>
          <w:w w:val="110"/>
          <w:sz w:val="16"/>
        </w:rPr>
        <w:t> </w:t>
      </w:r>
      <w:r>
        <w:rPr>
          <w:color w:val="231F20"/>
          <w:w w:val="110"/>
          <w:sz w:val="16"/>
        </w:rPr>
        <w:t>salud,</w:t>
      </w:r>
      <w:r>
        <w:rPr>
          <w:color w:val="231F20"/>
          <w:spacing w:val="-5"/>
          <w:w w:val="110"/>
          <w:sz w:val="16"/>
        </w:rPr>
        <w:t> </w:t>
      </w:r>
      <w:r>
        <w:rPr>
          <w:color w:val="231F20"/>
          <w:w w:val="110"/>
          <w:sz w:val="16"/>
        </w:rPr>
        <w:t>adecuada,</w:t>
      </w:r>
      <w:r>
        <w:rPr>
          <w:color w:val="231F20"/>
          <w:spacing w:val="-5"/>
          <w:w w:val="110"/>
          <w:sz w:val="16"/>
        </w:rPr>
        <w:t> </w:t>
      </w:r>
      <w:r>
        <w:rPr>
          <w:color w:val="231F20"/>
          <w:w w:val="110"/>
          <w:sz w:val="16"/>
        </w:rPr>
        <w:t>mentalmente</w:t>
      </w:r>
      <w:r>
        <w:rPr>
          <w:color w:val="231F20"/>
          <w:spacing w:val="-5"/>
          <w:w w:val="110"/>
          <w:sz w:val="16"/>
        </w:rPr>
        <w:t> </w:t>
      </w:r>
      <w:r>
        <w:rPr>
          <w:color w:val="231F20"/>
          <w:w w:val="110"/>
          <w:sz w:val="16"/>
        </w:rPr>
        <w:t>alertas,</w:t>
      </w:r>
      <w:r>
        <w:rPr>
          <w:color w:val="231F20"/>
          <w:spacing w:val="-5"/>
          <w:w w:val="110"/>
          <w:sz w:val="16"/>
        </w:rPr>
        <w:t> </w:t>
      </w:r>
      <w:r>
        <w:rPr>
          <w:color w:val="231F20"/>
          <w:w w:val="110"/>
          <w:sz w:val="16"/>
        </w:rPr>
        <w:t>buen</w:t>
      </w:r>
      <w:r>
        <w:rPr>
          <w:color w:val="231F20"/>
          <w:spacing w:val="-5"/>
          <w:w w:val="110"/>
          <w:sz w:val="16"/>
        </w:rPr>
        <w:t> </w:t>
      </w:r>
      <w:r>
        <w:rPr>
          <w:color w:val="231F20"/>
          <w:w w:val="110"/>
          <w:sz w:val="16"/>
        </w:rPr>
        <w:t>desempeño</w:t>
      </w:r>
      <w:r>
        <w:rPr>
          <w:color w:val="231F20"/>
          <w:spacing w:val="-5"/>
          <w:w w:val="110"/>
          <w:sz w:val="16"/>
        </w:rPr>
        <w:t> </w:t>
      </w:r>
      <w:r>
        <w:rPr>
          <w:color w:val="231F20"/>
          <w:w w:val="110"/>
          <w:sz w:val="16"/>
        </w:rPr>
        <w:t>físico</w:t>
      </w:r>
      <w:r>
        <w:rPr>
          <w:color w:val="231F20"/>
          <w:spacing w:val="-5"/>
          <w:w w:val="110"/>
          <w:sz w:val="16"/>
        </w:rPr>
        <w:t> </w:t>
      </w:r>
      <w:r>
        <w:rPr>
          <w:color w:val="231F20"/>
          <w:w w:val="110"/>
          <w:sz w:val="16"/>
        </w:rPr>
        <w:t>con</w:t>
      </w:r>
      <w:r>
        <w:rPr>
          <w:color w:val="231F20"/>
          <w:spacing w:val="-5"/>
          <w:w w:val="110"/>
          <w:sz w:val="16"/>
        </w:rPr>
        <w:t> </w:t>
      </w:r>
      <w:r>
        <w:rPr>
          <w:color w:val="231F20"/>
          <w:w w:val="110"/>
          <w:sz w:val="16"/>
        </w:rPr>
        <w:t>plenitud</w:t>
      </w:r>
      <w:r>
        <w:rPr>
          <w:color w:val="231F20"/>
          <w:spacing w:val="-5"/>
          <w:w w:val="110"/>
          <w:sz w:val="16"/>
        </w:rPr>
        <w:t> </w:t>
      </w:r>
      <w:r>
        <w:rPr>
          <w:color w:val="231F20"/>
          <w:w w:val="110"/>
          <w:sz w:val="16"/>
        </w:rPr>
        <w:t>en</w:t>
      </w:r>
      <w:r>
        <w:rPr>
          <w:color w:val="231F20"/>
          <w:spacing w:val="-5"/>
          <w:w w:val="110"/>
          <w:sz w:val="16"/>
        </w:rPr>
        <w:t> </w:t>
      </w:r>
      <w:r>
        <w:rPr>
          <w:color w:val="231F20"/>
          <w:w w:val="110"/>
          <w:sz w:val="16"/>
        </w:rPr>
        <w:t>los roles familiares y sociales, desarrollando actividades laborales que les permitieran indepen- dencia económica (Ham, 2000:</w:t>
      </w:r>
      <w:r>
        <w:rPr>
          <w:color w:val="231F20"/>
          <w:spacing w:val="-13"/>
          <w:w w:val="110"/>
          <w:sz w:val="16"/>
        </w:rPr>
        <w:t> </w:t>
      </w:r>
      <w:r>
        <w:rPr>
          <w:color w:val="231F20"/>
          <w:w w:val="110"/>
          <w:sz w:val="16"/>
        </w:rPr>
        <w:t>664).</w:t>
      </w:r>
    </w:p>
    <w:p>
      <w:pPr>
        <w:spacing w:after="0" w:line="247" w:lineRule="auto"/>
        <w:jc w:val="both"/>
        <w:rPr>
          <w:sz w:val="16"/>
        </w:rPr>
        <w:sectPr>
          <w:pgSz w:w="9520" w:h="12920"/>
          <w:pgMar w:header="0" w:footer="1344" w:top="880" w:bottom="1540" w:left="1000" w:right="1320"/>
        </w:sectPr>
      </w:pPr>
    </w:p>
    <w:p>
      <w:pPr>
        <w:pStyle w:val="BodyText"/>
        <w:spacing w:line="288" w:lineRule="auto" w:before="42"/>
        <w:ind w:left="124" w:right="114" w:firstLine="360"/>
        <w:jc w:val="both"/>
      </w:pPr>
      <w:r>
        <w:rPr>
          <w:color w:val="231F20"/>
          <w:w w:val="110"/>
        </w:rPr>
        <w:t>En términos sociodemográficos, el envejecimiento se puede entender como una construcción moderna medida en términos de años que surge en las sociedades industriales. Pero a su vez, es una categoría social cons- truida con base en el contexto en el que se desarrollan y habitan las distin- tas generaciones.</w:t>
      </w:r>
    </w:p>
    <w:p>
      <w:pPr>
        <w:pStyle w:val="BodyText"/>
        <w:spacing w:line="288" w:lineRule="auto"/>
        <w:ind w:left="124" w:right="113" w:firstLine="360"/>
        <w:jc w:val="both"/>
      </w:pPr>
      <w:r>
        <w:rPr>
          <w:color w:val="231F20"/>
          <w:w w:val="110"/>
        </w:rPr>
        <w:t>Por tanto, el hecho de que una población o un individuo envejezcan, obliga a analizar las repercusiones colectivas e individuales que ello con- lleva, principalmente en los lugares donde existe una gran concentración de este grupo de población, como es el caso de las zonas metropolitanas. Algunas de esas repercusiones las explican Hernández Laos (2009), Mara- ñon, Sosa y Villarespe (2009), que plantean que las causas centrales de la concentración de población en un espacio determinado tienen un carácter netamente económico y responden a las consecuencias de las crisis recu- rrentes que ha sufrido la economía nacional, y que se relacionan de ma- </w:t>
      </w:r>
      <w:r>
        <w:rPr>
          <w:color w:val="231F20"/>
          <w:spacing w:val="2"/>
          <w:w w:val="110"/>
        </w:rPr>
        <w:t>nera </w:t>
      </w:r>
      <w:r>
        <w:rPr>
          <w:color w:val="231F20"/>
          <w:w w:val="110"/>
        </w:rPr>
        <w:t>directa con los indicadores salariales y de ocupación, y que se agu- diza, en mayor medida, en los centros urbanos, lo que crea desigualdades de oportunidades y de consumo a nivel individual y colectivo, principal- mente en grupos vulnerables como son los menores en situación de calle, jóvenes desempleados, adultos mayores, entre otros; pues la ubicación geográfica</w:t>
      </w:r>
      <w:r>
        <w:rPr>
          <w:color w:val="231F20"/>
          <w:spacing w:val="-9"/>
          <w:w w:val="110"/>
        </w:rPr>
        <w:t> </w:t>
      </w:r>
      <w:r>
        <w:rPr>
          <w:color w:val="231F20"/>
          <w:w w:val="110"/>
        </w:rPr>
        <w:t>determina,</w:t>
      </w:r>
      <w:r>
        <w:rPr>
          <w:color w:val="231F20"/>
          <w:spacing w:val="-9"/>
          <w:w w:val="110"/>
        </w:rPr>
        <w:t> </w:t>
      </w:r>
      <w:r>
        <w:rPr>
          <w:color w:val="231F20"/>
          <w:w w:val="110"/>
        </w:rPr>
        <w:t>entre</w:t>
      </w:r>
      <w:r>
        <w:rPr>
          <w:color w:val="231F20"/>
          <w:spacing w:val="-9"/>
          <w:w w:val="110"/>
        </w:rPr>
        <w:t> </w:t>
      </w:r>
      <w:r>
        <w:rPr>
          <w:color w:val="231F20"/>
          <w:w w:val="110"/>
        </w:rPr>
        <w:t>otras</w:t>
      </w:r>
      <w:r>
        <w:rPr>
          <w:color w:val="231F20"/>
          <w:spacing w:val="-9"/>
          <w:w w:val="110"/>
        </w:rPr>
        <w:t> </w:t>
      </w:r>
      <w:r>
        <w:rPr>
          <w:color w:val="231F20"/>
          <w:w w:val="110"/>
        </w:rPr>
        <w:t>cosas,</w:t>
      </w:r>
      <w:r>
        <w:rPr>
          <w:color w:val="231F20"/>
          <w:spacing w:val="-9"/>
          <w:w w:val="110"/>
        </w:rPr>
        <w:t> </w:t>
      </w:r>
      <w:r>
        <w:rPr>
          <w:color w:val="231F20"/>
          <w:w w:val="110"/>
        </w:rPr>
        <w:t>condiciones</w:t>
      </w:r>
      <w:r>
        <w:rPr>
          <w:color w:val="231F20"/>
          <w:spacing w:val="-9"/>
          <w:w w:val="110"/>
        </w:rPr>
        <w:t> </w:t>
      </w:r>
      <w:r>
        <w:rPr>
          <w:color w:val="231F20"/>
          <w:w w:val="110"/>
        </w:rPr>
        <w:t>diferenciales</w:t>
      </w:r>
      <w:r>
        <w:rPr>
          <w:color w:val="231F20"/>
          <w:spacing w:val="-9"/>
          <w:w w:val="110"/>
        </w:rPr>
        <w:t> </w:t>
      </w:r>
      <w:r>
        <w:rPr>
          <w:color w:val="231F20"/>
          <w:w w:val="110"/>
        </w:rPr>
        <w:t>de</w:t>
      </w:r>
      <w:r>
        <w:rPr>
          <w:color w:val="231F20"/>
          <w:spacing w:val="-9"/>
          <w:w w:val="110"/>
        </w:rPr>
        <w:t> </w:t>
      </w:r>
      <w:r>
        <w:rPr>
          <w:color w:val="231F20"/>
          <w:w w:val="110"/>
        </w:rPr>
        <w:t>salud, empleo,</w:t>
      </w:r>
      <w:r>
        <w:rPr>
          <w:color w:val="231F20"/>
          <w:spacing w:val="-5"/>
          <w:w w:val="110"/>
        </w:rPr>
        <w:t> </w:t>
      </w:r>
      <w:r>
        <w:rPr>
          <w:color w:val="231F20"/>
          <w:w w:val="110"/>
        </w:rPr>
        <w:t>alimentación,</w:t>
      </w:r>
      <w:r>
        <w:rPr>
          <w:color w:val="231F20"/>
          <w:spacing w:val="-5"/>
          <w:w w:val="110"/>
        </w:rPr>
        <w:t> </w:t>
      </w:r>
      <w:r>
        <w:rPr>
          <w:color w:val="231F20"/>
          <w:w w:val="110"/>
        </w:rPr>
        <w:t>bienestar</w:t>
      </w:r>
      <w:r>
        <w:rPr>
          <w:color w:val="231F20"/>
          <w:spacing w:val="-5"/>
          <w:w w:val="110"/>
        </w:rPr>
        <w:t> </w:t>
      </w:r>
      <w:r>
        <w:rPr>
          <w:color w:val="231F20"/>
          <w:w w:val="110"/>
        </w:rPr>
        <w:t>y</w:t>
      </w:r>
      <w:r>
        <w:rPr>
          <w:color w:val="231F20"/>
          <w:spacing w:val="-5"/>
          <w:w w:val="110"/>
        </w:rPr>
        <w:t> </w:t>
      </w:r>
      <w:r>
        <w:rPr>
          <w:color w:val="231F20"/>
          <w:w w:val="110"/>
        </w:rPr>
        <w:t>concentración</w:t>
      </w:r>
      <w:r>
        <w:rPr>
          <w:color w:val="231F20"/>
          <w:spacing w:val="-5"/>
          <w:w w:val="110"/>
        </w:rPr>
        <w:t> </w:t>
      </w:r>
      <w:r>
        <w:rPr>
          <w:color w:val="231F20"/>
          <w:w w:val="110"/>
        </w:rPr>
        <w:t>de</w:t>
      </w:r>
      <w:r>
        <w:rPr>
          <w:color w:val="231F20"/>
          <w:spacing w:val="-5"/>
          <w:w w:val="110"/>
        </w:rPr>
        <w:t> </w:t>
      </w:r>
      <w:r>
        <w:rPr>
          <w:color w:val="231F20"/>
          <w:w w:val="110"/>
        </w:rPr>
        <w:t>población</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tercera edad</w:t>
      </w:r>
      <w:r>
        <w:rPr>
          <w:color w:val="231F20"/>
          <w:spacing w:val="-12"/>
          <w:w w:val="110"/>
        </w:rPr>
        <w:t> </w:t>
      </w:r>
      <w:r>
        <w:rPr>
          <w:color w:val="231F20"/>
          <w:w w:val="110"/>
        </w:rPr>
        <w:t>(Negrete,</w:t>
      </w:r>
      <w:r>
        <w:rPr>
          <w:color w:val="231F20"/>
          <w:spacing w:val="-12"/>
          <w:w w:val="110"/>
        </w:rPr>
        <w:t> </w:t>
      </w:r>
      <w:r>
        <w:rPr>
          <w:color w:val="231F20"/>
          <w:w w:val="110"/>
        </w:rPr>
        <w:t>2003),</w:t>
      </w:r>
      <w:r>
        <w:rPr>
          <w:color w:val="231F20"/>
          <w:spacing w:val="-12"/>
          <w:w w:val="110"/>
        </w:rPr>
        <w:t> </w:t>
      </w:r>
      <w:r>
        <w:rPr>
          <w:color w:val="231F20"/>
          <w:w w:val="110"/>
        </w:rPr>
        <w:t>que</w:t>
      </w:r>
      <w:r>
        <w:rPr>
          <w:color w:val="231F20"/>
          <w:spacing w:val="-12"/>
          <w:w w:val="110"/>
        </w:rPr>
        <w:t> </w:t>
      </w:r>
      <w:r>
        <w:rPr>
          <w:color w:val="231F20"/>
          <w:w w:val="110"/>
        </w:rPr>
        <w:t>permiten</w:t>
      </w:r>
      <w:r>
        <w:rPr>
          <w:color w:val="231F20"/>
          <w:spacing w:val="-12"/>
          <w:w w:val="110"/>
        </w:rPr>
        <w:t> </w:t>
      </w:r>
      <w:r>
        <w:rPr>
          <w:color w:val="231F20"/>
          <w:w w:val="110"/>
        </w:rPr>
        <w:t>delinear</w:t>
      </w:r>
      <w:r>
        <w:rPr>
          <w:color w:val="231F20"/>
          <w:spacing w:val="-12"/>
          <w:w w:val="110"/>
        </w:rPr>
        <w:t> </w:t>
      </w:r>
      <w:r>
        <w:rPr>
          <w:color w:val="231F20"/>
          <w:w w:val="110"/>
        </w:rPr>
        <w:t>diferentes</w:t>
      </w:r>
      <w:r>
        <w:rPr>
          <w:color w:val="231F20"/>
          <w:spacing w:val="-12"/>
          <w:w w:val="110"/>
        </w:rPr>
        <w:t> </w:t>
      </w:r>
      <w:r>
        <w:rPr>
          <w:color w:val="231F20"/>
          <w:w w:val="110"/>
        </w:rPr>
        <w:t>grados</w:t>
      </w:r>
      <w:r>
        <w:rPr>
          <w:color w:val="231F20"/>
          <w:spacing w:val="-12"/>
          <w:w w:val="110"/>
        </w:rPr>
        <w:t> </w:t>
      </w:r>
      <w:r>
        <w:rPr>
          <w:color w:val="231F20"/>
          <w:w w:val="110"/>
        </w:rPr>
        <w:t>de</w:t>
      </w:r>
      <w:r>
        <w:rPr>
          <w:color w:val="231F20"/>
          <w:spacing w:val="-12"/>
          <w:w w:val="110"/>
        </w:rPr>
        <w:t> </w:t>
      </w:r>
      <w:r>
        <w:rPr>
          <w:color w:val="231F20"/>
          <w:w w:val="110"/>
        </w:rPr>
        <w:t>desigual- dad socioeconómica entre la población ubicada en determinado espacio geográfico.</w:t>
      </w:r>
    </w:p>
    <w:p>
      <w:pPr>
        <w:pStyle w:val="BodyText"/>
      </w:pPr>
    </w:p>
    <w:p>
      <w:pPr>
        <w:pStyle w:val="BodyText"/>
        <w:spacing w:before="10"/>
        <w:rPr>
          <w:sz w:val="24"/>
        </w:rPr>
      </w:pPr>
    </w:p>
    <w:p>
      <w:pPr>
        <w:spacing w:before="0"/>
        <w:ind w:left="124" w:right="0" w:firstLine="0"/>
        <w:jc w:val="both"/>
        <w:rPr>
          <w:rFonts w:ascii="Times New Roman"/>
          <w:i/>
          <w:sz w:val="19"/>
        </w:rPr>
      </w:pPr>
      <w:r>
        <w:rPr>
          <w:rFonts w:ascii="Times New Roman"/>
          <w:i/>
          <w:color w:val="231F20"/>
          <w:w w:val="95"/>
          <w:sz w:val="24"/>
        </w:rPr>
        <w:t>D</w:t>
      </w:r>
      <w:r>
        <w:rPr>
          <w:rFonts w:ascii="Times New Roman"/>
          <w:i/>
          <w:color w:val="231F20"/>
          <w:w w:val="95"/>
          <w:sz w:val="19"/>
        </w:rPr>
        <w:t>ESARROLLO Y DESIGUALDAD</w:t>
      </w:r>
    </w:p>
    <w:p>
      <w:pPr>
        <w:pStyle w:val="BodyText"/>
        <w:spacing w:before="9"/>
        <w:rPr>
          <w:rFonts w:ascii="Times New Roman"/>
          <w:i/>
          <w:sz w:val="27"/>
        </w:rPr>
      </w:pPr>
    </w:p>
    <w:p>
      <w:pPr>
        <w:pStyle w:val="BodyText"/>
        <w:spacing w:line="288" w:lineRule="auto"/>
        <w:ind w:left="124" w:right="112"/>
        <w:jc w:val="both"/>
      </w:pPr>
      <w:r>
        <w:rPr>
          <w:color w:val="231F20"/>
          <w:w w:val="110"/>
        </w:rPr>
        <w:t>Analizar la relación entre el rápido envejecimiento de la población y el de- sarrollo socioeconómico de un país es uno de los puntos centrales del Pro- grama</w:t>
      </w:r>
      <w:r>
        <w:rPr>
          <w:color w:val="231F20"/>
          <w:spacing w:val="-12"/>
          <w:w w:val="110"/>
        </w:rPr>
        <w:t> </w:t>
      </w:r>
      <w:r>
        <w:rPr>
          <w:color w:val="231F20"/>
          <w:w w:val="110"/>
        </w:rPr>
        <w:t>de</w:t>
      </w:r>
      <w:r>
        <w:rPr>
          <w:color w:val="231F20"/>
          <w:spacing w:val="-12"/>
          <w:w w:val="110"/>
        </w:rPr>
        <w:t> </w:t>
      </w:r>
      <w:r>
        <w:rPr>
          <w:color w:val="231F20"/>
          <w:w w:val="110"/>
        </w:rPr>
        <w:t>Investigación</w:t>
      </w:r>
      <w:r>
        <w:rPr>
          <w:color w:val="231F20"/>
          <w:spacing w:val="-12"/>
          <w:w w:val="110"/>
        </w:rPr>
        <w:t> </w:t>
      </w:r>
      <w:r>
        <w:rPr>
          <w:color w:val="231F20"/>
          <w:w w:val="110"/>
        </w:rPr>
        <w:t>sobre</w:t>
      </w:r>
      <w:r>
        <w:rPr>
          <w:color w:val="231F20"/>
          <w:spacing w:val="-12"/>
          <w:w w:val="110"/>
        </w:rPr>
        <w:t> </w:t>
      </w:r>
      <w:r>
        <w:rPr>
          <w:color w:val="231F20"/>
          <w:w w:val="110"/>
        </w:rPr>
        <w:t>el</w:t>
      </w:r>
      <w:r>
        <w:rPr>
          <w:color w:val="231F20"/>
          <w:spacing w:val="-12"/>
          <w:w w:val="110"/>
        </w:rPr>
        <w:t> </w:t>
      </w:r>
      <w:r>
        <w:rPr>
          <w:color w:val="231F20"/>
          <w:w w:val="110"/>
        </w:rPr>
        <w:t>Envejecimiento</w:t>
      </w:r>
      <w:r>
        <w:rPr>
          <w:color w:val="231F20"/>
          <w:spacing w:val="-12"/>
          <w:w w:val="110"/>
        </w:rPr>
        <w:t> </w:t>
      </w:r>
      <w:r>
        <w:rPr>
          <w:color w:val="231F20"/>
          <w:w w:val="110"/>
        </w:rPr>
        <w:t>para</w:t>
      </w:r>
      <w:r>
        <w:rPr>
          <w:color w:val="231F20"/>
          <w:spacing w:val="-12"/>
          <w:w w:val="110"/>
        </w:rPr>
        <w:t> </w:t>
      </w:r>
      <w:r>
        <w:rPr>
          <w:color w:val="231F20"/>
          <w:w w:val="110"/>
        </w:rPr>
        <w:t>el</w:t>
      </w:r>
      <w:r>
        <w:rPr>
          <w:color w:val="231F20"/>
          <w:spacing w:val="-12"/>
          <w:w w:val="110"/>
        </w:rPr>
        <w:t> </w:t>
      </w:r>
      <w:r>
        <w:rPr>
          <w:color w:val="231F20"/>
          <w:w w:val="110"/>
        </w:rPr>
        <w:t>Siglo</w:t>
      </w:r>
      <w:r>
        <w:rPr>
          <w:color w:val="231F20"/>
          <w:spacing w:val="-12"/>
          <w:w w:val="110"/>
        </w:rPr>
        <w:t> </w:t>
      </w:r>
      <w:r>
        <w:rPr>
          <w:rFonts w:ascii="Times New Roman" w:hAnsi="Times New Roman"/>
          <w:color w:val="231F20"/>
          <w:w w:val="110"/>
          <w:sz w:val="16"/>
        </w:rPr>
        <w:t>XXI</w:t>
      </w:r>
      <w:r>
        <w:rPr>
          <w:color w:val="231F20"/>
          <w:w w:val="110"/>
        </w:rPr>
        <w:t>,</w:t>
      </w:r>
      <w:r>
        <w:rPr>
          <w:color w:val="231F20"/>
          <w:spacing w:val="-12"/>
          <w:w w:val="110"/>
        </w:rPr>
        <w:t> </w:t>
      </w:r>
      <w:r>
        <w:rPr>
          <w:color w:val="231F20"/>
          <w:w w:val="110"/>
        </w:rPr>
        <w:t>planteado en la Segunda Asamblea Mundial sobre el Envejecimiento (2002) para de- terminar la contribución de las personas mayores al capital social, cultural y </w:t>
      </w:r>
      <w:r>
        <w:rPr>
          <w:color w:val="231F20"/>
          <w:spacing w:val="3"/>
          <w:w w:val="110"/>
        </w:rPr>
        <w:t>económico </w:t>
      </w:r>
      <w:r>
        <w:rPr>
          <w:color w:val="231F20"/>
          <w:w w:val="110"/>
        </w:rPr>
        <w:t>en </w:t>
      </w:r>
      <w:r>
        <w:rPr>
          <w:color w:val="231F20"/>
          <w:spacing w:val="3"/>
          <w:w w:val="110"/>
        </w:rPr>
        <w:t>todos </w:t>
      </w:r>
      <w:r>
        <w:rPr>
          <w:color w:val="231F20"/>
          <w:spacing w:val="2"/>
          <w:w w:val="110"/>
        </w:rPr>
        <w:t>los </w:t>
      </w:r>
      <w:r>
        <w:rPr>
          <w:color w:val="231F20"/>
          <w:spacing w:val="3"/>
          <w:w w:val="110"/>
        </w:rPr>
        <w:t>países, </w:t>
      </w:r>
      <w:r>
        <w:rPr>
          <w:color w:val="231F20"/>
          <w:spacing w:val="2"/>
          <w:w w:val="110"/>
        </w:rPr>
        <w:t>así </w:t>
      </w:r>
      <w:r>
        <w:rPr>
          <w:color w:val="231F20"/>
          <w:spacing w:val="3"/>
          <w:w w:val="110"/>
        </w:rPr>
        <w:t>como para medir </w:t>
      </w:r>
      <w:r>
        <w:rPr>
          <w:color w:val="231F20"/>
          <w:w w:val="110"/>
        </w:rPr>
        <w:t>la </w:t>
      </w:r>
      <w:r>
        <w:rPr>
          <w:color w:val="231F20"/>
          <w:spacing w:val="3"/>
          <w:w w:val="110"/>
        </w:rPr>
        <w:t>contribución </w:t>
      </w:r>
      <w:r>
        <w:rPr>
          <w:color w:val="231F20"/>
          <w:w w:val="110"/>
        </w:rPr>
        <w:t>productiva de este colectivo a la sociedad, además de clarificar los</w:t>
      </w:r>
      <w:r>
        <w:rPr>
          <w:color w:val="231F20"/>
          <w:spacing w:val="-23"/>
          <w:w w:val="110"/>
        </w:rPr>
        <w:t> </w:t>
      </w:r>
      <w:r>
        <w:rPr>
          <w:color w:val="231F20"/>
          <w:w w:val="110"/>
        </w:rPr>
        <w:t>comple- jos</w:t>
      </w:r>
      <w:r>
        <w:rPr>
          <w:color w:val="231F20"/>
          <w:spacing w:val="19"/>
          <w:w w:val="110"/>
        </w:rPr>
        <w:t> </w:t>
      </w:r>
      <w:r>
        <w:rPr>
          <w:color w:val="231F20"/>
          <w:w w:val="110"/>
        </w:rPr>
        <w:t>y</w:t>
      </w:r>
      <w:r>
        <w:rPr>
          <w:color w:val="231F20"/>
          <w:spacing w:val="19"/>
          <w:w w:val="110"/>
        </w:rPr>
        <w:t> </w:t>
      </w:r>
      <w:r>
        <w:rPr>
          <w:color w:val="231F20"/>
          <w:w w:val="110"/>
        </w:rPr>
        <w:t>desiguales</w:t>
      </w:r>
      <w:r>
        <w:rPr>
          <w:color w:val="231F20"/>
          <w:spacing w:val="19"/>
          <w:w w:val="110"/>
        </w:rPr>
        <w:t> </w:t>
      </w:r>
      <w:r>
        <w:rPr>
          <w:color w:val="231F20"/>
          <w:w w:val="110"/>
        </w:rPr>
        <w:t>intercambios</w:t>
      </w:r>
      <w:r>
        <w:rPr>
          <w:color w:val="231F20"/>
          <w:spacing w:val="19"/>
          <w:w w:val="110"/>
        </w:rPr>
        <w:t> </w:t>
      </w:r>
      <w:r>
        <w:rPr>
          <w:color w:val="231F20"/>
          <w:w w:val="110"/>
        </w:rPr>
        <w:t>sociales</w:t>
      </w:r>
      <w:r>
        <w:rPr>
          <w:color w:val="231F20"/>
          <w:spacing w:val="19"/>
          <w:w w:val="110"/>
        </w:rPr>
        <w:t> </w:t>
      </w:r>
      <w:r>
        <w:rPr>
          <w:color w:val="231F20"/>
          <w:w w:val="110"/>
        </w:rPr>
        <w:t>y</w:t>
      </w:r>
      <w:r>
        <w:rPr>
          <w:color w:val="231F20"/>
          <w:spacing w:val="19"/>
          <w:w w:val="110"/>
        </w:rPr>
        <w:t> </w:t>
      </w:r>
      <w:r>
        <w:rPr>
          <w:color w:val="231F20"/>
          <w:w w:val="110"/>
        </w:rPr>
        <w:t>económicos</w:t>
      </w:r>
      <w:r>
        <w:rPr>
          <w:color w:val="231F20"/>
          <w:spacing w:val="19"/>
          <w:w w:val="110"/>
        </w:rPr>
        <w:t> </w:t>
      </w:r>
      <w:r>
        <w:rPr>
          <w:color w:val="231F20"/>
          <w:w w:val="110"/>
        </w:rPr>
        <w:t>que</w:t>
      </w:r>
      <w:r>
        <w:rPr>
          <w:color w:val="231F20"/>
          <w:spacing w:val="19"/>
          <w:w w:val="110"/>
        </w:rPr>
        <w:t> </w:t>
      </w:r>
      <w:r>
        <w:rPr>
          <w:color w:val="231F20"/>
          <w:w w:val="110"/>
        </w:rPr>
        <w:t>se</w:t>
      </w:r>
      <w:r>
        <w:rPr>
          <w:color w:val="231F20"/>
          <w:spacing w:val="19"/>
          <w:w w:val="110"/>
        </w:rPr>
        <w:t> </w:t>
      </w:r>
      <w:r>
        <w:rPr>
          <w:color w:val="231F20"/>
          <w:w w:val="110"/>
        </w:rPr>
        <w:t>dan</w:t>
      </w:r>
      <w:r>
        <w:rPr>
          <w:color w:val="231F20"/>
          <w:spacing w:val="19"/>
          <w:w w:val="110"/>
        </w:rPr>
        <w:t> </w:t>
      </w:r>
      <w:r>
        <w:rPr>
          <w:color w:val="231F20"/>
          <w:w w:val="110"/>
        </w:rPr>
        <w:t>en</w:t>
      </w:r>
      <w:r>
        <w:rPr>
          <w:color w:val="231F20"/>
          <w:spacing w:val="19"/>
          <w:w w:val="110"/>
        </w:rPr>
        <w:t> </w:t>
      </w:r>
      <w:r>
        <w:rPr>
          <w:color w:val="231F20"/>
          <w:w w:val="110"/>
        </w:rPr>
        <w:t>todas</w:t>
      </w:r>
    </w:p>
    <w:p>
      <w:pPr>
        <w:spacing w:after="0" w:line="288" w:lineRule="auto"/>
        <w:jc w:val="both"/>
        <w:sectPr>
          <w:pgSz w:w="9520" w:h="12920"/>
          <w:pgMar w:header="0" w:footer="1344" w:top="880" w:bottom="1540" w:left="1320" w:right="1000"/>
        </w:sectPr>
      </w:pPr>
    </w:p>
    <w:p>
      <w:pPr>
        <w:pStyle w:val="BodyText"/>
        <w:spacing w:line="295" w:lineRule="auto" w:before="42"/>
        <w:ind w:left="119" w:right="117"/>
        <w:jc w:val="both"/>
      </w:pPr>
      <w:r>
        <w:rPr>
          <w:color w:val="231F20"/>
          <w:w w:val="110"/>
        </w:rPr>
        <w:t>las sociedades,</w:t>
      </w:r>
      <w:r>
        <w:rPr>
          <w:color w:val="231F20"/>
          <w:w w:val="110"/>
          <w:position w:val="6"/>
          <w:sz w:val="11"/>
        </w:rPr>
        <w:t>7 </w:t>
      </w:r>
      <w:r>
        <w:rPr>
          <w:color w:val="231F20"/>
          <w:w w:val="110"/>
        </w:rPr>
        <w:t>principalmente en los grupos vulnerables, como es el caso de los adultos mayores, dada su condición de dependencia y necesidad de atención y cuidados.</w:t>
      </w:r>
    </w:p>
    <w:p>
      <w:pPr>
        <w:pStyle w:val="BodyText"/>
        <w:spacing w:line="295" w:lineRule="auto"/>
        <w:ind w:left="119" w:right="115" w:firstLine="360"/>
        <w:jc w:val="both"/>
      </w:pPr>
      <w:r>
        <w:rPr>
          <w:color w:val="231F20"/>
          <w:spacing w:val="6"/>
          <w:w w:val="110"/>
        </w:rPr>
        <w:t>Algunos autores </w:t>
      </w:r>
      <w:r>
        <w:rPr>
          <w:color w:val="231F20"/>
          <w:spacing w:val="5"/>
          <w:w w:val="110"/>
        </w:rPr>
        <w:t>como Petersen (2002) </w:t>
      </w:r>
      <w:r>
        <w:rPr>
          <w:color w:val="231F20"/>
          <w:spacing w:val="6"/>
          <w:w w:val="110"/>
        </w:rPr>
        <w:t>señalan </w:t>
      </w:r>
      <w:r>
        <w:rPr>
          <w:color w:val="231F20"/>
          <w:spacing w:val="4"/>
          <w:w w:val="110"/>
        </w:rPr>
        <w:t>que los </w:t>
      </w:r>
      <w:r>
        <w:rPr>
          <w:color w:val="231F20"/>
          <w:spacing w:val="5"/>
          <w:w w:val="110"/>
        </w:rPr>
        <w:t>temas </w:t>
      </w:r>
      <w:r>
        <w:rPr>
          <w:color w:val="231F20"/>
          <w:spacing w:val="3"/>
          <w:w w:val="110"/>
        </w:rPr>
        <w:t>de </w:t>
      </w:r>
      <w:r>
        <w:rPr>
          <w:color w:val="231F20"/>
          <w:w w:val="110"/>
        </w:rPr>
        <w:t>desarrollo, de importancia primordial para las personas mayores, como la pobreza,</w:t>
      </w:r>
      <w:r>
        <w:rPr>
          <w:color w:val="231F20"/>
          <w:spacing w:val="-13"/>
          <w:w w:val="110"/>
        </w:rPr>
        <w:t> </w:t>
      </w:r>
      <w:r>
        <w:rPr>
          <w:color w:val="231F20"/>
          <w:w w:val="110"/>
        </w:rPr>
        <w:t>la</w:t>
      </w:r>
      <w:r>
        <w:rPr>
          <w:color w:val="231F20"/>
          <w:spacing w:val="-13"/>
          <w:w w:val="110"/>
        </w:rPr>
        <w:t> </w:t>
      </w:r>
      <w:r>
        <w:rPr>
          <w:color w:val="231F20"/>
          <w:w w:val="110"/>
        </w:rPr>
        <w:t>seguridad</w:t>
      </w:r>
      <w:r>
        <w:rPr>
          <w:color w:val="231F20"/>
          <w:spacing w:val="-13"/>
          <w:w w:val="110"/>
        </w:rPr>
        <w:t> </w:t>
      </w:r>
      <w:r>
        <w:rPr>
          <w:color w:val="231F20"/>
          <w:w w:val="110"/>
        </w:rPr>
        <w:t>material</w:t>
      </w:r>
      <w:r>
        <w:rPr>
          <w:color w:val="231F20"/>
          <w:spacing w:val="-13"/>
          <w:w w:val="110"/>
        </w:rPr>
        <w:t> </w:t>
      </w:r>
      <w:r>
        <w:rPr>
          <w:color w:val="231F20"/>
          <w:w w:val="110"/>
        </w:rPr>
        <w:t>y</w:t>
      </w:r>
      <w:r>
        <w:rPr>
          <w:color w:val="231F20"/>
          <w:spacing w:val="-13"/>
          <w:w w:val="110"/>
        </w:rPr>
        <w:t> </w:t>
      </w:r>
      <w:r>
        <w:rPr>
          <w:color w:val="231F20"/>
          <w:w w:val="110"/>
        </w:rPr>
        <w:t>la</w:t>
      </w:r>
      <w:r>
        <w:rPr>
          <w:color w:val="231F20"/>
          <w:spacing w:val="-13"/>
          <w:w w:val="110"/>
        </w:rPr>
        <w:t> </w:t>
      </w:r>
      <w:r>
        <w:rPr>
          <w:color w:val="231F20"/>
          <w:w w:val="110"/>
        </w:rPr>
        <w:t>salud,</w:t>
      </w:r>
      <w:r>
        <w:rPr>
          <w:color w:val="231F20"/>
          <w:spacing w:val="-13"/>
          <w:w w:val="110"/>
        </w:rPr>
        <w:t> </w:t>
      </w:r>
      <w:r>
        <w:rPr>
          <w:color w:val="231F20"/>
          <w:w w:val="110"/>
        </w:rPr>
        <w:t>figuran</w:t>
      </w:r>
      <w:r>
        <w:rPr>
          <w:color w:val="231F20"/>
          <w:spacing w:val="-13"/>
          <w:w w:val="110"/>
        </w:rPr>
        <w:t> </w:t>
      </w:r>
      <w:r>
        <w:rPr>
          <w:color w:val="231F20"/>
          <w:w w:val="110"/>
        </w:rPr>
        <w:t>en</w:t>
      </w:r>
      <w:r>
        <w:rPr>
          <w:color w:val="231F20"/>
          <w:spacing w:val="-13"/>
          <w:w w:val="110"/>
        </w:rPr>
        <w:t> </w:t>
      </w:r>
      <w:r>
        <w:rPr>
          <w:color w:val="231F20"/>
          <w:w w:val="110"/>
        </w:rPr>
        <w:t>la</w:t>
      </w:r>
      <w:r>
        <w:rPr>
          <w:color w:val="231F20"/>
          <w:spacing w:val="-13"/>
          <w:w w:val="110"/>
        </w:rPr>
        <w:t> </w:t>
      </w:r>
      <w:r>
        <w:rPr>
          <w:color w:val="231F20"/>
          <w:w w:val="110"/>
        </w:rPr>
        <w:t>agenda</w:t>
      </w:r>
      <w:r>
        <w:rPr>
          <w:color w:val="231F20"/>
          <w:spacing w:val="-13"/>
          <w:w w:val="110"/>
        </w:rPr>
        <w:t> </w:t>
      </w:r>
      <w:r>
        <w:rPr>
          <w:color w:val="231F20"/>
          <w:w w:val="110"/>
        </w:rPr>
        <w:t>de</w:t>
      </w:r>
      <w:r>
        <w:rPr>
          <w:color w:val="231F20"/>
          <w:spacing w:val="-13"/>
          <w:w w:val="110"/>
        </w:rPr>
        <w:t> </w:t>
      </w:r>
      <w:r>
        <w:rPr>
          <w:color w:val="231F20"/>
          <w:w w:val="110"/>
        </w:rPr>
        <w:t>desarrollo, sobre todo en relación con el bienestar de las generaciones más jóvenes,  lo cual conduce a políticas que excluyen y empobrecen aún más a las per- sonas mayores en la medida que este grupo de población aumenta, los beneficios</w:t>
      </w:r>
      <w:r>
        <w:rPr>
          <w:color w:val="231F20"/>
          <w:spacing w:val="-5"/>
          <w:w w:val="110"/>
        </w:rPr>
        <w:t> </w:t>
      </w:r>
      <w:r>
        <w:rPr>
          <w:color w:val="231F20"/>
          <w:w w:val="110"/>
        </w:rPr>
        <w:t>que</w:t>
      </w:r>
      <w:r>
        <w:rPr>
          <w:color w:val="231F20"/>
          <w:spacing w:val="-5"/>
          <w:w w:val="110"/>
        </w:rPr>
        <w:t> </w:t>
      </w:r>
      <w:r>
        <w:rPr>
          <w:color w:val="231F20"/>
          <w:w w:val="110"/>
        </w:rPr>
        <w:t>trae</w:t>
      </w:r>
      <w:r>
        <w:rPr>
          <w:color w:val="231F20"/>
          <w:spacing w:val="-5"/>
          <w:w w:val="110"/>
        </w:rPr>
        <w:t> </w:t>
      </w:r>
      <w:r>
        <w:rPr>
          <w:color w:val="231F20"/>
          <w:w w:val="110"/>
        </w:rPr>
        <w:t>consigo</w:t>
      </w:r>
      <w:r>
        <w:rPr>
          <w:color w:val="231F20"/>
          <w:spacing w:val="-5"/>
          <w:w w:val="110"/>
        </w:rPr>
        <w:t> </w:t>
      </w:r>
      <w:r>
        <w:rPr>
          <w:color w:val="231F20"/>
          <w:w w:val="110"/>
        </w:rPr>
        <w:t>el</w:t>
      </w:r>
      <w:r>
        <w:rPr>
          <w:color w:val="231F20"/>
          <w:spacing w:val="-5"/>
          <w:w w:val="110"/>
        </w:rPr>
        <w:t> </w:t>
      </w:r>
      <w:r>
        <w:rPr>
          <w:color w:val="231F20"/>
          <w:w w:val="110"/>
        </w:rPr>
        <w:t>desarrollo</w:t>
      </w:r>
      <w:r>
        <w:rPr>
          <w:color w:val="231F20"/>
          <w:spacing w:val="-5"/>
          <w:w w:val="110"/>
        </w:rPr>
        <w:t> </w:t>
      </w:r>
      <w:r>
        <w:rPr>
          <w:color w:val="231F20"/>
          <w:w w:val="110"/>
        </w:rPr>
        <w:t>no</w:t>
      </w:r>
      <w:r>
        <w:rPr>
          <w:color w:val="231F20"/>
          <w:spacing w:val="-5"/>
          <w:w w:val="110"/>
        </w:rPr>
        <w:t> </w:t>
      </w:r>
      <w:r>
        <w:rPr>
          <w:color w:val="231F20"/>
          <w:w w:val="110"/>
        </w:rPr>
        <w:t>se</w:t>
      </w:r>
      <w:r>
        <w:rPr>
          <w:color w:val="231F20"/>
          <w:spacing w:val="-5"/>
          <w:w w:val="110"/>
        </w:rPr>
        <w:t> </w:t>
      </w:r>
      <w:r>
        <w:rPr>
          <w:color w:val="231F20"/>
          <w:w w:val="110"/>
        </w:rPr>
        <w:t>traducen</w:t>
      </w:r>
      <w:r>
        <w:rPr>
          <w:color w:val="231F20"/>
          <w:spacing w:val="-5"/>
          <w:w w:val="110"/>
        </w:rPr>
        <w:t> </w:t>
      </w:r>
      <w:r>
        <w:rPr>
          <w:color w:val="231F20"/>
          <w:w w:val="110"/>
        </w:rPr>
        <w:t>en</w:t>
      </w:r>
      <w:r>
        <w:rPr>
          <w:color w:val="231F20"/>
          <w:spacing w:val="-5"/>
          <w:w w:val="110"/>
        </w:rPr>
        <w:t> </w:t>
      </w:r>
      <w:r>
        <w:rPr>
          <w:color w:val="231F20"/>
          <w:w w:val="110"/>
        </w:rPr>
        <w:t>mejores</w:t>
      </w:r>
      <w:r>
        <w:rPr>
          <w:color w:val="231F20"/>
          <w:spacing w:val="-5"/>
          <w:w w:val="110"/>
        </w:rPr>
        <w:t> </w:t>
      </w:r>
      <w:r>
        <w:rPr>
          <w:color w:val="231F20"/>
          <w:w w:val="110"/>
        </w:rPr>
        <w:t>niveles de bienestar, </w:t>
      </w:r>
      <w:r>
        <w:rPr>
          <w:color w:val="231F20"/>
          <w:spacing w:val="2"/>
          <w:w w:val="110"/>
        </w:rPr>
        <w:t>esto </w:t>
      </w:r>
      <w:r>
        <w:rPr>
          <w:color w:val="231F20"/>
          <w:w w:val="110"/>
        </w:rPr>
        <w:t>se </w:t>
      </w:r>
      <w:r>
        <w:rPr>
          <w:color w:val="231F20"/>
          <w:spacing w:val="2"/>
          <w:w w:val="110"/>
        </w:rPr>
        <w:t>puede constatar </w:t>
      </w:r>
      <w:r>
        <w:rPr>
          <w:color w:val="231F20"/>
          <w:w w:val="110"/>
        </w:rPr>
        <w:t>con el </w:t>
      </w:r>
      <w:r>
        <w:rPr>
          <w:color w:val="231F20"/>
          <w:spacing w:val="2"/>
          <w:w w:val="110"/>
        </w:rPr>
        <w:t>aumento </w:t>
      </w:r>
      <w:r>
        <w:rPr>
          <w:color w:val="231F20"/>
          <w:w w:val="110"/>
        </w:rPr>
        <w:t>en el </w:t>
      </w:r>
      <w:r>
        <w:rPr>
          <w:color w:val="231F20"/>
          <w:spacing w:val="2"/>
          <w:w w:val="110"/>
        </w:rPr>
        <w:t>número </w:t>
      </w:r>
      <w:r>
        <w:rPr>
          <w:color w:val="231F20"/>
          <w:w w:val="110"/>
        </w:rPr>
        <w:t>de adultos mayores que carecen de algún tipo de pensión que ayude a su sobrevivencia, así también mejora en la calidad de los servicios de aten- ción médica, pues es durante esta etapa de la vida que se padecen enfer- medades, principalmente crónico-degenerativas. Esta es una de las razo- nes en las que se ve implicado este grupo de población. La Organización  de las Naciones Unidas, en su Informe sobre el Desarrollo Humano de 2005,</w:t>
      </w:r>
      <w:r>
        <w:rPr>
          <w:color w:val="231F20"/>
          <w:spacing w:val="-5"/>
          <w:w w:val="110"/>
        </w:rPr>
        <w:t> </w:t>
      </w:r>
      <w:r>
        <w:rPr>
          <w:color w:val="231F20"/>
          <w:w w:val="110"/>
        </w:rPr>
        <w:t>señaló</w:t>
      </w:r>
      <w:r>
        <w:rPr>
          <w:color w:val="231F20"/>
          <w:spacing w:val="-5"/>
          <w:w w:val="110"/>
        </w:rPr>
        <w:t> </w:t>
      </w:r>
      <w:r>
        <w:rPr>
          <w:color w:val="231F20"/>
          <w:w w:val="110"/>
        </w:rPr>
        <w:t>la</w:t>
      </w:r>
      <w:r>
        <w:rPr>
          <w:color w:val="231F20"/>
          <w:spacing w:val="-5"/>
          <w:w w:val="110"/>
        </w:rPr>
        <w:t> </w:t>
      </w:r>
      <w:r>
        <w:rPr>
          <w:color w:val="231F20"/>
          <w:w w:val="110"/>
        </w:rPr>
        <w:t>importancia</w:t>
      </w:r>
      <w:r>
        <w:rPr>
          <w:color w:val="231F20"/>
          <w:spacing w:val="-5"/>
          <w:w w:val="110"/>
        </w:rPr>
        <w:t> </w:t>
      </w:r>
      <w:r>
        <w:rPr>
          <w:color w:val="231F20"/>
          <w:w w:val="110"/>
        </w:rPr>
        <w:t>que</w:t>
      </w:r>
      <w:r>
        <w:rPr>
          <w:color w:val="231F20"/>
          <w:spacing w:val="-5"/>
          <w:w w:val="110"/>
        </w:rPr>
        <w:t> </w:t>
      </w:r>
      <w:r>
        <w:rPr>
          <w:color w:val="231F20"/>
          <w:w w:val="110"/>
        </w:rPr>
        <w:t>tiene</w:t>
      </w:r>
      <w:r>
        <w:rPr>
          <w:color w:val="231F20"/>
          <w:spacing w:val="-5"/>
          <w:w w:val="110"/>
        </w:rPr>
        <w:t> </w:t>
      </w:r>
      <w:r>
        <w:rPr>
          <w:color w:val="231F20"/>
          <w:w w:val="110"/>
        </w:rPr>
        <w:t>para</w:t>
      </w:r>
      <w:r>
        <w:rPr>
          <w:color w:val="231F20"/>
          <w:spacing w:val="-5"/>
          <w:w w:val="110"/>
        </w:rPr>
        <w:t> </w:t>
      </w:r>
      <w:r>
        <w:rPr>
          <w:color w:val="231F20"/>
          <w:w w:val="110"/>
        </w:rPr>
        <w:t>una</w:t>
      </w:r>
      <w:r>
        <w:rPr>
          <w:color w:val="231F20"/>
          <w:spacing w:val="-5"/>
          <w:w w:val="110"/>
        </w:rPr>
        <w:t> </w:t>
      </w:r>
      <w:r>
        <w:rPr>
          <w:color w:val="231F20"/>
          <w:w w:val="110"/>
        </w:rPr>
        <w:t>sociedad</w:t>
      </w:r>
      <w:r>
        <w:rPr>
          <w:color w:val="231F20"/>
          <w:spacing w:val="-5"/>
          <w:w w:val="110"/>
        </w:rPr>
        <w:t> </w:t>
      </w:r>
      <w:r>
        <w:rPr>
          <w:color w:val="231F20"/>
          <w:w w:val="110"/>
        </w:rPr>
        <w:t>erradicar</w:t>
      </w:r>
      <w:r>
        <w:rPr>
          <w:color w:val="231F20"/>
          <w:spacing w:val="-5"/>
          <w:w w:val="110"/>
        </w:rPr>
        <w:t> </w:t>
      </w:r>
      <w:r>
        <w:rPr>
          <w:color w:val="231F20"/>
          <w:w w:val="110"/>
        </w:rPr>
        <w:t>o</w:t>
      </w:r>
      <w:r>
        <w:rPr>
          <w:color w:val="231F20"/>
          <w:spacing w:val="-5"/>
          <w:w w:val="110"/>
        </w:rPr>
        <w:t> </w:t>
      </w:r>
      <w:r>
        <w:rPr>
          <w:color w:val="231F20"/>
          <w:w w:val="110"/>
        </w:rPr>
        <w:t>dismi- nuir la desigualdad y la pobreza. Las desigualdades se heredan y traducen en desventajas de oportunidades basadas en diferencias de riqueza, géne- ro y origen étnico y racial (Colón, 2007); sin descartar las desventajas que trae consigo el envejecimiento de la población, principalmente cuando se entra</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etapa</w:t>
      </w:r>
      <w:r>
        <w:rPr>
          <w:color w:val="231F20"/>
          <w:spacing w:val="-9"/>
          <w:w w:val="110"/>
        </w:rPr>
        <w:t> </w:t>
      </w:r>
      <w:r>
        <w:rPr>
          <w:color w:val="231F20"/>
          <w:w w:val="110"/>
        </w:rPr>
        <w:t>del</w:t>
      </w:r>
      <w:r>
        <w:rPr>
          <w:color w:val="231F20"/>
          <w:spacing w:val="-9"/>
          <w:w w:val="110"/>
        </w:rPr>
        <w:t> </w:t>
      </w:r>
      <w:r>
        <w:rPr>
          <w:color w:val="231F20"/>
          <w:w w:val="110"/>
        </w:rPr>
        <w:t>retiro</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actividad</w:t>
      </w:r>
      <w:r>
        <w:rPr>
          <w:color w:val="231F20"/>
          <w:spacing w:val="-9"/>
          <w:w w:val="110"/>
        </w:rPr>
        <w:t> </w:t>
      </w:r>
      <w:r>
        <w:rPr>
          <w:color w:val="231F20"/>
          <w:w w:val="110"/>
        </w:rPr>
        <w:t>productiva</w:t>
      </w:r>
      <w:r>
        <w:rPr>
          <w:color w:val="231F20"/>
          <w:spacing w:val="-9"/>
          <w:w w:val="110"/>
        </w:rPr>
        <w:t> </w:t>
      </w:r>
      <w:r>
        <w:rPr>
          <w:color w:val="231F20"/>
          <w:w w:val="110"/>
        </w:rPr>
        <w:t>y</w:t>
      </w:r>
      <w:r>
        <w:rPr>
          <w:color w:val="231F20"/>
          <w:spacing w:val="-9"/>
          <w:w w:val="110"/>
        </w:rPr>
        <w:t> </w:t>
      </w:r>
      <w:r>
        <w:rPr>
          <w:color w:val="231F20"/>
          <w:w w:val="110"/>
        </w:rPr>
        <w:t>los</w:t>
      </w:r>
      <w:r>
        <w:rPr>
          <w:color w:val="231F20"/>
          <w:spacing w:val="-9"/>
          <w:w w:val="110"/>
        </w:rPr>
        <w:t> </w:t>
      </w:r>
      <w:r>
        <w:rPr>
          <w:color w:val="231F20"/>
          <w:w w:val="110"/>
        </w:rPr>
        <w:t>ingresos</w:t>
      </w:r>
      <w:r>
        <w:rPr>
          <w:color w:val="231F20"/>
          <w:spacing w:val="-9"/>
          <w:w w:val="110"/>
        </w:rPr>
        <w:t> </w:t>
      </w:r>
      <w:r>
        <w:rPr>
          <w:color w:val="231F20"/>
          <w:w w:val="110"/>
        </w:rPr>
        <w:t>tienden a disminuir o cuando las condiciones de salud del adulto mayor tienden a agravarse y requiere de atención médica especial y </w:t>
      </w:r>
      <w:r>
        <w:rPr>
          <w:color w:val="231F20"/>
          <w:spacing w:val="11"/>
          <w:w w:val="110"/>
        </w:rPr>
        <w:t> </w:t>
      </w:r>
      <w:r>
        <w:rPr>
          <w:color w:val="231F20"/>
          <w:w w:val="110"/>
        </w:rPr>
        <w:t>cuidados.</w:t>
      </w:r>
    </w:p>
    <w:p>
      <w:pPr>
        <w:pStyle w:val="BodyText"/>
        <w:spacing w:line="295" w:lineRule="auto"/>
        <w:ind w:left="120" w:right="117" w:firstLine="360"/>
        <w:jc w:val="both"/>
      </w:pPr>
      <w:r>
        <w:rPr>
          <w:color w:val="231F20"/>
          <w:w w:val="110"/>
        </w:rPr>
        <w:t>La desigualdad se encuentra en todos los ámbitos y a todos los</w:t>
      </w:r>
      <w:r>
        <w:rPr>
          <w:color w:val="231F20"/>
          <w:spacing w:val="-21"/>
          <w:w w:val="110"/>
        </w:rPr>
        <w:t> </w:t>
      </w:r>
      <w:r>
        <w:rPr>
          <w:color w:val="231F20"/>
          <w:w w:val="110"/>
        </w:rPr>
        <w:t>niveles: en la distribución del ingreso, en la dotación de servicios, en el acceso a</w:t>
      </w:r>
      <w:r>
        <w:rPr>
          <w:color w:val="231F20"/>
          <w:spacing w:val="-22"/>
          <w:w w:val="110"/>
        </w:rPr>
        <w:t> </w:t>
      </w:r>
      <w:r>
        <w:rPr>
          <w:color w:val="231F20"/>
          <w:w w:val="110"/>
        </w:rPr>
        <w:t>los medios educativos, a la cultura, a la vivienda, al empleo, a la alimentación, a la salud; y por si fuera poco, al solo hecho de disfrutar la ciudad para el caso de los adultos mayores, es </w:t>
      </w:r>
      <w:r>
        <w:rPr>
          <w:color w:val="231F20"/>
          <w:spacing w:val="-3"/>
          <w:w w:val="110"/>
        </w:rPr>
        <w:t>decir, </w:t>
      </w:r>
      <w:r>
        <w:rPr>
          <w:color w:val="231F20"/>
          <w:w w:val="110"/>
        </w:rPr>
        <w:t>contar con el equipamiento urbano necesario para que el adulto mayor pueda desplazarse de manera cómoda y</w:t>
      </w:r>
      <w:r>
        <w:rPr>
          <w:color w:val="231F20"/>
          <w:spacing w:val="-7"/>
          <w:w w:val="110"/>
        </w:rPr>
        <w:t> </w:t>
      </w:r>
      <w:r>
        <w:rPr>
          <w:color w:val="231F20"/>
          <w:w w:val="110"/>
        </w:rPr>
        <w:t>segura</w:t>
      </w:r>
      <w:r>
        <w:rPr>
          <w:color w:val="231F20"/>
          <w:spacing w:val="-7"/>
          <w:w w:val="110"/>
        </w:rPr>
        <w:t> </w:t>
      </w:r>
      <w:r>
        <w:rPr>
          <w:color w:val="231F20"/>
          <w:w w:val="110"/>
        </w:rPr>
        <w:t>por</w:t>
      </w:r>
      <w:r>
        <w:rPr>
          <w:color w:val="231F20"/>
          <w:spacing w:val="-7"/>
          <w:w w:val="110"/>
        </w:rPr>
        <w:t> </w:t>
      </w:r>
      <w:r>
        <w:rPr>
          <w:color w:val="231F20"/>
          <w:w w:val="110"/>
        </w:rPr>
        <w:t>la</w:t>
      </w:r>
      <w:r>
        <w:rPr>
          <w:color w:val="231F20"/>
          <w:spacing w:val="-7"/>
          <w:w w:val="110"/>
        </w:rPr>
        <w:t> </w:t>
      </w:r>
      <w:r>
        <w:rPr>
          <w:color w:val="231F20"/>
          <w:w w:val="110"/>
        </w:rPr>
        <w:t>ciudad</w:t>
      </w:r>
      <w:r>
        <w:rPr>
          <w:color w:val="231F20"/>
          <w:spacing w:val="-8"/>
          <w:w w:val="110"/>
        </w:rPr>
        <w:t> </w:t>
      </w:r>
      <w:r>
        <w:rPr>
          <w:color w:val="231F20"/>
          <w:w w:val="110"/>
        </w:rPr>
        <w:t>y</w:t>
      </w:r>
      <w:r>
        <w:rPr>
          <w:color w:val="231F20"/>
          <w:spacing w:val="-8"/>
          <w:w w:val="110"/>
        </w:rPr>
        <w:t> </w:t>
      </w:r>
      <w:r>
        <w:rPr>
          <w:color w:val="231F20"/>
          <w:w w:val="110"/>
        </w:rPr>
        <w:t>contar</w:t>
      </w:r>
      <w:r>
        <w:rPr>
          <w:color w:val="231F20"/>
          <w:spacing w:val="-7"/>
          <w:w w:val="110"/>
        </w:rPr>
        <w:t> </w:t>
      </w:r>
      <w:r>
        <w:rPr>
          <w:color w:val="231F20"/>
          <w:w w:val="110"/>
        </w:rPr>
        <w:t>con</w:t>
      </w:r>
      <w:r>
        <w:rPr>
          <w:color w:val="231F20"/>
          <w:spacing w:val="-8"/>
          <w:w w:val="110"/>
        </w:rPr>
        <w:t> </w:t>
      </w:r>
      <w:r>
        <w:rPr>
          <w:color w:val="231F20"/>
          <w:w w:val="110"/>
        </w:rPr>
        <w:t>la</w:t>
      </w:r>
      <w:r>
        <w:rPr>
          <w:color w:val="231F20"/>
          <w:spacing w:val="-8"/>
          <w:w w:val="110"/>
        </w:rPr>
        <w:t> </w:t>
      </w:r>
      <w:r>
        <w:rPr>
          <w:color w:val="231F20"/>
          <w:w w:val="110"/>
        </w:rPr>
        <w:t>infraestructura</w:t>
      </w:r>
      <w:r>
        <w:rPr>
          <w:color w:val="231F20"/>
          <w:spacing w:val="-7"/>
          <w:w w:val="110"/>
        </w:rPr>
        <w:t> </w:t>
      </w:r>
      <w:r>
        <w:rPr>
          <w:color w:val="231F20"/>
          <w:w w:val="110"/>
        </w:rPr>
        <w:t>necesaria</w:t>
      </w:r>
      <w:r>
        <w:rPr>
          <w:color w:val="231F20"/>
          <w:spacing w:val="-7"/>
          <w:w w:val="110"/>
        </w:rPr>
        <w:t> </w:t>
      </w:r>
      <w:r>
        <w:rPr>
          <w:color w:val="231F20"/>
          <w:w w:val="110"/>
        </w:rPr>
        <w:t>para</w:t>
      </w:r>
      <w:r>
        <w:rPr>
          <w:color w:val="231F20"/>
          <w:spacing w:val="-7"/>
          <w:w w:val="110"/>
        </w:rPr>
        <w:t> </w:t>
      </w:r>
      <w:r>
        <w:rPr>
          <w:color w:val="231F20"/>
          <w:w w:val="110"/>
        </w:rPr>
        <w:t>cruzar</w:t>
      </w:r>
    </w:p>
    <w:p>
      <w:pPr>
        <w:spacing w:line="256" w:lineRule="auto" w:before="148"/>
        <w:ind w:left="120" w:right="115" w:firstLine="360"/>
        <w:jc w:val="both"/>
        <w:rPr>
          <w:sz w:val="16"/>
        </w:rPr>
      </w:pPr>
      <w:r>
        <w:rPr>
          <w:color w:val="231F20"/>
          <w:w w:val="110"/>
          <w:position w:val="5"/>
          <w:sz w:val="9"/>
        </w:rPr>
        <w:t>7 </w:t>
      </w:r>
      <w:r>
        <w:rPr>
          <w:color w:val="231F20"/>
          <w:w w:val="110"/>
          <w:sz w:val="16"/>
        </w:rPr>
        <w:t>En esa misma sesión se aprobó un Plan de Acción sobre el Envejecimiento de amplio alcance, que se comprometía a hacer extensivo a las personas mayores el derecho al de- sarrollo y a reducir la pobreza a la mitad antes del 2015, de conformidad con el primer Objetivo de Desarrollo del Milenio (</w:t>
      </w:r>
      <w:r>
        <w:rPr>
          <w:rFonts w:ascii="Times New Roman" w:hAnsi="Times New Roman"/>
          <w:color w:val="231F20"/>
          <w:w w:val="110"/>
          <w:sz w:val="13"/>
        </w:rPr>
        <w:t>ODM</w:t>
      </w:r>
      <w:r>
        <w:rPr>
          <w:color w:val="231F20"/>
          <w:w w:val="110"/>
          <w:sz w:val="16"/>
        </w:rPr>
        <w:t>).</w:t>
      </w:r>
    </w:p>
    <w:p>
      <w:pPr>
        <w:spacing w:after="0" w:line="256" w:lineRule="auto"/>
        <w:jc w:val="both"/>
        <w:rPr>
          <w:sz w:val="16"/>
        </w:rPr>
        <w:sectPr>
          <w:pgSz w:w="9520" w:h="12920"/>
          <w:pgMar w:header="0" w:footer="1344" w:top="880" w:bottom="1540" w:left="1000" w:right="1320"/>
        </w:sectPr>
      </w:pPr>
    </w:p>
    <w:p>
      <w:pPr>
        <w:pStyle w:val="BodyText"/>
        <w:spacing w:line="295" w:lineRule="auto" w:before="42"/>
        <w:ind w:left="124"/>
      </w:pPr>
      <w:r>
        <w:rPr>
          <w:color w:val="231F20"/>
          <w:w w:val="110"/>
        </w:rPr>
        <w:t>una calle, rampas de acceso a los edificios públicos, transporte especial, centros de convivencia y recreación, entre otros.</w:t>
      </w:r>
    </w:p>
    <w:p>
      <w:pPr>
        <w:pStyle w:val="BodyText"/>
        <w:spacing w:line="295" w:lineRule="auto"/>
        <w:ind w:left="124" w:right="112" w:firstLine="360"/>
        <w:jc w:val="both"/>
      </w:pPr>
      <w:r>
        <w:rPr>
          <w:color w:val="231F20"/>
          <w:w w:val="110"/>
        </w:rPr>
        <w:t>Asimismo, la desigualdad puede evaluarse de diferentes maneras: en términos de la distribución del ingreso, de la marginación o del bienestar (Juárez, 2008), y también en términos de la situación probable de carencia o de satisfacción de necesidades de los pobladores de un espacio geográ- fico determinado (Pamplona, 2005). En términos económicos, como </w:t>
      </w:r>
      <w:r>
        <w:rPr>
          <w:color w:val="231F20"/>
          <w:spacing w:val="2"/>
          <w:w w:val="110"/>
        </w:rPr>
        <w:t>pro- </w:t>
      </w:r>
      <w:r>
        <w:rPr>
          <w:color w:val="231F20"/>
          <w:w w:val="110"/>
        </w:rPr>
        <w:t>ducto de la globalización del sistema económico mundial, que se expresa en</w:t>
      </w:r>
      <w:r>
        <w:rPr>
          <w:color w:val="231F20"/>
          <w:spacing w:val="-4"/>
          <w:w w:val="110"/>
        </w:rPr>
        <w:t> </w:t>
      </w:r>
      <w:r>
        <w:rPr>
          <w:color w:val="231F20"/>
          <w:w w:val="110"/>
        </w:rPr>
        <w:t>marginación</w:t>
      </w:r>
      <w:r>
        <w:rPr>
          <w:color w:val="231F20"/>
          <w:spacing w:val="-4"/>
          <w:w w:val="110"/>
        </w:rPr>
        <w:t> </w:t>
      </w:r>
      <w:r>
        <w:rPr>
          <w:color w:val="231F20"/>
          <w:w w:val="110"/>
        </w:rPr>
        <w:t>y</w:t>
      </w:r>
      <w:r>
        <w:rPr>
          <w:color w:val="231F20"/>
          <w:spacing w:val="-4"/>
          <w:w w:val="110"/>
        </w:rPr>
        <w:t> </w:t>
      </w:r>
      <w:r>
        <w:rPr>
          <w:color w:val="231F20"/>
          <w:w w:val="110"/>
        </w:rPr>
        <w:t>exclusión</w:t>
      </w:r>
      <w:r>
        <w:rPr>
          <w:color w:val="231F20"/>
          <w:spacing w:val="-4"/>
          <w:w w:val="110"/>
        </w:rPr>
        <w:t> </w:t>
      </w:r>
      <w:r>
        <w:rPr>
          <w:color w:val="231F20"/>
          <w:w w:val="110"/>
        </w:rPr>
        <w:t>social</w:t>
      </w:r>
      <w:r>
        <w:rPr>
          <w:color w:val="231F20"/>
          <w:spacing w:val="-4"/>
          <w:w w:val="110"/>
        </w:rPr>
        <w:t> </w:t>
      </w:r>
      <w:r>
        <w:rPr>
          <w:color w:val="231F20"/>
          <w:w w:val="110"/>
        </w:rPr>
        <w:t>(Caravaca,</w:t>
      </w:r>
      <w:r>
        <w:rPr>
          <w:color w:val="231F20"/>
          <w:spacing w:val="-4"/>
          <w:w w:val="110"/>
        </w:rPr>
        <w:t> </w:t>
      </w:r>
      <w:r>
        <w:rPr>
          <w:color w:val="231F20"/>
          <w:w w:val="110"/>
        </w:rPr>
        <w:t>1998),</w:t>
      </w:r>
      <w:r>
        <w:rPr>
          <w:color w:val="231F20"/>
          <w:spacing w:val="-4"/>
          <w:w w:val="110"/>
        </w:rPr>
        <w:t> </w:t>
      </w:r>
      <w:r>
        <w:rPr>
          <w:color w:val="231F20"/>
          <w:w w:val="110"/>
        </w:rPr>
        <w:t>o</w:t>
      </w:r>
      <w:r>
        <w:rPr>
          <w:color w:val="231F20"/>
          <w:spacing w:val="-4"/>
          <w:w w:val="110"/>
        </w:rPr>
        <w:t> </w:t>
      </w:r>
      <w:r>
        <w:rPr>
          <w:color w:val="231F20"/>
          <w:w w:val="110"/>
        </w:rPr>
        <w:t>bien</w:t>
      </w:r>
      <w:r>
        <w:rPr>
          <w:color w:val="231F20"/>
          <w:spacing w:val="-4"/>
          <w:w w:val="110"/>
        </w:rPr>
        <w:t> </w:t>
      </w:r>
      <w:r>
        <w:rPr>
          <w:color w:val="231F20"/>
          <w:w w:val="110"/>
        </w:rPr>
        <w:t>relacionada</w:t>
      </w:r>
      <w:r>
        <w:rPr>
          <w:color w:val="231F20"/>
          <w:spacing w:val="-4"/>
          <w:w w:val="110"/>
        </w:rPr>
        <w:t> </w:t>
      </w:r>
      <w:r>
        <w:rPr>
          <w:color w:val="231F20"/>
          <w:w w:val="110"/>
        </w:rPr>
        <w:t>con </w:t>
      </w:r>
      <w:r>
        <w:rPr>
          <w:color w:val="231F20"/>
          <w:w w:val="101"/>
        </w:rPr>
        <w:t>l</w:t>
      </w:r>
      <w:r>
        <w:rPr>
          <w:color w:val="231F20"/>
          <w:w w:val="108"/>
        </w:rPr>
        <w:t>a</w:t>
      </w:r>
      <w:r>
        <w:rPr>
          <w:color w:val="231F20"/>
          <w:w w:val="118"/>
        </w:rPr>
        <w:t>s</w:t>
      </w:r>
      <w:r>
        <w:rPr>
          <w:color w:val="231F20"/>
        </w:rPr>
        <w:t> </w:t>
      </w:r>
      <w:r>
        <w:rPr>
          <w:color w:val="231F20"/>
          <w:spacing w:val="-14"/>
        </w:rPr>
        <w:t> </w:t>
      </w:r>
      <w:r>
        <w:rPr>
          <w:color w:val="231F20"/>
          <w:w w:val="115"/>
        </w:rPr>
        <w:t>c</w:t>
      </w:r>
      <w:r>
        <w:rPr>
          <w:color w:val="231F20"/>
          <w:w w:val="108"/>
        </w:rPr>
        <w:t>a</w:t>
      </w:r>
      <w:r>
        <w:rPr>
          <w:color w:val="231F20"/>
          <w:w w:val="105"/>
        </w:rPr>
        <w:t>r</w:t>
      </w:r>
      <w:r>
        <w:rPr>
          <w:color w:val="231F20"/>
          <w:w w:val="108"/>
        </w:rPr>
        <w:t>a</w:t>
      </w:r>
      <w:r>
        <w:rPr>
          <w:color w:val="231F20"/>
          <w:w w:val="115"/>
        </w:rPr>
        <w:t>c</w:t>
      </w:r>
      <w:r>
        <w:rPr>
          <w:color w:val="231F20"/>
          <w:w w:val="94"/>
        </w:rPr>
        <w:t>t</w:t>
      </w:r>
      <w:r>
        <w:rPr>
          <w:color w:val="231F20"/>
          <w:w w:val="109"/>
        </w:rPr>
        <w:t>e</w:t>
      </w:r>
      <w:r>
        <w:rPr>
          <w:color w:val="231F20"/>
          <w:w w:val="105"/>
        </w:rPr>
        <w:t>r</w:t>
      </w:r>
      <w:r>
        <w:rPr>
          <w:color w:val="231F20"/>
          <w:w w:val="98"/>
        </w:rPr>
        <w:t>í</w:t>
      </w:r>
      <w:r>
        <w:rPr>
          <w:color w:val="231F20"/>
          <w:w w:val="118"/>
        </w:rPr>
        <w:t>s</w:t>
      </w:r>
      <w:r>
        <w:rPr>
          <w:color w:val="231F20"/>
          <w:w w:val="94"/>
        </w:rPr>
        <w:t>t</w:t>
      </w:r>
      <w:r>
        <w:rPr>
          <w:color w:val="231F20"/>
          <w:w w:val="98"/>
        </w:rPr>
        <w:t>i</w:t>
      </w:r>
      <w:r>
        <w:rPr>
          <w:color w:val="231F20"/>
          <w:w w:val="115"/>
        </w:rPr>
        <w:t>c</w:t>
      </w:r>
      <w:r>
        <w:rPr>
          <w:color w:val="231F20"/>
          <w:w w:val="108"/>
        </w:rPr>
        <w:t>a</w:t>
      </w:r>
      <w:r>
        <w:rPr>
          <w:color w:val="231F20"/>
          <w:w w:val="118"/>
        </w:rPr>
        <w:t>s</w:t>
      </w:r>
      <w:r>
        <w:rPr>
          <w:color w:val="231F20"/>
        </w:rPr>
        <w:t> </w:t>
      </w:r>
      <w:r>
        <w:rPr>
          <w:color w:val="231F20"/>
          <w:spacing w:val="-14"/>
        </w:rPr>
        <w:t> </w:t>
      </w:r>
      <w:r>
        <w:rPr>
          <w:color w:val="231F20"/>
          <w:w w:val="118"/>
        </w:rPr>
        <w:t>s</w:t>
      </w:r>
      <w:r>
        <w:rPr>
          <w:color w:val="231F20"/>
          <w:w w:val="108"/>
        </w:rPr>
        <w:t>o</w:t>
      </w:r>
      <w:r>
        <w:rPr>
          <w:color w:val="231F20"/>
          <w:w w:val="115"/>
        </w:rPr>
        <w:t>c</w:t>
      </w:r>
      <w:r>
        <w:rPr>
          <w:color w:val="231F20"/>
          <w:w w:val="98"/>
        </w:rPr>
        <w:t>i</w:t>
      </w:r>
      <w:r>
        <w:rPr>
          <w:color w:val="231F20"/>
          <w:w w:val="108"/>
        </w:rPr>
        <w:t>o</w:t>
      </w:r>
      <w:r>
        <w:rPr>
          <w:color w:val="231F20"/>
          <w:w w:val="109"/>
        </w:rPr>
        <w:t>e</w:t>
      </w:r>
      <w:r>
        <w:rPr>
          <w:color w:val="231F20"/>
          <w:w w:val="115"/>
        </w:rPr>
        <w:t>c</w:t>
      </w:r>
      <w:r>
        <w:rPr>
          <w:color w:val="231F20"/>
          <w:w w:val="108"/>
        </w:rPr>
        <w:t>o</w:t>
      </w:r>
      <w:r>
        <w:rPr>
          <w:color w:val="231F20"/>
          <w:w w:val="111"/>
        </w:rPr>
        <w:t>n</w:t>
      </w:r>
      <w:r>
        <w:rPr>
          <w:color w:val="231F20"/>
          <w:w w:val="108"/>
        </w:rPr>
        <w:t>ó</w:t>
      </w:r>
      <w:r>
        <w:rPr>
          <w:color w:val="231F20"/>
          <w:w w:val="110"/>
        </w:rPr>
        <w:t>m</w:t>
      </w:r>
      <w:r>
        <w:rPr>
          <w:color w:val="231F20"/>
          <w:w w:val="98"/>
        </w:rPr>
        <w:t>i</w:t>
      </w:r>
      <w:r>
        <w:rPr>
          <w:color w:val="231F20"/>
          <w:w w:val="115"/>
        </w:rPr>
        <w:t>c</w:t>
      </w:r>
      <w:r>
        <w:rPr>
          <w:color w:val="231F20"/>
          <w:w w:val="108"/>
        </w:rPr>
        <w:t>a</w:t>
      </w:r>
      <w:r>
        <w:rPr>
          <w:color w:val="231F20"/>
          <w:w w:val="118"/>
        </w:rPr>
        <w:t>s</w:t>
      </w:r>
      <w:r>
        <w:rPr>
          <w:color w:val="231F20"/>
        </w:rPr>
        <w:t> </w:t>
      </w:r>
      <w:r>
        <w:rPr>
          <w:color w:val="231F20"/>
          <w:spacing w:val="-14"/>
        </w:rPr>
        <w:t> </w:t>
      </w:r>
      <w:r>
        <w:rPr>
          <w:color w:val="231F20"/>
          <w:w w:val="107"/>
        </w:rPr>
        <w:t>d</w:t>
      </w:r>
      <w:r>
        <w:rPr>
          <w:color w:val="231F20"/>
          <w:w w:val="109"/>
        </w:rPr>
        <w:t>e</w:t>
      </w:r>
      <w:r>
        <w:rPr>
          <w:color w:val="231F20"/>
        </w:rPr>
        <w:t> </w:t>
      </w:r>
      <w:r>
        <w:rPr>
          <w:color w:val="231F20"/>
          <w:spacing w:val="-14"/>
        </w:rPr>
        <w:t> </w:t>
      </w:r>
      <w:r>
        <w:rPr>
          <w:color w:val="231F20"/>
          <w:w w:val="101"/>
        </w:rPr>
        <w:t>l</w:t>
      </w:r>
      <w:r>
        <w:rPr>
          <w:color w:val="231F20"/>
          <w:w w:val="108"/>
        </w:rPr>
        <w:t>a</w:t>
      </w:r>
      <w:r>
        <w:rPr>
          <w:color w:val="231F20"/>
        </w:rPr>
        <w:t> </w:t>
      </w:r>
      <w:r>
        <w:rPr>
          <w:color w:val="231F20"/>
          <w:spacing w:val="-14"/>
        </w:rPr>
        <w:t> </w:t>
      </w:r>
      <w:r>
        <w:rPr>
          <w:color w:val="231F20"/>
          <w:w w:val="106"/>
        </w:rPr>
        <w:t>p</w:t>
      </w:r>
      <w:r>
        <w:rPr>
          <w:color w:val="231F20"/>
          <w:w w:val="108"/>
        </w:rPr>
        <w:t>o</w:t>
      </w:r>
      <w:r>
        <w:rPr>
          <w:color w:val="231F20"/>
          <w:w w:val="107"/>
        </w:rPr>
        <w:t>b</w:t>
      </w:r>
      <w:r>
        <w:rPr>
          <w:color w:val="231F20"/>
          <w:w w:val="101"/>
        </w:rPr>
        <w:t>l</w:t>
      </w:r>
      <w:r>
        <w:rPr>
          <w:color w:val="231F20"/>
          <w:w w:val="108"/>
        </w:rPr>
        <w:t>a</w:t>
      </w:r>
      <w:r>
        <w:rPr>
          <w:color w:val="231F20"/>
          <w:w w:val="115"/>
        </w:rPr>
        <w:t>c</w:t>
      </w:r>
      <w:r>
        <w:rPr>
          <w:color w:val="231F20"/>
          <w:w w:val="98"/>
        </w:rPr>
        <w:t>i</w:t>
      </w:r>
      <w:r>
        <w:rPr>
          <w:color w:val="231F20"/>
          <w:w w:val="108"/>
        </w:rPr>
        <w:t>ó</w:t>
      </w:r>
      <w:r>
        <w:rPr>
          <w:color w:val="231F20"/>
          <w:w w:val="111"/>
        </w:rPr>
        <w:t>n</w:t>
      </w:r>
      <w:r>
        <w:rPr>
          <w:color w:val="231F20"/>
        </w:rPr>
        <w:t> </w:t>
      </w:r>
      <w:r>
        <w:rPr>
          <w:color w:val="231F20"/>
          <w:spacing w:val="-14"/>
        </w:rPr>
        <w:t> </w:t>
      </w:r>
      <w:r>
        <w:rPr>
          <w:color w:val="231F20"/>
          <w:w w:val="81"/>
        </w:rPr>
        <w:t>(</w:t>
      </w:r>
      <w:r>
        <w:rPr>
          <w:color w:val="231F20"/>
          <w:w w:val="169"/>
        </w:rPr>
        <w:t>J</w:t>
      </w:r>
      <w:r>
        <w:rPr>
          <w:color w:val="231F20"/>
          <w:w w:val="108"/>
        </w:rPr>
        <w:t>o</w:t>
      </w:r>
      <w:r>
        <w:rPr>
          <w:color w:val="231F20"/>
          <w:w w:val="111"/>
        </w:rPr>
        <w:t>n</w:t>
      </w:r>
      <w:r>
        <w:rPr>
          <w:color w:val="231F20"/>
          <w:w w:val="109"/>
        </w:rPr>
        <w:t>e</w:t>
      </w:r>
      <w:r>
        <w:rPr>
          <w:color w:val="231F20"/>
          <w:w w:val="118"/>
        </w:rPr>
        <w:t>s</w:t>
      </w:r>
      <w:r>
        <w:rPr>
          <w:color w:val="231F20"/>
        </w:rPr>
        <w:t> </w:t>
      </w:r>
      <w:r>
        <w:rPr>
          <w:color w:val="231F20"/>
          <w:spacing w:val="-14"/>
        </w:rPr>
        <w:t> </w:t>
      </w:r>
      <w:r>
        <w:rPr>
          <w:color w:val="231F20"/>
          <w:w w:val="108"/>
        </w:rPr>
        <w:t>y</w:t>
      </w:r>
      <w:r>
        <w:rPr>
          <w:color w:val="231F20"/>
        </w:rPr>
        <w:t> </w:t>
      </w:r>
      <w:r>
        <w:rPr>
          <w:color w:val="231F20"/>
          <w:spacing w:val="-14"/>
        </w:rPr>
        <w:t> </w:t>
      </w:r>
      <w:r>
        <w:rPr>
          <w:color w:val="231F20"/>
          <w:w w:val="108"/>
        </w:rPr>
        <w:t>R</w:t>
      </w:r>
      <w:r>
        <w:rPr>
          <w:color w:val="231F20"/>
          <w:w w:val="98"/>
        </w:rPr>
        <w:t>i</w:t>
      </w:r>
      <w:r>
        <w:rPr>
          <w:color w:val="231F20"/>
          <w:w w:val="115"/>
        </w:rPr>
        <w:t>c</w:t>
      </w:r>
      <w:r>
        <w:rPr>
          <w:color w:val="231F20"/>
          <w:w w:val="109"/>
        </w:rPr>
        <w:t>e</w:t>
      </w:r>
      <w:r>
        <w:rPr>
          <w:color w:val="231F20"/>
          <w:w w:val="128"/>
        </w:rPr>
        <w:t>,</w:t>
      </w:r>
      <w:r>
        <w:rPr>
          <w:color w:val="231F20"/>
        </w:rPr>
        <w:t> </w:t>
      </w:r>
      <w:r>
        <w:rPr>
          <w:color w:val="231F20"/>
          <w:spacing w:val="-14"/>
        </w:rPr>
        <w:t> </w:t>
      </w:r>
      <w:r>
        <w:rPr>
          <w:color w:val="231F20"/>
          <w:w w:val="102"/>
        </w:rPr>
        <w:t>2003</w:t>
      </w:r>
      <w:r>
        <w:rPr>
          <w:color w:val="231F20"/>
          <w:w w:val="81"/>
        </w:rPr>
        <w:t>)</w:t>
      </w:r>
      <w:r>
        <w:rPr>
          <w:color w:val="231F20"/>
          <w:w w:val="131"/>
        </w:rPr>
        <w:t>; </w:t>
      </w:r>
      <w:r>
        <w:rPr>
          <w:color w:val="231F20"/>
          <w:w w:val="110"/>
        </w:rPr>
        <w:t>con</w:t>
      </w:r>
      <w:r>
        <w:rPr>
          <w:color w:val="231F20"/>
          <w:spacing w:val="-14"/>
          <w:w w:val="110"/>
        </w:rPr>
        <w:t> </w:t>
      </w:r>
      <w:r>
        <w:rPr>
          <w:color w:val="231F20"/>
          <w:w w:val="110"/>
        </w:rPr>
        <w:t>el</w:t>
      </w:r>
      <w:r>
        <w:rPr>
          <w:color w:val="231F20"/>
          <w:spacing w:val="-14"/>
          <w:w w:val="110"/>
        </w:rPr>
        <w:t> </w:t>
      </w:r>
      <w:r>
        <w:rPr>
          <w:color w:val="231F20"/>
          <w:w w:val="110"/>
        </w:rPr>
        <w:t>crecimiento</w:t>
      </w:r>
      <w:r>
        <w:rPr>
          <w:color w:val="231F20"/>
          <w:spacing w:val="-14"/>
          <w:w w:val="110"/>
        </w:rPr>
        <w:t> </w:t>
      </w:r>
      <w:r>
        <w:rPr>
          <w:color w:val="231F20"/>
          <w:w w:val="110"/>
        </w:rPr>
        <w:t>económico</w:t>
      </w:r>
      <w:r>
        <w:rPr>
          <w:color w:val="231F20"/>
          <w:spacing w:val="-14"/>
          <w:w w:val="110"/>
        </w:rPr>
        <w:t> </w:t>
      </w:r>
      <w:r>
        <w:rPr>
          <w:color w:val="231F20"/>
          <w:w w:val="110"/>
        </w:rPr>
        <w:t>(</w:t>
      </w:r>
      <w:r>
        <w:rPr>
          <w:rFonts w:ascii="Times New Roman" w:hAnsi="Times New Roman"/>
          <w:color w:val="231F20"/>
          <w:w w:val="110"/>
          <w:sz w:val="16"/>
        </w:rPr>
        <w:t>PNUD</w:t>
      </w:r>
      <w:r>
        <w:rPr>
          <w:color w:val="231F20"/>
          <w:w w:val="110"/>
        </w:rPr>
        <w:t>,</w:t>
      </w:r>
      <w:r>
        <w:rPr>
          <w:color w:val="231F20"/>
          <w:spacing w:val="-14"/>
          <w:w w:val="110"/>
        </w:rPr>
        <w:t> </w:t>
      </w:r>
      <w:r>
        <w:rPr>
          <w:color w:val="231F20"/>
          <w:w w:val="110"/>
        </w:rPr>
        <w:t>1997).</w:t>
      </w:r>
      <w:r>
        <w:rPr>
          <w:color w:val="231F20"/>
          <w:spacing w:val="-14"/>
          <w:w w:val="110"/>
        </w:rPr>
        <w:t> </w:t>
      </w:r>
      <w:r>
        <w:rPr>
          <w:color w:val="231F20"/>
          <w:w w:val="110"/>
        </w:rPr>
        <w:t>En</w:t>
      </w:r>
      <w:r>
        <w:rPr>
          <w:color w:val="231F20"/>
          <w:spacing w:val="-14"/>
          <w:w w:val="110"/>
        </w:rPr>
        <w:t> </w:t>
      </w:r>
      <w:r>
        <w:rPr>
          <w:color w:val="231F20"/>
          <w:w w:val="110"/>
        </w:rPr>
        <w:t>términos</w:t>
      </w:r>
      <w:r>
        <w:rPr>
          <w:color w:val="231F20"/>
          <w:spacing w:val="-14"/>
          <w:w w:val="110"/>
        </w:rPr>
        <w:t> </w:t>
      </w:r>
      <w:r>
        <w:rPr>
          <w:color w:val="231F20"/>
          <w:w w:val="110"/>
        </w:rPr>
        <w:t>naturales</w:t>
      </w:r>
      <w:r>
        <w:rPr>
          <w:color w:val="231F20"/>
          <w:spacing w:val="-14"/>
          <w:w w:val="110"/>
        </w:rPr>
        <w:t> </w:t>
      </w:r>
      <w:r>
        <w:rPr>
          <w:color w:val="231F20"/>
          <w:w w:val="110"/>
        </w:rPr>
        <w:t>o</w:t>
      </w:r>
      <w:r>
        <w:rPr>
          <w:color w:val="231F20"/>
          <w:spacing w:val="-14"/>
          <w:w w:val="110"/>
        </w:rPr>
        <w:t> </w:t>
      </w:r>
      <w:r>
        <w:rPr>
          <w:color w:val="231F20"/>
          <w:w w:val="110"/>
        </w:rPr>
        <w:t>físicos, que consiste en la diferencia de edades, de salud, de fuerzas corporales y de las cualidades del espíritu,</w:t>
      </w:r>
      <w:r>
        <w:rPr>
          <w:color w:val="231F20"/>
          <w:w w:val="110"/>
          <w:position w:val="6"/>
          <w:sz w:val="11"/>
        </w:rPr>
        <w:t>8 </w:t>
      </w:r>
      <w:r>
        <w:rPr>
          <w:color w:val="231F20"/>
          <w:w w:val="110"/>
        </w:rPr>
        <w:t>enmarcada ésta en la condición de enveje- cimiento</w:t>
      </w:r>
      <w:r>
        <w:rPr>
          <w:color w:val="231F20"/>
          <w:spacing w:val="-10"/>
          <w:w w:val="110"/>
        </w:rPr>
        <w:t> </w:t>
      </w:r>
      <w:r>
        <w:rPr>
          <w:color w:val="231F20"/>
          <w:w w:val="110"/>
        </w:rPr>
        <w:t>y</w:t>
      </w:r>
      <w:r>
        <w:rPr>
          <w:color w:val="231F20"/>
          <w:spacing w:val="-10"/>
          <w:w w:val="110"/>
        </w:rPr>
        <w:t> </w:t>
      </w:r>
      <w:r>
        <w:rPr>
          <w:color w:val="231F20"/>
          <w:w w:val="110"/>
        </w:rPr>
        <w:t>dependencia</w:t>
      </w:r>
      <w:r>
        <w:rPr>
          <w:color w:val="231F20"/>
          <w:spacing w:val="-10"/>
          <w:w w:val="110"/>
        </w:rPr>
        <w:t> </w:t>
      </w:r>
      <w:r>
        <w:rPr>
          <w:color w:val="231F20"/>
          <w:w w:val="110"/>
        </w:rPr>
        <w:t>(Rousseau,</w:t>
      </w:r>
      <w:r>
        <w:rPr>
          <w:color w:val="231F20"/>
          <w:spacing w:val="-10"/>
          <w:w w:val="110"/>
        </w:rPr>
        <w:t> </w:t>
      </w:r>
      <w:r>
        <w:rPr>
          <w:color w:val="231F20"/>
          <w:w w:val="110"/>
        </w:rPr>
        <w:t>1923),</w:t>
      </w:r>
      <w:r>
        <w:rPr>
          <w:color w:val="231F20"/>
          <w:spacing w:val="-10"/>
          <w:w w:val="110"/>
        </w:rPr>
        <w:t> </w:t>
      </w:r>
      <w:r>
        <w:rPr>
          <w:color w:val="231F20"/>
          <w:w w:val="110"/>
        </w:rPr>
        <w:t>a</w:t>
      </w:r>
      <w:r>
        <w:rPr>
          <w:color w:val="231F20"/>
          <w:spacing w:val="-10"/>
          <w:w w:val="110"/>
        </w:rPr>
        <w:t> </w:t>
      </w:r>
      <w:r>
        <w:rPr>
          <w:color w:val="231F20"/>
          <w:w w:val="110"/>
        </w:rPr>
        <w:t>lo</w:t>
      </w:r>
      <w:r>
        <w:rPr>
          <w:color w:val="231F20"/>
          <w:spacing w:val="-10"/>
          <w:w w:val="110"/>
        </w:rPr>
        <w:t> </w:t>
      </w:r>
      <w:r>
        <w:rPr>
          <w:color w:val="231F20"/>
          <w:w w:val="110"/>
        </w:rPr>
        <w:t>que</w:t>
      </w:r>
      <w:r>
        <w:rPr>
          <w:color w:val="231F20"/>
          <w:spacing w:val="-10"/>
          <w:w w:val="110"/>
        </w:rPr>
        <w:t> </w:t>
      </w:r>
      <w:r>
        <w:rPr>
          <w:color w:val="231F20"/>
          <w:w w:val="110"/>
        </w:rPr>
        <w:t>al</w:t>
      </w:r>
      <w:r>
        <w:rPr>
          <w:color w:val="231F20"/>
          <w:spacing w:val="-10"/>
          <w:w w:val="110"/>
        </w:rPr>
        <w:t> </w:t>
      </w:r>
      <w:r>
        <w:rPr>
          <w:color w:val="231F20"/>
          <w:w w:val="110"/>
        </w:rPr>
        <w:t>respecto,</w:t>
      </w:r>
      <w:r>
        <w:rPr>
          <w:color w:val="231F20"/>
          <w:spacing w:val="-10"/>
          <w:w w:val="110"/>
        </w:rPr>
        <w:t> </w:t>
      </w:r>
      <w:r>
        <w:rPr>
          <w:color w:val="231F20"/>
          <w:w w:val="110"/>
        </w:rPr>
        <w:t>Ham</w:t>
      </w:r>
      <w:r>
        <w:rPr>
          <w:color w:val="231F20"/>
          <w:spacing w:val="-10"/>
          <w:w w:val="110"/>
        </w:rPr>
        <w:t> </w:t>
      </w:r>
      <w:r>
        <w:rPr>
          <w:color w:val="231F20"/>
          <w:w w:val="110"/>
        </w:rPr>
        <w:t>(2003) establece</w:t>
      </w:r>
      <w:r>
        <w:rPr>
          <w:color w:val="231F20"/>
          <w:spacing w:val="3"/>
          <w:w w:val="110"/>
        </w:rPr>
        <w:t> </w:t>
      </w:r>
      <w:r>
        <w:rPr>
          <w:color w:val="231F20"/>
          <w:w w:val="110"/>
        </w:rPr>
        <w:t>que</w:t>
      </w:r>
    </w:p>
    <w:p>
      <w:pPr>
        <w:pStyle w:val="BodyText"/>
        <w:spacing w:before="10"/>
        <w:rPr>
          <w:sz w:val="15"/>
        </w:rPr>
      </w:pPr>
    </w:p>
    <w:p>
      <w:pPr>
        <w:spacing w:line="290" w:lineRule="auto" w:before="0"/>
        <w:ind w:left="484" w:right="113" w:firstLine="0"/>
        <w:jc w:val="both"/>
        <w:rPr>
          <w:sz w:val="18"/>
        </w:rPr>
      </w:pPr>
      <w:r>
        <w:rPr>
          <w:color w:val="231F20"/>
          <w:w w:val="110"/>
          <w:sz w:val="18"/>
        </w:rPr>
        <w:t>las etapas de la vejez no dejan de ser parte de la estructura social y económica del país, con lo cual no escapan a desigualdades en uno y otro sentido, donde el bienestar en las edades mayores está también relacionado con la capacidad social y económica. Situación que se refleja en el caso de las pensiones de las cuales carece la mayoría de la población empobrecida (Ham, 2003: 67).</w:t>
      </w:r>
    </w:p>
    <w:p>
      <w:pPr>
        <w:pStyle w:val="BodyText"/>
        <w:spacing w:before="7"/>
        <w:rPr>
          <w:sz w:val="21"/>
        </w:rPr>
      </w:pPr>
    </w:p>
    <w:p>
      <w:pPr>
        <w:pStyle w:val="BodyText"/>
        <w:spacing w:line="295" w:lineRule="auto"/>
        <w:ind w:left="124" w:right="113" w:firstLine="360"/>
        <w:jc w:val="both"/>
      </w:pPr>
      <w:r>
        <w:rPr>
          <w:color w:val="231F20"/>
          <w:w w:val="110"/>
        </w:rPr>
        <w:t>En</w:t>
      </w:r>
      <w:r>
        <w:rPr>
          <w:color w:val="231F20"/>
          <w:spacing w:val="-6"/>
          <w:w w:val="110"/>
        </w:rPr>
        <w:t> </w:t>
      </w:r>
      <w:r>
        <w:rPr>
          <w:color w:val="231F20"/>
          <w:spacing w:val="-3"/>
          <w:w w:val="110"/>
        </w:rPr>
        <w:t>este</w:t>
      </w:r>
      <w:r>
        <w:rPr>
          <w:color w:val="231F20"/>
          <w:spacing w:val="-6"/>
          <w:w w:val="110"/>
        </w:rPr>
        <w:t> </w:t>
      </w:r>
      <w:r>
        <w:rPr>
          <w:color w:val="231F20"/>
          <w:spacing w:val="-4"/>
          <w:w w:val="110"/>
        </w:rPr>
        <w:t>trabajo</w:t>
      </w:r>
      <w:r>
        <w:rPr>
          <w:color w:val="231F20"/>
          <w:spacing w:val="-6"/>
          <w:w w:val="110"/>
        </w:rPr>
        <w:t> </w:t>
      </w:r>
      <w:r>
        <w:rPr>
          <w:color w:val="231F20"/>
          <w:spacing w:val="-4"/>
          <w:w w:val="110"/>
        </w:rPr>
        <w:t>tomamos</w:t>
      </w:r>
      <w:r>
        <w:rPr>
          <w:color w:val="231F20"/>
          <w:spacing w:val="-6"/>
          <w:w w:val="110"/>
        </w:rPr>
        <w:t> </w:t>
      </w:r>
      <w:r>
        <w:rPr>
          <w:color w:val="231F20"/>
          <w:spacing w:val="-3"/>
          <w:w w:val="110"/>
        </w:rPr>
        <w:t>como</w:t>
      </w:r>
      <w:r>
        <w:rPr>
          <w:color w:val="231F20"/>
          <w:spacing w:val="-6"/>
          <w:w w:val="110"/>
        </w:rPr>
        <w:t> </w:t>
      </w:r>
      <w:r>
        <w:rPr>
          <w:color w:val="231F20"/>
          <w:spacing w:val="-4"/>
          <w:w w:val="110"/>
        </w:rPr>
        <w:t>referencia</w:t>
      </w:r>
      <w:r>
        <w:rPr>
          <w:color w:val="231F20"/>
          <w:spacing w:val="-6"/>
          <w:w w:val="110"/>
        </w:rPr>
        <w:t> </w:t>
      </w:r>
      <w:r>
        <w:rPr>
          <w:color w:val="231F20"/>
          <w:w w:val="110"/>
        </w:rPr>
        <w:t>de</w:t>
      </w:r>
      <w:r>
        <w:rPr>
          <w:color w:val="231F20"/>
          <w:spacing w:val="-6"/>
          <w:w w:val="110"/>
        </w:rPr>
        <w:t> </w:t>
      </w:r>
      <w:r>
        <w:rPr>
          <w:color w:val="231F20"/>
          <w:spacing w:val="-4"/>
          <w:w w:val="110"/>
        </w:rPr>
        <w:t>evaluación</w:t>
      </w:r>
      <w:r>
        <w:rPr>
          <w:color w:val="231F20"/>
          <w:spacing w:val="-6"/>
          <w:w w:val="110"/>
        </w:rPr>
        <w:t> </w:t>
      </w:r>
      <w:r>
        <w:rPr>
          <w:color w:val="231F20"/>
          <w:w w:val="110"/>
        </w:rPr>
        <w:t>el</w:t>
      </w:r>
      <w:r>
        <w:rPr>
          <w:color w:val="231F20"/>
          <w:spacing w:val="-6"/>
          <w:w w:val="110"/>
        </w:rPr>
        <w:t> </w:t>
      </w:r>
      <w:r>
        <w:rPr>
          <w:color w:val="231F20"/>
          <w:spacing w:val="-4"/>
          <w:w w:val="110"/>
        </w:rPr>
        <w:t>índice</w:t>
      </w:r>
      <w:r>
        <w:rPr>
          <w:color w:val="231F20"/>
          <w:spacing w:val="-6"/>
          <w:w w:val="110"/>
        </w:rPr>
        <w:t> </w:t>
      </w:r>
      <w:r>
        <w:rPr>
          <w:color w:val="231F20"/>
          <w:w w:val="110"/>
        </w:rPr>
        <w:t>de</w:t>
      </w:r>
      <w:r>
        <w:rPr>
          <w:color w:val="231F20"/>
          <w:spacing w:val="-6"/>
          <w:w w:val="110"/>
        </w:rPr>
        <w:t> </w:t>
      </w:r>
      <w:r>
        <w:rPr>
          <w:color w:val="231F20"/>
          <w:spacing w:val="-3"/>
          <w:w w:val="110"/>
        </w:rPr>
        <w:t>mar- </w:t>
      </w:r>
      <w:r>
        <w:rPr>
          <w:color w:val="231F20"/>
          <w:spacing w:val="-4"/>
          <w:w w:val="110"/>
        </w:rPr>
        <w:t>ginación</w:t>
      </w:r>
      <w:r>
        <w:rPr>
          <w:color w:val="231F20"/>
          <w:spacing w:val="-7"/>
          <w:w w:val="110"/>
        </w:rPr>
        <w:t> </w:t>
      </w:r>
      <w:r>
        <w:rPr>
          <w:color w:val="231F20"/>
          <w:spacing w:val="-4"/>
          <w:w w:val="110"/>
        </w:rPr>
        <w:t>(como</w:t>
      </w:r>
      <w:r>
        <w:rPr>
          <w:color w:val="231F20"/>
          <w:spacing w:val="-7"/>
          <w:w w:val="110"/>
        </w:rPr>
        <w:t> </w:t>
      </w:r>
      <w:r>
        <w:rPr>
          <w:color w:val="231F20"/>
          <w:spacing w:val="-4"/>
          <w:w w:val="110"/>
        </w:rPr>
        <w:t>variable</w:t>
      </w:r>
      <w:r>
        <w:rPr>
          <w:color w:val="231F20"/>
          <w:spacing w:val="-7"/>
          <w:w w:val="110"/>
        </w:rPr>
        <w:t> </w:t>
      </w:r>
      <w:r>
        <w:rPr>
          <w:color w:val="231F20"/>
          <w:spacing w:val="-4"/>
          <w:w w:val="110"/>
        </w:rPr>
        <w:t>estructural),</w:t>
      </w:r>
      <w:r>
        <w:rPr>
          <w:color w:val="231F20"/>
          <w:spacing w:val="-7"/>
          <w:w w:val="110"/>
        </w:rPr>
        <w:t> </w:t>
      </w:r>
      <w:r>
        <w:rPr>
          <w:color w:val="231F20"/>
          <w:w w:val="110"/>
        </w:rPr>
        <w:t>la</w:t>
      </w:r>
      <w:r>
        <w:rPr>
          <w:color w:val="231F20"/>
          <w:spacing w:val="-7"/>
          <w:w w:val="110"/>
        </w:rPr>
        <w:t> </w:t>
      </w:r>
      <w:r>
        <w:rPr>
          <w:color w:val="231F20"/>
          <w:spacing w:val="-3"/>
          <w:w w:val="110"/>
        </w:rPr>
        <w:t>cual</w:t>
      </w:r>
      <w:r>
        <w:rPr>
          <w:color w:val="231F20"/>
          <w:spacing w:val="-7"/>
          <w:w w:val="110"/>
        </w:rPr>
        <w:t> </w:t>
      </w:r>
      <w:r>
        <w:rPr>
          <w:color w:val="231F20"/>
          <w:w w:val="110"/>
        </w:rPr>
        <w:t>es</w:t>
      </w:r>
      <w:r>
        <w:rPr>
          <w:color w:val="231F20"/>
          <w:spacing w:val="-7"/>
          <w:w w:val="110"/>
        </w:rPr>
        <w:t> </w:t>
      </w:r>
      <w:r>
        <w:rPr>
          <w:color w:val="231F20"/>
          <w:spacing w:val="-4"/>
          <w:w w:val="110"/>
        </w:rPr>
        <w:t>utilizada</w:t>
      </w:r>
      <w:r>
        <w:rPr>
          <w:color w:val="231F20"/>
          <w:spacing w:val="-7"/>
          <w:w w:val="110"/>
        </w:rPr>
        <w:t> </w:t>
      </w:r>
      <w:r>
        <w:rPr>
          <w:color w:val="231F20"/>
          <w:spacing w:val="-3"/>
          <w:w w:val="110"/>
        </w:rPr>
        <w:t>por</w:t>
      </w:r>
      <w:r>
        <w:rPr>
          <w:color w:val="231F20"/>
          <w:spacing w:val="-7"/>
          <w:w w:val="110"/>
        </w:rPr>
        <w:t> </w:t>
      </w:r>
      <w:r>
        <w:rPr>
          <w:color w:val="231F20"/>
          <w:w w:val="110"/>
        </w:rPr>
        <w:t>el</w:t>
      </w:r>
      <w:r>
        <w:rPr>
          <w:color w:val="231F20"/>
          <w:spacing w:val="-7"/>
          <w:w w:val="110"/>
        </w:rPr>
        <w:t> </w:t>
      </w:r>
      <w:r>
        <w:rPr>
          <w:color w:val="231F20"/>
          <w:spacing w:val="-4"/>
          <w:w w:val="110"/>
        </w:rPr>
        <w:t>Consejo</w:t>
      </w:r>
      <w:r>
        <w:rPr>
          <w:color w:val="231F20"/>
          <w:spacing w:val="-7"/>
          <w:w w:val="110"/>
        </w:rPr>
        <w:t> </w:t>
      </w:r>
      <w:r>
        <w:rPr>
          <w:color w:val="231F20"/>
          <w:spacing w:val="-3"/>
          <w:w w:val="110"/>
        </w:rPr>
        <w:t>Nacio- nal </w:t>
      </w:r>
      <w:r>
        <w:rPr>
          <w:color w:val="231F20"/>
          <w:w w:val="110"/>
        </w:rPr>
        <w:t>de </w:t>
      </w:r>
      <w:r>
        <w:rPr>
          <w:color w:val="231F20"/>
          <w:spacing w:val="-5"/>
          <w:w w:val="110"/>
        </w:rPr>
        <w:t>Población </w:t>
      </w:r>
      <w:r>
        <w:rPr>
          <w:color w:val="231F20"/>
          <w:w w:val="110"/>
        </w:rPr>
        <w:t>y </w:t>
      </w:r>
      <w:r>
        <w:rPr>
          <w:color w:val="231F20"/>
          <w:spacing w:val="-4"/>
          <w:w w:val="110"/>
        </w:rPr>
        <w:t>permite </w:t>
      </w:r>
      <w:r>
        <w:rPr>
          <w:color w:val="231F20"/>
          <w:spacing w:val="-3"/>
          <w:w w:val="110"/>
        </w:rPr>
        <w:t>dar </w:t>
      </w:r>
      <w:r>
        <w:rPr>
          <w:color w:val="231F20"/>
          <w:spacing w:val="-4"/>
          <w:w w:val="110"/>
        </w:rPr>
        <w:t>cuenta </w:t>
      </w:r>
      <w:r>
        <w:rPr>
          <w:color w:val="231F20"/>
          <w:spacing w:val="-3"/>
          <w:w w:val="110"/>
        </w:rPr>
        <w:t>del </w:t>
      </w:r>
      <w:r>
        <w:rPr>
          <w:color w:val="231F20"/>
          <w:spacing w:val="-4"/>
          <w:w w:val="110"/>
        </w:rPr>
        <w:t>fenómeno estructural </w:t>
      </w:r>
      <w:r>
        <w:rPr>
          <w:color w:val="231F20"/>
          <w:spacing w:val="-3"/>
          <w:w w:val="110"/>
        </w:rPr>
        <w:t>que </w:t>
      </w:r>
      <w:r>
        <w:rPr>
          <w:color w:val="231F20"/>
          <w:spacing w:val="-5"/>
          <w:w w:val="110"/>
        </w:rPr>
        <w:t>surge </w:t>
      </w:r>
      <w:r>
        <w:rPr>
          <w:color w:val="231F20"/>
          <w:w w:val="110"/>
        </w:rPr>
        <w:t>de la dificultad para propagar el progreso técnico en el conjunto de los secto- res productivos, y socialmente se expresa como persistente desigualdad en la participación de los ciudadanos y grupos sociales en el proceso de desarrollo y en el disfrute de sus los beneficios (Conapo, 1998:</w:t>
      </w:r>
      <w:r>
        <w:rPr>
          <w:color w:val="231F20"/>
          <w:spacing w:val="47"/>
          <w:w w:val="110"/>
        </w:rPr>
        <w:t> </w:t>
      </w:r>
      <w:r>
        <w:rPr>
          <w:color w:val="231F20"/>
          <w:w w:val="110"/>
        </w:rPr>
        <w:t>17).</w:t>
      </w:r>
    </w:p>
    <w:p>
      <w:pPr>
        <w:pStyle w:val="BodyText"/>
        <w:spacing w:before="3"/>
        <w:rPr>
          <w:sz w:val="26"/>
        </w:rPr>
      </w:pPr>
    </w:p>
    <w:p>
      <w:pPr>
        <w:spacing w:line="256" w:lineRule="auto" w:before="1"/>
        <w:ind w:left="124" w:right="110" w:firstLine="360"/>
        <w:jc w:val="both"/>
        <w:rPr>
          <w:sz w:val="16"/>
        </w:rPr>
      </w:pPr>
      <w:r>
        <w:rPr>
          <w:color w:val="231F20"/>
          <w:w w:val="110"/>
          <w:position w:val="5"/>
          <w:sz w:val="9"/>
        </w:rPr>
        <w:t>8 </w:t>
      </w:r>
      <w:r>
        <w:rPr>
          <w:color w:val="231F20"/>
          <w:w w:val="110"/>
          <w:sz w:val="16"/>
        </w:rPr>
        <w:t>En su </w:t>
      </w:r>
      <w:r>
        <w:rPr>
          <w:i/>
          <w:color w:val="231F20"/>
          <w:w w:val="110"/>
          <w:sz w:val="16"/>
        </w:rPr>
        <w:t>Discurso sobre el origen de la desigualdades entre los hombres</w:t>
      </w:r>
      <w:r>
        <w:rPr>
          <w:color w:val="231F20"/>
          <w:w w:val="110"/>
          <w:sz w:val="16"/>
        </w:rPr>
        <w:t>, Rousseau</w:t>
      </w:r>
      <w:r>
        <w:rPr>
          <w:color w:val="231F20"/>
          <w:spacing w:val="-18"/>
          <w:w w:val="110"/>
          <w:sz w:val="16"/>
        </w:rPr>
        <w:t> </w:t>
      </w:r>
      <w:r>
        <w:rPr>
          <w:color w:val="231F20"/>
          <w:w w:val="110"/>
          <w:sz w:val="16"/>
        </w:rPr>
        <w:t>establece que hay dos clases de desigualdades: una, que llama natural o física porque ha sido instituida por la naturaleza, y que consiste en las diferencias de edad, de salud, de las fuerzas del </w:t>
      </w:r>
      <w:r>
        <w:rPr>
          <w:color w:val="231F20"/>
          <w:spacing w:val="3"/>
          <w:w w:val="110"/>
          <w:sz w:val="16"/>
        </w:rPr>
        <w:t>cuerpo </w:t>
      </w:r>
      <w:r>
        <w:rPr>
          <w:color w:val="231F20"/>
          <w:w w:val="110"/>
          <w:sz w:val="16"/>
        </w:rPr>
        <w:t>y de </w:t>
      </w:r>
      <w:r>
        <w:rPr>
          <w:color w:val="231F20"/>
          <w:spacing w:val="2"/>
          <w:w w:val="110"/>
          <w:sz w:val="16"/>
        </w:rPr>
        <w:t>las </w:t>
      </w:r>
      <w:r>
        <w:rPr>
          <w:color w:val="231F20"/>
          <w:spacing w:val="3"/>
          <w:w w:val="110"/>
          <w:sz w:val="16"/>
        </w:rPr>
        <w:t>cualidades </w:t>
      </w:r>
      <w:r>
        <w:rPr>
          <w:color w:val="231F20"/>
          <w:spacing w:val="2"/>
          <w:w w:val="110"/>
          <w:sz w:val="16"/>
        </w:rPr>
        <w:t>del </w:t>
      </w:r>
      <w:r>
        <w:rPr>
          <w:color w:val="231F20"/>
          <w:spacing w:val="3"/>
          <w:w w:val="110"/>
          <w:sz w:val="16"/>
        </w:rPr>
        <w:t>espíritu </w:t>
      </w:r>
      <w:r>
        <w:rPr>
          <w:color w:val="231F20"/>
          <w:w w:val="110"/>
          <w:sz w:val="16"/>
        </w:rPr>
        <w:t>o </w:t>
      </w:r>
      <w:r>
        <w:rPr>
          <w:color w:val="231F20"/>
          <w:spacing w:val="2"/>
          <w:w w:val="110"/>
          <w:sz w:val="16"/>
        </w:rPr>
        <w:t>del </w:t>
      </w:r>
      <w:r>
        <w:rPr>
          <w:color w:val="231F20"/>
          <w:spacing w:val="3"/>
          <w:w w:val="110"/>
          <w:sz w:val="16"/>
        </w:rPr>
        <w:t>alma, </w:t>
      </w:r>
      <w:r>
        <w:rPr>
          <w:color w:val="231F20"/>
          <w:spacing w:val="2"/>
          <w:w w:val="110"/>
          <w:sz w:val="16"/>
        </w:rPr>
        <w:t>las </w:t>
      </w:r>
      <w:r>
        <w:rPr>
          <w:color w:val="231F20"/>
          <w:spacing w:val="3"/>
          <w:w w:val="110"/>
          <w:sz w:val="16"/>
        </w:rPr>
        <w:t>cuales </w:t>
      </w:r>
      <w:r>
        <w:rPr>
          <w:color w:val="231F20"/>
          <w:w w:val="110"/>
          <w:sz w:val="16"/>
        </w:rPr>
        <w:t>no </w:t>
      </w:r>
      <w:r>
        <w:rPr>
          <w:color w:val="231F20"/>
          <w:spacing w:val="3"/>
          <w:w w:val="110"/>
          <w:sz w:val="16"/>
        </w:rPr>
        <w:t>pueden modificarse </w:t>
      </w:r>
      <w:r>
        <w:rPr>
          <w:color w:val="231F20"/>
          <w:w w:val="110"/>
          <w:sz w:val="16"/>
        </w:rPr>
        <w:t>o evitarse, sino reconocerse; otra, que puede llamarse desigualdad moral o política porque depende de una especie de convención y porque ha sido establecida, o al menos autorizada, con el consentimiento de los hombres. Ésta consiste en los diferentes privilegios de que algu- nos disfrutan en perjuicio de otros, como el ser más ricos, más respetados, más poderosos,    y hasta el hacerse obedecer (Rousseau,</w:t>
      </w:r>
      <w:r>
        <w:rPr>
          <w:color w:val="231F20"/>
          <w:spacing w:val="13"/>
          <w:w w:val="110"/>
          <w:sz w:val="16"/>
        </w:rPr>
        <w:t> </w:t>
      </w:r>
      <w:r>
        <w:rPr>
          <w:color w:val="231F20"/>
          <w:w w:val="110"/>
          <w:sz w:val="16"/>
        </w:rPr>
        <w:t>1923).</w:t>
      </w:r>
    </w:p>
    <w:p>
      <w:pPr>
        <w:spacing w:after="0" w:line="256" w:lineRule="auto"/>
        <w:jc w:val="both"/>
        <w:rPr>
          <w:sz w:val="16"/>
        </w:rPr>
        <w:sectPr>
          <w:pgSz w:w="9520" w:h="12920"/>
          <w:pgMar w:header="0" w:footer="1344" w:top="880" w:bottom="1540" w:left="1320" w:right="1000"/>
        </w:sectPr>
      </w:pPr>
    </w:p>
    <w:p>
      <w:pPr>
        <w:pStyle w:val="BodyText"/>
        <w:spacing w:line="288" w:lineRule="auto" w:before="42"/>
        <w:ind w:left="100" w:right="117" w:firstLine="360"/>
        <w:jc w:val="both"/>
      </w:pPr>
      <w:r>
        <w:rPr>
          <w:color w:val="231F20"/>
          <w:w w:val="110"/>
        </w:rPr>
        <w:t>En México, este índice se ha calculado para las localidades y los muni- cipios, así como para las delegaciones que conforman el Distrito Federal, y en nuestro caso se ha calculado, específicamente, para las zonas metropo- litanas como aporte de nuestro trabajo; lo que implicó concentrar la infor- mación estadística de las dimensiones de educación, vivienda, ingresos monetarios</w:t>
      </w:r>
      <w:r>
        <w:rPr>
          <w:color w:val="231F20"/>
          <w:spacing w:val="-12"/>
          <w:w w:val="110"/>
        </w:rPr>
        <w:t> </w:t>
      </w:r>
      <w:r>
        <w:rPr>
          <w:color w:val="231F20"/>
          <w:w w:val="110"/>
        </w:rPr>
        <w:t>y</w:t>
      </w:r>
      <w:r>
        <w:rPr>
          <w:color w:val="231F20"/>
          <w:spacing w:val="-12"/>
          <w:w w:val="110"/>
        </w:rPr>
        <w:t> </w:t>
      </w:r>
      <w:r>
        <w:rPr>
          <w:color w:val="231F20"/>
          <w:w w:val="110"/>
        </w:rPr>
        <w:t>distribución</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población</w:t>
      </w:r>
      <w:r>
        <w:rPr>
          <w:color w:val="231F20"/>
          <w:spacing w:val="-12"/>
          <w:w w:val="110"/>
        </w:rPr>
        <w:t> </w:t>
      </w:r>
      <w:r>
        <w:rPr>
          <w:color w:val="231F20"/>
          <w:w w:val="110"/>
        </w:rPr>
        <w:t>(Cortés,</w:t>
      </w:r>
      <w:r>
        <w:rPr>
          <w:color w:val="231F20"/>
          <w:spacing w:val="-12"/>
          <w:w w:val="110"/>
        </w:rPr>
        <w:t> </w:t>
      </w:r>
      <w:r>
        <w:rPr>
          <w:color w:val="231F20"/>
          <w:w w:val="110"/>
        </w:rPr>
        <w:t>2002</w:t>
      </w:r>
      <w:r>
        <w:rPr>
          <w:color w:val="231F20"/>
          <w:spacing w:val="-12"/>
          <w:w w:val="110"/>
        </w:rPr>
        <w:t> </w:t>
      </w:r>
      <w:r>
        <w:rPr>
          <w:color w:val="231F20"/>
          <w:w w:val="110"/>
        </w:rPr>
        <w:t>y</w:t>
      </w:r>
      <w:r>
        <w:rPr>
          <w:color w:val="231F20"/>
          <w:spacing w:val="-12"/>
          <w:w w:val="110"/>
        </w:rPr>
        <w:t> </w:t>
      </w:r>
      <w:r>
        <w:rPr>
          <w:color w:val="231F20"/>
          <w:w w:val="110"/>
        </w:rPr>
        <w:t>2006),</w:t>
      </w:r>
      <w:r>
        <w:rPr>
          <w:color w:val="231F20"/>
          <w:spacing w:val="-12"/>
          <w:w w:val="110"/>
        </w:rPr>
        <w:t> </w:t>
      </w:r>
      <w:r>
        <w:rPr>
          <w:color w:val="231F20"/>
          <w:w w:val="110"/>
        </w:rPr>
        <w:t>a</w:t>
      </w:r>
      <w:r>
        <w:rPr>
          <w:color w:val="231F20"/>
          <w:spacing w:val="-12"/>
          <w:w w:val="110"/>
        </w:rPr>
        <w:t> </w:t>
      </w:r>
      <w:r>
        <w:rPr>
          <w:color w:val="231F20"/>
          <w:w w:val="110"/>
        </w:rPr>
        <w:t>escala</w:t>
      </w:r>
      <w:r>
        <w:rPr>
          <w:color w:val="231F20"/>
          <w:spacing w:val="-12"/>
          <w:w w:val="110"/>
        </w:rPr>
        <w:t> </w:t>
      </w:r>
      <w:r>
        <w:rPr>
          <w:color w:val="231F20"/>
          <w:w w:val="110"/>
        </w:rPr>
        <w:t>de zona metropolitana y determinar el nivel de marginación en que se en- cuentra cada una de las cinco zonas metropolitas más grandes del país. La medición se centra en las carencias de la población a los bienes  </w:t>
      </w:r>
      <w:r>
        <w:rPr>
          <w:color w:val="231F20"/>
          <w:spacing w:val="40"/>
          <w:w w:val="110"/>
        </w:rPr>
        <w:t> </w:t>
      </w:r>
      <w:r>
        <w:rPr>
          <w:color w:val="231F20"/>
          <w:w w:val="110"/>
        </w:rPr>
        <w:t>básicos.</w:t>
      </w:r>
    </w:p>
    <w:p>
      <w:pPr>
        <w:pStyle w:val="BodyText"/>
        <w:spacing w:line="288" w:lineRule="auto"/>
        <w:ind w:left="100" w:right="116" w:firstLine="360"/>
        <w:jc w:val="both"/>
      </w:pPr>
      <w:r>
        <w:rPr>
          <w:color w:val="231F20"/>
          <w:w w:val="110"/>
        </w:rPr>
        <w:t>En este sentido, se entiende la desigualdad como las diferencias que</w:t>
      </w:r>
      <w:r>
        <w:rPr>
          <w:color w:val="231F20"/>
          <w:spacing w:val="-10"/>
          <w:w w:val="110"/>
        </w:rPr>
        <w:t> </w:t>
      </w:r>
      <w:r>
        <w:rPr>
          <w:color w:val="231F20"/>
          <w:w w:val="110"/>
        </w:rPr>
        <w:t>se establecen entre personas o grupos sociales, definidas a partir del acceso o disposición de recursos, bienes o servicios, tanto en calidad como en la cantidad, según los grados de bienestar, por lo que se toma el índice de marginación como indicador de</w:t>
      </w:r>
      <w:r>
        <w:rPr>
          <w:color w:val="231F20"/>
          <w:spacing w:val="9"/>
          <w:w w:val="110"/>
        </w:rPr>
        <w:t> </w:t>
      </w:r>
      <w:r>
        <w:rPr>
          <w:color w:val="231F20"/>
          <w:w w:val="110"/>
        </w:rPr>
        <w:t>desigualdad.</w:t>
      </w:r>
    </w:p>
    <w:p>
      <w:pPr>
        <w:pStyle w:val="BodyText"/>
      </w:pPr>
    </w:p>
    <w:p>
      <w:pPr>
        <w:pStyle w:val="BodyText"/>
        <w:spacing w:before="10"/>
        <w:rPr>
          <w:sz w:val="24"/>
        </w:rPr>
      </w:pPr>
    </w:p>
    <w:p>
      <w:pPr>
        <w:spacing w:before="0"/>
        <w:ind w:left="100" w:right="0" w:firstLine="0"/>
        <w:jc w:val="both"/>
        <w:rPr>
          <w:rFonts w:ascii="Times New Roman" w:hAnsi="Times New Roman"/>
          <w:i/>
          <w:sz w:val="19"/>
        </w:rPr>
      </w:pPr>
      <w:r>
        <w:rPr>
          <w:rFonts w:ascii="Times New Roman" w:hAnsi="Times New Roman"/>
          <w:i/>
          <w:color w:val="231F20"/>
          <w:w w:val="95"/>
          <w:sz w:val="24"/>
        </w:rPr>
        <w:t>D</w:t>
      </w:r>
      <w:r>
        <w:rPr>
          <w:rFonts w:ascii="Times New Roman" w:hAnsi="Times New Roman"/>
          <w:i/>
          <w:color w:val="231F20"/>
          <w:w w:val="95"/>
          <w:sz w:val="19"/>
        </w:rPr>
        <w:t>ELIMITACIÓN DE LAS ZONAS METROPOLITANAS</w:t>
      </w:r>
    </w:p>
    <w:p>
      <w:pPr>
        <w:pStyle w:val="BodyText"/>
        <w:spacing w:before="9"/>
        <w:rPr>
          <w:rFonts w:ascii="Times New Roman"/>
          <w:i/>
          <w:sz w:val="27"/>
        </w:rPr>
      </w:pPr>
    </w:p>
    <w:p>
      <w:pPr>
        <w:pStyle w:val="BodyText"/>
        <w:spacing w:line="288" w:lineRule="auto"/>
        <w:ind w:left="100" w:right="113"/>
        <w:jc w:val="both"/>
      </w:pPr>
      <w:r>
        <w:rPr>
          <w:color w:val="231F20"/>
          <w:w w:val="105"/>
        </w:rPr>
        <w:t>El concepto de zona metropolitana generalmente se utiliza para referirse a una ciudad grande cuyos límites rebasan los de la unidad político-adminis- trativa que la contenía originalmente; en el caso de nuestro país, dicha  unidad es el municipio (Negrete y   </w:t>
      </w:r>
      <w:r>
        <w:rPr>
          <w:color w:val="231F20"/>
          <w:spacing w:val="33"/>
          <w:w w:val="105"/>
        </w:rPr>
        <w:t> </w:t>
      </w:r>
      <w:r>
        <w:rPr>
          <w:color w:val="231F20"/>
          <w:spacing w:val="-3"/>
          <w:w w:val="105"/>
        </w:rPr>
        <w:t>Salazar,  </w:t>
      </w:r>
      <w:r>
        <w:rPr>
          <w:color w:val="231F20"/>
          <w:w w:val="105"/>
        </w:rPr>
        <w:t>1986).</w:t>
      </w:r>
    </w:p>
    <w:p>
      <w:pPr>
        <w:pStyle w:val="BodyText"/>
        <w:spacing w:line="288" w:lineRule="auto"/>
        <w:ind w:left="100" w:right="117" w:firstLine="360"/>
        <w:jc w:val="both"/>
      </w:pPr>
      <w:r>
        <w:rPr>
          <w:color w:val="231F20"/>
          <w:w w:val="105"/>
        </w:rPr>
        <w:t>La definición que hace Unikel (1976) se refiere a la extensión territorial que incluye a la unidad </w:t>
      </w:r>
      <w:r>
        <w:rPr>
          <w:color w:val="231F20"/>
          <w:spacing w:val="2"/>
          <w:w w:val="105"/>
        </w:rPr>
        <w:t>político-administrativa </w:t>
      </w:r>
      <w:r>
        <w:rPr>
          <w:color w:val="231F20"/>
          <w:w w:val="105"/>
        </w:rPr>
        <w:t>que contiene a la ciudad central, y a las unidades político-administrativas contiguas a ésta que tienen características urbanas, tales como sitios de trabajo o lugares de residencia  de trabajadores dedicados a actividades no agrícolas, y que mantienen una interacción socioeconómica directa, constante e intensa con la ciudad cen- tral y viceversa. En tanto, Sobrino (2003) define la zona metropolitana como el crecimiento de una ciudad que rebasa los límites político-administrativos para conformar un área urbana entre dos o más municipios. La delimita-    ción de la zona metropolitana se basa en cuatro criterios: el componente demográfico, el mercado de trabajo, la conformación territorial y la dimen- sión </w:t>
      </w:r>
      <w:r>
        <w:rPr>
          <w:color w:val="231F20"/>
          <w:spacing w:val="1"/>
          <w:w w:val="105"/>
        </w:rPr>
        <w:t> </w:t>
      </w:r>
      <w:r>
        <w:rPr>
          <w:color w:val="231F20"/>
          <w:w w:val="105"/>
        </w:rPr>
        <w:t>política.</w:t>
      </w:r>
    </w:p>
    <w:p>
      <w:pPr>
        <w:pStyle w:val="BodyText"/>
        <w:spacing w:line="288" w:lineRule="auto"/>
        <w:ind w:left="100" w:right="118" w:firstLine="360"/>
        <w:jc w:val="both"/>
      </w:pPr>
      <w:r>
        <w:rPr>
          <w:color w:val="231F20"/>
          <w:w w:val="110"/>
        </w:rPr>
        <w:t>Para fines de este trabajo se entiende como zona metropolitana, según la definición de Sedesol, Conapo e </w:t>
      </w:r>
      <w:r>
        <w:rPr>
          <w:rFonts w:ascii="Times New Roman" w:hAnsi="Times New Roman"/>
          <w:color w:val="231F20"/>
          <w:w w:val="110"/>
          <w:sz w:val="16"/>
        </w:rPr>
        <w:t>INEGI </w:t>
      </w:r>
      <w:r>
        <w:rPr>
          <w:color w:val="231F20"/>
          <w:w w:val="110"/>
        </w:rPr>
        <w:t>(2012),</w:t>
      </w:r>
    </w:p>
    <w:p>
      <w:pPr>
        <w:spacing w:after="0" w:line="288" w:lineRule="auto"/>
        <w:jc w:val="both"/>
        <w:sectPr>
          <w:pgSz w:w="9520" w:h="12920"/>
          <w:pgMar w:header="0" w:footer="1344" w:top="880" w:bottom="1540" w:left="1020" w:right="1320"/>
        </w:sectPr>
      </w:pPr>
    </w:p>
    <w:p>
      <w:pPr>
        <w:spacing w:line="283" w:lineRule="auto" w:before="46"/>
        <w:ind w:left="484" w:right="111" w:firstLine="0"/>
        <w:jc w:val="both"/>
        <w:rPr>
          <w:sz w:val="18"/>
        </w:rPr>
      </w:pPr>
      <w:r>
        <w:rPr>
          <w:color w:val="231F20"/>
          <w:w w:val="110"/>
          <w:sz w:val="18"/>
        </w:rPr>
        <w:t>al conjunto de dos o más municipios donde se localiza una ciudad de 50 mil habitantes o más, cuya área urbana, funciones y actividades rebasan el límite del municipio que originalmente la contenía, incorporando en su área de in- fluencia directa a municipios vecinos, predominantemente urbanos, con los que se mantiene un alto grado de integración socioeconómica. Asimismo, se define como zona metropolitana a todos aquellos municipios que contienen una ciudad de un millón o más de habitantes, y también a aquellos con ciuda- des de 250 mil o más habitantes que comparten procesos de conurbación con ciudades de Estados Unidos de América (Sedesol, Conapo e </w:t>
      </w:r>
      <w:r>
        <w:rPr>
          <w:rFonts w:ascii="Times New Roman" w:hAnsi="Times New Roman"/>
          <w:color w:val="231F20"/>
          <w:w w:val="110"/>
          <w:sz w:val="14"/>
        </w:rPr>
        <w:t>INEGI</w:t>
      </w:r>
      <w:r>
        <w:rPr>
          <w:color w:val="231F20"/>
          <w:w w:val="110"/>
          <w:sz w:val="18"/>
        </w:rPr>
        <w:t>, 2012:   25).</w:t>
      </w:r>
    </w:p>
    <w:p>
      <w:pPr>
        <w:pStyle w:val="BodyText"/>
        <w:spacing w:before="7"/>
        <w:rPr>
          <w:sz w:val="21"/>
        </w:rPr>
      </w:pPr>
    </w:p>
    <w:p>
      <w:pPr>
        <w:pStyle w:val="BodyText"/>
        <w:spacing w:line="288" w:lineRule="auto"/>
        <w:ind w:left="124" w:right="113" w:firstLine="360"/>
        <w:jc w:val="both"/>
      </w:pPr>
      <w:r>
        <w:rPr>
          <w:color w:val="231F20"/>
          <w:spacing w:val="-3"/>
          <w:w w:val="110"/>
        </w:rPr>
        <w:t>Bajo</w:t>
      </w:r>
      <w:r>
        <w:rPr>
          <w:color w:val="231F20"/>
          <w:spacing w:val="-16"/>
          <w:w w:val="110"/>
        </w:rPr>
        <w:t> </w:t>
      </w:r>
      <w:r>
        <w:rPr>
          <w:color w:val="231F20"/>
          <w:spacing w:val="-4"/>
          <w:w w:val="110"/>
        </w:rPr>
        <w:t>estos</w:t>
      </w:r>
      <w:r>
        <w:rPr>
          <w:color w:val="231F20"/>
          <w:spacing w:val="-16"/>
          <w:w w:val="110"/>
        </w:rPr>
        <w:t> </w:t>
      </w:r>
      <w:r>
        <w:rPr>
          <w:color w:val="231F20"/>
          <w:spacing w:val="-4"/>
          <w:w w:val="110"/>
        </w:rPr>
        <w:t>criterios,</w:t>
      </w:r>
      <w:r>
        <w:rPr>
          <w:color w:val="231F20"/>
          <w:spacing w:val="-16"/>
          <w:w w:val="110"/>
        </w:rPr>
        <w:t> </w:t>
      </w:r>
      <w:r>
        <w:rPr>
          <w:color w:val="231F20"/>
          <w:w w:val="110"/>
        </w:rPr>
        <w:t>se</w:t>
      </w:r>
      <w:r>
        <w:rPr>
          <w:color w:val="231F20"/>
          <w:spacing w:val="-16"/>
          <w:w w:val="110"/>
        </w:rPr>
        <w:t> </w:t>
      </w:r>
      <w:r>
        <w:rPr>
          <w:color w:val="231F20"/>
          <w:spacing w:val="-4"/>
          <w:w w:val="110"/>
        </w:rPr>
        <w:t>identifican</w:t>
      </w:r>
      <w:r>
        <w:rPr>
          <w:color w:val="231F20"/>
          <w:spacing w:val="-16"/>
          <w:w w:val="110"/>
        </w:rPr>
        <w:t> </w:t>
      </w:r>
      <w:r>
        <w:rPr>
          <w:color w:val="231F20"/>
          <w:w w:val="110"/>
        </w:rPr>
        <w:t>59</w:t>
      </w:r>
      <w:r>
        <w:rPr>
          <w:color w:val="231F20"/>
          <w:spacing w:val="-16"/>
          <w:w w:val="110"/>
        </w:rPr>
        <w:t> </w:t>
      </w:r>
      <w:r>
        <w:rPr>
          <w:color w:val="231F20"/>
          <w:spacing w:val="-4"/>
          <w:w w:val="110"/>
        </w:rPr>
        <w:t>zonas</w:t>
      </w:r>
      <w:r>
        <w:rPr>
          <w:color w:val="231F20"/>
          <w:spacing w:val="-16"/>
          <w:w w:val="110"/>
        </w:rPr>
        <w:t> </w:t>
      </w:r>
      <w:r>
        <w:rPr>
          <w:color w:val="231F20"/>
          <w:spacing w:val="-4"/>
          <w:w w:val="110"/>
        </w:rPr>
        <w:t>metropolitanas,</w:t>
      </w:r>
      <w:r>
        <w:rPr>
          <w:color w:val="231F20"/>
          <w:spacing w:val="-16"/>
          <w:w w:val="110"/>
        </w:rPr>
        <w:t> </w:t>
      </w:r>
      <w:r>
        <w:rPr>
          <w:color w:val="231F20"/>
          <w:spacing w:val="-4"/>
          <w:w w:val="110"/>
        </w:rPr>
        <w:t>integradas</w:t>
      </w:r>
      <w:r>
        <w:rPr>
          <w:color w:val="231F20"/>
          <w:spacing w:val="-16"/>
          <w:w w:val="110"/>
        </w:rPr>
        <w:t> </w:t>
      </w:r>
      <w:r>
        <w:rPr>
          <w:color w:val="231F20"/>
          <w:spacing w:val="-3"/>
          <w:w w:val="110"/>
        </w:rPr>
        <w:t>por </w:t>
      </w:r>
      <w:r>
        <w:rPr>
          <w:color w:val="231F20"/>
          <w:w w:val="110"/>
        </w:rPr>
        <w:t>367 municipios que, hasta el año 2010, albergaban 63.8 millones de habi- tantes que representan más de la mitad de la población nacional (56.8 por </w:t>
      </w:r>
      <w:r>
        <w:rPr>
          <w:color w:val="231F20"/>
          <w:spacing w:val="-4"/>
          <w:w w:val="110"/>
        </w:rPr>
        <w:t>ciento), distribuidos </w:t>
      </w:r>
      <w:r>
        <w:rPr>
          <w:color w:val="231F20"/>
          <w:w w:val="110"/>
        </w:rPr>
        <w:t>en </w:t>
      </w:r>
      <w:r>
        <w:rPr>
          <w:color w:val="231F20"/>
          <w:spacing w:val="-4"/>
          <w:w w:val="110"/>
        </w:rPr>
        <w:t>171,817 kilómetros cuadraos (Sedesol, Conapo, </w:t>
      </w:r>
      <w:r>
        <w:rPr>
          <w:rFonts w:ascii="Times New Roman" w:hAnsi="Times New Roman"/>
          <w:color w:val="231F20"/>
          <w:spacing w:val="-4"/>
          <w:w w:val="110"/>
          <w:sz w:val="16"/>
        </w:rPr>
        <w:t>INEGI</w:t>
      </w:r>
      <w:r>
        <w:rPr>
          <w:color w:val="231F20"/>
          <w:spacing w:val="-4"/>
          <w:w w:val="110"/>
        </w:rPr>
        <w:t>, </w:t>
      </w:r>
      <w:r>
        <w:rPr>
          <w:color w:val="231F20"/>
          <w:w w:val="110"/>
        </w:rPr>
        <w:t>2012). Sin embargo, para el análisis del trabajo se analizan las cinco zonas metropolitanas más grandes, en cuanto a población absoluta, al número de</w:t>
      </w:r>
      <w:r>
        <w:rPr>
          <w:color w:val="231F20"/>
          <w:spacing w:val="-7"/>
          <w:w w:val="110"/>
        </w:rPr>
        <w:t> </w:t>
      </w:r>
      <w:r>
        <w:rPr>
          <w:color w:val="231F20"/>
          <w:w w:val="110"/>
        </w:rPr>
        <w:t>municipios</w:t>
      </w:r>
      <w:r>
        <w:rPr>
          <w:color w:val="231F20"/>
          <w:spacing w:val="-10"/>
          <w:w w:val="110"/>
        </w:rPr>
        <w:t> </w:t>
      </w:r>
      <w:r>
        <w:rPr>
          <w:color w:val="231F20"/>
          <w:w w:val="110"/>
        </w:rPr>
        <w:t>que</w:t>
      </w:r>
      <w:r>
        <w:rPr>
          <w:color w:val="231F20"/>
          <w:spacing w:val="-10"/>
          <w:w w:val="110"/>
        </w:rPr>
        <w:t> </w:t>
      </w:r>
      <w:r>
        <w:rPr>
          <w:color w:val="231F20"/>
          <w:w w:val="110"/>
        </w:rPr>
        <w:t>las</w:t>
      </w:r>
      <w:r>
        <w:rPr>
          <w:color w:val="231F20"/>
          <w:spacing w:val="-10"/>
          <w:w w:val="110"/>
        </w:rPr>
        <w:t> </w:t>
      </w:r>
      <w:r>
        <w:rPr>
          <w:color w:val="231F20"/>
          <w:w w:val="110"/>
        </w:rPr>
        <w:t>integran,</w:t>
      </w:r>
      <w:r>
        <w:rPr>
          <w:color w:val="231F20"/>
          <w:spacing w:val="-10"/>
          <w:w w:val="110"/>
        </w:rPr>
        <w:t> </w:t>
      </w:r>
      <w:r>
        <w:rPr>
          <w:color w:val="231F20"/>
          <w:w w:val="110"/>
        </w:rPr>
        <w:t>así</w:t>
      </w:r>
      <w:r>
        <w:rPr>
          <w:color w:val="231F20"/>
          <w:spacing w:val="-10"/>
          <w:w w:val="110"/>
        </w:rPr>
        <w:t> </w:t>
      </w:r>
      <w:r>
        <w:rPr>
          <w:color w:val="231F20"/>
          <w:w w:val="110"/>
        </w:rPr>
        <w:t>como</w:t>
      </w:r>
      <w:r>
        <w:rPr>
          <w:color w:val="231F20"/>
          <w:spacing w:val="-10"/>
          <w:w w:val="110"/>
        </w:rPr>
        <w:t> </w:t>
      </w:r>
      <w:r>
        <w:rPr>
          <w:color w:val="231F20"/>
          <w:w w:val="110"/>
        </w:rPr>
        <w:t>al</w:t>
      </w:r>
      <w:r>
        <w:rPr>
          <w:color w:val="231F20"/>
          <w:spacing w:val="-10"/>
          <w:w w:val="110"/>
        </w:rPr>
        <w:t> </w:t>
      </w:r>
      <w:r>
        <w:rPr>
          <w:color w:val="231F20"/>
          <w:w w:val="110"/>
        </w:rPr>
        <w:t>número</w:t>
      </w:r>
      <w:r>
        <w:rPr>
          <w:color w:val="231F20"/>
          <w:spacing w:val="-10"/>
          <w:w w:val="110"/>
        </w:rPr>
        <w:t> </w:t>
      </w:r>
      <w:r>
        <w:rPr>
          <w:color w:val="231F20"/>
          <w:w w:val="110"/>
        </w:rPr>
        <w:t>de</w:t>
      </w:r>
      <w:r>
        <w:rPr>
          <w:color w:val="231F20"/>
          <w:spacing w:val="-10"/>
          <w:w w:val="110"/>
        </w:rPr>
        <w:t> </w:t>
      </w:r>
      <w:r>
        <w:rPr>
          <w:color w:val="231F20"/>
          <w:w w:val="110"/>
        </w:rPr>
        <w:t>población</w:t>
      </w:r>
      <w:r>
        <w:rPr>
          <w:color w:val="231F20"/>
          <w:spacing w:val="-10"/>
          <w:w w:val="110"/>
        </w:rPr>
        <w:t> </w:t>
      </w:r>
      <w:r>
        <w:rPr>
          <w:color w:val="231F20"/>
          <w:w w:val="110"/>
        </w:rPr>
        <w:t>de</w:t>
      </w:r>
      <w:r>
        <w:rPr>
          <w:color w:val="231F20"/>
          <w:spacing w:val="-10"/>
          <w:w w:val="110"/>
        </w:rPr>
        <w:t> </w:t>
      </w:r>
      <w:r>
        <w:rPr>
          <w:color w:val="231F20"/>
          <w:w w:val="110"/>
        </w:rPr>
        <w:t>adultos mayores que residen en estas metrópolis, siendo éstas: </w:t>
      </w:r>
      <w:r>
        <w:rPr>
          <w:color w:val="231F20"/>
          <w:spacing w:val="-5"/>
          <w:w w:val="110"/>
        </w:rPr>
        <w:t>Valle </w:t>
      </w:r>
      <w:r>
        <w:rPr>
          <w:color w:val="231F20"/>
          <w:w w:val="110"/>
        </w:rPr>
        <w:t>de México, Guadalajara, Monterrey, Puebla-Tlaxcala y</w:t>
      </w:r>
      <w:r>
        <w:rPr>
          <w:color w:val="231F20"/>
          <w:spacing w:val="-13"/>
          <w:w w:val="110"/>
        </w:rPr>
        <w:t> </w:t>
      </w:r>
      <w:r>
        <w:rPr>
          <w:color w:val="231F20"/>
          <w:spacing w:val="-3"/>
          <w:w w:val="110"/>
        </w:rPr>
        <w:t>Toluca.</w:t>
      </w:r>
    </w:p>
    <w:p>
      <w:pPr>
        <w:pStyle w:val="BodyText"/>
      </w:pPr>
    </w:p>
    <w:p>
      <w:pPr>
        <w:pStyle w:val="BodyText"/>
        <w:spacing w:before="10"/>
        <w:rPr>
          <w:sz w:val="24"/>
        </w:rPr>
      </w:pPr>
    </w:p>
    <w:p>
      <w:pPr>
        <w:spacing w:before="0"/>
        <w:ind w:left="124" w:right="0" w:firstLine="0"/>
        <w:jc w:val="both"/>
        <w:rPr>
          <w:rFonts w:ascii="Times New Roman" w:hAnsi="Times New Roman"/>
          <w:i/>
          <w:sz w:val="19"/>
        </w:rPr>
      </w:pPr>
      <w:r>
        <w:rPr>
          <w:rFonts w:ascii="Times New Roman" w:hAnsi="Times New Roman"/>
          <w:i/>
          <w:color w:val="231F20"/>
          <w:sz w:val="24"/>
        </w:rPr>
        <w:t>M</w:t>
      </w:r>
      <w:r>
        <w:rPr>
          <w:rFonts w:ascii="Times New Roman" w:hAnsi="Times New Roman"/>
          <w:i/>
          <w:color w:val="231F20"/>
          <w:sz w:val="19"/>
        </w:rPr>
        <w:t>ETODOLOGÍA</w:t>
      </w:r>
      <w:r>
        <w:rPr>
          <w:rFonts w:ascii="Times New Roman" w:hAnsi="Times New Roman"/>
          <w:i/>
          <w:color w:val="231F20"/>
          <w:sz w:val="24"/>
        </w:rPr>
        <w:t>. F</w:t>
      </w:r>
      <w:r>
        <w:rPr>
          <w:rFonts w:ascii="Times New Roman" w:hAnsi="Times New Roman"/>
          <w:i/>
          <w:color w:val="231F20"/>
          <w:sz w:val="19"/>
        </w:rPr>
        <w:t>UENTES DE INFORMACIÓN Y MÉTODOS</w:t>
      </w:r>
    </w:p>
    <w:p>
      <w:pPr>
        <w:pStyle w:val="BodyText"/>
        <w:spacing w:before="9"/>
        <w:rPr>
          <w:rFonts w:ascii="Times New Roman"/>
          <w:i/>
          <w:sz w:val="27"/>
        </w:rPr>
      </w:pPr>
    </w:p>
    <w:p>
      <w:pPr>
        <w:pStyle w:val="BodyText"/>
        <w:spacing w:line="288" w:lineRule="auto"/>
        <w:ind w:left="124" w:right="112"/>
        <w:jc w:val="both"/>
      </w:pPr>
      <w:r>
        <w:rPr>
          <w:color w:val="231F20"/>
          <w:w w:val="110"/>
        </w:rPr>
        <w:t>Para</w:t>
      </w:r>
      <w:r>
        <w:rPr>
          <w:color w:val="231F20"/>
          <w:spacing w:val="-7"/>
          <w:w w:val="110"/>
        </w:rPr>
        <w:t> </w:t>
      </w:r>
      <w:r>
        <w:rPr>
          <w:color w:val="231F20"/>
          <w:w w:val="110"/>
        </w:rPr>
        <w:t>cumplir</w:t>
      </w:r>
      <w:r>
        <w:rPr>
          <w:color w:val="231F20"/>
          <w:spacing w:val="-7"/>
          <w:w w:val="110"/>
        </w:rPr>
        <w:t> </w:t>
      </w:r>
      <w:r>
        <w:rPr>
          <w:color w:val="231F20"/>
          <w:w w:val="110"/>
        </w:rPr>
        <w:t>con</w:t>
      </w:r>
      <w:r>
        <w:rPr>
          <w:color w:val="231F20"/>
          <w:spacing w:val="-7"/>
          <w:w w:val="110"/>
        </w:rPr>
        <w:t> </w:t>
      </w:r>
      <w:r>
        <w:rPr>
          <w:color w:val="231F20"/>
          <w:w w:val="110"/>
        </w:rPr>
        <w:t>el</w:t>
      </w:r>
      <w:r>
        <w:rPr>
          <w:color w:val="231F20"/>
          <w:spacing w:val="-7"/>
          <w:w w:val="110"/>
        </w:rPr>
        <w:t> </w:t>
      </w:r>
      <w:r>
        <w:rPr>
          <w:color w:val="231F20"/>
          <w:w w:val="110"/>
        </w:rPr>
        <w:t>objetivo</w:t>
      </w:r>
      <w:r>
        <w:rPr>
          <w:color w:val="231F20"/>
          <w:spacing w:val="-7"/>
          <w:w w:val="110"/>
        </w:rPr>
        <w:t> </w:t>
      </w:r>
      <w:r>
        <w:rPr>
          <w:color w:val="231F20"/>
          <w:w w:val="110"/>
        </w:rPr>
        <w:t>del</w:t>
      </w:r>
      <w:r>
        <w:rPr>
          <w:color w:val="231F20"/>
          <w:spacing w:val="-7"/>
          <w:w w:val="110"/>
        </w:rPr>
        <w:t> </w:t>
      </w:r>
      <w:r>
        <w:rPr>
          <w:color w:val="231F20"/>
          <w:w w:val="110"/>
        </w:rPr>
        <w:t>trabajo,</w:t>
      </w:r>
      <w:r>
        <w:rPr>
          <w:color w:val="231F20"/>
          <w:spacing w:val="-7"/>
          <w:w w:val="110"/>
        </w:rPr>
        <w:t> </w:t>
      </w:r>
      <w:r>
        <w:rPr>
          <w:color w:val="231F20"/>
          <w:w w:val="110"/>
        </w:rPr>
        <w:t>analizar</w:t>
      </w:r>
      <w:r>
        <w:rPr>
          <w:color w:val="231F20"/>
          <w:spacing w:val="-7"/>
          <w:w w:val="110"/>
        </w:rPr>
        <w:t> </w:t>
      </w:r>
      <w:r>
        <w:rPr>
          <w:color w:val="231F20"/>
          <w:w w:val="110"/>
        </w:rPr>
        <w:t>las</w:t>
      </w:r>
      <w:r>
        <w:rPr>
          <w:color w:val="231F20"/>
          <w:spacing w:val="-7"/>
          <w:w w:val="110"/>
        </w:rPr>
        <w:t> </w:t>
      </w:r>
      <w:r>
        <w:rPr>
          <w:color w:val="231F20"/>
          <w:w w:val="110"/>
        </w:rPr>
        <w:t>desigualdades</w:t>
      </w:r>
      <w:r>
        <w:rPr>
          <w:color w:val="231F20"/>
          <w:spacing w:val="-7"/>
          <w:w w:val="110"/>
        </w:rPr>
        <w:t> </w:t>
      </w:r>
      <w:r>
        <w:rPr>
          <w:color w:val="231F20"/>
          <w:w w:val="110"/>
        </w:rPr>
        <w:t>sociales y económicas de los adultos mayores en las cinco zonas metropolitanas, considerando</w:t>
      </w:r>
      <w:r>
        <w:rPr>
          <w:color w:val="231F20"/>
          <w:spacing w:val="-18"/>
          <w:w w:val="110"/>
        </w:rPr>
        <w:t> </w:t>
      </w:r>
      <w:r>
        <w:rPr>
          <w:color w:val="231F20"/>
          <w:w w:val="110"/>
        </w:rPr>
        <w:t>los</w:t>
      </w:r>
      <w:r>
        <w:rPr>
          <w:color w:val="231F20"/>
          <w:spacing w:val="-18"/>
          <w:w w:val="110"/>
        </w:rPr>
        <w:t> </w:t>
      </w:r>
      <w:r>
        <w:rPr>
          <w:color w:val="231F20"/>
          <w:w w:val="110"/>
        </w:rPr>
        <w:t>diferentes</w:t>
      </w:r>
      <w:r>
        <w:rPr>
          <w:color w:val="231F20"/>
          <w:spacing w:val="-18"/>
          <w:w w:val="110"/>
        </w:rPr>
        <w:t> </w:t>
      </w:r>
      <w:r>
        <w:rPr>
          <w:color w:val="231F20"/>
          <w:w w:val="110"/>
        </w:rPr>
        <w:t>niveles</w:t>
      </w:r>
      <w:r>
        <w:rPr>
          <w:color w:val="231F20"/>
          <w:spacing w:val="-18"/>
          <w:w w:val="110"/>
        </w:rPr>
        <w:t> </w:t>
      </w:r>
      <w:r>
        <w:rPr>
          <w:color w:val="231F20"/>
          <w:w w:val="110"/>
        </w:rPr>
        <w:t>de</w:t>
      </w:r>
      <w:r>
        <w:rPr>
          <w:color w:val="231F20"/>
          <w:spacing w:val="-18"/>
          <w:w w:val="110"/>
        </w:rPr>
        <w:t> </w:t>
      </w:r>
      <w:r>
        <w:rPr>
          <w:color w:val="231F20"/>
          <w:w w:val="110"/>
        </w:rPr>
        <w:t>envejecimiento</w:t>
      </w:r>
      <w:r>
        <w:rPr>
          <w:color w:val="231F20"/>
          <w:spacing w:val="-18"/>
          <w:w w:val="110"/>
        </w:rPr>
        <w:t> </w:t>
      </w:r>
      <w:r>
        <w:rPr>
          <w:color w:val="231F20"/>
          <w:w w:val="110"/>
        </w:rPr>
        <w:t>y</w:t>
      </w:r>
      <w:r>
        <w:rPr>
          <w:color w:val="231F20"/>
          <w:spacing w:val="-18"/>
          <w:w w:val="110"/>
        </w:rPr>
        <w:t> </w:t>
      </w:r>
      <w:r>
        <w:rPr>
          <w:color w:val="231F20"/>
          <w:w w:val="110"/>
        </w:rPr>
        <w:t>grados</w:t>
      </w:r>
      <w:r>
        <w:rPr>
          <w:color w:val="231F20"/>
          <w:spacing w:val="-18"/>
          <w:w w:val="110"/>
        </w:rPr>
        <w:t> </w:t>
      </w:r>
      <w:r>
        <w:rPr>
          <w:color w:val="231F20"/>
          <w:w w:val="110"/>
        </w:rPr>
        <w:t>de</w:t>
      </w:r>
      <w:r>
        <w:rPr>
          <w:color w:val="231F20"/>
          <w:spacing w:val="-18"/>
          <w:w w:val="110"/>
        </w:rPr>
        <w:t> </w:t>
      </w:r>
      <w:r>
        <w:rPr>
          <w:color w:val="231F20"/>
          <w:w w:val="110"/>
        </w:rPr>
        <w:t>margina- ción, se plantea seguir la metodología siguiente. El análisis de la desigual- dad metropolitana, en cuanto a grados de bienestar socioeconómico, que se representa a través del índice de marginación, y el cual las instituciones encargadas de calcular este indicador lo presentan a nivel municipio,</w:t>
      </w:r>
      <w:r>
        <w:rPr>
          <w:color w:val="231F20"/>
          <w:w w:val="110"/>
          <w:position w:val="6"/>
          <w:sz w:val="11"/>
        </w:rPr>
        <w:t>9 </w:t>
      </w:r>
      <w:r>
        <w:rPr>
          <w:color w:val="231F20"/>
          <w:w w:val="110"/>
        </w:rPr>
        <w:t>a partir del cual realizamos los cálculos para reagrupar la información a ni- vel de zona</w:t>
      </w:r>
      <w:r>
        <w:rPr>
          <w:color w:val="231F20"/>
          <w:spacing w:val="-7"/>
          <w:w w:val="110"/>
        </w:rPr>
        <w:t> </w:t>
      </w:r>
      <w:r>
        <w:rPr>
          <w:color w:val="231F20"/>
          <w:w w:val="110"/>
        </w:rPr>
        <w:t>metropolitana.</w:t>
      </w:r>
    </w:p>
    <w:p>
      <w:pPr>
        <w:pStyle w:val="BodyText"/>
        <w:spacing w:before="3"/>
        <w:rPr>
          <w:sz w:val="22"/>
        </w:rPr>
      </w:pPr>
    </w:p>
    <w:p>
      <w:pPr>
        <w:spacing w:line="256" w:lineRule="auto" w:before="0"/>
        <w:ind w:left="124" w:right="112" w:firstLine="360"/>
        <w:jc w:val="both"/>
        <w:rPr>
          <w:sz w:val="16"/>
        </w:rPr>
      </w:pPr>
      <w:r>
        <w:rPr>
          <w:color w:val="231F20"/>
          <w:w w:val="110"/>
          <w:position w:val="5"/>
          <w:sz w:val="9"/>
        </w:rPr>
        <w:t>9 </w:t>
      </w:r>
      <w:r>
        <w:rPr>
          <w:color w:val="231F20"/>
          <w:w w:val="110"/>
          <w:sz w:val="16"/>
        </w:rPr>
        <w:t>La información censal disponible en nuestro país tiene como unidad mínima el Área Geográfica Básica (</w:t>
      </w:r>
      <w:r>
        <w:rPr>
          <w:rFonts w:ascii="Times New Roman" w:hAnsi="Times New Roman"/>
          <w:color w:val="231F20"/>
          <w:w w:val="110"/>
          <w:sz w:val="12"/>
        </w:rPr>
        <w:t>AGEB</w:t>
      </w:r>
      <w:r>
        <w:rPr>
          <w:color w:val="231F20"/>
          <w:w w:val="110"/>
          <w:sz w:val="16"/>
        </w:rPr>
        <w:t>), por el principio de confidencialidad establecido por el Sistema Nacional de Información, y en forma ascendente; la localidad, municipio, entidad y nacional. Sin embargo, para cumplir con nuestro objetivo, la información disponible a nivel municipio se integró en unidades superiores no contempladas por las instituciones proveedoras de información demográfica y socioeconómica, esto es, la zona  metropolitana.</w:t>
      </w:r>
    </w:p>
    <w:p>
      <w:pPr>
        <w:spacing w:after="0" w:line="256" w:lineRule="auto"/>
        <w:jc w:val="both"/>
        <w:rPr>
          <w:sz w:val="16"/>
        </w:rPr>
        <w:sectPr>
          <w:pgSz w:w="9520" w:h="12920"/>
          <w:pgMar w:header="0" w:footer="1344" w:top="880" w:bottom="1540" w:left="1320" w:right="1000"/>
        </w:sectPr>
      </w:pPr>
    </w:p>
    <w:p>
      <w:pPr>
        <w:pStyle w:val="BodyText"/>
        <w:spacing w:line="288" w:lineRule="auto" w:before="42"/>
        <w:ind w:left="120" w:right="116" w:firstLine="360"/>
        <w:jc w:val="both"/>
      </w:pPr>
      <w:r>
        <w:rPr>
          <w:color w:val="231F20"/>
          <w:w w:val="105"/>
        </w:rPr>
        <w:t>Las fuentes principales de información socioeconómica utilizadas  fue- ron los censos de población y vivienda (1990, 2000, 2010) realizados por el Instituto Nacional de Estadística, Geografía e Informática (</w:t>
      </w:r>
      <w:r>
        <w:rPr>
          <w:rFonts w:ascii="Times New Roman" w:hAnsi="Times New Roman"/>
          <w:color w:val="231F20"/>
          <w:w w:val="105"/>
          <w:sz w:val="16"/>
        </w:rPr>
        <w:t>INEGI</w:t>
      </w:r>
      <w:r>
        <w:rPr>
          <w:color w:val="231F20"/>
          <w:w w:val="105"/>
        </w:rPr>
        <w:t>); los índi-    ces de marginación (1990, 2000, y 2010), las proyecciones de población (2010-2030), elaborados por el Consejo  Nacional  de  Población  (Conapo); así como la delimitación de Zonas Metropolitanas (2011) editada por  el  </w:t>
      </w:r>
      <w:r>
        <w:rPr>
          <w:rFonts w:ascii="Times New Roman" w:hAnsi="Times New Roman"/>
          <w:color w:val="231F20"/>
          <w:w w:val="105"/>
          <w:sz w:val="16"/>
        </w:rPr>
        <w:t>INEGI</w:t>
      </w:r>
      <w:r>
        <w:rPr>
          <w:color w:val="231F20"/>
          <w:w w:val="105"/>
        </w:rPr>
        <w:t>,</w:t>
      </w:r>
      <w:r>
        <w:rPr>
          <w:color w:val="231F20"/>
          <w:spacing w:val="35"/>
          <w:w w:val="105"/>
        </w:rPr>
        <w:t> </w:t>
      </w:r>
      <w:r>
        <w:rPr>
          <w:color w:val="231F20"/>
          <w:w w:val="105"/>
        </w:rPr>
        <w:t>el</w:t>
      </w:r>
      <w:r>
        <w:rPr>
          <w:color w:val="231F20"/>
          <w:spacing w:val="35"/>
          <w:w w:val="105"/>
        </w:rPr>
        <w:t> </w:t>
      </w:r>
      <w:r>
        <w:rPr>
          <w:color w:val="231F20"/>
          <w:w w:val="105"/>
        </w:rPr>
        <w:t>Conapo</w:t>
      </w:r>
      <w:r>
        <w:rPr>
          <w:color w:val="231F20"/>
          <w:spacing w:val="35"/>
          <w:w w:val="105"/>
        </w:rPr>
        <w:t> </w:t>
      </w:r>
      <w:r>
        <w:rPr>
          <w:color w:val="231F20"/>
          <w:w w:val="105"/>
        </w:rPr>
        <w:t>y</w:t>
      </w:r>
      <w:r>
        <w:rPr>
          <w:color w:val="231F20"/>
          <w:spacing w:val="35"/>
          <w:w w:val="105"/>
        </w:rPr>
        <w:t> </w:t>
      </w:r>
      <w:r>
        <w:rPr>
          <w:color w:val="231F20"/>
          <w:w w:val="105"/>
        </w:rPr>
        <w:t>la</w:t>
      </w:r>
      <w:r>
        <w:rPr>
          <w:color w:val="231F20"/>
          <w:spacing w:val="35"/>
          <w:w w:val="105"/>
        </w:rPr>
        <w:t> </w:t>
      </w:r>
      <w:r>
        <w:rPr>
          <w:color w:val="231F20"/>
          <w:w w:val="105"/>
        </w:rPr>
        <w:t>Secretaria</w:t>
      </w:r>
      <w:r>
        <w:rPr>
          <w:color w:val="231F20"/>
          <w:spacing w:val="35"/>
          <w:w w:val="105"/>
        </w:rPr>
        <w:t> </w:t>
      </w:r>
      <w:r>
        <w:rPr>
          <w:color w:val="231F20"/>
          <w:w w:val="105"/>
        </w:rPr>
        <w:t>de</w:t>
      </w:r>
      <w:r>
        <w:rPr>
          <w:color w:val="231F20"/>
          <w:spacing w:val="35"/>
          <w:w w:val="105"/>
        </w:rPr>
        <w:t> </w:t>
      </w:r>
      <w:r>
        <w:rPr>
          <w:color w:val="231F20"/>
          <w:w w:val="105"/>
        </w:rPr>
        <w:t>Desarrollo</w:t>
      </w:r>
      <w:r>
        <w:rPr>
          <w:color w:val="231F20"/>
          <w:spacing w:val="35"/>
          <w:w w:val="105"/>
        </w:rPr>
        <w:t> </w:t>
      </w:r>
      <w:r>
        <w:rPr>
          <w:color w:val="231F20"/>
          <w:w w:val="105"/>
        </w:rPr>
        <w:t>Social</w:t>
      </w:r>
      <w:r>
        <w:rPr>
          <w:color w:val="231F20"/>
          <w:spacing w:val="35"/>
          <w:w w:val="105"/>
        </w:rPr>
        <w:t> </w:t>
      </w:r>
      <w:r>
        <w:rPr>
          <w:color w:val="231F20"/>
          <w:w w:val="105"/>
        </w:rPr>
        <w:t>(Sedesol).</w:t>
      </w:r>
    </w:p>
    <w:p>
      <w:pPr>
        <w:pStyle w:val="BodyText"/>
      </w:pPr>
    </w:p>
    <w:p>
      <w:pPr>
        <w:pStyle w:val="BodyText"/>
        <w:spacing w:before="10"/>
        <w:rPr>
          <w:sz w:val="24"/>
        </w:rPr>
      </w:pPr>
    </w:p>
    <w:p>
      <w:pPr>
        <w:spacing w:before="0"/>
        <w:ind w:left="120" w:right="0" w:firstLine="0"/>
        <w:jc w:val="both"/>
        <w:rPr>
          <w:rFonts w:ascii="Times New Roman"/>
          <w:i/>
          <w:sz w:val="19"/>
        </w:rPr>
      </w:pPr>
      <w:r>
        <w:rPr>
          <w:rFonts w:ascii="Times New Roman"/>
          <w:i/>
          <w:color w:val="231F20"/>
          <w:w w:val="90"/>
          <w:sz w:val="24"/>
        </w:rPr>
        <w:t>P</w:t>
      </w:r>
      <w:r>
        <w:rPr>
          <w:rFonts w:ascii="Times New Roman"/>
          <w:i/>
          <w:color w:val="231F20"/>
          <w:w w:val="90"/>
          <w:sz w:val="19"/>
        </w:rPr>
        <w:t>RINCIPALES INDICADORES</w:t>
      </w:r>
    </w:p>
    <w:p>
      <w:pPr>
        <w:pStyle w:val="BodyText"/>
        <w:spacing w:before="9"/>
        <w:rPr>
          <w:rFonts w:ascii="Times New Roman"/>
          <w:i/>
          <w:sz w:val="27"/>
        </w:rPr>
      </w:pPr>
    </w:p>
    <w:p>
      <w:pPr>
        <w:pStyle w:val="BodyText"/>
        <w:spacing w:line="288" w:lineRule="auto"/>
        <w:ind w:left="120" w:right="114"/>
        <w:jc w:val="both"/>
      </w:pPr>
      <w:r>
        <w:rPr>
          <w:color w:val="231F20"/>
          <w:w w:val="110"/>
        </w:rPr>
        <w:t>Para comparar los cambios en los distintos grupos de edad y corroborar los resultados que muestran la tendencia al aumento de la población de</w:t>
      </w:r>
      <w:r>
        <w:rPr>
          <w:color w:val="231F20"/>
          <w:spacing w:val="-19"/>
          <w:w w:val="110"/>
        </w:rPr>
        <w:t> </w:t>
      </w:r>
      <w:r>
        <w:rPr>
          <w:color w:val="231F20"/>
          <w:w w:val="110"/>
        </w:rPr>
        <w:t>65 </w:t>
      </w:r>
      <w:r>
        <w:rPr>
          <w:color w:val="231F20"/>
          <w:spacing w:val="2"/>
          <w:w w:val="110"/>
        </w:rPr>
        <w:t>años </w:t>
      </w:r>
      <w:r>
        <w:rPr>
          <w:color w:val="231F20"/>
          <w:w w:val="110"/>
        </w:rPr>
        <w:t>y más </w:t>
      </w:r>
      <w:r>
        <w:rPr>
          <w:color w:val="231F20"/>
          <w:spacing w:val="2"/>
          <w:w w:val="110"/>
        </w:rPr>
        <w:t>(adultos mayores) </w:t>
      </w:r>
      <w:r>
        <w:rPr>
          <w:color w:val="231F20"/>
          <w:w w:val="110"/>
        </w:rPr>
        <w:t>se </w:t>
      </w:r>
      <w:r>
        <w:rPr>
          <w:color w:val="231F20"/>
          <w:spacing w:val="2"/>
          <w:w w:val="110"/>
        </w:rPr>
        <w:t>emplearon indicadores cuantitativos, </w:t>
      </w:r>
      <w:r>
        <w:rPr>
          <w:color w:val="231F20"/>
          <w:w w:val="110"/>
        </w:rPr>
        <w:t>analíticos y estructurales (socioeconómicos), descritos por diversos auto- res</w:t>
      </w:r>
      <w:r>
        <w:rPr>
          <w:color w:val="231F20"/>
          <w:spacing w:val="27"/>
          <w:w w:val="110"/>
        </w:rPr>
        <w:t> </w:t>
      </w:r>
      <w:r>
        <w:rPr>
          <w:color w:val="231F20"/>
          <w:w w:val="110"/>
        </w:rPr>
        <w:t>(Vinuesa,</w:t>
      </w:r>
      <w:r>
        <w:rPr>
          <w:color w:val="231F20"/>
          <w:spacing w:val="27"/>
          <w:w w:val="110"/>
        </w:rPr>
        <w:t> </w:t>
      </w:r>
      <w:r>
        <w:rPr>
          <w:color w:val="231F20"/>
          <w:w w:val="110"/>
        </w:rPr>
        <w:t>1997</w:t>
      </w:r>
      <w:r>
        <w:rPr>
          <w:color w:val="231F20"/>
          <w:spacing w:val="27"/>
          <w:w w:val="110"/>
        </w:rPr>
        <w:t> </w:t>
      </w:r>
      <w:r>
        <w:rPr>
          <w:color w:val="231F20"/>
          <w:w w:val="110"/>
        </w:rPr>
        <w:t>y</w:t>
      </w:r>
      <w:r>
        <w:rPr>
          <w:color w:val="231F20"/>
          <w:spacing w:val="27"/>
          <w:w w:val="110"/>
        </w:rPr>
        <w:t> </w:t>
      </w:r>
      <w:r>
        <w:rPr>
          <w:color w:val="231F20"/>
          <w:w w:val="110"/>
        </w:rPr>
        <w:t>2010;</w:t>
      </w:r>
      <w:r>
        <w:rPr>
          <w:color w:val="231F20"/>
          <w:spacing w:val="27"/>
          <w:w w:val="110"/>
        </w:rPr>
        <w:t> </w:t>
      </w:r>
      <w:r>
        <w:rPr>
          <w:color w:val="231F20"/>
          <w:w w:val="110"/>
        </w:rPr>
        <w:t>Ortiz</w:t>
      </w:r>
      <w:r>
        <w:rPr>
          <w:color w:val="231F20"/>
          <w:spacing w:val="27"/>
          <w:w w:val="110"/>
        </w:rPr>
        <w:t> </w:t>
      </w:r>
      <w:r>
        <w:rPr>
          <w:color w:val="231F20"/>
          <w:w w:val="110"/>
        </w:rPr>
        <w:t>y</w:t>
      </w:r>
      <w:r>
        <w:rPr>
          <w:color w:val="231F20"/>
          <w:spacing w:val="27"/>
          <w:w w:val="110"/>
        </w:rPr>
        <w:t> </w:t>
      </w:r>
      <w:r>
        <w:rPr>
          <w:color w:val="231F20"/>
          <w:w w:val="110"/>
        </w:rPr>
        <w:t>Gerónimo,</w:t>
      </w:r>
      <w:r>
        <w:rPr>
          <w:color w:val="231F20"/>
          <w:spacing w:val="27"/>
          <w:w w:val="110"/>
        </w:rPr>
        <w:t> </w:t>
      </w:r>
      <w:r>
        <w:rPr>
          <w:color w:val="231F20"/>
          <w:w w:val="110"/>
        </w:rPr>
        <w:t>2008;</w:t>
      </w:r>
      <w:r>
        <w:rPr>
          <w:color w:val="231F20"/>
          <w:spacing w:val="27"/>
          <w:w w:val="110"/>
        </w:rPr>
        <w:t> </w:t>
      </w:r>
      <w:r>
        <w:rPr>
          <w:color w:val="231F20"/>
          <w:w w:val="110"/>
        </w:rPr>
        <w:t>García</w:t>
      </w:r>
      <w:r>
        <w:rPr>
          <w:color w:val="231F20"/>
          <w:spacing w:val="30"/>
          <w:w w:val="110"/>
        </w:rPr>
        <w:t> </w:t>
      </w:r>
      <w:r>
        <w:rPr>
          <w:i/>
          <w:color w:val="231F20"/>
          <w:w w:val="110"/>
        </w:rPr>
        <w:t>et</w:t>
      </w:r>
      <w:r>
        <w:rPr>
          <w:i/>
          <w:color w:val="231F20"/>
          <w:spacing w:val="21"/>
          <w:w w:val="110"/>
        </w:rPr>
        <w:t> </w:t>
      </w:r>
      <w:r>
        <w:rPr>
          <w:i/>
          <w:color w:val="231F20"/>
          <w:w w:val="110"/>
        </w:rPr>
        <w:t>al</w:t>
      </w:r>
      <w:r>
        <w:rPr>
          <w:color w:val="231F20"/>
          <w:w w:val="110"/>
        </w:rPr>
        <w:t>.,</w:t>
      </w:r>
      <w:r>
        <w:rPr>
          <w:color w:val="231F20"/>
          <w:spacing w:val="27"/>
          <w:w w:val="110"/>
        </w:rPr>
        <w:t> </w:t>
      </w:r>
      <w:r>
        <w:rPr>
          <w:color w:val="231F20"/>
          <w:w w:val="110"/>
        </w:rPr>
        <w:t>2003;</w:t>
      </w:r>
    </w:p>
    <w:p>
      <w:pPr>
        <w:pStyle w:val="BodyText"/>
        <w:ind w:left="120"/>
        <w:jc w:val="both"/>
      </w:pPr>
      <w:r>
        <w:rPr>
          <w:color w:val="231F20"/>
          <w:w w:val="110"/>
        </w:rPr>
        <w:t>Requés, 1997).</w:t>
      </w:r>
    </w:p>
    <w:p>
      <w:pPr>
        <w:pStyle w:val="BodyText"/>
        <w:spacing w:line="288" w:lineRule="auto" w:before="47"/>
        <w:ind w:left="120" w:right="117" w:firstLine="360"/>
        <w:jc w:val="both"/>
      </w:pPr>
      <w:r>
        <w:rPr>
          <w:color w:val="231F20"/>
          <w:w w:val="110"/>
        </w:rPr>
        <w:t>Entre</w:t>
      </w:r>
      <w:r>
        <w:rPr>
          <w:color w:val="231F20"/>
          <w:spacing w:val="-6"/>
          <w:w w:val="110"/>
        </w:rPr>
        <w:t> </w:t>
      </w:r>
      <w:r>
        <w:rPr>
          <w:color w:val="231F20"/>
          <w:w w:val="110"/>
        </w:rPr>
        <w:t>los</w:t>
      </w:r>
      <w:r>
        <w:rPr>
          <w:color w:val="231F20"/>
          <w:spacing w:val="-6"/>
          <w:w w:val="110"/>
        </w:rPr>
        <w:t> </w:t>
      </w:r>
      <w:r>
        <w:rPr>
          <w:color w:val="231F20"/>
          <w:w w:val="110"/>
        </w:rPr>
        <w:t>indicadores</w:t>
      </w:r>
      <w:r>
        <w:rPr>
          <w:color w:val="231F20"/>
          <w:spacing w:val="-6"/>
          <w:w w:val="110"/>
        </w:rPr>
        <w:t> </w:t>
      </w:r>
      <w:r>
        <w:rPr>
          <w:color w:val="231F20"/>
          <w:w w:val="110"/>
        </w:rPr>
        <w:t>analíticos</w:t>
      </w:r>
      <w:r>
        <w:rPr>
          <w:color w:val="231F20"/>
          <w:spacing w:val="-6"/>
          <w:w w:val="110"/>
        </w:rPr>
        <w:t> </w:t>
      </w:r>
      <w:r>
        <w:rPr>
          <w:color w:val="231F20"/>
          <w:w w:val="110"/>
        </w:rPr>
        <w:t>que</w:t>
      </w:r>
      <w:r>
        <w:rPr>
          <w:color w:val="231F20"/>
          <w:spacing w:val="-6"/>
          <w:w w:val="110"/>
        </w:rPr>
        <w:t> </w:t>
      </w:r>
      <w:r>
        <w:rPr>
          <w:color w:val="231F20"/>
          <w:w w:val="110"/>
        </w:rPr>
        <w:t>se</w:t>
      </w:r>
      <w:r>
        <w:rPr>
          <w:color w:val="231F20"/>
          <w:spacing w:val="-6"/>
          <w:w w:val="110"/>
        </w:rPr>
        <w:t> </w:t>
      </w:r>
      <w:r>
        <w:rPr>
          <w:color w:val="231F20"/>
          <w:w w:val="110"/>
        </w:rPr>
        <w:t>utilizaron</w:t>
      </w:r>
      <w:r>
        <w:rPr>
          <w:color w:val="231F20"/>
          <w:spacing w:val="-6"/>
          <w:w w:val="110"/>
        </w:rPr>
        <w:t> </w:t>
      </w:r>
      <w:r>
        <w:rPr>
          <w:color w:val="231F20"/>
          <w:w w:val="110"/>
        </w:rPr>
        <w:t>están:</w:t>
      </w:r>
      <w:r>
        <w:rPr>
          <w:color w:val="231F20"/>
          <w:spacing w:val="-6"/>
          <w:w w:val="110"/>
        </w:rPr>
        <w:t> </w:t>
      </w:r>
      <w:r>
        <w:rPr>
          <w:color w:val="231F20"/>
          <w:w w:val="110"/>
        </w:rPr>
        <w:t>la</w:t>
      </w:r>
      <w:r>
        <w:rPr>
          <w:color w:val="231F20"/>
          <w:spacing w:val="-6"/>
          <w:w w:val="110"/>
        </w:rPr>
        <w:t> </w:t>
      </w:r>
      <w:r>
        <w:rPr>
          <w:color w:val="231F20"/>
          <w:w w:val="110"/>
        </w:rPr>
        <w:t>tasa</w:t>
      </w:r>
      <w:r>
        <w:rPr>
          <w:color w:val="231F20"/>
          <w:spacing w:val="-6"/>
          <w:w w:val="110"/>
        </w:rPr>
        <w:t> </w:t>
      </w:r>
      <w:r>
        <w:rPr>
          <w:color w:val="231F20"/>
          <w:w w:val="110"/>
        </w:rPr>
        <w:t>de</w:t>
      </w:r>
      <w:r>
        <w:rPr>
          <w:color w:val="231F20"/>
          <w:spacing w:val="-6"/>
          <w:w w:val="110"/>
        </w:rPr>
        <w:t> </w:t>
      </w:r>
      <w:r>
        <w:rPr>
          <w:color w:val="231F20"/>
          <w:w w:val="110"/>
        </w:rPr>
        <w:t>enve- jecimiento, el índice de envejecimiento </w:t>
      </w:r>
      <w:r>
        <w:rPr>
          <w:color w:val="231F20"/>
          <w:spacing w:val="-9"/>
          <w:w w:val="110"/>
        </w:rPr>
        <w:t>y, </w:t>
      </w:r>
      <w:r>
        <w:rPr>
          <w:color w:val="231F20"/>
          <w:w w:val="110"/>
        </w:rPr>
        <w:t>a partir del cual, se</w:t>
      </w:r>
      <w:r>
        <w:rPr>
          <w:color w:val="231F20"/>
          <w:spacing w:val="-29"/>
          <w:w w:val="110"/>
        </w:rPr>
        <w:t> </w:t>
      </w:r>
      <w:r>
        <w:rPr>
          <w:color w:val="231F20"/>
          <w:w w:val="110"/>
        </w:rPr>
        <w:t>determinaron los grados de envejecimiento (joven o incipiente, en proceso, medio, avan- zado</w:t>
      </w:r>
      <w:r>
        <w:rPr>
          <w:color w:val="231F20"/>
          <w:spacing w:val="-7"/>
          <w:w w:val="110"/>
        </w:rPr>
        <w:t> </w:t>
      </w:r>
      <w:r>
        <w:rPr>
          <w:color w:val="231F20"/>
          <w:w w:val="110"/>
        </w:rPr>
        <w:t>y</w:t>
      </w:r>
      <w:r>
        <w:rPr>
          <w:color w:val="231F20"/>
          <w:spacing w:val="-7"/>
          <w:w w:val="110"/>
        </w:rPr>
        <w:t> </w:t>
      </w:r>
      <w:r>
        <w:rPr>
          <w:color w:val="231F20"/>
          <w:w w:val="110"/>
        </w:rPr>
        <w:t>envejecido)</w:t>
      </w:r>
      <w:r>
        <w:rPr>
          <w:color w:val="231F20"/>
          <w:spacing w:val="-7"/>
          <w:w w:val="110"/>
        </w:rPr>
        <w:t> </w:t>
      </w:r>
      <w:r>
        <w:rPr>
          <w:color w:val="231F20"/>
          <w:w w:val="110"/>
        </w:rPr>
        <w:t>que</w:t>
      </w:r>
      <w:r>
        <w:rPr>
          <w:color w:val="231F20"/>
          <w:spacing w:val="-7"/>
          <w:w w:val="110"/>
        </w:rPr>
        <w:t> </w:t>
      </w:r>
      <w:r>
        <w:rPr>
          <w:color w:val="231F20"/>
          <w:w w:val="110"/>
        </w:rPr>
        <w:t>presentan</w:t>
      </w:r>
      <w:r>
        <w:rPr>
          <w:color w:val="231F20"/>
          <w:spacing w:val="-7"/>
          <w:w w:val="110"/>
        </w:rPr>
        <w:t> </w:t>
      </w:r>
      <w:r>
        <w:rPr>
          <w:color w:val="231F20"/>
          <w:w w:val="110"/>
        </w:rPr>
        <w:t>cada</w:t>
      </w:r>
      <w:r>
        <w:rPr>
          <w:color w:val="231F20"/>
          <w:spacing w:val="-7"/>
          <w:w w:val="110"/>
        </w:rPr>
        <w:t> </w:t>
      </w:r>
      <w:r>
        <w:rPr>
          <w:color w:val="231F20"/>
          <w:w w:val="110"/>
        </w:rPr>
        <w:t>una</w:t>
      </w:r>
      <w:r>
        <w:rPr>
          <w:color w:val="231F20"/>
          <w:spacing w:val="-7"/>
          <w:w w:val="110"/>
        </w:rPr>
        <w:t> </w:t>
      </w:r>
      <w:r>
        <w:rPr>
          <w:color w:val="231F20"/>
          <w:w w:val="110"/>
        </w:rPr>
        <w:t>de</w:t>
      </w:r>
      <w:r>
        <w:rPr>
          <w:color w:val="231F20"/>
          <w:spacing w:val="-7"/>
          <w:w w:val="110"/>
        </w:rPr>
        <w:t> </w:t>
      </w:r>
      <w:r>
        <w:rPr>
          <w:color w:val="231F20"/>
          <w:w w:val="110"/>
        </w:rPr>
        <w:t>las</w:t>
      </w:r>
      <w:r>
        <w:rPr>
          <w:color w:val="231F20"/>
          <w:spacing w:val="-7"/>
          <w:w w:val="110"/>
        </w:rPr>
        <w:t> </w:t>
      </w:r>
      <w:r>
        <w:rPr>
          <w:color w:val="231F20"/>
          <w:w w:val="110"/>
        </w:rPr>
        <w:t>zonas</w:t>
      </w:r>
      <w:r>
        <w:rPr>
          <w:color w:val="231F20"/>
          <w:spacing w:val="-7"/>
          <w:w w:val="110"/>
        </w:rPr>
        <w:t> </w:t>
      </w:r>
      <w:r>
        <w:rPr>
          <w:color w:val="231F20"/>
          <w:w w:val="110"/>
        </w:rPr>
        <w:t>metropolitanas</w:t>
      </w:r>
      <w:r>
        <w:rPr>
          <w:color w:val="231F20"/>
          <w:spacing w:val="-7"/>
          <w:w w:val="110"/>
        </w:rPr>
        <w:t> </w:t>
      </w:r>
      <w:r>
        <w:rPr>
          <w:color w:val="231F20"/>
          <w:w w:val="110"/>
        </w:rPr>
        <w:t>del país.</w:t>
      </w:r>
    </w:p>
    <w:p>
      <w:pPr>
        <w:pStyle w:val="BodyText"/>
        <w:spacing w:line="288" w:lineRule="auto"/>
        <w:ind w:left="120" w:right="119" w:firstLine="360"/>
        <w:jc w:val="both"/>
      </w:pPr>
      <w:r>
        <w:rPr>
          <w:color w:val="231F20"/>
          <w:w w:val="110"/>
        </w:rPr>
        <w:t>En cuanto a los indicadores estructurales se utilizó el índice de margi- nación</w:t>
      </w:r>
      <w:r>
        <w:rPr>
          <w:color w:val="231F20"/>
          <w:w w:val="110"/>
          <w:position w:val="6"/>
          <w:sz w:val="11"/>
        </w:rPr>
        <w:t>10  </w:t>
      </w:r>
      <w:r>
        <w:rPr>
          <w:color w:val="231F20"/>
          <w:w w:val="110"/>
        </w:rPr>
        <w:t>para medir la precariedad social y económica, pues éste   permite</w:t>
      </w:r>
    </w:p>
    <w:p>
      <w:pPr>
        <w:pStyle w:val="BodyText"/>
        <w:spacing w:before="4"/>
        <w:rPr>
          <w:sz w:val="17"/>
        </w:rPr>
      </w:pPr>
    </w:p>
    <w:p>
      <w:pPr>
        <w:spacing w:line="256" w:lineRule="auto" w:before="0"/>
        <w:ind w:left="119" w:right="114" w:firstLine="360"/>
        <w:jc w:val="both"/>
        <w:rPr>
          <w:sz w:val="16"/>
        </w:rPr>
      </w:pPr>
      <w:r>
        <w:rPr>
          <w:color w:val="231F20"/>
          <w:w w:val="110"/>
          <w:position w:val="5"/>
          <w:sz w:val="9"/>
        </w:rPr>
        <w:t>10 </w:t>
      </w:r>
      <w:r>
        <w:rPr>
          <w:color w:val="231F20"/>
          <w:w w:val="110"/>
          <w:sz w:val="16"/>
        </w:rPr>
        <w:t>La desigualdad puede evaluarse de diferentes maneras: en términos de la distribución </w:t>
      </w:r>
      <w:r>
        <w:rPr>
          <w:color w:val="231F20"/>
          <w:spacing w:val="1"/>
          <w:w w:val="107"/>
          <w:sz w:val="16"/>
        </w:rPr>
        <w:t>d</w:t>
      </w:r>
      <w:r>
        <w:rPr>
          <w:color w:val="231F20"/>
          <w:spacing w:val="1"/>
          <w:w w:val="109"/>
          <w:sz w:val="16"/>
        </w:rPr>
        <w:t>e</w:t>
      </w:r>
      <w:r>
        <w:rPr>
          <w:color w:val="231F20"/>
          <w:w w:val="101"/>
          <w:sz w:val="16"/>
        </w:rPr>
        <w:t>l</w:t>
      </w:r>
      <w:r>
        <w:rPr>
          <w:color w:val="231F20"/>
          <w:spacing w:val="16"/>
          <w:sz w:val="16"/>
        </w:rPr>
        <w:t> </w:t>
      </w:r>
      <w:r>
        <w:rPr>
          <w:color w:val="231F20"/>
          <w:spacing w:val="1"/>
          <w:w w:val="98"/>
          <w:sz w:val="16"/>
        </w:rPr>
        <w:t>i</w:t>
      </w:r>
      <w:r>
        <w:rPr>
          <w:color w:val="231F20"/>
          <w:spacing w:val="1"/>
          <w:w w:val="111"/>
          <w:sz w:val="16"/>
        </w:rPr>
        <w:t>n</w:t>
      </w:r>
      <w:r>
        <w:rPr>
          <w:color w:val="231F20"/>
          <w:spacing w:val="1"/>
          <w:w w:val="110"/>
          <w:sz w:val="16"/>
        </w:rPr>
        <w:t>g</w:t>
      </w:r>
      <w:r>
        <w:rPr>
          <w:color w:val="231F20"/>
          <w:spacing w:val="1"/>
          <w:w w:val="105"/>
          <w:sz w:val="16"/>
        </w:rPr>
        <w:t>r</w:t>
      </w:r>
      <w:r>
        <w:rPr>
          <w:color w:val="231F20"/>
          <w:spacing w:val="1"/>
          <w:w w:val="109"/>
          <w:sz w:val="16"/>
        </w:rPr>
        <w:t>e</w:t>
      </w:r>
      <w:r>
        <w:rPr>
          <w:color w:val="231F20"/>
          <w:spacing w:val="1"/>
          <w:w w:val="118"/>
          <w:sz w:val="16"/>
        </w:rPr>
        <w:t>s</w:t>
      </w:r>
      <w:r>
        <w:rPr>
          <w:color w:val="231F20"/>
          <w:spacing w:val="1"/>
          <w:w w:val="108"/>
          <w:sz w:val="16"/>
        </w:rPr>
        <w:t>o</w:t>
      </w:r>
      <w:r>
        <w:rPr>
          <w:color w:val="231F20"/>
          <w:w w:val="128"/>
          <w:sz w:val="16"/>
        </w:rPr>
        <w:t>,</w:t>
      </w:r>
      <w:r>
        <w:rPr>
          <w:color w:val="231F20"/>
          <w:spacing w:val="16"/>
          <w:sz w:val="16"/>
        </w:rPr>
        <w:t> </w:t>
      </w:r>
      <w:r>
        <w:rPr>
          <w:color w:val="231F20"/>
          <w:spacing w:val="1"/>
          <w:w w:val="101"/>
          <w:sz w:val="16"/>
        </w:rPr>
        <w:t>l</w:t>
      </w:r>
      <w:r>
        <w:rPr>
          <w:color w:val="231F20"/>
          <w:w w:val="108"/>
          <w:sz w:val="16"/>
        </w:rPr>
        <w:t>a</w:t>
      </w:r>
      <w:r>
        <w:rPr>
          <w:color w:val="231F20"/>
          <w:spacing w:val="16"/>
          <w:sz w:val="16"/>
        </w:rPr>
        <w:t> </w:t>
      </w:r>
      <w:r>
        <w:rPr>
          <w:color w:val="231F20"/>
          <w:spacing w:val="1"/>
          <w:w w:val="110"/>
          <w:sz w:val="16"/>
        </w:rPr>
        <w:t>m</w:t>
      </w:r>
      <w:r>
        <w:rPr>
          <w:color w:val="231F20"/>
          <w:spacing w:val="1"/>
          <w:w w:val="108"/>
          <w:sz w:val="16"/>
        </w:rPr>
        <w:t>a</w:t>
      </w:r>
      <w:r>
        <w:rPr>
          <w:color w:val="231F20"/>
          <w:spacing w:val="-5"/>
          <w:w w:val="105"/>
          <w:sz w:val="16"/>
        </w:rPr>
        <w:t>r</w:t>
      </w:r>
      <w:r>
        <w:rPr>
          <w:color w:val="231F20"/>
          <w:spacing w:val="1"/>
          <w:w w:val="110"/>
          <w:sz w:val="16"/>
        </w:rPr>
        <w:t>g</w:t>
      </w:r>
      <w:r>
        <w:rPr>
          <w:color w:val="231F20"/>
          <w:spacing w:val="1"/>
          <w:w w:val="98"/>
          <w:sz w:val="16"/>
        </w:rPr>
        <w:t>i</w:t>
      </w:r>
      <w:r>
        <w:rPr>
          <w:color w:val="231F20"/>
          <w:spacing w:val="1"/>
          <w:w w:val="111"/>
          <w:sz w:val="16"/>
        </w:rPr>
        <w:t>n</w:t>
      </w:r>
      <w:r>
        <w:rPr>
          <w:color w:val="231F20"/>
          <w:spacing w:val="1"/>
          <w:w w:val="108"/>
          <w:sz w:val="16"/>
        </w:rPr>
        <w:t>a</w:t>
      </w:r>
      <w:r>
        <w:rPr>
          <w:color w:val="231F20"/>
          <w:spacing w:val="1"/>
          <w:w w:val="101"/>
          <w:sz w:val="16"/>
        </w:rPr>
        <w:t>l</w:t>
      </w:r>
      <w:r>
        <w:rPr>
          <w:color w:val="231F20"/>
          <w:spacing w:val="1"/>
          <w:w w:val="98"/>
          <w:sz w:val="16"/>
        </w:rPr>
        <w:t>i</w:t>
      </w:r>
      <w:r>
        <w:rPr>
          <w:color w:val="231F20"/>
          <w:spacing w:val="1"/>
          <w:w w:val="107"/>
          <w:sz w:val="16"/>
        </w:rPr>
        <w:t>d</w:t>
      </w:r>
      <w:r>
        <w:rPr>
          <w:color w:val="231F20"/>
          <w:spacing w:val="1"/>
          <w:w w:val="108"/>
          <w:sz w:val="16"/>
        </w:rPr>
        <w:t>a</w:t>
      </w:r>
      <w:r>
        <w:rPr>
          <w:color w:val="231F20"/>
          <w:w w:val="107"/>
          <w:sz w:val="16"/>
        </w:rPr>
        <w:t>d</w:t>
      </w:r>
      <w:r>
        <w:rPr>
          <w:color w:val="231F20"/>
          <w:spacing w:val="16"/>
          <w:sz w:val="16"/>
        </w:rPr>
        <w:t> </w:t>
      </w:r>
      <w:r>
        <w:rPr>
          <w:color w:val="231F20"/>
          <w:w w:val="108"/>
          <w:sz w:val="16"/>
        </w:rPr>
        <w:t>o</w:t>
      </w:r>
      <w:r>
        <w:rPr>
          <w:color w:val="231F20"/>
          <w:spacing w:val="16"/>
          <w:sz w:val="16"/>
        </w:rPr>
        <w:t> </w:t>
      </w:r>
      <w:r>
        <w:rPr>
          <w:color w:val="231F20"/>
          <w:spacing w:val="1"/>
          <w:w w:val="109"/>
          <w:sz w:val="16"/>
        </w:rPr>
        <w:t>e</w:t>
      </w:r>
      <w:r>
        <w:rPr>
          <w:color w:val="231F20"/>
          <w:w w:val="101"/>
          <w:sz w:val="16"/>
        </w:rPr>
        <w:t>l</w:t>
      </w:r>
      <w:r>
        <w:rPr>
          <w:color w:val="231F20"/>
          <w:spacing w:val="16"/>
          <w:sz w:val="16"/>
        </w:rPr>
        <w:t> </w:t>
      </w:r>
      <w:r>
        <w:rPr>
          <w:color w:val="231F20"/>
          <w:spacing w:val="1"/>
          <w:w w:val="107"/>
          <w:sz w:val="16"/>
        </w:rPr>
        <w:t>b</w:t>
      </w:r>
      <w:r>
        <w:rPr>
          <w:color w:val="231F20"/>
          <w:spacing w:val="1"/>
          <w:w w:val="98"/>
          <w:sz w:val="16"/>
        </w:rPr>
        <w:t>i</w:t>
      </w:r>
      <w:r>
        <w:rPr>
          <w:color w:val="231F20"/>
          <w:spacing w:val="1"/>
          <w:w w:val="109"/>
          <w:sz w:val="16"/>
        </w:rPr>
        <w:t>e</w:t>
      </w:r>
      <w:r>
        <w:rPr>
          <w:color w:val="231F20"/>
          <w:spacing w:val="1"/>
          <w:w w:val="111"/>
          <w:sz w:val="16"/>
        </w:rPr>
        <w:t>n</w:t>
      </w:r>
      <w:r>
        <w:rPr>
          <w:color w:val="231F20"/>
          <w:spacing w:val="1"/>
          <w:w w:val="109"/>
          <w:sz w:val="16"/>
        </w:rPr>
        <w:t>e</w:t>
      </w:r>
      <w:r>
        <w:rPr>
          <w:color w:val="231F20"/>
          <w:spacing w:val="1"/>
          <w:w w:val="118"/>
          <w:sz w:val="16"/>
        </w:rPr>
        <w:t>s</w:t>
      </w:r>
      <w:r>
        <w:rPr>
          <w:color w:val="231F20"/>
          <w:spacing w:val="1"/>
          <w:w w:val="94"/>
          <w:sz w:val="16"/>
        </w:rPr>
        <w:t>t</w:t>
      </w:r>
      <w:r>
        <w:rPr>
          <w:color w:val="231F20"/>
          <w:spacing w:val="1"/>
          <w:w w:val="108"/>
          <w:sz w:val="16"/>
        </w:rPr>
        <w:t>a</w:t>
      </w:r>
      <w:r>
        <w:rPr>
          <w:color w:val="231F20"/>
          <w:w w:val="105"/>
          <w:sz w:val="16"/>
        </w:rPr>
        <w:t>r</w:t>
      </w:r>
      <w:r>
        <w:rPr>
          <w:color w:val="231F20"/>
          <w:spacing w:val="16"/>
          <w:sz w:val="16"/>
        </w:rPr>
        <w:t> </w:t>
      </w:r>
      <w:r>
        <w:rPr>
          <w:color w:val="231F20"/>
          <w:spacing w:val="1"/>
          <w:w w:val="81"/>
          <w:sz w:val="16"/>
        </w:rPr>
        <w:t>(</w:t>
      </w:r>
      <w:r>
        <w:rPr>
          <w:color w:val="231F20"/>
          <w:spacing w:val="1"/>
          <w:w w:val="169"/>
          <w:sz w:val="16"/>
        </w:rPr>
        <w:t>J</w:t>
      </w:r>
      <w:r>
        <w:rPr>
          <w:color w:val="231F20"/>
          <w:spacing w:val="1"/>
          <w:w w:val="113"/>
          <w:sz w:val="16"/>
        </w:rPr>
        <w:t>u</w:t>
      </w:r>
      <w:r>
        <w:rPr>
          <w:color w:val="231F20"/>
          <w:spacing w:val="1"/>
          <w:w w:val="108"/>
          <w:sz w:val="16"/>
        </w:rPr>
        <w:t>á</w:t>
      </w:r>
      <w:r>
        <w:rPr>
          <w:color w:val="231F20"/>
          <w:spacing w:val="1"/>
          <w:w w:val="105"/>
          <w:sz w:val="16"/>
        </w:rPr>
        <w:t>r</w:t>
      </w:r>
      <w:r>
        <w:rPr>
          <w:color w:val="231F20"/>
          <w:spacing w:val="1"/>
          <w:w w:val="109"/>
          <w:sz w:val="16"/>
        </w:rPr>
        <w:t>e</w:t>
      </w:r>
      <w:r>
        <w:rPr>
          <w:color w:val="231F20"/>
          <w:spacing w:val="1"/>
          <w:w w:val="111"/>
          <w:sz w:val="16"/>
        </w:rPr>
        <w:t>z</w:t>
      </w:r>
      <w:r>
        <w:rPr>
          <w:color w:val="231F20"/>
          <w:w w:val="128"/>
          <w:sz w:val="16"/>
        </w:rPr>
        <w:t>,</w:t>
      </w:r>
      <w:r>
        <w:rPr>
          <w:color w:val="231F20"/>
          <w:spacing w:val="16"/>
          <w:sz w:val="16"/>
        </w:rPr>
        <w:t> </w:t>
      </w:r>
      <w:r>
        <w:rPr>
          <w:color w:val="231F20"/>
          <w:spacing w:val="1"/>
          <w:w w:val="102"/>
          <w:sz w:val="16"/>
        </w:rPr>
        <w:t>2008</w:t>
      </w:r>
      <w:r>
        <w:rPr>
          <w:color w:val="231F20"/>
          <w:spacing w:val="1"/>
          <w:w w:val="81"/>
          <w:sz w:val="16"/>
        </w:rPr>
        <w:t>)</w:t>
      </w:r>
      <w:r>
        <w:rPr>
          <w:color w:val="231F20"/>
          <w:w w:val="128"/>
          <w:sz w:val="16"/>
        </w:rPr>
        <w:t>,</w:t>
      </w:r>
      <w:r>
        <w:rPr>
          <w:color w:val="231F20"/>
          <w:spacing w:val="16"/>
          <w:sz w:val="16"/>
        </w:rPr>
        <w:t> </w:t>
      </w:r>
      <w:r>
        <w:rPr>
          <w:color w:val="231F20"/>
          <w:spacing w:val="1"/>
          <w:w w:val="101"/>
          <w:sz w:val="16"/>
        </w:rPr>
        <w:t>l</w:t>
      </w:r>
      <w:r>
        <w:rPr>
          <w:color w:val="231F20"/>
          <w:w w:val="108"/>
          <w:sz w:val="16"/>
        </w:rPr>
        <w:t>a</w:t>
      </w:r>
      <w:r>
        <w:rPr>
          <w:color w:val="231F20"/>
          <w:spacing w:val="16"/>
          <w:sz w:val="16"/>
        </w:rPr>
        <w:t> </w:t>
      </w:r>
      <w:r>
        <w:rPr>
          <w:color w:val="231F20"/>
          <w:spacing w:val="1"/>
          <w:w w:val="118"/>
          <w:sz w:val="16"/>
        </w:rPr>
        <w:t>s</w:t>
      </w:r>
      <w:r>
        <w:rPr>
          <w:color w:val="231F20"/>
          <w:spacing w:val="1"/>
          <w:w w:val="98"/>
          <w:sz w:val="16"/>
        </w:rPr>
        <w:t>i</w:t>
      </w:r>
      <w:r>
        <w:rPr>
          <w:color w:val="231F20"/>
          <w:spacing w:val="1"/>
          <w:w w:val="94"/>
          <w:sz w:val="16"/>
        </w:rPr>
        <w:t>t</w:t>
      </w:r>
      <w:r>
        <w:rPr>
          <w:color w:val="231F20"/>
          <w:spacing w:val="1"/>
          <w:w w:val="113"/>
          <w:sz w:val="16"/>
        </w:rPr>
        <w:t>u</w:t>
      </w:r>
      <w:r>
        <w:rPr>
          <w:color w:val="231F20"/>
          <w:spacing w:val="1"/>
          <w:w w:val="108"/>
          <w:sz w:val="16"/>
        </w:rPr>
        <w:t>a</w:t>
      </w:r>
      <w:r>
        <w:rPr>
          <w:color w:val="231F20"/>
          <w:spacing w:val="1"/>
          <w:w w:val="115"/>
          <w:sz w:val="16"/>
        </w:rPr>
        <w:t>c</w:t>
      </w:r>
      <w:r>
        <w:rPr>
          <w:color w:val="231F20"/>
          <w:spacing w:val="1"/>
          <w:w w:val="98"/>
          <w:sz w:val="16"/>
        </w:rPr>
        <w:t>i</w:t>
      </w:r>
      <w:r>
        <w:rPr>
          <w:color w:val="231F20"/>
          <w:spacing w:val="1"/>
          <w:w w:val="108"/>
          <w:sz w:val="16"/>
        </w:rPr>
        <w:t>ó</w:t>
      </w:r>
      <w:r>
        <w:rPr>
          <w:color w:val="231F20"/>
          <w:w w:val="111"/>
          <w:sz w:val="16"/>
        </w:rPr>
        <w:t>n</w:t>
      </w:r>
      <w:r>
        <w:rPr>
          <w:color w:val="231F20"/>
          <w:spacing w:val="16"/>
          <w:sz w:val="16"/>
        </w:rPr>
        <w:t> </w:t>
      </w:r>
      <w:r>
        <w:rPr>
          <w:color w:val="231F20"/>
          <w:spacing w:val="1"/>
          <w:w w:val="106"/>
          <w:sz w:val="16"/>
        </w:rPr>
        <w:t>p</w:t>
      </w:r>
      <w:r>
        <w:rPr>
          <w:color w:val="231F20"/>
          <w:spacing w:val="1"/>
          <w:w w:val="105"/>
          <w:sz w:val="16"/>
        </w:rPr>
        <w:t>r</w:t>
      </w:r>
      <w:r>
        <w:rPr>
          <w:color w:val="231F20"/>
          <w:spacing w:val="1"/>
          <w:w w:val="108"/>
          <w:sz w:val="16"/>
        </w:rPr>
        <w:t>o</w:t>
      </w:r>
      <w:r>
        <w:rPr>
          <w:color w:val="231F20"/>
          <w:spacing w:val="1"/>
          <w:w w:val="107"/>
          <w:sz w:val="16"/>
        </w:rPr>
        <w:t>b</w:t>
      </w:r>
      <w:r>
        <w:rPr>
          <w:color w:val="231F20"/>
          <w:spacing w:val="1"/>
          <w:w w:val="108"/>
          <w:sz w:val="16"/>
        </w:rPr>
        <w:t>a</w:t>
      </w:r>
      <w:r>
        <w:rPr>
          <w:color w:val="231F20"/>
          <w:spacing w:val="1"/>
          <w:w w:val="107"/>
          <w:sz w:val="16"/>
        </w:rPr>
        <w:t>b</w:t>
      </w:r>
      <w:r>
        <w:rPr>
          <w:color w:val="231F20"/>
          <w:spacing w:val="1"/>
          <w:w w:val="101"/>
          <w:sz w:val="16"/>
        </w:rPr>
        <w:t>l</w:t>
      </w:r>
      <w:r>
        <w:rPr>
          <w:color w:val="231F20"/>
          <w:w w:val="109"/>
          <w:sz w:val="16"/>
        </w:rPr>
        <w:t>e</w:t>
      </w:r>
      <w:r>
        <w:rPr>
          <w:color w:val="231F20"/>
          <w:spacing w:val="16"/>
          <w:sz w:val="16"/>
        </w:rPr>
        <w:t> </w:t>
      </w:r>
      <w:r>
        <w:rPr>
          <w:color w:val="231F20"/>
          <w:spacing w:val="1"/>
          <w:w w:val="107"/>
          <w:sz w:val="16"/>
        </w:rPr>
        <w:t>d</w:t>
      </w:r>
      <w:r>
        <w:rPr>
          <w:color w:val="231F20"/>
          <w:w w:val="109"/>
          <w:sz w:val="16"/>
        </w:rPr>
        <w:t>e</w:t>
      </w:r>
      <w:r>
        <w:rPr>
          <w:color w:val="231F20"/>
          <w:spacing w:val="16"/>
          <w:sz w:val="16"/>
        </w:rPr>
        <w:t> </w:t>
      </w:r>
      <w:r>
        <w:rPr>
          <w:color w:val="231F20"/>
          <w:spacing w:val="1"/>
          <w:w w:val="115"/>
          <w:sz w:val="16"/>
        </w:rPr>
        <w:t>c</w:t>
      </w:r>
      <w:r>
        <w:rPr>
          <w:color w:val="231F20"/>
          <w:spacing w:val="1"/>
          <w:w w:val="108"/>
          <w:sz w:val="16"/>
        </w:rPr>
        <w:t>a</w:t>
      </w:r>
      <w:r>
        <w:rPr>
          <w:color w:val="231F20"/>
          <w:spacing w:val="1"/>
          <w:w w:val="105"/>
          <w:sz w:val="16"/>
        </w:rPr>
        <w:t>r</w:t>
      </w:r>
      <w:r>
        <w:rPr>
          <w:color w:val="231F20"/>
          <w:spacing w:val="1"/>
          <w:w w:val="109"/>
          <w:sz w:val="16"/>
        </w:rPr>
        <w:t>e</w:t>
      </w:r>
      <w:r>
        <w:rPr>
          <w:color w:val="231F20"/>
          <w:spacing w:val="1"/>
          <w:w w:val="111"/>
          <w:sz w:val="16"/>
        </w:rPr>
        <w:t>n</w:t>
      </w:r>
      <w:r>
        <w:rPr>
          <w:color w:val="231F20"/>
          <w:spacing w:val="1"/>
          <w:w w:val="115"/>
          <w:sz w:val="16"/>
        </w:rPr>
        <w:t>c</w:t>
      </w:r>
      <w:r>
        <w:rPr>
          <w:color w:val="231F20"/>
          <w:spacing w:val="1"/>
          <w:w w:val="98"/>
          <w:sz w:val="16"/>
        </w:rPr>
        <w:t>i</w:t>
      </w:r>
      <w:r>
        <w:rPr>
          <w:color w:val="231F20"/>
          <w:w w:val="108"/>
          <w:sz w:val="16"/>
        </w:rPr>
        <w:t>a </w:t>
      </w:r>
      <w:r>
        <w:rPr>
          <w:color w:val="231F20"/>
          <w:w w:val="110"/>
          <w:sz w:val="16"/>
        </w:rPr>
        <w:t>o </w:t>
      </w:r>
      <w:r>
        <w:rPr>
          <w:color w:val="231F20"/>
          <w:spacing w:val="3"/>
          <w:w w:val="110"/>
          <w:sz w:val="16"/>
        </w:rPr>
        <w:t>satisfacción </w:t>
      </w:r>
      <w:r>
        <w:rPr>
          <w:color w:val="231F20"/>
          <w:w w:val="110"/>
          <w:sz w:val="16"/>
        </w:rPr>
        <w:t>de </w:t>
      </w:r>
      <w:r>
        <w:rPr>
          <w:color w:val="231F20"/>
          <w:spacing w:val="3"/>
          <w:w w:val="110"/>
          <w:sz w:val="16"/>
        </w:rPr>
        <w:t>necesidades </w:t>
      </w:r>
      <w:r>
        <w:rPr>
          <w:color w:val="231F20"/>
          <w:w w:val="110"/>
          <w:sz w:val="16"/>
        </w:rPr>
        <w:t>de </w:t>
      </w:r>
      <w:r>
        <w:rPr>
          <w:color w:val="231F20"/>
          <w:spacing w:val="2"/>
          <w:w w:val="110"/>
          <w:sz w:val="16"/>
        </w:rPr>
        <w:t>los </w:t>
      </w:r>
      <w:r>
        <w:rPr>
          <w:color w:val="231F20"/>
          <w:spacing w:val="3"/>
          <w:w w:val="110"/>
          <w:sz w:val="16"/>
        </w:rPr>
        <w:t>pobladores </w:t>
      </w:r>
      <w:r>
        <w:rPr>
          <w:color w:val="231F20"/>
          <w:w w:val="110"/>
          <w:sz w:val="16"/>
        </w:rPr>
        <w:t>de un </w:t>
      </w:r>
      <w:r>
        <w:rPr>
          <w:color w:val="231F20"/>
          <w:spacing w:val="3"/>
          <w:w w:val="110"/>
          <w:sz w:val="16"/>
        </w:rPr>
        <w:t>espacio geográfico determinado </w:t>
      </w:r>
      <w:r>
        <w:rPr>
          <w:color w:val="231F20"/>
          <w:w w:val="110"/>
          <w:sz w:val="16"/>
        </w:rPr>
        <w:t>(Pamplona, 2005). En términos económicos como producto de la globalización del sistema económico mundial, que se expresa en marginación y exclusión social (Caravaca, 1998), o </w:t>
      </w:r>
      <w:r>
        <w:rPr>
          <w:color w:val="231F20"/>
          <w:spacing w:val="2"/>
          <w:w w:val="107"/>
          <w:sz w:val="16"/>
        </w:rPr>
        <w:t>b</w:t>
      </w:r>
      <w:r>
        <w:rPr>
          <w:color w:val="231F20"/>
          <w:spacing w:val="2"/>
          <w:w w:val="98"/>
          <w:sz w:val="16"/>
        </w:rPr>
        <w:t>i</w:t>
      </w:r>
      <w:r>
        <w:rPr>
          <w:color w:val="231F20"/>
          <w:spacing w:val="2"/>
          <w:w w:val="109"/>
          <w:sz w:val="16"/>
        </w:rPr>
        <w:t>e</w:t>
      </w:r>
      <w:r>
        <w:rPr>
          <w:color w:val="231F20"/>
          <w:w w:val="111"/>
          <w:sz w:val="16"/>
        </w:rPr>
        <w:t>n</w:t>
      </w:r>
      <w:r>
        <w:rPr>
          <w:color w:val="231F20"/>
          <w:sz w:val="16"/>
        </w:rPr>
        <w:t> </w:t>
      </w:r>
      <w:r>
        <w:rPr>
          <w:color w:val="231F20"/>
          <w:spacing w:val="-7"/>
          <w:sz w:val="16"/>
        </w:rPr>
        <w:t> </w:t>
      </w:r>
      <w:r>
        <w:rPr>
          <w:color w:val="231F20"/>
          <w:spacing w:val="2"/>
          <w:w w:val="105"/>
          <w:sz w:val="16"/>
        </w:rPr>
        <w:t>r</w:t>
      </w:r>
      <w:r>
        <w:rPr>
          <w:color w:val="231F20"/>
          <w:spacing w:val="2"/>
          <w:w w:val="109"/>
          <w:sz w:val="16"/>
        </w:rPr>
        <w:t>e</w:t>
      </w:r>
      <w:r>
        <w:rPr>
          <w:color w:val="231F20"/>
          <w:spacing w:val="2"/>
          <w:w w:val="101"/>
          <w:sz w:val="16"/>
        </w:rPr>
        <w:t>l</w:t>
      </w:r>
      <w:r>
        <w:rPr>
          <w:color w:val="231F20"/>
          <w:spacing w:val="2"/>
          <w:w w:val="108"/>
          <w:sz w:val="16"/>
        </w:rPr>
        <w:t>a</w:t>
      </w:r>
      <w:r>
        <w:rPr>
          <w:color w:val="231F20"/>
          <w:spacing w:val="2"/>
          <w:w w:val="115"/>
          <w:sz w:val="16"/>
        </w:rPr>
        <w:t>c</w:t>
      </w:r>
      <w:r>
        <w:rPr>
          <w:color w:val="231F20"/>
          <w:spacing w:val="2"/>
          <w:w w:val="98"/>
          <w:sz w:val="16"/>
        </w:rPr>
        <w:t>i</w:t>
      </w:r>
      <w:r>
        <w:rPr>
          <w:color w:val="231F20"/>
          <w:spacing w:val="2"/>
          <w:w w:val="108"/>
          <w:sz w:val="16"/>
        </w:rPr>
        <w:t>o</w:t>
      </w:r>
      <w:r>
        <w:rPr>
          <w:color w:val="231F20"/>
          <w:spacing w:val="2"/>
          <w:w w:val="111"/>
          <w:sz w:val="16"/>
        </w:rPr>
        <w:t>n</w:t>
      </w:r>
      <w:r>
        <w:rPr>
          <w:color w:val="231F20"/>
          <w:spacing w:val="2"/>
          <w:w w:val="108"/>
          <w:sz w:val="16"/>
        </w:rPr>
        <w:t>a</w:t>
      </w:r>
      <w:r>
        <w:rPr>
          <w:color w:val="231F20"/>
          <w:spacing w:val="2"/>
          <w:w w:val="107"/>
          <w:sz w:val="16"/>
        </w:rPr>
        <w:t>d</w:t>
      </w:r>
      <w:r>
        <w:rPr>
          <w:color w:val="231F20"/>
          <w:spacing w:val="2"/>
          <w:w w:val="108"/>
          <w:sz w:val="16"/>
        </w:rPr>
        <w:t>a</w:t>
      </w:r>
      <w:r>
        <w:rPr>
          <w:color w:val="231F20"/>
          <w:w w:val="118"/>
          <w:sz w:val="16"/>
        </w:rPr>
        <w:t>s</w:t>
      </w:r>
      <w:r>
        <w:rPr>
          <w:color w:val="231F20"/>
          <w:sz w:val="16"/>
        </w:rPr>
        <w:t> </w:t>
      </w:r>
      <w:r>
        <w:rPr>
          <w:color w:val="231F20"/>
          <w:spacing w:val="-7"/>
          <w:sz w:val="16"/>
        </w:rPr>
        <w:t> </w:t>
      </w:r>
      <w:r>
        <w:rPr>
          <w:color w:val="231F20"/>
          <w:spacing w:val="2"/>
          <w:w w:val="115"/>
          <w:sz w:val="16"/>
        </w:rPr>
        <w:t>c</w:t>
      </w:r>
      <w:r>
        <w:rPr>
          <w:color w:val="231F20"/>
          <w:spacing w:val="2"/>
          <w:w w:val="108"/>
          <w:sz w:val="16"/>
        </w:rPr>
        <w:t>o</w:t>
      </w:r>
      <w:r>
        <w:rPr>
          <w:color w:val="231F20"/>
          <w:w w:val="111"/>
          <w:sz w:val="16"/>
        </w:rPr>
        <w:t>n</w:t>
      </w:r>
      <w:r>
        <w:rPr>
          <w:color w:val="231F20"/>
          <w:sz w:val="16"/>
        </w:rPr>
        <w:t> </w:t>
      </w:r>
      <w:r>
        <w:rPr>
          <w:color w:val="231F20"/>
          <w:spacing w:val="-7"/>
          <w:sz w:val="16"/>
        </w:rPr>
        <w:t> </w:t>
      </w:r>
      <w:r>
        <w:rPr>
          <w:color w:val="231F20"/>
          <w:spacing w:val="2"/>
          <w:w w:val="101"/>
          <w:sz w:val="16"/>
        </w:rPr>
        <w:t>l</w:t>
      </w:r>
      <w:r>
        <w:rPr>
          <w:color w:val="231F20"/>
          <w:spacing w:val="2"/>
          <w:w w:val="108"/>
          <w:sz w:val="16"/>
        </w:rPr>
        <w:t>a</w:t>
      </w:r>
      <w:r>
        <w:rPr>
          <w:color w:val="231F20"/>
          <w:w w:val="118"/>
          <w:sz w:val="16"/>
        </w:rPr>
        <w:t>s</w:t>
      </w:r>
      <w:r>
        <w:rPr>
          <w:color w:val="231F20"/>
          <w:sz w:val="16"/>
        </w:rPr>
        <w:t> </w:t>
      </w:r>
      <w:r>
        <w:rPr>
          <w:color w:val="231F20"/>
          <w:spacing w:val="-7"/>
          <w:sz w:val="16"/>
        </w:rPr>
        <w:t> </w:t>
      </w:r>
      <w:r>
        <w:rPr>
          <w:color w:val="231F20"/>
          <w:spacing w:val="2"/>
          <w:w w:val="115"/>
          <w:sz w:val="16"/>
        </w:rPr>
        <w:t>c</w:t>
      </w:r>
      <w:r>
        <w:rPr>
          <w:color w:val="231F20"/>
          <w:spacing w:val="2"/>
          <w:w w:val="108"/>
          <w:sz w:val="16"/>
        </w:rPr>
        <w:t>a</w:t>
      </w:r>
      <w:r>
        <w:rPr>
          <w:color w:val="231F20"/>
          <w:spacing w:val="2"/>
          <w:w w:val="105"/>
          <w:sz w:val="16"/>
        </w:rPr>
        <w:t>r</w:t>
      </w:r>
      <w:r>
        <w:rPr>
          <w:color w:val="231F20"/>
          <w:spacing w:val="2"/>
          <w:w w:val="108"/>
          <w:sz w:val="16"/>
        </w:rPr>
        <w:t>a</w:t>
      </w:r>
      <w:r>
        <w:rPr>
          <w:color w:val="231F20"/>
          <w:spacing w:val="2"/>
          <w:w w:val="115"/>
          <w:sz w:val="16"/>
        </w:rPr>
        <w:t>c</w:t>
      </w:r>
      <w:r>
        <w:rPr>
          <w:color w:val="231F20"/>
          <w:spacing w:val="2"/>
          <w:w w:val="94"/>
          <w:sz w:val="16"/>
        </w:rPr>
        <w:t>t</w:t>
      </w:r>
      <w:r>
        <w:rPr>
          <w:color w:val="231F20"/>
          <w:spacing w:val="2"/>
          <w:w w:val="109"/>
          <w:sz w:val="16"/>
        </w:rPr>
        <w:t>e</w:t>
      </w:r>
      <w:r>
        <w:rPr>
          <w:color w:val="231F20"/>
          <w:spacing w:val="2"/>
          <w:w w:val="105"/>
          <w:sz w:val="16"/>
        </w:rPr>
        <w:t>r</w:t>
      </w:r>
      <w:r>
        <w:rPr>
          <w:color w:val="231F20"/>
          <w:spacing w:val="2"/>
          <w:w w:val="98"/>
          <w:sz w:val="16"/>
        </w:rPr>
        <w:t>í</w:t>
      </w:r>
      <w:r>
        <w:rPr>
          <w:color w:val="231F20"/>
          <w:spacing w:val="2"/>
          <w:w w:val="118"/>
          <w:sz w:val="16"/>
        </w:rPr>
        <w:t>s</w:t>
      </w:r>
      <w:r>
        <w:rPr>
          <w:color w:val="231F20"/>
          <w:spacing w:val="2"/>
          <w:w w:val="94"/>
          <w:sz w:val="16"/>
        </w:rPr>
        <w:t>t</w:t>
      </w:r>
      <w:r>
        <w:rPr>
          <w:color w:val="231F20"/>
          <w:spacing w:val="2"/>
          <w:w w:val="98"/>
          <w:sz w:val="16"/>
        </w:rPr>
        <w:t>i</w:t>
      </w:r>
      <w:r>
        <w:rPr>
          <w:color w:val="231F20"/>
          <w:spacing w:val="2"/>
          <w:w w:val="115"/>
          <w:sz w:val="16"/>
        </w:rPr>
        <w:t>c</w:t>
      </w:r>
      <w:r>
        <w:rPr>
          <w:color w:val="231F20"/>
          <w:spacing w:val="2"/>
          <w:w w:val="108"/>
          <w:sz w:val="16"/>
        </w:rPr>
        <w:t>a</w:t>
      </w:r>
      <w:r>
        <w:rPr>
          <w:color w:val="231F20"/>
          <w:w w:val="118"/>
          <w:sz w:val="16"/>
        </w:rPr>
        <w:t>s</w:t>
      </w:r>
      <w:r>
        <w:rPr>
          <w:color w:val="231F20"/>
          <w:sz w:val="16"/>
        </w:rPr>
        <w:t> </w:t>
      </w:r>
      <w:r>
        <w:rPr>
          <w:color w:val="231F20"/>
          <w:spacing w:val="-7"/>
          <w:sz w:val="16"/>
        </w:rPr>
        <w:t> </w:t>
      </w:r>
      <w:r>
        <w:rPr>
          <w:color w:val="231F20"/>
          <w:spacing w:val="2"/>
          <w:w w:val="118"/>
          <w:sz w:val="16"/>
        </w:rPr>
        <w:t>s</w:t>
      </w:r>
      <w:r>
        <w:rPr>
          <w:color w:val="231F20"/>
          <w:spacing w:val="2"/>
          <w:w w:val="108"/>
          <w:sz w:val="16"/>
        </w:rPr>
        <w:t>o</w:t>
      </w:r>
      <w:r>
        <w:rPr>
          <w:color w:val="231F20"/>
          <w:spacing w:val="2"/>
          <w:w w:val="115"/>
          <w:sz w:val="16"/>
        </w:rPr>
        <w:t>c</w:t>
      </w:r>
      <w:r>
        <w:rPr>
          <w:color w:val="231F20"/>
          <w:spacing w:val="2"/>
          <w:w w:val="98"/>
          <w:sz w:val="16"/>
        </w:rPr>
        <w:t>i</w:t>
      </w:r>
      <w:r>
        <w:rPr>
          <w:color w:val="231F20"/>
          <w:spacing w:val="2"/>
          <w:w w:val="108"/>
          <w:sz w:val="16"/>
        </w:rPr>
        <w:t>o</w:t>
      </w:r>
      <w:r>
        <w:rPr>
          <w:color w:val="231F20"/>
          <w:spacing w:val="2"/>
          <w:w w:val="109"/>
          <w:sz w:val="16"/>
        </w:rPr>
        <w:t>e</w:t>
      </w:r>
      <w:r>
        <w:rPr>
          <w:color w:val="231F20"/>
          <w:spacing w:val="2"/>
          <w:w w:val="115"/>
          <w:sz w:val="16"/>
        </w:rPr>
        <w:t>c</w:t>
      </w:r>
      <w:r>
        <w:rPr>
          <w:color w:val="231F20"/>
          <w:spacing w:val="2"/>
          <w:w w:val="108"/>
          <w:sz w:val="16"/>
        </w:rPr>
        <w:t>o</w:t>
      </w:r>
      <w:r>
        <w:rPr>
          <w:color w:val="231F20"/>
          <w:spacing w:val="2"/>
          <w:w w:val="111"/>
          <w:sz w:val="16"/>
        </w:rPr>
        <w:t>n</w:t>
      </w:r>
      <w:r>
        <w:rPr>
          <w:color w:val="231F20"/>
          <w:spacing w:val="2"/>
          <w:w w:val="108"/>
          <w:sz w:val="16"/>
        </w:rPr>
        <w:t>ó</w:t>
      </w:r>
      <w:r>
        <w:rPr>
          <w:color w:val="231F20"/>
          <w:spacing w:val="2"/>
          <w:w w:val="110"/>
          <w:sz w:val="16"/>
        </w:rPr>
        <w:t>m</w:t>
      </w:r>
      <w:r>
        <w:rPr>
          <w:color w:val="231F20"/>
          <w:spacing w:val="2"/>
          <w:w w:val="98"/>
          <w:sz w:val="16"/>
        </w:rPr>
        <w:t>i</w:t>
      </w:r>
      <w:r>
        <w:rPr>
          <w:color w:val="231F20"/>
          <w:spacing w:val="2"/>
          <w:w w:val="115"/>
          <w:sz w:val="16"/>
        </w:rPr>
        <w:t>c</w:t>
      </w:r>
      <w:r>
        <w:rPr>
          <w:color w:val="231F20"/>
          <w:spacing w:val="2"/>
          <w:w w:val="108"/>
          <w:sz w:val="16"/>
        </w:rPr>
        <w:t>a</w:t>
      </w:r>
      <w:r>
        <w:rPr>
          <w:color w:val="231F20"/>
          <w:w w:val="118"/>
          <w:sz w:val="16"/>
        </w:rPr>
        <w:t>s</w:t>
      </w:r>
      <w:r>
        <w:rPr>
          <w:color w:val="231F20"/>
          <w:sz w:val="16"/>
        </w:rPr>
        <w:t> </w:t>
      </w:r>
      <w:r>
        <w:rPr>
          <w:color w:val="231F20"/>
          <w:spacing w:val="-7"/>
          <w:sz w:val="16"/>
        </w:rPr>
        <w:t> </w:t>
      </w:r>
      <w:r>
        <w:rPr>
          <w:color w:val="231F20"/>
          <w:spacing w:val="2"/>
          <w:w w:val="107"/>
          <w:sz w:val="16"/>
        </w:rPr>
        <w:t>d</w:t>
      </w:r>
      <w:r>
        <w:rPr>
          <w:color w:val="231F20"/>
          <w:w w:val="109"/>
          <w:sz w:val="16"/>
        </w:rPr>
        <w:t>e</w:t>
      </w:r>
      <w:r>
        <w:rPr>
          <w:color w:val="231F20"/>
          <w:sz w:val="16"/>
        </w:rPr>
        <w:t> </w:t>
      </w:r>
      <w:r>
        <w:rPr>
          <w:color w:val="231F20"/>
          <w:spacing w:val="-7"/>
          <w:sz w:val="16"/>
        </w:rPr>
        <w:t> </w:t>
      </w:r>
      <w:r>
        <w:rPr>
          <w:color w:val="231F20"/>
          <w:spacing w:val="2"/>
          <w:w w:val="101"/>
          <w:sz w:val="16"/>
        </w:rPr>
        <w:t>l</w:t>
      </w:r>
      <w:r>
        <w:rPr>
          <w:color w:val="231F20"/>
          <w:w w:val="108"/>
          <w:sz w:val="16"/>
        </w:rPr>
        <w:t>a</w:t>
      </w:r>
      <w:r>
        <w:rPr>
          <w:color w:val="231F20"/>
          <w:sz w:val="16"/>
        </w:rPr>
        <w:t> </w:t>
      </w:r>
      <w:r>
        <w:rPr>
          <w:color w:val="231F20"/>
          <w:spacing w:val="-7"/>
          <w:sz w:val="16"/>
        </w:rPr>
        <w:t> </w:t>
      </w:r>
      <w:r>
        <w:rPr>
          <w:color w:val="231F20"/>
          <w:spacing w:val="2"/>
          <w:w w:val="106"/>
          <w:sz w:val="16"/>
        </w:rPr>
        <w:t>p</w:t>
      </w:r>
      <w:r>
        <w:rPr>
          <w:color w:val="231F20"/>
          <w:spacing w:val="2"/>
          <w:w w:val="108"/>
          <w:sz w:val="16"/>
        </w:rPr>
        <w:t>o</w:t>
      </w:r>
      <w:r>
        <w:rPr>
          <w:color w:val="231F20"/>
          <w:spacing w:val="2"/>
          <w:w w:val="107"/>
          <w:sz w:val="16"/>
        </w:rPr>
        <w:t>b</w:t>
      </w:r>
      <w:r>
        <w:rPr>
          <w:color w:val="231F20"/>
          <w:spacing w:val="2"/>
          <w:w w:val="101"/>
          <w:sz w:val="16"/>
        </w:rPr>
        <w:t>l</w:t>
      </w:r>
      <w:r>
        <w:rPr>
          <w:color w:val="231F20"/>
          <w:spacing w:val="2"/>
          <w:w w:val="108"/>
          <w:sz w:val="16"/>
        </w:rPr>
        <w:t>a</w:t>
      </w:r>
      <w:r>
        <w:rPr>
          <w:color w:val="231F20"/>
          <w:spacing w:val="2"/>
          <w:w w:val="115"/>
          <w:sz w:val="16"/>
        </w:rPr>
        <w:t>c</w:t>
      </w:r>
      <w:r>
        <w:rPr>
          <w:color w:val="231F20"/>
          <w:spacing w:val="2"/>
          <w:w w:val="98"/>
          <w:sz w:val="16"/>
        </w:rPr>
        <w:t>i</w:t>
      </w:r>
      <w:r>
        <w:rPr>
          <w:color w:val="231F20"/>
          <w:spacing w:val="2"/>
          <w:w w:val="108"/>
          <w:sz w:val="16"/>
        </w:rPr>
        <w:t>ó</w:t>
      </w:r>
      <w:r>
        <w:rPr>
          <w:color w:val="231F20"/>
          <w:w w:val="111"/>
          <w:sz w:val="16"/>
        </w:rPr>
        <w:t>n</w:t>
      </w:r>
      <w:r>
        <w:rPr>
          <w:color w:val="231F20"/>
          <w:sz w:val="16"/>
        </w:rPr>
        <w:t> </w:t>
      </w:r>
      <w:r>
        <w:rPr>
          <w:color w:val="231F20"/>
          <w:spacing w:val="-7"/>
          <w:sz w:val="16"/>
        </w:rPr>
        <w:t> </w:t>
      </w:r>
      <w:r>
        <w:rPr>
          <w:color w:val="231F20"/>
          <w:spacing w:val="2"/>
          <w:w w:val="81"/>
          <w:sz w:val="16"/>
        </w:rPr>
        <w:t>(</w:t>
      </w:r>
      <w:r>
        <w:rPr>
          <w:color w:val="231F20"/>
          <w:spacing w:val="2"/>
          <w:w w:val="169"/>
          <w:sz w:val="16"/>
        </w:rPr>
        <w:t>J</w:t>
      </w:r>
      <w:r>
        <w:rPr>
          <w:color w:val="231F20"/>
          <w:spacing w:val="2"/>
          <w:w w:val="108"/>
          <w:sz w:val="16"/>
        </w:rPr>
        <w:t>o</w:t>
      </w:r>
      <w:r>
        <w:rPr>
          <w:color w:val="231F20"/>
          <w:spacing w:val="2"/>
          <w:w w:val="111"/>
          <w:sz w:val="16"/>
        </w:rPr>
        <w:t>n</w:t>
      </w:r>
      <w:r>
        <w:rPr>
          <w:color w:val="231F20"/>
          <w:spacing w:val="2"/>
          <w:w w:val="109"/>
          <w:sz w:val="16"/>
        </w:rPr>
        <w:t>e</w:t>
      </w:r>
      <w:r>
        <w:rPr>
          <w:color w:val="231F20"/>
          <w:w w:val="118"/>
          <w:sz w:val="16"/>
        </w:rPr>
        <w:t>s</w:t>
      </w:r>
      <w:r>
        <w:rPr>
          <w:color w:val="231F20"/>
          <w:sz w:val="16"/>
        </w:rPr>
        <w:t> </w:t>
      </w:r>
      <w:r>
        <w:rPr>
          <w:color w:val="231F20"/>
          <w:spacing w:val="-7"/>
          <w:sz w:val="16"/>
        </w:rPr>
        <w:t> </w:t>
      </w:r>
      <w:r>
        <w:rPr>
          <w:color w:val="231F20"/>
          <w:w w:val="108"/>
          <w:sz w:val="16"/>
        </w:rPr>
        <w:t>y</w:t>
      </w:r>
      <w:r>
        <w:rPr>
          <w:color w:val="231F20"/>
          <w:sz w:val="16"/>
        </w:rPr>
        <w:t> </w:t>
      </w:r>
      <w:r>
        <w:rPr>
          <w:color w:val="231F20"/>
          <w:spacing w:val="-7"/>
          <w:sz w:val="16"/>
        </w:rPr>
        <w:t> </w:t>
      </w:r>
      <w:r>
        <w:rPr>
          <w:color w:val="231F20"/>
          <w:spacing w:val="2"/>
          <w:w w:val="108"/>
          <w:sz w:val="16"/>
        </w:rPr>
        <w:t>R</w:t>
      </w:r>
      <w:r>
        <w:rPr>
          <w:color w:val="231F20"/>
          <w:spacing w:val="2"/>
          <w:w w:val="98"/>
          <w:sz w:val="16"/>
        </w:rPr>
        <w:t>i</w:t>
      </w:r>
      <w:r>
        <w:rPr>
          <w:color w:val="231F20"/>
          <w:spacing w:val="2"/>
          <w:w w:val="115"/>
          <w:sz w:val="16"/>
        </w:rPr>
        <w:t>c</w:t>
      </w:r>
      <w:r>
        <w:rPr>
          <w:color w:val="231F20"/>
          <w:spacing w:val="2"/>
          <w:w w:val="109"/>
          <w:sz w:val="16"/>
        </w:rPr>
        <w:t>e</w:t>
      </w:r>
      <w:r>
        <w:rPr>
          <w:color w:val="231F20"/>
          <w:w w:val="128"/>
          <w:sz w:val="16"/>
        </w:rPr>
        <w:t>, </w:t>
      </w:r>
      <w:r>
        <w:rPr>
          <w:color w:val="231F20"/>
          <w:w w:val="110"/>
          <w:sz w:val="16"/>
        </w:rPr>
        <w:t>2003). Este indicador es utilizado por el Consejo Nacional de Población, ya que permite dar cuenta del fenómeno estructural que surge de la dificultad para propagar el progreso técnico en el </w:t>
      </w:r>
      <w:r>
        <w:rPr>
          <w:color w:val="231F20"/>
          <w:spacing w:val="3"/>
          <w:w w:val="110"/>
          <w:sz w:val="16"/>
        </w:rPr>
        <w:t>conjunto </w:t>
      </w:r>
      <w:r>
        <w:rPr>
          <w:color w:val="231F20"/>
          <w:w w:val="110"/>
          <w:sz w:val="16"/>
        </w:rPr>
        <w:t>de </w:t>
      </w:r>
      <w:r>
        <w:rPr>
          <w:color w:val="231F20"/>
          <w:spacing w:val="2"/>
          <w:w w:val="110"/>
          <w:sz w:val="16"/>
        </w:rPr>
        <w:t>los </w:t>
      </w:r>
      <w:r>
        <w:rPr>
          <w:color w:val="231F20"/>
          <w:spacing w:val="3"/>
          <w:w w:val="110"/>
          <w:sz w:val="16"/>
        </w:rPr>
        <w:t>sectores productivos, </w:t>
      </w:r>
      <w:r>
        <w:rPr>
          <w:color w:val="231F20"/>
          <w:w w:val="110"/>
          <w:sz w:val="16"/>
        </w:rPr>
        <w:t>y </w:t>
      </w:r>
      <w:r>
        <w:rPr>
          <w:color w:val="231F20"/>
          <w:spacing w:val="3"/>
          <w:w w:val="110"/>
          <w:sz w:val="16"/>
        </w:rPr>
        <w:t>socialmente </w:t>
      </w:r>
      <w:r>
        <w:rPr>
          <w:color w:val="231F20"/>
          <w:w w:val="110"/>
          <w:sz w:val="16"/>
        </w:rPr>
        <w:t>se </w:t>
      </w:r>
      <w:r>
        <w:rPr>
          <w:color w:val="231F20"/>
          <w:spacing w:val="3"/>
          <w:w w:val="110"/>
          <w:sz w:val="16"/>
        </w:rPr>
        <w:t>expresa como persistente </w:t>
      </w:r>
      <w:r>
        <w:rPr>
          <w:color w:val="231F20"/>
          <w:w w:val="110"/>
          <w:sz w:val="16"/>
        </w:rPr>
        <w:t>desigualdad</w:t>
      </w:r>
      <w:r>
        <w:rPr>
          <w:color w:val="231F20"/>
          <w:spacing w:val="-11"/>
          <w:w w:val="110"/>
          <w:sz w:val="16"/>
        </w:rPr>
        <w:t> </w:t>
      </w:r>
      <w:r>
        <w:rPr>
          <w:color w:val="231F20"/>
          <w:w w:val="110"/>
          <w:sz w:val="16"/>
        </w:rPr>
        <w:t>en</w:t>
      </w:r>
      <w:r>
        <w:rPr>
          <w:color w:val="231F20"/>
          <w:spacing w:val="-11"/>
          <w:w w:val="110"/>
          <w:sz w:val="16"/>
        </w:rPr>
        <w:t> </w:t>
      </w:r>
      <w:r>
        <w:rPr>
          <w:color w:val="231F20"/>
          <w:w w:val="110"/>
          <w:sz w:val="16"/>
        </w:rPr>
        <w:t>la</w:t>
      </w:r>
      <w:r>
        <w:rPr>
          <w:color w:val="231F20"/>
          <w:spacing w:val="-11"/>
          <w:w w:val="110"/>
          <w:sz w:val="16"/>
        </w:rPr>
        <w:t> </w:t>
      </w:r>
      <w:r>
        <w:rPr>
          <w:color w:val="231F20"/>
          <w:w w:val="110"/>
          <w:sz w:val="16"/>
        </w:rPr>
        <w:t>participación</w:t>
      </w:r>
      <w:r>
        <w:rPr>
          <w:color w:val="231F20"/>
          <w:spacing w:val="-11"/>
          <w:w w:val="110"/>
          <w:sz w:val="16"/>
        </w:rPr>
        <w:t> </w:t>
      </w:r>
      <w:r>
        <w:rPr>
          <w:color w:val="231F20"/>
          <w:w w:val="110"/>
          <w:sz w:val="16"/>
        </w:rPr>
        <w:t>de</w:t>
      </w:r>
      <w:r>
        <w:rPr>
          <w:color w:val="231F20"/>
          <w:spacing w:val="-11"/>
          <w:w w:val="110"/>
          <w:sz w:val="16"/>
        </w:rPr>
        <w:t> </w:t>
      </w:r>
      <w:r>
        <w:rPr>
          <w:color w:val="231F20"/>
          <w:w w:val="110"/>
          <w:sz w:val="16"/>
        </w:rPr>
        <w:t>los</w:t>
      </w:r>
      <w:r>
        <w:rPr>
          <w:color w:val="231F20"/>
          <w:spacing w:val="-11"/>
          <w:w w:val="110"/>
          <w:sz w:val="16"/>
        </w:rPr>
        <w:t> </w:t>
      </w:r>
      <w:r>
        <w:rPr>
          <w:color w:val="231F20"/>
          <w:w w:val="110"/>
          <w:sz w:val="16"/>
        </w:rPr>
        <w:t>ciudadanos</w:t>
      </w:r>
      <w:r>
        <w:rPr>
          <w:color w:val="231F20"/>
          <w:spacing w:val="-11"/>
          <w:w w:val="110"/>
          <w:sz w:val="16"/>
        </w:rPr>
        <w:t> </w:t>
      </w:r>
      <w:r>
        <w:rPr>
          <w:color w:val="231F20"/>
          <w:w w:val="110"/>
          <w:sz w:val="16"/>
        </w:rPr>
        <w:t>y</w:t>
      </w:r>
      <w:r>
        <w:rPr>
          <w:color w:val="231F20"/>
          <w:spacing w:val="-11"/>
          <w:w w:val="110"/>
          <w:sz w:val="16"/>
        </w:rPr>
        <w:t> </w:t>
      </w:r>
      <w:r>
        <w:rPr>
          <w:color w:val="231F20"/>
          <w:w w:val="110"/>
          <w:sz w:val="16"/>
        </w:rPr>
        <w:t>grupos</w:t>
      </w:r>
      <w:r>
        <w:rPr>
          <w:color w:val="231F20"/>
          <w:spacing w:val="-11"/>
          <w:w w:val="110"/>
          <w:sz w:val="16"/>
        </w:rPr>
        <w:t> </w:t>
      </w:r>
      <w:r>
        <w:rPr>
          <w:color w:val="231F20"/>
          <w:w w:val="110"/>
          <w:sz w:val="16"/>
        </w:rPr>
        <w:t>sociales</w:t>
      </w:r>
      <w:r>
        <w:rPr>
          <w:color w:val="231F20"/>
          <w:spacing w:val="-11"/>
          <w:w w:val="110"/>
          <w:sz w:val="16"/>
        </w:rPr>
        <w:t> </w:t>
      </w:r>
      <w:r>
        <w:rPr>
          <w:color w:val="231F20"/>
          <w:w w:val="110"/>
          <w:sz w:val="16"/>
        </w:rPr>
        <w:t>en</w:t>
      </w:r>
      <w:r>
        <w:rPr>
          <w:color w:val="231F20"/>
          <w:spacing w:val="-11"/>
          <w:w w:val="110"/>
          <w:sz w:val="16"/>
        </w:rPr>
        <w:t> </w:t>
      </w:r>
      <w:r>
        <w:rPr>
          <w:color w:val="231F20"/>
          <w:w w:val="110"/>
          <w:sz w:val="16"/>
        </w:rPr>
        <w:t>el</w:t>
      </w:r>
      <w:r>
        <w:rPr>
          <w:color w:val="231F20"/>
          <w:spacing w:val="-11"/>
          <w:w w:val="110"/>
          <w:sz w:val="16"/>
        </w:rPr>
        <w:t> </w:t>
      </w:r>
      <w:r>
        <w:rPr>
          <w:color w:val="231F20"/>
          <w:w w:val="110"/>
          <w:sz w:val="16"/>
        </w:rPr>
        <w:t>proceso</w:t>
      </w:r>
      <w:r>
        <w:rPr>
          <w:color w:val="231F20"/>
          <w:spacing w:val="-11"/>
          <w:w w:val="110"/>
          <w:sz w:val="16"/>
        </w:rPr>
        <w:t> </w:t>
      </w:r>
      <w:r>
        <w:rPr>
          <w:color w:val="231F20"/>
          <w:w w:val="110"/>
          <w:sz w:val="16"/>
        </w:rPr>
        <w:t>de</w:t>
      </w:r>
      <w:r>
        <w:rPr>
          <w:color w:val="231F20"/>
          <w:spacing w:val="-11"/>
          <w:w w:val="110"/>
          <w:sz w:val="16"/>
        </w:rPr>
        <w:t> </w:t>
      </w:r>
      <w:r>
        <w:rPr>
          <w:color w:val="231F20"/>
          <w:w w:val="110"/>
          <w:sz w:val="16"/>
        </w:rPr>
        <w:t>desarrollo y en el disfrute de los beneficios del desarrollo (Conapo, 1998: 17). Metodológicamente, el </w:t>
      </w:r>
      <w:r>
        <w:rPr>
          <w:color w:val="231F20"/>
          <w:spacing w:val="2"/>
          <w:w w:val="110"/>
          <w:sz w:val="16"/>
        </w:rPr>
        <w:t>índice </w:t>
      </w:r>
      <w:r>
        <w:rPr>
          <w:color w:val="231F20"/>
          <w:w w:val="110"/>
          <w:sz w:val="16"/>
        </w:rPr>
        <w:t>de </w:t>
      </w:r>
      <w:r>
        <w:rPr>
          <w:color w:val="231F20"/>
          <w:spacing w:val="2"/>
          <w:w w:val="110"/>
          <w:sz w:val="16"/>
        </w:rPr>
        <w:t>marginación considera cuatro dimensiones estructurales educación, vivienda, </w:t>
      </w:r>
      <w:r>
        <w:rPr>
          <w:color w:val="231F20"/>
          <w:w w:val="110"/>
          <w:sz w:val="16"/>
        </w:rPr>
        <w:t>ingreso y distribución de la población; asimismo, identifica nueve formas de exclusión y</w:t>
      </w:r>
      <w:r>
        <w:rPr>
          <w:color w:val="231F20"/>
          <w:spacing w:val="-24"/>
          <w:w w:val="110"/>
          <w:sz w:val="16"/>
        </w:rPr>
        <w:t> </w:t>
      </w:r>
      <w:r>
        <w:rPr>
          <w:color w:val="231F20"/>
          <w:w w:val="110"/>
          <w:sz w:val="16"/>
        </w:rPr>
        <w:t>mide su</w:t>
      </w:r>
      <w:r>
        <w:rPr>
          <w:color w:val="231F20"/>
          <w:spacing w:val="-6"/>
          <w:w w:val="110"/>
          <w:sz w:val="16"/>
        </w:rPr>
        <w:t> </w:t>
      </w:r>
      <w:r>
        <w:rPr>
          <w:color w:val="231F20"/>
          <w:w w:val="110"/>
          <w:sz w:val="16"/>
        </w:rPr>
        <w:t>intensidad</w:t>
      </w:r>
      <w:r>
        <w:rPr>
          <w:color w:val="231F20"/>
          <w:spacing w:val="-6"/>
          <w:w w:val="110"/>
          <w:sz w:val="16"/>
        </w:rPr>
        <w:t> </w:t>
      </w:r>
      <w:r>
        <w:rPr>
          <w:color w:val="231F20"/>
          <w:w w:val="110"/>
          <w:sz w:val="16"/>
        </w:rPr>
        <w:t>espacial</w:t>
      </w:r>
      <w:r>
        <w:rPr>
          <w:color w:val="231F20"/>
          <w:spacing w:val="-6"/>
          <w:w w:val="110"/>
          <w:sz w:val="16"/>
        </w:rPr>
        <w:t> </w:t>
      </w:r>
      <w:r>
        <w:rPr>
          <w:color w:val="231F20"/>
          <w:w w:val="110"/>
          <w:sz w:val="16"/>
        </w:rPr>
        <w:t>como</w:t>
      </w:r>
      <w:r>
        <w:rPr>
          <w:color w:val="231F20"/>
          <w:spacing w:val="-6"/>
          <w:w w:val="110"/>
          <w:sz w:val="16"/>
        </w:rPr>
        <w:t> </w:t>
      </w:r>
      <w:r>
        <w:rPr>
          <w:color w:val="231F20"/>
          <w:w w:val="110"/>
          <w:sz w:val="16"/>
        </w:rPr>
        <w:t>porcentaje</w:t>
      </w:r>
      <w:r>
        <w:rPr>
          <w:color w:val="231F20"/>
          <w:spacing w:val="-6"/>
          <w:w w:val="110"/>
          <w:sz w:val="16"/>
        </w:rPr>
        <w:t> </w:t>
      </w:r>
      <w:r>
        <w:rPr>
          <w:color w:val="231F20"/>
          <w:w w:val="110"/>
          <w:sz w:val="16"/>
        </w:rPr>
        <w:t>de</w:t>
      </w:r>
      <w:r>
        <w:rPr>
          <w:color w:val="231F20"/>
          <w:spacing w:val="-6"/>
          <w:w w:val="110"/>
          <w:sz w:val="16"/>
        </w:rPr>
        <w:t> </w:t>
      </w:r>
      <w:r>
        <w:rPr>
          <w:color w:val="231F20"/>
          <w:w w:val="110"/>
          <w:sz w:val="16"/>
        </w:rPr>
        <w:t>la</w:t>
      </w:r>
      <w:r>
        <w:rPr>
          <w:color w:val="231F20"/>
          <w:spacing w:val="-6"/>
          <w:w w:val="110"/>
          <w:sz w:val="16"/>
        </w:rPr>
        <w:t> </w:t>
      </w:r>
      <w:r>
        <w:rPr>
          <w:color w:val="231F20"/>
          <w:w w:val="110"/>
          <w:sz w:val="16"/>
        </w:rPr>
        <w:t>población</w:t>
      </w:r>
      <w:r>
        <w:rPr>
          <w:color w:val="231F20"/>
          <w:spacing w:val="-6"/>
          <w:w w:val="110"/>
          <w:sz w:val="16"/>
        </w:rPr>
        <w:t> </w:t>
      </w:r>
      <w:r>
        <w:rPr>
          <w:color w:val="231F20"/>
          <w:w w:val="110"/>
          <w:sz w:val="16"/>
        </w:rPr>
        <w:t>que</w:t>
      </w:r>
      <w:r>
        <w:rPr>
          <w:color w:val="231F20"/>
          <w:spacing w:val="-6"/>
          <w:w w:val="110"/>
          <w:sz w:val="16"/>
        </w:rPr>
        <w:t> </w:t>
      </w:r>
      <w:r>
        <w:rPr>
          <w:color w:val="231F20"/>
          <w:w w:val="110"/>
          <w:sz w:val="16"/>
        </w:rPr>
        <w:t>no</w:t>
      </w:r>
      <w:r>
        <w:rPr>
          <w:color w:val="231F20"/>
          <w:spacing w:val="-6"/>
          <w:w w:val="110"/>
          <w:sz w:val="16"/>
        </w:rPr>
        <w:t> </w:t>
      </w:r>
      <w:r>
        <w:rPr>
          <w:color w:val="231F20"/>
          <w:w w:val="110"/>
          <w:sz w:val="16"/>
        </w:rPr>
        <w:t>participa</w:t>
      </w:r>
      <w:r>
        <w:rPr>
          <w:color w:val="231F20"/>
          <w:spacing w:val="-6"/>
          <w:w w:val="110"/>
          <w:sz w:val="16"/>
        </w:rPr>
        <w:t> </w:t>
      </w:r>
      <w:r>
        <w:rPr>
          <w:color w:val="231F20"/>
          <w:w w:val="110"/>
          <w:sz w:val="16"/>
        </w:rPr>
        <w:t>del</w:t>
      </w:r>
      <w:r>
        <w:rPr>
          <w:color w:val="231F20"/>
          <w:spacing w:val="-6"/>
          <w:w w:val="110"/>
          <w:sz w:val="16"/>
        </w:rPr>
        <w:t> </w:t>
      </w:r>
      <w:r>
        <w:rPr>
          <w:color w:val="231F20"/>
          <w:w w:val="110"/>
          <w:sz w:val="16"/>
        </w:rPr>
        <w:t>disfrute</w:t>
      </w:r>
      <w:r>
        <w:rPr>
          <w:color w:val="231F20"/>
          <w:spacing w:val="-6"/>
          <w:w w:val="110"/>
          <w:sz w:val="16"/>
        </w:rPr>
        <w:t> </w:t>
      </w:r>
      <w:r>
        <w:rPr>
          <w:color w:val="231F20"/>
          <w:w w:val="110"/>
          <w:sz w:val="16"/>
        </w:rPr>
        <w:t>de</w:t>
      </w:r>
      <w:r>
        <w:rPr>
          <w:color w:val="231F20"/>
          <w:spacing w:val="-6"/>
          <w:w w:val="110"/>
          <w:sz w:val="16"/>
        </w:rPr>
        <w:t> </w:t>
      </w:r>
      <w:r>
        <w:rPr>
          <w:color w:val="231F20"/>
          <w:w w:val="110"/>
          <w:sz w:val="16"/>
        </w:rPr>
        <w:t>bienes y servicios esenciales para el desarrollo de sus capacidades básicas. El cálculo del índice se realiza</w:t>
      </w:r>
      <w:r>
        <w:rPr>
          <w:color w:val="231F20"/>
          <w:spacing w:val="-5"/>
          <w:w w:val="110"/>
          <w:sz w:val="16"/>
        </w:rPr>
        <w:t> </w:t>
      </w:r>
      <w:r>
        <w:rPr>
          <w:color w:val="231F20"/>
          <w:w w:val="110"/>
          <w:sz w:val="16"/>
        </w:rPr>
        <w:t>con</w:t>
      </w:r>
      <w:r>
        <w:rPr>
          <w:color w:val="231F20"/>
          <w:spacing w:val="-5"/>
          <w:w w:val="110"/>
          <w:sz w:val="16"/>
        </w:rPr>
        <w:t> </w:t>
      </w:r>
      <w:r>
        <w:rPr>
          <w:color w:val="231F20"/>
          <w:w w:val="110"/>
          <w:sz w:val="16"/>
        </w:rPr>
        <w:t>el</w:t>
      </w:r>
      <w:r>
        <w:rPr>
          <w:color w:val="231F20"/>
          <w:spacing w:val="-5"/>
          <w:w w:val="110"/>
          <w:sz w:val="16"/>
        </w:rPr>
        <w:t> </w:t>
      </w:r>
      <w:r>
        <w:rPr>
          <w:color w:val="231F20"/>
          <w:w w:val="110"/>
          <w:sz w:val="16"/>
        </w:rPr>
        <w:t>método</w:t>
      </w:r>
      <w:r>
        <w:rPr>
          <w:color w:val="231F20"/>
          <w:spacing w:val="-5"/>
          <w:w w:val="110"/>
          <w:sz w:val="16"/>
        </w:rPr>
        <w:t> </w:t>
      </w:r>
      <w:r>
        <w:rPr>
          <w:color w:val="231F20"/>
          <w:w w:val="110"/>
          <w:sz w:val="16"/>
        </w:rPr>
        <w:t>de</w:t>
      </w:r>
      <w:r>
        <w:rPr>
          <w:color w:val="231F20"/>
          <w:spacing w:val="-5"/>
          <w:w w:val="110"/>
          <w:sz w:val="16"/>
        </w:rPr>
        <w:t> </w:t>
      </w:r>
      <w:r>
        <w:rPr>
          <w:color w:val="231F20"/>
          <w:w w:val="110"/>
          <w:sz w:val="16"/>
        </w:rPr>
        <w:t>componentes</w:t>
      </w:r>
      <w:r>
        <w:rPr>
          <w:color w:val="231F20"/>
          <w:spacing w:val="-5"/>
          <w:w w:val="110"/>
          <w:sz w:val="16"/>
        </w:rPr>
        <w:t> </w:t>
      </w:r>
      <w:r>
        <w:rPr>
          <w:color w:val="231F20"/>
          <w:w w:val="110"/>
          <w:sz w:val="16"/>
        </w:rPr>
        <w:t>principales,</w:t>
      </w:r>
      <w:r>
        <w:rPr>
          <w:color w:val="231F20"/>
          <w:spacing w:val="-5"/>
          <w:w w:val="110"/>
          <w:sz w:val="16"/>
        </w:rPr>
        <w:t> </w:t>
      </w:r>
      <w:r>
        <w:rPr>
          <w:color w:val="231F20"/>
          <w:w w:val="110"/>
          <w:sz w:val="16"/>
        </w:rPr>
        <w:t>el</w:t>
      </w:r>
      <w:r>
        <w:rPr>
          <w:color w:val="231F20"/>
          <w:spacing w:val="-5"/>
          <w:w w:val="110"/>
          <w:sz w:val="16"/>
        </w:rPr>
        <w:t> </w:t>
      </w:r>
      <w:r>
        <w:rPr>
          <w:color w:val="231F20"/>
          <w:w w:val="110"/>
          <w:sz w:val="16"/>
        </w:rPr>
        <w:t>cual</w:t>
      </w:r>
      <w:r>
        <w:rPr>
          <w:color w:val="231F20"/>
          <w:spacing w:val="-5"/>
          <w:w w:val="110"/>
          <w:sz w:val="16"/>
        </w:rPr>
        <w:t> </w:t>
      </w:r>
      <w:r>
        <w:rPr>
          <w:color w:val="231F20"/>
          <w:w w:val="110"/>
          <w:sz w:val="16"/>
        </w:rPr>
        <w:t>permite</w:t>
      </w:r>
      <w:r>
        <w:rPr>
          <w:color w:val="231F20"/>
          <w:spacing w:val="-5"/>
          <w:w w:val="110"/>
          <w:sz w:val="16"/>
        </w:rPr>
        <w:t> </w:t>
      </w:r>
      <w:r>
        <w:rPr>
          <w:color w:val="231F20"/>
          <w:w w:val="110"/>
          <w:sz w:val="16"/>
        </w:rPr>
        <w:t>reducir</w:t>
      </w:r>
      <w:r>
        <w:rPr>
          <w:color w:val="231F20"/>
          <w:spacing w:val="-5"/>
          <w:w w:val="110"/>
          <w:sz w:val="16"/>
        </w:rPr>
        <w:t> </w:t>
      </w:r>
      <w:r>
        <w:rPr>
          <w:color w:val="231F20"/>
          <w:w w:val="110"/>
          <w:sz w:val="16"/>
        </w:rPr>
        <w:t>la</w:t>
      </w:r>
      <w:r>
        <w:rPr>
          <w:color w:val="231F20"/>
          <w:spacing w:val="-5"/>
          <w:w w:val="110"/>
          <w:sz w:val="16"/>
        </w:rPr>
        <w:t> </w:t>
      </w:r>
      <w:r>
        <w:rPr>
          <w:color w:val="231F20"/>
          <w:w w:val="110"/>
          <w:sz w:val="16"/>
        </w:rPr>
        <w:t>dimensionalidad</w:t>
      </w:r>
    </w:p>
    <w:p>
      <w:pPr>
        <w:spacing w:after="0" w:line="256" w:lineRule="auto"/>
        <w:jc w:val="both"/>
        <w:rPr>
          <w:sz w:val="16"/>
        </w:rPr>
        <w:sectPr>
          <w:footerReference w:type="even" r:id="rId177"/>
          <w:footerReference w:type="default" r:id="rId178"/>
          <w:pgSz w:w="9520" w:h="12920"/>
          <w:pgMar w:footer="1344" w:header="0" w:top="880" w:bottom="1540" w:left="1000" w:right="1320"/>
        </w:sectPr>
      </w:pPr>
    </w:p>
    <w:p>
      <w:pPr>
        <w:pStyle w:val="BodyText"/>
        <w:spacing w:line="288" w:lineRule="auto" w:before="42"/>
        <w:ind w:left="124" w:right="113"/>
        <w:jc w:val="both"/>
      </w:pPr>
      <w:r>
        <w:rPr>
          <w:color w:val="231F20"/>
          <w:w w:val="110"/>
        </w:rPr>
        <w:t>hacer comparaciones entre unidades territoriales, a través del análisis de las variables que lo integran (alfabetismo, educación, vivienda, servicios y condiciones de la vivienda, hacinamiento, ingreso monetario y dispersión de la población). Asimismo permite captar las desigualdades territoriales que surgen de los patrones de poblamiento y de sus condiciones económi- cas y sociales.</w:t>
      </w:r>
    </w:p>
    <w:p>
      <w:pPr>
        <w:pStyle w:val="BodyText"/>
        <w:spacing w:line="288" w:lineRule="auto"/>
        <w:ind w:left="124" w:right="113" w:firstLine="360"/>
        <w:jc w:val="both"/>
      </w:pPr>
      <w:r>
        <w:rPr>
          <w:color w:val="231F20"/>
          <w:w w:val="110"/>
        </w:rPr>
        <w:t>El cálculo de los indicadores utilizados para el análisis metropolitano</w:t>
      </w:r>
      <w:r>
        <w:rPr>
          <w:color w:val="231F20"/>
          <w:spacing w:val="-27"/>
          <w:w w:val="110"/>
        </w:rPr>
        <w:t> </w:t>
      </w:r>
      <w:r>
        <w:rPr>
          <w:color w:val="231F20"/>
          <w:w w:val="110"/>
        </w:rPr>
        <w:t>y cartográfico, en relación con la distribución territorial de aspectos asocia- dos a la desigualdad socioeconómica se realizó de la siguiente </w:t>
      </w:r>
      <w:r>
        <w:rPr>
          <w:color w:val="231F20"/>
          <w:spacing w:val="42"/>
          <w:w w:val="110"/>
        </w:rPr>
        <w:t> </w:t>
      </w:r>
      <w:r>
        <w:rPr>
          <w:color w:val="231F20"/>
          <w:w w:val="110"/>
        </w:rPr>
        <w:t>manera:</w:t>
      </w:r>
    </w:p>
    <w:p>
      <w:pPr>
        <w:pStyle w:val="BodyText"/>
        <w:spacing w:line="288" w:lineRule="auto"/>
        <w:ind w:left="124" w:right="111" w:firstLine="360"/>
        <w:jc w:val="both"/>
      </w:pPr>
      <w:r>
        <w:rPr>
          <w:color w:val="231F20"/>
          <w:w w:val="110"/>
        </w:rPr>
        <w:t>Los datos obtenidos de las variables que integran el índice de</w:t>
      </w:r>
      <w:r>
        <w:rPr>
          <w:color w:val="231F20"/>
          <w:spacing w:val="-34"/>
          <w:w w:val="110"/>
        </w:rPr>
        <w:t> </w:t>
      </w:r>
      <w:r>
        <w:rPr>
          <w:color w:val="231F20"/>
          <w:w w:val="110"/>
        </w:rPr>
        <w:t>margina- ción, se sistematizaron y homogenizaron, asignando nombre y claves a las variables y se dio formato de número para evitar problemas al correr la información en el paquete estadístico utilizado (en este caso el </w:t>
      </w:r>
      <w:r>
        <w:rPr>
          <w:rFonts w:ascii="Times New Roman" w:hAnsi="Times New Roman"/>
          <w:color w:val="231F20"/>
          <w:w w:val="110"/>
          <w:sz w:val="16"/>
        </w:rPr>
        <w:t>SPSS</w:t>
      </w:r>
      <w:r>
        <w:rPr>
          <w:color w:val="231F20"/>
          <w:w w:val="110"/>
        </w:rPr>
        <w:t>, por sus siglas en</w:t>
      </w:r>
      <w:r>
        <w:rPr>
          <w:color w:val="231F20"/>
          <w:spacing w:val="44"/>
          <w:w w:val="110"/>
        </w:rPr>
        <w:t> </w:t>
      </w:r>
      <w:r>
        <w:rPr>
          <w:color w:val="231F20"/>
          <w:w w:val="110"/>
        </w:rPr>
        <w:t>inglés).</w:t>
      </w:r>
    </w:p>
    <w:p>
      <w:pPr>
        <w:pStyle w:val="BodyText"/>
      </w:pPr>
    </w:p>
    <w:p>
      <w:pPr>
        <w:pStyle w:val="BodyText"/>
        <w:spacing w:before="10"/>
        <w:rPr>
          <w:sz w:val="24"/>
        </w:rPr>
      </w:pPr>
    </w:p>
    <w:p>
      <w:pPr>
        <w:spacing w:before="0"/>
        <w:ind w:left="124" w:right="0" w:firstLine="0"/>
        <w:jc w:val="both"/>
        <w:rPr>
          <w:rFonts w:ascii="Times New Roman"/>
          <w:i/>
          <w:sz w:val="19"/>
        </w:rPr>
      </w:pPr>
      <w:r>
        <w:rPr>
          <w:rFonts w:ascii="Times New Roman"/>
          <w:i/>
          <w:color w:val="231F20"/>
          <w:w w:val="95"/>
          <w:sz w:val="24"/>
        </w:rPr>
        <w:t>R</w:t>
      </w:r>
      <w:r>
        <w:rPr>
          <w:rFonts w:ascii="Times New Roman"/>
          <w:i/>
          <w:color w:val="231F20"/>
          <w:w w:val="95"/>
          <w:sz w:val="19"/>
        </w:rPr>
        <w:t>ESULTADOS</w:t>
      </w:r>
      <w:r>
        <w:rPr>
          <w:rFonts w:ascii="Times New Roman"/>
          <w:i/>
          <w:color w:val="231F20"/>
          <w:w w:val="95"/>
          <w:sz w:val="24"/>
        </w:rPr>
        <w:t>. E</w:t>
      </w:r>
      <w:r>
        <w:rPr>
          <w:rFonts w:ascii="Times New Roman"/>
          <w:i/>
          <w:color w:val="231F20"/>
          <w:w w:val="95"/>
          <w:sz w:val="19"/>
        </w:rPr>
        <w:t>L ENVEJECIMIENTO EN LAS CINCO</w:t>
      </w:r>
    </w:p>
    <w:p>
      <w:pPr>
        <w:spacing w:before="6"/>
        <w:ind w:left="124" w:right="0" w:firstLine="0"/>
        <w:jc w:val="both"/>
        <w:rPr>
          <w:rFonts w:ascii="Times New Roman" w:hAnsi="Times New Roman"/>
          <w:i/>
          <w:sz w:val="19"/>
        </w:rPr>
      </w:pPr>
      <w:r>
        <w:rPr>
          <w:rFonts w:ascii="Times New Roman" w:hAnsi="Times New Roman"/>
          <w:i/>
          <w:color w:val="231F20"/>
          <w:sz w:val="24"/>
        </w:rPr>
        <w:t>Z</w:t>
      </w:r>
      <w:r>
        <w:rPr>
          <w:rFonts w:ascii="Times New Roman" w:hAnsi="Times New Roman"/>
          <w:i/>
          <w:color w:val="231F20"/>
          <w:sz w:val="19"/>
        </w:rPr>
        <w:t>ONAS </w:t>
      </w:r>
      <w:r>
        <w:rPr>
          <w:rFonts w:ascii="Times New Roman" w:hAnsi="Times New Roman"/>
          <w:i/>
          <w:color w:val="231F20"/>
          <w:sz w:val="24"/>
        </w:rPr>
        <w:t>M</w:t>
      </w:r>
      <w:r>
        <w:rPr>
          <w:rFonts w:ascii="Times New Roman" w:hAnsi="Times New Roman"/>
          <w:i/>
          <w:color w:val="231F20"/>
          <w:sz w:val="19"/>
        </w:rPr>
        <w:t>ETROPOLITANAS MÁS GRANDES DE </w:t>
      </w:r>
      <w:r>
        <w:rPr>
          <w:rFonts w:ascii="Times New Roman" w:hAnsi="Times New Roman"/>
          <w:i/>
          <w:color w:val="231F20"/>
          <w:sz w:val="24"/>
        </w:rPr>
        <w:t>M</w:t>
      </w:r>
      <w:r>
        <w:rPr>
          <w:rFonts w:ascii="Times New Roman" w:hAnsi="Times New Roman"/>
          <w:i/>
          <w:color w:val="231F20"/>
          <w:sz w:val="19"/>
        </w:rPr>
        <w:t>ÉXICO</w:t>
      </w:r>
    </w:p>
    <w:p>
      <w:pPr>
        <w:pStyle w:val="BodyText"/>
        <w:spacing w:before="9"/>
        <w:rPr>
          <w:rFonts w:ascii="Times New Roman"/>
          <w:i/>
          <w:sz w:val="27"/>
        </w:rPr>
      </w:pPr>
    </w:p>
    <w:p>
      <w:pPr>
        <w:pStyle w:val="BodyText"/>
        <w:spacing w:line="288" w:lineRule="auto"/>
        <w:ind w:left="124" w:right="110"/>
        <w:jc w:val="both"/>
      </w:pPr>
      <w:r>
        <w:rPr>
          <w:color w:val="231F20"/>
          <w:w w:val="110"/>
        </w:rPr>
        <w:t>Medir el envejecimiento de la población es una tarea compleja, más aún cuando se trata de comparar países o regiones, o como en nuestro caso,  de comparar las zonas metropolitanas, con las peculiaridades que cada una</w:t>
      </w:r>
      <w:r>
        <w:rPr>
          <w:color w:val="231F20"/>
          <w:spacing w:val="-13"/>
          <w:w w:val="110"/>
        </w:rPr>
        <w:t> </w:t>
      </w:r>
      <w:r>
        <w:rPr>
          <w:color w:val="231F20"/>
          <w:w w:val="110"/>
        </w:rPr>
        <w:t>de</w:t>
      </w:r>
      <w:r>
        <w:rPr>
          <w:color w:val="231F20"/>
          <w:spacing w:val="-13"/>
          <w:w w:val="110"/>
        </w:rPr>
        <w:t> </w:t>
      </w:r>
      <w:r>
        <w:rPr>
          <w:color w:val="231F20"/>
          <w:w w:val="110"/>
        </w:rPr>
        <w:t>ellas</w:t>
      </w:r>
      <w:r>
        <w:rPr>
          <w:color w:val="231F20"/>
          <w:spacing w:val="-13"/>
          <w:w w:val="110"/>
        </w:rPr>
        <w:t> </w:t>
      </w:r>
      <w:r>
        <w:rPr>
          <w:color w:val="231F20"/>
          <w:w w:val="110"/>
        </w:rPr>
        <w:t>implica</w:t>
      </w:r>
      <w:r>
        <w:rPr>
          <w:color w:val="231F20"/>
          <w:spacing w:val="-13"/>
          <w:w w:val="110"/>
        </w:rPr>
        <w:t> </w:t>
      </w:r>
      <w:r>
        <w:rPr>
          <w:color w:val="231F20"/>
          <w:w w:val="110"/>
        </w:rPr>
        <w:t>en</w:t>
      </w:r>
      <w:r>
        <w:rPr>
          <w:color w:val="231F20"/>
          <w:spacing w:val="-13"/>
          <w:w w:val="110"/>
        </w:rPr>
        <w:t> </w:t>
      </w:r>
      <w:r>
        <w:rPr>
          <w:color w:val="231F20"/>
          <w:w w:val="110"/>
        </w:rPr>
        <w:t>cuanto</w:t>
      </w:r>
      <w:r>
        <w:rPr>
          <w:color w:val="231F20"/>
          <w:spacing w:val="-13"/>
          <w:w w:val="110"/>
        </w:rPr>
        <w:t> </w:t>
      </w:r>
      <w:r>
        <w:rPr>
          <w:color w:val="231F20"/>
          <w:w w:val="110"/>
        </w:rPr>
        <w:t>a</w:t>
      </w:r>
      <w:r>
        <w:rPr>
          <w:color w:val="231F20"/>
          <w:spacing w:val="-13"/>
          <w:w w:val="110"/>
        </w:rPr>
        <w:t> </w:t>
      </w:r>
      <w:r>
        <w:rPr>
          <w:color w:val="231F20"/>
          <w:w w:val="110"/>
        </w:rPr>
        <w:t>tamaño</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población,</w:t>
      </w:r>
      <w:r>
        <w:rPr>
          <w:color w:val="231F20"/>
          <w:spacing w:val="-13"/>
          <w:w w:val="110"/>
        </w:rPr>
        <w:t> </w:t>
      </w:r>
      <w:r>
        <w:rPr>
          <w:color w:val="231F20"/>
          <w:w w:val="110"/>
        </w:rPr>
        <w:t>tasa</w:t>
      </w:r>
      <w:r>
        <w:rPr>
          <w:color w:val="231F20"/>
          <w:spacing w:val="-13"/>
          <w:w w:val="110"/>
        </w:rPr>
        <w:t> </w:t>
      </w:r>
      <w:r>
        <w:rPr>
          <w:color w:val="231F20"/>
          <w:w w:val="110"/>
        </w:rPr>
        <w:t>de</w:t>
      </w:r>
      <w:r>
        <w:rPr>
          <w:color w:val="231F20"/>
          <w:spacing w:val="-13"/>
          <w:w w:val="110"/>
        </w:rPr>
        <w:t> </w:t>
      </w:r>
      <w:r>
        <w:rPr>
          <w:color w:val="231F20"/>
          <w:w w:val="110"/>
        </w:rPr>
        <w:t>crecimiento poblacional, tasa de envejecimiento, índice de envejecimiento, grados de marginación, entre otras; por lo que es necesario recurrir a indicadores analíticos,</w:t>
      </w:r>
      <w:r>
        <w:rPr>
          <w:color w:val="231F20"/>
          <w:spacing w:val="-6"/>
          <w:w w:val="110"/>
        </w:rPr>
        <w:t> </w:t>
      </w:r>
      <w:r>
        <w:rPr>
          <w:color w:val="231F20"/>
          <w:w w:val="110"/>
        </w:rPr>
        <w:t>descritos</w:t>
      </w:r>
      <w:r>
        <w:rPr>
          <w:color w:val="231F20"/>
          <w:spacing w:val="-6"/>
          <w:w w:val="110"/>
        </w:rPr>
        <w:t> </w:t>
      </w:r>
      <w:r>
        <w:rPr>
          <w:color w:val="231F20"/>
          <w:w w:val="110"/>
        </w:rPr>
        <w:t>por</w:t>
      </w:r>
      <w:r>
        <w:rPr>
          <w:color w:val="231F20"/>
          <w:spacing w:val="-6"/>
          <w:w w:val="110"/>
        </w:rPr>
        <w:t> </w:t>
      </w:r>
      <w:r>
        <w:rPr>
          <w:color w:val="231F20"/>
          <w:w w:val="110"/>
        </w:rPr>
        <w:t>autores</w:t>
      </w:r>
      <w:r>
        <w:rPr>
          <w:color w:val="231F20"/>
          <w:spacing w:val="-6"/>
          <w:w w:val="110"/>
        </w:rPr>
        <w:t> </w:t>
      </w:r>
      <w:r>
        <w:rPr>
          <w:color w:val="231F20"/>
          <w:w w:val="110"/>
        </w:rPr>
        <w:t>(Vinuesa,</w:t>
      </w:r>
      <w:r>
        <w:rPr>
          <w:color w:val="231F20"/>
          <w:spacing w:val="-6"/>
          <w:w w:val="110"/>
        </w:rPr>
        <w:t> </w:t>
      </w:r>
      <w:r>
        <w:rPr>
          <w:color w:val="231F20"/>
          <w:w w:val="110"/>
        </w:rPr>
        <w:t>1997,</w:t>
      </w:r>
      <w:r>
        <w:rPr>
          <w:color w:val="231F20"/>
          <w:spacing w:val="-6"/>
          <w:w w:val="110"/>
        </w:rPr>
        <w:t> </w:t>
      </w:r>
      <w:r>
        <w:rPr>
          <w:color w:val="231F20"/>
          <w:w w:val="110"/>
        </w:rPr>
        <w:t>2010</w:t>
      </w:r>
      <w:r>
        <w:rPr>
          <w:color w:val="231F20"/>
          <w:spacing w:val="-6"/>
          <w:w w:val="110"/>
        </w:rPr>
        <w:t> </w:t>
      </w:r>
      <w:r>
        <w:rPr>
          <w:color w:val="231F20"/>
          <w:w w:val="110"/>
        </w:rPr>
        <w:t>y</w:t>
      </w:r>
      <w:r>
        <w:rPr>
          <w:color w:val="231F20"/>
          <w:spacing w:val="-6"/>
          <w:w w:val="110"/>
        </w:rPr>
        <w:t> </w:t>
      </w:r>
      <w:r>
        <w:rPr>
          <w:color w:val="231F20"/>
          <w:w w:val="110"/>
        </w:rPr>
        <w:t>Ortiz,</w:t>
      </w:r>
      <w:r>
        <w:rPr>
          <w:color w:val="231F20"/>
          <w:spacing w:val="-6"/>
          <w:w w:val="110"/>
        </w:rPr>
        <w:t> </w:t>
      </w:r>
      <w:r>
        <w:rPr>
          <w:color w:val="231F20"/>
          <w:w w:val="110"/>
        </w:rPr>
        <w:t>2008).</w:t>
      </w:r>
    </w:p>
    <w:p>
      <w:pPr>
        <w:pStyle w:val="BodyText"/>
        <w:spacing w:line="290" w:lineRule="auto"/>
        <w:ind w:left="124" w:right="113" w:firstLine="360"/>
        <w:jc w:val="both"/>
      </w:pPr>
      <w:r>
        <w:rPr>
          <w:color w:val="231F20"/>
          <w:w w:val="110"/>
        </w:rPr>
        <w:t>Entre los índices analíticos que utilizamos están la tasa de envejeci- miento y el índice de envejecimiento que permiten una visión de la estruc- tura demográfica de las zonas metropolitanas analizadas. En este sentido, se puede hacer la pregunta: ¿qué tan vieja es la población de las zonas</w:t>
      </w:r>
    </w:p>
    <w:p>
      <w:pPr>
        <w:pStyle w:val="BodyText"/>
        <w:spacing w:before="3"/>
        <w:rPr>
          <w:sz w:val="11"/>
        </w:rPr>
      </w:pPr>
      <w:r>
        <w:rPr/>
        <w:pict>
          <v:line style="position:absolute;mso-position-horizontal-relative:page;mso-position-vertical-relative:paragraph;z-index:4504;mso-wrap-distance-left:0;mso-wrap-distance-right:0" from="72.220001pt,8.775455pt" to="108.220001pt,8.775455pt" stroked="true" strokeweight=".4pt" strokecolor="#231f20">
            <w10:wrap type="topAndBottom"/>
          </v:line>
        </w:pict>
      </w:r>
    </w:p>
    <w:p>
      <w:pPr>
        <w:spacing w:line="256" w:lineRule="auto" w:before="95"/>
        <w:ind w:left="124" w:right="112" w:firstLine="0"/>
        <w:jc w:val="both"/>
        <w:rPr>
          <w:sz w:val="16"/>
        </w:rPr>
      </w:pPr>
      <w:r>
        <w:rPr>
          <w:color w:val="231F20"/>
          <w:w w:val="110"/>
          <w:sz w:val="16"/>
        </w:rPr>
        <w:t>original y al mismo tiempo retener y reflejar al máximo posible la información referida a la dispersión</w:t>
      </w:r>
      <w:r>
        <w:rPr>
          <w:color w:val="231F20"/>
          <w:spacing w:val="-2"/>
          <w:w w:val="110"/>
          <w:sz w:val="16"/>
        </w:rPr>
        <w:t> </w:t>
      </w:r>
      <w:r>
        <w:rPr>
          <w:color w:val="231F20"/>
          <w:w w:val="110"/>
          <w:sz w:val="16"/>
        </w:rPr>
        <w:t>de</w:t>
      </w:r>
      <w:r>
        <w:rPr>
          <w:color w:val="231F20"/>
          <w:spacing w:val="-2"/>
          <w:w w:val="110"/>
          <w:sz w:val="16"/>
        </w:rPr>
        <w:t> </w:t>
      </w:r>
      <w:r>
        <w:rPr>
          <w:color w:val="231F20"/>
          <w:w w:val="110"/>
          <w:sz w:val="16"/>
        </w:rPr>
        <w:t>los</w:t>
      </w:r>
      <w:r>
        <w:rPr>
          <w:color w:val="231F20"/>
          <w:spacing w:val="-2"/>
          <w:w w:val="110"/>
          <w:sz w:val="16"/>
        </w:rPr>
        <w:t> </w:t>
      </w:r>
      <w:r>
        <w:rPr>
          <w:color w:val="231F20"/>
          <w:w w:val="110"/>
          <w:sz w:val="16"/>
        </w:rPr>
        <w:t>datos</w:t>
      </w:r>
      <w:r>
        <w:rPr>
          <w:color w:val="231F20"/>
          <w:spacing w:val="-2"/>
          <w:w w:val="110"/>
          <w:sz w:val="16"/>
        </w:rPr>
        <w:t> </w:t>
      </w:r>
      <w:r>
        <w:rPr>
          <w:color w:val="231F20"/>
          <w:w w:val="110"/>
          <w:sz w:val="16"/>
        </w:rPr>
        <w:t>en</w:t>
      </w:r>
      <w:r>
        <w:rPr>
          <w:color w:val="231F20"/>
          <w:spacing w:val="-2"/>
          <w:w w:val="110"/>
          <w:sz w:val="16"/>
        </w:rPr>
        <w:t> </w:t>
      </w:r>
      <w:r>
        <w:rPr>
          <w:color w:val="231F20"/>
          <w:w w:val="110"/>
          <w:sz w:val="16"/>
        </w:rPr>
        <w:t>cada</w:t>
      </w:r>
      <w:r>
        <w:rPr>
          <w:color w:val="231F20"/>
          <w:spacing w:val="-2"/>
          <w:w w:val="110"/>
          <w:sz w:val="16"/>
        </w:rPr>
        <w:t> </w:t>
      </w:r>
      <w:r>
        <w:rPr>
          <w:color w:val="231F20"/>
          <w:w w:val="110"/>
          <w:sz w:val="16"/>
        </w:rPr>
        <w:t>uno</w:t>
      </w:r>
      <w:r>
        <w:rPr>
          <w:color w:val="231F20"/>
          <w:spacing w:val="-2"/>
          <w:w w:val="110"/>
          <w:sz w:val="16"/>
        </w:rPr>
        <w:t> </w:t>
      </w:r>
      <w:r>
        <w:rPr>
          <w:color w:val="231F20"/>
          <w:w w:val="110"/>
          <w:sz w:val="16"/>
        </w:rPr>
        <w:t>de</w:t>
      </w:r>
      <w:r>
        <w:rPr>
          <w:color w:val="231F20"/>
          <w:spacing w:val="-2"/>
          <w:w w:val="110"/>
          <w:sz w:val="16"/>
        </w:rPr>
        <w:t> </w:t>
      </w:r>
      <w:r>
        <w:rPr>
          <w:color w:val="231F20"/>
          <w:w w:val="110"/>
          <w:sz w:val="16"/>
        </w:rPr>
        <w:t>los</w:t>
      </w:r>
      <w:r>
        <w:rPr>
          <w:color w:val="231F20"/>
          <w:spacing w:val="-2"/>
          <w:w w:val="110"/>
          <w:sz w:val="16"/>
        </w:rPr>
        <w:t> </w:t>
      </w:r>
      <w:r>
        <w:rPr>
          <w:color w:val="231F20"/>
          <w:w w:val="110"/>
          <w:sz w:val="16"/>
        </w:rPr>
        <w:t>nueve</w:t>
      </w:r>
      <w:r>
        <w:rPr>
          <w:color w:val="231F20"/>
          <w:spacing w:val="-2"/>
          <w:w w:val="110"/>
          <w:sz w:val="16"/>
        </w:rPr>
        <w:t> </w:t>
      </w:r>
      <w:r>
        <w:rPr>
          <w:color w:val="231F20"/>
          <w:w w:val="110"/>
          <w:sz w:val="16"/>
        </w:rPr>
        <w:t>indicadores,</w:t>
      </w:r>
      <w:r>
        <w:rPr>
          <w:color w:val="231F20"/>
          <w:spacing w:val="-2"/>
          <w:w w:val="110"/>
          <w:sz w:val="16"/>
        </w:rPr>
        <w:t> </w:t>
      </w:r>
      <w:r>
        <w:rPr>
          <w:color w:val="231F20"/>
          <w:w w:val="110"/>
          <w:sz w:val="16"/>
        </w:rPr>
        <w:t>así</w:t>
      </w:r>
      <w:r>
        <w:rPr>
          <w:color w:val="231F20"/>
          <w:spacing w:val="-2"/>
          <w:w w:val="110"/>
          <w:sz w:val="16"/>
        </w:rPr>
        <w:t> </w:t>
      </w:r>
      <w:r>
        <w:rPr>
          <w:color w:val="231F20"/>
          <w:w w:val="110"/>
          <w:sz w:val="16"/>
        </w:rPr>
        <w:t>como</w:t>
      </w:r>
      <w:r>
        <w:rPr>
          <w:color w:val="231F20"/>
          <w:spacing w:val="-2"/>
          <w:w w:val="110"/>
          <w:sz w:val="16"/>
        </w:rPr>
        <w:t> </w:t>
      </w:r>
      <w:r>
        <w:rPr>
          <w:color w:val="231F20"/>
          <w:w w:val="110"/>
          <w:sz w:val="16"/>
        </w:rPr>
        <w:t>la</w:t>
      </w:r>
      <w:r>
        <w:rPr>
          <w:color w:val="231F20"/>
          <w:spacing w:val="-2"/>
          <w:w w:val="110"/>
          <w:sz w:val="16"/>
        </w:rPr>
        <w:t> </w:t>
      </w:r>
      <w:r>
        <w:rPr>
          <w:color w:val="231F20"/>
          <w:w w:val="110"/>
          <w:sz w:val="16"/>
        </w:rPr>
        <w:t>relación</w:t>
      </w:r>
      <w:r>
        <w:rPr>
          <w:color w:val="231F20"/>
          <w:spacing w:val="-2"/>
          <w:w w:val="110"/>
          <w:sz w:val="16"/>
        </w:rPr>
        <w:t> </w:t>
      </w:r>
      <w:r>
        <w:rPr>
          <w:color w:val="231F20"/>
          <w:w w:val="110"/>
          <w:sz w:val="16"/>
        </w:rPr>
        <w:t>entre</w:t>
      </w:r>
      <w:r>
        <w:rPr>
          <w:color w:val="231F20"/>
          <w:spacing w:val="-2"/>
          <w:w w:val="110"/>
          <w:sz w:val="16"/>
        </w:rPr>
        <w:t> </w:t>
      </w:r>
      <w:r>
        <w:rPr>
          <w:color w:val="231F20"/>
          <w:w w:val="110"/>
          <w:sz w:val="16"/>
        </w:rPr>
        <w:t>ellos, </w:t>
      </w:r>
      <w:r>
        <w:rPr>
          <w:color w:val="231F20"/>
          <w:spacing w:val="4"/>
          <w:w w:val="110"/>
          <w:sz w:val="16"/>
        </w:rPr>
        <w:t>además permite establecer </w:t>
      </w:r>
      <w:r>
        <w:rPr>
          <w:color w:val="231F20"/>
          <w:spacing w:val="3"/>
          <w:w w:val="110"/>
          <w:sz w:val="16"/>
        </w:rPr>
        <w:t>una </w:t>
      </w:r>
      <w:r>
        <w:rPr>
          <w:color w:val="231F20"/>
          <w:spacing w:val="4"/>
          <w:w w:val="110"/>
          <w:sz w:val="16"/>
        </w:rPr>
        <w:t>ordenación entre </w:t>
      </w:r>
      <w:r>
        <w:rPr>
          <w:color w:val="231F20"/>
          <w:spacing w:val="3"/>
          <w:w w:val="110"/>
          <w:sz w:val="16"/>
        </w:rPr>
        <w:t>las </w:t>
      </w:r>
      <w:r>
        <w:rPr>
          <w:color w:val="231F20"/>
          <w:spacing w:val="4"/>
          <w:w w:val="110"/>
          <w:sz w:val="16"/>
        </w:rPr>
        <w:t>unidades </w:t>
      </w:r>
      <w:r>
        <w:rPr>
          <w:color w:val="231F20"/>
          <w:spacing w:val="2"/>
          <w:w w:val="110"/>
          <w:sz w:val="16"/>
        </w:rPr>
        <w:t>de </w:t>
      </w:r>
      <w:r>
        <w:rPr>
          <w:color w:val="231F20"/>
          <w:spacing w:val="4"/>
          <w:w w:val="110"/>
          <w:sz w:val="16"/>
        </w:rPr>
        <w:t>observación (zonas </w:t>
      </w:r>
      <w:r>
        <w:rPr>
          <w:color w:val="231F20"/>
          <w:w w:val="110"/>
          <w:sz w:val="16"/>
        </w:rPr>
        <w:t>metropolitanas, municipios y</w:t>
      </w:r>
      <w:r>
        <w:rPr>
          <w:color w:val="231F20"/>
          <w:spacing w:val="-11"/>
          <w:w w:val="110"/>
          <w:sz w:val="16"/>
        </w:rPr>
        <w:t> </w:t>
      </w:r>
      <w:r>
        <w:rPr>
          <w:color w:val="231F20"/>
          <w:w w:val="110"/>
          <w:sz w:val="16"/>
        </w:rPr>
        <w:t>regiones).</w:t>
      </w:r>
    </w:p>
    <w:p>
      <w:pPr>
        <w:spacing w:line="256" w:lineRule="auto" w:before="0"/>
        <w:ind w:left="124" w:right="114" w:firstLine="360"/>
        <w:jc w:val="both"/>
        <w:rPr>
          <w:sz w:val="16"/>
        </w:rPr>
      </w:pPr>
      <w:r>
        <w:rPr>
          <w:color w:val="231F20"/>
          <w:w w:val="110"/>
          <w:sz w:val="16"/>
        </w:rPr>
        <w:t>Este método matemático transforma un conjunto de variables o indicadores en uno nuevo, donde con un número menor de variables se pretende reelaborar una interpretación más sencilla del fenómeno original.</w:t>
      </w:r>
    </w:p>
    <w:p>
      <w:pPr>
        <w:spacing w:after="0" w:line="256" w:lineRule="auto"/>
        <w:jc w:val="both"/>
        <w:rPr>
          <w:sz w:val="16"/>
        </w:rPr>
        <w:sectPr>
          <w:pgSz w:w="9520" w:h="12920"/>
          <w:pgMar w:header="0" w:footer="1344" w:top="880" w:bottom="1540" w:left="1320" w:right="1000"/>
        </w:sectPr>
      </w:pPr>
    </w:p>
    <w:p>
      <w:pPr>
        <w:pStyle w:val="BodyText"/>
        <w:spacing w:line="288" w:lineRule="auto" w:before="42"/>
        <w:ind w:left="120" w:right="115"/>
        <w:jc w:val="both"/>
      </w:pPr>
      <w:r>
        <w:rPr>
          <w:color w:val="231F20"/>
          <w:w w:val="110"/>
        </w:rPr>
        <w:t>metropolitanas?</w:t>
      </w:r>
      <w:r>
        <w:rPr>
          <w:color w:val="231F20"/>
          <w:spacing w:val="-26"/>
          <w:w w:val="110"/>
        </w:rPr>
        <w:t> </w:t>
      </w:r>
      <w:r>
        <w:rPr>
          <w:color w:val="231F20"/>
          <w:spacing w:val="-4"/>
          <w:w w:val="110"/>
        </w:rPr>
        <w:t>Para</w:t>
      </w:r>
      <w:r>
        <w:rPr>
          <w:color w:val="231F20"/>
          <w:spacing w:val="-26"/>
          <w:w w:val="110"/>
        </w:rPr>
        <w:t> </w:t>
      </w:r>
      <w:r>
        <w:rPr>
          <w:color w:val="231F20"/>
          <w:w w:val="110"/>
        </w:rPr>
        <w:t>contestar</w:t>
      </w:r>
      <w:r>
        <w:rPr>
          <w:color w:val="231F20"/>
          <w:spacing w:val="-26"/>
          <w:w w:val="110"/>
        </w:rPr>
        <w:t> </w:t>
      </w:r>
      <w:r>
        <w:rPr>
          <w:color w:val="231F20"/>
          <w:w w:val="110"/>
        </w:rPr>
        <w:t>la</w:t>
      </w:r>
      <w:r>
        <w:rPr>
          <w:color w:val="231F20"/>
          <w:spacing w:val="-26"/>
          <w:w w:val="110"/>
        </w:rPr>
        <w:t> </w:t>
      </w:r>
      <w:r>
        <w:rPr>
          <w:color w:val="231F20"/>
          <w:w w:val="110"/>
        </w:rPr>
        <w:t>pregunta</w:t>
      </w:r>
      <w:r>
        <w:rPr>
          <w:color w:val="231F20"/>
          <w:spacing w:val="-26"/>
          <w:w w:val="110"/>
        </w:rPr>
        <w:t> </w:t>
      </w:r>
      <w:r>
        <w:rPr>
          <w:color w:val="231F20"/>
          <w:w w:val="110"/>
        </w:rPr>
        <w:t>es</w:t>
      </w:r>
      <w:r>
        <w:rPr>
          <w:color w:val="231F20"/>
          <w:spacing w:val="-26"/>
          <w:w w:val="110"/>
        </w:rPr>
        <w:t> </w:t>
      </w:r>
      <w:r>
        <w:rPr>
          <w:color w:val="231F20"/>
          <w:w w:val="110"/>
        </w:rPr>
        <w:t>necesario</w:t>
      </w:r>
      <w:r>
        <w:rPr>
          <w:color w:val="231F20"/>
          <w:spacing w:val="-26"/>
          <w:w w:val="110"/>
        </w:rPr>
        <w:t> </w:t>
      </w:r>
      <w:r>
        <w:rPr>
          <w:color w:val="231F20"/>
          <w:w w:val="110"/>
        </w:rPr>
        <w:t>analizar</w:t>
      </w:r>
      <w:r>
        <w:rPr>
          <w:color w:val="231F20"/>
          <w:spacing w:val="-26"/>
          <w:w w:val="110"/>
        </w:rPr>
        <w:t> </w:t>
      </w:r>
      <w:r>
        <w:rPr>
          <w:color w:val="231F20"/>
          <w:w w:val="110"/>
        </w:rPr>
        <w:t>la</w:t>
      </w:r>
      <w:r>
        <w:rPr>
          <w:color w:val="231F20"/>
          <w:spacing w:val="-26"/>
          <w:w w:val="110"/>
        </w:rPr>
        <w:t> </w:t>
      </w:r>
      <w:r>
        <w:rPr>
          <w:color w:val="231F20"/>
          <w:w w:val="110"/>
        </w:rPr>
        <w:t>dinámica demográfica de las zonas metropolitanas, lo cual a su vez podrá explicar los </w:t>
      </w:r>
      <w:r>
        <w:rPr>
          <w:color w:val="231F20"/>
          <w:spacing w:val="2"/>
          <w:w w:val="110"/>
        </w:rPr>
        <w:t>grados </w:t>
      </w:r>
      <w:r>
        <w:rPr>
          <w:color w:val="231F20"/>
          <w:w w:val="110"/>
        </w:rPr>
        <w:t>de </w:t>
      </w:r>
      <w:r>
        <w:rPr>
          <w:color w:val="231F20"/>
          <w:spacing w:val="2"/>
          <w:w w:val="110"/>
        </w:rPr>
        <w:t>envejecimientos </w:t>
      </w:r>
      <w:r>
        <w:rPr>
          <w:color w:val="231F20"/>
          <w:w w:val="110"/>
        </w:rPr>
        <w:t>en que se </w:t>
      </w:r>
      <w:r>
        <w:rPr>
          <w:color w:val="231F20"/>
          <w:spacing w:val="2"/>
          <w:w w:val="110"/>
        </w:rPr>
        <w:t>encuentra </w:t>
      </w:r>
      <w:r>
        <w:rPr>
          <w:color w:val="231F20"/>
          <w:w w:val="110"/>
        </w:rPr>
        <w:t>la </w:t>
      </w:r>
      <w:r>
        <w:rPr>
          <w:color w:val="231F20"/>
          <w:spacing w:val="2"/>
          <w:w w:val="110"/>
        </w:rPr>
        <w:t>población </w:t>
      </w:r>
      <w:r>
        <w:rPr>
          <w:color w:val="231F20"/>
          <w:w w:val="110"/>
        </w:rPr>
        <w:t>de las zonas metropolitanas analizadas en este</w:t>
      </w:r>
      <w:r>
        <w:rPr>
          <w:color w:val="231F20"/>
          <w:spacing w:val="8"/>
          <w:w w:val="110"/>
        </w:rPr>
        <w:t> </w:t>
      </w:r>
      <w:r>
        <w:rPr>
          <w:color w:val="231F20"/>
          <w:w w:val="110"/>
        </w:rPr>
        <w:t>trabajo.</w:t>
      </w:r>
    </w:p>
    <w:p>
      <w:pPr>
        <w:pStyle w:val="BodyText"/>
        <w:spacing w:line="288" w:lineRule="auto"/>
        <w:ind w:left="120" w:right="119" w:firstLine="360"/>
        <w:jc w:val="both"/>
      </w:pPr>
      <w:r>
        <w:rPr>
          <w:color w:val="231F20"/>
          <w:w w:val="110"/>
        </w:rPr>
        <w:t>La</w:t>
      </w:r>
      <w:r>
        <w:rPr>
          <w:color w:val="231F20"/>
          <w:spacing w:val="-5"/>
          <w:w w:val="110"/>
        </w:rPr>
        <w:t> </w:t>
      </w:r>
      <w:r>
        <w:rPr>
          <w:color w:val="231F20"/>
          <w:w w:val="110"/>
        </w:rPr>
        <w:t>población</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cinco</w:t>
      </w:r>
      <w:r>
        <w:rPr>
          <w:color w:val="231F20"/>
          <w:spacing w:val="-5"/>
          <w:w w:val="110"/>
        </w:rPr>
        <w:t> </w:t>
      </w:r>
      <w:r>
        <w:rPr>
          <w:color w:val="231F20"/>
          <w:w w:val="110"/>
        </w:rPr>
        <w:t>zonas</w:t>
      </w:r>
      <w:r>
        <w:rPr>
          <w:color w:val="231F20"/>
          <w:spacing w:val="-5"/>
          <w:w w:val="110"/>
        </w:rPr>
        <w:t> </w:t>
      </w:r>
      <w:r>
        <w:rPr>
          <w:color w:val="231F20"/>
          <w:w w:val="110"/>
        </w:rPr>
        <w:t>metropolitanas</w:t>
      </w:r>
      <w:r>
        <w:rPr>
          <w:color w:val="231F20"/>
          <w:spacing w:val="-5"/>
          <w:w w:val="110"/>
        </w:rPr>
        <w:t> </w:t>
      </w:r>
      <w:r>
        <w:rPr>
          <w:color w:val="231F20"/>
          <w:w w:val="110"/>
        </w:rPr>
        <w:t>más</w:t>
      </w:r>
      <w:r>
        <w:rPr>
          <w:color w:val="231F20"/>
          <w:spacing w:val="-5"/>
          <w:w w:val="110"/>
        </w:rPr>
        <w:t> </w:t>
      </w:r>
      <w:r>
        <w:rPr>
          <w:color w:val="231F20"/>
          <w:w w:val="110"/>
        </w:rPr>
        <w:t>grandes</w:t>
      </w:r>
      <w:r>
        <w:rPr>
          <w:color w:val="231F20"/>
          <w:spacing w:val="-5"/>
          <w:w w:val="110"/>
        </w:rPr>
        <w:t> </w:t>
      </w:r>
      <w:r>
        <w:rPr>
          <w:color w:val="231F20"/>
          <w:w w:val="110"/>
        </w:rPr>
        <w:t>de</w:t>
      </w:r>
      <w:r>
        <w:rPr>
          <w:color w:val="231F20"/>
          <w:spacing w:val="-5"/>
          <w:w w:val="110"/>
        </w:rPr>
        <w:t> </w:t>
      </w:r>
      <w:r>
        <w:rPr>
          <w:color w:val="231F20"/>
          <w:w w:val="110"/>
        </w:rPr>
        <w:t>México en 1990 era de 23.9 millones de habitantes, misma que representaba 29.6 por ciento de la población nacional, sin embargo, para el año 2000 ascen- dió a 28.4 millones, con un peso relativo de 29.7 por ciento de la</w:t>
      </w:r>
      <w:r>
        <w:rPr>
          <w:color w:val="231F20"/>
          <w:spacing w:val="-10"/>
          <w:w w:val="110"/>
        </w:rPr>
        <w:t> </w:t>
      </w:r>
      <w:r>
        <w:rPr>
          <w:color w:val="231F20"/>
          <w:w w:val="110"/>
        </w:rPr>
        <w:t>población total del país. Para el año 2010 las </w:t>
      </w:r>
      <w:r>
        <w:rPr>
          <w:rFonts w:ascii="Times New Roman" w:hAnsi="Times New Roman"/>
          <w:color w:val="231F20"/>
          <w:w w:val="110"/>
          <w:sz w:val="16"/>
        </w:rPr>
        <w:t>ZM </w:t>
      </w:r>
      <w:r>
        <w:rPr>
          <w:color w:val="231F20"/>
          <w:w w:val="110"/>
        </w:rPr>
        <w:t>alcanzaron la cantidad de 33.1millo- nes de habitantes, equivalente a 29.5 por ciento del total</w:t>
      </w:r>
      <w:r>
        <w:rPr>
          <w:color w:val="231F20"/>
          <w:spacing w:val="-19"/>
          <w:w w:val="110"/>
        </w:rPr>
        <w:t> </w:t>
      </w:r>
      <w:r>
        <w:rPr>
          <w:color w:val="231F20"/>
          <w:w w:val="110"/>
        </w:rPr>
        <w:t>metropolitano.</w:t>
      </w:r>
    </w:p>
    <w:p>
      <w:pPr>
        <w:pStyle w:val="BodyText"/>
        <w:spacing w:line="288" w:lineRule="auto"/>
        <w:ind w:left="119" w:right="114" w:firstLine="360"/>
        <w:jc w:val="both"/>
      </w:pPr>
      <w:r>
        <w:rPr>
          <w:color w:val="231F20"/>
          <w:w w:val="110"/>
        </w:rPr>
        <w:t>Entre 1990 y 2010 la población de estas </w:t>
      </w:r>
      <w:r>
        <w:rPr>
          <w:rFonts w:ascii="Times New Roman" w:hAnsi="Times New Roman"/>
          <w:color w:val="231F20"/>
          <w:w w:val="110"/>
          <w:sz w:val="16"/>
        </w:rPr>
        <w:t>ZM </w:t>
      </w:r>
      <w:r>
        <w:rPr>
          <w:color w:val="231F20"/>
          <w:w w:val="110"/>
        </w:rPr>
        <w:t>aumentó en 9.2 millones, con una tasa de crecimiento de 1.7 y 1.6 por ciento en los periodos de 1990-2000 y 2000-2010, respectivamente. Este crecimiento fue similar al registrado a nivel nacional, en los mismos periodos. Los datos expuestos muestran el peso relativo que tienen estas </w:t>
      </w:r>
      <w:r>
        <w:rPr>
          <w:rFonts w:ascii="Times New Roman" w:hAnsi="Times New Roman"/>
          <w:color w:val="231F20"/>
          <w:w w:val="110"/>
          <w:sz w:val="16"/>
        </w:rPr>
        <w:t>ZM </w:t>
      </w:r>
      <w:r>
        <w:rPr>
          <w:color w:val="231F20"/>
          <w:w w:val="110"/>
        </w:rPr>
        <w:t>en la dinámica demográfica nacional y metropolitana.</w:t>
      </w:r>
    </w:p>
    <w:p>
      <w:pPr>
        <w:pStyle w:val="BodyText"/>
        <w:spacing w:before="4"/>
      </w:pPr>
    </w:p>
    <w:p>
      <w:pPr>
        <w:spacing w:line="185" w:lineRule="exact" w:before="0"/>
        <w:ind w:left="457" w:right="457" w:firstLine="0"/>
        <w:jc w:val="center"/>
        <w:rPr>
          <w:sz w:val="16"/>
        </w:rPr>
      </w:pPr>
      <w:r>
        <w:rPr>
          <w:color w:val="231F20"/>
          <w:sz w:val="16"/>
        </w:rPr>
        <w:t>Mapa 1</w:t>
      </w:r>
    </w:p>
    <w:p>
      <w:pPr>
        <w:spacing w:line="220" w:lineRule="exact" w:before="0"/>
        <w:ind w:left="457" w:right="457" w:firstLine="0"/>
        <w:jc w:val="center"/>
        <w:rPr>
          <w:sz w:val="19"/>
        </w:rPr>
      </w:pPr>
      <w:r>
        <w:rPr>
          <w:color w:val="231F20"/>
          <w:w w:val="90"/>
          <w:sz w:val="19"/>
        </w:rPr>
        <w:t>Las cinco zonas metropolitanas más grandes de México, 2010</w:t>
      </w:r>
    </w:p>
    <w:p>
      <w:pPr>
        <w:pStyle w:val="BodyText"/>
        <w:spacing w:before="6"/>
        <w:rPr>
          <w:sz w:val="13"/>
        </w:rPr>
      </w:pPr>
      <w:r>
        <w:rPr/>
        <w:drawing>
          <wp:anchor distT="0" distB="0" distL="0" distR="0" allowOverlap="1" layoutInCell="1" locked="0" behindDoc="0" simplePos="0" relativeHeight="4528">
            <wp:simplePos x="0" y="0"/>
            <wp:positionH relativeFrom="page">
              <wp:posOffset>713746</wp:posOffset>
            </wp:positionH>
            <wp:positionV relativeFrom="paragraph">
              <wp:posOffset>125395</wp:posOffset>
            </wp:positionV>
            <wp:extent cx="4433989" cy="2344578"/>
            <wp:effectExtent l="0" t="0" r="0" b="0"/>
            <wp:wrapTopAndBottom/>
            <wp:docPr id="19" name="image60.jpeg" descr=""/>
            <wp:cNvGraphicFramePr>
              <a:graphicFrameLocks noChangeAspect="1"/>
            </wp:cNvGraphicFramePr>
            <a:graphic>
              <a:graphicData uri="http://schemas.openxmlformats.org/drawingml/2006/picture">
                <pic:pic>
                  <pic:nvPicPr>
                    <pic:cNvPr id="20" name="image60.jpeg"/>
                    <pic:cNvPicPr/>
                  </pic:nvPicPr>
                  <pic:blipFill>
                    <a:blip r:embed="rId181" cstate="print"/>
                    <a:stretch>
                      <a:fillRect/>
                    </a:stretch>
                  </pic:blipFill>
                  <pic:spPr>
                    <a:xfrm>
                      <a:off x="0" y="0"/>
                      <a:ext cx="4433989" cy="2344578"/>
                    </a:xfrm>
                    <a:prstGeom prst="rect">
                      <a:avLst/>
                    </a:prstGeom>
                  </pic:spPr>
                </pic:pic>
              </a:graphicData>
            </a:graphic>
          </wp:anchor>
        </w:drawing>
      </w:r>
    </w:p>
    <w:p>
      <w:pPr>
        <w:spacing w:before="0"/>
        <w:ind w:left="480" w:right="0" w:firstLine="0"/>
        <w:jc w:val="left"/>
        <w:rPr>
          <w:sz w:val="15"/>
        </w:rPr>
      </w:pPr>
      <w:r>
        <w:rPr>
          <w:color w:val="231F20"/>
          <w:w w:val="110"/>
          <w:sz w:val="15"/>
        </w:rPr>
        <w:t>Fuente: Elaboración propia.</w:t>
      </w:r>
    </w:p>
    <w:p>
      <w:pPr>
        <w:spacing w:after="0"/>
        <w:jc w:val="left"/>
        <w:rPr>
          <w:sz w:val="15"/>
        </w:rPr>
        <w:sectPr>
          <w:footerReference w:type="even" r:id="rId179"/>
          <w:footerReference w:type="default" r:id="rId180"/>
          <w:pgSz w:w="9520" w:h="12920"/>
          <w:pgMar w:footer="1344" w:header="0" w:top="880" w:bottom="1540" w:left="1000" w:right="1320"/>
        </w:sectPr>
      </w:pPr>
    </w:p>
    <w:p>
      <w:pPr>
        <w:pStyle w:val="BodyText"/>
        <w:spacing w:line="288" w:lineRule="auto" w:before="42"/>
        <w:ind w:left="124" w:right="113" w:firstLine="360"/>
        <w:jc w:val="both"/>
      </w:pPr>
      <w:r>
        <w:rPr>
          <w:color w:val="231F20"/>
          <w:w w:val="105"/>
        </w:rPr>
        <w:t>De este conjunto, tres zonas concentran 86.4 por ciento de la población metropolitana del país y 25.5 por ciento de la población nacional (véase cuadro 1): </w:t>
      </w:r>
      <w:r>
        <w:rPr>
          <w:color w:val="231F20"/>
          <w:spacing w:val="-5"/>
          <w:w w:val="105"/>
        </w:rPr>
        <w:t>Valle </w:t>
      </w:r>
      <w:r>
        <w:rPr>
          <w:color w:val="231F20"/>
          <w:w w:val="105"/>
        </w:rPr>
        <w:t>de México (20.1 millones), Guadalajara (4.4) y Monterrey (4.1). En total, estas tres zonas metropolitanas albergan una población de  más  de  28.6  millones  de</w:t>
      </w:r>
      <w:r>
        <w:rPr>
          <w:color w:val="231F20"/>
          <w:spacing w:val="-11"/>
          <w:w w:val="105"/>
        </w:rPr>
        <w:t> </w:t>
      </w:r>
      <w:r>
        <w:rPr>
          <w:color w:val="231F20"/>
          <w:w w:val="105"/>
        </w:rPr>
        <w:t>habitantes.</w:t>
      </w:r>
    </w:p>
    <w:p>
      <w:pPr>
        <w:pStyle w:val="BodyText"/>
        <w:spacing w:line="288" w:lineRule="auto"/>
        <w:ind w:left="124" w:right="113" w:firstLine="360"/>
        <w:jc w:val="both"/>
      </w:pPr>
      <w:r>
        <w:rPr>
          <w:color w:val="231F20"/>
          <w:w w:val="110"/>
        </w:rPr>
        <w:t>Por</w:t>
      </w:r>
      <w:r>
        <w:rPr>
          <w:color w:val="231F20"/>
          <w:spacing w:val="-4"/>
          <w:w w:val="110"/>
        </w:rPr>
        <w:t> </w:t>
      </w:r>
      <w:r>
        <w:rPr>
          <w:color w:val="231F20"/>
          <w:w w:val="110"/>
        </w:rPr>
        <w:t>otro</w:t>
      </w:r>
      <w:r>
        <w:rPr>
          <w:color w:val="231F20"/>
          <w:spacing w:val="-4"/>
          <w:w w:val="110"/>
        </w:rPr>
        <w:t> </w:t>
      </w:r>
      <w:r>
        <w:rPr>
          <w:color w:val="231F20"/>
          <w:w w:val="110"/>
        </w:rPr>
        <w:t>lado,</w:t>
      </w:r>
      <w:r>
        <w:rPr>
          <w:color w:val="231F20"/>
          <w:spacing w:val="-4"/>
          <w:w w:val="110"/>
        </w:rPr>
        <w:t> </w:t>
      </w:r>
      <w:r>
        <w:rPr>
          <w:color w:val="231F20"/>
          <w:w w:val="110"/>
        </w:rPr>
        <w:t>las</w:t>
      </w:r>
      <w:r>
        <w:rPr>
          <w:color w:val="231F20"/>
          <w:spacing w:val="-4"/>
          <w:w w:val="110"/>
        </w:rPr>
        <w:t> </w:t>
      </w:r>
      <w:r>
        <w:rPr>
          <w:color w:val="231F20"/>
          <w:w w:val="110"/>
        </w:rPr>
        <w:t>dos</w:t>
      </w:r>
      <w:r>
        <w:rPr>
          <w:color w:val="231F20"/>
          <w:spacing w:val="-4"/>
          <w:w w:val="110"/>
        </w:rPr>
        <w:t> </w:t>
      </w:r>
      <w:r>
        <w:rPr>
          <w:color w:val="231F20"/>
          <w:w w:val="110"/>
        </w:rPr>
        <w:t>zonas</w:t>
      </w:r>
      <w:r>
        <w:rPr>
          <w:color w:val="231F20"/>
          <w:spacing w:val="-4"/>
          <w:w w:val="110"/>
        </w:rPr>
        <w:t> </w:t>
      </w:r>
      <w:r>
        <w:rPr>
          <w:color w:val="231F20"/>
          <w:w w:val="110"/>
        </w:rPr>
        <w:t>restantes</w:t>
      </w:r>
      <w:r>
        <w:rPr>
          <w:color w:val="231F20"/>
          <w:spacing w:val="-4"/>
          <w:w w:val="110"/>
        </w:rPr>
        <w:t> </w:t>
      </w:r>
      <w:r>
        <w:rPr>
          <w:color w:val="231F20"/>
          <w:w w:val="110"/>
        </w:rPr>
        <w:t>tienen</w:t>
      </w:r>
      <w:r>
        <w:rPr>
          <w:color w:val="231F20"/>
          <w:spacing w:val="-4"/>
          <w:w w:val="110"/>
        </w:rPr>
        <w:t> </w:t>
      </w:r>
      <w:r>
        <w:rPr>
          <w:color w:val="231F20"/>
          <w:w w:val="110"/>
        </w:rPr>
        <w:t>un</w:t>
      </w:r>
      <w:r>
        <w:rPr>
          <w:color w:val="231F20"/>
          <w:spacing w:val="-4"/>
          <w:w w:val="110"/>
        </w:rPr>
        <w:t> </w:t>
      </w:r>
      <w:r>
        <w:rPr>
          <w:color w:val="231F20"/>
          <w:w w:val="110"/>
        </w:rPr>
        <w:t>menor</w:t>
      </w:r>
      <w:r>
        <w:rPr>
          <w:color w:val="231F20"/>
          <w:spacing w:val="-4"/>
          <w:w w:val="110"/>
        </w:rPr>
        <w:t> </w:t>
      </w:r>
      <w:r>
        <w:rPr>
          <w:color w:val="231F20"/>
          <w:w w:val="110"/>
        </w:rPr>
        <w:t>peso</w:t>
      </w:r>
      <w:r>
        <w:rPr>
          <w:color w:val="231F20"/>
          <w:spacing w:val="-4"/>
          <w:w w:val="110"/>
        </w:rPr>
        <w:t> </w:t>
      </w:r>
      <w:r>
        <w:rPr>
          <w:color w:val="231F20"/>
          <w:w w:val="110"/>
        </w:rPr>
        <w:t>relativo</w:t>
      </w:r>
      <w:r>
        <w:rPr>
          <w:color w:val="231F20"/>
          <w:spacing w:val="-4"/>
          <w:w w:val="110"/>
        </w:rPr>
        <w:t> </w:t>
      </w:r>
      <w:r>
        <w:rPr>
          <w:color w:val="231F20"/>
          <w:w w:val="110"/>
        </w:rPr>
        <w:t>en la</w:t>
      </w:r>
      <w:r>
        <w:rPr>
          <w:color w:val="231F20"/>
          <w:spacing w:val="-8"/>
          <w:w w:val="110"/>
        </w:rPr>
        <w:t> </w:t>
      </w:r>
      <w:r>
        <w:rPr>
          <w:color w:val="231F20"/>
          <w:w w:val="110"/>
        </w:rPr>
        <w:t>población</w:t>
      </w:r>
      <w:r>
        <w:rPr>
          <w:color w:val="231F20"/>
          <w:spacing w:val="-8"/>
          <w:w w:val="110"/>
        </w:rPr>
        <w:t> </w:t>
      </w:r>
      <w:r>
        <w:rPr>
          <w:color w:val="231F20"/>
          <w:w w:val="110"/>
        </w:rPr>
        <w:t>total</w:t>
      </w:r>
      <w:r>
        <w:rPr>
          <w:color w:val="231F20"/>
          <w:spacing w:val="-8"/>
          <w:w w:val="110"/>
        </w:rPr>
        <w:t> </w:t>
      </w:r>
      <w:r>
        <w:rPr>
          <w:color w:val="231F20"/>
          <w:w w:val="110"/>
        </w:rPr>
        <w:t>metropolitana,</w:t>
      </w:r>
      <w:r>
        <w:rPr>
          <w:color w:val="231F20"/>
          <w:spacing w:val="-8"/>
          <w:w w:val="110"/>
        </w:rPr>
        <w:t> </w:t>
      </w:r>
      <w:r>
        <w:rPr>
          <w:color w:val="231F20"/>
          <w:w w:val="110"/>
        </w:rPr>
        <w:t>sin</w:t>
      </w:r>
      <w:r>
        <w:rPr>
          <w:color w:val="231F20"/>
          <w:spacing w:val="-8"/>
          <w:w w:val="110"/>
        </w:rPr>
        <w:t> </w:t>
      </w:r>
      <w:r>
        <w:rPr>
          <w:color w:val="231F20"/>
          <w:w w:val="110"/>
        </w:rPr>
        <w:t>embargo</w:t>
      </w:r>
      <w:r>
        <w:rPr>
          <w:color w:val="231F20"/>
          <w:spacing w:val="-8"/>
          <w:w w:val="110"/>
        </w:rPr>
        <w:t> </w:t>
      </w:r>
      <w:r>
        <w:rPr>
          <w:color w:val="231F20"/>
          <w:w w:val="110"/>
        </w:rPr>
        <w:t>concentran</w:t>
      </w:r>
      <w:r>
        <w:rPr>
          <w:color w:val="231F20"/>
          <w:spacing w:val="-8"/>
          <w:w w:val="110"/>
        </w:rPr>
        <w:t> </w:t>
      </w:r>
      <w:r>
        <w:rPr>
          <w:color w:val="231F20"/>
          <w:w w:val="110"/>
        </w:rPr>
        <w:t>más</w:t>
      </w:r>
      <w:r>
        <w:rPr>
          <w:color w:val="231F20"/>
          <w:spacing w:val="-8"/>
          <w:w w:val="110"/>
        </w:rPr>
        <w:t> </w:t>
      </w:r>
      <w:r>
        <w:rPr>
          <w:color w:val="231F20"/>
          <w:w w:val="110"/>
        </w:rPr>
        <w:t>de</w:t>
      </w:r>
      <w:r>
        <w:rPr>
          <w:color w:val="231F20"/>
          <w:spacing w:val="-8"/>
          <w:w w:val="110"/>
        </w:rPr>
        <w:t> </w:t>
      </w:r>
      <w:r>
        <w:rPr>
          <w:color w:val="231F20"/>
          <w:w w:val="110"/>
        </w:rPr>
        <w:t>un</w:t>
      </w:r>
      <w:r>
        <w:rPr>
          <w:color w:val="231F20"/>
          <w:spacing w:val="-8"/>
          <w:w w:val="110"/>
        </w:rPr>
        <w:t> </w:t>
      </w:r>
      <w:r>
        <w:rPr>
          <w:color w:val="231F20"/>
          <w:w w:val="110"/>
        </w:rPr>
        <w:t>millón de habitantes cada una (véase cuadro 1): Puebla-Tlaxcala (2.6 millones) y Toluca (1.8 millones), que en conjunto representan 13.6 por ciento de la población</w:t>
      </w:r>
      <w:r>
        <w:rPr>
          <w:color w:val="231F20"/>
          <w:spacing w:val="-7"/>
          <w:w w:val="110"/>
        </w:rPr>
        <w:t> </w:t>
      </w:r>
      <w:r>
        <w:rPr>
          <w:color w:val="231F20"/>
          <w:w w:val="110"/>
        </w:rPr>
        <w:t>metropolitana,</w:t>
      </w:r>
      <w:r>
        <w:rPr>
          <w:color w:val="231F20"/>
          <w:spacing w:val="-7"/>
          <w:w w:val="110"/>
        </w:rPr>
        <w:t> </w:t>
      </w:r>
      <w:r>
        <w:rPr>
          <w:color w:val="231F20"/>
          <w:w w:val="110"/>
        </w:rPr>
        <w:t>lo</w:t>
      </w:r>
      <w:r>
        <w:rPr>
          <w:color w:val="231F20"/>
          <w:spacing w:val="-7"/>
          <w:w w:val="110"/>
        </w:rPr>
        <w:t> </w:t>
      </w:r>
      <w:r>
        <w:rPr>
          <w:color w:val="231F20"/>
          <w:w w:val="110"/>
        </w:rPr>
        <w:t>que</w:t>
      </w:r>
      <w:r>
        <w:rPr>
          <w:color w:val="231F20"/>
          <w:spacing w:val="-7"/>
          <w:w w:val="110"/>
        </w:rPr>
        <w:t> </w:t>
      </w:r>
      <w:r>
        <w:rPr>
          <w:color w:val="231F20"/>
          <w:w w:val="110"/>
        </w:rPr>
        <w:t>equivale</w:t>
      </w:r>
      <w:r>
        <w:rPr>
          <w:color w:val="231F20"/>
          <w:spacing w:val="-7"/>
          <w:w w:val="110"/>
        </w:rPr>
        <w:t> </w:t>
      </w:r>
      <w:r>
        <w:rPr>
          <w:color w:val="231F20"/>
          <w:w w:val="110"/>
        </w:rPr>
        <w:t>a</w:t>
      </w:r>
      <w:r>
        <w:rPr>
          <w:color w:val="231F20"/>
          <w:spacing w:val="-7"/>
          <w:w w:val="110"/>
        </w:rPr>
        <w:t> </w:t>
      </w:r>
      <w:r>
        <w:rPr>
          <w:color w:val="231F20"/>
          <w:w w:val="110"/>
        </w:rPr>
        <w:t>4’514,553</w:t>
      </w:r>
      <w:r>
        <w:rPr>
          <w:color w:val="231F20"/>
          <w:spacing w:val="-7"/>
          <w:w w:val="110"/>
        </w:rPr>
        <w:t> </w:t>
      </w:r>
      <w:r>
        <w:rPr>
          <w:color w:val="231F20"/>
          <w:w w:val="110"/>
        </w:rPr>
        <w:t>habitantes.</w:t>
      </w:r>
    </w:p>
    <w:p>
      <w:pPr>
        <w:pStyle w:val="BodyText"/>
        <w:spacing w:line="288" w:lineRule="auto"/>
        <w:ind w:left="124" w:right="112" w:firstLine="360"/>
        <w:jc w:val="both"/>
      </w:pPr>
      <w:r>
        <w:rPr>
          <w:color w:val="231F20"/>
          <w:w w:val="110"/>
        </w:rPr>
        <w:t>En lo que respecta a las zonas metropolitanas que presentan un</w:t>
      </w:r>
      <w:r>
        <w:rPr>
          <w:color w:val="231F20"/>
          <w:spacing w:val="-21"/>
          <w:w w:val="110"/>
        </w:rPr>
        <w:t> </w:t>
      </w:r>
      <w:r>
        <w:rPr>
          <w:color w:val="231F20"/>
          <w:w w:val="110"/>
        </w:rPr>
        <w:t>mayor crecimiento</w:t>
      </w:r>
      <w:r>
        <w:rPr>
          <w:color w:val="231F20"/>
          <w:spacing w:val="-14"/>
          <w:w w:val="110"/>
        </w:rPr>
        <w:t> </w:t>
      </w:r>
      <w:r>
        <w:rPr>
          <w:color w:val="231F20"/>
          <w:w w:val="110"/>
        </w:rPr>
        <w:t>poblacional</w:t>
      </w:r>
      <w:r>
        <w:rPr>
          <w:color w:val="231F20"/>
          <w:spacing w:val="-14"/>
          <w:w w:val="110"/>
        </w:rPr>
        <w:t> </w:t>
      </w:r>
      <w:r>
        <w:rPr>
          <w:color w:val="231F20"/>
          <w:w w:val="110"/>
        </w:rPr>
        <w:t>sobresalen:</w:t>
      </w:r>
      <w:r>
        <w:rPr>
          <w:color w:val="231F20"/>
          <w:spacing w:val="-14"/>
          <w:w w:val="110"/>
        </w:rPr>
        <w:t> </w:t>
      </w:r>
      <w:r>
        <w:rPr>
          <w:color w:val="231F20"/>
          <w:spacing w:val="-3"/>
          <w:w w:val="110"/>
        </w:rPr>
        <w:t>Toluca</w:t>
      </w:r>
      <w:r>
        <w:rPr>
          <w:color w:val="231F20"/>
          <w:spacing w:val="-14"/>
          <w:w w:val="110"/>
        </w:rPr>
        <w:t> </w:t>
      </w:r>
      <w:r>
        <w:rPr>
          <w:color w:val="231F20"/>
          <w:w w:val="110"/>
        </w:rPr>
        <w:t>(2.8</w:t>
      </w:r>
      <w:r>
        <w:rPr>
          <w:color w:val="231F20"/>
          <w:spacing w:val="-14"/>
          <w:w w:val="110"/>
        </w:rPr>
        <w:t> </w:t>
      </w:r>
      <w:r>
        <w:rPr>
          <w:color w:val="231F20"/>
          <w:w w:val="110"/>
        </w:rPr>
        <w:t>por</w:t>
      </w:r>
      <w:r>
        <w:rPr>
          <w:color w:val="231F20"/>
          <w:spacing w:val="-14"/>
          <w:w w:val="110"/>
        </w:rPr>
        <w:t> </w:t>
      </w:r>
      <w:r>
        <w:rPr>
          <w:color w:val="231F20"/>
          <w:w w:val="110"/>
        </w:rPr>
        <w:t>ciento),</w:t>
      </w:r>
      <w:r>
        <w:rPr>
          <w:color w:val="231F20"/>
          <w:spacing w:val="-14"/>
          <w:w w:val="110"/>
        </w:rPr>
        <w:t> </w:t>
      </w:r>
      <w:r>
        <w:rPr>
          <w:color w:val="231F20"/>
          <w:w w:val="110"/>
        </w:rPr>
        <w:t>Puebla-Tlaxca- la (2.2) y Monterrey (2.0). De estas zonas, la del </w:t>
      </w:r>
      <w:r>
        <w:rPr>
          <w:color w:val="231F20"/>
          <w:spacing w:val="-5"/>
          <w:w w:val="110"/>
        </w:rPr>
        <w:t>Valle </w:t>
      </w:r>
      <w:r>
        <w:rPr>
          <w:color w:val="231F20"/>
          <w:w w:val="110"/>
        </w:rPr>
        <w:t>de México registró el mayor aumento absoluto promedio de 245 mil habitantes por año, mien- tras que </w:t>
      </w:r>
      <w:r>
        <w:rPr>
          <w:color w:val="231F20"/>
          <w:spacing w:val="-3"/>
          <w:w w:val="110"/>
        </w:rPr>
        <w:t>Toluca </w:t>
      </w:r>
      <w:r>
        <w:rPr>
          <w:color w:val="231F20"/>
          <w:w w:val="110"/>
        </w:rPr>
        <w:t>registró el menor aumento absoluto con 51.5 mil habitan- tes, crecimiento similar al que presentó el conjunto metropolitano (55.9 mil). Este comportamiento se explica por la fuerte concentración de la ac- tividad económica que se realiza en nuestro país, donde la </w:t>
      </w:r>
      <w:r>
        <w:rPr>
          <w:rFonts w:ascii="Times New Roman" w:hAnsi="Times New Roman"/>
          <w:color w:val="231F20"/>
          <w:w w:val="110"/>
          <w:sz w:val="16"/>
        </w:rPr>
        <w:t>ZMVM </w:t>
      </w:r>
      <w:r>
        <w:rPr>
          <w:color w:val="231F20"/>
          <w:w w:val="110"/>
        </w:rPr>
        <w:t>aglutina más de 30 por ciento de la actividad económica, mientras que </w:t>
      </w:r>
      <w:r>
        <w:rPr>
          <w:color w:val="231F20"/>
          <w:spacing w:val="-3"/>
          <w:w w:val="110"/>
        </w:rPr>
        <w:t>Toluca </w:t>
      </w:r>
      <w:r>
        <w:rPr>
          <w:color w:val="231F20"/>
          <w:w w:val="110"/>
        </w:rPr>
        <w:t>re- presenta 6 por ciento, lo que las convierte en fuentes de atracción de po- blación</w:t>
      </w:r>
      <w:r>
        <w:rPr>
          <w:color w:val="231F20"/>
          <w:spacing w:val="-15"/>
          <w:w w:val="110"/>
        </w:rPr>
        <w:t> </w:t>
      </w:r>
      <w:r>
        <w:rPr>
          <w:color w:val="231F20"/>
          <w:w w:val="110"/>
        </w:rPr>
        <w:t>migrante</w:t>
      </w:r>
      <w:r>
        <w:rPr>
          <w:color w:val="231F20"/>
          <w:spacing w:val="-15"/>
          <w:w w:val="110"/>
        </w:rPr>
        <w:t> </w:t>
      </w:r>
      <w:r>
        <w:rPr>
          <w:color w:val="231F20"/>
          <w:w w:val="110"/>
        </w:rPr>
        <w:t>(Hernández,</w:t>
      </w:r>
      <w:r>
        <w:rPr>
          <w:color w:val="231F20"/>
          <w:spacing w:val="-15"/>
          <w:w w:val="110"/>
        </w:rPr>
        <w:t> </w:t>
      </w:r>
      <w:r>
        <w:rPr>
          <w:color w:val="231F20"/>
          <w:w w:val="110"/>
        </w:rPr>
        <w:t>2006).</w:t>
      </w:r>
      <w:r>
        <w:rPr>
          <w:color w:val="231F20"/>
          <w:spacing w:val="-15"/>
          <w:w w:val="110"/>
        </w:rPr>
        <w:t> </w:t>
      </w:r>
      <w:r>
        <w:rPr>
          <w:color w:val="231F20"/>
          <w:w w:val="110"/>
        </w:rPr>
        <w:t>Los</w:t>
      </w:r>
      <w:r>
        <w:rPr>
          <w:color w:val="231F20"/>
          <w:spacing w:val="-15"/>
          <w:w w:val="110"/>
        </w:rPr>
        <w:t> </w:t>
      </w:r>
      <w:r>
        <w:rPr>
          <w:color w:val="231F20"/>
          <w:w w:val="110"/>
        </w:rPr>
        <w:t>datos</w:t>
      </w:r>
      <w:r>
        <w:rPr>
          <w:color w:val="231F20"/>
          <w:spacing w:val="-15"/>
          <w:w w:val="110"/>
        </w:rPr>
        <w:t> </w:t>
      </w:r>
      <w:r>
        <w:rPr>
          <w:color w:val="231F20"/>
          <w:w w:val="110"/>
        </w:rPr>
        <w:t>anteriores</w:t>
      </w:r>
      <w:r>
        <w:rPr>
          <w:color w:val="231F20"/>
          <w:spacing w:val="-15"/>
          <w:w w:val="110"/>
        </w:rPr>
        <w:t> </w:t>
      </w:r>
      <w:r>
        <w:rPr>
          <w:color w:val="231F20"/>
          <w:w w:val="110"/>
        </w:rPr>
        <w:t>contextualizan</w:t>
      </w:r>
      <w:r>
        <w:rPr>
          <w:color w:val="231F20"/>
          <w:spacing w:val="-15"/>
          <w:w w:val="110"/>
        </w:rPr>
        <w:t> </w:t>
      </w:r>
      <w:r>
        <w:rPr>
          <w:color w:val="231F20"/>
          <w:w w:val="110"/>
        </w:rPr>
        <w:t>el proceso de envejecimiento de la población de las zonas metropolitanas y la importancia que cobra éste en la medida en que la población adulta ma- yor aumenta natural y</w:t>
      </w:r>
      <w:r>
        <w:rPr>
          <w:color w:val="231F20"/>
          <w:spacing w:val="15"/>
          <w:w w:val="110"/>
        </w:rPr>
        <w:t> </w:t>
      </w:r>
      <w:r>
        <w:rPr>
          <w:color w:val="231F20"/>
          <w:w w:val="110"/>
        </w:rPr>
        <w:t>socialmente.</w:t>
      </w:r>
    </w:p>
    <w:p>
      <w:pPr>
        <w:pStyle w:val="BodyText"/>
        <w:spacing w:line="288" w:lineRule="auto"/>
        <w:ind w:left="124" w:right="111" w:firstLine="360"/>
        <w:jc w:val="both"/>
      </w:pPr>
      <w:r>
        <w:rPr>
          <w:color w:val="231F20"/>
          <w:w w:val="110"/>
        </w:rPr>
        <w:t>Los cambios demográficos registrados en México muestran una acele- rada transición demográfica que se explica, principalmente, por la dismi- nución</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fecundidad</w:t>
      </w:r>
      <w:r>
        <w:rPr>
          <w:color w:val="231F20"/>
          <w:spacing w:val="-6"/>
          <w:w w:val="110"/>
        </w:rPr>
        <w:t> </w:t>
      </w:r>
      <w:r>
        <w:rPr>
          <w:color w:val="231F20"/>
          <w:w w:val="110"/>
        </w:rPr>
        <w:t>y</w:t>
      </w:r>
      <w:r>
        <w:rPr>
          <w:color w:val="231F20"/>
          <w:spacing w:val="-6"/>
          <w:w w:val="110"/>
        </w:rPr>
        <w:t> </w:t>
      </w:r>
      <w:r>
        <w:rPr>
          <w:color w:val="231F20"/>
          <w:w w:val="110"/>
        </w:rPr>
        <w:t>la</w:t>
      </w:r>
      <w:r>
        <w:rPr>
          <w:color w:val="231F20"/>
          <w:spacing w:val="-6"/>
          <w:w w:val="110"/>
        </w:rPr>
        <w:t> </w:t>
      </w:r>
      <w:r>
        <w:rPr>
          <w:color w:val="231F20"/>
          <w:w w:val="110"/>
        </w:rPr>
        <w:t>mortalidad.</w:t>
      </w:r>
      <w:r>
        <w:rPr>
          <w:color w:val="231F20"/>
          <w:spacing w:val="-6"/>
          <w:w w:val="110"/>
        </w:rPr>
        <w:t> </w:t>
      </w:r>
      <w:r>
        <w:rPr>
          <w:color w:val="231F20"/>
          <w:w w:val="110"/>
        </w:rPr>
        <w:t>Estos</w:t>
      </w:r>
      <w:r>
        <w:rPr>
          <w:color w:val="231F20"/>
          <w:spacing w:val="-6"/>
          <w:w w:val="110"/>
        </w:rPr>
        <w:t> </w:t>
      </w:r>
      <w:r>
        <w:rPr>
          <w:color w:val="231F20"/>
          <w:w w:val="110"/>
        </w:rPr>
        <w:t>indicadores</w:t>
      </w:r>
      <w:r>
        <w:rPr>
          <w:color w:val="231F20"/>
          <w:spacing w:val="-6"/>
          <w:w w:val="110"/>
        </w:rPr>
        <w:t> </w:t>
      </w:r>
      <w:r>
        <w:rPr>
          <w:color w:val="231F20"/>
          <w:w w:val="110"/>
        </w:rPr>
        <w:t>han</w:t>
      </w:r>
      <w:r>
        <w:rPr>
          <w:color w:val="231F20"/>
          <w:spacing w:val="-6"/>
          <w:w w:val="110"/>
        </w:rPr>
        <w:t> </w:t>
      </w:r>
      <w:r>
        <w:rPr>
          <w:color w:val="231F20"/>
          <w:w w:val="110"/>
        </w:rPr>
        <w:t>contribuido a la transformación de la estructura de edad y sexo de la población. En  este sentido, el número de hijos por mujer ha disminuido de 6.8 en los años setenta a 2.3 hijos en el año 2000 (García </w:t>
      </w:r>
      <w:r>
        <w:rPr>
          <w:i/>
          <w:color w:val="231F20"/>
          <w:w w:val="110"/>
        </w:rPr>
        <w:t>et al</w:t>
      </w:r>
      <w:r>
        <w:rPr>
          <w:color w:val="231F20"/>
          <w:w w:val="110"/>
        </w:rPr>
        <w:t>., 2003; Tuirán, 1998), y para el año 2010 se está casi en el nivel del reemplazo</w:t>
      </w:r>
      <w:r>
        <w:rPr>
          <w:color w:val="231F20"/>
          <w:spacing w:val="-15"/>
          <w:w w:val="110"/>
        </w:rPr>
        <w:t> </w:t>
      </w:r>
      <w:r>
        <w:rPr>
          <w:color w:val="231F20"/>
          <w:w w:val="110"/>
        </w:rPr>
        <w:t>intergeneracional, es </w:t>
      </w:r>
      <w:r>
        <w:rPr>
          <w:color w:val="231F20"/>
          <w:spacing w:val="-3"/>
          <w:w w:val="110"/>
        </w:rPr>
        <w:t>decir, </w:t>
      </w:r>
      <w:r>
        <w:rPr>
          <w:color w:val="231F20"/>
          <w:w w:val="110"/>
        </w:rPr>
        <w:t>de 2.05 (Mendoza y </w:t>
      </w:r>
      <w:r>
        <w:rPr>
          <w:color w:val="231F20"/>
          <w:spacing w:val="-3"/>
          <w:w w:val="110"/>
        </w:rPr>
        <w:t>Tapia, </w:t>
      </w:r>
      <w:r>
        <w:rPr>
          <w:color w:val="231F20"/>
          <w:w w:val="110"/>
        </w:rPr>
        <w:t>2010; Montoya y Montes de Oca, 2010; Conapo, 2008). La participación en la actividad económica y el aumento</w:t>
      </w:r>
      <w:r>
        <w:rPr>
          <w:color w:val="231F20"/>
          <w:spacing w:val="-29"/>
          <w:w w:val="110"/>
        </w:rPr>
        <w:t> </w:t>
      </w:r>
      <w:r>
        <w:rPr>
          <w:color w:val="231F20"/>
          <w:w w:val="110"/>
        </w:rPr>
        <w:t>en el nivel de educación de la mujer son factores que han contribuido a la disminución de la tasa de</w:t>
      </w:r>
      <w:r>
        <w:rPr>
          <w:color w:val="231F20"/>
          <w:spacing w:val="41"/>
          <w:w w:val="110"/>
        </w:rPr>
        <w:t> </w:t>
      </w:r>
      <w:r>
        <w:rPr>
          <w:color w:val="231F20"/>
          <w:w w:val="110"/>
        </w:rPr>
        <w:t>fecundidad.</w:t>
      </w:r>
    </w:p>
    <w:p>
      <w:pPr>
        <w:spacing w:after="0" w:line="288" w:lineRule="auto"/>
        <w:jc w:val="both"/>
        <w:sectPr>
          <w:pgSz w:w="9520" w:h="12920"/>
          <w:pgMar w:header="0" w:footer="1344" w:top="880" w:bottom="1540" w:left="1320" w:right="1000"/>
        </w:sectPr>
      </w:pPr>
    </w:p>
    <w:p>
      <w:pPr>
        <w:pStyle w:val="BodyText"/>
      </w:pPr>
    </w:p>
    <w:p>
      <w:pPr>
        <w:pStyle w:val="BodyText"/>
      </w:pPr>
    </w:p>
    <w:p>
      <w:pPr>
        <w:pStyle w:val="BodyText"/>
      </w:pPr>
    </w:p>
    <w:p>
      <w:pPr>
        <w:pStyle w:val="BodyText"/>
      </w:pPr>
    </w:p>
    <w:p>
      <w:pPr>
        <w:pStyle w:val="BodyText"/>
      </w:pPr>
    </w:p>
    <w:p>
      <w:pPr>
        <w:pStyle w:val="BodyText"/>
      </w:pPr>
    </w:p>
    <w:p>
      <w:pPr>
        <w:pStyle w:val="BodyText"/>
        <w:spacing w:before="6"/>
      </w:pPr>
    </w:p>
    <w:p>
      <w:pPr>
        <w:spacing w:line="185" w:lineRule="exact" w:before="79"/>
        <w:ind w:left="3000" w:right="2963" w:firstLine="0"/>
        <w:jc w:val="center"/>
        <w:rPr>
          <w:sz w:val="16"/>
        </w:rPr>
      </w:pPr>
      <w:r>
        <w:rPr>
          <w:color w:val="231F20"/>
          <w:w w:val="105"/>
          <w:sz w:val="16"/>
        </w:rPr>
        <w:t>Cuadro 1</w:t>
      </w:r>
    </w:p>
    <w:p>
      <w:pPr>
        <w:spacing w:line="210" w:lineRule="exact" w:before="9"/>
        <w:ind w:left="3002" w:right="2963" w:firstLine="0"/>
        <w:jc w:val="center"/>
        <w:rPr>
          <w:sz w:val="19"/>
        </w:rPr>
      </w:pPr>
      <w:r>
        <w:rPr>
          <w:color w:val="231F20"/>
          <w:w w:val="90"/>
          <w:sz w:val="19"/>
        </w:rPr>
        <w:t>Población total, población de 65 años y más y tasas de crecimiento</w:t>
      </w:r>
      <w:r>
        <w:rPr>
          <w:color w:val="231F20"/>
          <w:w w:val="86"/>
          <w:sz w:val="19"/>
        </w:rPr>
        <w:t> </w:t>
      </w:r>
      <w:r>
        <w:rPr>
          <w:color w:val="231F20"/>
          <w:w w:val="90"/>
          <w:sz w:val="19"/>
        </w:rPr>
        <w:t>de las cinco </w:t>
      </w:r>
      <w:r>
        <w:rPr>
          <w:rFonts w:ascii="Times New Roman" w:hAnsi="Times New Roman"/>
          <w:color w:val="231F20"/>
          <w:w w:val="90"/>
          <w:sz w:val="15"/>
        </w:rPr>
        <w:t>ZM </w:t>
      </w:r>
      <w:r>
        <w:rPr>
          <w:color w:val="231F20"/>
          <w:w w:val="90"/>
          <w:sz w:val="19"/>
        </w:rPr>
        <w:t>más grandes de México, 1990-2010</w:t>
      </w:r>
    </w:p>
    <w:p>
      <w:pPr>
        <w:pStyle w:val="BodyText"/>
        <w:spacing w:before="6"/>
        <w:rPr>
          <w:sz w:val="13"/>
        </w:rPr>
      </w:pPr>
      <w:r>
        <w:rPr/>
        <w:pict>
          <v:group style="position:absolute;margin-left:69.668701pt;margin-top:9.89964pt;width:527.450pt;height:.4pt;mso-position-horizontal-relative:page;mso-position-vertical-relative:paragraph;z-index:4552;mso-wrap-distance-left:0;mso-wrap-distance-right:0" coordorigin="1393,198" coordsize="10549,8">
            <v:line style="position:absolute" from="1397,202" to="2950,202" stroked="true" strokeweight=".4pt" strokecolor="#231f20"/>
            <v:line style="position:absolute" from="2950,202" to="4078,202" stroked="true" strokeweight=".4pt" strokecolor="#231f20"/>
            <v:line style="position:absolute" from="4078,202" to="5194,202" stroked="true" strokeweight=".4pt" strokecolor="#231f20"/>
            <v:line style="position:absolute" from="5194,202" to="6418,202" stroked="true" strokeweight=".4pt" strokecolor="#231f20"/>
            <v:line style="position:absolute" from="6418,202" to="7085,202" stroked="true" strokeweight=".4pt" strokecolor="#231f20"/>
            <v:line style="position:absolute" from="7085,202" to="7745,202" stroked="true" strokeweight=".4pt" strokecolor="#231f20"/>
            <v:line style="position:absolute" from="7745,202" to="8724,202" stroked="true" strokeweight=".4pt" strokecolor="#231f20"/>
            <v:line style="position:absolute" from="8724,202" to="9670,202" stroked="true" strokeweight=".4pt" strokecolor="#231f20"/>
            <v:line style="position:absolute" from="9670,202" to="10618,202" stroked="true" strokeweight=".4pt" strokecolor="#231f20"/>
            <v:line style="position:absolute" from="10618,202" to="11290,202" stroked="true" strokeweight=".4pt" strokecolor="#231f20"/>
            <v:line style="position:absolute" from="11290,202" to="11938,202" stroked="true" strokeweight=".4pt" strokecolor="#231f20"/>
            <w10:wrap type="topAndBottom"/>
          </v:group>
        </w:pict>
      </w:r>
    </w:p>
    <w:p>
      <w:pPr>
        <w:spacing w:after="0"/>
        <w:rPr>
          <w:sz w:val="13"/>
        </w:rPr>
        <w:sectPr>
          <w:footerReference w:type="even" r:id="rId182"/>
          <w:pgSz w:w="12920" w:h="9520" w:orient="landscape"/>
          <w:pgMar w:footer="0" w:header="0" w:top="880" w:bottom="280" w:left="1260" w:right="860"/>
        </w:sectPr>
      </w:pPr>
    </w:p>
    <w:p>
      <w:pPr>
        <w:pStyle w:val="BodyText"/>
        <w:rPr>
          <w:sz w:val="21"/>
        </w:rPr>
      </w:pPr>
    </w:p>
    <w:p>
      <w:pPr>
        <w:spacing w:before="1"/>
        <w:ind w:left="0" w:right="0" w:firstLine="0"/>
        <w:jc w:val="right"/>
        <w:rPr>
          <w:i/>
          <w:sz w:val="17"/>
        </w:rPr>
      </w:pPr>
      <w:r>
        <w:rPr>
          <w:i/>
          <w:color w:val="231F20"/>
          <w:sz w:val="17"/>
        </w:rPr>
        <w:t>Población</w:t>
      </w:r>
    </w:p>
    <w:p>
      <w:pPr>
        <w:spacing w:line="195" w:lineRule="exact" w:before="57"/>
        <w:ind w:left="0" w:right="372" w:firstLine="0"/>
        <w:jc w:val="right"/>
        <w:rPr>
          <w:i/>
          <w:sz w:val="17"/>
        </w:rPr>
      </w:pPr>
      <w:r>
        <w:rPr/>
        <w:br w:type="column"/>
      </w:r>
      <w:r>
        <w:rPr>
          <w:i/>
          <w:color w:val="231F20"/>
          <w:w w:val="105"/>
          <w:sz w:val="17"/>
        </w:rPr>
        <w:t>Tasa</w:t>
      </w:r>
    </w:p>
    <w:p>
      <w:pPr>
        <w:spacing w:line="195" w:lineRule="exact" w:before="0"/>
        <w:ind w:left="1457" w:right="0" w:firstLine="0"/>
        <w:jc w:val="center"/>
        <w:rPr>
          <w:i/>
          <w:sz w:val="17"/>
        </w:rPr>
      </w:pPr>
      <w:r>
        <w:rPr/>
        <w:pict>
          <v:line style="position:absolute;mso-position-horizontal-relative:page;mso-position-vertical-relative:paragraph;z-index:-454288" from="387.670013pt,10.544104pt" to="387.670013pt,17.144104pt" stroked="true" strokeweight="3pt" strokecolor="#ffffff">
            <w10:wrap type="none"/>
          </v:line>
        </w:pict>
      </w:r>
      <w:r>
        <w:rPr>
          <w:i/>
          <w:color w:val="231F20"/>
          <w:w w:val="105"/>
          <w:sz w:val="17"/>
        </w:rPr>
        <w:t>de crecimiento</w:t>
      </w:r>
    </w:p>
    <w:p>
      <w:pPr>
        <w:pStyle w:val="BodyText"/>
        <w:rPr>
          <w:i/>
          <w:sz w:val="21"/>
        </w:rPr>
      </w:pPr>
      <w:r>
        <w:rPr/>
        <w:br w:type="column"/>
      </w:r>
      <w:r>
        <w:rPr>
          <w:i/>
          <w:sz w:val="21"/>
        </w:rPr>
      </w:r>
    </w:p>
    <w:p>
      <w:pPr>
        <w:spacing w:before="1"/>
        <w:ind w:left="466" w:right="0" w:firstLine="0"/>
        <w:jc w:val="left"/>
        <w:rPr>
          <w:i/>
          <w:sz w:val="17"/>
        </w:rPr>
      </w:pPr>
      <w:r>
        <w:rPr>
          <w:i/>
          <w:color w:val="231F20"/>
          <w:w w:val="105"/>
          <w:sz w:val="17"/>
        </w:rPr>
        <w:t>Población de 65 años y más</w:t>
      </w:r>
    </w:p>
    <w:p>
      <w:pPr>
        <w:spacing w:line="195" w:lineRule="exact" w:before="57"/>
        <w:ind w:left="465" w:right="219" w:firstLine="0"/>
        <w:jc w:val="center"/>
        <w:rPr>
          <w:i/>
          <w:sz w:val="17"/>
        </w:rPr>
      </w:pPr>
      <w:r>
        <w:rPr/>
        <w:br w:type="column"/>
      </w:r>
      <w:r>
        <w:rPr>
          <w:i/>
          <w:color w:val="231F20"/>
          <w:w w:val="105"/>
          <w:sz w:val="17"/>
        </w:rPr>
        <w:t>Tasa</w:t>
      </w:r>
    </w:p>
    <w:p>
      <w:pPr>
        <w:spacing w:line="195" w:lineRule="exact" w:before="0"/>
        <w:ind w:left="465" w:right="219" w:firstLine="0"/>
        <w:jc w:val="center"/>
        <w:rPr>
          <w:i/>
          <w:sz w:val="17"/>
        </w:rPr>
      </w:pPr>
      <w:r>
        <w:rPr/>
        <w:pict>
          <v:line style="position:absolute;mso-position-horizontal-relative:page;mso-position-vertical-relative:paragraph;z-index:-454312" from="529.169983pt,10.544104pt" to="529.169983pt,17.144104pt" stroked="true" strokeweight="3pt" strokecolor="#ffffff">
            <w10:wrap type="none"/>
          </v:line>
        </w:pict>
      </w:r>
      <w:r>
        <w:rPr>
          <w:i/>
          <w:color w:val="231F20"/>
          <w:w w:val="105"/>
          <w:sz w:val="17"/>
        </w:rPr>
        <w:t>de crecimiento</w:t>
      </w:r>
    </w:p>
    <w:p>
      <w:pPr>
        <w:spacing w:after="0" w:line="195" w:lineRule="exact"/>
        <w:jc w:val="center"/>
        <w:rPr>
          <w:sz w:val="17"/>
        </w:rPr>
        <w:sectPr>
          <w:type w:val="continuous"/>
          <w:pgSz w:w="12920" w:h="9520" w:orient="landscape"/>
          <w:pgMar w:top="0" w:bottom="0" w:left="1260" w:right="860"/>
          <w:cols w:num="4" w:equalWidth="0">
            <w:col w:w="3788" w:space="40"/>
            <w:col w:w="2555" w:space="40"/>
            <w:col w:w="2520" w:space="40"/>
            <w:col w:w="1817"/>
          </w:cols>
        </w:sectPr>
      </w:pPr>
    </w:p>
    <w:p>
      <w:pPr>
        <w:pStyle w:val="BodyText"/>
        <w:spacing w:before="10"/>
        <w:rPr>
          <w:i/>
          <w:sz w:val="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88"/>
        <w:gridCol w:w="1117"/>
        <w:gridCol w:w="1122"/>
        <w:gridCol w:w="1174"/>
        <w:gridCol w:w="88"/>
        <w:gridCol w:w="632"/>
        <w:gridCol w:w="646"/>
        <w:gridCol w:w="977"/>
        <w:gridCol w:w="957"/>
        <w:gridCol w:w="972"/>
        <w:gridCol w:w="649"/>
        <w:gridCol w:w="654"/>
      </w:tblGrid>
      <w:tr>
        <w:trPr>
          <w:trHeight w:val="370" w:hRule="exact"/>
        </w:trPr>
        <w:tc>
          <w:tcPr>
            <w:tcW w:w="1588" w:type="dxa"/>
            <w:tcBorders>
              <w:bottom w:val="single" w:sz="3" w:space="0" w:color="231F20"/>
            </w:tcBorders>
          </w:tcPr>
          <w:p>
            <w:pPr>
              <w:pStyle w:val="TableParagraph"/>
              <w:spacing w:line="240" w:lineRule="auto" w:before="88"/>
              <w:ind w:left="62"/>
              <w:jc w:val="left"/>
              <w:rPr>
                <w:i/>
                <w:sz w:val="17"/>
              </w:rPr>
            </w:pPr>
            <w:r>
              <w:rPr>
                <w:i/>
                <w:color w:val="231F20"/>
                <w:w w:val="105"/>
                <w:sz w:val="17"/>
              </w:rPr>
              <w:t>Zona Metropolitana</w:t>
            </w:r>
          </w:p>
        </w:tc>
        <w:tc>
          <w:tcPr>
            <w:tcW w:w="1117" w:type="dxa"/>
            <w:tcBorders>
              <w:top w:val="single" w:sz="3" w:space="0" w:color="231F20"/>
              <w:bottom w:val="single" w:sz="3" w:space="0" w:color="231F20"/>
            </w:tcBorders>
          </w:tcPr>
          <w:p>
            <w:pPr>
              <w:pStyle w:val="TableParagraph"/>
              <w:spacing w:line="240" w:lineRule="auto" w:before="84"/>
              <w:ind w:left="364" w:right="353"/>
              <w:rPr>
                <w:i/>
                <w:sz w:val="17"/>
              </w:rPr>
            </w:pPr>
            <w:r>
              <w:rPr>
                <w:i/>
                <w:color w:val="231F20"/>
                <w:sz w:val="17"/>
              </w:rPr>
              <w:t>1990</w:t>
            </w:r>
          </w:p>
        </w:tc>
        <w:tc>
          <w:tcPr>
            <w:tcW w:w="1122" w:type="dxa"/>
            <w:tcBorders>
              <w:top w:val="single" w:sz="3" w:space="0" w:color="231F20"/>
              <w:bottom w:val="single" w:sz="3" w:space="0" w:color="231F20"/>
            </w:tcBorders>
          </w:tcPr>
          <w:p>
            <w:pPr>
              <w:pStyle w:val="TableParagraph"/>
              <w:spacing w:line="240" w:lineRule="auto" w:before="84"/>
              <w:ind w:left="369" w:right="353"/>
              <w:rPr>
                <w:i/>
                <w:sz w:val="17"/>
              </w:rPr>
            </w:pPr>
            <w:r>
              <w:rPr>
                <w:i/>
                <w:color w:val="231F20"/>
                <w:sz w:val="17"/>
              </w:rPr>
              <w:t>2000</w:t>
            </w:r>
          </w:p>
        </w:tc>
        <w:tc>
          <w:tcPr>
            <w:tcW w:w="1174" w:type="dxa"/>
            <w:tcBorders>
              <w:top w:val="single" w:sz="3" w:space="0" w:color="231F20"/>
              <w:bottom w:val="single" w:sz="3" w:space="0" w:color="231F20"/>
            </w:tcBorders>
          </w:tcPr>
          <w:p>
            <w:pPr>
              <w:pStyle w:val="TableParagraph"/>
              <w:spacing w:line="240" w:lineRule="auto" w:before="84"/>
              <w:ind w:left="110" w:right="51"/>
              <w:rPr>
                <w:i/>
                <w:sz w:val="17"/>
              </w:rPr>
            </w:pPr>
            <w:r>
              <w:rPr>
                <w:i/>
                <w:color w:val="231F20"/>
                <w:sz w:val="17"/>
              </w:rPr>
              <w:t>2010</w:t>
            </w:r>
          </w:p>
        </w:tc>
        <w:tc>
          <w:tcPr>
            <w:tcW w:w="88" w:type="dxa"/>
            <w:tcBorders>
              <w:bottom w:val="single" w:sz="3" w:space="0" w:color="231F20"/>
            </w:tcBorders>
          </w:tcPr>
          <w:p>
            <w:pPr/>
          </w:p>
        </w:tc>
        <w:tc>
          <w:tcPr>
            <w:tcW w:w="632" w:type="dxa"/>
            <w:tcBorders>
              <w:top w:val="single" w:sz="3" w:space="0" w:color="231F20"/>
              <w:bottom w:val="single" w:sz="3" w:space="0" w:color="231F20"/>
            </w:tcBorders>
          </w:tcPr>
          <w:p>
            <w:pPr>
              <w:pStyle w:val="TableParagraph"/>
              <w:spacing w:line="240" w:lineRule="auto" w:before="84"/>
              <w:ind w:left="98"/>
              <w:jc w:val="left"/>
              <w:rPr>
                <w:i/>
                <w:sz w:val="17"/>
              </w:rPr>
            </w:pPr>
            <w:r>
              <w:rPr>
                <w:i/>
                <w:color w:val="231F20"/>
                <w:sz w:val="17"/>
              </w:rPr>
              <w:t>90-00</w:t>
            </w:r>
          </w:p>
        </w:tc>
        <w:tc>
          <w:tcPr>
            <w:tcW w:w="646" w:type="dxa"/>
            <w:tcBorders>
              <w:top w:val="single" w:sz="3" w:space="0" w:color="231F20"/>
              <w:bottom w:val="single" w:sz="3" w:space="0" w:color="231F20"/>
            </w:tcBorders>
          </w:tcPr>
          <w:p>
            <w:pPr>
              <w:pStyle w:val="TableParagraph"/>
              <w:spacing w:line="240" w:lineRule="auto" w:before="84"/>
              <w:ind w:left="104" w:right="87"/>
              <w:rPr>
                <w:i/>
                <w:sz w:val="17"/>
              </w:rPr>
            </w:pPr>
            <w:r>
              <w:rPr>
                <w:i/>
                <w:color w:val="231F20"/>
                <w:sz w:val="17"/>
              </w:rPr>
              <w:t>00-10</w:t>
            </w:r>
          </w:p>
        </w:tc>
        <w:tc>
          <w:tcPr>
            <w:tcW w:w="977" w:type="dxa"/>
            <w:tcBorders>
              <w:top w:val="single" w:sz="3" w:space="0" w:color="231F20"/>
              <w:bottom w:val="single" w:sz="3" w:space="0" w:color="231F20"/>
            </w:tcBorders>
          </w:tcPr>
          <w:p>
            <w:pPr>
              <w:pStyle w:val="TableParagraph"/>
              <w:spacing w:line="240" w:lineRule="auto" w:before="84"/>
              <w:ind w:left="332"/>
              <w:jc w:val="left"/>
              <w:rPr>
                <w:i/>
                <w:sz w:val="17"/>
              </w:rPr>
            </w:pPr>
            <w:r>
              <w:rPr>
                <w:i/>
                <w:color w:val="231F20"/>
                <w:sz w:val="17"/>
              </w:rPr>
              <w:t>1990</w:t>
            </w:r>
          </w:p>
        </w:tc>
        <w:tc>
          <w:tcPr>
            <w:tcW w:w="957" w:type="dxa"/>
            <w:tcBorders>
              <w:top w:val="single" w:sz="3" w:space="0" w:color="231F20"/>
              <w:bottom w:val="single" w:sz="3" w:space="0" w:color="231F20"/>
            </w:tcBorders>
          </w:tcPr>
          <w:p>
            <w:pPr>
              <w:pStyle w:val="TableParagraph"/>
              <w:spacing w:line="240" w:lineRule="auto" w:before="84"/>
              <w:ind w:left="317"/>
              <w:jc w:val="left"/>
              <w:rPr>
                <w:i/>
                <w:sz w:val="17"/>
              </w:rPr>
            </w:pPr>
            <w:r>
              <w:rPr>
                <w:i/>
                <w:color w:val="231F20"/>
                <w:sz w:val="17"/>
              </w:rPr>
              <w:t>2000</w:t>
            </w:r>
          </w:p>
        </w:tc>
        <w:tc>
          <w:tcPr>
            <w:tcW w:w="972" w:type="dxa"/>
            <w:tcBorders>
              <w:top w:val="single" w:sz="3" w:space="0" w:color="231F20"/>
              <w:bottom w:val="single" w:sz="3" w:space="0" w:color="231F20"/>
            </w:tcBorders>
          </w:tcPr>
          <w:p>
            <w:pPr>
              <w:pStyle w:val="TableParagraph"/>
              <w:spacing w:line="240" w:lineRule="auto" w:before="84"/>
              <w:ind w:left="307"/>
              <w:jc w:val="left"/>
              <w:rPr>
                <w:i/>
                <w:sz w:val="17"/>
              </w:rPr>
            </w:pPr>
            <w:r>
              <w:rPr>
                <w:i/>
                <w:color w:val="231F20"/>
                <w:sz w:val="17"/>
              </w:rPr>
              <w:t>2010</w:t>
            </w:r>
          </w:p>
        </w:tc>
        <w:tc>
          <w:tcPr>
            <w:tcW w:w="649" w:type="dxa"/>
            <w:tcBorders>
              <w:top w:val="single" w:sz="3" w:space="0" w:color="231F20"/>
              <w:bottom w:val="single" w:sz="3" w:space="0" w:color="231F20"/>
            </w:tcBorders>
          </w:tcPr>
          <w:p>
            <w:pPr>
              <w:pStyle w:val="TableParagraph"/>
              <w:spacing w:line="240" w:lineRule="auto" w:before="84"/>
              <w:ind w:left="93" w:right="102"/>
              <w:rPr>
                <w:i/>
                <w:sz w:val="17"/>
              </w:rPr>
            </w:pPr>
            <w:r>
              <w:rPr>
                <w:i/>
                <w:color w:val="231F20"/>
                <w:sz w:val="17"/>
              </w:rPr>
              <w:t>90-00</w:t>
            </w:r>
          </w:p>
        </w:tc>
        <w:tc>
          <w:tcPr>
            <w:tcW w:w="654" w:type="dxa"/>
            <w:tcBorders>
              <w:top w:val="single" w:sz="3" w:space="0" w:color="231F20"/>
              <w:bottom w:val="single" w:sz="3" w:space="0" w:color="231F20"/>
            </w:tcBorders>
          </w:tcPr>
          <w:p>
            <w:pPr>
              <w:pStyle w:val="TableParagraph"/>
              <w:spacing w:line="240" w:lineRule="auto" w:before="84"/>
              <w:ind w:left="103" w:right="97"/>
              <w:rPr>
                <w:i/>
                <w:sz w:val="17"/>
              </w:rPr>
            </w:pPr>
            <w:r>
              <w:rPr>
                <w:i/>
                <w:color w:val="231F20"/>
                <w:sz w:val="17"/>
              </w:rPr>
              <w:t>00-10</w:t>
            </w:r>
          </w:p>
        </w:tc>
      </w:tr>
      <w:tr>
        <w:trPr>
          <w:trHeight w:val="303" w:hRule="exact"/>
        </w:trPr>
        <w:tc>
          <w:tcPr>
            <w:tcW w:w="1588" w:type="dxa"/>
          </w:tcPr>
          <w:p>
            <w:pPr>
              <w:pStyle w:val="TableParagraph"/>
              <w:spacing w:line="240" w:lineRule="auto" w:before="84"/>
              <w:ind w:left="35"/>
              <w:jc w:val="left"/>
              <w:rPr>
                <w:sz w:val="17"/>
              </w:rPr>
            </w:pPr>
            <w:r>
              <w:rPr>
                <w:color w:val="231F20"/>
                <w:w w:val="110"/>
                <w:sz w:val="17"/>
              </w:rPr>
              <w:t>Nacional</w:t>
            </w:r>
          </w:p>
        </w:tc>
        <w:tc>
          <w:tcPr>
            <w:tcW w:w="1117" w:type="dxa"/>
          </w:tcPr>
          <w:p>
            <w:pPr>
              <w:pStyle w:val="TableParagraph"/>
              <w:spacing w:line="240" w:lineRule="auto" w:before="84"/>
              <w:ind w:right="126"/>
              <w:jc w:val="right"/>
              <w:rPr>
                <w:sz w:val="17"/>
              </w:rPr>
            </w:pPr>
            <w:r>
              <w:rPr>
                <w:color w:val="231F20"/>
                <w:w w:val="105"/>
                <w:sz w:val="17"/>
              </w:rPr>
              <w:t>80,757,380</w:t>
            </w:r>
          </w:p>
        </w:tc>
        <w:tc>
          <w:tcPr>
            <w:tcW w:w="1122" w:type="dxa"/>
          </w:tcPr>
          <w:p>
            <w:pPr>
              <w:pStyle w:val="TableParagraph"/>
              <w:spacing w:line="240" w:lineRule="auto" w:before="84"/>
              <w:ind w:right="132"/>
              <w:jc w:val="right"/>
              <w:rPr>
                <w:sz w:val="17"/>
              </w:rPr>
            </w:pPr>
            <w:r>
              <w:rPr>
                <w:color w:val="231F20"/>
                <w:w w:val="105"/>
                <w:sz w:val="17"/>
              </w:rPr>
              <w:t>95,429,611</w:t>
            </w:r>
          </w:p>
        </w:tc>
        <w:tc>
          <w:tcPr>
            <w:tcW w:w="1174" w:type="dxa"/>
          </w:tcPr>
          <w:p>
            <w:pPr>
              <w:pStyle w:val="TableParagraph"/>
              <w:spacing w:line="240" w:lineRule="auto" w:before="84"/>
              <w:ind w:left="110" w:right="61"/>
              <w:rPr>
                <w:sz w:val="17"/>
              </w:rPr>
            </w:pPr>
            <w:r>
              <w:rPr>
                <w:color w:val="231F20"/>
                <w:w w:val="105"/>
                <w:sz w:val="17"/>
              </w:rPr>
              <w:t>112,336,538</w:t>
            </w:r>
          </w:p>
        </w:tc>
        <w:tc>
          <w:tcPr>
            <w:tcW w:w="720" w:type="dxa"/>
            <w:gridSpan w:val="2"/>
          </w:tcPr>
          <w:p>
            <w:pPr>
              <w:pStyle w:val="TableParagraph"/>
              <w:spacing w:line="240" w:lineRule="auto" w:before="84"/>
              <w:ind w:left="269"/>
              <w:jc w:val="left"/>
              <w:rPr>
                <w:sz w:val="17"/>
              </w:rPr>
            </w:pPr>
            <w:r>
              <w:rPr>
                <w:color w:val="231F20"/>
                <w:w w:val="105"/>
                <w:sz w:val="17"/>
              </w:rPr>
              <w:t>1.7</w:t>
            </w:r>
          </w:p>
        </w:tc>
        <w:tc>
          <w:tcPr>
            <w:tcW w:w="646" w:type="dxa"/>
          </w:tcPr>
          <w:p>
            <w:pPr>
              <w:pStyle w:val="TableParagraph"/>
              <w:spacing w:line="240" w:lineRule="auto" w:before="84"/>
              <w:ind w:left="104" w:right="87"/>
              <w:rPr>
                <w:sz w:val="17"/>
              </w:rPr>
            </w:pPr>
            <w:r>
              <w:rPr>
                <w:color w:val="231F20"/>
                <w:w w:val="105"/>
                <w:sz w:val="17"/>
              </w:rPr>
              <w:t>1.6</w:t>
            </w:r>
          </w:p>
        </w:tc>
        <w:tc>
          <w:tcPr>
            <w:tcW w:w="977" w:type="dxa"/>
          </w:tcPr>
          <w:p>
            <w:pPr>
              <w:pStyle w:val="TableParagraph"/>
              <w:spacing w:line="240" w:lineRule="auto" w:before="84"/>
              <w:ind w:right="100"/>
              <w:jc w:val="right"/>
              <w:rPr>
                <w:sz w:val="17"/>
              </w:rPr>
            </w:pPr>
            <w:r>
              <w:rPr>
                <w:color w:val="231F20"/>
                <w:sz w:val="17"/>
              </w:rPr>
              <w:t>3,376,841</w:t>
            </w:r>
          </w:p>
        </w:tc>
        <w:tc>
          <w:tcPr>
            <w:tcW w:w="957" w:type="dxa"/>
          </w:tcPr>
          <w:p>
            <w:pPr>
              <w:pStyle w:val="TableParagraph"/>
              <w:spacing w:line="240" w:lineRule="auto" w:before="84"/>
              <w:ind w:right="90"/>
              <w:jc w:val="right"/>
              <w:rPr>
                <w:sz w:val="17"/>
              </w:rPr>
            </w:pPr>
            <w:r>
              <w:rPr>
                <w:color w:val="231F20"/>
                <w:sz w:val="17"/>
              </w:rPr>
              <w:t>4,750,311</w:t>
            </w:r>
          </w:p>
        </w:tc>
        <w:tc>
          <w:tcPr>
            <w:tcW w:w="972" w:type="dxa"/>
          </w:tcPr>
          <w:p>
            <w:pPr>
              <w:pStyle w:val="TableParagraph"/>
              <w:spacing w:line="240" w:lineRule="auto" w:before="84"/>
              <w:ind w:right="115"/>
              <w:jc w:val="right"/>
              <w:rPr>
                <w:sz w:val="17"/>
              </w:rPr>
            </w:pPr>
            <w:r>
              <w:rPr>
                <w:color w:val="231F20"/>
                <w:sz w:val="17"/>
              </w:rPr>
              <w:t>6,938,913</w:t>
            </w:r>
          </w:p>
        </w:tc>
        <w:tc>
          <w:tcPr>
            <w:tcW w:w="649" w:type="dxa"/>
          </w:tcPr>
          <w:p>
            <w:pPr>
              <w:pStyle w:val="TableParagraph"/>
              <w:spacing w:line="240" w:lineRule="auto" w:before="84"/>
              <w:ind w:left="93" w:right="102"/>
              <w:rPr>
                <w:sz w:val="17"/>
              </w:rPr>
            </w:pPr>
            <w:r>
              <w:rPr>
                <w:color w:val="231F20"/>
                <w:w w:val="105"/>
                <w:sz w:val="17"/>
              </w:rPr>
              <w:t>3.5</w:t>
            </w:r>
          </w:p>
        </w:tc>
        <w:tc>
          <w:tcPr>
            <w:tcW w:w="654" w:type="dxa"/>
          </w:tcPr>
          <w:p>
            <w:pPr>
              <w:pStyle w:val="TableParagraph"/>
              <w:spacing w:line="240" w:lineRule="auto" w:before="84"/>
              <w:ind w:left="102" w:right="97"/>
              <w:rPr>
                <w:sz w:val="17"/>
              </w:rPr>
            </w:pPr>
            <w:r>
              <w:rPr>
                <w:color w:val="231F20"/>
                <w:w w:val="105"/>
                <w:sz w:val="17"/>
              </w:rPr>
              <w:t>3.9</w:t>
            </w:r>
          </w:p>
        </w:tc>
      </w:tr>
      <w:tr>
        <w:trPr>
          <w:trHeight w:val="210" w:hRule="exact"/>
        </w:trPr>
        <w:tc>
          <w:tcPr>
            <w:tcW w:w="1588" w:type="dxa"/>
          </w:tcPr>
          <w:p>
            <w:pPr>
              <w:pStyle w:val="TableParagraph"/>
              <w:ind w:left="35"/>
              <w:jc w:val="left"/>
              <w:rPr>
                <w:rFonts w:ascii="Times New Roman"/>
                <w:sz w:val="13"/>
              </w:rPr>
            </w:pPr>
            <w:r>
              <w:rPr>
                <w:color w:val="231F20"/>
                <w:w w:val="110"/>
                <w:sz w:val="17"/>
              </w:rPr>
              <w:t>Total </w:t>
            </w:r>
            <w:r>
              <w:rPr>
                <w:rFonts w:ascii="Times New Roman"/>
                <w:color w:val="231F20"/>
                <w:w w:val="110"/>
                <w:sz w:val="13"/>
              </w:rPr>
              <w:t>ZM</w:t>
            </w:r>
          </w:p>
        </w:tc>
        <w:tc>
          <w:tcPr>
            <w:tcW w:w="1117" w:type="dxa"/>
          </w:tcPr>
          <w:p>
            <w:pPr>
              <w:pStyle w:val="TableParagraph"/>
              <w:ind w:right="126"/>
              <w:jc w:val="right"/>
              <w:rPr>
                <w:sz w:val="17"/>
              </w:rPr>
            </w:pPr>
            <w:r>
              <w:rPr>
                <w:color w:val="231F20"/>
                <w:w w:val="105"/>
                <w:sz w:val="17"/>
              </w:rPr>
              <w:t>23,901,737</w:t>
            </w:r>
          </w:p>
        </w:tc>
        <w:tc>
          <w:tcPr>
            <w:tcW w:w="1122" w:type="dxa"/>
          </w:tcPr>
          <w:p>
            <w:pPr>
              <w:pStyle w:val="TableParagraph"/>
              <w:ind w:right="132"/>
              <w:jc w:val="right"/>
              <w:rPr>
                <w:sz w:val="17"/>
              </w:rPr>
            </w:pPr>
            <w:r>
              <w:rPr>
                <w:color w:val="231F20"/>
                <w:w w:val="105"/>
                <w:sz w:val="17"/>
              </w:rPr>
              <w:t>28,378,569</w:t>
            </w:r>
          </w:p>
        </w:tc>
        <w:tc>
          <w:tcPr>
            <w:tcW w:w="1174" w:type="dxa"/>
          </w:tcPr>
          <w:p>
            <w:pPr>
              <w:pStyle w:val="TableParagraph"/>
              <w:ind w:left="206" w:right="61"/>
              <w:rPr>
                <w:sz w:val="17"/>
              </w:rPr>
            </w:pPr>
            <w:r>
              <w:rPr>
                <w:color w:val="231F20"/>
                <w:w w:val="105"/>
                <w:sz w:val="17"/>
              </w:rPr>
              <w:t>33,156,235</w:t>
            </w:r>
          </w:p>
        </w:tc>
        <w:tc>
          <w:tcPr>
            <w:tcW w:w="720" w:type="dxa"/>
            <w:gridSpan w:val="2"/>
          </w:tcPr>
          <w:p>
            <w:pPr>
              <w:pStyle w:val="TableParagraph"/>
              <w:ind w:left="269"/>
              <w:jc w:val="left"/>
              <w:rPr>
                <w:sz w:val="17"/>
              </w:rPr>
            </w:pPr>
            <w:r>
              <w:rPr>
                <w:color w:val="231F20"/>
                <w:w w:val="105"/>
                <w:sz w:val="17"/>
              </w:rPr>
              <w:t>1.7</w:t>
            </w:r>
          </w:p>
        </w:tc>
        <w:tc>
          <w:tcPr>
            <w:tcW w:w="646" w:type="dxa"/>
          </w:tcPr>
          <w:p>
            <w:pPr>
              <w:pStyle w:val="TableParagraph"/>
              <w:ind w:left="104" w:right="87"/>
              <w:rPr>
                <w:sz w:val="17"/>
              </w:rPr>
            </w:pPr>
            <w:r>
              <w:rPr>
                <w:color w:val="231F20"/>
                <w:w w:val="105"/>
                <w:sz w:val="17"/>
              </w:rPr>
              <w:t>1.6</w:t>
            </w:r>
          </w:p>
        </w:tc>
        <w:tc>
          <w:tcPr>
            <w:tcW w:w="977" w:type="dxa"/>
          </w:tcPr>
          <w:p>
            <w:pPr>
              <w:pStyle w:val="TableParagraph"/>
              <w:ind w:right="101"/>
              <w:jc w:val="right"/>
              <w:rPr>
                <w:sz w:val="17"/>
              </w:rPr>
            </w:pPr>
            <w:r>
              <w:rPr>
                <w:color w:val="231F20"/>
                <w:sz w:val="17"/>
              </w:rPr>
              <w:t>899,349</w:t>
            </w:r>
          </w:p>
        </w:tc>
        <w:tc>
          <w:tcPr>
            <w:tcW w:w="957" w:type="dxa"/>
          </w:tcPr>
          <w:p>
            <w:pPr>
              <w:pStyle w:val="TableParagraph"/>
              <w:ind w:right="90"/>
              <w:jc w:val="right"/>
              <w:rPr>
                <w:sz w:val="17"/>
              </w:rPr>
            </w:pPr>
            <w:r>
              <w:rPr>
                <w:color w:val="231F20"/>
                <w:sz w:val="17"/>
              </w:rPr>
              <w:t>1,306,467</w:t>
            </w:r>
          </w:p>
        </w:tc>
        <w:tc>
          <w:tcPr>
            <w:tcW w:w="972" w:type="dxa"/>
          </w:tcPr>
          <w:p>
            <w:pPr>
              <w:pStyle w:val="TableParagraph"/>
              <w:ind w:right="115"/>
              <w:jc w:val="right"/>
              <w:rPr>
                <w:sz w:val="17"/>
              </w:rPr>
            </w:pPr>
            <w:r>
              <w:rPr>
                <w:color w:val="231F20"/>
                <w:sz w:val="17"/>
              </w:rPr>
              <w:t>1,928,623</w:t>
            </w:r>
          </w:p>
        </w:tc>
        <w:tc>
          <w:tcPr>
            <w:tcW w:w="649" w:type="dxa"/>
          </w:tcPr>
          <w:p>
            <w:pPr>
              <w:pStyle w:val="TableParagraph"/>
              <w:ind w:left="93" w:right="102"/>
              <w:rPr>
                <w:sz w:val="17"/>
              </w:rPr>
            </w:pPr>
            <w:r>
              <w:rPr>
                <w:color w:val="231F20"/>
                <w:w w:val="105"/>
                <w:sz w:val="17"/>
              </w:rPr>
              <w:t>3.8</w:t>
            </w:r>
          </w:p>
        </w:tc>
        <w:tc>
          <w:tcPr>
            <w:tcW w:w="654" w:type="dxa"/>
          </w:tcPr>
          <w:p>
            <w:pPr>
              <w:pStyle w:val="TableParagraph"/>
              <w:ind w:left="102" w:right="97"/>
              <w:rPr>
                <w:sz w:val="17"/>
              </w:rPr>
            </w:pPr>
            <w:r>
              <w:rPr>
                <w:color w:val="231F20"/>
                <w:w w:val="105"/>
                <w:sz w:val="17"/>
              </w:rPr>
              <w:t>4.0</w:t>
            </w:r>
          </w:p>
        </w:tc>
      </w:tr>
      <w:tr>
        <w:trPr>
          <w:trHeight w:val="210" w:hRule="exact"/>
        </w:trPr>
        <w:tc>
          <w:tcPr>
            <w:tcW w:w="1588" w:type="dxa"/>
          </w:tcPr>
          <w:p>
            <w:pPr>
              <w:pStyle w:val="TableParagraph"/>
              <w:ind w:left="35"/>
              <w:jc w:val="left"/>
              <w:rPr>
                <w:sz w:val="17"/>
              </w:rPr>
            </w:pPr>
            <w:r>
              <w:rPr>
                <w:color w:val="231F20"/>
                <w:w w:val="110"/>
                <w:sz w:val="17"/>
              </w:rPr>
              <w:t>Valle de México</w:t>
            </w:r>
          </w:p>
        </w:tc>
        <w:tc>
          <w:tcPr>
            <w:tcW w:w="1117" w:type="dxa"/>
          </w:tcPr>
          <w:p>
            <w:pPr>
              <w:pStyle w:val="TableParagraph"/>
              <w:ind w:right="126"/>
              <w:jc w:val="right"/>
              <w:rPr>
                <w:sz w:val="17"/>
              </w:rPr>
            </w:pPr>
            <w:r>
              <w:rPr>
                <w:color w:val="231F20"/>
                <w:w w:val="105"/>
                <w:sz w:val="17"/>
              </w:rPr>
              <w:t>15,526,273</w:t>
            </w:r>
          </w:p>
        </w:tc>
        <w:tc>
          <w:tcPr>
            <w:tcW w:w="1122" w:type="dxa"/>
          </w:tcPr>
          <w:p>
            <w:pPr>
              <w:pStyle w:val="TableParagraph"/>
              <w:ind w:right="132"/>
              <w:jc w:val="right"/>
              <w:rPr>
                <w:sz w:val="17"/>
              </w:rPr>
            </w:pPr>
            <w:r>
              <w:rPr>
                <w:color w:val="231F20"/>
                <w:w w:val="105"/>
                <w:sz w:val="17"/>
              </w:rPr>
              <w:t>17,819,297</w:t>
            </w:r>
          </w:p>
        </w:tc>
        <w:tc>
          <w:tcPr>
            <w:tcW w:w="1174" w:type="dxa"/>
          </w:tcPr>
          <w:p>
            <w:pPr>
              <w:pStyle w:val="TableParagraph"/>
              <w:ind w:left="206" w:right="61"/>
              <w:rPr>
                <w:sz w:val="17"/>
              </w:rPr>
            </w:pPr>
            <w:r>
              <w:rPr>
                <w:color w:val="231F20"/>
                <w:w w:val="105"/>
                <w:sz w:val="17"/>
              </w:rPr>
              <w:t>20,116,842</w:t>
            </w:r>
          </w:p>
        </w:tc>
        <w:tc>
          <w:tcPr>
            <w:tcW w:w="720" w:type="dxa"/>
            <w:gridSpan w:val="2"/>
          </w:tcPr>
          <w:p>
            <w:pPr>
              <w:pStyle w:val="TableParagraph"/>
              <w:ind w:left="269"/>
              <w:jc w:val="left"/>
              <w:rPr>
                <w:sz w:val="17"/>
              </w:rPr>
            </w:pPr>
            <w:r>
              <w:rPr>
                <w:color w:val="231F20"/>
                <w:w w:val="105"/>
                <w:sz w:val="17"/>
              </w:rPr>
              <w:t>1.4</w:t>
            </w:r>
          </w:p>
        </w:tc>
        <w:tc>
          <w:tcPr>
            <w:tcW w:w="646" w:type="dxa"/>
          </w:tcPr>
          <w:p>
            <w:pPr>
              <w:pStyle w:val="TableParagraph"/>
              <w:ind w:left="104" w:right="87"/>
              <w:rPr>
                <w:sz w:val="17"/>
              </w:rPr>
            </w:pPr>
            <w:r>
              <w:rPr>
                <w:color w:val="231F20"/>
                <w:w w:val="105"/>
                <w:sz w:val="17"/>
              </w:rPr>
              <w:t>1.2</w:t>
            </w:r>
          </w:p>
        </w:tc>
        <w:tc>
          <w:tcPr>
            <w:tcW w:w="977" w:type="dxa"/>
          </w:tcPr>
          <w:p>
            <w:pPr>
              <w:pStyle w:val="TableParagraph"/>
              <w:ind w:right="101"/>
              <w:jc w:val="right"/>
              <w:rPr>
                <w:sz w:val="17"/>
              </w:rPr>
            </w:pPr>
            <w:r>
              <w:rPr>
                <w:color w:val="231F20"/>
                <w:sz w:val="17"/>
              </w:rPr>
              <w:t>604,533</w:t>
            </w:r>
          </w:p>
        </w:tc>
        <w:tc>
          <w:tcPr>
            <w:tcW w:w="957" w:type="dxa"/>
          </w:tcPr>
          <w:p>
            <w:pPr>
              <w:pStyle w:val="TableParagraph"/>
              <w:ind w:right="90"/>
              <w:jc w:val="right"/>
              <w:rPr>
                <w:sz w:val="17"/>
              </w:rPr>
            </w:pPr>
            <w:r>
              <w:rPr>
                <w:color w:val="231F20"/>
                <w:sz w:val="17"/>
              </w:rPr>
              <w:t>836,126</w:t>
            </w:r>
          </w:p>
        </w:tc>
        <w:tc>
          <w:tcPr>
            <w:tcW w:w="972" w:type="dxa"/>
          </w:tcPr>
          <w:p>
            <w:pPr>
              <w:pStyle w:val="TableParagraph"/>
              <w:ind w:right="115"/>
              <w:jc w:val="right"/>
              <w:rPr>
                <w:sz w:val="17"/>
              </w:rPr>
            </w:pPr>
            <w:r>
              <w:rPr>
                <w:color w:val="231F20"/>
                <w:sz w:val="17"/>
              </w:rPr>
              <w:t>1,229,541</w:t>
            </w:r>
          </w:p>
        </w:tc>
        <w:tc>
          <w:tcPr>
            <w:tcW w:w="649" w:type="dxa"/>
          </w:tcPr>
          <w:p>
            <w:pPr>
              <w:pStyle w:val="TableParagraph"/>
              <w:ind w:left="93" w:right="102"/>
              <w:rPr>
                <w:sz w:val="17"/>
              </w:rPr>
            </w:pPr>
            <w:r>
              <w:rPr>
                <w:color w:val="231F20"/>
                <w:w w:val="105"/>
                <w:sz w:val="17"/>
              </w:rPr>
              <w:t>3.3</w:t>
            </w:r>
          </w:p>
        </w:tc>
        <w:tc>
          <w:tcPr>
            <w:tcW w:w="654" w:type="dxa"/>
          </w:tcPr>
          <w:p>
            <w:pPr>
              <w:pStyle w:val="TableParagraph"/>
              <w:ind w:left="102" w:right="97"/>
              <w:rPr>
                <w:sz w:val="17"/>
              </w:rPr>
            </w:pPr>
            <w:r>
              <w:rPr>
                <w:color w:val="231F20"/>
                <w:w w:val="105"/>
                <w:sz w:val="17"/>
              </w:rPr>
              <w:t>3.9</w:t>
            </w:r>
          </w:p>
        </w:tc>
      </w:tr>
      <w:tr>
        <w:trPr>
          <w:trHeight w:val="210" w:hRule="exact"/>
        </w:trPr>
        <w:tc>
          <w:tcPr>
            <w:tcW w:w="1588" w:type="dxa"/>
          </w:tcPr>
          <w:p>
            <w:pPr>
              <w:pStyle w:val="TableParagraph"/>
              <w:ind w:left="35"/>
              <w:jc w:val="left"/>
              <w:rPr>
                <w:sz w:val="17"/>
              </w:rPr>
            </w:pPr>
            <w:r>
              <w:rPr>
                <w:color w:val="231F20"/>
                <w:w w:val="110"/>
                <w:sz w:val="17"/>
              </w:rPr>
              <w:t>Guadalajara</w:t>
            </w:r>
          </w:p>
        </w:tc>
        <w:tc>
          <w:tcPr>
            <w:tcW w:w="1117" w:type="dxa"/>
          </w:tcPr>
          <w:p>
            <w:pPr>
              <w:pStyle w:val="TableParagraph"/>
              <w:ind w:right="126"/>
              <w:jc w:val="right"/>
              <w:rPr>
                <w:sz w:val="17"/>
              </w:rPr>
            </w:pPr>
            <w:r>
              <w:rPr>
                <w:color w:val="231F20"/>
                <w:sz w:val="17"/>
              </w:rPr>
              <w:t>2,954,355</w:t>
            </w:r>
          </w:p>
        </w:tc>
        <w:tc>
          <w:tcPr>
            <w:tcW w:w="1122" w:type="dxa"/>
          </w:tcPr>
          <w:p>
            <w:pPr>
              <w:pStyle w:val="TableParagraph"/>
              <w:ind w:right="132"/>
              <w:jc w:val="right"/>
              <w:rPr>
                <w:sz w:val="17"/>
              </w:rPr>
            </w:pPr>
            <w:r>
              <w:rPr>
                <w:color w:val="231F20"/>
                <w:sz w:val="17"/>
              </w:rPr>
              <w:t>3,661,789</w:t>
            </w:r>
          </w:p>
        </w:tc>
        <w:tc>
          <w:tcPr>
            <w:tcW w:w="1174" w:type="dxa"/>
          </w:tcPr>
          <w:p>
            <w:pPr>
              <w:pStyle w:val="TableParagraph"/>
              <w:ind w:left="302" w:right="61"/>
              <w:rPr>
                <w:sz w:val="17"/>
              </w:rPr>
            </w:pPr>
            <w:r>
              <w:rPr>
                <w:color w:val="231F20"/>
                <w:w w:val="105"/>
                <w:sz w:val="17"/>
              </w:rPr>
              <w:t>4,434,878</w:t>
            </w:r>
          </w:p>
        </w:tc>
        <w:tc>
          <w:tcPr>
            <w:tcW w:w="720" w:type="dxa"/>
            <w:gridSpan w:val="2"/>
          </w:tcPr>
          <w:p>
            <w:pPr>
              <w:pStyle w:val="TableParagraph"/>
              <w:ind w:left="269"/>
              <w:jc w:val="left"/>
              <w:rPr>
                <w:sz w:val="17"/>
              </w:rPr>
            </w:pPr>
            <w:r>
              <w:rPr>
                <w:color w:val="231F20"/>
                <w:w w:val="105"/>
                <w:sz w:val="17"/>
              </w:rPr>
              <w:t>2.2</w:t>
            </w:r>
          </w:p>
        </w:tc>
        <w:tc>
          <w:tcPr>
            <w:tcW w:w="646" w:type="dxa"/>
          </w:tcPr>
          <w:p>
            <w:pPr>
              <w:pStyle w:val="TableParagraph"/>
              <w:ind w:left="104" w:right="87"/>
              <w:rPr>
                <w:sz w:val="17"/>
              </w:rPr>
            </w:pPr>
            <w:r>
              <w:rPr>
                <w:color w:val="231F20"/>
                <w:w w:val="105"/>
                <w:sz w:val="17"/>
              </w:rPr>
              <w:t>1.9</w:t>
            </w:r>
          </w:p>
        </w:tc>
        <w:tc>
          <w:tcPr>
            <w:tcW w:w="977" w:type="dxa"/>
          </w:tcPr>
          <w:p>
            <w:pPr>
              <w:pStyle w:val="TableParagraph"/>
              <w:ind w:right="101"/>
              <w:jc w:val="right"/>
              <w:rPr>
                <w:sz w:val="17"/>
              </w:rPr>
            </w:pPr>
            <w:r>
              <w:rPr>
                <w:color w:val="231F20"/>
                <w:sz w:val="17"/>
              </w:rPr>
              <w:t>113,163</w:t>
            </w:r>
          </w:p>
        </w:tc>
        <w:tc>
          <w:tcPr>
            <w:tcW w:w="957" w:type="dxa"/>
          </w:tcPr>
          <w:p>
            <w:pPr>
              <w:pStyle w:val="TableParagraph"/>
              <w:ind w:right="90"/>
              <w:jc w:val="right"/>
              <w:rPr>
                <w:sz w:val="17"/>
              </w:rPr>
            </w:pPr>
            <w:r>
              <w:rPr>
                <w:color w:val="231F20"/>
                <w:sz w:val="17"/>
              </w:rPr>
              <w:t>166,815</w:t>
            </w:r>
          </w:p>
        </w:tc>
        <w:tc>
          <w:tcPr>
            <w:tcW w:w="972" w:type="dxa"/>
          </w:tcPr>
          <w:p>
            <w:pPr>
              <w:pStyle w:val="TableParagraph"/>
              <w:ind w:right="115"/>
              <w:jc w:val="right"/>
              <w:rPr>
                <w:sz w:val="17"/>
              </w:rPr>
            </w:pPr>
            <w:r>
              <w:rPr>
                <w:color w:val="231F20"/>
                <w:sz w:val="17"/>
              </w:rPr>
              <w:t>239,929</w:t>
            </w:r>
          </w:p>
        </w:tc>
        <w:tc>
          <w:tcPr>
            <w:tcW w:w="649" w:type="dxa"/>
          </w:tcPr>
          <w:p>
            <w:pPr>
              <w:pStyle w:val="TableParagraph"/>
              <w:ind w:left="93" w:right="102"/>
              <w:rPr>
                <w:sz w:val="17"/>
              </w:rPr>
            </w:pPr>
            <w:r>
              <w:rPr>
                <w:color w:val="231F20"/>
                <w:w w:val="105"/>
                <w:sz w:val="17"/>
              </w:rPr>
              <w:t>4.0</w:t>
            </w:r>
          </w:p>
        </w:tc>
        <w:tc>
          <w:tcPr>
            <w:tcW w:w="654" w:type="dxa"/>
          </w:tcPr>
          <w:p>
            <w:pPr>
              <w:pStyle w:val="TableParagraph"/>
              <w:ind w:left="102" w:right="97"/>
              <w:rPr>
                <w:sz w:val="17"/>
              </w:rPr>
            </w:pPr>
            <w:r>
              <w:rPr>
                <w:color w:val="231F20"/>
                <w:w w:val="105"/>
                <w:sz w:val="17"/>
              </w:rPr>
              <w:t>3.7</w:t>
            </w:r>
          </w:p>
        </w:tc>
      </w:tr>
      <w:tr>
        <w:trPr>
          <w:trHeight w:val="210" w:hRule="exact"/>
        </w:trPr>
        <w:tc>
          <w:tcPr>
            <w:tcW w:w="1588" w:type="dxa"/>
          </w:tcPr>
          <w:p>
            <w:pPr>
              <w:pStyle w:val="TableParagraph"/>
              <w:ind w:left="35"/>
              <w:jc w:val="left"/>
              <w:rPr>
                <w:sz w:val="17"/>
              </w:rPr>
            </w:pPr>
            <w:r>
              <w:rPr>
                <w:color w:val="231F20"/>
                <w:w w:val="110"/>
                <w:sz w:val="17"/>
              </w:rPr>
              <w:t>Monterrey</w:t>
            </w:r>
          </w:p>
        </w:tc>
        <w:tc>
          <w:tcPr>
            <w:tcW w:w="1117" w:type="dxa"/>
          </w:tcPr>
          <w:p>
            <w:pPr>
              <w:pStyle w:val="TableParagraph"/>
              <w:ind w:right="126"/>
              <w:jc w:val="right"/>
              <w:rPr>
                <w:sz w:val="17"/>
              </w:rPr>
            </w:pPr>
            <w:r>
              <w:rPr>
                <w:color w:val="231F20"/>
                <w:sz w:val="17"/>
              </w:rPr>
              <w:t>2,650,899</w:t>
            </w:r>
          </w:p>
        </w:tc>
        <w:tc>
          <w:tcPr>
            <w:tcW w:w="1122" w:type="dxa"/>
          </w:tcPr>
          <w:p>
            <w:pPr>
              <w:pStyle w:val="TableParagraph"/>
              <w:ind w:right="132"/>
              <w:jc w:val="right"/>
              <w:rPr>
                <w:sz w:val="17"/>
              </w:rPr>
            </w:pPr>
            <w:r>
              <w:rPr>
                <w:color w:val="231F20"/>
                <w:sz w:val="17"/>
              </w:rPr>
              <w:t>3,339,655</w:t>
            </w:r>
          </w:p>
        </w:tc>
        <w:tc>
          <w:tcPr>
            <w:tcW w:w="1174" w:type="dxa"/>
          </w:tcPr>
          <w:p>
            <w:pPr>
              <w:pStyle w:val="TableParagraph"/>
              <w:ind w:left="302" w:right="61"/>
              <w:rPr>
                <w:sz w:val="17"/>
              </w:rPr>
            </w:pPr>
            <w:r>
              <w:rPr>
                <w:color w:val="231F20"/>
                <w:w w:val="105"/>
                <w:sz w:val="17"/>
              </w:rPr>
              <w:t>4,089,962</w:t>
            </w:r>
          </w:p>
        </w:tc>
        <w:tc>
          <w:tcPr>
            <w:tcW w:w="720" w:type="dxa"/>
            <w:gridSpan w:val="2"/>
          </w:tcPr>
          <w:p>
            <w:pPr>
              <w:pStyle w:val="TableParagraph"/>
              <w:ind w:left="269"/>
              <w:jc w:val="left"/>
              <w:rPr>
                <w:sz w:val="17"/>
              </w:rPr>
            </w:pPr>
            <w:r>
              <w:rPr>
                <w:color w:val="231F20"/>
                <w:w w:val="105"/>
                <w:sz w:val="17"/>
              </w:rPr>
              <w:t>2.3</w:t>
            </w:r>
          </w:p>
        </w:tc>
        <w:tc>
          <w:tcPr>
            <w:tcW w:w="646" w:type="dxa"/>
          </w:tcPr>
          <w:p>
            <w:pPr>
              <w:pStyle w:val="TableParagraph"/>
              <w:ind w:left="104" w:right="87"/>
              <w:rPr>
                <w:sz w:val="17"/>
              </w:rPr>
            </w:pPr>
            <w:r>
              <w:rPr>
                <w:color w:val="231F20"/>
                <w:w w:val="105"/>
                <w:sz w:val="17"/>
              </w:rPr>
              <w:t>2.0</w:t>
            </w:r>
          </w:p>
        </w:tc>
        <w:tc>
          <w:tcPr>
            <w:tcW w:w="977" w:type="dxa"/>
          </w:tcPr>
          <w:p>
            <w:pPr>
              <w:pStyle w:val="TableParagraph"/>
              <w:ind w:right="101"/>
              <w:jc w:val="right"/>
              <w:rPr>
                <w:sz w:val="17"/>
              </w:rPr>
            </w:pPr>
            <w:r>
              <w:rPr>
                <w:color w:val="231F20"/>
                <w:sz w:val="17"/>
              </w:rPr>
              <w:t>92,919</w:t>
            </w:r>
          </w:p>
        </w:tc>
        <w:tc>
          <w:tcPr>
            <w:tcW w:w="957" w:type="dxa"/>
          </w:tcPr>
          <w:p>
            <w:pPr>
              <w:pStyle w:val="TableParagraph"/>
              <w:ind w:right="90"/>
              <w:jc w:val="right"/>
              <w:rPr>
                <w:sz w:val="17"/>
              </w:rPr>
            </w:pPr>
            <w:r>
              <w:rPr>
                <w:color w:val="231F20"/>
                <w:sz w:val="17"/>
              </w:rPr>
              <w:t>148,748</w:t>
            </w:r>
          </w:p>
        </w:tc>
        <w:tc>
          <w:tcPr>
            <w:tcW w:w="972" w:type="dxa"/>
          </w:tcPr>
          <w:p>
            <w:pPr>
              <w:pStyle w:val="TableParagraph"/>
              <w:ind w:right="115"/>
              <w:jc w:val="right"/>
              <w:rPr>
                <w:sz w:val="17"/>
              </w:rPr>
            </w:pPr>
            <w:r>
              <w:rPr>
                <w:color w:val="231F20"/>
                <w:sz w:val="17"/>
              </w:rPr>
              <w:t>228,007</w:t>
            </w:r>
          </w:p>
        </w:tc>
        <w:tc>
          <w:tcPr>
            <w:tcW w:w="649" w:type="dxa"/>
          </w:tcPr>
          <w:p>
            <w:pPr>
              <w:pStyle w:val="TableParagraph"/>
              <w:ind w:left="93" w:right="102"/>
              <w:rPr>
                <w:sz w:val="17"/>
              </w:rPr>
            </w:pPr>
            <w:r>
              <w:rPr>
                <w:color w:val="231F20"/>
                <w:w w:val="105"/>
                <w:sz w:val="17"/>
              </w:rPr>
              <w:t>4.8</w:t>
            </w:r>
          </w:p>
        </w:tc>
        <w:tc>
          <w:tcPr>
            <w:tcW w:w="654" w:type="dxa"/>
          </w:tcPr>
          <w:p>
            <w:pPr>
              <w:pStyle w:val="TableParagraph"/>
              <w:ind w:left="103" w:right="97"/>
              <w:rPr>
                <w:sz w:val="17"/>
              </w:rPr>
            </w:pPr>
            <w:r>
              <w:rPr>
                <w:color w:val="231F20"/>
                <w:w w:val="105"/>
                <w:sz w:val="17"/>
              </w:rPr>
              <w:t>4.4</w:t>
            </w:r>
          </w:p>
        </w:tc>
      </w:tr>
      <w:tr>
        <w:trPr>
          <w:trHeight w:val="210" w:hRule="exact"/>
        </w:trPr>
        <w:tc>
          <w:tcPr>
            <w:tcW w:w="1588" w:type="dxa"/>
          </w:tcPr>
          <w:p>
            <w:pPr>
              <w:pStyle w:val="TableParagraph"/>
              <w:ind w:left="35"/>
              <w:jc w:val="left"/>
              <w:rPr>
                <w:sz w:val="17"/>
              </w:rPr>
            </w:pPr>
            <w:r>
              <w:rPr>
                <w:color w:val="231F20"/>
                <w:w w:val="105"/>
                <w:sz w:val="17"/>
              </w:rPr>
              <w:t>Puebla-Tlaxcala</w:t>
            </w:r>
          </w:p>
        </w:tc>
        <w:tc>
          <w:tcPr>
            <w:tcW w:w="1117" w:type="dxa"/>
          </w:tcPr>
          <w:p>
            <w:pPr>
              <w:pStyle w:val="TableParagraph"/>
              <w:ind w:right="126"/>
              <w:jc w:val="right"/>
              <w:rPr>
                <w:sz w:val="17"/>
              </w:rPr>
            </w:pPr>
            <w:r>
              <w:rPr>
                <w:color w:val="231F20"/>
                <w:sz w:val="17"/>
              </w:rPr>
              <w:t>1,711,878</w:t>
            </w:r>
          </w:p>
        </w:tc>
        <w:tc>
          <w:tcPr>
            <w:tcW w:w="1122" w:type="dxa"/>
          </w:tcPr>
          <w:p>
            <w:pPr>
              <w:pStyle w:val="TableParagraph"/>
              <w:ind w:right="132"/>
              <w:jc w:val="right"/>
              <w:rPr>
                <w:sz w:val="17"/>
              </w:rPr>
            </w:pPr>
            <w:r>
              <w:rPr>
                <w:color w:val="231F20"/>
                <w:sz w:val="17"/>
              </w:rPr>
              <w:t>2,156,098</w:t>
            </w:r>
          </w:p>
        </w:tc>
        <w:tc>
          <w:tcPr>
            <w:tcW w:w="1174" w:type="dxa"/>
          </w:tcPr>
          <w:p>
            <w:pPr>
              <w:pStyle w:val="TableParagraph"/>
              <w:ind w:left="302" w:right="61"/>
              <w:rPr>
                <w:sz w:val="17"/>
              </w:rPr>
            </w:pPr>
            <w:r>
              <w:rPr>
                <w:color w:val="231F20"/>
                <w:w w:val="105"/>
                <w:sz w:val="17"/>
              </w:rPr>
              <w:t>2,668,437</w:t>
            </w:r>
          </w:p>
        </w:tc>
        <w:tc>
          <w:tcPr>
            <w:tcW w:w="720" w:type="dxa"/>
            <w:gridSpan w:val="2"/>
          </w:tcPr>
          <w:p>
            <w:pPr>
              <w:pStyle w:val="TableParagraph"/>
              <w:ind w:left="269"/>
              <w:jc w:val="left"/>
              <w:rPr>
                <w:sz w:val="17"/>
              </w:rPr>
            </w:pPr>
            <w:r>
              <w:rPr>
                <w:color w:val="231F20"/>
                <w:w w:val="105"/>
                <w:sz w:val="17"/>
              </w:rPr>
              <w:t>2.3</w:t>
            </w:r>
          </w:p>
        </w:tc>
        <w:tc>
          <w:tcPr>
            <w:tcW w:w="646" w:type="dxa"/>
          </w:tcPr>
          <w:p>
            <w:pPr>
              <w:pStyle w:val="TableParagraph"/>
              <w:ind w:left="104" w:right="87"/>
              <w:rPr>
                <w:sz w:val="17"/>
              </w:rPr>
            </w:pPr>
            <w:r>
              <w:rPr>
                <w:color w:val="231F20"/>
                <w:w w:val="105"/>
                <w:sz w:val="17"/>
              </w:rPr>
              <w:t>2.2</w:t>
            </w:r>
          </w:p>
        </w:tc>
        <w:tc>
          <w:tcPr>
            <w:tcW w:w="977" w:type="dxa"/>
          </w:tcPr>
          <w:p>
            <w:pPr>
              <w:pStyle w:val="TableParagraph"/>
              <w:ind w:right="101"/>
              <w:jc w:val="right"/>
              <w:rPr>
                <w:sz w:val="17"/>
              </w:rPr>
            </w:pPr>
            <w:r>
              <w:rPr>
                <w:color w:val="231F20"/>
                <w:sz w:val="17"/>
              </w:rPr>
              <w:t>53,911</w:t>
            </w:r>
          </w:p>
        </w:tc>
        <w:tc>
          <w:tcPr>
            <w:tcW w:w="957" w:type="dxa"/>
          </w:tcPr>
          <w:p>
            <w:pPr>
              <w:pStyle w:val="TableParagraph"/>
              <w:ind w:right="90"/>
              <w:jc w:val="right"/>
              <w:rPr>
                <w:sz w:val="17"/>
              </w:rPr>
            </w:pPr>
            <w:r>
              <w:rPr>
                <w:color w:val="231F20"/>
                <w:sz w:val="17"/>
              </w:rPr>
              <w:t>101,962</w:t>
            </w:r>
          </w:p>
        </w:tc>
        <w:tc>
          <w:tcPr>
            <w:tcW w:w="972" w:type="dxa"/>
          </w:tcPr>
          <w:p>
            <w:pPr>
              <w:pStyle w:val="TableParagraph"/>
              <w:ind w:right="115"/>
              <w:jc w:val="right"/>
              <w:rPr>
                <w:sz w:val="17"/>
              </w:rPr>
            </w:pPr>
            <w:r>
              <w:rPr>
                <w:color w:val="231F20"/>
                <w:sz w:val="17"/>
              </w:rPr>
              <w:t>147,951</w:t>
            </w:r>
          </w:p>
        </w:tc>
        <w:tc>
          <w:tcPr>
            <w:tcW w:w="649" w:type="dxa"/>
          </w:tcPr>
          <w:p>
            <w:pPr>
              <w:pStyle w:val="TableParagraph"/>
              <w:ind w:left="93" w:right="102"/>
              <w:rPr>
                <w:sz w:val="17"/>
              </w:rPr>
            </w:pPr>
            <w:r>
              <w:rPr>
                <w:color w:val="231F20"/>
                <w:w w:val="105"/>
                <w:sz w:val="17"/>
              </w:rPr>
              <w:t>6.6</w:t>
            </w:r>
          </w:p>
        </w:tc>
        <w:tc>
          <w:tcPr>
            <w:tcW w:w="654" w:type="dxa"/>
          </w:tcPr>
          <w:p>
            <w:pPr>
              <w:pStyle w:val="TableParagraph"/>
              <w:ind w:left="103" w:right="97"/>
              <w:rPr>
                <w:sz w:val="17"/>
              </w:rPr>
            </w:pPr>
            <w:r>
              <w:rPr>
                <w:color w:val="231F20"/>
                <w:w w:val="105"/>
                <w:sz w:val="17"/>
              </w:rPr>
              <w:t>3.8</w:t>
            </w:r>
          </w:p>
        </w:tc>
      </w:tr>
      <w:tr>
        <w:trPr>
          <w:trHeight w:val="210" w:hRule="exact"/>
        </w:trPr>
        <w:tc>
          <w:tcPr>
            <w:tcW w:w="1588" w:type="dxa"/>
          </w:tcPr>
          <w:p>
            <w:pPr>
              <w:pStyle w:val="TableParagraph"/>
              <w:ind w:left="35"/>
              <w:jc w:val="left"/>
              <w:rPr>
                <w:sz w:val="17"/>
              </w:rPr>
            </w:pPr>
            <w:r>
              <w:rPr>
                <w:color w:val="231F20"/>
                <w:w w:val="110"/>
                <w:sz w:val="17"/>
              </w:rPr>
              <w:t>Toluca</w:t>
            </w:r>
          </w:p>
        </w:tc>
        <w:tc>
          <w:tcPr>
            <w:tcW w:w="1117" w:type="dxa"/>
          </w:tcPr>
          <w:p>
            <w:pPr>
              <w:pStyle w:val="TableParagraph"/>
              <w:ind w:right="126"/>
              <w:jc w:val="right"/>
              <w:rPr>
                <w:sz w:val="17"/>
              </w:rPr>
            </w:pPr>
            <w:r>
              <w:rPr>
                <w:color w:val="231F20"/>
                <w:sz w:val="17"/>
              </w:rPr>
              <w:t>1,058,332</w:t>
            </w:r>
          </w:p>
        </w:tc>
        <w:tc>
          <w:tcPr>
            <w:tcW w:w="1122" w:type="dxa"/>
          </w:tcPr>
          <w:p>
            <w:pPr>
              <w:pStyle w:val="TableParagraph"/>
              <w:ind w:right="132"/>
              <w:jc w:val="right"/>
              <w:rPr>
                <w:sz w:val="17"/>
              </w:rPr>
            </w:pPr>
            <w:r>
              <w:rPr>
                <w:color w:val="231F20"/>
                <w:sz w:val="17"/>
              </w:rPr>
              <w:t>1,401,730</w:t>
            </w:r>
          </w:p>
        </w:tc>
        <w:tc>
          <w:tcPr>
            <w:tcW w:w="1174" w:type="dxa"/>
          </w:tcPr>
          <w:p>
            <w:pPr>
              <w:pStyle w:val="TableParagraph"/>
              <w:ind w:left="302" w:right="61"/>
              <w:rPr>
                <w:sz w:val="17"/>
              </w:rPr>
            </w:pPr>
            <w:r>
              <w:rPr>
                <w:color w:val="231F20"/>
                <w:w w:val="105"/>
                <w:sz w:val="17"/>
              </w:rPr>
              <w:t>1,846,116</w:t>
            </w:r>
          </w:p>
        </w:tc>
        <w:tc>
          <w:tcPr>
            <w:tcW w:w="720" w:type="dxa"/>
            <w:gridSpan w:val="2"/>
          </w:tcPr>
          <w:p>
            <w:pPr>
              <w:pStyle w:val="TableParagraph"/>
              <w:ind w:left="269"/>
              <w:jc w:val="left"/>
              <w:rPr>
                <w:sz w:val="17"/>
              </w:rPr>
            </w:pPr>
            <w:r>
              <w:rPr>
                <w:color w:val="231F20"/>
                <w:w w:val="105"/>
                <w:sz w:val="17"/>
              </w:rPr>
              <w:t>2.8</w:t>
            </w:r>
          </w:p>
        </w:tc>
        <w:tc>
          <w:tcPr>
            <w:tcW w:w="646" w:type="dxa"/>
          </w:tcPr>
          <w:p>
            <w:pPr>
              <w:pStyle w:val="TableParagraph"/>
              <w:ind w:left="104" w:right="87"/>
              <w:rPr>
                <w:sz w:val="17"/>
              </w:rPr>
            </w:pPr>
            <w:r>
              <w:rPr>
                <w:color w:val="231F20"/>
                <w:w w:val="105"/>
                <w:sz w:val="17"/>
              </w:rPr>
              <w:t>2.8</w:t>
            </w:r>
          </w:p>
        </w:tc>
        <w:tc>
          <w:tcPr>
            <w:tcW w:w="977" w:type="dxa"/>
          </w:tcPr>
          <w:p>
            <w:pPr>
              <w:pStyle w:val="TableParagraph"/>
              <w:ind w:right="101"/>
              <w:jc w:val="right"/>
              <w:rPr>
                <w:sz w:val="17"/>
              </w:rPr>
            </w:pPr>
            <w:r>
              <w:rPr>
                <w:color w:val="231F20"/>
                <w:sz w:val="17"/>
              </w:rPr>
              <w:t>34,823</w:t>
            </w:r>
          </w:p>
        </w:tc>
        <w:tc>
          <w:tcPr>
            <w:tcW w:w="957" w:type="dxa"/>
          </w:tcPr>
          <w:p>
            <w:pPr>
              <w:pStyle w:val="TableParagraph"/>
              <w:ind w:right="90"/>
              <w:jc w:val="right"/>
              <w:rPr>
                <w:sz w:val="17"/>
              </w:rPr>
            </w:pPr>
            <w:r>
              <w:rPr>
                <w:color w:val="231F20"/>
                <w:sz w:val="17"/>
              </w:rPr>
              <w:t>52,816</w:t>
            </w:r>
          </w:p>
        </w:tc>
        <w:tc>
          <w:tcPr>
            <w:tcW w:w="972" w:type="dxa"/>
          </w:tcPr>
          <w:p>
            <w:pPr>
              <w:pStyle w:val="TableParagraph"/>
              <w:ind w:right="115"/>
              <w:jc w:val="right"/>
              <w:rPr>
                <w:sz w:val="17"/>
              </w:rPr>
            </w:pPr>
            <w:r>
              <w:rPr>
                <w:color w:val="231F20"/>
                <w:sz w:val="17"/>
              </w:rPr>
              <w:t>83,195</w:t>
            </w:r>
          </w:p>
        </w:tc>
        <w:tc>
          <w:tcPr>
            <w:tcW w:w="649" w:type="dxa"/>
          </w:tcPr>
          <w:p>
            <w:pPr>
              <w:pStyle w:val="TableParagraph"/>
              <w:ind w:left="93" w:right="102"/>
              <w:rPr>
                <w:sz w:val="17"/>
              </w:rPr>
            </w:pPr>
            <w:r>
              <w:rPr>
                <w:color w:val="231F20"/>
                <w:w w:val="105"/>
                <w:sz w:val="17"/>
              </w:rPr>
              <w:t>4.3</w:t>
            </w:r>
          </w:p>
        </w:tc>
        <w:tc>
          <w:tcPr>
            <w:tcW w:w="654" w:type="dxa"/>
          </w:tcPr>
          <w:p>
            <w:pPr>
              <w:pStyle w:val="TableParagraph"/>
              <w:ind w:left="103" w:right="97"/>
              <w:rPr>
                <w:sz w:val="17"/>
              </w:rPr>
            </w:pPr>
            <w:r>
              <w:rPr>
                <w:color w:val="231F20"/>
                <w:w w:val="105"/>
                <w:sz w:val="17"/>
              </w:rPr>
              <w:t>4.6</w:t>
            </w:r>
          </w:p>
        </w:tc>
      </w:tr>
      <w:tr>
        <w:trPr>
          <w:trHeight w:val="276" w:hRule="exact"/>
        </w:trPr>
        <w:tc>
          <w:tcPr>
            <w:tcW w:w="1588" w:type="dxa"/>
            <w:tcBorders>
              <w:bottom w:val="single" w:sz="3" w:space="0" w:color="231F20"/>
            </w:tcBorders>
          </w:tcPr>
          <w:p>
            <w:pPr>
              <w:pStyle w:val="TableParagraph"/>
              <w:ind w:left="35"/>
              <w:jc w:val="left"/>
              <w:rPr>
                <w:rFonts w:ascii="Times New Roman"/>
                <w:sz w:val="13"/>
              </w:rPr>
            </w:pPr>
            <w:r>
              <w:rPr>
                <w:color w:val="231F20"/>
                <w:w w:val="110"/>
                <w:sz w:val="17"/>
              </w:rPr>
              <w:t>Resto de las </w:t>
            </w:r>
            <w:r>
              <w:rPr>
                <w:rFonts w:ascii="Times New Roman"/>
                <w:color w:val="231F20"/>
                <w:w w:val="110"/>
                <w:sz w:val="13"/>
              </w:rPr>
              <w:t>ZM</w:t>
            </w:r>
          </w:p>
        </w:tc>
        <w:tc>
          <w:tcPr>
            <w:tcW w:w="1117" w:type="dxa"/>
            <w:tcBorders>
              <w:bottom w:val="single" w:sz="3" w:space="0" w:color="231F20"/>
            </w:tcBorders>
          </w:tcPr>
          <w:p>
            <w:pPr>
              <w:pStyle w:val="TableParagraph"/>
              <w:ind w:right="126"/>
              <w:jc w:val="right"/>
              <w:rPr>
                <w:sz w:val="17"/>
              </w:rPr>
            </w:pPr>
            <w:r>
              <w:rPr>
                <w:color w:val="231F20"/>
                <w:w w:val="105"/>
                <w:sz w:val="17"/>
              </w:rPr>
              <w:t>18,304,979</w:t>
            </w:r>
          </w:p>
        </w:tc>
        <w:tc>
          <w:tcPr>
            <w:tcW w:w="1122" w:type="dxa"/>
            <w:tcBorders>
              <w:bottom w:val="single" w:sz="3" w:space="0" w:color="231F20"/>
            </w:tcBorders>
          </w:tcPr>
          <w:p>
            <w:pPr>
              <w:pStyle w:val="TableParagraph"/>
              <w:ind w:right="132"/>
              <w:jc w:val="right"/>
              <w:rPr>
                <w:sz w:val="17"/>
              </w:rPr>
            </w:pPr>
            <w:r>
              <w:rPr>
                <w:color w:val="231F20"/>
                <w:w w:val="105"/>
                <w:sz w:val="17"/>
              </w:rPr>
              <w:t>23,604,687</w:t>
            </w:r>
          </w:p>
        </w:tc>
        <w:tc>
          <w:tcPr>
            <w:tcW w:w="1174" w:type="dxa"/>
            <w:tcBorders>
              <w:bottom w:val="single" w:sz="3" w:space="0" w:color="231F20"/>
            </w:tcBorders>
          </w:tcPr>
          <w:p>
            <w:pPr>
              <w:pStyle w:val="TableParagraph"/>
              <w:ind w:left="206" w:right="61"/>
              <w:rPr>
                <w:sz w:val="17"/>
              </w:rPr>
            </w:pPr>
            <w:r>
              <w:rPr>
                <w:color w:val="231F20"/>
                <w:w w:val="105"/>
                <w:sz w:val="17"/>
              </w:rPr>
              <w:t>29,464,745</w:t>
            </w:r>
          </w:p>
        </w:tc>
        <w:tc>
          <w:tcPr>
            <w:tcW w:w="720" w:type="dxa"/>
            <w:gridSpan w:val="2"/>
            <w:tcBorders>
              <w:bottom w:val="single" w:sz="3" w:space="0" w:color="231F20"/>
            </w:tcBorders>
          </w:tcPr>
          <w:p>
            <w:pPr>
              <w:pStyle w:val="TableParagraph"/>
              <w:ind w:left="269"/>
              <w:jc w:val="left"/>
              <w:rPr>
                <w:sz w:val="17"/>
              </w:rPr>
            </w:pPr>
            <w:r>
              <w:rPr>
                <w:color w:val="231F20"/>
                <w:w w:val="105"/>
                <w:sz w:val="17"/>
              </w:rPr>
              <w:t>2.6</w:t>
            </w:r>
          </w:p>
        </w:tc>
        <w:tc>
          <w:tcPr>
            <w:tcW w:w="646" w:type="dxa"/>
            <w:tcBorders>
              <w:bottom w:val="single" w:sz="3" w:space="0" w:color="231F20"/>
            </w:tcBorders>
          </w:tcPr>
          <w:p>
            <w:pPr>
              <w:pStyle w:val="TableParagraph"/>
              <w:ind w:left="104" w:right="87"/>
              <w:rPr>
                <w:sz w:val="17"/>
              </w:rPr>
            </w:pPr>
            <w:r>
              <w:rPr>
                <w:color w:val="231F20"/>
                <w:w w:val="105"/>
                <w:sz w:val="17"/>
              </w:rPr>
              <w:t>2.2</w:t>
            </w:r>
          </w:p>
        </w:tc>
        <w:tc>
          <w:tcPr>
            <w:tcW w:w="977" w:type="dxa"/>
            <w:tcBorders>
              <w:bottom w:val="single" w:sz="3" w:space="0" w:color="231F20"/>
            </w:tcBorders>
          </w:tcPr>
          <w:p>
            <w:pPr>
              <w:pStyle w:val="TableParagraph"/>
              <w:ind w:right="101"/>
              <w:jc w:val="right"/>
              <w:rPr>
                <w:sz w:val="17"/>
              </w:rPr>
            </w:pPr>
            <w:r>
              <w:rPr>
                <w:color w:val="231F20"/>
                <w:sz w:val="17"/>
              </w:rPr>
              <w:t>659,784</w:t>
            </w:r>
          </w:p>
        </w:tc>
        <w:tc>
          <w:tcPr>
            <w:tcW w:w="957" w:type="dxa"/>
            <w:tcBorders>
              <w:bottom w:val="single" w:sz="3" w:space="0" w:color="231F20"/>
            </w:tcBorders>
          </w:tcPr>
          <w:p>
            <w:pPr>
              <w:pStyle w:val="TableParagraph"/>
              <w:ind w:right="90"/>
              <w:jc w:val="right"/>
              <w:rPr>
                <w:sz w:val="17"/>
              </w:rPr>
            </w:pPr>
            <w:r>
              <w:rPr>
                <w:color w:val="231F20"/>
                <w:sz w:val="17"/>
              </w:rPr>
              <w:t>1,070,845</w:t>
            </w:r>
          </w:p>
        </w:tc>
        <w:tc>
          <w:tcPr>
            <w:tcW w:w="972" w:type="dxa"/>
            <w:tcBorders>
              <w:bottom w:val="single" w:sz="3" w:space="0" w:color="231F20"/>
            </w:tcBorders>
          </w:tcPr>
          <w:p>
            <w:pPr>
              <w:pStyle w:val="TableParagraph"/>
              <w:ind w:right="115"/>
              <w:jc w:val="right"/>
              <w:rPr>
                <w:sz w:val="17"/>
              </w:rPr>
            </w:pPr>
            <w:r>
              <w:rPr>
                <w:color w:val="231F20"/>
                <w:sz w:val="17"/>
              </w:rPr>
              <w:t>1,603,284</w:t>
            </w:r>
          </w:p>
        </w:tc>
        <w:tc>
          <w:tcPr>
            <w:tcW w:w="649" w:type="dxa"/>
            <w:tcBorders>
              <w:bottom w:val="single" w:sz="3" w:space="0" w:color="231F20"/>
            </w:tcBorders>
          </w:tcPr>
          <w:p>
            <w:pPr>
              <w:pStyle w:val="TableParagraph"/>
              <w:ind w:left="93" w:right="102"/>
              <w:rPr>
                <w:sz w:val="17"/>
              </w:rPr>
            </w:pPr>
            <w:r>
              <w:rPr>
                <w:color w:val="231F20"/>
                <w:w w:val="105"/>
                <w:sz w:val="17"/>
              </w:rPr>
              <w:t>5.0</w:t>
            </w:r>
          </w:p>
        </w:tc>
        <w:tc>
          <w:tcPr>
            <w:tcW w:w="654" w:type="dxa"/>
            <w:tcBorders>
              <w:bottom w:val="single" w:sz="3" w:space="0" w:color="231F20"/>
            </w:tcBorders>
          </w:tcPr>
          <w:p>
            <w:pPr>
              <w:pStyle w:val="TableParagraph"/>
              <w:ind w:left="102" w:right="97"/>
              <w:rPr>
                <w:sz w:val="17"/>
              </w:rPr>
            </w:pPr>
            <w:r>
              <w:rPr>
                <w:color w:val="231F20"/>
                <w:w w:val="105"/>
                <w:sz w:val="17"/>
              </w:rPr>
              <w:t>4.1</w:t>
            </w:r>
          </w:p>
        </w:tc>
      </w:tr>
    </w:tbl>
    <w:p>
      <w:pPr>
        <w:spacing w:before="63"/>
        <w:ind w:left="497" w:right="0" w:firstLine="0"/>
        <w:jc w:val="left"/>
        <w:rPr>
          <w:sz w:val="15"/>
        </w:rPr>
      </w:pPr>
      <w:r>
        <w:rPr>
          <w:color w:val="231F20"/>
          <w:w w:val="110"/>
          <w:sz w:val="15"/>
        </w:rPr>
        <w:t>Fuente: Elaboración propia con datos de Sedesol, Conapo e </w:t>
      </w:r>
      <w:r>
        <w:rPr>
          <w:rFonts w:ascii="Times New Roman" w:hAnsi="Times New Roman"/>
          <w:color w:val="231F20"/>
          <w:w w:val="110"/>
          <w:sz w:val="12"/>
        </w:rPr>
        <w:t>INEGI</w:t>
      </w:r>
      <w:r>
        <w:rPr>
          <w:color w:val="231F20"/>
          <w:w w:val="110"/>
          <w:sz w:val="15"/>
        </w:rPr>
        <w:t>, 2007, </w:t>
      </w:r>
      <w:r>
        <w:rPr>
          <w:rFonts w:ascii="Times New Roman" w:hAnsi="Times New Roman"/>
          <w:color w:val="231F20"/>
          <w:w w:val="110"/>
          <w:sz w:val="12"/>
        </w:rPr>
        <w:t>INEGI</w:t>
      </w:r>
      <w:r>
        <w:rPr>
          <w:color w:val="231F20"/>
          <w:w w:val="110"/>
          <w:sz w:val="15"/>
        </w:rPr>
        <w:t>, 1990, 2001 y  2011.</w:t>
      </w:r>
    </w:p>
    <w:p>
      <w:pPr>
        <w:spacing w:after="0"/>
        <w:jc w:val="left"/>
        <w:rPr>
          <w:sz w:val="15"/>
        </w:rPr>
        <w:sectPr>
          <w:type w:val="continuous"/>
          <w:pgSz w:w="12920" w:h="9520" w:orient="landscape"/>
          <w:pgMar w:top="0" w:bottom="0" w:left="1260" w:right="860"/>
        </w:sectPr>
      </w:pPr>
    </w:p>
    <w:p>
      <w:pPr>
        <w:pStyle w:val="BodyText"/>
        <w:spacing w:line="288" w:lineRule="auto" w:before="42"/>
        <w:ind w:left="124" w:right="112" w:firstLine="360"/>
        <w:jc w:val="both"/>
      </w:pPr>
      <w:r>
        <w:rPr>
          <w:color w:val="231F20"/>
          <w:w w:val="110"/>
        </w:rPr>
        <w:t>La tasa de mortalidad también ha mostrado una tendencia descenden- te</w:t>
      </w:r>
      <w:r>
        <w:rPr>
          <w:color w:val="231F20"/>
          <w:spacing w:val="-6"/>
          <w:w w:val="110"/>
        </w:rPr>
        <w:t> </w:t>
      </w:r>
      <w:r>
        <w:rPr>
          <w:color w:val="231F20"/>
          <w:w w:val="110"/>
        </w:rPr>
        <w:t>a</w:t>
      </w:r>
      <w:r>
        <w:rPr>
          <w:color w:val="231F20"/>
          <w:spacing w:val="-6"/>
          <w:w w:val="110"/>
        </w:rPr>
        <w:t> </w:t>
      </w:r>
      <w:r>
        <w:rPr>
          <w:color w:val="231F20"/>
          <w:w w:val="110"/>
        </w:rPr>
        <w:t>partir</w:t>
      </w:r>
      <w:r>
        <w:rPr>
          <w:color w:val="231F20"/>
          <w:spacing w:val="-6"/>
          <w:w w:val="110"/>
        </w:rPr>
        <w:t> </w:t>
      </w:r>
      <w:r>
        <w:rPr>
          <w:color w:val="231F20"/>
          <w:w w:val="110"/>
        </w:rPr>
        <w:t>de</w:t>
      </w:r>
      <w:r>
        <w:rPr>
          <w:color w:val="231F20"/>
          <w:spacing w:val="-6"/>
          <w:w w:val="110"/>
        </w:rPr>
        <w:t> </w:t>
      </w:r>
      <w:r>
        <w:rPr>
          <w:color w:val="231F20"/>
          <w:w w:val="110"/>
        </w:rPr>
        <w:t>1940,</w:t>
      </w:r>
      <w:r>
        <w:rPr>
          <w:color w:val="231F20"/>
          <w:spacing w:val="-6"/>
          <w:w w:val="110"/>
        </w:rPr>
        <w:t> </w:t>
      </w:r>
      <w:r>
        <w:rPr>
          <w:color w:val="231F20"/>
          <w:w w:val="110"/>
        </w:rPr>
        <w:t>año</w:t>
      </w:r>
      <w:r>
        <w:rPr>
          <w:color w:val="231F20"/>
          <w:spacing w:val="-6"/>
          <w:w w:val="110"/>
        </w:rPr>
        <w:t> </w:t>
      </w:r>
      <w:r>
        <w:rPr>
          <w:color w:val="231F20"/>
          <w:w w:val="110"/>
        </w:rPr>
        <w:t>en</w:t>
      </w:r>
      <w:r>
        <w:rPr>
          <w:color w:val="231F20"/>
          <w:spacing w:val="-6"/>
          <w:w w:val="110"/>
        </w:rPr>
        <w:t> </w:t>
      </w:r>
      <w:r>
        <w:rPr>
          <w:color w:val="231F20"/>
          <w:w w:val="110"/>
        </w:rPr>
        <w:t>que</w:t>
      </w:r>
      <w:r>
        <w:rPr>
          <w:color w:val="231F20"/>
          <w:spacing w:val="-6"/>
          <w:w w:val="110"/>
        </w:rPr>
        <w:t> </w:t>
      </w:r>
      <w:r>
        <w:rPr>
          <w:color w:val="231F20"/>
          <w:w w:val="110"/>
        </w:rPr>
        <w:t>se</w:t>
      </w:r>
      <w:r>
        <w:rPr>
          <w:color w:val="231F20"/>
          <w:spacing w:val="-6"/>
          <w:w w:val="110"/>
        </w:rPr>
        <w:t> </w:t>
      </w:r>
      <w:r>
        <w:rPr>
          <w:color w:val="231F20"/>
          <w:w w:val="110"/>
        </w:rPr>
        <w:t>registró</w:t>
      </w:r>
      <w:r>
        <w:rPr>
          <w:color w:val="231F20"/>
          <w:spacing w:val="-6"/>
          <w:w w:val="110"/>
        </w:rPr>
        <w:t> </w:t>
      </w:r>
      <w:r>
        <w:rPr>
          <w:color w:val="231F20"/>
          <w:w w:val="110"/>
        </w:rPr>
        <w:t>una</w:t>
      </w:r>
      <w:r>
        <w:rPr>
          <w:color w:val="231F20"/>
          <w:spacing w:val="-6"/>
          <w:w w:val="110"/>
        </w:rPr>
        <w:t> </w:t>
      </w:r>
      <w:r>
        <w:rPr>
          <w:color w:val="231F20"/>
          <w:w w:val="110"/>
        </w:rPr>
        <w:t>tasa</w:t>
      </w:r>
      <w:r>
        <w:rPr>
          <w:color w:val="231F20"/>
          <w:spacing w:val="-6"/>
          <w:w w:val="110"/>
        </w:rPr>
        <w:t> </w:t>
      </w:r>
      <w:r>
        <w:rPr>
          <w:color w:val="231F20"/>
          <w:w w:val="110"/>
        </w:rPr>
        <w:t>de</w:t>
      </w:r>
      <w:r>
        <w:rPr>
          <w:color w:val="231F20"/>
          <w:spacing w:val="-6"/>
          <w:w w:val="110"/>
        </w:rPr>
        <w:t> </w:t>
      </w:r>
      <w:r>
        <w:rPr>
          <w:color w:val="231F20"/>
          <w:w w:val="110"/>
        </w:rPr>
        <w:t>22.8</w:t>
      </w:r>
      <w:r>
        <w:rPr>
          <w:color w:val="231F20"/>
          <w:spacing w:val="-6"/>
          <w:w w:val="110"/>
        </w:rPr>
        <w:t> </w:t>
      </w:r>
      <w:r>
        <w:rPr>
          <w:color w:val="231F20"/>
          <w:w w:val="110"/>
        </w:rPr>
        <w:t>defunciones</w:t>
      </w:r>
      <w:r>
        <w:rPr>
          <w:color w:val="231F20"/>
          <w:spacing w:val="-6"/>
          <w:w w:val="110"/>
        </w:rPr>
        <w:t> </w:t>
      </w:r>
      <w:r>
        <w:rPr>
          <w:color w:val="231F20"/>
          <w:w w:val="110"/>
        </w:rPr>
        <w:t>por cada mil habitantes y para 1970 ésta pasó a 9.4 por mil y en el año 2000 disminuyó a 4.9, esto como consecuencia de la expansión de la cobertura médica (Mendoza y Tapia, 2010; Sánchez, 2007; Montes de Oca, 2003). Estrechamente vinculada a ese descenso se encuentra la disminución en  la tasa de mortalidad infantil, ya que bajó de 52.6 decesos de menores de un año por cada mil nacidos vivos en 1980 a 19.4 en 2000 (Partida, 2004). Este ritmo descendente se ha mantenido hasta ubicarse en 14.2 en el año 2010</w:t>
      </w:r>
      <w:r>
        <w:rPr>
          <w:color w:val="231F20"/>
          <w:spacing w:val="-14"/>
          <w:w w:val="110"/>
        </w:rPr>
        <w:t> </w:t>
      </w:r>
      <w:r>
        <w:rPr>
          <w:color w:val="231F20"/>
          <w:w w:val="110"/>
        </w:rPr>
        <w:t>(Mendoza</w:t>
      </w:r>
      <w:r>
        <w:rPr>
          <w:color w:val="231F20"/>
          <w:spacing w:val="-14"/>
          <w:w w:val="110"/>
        </w:rPr>
        <w:t> </w:t>
      </w:r>
      <w:r>
        <w:rPr>
          <w:color w:val="231F20"/>
          <w:w w:val="110"/>
        </w:rPr>
        <w:t>y</w:t>
      </w:r>
      <w:r>
        <w:rPr>
          <w:color w:val="231F20"/>
          <w:spacing w:val="-14"/>
          <w:w w:val="110"/>
        </w:rPr>
        <w:t> </w:t>
      </w:r>
      <w:r>
        <w:rPr>
          <w:color w:val="231F20"/>
          <w:spacing w:val="-3"/>
          <w:w w:val="110"/>
        </w:rPr>
        <w:t>Tapia,</w:t>
      </w:r>
      <w:r>
        <w:rPr>
          <w:color w:val="231F20"/>
          <w:spacing w:val="-14"/>
          <w:w w:val="110"/>
        </w:rPr>
        <w:t> </w:t>
      </w:r>
      <w:r>
        <w:rPr>
          <w:color w:val="231F20"/>
          <w:w w:val="110"/>
        </w:rPr>
        <w:t>2010).</w:t>
      </w:r>
    </w:p>
    <w:p>
      <w:pPr>
        <w:pStyle w:val="BodyText"/>
        <w:spacing w:line="288" w:lineRule="auto"/>
        <w:ind w:left="124" w:right="112" w:firstLine="360"/>
        <w:jc w:val="both"/>
      </w:pPr>
      <w:r>
        <w:rPr>
          <w:color w:val="231F20"/>
          <w:w w:val="110"/>
        </w:rPr>
        <w:t>El comportamiento de estos indicadores demográficos ha propiciado un aumento en la esperanza de vida de la población de nuestro país; pues mientras en los años treinta una persona vivía en promedio 38 años, en la actualidad el promedio de vida es de 75.4 años; las mujeres viven en pro- medio 77.8 años, mientras que los hombres alcanzan los 73.1 años (Men- doza y </w:t>
      </w:r>
      <w:r>
        <w:rPr>
          <w:color w:val="231F20"/>
          <w:spacing w:val="-3"/>
          <w:w w:val="110"/>
        </w:rPr>
        <w:t>Tapia, </w:t>
      </w:r>
      <w:r>
        <w:rPr>
          <w:color w:val="231F20"/>
          <w:w w:val="110"/>
        </w:rPr>
        <w:t>2010). La esperanza continúa en ascenso y las estructuras</w:t>
      </w:r>
      <w:r>
        <w:rPr>
          <w:color w:val="231F20"/>
          <w:spacing w:val="-11"/>
          <w:w w:val="110"/>
        </w:rPr>
        <w:t> </w:t>
      </w:r>
      <w:r>
        <w:rPr>
          <w:color w:val="231F20"/>
          <w:w w:val="110"/>
        </w:rPr>
        <w:t>de edad de la </w:t>
      </w:r>
      <w:r>
        <w:rPr>
          <w:color w:val="231F20"/>
          <w:spacing w:val="2"/>
          <w:w w:val="110"/>
        </w:rPr>
        <w:t>población están encaminadas hacia </w:t>
      </w:r>
      <w:r>
        <w:rPr>
          <w:color w:val="231F20"/>
          <w:w w:val="110"/>
        </w:rPr>
        <w:t>un </w:t>
      </w:r>
      <w:r>
        <w:rPr>
          <w:color w:val="231F20"/>
          <w:spacing w:val="2"/>
          <w:w w:val="110"/>
        </w:rPr>
        <w:t>proceso </w:t>
      </w:r>
      <w:r>
        <w:rPr>
          <w:color w:val="231F20"/>
          <w:w w:val="110"/>
        </w:rPr>
        <w:t>de </w:t>
      </w:r>
      <w:r>
        <w:rPr>
          <w:color w:val="231F20"/>
          <w:spacing w:val="2"/>
          <w:w w:val="110"/>
        </w:rPr>
        <w:t>envejeci- </w:t>
      </w:r>
      <w:r>
        <w:rPr>
          <w:color w:val="231F20"/>
          <w:w w:val="110"/>
        </w:rPr>
        <w:t>miento más acelerado y</w:t>
      </w:r>
      <w:r>
        <w:rPr>
          <w:color w:val="231F20"/>
          <w:spacing w:val="12"/>
          <w:w w:val="110"/>
        </w:rPr>
        <w:t> </w:t>
      </w:r>
      <w:r>
        <w:rPr>
          <w:color w:val="231F20"/>
          <w:w w:val="110"/>
        </w:rPr>
        <w:t>evidente.</w:t>
      </w:r>
    </w:p>
    <w:p>
      <w:pPr>
        <w:pStyle w:val="BodyText"/>
        <w:spacing w:line="288" w:lineRule="auto"/>
        <w:ind w:left="124" w:right="110" w:firstLine="360"/>
        <w:jc w:val="both"/>
      </w:pPr>
      <w:r>
        <w:rPr>
          <w:color w:val="231F20"/>
          <w:w w:val="110"/>
        </w:rPr>
        <w:t>Otro</w:t>
      </w:r>
      <w:r>
        <w:rPr>
          <w:color w:val="231F20"/>
          <w:spacing w:val="-22"/>
          <w:w w:val="110"/>
        </w:rPr>
        <w:t> </w:t>
      </w:r>
      <w:r>
        <w:rPr>
          <w:color w:val="231F20"/>
          <w:w w:val="110"/>
        </w:rPr>
        <w:t>de</w:t>
      </w:r>
      <w:r>
        <w:rPr>
          <w:color w:val="231F20"/>
          <w:spacing w:val="-22"/>
          <w:w w:val="110"/>
        </w:rPr>
        <w:t> </w:t>
      </w:r>
      <w:r>
        <w:rPr>
          <w:color w:val="231F20"/>
          <w:w w:val="110"/>
        </w:rPr>
        <w:t>los</w:t>
      </w:r>
      <w:r>
        <w:rPr>
          <w:color w:val="231F20"/>
          <w:spacing w:val="-22"/>
          <w:w w:val="110"/>
        </w:rPr>
        <w:t> </w:t>
      </w:r>
      <w:r>
        <w:rPr>
          <w:color w:val="231F20"/>
          <w:w w:val="110"/>
        </w:rPr>
        <w:t>indicadores</w:t>
      </w:r>
      <w:r>
        <w:rPr>
          <w:color w:val="231F20"/>
          <w:spacing w:val="-22"/>
          <w:w w:val="110"/>
        </w:rPr>
        <w:t> </w:t>
      </w:r>
      <w:r>
        <w:rPr>
          <w:color w:val="231F20"/>
          <w:w w:val="110"/>
        </w:rPr>
        <w:t>que</w:t>
      </w:r>
      <w:r>
        <w:rPr>
          <w:color w:val="231F20"/>
          <w:spacing w:val="-22"/>
          <w:w w:val="110"/>
        </w:rPr>
        <w:t> </w:t>
      </w:r>
      <w:r>
        <w:rPr>
          <w:color w:val="231F20"/>
          <w:w w:val="110"/>
        </w:rPr>
        <w:t>contribuye</w:t>
      </w:r>
      <w:r>
        <w:rPr>
          <w:color w:val="231F20"/>
          <w:spacing w:val="-22"/>
          <w:w w:val="110"/>
        </w:rPr>
        <w:t> </w:t>
      </w:r>
      <w:r>
        <w:rPr>
          <w:color w:val="231F20"/>
          <w:w w:val="110"/>
        </w:rPr>
        <w:t>al</w:t>
      </w:r>
      <w:r>
        <w:rPr>
          <w:color w:val="231F20"/>
          <w:spacing w:val="-22"/>
          <w:w w:val="110"/>
        </w:rPr>
        <w:t> </w:t>
      </w:r>
      <w:r>
        <w:rPr>
          <w:color w:val="231F20"/>
          <w:w w:val="110"/>
        </w:rPr>
        <w:t>envejecimiento</w:t>
      </w:r>
      <w:r>
        <w:rPr>
          <w:color w:val="231F20"/>
          <w:spacing w:val="-22"/>
          <w:w w:val="110"/>
        </w:rPr>
        <w:t> </w:t>
      </w:r>
      <w:r>
        <w:rPr>
          <w:color w:val="231F20"/>
          <w:w w:val="110"/>
        </w:rPr>
        <w:t>de</w:t>
      </w:r>
      <w:r>
        <w:rPr>
          <w:color w:val="231F20"/>
          <w:spacing w:val="-22"/>
          <w:w w:val="110"/>
        </w:rPr>
        <w:t> </w:t>
      </w:r>
      <w:r>
        <w:rPr>
          <w:color w:val="231F20"/>
          <w:w w:val="110"/>
        </w:rPr>
        <w:t>la</w:t>
      </w:r>
      <w:r>
        <w:rPr>
          <w:color w:val="231F20"/>
          <w:spacing w:val="-22"/>
          <w:w w:val="110"/>
        </w:rPr>
        <w:t> </w:t>
      </w:r>
      <w:r>
        <w:rPr>
          <w:color w:val="231F20"/>
          <w:w w:val="110"/>
        </w:rPr>
        <w:t>población es la migración, pues la emigración de jóvenes, principalmente en edad reproductiva biológicamente y productiva económicamente ha influido en este proceso en mayor medida en los lugares de origen que en los de des- tino. Es el caso de la migración rural-urbano y urbano-urbano, esta última cuando se da de localidades pequeñas hacia ciudades medianas o grandes </w:t>
      </w:r>
      <w:r>
        <w:rPr>
          <w:color w:val="231F20"/>
          <w:w w:val="105"/>
        </w:rPr>
        <w:t>metrópolis (</w:t>
      </w:r>
      <w:r>
        <w:rPr>
          <w:rFonts w:ascii="Times New Roman" w:hAnsi="Times New Roman"/>
          <w:color w:val="231F20"/>
          <w:w w:val="105"/>
          <w:sz w:val="16"/>
        </w:rPr>
        <w:t>CEPAL</w:t>
      </w:r>
      <w:r>
        <w:rPr>
          <w:color w:val="231F20"/>
          <w:w w:val="105"/>
        </w:rPr>
        <w:t>,</w:t>
      </w:r>
      <w:r>
        <w:rPr>
          <w:color w:val="231F20"/>
          <w:spacing w:val="4"/>
          <w:w w:val="105"/>
        </w:rPr>
        <w:t> </w:t>
      </w:r>
      <w:r>
        <w:rPr>
          <w:color w:val="231F20"/>
          <w:w w:val="105"/>
        </w:rPr>
        <w:t>2004).</w:t>
      </w:r>
    </w:p>
    <w:p>
      <w:pPr>
        <w:pStyle w:val="BodyText"/>
        <w:spacing w:line="288" w:lineRule="auto"/>
        <w:ind w:left="124" w:right="112" w:firstLine="360"/>
        <w:jc w:val="both"/>
      </w:pPr>
      <w:r>
        <w:rPr>
          <w:color w:val="231F20"/>
          <w:w w:val="110"/>
        </w:rPr>
        <w:t>A pesar de que la población adulta mayor disminuye su movilidad por distintos motivos, también se verifica la migración por circunstancias per- sonales y se mueven a distancias cortas, generalmente en la misma ciudad o entre ciudades cercanas. Hay evidencias de que son las grandes</w:t>
      </w:r>
      <w:r>
        <w:rPr>
          <w:color w:val="231F20"/>
          <w:spacing w:val="-17"/>
          <w:w w:val="110"/>
        </w:rPr>
        <w:t> </w:t>
      </w:r>
      <w:r>
        <w:rPr>
          <w:color w:val="231F20"/>
          <w:w w:val="110"/>
        </w:rPr>
        <w:t>ciudades hacia donde emigra la población adulta mayor debido a la oferta de servi- </w:t>
      </w:r>
      <w:r>
        <w:rPr>
          <w:color w:val="231F20"/>
          <w:spacing w:val="2"/>
          <w:w w:val="110"/>
        </w:rPr>
        <w:t>cios médicos especializados </w:t>
      </w:r>
      <w:r>
        <w:rPr>
          <w:color w:val="231F20"/>
          <w:w w:val="110"/>
        </w:rPr>
        <w:t>y de </w:t>
      </w:r>
      <w:r>
        <w:rPr>
          <w:color w:val="231F20"/>
          <w:spacing w:val="2"/>
          <w:w w:val="110"/>
        </w:rPr>
        <w:t>alta calidad, </w:t>
      </w:r>
      <w:r>
        <w:rPr>
          <w:color w:val="231F20"/>
          <w:w w:val="110"/>
        </w:rPr>
        <w:t>así </w:t>
      </w:r>
      <w:r>
        <w:rPr>
          <w:color w:val="231F20"/>
          <w:spacing w:val="2"/>
          <w:w w:val="110"/>
        </w:rPr>
        <w:t>como </w:t>
      </w:r>
      <w:r>
        <w:rPr>
          <w:color w:val="231F20"/>
          <w:w w:val="110"/>
        </w:rPr>
        <w:t>la </w:t>
      </w:r>
      <w:r>
        <w:rPr>
          <w:color w:val="231F20"/>
          <w:spacing w:val="2"/>
          <w:w w:val="110"/>
        </w:rPr>
        <w:t>facilidad </w:t>
      </w:r>
      <w:r>
        <w:rPr>
          <w:color w:val="231F20"/>
          <w:w w:val="110"/>
        </w:rPr>
        <w:t>del transporte, los servicios de recreación, entre otros (Negrete,</w:t>
      </w:r>
      <w:r>
        <w:rPr>
          <w:color w:val="231F20"/>
          <w:spacing w:val="-12"/>
          <w:w w:val="110"/>
        </w:rPr>
        <w:t> </w:t>
      </w:r>
      <w:r>
        <w:rPr>
          <w:color w:val="231F20"/>
          <w:w w:val="110"/>
        </w:rPr>
        <w:t>2003).</w:t>
      </w:r>
    </w:p>
    <w:p>
      <w:pPr>
        <w:pStyle w:val="BodyText"/>
        <w:spacing w:line="288" w:lineRule="auto"/>
        <w:ind w:left="124" w:right="114" w:firstLine="360"/>
        <w:jc w:val="both"/>
      </w:pPr>
      <w:r>
        <w:rPr>
          <w:color w:val="231F20"/>
          <w:w w:val="110"/>
        </w:rPr>
        <w:t>La conjugación de los cambios en la fecundidad y la mortalidad ha transformado la estructura por edad de la población en pocos años, lo que ha generado un acelerado proceso de envejecimiento en nuestro país, principalmente en las zonas metropolitanas, por lo que la población de 65</w:t>
      </w:r>
    </w:p>
    <w:p>
      <w:pPr>
        <w:spacing w:after="0" w:line="288" w:lineRule="auto"/>
        <w:jc w:val="both"/>
        <w:sectPr>
          <w:footerReference w:type="even" r:id="rId183"/>
          <w:footerReference w:type="default" r:id="rId184"/>
          <w:pgSz w:w="9520" w:h="12920"/>
          <w:pgMar w:footer="1344" w:header="0" w:top="880" w:bottom="1540" w:left="1320" w:right="1000"/>
          <w:pgNumType w:start="216"/>
        </w:sectPr>
      </w:pPr>
    </w:p>
    <w:p>
      <w:pPr>
        <w:pStyle w:val="BodyText"/>
        <w:spacing w:line="288" w:lineRule="auto" w:before="42"/>
        <w:ind w:left="100" w:right="115"/>
        <w:jc w:val="both"/>
      </w:pPr>
      <w:r>
        <w:rPr>
          <w:color w:val="231F20"/>
          <w:w w:val="110"/>
        </w:rPr>
        <w:t>años de edad y más ha cobrado una importancia significativa. Prueba de ello es el comportamiento del porcentaje de población por grandes grupos de edad (véase gráfica 1), donde se muestra el tránsito de una población joven a una con un incipiente envejecimiento.</w:t>
      </w:r>
    </w:p>
    <w:p>
      <w:pPr>
        <w:pStyle w:val="BodyText"/>
        <w:spacing w:line="288" w:lineRule="auto"/>
        <w:ind w:left="100" w:right="117" w:firstLine="360"/>
        <w:jc w:val="both"/>
      </w:pPr>
      <w:r>
        <w:rPr>
          <w:color w:val="231F20"/>
          <w:w w:val="110"/>
        </w:rPr>
        <w:t>El análisis de la estructura de la población por grandes grupos de edad en las zonas metropolitanas muestra una disminución en la proporción de población de 0 a 14 años, al decrecer de 34.6 en 1990 a 30.3 por ciento en el año 2000, comportamiento descendente que se mantiene al año 2010 al situarse en 26.2 por ciento. Es </w:t>
      </w:r>
      <w:r>
        <w:rPr>
          <w:color w:val="231F20"/>
          <w:spacing w:val="-3"/>
          <w:w w:val="110"/>
        </w:rPr>
        <w:t>decir, </w:t>
      </w:r>
      <w:r>
        <w:rPr>
          <w:color w:val="231F20"/>
          <w:w w:val="110"/>
        </w:rPr>
        <w:t>de 1990 al 2010 este grupo de pobla- ción es el único que muestra un descenso gradual promedio de 4.2 puntos porcentuales</w:t>
      </w:r>
      <w:r>
        <w:rPr>
          <w:color w:val="231F20"/>
          <w:spacing w:val="-8"/>
          <w:w w:val="110"/>
        </w:rPr>
        <w:t> </w:t>
      </w:r>
      <w:r>
        <w:rPr>
          <w:color w:val="231F20"/>
          <w:w w:val="110"/>
        </w:rPr>
        <w:t>por</w:t>
      </w:r>
      <w:r>
        <w:rPr>
          <w:color w:val="231F20"/>
          <w:spacing w:val="-8"/>
          <w:w w:val="110"/>
        </w:rPr>
        <w:t> </w:t>
      </w:r>
      <w:r>
        <w:rPr>
          <w:color w:val="231F20"/>
          <w:w w:val="110"/>
        </w:rPr>
        <w:t>periodo,</w:t>
      </w:r>
      <w:r>
        <w:rPr>
          <w:color w:val="231F20"/>
          <w:spacing w:val="-8"/>
          <w:w w:val="110"/>
        </w:rPr>
        <w:t> </w:t>
      </w:r>
      <w:r>
        <w:rPr>
          <w:color w:val="231F20"/>
          <w:w w:val="110"/>
        </w:rPr>
        <w:t>esto</w:t>
      </w:r>
      <w:r>
        <w:rPr>
          <w:color w:val="231F20"/>
          <w:spacing w:val="-8"/>
          <w:w w:val="110"/>
        </w:rPr>
        <w:t> </w:t>
      </w:r>
      <w:r>
        <w:rPr>
          <w:color w:val="231F20"/>
          <w:w w:val="110"/>
        </w:rPr>
        <w:t>como</w:t>
      </w:r>
      <w:r>
        <w:rPr>
          <w:color w:val="231F20"/>
          <w:spacing w:val="-8"/>
          <w:w w:val="110"/>
        </w:rPr>
        <w:t> </w:t>
      </w:r>
      <w:r>
        <w:rPr>
          <w:color w:val="231F20"/>
          <w:w w:val="110"/>
        </w:rPr>
        <w:t>resultado,</w:t>
      </w:r>
      <w:r>
        <w:rPr>
          <w:color w:val="231F20"/>
          <w:spacing w:val="-8"/>
          <w:w w:val="110"/>
        </w:rPr>
        <w:t> </w:t>
      </w:r>
      <w:r>
        <w:rPr>
          <w:color w:val="231F20"/>
          <w:w w:val="110"/>
        </w:rPr>
        <w:t>en</w:t>
      </w:r>
      <w:r>
        <w:rPr>
          <w:color w:val="231F20"/>
          <w:spacing w:val="-8"/>
          <w:w w:val="110"/>
        </w:rPr>
        <w:t> </w:t>
      </w:r>
      <w:r>
        <w:rPr>
          <w:color w:val="231F20"/>
          <w:w w:val="110"/>
        </w:rPr>
        <w:t>gran</w:t>
      </w:r>
      <w:r>
        <w:rPr>
          <w:color w:val="231F20"/>
          <w:spacing w:val="-8"/>
          <w:w w:val="110"/>
        </w:rPr>
        <w:t> </w:t>
      </w:r>
      <w:r>
        <w:rPr>
          <w:color w:val="231F20"/>
          <w:w w:val="110"/>
        </w:rPr>
        <w:t>medida,</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polí- ticas de control de la natalidad y la disminución en la mortalidad</w:t>
      </w:r>
      <w:r>
        <w:rPr>
          <w:color w:val="231F20"/>
          <w:spacing w:val="22"/>
          <w:w w:val="110"/>
        </w:rPr>
        <w:t> </w:t>
      </w:r>
      <w:r>
        <w:rPr>
          <w:color w:val="231F20"/>
          <w:w w:val="110"/>
        </w:rPr>
        <w:t>infantil.</w:t>
      </w:r>
    </w:p>
    <w:p>
      <w:pPr>
        <w:pStyle w:val="BodyText"/>
        <w:spacing w:before="4"/>
      </w:pPr>
    </w:p>
    <w:p>
      <w:pPr>
        <w:spacing w:line="185" w:lineRule="exact" w:before="0"/>
        <w:ind w:left="1389" w:right="1407" w:firstLine="0"/>
        <w:jc w:val="center"/>
        <w:rPr>
          <w:sz w:val="16"/>
        </w:rPr>
      </w:pPr>
      <w:r>
        <w:rPr>
          <w:color w:val="231F20"/>
          <w:w w:val="105"/>
          <w:sz w:val="16"/>
        </w:rPr>
        <w:t>Gráfica 1</w:t>
      </w:r>
    </w:p>
    <w:p>
      <w:pPr>
        <w:spacing w:line="210" w:lineRule="exact" w:before="9"/>
        <w:ind w:left="1096" w:right="1114" w:firstLine="0"/>
        <w:jc w:val="center"/>
        <w:rPr>
          <w:sz w:val="19"/>
        </w:rPr>
      </w:pPr>
      <w:r>
        <w:rPr>
          <w:color w:val="231F20"/>
          <w:w w:val="90"/>
          <w:sz w:val="19"/>
        </w:rPr>
        <w:t>Porcentaje de población por grandes grupos de edad de las cinco zonas metropolitanas más grandes de México, 1990-2010</w:t>
      </w:r>
    </w:p>
    <w:p>
      <w:pPr>
        <w:pStyle w:val="BodyText"/>
        <w:spacing w:before="7"/>
        <w:rPr>
          <w:sz w:val="13"/>
        </w:rPr>
      </w:pPr>
    </w:p>
    <w:p>
      <w:pPr>
        <w:spacing w:after="0"/>
        <w:rPr>
          <w:sz w:val="13"/>
        </w:rPr>
        <w:sectPr>
          <w:pgSz w:w="9520" w:h="12920"/>
          <w:pgMar w:header="0" w:footer="1344" w:top="880" w:bottom="1540" w:left="1020" w:right="1320"/>
        </w:sectPr>
      </w:pPr>
    </w:p>
    <w:p>
      <w:pPr>
        <w:spacing w:before="87"/>
        <w:ind w:left="390" w:right="0" w:firstLine="0"/>
        <w:jc w:val="left"/>
        <w:rPr>
          <w:sz w:val="14"/>
        </w:rPr>
      </w:pPr>
      <w:r>
        <w:rPr/>
        <w:pict>
          <v:shape style="position:absolute;margin-left:-396.669891pt;margin-top:18.363770pt;width:312.850pt;height:146.2pt;mso-position-horizontal-relative:page;mso-position-vertical-relative:paragraph;z-index:4624" coordorigin="-7933,367" coordsize="6257,2924" path="m1633,173l1692,173,1692,3175m1692,596l1633,596m1692,1016l1633,1016m1692,1435l1633,1435m1692,1855l1633,1855m1692,2276l1633,2276m1692,2695l1633,2695m1692,3111l1633,3111m7725,3112l7725,3175m3706,3110l3706,3175m5719,3110l5719,3175m1692,3110l7725,3110e" filled="false" stroked="true" strokeweight=".282499pt" strokecolor="#231f20">
            <v:path arrowok="t"/>
            <w10:wrap type="none"/>
          </v:shape>
        </w:pict>
      </w:r>
      <w:r>
        <w:rPr>
          <w:color w:val="231F20"/>
          <w:sz w:val="14"/>
        </w:rPr>
        <w:t>70</w:t>
      </w:r>
    </w:p>
    <w:p>
      <w:pPr>
        <w:spacing w:before="8"/>
        <w:ind w:left="0" w:right="0" w:firstLine="0"/>
        <w:jc w:val="right"/>
        <w:rPr>
          <w:sz w:val="14"/>
        </w:rPr>
      </w:pPr>
      <w:r>
        <w:rPr/>
        <w:pict>
          <v:group style="position:absolute;margin-left:132.554199pt;margin-top:1.413184pt;width:207.1pt;height:14.4pt;mso-position-horizontal-relative:page;mso-position-vertical-relative:paragraph;z-index:-454168" coordorigin="2651,28" coordsize="4142,288">
            <v:shape style="position:absolute;left:2728;top:68;width:3997;height:209" coordorigin="2728,68" coordsize="3997,209" path="m2728,277l2801,270,2921,261,2998,254,3085,247,3180,239,3282,231,3389,222,3500,213,3614,204,3730,195,3845,186,3959,177,4070,168,4177,160,4279,152,4373,145,4460,138,4536,133,4602,128,4694,122,4718,121,4726,122,5034,119,5721,99,6411,78,6724,68e" filled="false" stroked="true" strokeweight=".463893pt" strokecolor="#58595b">
              <v:path arrowok="t"/>
            </v:shape>
            <v:line style="position:absolute" from="2691,277" to="2765,277" stroked="true" strokeweight="3.9161pt" strokecolor="#58595b"/>
            <v:line style="position:absolute" from="4689,123" to="4763,123" stroked="true" strokeweight="3.9161pt" strokecolor="#58595b"/>
            <v:line style="position:absolute" from="6678,68" to="6753,68" stroked="true" strokeweight="3.9162pt" strokecolor="#58595b"/>
            <w10:wrap type="none"/>
          </v:group>
        </w:pict>
      </w:r>
      <w:r>
        <w:rPr>
          <w:color w:val="231F20"/>
          <w:sz w:val="14"/>
        </w:rPr>
        <w:t>61.7</w:t>
      </w:r>
    </w:p>
    <w:p>
      <w:pPr>
        <w:spacing w:before="84"/>
        <w:ind w:left="390" w:right="0" w:firstLine="0"/>
        <w:jc w:val="left"/>
        <w:rPr>
          <w:sz w:val="14"/>
        </w:rPr>
      </w:pPr>
      <w:r>
        <w:rPr>
          <w:color w:val="231F20"/>
          <w:sz w:val="14"/>
        </w:rPr>
        <w:t>60</w:t>
      </w:r>
    </w:p>
    <w:p>
      <w:pPr>
        <w:spacing w:before="88"/>
        <w:ind w:left="390" w:right="-20" w:firstLine="0"/>
        <w:jc w:val="left"/>
        <w:rPr>
          <w:sz w:val="14"/>
        </w:rPr>
      </w:pPr>
      <w:r>
        <w:rPr/>
        <w:br w:type="column"/>
      </w:r>
      <w:r>
        <w:rPr>
          <w:color w:val="231F20"/>
          <w:w w:val="105"/>
          <w:sz w:val="14"/>
        </w:rPr>
        <w:t>65.1</w:t>
      </w:r>
    </w:p>
    <w:p>
      <w:pPr>
        <w:spacing w:before="80"/>
        <w:ind w:left="390" w:right="0" w:firstLine="0"/>
        <w:jc w:val="left"/>
        <w:rPr>
          <w:sz w:val="14"/>
        </w:rPr>
      </w:pPr>
      <w:r>
        <w:rPr/>
        <w:br w:type="column"/>
      </w:r>
      <w:r>
        <w:rPr>
          <w:color w:val="231F20"/>
          <w:w w:val="105"/>
          <w:sz w:val="14"/>
        </w:rPr>
        <w:t>66.3</w:t>
      </w:r>
    </w:p>
    <w:p>
      <w:pPr>
        <w:spacing w:after="0"/>
        <w:jc w:val="left"/>
        <w:rPr>
          <w:sz w:val="14"/>
        </w:rPr>
        <w:sectPr>
          <w:type w:val="continuous"/>
          <w:pgSz w:w="9520" w:h="12920"/>
          <w:pgMar w:top="0" w:bottom="0" w:left="1020" w:right="1320"/>
          <w:cols w:num="3" w:equalWidth="0">
            <w:col w:w="1842" w:space="1329"/>
            <w:col w:w="665" w:space="1340"/>
            <w:col w:w="2004"/>
          </w:cols>
        </w:sectPr>
      </w:pPr>
    </w:p>
    <w:p>
      <w:pPr>
        <w:pStyle w:val="BodyText"/>
        <w:spacing w:before="1"/>
        <w:rPr>
          <w:sz w:val="15"/>
        </w:rPr>
      </w:pPr>
    </w:p>
    <w:p>
      <w:pPr>
        <w:spacing w:before="79"/>
        <w:ind w:left="390" w:right="0" w:firstLine="0"/>
        <w:jc w:val="left"/>
        <w:rPr>
          <w:sz w:val="14"/>
        </w:rPr>
      </w:pPr>
      <w:r>
        <w:rPr>
          <w:color w:val="231F20"/>
          <w:sz w:val="14"/>
        </w:rPr>
        <w:t>50</w:t>
      </w:r>
    </w:p>
    <w:p>
      <w:pPr>
        <w:pStyle w:val="BodyText"/>
        <w:spacing w:before="1"/>
        <w:rPr>
          <w:sz w:val="15"/>
        </w:rPr>
      </w:pPr>
    </w:p>
    <w:p>
      <w:pPr>
        <w:spacing w:after="0"/>
        <w:rPr>
          <w:sz w:val="15"/>
        </w:rPr>
        <w:sectPr>
          <w:type w:val="continuous"/>
          <w:pgSz w:w="9520" w:h="12920"/>
          <w:pgMar w:top="0" w:bottom="0" w:left="1020" w:right="1320"/>
        </w:sectPr>
      </w:pPr>
    </w:p>
    <w:p>
      <w:pPr>
        <w:tabs>
          <w:tab w:pos="1566" w:val="left" w:leader="none"/>
        </w:tabs>
        <w:spacing w:before="82"/>
        <w:ind w:left="390" w:right="0" w:firstLine="0"/>
        <w:jc w:val="left"/>
        <w:rPr>
          <w:sz w:val="14"/>
        </w:rPr>
      </w:pPr>
      <w:r>
        <w:rPr/>
        <w:pict>
          <v:group style="position:absolute;margin-left:134.148438pt;margin-top:15.959058pt;width:203.7pt;height:23.65pt;mso-position-horizontal-relative:page;mso-position-vertical-relative:paragraph;z-index:-454144" coordorigin="2683,319" coordsize="4074,473">
            <v:shape style="position:absolute;left:2720;top:366;width:3997;height:376" coordorigin="2720,366" coordsize="3997,376" path="m2720,366l4719,556,6717,741e" filled="false" stroked="true" strokeweight=".463748pt" strokecolor="#231f20">
              <v:path arrowok="t"/>
            </v:shape>
            <v:shape style="position:absolute;left:2683;top:319;width:4074;height:473" coordorigin="2683,319" coordsize="4074,473" path="m2778,370l2731,319,2683,370,2730,420,2778,370m4766,554l4719,503,4671,554,4718,604,4766,554m6757,741l6709,691,6661,741,6709,792,6757,741e" filled="true" fillcolor="#231f20" stroked="false">
              <v:path arrowok="t"/>
              <v:fill type="solid"/>
            </v:shape>
            <w10:wrap type="none"/>
          </v:group>
        </w:pict>
      </w:r>
      <w:r>
        <w:rPr>
          <w:color w:val="231F20"/>
          <w:w w:val="105"/>
          <w:position w:val="1"/>
          <w:sz w:val="14"/>
        </w:rPr>
        <w:t>40</w:t>
        <w:tab/>
      </w:r>
      <w:r>
        <w:rPr>
          <w:color w:val="231F20"/>
          <w:w w:val="105"/>
          <w:sz w:val="14"/>
        </w:rPr>
        <w:t>34.6</w:t>
      </w:r>
    </w:p>
    <w:p>
      <w:pPr>
        <w:pStyle w:val="BodyText"/>
        <w:spacing w:before="9"/>
      </w:pPr>
    </w:p>
    <w:p>
      <w:pPr>
        <w:spacing w:before="0"/>
        <w:ind w:left="390" w:right="0" w:firstLine="0"/>
        <w:jc w:val="left"/>
        <w:rPr>
          <w:sz w:val="14"/>
        </w:rPr>
      </w:pPr>
      <w:r>
        <w:rPr>
          <w:color w:val="231F20"/>
          <w:sz w:val="14"/>
        </w:rPr>
        <w:t>30</w:t>
      </w:r>
    </w:p>
    <w:p>
      <w:pPr>
        <w:pStyle w:val="BodyText"/>
        <w:rPr>
          <w:sz w:val="14"/>
        </w:rPr>
      </w:pPr>
      <w:r>
        <w:rPr/>
        <w:br w:type="column"/>
      </w:r>
      <w:r>
        <w:rPr>
          <w:sz w:val="14"/>
        </w:rPr>
      </w:r>
    </w:p>
    <w:p>
      <w:pPr>
        <w:spacing w:before="86"/>
        <w:ind w:left="390" w:right="-20" w:firstLine="0"/>
        <w:jc w:val="left"/>
        <w:rPr>
          <w:sz w:val="14"/>
        </w:rPr>
      </w:pPr>
      <w:r>
        <w:rPr>
          <w:color w:val="231F20"/>
          <w:w w:val="105"/>
          <w:sz w:val="14"/>
        </w:rPr>
        <w:t>30.3</w:t>
      </w:r>
    </w:p>
    <w:p>
      <w:pPr>
        <w:pStyle w:val="BodyText"/>
        <w:rPr>
          <w:sz w:val="14"/>
        </w:rPr>
      </w:pPr>
      <w:r>
        <w:rPr/>
        <w:br w:type="column"/>
      </w:r>
      <w:r>
        <w:rPr>
          <w:sz w:val="14"/>
        </w:rPr>
      </w:r>
    </w:p>
    <w:p>
      <w:pPr>
        <w:pStyle w:val="BodyText"/>
        <w:rPr>
          <w:sz w:val="14"/>
        </w:rPr>
      </w:pPr>
    </w:p>
    <w:p>
      <w:pPr>
        <w:spacing w:before="116"/>
        <w:ind w:left="390" w:right="0" w:firstLine="0"/>
        <w:jc w:val="left"/>
        <w:rPr>
          <w:sz w:val="14"/>
        </w:rPr>
      </w:pPr>
      <w:r>
        <w:rPr>
          <w:color w:val="231F20"/>
          <w:w w:val="105"/>
          <w:sz w:val="14"/>
        </w:rPr>
        <w:t>26.2</w:t>
      </w:r>
    </w:p>
    <w:p>
      <w:pPr>
        <w:spacing w:after="0"/>
        <w:jc w:val="left"/>
        <w:rPr>
          <w:sz w:val="14"/>
        </w:rPr>
        <w:sectPr>
          <w:type w:val="continuous"/>
          <w:pgSz w:w="9520" w:h="12920"/>
          <w:pgMar w:top="0" w:bottom="0" w:left="1020" w:right="1320"/>
          <w:cols w:num="3" w:equalWidth="0">
            <w:col w:w="1842" w:space="1354"/>
            <w:col w:w="665" w:space="1276"/>
            <w:col w:w="2043"/>
          </w:cols>
        </w:sectPr>
      </w:pPr>
    </w:p>
    <w:p>
      <w:pPr>
        <w:pStyle w:val="BodyText"/>
        <w:spacing w:before="1"/>
        <w:rPr>
          <w:sz w:val="15"/>
        </w:rPr>
      </w:pPr>
    </w:p>
    <w:p>
      <w:pPr>
        <w:spacing w:before="79"/>
        <w:ind w:left="390" w:right="0" w:firstLine="0"/>
        <w:jc w:val="left"/>
        <w:rPr>
          <w:sz w:val="14"/>
        </w:rPr>
      </w:pPr>
      <w:r>
        <w:rPr>
          <w:color w:val="231F20"/>
          <w:sz w:val="14"/>
        </w:rPr>
        <w:t>20</w:t>
      </w:r>
    </w:p>
    <w:p>
      <w:pPr>
        <w:pStyle w:val="BodyText"/>
        <w:spacing w:before="5"/>
        <w:rPr>
          <w:sz w:val="13"/>
        </w:rPr>
      </w:pPr>
    </w:p>
    <w:p>
      <w:pPr>
        <w:spacing w:after="0"/>
        <w:rPr>
          <w:sz w:val="13"/>
        </w:rPr>
        <w:sectPr>
          <w:type w:val="continuous"/>
          <w:pgSz w:w="9520" w:h="12920"/>
          <w:pgMar w:top="0" w:bottom="0" w:left="1020" w:right="1320"/>
        </w:sectPr>
      </w:pPr>
    </w:p>
    <w:p>
      <w:pPr>
        <w:tabs>
          <w:tab w:pos="1597" w:val="left" w:leader="none"/>
        </w:tabs>
        <w:spacing w:before="100"/>
        <w:ind w:left="390" w:right="0" w:firstLine="0"/>
        <w:jc w:val="left"/>
        <w:rPr>
          <w:sz w:val="14"/>
        </w:rPr>
      </w:pPr>
      <w:r>
        <w:rPr/>
        <w:pict>
          <v:group style="position:absolute;margin-left:134.231598pt;margin-top:13.825998pt;width:203.65pt;height:9.25pt;mso-position-horizontal-relative:page;mso-position-vertical-relative:paragraph;z-index:-454120" coordorigin="2685,277" coordsize="4073,185">
            <v:shape style="position:absolute;left:2728;top:324;width:3997;height:97" coordorigin="2728,324" coordsize="3997,97" path="m6725,324l4727,382,3584,404,2995,416,2772,420,2728,421e" filled="false" stroked="true" strokeweight=".463944pt" strokecolor="#a7a9ac">
              <v:path arrowok="t"/>
            </v:shape>
            <v:shape style="position:absolute;left:2685;top:277;width:4073;height:185" coordorigin="2685,277" coordsize="4073,185" path="m2771,461l2728,366,2685,461,2771,461m4761,433l4718,339,4674,433,4761,433m6758,371l6715,277,6671,371,6758,371e" filled="true" fillcolor="#a7a9ac" stroked="false">
              <v:path arrowok="t"/>
              <v:fill type="solid"/>
            </v:shape>
            <w10:wrap type="none"/>
          </v:group>
        </w:pict>
      </w:r>
      <w:r>
        <w:rPr>
          <w:color w:val="231F20"/>
          <w:w w:val="105"/>
          <w:position w:val="6"/>
          <w:sz w:val="14"/>
        </w:rPr>
        <w:t>10</w:t>
        <w:tab/>
      </w:r>
      <w:r>
        <w:rPr>
          <w:color w:val="231F20"/>
          <w:w w:val="105"/>
          <w:sz w:val="14"/>
        </w:rPr>
        <w:t>3.8</w:t>
      </w:r>
    </w:p>
    <w:p>
      <w:pPr>
        <w:spacing w:before="113"/>
        <w:ind w:left="390" w:right="-17" w:firstLine="0"/>
        <w:jc w:val="left"/>
        <w:rPr>
          <w:sz w:val="14"/>
        </w:rPr>
      </w:pPr>
      <w:r>
        <w:rPr/>
        <w:br w:type="column"/>
      </w:r>
      <w:r>
        <w:rPr>
          <w:color w:val="231F20"/>
          <w:w w:val="105"/>
          <w:sz w:val="14"/>
        </w:rPr>
        <w:t>4.6</w:t>
      </w:r>
    </w:p>
    <w:p>
      <w:pPr>
        <w:spacing w:before="79"/>
        <w:ind w:left="390" w:right="0" w:firstLine="0"/>
        <w:jc w:val="left"/>
        <w:rPr>
          <w:sz w:val="14"/>
        </w:rPr>
      </w:pPr>
      <w:r>
        <w:rPr/>
        <w:br w:type="column"/>
      </w:r>
      <w:r>
        <w:rPr>
          <w:color w:val="231F20"/>
          <w:w w:val="105"/>
          <w:sz w:val="14"/>
        </w:rPr>
        <w:t>5.9</w:t>
      </w:r>
    </w:p>
    <w:p>
      <w:pPr>
        <w:spacing w:after="0"/>
        <w:jc w:val="left"/>
        <w:rPr>
          <w:sz w:val="14"/>
        </w:rPr>
        <w:sectPr>
          <w:type w:val="continuous"/>
          <w:pgSz w:w="9520" w:h="12920"/>
          <w:pgMar w:top="0" w:bottom="0" w:left="1020" w:right="1320"/>
          <w:cols w:num="3" w:equalWidth="0">
            <w:col w:w="1793" w:space="1403"/>
            <w:col w:w="586" w:space="1424"/>
            <w:col w:w="1974"/>
          </w:cols>
        </w:sectPr>
      </w:pPr>
    </w:p>
    <w:p>
      <w:pPr>
        <w:pStyle w:val="BodyText"/>
        <w:spacing w:before="10"/>
        <w:rPr>
          <w:sz w:val="9"/>
        </w:rPr>
      </w:pPr>
    </w:p>
    <w:p>
      <w:pPr>
        <w:spacing w:after="0"/>
        <w:rPr>
          <w:sz w:val="9"/>
        </w:rPr>
        <w:sectPr>
          <w:type w:val="continuous"/>
          <w:pgSz w:w="9520" w:h="12920"/>
          <w:pgMar w:top="0" w:bottom="0" w:left="1020" w:right="1320"/>
        </w:sectPr>
      </w:pPr>
    </w:p>
    <w:p>
      <w:pPr>
        <w:spacing w:line="142" w:lineRule="exact" w:before="80"/>
        <w:ind w:left="469" w:right="0" w:firstLine="0"/>
        <w:jc w:val="left"/>
        <w:rPr>
          <w:sz w:val="14"/>
        </w:rPr>
      </w:pPr>
      <w:r>
        <w:rPr>
          <w:color w:val="231F20"/>
          <w:w w:val="102"/>
          <w:sz w:val="14"/>
        </w:rPr>
        <w:t>0</w:t>
      </w:r>
    </w:p>
    <w:p>
      <w:pPr>
        <w:spacing w:line="142" w:lineRule="exact" w:before="0"/>
        <w:ind w:left="0" w:right="0" w:firstLine="0"/>
        <w:jc w:val="right"/>
        <w:rPr>
          <w:sz w:val="14"/>
        </w:rPr>
      </w:pPr>
      <w:r>
        <w:rPr>
          <w:color w:val="231F20"/>
          <w:sz w:val="14"/>
        </w:rPr>
        <w:t>1990</w:t>
      </w:r>
    </w:p>
    <w:p>
      <w:pPr>
        <w:pStyle w:val="BodyText"/>
        <w:rPr>
          <w:sz w:val="14"/>
        </w:rPr>
      </w:pPr>
      <w:r>
        <w:rPr/>
        <w:br w:type="column"/>
      </w:r>
      <w:r>
        <w:rPr>
          <w:sz w:val="14"/>
        </w:rPr>
      </w:r>
    </w:p>
    <w:p>
      <w:pPr>
        <w:pStyle w:val="BodyText"/>
        <w:rPr>
          <w:sz w:val="14"/>
        </w:rPr>
      </w:pPr>
    </w:p>
    <w:p>
      <w:pPr>
        <w:spacing w:before="93"/>
        <w:ind w:left="469" w:right="-19" w:firstLine="0"/>
        <w:jc w:val="left"/>
        <w:rPr>
          <w:sz w:val="14"/>
        </w:rPr>
      </w:pPr>
      <w:r>
        <w:rPr/>
        <w:pict>
          <v:group style="position:absolute;margin-left:156.946106pt;margin-top:7.438941pt;width:10.1pt;height:3.5pt;mso-position-horizontal-relative:page;mso-position-vertical-relative:paragraph;z-index:4648" coordorigin="3139,149" coordsize="202,70">
            <v:line style="position:absolute" from="3142,184" to="3337,184" stroked="true" strokeweight=".34802pt" strokecolor="#231f20"/>
            <v:shape style="position:absolute;left:3204;top:149;width:70;height:70" coordorigin="3204,149" coordsize="70,70" path="m3239,149l3273,184,3238,219,3204,184,3239,149xe" filled="true" fillcolor="#231f20" stroked="false">
              <v:path arrowok="t"/>
              <v:fill type="solid"/>
            </v:shape>
            <w10:wrap type="none"/>
          </v:group>
        </w:pict>
      </w:r>
      <w:r>
        <w:rPr>
          <w:color w:val="231F20"/>
          <w:sz w:val="14"/>
        </w:rPr>
        <w:t>0-14</w:t>
      </w:r>
    </w:p>
    <w:p>
      <w:pPr>
        <w:pStyle w:val="BodyText"/>
        <w:rPr>
          <w:sz w:val="17"/>
        </w:rPr>
      </w:pPr>
      <w:r>
        <w:rPr/>
        <w:br w:type="column"/>
      </w:r>
      <w:r>
        <w:rPr>
          <w:sz w:val="17"/>
        </w:rPr>
      </w:r>
    </w:p>
    <w:p>
      <w:pPr>
        <w:spacing w:before="0"/>
        <w:ind w:left="469" w:right="-16" w:firstLine="0"/>
        <w:jc w:val="left"/>
        <w:rPr>
          <w:sz w:val="14"/>
        </w:rPr>
      </w:pPr>
      <w:r>
        <w:rPr>
          <w:color w:val="231F20"/>
          <w:sz w:val="14"/>
        </w:rPr>
        <w:t>2000</w:t>
      </w:r>
    </w:p>
    <w:p>
      <w:pPr>
        <w:spacing w:before="58"/>
        <w:ind w:left="643" w:right="-16" w:firstLine="0"/>
        <w:jc w:val="left"/>
        <w:rPr>
          <w:sz w:val="14"/>
        </w:rPr>
      </w:pPr>
      <w:r>
        <w:rPr/>
        <w:pict>
          <v:group style="position:absolute;margin-left:224.50415pt;margin-top:6.15706pt;width:10.1pt;height:2.550pt;mso-position-horizontal-relative:page;mso-position-vertical-relative:paragraph;z-index:4672" coordorigin="4490,123" coordsize="202,51">
            <v:line style="position:absolute" from="4494,146" to="4688,146" stroked="true" strokeweight=".34802pt" strokecolor="#58595b"/>
            <v:line style="position:absolute" from="4567,149" to="4618,149" stroked="true" strokeweight="2.520653pt" strokecolor="#58595b"/>
            <w10:wrap type="none"/>
          </v:group>
        </w:pict>
      </w:r>
      <w:r>
        <w:rPr>
          <w:color w:val="231F20"/>
          <w:sz w:val="14"/>
        </w:rPr>
        <w:t>15-64</w:t>
      </w:r>
    </w:p>
    <w:p>
      <w:pPr>
        <w:pStyle w:val="BodyText"/>
        <w:rPr>
          <w:sz w:val="17"/>
        </w:rPr>
      </w:pPr>
      <w:r>
        <w:rPr/>
        <w:br w:type="column"/>
      </w:r>
      <w:r>
        <w:rPr>
          <w:sz w:val="17"/>
        </w:rPr>
      </w:r>
    </w:p>
    <w:p>
      <w:pPr>
        <w:spacing w:before="0"/>
        <w:ind w:left="1003" w:right="1303" w:firstLine="0"/>
        <w:jc w:val="center"/>
        <w:rPr>
          <w:sz w:val="14"/>
        </w:rPr>
      </w:pPr>
      <w:r>
        <w:rPr>
          <w:color w:val="231F20"/>
          <w:sz w:val="14"/>
        </w:rPr>
        <w:t>2010</w:t>
      </w:r>
    </w:p>
    <w:p>
      <w:pPr>
        <w:spacing w:before="53"/>
        <w:ind w:left="469" w:right="0" w:firstLine="0"/>
        <w:jc w:val="left"/>
        <w:rPr>
          <w:sz w:val="14"/>
        </w:rPr>
      </w:pPr>
      <w:r>
        <w:rPr/>
        <w:pict>
          <v:group style="position:absolute;margin-left:287.558319pt;margin-top:5.632036pt;width:10.1pt;height:3.35pt;mso-position-horizontal-relative:page;mso-position-vertical-relative:paragraph;z-index:4696" coordorigin="5751,113" coordsize="202,67">
            <v:line style="position:absolute" from="5755,146" to="5949,146" stroked="true" strokeweight=".34802pt" strokecolor="#a7a9ac"/>
            <v:shape style="position:absolute;left:5820;top:113;width:65;height:67" coordorigin="5820,113" coordsize="65,67" path="m5852,113l5884,180,5820,180,5852,113xe" filled="true" fillcolor="#a7a9ac" stroked="false">
              <v:path arrowok="t"/>
              <v:fill type="solid"/>
            </v:shape>
            <w10:wrap type="none"/>
          </v:group>
        </w:pict>
      </w:r>
      <w:r>
        <w:rPr>
          <w:color w:val="231F20"/>
          <w:w w:val="110"/>
          <w:sz w:val="14"/>
        </w:rPr>
        <w:t>65 y más</w:t>
      </w:r>
    </w:p>
    <w:p>
      <w:pPr>
        <w:spacing w:after="0"/>
        <w:jc w:val="left"/>
        <w:rPr>
          <w:sz w:val="14"/>
        </w:rPr>
        <w:sectPr>
          <w:type w:val="continuous"/>
          <w:pgSz w:w="9520" w:h="12920"/>
          <w:pgMar w:top="0" w:bottom="0" w:left="1020" w:right="1320"/>
          <w:cols w:num="4" w:equalWidth="0">
            <w:col w:w="1857" w:space="50"/>
            <w:col w:w="750" w:space="419"/>
            <w:col w:w="1004" w:space="442"/>
            <w:col w:w="2658"/>
          </w:cols>
        </w:sectPr>
      </w:pPr>
    </w:p>
    <w:p>
      <w:pPr>
        <w:pStyle w:val="BodyText"/>
        <w:spacing w:before="1"/>
        <w:rPr>
          <w:sz w:val="12"/>
        </w:rPr>
      </w:pPr>
    </w:p>
    <w:p>
      <w:pPr>
        <w:spacing w:before="78"/>
        <w:ind w:left="460" w:right="0" w:firstLine="0"/>
        <w:jc w:val="left"/>
        <w:rPr>
          <w:sz w:val="15"/>
        </w:rPr>
      </w:pPr>
      <w:r>
        <w:rPr>
          <w:color w:val="231F20"/>
          <w:w w:val="110"/>
          <w:sz w:val="15"/>
        </w:rPr>
        <w:t>Fuente: Elaboración propia con datos del </w:t>
      </w:r>
      <w:r>
        <w:rPr>
          <w:rFonts w:ascii="Times New Roman" w:hAnsi="Times New Roman"/>
          <w:color w:val="231F20"/>
          <w:w w:val="110"/>
          <w:sz w:val="12"/>
        </w:rPr>
        <w:t>INEGI</w:t>
      </w:r>
      <w:r>
        <w:rPr>
          <w:color w:val="231F20"/>
          <w:w w:val="110"/>
          <w:sz w:val="15"/>
        </w:rPr>
        <w:t>, 1990, 2000 y 2010.</w:t>
      </w:r>
    </w:p>
    <w:p>
      <w:pPr>
        <w:pStyle w:val="BodyText"/>
        <w:rPr>
          <w:sz w:val="14"/>
        </w:rPr>
      </w:pPr>
    </w:p>
    <w:p>
      <w:pPr>
        <w:pStyle w:val="BodyText"/>
        <w:rPr>
          <w:sz w:val="15"/>
        </w:rPr>
      </w:pPr>
    </w:p>
    <w:p>
      <w:pPr>
        <w:pStyle w:val="BodyText"/>
        <w:spacing w:line="288" w:lineRule="auto"/>
        <w:ind w:left="100" w:right="118" w:firstLine="360"/>
        <w:jc w:val="both"/>
      </w:pPr>
      <w:r>
        <w:rPr>
          <w:color w:val="231F20"/>
          <w:w w:val="110"/>
        </w:rPr>
        <w:t>En contraste con el grupo de población infantil, la población en edad productiva (de 15 a 64 años) ha venido mostrando un aumento en la pro- porción de la población total, al pasar de 61.7 en 1990 a 65.1 por ciento en el año 2000, para alcanzar en el 2010, 66.3 por ciento del total de la pobla- ción, esto generado por el crecimiento demográfico del pasado. Por lo que</w:t>
      </w:r>
    </w:p>
    <w:p>
      <w:pPr>
        <w:spacing w:after="0" w:line="288" w:lineRule="auto"/>
        <w:jc w:val="both"/>
        <w:sectPr>
          <w:type w:val="continuous"/>
          <w:pgSz w:w="9520" w:h="12920"/>
          <w:pgMar w:top="0" w:bottom="0" w:left="1020" w:right="1320"/>
        </w:sectPr>
      </w:pPr>
    </w:p>
    <w:p>
      <w:pPr>
        <w:pStyle w:val="BodyText"/>
        <w:spacing w:line="288" w:lineRule="auto" w:before="42"/>
        <w:ind w:left="124" w:right="112"/>
        <w:jc w:val="both"/>
      </w:pPr>
      <w:r>
        <w:rPr>
          <w:color w:val="231F20"/>
          <w:w w:val="110"/>
        </w:rPr>
        <w:t>en el periodo de 1990 al año 2000 este grupo de población aumentó en términos absolutos en 3.7 millones de personas, en tanto para el siguiente periodo</w:t>
      </w:r>
      <w:r>
        <w:rPr>
          <w:color w:val="231F20"/>
          <w:spacing w:val="-9"/>
          <w:w w:val="110"/>
        </w:rPr>
        <w:t> </w:t>
      </w:r>
      <w:r>
        <w:rPr>
          <w:color w:val="231F20"/>
          <w:w w:val="110"/>
        </w:rPr>
        <w:t>2000</w:t>
      </w:r>
      <w:r>
        <w:rPr>
          <w:color w:val="231F20"/>
          <w:spacing w:val="-9"/>
          <w:w w:val="110"/>
        </w:rPr>
        <w:t> </w:t>
      </w:r>
      <w:r>
        <w:rPr>
          <w:color w:val="231F20"/>
          <w:w w:val="110"/>
        </w:rPr>
        <w:t>a</w:t>
      </w:r>
      <w:r>
        <w:rPr>
          <w:color w:val="231F20"/>
          <w:spacing w:val="-9"/>
          <w:w w:val="110"/>
        </w:rPr>
        <w:t> </w:t>
      </w:r>
      <w:r>
        <w:rPr>
          <w:color w:val="231F20"/>
          <w:w w:val="110"/>
        </w:rPr>
        <w:t>2010</w:t>
      </w:r>
      <w:r>
        <w:rPr>
          <w:color w:val="231F20"/>
          <w:spacing w:val="-9"/>
          <w:w w:val="110"/>
        </w:rPr>
        <w:t> </w:t>
      </w:r>
      <w:r>
        <w:rPr>
          <w:color w:val="231F20"/>
          <w:w w:val="110"/>
        </w:rPr>
        <w:t>tuvo</w:t>
      </w:r>
      <w:r>
        <w:rPr>
          <w:color w:val="231F20"/>
          <w:spacing w:val="-9"/>
          <w:w w:val="110"/>
        </w:rPr>
        <w:t> </w:t>
      </w:r>
      <w:r>
        <w:rPr>
          <w:color w:val="231F20"/>
          <w:w w:val="110"/>
        </w:rPr>
        <w:t>un</w:t>
      </w:r>
      <w:r>
        <w:rPr>
          <w:color w:val="231F20"/>
          <w:spacing w:val="-9"/>
          <w:w w:val="110"/>
        </w:rPr>
        <w:t> </w:t>
      </w:r>
      <w:r>
        <w:rPr>
          <w:color w:val="231F20"/>
          <w:w w:val="110"/>
        </w:rPr>
        <w:t>aumento</w:t>
      </w:r>
      <w:r>
        <w:rPr>
          <w:color w:val="231F20"/>
          <w:spacing w:val="-9"/>
          <w:w w:val="110"/>
        </w:rPr>
        <w:t> </w:t>
      </w:r>
      <w:r>
        <w:rPr>
          <w:color w:val="231F20"/>
          <w:w w:val="110"/>
        </w:rPr>
        <w:t>de</w:t>
      </w:r>
      <w:r>
        <w:rPr>
          <w:color w:val="231F20"/>
          <w:spacing w:val="-9"/>
          <w:w w:val="110"/>
        </w:rPr>
        <w:t> </w:t>
      </w:r>
      <w:r>
        <w:rPr>
          <w:color w:val="231F20"/>
          <w:w w:val="110"/>
        </w:rPr>
        <w:t>3.5</w:t>
      </w:r>
      <w:r>
        <w:rPr>
          <w:color w:val="231F20"/>
          <w:spacing w:val="-9"/>
          <w:w w:val="110"/>
        </w:rPr>
        <w:t> </w:t>
      </w:r>
      <w:r>
        <w:rPr>
          <w:color w:val="231F20"/>
          <w:w w:val="110"/>
        </w:rPr>
        <w:t>millones.</w:t>
      </w:r>
      <w:r>
        <w:rPr>
          <w:color w:val="231F20"/>
          <w:spacing w:val="-9"/>
          <w:w w:val="110"/>
        </w:rPr>
        <w:t> </w:t>
      </w:r>
      <w:r>
        <w:rPr>
          <w:color w:val="231F20"/>
          <w:w w:val="110"/>
        </w:rPr>
        <w:t>Es</w:t>
      </w:r>
      <w:r>
        <w:rPr>
          <w:color w:val="231F20"/>
          <w:spacing w:val="-9"/>
          <w:w w:val="110"/>
        </w:rPr>
        <w:t> </w:t>
      </w:r>
      <w:r>
        <w:rPr>
          <w:color w:val="231F20"/>
          <w:spacing w:val="-3"/>
          <w:w w:val="110"/>
        </w:rPr>
        <w:t>decir,</w:t>
      </w:r>
      <w:r>
        <w:rPr>
          <w:color w:val="231F20"/>
          <w:spacing w:val="-9"/>
          <w:w w:val="110"/>
        </w:rPr>
        <w:t> </w:t>
      </w:r>
      <w:r>
        <w:rPr>
          <w:color w:val="231F20"/>
          <w:w w:val="110"/>
        </w:rPr>
        <w:t>del</w:t>
      </w:r>
      <w:r>
        <w:rPr>
          <w:color w:val="231F20"/>
          <w:spacing w:val="-9"/>
          <w:w w:val="110"/>
        </w:rPr>
        <w:t> </w:t>
      </w:r>
      <w:r>
        <w:rPr>
          <w:color w:val="231F20"/>
          <w:w w:val="110"/>
        </w:rPr>
        <w:t>periodo de 1990 a 2010 registró un incremento de 49.1 por ciento. Según proyec- ciones de Conapo (2011), a este grupo de población se le sumarán anual- mente alrededor de 887 mil personas durante la vigencia del bono demo- gráfico</w:t>
      </w:r>
      <w:r>
        <w:rPr>
          <w:color w:val="231F20"/>
          <w:spacing w:val="-17"/>
          <w:w w:val="110"/>
        </w:rPr>
        <w:t> </w:t>
      </w:r>
      <w:r>
        <w:rPr>
          <w:color w:val="231F20"/>
          <w:w w:val="110"/>
        </w:rPr>
        <w:t>entre</w:t>
      </w:r>
      <w:r>
        <w:rPr>
          <w:color w:val="231F20"/>
          <w:spacing w:val="-14"/>
          <w:w w:val="110"/>
        </w:rPr>
        <w:t> </w:t>
      </w:r>
      <w:r>
        <w:rPr>
          <w:color w:val="231F20"/>
          <w:w w:val="110"/>
        </w:rPr>
        <w:t>2010</w:t>
      </w:r>
      <w:r>
        <w:rPr>
          <w:color w:val="231F20"/>
          <w:spacing w:val="-14"/>
          <w:w w:val="110"/>
        </w:rPr>
        <w:t> </w:t>
      </w:r>
      <w:r>
        <w:rPr>
          <w:color w:val="231F20"/>
          <w:w w:val="110"/>
        </w:rPr>
        <w:t>y</w:t>
      </w:r>
      <w:r>
        <w:rPr>
          <w:color w:val="231F20"/>
          <w:spacing w:val="-14"/>
          <w:w w:val="110"/>
        </w:rPr>
        <w:t> </w:t>
      </w:r>
      <w:r>
        <w:rPr>
          <w:color w:val="231F20"/>
          <w:w w:val="110"/>
        </w:rPr>
        <w:t>2030,</w:t>
      </w:r>
      <w:r>
        <w:rPr>
          <w:color w:val="231F20"/>
          <w:spacing w:val="-14"/>
          <w:w w:val="110"/>
        </w:rPr>
        <w:t> </w:t>
      </w:r>
      <w:r>
        <w:rPr>
          <w:color w:val="231F20"/>
          <w:w w:val="110"/>
        </w:rPr>
        <w:t>ello</w:t>
      </w:r>
      <w:r>
        <w:rPr>
          <w:color w:val="231F20"/>
          <w:spacing w:val="-14"/>
          <w:w w:val="110"/>
        </w:rPr>
        <w:t> </w:t>
      </w:r>
      <w:r>
        <w:rPr>
          <w:color w:val="231F20"/>
          <w:w w:val="110"/>
        </w:rPr>
        <w:t>implica</w:t>
      </w:r>
      <w:r>
        <w:rPr>
          <w:color w:val="231F20"/>
          <w:spacing w:val="-14"/>
          <w:w w:val="110"/>
        </w:rPr>
        <w:t> </w:t>
      </w:r>
      <w:r>
        <w:rPr>
          <w:color w:val="231F20"/>
          <w:w w:val="110"/>
        </w:rPr>
        <w:t>que</w:t>
      </w:r>
      <w:r>
        <w:rPr>
          <w:color w:val="231F20"/>
          <w:spacing w:val="-14"/>
          <w:w w:val="110"/>
        </w:rPr>
        <w:t> </w:t>
      </w:r>
      <w:r>
        <w:rPr>
          <w:color w:val="231F20"/>
          <w:w w:val="110"/>
        </w:rPr>
        <w:t>la</w:t>
      </w:r>
      <w:r>
        <w:rPr>
          <w:color w:val="231F20"/>
          <w:spacing w:val="-14"/>
          <w:w w:val="110"/>
        </w:rPr>
        <w:t> </w:t>
      </w:r>
      <w:r>
        <w:rPr>
          <w:color w:val="231F20"/>
          <w:w w:val="110"/>
        </w:rPr>
        <w:t>creación</w:t>
      </w:r>
      <w:r>
        <w:rPr>
          <w:color w:val="231F20"/>
          <w:spacing w:val="-14"/>
          <w:w w:val="110"/>
        </w:rPr>
        <w:t> </w:t>
      </w:r>
      <w:r>
        <w:rPr>
          <w:color w:val="231F20"/>
          <w:w w:val="110"/>
        </w:rPr>
        <w:t>de</w:t>
      </w:r>
      <w:r>
        <w:rPr>
          <w:color w:val="231F20"/>
          <w:spacing w:val="-14"/>
          <w:w w:val="110"/>
        </w:rPr>
        <w:t> </w:t>
      </w:r>
      <w:r>
        <w:rPr>
          <w:color w:val="231F20"/>
          <w:w w:val="110"/>
        </w:rPr>
        <w:t>puestos</w:t>
      </w:r>
      <w:r>
        <w:rPr>
          <w:color w:val="231F20"/>
          <w:spacing w:val="-14"/>
          <w:w w:val="110"/>
        </w:rPr>
        <w:t> </w:t>
      </w:r>
      <w:r>
        <w:rPr>
          <w:color w:val="231F20"/>
          <w:w w:val="110"/>
        </w:rPr>
        <w:t>de</w:t>
      </w:r>
      <w:r>
        <w:rPr>
          <w:color w:val="231F20"/>
          <w:spacing w:val="-14"/>
          <w:w w:val="110"/>
        </w:rPr>
        <w:t> </w:t>
      </w:r>
      <w:r>
        <w:rPr>
          <w:color w:val="231F20"/>
          <w:w w:val="110"/>
        </w:rPr>
        <w:t>trabajo remunerados deberá ser al menos de ese orden de magnitud o mayor</w:t>
      </w:r>
      <w:r>
        <w:rPr>
          <w:color w:val="231F20"/>
          <w:spacing w:val="-20"/>
          <w:w w:val="110"/>
        </w:rPr>
        <w:t> </w:t>
      </w:r>
      <w:r>
        <w:rPr>
          <w:color w:val="231F20"/>
          <w:w w:val="110"/>
        </w:rPr>
        <w:t>para eliminar de manera gradual a lo largo del tiempo el desempleo</w:t>
      </w:r>
      <w:r>
        <w:rPr>
          <w:color w:val="231F20"/>
          <w:spacing w:val="22"/>
          <w:w w:val="110"/>
        </w:rPr>
        <w:t> </w:t>
      </w:r>
      <w:r>
        <w:rPr>
          <w:color w:val="231F20"/>
          <w:w w:val="110"/>
        </w:rPr>
        <w:t>existente.</w:t>
      </w:r>
    </w:p>
    <w:p>
      <w:pPr>
        <w:pStyle w:val="BodyText"/>
        <w:spacing w:line="288" w:lineRule="auto"/>
        <w:ind w:left="124" w:right="112" w:firstLine="360"/>
        <w:jc w:val="both"/>
      </w:pPr>
      <w:r>
        <w:rPr>
          <w:color w:val="231F20"/>
          <w:w w:val="110"/>
        </w:rPr>
        <w:t>Por su parte, la población de 65 años de edad y más (adulta mayor) muestra</w:t>
      </w:r>
      <w:r>
        <w:rPr>
          <w:color w:val="231F20"/>
          <w:spacing w:val="-15"/>
          <w:w w:val="110"/>
        </w:rPr>
        <w:t> </w:t>
      </w:r>
      <w:r>
        <w:rPr>
          <w:color w:val="231F20"/>
          <w:w w:val="110"/>
        </w:rPr>
        <w:t>un</w:t>
      </w:r>
      <w:r>
        <w:rPr>
          <w:color w:val="231F20"/>
          <w:spacing w:val="-15"/>
          <w:w w:val="110"/>
        </w:rPr>
        <w:t> </w:t>
      </w:r>
      <w:r>
        <w:rPr>
          <w:color w:val="231F20"/>
          <w:w w:val="110"/>
        </w:rPr>
        <w:t>crecimiento</w:t>
      </w:r>
      <w:r>
        <w:rPr>
          <w:color w:val="231F20"/>
          <w:spacing w:val="-15"/>
          <w:w w:val="110"/>
        </w:rPr>
        <w:t> </w:t>
      </w:r>
      <w:r>
        <w:rPr>
          <w:color w:val="231F20"/>
          <w:w w:val="110"/>
        </w:rPr>
        <w:t>más</w:t>
      </w:r>
      <w:r>
        <w:rPr>
          <w:color w:val="231F20"/>
          <w:spacing w:val="-15"/>
          <w:w w:val="110"/>
        </w:rPr>
        <w:t> </w:t>
      </w:r>
      <w:r>
        <w:rPr>
          <w:color w:val="231F20"/>
          <w:w w:val="110"/>
        </w:rPr>
        <w:t>rápido</w:t>
      </w:r>
      <w:r>
        <w:rPr>
          <w:color w:val="231F20"/>
          <w:spacing w:val="-15"/>
          <w:w w:val="110"/>
        </w:rPr>
        <w:t> </w:t>
      </w:r>
      <w:r>
        <w:rPr>
          <w:color w:val="231F20"/>
          <w:w w:val="110"/>
        </w:rPr>
        <w:t>que</w:t>
      </w:r>
      <w:r>
        <w:rPr>
          <w:color w:val="231F20"/>
          <w:spacing w:val="-15"/>
          <w:w w:val="110"/>
        </w:rPr>
        <w:t> </w:t>
      </w:r>
      <w:r>
        <w:rPr>
          <w:color w:val="231F20"/>
          <w:w w:val="110"/>
        </w:rPr>
        <w:t>los</w:t>
      </w:r>
      <w:r>
        <w:rPr>
          <w:color w:val="231F20"/>
          <w:spacing w:val="-15"/>
          <w:w w:val="110"/>
        </w:rPr>
        <w:t> </w:t>
      </w:r>
      <w:r>
        <w:rPr>
          <w:color w:val="231F20"/>
          <w:w w:val="110"/>
        </w:rPr>
        <w:t>grupos</w:t>
      </w:r>
      <w:r>
        <w:rPr>
          <w:color w:val="231F20"/>
          <w:spacing w:val="-15"/>
          <w:w w:val="110"/>
        </w:rPr>
        <w:t> </w:t>
      </w:r>
      <w:r>
        <w:rPr>
          <w:color w:val="231F20"/>
          <w:w w:val="110"/>
        </w:rPr>
        <w:t>anteriores,</w:t>
      </w:r>
      <w:r>
        <w:rPr>
          <w:color w:val="231F20"/>
          <w:spacing w:val="-15"/>
          <w:w w:val="110"/>
        </w:rPr>
        <w:t> </w:t>
      </w:r>
      <w:r>
        <w:rPr>
          <w:color w:val="231F20"/>
          <w:w w:val="110"/>
        </w:rPr>
        <w:t>a</w:t>
      </w:r>
      <w:r>
        <w:rPr>
          <w:color w:val="231F20"/>
          <w:spacing w:val="-15"/>
          <w:w w:val="110"/>
        </w:rPr>
        <w:t> </w:t>
      </w:r>
      <w:r>
        <w:rPr>
          <w:color w:val="231F20"/>
          <w:w w:val="110"/>
        </w:rPr>
        <w:t>un</w:t>
      </w:r>
      <w:r>
        <w:rPr>
          <w:color w:val="231F20"/>
          <w:spacing w:val="-15"/>
          <w:w w:val="110"/>
        </w:rPr>
        <w:t> </w:t>
      </w:r>
      <w:r>
        <w:rPr>
          <w:color w:val="231F20"/>
          <w:w w:val="110"/>
        </w:rPr>
        <w:t>ritmo</w:t>
      </w:r>
      <w:r>
        <w:rPr>
          <w:color w:val="231F20"/>
          <w:spacing w:val="-15"/>
          <w:w w:val="110"/>
        </w:rPr>
        <w:t> </w:t>
      </w:r>
      <w:r>
        <w:rPr>
          <w:color w:val="231F20"/>
          <w:w w:val="110"/>
        </w:rPr>
        <w:t>de</w:t>
      </w:r>
    </w:p>
    <w:p>
      <w:pPr>
        <w:pStyle w:val="BodyText"/>
        <w:spacing w:line="288" w:lineRule="auto"/>
        <w:ind w:left="124" w:right="112"/>
        <w:jc w:val="both"/>
      </w:pPr>
      <w:r>
        <w:rPr>
          <w:color w:val="231F20"/>
          <w:w w:val="110"/>
        </w:rPr>
        <w:t>5.0</w:t>
      </w:r>
      <w:r>
        <w:rPr>
          <w:color w:val="231F20"/>
          <w:spacing w:val="-6"/>
          <w:w w:val="110"/>
        </w:rPr>
        <w:t> </w:t>
      </w:r>
      <w:r>
        <w:rPr>
          <w:color w:val="231F20"/>
          <w:w w:val="110"/>
        </w:rPr>
        <w:t>y</w:t>
      </w:r>
      <w:r>
        <w:rPr>
          <w:color w:val="231F20"/>
          <w:spacing w:val="-6"/>
          <w:w w:val="110"/>
        </w:rPr>
        <w:t> </w:t>
      </w:r>
      <w:r>
        <w:rPr>
          <w:color w:val="231F20"/>
          <w:w w:val="110"/>
        </w:rPr>
        <w:t>4.1</w:t>
      </w:r>
      <w:r>
        <w:rPr>
          <w:color w:val="231F20"/>
          <w:spacing w:val="-6"/>
          <w:w w:val="110"/>
        </w:rPr>
        <w:t> </w:t>
      </w:r>
      <w:r>
        <w:rPr>
          <w:color w:val="231F20"/>
          <w:w w:val="110"/>
        </w:rPr>
        <w:t>por</w:t>
      </w:r>
      <w:r>
        <w:rPr>
          <w:color w:val="231F20"/>
          <w:spacing w:val="-6"/>
          <w:w w:val="110"/>
        </w:rPr>
        <w:t> </w:t>
      </w:r>
      <w:r>
        <w:rPr>
          <w:color w:val="231F20"/>
          <w:w w:val="110"/>
        </w:rPr>
        <w:t>ciento</w:t>
      </w:r>
      <w:r>
        <w:rPr>
          <w:color w:val="231F20"/>
          <w:spacing w:val="-6"/>
          <w:w w:val="110"/>
        </w:rPr>
        <w:t> </w:t>
      </w:r>
      <w:r>
        <w:rPr>
          <w:color w:val="231F20"/>
          <w:w w:val="110"/>
        </w:rPr>
        <w:t>en</w:t>
      </w:r>
      <w:r>
        <w:rPr>
          <w:color w:val="231F20"/>
          <w:spacing w:val="-6"/>
          <w:w w:val="110"/>
        </w:rPr>
        <w:t> </w:t>
      </w:r>
      <w:r>
        <w:rPr>
          <w:color w:val="231F20"/>
          <w:w w:val="110"/>
        </w:rPr>
        <w:t>los</w:t>
      </w:r>
      <w:r>
        <w:rPr>
          <w:color w:val="231F20"/>
          <w:spacing w:val="-6"/>
          <w:w w:val="110"/>
        </w:rPr>
        <w:t> </w:t>
      </w:r>
      <w:r>
        <w:rPr>
          <w:color w:val="231F20"/>
          <w:w w:val="110"/>
        </w:rPr>
        <w:t>periodos</w:t>
      </w:r>
      <w:r>
        <w:rPr>
          <w:color w:val="231F20"/>
          <w:spacing w:val="-6"/>
          <w:w w:val="110"/>
        </w:rPr>
        <w:t> </w:t>
      </w:r>
      <w:r>
        <w:rPr>
          <w:color w:val="231F20"/>
          <w:w w:val="110"/>
        </w:rPr>
        <w:t>de</w:t>
      </w:r>
      <w:r>
        <w:rPr>
          <w:color w:val="231F20"/>
          <w:spacing w:val="-6"/>
          <w:w w:val="110"/>
        </w:rPr>
        <w:t> </w:t>
      </w:r>
      <w:r>
        <w:rPr>
          <w:color w:val="231F20"/>
          <w:w w:val="110"/>
        </w:rPr>
        <w:t>1990-2000</w:t>
      </w:r>
      <w:r>
        <w:rPr>
          <w:color w:val="231F20"/>
          <w:spacing w:val="-6"/>
          <w:w w:val="110"/>
        </w:rPr>
        <w:t> </w:t>
      </w:r>
      <w:r>
        <w:rPr>
          <w:color w:val="231F20"/>
          <w:w w:val="110"/>
        </w:rPr>
        <w:t>y</w:t>
      </w:r>
      <w:r>
        <w:rPr>
          <w:color w:val="231F20"/>
          <w:spacing w:val="-6"/>
          <w:w w:val="110"/>
        </w:rPr>
        <w:t> </w:t>
      </w:r>
      <w:r>
        <w:rPr>
          <w:color w:val="231F20"/>
          <w:w w:val="110"/>
        </w:rPr>
        <w:t>2000-2010,</w:t>
      </w:r>
      <w:r>
        <w:rPr>
          <w:color w:val="231F20"/>
          <w:spacing w:val="-6"/>
          <w:w w:val="110"/>
        </w:rPr>
        <w:t> </w:t>
      </w:r>
      <w:r>
        <w:rPr>
          <w:color w:val="231F20"/>
          <w:w w:val="110"/>
        </w:rPr>
        <w:t>y</w:t>
      </w:r>
      <w:r>
        <w:rPr>
          <w:color w:val="231F20"/>
          <w:spacing w:val="-6"/>
          <w:w w:val="110"/>
        </w:rPr>
        <w:t> </w:t>
      </w:r>
      <w:r>
        <w:rPr>
          <w:color w:val="231F20"/>
          <w:w w:val="110"/>
        </w:rPr>
        <w:t>se</w:t>
      </w:r>
      <w:r>
        <w:rPr>
          <w:color w:val="231F20"/>
          <w:spacing w:val="-6"/>
          <w:w w:val="110"/>
        </w:rPr>
        <w:t> </w:t>
      </w:r>
      <w:r>
        <w:rPr>
          <w:color w:val="231F20"/>
          <w:w w:val="110"/>
        </w:rPr>
        <w:t>espera que para el año 2030 supere 14.0 por ciento en 2030 (Conapo, 2011). Los cambios generados por la transición demográfica se reflejan en los distin- tos grupos de edad, sin embargo, el grupo de 65 años y más presentará un ritmo</w:t>
      </w:r>
      <w:r>
        <w:rPr>
          <w:color w:val="231F20"/>
          <w:spacing w:val="-16"/>
          <w:w w:val="110"/>
        </w:rPr>
        <w:t> </w:t>
      </w:r>
      <w:r>
        <w:rPr>
          <w:color w:val="231F20"/>
          <w:w w:val="110"/>
        </w:rPr>
        <w:t>de</w:t>
      </w:r>
      <w:r>
        <w:rPr>
          <w:color w:val="231F20"/>
          <w:spacing w:val="-16"/>
          <w:w w:val="110"/>
        </w:rPr>
        <w:t> </w:t>
      </w:r>
      <w:r>
        <w:rPr>
          <w:color w:val="231F20"/>
          <w:w w:val="110"/>
        </w:rPr>
        <w:t>crecimiento</w:t>
      </w:r>
      <w:r>
        <w:rPr>
          <w:color w:val="231F20"/>
          <w:spacing w:val="-16"/>
          <w:w w:val="110"/>
        </w:rPr>
        <w:t> </w:t>
      </w:r>
      <w:r>
        <w:rPr>
          <w:color w:val="231F20"/>
          <w:w w:val="110"/>
        </w:rPr>
        <w:t>más</w:t>
      </w:r>
      <w:r>
        <w:rPr>
          <w:color w:val="231F20"/>
          <w:spacing w:val="-16"/>
          <w:w w:val="110"/>
        </w:rPr>
        <w:t> </w:t>
      </w:r>
      <w:r>
        <w:rPr>
          <w:color w:val="231F20"/>
          <w:w w:val="110"/>
        </w:rPr>
        <w:t>dinámico</w:t>
      </w:r>
      <w:r>
        <w:rPr>
          <w:color w:val="231F20"/>
          <w:spacing w:val="-16"/>
          <w:w w:val="110"/>
        </w:rPr>
        <w:t> </w:t>
      </w:r>
      <w:r>
        <w:rPr>
          <w:color w:val="231F20"/>
          <w:w w:val="110"/>
        </w:rPr>
        <w:t>en</w:t>
      </w:r>
      <w:r>
        <w:rPr>
          <w:color w:val="231F20"/>
          <w:spacing w:val="-16"/>
          <w:w w:val="110"/>
        </w:rPr>
        <w:t> </w:t>
      </w:r>
      <w:r>
        <w:rPr>
          <w:color w:val="231F20"/>
          <w:w w:val="110"/>
        </w:rPr>
        <w:t>los</w:t>
      </w:r>
      <w:r>
        <w:rPr>
          <w:color w:val="231F20"/>
          <w:spacing w:val="-16"/>
          <w:w w:val="110"/>
        </w:rPr>
        <w:t> </w:t>
      </w:r>
      <w:r>
        <w:rPr>
          <w:color w:val="231F20"/>
          <w:w w:val="110"/>
        </w:rPr>
        <w:t>próximos</w:t>
      </w:r>
      <w:r>
        <w:rPr>
          <w:color w:val="231F20"/>
          <w:spacing w:val="-16"/>
          <w:w w:val="110"/>
        </w:rPr>
        <w:t> </w:t>
      </w:r>
      <w:r>
        <w:rPr>
          <w:color w:val="231F20"/>
          <w:w w:val="110"/>
        </w:rPr>
        <w:t>30</w:t>
      </w:r>
      <w:r>
        <w:rPr>
          <w:color w:val="231F20"/>
          <w:spacing w:val="-16"/>
          <w:w w:val="110"/>
        </w:rPr>
        <w:t> </w:t>
      </w:r>
      <w:r>
        <w:rPr>
          <w:color w:val="231F20"/>
          <w:w w:val="110"/>
        </w:rPr>
        <w:t>años</w:t>
      </w:r>
      <w:r>
        <w:rPr>
          <w:color w:val="231F20"/>
          <w:spacing w:val="-16"/>
          <w:w w:val="110"/>
        </w:rPr>
        <w:t> </w:t>
      </w:r>
      <w:r>
        <w:rPr>
          <w:color w:val="231F20"/>
          <w:w w:val="110"/>
        </w:rPr>
        <w:t>(Partida,</w:t>
      </w:r>
      <w:r>
        <w:rPr>
          <w:color w:val="231F20"/>
          <w:spacing w:val="-16"/>
          <w:w w:val="110"/>
        </w:rPr>
        <w:t> </w:t>
      </w:r>
      <w:r>
        <w:rPr>
          <w:color w:val="231F20"/>
          <w:w w:val="110"/>
        </w:rPr>
        <w:t>2004) (véase gráfica</w:t>
      </w:r>
      <w:r>
        <w:rPr>
          <w:color w:val="231F20"/>
          <w:spacing w:val="-31"/>
          <w:w w:val="110"/>
        </w:rPr>
        <w:t> </w:t>
      </w:r>
      <w:r>
        <w:rPr>
          <w:color w:val="231F20"/>
          <w:w w:val="110"/>
        </w:rPr>
        <w:t>1).</w:t>
      </w:r>
    </w:p>
    <w:p>
      <w:pPr>
        <w:pStyle w:val="BodyText"/>
        <w:spacing w:line="288" w:lineRule="auto"/>
        <w:ind w:left="124" w:right="109" w:firstLine="360"/>
        <w:jc w:val="both"/>
      </w:pPr>
      <w:r>
        <w:rPr>
          <w:color w:val="231F20"/>
          <w:w w:val="110"/>
        </w:rPr>
        <w:t>El resultado del proceso de transición demográfica se observa en la tasa de envejecimiento, el cual ha presentado cambios importantes en los últimos 20 años al pasar de 3.8 en 1990 a 5.9 en el año 2010. A pesar de que aún no ha rebasado el umbral de 10 por ciento de la población total para considerarse abiertamente una población envejecida (García </w:t>
      </w:r>
      <w:r>
        <w:rPr>
          <w:i/>
          <w:color w:val="231F20"/>
          <w:w w:val="110"/>
        </w:rPr>
        <w:t>et al</w:t>
      </w:r>
      <w:r>
        <w:rPr>
          <w:color w:val="231F20"/>
          <w:w w:val="110"/>
        </w:rPr>
        <w:t>., 2003), llama la atención su crecimiento acelerado, en corto tiempo, en las zonas metropolitanas analizadas, que registran un porcentaje alto de po- blación envejecida.</w:t>
      </w:r>
    </w:p>
    <w:p>
      <w:pPr>
        <w:pStyle w:val="BodyText"/>
        <w:spacing w:line="288" w:lineRule="auto"/>
        <w:ind w:left="124" w:right="110" w:firstLine="360"/>
        <w:jc w:val="both"/>
      </w:pPr>
      <w:r>
        <w:rPr>
          <w:color w:val="231F20"/>
          <w:w w:val="110"/>
        </w:rPr>
        <w:t>La zona metropolitana del </w:t>
      </w:r>
      <w:r>
        <w:rPr>
          <w:color w:val="231F20"/>
          <w:spacing w:val="-5"/>
          <w:w w:val="110"/>
        </w:rPr>
        <w:t>Valle </w:t>
      </w:r>
      <w:r>
        <w:rPr>
          <w:color w:val="231F20"/>
          <w:w w:val="110"/>
        </w:rPr>
        <w:t>de México presenta una tasa de enve- jecimiento</w:t>
      </w:r>
      <w:r>
        <w:rPr>
          <w:color w:val="231F20"/>
          <w:spacing w:val="-5"/>
          <w:w w:val="110"/>
        </w:rPr>
        <w:t> </w:t>
      </w:r>
      <w:r>
        <w:rPr>
          <w:color w:val="231F20"/>
          <w:w w:val="110"/>
        </w:rPr>
        <w:t>de</w:t>
      </w:r>
      <w:r>
        <w:rPr>
          <w:color w:val="231F20"/>
          <w:spacing w:val="-5"/>
          <w:w w:val="110"/>
        </w:rPr>
        <w:t> </w:t>
      </w:r>
      <w:r>
        <w:rPr>
          <w:color w:val="231F20"/>
          <w:w w:val="110"/>
        </w:rPr>
        <w:t>6.1</w:t>
      </w:r>
      <w:r>
        <w:rPr>
          <w:color w:val="231F20"/>
          <w:spacing w:val="-5"/>
          <w:w w:val="110"/>
        </w:rPr>
        <w:t> </w:t>
      </w:r>
      <w:r>
        <w:rPr>
          <w:color w:val="231F20"/>
          <w:w w:val="110"/>
        </w:rPr>
        <w:t>por</w:t>
      </w:r>
      <w:r>
        <w:rPr>
          <w:color w:val="231F20"/>
          <w:spacing w:val="-5"/>
          <w:w w:val="110"/>
        </w:rPr>
        <w:t> </w:t>
      </w:r>
      <w:r>
        <w:rPr>
          <w:color w:val="231F20"/>
          <w:w w:val="110"/>
        </w:rPr>
        <w:t>ciento,</w:t>
      </w:r>
      <w:r>
        <w:rPr>
          <w:color w:val="231F20"/>
          <w:spacing w:val="-5"/>
          <w:w w:val="110"/>
        </w:rPr>
        <w:t> </w:t>
      </w:r>
      <w:r>
        <w:rPr>
          <w:color w:val="231F20"/>
          <w:w w:val="110"/>
        </w:rPr>
        <w:t>lo</w:t>
      </w:r>
      <w:r>
        <w:rPr>
          <w:color w:val="231F20"/>
          <w:spacing w:val="-5"/>
          <w:w w:val="110"/>
        </w:rPr>
        <w:t> </w:t>
      </w:r>
      <w:r>
        <w:rPr>
          <w:color w:val="231F20"/>
          <w:w w:val="110"/>
        </w:rPr>
        <w:t>que</w:t>
      </w:r>
      <w:r>
        <w:rPr>
          <w:color w:val="231F20"/>
          <w:spacing w:val="-5"/>
          <w:w w:val="110"/>
        </w:rPr>
        <w:t> </w:t>
      </w:r>
      <w:r>
        <w:rPr>
          <w:color w:val="231F20"/>
          <w:w w:val="110"/>
        </w:rPr>
        <w:t>en</w:t>
      </w:r>
      <w:r>
        <w:rPr>
          <w:color w:val="231F20"/>
          <w:spacing w:val="-5"/>
          <w:w w:val="110"/>
        </w:rPr>
        <w:t> </w:t>
      </w:r>
      <w:r>
        <w:rPr>
          <w:color w:val="231F20"/>
          <w:w w:val="110"/>
        </w:rPr>
        <w:t>términos</w:t>
      </w:r>
      <w:r>
        <w:rPr>
          <w:color w:val="231F20"/>
          <w:spacing w:val="-5"/>
          <w:w w:val="110"/>
        </w:rPr>
        <w:t> </w:t>
      </w:r>
      <w:r>
        <w:rPr>
          <w:color w:val="231F20"/>
          <w:w w:val="110"/>
        </w:rPr>
        <w:t>demográficos</w:t>
      </w:r>
      <w:r>
        <w:rPr>
          <w:color w:val="231F20"/>
          <w:spacing w:val="-5"/>
          <w:w w:val="110"/>
        </w:rPr>
        <w:t> </w:t>
      </w:r>
      <w:r>
        <w:rPr>
          <w:color w:val="231F20"/>
          <w:w w:val="110"/>
        </w:rPr>
        <w:t>muestra</w:t>
      </w:r>
      <w:r>
        <w:rPr>
          <w:color w:val="231F20"/>
          <w:spacing w:val="-5"/>
          <w:w w:val="110"/>
        </w:rPr>
        <w:t> </w:t>
      </w:r>
      <w:r>
        <w:rPr>
          <w:color w:val="231F20"/>
          <w:w w:val="110"/>
        </w:rPr>
        <w:t>una tendencia al envejecimiento, tomando en cuenta que 20.0 por ciento del </w:t>
      </w:r>
      <w:r>
        <w:rPr>
          <w:color w:val="231F20"/>
          <w:spacing w:val="2"/>
          <w:w w:val="110"/>
        </w:rPr>
        <w:t>conjunto metropolitano </w:t>
      </w:r>
      <w:r>
        <w:rPr>
          <w:color w:val="231F20"/>
          <w:w w:val="110"/>
        </w:rPr>
        <w:t>se </w:t>
      </w:r>
      <w:r>
        <w:rPr>
          <w:color w:val="231F20"/>
          <w:spacing w:val="2"/>
          <w:w w:val="110"/>
        </w:rPr>
        <w:t>encuentra cerca </w:t>
      </w:r>
      <w:r>
        <w:rPr>
          <w:color w:val="231F20"/>
          <w:w w:val="110"/>
        </w:rPr>
        <w:t>de la </w:t>
      </w:r>
      <w:r>
        <w:rPr>
          <w:color w:val="231F20"/>
          <w:spacing w:val="2"/>
          <w:w w:val="110"/>
        </w:rPr>
        <w:t>tasa nacional (6.2 </w:t>
      </w:r>
      <w:r>
        <w:rPr>
          <w:color w:val="231F20"/>
          <w:w w:val="110"/>
        </w:rPr>
        <w:t>por ciento) y 60 por ciento de las </w:t>
      </w:r>
      <w:r>
        <w:rPr>
          <w:rFonts w:ascii="Times New Roman" w:hAnsi="Times New Roman"/>
          <w:color w:val="231F20"/>
          <w:w w:val="110"/>
          <w:sz w:val="16"/>
        </w:rPr>
        <w:t>ZM </w:t>
      </w:r>
      <w:r>
        <w:rPr>
          <w:color w:val="231F20"/>
          <w:w w:val="110"/>
        </w:rPr>
        <w:t>apenas rebasan 5.0 por ciento de su po- blación en edad adulta. En tanto, el otro 20 por ciento (</w:t>
      </w:r>
      <w:r>
        <w:rPr>
          <w:rFonts w:ascii="Times New Roman" w:hAnsi="Times New Roman"/>
          <w:color w:val="231F20"/>
          <w:w w:val="110"/>
          <w:sz w:val="16"/>
        </w:rPr>
        <w:t>ZM </w:t>
      </w:r>
      <w:r>
        <w:rPr>
          <w:color w:val="231F20"/>
          <w:w w:val="110"/>
        </w:rPr>
        <w:t>de </w:t>
      </w:r>
      <w:r>
        <w:rPr>
          <w:color w:val="231F20"/>
          <w:spacing w:val="-3"/>
          <w:w w:val="110"/>
        </w:rPr>
        <w:t>Toluca) </w:t>
      </w:r>
      <w:r>
        <w:rPr>
          <w:color w:val="231F20"/>
          <w:w w:val="110"/>
        </w:rPr>
        <w:t>pre- senta 4.5 por ciento de su población envejecida (véase cuadro</w:t>
      </w:r>
      <w:r>
        <w:rPr>
          <w:color w:val="231F20"/>
          <w:spacing w:val="29"/>
          <w:w w:val="110"/>
        </w:rPr>
        <w:t> </w:t>
      </w:r>
      <w:r>
        <w:rPr>
          <w:color w:val="231F20"/>
          <w:w w:val="110"/>
        </w:rPr>
        <w:t>2).</w:t>
      </w:r>
    </w:p>
    <w:p>
      <w:pPr>
        <w:pStyle w:val="BodyText"/>
        <w:spacing w:line="288" w:lineRule="auto"/>
        <w:ind w:left="124" w:right="113" w:firstLine="360"/>
        <w:jc w:val="both"/>
      </w:pPr>
      <w:r>
        <w:rPr>
          <w:color w:val="231F20"/>
          <w:w w:val="110"/>
        </w:rPr>
        <w:t>Lo anterior se traduce en una problemática socioeconómica, al tomar en cuenta que no todo el grupo de 65 años y más tienen las mismas nece- sidades y exigencias, ni generan las mismas repercusiones económicas y sociales en el entorno donde se localizan (García, 1998).</w:t>
      </w:r>
    </w:p>
    <w:p>
      <w:pPr>
        <w:spacing w:after="0" w:line="288" w:lineRule="auto"/>
        <w:jc w:val="both"/>
        <w:sectPr>
          <w:pgSz w:w="9520" w:h="12920"/>
          <w:pgMar w:header="0" w:footer="1344" w:top="880" w:bottom="1540" w:left="1320" w:right="1000"/>
        </w:sectPr>
      </w:pPr>
    </w:p>
    <w:p>
      <w:pPr>
        <w:pStyle w:val="BodyText"/>
        <w:spacing w:line="288" w:lineRule="auto" w:before="42"/>
        <w:ind w:left="100" w:right="116" w:firstLine="360"/>
        <w:jc w:val="both"/>
      </w:pPr>
      <w:r>
        <w:rPr>
          <w:color w:val="231F20"/>
          <w:w w:val="110"/>
        </w:rPr>
        <w:t>Por</w:t>
      </w:r>
      <w:r>
        <w:rPr>
          <w:color w:val="231F20"/>
          <w:spacing w:val="-5"/>
          <w:w w:val="110"/>
        </w:rPr>
        <w:t> </w:t>
      </w:r>
      <w:r>
        <w:rPr>
          <w:color w:val="231F20"/>
          <w:w w:val="110"/>
        </w:rPr>
        <w:t>su</w:t>
      </w:r>
      <w:r>
        <w:rPr>
          <w:color w:val="231F20"/>
          <w:spacing w:val="-5"/>
          <w:w w:val="110"/>
        </w:rPr>
        <w:t> </w:t>
      </w:r>
      <w:r>
        <w:rPr>
          <w:color w:val="231F20"/>
          <w:w w:val="110"/>
        </w:rPr>
        <w:t>parte,</w:t>
      </w:r>
      <w:r>
        <w:rPr>
          <w:color w:val="231F20"/>
          <w:spacing w:val="-5"/>
          <w:w w:val="110"/>
        </w:rPr>
        <w:t> </w:t>
      </w:r>
      <w:r>
        <w:rPr>
          <w:color w:val="231F20"/>
          <w:w w:val="110"/>
        </w:rPr>
        <w:t>el</w:t>
      </w:r>
      <w:r>
        <w:rPr>
          <w:color w:val="231F20"/>
          <w:spacing w:val="-5"/>
          <w:w w:val="110"/>
        </w:rPr>
        <w:t> </w:t>
      </w:r>
      <w:r>
        <w:rPr>
          <w:color w:val="231F20"/>
          <w:w w:val="110"/>
        </w:rPr>
        <w:t>índice</w:t>
      </w:r>
      <w:r>
        <w:rPr>
          <w:color w:val="231F20"/>
          <w:spacing w:val="-5"/>
          <w:w w:val="110"/>
        </w:rPr>
        <w:t> </w:t>
      </w:r>
      <w:r>
        <w:rPr>
          <w:color w:val="231F20"/>
          <w:w w:val="110"/>
        </w:rPr>
        <w:t>de</w:t>
      </w:r>
      <w:r>
        <w:rPr>
          <w:color w:val="231F20"/>
          <w:spacing w:val="-5"/>
          <w:w w:val="110"/>
        </w:rPr>
        <w:t> </w:t>
      </w:r>
      <w:r>
        <w:rPr>
          <w:color w:val="231F20"/>
          <w:w w:val="110"/>
        </w:rPr>
        <w:t>envejecimiento</w:t>
      </w:r>
      <w:r>
        <w:rPr>
          <w:color w:val="231F20"/>
          <w:spacing w:val="-5"/>
          <w:w w:val="110"/>
        </w:rPr>
        <w:t> </w:t>
      </w:r>
      <w:r>
        <w:rPr>
          <w:color w:val="231F20"/>
          <w:w w:val="110"/>
        </w:rPr>
        <w:t>mostró</w:t>
      </w:r>
      <w:r>
        <w:rPr>
          <w:color w:val="231F20"/>
          <w:spacing w:val="-5"/>
          <w:w w:val="110"/>
        </w:rPr>
        <w:t> </w:t>
      </w:r>
      <w:r>
        <w:rPr>
          <w:color w:val="231F20"/>
          <w:w w:val="110"/>
        </w:rPr>
        <w:t>cambios</w:t>
      </w:r>
      <w:r>
        <w:rPr>
          <w:color w:val="231F20"/>
          <w:spacing w:val="-5"/>
          <w:w w:val="110"/>
        </w:rPr>
        <w:t> </w:t>
      </w:r>
      <w:r>
        <w:rPr>
          <w:color w:val="231F20"/>
          <w:w w:val="110"/>
        </w:rPr>
        <w:t>significativos al</w:t>
      </w:r>
      <w:r>
        <w:rPr>
          <w:color w:val="231F20"/>
          <w:spacing w:val="-4"/>
          <w:w w:val="110"/>
        </w:rPr>
        <w:t> </w:t>
      </w:r>
      <w:r>
        <w:rPr>
          <w:color w:val="231F20"/>
          <w:w w:val="110"/>
        </w:rPr>
        <w:t>pasar</w:t>
      </w:r>
      <w:r>
        <w:rPr>
          <w:color w:val="231F20"/>
          <w:spacing w:val="-4"/>
          <w:w w:val="110"/>
        </w:rPr>
        <w:t> </w:t>
      </w:r>
      <w:r>
        <w:rPr>
          <w:color w:val="231F20"/>
          <w:w w:val="110"/>
        </w:rPr>
        <w:t>de</w:t>
      </w:r>
      <w:r>
        <w:rPr>
          <w:color w:val="231F20"/>
          <w:spacing w:val="-4"/>
          <w:w w:val="110"/>
        </w:rPr>
        <w:t> </w:t>
      </w:r>
      <w:r>
        <w:rPr>
          <w:color w:val="231F20"/>
          <w:w w:val="110"/>
        </w:rPr>
        <w:t>10.9</w:t>
      </w:r>
      <w:r>
        <w:rPr>
          <w:color w:val="231F20"/>
          <w:spacing w:val="-4"/>
          <w:w w:val="110"/>
        </w:rPr>
        <w:t> </w:t>
      </w:r>
      <w:r>
        <w:rPr>
          <w:color w:val="231F20"/>
          <w:w w:val="110"/>
        </w:rPr>
        <w:t>por</w:t>
      </w:r>
      <w:r>
        <w:rPr>
          <w:color w:val="231F20"/>
          <w:spacing w:val="-4"/>
          <w:w w:val="110"/>
        </w:rPr>
        <w:t> </w:t>
      </w:r>
      <w:r>
        <w:rPr>
          <w:color w:val="231F20"/>
          <w:w w:val="110"/>
        </w:rPr>
        <w:t>ciento</w:t>
      </w:r>
      <w:r>
        <w:rPr>
          <w:color w:val="231F20"/>
          <w:spacing w:val="-4"/>
          <w:w w:val="110"/>
        </w:rPr>
        <w:t> </w:t>
      </w:r>
      <w:r>
        <w:rPr>
          <w:color w:val="231F20"/>
          <w:w w:val="110"/>
        </w:rPr>
        <w:t>en</w:t>
      </w:r>
      <w:r>
        <w:rPr>
          <w:color w:val="231F20"/>
          <w:spacing w:val="-4"/>
          <w:w w:val="110"/>
        </w:rPr>
        <w:t> </w:t>
      </w:r>
      <w:r>
        <w:rPr>
          <w:color w:val="231F20"/>
          <w:w w:val="110"/>
        </w:rPr>
        <w:t>1990</w:t>
      </w:r>
      <w:r>
        <w:rPr>
          <w:color w:val="231F20"/>
          <w:spacing w:val="-4"/>
          <w:w w:val="110"/>
        </w:rPr>
        <w:t> </w:t>
      </w:r>
      <w:r>
        <w:rPr>
          <w:color w:val="231F20"/>
          <w:w w:val="110"/>
        </w:rPr>
        <w:t>a</w:t>
      </w:r>
      <w:r>
        <w:rPr>
          <w:color w:val="231F20"/>
          <w:spacing w:val="-4"/>
          <w:w w:val="110"/>
        </w:rPr>
        <w:t> </w:t>
      </w:r>
      <w:r>
        <w:rPr>
          <w:color w:val="231F20"/>
          <w:w w:val="110"/>
        </w:rPr>
        <w:t>22.4</w:t>
      </w:r>
      <w:r>
        <w:rPr>
          <w:color w:val="231F20"/>
          <w:spacing w:val="-4"/>
          <w:w w:val="110"/>
        </w:rPr>
        <w:t> </w:t>
      </w:r>
      <w:r>
        <w:rPr>
          <w:color w:val="231F20"/>
          <w:w w:val="110"/>
        </w:rPr>
        <w:t>en</w:t>
      </w:r>
      <w:r>
        <w:rPr>
          <w:color w:val="231F20"/>
          <w:spacing w:val="-4"/>
          <w:w w:val="110"/>
        </w:rPr>
        <w:t> </w:t>
      </w:r>
      <w:r>
        <w:rPr>
          <w:color w:val="231F20"/>
          <w:w w:val="110"/>
        </w:rPr>
        <w:t>2010.</w:t>
      </w:r>
      <w:r>
        <w:rPr>
          <w:color w:val="231F20"/>
          <w:spacing w:val="-4"/>
          <w:w w:val="110"/>
        </w:rPr>
        <w:t> </w:t>
      </w:r>
      <w:r>
        <w:rPr>
          <w:color w:val="231F20"/>
          <w:w w:val="110"/>
        </w:rPr>
        <w:t>Ello</w:t>
      </w:r>
      <w:r>
        <w:rPr>
          <w:color w:val="231F20"/>
          <w:spacing w:val="-4"/>
          <w:w w:val="110"/>
        </w:rPr>
        <w:t> </w:t>
      </w:r>
      <w:r>
        <w:rPr>
          <w:color w:val="231F20"/>
          <w:w w:val="110"/>
        </w:rPr>
        <w:t>significa</w:t>
      </w:r>
      <w:r>
        <w:rPr>
          <w:color w:val="231F20"/>
          <w:spacing w:val="-4"/>
          <w:w w:val="110"/>
        </w:rPr>
        <w:t> </w:t>
      </w:r>
      <w:r>
        <w:rPr>
          <w:color w:val="231F20"/>
          <w:w w:val="110"/>
        </w:rPr>
        <w:t>que,</w:t>
      </w:r>
      <w:r>
        <w:rPr>
          <w:color w:val="231F20"/>
          <w:spacing w:val="-4"/>
          <w:w w:val="110"/>
        </w:rPr>
        <w:t> </w:t>
      </w:r>
      <w:r>
        <w:rPr>
          <w:color w:val="231F20"/>
          <w:w w:val="110"/>
        </w:rPr>
        <w:t>en</w:t>
      </w:r>
      <w:r>
        <w:rPr>
          <w:color w:val="231F20"/>
          <w:spacing w:val="-4"/>
          <w:w w:val="110"/>
        </w:rPr>
        <w:t> </w:t>
      </w:r>
      <w:r>
        <w:rPr>
          <w:color w:val="231F20"/>
          <w:w w:val="110"/>
        </w:rPr>
        <w:t>20 años, en el conjunto de estas zonas metropolitanas, se duplicó la cantidad de adultos mayores por personas de entre cero y 14 </w:t>
      </w:r>
      <w:r>
        <w:rPr>
          <w:color w:val="231F20"/>
          <w:spacing w:val="34"/>
          <w:w w:val="110"/>
        </w:rPr>
        <w:t> </w:t>
      </w:r>
      <w:r>
        <w:rPr>
          <w:color w:val="231F20"/>
          <w:w w:val="110"/>
        </w:rPr>
        <w:t>años.</w:t>
      </w:r>
    </w:p>
    <w:p>
      <w:pPr>
        <w:pStyle w:val="BodyText"/>
        <w:spacing w:line="288" w:lineRule="auto"/>
        <w:ind w:left="100" w:right="115" w:firstLine="360"/>
        <w:jc w:val="both"/>
      </w:pPr>
      <w:r>
        <w:rPr>
          <w:color w:val="231F20"/>
          <w:w w:val="110"/>
        </w:rPr>
        <w:t>De continuar con esta tendencia, se estaría llegando a una situación en la</w:t>
      </w:r>
      <w:r>
        <w:rPr>
          <w:color w:val="231F20"/>
          <w:spacing w:val="-7"/>
          <w:w w:val="110"/>
        </w:rPr>
        <w:t> </w:t>
      </w:r>
      <w:r>
        <w:rPr>
          <w:color w:val="231F20"/>
          <w:spacing w:val="-3"/>
          <w:w w:val="110"/>
        </w:rPr>
        <w:t>cual</w:t>
      </w:r>
      <w:r>
        <w:rPr>
          <w:color w:val="231F20"/>
          <w:spacing w:val="-7"/>
          <w:w w:val="110"/>
        </w:rPr>
        <w:t> </w:t>
      </w:r>
      <w:r>
        <w:rPr>
          <w:color w:val="231F20"/>
          <w:spacing w:val="-4"/>
          <w:w w:val="110"/>
        </w:rPr>
        <w:t>resultaría</w:t>
      </w:r>
      <w:r>
        <w:rPr>
          <w:color w:val="231F20"/>
          <w:spacing w:val="-7"/>
          <w:w w:val="110"/>
        </w:rPr>
        <w:t> </w:t>
      </w:r>
      <w:r>
        <w:rPr>
          <w:color w:val="231F20"/>
          <w:spacing w:val="-4"/>
          <w:w w:val="110"/>
        </w:rPr>
        <w:t>difícil</w:t>
      </w:r>
      <w:r>
        <w:rPr>
          <w:color w:val="231F20"/>
          <w:spacing w:val="-7"/>
          <w:w w:val="110"/>
        </w:rPr>
        <w:t> </w:t>
      </w:r>
      <w:r>
        <w:rPr>
          <w:color w:val="231F20"/>
          <w:w w:val="110"/>
        </w:rPr>
        <w:t>de</w:t>
      </w:r>
      <w:r>
        <w:rPr>
          <w:color w:val="231F20"/>
          <w:spacing w:val="-7"/>
          <w:w w:val="110"/>
        </w:rPr>
        <w:t> </w:t>
      </w:r>
      <w:r>
        <w:rPr>
          <w:color w:val="231F20"/>
          <w:spacing w:val="-4"/>
          <w:w w:val="110"/>
        </w:rPr>
        <w:t>hacerle</w:t>
      </w:r>
      <w:r>
        <w:rPr>
          <w:color w:val="231F20"/>
          <w:spacing w:val="-7"/>
          <w:w w:val="110"/>
        </w:rPr>
        <w:t> </w:t>
      </w:r>
      <w:r>
        <w:rPr>
          <w:color w:val="231F20"/>
          <w:spacing w:val="-4"/>
          <w:w w:val="110"/>
        </w:rPr>
        <w:t>frente,</w:t>
      </w:r>
      <w:r>
        <w:rPr>
          <w:color w:val="231F20"/>
          <w:spacing w:val="-7"/>
          <w:w w:val="110"/>
        </w:rPr>
        <w:t> </w:t>
      </w:r>
      <w:r>
        <w:rPr>
          <w:color w:val="231F20"/>
          <w:spacing w:val="-3"/>
          <w:w w:val="110"/>
        </w:rPr>
        <w:t>pues</w:t>
      </w:r>
      <w:r>
        <w:rPr>
          <w:color w:val="231F20"/>
          <w:spacing w:val="-7"/>
          <w:w w:val="110"/>
        </w:rPr>
        <w:t> </w:t>
      </w:r>
      <w:r>
        <w:rPr>
          <w:color w:val="231F20"/>
          <w:spacing w:val="-3"/>
          <w:w w:val="110"/>
        </w:rPr>
        <w:t>esto</w:t>
      </w:r>
      <w:r>
        <w:rPr>
          <w:color w:val="231F20"/>
          <w:spacing w:val="-7"/>
          <w:w w:val="110"/>
        </w:rPr>
        <w:t> </w:t>
      </w:r>
      <w:r>
        <w:rPr>
          <w:color w:val="231F20"/>
          <w:spacing w:val="-4"/>
          <w:w w:val="110"/>
        </w:rPr>
        <w:t>implicaría,</w:t>
      </w:r>
      <w:r>
        <w:rPr>
          <w:color w:val="231F20"/>
          <w:spacing w:val="-7"/>
          <w:w w:val="110"/>
        </w:rPr>
        <w:t> </w:t>
      </w:r>
      <w:r>
        <w:rPr>
          <w:color w:val="231F20"/>
          <w:w w:val="110"/>
        </w:rPr>
        <w:t>de</w:t>
      </w:r>
      <w:r>
        <w:rPr>
          <w:color w:val="231F20"/>
          <w:spacing w:val="-7"/>
          <w:w w:val="110"/>
        </w:rPr>
        <w:t> </w:t>
      </w:r>
      <w:r>
        <w:rPr>
          <w:color w:val="231F20"/>
          <w:spacing w:val="-4"/>
          <w:w w:val="110"/>
        </w:rPr>
        <w:t>acuerdo</w:t>
      </w:r>
      <w:r>
        <w:rPr>
          <w:color w:val="231F20"/>
          <w:spacing w:val="-7"/>
          <w:w w:val="110"/>
        </w:rPr>
        <w:t> </w:t>
      </w:r>
      <w:r>
        <w:rPr>
          <w:color w:val="231F20"/>
          <w:spacing w:val="-3"/>
          <w:w w:val="110"/>
        </w:rPr>
        <w:t>con </w:t>
      </w:r>
      <w:r>
        <w:rPr>
          <w:color w:val="231F20"/>
          <w:w w:val="110"/>
        </w:rPr>
        <w:t>Hernández (2006), una creciente dependencia de las pensiones de</w:t>
      </w:r>
      <w:r>
        <w:rPr>
          <w:color w:val="231F20"/>
          <w:spacing w:val="-33"/>
          <w:w w:val="110"/>
        </w:rPr>
        <w:t> </w:t>
      </w:r>
      <w:r>
        <w:rPr>
          <w:color w:val="231F20"/>
          <w:w w:val="110"/>
        </w:rPr>
        <w:t>quienes gozan de éstas, así como un aumento en el nivel de empleo informal, lo que repercutiría en las finanzas públicas de los municipios</w:t>
      </w:r>
      <w:r>
        <w:rPr>
          <w:color w:val="231F20"/>
          <w:spacing w:val="-7"/>
          <w:w w:val="110"/>
        </w:rPr>
        <w:t> </w:t>
      </w:r>
      <w:r>
        <w:rPr>
          <w:color w:val="231F20"/>
          <w:w w:val="110"/>
        </w:rPr>
        <w:t>metropolitanos por el alto costo de los servicios gubernamentales (atención médica, </w:t>
      </w:r>
      <w:r>
        <w:rPr>
          <w:color w:val="231F20"/>
          <w:spacing w:val="2"/>
          <w:w w:val="110"/>
        </w:rPr>
        <w:t>re- </w:t>
      </w:r>
      <w:r>
        <w:rPr>
          <w:color w:val="231F20"/>
          <w:w w:val="110"/>
        </w:rPr>
        <w:t>creación, medicinas, entre otros) para atender este grupo de población, además de los cuidados personales que requieren los adultos mayores, que por lo general se encarga algún miembro de la familia. Aspectos que quedan fuera del análisis del presente</w:t>
      </w:r>
      <w:r>
        <w:rPr>
          <w:color w:val="231F20"/>
          <w:spacing w:val="23"/>
          <w:w w:val="110"/>
        </w:rPr>
        <w:t> </w:t>
      </w:r>
      <w:r>
        <w:rPr>
          <w:color w:val="231F20"/>
          <w:w w:val="110"/>
        </w:rPr>
        <w:t>trabajo.</w:t>
      </w:r>
    </w:p>
    <w:p>
      <w:pPr>
        <w:pStyle w:val="BodyText"/>
        <w:spacing w:line="288" w:lineRule="auto"/>
        <w:ind w:left="100" w:right="117" w:firstLine="360"/>
        <w:jc w:val="both"/>
      </w:pPr>
      <w:r>
        <w:rPr>
          <w:color w:val="231F20"/>
          <w:w w:val="110"/>
        </w:rPr>
        <w:t>Habrá que considerar también el alargamiento de los ciclos de vida de </w:t>
      </w:r>
      <w:r>
        <w:rPr>
          <w:color w:val="231F20"/>
          <w:spacing w:val="-3"/>
          <w:w w:val="110"/>
        </w:rPr>
        <w:t>las </w:t>
      </w:r>
      <w:r>
        <w:rPr>
          <w:color w:val="231F20"/>
          <w:spacing w:val="-4"/>
          <w:w w:val="110"/>
        </w:rPr>
        <w:t>familias, </w:t>
      </w:r>
      <w:r>
        <w:rPr>
          <w:color w:val="231F20"/>
          <w:spacing w:val="-3"/>
          <w:w w:val="110"/>
        </w:rPr>
        <w:t>que </w:t>
      </w:r>
      <w:r>
        <w:rPr>
          <w:color w:val="231F20"/>
          <w:spacing w:val="-4"/>
          <w:w w:val="110"/>
        </w:rPr>
        <w:t>generaliza situaciones </w:t>
      </w:r>
      <w:r>
        <w:rPr>
          <w:color w:val="231F20"/>
          <w:w w:val="110"/>
        </w:rPr>
        <w:t>de </w:t>
      </w:r>
      <w:r>
        <w:rPr>
          <w:color w:val="231F20"/>
          <w:spacing w:val="-4"/>
          <w:w w:val="110"/>
        </w:rPr>
        <w:t>disfuncionalidad </w:t>
      </w:r>
      <w:r>
        <w:rPr>
          <w:color w:val="231F20"/>
          <w:w w:val="110"/>
        </w:rPr>
        <w:t>en </w:t>
      </w:r>
      <w:r>
        <w:rPr>
          <w:color w:val="231F20"/>
          <w:spacing w:val="-4"/>
          <w:w w:val="110"/>
        </w:rPr>
        <w:t>relación </w:t>
      </w:r>
      <w:r>
        <w:rPr>
          <w:color w:val="231F20"/>
          <w:spacing w:val="-3"/>
          <w:w w:val="110"/>
        </w:rPr>
        <w:t>con </w:t>
      </w:r>
      <w:r>
        <w:rPr>
          <w:color w:val="231F20"/>
          <w:w w:val="110"/>
        </w:rPr>
        <w:t>la vivienda y alarga los ciclos de rotación del patrimonio familiar, con impor- tantes efectos sobre los espacios urbanos y el desarrollo inmobiliario (Vi- nuesa, 2010).</w:t>
      </w:r>
    </w:p>
    <w:p>
      <w:pPr>
        <w:pStyle w:val="BodyText"/>
        <w:spacing w:line="288" w:lineRule="auto"/>
        <w:ind w:left="100" w:right="117" w:firstLine="360"/>
        <w:jc w:val="both"/>
      </w:pPr>
      <w:r>
        <w:rPr>
          <w:color w:val="231F20"/>
          <w:w w:val="110"/>
        </w:rPr>
        <w:t>La tendencia en el aumento del grupo de población adulta mayor re- percute en el índice de envejecimiento, situación que se ejemplifica en la zona metropolitana del Valle de México con 24.7 puntos, más abajo se en- cuentran las </w:t>
      </w:r>
      <w:r>
        <w:rPr>
          <w:rFonts w:ascii="Times New Roman" w:hAnsi="Times New Roman"/>
          <w:color w:val="231F20"/>
          <w:w w:val="110"/>
          <w:sz w:val="16"/>
        </w:rPr>
        <w:t>ZM </w:t>
      </w:r>
      <w:r>
        <w:rPr>
          <w:color w:val="231F20"/>
          <w:w w:val="110"/>
        </w:rPr>
        <w:t>de Monterrey y Puebla-Tlaxcala con 20.9 y 19.7 puntos, respectivamente. Resulta importante destacar que sólo 20.0 por ciento del grupo de zonas presentan un índice de envejecimiento por abajo de los 16 puntos, siendo la </w:t>
      </w:r>
      <w:r>
        <w:rPr>
          <w:rFonts w:ascii="Times New Roman" w:hAnsi="Times New Roman"/>
          <w:color w:val="231F20"/>
          <w:w w:val="110"/>
          <w:sz w:val="16"/>
        </w:rPr>
        <w:t>ZM </w:t>
      </w:r>
      <w:r>
        <w:rPr>
          <w:color w:val="231F20"/>
          <w:w w:val="110"/>
        </w:rPr>
        <w:t>de Toluca, aunque cabe destacar que esto no implica que su tendencia sea lineal, sino más bien ascendente (véase cuadro  2).</w:t>
      </w:r>
    </w:p>
    <w:p>
      <w:pPr>
        <w:pStyle w:val="BodyText"/>
        <w:spacing w:line="288" w:lineRule="auto"/>
        <w:ind w:left="100" w:right="114" w:firstLine="360"/>
        <w:jc w:val="both"/>
      </w:pPr>
      <w:r>
        <w:rPr>
          <w:color w:val="231F20"/>
          <w:w w:val="110"/>
        </w:rPr>
        <w:t>Asimismo, al comparar las zonas con el índice de envejecimiento me- tropolitano se observa que 20.0 por ciento de las zonas se encuentra por arriba de éste, sin embargo el resto rebasa los 19 puntos porcentuales, lo que las hace muy importantes en cuanto a su proceso de envejecimiento. En este sentido, todo indica que la tendencia de la población del sistema urbano mexicano es hacia el envejecimiento, a pesar de que ninguna de</w:t>
      </w:r>
      <w:r>
        <w:rPr>
          <w:color w:val="231F20"/>
          <w:spacing w:val="-26"/>
          <w:w w:val="110"/>
        </w:rPr>
        <w:t> </w:t>
      </w:r>
      <w:r>
        <w:rPr>
          <w:color w:val="231F20"/>
          <w:w w:val="110"/>
        </w:rPr>
        <w:t>las zonas metropolitanas aún no alcanza el umbral de 50.0 por ciento (García y </w:t>
      </w:r>
      <w:r>
        <w:rPr>
          <w:color w:val="231F20"/>
          <w:spacing w:val="3"/>
          <w:w w:val="110"/>
        </w:rPr>
        <w:t>Ortiz, 2003) </w:t>
      </w:r>
      <w:r>
        <w:rPr>
          <w:color w:val="231F20"/>
          <w:w w:val="110"/>
        </w:rPr>
        <w:t>en la </w:t>
      </w:r>
      <w:r>
        <w:rPr>
          <w:color w:val="231F20"/>
          <w:spacing w:val="3"/>
          <w:w w:val="110"/>
        </w:rPr>
        <w:t>razón </w:t>
      </w:r>
      <w:r>
        <w:rPr>
          <w:color w:val="231F20"/>
          <w:w w:val="110"/>
        </w:rPr>
        <w:t>de la </w:t>
      </w:r>
      <w:r>
        <w:rPr>
          <w:color w:val="231F20"/>
          <w:spacing w:val="3"/>
          <w:w w:val="110"/>
        </w:rPr>
        <w:t>población adulta mayor </w:t>
      </w:r>
      <w:r>
        <w:rPr>
          <w:color w:val="231F20"/>
          <w:w w:val="110"/>
        </w:rPr>
        <w:t>y la </w:t>
      </w:r>
      <w:r>
        <w:rPr>
          <w:color w:val="231F20"/>
          <w:spacing w:val="3"/>
          <w:w w:val="110"/>
        </w:rPr>
        <w:t>población </w:t>
      </w:r>
      <w:r>
        <w:rPr>
          <w:color w:val="231F20"/>
          <w:w w:val="110"/>
        </w:rPr>
        <w:t>infantil.</w:t>
      </w:r>
    </w:p>
    <w:p>
      <w:pPr>
        <w:spacing w:after="0" w:line="288" w:lineRule="auto"/>
        <w:jc w:val="both"/>
        <w:sectPr>
          <w:pgSz w:w="9520" w:h="12920"/>
          <w:pgMar w:header="0" w:footer="1344" w:top="880" w:bottom="1540" w:left="1020" w:right="1320"/>
        </w:sectPr>
      </w:pPr>
    </w:p>
    <w:p>
      <w:pPr>
        <w:spacing w:line="185" w:lineRule="exact" w:before="65"/>
        <w:ind w:left="28" w:right="0" w:firstLine="0"/>
        <w:jc w:val="center"/>
        <w:rPr>
          <w:sz w:val="16"/>
        </w:rPr>
      </w:pPr>
      <w:r>
        <w:rPr>
          <w:color w:val="231F20"/>
          <w:w w:val="105"/>
          <w:sz w:val="16"/>
        </w:rPr>
        <w:t>Cuadro 2</w:t>
      </w:r>
    </w:p>
    <w:p>
      <w:pPr>
        <w:spacing w:line="210" w:lineRule="exact" w:before="9"/>
        <w:ind w:left="1178" w:right="1147" w:firstLine="0"/>
        <w:jc w:val="center"/>
        <w:rPr>
          <w:sz w:val="19"/>
        </w:rPr>
      </w:pPr>
      <w:r>
        <w:rPr/>
        <w:pict>
          <v:group style="position:absolute;margin-left:158.018997pt;margin-top:44.648083pt;width:262.45pt;height:9.6pt;mso-position-horizontal-relative:page;mso-position-vertical-relative:paragraph;z-index:-454072" coordorigin="3160,893" coordsize="5249,192">
            <v:shape style="position:absolute;left:3164;top:1001;width:5241;height:2" coordorigin="3164,1001" coordsize="5241,0" path="m3164,1001l3992,1001m3992,1001l4916,1001m4916,1001l5796,1001m5796,1001l6668,1001m6668,1001l7580,1001m7580,1001l8404,1001e" filled="false" stroked="true" strokeweight=".4pt" strokecolor="#231f20">
              <v:path arrowok="t"/>
            </v:shape>
            <v:line style="position:absolute" from="5798,923" to="5798,1055" stroked="true" strokeweight="3pt" strokecolor="#ffffff"/>
            <w10:wrap type="none"/>
          </v:group>
        </w:pict>
      </w:r>
      <w:r>
        <w:rPr>
          <w:color w:val="231F20"/>
          <w:w w:val="90"/>
          <w:sz w:val="19"/>
        </w:rPr>
        <w:t>Tasa de envejecimiento e índice de envejecimiento de las cinco</w:t>
      </w:r>
      <w:r>
        <w:rPr>
          <w:color w:val="231F20"/>
          <w:w w:val="88"/>
          <w:sz w:val="19"/>
        </w:rPr>
        <w:t> </w:t>
      </w:r>
      <w:r>
        <w:rPr>
          <w:color w:val="231F20"/>
          <w:w w:val="90"/>
          <w:sz w:val="19"/>
        </w:rPr>
        <w:t>zonas metropolitanas más grandes de México, 1990-2010</w:t>
      </w:r>
    </w:p>
    <w:p>
      <w:pPr>
        <w:pStyle w:val="BodyText"/>
        <w:spacing w:before="6"/>
        <w:rPr>
          <w:sz w:val="13"/>
        </w:rPr>
      </w:pPr>
      <w:r>
        <w:rPr/>
        <w:pict>
          <v:group style="position:absolute;margin-left:72.019997pt;margin-top:9.900045pt;width:348.4pt;height:.4pt;mso-position-horizontal-relative:page;mso-position-vertical-relative:paragraph;z-index:4792;mso-wrap-distance-left:0;mso-wrap-distance-right:0" coordorigin="1440,198" coordsize="6968,8">
            <v:line style="position:absolute" from="1444,202" to="3044,202" stroked="true" strokeweight=".4pt" strokecolor="#231f20"/>
            <v:line style="position:absolute" from="3044,202" to="3992,202" stroked="true" strokeweight=".4pt" strokecolor="#231f20"/>
            <v:line style="position:absolute" from="3992,202" to="4916,202" stroked="true" strokeweight=".4pt" strokecolor="#231f20"/>
            <v:line style="position:absolute" from="4916,202" to="5796,202" stroked="true" strokeweight=".4pt" strokecolor="#231f20"/>
            <v:line style="position:absolute" from="5796,202" to="6668,202" stroked="true" strokeweight=".4pt" strokecolor="#231f20"/>
            <v:line style="position:absolute" from="6668,202" to="7580,202" stroked="true" strokeweight=".4pt" strokecolor="#231f20"/>
            <v:line style="position:absolute" from="7580,202" to="8404,202" stroked="true" strokeweight=".4pt" strokecolor="#231f20"/>
            <w10:wrap type="topAndBottom"/>
          </v:group>
        </w:pict>
      </w:r>
    </w:p>
    <w:p>
      <w:pPr>
        <w:tabs>
          <w:tab w:pos="4878" w:val="left" w:leader="none"/>
        </w:tabs>
        <w:spacing w:before="59"/>
        <w:ind w:left="2240" w:right="0" w:firstLine="0"/>
        <w:jc w:val="left"/>
        <w:rPr>
          <w:i/>
          <w:sz w:val="17"/>
        </w:rPr>
      </w:pPr>
      <w:r>
        <w:rPr>
          <w:i/>
          <w:color w:val="231F20"/>
          <w:spacing w:val="-3"/>
          <w:w w:val="105"/>
          <w:sz w:val="17"/>
        </w:rPr>
        <w:t>Tasa</w:t>
      </w:r>
      <w:r>
        <w:rPr>
          <w:i/>
          <w:color w:val="231F20"/>
          <w:spacing w:val="10"/>
          <w:w w:val="105"/>
          <w:sz w:val="17"/>
        </w:rPr>
        <w:t> </w:t>
      </w:r>
      <w:r>
        <w:rPr>
          <w:i/>
          <w:color w:val="231F20"/>
          <w:w w:val="105"/>
          <w:sz w:val="17"/>
        </w:rPr>
        <w:t>de</w:t>
      </w:r>
      <w:r>
        <w:rPr>
          <w:i/>
          <w:color w:val="231F20"/>
          <w:spacing w:val="10"/>
          <w:w w:val="105"/>
          <w:sz w:val="17"/>
        </w:rPr>
        <w:t> </w:t>
      </w:r>
      <w:r>
        <w:rPr>
          <w:i/>
          <w:color w:val="231F20"/>
          <w:w w:val="105"/>
          <w:sz w:val="17"/>
        </w:rPr>
        <w:t>envejecimiento</w:t>
        <w:tab/>
        <w:t>Índice de</w:t>
      </w:r>
      <w:r>
        <w:rPr>
          <w:i/>
          <w:color w:val="231F20"/>
          <w:spacing w:val="29"/>
          <w:w w:val="105"/>
          <w:sz w:val="17"/>
        </w:rPr>
        <w:t> </w:t>
      </w:r>
      <w:r>
        <w:rPr>
          <w:i/>
          <w:color w:val="231F20"/>
          <w:w w:val="105"/>
          <w:sz w:val="17"/>
        </w:rPr>
        <w:t>envejecimiento</w:t>
      </w:r>
    </w:p>
    <w:p>
      <w:pPr>
        <w:pStyle w:val="BodyText"/>
        <w:spacing w:before="9"/>
        <w:rPr>
          <w:i/>
          <w:sz w:val="7"/>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60"/>
        <w:gridCol w:w="817"/>
        <w:gridCol w:w="919"/>
        <w:gridCol w:w="889"/>
        <w:gridCol w:w="884"/>
        <w:gridCol w:w="880"/>
        <w:gridCol w:w="846"/>
      </w:tblGrid>
      <w:tr>
        <w:trPr>
          <w:trHeight w:val="357" w:hRule="exact"/>
        </w:trPr>
        <w:tc>
          <w:tcPr>
            <w:tcW w:w="1760" w:type="dxa"/>
            <w:tcBorders>
              <w:bottom w:val="single" w:sz="3" w:space="0" w:color="231F20"/>
            </w:tcBorders>
          </w:tcPr>
          <w:p>
            <w:pPr>
              <w:pStyle w:val="TableParagraph"/>
              <w:spacing w:line="240" w:lineRule="auto" w:before="75"/>
              <w:ind w:left="86"/>
              <w:jc w:val="left"/>
              <w:rPr>
                <w:i/>
                <w:sz w:val="17"/>
              </w:rPr>
            </w:pPr>
            <w:r>
              <w:rPr>
                <w:i/>
                <w:color w:val="231F20"/>
                <w:w w:val="105"/>
                <w:sz w:val="17"/>
              </w:rPr>
              <w:t>Zona Metropolitana</w:t>
            </w:r>
          </w:p>
        </w:tc>
        <w:tc>
          <w:tcPr>
            <w:tcW w:w="817" w:type="dxa"/>
            <w:tcBorders>
              <w:bottom w:val="single" w:sz="3" w:space="0" w:color="231F20"/>
            </w:tcBorders>
          </w:tcPr>
          <w:p>
            <w:pPr>
              <w:pStyle w:val="TableParagraph"/>
              <w:spacing w:line="240" w:lineRule="auto" w:before="75"/>
              <w:ind w:left="176"/>
              <w:jc w:val="left"/>
              <w:rPr>
                <w:i/>
                <w:sz w:val="17"/>
              </w:rPr>
            </w:pPr>
            <w:r>
              <w:rPr>
                <w:i/>
                <w:color w:val="231F20"/>
                <w:sz w:val="17"/>
              </w:rPr>
              <w:t>1990</w:t>
            </w:r>
          </w:p>
        </w:tc>
        <w:tc>
          <w:tcPr>
            <w:tcW w:w="919" w:type="dxa"/>
            <w:tcBorders>
              <w:bottom w:val="single" w:sz="3" w:space="0" w:color="231F20"/>
            </w:tcBorders>
          </w:tcPr>
          <w:p>
            <w:pPr>
              <w:pStyle w:val="TableParagraph"/>
              <w:spacing w:line="240" w:lineRule="auto" w:before="75"/>
              <w:ind w:left="268" w:right="251"/>
              <w:rPr>
                <w:i/>
                <w:sz w:val="17"/>
              </w:rPr>
            </w:pPr>
            <w:r>
              <w:rPr>
                <w:i/>
                <w:color w:val="231F20"/>
                <w:sz w:val="17"/>
              </w:rPr>
              <w:t>2000</w:t>
            </w:r>
          </w:p>
        </w:tc>
        <w:tc>
          <w:tcPr>
            <w:tcW w:w="889" w:type="dxa"/>
            <w:tcBorders>
              <w:bottom w:val="single" w:sz="3" w:space="0" w:color="231F20"/>
            </w:tcBorders>
          </w:tcPr>
          <w:p>
            <w:pPr>
              <w:pStyle w:val="TableParagraph"/>
              <w:spacing w:line="240" w:lineRule="auto" w:before="75"/>
              <w:ind w:left="277"/>
              <w:jc w:val="left"/>
              <w:rPr>
                <w:i/>
                <w:sz w:val="17"/>
              </w:rPr>
            </w:pPr>
            <w:r>
              <w:rPr>
                <w:i/>
                <w:color w:val="231F20"/>
                <w:sz w:val="17"/>
              </w:rPr>
              <w:t>2010</w:t>
            </w:r>
          </w:p>
        </w:tc>
        <w:tc>
          <w:tcPr>
            <w:tcW w:w="884" w:type="dxa"/>
            <w:tcBorders>
              <w:bottom w:val="single" w:sz="3" w:space="0" w:color="231F20"/>
            </w:tcBorders>
          </w:tcPr>
          <w:p>
            <w:pPr>
              <w:pStyle w:val="TableParagraph"/>
              <w:spacing w:line="240" w:lineRule="auto" w:before="75"/>
              <w:ind w:right="271"/>
              <w:jc w:val="right"/>
              <w:rPr>
                <w:i/>
                <w:sz w:val="17"/>
              </w:rPr>
            </w:pPr>
            <w:r>
              <w:rPr>
                <w:i/>
                <w:color w:val="231F20"/>
                <w:w w:val="95"/>
                <w:sz w:val="17"/>
              </w:rPr>
              <w:t>1990</w:t>
            </w:r>
          </w:p>
        </w:tc>
        <w:tc>
          <w:tcPr>
            <w:tcW w:w="880" w:type="dxa"/>
            <w:tcBorders>
              <w:bottom w:val="single" w:sz="3" w:space="0" w:color="231F20"/>
            </w:tcBorders>
          </w:tcPr>
          <w:p>
            <w:pPr>
              <w:pStyle w:val="TableParagraph"/>
              <w:spacing w:line="240" w:lineRule="auto" w:before="75"/>
              <w:ind w:right="258"/>
              <w:jc w:val="right"/>
              <w:rPr>
                <w:i/>
                <w:sz w:val="17"/>
              </w:rPr>
            </w:pPr>
            <w:r>
              <w:rPr>
                <w:i/>
                <w:color w:val="231F20"/>
                <w:w w:val="95"/>
                <w:sz w:val="17"/>
              </w:rPr>
              <w:t>2000</w:t>
            </w:r>
          </w:p>
        </w:tc>
        <w:tc>
          <w:tcPr>
            <w:tcW w:w="846" w:type="dxa"/>
            <w:tcBorders>
              <w:bottom w:val="single" w:sz="3" w:space="0" w:color="231F20"/>
            </w:tcBorders>
          </w:tcPr>
          <w:p>
            <w:pPr>
              <w:pStyle w:val="TableParagraph"/>
              <w:spacing w:line="240" w:lineRule="auto" w:before="75"/>
              <w:ind w:right="236"/>
              <w:jc w:val="right"/>
              <w:rPr>
                <w:i/>
                <w:sz w:val="17"/>
              </w:rPr>
            </w:pPr>
            <w:r>
              <w:rPr>
                <w:i/>
                <w:color w:val="231F20"/>
                <w:w w:val="95"/>
                <w:sz w:val="17"/>
              </w:rPr>
              <w:t>2010</w:t>
            </w:r>
          </w:p>
        </w:tc>
      </w:tr>
      <w:tr>
        <w:trPr>
          <w:trHeight w:val="303" w:hRule="exact"/>
        </w:trPr>
        <w:tc>
          <w:tcPr>
            <w:tcW w:w="1760" w:type="dxa"/>
            <w:tcBorders>
              <w:top w:val="single" w:sz="3" w:space="0" w:color="231F20"/>
            </w:tcBorders>
          </w:tcPr>
          <w:p>
            <w:pPr>
              <w:pStyle w:val="TableParagraph"/>
              <w:spacing w:line="240" w:lineRule="auto" w:before="84"/>
              <w:ind w:left="35"/>
              <w:jc w:val="left"/>
              <w:rPr>
                <w:sz w:val="17"/>
              </w:rPr>
            </w:pPr>
            <w:r>
              <w:rPr>
                <w:color w:val="231F20"/>
                <w:w w:val="110"/>
                <w:sz w:val="17"/>
              </w:rPr>
              <w:t>Nacional</w:t>
            </w:r>
          </w:p>
        </w:tc>
        <w:tc>
          <w:tcPr>
            <w:tcW w:w="817" w:type="dxa"/>
            <w:tcBorders>
              <w:top w:val="single" w:sz="3" w:space="0" w:color="231F20"/>
            </w:tcBorders>
          </w:tcPr>
          <w:p>
            <w:pPr>
              <w:pStyle w:val="TableParagraph"/>
              <w:spacing w:line="240" w:lineRule="auto" w:before="84"/>
              <w:ind w:left="230"/>
              <w:jc w:val="left"/>
              <w:rPr>
                <w:sz w:val="17"/>
              </w:rPr>
            </w:pPr>
            <w:r>
              <w:rPr>
                <w:color w:val="231F20"/>
                <w:w w:val="105"/>
                <w:sz w:val="17"/>
              </w:rPr>
              <w:t>4.2</w:t>
            </w:r>
          </w:p>
        </w:tc>
        <w:tc>
          <w:tcPr>
            <w:tcW w:w="919" w:type="dxa"/>
            <w:tcBorders>
              <w:top w:val="single" w:sz="3" w:space="0" w:color="231F20"/>
            </w:tcBorders>
          </w:tcPr>
          <w:p>
            <w:pPr>
              <w:pStyle w:val="TableParagraph"/>
              <w:spacing w:line="240" w:lineRule="auto" w:before="84"/>
              <w:ind w:left="268" w:right="251"/>
              <w:rPr>
                <w:sz w:val="17"/>
              </w:rPr>
            </w:pPr>
            <w:r>
              <w:rPr>
                <w:color w:val="231F20"/>
                <w:w w:val="105"/>
                <w:sz w:val="17"/>
              </w:rPr>
              <w:t>4.9</w:t>
            </w:r>
          </w:p>
        </w:tc>
        <w:tc>
          <w:tcPr>
            <w:tcW w:w="889" w:type="dxa"/>
            <w:tcBorders>
              <w:top w:val="single" w:sz="3" w:space="0" w:color="231F20"/>
            </w:tcBorders>
          </w:tcPr>
          <w:p>
            <w:pPr>
              <w:pStyle w:val="TableParagraph"/>
              <w:spacing w:line="240" w:lineRule="auto" w:before="84"/>
              <w:ind w:left="332"/>
              <w:jc w:val="left"/>
              <w:rPr>
                <w:sz w:val="17"/>
              </w:rPr>
            </w:pPr>
            <w:r>
              <w:rPr>
                <w:color w:val="231F20"/>
                <w:w w:val="105"/>
                <w:sz w:val="17"/>
              </w:rPr>
              <w:t>6.2</w:t>
            </w:r>
          </w:p>
        </w:tc>
        <w:tc>
          <w:tcPr>
            <w:tcW w:w="884" w:type="dxa"/>
            <w:tcBorders>
              <w:top w:val="single" w:sz="3" w:space="0" w:color="231F20"/>
            </w:tcBorders>
          </w:tcPr>
          <w:p>
            <w:pPr>
              <w:pStyle w:val="TableParagraph"/>
              <w:spacing w:line="240" w:lineRule="auto" w:before="84"/>
              <w:ind w:right="277"/>
              <w:jc w:val="right"/>
              <w:rPr>
                <w:sz w:val="17"/>
              </w:rPr>
            </w:pPr>
            <w:r>
              <w:rPr>
                <w:color w:val="231F20"/>
                <w:sz w:val="17"/>
              </w:rPr>
              <w:t>10.8</w:t>
            </w:r>
          </w:p>
        </w:tc>
        <w:tc>
          <w:tcPr>
            <w:tcW w:w="880" w:type="dxa"/>
            <w:tcBorders>
              <w:top w:val="single" w:sz="3" w:space="0" w:color="231F20"/>
            </w:tcBorders>
          </w:tcPr>
          <w:p>
            <w:pPr>
              <w:pStyle w:val="TableParagraph"/>
              <w:spacing w:line="240" w:lineRule="auto" w:before="84"/>
              <w:ind w:right="265"/>
              <w:jc w:val="right"/>
              <w:rPr>
                <w:sz w:val="17"/>
              </w:rPr>
            </w:pPr>
            <w:r>
              <w:rPr>
                <w:color w:val="231F20"/>
                <w:sz w:val="17"/>
              </w:rPr>
              <w:t>14.6</w:t>
            </w:r>
          </w:p>
        </w:tc>
        <w:tc>
          <w:tcPr>
            <w:tcW w:w="846" w:type="dxa"/>
            <w:tcBorders>
              <w:top w:val="single" w:sz="3" w:space="0" w:color="231F20"/>
            </w:tcBorders>
          </w:tcPr>
          <w:p>
            <w:pPr>
              <w:pStyle w:val="TableParagraph"/>
              <w:spacing w:line="240" w:lineRule="auto" w:before="84"/>
              <w:ind w:right="243"/>
              <w:jc w:val="right"/>
              <w:rPr>
                <w:sz w:val="17"/>
              </w:rPr>
            </w:pPr>
            <w:r>
              <w:rPr>
                <w:color w:val="231F20"/>
                <w:sz w:val="17"/>
              </w:rPr>
              <w:t>21.3</w:t>
            </w:r>
          </w:p>
        </w:tc>
      </w:tr>
      <w:tr>
        <w:trPr>
          <w:trHeight w:val="210" w:hRule="exact"/>
        </w:trPr>
        <w:tc>
          <w:tcPr>
            <w:tcW w:w="1760" w:type="dxa"/>
          </w:tcPr>
          <w:p>
            <w:pPr>
              <w:pStyle w:val="TableParagraph"/>
              <w:ind w:left="35"/>
              <w:jc w:val="left"/>
              <w:rPr>
                <w:rFonts w:ascii="Times New Roman"/>
                <w:sz w:val="13"/>
              </w:rPr>
            </w:pPr>
            <w:r>
              <w:rPr>
                <w:color w:val="231F20"/>
                <w:w w:val="110"/>
                <w:sz w:val="17"/>
              </w:rPr>
              <w:t>Total de las </w:t>
            </w:r>
            <w:r>
              <w:rPr>
                <w:rFonts w:ascii="Times New Roman"/>
                <w:color w:val="231F20"/>
                <w:w w:val="110"/>
                <w:sz w:val="13"/>
              </w:rPr>
              <w:t>ZM</w:t>
            </w:r>
          </w:p>
        </w:tc>
        <w:tc>
          <w:tcPr>
            <w:tcW w:w="817" w:type="dxa"/>
          </w:tcPr>
          <w:p>
            <w:pPr>
              <w:pStyle w:val="TableParagraph"/>
              <w:ind w:left="230"/>
              <w:jc w:val="left"/>
              <w:rPr>
                <w:sz w:val="17"/>
              </w:rPr>
            </w:pPr>
            <w:r>
              <w:rPr>
                <w:color w:val="231F20"/>
                <w:w w:val="105"/>
                <w:sz w:val="17"/>
              </w:rPr>
              <w:t>3.8</w:t>
            </w:r>
          </w:p>
        </w:tc>
        <w:tc>
          <w:tcPr>
            <w:tcW w:w="919" w:type="dxa"/>
          </w:tcPr>
          <w:p>
            <w:pPr>
              <w:pStyle w:val="TableParagraph"/>
              <w:ind w:left="268" w:right="251"/>
              <w:rPr>
                <w:sz w:val="17"/>
              </w:rPr>
            </w:pPr>
            <w:r>
              <w:rPr>
                <w:color w:val="231F20"/>
                <w:w w:val="105"/>
                <w:sz w:val="17"/>
              </w:rPr>
              <w:t>4.6</w:t>
            </w:r>
          </w:p>
        </w:tc>
        <w:tc>
          <w:tcPr>
            <w:tcW w:w="889" w:type="dxa"/>
          </w:tcPr>
          <w:p>
            <w:pPr>
              <w:pStyle w:val="TableParagraph"/>
              <w:ind w:left="332"/>
              <w:jc w:val="left"/>
              <w:rPr>
                <w:sz w:val="17"/>
              </w:rPr>
            </w:pPr>
            <w:r>
              <w:rPr>
                <w:color w:val="231F20"/>
                <w:w w:val="105"/>
                <w:sz w:val="17"/>
              </w:rPr>
              <w:t>5.9</w:t>
            </w:r>
          </w:p>
        </w:tc>
        <w:tc>
          <w:tcPr>
            <w:tcW w:w="884" w:type="dxa"/>
          </w:tcPr>
          <w:p>
            <w:pPr>
              <w:pStyle w:val="TableParagraph"/>
              <w:ind w:right="277"/>
              <w:jc w:val="right"/>
              <w:rPr>
                <w:sz w:val="17"/>
              </w:rPr>
            </w:pPr>
            <w:r>
              <w:rPr>
                <w:color w:val="231F20"/>
                <w:sz w:val="17"/>
              </w:rPr>
              <w:t>10.9</w:t>
            </w:r>
          </w:p>
        </w:tc>
        <w:tc>
          <w:tcPr>
            <w:tcW w:w="880" w:type="dxa"/>
          </w:tcPr>
          <w:p>
            <w:pPr>
              <w:pStyle w:val="TableParagraph"/>
              <w:ind w:right="265"/>
              <w:jc w:val="right"/>
              <w:rPr>
                <w:sz w:val="17"/>
              </w:rPr>
            </w:pPr>
            <w:r>
              <w:rPr>
                <w:color w:val="231F20"/>
                <w:sz w:val="17"/>
              </w:rPr>
              <w:t>15.2</w:t>
            </w:r>
          </w:p>
        </w:tc>
        <w:tc>
          <w:tcPr>
            <w:tcW w:w="846" w:type="dxa"/>
          </w:tcPr>
          <w:p>
            <w:pPr>
              <w:pStyle w:val="TableParagraph"/>
              <w:ind w:right="243"/>
              <w:jc w:val="right"/>
              <w:rPr>
                <w:sz w:val="17"/>
              </w:rPr>
            </w:pPr>
            <w:r>
              <w:rPr>
                <w:color w:val="231F20"/>
                <w:sz w:val="17"/>
              </w:rPr>
              <w:t>22.4</w:t>
            </w:r>
          </w:p>
        </w:tc>
      </w:tr>
      <w:tr>
        <w:trPr>
          <w:trHeight w:val="210" w:hRule="exact"/>
        </w:trPr>
        <w:tc>
          <w:tcPr>
            <w:tcW w:w="1760" w:type="dxa"/>
          </w:tcPr>
          <w:p>
            <w:pPr>
              <w:pStyle w:val="TableParagraph"/>
              <w:ind w:left="35"/>
              <w:jc w:val="left"/>
              <w:rPr>
                <w:sz w:val="17"/>
              </w:rPr>
            </w:pPr>
            <w:r>
              <w:rPr>
                <w:color w:val="231F20"/>
                <w:w w:val="110"/>
                <w:sz w:val="17"/>
              </w:rPr>
              <w:t>Valle de México</w:t>
            </w:r>
          </w:p>
        </w:tc>
        <w:tc>
          <w:tcPr>
            <w:tcW w:w="817" w:type="dxa"/>
          </w:tcPr>
          <w:p>
            <w:pPr>
              <w:pStyle w:val="TableParagraph"/>
              <w:ind w:left="230"/>
              <w:jc w:val="left"/>
              <w:rPr>
                <w:sz w:val="17"/>
              </w:rPr>
            </w:pPr>
            <w:r>
              <w:rPr>
                <w:color w:val="231F20"/>
                <w:w w:val="105"/>
                <w:sz w:val="17"/>
              </w:rPr>
              <w:t>3.9</w:t>
            </w:r>
          </w:p>
        </w:tc>
        <w:tc>
          <w:tcPr>
            <w:tcW w:w="919" w:type="dxa"/>
          </w:tcPr>
          <w:p>
            <w:pPr>
              <w:pStyle w:val="TableParagraph"/>
              <w:ind w:left="268" w:right="251"/>
              <w:rPr>
                <w:sz w:val="17"/>
              </w:rPr>
            </w:pPr>
            <w:r>
              <w:rPr>
                <w:color w:val="231F20"/>
                <w:w w:val="105"/>
                <w:sz w:val="17"/>
              </w:rPr>
              <w:t>4.7</w:t>
            </w:r>
          </w:p>
        </w:tc>
        <w:tc>
          <w:tcPr>
            <w:tcW w:w="889" w:type="dxa"/>
          </w:tcPr>
          <w:p>
            <w:pPr>
              <w:pStyle w:val="TableParagraph"/>
              <w:ind w:left="332"/>
              <w:jc w:val="left"/>
              <w:rPr>
                <w:sz w:val="17"/>
              </w:rPr>
            </w:pPr>
            <w:r>
              <w:rPr>
                <w:color w:val="231F20"/>
                <w:w w:val="105"/>
                <w:sz w:val="17"/>
              </w:rPr>
              <w:t>6.1</w:t>
            </w:r>
          </w:p>
        </w:tc>
        <w:tc>
          <w:tcPr>
            <w:tcW w:w="884" w:type="dxa"/>
          </w:tcPr>
          <w:p>
            <w:pPr>
              <w:pStyle w:val="TableParagraph"/>
              <w:ind w:right="277"/>
              <w:jc w:val="right"/>
              <w:rPr>
                <w:sz w:val="17"/>
              </w:rPr>
            </w:pPr>
            <w:r>
              <w:rPr>
                <w:color w:val="231F20"/>
                <w:sz w:val="17"/>
              </w:rPr>
              <w:t>11.6</w:t>
            </w:r>
          </w:p>
        </w:tc>
        <w:tc>
          <w:tcPr>
            <w:tcW w:w="880" w:type="dxa"/>
          </w:tcPr>
          <w:p>
            <w:pPr>
              <w:pStyle w:val="TableParagraph"/>
              <w:ind w:right="265"/>
              <w:jc w:val="right"/>
              <w:rPr>
                <w:sz w:val="17"/>
              </w:rPr>
            </w:pPr>
            <w:r>
              <w:rPr>
                <w:color w:val="231F20"/>
                <w:sz w:val="17"/>
              </w:rPr>
              <w:t>16.0</w:t>
            </w:r>
          </w:p>
        </w:tc>
        <w:tc>
          <w:tcPr>
            <w:tcW w:w="846" w:type="dxa"/>
          </w:tcPr>
          <w:p>
            <w:pPr>
              <w:pStyle w:val="TableParagraph"/>
              <w:ind w:right="243"/>
              <w:jc w:val="right"/>
              <w:rPr>
                <w:sz w:val="17"/>
              </w:rPr>
            </w:pPr>
            <w:r>
              <w:rPr>
                <w:color w:val="231F20"/>
                <w:sz w:val="17"/>
              </w:rPr>
              <w:t>24.7</w:t>
            </w:r>
          </w:p>
        </w:tc>
      </w:tr>
      <w:tr>
        <w:trPr>
          <w:trHeight w:val="212" w:hRule="exact"/>
        </w:trPr>
        <w:tc>
          <w:tcPr>
            <w:tcW w:w="1760" w:type="dxa"/>
          </w:tcPr>
          <w:p>
            <w:pPr>
              <w:pStyle w:val="TableParagraph"/>
              <w:ind w:left="35"/>
              <w:jc w:val="left"/>
              <w:rPr>
                <w:sz w:val="17"/>
              </w:rPr>
            </w:pPr>
            <w:r>
              <w:rPr>
                <w:color w:val="231F20"/>
                <w:w w:val="110"/>
                <w:sz w:val="17"/>
              </w:rPr>
              <w:t>Guadalajara</w:t>
            </w:r>
          </w:p>
        </w:tc>
        <w:tc>
          <w:tcPr>
            <w:tcW w:w="817" w:type="dxa"/>
          </w:tcPr>
          <w:p>
            <w:pPr>
              <w:pStyle w:val="TableParagraph"/>
              <w:ind w:left="230"/>
              <w:jc w:val="left"/>
              <w:rPr>
                <w:sz w:val="17"/>
              </w:rPr>
            </w:pPr>
            <w:r>
              <w:rPr>
                <w:color w:val="231F20"/>
                <w:w w:val="105"/>
                <w:sz w:val="17"/>
              </w:rPr>
              <w:t>3.8</w:t>
            </w:r>
          </w:p>
        </w:tc>
        <w:tc>
          <w:tcPr>
            <w:tcW w:w="919" w:type="dxa"/>
          </w:tcPr>
          <w:p>
            <w:pPr>
              <w:pStyle w:val="TableParagraph"/>
              <w:ind w:left="268" w:right="251"/>
              <w:rPr>
                <w:sz w:val="17"/>
              </w:rPr>
            </w:pPr>
            <w:r>
              <w:rPr>
                <w:color w:val="231F20"/>
                <w:w w:val="105"/>
                <w:sz w:val="17"/>
              </w:rPr>
              <w:t>4.6</w:t>
            </w:r>
          </w:p>
        </w:tc>
        <w:tc>
          <w:tcPr>
            <w:tcW w:w="889" w:type="dxa"/>
          </w:tcPr>
          <w:p>
            <w:pPr>
              <w:pStyle w:val="TableParagraph"/>
              <w:ind w:left="332"/>
              <w:jc w:val="left"/>
              <w:rPr>
                <w:sz w:val="17"/>
              </w:rPr>
            </w:pPr>
            <w:r>
              <w:rPr>
                <w:color w:val="231F20"/>
                <w:w w:val="105"/>
                <w:sz w:val="17"/>
              </w:rPr>
              <w:t>5.4</w:t>
            </w:r>
          </w:p>
        </w:tc>
        <w:tc>
          <w:tcPr>
            <w:tcW w:w="884" w:type="dxa"/>
          </w:tcPr>
          <w:p>
            <w:pPr>
              <w:pStyle w:val="TableParagraph"/>
              <w:ind w:right="277"/>
              <w:jc w:val="right"/>
              <w:rPr>
                <w:sz w:val="17"/>
              </w:rPr>
            </w:pPr>
            <w:r>
              <w:rPr>
                <w:color w:val="231F20"/>
                <w:sz w:val="17"/>
              </w:rPr>
              <w:t>10.3</w:t>
            </w:r>
          </w:p>
        </w:tc>
        <w:tc>
          <w:tcPr>
            <w:tcW w:w="880" w:type="dxa"/>
          </w:tcPr>
          <w:p>
            <w:pPr>
              <w:pStyle w:val="TableParagraph"/>
              <w:ind w:right="265"/>
              <w:jc w:val="right"/>
              <w:rPr>
                <w:sz w:val="17"/>
              </w:rPr>
            </w:pPr>
            <w:r>
              <w:rPr>
                <w:color w:val="231F20"/>
                <w:sz w:val="17"/>
              </w:rPr>
              <w:t>13.8</w:t>
            </w:r>
          </w:p>
        </w:tc>
        <w:tc>
          <w:tcPr>
            <w:tcW w:w="846" w:type="dxa"/>
          </w:tcPr>
          <w:p>
            <w:pPr>
              <w:pStyle w:val="TableParagraph"/>
              <w:ind w:right="243"/>
              <w:jc w:val="right"/>
              <w:rPr>
                <w:sz w:val="17"/>
              </w:rPr>
            </w:pPr>
            <w:r>
              <w:rPr>
                <w:color w:val="231F20"/>
                <w:sz w:val="17"/>
              </w:rPr>
              <w:t>19.2</w:t>
            </w:r>
          </w:p>
        </w:tc>
      </w:tr>
      <w:tr>
        <w:trPr>
          <w:trHeight w:val="212" w:hRule="exact"/>
        </w:trPr>
        <w:tc>
          <w:tcPr>
            <w:tcW w:w="1760" w:type="dxa"/>
          </w:tcPr>
          <w:p>
            <w:pPr>
              <w:pStyle w:val="TableParagraph"/>
              <w:spacing w:line="196" w:lineRule="exact"/>
              <w:ind w:left="35"/>
              <w:jc w:val="left"/>
              <w:rPr>
                <w:sz w:val="17"/>
              </w:rPr>
            </w:pPr>
            <w:r>
              <w:rPr>
                <w:color w:val="231F20"/>
                <w:w w:val="110"/>
                <w:sz w:val="17"/>
              </w:rPr>
              <w:t>Monterrey</w:t>
            </w:r>
          </w:p>
        </w:tc>
        <w:tc>
          <w:tcPr>
            <w:tcW w:w="817" w:type="dxa"/>
          </w:tcPr>
          <w:p>
            <w:pPr>
              <w:pStyle w:val="TableParagraph"/>
              <w:spacing w:line="196" w:lineRule="exact"/>
              <w:ind w:left="230"/>
              <w:jc w:val="left"/>
              <w:rPr>
                <w:sz w:val="17"/>
              </w:rPr>
            </w:pPr>
            <w:r>
              <w:rPr>
                <w:color w:val="231F20"/>
                <w:w w:val="105"/>
                <w:sz w:val="17"/>
              </w:rPr>
              <w:t>3.5</w:t>
            </w:r>
          </w:p>
        </w:tc>
        <w:tc>
          <w:tcPr>
            <w:tcW w:w="919" w:type="dxa"/>
          </w:tcPr>
          <w:p>
            <w:pPr>
              <w:pStyle w:val="TableParagraph"/>
              <w:spacing w:line="196" w:lineRule="exact"/>
              <w:ind w:left="268" w:right="251"/>
              <w:rPr>
                <w:sz w:val="17"/>
              </w:rPr>
            </w:pPr>
            <w:r>
              <w:rPr>
                <w:color w:val="231F20"/>
                <w:w w:val="105"/>
                <w:sz w:val="17"/>
              </w:rPr>
              <w:t>4.5</w:t>
            </w:r>
          </w:p>
        </w:tc>
        <w:tc>
          <w:tcPr>
            <w:tcW w:w="889" w:type="dxa"/>
          </w:tcPr>
          <w:p>
            <w:pPr>
              <w:pStyle w:val="TableParagraph"/>
              <w:spacing w:line="196" w:lineRule="exact"/>
              <w:ind w:left="332"/>
              <w:jc w:val="left"/>
              <w:rPr>
                <w:sz w:val="17"/>
              </w:rPr>
            </w:pPr>
            <w:r>
              <w:rPr>
                <w:color w:val="231F20"/>
                <w:w w:val="105"/>
                <w:sz w:val="17"/>
              </w:rPr>
              <w:t>5.6</w:t>
            </w:r>
          </w:p>
        </w:tc>
        <w:tc>
          <w:tcPr>
            <w:tcW w:w="884" w:type="dxa"/>
          </w:tcPr>
          <w:p>
            <w:pPr>
              <w:pStyle w:val="TableParagraph"/>
              <w:spacing w:line="196" w:lineRule="exact"/>
              <w:ind w:right="277"/>
              <w:jc w:val="right"/>
              <w:rPr>
                <w:sz w:val="17"/>
              </w:rPr>
            </w:pPr>
            <w:r>
              <w:rPr>
                <w:color w:val="231F20"/>
                <w:sz w:val="17"/>
              </w:rPr>
              <w:t>10.4</w:t>
            </w:r>
          </w:p>
        </w:tc>
        <w:tc>
          <w:tcPr>
            <w:tcW w:w="880" w:type="dxa"/>
          </w:tcPr>
          <w:p>
            <w:pPr>
              <w:pStyle w:val="TableParagraph"/>
              <w:spacing w:line="196" w:lineRule="exact"/>
              <w:ind w:right="265"/>
              <w:jc w:val="right"/>
              <w:rPr>
                <w:sz w:val="17"/>
              </w:rPr>
            </w:pPr>
            <w:r>
              <w:rPr>
                <w:color w:val="231F20"/>
                <w:sz w:val="17"/>
              </w:rPr>
              <w:t>14.9</w:t>
            </w:r>
          </w:p>
        </w:tc>
        <w:tc>
          <w:tcPr>
            <w:tcW w:w="846" w:type="dxa"/>
          </w:tcPr>
          <w:p>
            <w:pPr>
              <w:pStyle w:val="TableParagraph"/>
              <w:spacing w:line="196" w:lineRule="exact"/>
              <w:ind w:right="243"/>
              <w:jc w:val="right"/>
              <w:rPr>
                <w:sz w:val="17"/>
              </w:rPr>
            </w:pPr>
            <w:r>
              <w:rPr>
                <w:color w:val="231F20"/>
                <w:sz w:val="17"/>
              </w:rPr>
              <w:t>20.9</w:t>
            </w:r>
          </w:p>
        </w:tc>
      </w:tr>
      <w:tr>
        <w:trPr>
          <w:trHeight w:val="210" w:hRule="exact"/>
        </w:trPr>
        <w:tc>
          <w:tcPr>
            <w:tcW w:w="1760" w:type="dxa"/>
          </w:tcPr>
          <w:p>
            <w:pPr>
              <w:pStyle w:val="TableParagraph"/>
              <w:ind w:left="35"/>
              <w:jc w:val="left"/>
              <w:rPr>
                <w:sz w:val="17"/>
              </w:rPr>
            </w:pPr>
            <w:r>
              <w:rPr>
                <w:color w:val="231F20"/>
                <w:w w:val="105"/>
                <w:sz w:val="17"/>
              </w:rPr>
              <w:t>Puebla-Tlaxcala</w:t>
            </w:r>
          </w:p>
        </w:tc>
        <w:tc>
          <w:tcPr>
            <w:tcW w:w="817" w:type="dxa"/>
          </w:tcPr>
          <w:p>
            <w:pPr>
              <w:pStyle w:val="TableParagraph"/>
              <w:ind w:left="230"/>
              <w:jc w:val="left"/>
              <w:rPr>
                <w:sz w:val="17"/>
              </w:rPr>
            </w:pPr>
            <w:r>
              <w:rPr>
                <w:color w:val="231F20"/>
                <w:w w:val="105"/>
                <w:sz w:val="17"/>
              </w:rPr>
              <w:t>3.1</w:t>
            </w:r>
          </w:p>
        </w:tc>
        <w:tc>
          <w:tcPr>
            <w:tcW w:w="919" w:type="dxa"/>
          </w:tcPr>
          <w:p>
            <w:pPr>
              <w:pStyle w:val="TableParagraph"/>
              <w:ind w:left="268" w:right="251"/>
              <w:rPr>
                <w:sz w:val="17"/>
              </w:rPr>
            </w:pPr>
            <w:r>
              <w:rPr>
                <w:color w:val="231F20"/>
                <w:w w:val="105"/>
                <w:sz w:val="17"/>
              </w:rPr>
              <w:t>4.7</w:t>
            </w:r>
          </w:p>
        </w:tc>
        <w:tc>
          <w:tcPr>
            <w:tcW w:w="889" w:type="dxa"/>
          </w:tcPr>
          <w:p>
            <w:pPr>
              <w:pStyle w:val="TableParagraph"/>
              <w:ind w:left="332"/>
              <w:jc w:val="left"/>
              <w:rPr>
                <w:sz w:val="17"/>
              </w:rPr>
            </w:pPr>
            <w:r>
              <w:rPr>
                <w:color w:val="231F20"/>
                <w:w w:val="105"/>
                <w:sz w:val="17"/>
              </w:rPr>
              <w:t>5.5</w:t>
            </w:r>
          </w:p>
        </w:tc>
        <w:tc>
          <w:tcPr>
            <w:tcW w:w="884" w:type="dxa"/>
          </w:tcPr>
          <w:p>
            <w:pPr>
              <w:pStyle w:val="TableParagraph"/>
              <w:ind w:right="277"/>
              <w:jc w:val="right"/>
              <w:rPr>
                <w:sz w:val="17"/>
              </w:rPr>
            </w:pPr>
            <w:r>
              <w:rPr>
                <w:color w:val="231F20"/>
                <w:w w:val="105"/>
                <w:sz w:val="17"/>
              </w:rPr>
              <w:t>8.5</w:t>
            </w:r>
          </w:p>
        </w:tc>
        <w:tc>
          <w:tcPr>
            <w:tcW w:w="880" w:type="dxa"/>
          </w:tcPr>
          <w:p>
            <w:pPr>
              <w:pStyle w:val="TableParagraph"/>
              <w:ind w:right="265"/>
              <w:jc w:val="right"/>
              <w:rPr>
                <w:sz w:val="17"/>
              </w:rPr>
            </w:pPr>
            <w:r>
              <w:rPr>
                <w:color w:val="231F20"/>
                <w:sz w:val="17"/>
              </w:rPr>
              <w:t>14.7</w:t>
            </w:r>
          </w:p>
        </w:tc>
        <w:tc>
          <w:tcPr>
            <w:tcW w:w="846" w:type="dxa"/>
          </w:tcPr>
          <w:p>
            <w:pPr>
              <w:pStyle w:val="TableParagraph"/>
              <w:ind w:right="243"/>
              <w:jc w:val="right"/>
              <w:rPr>
                <w:sz w:val="17"/>
              </w:rPr>
            </w:pPr>
            <w:r>
              <w:rPr>
                <w:color w:val="231F20"/>
                <w:sz w:val="17"/>
              </w:rPr>
              <w:t>19.7</w:t>
            </w:r>
          </w:p>
        </w:tc>
      </w:tr>
      <w:tr>
        <w:trPr>
          <w:trHeight w:val="276" w:hRule="exact"/>
        </w:trPr>
        <w:tc>
          <w:tcPr>
            <w:tcW w:w="1760" w:type="dxa"/>
            <w:tcBorders>
              <w:bottom w:val="single" w:sz="3" w:space="0" w:color="231F20"/>
            </w:tcBorders>
          </w:tcPr>
          <w:p>
            <w:pPr>
              <w:pStyle w:val="TableParagraph"/>
              <w:ind w:left="35"/>
              <w:jc w:val="left"/>
              <w:rPr>
                <w:sz w:val="17"/>
              </w:rPr>
            </w:pPr>
            <w:r>
              <w:rPr>
                <w:color w:val="231F20"/>
                <w:w w:val="110"/>
                <w:sz w:val="17"/>
              </w:rPr>
              <w:t>Toluca</w:t>
            </w:r>
          </w:p>
        </w:tc>
        <w:tc>
          <w:tcPr>
            <w:tcW w:w="817" w:type="dxa"/>
            <w:tcBorders>
              <w:bottom w:val="single" w:sz="3" w:space="0" w:color="231F20"/>
            </w:tcBorders>
          </w:tcPr>
          <w:p>
            <w:pPr>
              <w:pStyle w:val="TableParagraph"/>
              <w:ind w:left="230"/>
              <w:jc w:val="left"/>
              <w:rPr>
                <w:sz w:val="17"/>
              </w:rPr>
            </w:pPr>
            <w:r>
              <w:rPr>
                <w:color w:val="231F20"/>
                <w:w w:val="105"/>
                <w:sz w:val="17"/>
              </w:rPr>
              <w:t>3.3</w:t>
            </w:r>
          </w:p>
        </w:tc>
        <w:tc>
          <w:tcPr>
            <w:tcW w:w="919" w:type="dxa"/>
            <w:tcBorders>
              <w:bottom w:val="single" w:sz="3" w:space="0" w:color="231F20"/>
            </w:tcBorders>
          </w:tcPr>
          <w:p>
            <w:pPr>
              <w:pStyle w:val="TableParagraph"/>
              <w:ind w:left="268" w:right="251"/>
              <w:rPr>
                <w:sz w:val="17"/>
              </w:rPr>
            </w:pPr>
            <w:r>
              <w:rPr>
                <w:color w:val="231F20"/>
                <w:w w:val="105"/>
                <w:sz w:val="17"/>
              </w:rPr>
              <w:t>3.8</w:t>
            </w:r>
          </w:p>
        </w:tc>
        <w:tc>
          <w:tcPr>
            <w:tcW w:w="889" w:type="dxa"/>
            <w:tcBorders>
              <w:bottom w:val="single" w:sz="3" w:space="0" w:color="231F20"/>
            </w:tcBorders>
          </w:tcPr>
          <w:p>
            <w:pPr>
              <w:pStyle w:val="TableParagraph"/>
              <w:ind w:left="332"/>
              <w:jc w:val="left"/>
              <w:rPr>
                <w:sz w:val="17"/>
              </w:rPr>
            </w:pPr>
            <w:r>
              <w:rPr>
                <w:color w:val="231F20"/>
                <w:w w:val="105"/>
                <w:sz w:val="17"/>
              </w:rPr>
              <w:t>4.5</w:t>
            </w:r>
          </w:p>
        </w:tc>
        <w:tc>
          <w:tcPr>
            <w:tcW w:w="884" w:type="dxa"/>
            <w:tcBorders>
              <w:bottom w:val="single" w:sz="3" w:space="0" w:color="231F20"/>
            </w:tcBorders>
          </w:tcPr>
          <w:p>
            <w:pPr>
              <w:pStyle w:val="TableParagraph"/>
              <w:ind w:right="277"/>
              <w:jc w:val="right"/>
              <w:rPr>
                <w:sz w:val="17"/>
              </w:rPr>
            </w:pPr>
            <w:r>
              <w:rPr>
                <w:color w:val="231F20"/>
                <w:w w:val="105"/>
                <w:sz w:val="17"/>
              </w:rPr>
              <w:t>8.5</w:t>
            </w:r>
          </w:p>
        </w:tc>
        <w:tc>
          <w:tcPr>
            <w:tcW w:w="880" w:type="dxa"/>
            <w:tcBorders>
              <w:bottom w:val="single" w:sz="3" w:space="0" w:color="231F20"/>
            </w:tcBorders>
          </w:tcPr>
          <w:p>
            <w:pPr>
              <w:pStyle w:val="TableParagraph"/>
              <w:ind w:right="265"/>
              <w:jc w:val="right"/>
              <w:rPr>
                <w:sz w:val="17"/>
              </w:rPr>
            </w:pPr>
            <w:r>
              <w:rPr>
                <w:color w:val="231F20"/>
                <w:sz w:val="17"/>
              </w:rPr>
              <w:t>11.1</w:t>
            </w:r>
          </w:p>
        </w:tc>
        <w:tc>
          <w:tcPr>
            <w:tcW w:w="846" w:type="dxa"/>
            <w:tcBorders>
              <w:bottom w:val="single" w:sz="3" w:space="0" w:color="231F20"/>
            </w:tcBorders>
          </w:tcPr>
          <w:p>
            <w:pPr>
              <w:pStyle w:val="TableParagraph"/>
              <w:ind w:right="243"/>
              <w:jc w:val="right"/>
              <w:rPr>
                <w:sz w:val="17"/>
              </w:rPr>
            </w:pPr>
            <w:r>
              <w:rPr>
                <w:color w:val="231F20"/>
                <w:sz w:val="17"/>
              </w:rPr>
              <w:t>15.4</w:t>
            </w:r>
          </w:p>
        </w:tc>
      </w:tr>
    </w:tbl>
    <w:p>
      <w:pPr>
        <w:spacing w:before="64"/>
        <w:ind w:left="504" w:right="0" w:firstLine="0"/>
        <w:jc w:val="left"/>
        <w:rPr>
          <w:sz w:val="15"/>
        </w:rPr>
      </w:pPr>
      <w:r>
        <w:rPr>
          <w:color w:val="231F20"/>
          <w:w w:val="110"/>
          <w:sz w:val="15"/>
        </w:rPr>
        <w:t>Fuente: Elaboración propia con datos del </w:t>
      </w:r>
      <w:r>
        <w:rPr>
          <w:rFonts w:ascii="Times New Roman" w:hAnsi="Times New Roman"/>
          <w:color w:val="231F20"/>
          <w:w w:val="110"/>
          <w:sz w:val="12"/>
        </w:rPr>
        <w:t>INEGI</w:t>
      </w:r>
      <w:r>
        <w:rPr>
          <w:color w:val="231F20"/>
          <w:w w:val="110"/>
          <w:sz w:val="15"/>
        </w:rPr>
        <w:t>, 1990, 2001 y 2010.</w:t>
      </w:r>
    </w:p>
    <w:p>
      <w:pPr>
        <w:pStyle w:val="BodyText"/>
        <w:rPr>
          <w:sz w:val="14"/>
        </w:rPr>
      </w:pPr>
    </w:p>
    <w:p>
      <w:pPr>
        <w:pStyle w:val="BodyText"/>
        <w:spacing w:before="6"/>
        <w:rPr>
          <w:sz w:val="15"/>
        </w:rPr>
      </w:pPr>
    </w:p>
    <w:p>
      <w:pPr>
        <w:pStyle w:val="BodyText"/>
        <w:spacing w:line="295" w:lineRule="auto"/>
        <w:ind w:left="144" w:right="112" w:firstLine="360"/>
        <w:jc w:val="both"/>
      </w:pPr>
      <w:r>
        <w:rPr>
          <w:color w:val="231F20"/>
          <w:w w:val="110"/>
        </w:rPr>
        <w:t>Si analizamos el proceso de envejecimiento, en función del grado de envejecimiento de la población de las zonas metropolitanas, los</w:t>
      </w:r>
      <w:r>
        <w:rPr>
          <w:color w:val="231F20"/>
          <w:spacing w:val="-16"/>
          <w:w w:val="110"/>
        </w:rPr>
        <w:t> </w:t>
      </w:r>
      <w:r>
        <w:rPr>
          <w:color w:val="231F20"/>
          <w:w w:val="110"/>
        </w:rPr>
        <w:t>resultados nos muestran que en el año 1990 100 por ciento de la población de las </w:t>
      </w:r>
      <w:r>
        <w:rPr>
          <w:rFonts w:ascii="Times New Roman" w:hAnsi="Times New Roman"/>
          <w:color w:val="231F20"/>
          <w:w w:val="110"/>
          <w:sz w:val="16"/>
        </w:rPr>
        <w:t>ZM </w:t>
      </w:r>
      <w:r>
        <w:rPr>
          <w:color w:val="231F20"/>
          <w:w w:val="110"/>
        </w:rPr>
        <w:t>seleccionadas</w:t>
      </w:r>
      <w:r>
        <w:rPr>
          <w:color w:val="231F20"/>
          <w:spacing w:val="-19"/>
          <w:w w:val="110"/>
        </w:rPr>
        <w:t> </w:t>
      </w:r>
      <w:r>
        <w:rPr>
          <w:color w:val="231F20"/>
          <w:w w:val="110"/>
        </w:rPr>
        <w:t>era</w:t>
      </w:r>
      <w:r>
        <w:rPr>
          <w:color w:val="231F20"/>
          <w:spacing w:val="-19"/>
          <w:w w:val="110"/>
        </w:rPr>
        <w:t> </w:t>
      </w:r>
      <w:r>
        <w:rPr>
          <w:color w:val="231F20"/>
          <w:w w:val="110"/>
        </w:rPr>
        <w:t>predominantemente</w:t>
      </w:r>
      <w:r>
        <w:rPr>
          <w:color w:val="231F20"/>
          <w:spacing w:val="-19"/>
          <w:w w:val="110"/>
        </w:rPr>
        <w:t> </w:t>
      </w:r>
      <w:r>
        <w:rPr>
          <w:color w:val="231F20"/>
          <w:w w:val="110"/>
        </w:rPr>
        <w:t>joven</w:t>
      </w:r>
      <w:r>
        <w:rPr>
          <w:color w:val="231F20"/>
          <w:spacing w:val="-19"/>
          <w:w w:val="110"/>
        </w:rPr>
        <w:t> </w:t>
      </w:r>
      <w:r>
        <w:rPr>
          <w:color w:val="231F20"/>
          <w:w w:val="110"/>
        </w:rPr>
        <w:t>(véase</w:t>
      </w:r>
      <w:r>
        <w:rPr>
          <w:color w:val="231F20"/>
          <w:spacing w:val="-19"/>
          <w:w w:val="110"/>
        </w:rPr>
        <w:t> </w:t>
      </w:r>
      <w:r>
        <w:rPr>
          <w:color w:val="231F20"/>
          <w:w w:val="110"/>
        </w:rPr>
        <w:t>cuadro</w:t>
      </w:r>
      <w:r>
        <w:rPr>
          <w:color w:val="231F20"/>
          <w:spacing w:val="-19"/>
          <w:w w:val="110"/>
        </w:rPr>
        <w:t> </w:t>
      </w:r>
      <w:r>
        <w:rPr>
          <w:color w:val="231F20"/>
          <w:w w:val="110"/>
        </w:rPr>
        <w:t>3).</w:t>
      </w:r>
      <w:r>
        <w:rPr>
          <w:color w:val="231F20"/>
          <w:spacing w:val="-19"/>
          <w:w w:val="110"/>
        </w:rPr>
        <w:t> </w:t>
      </w:r>
      <w:r>
        <w:rPr>
          <w:color w:val="231F20"/>
          <w:w w:val="110"/>
        </w:rPr>
        <w:t>Sin</w:t>
      </w:r>
      <w:r>
        <w:rPr>
          <w:color w:val="231F20"/>
          <w:spacing w:val="-19"/>
          <w:w w:val="110"/>
        </w:rPr>
        <w:t> </w:t>
      </w:r>
      <w:r>
        <w:rPr>
          <w:color w:val="231F20"/>
          <w:spacing w:val="-3"/>
          <w:w w:val="110"/>
        </w:rPr>
        <w:t>embargo, </w:t>
      </w:r>
      <w:r>
        <w:rPr>
          <w:color w:val="231F20"/>
          <w:w w:val="110"/>
        </w:rPr>
        <w:t>en el año 2000 la situación sufrió un cambio sustancial, explicado por la acelerada transición demográfica que ha venido registrándose en nuestro país en las tres últimas décadas, al ubicarse todas las </w:t>
      </w:r>
      <w:r>
        <w:rPr>
          <w:rFonts w:ascii="Times New Roman" w:hAnsi="Times New Roman"/>
          <w:color w:val="231F20"/>
          <w:w w:val="110"/>
          <w:sz w:val="16"/>
        </w:rPr>
        <w:t>ZM </w:t>
      </w:r>
      <w:r>
        <w:rPr>
          <w:color w:val="231F20"/>
          <w:w w:val="110"/>
        </w:rPr>
        <w:t>en una situación de procesos de envejecimiento, y para el año 2010 esa tendencia se man- tiene, aunque sólo la </w:t>
      </w:r>
      <w:r>
        <w:rPr>
          <w:rFonts w:ascii="Times New Roman" w:hAnsi="Times New Roman"/>
          <w:color w:val="231F20"/>
          <w:w w:val="110"/>
          <w:sz w:val="16"/>
        </w:rPr>
        <w:t>ZM </w:t>
      </w:r>
      <w:r>
        <w:rPr>
          <w:color w:val="231F20"/>
          <w:w w:val="110"/>
        </w:rPr>
        <w:t>de </w:t>
      </w:r>
      <w:r>
        <w:rPr>
          <w:color w:val="231F20"/>
          <w:spacing w:val="-3"/>
          <w:w w:val="110"/>
        </w:rPr>
        <w:t>Toluca </w:t>
      </w:r>
      <w:r>
        <w:rPr>
          <w:color w:val="231F20"/>
          <w:w w:val="110"/>
        </w:rPr>
        <w:t>presenta, según el indicador, una pobla- ción joven, esto se explica por la migración de población joven que llega a los municipios conurbados de </w:t>
      </w:r>
      <w:r>
        <w:rPr>
          <w:color w:val="231F20"/>
          <w:spacing w:val="-3"/>
          <w:w w:val="110"/>
        </w:rPr>
        <w:t>Toluca </w:t>
      </w:r>
      <w:r>
        <w:rPr>
          <w:color w:val="231F20"/>
          <w:w w:val="110"/>
        </w:rPr>
        <w:t>y por la integración del municipio de Temoaya, que tiene una población mayoritariamente</w:t>
      </w:r>
      <w:r>
        <w:rPr>
          <w:color w:val="231F20"/>
          <w:spacing w:val="-8"/>
          <w:w w:val="110"/>
        </w:rPr>
        <w:t> </w:t>
      </w:r>
      <w:r>
        <w:rPr>
          <w:color w:val="231F20"/>
          <w:w w:val="110"/>
        </w:rPr>
        <w:t>joven.</w:t>
      </w:r>
    </w:p>
    <w:p>
      <w:pPr>
        <w:pStyle w:val="BodyText"/>
        <w:spacing w:line="295" w:lineRule="auto"/>
        <w:ind w:left="144" w:right="113" w:firstLine="360"/>
        <w:jc w:val="both"/>
      </w:pPr>
      <w:r>
        <w:rPr>
          <w:color w:val="231F20"/>
          <w:w w:val="110"/>
        </w:rPr>
        <w:t>Este comportamiento es el resultado de la dinámica demográfica de </w:t>
      </w:r>
      <w:r>
        <w:rPr>
          <w:color w:val="231F20"/>
          <w:spacing w:val="2"/>
          <w:w w:val="110"/>
        </w:rPr>
        <w:t>estos centros urbanos </w:t>
      </w:r>
      <w:r>
        <w:rPr>
          <w:color w:val="231F20"/>
          <w:w w:val="110"/>
        </w:rPr>
        <w:t>y su </w:t>
      </w:r>
      <w:r>
        <w:rPr>
          <w:color w:val="231F20"/>
          <w:spacing w:val="2"/>
          <w:w w:val="110"/>
        </w:rPr>
        <w:t>marcada diferencia </w:t>
      </w:r>
      <w:r>
        <w:rPr>
          <w:color w:val="231F20"/>
          <w:w w:val="110"/>
        </w:rPr>
        <w:t>en la </w:t>
      </w:r>
      <w:r>
        <w:rPr>
          <w:color w:val="231F20"/>
          <w:spacing w:val="2"/>
          <w:w w:val="110"/>
        </w:rPr>
        <w:t>distribución </w:t>
      </w:r>
      <w:r>
        <w:rPr>
          <w:color w:val="231F20"/>
          <w:w w:val="110"/>
        </w:rPr>
        <w:t>de la población adulta </w:t>
      </w:r>
      <w:r>
        <w:rPr>
          <w:color w:val="231F20"/>
          <w:spacing w:val="-3"/>
          <w:w w:val="110"/>
        </w:rPr>
        <w:t>mayor, </w:t>
      </w:r>
      <w:r>
        <w:rPr>
          <w:color w:val="231F20"/>
          <w:w w:val="110"/>
        </w:rPr>
        <w:t>pues como lo explica Sánchez (2007) la población activa joven emigra hacia las grandes áreas urbanas, industriales y turísti- cas en busca de mejores oportunidades de empleo </w:t>
      </w:r>
      <w:r>
        <w:rPr>
          <w:color w:val="231F20"/>
          <w:spacing w:val="-9"/>
          <w:w w:val="110"/>
        </w:rPr>
        <w:t>y, </w:t>
      </w:r>
      <w:r>
        <w:rPr>
          <w:color w:val="231F20"/>
          <w:w w:val="110"/>
        </w:rPr>
        <w:t>con ello, mejorar su nivel</w:t>
      </w:r>
      <w:r>
        <w:rPr>
          <w:color w:val="231F20"/>
          <w:spacing w:val="-6"/>
          <w:w w:val="110"/>
        </w:rPr>
        <w:t> </w:t>
      </w:r>
      <w:r>
        <w:rPr>
          <w:color w:val="231F20"/>
          <w:w w:val="110"/>
        </w:rPr>
        <w:t>de</w:t>
      </w:r>
      <w:r>
        <w:rPr>
          <w:color w:val="231F20"/>
          <w:spacing w:val="-6"/>
          <w:w w:val="110"/>
        </w:rPr>
        <w:t> </w:t>
      </w:r>
      <w:r>
        <w:rPr>
          <w:color w:val="231F20"/>
          <w:w w:val="110"/>
        </w:rPr>
        <w:t>vida.</w:t>
      </w:r>
      <w:r>
        <w:rPr>
          <w:color w:val="231F20"/>
          <w:spacing w:val="-6"/>
          <w:w w:val="110"/>
        </w:rPr>
        <w:t> </w:t>
      </w:r>
      <w:r>
        <w:rPr>
          <w:color w:val="231F20"/>
          <w:w w:val="110"/>
        </w:rPr>
        <w:t>La</w:t>
      </w:r>
      <w:r>
        <w:rPr>
          <w:color w:val="231F20"/>
          <w:spacing w:val="-6"/>
          <w:w w:val="110"/>
        </w:rPr>
        <w:t> </w:t>
      </w:r>
      <w:r>
        <w:rPr>
          <w:color w:val="231F20"/>
          <w:w w:val="110"/>
        </w:rPr>
        <w:t>situación</w:t>
      </w:r>
      <w:r>
        <w:rPr>
          <w:color w:val="231F20"/>
          <w:spacing w:val="-6"/>
          <w:w w:val="110"/>
        </w:rPr>
        <w:t> </w:t>
      </w:r>
      <w:r>
        <w:rPr>
          <w:color w:val="231F20"/>
          <w:w w:val="110"/>
        </w:rPr>
        <w:t>es</w:t>
      </w:r>
      <w:r>
        <w:rPr>
          <w:color w:val="231F20"/>
          <w:spacing w:val="-6"/>
          <w:w w:val="110"/>
        </w:rPr>
        <w:t> </w:t>
      </w:r>
      <w:r>
        <w:rPr>
          <w:color w:val="231F20"/>
          <w:w w:val="110"/>
        </w:rPr>
        <w:t>tal,</w:t>
      </w:r>
      <w:r>
        <w:rPr>
          <w:color w:val="231F20"/>
          <w:spacing w:val="-6"/>
          <w:w w:val="110"/>
        </w:rPr>
        <w:t> </w:t>
      </w:r>
      <w:r>
        <w:rPr>
          <w:color w:val="231F20"/>
          <w:w w:val="110"/>
        </w:rPr>
        <w:t>que</w:t>
      </w:r>
      <w:r>
        <w:rPr>
          <w:color w:val="231F20"/>
          <w:spacing w:val="-6"/>
          <w:w w:val="110"/>
        </w:rPr>
        <w:t> </w:t>
      </w:r>
      <w:r>
        <w:rPr>
          <w:color w:val="231F20"/>
          <w:w w:val="110"/>
        </w:rPr>
        <w:t>entre</w:t>
      </w:r>
      <w:r>
        <w:rPr>
          <w:color w:val="231F20"/>
          <w:spacing w:val="-6"/>
          <w:w w:val="110"/>
        </w:rPr>
        <w:t> </w:t>
      </w:r>
      <w:r>
        <w:rPr>
          <w:color w:val="231F20"/>
          <w:w w:val="110"/>
        </w:rPr>
        <w:t>los</w:t>
      </w:r>
      <w:r>
        <w:rPr>
          <w:color w:val="231F20"/>
          <w:spacing w:val="-6"/>
          <w:w w:val="110"/>
        </w:rPr>
        <w:t> </w:t>
      </w:r>
      <w:r>
        <w:rPr>
          <w:color w:val="231F20"/>
          <w:w w:val="110"/>
        </w:rPr>
        <w:t>años</w:t>
      </w:r>
      <w:r>
        <w:rPr>
          <w:color w:val="231F20"/>
          <w:spacing w:val="-6"/>
          <w:w w:val="110"/>
        </w:rPr>
        <w:t> </w:t>
      </w:r>
      <w:r>
        <w:rPr>
          <w:color w:val="231F20"/>
          <w:w w:val="110"/>
        </w:rPr>
        <w:t>2000</w:t>
      </w:r>
      <w:r>
        <w:rPr>
          <w:color w:val="231F20"/>
          <w:spacing w:val="-6"/>
          <w:w w:val="110"/>
        </w:rPr>
        <w:t> </w:t>
      </w:r>
      <w:r>
        <w:rPr>
          <w:color w:val="231F20"/>
          <w:w w:val="110"/>
        </w:rPr>
        <w:t>y</w:t>
      </w:r>
      <w:r>
        <w:rPr>
          <w:color w:val="231F20"/>
          <w:spacing w:val="-6"/>
          <w:w w:val="110"/>
        </w:rPr>
        <w:t> </w:t>
      </w:r>
      <w:r>
        <w:rPr>
          <w:color w:val="231F20"/>
          <w:w w:val="110"/>
        </w:rPr>
        <w:t>2010</w:t>
      </w:r>
      <w:r>
        <w:rPr>
          <w:color w:val="231F20"/>
          <w:spacing w:val="-6"/>
          <w:w w:val="110"/>
        </w:rPr>
        <w:t> </w:t>
      </w:r>
      <w:r>
        <w:rPr>
          <w:color w:val="231F20"/>
          <w:w w:val="110"/>
        </w:rPr>
        <w:t>se</w:t>
      </w:r>
      <w:r>
        <w:rPr>
          <w:color w:val="231F20"/>
          <w:spacing w:val="-6"/>
          <w:w w:val="110"/>
        </w:rPr>
        <w:t> </w:t>
      </w:r>
      <w:r>
        <w:rPr>
          <w:color w:val="231F20"/>
          <w:w w:val="110"/>
        </w:rPr>
        <w:t>observó el avance del envejecimiento demográfico absoluto y relativo en las áreas urbanas. La distribución de la población adulta mayor absoluta, según el tamaño de la localidad, arroja una marcada tendencia hacia la concentra- </w:t>
      </w:r>
      <w:r>
        <w:rPr>
          <w:color w:val="231F20"/>
          <w:spacing w:val="2"/>
          <w:w w:val="110"/>
        </w:rPr>
        <w:t>ción urbana (Sánchez, 2007). </w:t>
      </w:r>
      <w:r>
        <w:rPr>
          <w:color w:val="231F20"/>
          <w:w w:val="110"/>
        </w:rPr>
        <w:t>Los  </w:t>
      </w:r>
      <w:r>
        <w:rPr>
          <w:color w:val="231F20"/>
          <w:spacing w:val="2"/>
          <w:w w:val="110"/>
        </w:rPr>
        <w:t>resultados evidencian este patrón   </w:t>
      </w:r>
      <w:r>
        <w:rPr>
          <w:color w:val="231F20"/>
          <w:spacing w:val="17"/>
          <w:w w:val="110"/>
        </w:rPr>
        <w:t> </w:t>
      </w:r>
      <w:r>
        <w:rPr>
          <w:color w:val="231F20"/>
          <w:w w:val="110"/>
        </w:rPr>
        <w:t>de</w:t>
      </w:r>
    </w:p>
    <w:p>
      <w:pPr>
        <w:spacing w:after="0" w:line="295" w:lineRule="auto"/>
        <w:jc w:val="both"/>
        <w:sectPr>
          <w:pgSz w:w="9520" w:h="12920"/>
          <w:pgMar w:header="0" w:footer="1344" w:top="880" w:bottom="1540" w:left="1300" w:right="1000"/>
        </w:sectPr>
      </w:pPr>
    </w:p>
    <w:p>
      <w:pPr>
        <w:spacing w:line="185" w:lineRule="exact" w:before="65"/>
        <w:ind w:left="457" w:right="457" w:firstLine="0"/>
        <w:jc w:val="center"/>
        <w:rPr>
          <w:sz w:val="16"/>
        </w:rPr>
      </w:pPr>
      <w:r>
        <w:rPr>
          <w:color w:val="231F20"/>
          <w:w w:val="105"/>
          <w:sz w:val="16"/>
        </w:rPr>
        <w:t>Cuadro 3</w:t>
      </w:r>
    </w:p>
    <w:p>
      <w:pPr>
        <w:spacing w:line="210" w:lineRule="exact" w:before="9"/>
        <w:ind w:left="1290" w:right="1288" w:firstLine="0"/>
        <w:jc w:val="center"/>
        <w:rPr>
          <w:sz w:val="19"/>
        </w:rPr>
      </w:pPr>
      <w:r>
        <w:rPr>
          <w:color w:val="231F20"/>
          <w:w w:val="90"/>
          <w:sz w:val="19"/>
        </w:rPr>
        <w:t>Grados de envejecimiento de las cinco zonas metropolitanas</w:t>
      </w:r>
      <w:r>
        <w:rPr>
          <w:color w:val="231F20"/>
          <w:w w:val="85"/>
          <w:sz w:val="19"/>
        </w:rPr>
        <w:t> </w:t>
      </w:r>
      <w:r>
        <w:rPr>
          <w:color w:val="231F20"/>
          <w:w w:val="90"/>
          <w:sz w:val="19"/>
        </w:rPr>
        <w:t>más grandes de México, 1990-2010</w:t>
      </w:r>
    </w:p>
    <w:p>
      <w:pPr>
        <w:pStyle w:val="BodyText"/>
        <w:spacing w:before="6"/>
        <w:rPr>
          <w:sz w:val="13"/>
        </w:rPr>
      </w:pPr>
      <w:r>
        <w:rPr/>
        <w:pict>
          <v:group style="position:absolute;margin-left:55.799999pt;margin-top:9.900045pt;width:348.5pt;height:.4pt;mso-position-horizontal-relative:page;mso-position-vertical-relative:paragraph;z-index:4840;mso-wrap-distance-left:0;mso-wrap-distance-right:0" coordorigin="1116,198" coordsize="6970,8">
            <v:line style="position:absolute" from="1120,202" to="2360,202" stroked="true" strokeweight=".4pt" strokecolor="#231f20"/>
            <v:line style="position:absolute" from="2360,202" to="2936,202" stroked="true" strokeweight=".4pt" strokecolor="#231f20"/>
            <v:line style="position:absolute" from="2936,202" to="3889,202" stroked="true" strokeweight=".4pt" strokecolor="#231f20"/>
            <v:line style="position:absolute" from="3889,202" to="4473,202" stroked="true" strokeweight=".4pt" strokecolor="#231f20"/>
            <v:line style="position:absolute" from="4473,202" to="5368,202" stroked="true" strokeweight=".4pt" strokecolor="#231f20"/>
            <v:line style="position:absolute" from="5368,202" to="6008,202" stroked="true" strokeweight=".4pt" strokecolor="#231f20"/>
            <v:line style="position:absolute" from="6008,202" to="6592,202" stroked="true" strokeweight=".4pt" strokecolor="#231f20"/>
            <v:line style="position:absolute" from="6592,202" to="7433,202" stroked="true" strokeweight=".4pt" strokecolor="#231f20"/>
            <v:line style="position:absolute" from="7433,202" to="8081,202" stroked="true" strokeweight=".4pt" strokecolor="#231f20"/>
            <w10:wrap type="topAndBottom"/>
          </v:group>
        </w:pict>
      </w:r>
    </w:p>
    <w:p>
      <w:pPr>
        <w:spacing w:after="0"/>
        <w:rPr>
          <w:sz w:val="13"/>
        </w:rPr>
        <w:sectPr>
          <w:footerReference w:type="even" r:id="rId185"/>
          <w:footerReference w:type="default" r:id="rId186"/>
          <w:pgSz w:w="9520" w:h="12920"/>
          <w:pgMar w:footer="1344" w:header="0" w:top="880" w:bottom="1540" w:left="1000" w:right="1320"/>
        </w:sectPr>
      </w:pPr>
    </w:p>
    <w:p>
      <w:pPr>
        <w:pStyle w:val="BodyText"/>
        <w:spacing w:before="9"/>
        <w:rPr>
          <w:sz w:val="19"/>
        </w:rPr>
      </w:pPr>
    </w:p>
    <w:p>
      <w:pPr>
        <w:spacing w:line="242" w:lineRule="auto" w:before="0"/>
        <w:ind w:left="245" w:right="0" w:firstLine="314"/>
        <w:jc w:val="left"/>
        <w:rPr>
          <w:i/>
          <w:sz w:val="16"/>
        </w:rPr>
      </w:pPr>
      <w:r>
        <w:rPr>
          <w:i/>
          <w:color w:val="231F20"/>
          <w:w w:val="105"/>
          <w:sz w:val="16"/>
        </w:rPr>
        <w:t>Zona </w:t>
      </w:r>
      <w:r>
        <w:rPr>
          <w:i/>
          <w:color w:val="231F20"/>
          <w:sz w:val="16"/>
        </w:rPr>
        <w:t>Metropolitana</w:t>
      </w:r>
    </w:p>
    <w:p>
      <w:pPr>
        <w:tabs>
          <w:tab w:pos="2500" w:val="left" w:leader="none"/>
          <w:tab w:pos="4590" w:val="left" w:leader="none"/>
        </w:tabs>
        <w:spacing w:before="49"/>
        <w:ind w:left="670" w:right="0" w:firstLine="0"/>
        <w:jc w:val="left"/>
        <w:rPr>
          <w:i/>
          <w:sz w:val="17"/>
        </w:rPr>
      </w:pPr>
      <w:r>
        <w:rPr/>
        <w:br w:type="column"/>
      </w:r>
      <w:r>
        <w:rPr>
          <w:i/>
          <w:color w:val="231F20"/>
          <w:sz w:val="17"/>
        </w:rPr>
        <w:t>1990</w:t>
        <w:tab/>
        <w:t>2000</w:t>
        <w:tab/>
        <w:t>2010</w:t>
      </w:r>
    </w:p>
    <w:p>
      <w:pPr>
        <w:pStyle w:val="BodyText"/>
        <w:spacing w:line="173" w:lineRule="exact"/>
        <w:ind w:left="73"/>
        <w:rPr>
          <w:sz w:val="17"/>
        </w:rPr>
      </w:pPr>
      <w:r>
        <w:rPr>
          <w:position w:val="-2"/>
          <w:sz w:val="17"/>
        </w:rPr>
        <w:pict>
          <v:group style="width:286.5pt;height:8.65pt;mso-position-horizontal-relative:char;mso-position-vertical-relative:line" coordorigin="0,0" coordsize="5730,173">
            <v:line style="position:absolute" from="4,91" to="580,91" stroked="true" strokeweight=".4pt" strokecolor="#231f20"/>
            <v:line style="position:absolute" from="580,91" to="1533,91" stroked="true" strokeweight=".4pt" strokecolor="#231f20"/>
            <v:line style="position:absolute" from="1533,91" to="2117,91" stroked="true" strokeweight=".4pt" strokecolor="#231f20"/>
            <v:line style="position:absolute" from="2117,91" to="3012,91" stroked="true" strokeweight=".4pt" strokecolor="#231f20"/>
            <v:line style="position:absolute" from="3012,91" to="3652,91" stroked="true" strokeweight=".4pt" strokecolor="#231f20"/>
            <v:line style="position:absolute" from="3652,91" to="4236,91" stroked="true" strokeweight=".4pt" strokecolor="#231f20"/>
            <v:line style="position:absolute" from="4236,91" to="5077,91" stroked="true" strokeweight=".4pt" strokecolor="#231f20"/>
            <v:line style="position:absolute" from="5077,91" to="5725,91" stroked="true" strokeweight=".4pt" strokecolor="#231f20"/>
            <v:line style="position:absolute" from="1535,20" to="1535,152" stroked="true" strokeweight="2.0230pt" strokecolor="#ffffff"/>
            <v:line style="position:absolute" from="3632,20" to="3632,152" stroked="true" strokeweight="2.0230pt" strokecolor="#ffffff"/>
          </v:group>
        </w:pict>
      </w:r>
      <w:r>
        <w:rPr>
          <w:position w:val="-2"/>
          <w:sz w:val="17"/>
        </w:rPr>
      </w:r>
    </w:p>
    <w:p>
      <w:pPr>
        <w:spacing w:before="0"/>
        <w:ind w:left="161" w:right="0" w:firstLine="0"/>
        <w:jc w:val="left"/>
        <w:rPr>
          <w:i/>
          <w:sz w:val="16"/>
        </w:rPr>
      </w:pPr>
      <w:r>
        <w:rPr>
          <w:i/>
          <w:color w:val="231F20"/>
          <w:w w:val="110"/>
          <w:sz w:val="16"/>
        </w:rPr>
        <w:t>Joven    En proceso    Joven    En proceso    Medio     Joven   En proceso  Medio</w:t>
      </w:r>
    </w:p>
    <w:p>
      <w:pPr>
        <w:spacing w:after="0"/>
        <w:jc w:val="left"/>
        <w:rPr>
          <w:sz w:val="16"/>
        </w:rPr>
        <w:sectPr>
          <w:type w:val="continuous"/>
          <w:pgSz w:w="9520" w:h="12920"/>
          <w:pgMar w:top="0" w:bottom="0" w:left="1000" w:right="1320"/>
          <w:cols w:num="2" w:equalWidth="0">
            <w:col w:w="1243" w:space="40"/>
            <w:col w:w="5917"/>
          </w:cols>
        </w:sectPr>
      </w:pPr>
    </w:p>
    <w:p>
      <w:pPr>
        <w:pStyle w:val="BodyText"/>
        <w:spacing w:before="5"/>
        <w:rPr>
          <w:i/>
          <w:sz w:val="6"/>
        </w:rPr>
      </w:pPr>
    </w:p>
    <w:p>
      <w:pPr>
        <w:pStyle w:val="BodyText"/>
        <w:spacing w:line="20" w:lineRule="exact"/>
        <w:ind w:left="116"/>
        <w:rPr>
          <w:sz w:val="2"/>
        </w:rPr>
      </w:pPr>
      <w:r>
        <w:rPr>
          <w:sz w:val="2"/>
        </w:rPr>
        <w:pict>
          <v:group style="width:348.5pt;height:.4pt;mso-position-horizontal-relative:char;mso-position-vertical-relative:line" coordorigin="0,0" coordsize="6970,8">
            <v:line style="position:absolute" from="4,4" to="1244,4" stroked="true" strokeweight=".4pt" strokecolor="#231f20"/>
            <v:line style="position:absolute" from="1244,4" to="1820,4" stroked="true" strokeweight=".4pt" strokecolor="#231f20"/>
            <v:line style="position:absolute" from="1820,4" to="2773,4" stroked="true" strokeweight=".4pt" strokecolor="#231f20"/>
            <v:line style="position:absolute" from="2773,4" to="3357,4" stroked="true" strokeweight=".4pt" strokecolor="#231f20"/>
            <v:line style="position:absolute" from="3357,4" to="4252,4" stroked="true" strokeweight=".4pt" strokecolor="#231f20"/>
            <v:line style="position:absolute" from="4252,4" to="4892,4" stroked="true" strokeweight=".4pt" strokecolor="#231f20"/>
            <v:line style="position:absolute" from="4892,4" to="5476,4" stroked="true" strokeweight=".4pt" strokecolor="#231f20"/>
            <v:line style="position:absolute" from="5476,4" to="6317,4" stroked="true" strokeweight=".4pt" strokecolor="#231f20"/>
            <v:line style="position:absolute" from="6317,4" to="6965,4" stroked="true" strokeweight=".4pt" strokecolor="#231f20"/>
          </v:group>
        </w:pict>
      </w:r>
      <w:r>
        <w:rPr>
          <w:sz w:val="2"/>
        </w:rPr>
      </w:r>
    </w:p>
    <w:p>
      <w:pPr>
        <w:tabs>
          <w:tab w:pos="3873" w:val="left" w:leader="none"/>
          <w:tab w:pos="5965" w:val="left" w:leader="none"/>
        </w:tabs>
        <w:spacing w:before="34"/>
        <w:ind w:left="119" w:right="0" w:firstLine="0"/>
        <w:jc w:val="both"/>
        <w:rPr>
          <w:sz w:val="16"/>
        </w:rPr>
      </w:pPr>
      <w:r>
        <w:rPr>
          <w:color w:val="231F20"/>
          <w:spacing w:val="-4"/>
          <w:w w:val="120"/>
          <w:sz w:val="16"/>
        </w:rPr>
        <w:t>Valle </w:t>
      </w:r>
      <w:r>
        <w:rPr>
          <w:color w:val="231F20"/>
          <w:w w:val="120"/>
          <w:sz w:val="16"/>
        </w:rPr>
        <w:t>de México    </w:t>
      </w:r>
      <w:r>
        <w:rPr>
          <w:color w:val="231F20"/>
          <w:spacing w:val="41"/>
          <w:w w:val="120"/>
          <w:sz w:val="16"/>
        </w:rPr>
        <w:t> </w:t>
      </w:r>
      <w:r>
        <w:rPr>
          <w:color w:val="231F20"/>
          <w:w w:val="120"/>
          <w:sz w:val="16"/>
        </w:rPr>
        <w:t>•</w:t>
        <w:tab/>
        <w:t>•</w:t>
        <w:tab/>
        <w:t>•</w:t>
      </w:r>
    </w:p>
    <w:p>
      <w:pPr>
        <w:tabs>
          <w:tab w:pos="1600" w:val="left" w:leader="none"/>
          <w:tab w:pos="3873" w:val="left" w:leader="none"/>
          <w:tab w:pos="5965" w:val="left" w:leader="none"/>
        </w:tabs>
        <w:spacing w:before="14"/>
        <w:ind w:left="119" w:right="0" w:firstLine="0"/>
        <w:jc w:val="both"/>
        <w:rPr>
          <w:sz w:val="16"/>
        </w:rPr>
      </w:pPr>
      <w:r>
        <w:rPr>
          <w:color w:val="231F20"/>
          <w:w w:val="115"/>
          <w:sz w:val="16"/>
        </w:rPr>
        <w:t>Guadalajara</w:t>
        <w:tab/>
      </w:r>
      <w:r>
        <w:rPr>
          <w:color w:val="231F20"/>
          <w:w w:val="125"/>
          <w:sz w:val="16"/>
        </w:rPr>
        <w:t>•</w:t>
        <w:tab/>
        <w:t>•</w:t>
        <w:tab/>
        <w:t>•</w:t>
      </w:r>
    </w:p>
    <w:p>
      <w:pPr>
        <w:tabs>
          <w:tab w:pos="1600" w:val="left" w:leader="none"/>
          <w:tab w:pos="3873" w:val="left" w:leader="none"/>
          <w:tab w:pos="5965" w:val="left" w:leader="none"/>
        </w:tabs>
        <w:spacing w:before="14"/>
        <w:ind w:left="119" w:right="0" w:firstLine="0"/>
        <w:jc w:val="both"/>
        <w:rPr>
          <w:sz w:val="16"/>
        </w:rPr>
      </w:pPr>
      <w:r>
        <w:rPr>
          <w:color w:val="231F20"/>
          <w:w w:val="115"/>
          <w:sz w:val="16"/>
        </w:rPr>
        <w:t>Monterrey</w:t>
        <w:tab/>
      </w:r>
      <w:r>
        <w:rPr>
          <w:color w:val="231F20"/>
          <w:w w:val="120"/>
          <w:sz w:val="16"/>
        </w:rPr>
        <w:t>•</w:t>
        <w:tab/>
        <w:t>•</w:t>
        <w:tab/>
        <w:t>•</w:t>
      </w:r>
    </w:p>
    <w:p>
      <w:pPr>
        <w:tabs>
          <w:tab w:pos="3873" w:val="left" w:leader="none"/>
          <w:tab w:pos="5965" w:val="left" w:leader="none"/>
        </w:tabs>
        <w:spacing w:before="14"/>
        <w:ind w:left="119" w:right="0" w:firstLine="0"/>
        <w:jc w:val="both"/>
        <w:rPr>
          <w:sz w:val="16"/>
        </w:rPr>
      </w:pPr>
      <w:r>
        <w:rPr>
          <w:color w:val="231F20"/>
          <w:w w:val="120"/>
          <w:sz w:val="16"/>
        </w:rPr>
        <w:t>Puebla-Tlaxcala    </w:t>
      </w:r>
      <w:r>
        <w:rPr>
          <w:color w:val="231F20"/>
          <w:spacing w:val="8"/>
          <w:w w:val="120"/>
          <w:sz w:val="16"/>
        </w:rPr>
        <w:t> </w:t>
      </w:r>
      <w:r>
        <w:rPr>
          <w:color w:val="231F20"/>
          <w:w w:val="120"/>
          <w:sz w:val="16"/>
        </w:rPr>
        <w:t>•</w:t>
        <w:tab/>
        <w:t>•</w:t>
        <w:tab/>
        <w:t>•</w:t>
      </w:r>
    </w:p>
    <w:p>
      <w:pPr>
        <w:tabs>
          <w:tab w:pos="1600" w:val="left" w:leader="none"/>
          <w:tab w:pos="3873" w:val="left" w:leader="none"/>
          <w:tab w:pos="5252" w:val="left" w:leader="none"/>
        </w:tabs>
        <w:spacing w:before="14"/>
        <w:ind w:left="119" w:right="0" w:firstLine="0"/>
        <w:jc w:val="both"/>
        <w:rPr>
          <w:sz w:val="16"/>
        </w:rPr>
      </w:pPr>
      <w:r>
        <w:rPr/>
        <w:pict>
          <v:group style="position:absolute;margin-left:55.799999pt;margin-top:14.101389pt;width:348.5pt;height:.4pt;mso-position-horizontal-relative:page;mso-position-vertical-relative:paragraph;z-index:4912;mso-wrap-distance-left:0;mso-wrap-distance-right:0" coordorigin="1116,282" coordsize="6970,8">
            <v:line style="position:absolute" from="1120,286" to="2360,286" stroked="true" strokeweight=".4pt" strokecolor="#231f20"/>
            <v:line style="position:absolute" from="2360,286" to="2936,286" stroked="true" strokeweight=".4pt" strokecolor="#231f20"/>
            <v:line style="position:absolute" from="2936,286" to="3889,286" stroked="true" strokeweight=".4pt" strokecolor="#231f20"/>
            <v:line style="position:absolute" from="3889,286" to="4473,286" stroked="true" strokeweight=".4pt" strokecolor="#231f20"/>
            <v:line style="position:absolute" from="4473,286" to="5368,286" stroked="true" strokeweight=".4pt" strokecolor="#231f20"/>
            <v:line style="position:absolute" from="5368,286" to="6008,286" stroked="true" strokeweight=".4pt" strokecolor="#231f20"/>
            <v:line style="position:absolute" from="6008,286" to="6592,286" stroked="true" strokeweight=".4pt" strokecolor="#231f20"/>
            <v:line style="position:absolute" from="6592,286" to="7433,286" stroked="true" strokeweight=".4pt" strokecolor="#231f20"/>
            <v:line style="position:absolute" from="7433,286" to="8081,286" stroked="true" strokeweight=".4pt" strokecolor="#231f20"/>
            <w10:wrap type="topAndBottom"/>
          </v:group>
        </w:pict>
      </w:r>
      <w:r>
        <w:rPr>
          <w:color w:val="231F20"/>
          <w:spacing w:val="-3"/>
          <w:w w:val="120"/>
          <w:sz w:val="16"/>
        </w:rPr>
        <w:t>Toluca</w:t>
        <w:tab/>
      </w:r>
      <w:r>
        <w:rPr>
          <w:color w:val="231F20"/>
          <w:w w:val="125"/>
          <w:sz w:val="16"/>
        </w:rPr>
        <w:t>•</w:t>
        <w:tab/>
        <w:t>•</w:t>
        <w:tab/>
        <w:t>•</w:t>
      </w:r>
    </w:p>
    <w:p>
      <w:pPr>
        <w:spacing w:line="170" w:lineRule="exact" w:before="45"/>
        <w:ind w:left="120" w:right="118" w:firstLine="360"/>
        <w:jc w:val="both"/>
        <w:rPr>
          <w:sz w:val="15"/>
        </w:rPr>
      </w:pPr>
      <w:r>
        <w:rPr>
          <w:color w:val="231F20"/>
          <w:w w:val="110"/>
          <w:sz w:val="15"/>
        </w:rPr>
        <w:t>Fuente: Elaboración propia con datos del XI y XII Censos de Población y Vivienda, II Conteos de Población, </w:t>
      </w:r>
      <w:r>
        <w:rPr>
          <w:rFonts w:ascii="Times New Roman" w:hAnsi="Times New Roman"/>
          <w:color w:val="231F20"/>
          <w:w w:val="110"/>
          <w:sz w:val="12"/>
        </w:rPr>
        <w:t>INEGI</w:t>
      </w:r>
      <w:r>
        <w:rPr>
          <w:color w:val="231F20"/>
          <w:w w:val="110"/>
          <w:sz w:val="15"/>
        </w:rPr>
        <w:t>, 1990, 2001 y 2011.</w:t>
      </w:r>
    </w:p>
    <w:p>
      <w:pPr>
        <w:pStyle w:val="BodyText"/>
        <w:rPr>
          <w:sz w:val="14"/>
        </w:rPr>
      </w:pPr>
    </w:p>
    <w:p>
      <w:pPr>
        <w:pStyle w:val="BodyText"/>
        <w:spacing w:before="11"/>
        <w:rPr>
          <w:sz w:val="14"/>
        </w:rPr>
      </w:pPr>
    </w:p>
    <w:p>
      <w:pPr>
        <w:pStyle w:val="BodyText"/>
        <w:spacing w:line="288" w:lineRule="auto"/>
        <w:ind w:left="120" w:right="117"/>
        <w:jc w:val="both"/>
      </w:pPr>
      <w:r>
        <w:rPr>
          <w:color w:val="231F20"/>
          <w:w w:val="110"/>
        </w:rPr>
        <w:t>concentración</w:t>
      </w:r>
      <w:r>
        <w:rPr>
          <w:color w:val="231F20"/>
          <w:spacing w:val="-8"/>
          <w:w w:val="110"/>
        </w:rPr>
        <w:t> </w:t>
      </w:r>
      <w:r>
        <w:rPr>
          <w:color w:val="231F20"/>
          <w:w w:val="110"/>
        </w:rPr>
        <w:t>en</w:t>
      </w:r>
      <w:r>
        <w:rPr>
          <w:color w:val="231F20"/>
          <w:spacing w:val="-8"/>
          <w:w w:val="110"/>
        </w:rPr>
        <w:t> </w:t>
      </w:r>
      <w:r>
        <w:rPr>
          <w:color w:val="231F20"/>
          <w:w w:val="110"/>
        </w:rPr>
        <w:t>las</w:t>
      </w:r>
      <w:r>
        <w:rPr>
          <w:color w:val="231F20"/>
          <w:spacing w:val="-8"/>
          <w:w w:val="110"/>
        </w:rPr>
        <w:t> </w:t>
      </w:r>
      <w:r>
        <w:rPr>
          <w:rFonts w:ascii="Times New Roman" w:hAnsi="Times New Roman"/>
          <w:color w:val="231F20"/>
          <w:w w:val="110"/>
          <w:sz w:val="16"/>
        </w:rPr>
        <w:t>ZM</w:t>
      </w:r>
      <w:r>
        <w:rPr>
          <w:color w:val="231F20"/>
          <w:w w:val="110"/>
        </w:rPr>
        <w:t>,</w:t>
      </w:r>
      <w:r>
        <w:rPr>
          <w:color w:val="231F20"/>
          <w:spacing w:val="-8"/>
          <w:w w:val="110"/>
        </w:rPr>
        <w:t> </w:t>
      </w:r>
      <w:r>
        <w:rPr>
          <w:color w:val="231F20"/>
          <w:w w:val="110"/>
        </w:rPr>
        <w:t>pues</w:t>
      </w:r>
      <w:r>
        <w:rPr>
          <w:color w:val="231F20"/>
          <w:spacing w:val="-8"/>
          <w:w w:val="110"/>
        </w:rPr>
        <w:t> </w:t>
      </w:r>
      <w:r>
        <w:rPr>
          <w:color w:val="231F20"/>
          <w:w w:val="110"/>
        </w:rPr>
        <w:t>en</w:t>
      </w:r>
      <w:r>
        <w:rPr>
          <w:color w:val="231F20"/>
          <w:spacing w:val="-8"/>
          <w:w w:val="110"/>
        </w:rPr>
        <w:t> </w:t>
      </w:r>
      <w:r>
        <w:rPr>
          <w:color w:val="231F20"/>
          <w:w w:val="110"/>
        </w:rPr>
        <w:t>1990</w:t>
      </w:r>
      <w:r>
        <w:rPr>
          <w:color w:val="231F20"/>
          <w:spacing w:val="-8"/>
          <w:w w:val="110"/>
        </w:rPr>
        <w:t> </w:t>
      </w:r>
      <w:r>
        <w:rPr>
          <w:color w:val="231F20"/>
          <w:w w:val="110"/>
        </w:rPr>
        <w:t>las</w:t>
      </w:r>
      <w:r>
        <w:rPr>
          <w:color w:val="231F20"/>
          <w:spacing w:val="-8"/>
          <w:w w:val="110"/>
        </w:rPr>
        <w:t> </w:t>
      </w:r>
      <w:r>
        <w:rPr>
          <w:color w:val="231F20"/>
          <w:w w:val="110"/>
        </w:rPr>
        <w:t>cinco</w:t>
      </w:r>
      <w:r>
        <w:rPr>
          <w:color w:val="231F20"/>
          <w:spacing w:val="-8"/>
          <w:w w:val="110"/>
        </w:rPr>
        <w:t> </w:t>
      </w:r>
      <w:r>
        <w:rPr>
          <w:rFonts w:ascii="Times New Roman" w:hAnsi="Times New Roman"/>
          <w:color w:val="231F20"/>
          <w:w w:val="110"/>
          <w:sz w:val="16"/>
        </w:rPr>
        <w:t>ZM</w:t>
      </w:r>
      <w:r>
        <w:rPr>
          <w:rFonts w:ascii="Times New Roman" w:hAnsi="Times New Roman"/>
          <w:color w:val="231F20"/>
          <w:spacing w:val="-4"/>
          <w:w w:val="110"/>
          <w:sz w:val="16"/>
        </w:rPr>
        <w:t> </w:t>
      </w:r>
      <w:r>
        <w:rPr>
          <w:color w:val="231F20"/>
          <w:w w:val="110"/>
        </w:rPr>
        <w:t>más</w:t>
      </w:r>
      <w:r>
        <w:rPr>
          <w:color w:val="231F20"/>
          <w:spacing w:val="-8"/>
          <w:w w:val="110"/>
        </w:rPr>
        <w:t> </w:t>
      </w:r>
      <w:r>
        <w:rPr>
          <w:color w:val="231F20"/>
          <w:w w:val="110"/>
        </w:rPr>
        <w:t>grandes</w:t>
      </w:r>
      <w:r>
        <w:rPr>
          <w:color w:val="231F20"/>
          <w:spacing w:val="-8"/>
          <w:w w:val="110"/>
        </w:rPr>
        <w:t> </w:t>
      </w:r>
      <w:r>
        <w:rPr>
          <w:color w:val="231F20"/>
          <w:w w:val="110"/>
        </w:rPr>
        <w:t>concentra- ban</w:t>
      </w:r>
      <w:r>
        <w:rPr>
          <w:color w:val="231F20"/>
          <w:spacing w:val="-14"/>
          <w:w w:val="110"/>
        </w:rPr>
        <w:t> </w:t>
      </w:r>
      <w:r>
        <w:rPr>
          <w:color w:val="231F20"/>
          <w:w w:val="110"/>
        </w:rPr>
        <w:t>56.6</w:t>
      </w:r>
      <w:r>
        <w:rPr>
          <w:color w:val="231F20"/>
          <w:spacing w:val="-14"/>
          <w:w w:val="110"/>
        </w:rPr>
        <w:t> </w:t>
      </w:r>
      <w:r>
        <w:rPr>
          <w:color w:val="231F20"/>
          <w:w w:val="110"/>
        </w:rPr>
        <w:t>por</w:t>
      </w:r>
      <w:r>
        <w:rPr>
          <w:color w:val="231F20"/>
          <w:spacing w:val="-14"/>
          <w:w w:val="110"/>
        </w:rPr>
        <w:t> </w:t>
      </w:r>
      <w:r>
        <w:rPr>
          <w:color w:val="231F20"/>
          <w:w w:val="110"/>
        </w:rPr>
        <w:t>ciento</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población</w:t>
      </w:r>
      <w:r>
        <w:rPr>
          <w:color w:val="231F20"/>
          <w:spacing w:val="-14"/>
          <w:w w:val="110"/>
        </w:rPr>
        <w:t> </w:t>
      </w:r>
      <w:r>
        <w:rPr>
          <w:color w:val="231F20"/>
          <w:w w:val="110"/>
        </w:rPr>
        <w:t>metropolitana</w:t>
      </w:r>
      <w:r>
        <w:rPr>
          <w:color w:val="231F20"/>
          <w:spacing w:val="-14"/>
          <w:w w:val="110"/>
        </w:rPr>
        <w:t> </w:t>
      </w:r>
      <w:r>
        <w:rPr>
          <w:color w:val="231F20"/>
          <w:w w:val="110"/>
        </w:rPr>
        <w:t>(23.9</w:t>
      </w:r>
      <w:r>
        <w:rPr>
          <w:color w:val="231F20"/>
          <w:spacing w:val="-14"/>
          <w:w w:val="110"/>
        </w:rPr>
        <w:t> </w:t>
      </w:r>
      <w:r>
        <w:rPr>
          <w:color w:val="231F20"/>
          <w:w w:val="110"/>
        </w:rPr>
        <w:t>millones),</w:t>
      </w:r>
      <w:r>
        <w:rPr>
          <w:color w:val="231F20"/>
          <w:spacing w:val="-14"/>
          <w:w w:val="110"/>
        </w:rPr>
        <w:t> </w:t>
      </w:r>
      <w:r>
        <w:rPr>
          <w:color w:val="231F20"/>
          <w:w w:val="110"/>
        </w:rPr>
        <w:t>mientras que en el año 2010, estas </w:t>
      </w:r>
      <w:r>
        <w:rPr>
          <w:rFonts w:ascii="Times New Roman" w:hAnsi="Times New Roman"/>
          <w:color w:val="231F20"/>
          <w:w w:val="110"/>
          <w:sz w:val="16"/>
        </w:rPr>
        <w:t>ZM </w:t>
      </w:r>
      <w:r>
        <w:rPr>
          <w:color w:val="231F20"/>
          <w:w w:val="110"/>
        </w:rPr>
        <w:t>grandes albergaban 52.9 por ciento de la po- blación</w:t>
      </w:r>
      <w:r>
        <w:rPr>
          <w:color w:val="231F20"/>
          <w:spacing w:val="-4"/>
          <w:w w:val="110"/>
        </w:rPr>
        <w:t> </w:t>
      </w:r>
      <w:r>
        <w:rPr>
          <w:color w:val="231F20"/>
          <w:w w:val="110"/>
        </w:rPr>
        <w:t>urbana</w:t>
      </w:r>
      <w:r>
        <w:rPr>
          <w:color w:val="231F20"/>
          <w:spacing w:val="-4"/>
          <w:w w:val="110"/>
        </w:rPr>
        <w:t> </w:t>
      </w:r>
      <w:r>
        <w:rPr>
          <w:color w:val="231F20"/>
          <w:w w:val="110"/>
        </w:rPr>
        <w:t>(33.1</w:t>
      </w:r>
      <w:r>
        <w:rPr>
          <w:color w:val="231F20"/>
          <w:spacing w:val="-4"/>
          <w:w w:val="110"/>
        </w:rPr>
        <w:t> </w:t>
      </w:r>
      <w:r>
        <w:rPr>
          <w:color w:val="231F20"/>
          <w:w w:val="110"/>
        </w:rPr>
        <w:t>millones),</w:t>
      </w:r>
      <w:r>
        <w:rPr>
          <w:color w:val="231F20"/>
          <w:spacing w:val="-4"/>
          <w:w w:val="110"/>
        </w:rPr>
        <w:t> </w:t>
      </w:r>
      <w:r>
        <w:rPr>
          <w:color w:val="231F20"/>
          <w:w w:val="110"/>
        </w:rPr>
        <w:t>lo</w:t>
      </w:r>
      <w:r>
        <w:rPr>
          <w:color w:val="231F20"/>
          <w:spacing w:val="-4"/>
          <w:w w:val="110"/>
        </w:rPr>
        <w:t> </w:t>
      </w:r>
      <w:r>
        <w:rPr>
          <w:color w:val="231F20"/>
          <w:w w:val="110"/>
        </w:rPr>
        <w:t>que</w:t>
      </w:r>
      <w:r>
        <w:rPr>
          <w:color w:val="231F20"/>
          <w:spacing w:val="-4"/>
          <w:w w:val="110"/>
        </w:rPr>
        <w:t> </w:t>
      </w:r>
      <w:r>
        <w:rPr>
          <w:color w:val="231F20"/>
          <w:w w:val="110"/>
        </w:rPr>
        <w:t>significa</w:t>
      </w:r>
      <w:r>
        <w:rPr>
          <w:color w:val="231F20"/>
          <w:spacing w:val="-4"/>
          <w:w w:val="110"/>
        </w:rPr>
        <w:t> </w:t>
      </w:r>
      <w:r>
        <w:rPr>
          <w:color w:val="231F20"/>
          <w:w w:val="110"/>
        </w:rPr>
        <w:t>que</w:t>
      </w:r>
      <w:r>
        <w:rPr>
          <w:color w:val="231F20"/>
          <w:spacing w:val="-4"/>
          <w:w w:val="110"/>
        </w:rPr>
        <w:t> </w:t>
      </w:r>
      <w:r>
        <w:rPr>
          <w:color w:val="231F20"/>
          <w:w w:val="110"/>
        </w:rPr>
        <w:t>se</w:t>
      </w:r>
      <w:r>
        <w:rPr>
          <w:color w:val="231F20"/>
          <w:spacing w:val="-4"/>
          <w:w w:val="110"/>
        </w:rPr>
        <w:t> </w:t>
      </w:r>
      <w:r>
        <w:rPr>
          <w:color w:val="231F20"/>
          <w:w w:val="110"/>
        </w:rPr>
        <w:t>registró</w:t>
      </w:r>
      <w:r>
        <w:rPr>
          <w:color w:val="231F20"/>
          <w:spacing w:val="-4"/>
          <w:w w:val="110"/>
        </w:rPr>
        <w:t> </w:t>
      </w:r>
      <w:r>
        <w:rPr>
          <w:color w:val="231F20"/>
          <w:w w:val="110"/>
        </w:rPr>
        <w:t>un</w:t>
      </w:r>
      <w:r>
        <w:rPr>
          <w:color w:val="231F20"/>
          <w:spacing w:val="-4"/>
          <w:w w:val="110"/>
        </w:rPr>
        <w:t> </w:t>
      </w:r>
      <w:r>
        <w:rPr>
          <w:color w:val="231F20"/>
          <w:w w:val="110"/>
        </w:rPr>
        <w:t>aumento de más de 9.2 millones de personas en los centros urbanos más importan- tes del país durante los 20 años de </w:t>
      </w:r>
      <w:r>
        <w:rPr>
          <w:color w:val="231F20"/>
          <w:spacing w:val="4"/>
          <w:w w:val="110"/>
        </w:rPr>
        <w:t> </w:t>
      </w:r>
      <w:r>
        <w:rPr>
          <w:color w:val="231F20"/>
          <w:w w:val="110"/>
        </w:rPr>
        <w:t>referencia.</w:t>
      </w:r>
    </w:p>
    <w:p>
      <w:pPr>
        <w:pStyle w:val="BodyText"/>
      </w:pPr>
    </w:p>
    <w:p>
      <w:pPr>
        <w:pStyle w:val="BodyText"/>
        <w:spacing w:before="10"/>
        <w:rPr>
          <w:sz w:val="24"/>
        </w:rPr>
      </w:pPr>
    </w:p>
    <w:p>
      <w:pPr>
        <w:spacing w:before="0"/>
        <w:ind w:left="120" w:right="0" w:firstLine="0"/>
        <w:jc w:val="both"/>
        <w:rPr>
          <w:rFonts w:ascii="Times New Roman" w:hAnsi="Times New Roman"/>
          <w:i/>
          <w:sz w:val="19"/>
        </w:rPr>
      </w:pPr>
      <w:r>
        <w:rPr>
          <w:rFonts w:ascii="Times New Roman" w:hAnsi="Times New Roman"/>
          <w:i/>
          <w:color w:val="231F20"/>
          <w:sz w:val="24"/>
        </w:rPr>
        <w:t>M</w:t>
      </w:r>
      <w:r>
        <w:rPr>
          <w:rFonts w:ascii="Times New Roman" w:hAnsi="Times New Roman"/>
          <w:i/>
          <w:color w:val="231F20"/>
          <w:sz w:val="19"/>
        </w:rPr>
        <w:t>ARGINACIÓN EN LAS ZONAS METROPOLITANAS</w:t>
      </w:r>
    </w:p>
    <w:p>
      <w:pPr>
        <w:pStyle w:val="BodyText"/>
        <w:spacing w:before="9"/>
        <w:rPr>
          <w:rFonts w:ascii="Times New Roman"/>
          <w:i/>
          <w:sz w:val="27"/>
        </w:rPr>
      </w:pPr>
    </w:p>
    <w:p>
      <w:pPr>
        <w:pStyle w:val="BodyText"/>
        <w:spacing w:line="288" w:lineRule="auto"/>
        <w:ind w:left="119" w:right="117"/>
        <w:jc w:val="both"/>
      </w:pPr>
      <w:r>
        <w:rPr>
          <w:color w:val="231F20"/>
          <w:w w:val="105"/>
        </w:rPr>
        <w:t>Los grados de marginación metropolitana se construyeron a partir de los nueve indicadores socioeconómicos utilizados por Conapo (1994, 2002 y 2008) a nivel municipal y recalculados para la integración de las cinco zonas metropolitanas</w:t>
      </w:r>
      <w:r>
        <w:rPr>
          <w:color w:val="231F20"/>
          <w:w w:val="105"/>
          <w:position w:val="6"/>
          <w:sz w:val="11"/>
        </w:rPr>
        <w:t>11 </w:t>
      </w:r>
      <w:r>
        <w:rPr>
          <w:color w:val="231F20"/>
          <w:w w:val="105"/>
        </w:rPr>
        <w:t>que concentran 149 municipios de seis  estados,  y  agru- pan</w:t>
      </w:r>
      <w:r>
        <w:rPr>
          <w:color w:val="231F20"/>
          <w:spacing w:val="30"/>
          <w:w w:val="105"/>
        </w:rPr>
        <w:t> </w:t>
      </w:r>
      <w:r>
        <w:rPr>
          <w:color w:val="231F20"/>
          <w:w w:val="105"/>
        </w:rPr>
        <w:t>29.5</w:t>
      </w:r>
      <w:r>
        <w:rPr>
          <w:color w:val="231F20"/>
          <w:spacing w:val="30"/>
          <w:w w:val="105"/>
        </w:rPr>
        <w:t> </w:t>
      </w:r>
      <w:r>
        <w:rPr>
          <w:color w:val="231F20"/>
          <w:w w:val="105"/>
        </w:rPr>
        <w:t>por</w:t>
      </w:r>
      <w:r>
        <w:rPr>
          <w:color w:val="231F20"/>
          <w:spacing w:val="30"/>
          <w:w w:val="105"/>
        </w:rPr>
        <w:t> </w:t>
      </w:r>
      <w:r>
        <w:rPr>
          <w:color w:val="231F20"/>
          <w:w w:val="105"/>
        </w:rPr>
        <w:t>ciento</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población</w:t>
      </w:r>
      <w:r>
        <w:rPr>
          <w:color w:val="231F20"/>
          <w:spacing w:val="30"/>
          <w:w w:val="105"/>
        </w:rPr>
        <w:t> </w:t>
      </w:r>
      <w:r>
        <w:rPr>
          <w:color w:val="231F20"/>
          <w:w w:val="105"/>
        </w:rPr>
        <w:t>nacional.</w:t>
      </w:r>
    </w:p>
    <w:p>
      <w:pPr>
        <w:pStyle w:val="BodyText"/>
        <w:spacing w:line="288" w:lineRule="auto"/>
        <w:ind w:left="119" w:right="117" w:firstLine="360"/>
        <w:jc w:val="both"/>
      </w:pPr>
      <w:r>
        <w:rPr>
          <w:color w:val="231F20"/>
          <w:w w:val="110"/>
        </w:rPr>
        <w:t>Los grados de marginación se clasificaron en cinco estratos: muy alto, alto, medio, bajo y muy bajo, a partir del grado de atraso en el bienestar socioeconómico de la población en cada una de las zonas   metropolitanas.</w:t>
      </w:r>
    </w:p>
    <w:p>
      <w:pPr>
        <w:pStyle w:val="BodyText"/>
        <w:spacing w:before="8"/>
      </w:pPr>
    </w:p>
    <w:p>
      <w:pPr>
        <w:spacing w:line="256" w:lineRule="auto" w:before="1"/>
        <w:ind w:left="119" w:right="117" w:firstLine="360"/>
        <w:jc w:val="both"/>
        <w:rPr>
          <w:sz w:val="16"/>
        </w:rPr>
      </w:pPr>
      <w:r>
        <w:rPr>
          <w:color w:val="231F20"/>
          <w:w w:val="110"/>
          <w:position w:val="5"/>
          <w:sz w:val="9"/>
        </w:rPr>
        <w:t>11 </w:t>
      </w:r>
      <w:r>
        <w:rPr>
          <w:color w:val="231F20"/>
          <w:w w:val="110"/>
          <w:sz w:val="16"/>
        </w:rPr>
        <w:t>Al respecto, existen diversos estudios que analizan la concentración de la marginación y</w:t>
      </w:r>
      <w:r>
        <w:rPr>
          <w:color w:val="231F20"/>
          <w:spacing w:val="-8"/>
          <w:w w:val="110"/>
          <w:sz w:val="16"/>
        </w:rPr>
        <w:t> </w:t>
      </w:r>
      <w:r>
        <w:rPr>
          <w:color w:val="231F20"/>
          <w:w w:val="110"/>
          <w:sz w:val="16"/>
        </w:rPr>
        <w:t>el</w:t>
      </w:r>
      <w:r>
        <w:rPr>
          <w:color w:val="231F20"/>
          <w:spacing w:val="-8"/>
          <w:w w:val="110"/>
          <w:sz w:val="16"/>
        </w:rPr>
        <w:t> </w:t>
      </w:r>
      <w:r>
        <w:rPr>
          <w:color w:val="231F20"/>
          <w:w w:val="110"/>
          <w:sz w:val="16"/>
        </w:rPr>
        <w:t>rezago</w:t>
      </w:r>
      <w:r>
        <w:rPr>
          <w:color w:val="231F20"/>
          <w:spacing w:val="-8"/>
          <w:w w:val="110"/>
          <w:sz w:val="16"/>
        </w:rPr>
        <w:t> </w:t>
      </w:r>
      <w:r>
        <w:rPr>
          <w:color w:val="231F20"/>
          <w:w w:val="110"/>
          <w:sz w:val="16"/>
        </w:rPr>
        <w:t>social</w:t>
      </w:r>
      <w:r>
        <w:rPr>
          <w:color w:val="231F20"/>
          <w:spacing w:val="-8"/>
          <w:w w:val="110"/>
          <w:sz w:val="16"/>
        </w:rPr>
        <w:t> </w:t>
      </w:r>
      <w:r>
        <w:rPr>
          <w:color w:val="231F20"/>
          <w:w w:val="110"/>
          <w:sz w:val="16"/>
        </w:rPr>
        <w:t>a</w:t>
      </w:r>
      <w:r>
        <w:rPr>
          <w:color w:val="231F20"/>
          <w:spacing w:val="-8"/>
          <w:w w:val="110"/>
          <w:sz w:val="16"/>
        </w:rPr>
        <w:t> </w:t>
      </w:r>
      <w:r>
        <w:rPr>
          <w:color w:val="231F20"/>
          <w:w w:val="110"/>
          <w:sz w:val="16"/>
        </w:rPr>
        <w:t>nivel</w:t>
      </w:r>
      <w:r>
        <w:rPr>
          <w:color w:val="231F20"/>
          <w:spacing w:val="-8"/>
          <w:w w:val="110"/>
          <w:sz w:val="16"/>
        </w:rPr>
        <w:t> </w:t>
      </w:r>
      <w:r>
        <w:rPr>
          <w:color w:val="231F20"/>
          <w:w w:val="110"/>
          <w:sz w:val="16"/>
        </w:rPr>
        <w:t>áreas</w:t>
      </w:r>
      <w:r>
        <w:rPr>
          <w:color w:val="231F20"/>
          <w:spacing w:val="-8"/>
          <w:w w:val="110"/>
          <w:sz w:val="16"/>
        </w:rPr>
        <w:t> </w:t>
      </w:r>
      <w:r>
        <w:rPr>
          <w:color w:val="231F20"/>
          <w:w w:val="110"/>
          <w:sz w:val="16"/>
        </w:rPr>
        <w:t>metropolitanas</w:t>
      </w:r>
      <w:r>
        <w:rPr>
          <w:color w:val="231F20"/>
          <w:spacing w:val="-8"/>
          <w:w w:val="110"/>
          <w:sz w:val="16"/>
        </w:rPr>
        <w:t> </w:t>
      </w:r>
      <w:r>
        <w:rPr>
          <w:color w:val="231F20"/>
          <w:w w:val="110"/>
          <w:sz w:val="16"/>
        </w:rPr>
        <w:t>y</w:t>
      </w:r>
      <w:r>
        <w:rPr>
          <w:color w:val="231F20"/>
          <w:spacing w:val="-8"/>
          <w:w w:val="110"/>
          <w:sz w:val="16"/>
        </w:rPr>
        <w:t> </w:t>
      </w:r>
      <w:r>
        <w:rPr>
          <w:color w:val="231F20"/>
          <w:w w:val="110"/>
          <w:sz w:val="16"/>
        </w:rPr>
        <w:t>municipal</w:t>
      </w:r>
      <w:r>
        <w:rPr>
          <w:color w:val="231F20"/>
          <w:spacing w:val="-8"/>
          <w:w w:val="110"/>
          <w:sz w:val="16"/>
        </w:rPr>
        <w:t> </w:t>
      </w:r>
      <w:r>
        <w:rPr>
          <w:color w:val="231F20"/>
          <w:w w:val="110"/>
          <w:sz w:val="16"/>
        </w:rPr>
        <w:t>(2403</w:t>
      </w:r>
      <w:r>
        <w:rPr>
          <w:color w:val="231F20"/>
          <w:spacing w:val="-8"/>
          <w:w w:val="110"/>
          <w:sz w:val="16"/>
        </w:rPr>
        <w:t> </w:t>
      </w:r>
      <w:r>
        <w:rPr>
          <w:color w:val="231F20"/>
          <w:w w:val="110"/>
          <w:sz w:val="16"/>
        </w:rPr>
        <w:t>municipios</w:t>
      </w:r>
      <w:r>
        <w:rPr>
          <w:color w:val="231F20"/>
          <w:spacing w:val="-8"/>
          <w:w w:val="110"/>
          <w:sz w:val="16"/>
        </w:rPr>
        <w:t> </w:t>
      </w:r>
      <w:r>
        <w:rPr>
          <w:color w:val="231F20"/>
          <w:w w:val="110"/>
          <w:sz w:val="16"/>
        </w:rPr>
        <w:t>en</w:t>
      </w:r>
      <w:r>
        <w:rPr>
          <w:color w:val="231F20"/>
          <w:spacing w:val="-8"/>
          <w:w w:val="110"/>
          <w:sz w:val="16"/>
        </w:rPr>
        <w:t> </w:t>
      </w:r>
      <w:r>
        <w:rPr>
          <w:color w:val="231F20"/>
          <w:w w:val="110"/>
          <w:sz w:val="16"/>
        </w:rPr>
        <w:t>1990),</w:t>
      </w:r>
      <w:r>
        <w:rPr>
          <w:color w:val="231F20"/>
          <w:spacing w:val="-8"/>
          <w:w w:val="110"/>
          <w:sz w:val="16"/>
        </w:rPr>
        <w:t> </w:t>
      </w:r>
      <w:r>
        <w:rPr>
          <w:color w:val="231F20"/>
          <w:w w:val="110"/>
          <w:sz w:val="16"/>
        </w:rPr>
        <w:t>a</w:t>
      </w:r>
      <w:r>
        <w:rPr>
          <w:color w:val="231F20"/>
          <w:spacing w:val="-8"/>
          <w:w w:val="110"/>
          <w:sz w:val="16"/>
        </w:rPr>
        <w:t> </w:t>
      </w:r>
      <w:r>
        <w:rPr>
          <w:color w:val="231F20"/>
          <w:w w:val="110"/>
          <w:sz w:val="16"/>
        </w:rPr>
        <w:t>partir del análisis de las condiciones de la vivienda y nueve indicadores de déficit social (Anso y Gómez,</w:t>
      </w:r>
      <w:r>
        <w:rPr>
          <w:color w:val="231F20"/>
          <w:spacing w:val="-6"/>
          <w:w w:val="110"/>
          <w:sz w:val="16"/>
        </w:rPr>
        <w:t> </w:t>
      </w:r>
      <w:r>
        <w:rPr>
          <w:color w:val="231F20"/>
          <w:w w:val="110"/>
          <w:sz w:val="16"/>
        </w:rPr>
        <w:t>1978)</w:t>
      </w:r>
      <w:r>
        <w:rPr>
          <w:color w:val="231F20"/>
          <w:spacing w:val="-6"/>
          <w:w w:val="110"/>
          <w:sz w:val="16"/>
        </w:rPr>
        <w:t> </w:t>
      </w:r>
      <w:r>
        <w:rPr>
          <w:color w:val="231F20"/>
          <w:w w:val="110"/>
          <w:sz w:val="16"/>
        </w:rPr>
        <w:t>(Garza,</w:t>
      </w:r>
      <w:r>
        <w:rPr>
          <w:color w:val="231F20"/>
          <w:spacing w:val="-6"/>
          <w:w w:val="110"/>
          <w:sz w:val="16"/>
        </w:rPr>
        <w:t> </w:t>
      </w:r>
      <w:r>
        <w:rPr>
          <w:color w:val="231F20"/>
          <w:w w:val="110"/>
          <w:sz w:val="16"/>
        </w:rPr>
        <w:t>1985);</w:t>
      </w:r>
      <w:r>
        <w:rPr>
          <w:color w:val="231F20"/>
          <w:spacing w:val="-6"/>
          <w:w w:val="110"/>
          <w:sz w:val="16"/>
        </w:rPr>
        <w:t> </w:t>
      </w:r>
      <w:r>
        <w:rPr>
          <w:color w:val="231F20"/>
          <w:w w:val="110"/>
          <w:sz w:val="16"/>
        </w:rPr>
        <w:t>(</w:t>
      </w:r>
      <w:r>
        <w:rPr>
          <w:rFonts w:ascii="Times New Roman" w:hAnsi="Times New Roman"/>
          <w:color w:val="231F20"/>
          <w:w w:val="110"/>
          <w:sz w:val="13"/>
        </w:rPr>
        <w:t>INEGI</w:t>
      </w:r>
      <w:r>
        <w:rPr>
          <w:color w:val="231F20"/>
          <w:w w:val="110"/>
          <w:sz w:val="16"/>
        </w:rPr>
        <w:t>,</w:t>
      </w:r>
      <w:r>
        <w:rPr>
          <w:color w:val="231F20"/>
          <w:spacing w:val="-6"/>
          <w:w w:val="110"/>
          <w:sz w:val="16"/>
        </w:rPr>
        <w:t> </w:t>
      </w:r>
      <w:r>
        <w:rPr>
          <w:color w:val="231F20"/>
          <w:w w:val="110"/>
          <w:sz w:val="16"/>
        </w:rPr>
        <w:t>1990),</w:t>
      </w:r>
      <w:r>
        <w:rPr>
          <w:color w:val="231F20"/>
          <w:spacing w:val="-6"/>
          <w:w w:val="110"/>
          <w:sz w:val="16"/>
        </w:rPr>
        <w:t> </w:t>
      </w:r>
      <w:r>
        <w:rPr>
          <w:color w:val="231F20"/>
          <w:w w:val="110"/>
          <w:sz w:val="16"/>
        </w:rPr>
        <w:t>Pamplona,</w:t>
      </w:r>
      <w:r>
        <w:rPr>
          <w:color w:val="231F20"/>
          <w:spacing w:val="-6"/>
          <w:w w:val="110"/>
          <w:sz w:val="16"/>
        </w:rPr>
        <w:t> </w:t>
      </w:r>
      <w:r>
        <w:rPr>
          <w:color w:val="231F20"/>
          <w:w w:val="110"/>
          <w:sz w:val="16"/>
        </w:rPr>
        <w:t>Monterrubio</w:t>
      </w:r>
      <w:r>
        <w:rPr>
          <w:color w:val="231F20"/>
          <w:spacing w:val="-6"/>
          <w:w w:val="110"/>
          <w:sz w:val="16"/>
        </w:rPr>
        <w:t> </w:t>
      </w:r>
      <w:r>
        <w:rPr>
          <w:color w:val="231F20"/>
          <w:w w:val="110"/>
          <w:sz w:val="16"/>
        </w:rPr>
        <w:t>y</w:t>
      </w:r>
      <w:r>
        <w:rPr>
          <w:color w:val="231F20"/>
          <w:spacing w:val="-6"/>
          <w:w w:val="110"/>
          <w:sz w:val="16"/>
        </w:rPr>
        <w:t> </w:t>
      </w:r>
      <w:r>
        <w:rPr>
          <w:color w:val="231F20"/>
          <w:w w:val="110"/>
          <w:sz w:val="16"/>
        </w:rPr>
        <w:t>Mejía,</w:t>
      </w:r>
      <w:r>
        <w:rPr>
          <w:color w:val="231F20"/>
          <w:spacing w:val="-6"/>
          <w:w w:val="110"/>
          <w:sz w:val="16"/>
        </w:rPr>
        <w:t> </w:t>
      </w:r>
      <w:r>
        <w:rPr>
          <w:color w:val="231F20"/>
          <w:w w:val="110"/>
          <w:sz w:val="16"/>
        </w:rPr>
        <w:t>1993).</w:t>
      </w:r>
      <w:r>
        <w:rPr>
          <w:color w:val="231F20"/>
          <w:spacing w:val="-6"/>
          <w:w w:val="110"/>
          <w:sz w:val="16"/>
        </w:rPr>
        <w:t> </w:t>
      </w:r>
      <w:r>
        <w:rPr>
          <w:color w:val="231F20"/>
          <w:w w:val="110"/>
          <w:sz w:val="16"/>
        </w:rPr>
        <w:t>Asimismo, se </w:t>
      </w:r>
      <w:r>
        <w:rPr>
          <w:color w:val="231F20"/>
          <w:spacing w:val="-4"/>
          <w:w w:val="110"/>
          <w:sz w:val="16"/>
        </w:rPr>
        <w:t>obtienen </w:t>
      </w:r>
      <w:r>
        <w:rPr>
          <w:color w:val="231F20"/>
          <w:spacing w:val="-3"/>
          <w:w w:val="110"/>
          <w:sz w:val="16"/>
        </w:rPr>
        <w:t>los </w:t>
      </w:r>
      <w:r>
        <w:rPr>
          <w:color w:val="231F20"/>
          <w:spacing w:val="-4"/>
          <w:w w:val="110"/>
          <w:sz w:val="16"/>
        </w:rPr>
        <w:t>grados </w:t>
      </w:r>
      <w:r>
        <w:rPr>
          <w:color w:val="231F20"/>
          <w:w w:val="110"/>
          <w:sz w:val="16"/>
        </w:rPr>
        <w:t>de </w:t>
      </w:r>
      <w:r>
        <w:rPr>
          <w:color w:val="231F20"/>
          <w:spacing w:val="-5"/>
          <w:w w:val="110"/>
          <w:sz w:val="16"/>
        </w:rPr>
        <w:t>marginación </w:t>
      </w:r>
      <w:r>
        <w:rPr>
          <w:color w:val="231F20"/>
          <w:w w:val="110"/>
          <w:sz w:val="16"/>
        </w:rPr>
        <w:t>a </w:t>
      </w:r>
      <w:r>
        <w:rPr>
          <w:color w:val="231F20"/>
          <w:spacing w:val="-4"/>
          <w:w w:val="110"/>
          <w:sz w:val="16"/>
        </w:rPr>
        <w:t>nivel </w:t>
      </w:r>
      <w:r>
        <w:rPr>
          <w:color w:val="231F20"/>
          <w:w w:val="110"/>
          <w:sz w:val="16"/>
        </w:rPr>
        <w:t>de </w:t>
      </w:r>
      <w:r>
        <w:rPr>
          <w:color w:val="231F20"/>
          <w:spacing w:val="-4"/>
          <w:w w:val="110"/>
          <w:sz w:val="16"/>
        </w:rPr>
        <w:t>localidad </w:t>
      </w:r>
      <w:r>
        <w:rPr>
          <w:color w:val="231F20"/>
          <w:w w:val="110"/>
          <w:sz w:val="16"/>
        </w:rPr>
        <w:t>y </w:t>
      </w:r>
      <w:r>
        <w:rPr>
          <w:rFonts w:ascii="Times New Roman" w:hAnsi="Times New Roman"/>
          <w:color w:val="231F20"/>
          <w:spacing w:val="-4"/>
          <w:w w:val="110"/>
          <w:sz w:val="13"/>
        </w:rPr>
        <w:t>AGEB</w:t>
      </w:r>
      <w:r>
        <w:rPr>
          <w:color w:val="231F20"/>
          <w:spacing w:val="-4"/>
          <w:w w:val="110"/>
          <w:sz w:val="16"/>
        </w:rPr>
        <w:t>, </w:t>
      </w:r>
      <w:r>
        <w:rPr>
          <w:color w:val="231F20"/>
          <w:w w:val="110"/>
          <w:sz w:val="16"/>
        </w:rPr>
        <w:t>a </w:t>
      </w:r>
      <w:r>
        <w:rPr>
          <w:color w:val="231F20"/>
          <w:spacing w:val="-4"/>
          <w:w w:val="110"/>
          <w:sz w:val="16"/>
        </w:rPr>
        <w:t>partir </w:t>
      </w:r>
      <w:r>
        <w:rPr>
          <w:color w:val="231F20"/>
          <w:spacing w:val="-3"/>
          <w:w w:val="110"/>
          <w:sz w:val="16"/>
        </w:rPr>
        <w:t>del </w:t>
      </w:r>
      <w:r>
        <w:rPr>
          <w:color w:val="231F20"/>
          <w:spacing w:val="-4"/>
          <w:w w:val="110"/>
          <w:sz w:val="16"/>
        </w:rPr>
        <w:t>análisis factorial </w:t>
      </w:r>
      <w:r>
        <w:rPr>
          <w:color w:val="231F20"/>
          <w:w w:val="110"/>
          <w:sz w:val="16"/>
        </w:rPr>
        <w:t>y componentes</w:t>
      </w:r>
      <w:r>
        <w:rPr>
          <w:color w:val="231F20"/>
          <w:spacing w:val="-8"/>
          <w:w w:val="110"/>
          <w:sz w:val="16"/>
        </w:rPr>
        <w:t> </w:t>
      </w:r>
      <w:r>
        <w:rPr>
          <w:color w:val="231F20"/>
          <w:w w:val="110"/>
          <w:sz w:val="16"/>
        </w:rPr>
        <w:t>principales</w:t>
      </w:r>
      <w:r>
        <w:rPr>
          <w:color w:val="231F20"/>
          <w:spacing w:val="-8"/>
          <w:w w:val="110"/>
          <w:sz w:val="16"/>
        </w:rPr>
        <w:t> </w:t>
      </w:r>
      <w:r>
        <w:rPr>
          <w:color w:val="231F20"/>
          <w:w w:val="110"/>
          <w:sz w:val="16"/>
        </w:rPr>
        <w:t>en</w:t>
      </w:r>
      <w:r>
        <w:rPr>
          <w:color w:val="231F20"/>
          <w:spacing w:val="-8"/>
          <w:w w:val="110"/>
          <w:sz w:val="16"/>
        </w:rPr>
        <w:t> </w:t>
      </w:r>
      <w:r>
        <w:rPr>
          <w:color w:val="231F20"/>
          <w:w w:val="110"/>
          <w:sz w:val="16"/>
        </w:rPr>
        <w:t>las</w:t>
      </w:r>
      <w:r>
        <w:rPr>
          <w:color w:val="231F20"/>
          <w:spacing w:val="-8"/>
          <w:w w:val="110"/>
          <w:sz w:val="16"/>
        </w:rPr>
        <w:t> </w:t>
      </w:r>
      <w:r>
        <w:rPr>
          <w:color w:val="231F20"/>
          <w:w w:val="110"/>
          <w:sz w:val="16"/>
        </w:rPr>
        <w:t>zonas</w:t>
      </w:r>
      <w:r>
        <w:rPr>
          <w:color w:val="231F20"/>
          <w:spacing w:val="-8"/>
          <w:w w:val="110"/>
          <w:sz w:val="16"/>
        </w:rPr>
        <w:t> </w:t>
      </w:r>
      <w:r>
        <w:rPr>
          <w:color w:val="231F20"/>
          <w:w w:val="110"/>
          <w:sz w:val="16"/>
        </w:rPr>
        <w:t>metropolitanas</w:t>
      </w:r>
      <w:r>
        <w:rPr>
          <w:color w:val="231F20"/>
          <w:spacing w:val="-8"/>
          <w:w w:val="110"/>
          <w:sz w:val="16"/>
        </w:rPr>
        <w:t> </w:t>
      </w:r>
      <w:r>
        <w:rPr>
          <w:color w:val="231F20"/>
          <w:w w:val="110"/>
          <w:sz w:val="16"/>
        </w:rPr>
        <w:t>de</w:t>
      </w:r>
      <w:r>
        <w:rPr>
          <w:color w:val="231F20"/>
          <w:spacing w:val="-8"/>
          <w:w w:val="110"/>
          <w:sz w:val="16"/>
        </w:rPr>
        <w:t> </w:t>
      </w:r>
      <w:r>
        <w:rPr>
          <w:color w:val="231F20"/>
          <w:w w:val="110"/>
          <w:sz w:val="16"/>
        </w:rPr>
        <w:t>Monterrey</w:t>
      </w:r>
      <w:r>
        <w:rPr>
          <w:color w:val="231F20"/>
          <w:spacing w:val="-8"/>
          <w:w w:val="110"/>
          <w:sz w:val="16"/>
        </w:rPr>
        <w:t> </w:t>
      </w:r>
      <w:r>
        <w:rPr>
          <w:color w:val="231F20"/>
          <w:w w:val="110"/>
          <w:sz w:val="16"/>
        </w:rPr>
        <w:t>y</w:t>
      </w:r>
      <w:r>
        <w:rPr>
          <w:color w:val="231F20"/>
          <w:spacing w:val="-8"/>
          <w:w w:val="110"/>
          <w:sz w:val="16"/>
        </w:rPr>
        <w:t> </w:t>
      </w:r>
      <w:r>
        <w:rPr>
          <w:color w:val="231F20"/>
          <w:w w:val="110"/>
          <w:sz w:val="16"/>
        </w:rPr>
        <w:t>Guadalajara</w:t>
      </w:r>
      <w:r>
        <w:rPr>
          <w:color w:val="231F20"/>
          <w:spacing w:val="-8"/>
          <w:w w:val="110"/>
          <w:sz w:val="16"/>
        </w:rPr>
        <w:t> </w:t>
      </w:r>
      <w:r>
        <w:rPr>
          <w:color w:val="231F20"/>
          <w:w w:val="110"/>
          <w:sz w:val="16"/>
        </w:rPr>
        <w:t>(Rubalcava y Chavaría, 1999), (Macías, Andrade y Guzmán, 2009), entre</w:t>
      </w:r>
      <w:r>
        <w:rPr>
          <w:color w:val="231F20"/>
          <w:spacing w:val="32"/>
          <w:w w:val="110"/>
          <w:sz w:val="16"/>
        </w:rPr>
        <w:t> </w:t>
      </w:r>
      <w:r>
        <w:rPr>
          <w:color w:val="231F20"/>
          <w:w w:val="110"/>
          <w:sz w:val="16"/>
        </w:rPr>
        <w:t>otros.</w:t>
      </w:r>
    </w:p>
    <w:p>
      <w:pPr>
        <w:spacing w:after="0" w:line="256" w:lineRule="auto"/>
        <w:jc w:val="both"/>
        <w:rPr>
          <w:sz w:val="16"/>
        </w:rPr>
        <w:sectPr>
          <w:type w:val="continuous"/>
          <w:pgSz w:w="9520" w:h="12920"/>
          <w:pgMar w:top="0" w:bottom="0" w:left="1000" w:right="1320"/>
        </w:sectPr>
      </w:pPr>
    </w:p>
    <w:p>
      <w:pPr>
        <w:pStyle w:val="BodyText"/>
        <w:spacing w:line="288" w:lineRule="auto" w:before="42"/>
        <w:ind w:left="124" w:right="112"/>
        <w:jc w:val="both"/>
      </w:pPr>
      <w:r>
        <w:rPr>
          <w:color w:val="231F20"/>
          <w:w w:val="110"/>
        </w:rPr>
        <w:t>De acuerdo con este indicador, la población en condiciones de muy alta </w:t>
      </w:r>
      <w:r>
        <w:rPr>
          <w:color w:val="231F20"/>
          <w:spacing w:val="-3"/>
          <w:w w:val="110"/>
        </w:rPr>
        <w:t>marginación,</w:t>
      </w:r>
      <w:r>
        <w:rPr>
          <w:color w:val="231F20"/>
          <w:spacing w:val="-16"/>
          <w:w w:val="110"/>
        </w:rPr>
        <w:t> </w:t>
      </w:r>
      <w:r>
        <w:rPr>
          <w:color w:val="231F20"/>
          <w:w w:val="110"/>
        </w:rPr>
        <w:t>en</w:t>
      </w:r>
      <w:r>
        <w:rPr>
          <w:color w:val="231F20"/>
          <w:spacing w:val="-16"/>
          <w:w w:val="110"/>
        </w:rPr>
        <w:t> </w:t>
      </w:r>
      <w:r>
        <w:rPr>
          <w:color w:val="231F20"/>
          <w:w w:val="110"/>
        </w:rPr>
        <w:t>el</w:t>
      </w:r>
      <w:r>
        <w:rPr>
          <w:color w:val="231F20"/>
          <w:spacing w:val="-16"/>
          <w:w w:val="110"/>
        </w:rPr>
        <w:t> </w:t>
      </w:r>
      <w:r>
        <w:rPr>
          <w:color w:val="231F20"/>
          <w:w w:val="110"/>
        </w:rPr>
        <w:t>periodo</w:t>
      </w:r>
      <w:r>
        <w:rPr>
          <w:color w:val="231F20"/>
          <w:spacing w:val="-16"/>
          <w:w w:val="110"/>
        </w:rPr>
        <w:t> </w:t>
      </w:r>
      <w:r>
        <w:rPr>
          <w:color w:val="231F20"/>
          <w:w w:val="110"/>
        </w:rPr>
        <w:t>de</w:t>
      </w:r>
      <w:r>
        <w:rPr>
          <w:color w:val="231F20"/>
          <w:spacing w:val="-16"/>
          <w:w w:val="110"/>
        </w:rPr>
        <w:t> </w:t>
      </w:r>
      <w:r>
        <w:rPr>
          <w:color w:val="231F20"/>
          <w:w w:val="110"/>
        </w:rPr>
        <w:t>1990</w:t>
      </w:r>
      <w:r>
        <w:rPr>
          <w:color w:val="231F20"/>
          <w:spacing w:val="-16"/>
          <w:w w:val="110"/>
        </w:rPr>
        <w:t> </w:t>
      </w:r>
      <w:r>
        <w:rPr>
          <w:color w:val="231F20"/>
          <w:w w:val="110"/>
        </w:rPr>
        <w:t>a</w:t>
      </w:r>
      <w:r>
        <w:rPr>
          <w:color w:val="231F20"/>
          <w:spacing w:val="-16"/>
          <w:w w:val="110"/>
        </w:rPr>
        <w:t> </w:t>
      </w:r>
      <w:r>
        <w:rPr>
          <w:color w:val="231F20"/>
          <w:w w:val="110"/>
        </w:rPr>
        <w:t>2000,</w:t>
      </w:r>
      <w:r>
        <w:rPr>
          <w:color w:val="231F20"/>
          <w:spacing w:val="-16"/>
          <w:w w:val="110"/>
        </w:rPr>
        <w:t> </w:t>
      </w:r>
      <w:r>
        <w:rPr>
          <w:color w:val="231F20"/>
          <w:w w:val="110"/>
        </w:rPr>
        <w:t>aumentó,</w:t>
      </w:r>
      <w:r>
        <w:rPr>
          <w:color w:val="231F20"/>
          <w:spacing w:val="-16"/>
          <w:w w:val="110"/>
        </w:rPr>
        <w:t> </w:t>
      </w:r>
      <w:r>
        <w:rPr>
          <w:color w:val="231F20"/>
          <w:w w:val="110"/>
        </w:rPr>
        <w:t>en</w:t>
      </w:r>
      <w:r>
        <w:rPr>
          <w:color w:val="231F20"/>
          <w:spacing w:val="-16"/>
          <w:w w:val="110"/>
        </w:rPr>
        <w:t> </w:t>
      </w:r>
      <w:r>
        <w:rPr>
          <w:color w:val="231F20"/>
          <w:w w:val="110"/>
        </w:rPr>
        <w:t>términos</w:t>
      </w:r>
      <w:r>
        <w:rPr>
          <w:color w:val="231F20"/>
          <w:spacing w:val="-16"/>
          <w:w w:val="110"/>
        </w:rPr>
        <w:t> </w:t>
      </w:r>
      <w:r>
        <w:rPr>
          <w:color w:val="231F20"/>
          <w:w w:val="110"/>
        </w:rPr>
        <w:t>absolutos, en</w:t>
      </w:r>
      <w:r>
        <w:rPr>
          <w:color w:val="231F20"/>
          <w:spacing w:val="11"/>
          <w:w w:val="110"/>
        </w:rPr>
        <w:t> </w:t>
      </w:r>
      <w:r>
        <w:rPr>
          <w:color w:val="231F20"/>
          <w:w w:val="110"/>
        </w:rPr>
        <w:t>más</w:t>
      </w:r>
      <w:r>
        <w:rPr>
          <w:color w:val="231F20"/>
          <w:spacing w:val="11"/>
          <w:w w:val="110"/>
        </w:rPr>
        <w:t> </w:t>
      </w:r>
      <w:r>
        <w:rPr>
          <w:color w:val="231F20"/>
          <w:w w:val="110"/>
        </w:rPr>
        <w:t>de</w:t>
      </w:r>
      <w:r>
        <w:rPr>
          <w:color w:val="231F20"/>
          <w:spacing w:val="11"/>
          <w:w w:val="110"/>
        </w:rPr>
        <w:t> </w:t>
      </w:r>
      <w:r>
        <w:rPr>
          <w:color w:val="231F20"/>
          <w:w w:val="110"/>
        </w:rPr>
        <w:t>444</w:t>
      </w:r>
      <w:r>
        <w:rPr>
          <w:color w:val="231F20"/>
          <w:spacing w:val="11"/>
          <w:w w:val="110"/>
        </w:rPr>
        <w:t> </w:t>
      </w:r>
      <w:r>
        <w:rPr>
          <w:color w:val="231F20"/>
          <w:w w:val="110"/>
        </w:rPr>
        <w:t>mil,</w:t>
      </w:r>
      <w:r>
        <w:rPr>
          <w:color w:val="231F20"/>
          <w:spacing w:val="11"/>
          <w:w w:val="110"/>
        </w:rPr>
        <w:t> </w:t>
      </w:r>
      <w:r>
        <w:rPr>
          <w:color w:val="231F20"/>
          <w:w w:val="110"/>
        </w:rPr>
        <w:t>pues</w:t>
      </w:r>
      <w:r>
        <w:rPr>
          <w:color w:val="231F20"/>
          <w:spacing w:val="11"/>
          <w:w w:val="110"/>
        </w:rPr>
        <w:t> </w:t>
      </w:r>
      <w:r>
        <w:rPr>
          <w:color w:val="231F20"/>
          <w:w w:val="110"/>
        </w:rPr>
        <w:t>en</w:t>
      </w:r>
      <w:r>
        <w:rPr>
          <w:color w:val="231F20"/>
          <w:spacing w:val="11"/>
          <w:w w:val="110"/>
        </w:rPr>
        <w:t> </w:t>
      </w:r>
      <w:r>
        <w:rPr>
          <w:color w:val="231F20"/>
          <w:w w:val="110"/>
        </w:rPr>
        <w:t>1990</w:t>
      </w:r>
      <w:r>
        <w:rPr>
          <w:color w:val="231F20"/>
          <w:spacing w:val="11"/>
          <w:w w:val="110"/>
        </w:rPr>
        <w:t> </w:t>
      </w:r>
      <w:r>
        <w:rPr>
          <w:color w:val="231F20"/>
          <w:w w:val="110"/>
        </w:rPr>
        <w:t>esta</w:t>
      </w:r>
      <w:r>
        <w:rPr>
          <w:color w:val="231F20"/>
          <w:spacing w:val="11"/>
          <w:w w:val="110"/>
        </w:rPr>
        <w:t> </w:t>
      </w:r>
      <w:r>
        <w:rPr>
          <w:color w:val="231F20"/>
          <w:w w:val="110"/>
        </w:rPr>
        <w:t>población</w:t>
      </w:r>
      <w:r>
        <w:rPr>
          <w:color w:val="231F20"/>
          <w:spacing w:val="11"/>
          <w:w w:val="110"/>
        </w:rPr>
        <w:t> </w:t>
      </w:r>
      <w:r>
        <w:rPr>
          <w:color w:val="231F20"/>
          <w:w w:val="110"/>
        </w:rPr>
        <w:t>alcanzaba</w:t>
      </w:r>
      <w:r>
        <w:rPr>
          <w:color w:val="231F20"/>
          <w:spacing w:val="11"/>
          <w:w w:val="110"/>
        </w:rPr>
        <w:t> </w:t>
      </w:r>
      <w:r>
        <w:rPr>
          <w:color w:val="231F20"/>
          <w:w w:val="110"/>
        </w:rPr>
        <w:t>la</w:t>
      </w:r>
      <w:r>
        <w:rPr>
          <w:color w:val="231F20"/>
          <w:spacing w:val="11"/>
          <w:w w:val="110"/>
        </w:rPr>
        <w:t> </w:t>
      </w:r>
      <w:r>
        <w:rPr>
          <w:color w:val="231F20"/>
          <w:w w:val="110"/>
        </w:rPr>
        <w:t>cantidad</w:t>
      </w:r>
      <w:r>
        <w:rPr>
          <w:color w:val="231F20"/>
          <w:spacing w:val="11"/>
          <w:w w:val="110"/>
        </w:rPr>
        <w:t> </w:t>
      </w:r>
      <w:r>
        <w:rPr>
          <w:color w:val="231F20"/>
          <w:w w:val="110"/>
        </w:rPr>
        <w:t>de</w:t>
      </w:r>
    </w:p>
    <w:p>
      <w:pPr>
        <w:pStyle w:val="BodyText"/>
        <w:spacing w:line="288" w:lineRule="auto"/>
        <w:ind w:left="124" w:right="112"/>
        <w:jc w:val="both"/>
      </w:pPr>
      <w:r>
        <w:rPr>
          <w:color w:val="231F20"/>
          <w:w w:val="110"/>
        </w:rPr>
        <w:t>1.7 millones y para el año 2000 era más de 2.2 millones de habitantes, es </w:t>
      </w:r>
      <w:r>
        <w:rPr>
          <w:color w:val="231F20"/>
          <w:spacing w:val="-3"/>
          <w:w w:val="110"/>
        </w:rPr>
        <w:t>decir, </w:t>
      </w:r>
      <w:r>
        <w:rPr>
          <w:color w:val="231F20"/>
          <w:w w:val="110"/>
        </w:rPr>
        <w:t>pasó de 7.2 a 12.6 por ciento de la población metropolitana; y en</w:t>
      </w:r>
      <w:r>
        <w:rPr>
          <w:color w:val="231F20"/>
          <w:spacing w:val="-23"/>
          <w:w w:val="110"/>
        </w:rPr>
        <w:t> </w:t>
      </w:r>
      <w:r>
        <w:rPr>
          <w:color w:val="231F20"/>
          <w:w w:val="110"/>
        </w:rPr>
        <w:t>tér- minos</w:t>
      </w:r>
      <w:r>
        <w:rPr>
          <w:color w:val="231F20"/>
          <w:spacing w:val="-15"/>
          <w:w w:val="110"/>
        </w:rPr>
        <w:t> </w:t>
      </w:r>
      <w:r>
        <w:rPr>
          <w:color w:val="231F20"/>
          <w:w w:val="110"/>
        </w:rPr>
        <w:t>de</w:t>
      </w:r>
      <w:r>
        <w:rPr>
          <w:color w:val="231F20"/>
          <w:spacing w:val="-15"/>
          <w:w w:val="110"/>
        </w:rPr>
        <w:t> </w:t>
      </w:r>
      <w:r>
        <w:rPr>
          <w:color w:val="231F20"/>
          <w:w w:val="110"/>
        </w:rPr>
        <w:t>distribución</w:t>
      </w:r>
      <w:r>
        <w:rPr>
          <w:color w:val="231F20"/>
          <w:spacing w:val="-15"/>
          <w:w w:val="110"/>
        </w:rPr>
        <w:t> </w:t>
      </w:r>
      <w:r>
        <w:rPr>
          <w:color w:val="231F20"/>
          <w:w w:val="110"/>
        </w:rPr>
        <w:t>territorial</w:t>
      </w:r>
      <w:r>
        <w:rPr>
          <w:color w:val="231F20"/>
          <w:spacing w:val="-15"/>
          <w:w w:val="110"/>
        </w:rPr>
        <w:t> </w:t>
      </w:r>
      <w:r>
        <w:rPr>
          <w:color w:val="231F20"/>
          <w:w w:val="110"/>
        </w:rPr>
        <w:t>el</w:t>
      </w:r>
      <w:r>
        <w:rPr>
          <w:color w:val="231F20"/>
          <w:spacing w:val="-15"/>
          <w:w w:val="110"/>
        </w:rPr>
        <w:t> </w:t>
      </w:r>
      <w:r>
        <w:rPr>
          <w:color w:val="231F20"/>
          <w:w w:val="110"/>
        </w:rPr>
        <w:t>número</w:t>
      </w:r>
      <w:r>
        <w:rPr>
          <w:color w:val="231F20"/>
          <w:spacing w:val="-15"/>
          <w:w w:val="110"/>
        </w:rPr>
        <w:t> </w:t>
      </w:r>
      <w:r>
        <w:rPr>
          <w:color w:val="231F20"/>
          <w:w w:val="110"/>
        </w:rPr>
        <w:t>de</w:t>
      </w:r>
      <w:r>
        <w:rPr>
          <w:color w:val="231F20"/>
          <w:spacing w:val="-15"/>
          <w:w w:val="110"/>
        </w:rPr>
        <w:t> </w:t>
      </w:r>
      <w:r>
        <w:rPr>
          <w:color w:val="231F20"/>
          <w:w w:val="110"/>
        </w:rPr>
        <w:t>zonas</w:t>
      </w:r>
      <w:r>
        <w:rPr>
          <w:color w:val="231F20"/>
          <w:spacing w:val="-15"/>
          <w:w w:val="110"/>
        </w:rPr>
        <w:t> </w:t>
      </w:r>
      <w:r>
        <w:rPr>
          <w:color w:val="231F20"/>
          <w:w w:val="110"/>
        </w:rPr>
        <w:t>metropolitanas</w:t>
      </w:r>
      <w:r>
        <w:rPr>
          <w:color w:val="231F20"/>
          <w:spacing w:val="-15"/>
          <w:w w:val="110"/>
        </w:rPr>
        <w:t> </w:t>
      </w:r>
      <w:r>
        <w:rPr>
          <w:color w:val="231F20"/>
          <w:w w:val="110"/>
        </w:rPr>
        <w:t>en</w:t>
      </w:r>
      <w:r>
        <w:rPr>
          <w:color w:val="231F20"/>
          <w:spacing w:val="-15"/>
          <w:w w:val="110"/>
        </w:rPr>
        <w:t> </w:t>
      </w:r>
      <w:r>
        <w:rPr>
          <w:color w:val="231F20"/>
          <w:w w:val="110"/>
        </w:rPr>
        <w:t>esta condición aumentó de 1 a 2 (véanse cuadros 4 y 5 ). Uno de los factores que explican, en este periodo, el comportamiento en la concentración de población en las zonas metropolitanas es la reorientación de los flujos mi- gratorios</w:t>
      </w:r>
      <w:r>
        <w:rPr>
          <w:color w:val="231F20"/>
          <w:spacing w:val="-8"/>
          <w:w w:val="110"/>
        </w:rPr>
        <w:t> </w:t>
      </w:r>
      <w:r>
        <w:rPr>
          <w:color w:val="231F20"/>
          <w:w w:val="110"/>
        </w:rPr>
        <w:t>hacia</w:t>
      </w:r>
      <w:r>
        <w:rPr>
          <w:color w:val="231F20"/>
          <w:spacing w:val="-8"/>
          <w:w w:val="110"/>
        </w:rPr>
        <w:t> </w:t>
      </w:r>
      <w:r>
        <w:rPr>
          <w:color w:val="231F20"/>
          <w:w w:val="110"/>
        </w:rPr>
        <w:t>las</w:t>
      </w:r>
      <w:r>
        <w:rPr>
          <w:color w:val="231F20"/>
          <w:spacing w:val="-8"/>
          <w:w w:val="110"/>
        </w:rPr>
        <w:t> </w:t>
      </w:r>
      <w:r>
        <w:rPr>
          <w:color w:val="231F20"/>
          <w:w w:val="110"/>
        </w:rPr>
        <w:t>ciudades</w:t>
      </w:r>
      <w:r>
        <w:rPr>
          <w:color w:val="231F20"/>
          <w:spacing w:val="-8"/>
          <w:w w:val="110"/>
        </w:rPr>
        <w:t> </w:t>
      </w:r>
      <w:r>
        <w:rPr>
          <w:color w:val="231F20"/>
          <w:w w:val="110"/>
        </w:rPr>
        <w:t>medias</w:t>
      </w:r>
      <w:r>
        <w:rPr>
          <w:color w:val="231F20"/>
          <w:spacing w:val="-8"/>
          <w:w w:val="110"/>
        </w:rPr>
        <w:t> </w:t>
      </w:r>
      <w:r>
        <w:rPr>
          <w:color w:val="231F20"/>
          <w:w w:val="110"/>
        </w:rPr>
        <w:t>y</w:t>
      </w:r>
      <w:r>
        <w:rPr>
          <w:color w:val="231F20"/>
          <w:spacing w:val="-8"/>
          <w:w w:val="110"/>
        </w:rPr>
        <w:t> </w:t>
      </w:r>
      <w:r>
        <w:rPr>
          <w:color w:val="231F20"/>
          <w:w w:val="110"/>
        </w:rPr>
        <w:t>pequeñas</w:t>
      </w:r>
      <w:r>
        <w:rPr>
          <w:color w:val="231F20"/>
          <w:spacing w:val="-8"/>
          <w:w w:val="110"/>
        </w:rPr>
        <w:t> </w:t>
      </w:r>
      <w:r>
        <w:rPr>
          <w:color w:val="231F20"/>
          <w:w w:val="110"/>
        </w:rPr>
        <w:t>como</w:t>
      </w:r>
      <w:r>
        <w:rPr>
          <w:color w:val="231F20"/>
          <w:spacing w:val="-8"/>
          <w:w w:val="110"/>
        </w:rPr>
        <w:t> </w:t>
      </w:r>
      <w:r>
        <w:rPr>
          <w:color w:val="231F20"/>
          <w:w w:val="110"/>
        </w:rPr>
        <w:t>resultado</w:t>
      </w:r>
      <w:r>
        <w:rPr>
          <w:color w:val="231F20"/>
          <w:spacing w:val="-8"/>
          <w:w w:val="110"/>
        </w:rPr>
        <w:t> </w:t>
      </w:r>
      <w:r>
        <w:rPr>
          <w:color w:val="231F20"/>
          <w:w w:val="110"/>
        </w:rPr>
        <w:t>del</w:t>
      </w:r>
      <w:r>
        <w:rPr>
          <w:color w:val="231F20"/>
          <w:spacing w:val="-8"/>
          <w:w w:val="110"/>
        </w:rPr>
        <w:t> </w:t>
      </w:r>
      <w:r>
        <w:rPr>
          <w:color w:val="231F20"/>
          <w:w w:val="110"/>
        </w:rPr>
        <w:t>modelo de</w:t>
      </w:r>
      <w:r>
        <w:rPr>
          <w:color w:val="231F20"/>
          <w:spacing w:val="-7"/>
          <w:w w:val="110"/>
        </w:rPr>
        <w:t> </w:t>
      </w:r>
      <w:r>
        <w:rPr>
          <w:color w:val="231F20"/>
          <w:w w:val="110"/>
        </w:rPr>
        <w:t>desarrollo</w:t>
      </w:r>
      <w:r>
        <w:rPr>
          <w:color w:val="231F20"/>
          <w:spacing w:val="-7"/>
          <w:w w:val="110"/>
        </w:rPr>
        <w:t> </w:t>
      </w:r>
      <w:r>
        <w:rPr>
          <w:color w:val="231F20"/>
          <w:w w:val="110"/>
        </w:rPr>
        <w:t>aplicado</w:t>
      </w:r>
      <w:r>
        <w:rPr>
          <w:color w:val="231F20"/>
          <w:spacing w:val="-7"/>
          <w:w w:val="110"/>
        </w:rPr>
        <w:t> </w:t>
      </w:r>
      <w:r>
        <w:rPr>
          <w:color w:val="231F20"/>
          <w:w w:val="110"/>
        </w:rPr>
        <w:t>en</w:t>
      </w:r>
      <w:r>
        <w:rPr>
          <w:color w:val="231F20"/>
          <w:spacing w:val="-7"/>
          <w:w w:val="110"/>
        </w:rPr>
        <w:t> </w:t>
      </w:r>
      <w:r>
        <w:rPr>
          <w:color w:val="231F20"/>
          <w:w w:val="110"/>
        </w:rPr>
        <w:t>nuestro</w:t>
      </w:r>
      <w:r>
        <w:rPr>
          <w:color w:val="231F20"/>
          <w:spacing w:val="-7"/>
          <w:w w:val="110"/>
        </w:rPr>
        <w:t> </w:t>
      </w:r>
      <w:r>
        <w:rPr>
          <w:color w:val="231F20"/>
          <w:w w:val="110"/>
        </w:rPr>
        <w:t>país,</w:t>
      </w:r>
      <w:r>
        <w:rPr>
          <w:color w:val="231F20"/>
          <w:spacing w:val="-7"/>
          <w:w w:val="110"/>
        </w:rPr>
        <w:t> </w:t>
      </w:r>
      <w:r>
        <w:rPr>
          <w:color w:val="231F20"/>
          <w:w w:val="110"/>
        </w:rPr>
        <w:t>lo</w:t>
      </w:r>
      <w:r>
        <w:rPr>
          <w:color w:val="231F20"/>
          <w:spacing w:val="-7"/>
          <w:w w:val="110"/>
        </w:rPr>
        <w:t> </w:t>
      </w:r>
      <w:r>
        <w:rPr>
          <w:color w:val="231F20"/>
          <w:w w:val="110"/>
        </w:rPr>
        <w:t>que</w:t>
      </w:r>
      <w:r>
        <w:rPr>
          <w:color w:val="231F20"/>
          <w:spacing w:val="-7"/>
          <w:w w:val="110"/>
        </w:rPr>
        <w:t> </w:t>
      </w:r>
      <w:r>
        <w:rPr>
          <w:color w:val="231F20"/>
          <w:w w:val="110"/>
        </w:rPr>
        <w:t>implicó</w:t>
      </w:r>
      <w:r>
        <w:rPr>
          <w:color w:val="231F20"/>
          <w:spacing w:val="-7"/>
          <w:w w:val="110"/>
        </w:rPr>
        <w:t> </w:t>
      </w:r>
      <w:r>
        <w:rPr>
          <w:color w:val="231F20"/>
          <w:w w:val="110"/>
        </w:rPr>
        <w:t>el</w:t>
      </w:r>
      <w:r>
        <w:rPr>
          <w:color w:val="231F20"/>
          <w:spacing w:val="-7"/>
          <w:w w:val="110"/>
        </w:rPr>
        <w:t> </w:t>
      </w:r>
      <w:r>
        <w:rPr>
          <w:color w:val="231F20"/>
          <w:w w:val="110"/>
        </w:rPr>
        <w:t>desplazamiento</w:t>
      </w:r>
      <w:r>
        <w:rPr>
          <w:color w:val="231F20"/>
          <w:spacing w:val="-7"/>
          <w:w w:val="110"/>
        </w:rPr>
        <w:t> </w:t>
      </w:r>
      <w:r>
        <w:rPr>
          <w:color w:val="231F20"/>
          <w:w w:val="110"/>
        </w:rPr>
        <w:t>de algunas</w:t>
      </w:r>
      <w:r>
        <w:rPr>
          <w:color w:val="231F20"/>
          <w:spacing w:val="-17"/>
          <w:w w:val="110"/>
        </w:rPr>
        <w:t> </w:t>
      </w:r>
      <w:r>
        <w:rPr>
          <w:color w:val="231F20"/>
          <w:w w:val="110"/>
        </w:rPr>
        <w:t>ramas</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actividad</w:t>
      </w:r>
      <w:r>
        <w:rPr>
          <w:color w:val="231F20"/>
          <w:spacing w:val="-17"/>
          <w:w w:val="110"/>
        </w:rPr>
        <w:t> </w:t>
      </w:r>
      <w:r>
        <w:rPr>
          <w:color w:val="231F20"/>
          <w:w w:val="110"/>
        </w:rPr>
        <w:t>industrial</w:t>
      </w:r>
      <w:r>
        <w:rPr>
          <w:color w:val="231F20"/>
          <w:spacing w:val="-17"/>
          <w:w w:val="110"/>
        </w:rPr>
        <w:t> </w:t>
      </w:r>
      <w:r>
        <w:rPr>
          <w:color w:val="231F20"/>
          <w:w w:val="110"/>
        </w:rPr>
        <w:t>del</w:t>
      </w:r>
      <w:r>
        <w:rPr>
          <w:color w:val="231F20"/>
          <w:spacing w:val="-17"/>
          <w:w w:val="110"/>
        </w:rPr>
        <w:t> </w:t>
      </w:r>
      <w:r>
        <w:rPr>
          <w:color w:val="231F20"/>
          <w:w w:val="110"/>
        </w:rPr>
        <w:t>centro</w:t>
      </w:r>
      <w:r>
        <w:rPr>
          <w:color w:val="231F20"/>
          <w:spacing w:val="-17"/>
          <w:w w:val="110"/>
        </w:rPr>
        <w:t> </w:t>
      </w:r>
      <w:r>
        <w:rPr>
          <w:color w:val="231F20"/>
          <w:w w:val="110"/>
        </w:rPr>
        <w:t>hacia</w:t>
      </w:r>
      <w:r>
        <w:rPr>
          <w:color w:val="231F20"/>
          <w:spacing w:val="-17"/>
          <w:w w:val="110"/>
        </w:rPr>
        <w:t> </w:t>
      </w:r>
      <w:r>
        <w:rPr>
          <w:color w:val="231F20"/>
          <w:w w:val="110"/>
        </w:rPr>
        <w:t>el</w:t>
      </w:r>
      <w:r>
        <w:rPr>
          <w:color w:val="231F20"/>
          <w:spacing w:val="-17"/>
          <w:w w:val="110"/>
        </w:rPr>
        <w:t> </w:t>
      </w:r>
      <w:r>
        <w:rPr>
          <w:color w:val="231F20"/>
          <w:w w:val="110"/>
        </w:rPr>
        <w:t>occidente</w:t>
      </w:r>
      <w:r>
        <w:rPr>
          <w:color w:val="231F20"/>
          <w:spacing w:val="-17"/>
          <w:w w:val="110"/>
        </w:rPr>
        <w:t> </w:t>
      </w:r>
      <w:r>
        <w:rPr>
          <w:color w:val="231F20"/>
          <w:w w:val="110"/>
        </w:rPr>
        <w:t>y</w:t>
      </w:r>
      <w:r>
        <w:rPr>
          <w:color w:val="231F20"/>
          <w:spacing w:val="-17"/>
          <w:w w:val="110"/>
        </w:rPr>
        <w:t> </w:t>
      </w:r>
      <w:r>
        <w:rPr>
          <w:color w:val="231F20"/>
          <w:w w:val="110"/>
        </w:rPr>
        <w:t>norte del país, reconfigurando así el destino de la población que migraba de su lugar de origen hacia los centros urbanos que ofrecían oportunidades de trabajo y mejores expectativas de vida (Conapo,</w:t>
      </w:r>
      <w:r>
        <w:rPr>
          <w:color w:val="231F20"/>
          <w:spacing w:val="-28"/>
          <w:w w:val="110"/>
        </w:rPr>
        <w:t> </w:t>
      </w:r>
      <w:r>
        <w:rPr>
          <w:color w:val="231F20"/>
          <w:w w:val="110"/>
        </w:rPr>
        <w:t>2001).</w:t>
      </w:r>
    </w:p>
    <w:p>
      <w:pPr>
        <w:pStyle w:val="BodyText"/>
        <w:spacing w:line="288" w:lineRule="auto"/>
        <w:ind w:left="124" w:right="114" w:firstLine="360"/>
        <w:jc w:val="both"/>
      </w:pPr>
      <w:r>
        <w:rPr>
          <w:color w:val="231F20"/>
          <w:w w:val="110"/>
        </w:rPr>
        <w:t>En</w:t>
      </w:r>
      <w:r>
        <w:rPr>
          <w:color w:val="231F20"/>
          <w:spacing w:val="-11"/>
          <w:w w:val="110"/>
        </w:rPr>
        <w:t> </w:t>
      </w:r>
      <w:r>
        <w:rPr>
          <w:color w:val="231F20"/>
          <w:w w:val="110"/>
        </w:rPr>
        <w:t>el</w:t>
      </w:r>
      <w:r>
        <w:rPr>
          <w:color w:val="231F20"/>
          <w:spacing w:val="-11"/>
          <w:w w:val="110"/>
        </w:rPr>
        <w:t> </w:t>
      </w:r>
      <w:r>
        <w:rPr>
          <w:color w:val="231F20"/>
          <w:spacing w:val="-4"/>
          <w:w w:val="110"/>
        </w:rPr>
        <w:t>periodo</w:t>
      </w:r>
      <w:r>
        <w:rPr>
          <w:color w:val="231F20"/>
          <w:spacing w:val="-11"/>
          <w:w w:val="110"/>
        </w:rPr>
        <w:t> </w:t>
      </w:r>
      <w:r>
        <w:rPr>
          <w:color w:val="231F20"/>
          <w:spacing w:val="-4"/>
          <w:w w:val="110"/>
        </w:rPr>
        <w:t>siguiente</w:t>
      </w:r>
      <w:r>
        <w:rPr>
          <w:color w:val="231F20"/>
          <w:spacing w:val="-11"/>
          <w:w w:val="110"/>
        </w:rPr>
        <w:t> </w:t>
      </w:r>
      <w:r>
        <w:rPr>
          <w:color w:val="231F20"/>
          <w:w w:val="110"/>
        </w:rPr>
        <w:t>de</w:t>
      </w:r>
      <w:r>
        <w:rPr>
          <w:color w:val="231F20"/>
          <w:spacing w:val="-11"/>
          <w:w w:val="110"/>
        </w:rPr>
        <w:t> </w:t>
      </w:r>
      <w:r>
        <w:rPr>
          <w:color w:val="231F20"/>
          <w:spacing w:val="-3"/>
          <w:w w:val="110"/>
        </w:rPr>
        <w:t>2000</w:t>
      </w:r>
      <w:r>
        <w:rPr>
          <w:color w:val="231F20"/>
          <w:spacing w:val="-11"/>
          <w:w w:val="110"/>
        </w:rPr>
        <w:t> </w:t>
      </w:r>
      <w:r>
        <w:rPr>
          <w:color w:val="231F20"/>
          <w:w w:val="110"/>
        </w:rPr>
        <w:t>a</w:t>
      </w:r>
      <w:r>
        <w:rPr>
          <w:color w:val="231F20"/>
          <w:spacing w:val="-11"/>
          <w:w w:val="110"/>
        </w:rPr>
        <w:t> </w:t>
      </w:r>
      <w:r>
        <w:rPr>
          <w:color w:val="231F20"/>
          <w:spacing w:val="-4"/>
          <w:w w:val="110"/>
        </w:rPr>
        <w:t>2010,</w:t>
      </w:r>
      <w:r>
        <w:rPr>
          <w:color w:val="231F20"/>
          <w:spacing w:val="-11"/>
          <w:w w:val="110"/>
        </w:rPr>
        <w:t> </w:t>
      </w:r>
      <w:r>
        <w:rPr>
          <w:color w:val="231F20"/>
          <w:spacing w:val="-3"/>
          <w:w w:val="110"/>
        </w:rPr>
        <w:t>este</w:t>
      </w:r>
      <w:r>
        <w:rPr>
          <w:color w:val="231F20"/>
          <w:spacing w:val="-11"/>
          <w:w w:val="110"/>
        </w:rPr>
        <w:t> </w:t>
      </w:r>
      <w:r>
        <w:rPr>
          <w:color w:val="231F20"/>
          <w:spacing w:val="-4"/>
          <w:w w:val="110"/>
        </w:rPr>
        <w:t>comportamiento</w:t>
      </w:r>
      <w:r>
        <w:rPr>
          <w:color w:val="231F20"/>
          <w:spacing w:val="-11"/>
          <w:w w:val="110"/>
        </w:rPr>
        <w:t> </w:t>
      </w:r>
      <w:r>
        <w:rPr>
          <w:color w:val="231F20"/>
          <w:w w:val="110"/>
        </w:rPr>
        <w:t>se</w:t>
      </w:r>
      <w:r>
        <w:rPr>
          <w:color w:val="231F20"/>
          <w:spacing w:val="-11"/>
          <w:w w:val="110"/>
        </w:rPr>
        <w:t> </w:t>
      </w:r>
      <w:r>
        <w:rPr>
          <w:color w:val="231F20"/>
          <w:spacing w:val="-4"/>
          <w:w w:val="110"/>
        </w:rPr>
        <w:t>mantuvo </w:t>
      </w:r>
      <w:r>
        <w:rPr>
          <w:color w:val="231F20"/>
          <w:w w:val="110"/>
        </w:rPr>
        <w:t>en la condición de alta marginación, a pesar de que el crecimiento en la condición de muy alta marginación se comportó de forma negativa, situa- ción que implicó que en términos absolutos más de 2.6 millones de perso- nas</w:t>
      </w:r>
      <w:r>
        <w:rPr>
          <w:color w:val="231F20"/>
          <w:spacing w:val="-5"/>
          <w:w w:val="110"/>
        </w:rPr>
        <w:t> </w:t>
      </w:r>
      <w:r>
        <w:rPr>
          <w:color w:val="231F20"/>
          <w:w w:val="110"/>
        </w:rPr>
        <w:t>pasaran</w:t>
      </w:r>
      <w:r>
        <w:rPr>
          <w:color w:val="231F20"/>
          <w:spacing w:val="-5"/>
          <w:w w:val="110"/>
        </w:rPr>
        <w:t> </w:t>
      </w:r>
      <w:r>
        <w:rPr>
          <w:color w:val="231F20"/>
          <w:w w:val="110"/>
        </w:rPr>
        <w:t>un</w:t>
      </w:r>
      <w:r>
        <w:rPr>
          <w:color w:val="231F20"/>
          <w:spacing w:val="-5"/>
          <w:w w:val="110"/>
        </w:rPr>
        <w:t> </w:t>
      </w:r>
      <w:r>
        <w:rPr>
          <w:color w:val="231F20"/>
          <w:w w:val="110"/>
        </w:rPr>
        <w:t>estado</w:t>
      </w:r>
      <w:r>
        <w:rPr>
          <w:color w:val="231F20"/>
          <w:spacing w:val="-5"/>
          <w:w w:val="110"/>
        </w:rPr>
        <w:t> </w:t>
      </w:r>
      <w:r>
        <w:rPr>
          <w:color w:val="231F20"/>
          <w:w w:val="110"/>
        </w:rPr>
        <w:t>de</w:t>
      </w:r>
      <w:r>
        <w:rPr>
          <w:color w:val="231F20"/>
          <w:spacing w:val="-5"/>
          <w:w w:val="110"/>
        </w:rPr>
        <w:t> </w:t>
      </w:r>
      <w:r>
        <w:rPr>
          <w:color w:val="231F20"/>
          <w:w w:val="110"/>
        </w:rPr>
        <w:t>déficit</w:t>
      </w:r>
      <w:r>
        <w:rPr>
          <w:color w:val="231F20"/>
          <w:spacing w:val="-5"/>
          <w:w w:val="110"/>
        </w:rPr>
        <w:t> </w:t>
      </w:r>
      <w:r>
        <w:rPr>
          <w:color w:val="231F20"/>
          <w:w w:val="110"/>
        </w:rPr>
        <w:t>de</w:t>
      </w:r>
      <w:r>
        <w:rPr>
          <w:color w:val="231F20"/>
          <w:spacing w:val="-5"/>
          <w:w w:val="110"/>
        </w:rPr>
        <w:t> </w:t>
      </w:r>
      <w:r>
        <w:rPr>
          <w:color w:val="231F20"/>
          <w:w w:val="110"/>
        </w:rPr>
        <w:t>bienestar,</w:t>
      </w:r>
      <w:r>
        <w:rPr>
          <w:color w:val="231F20"/>
          <w:spacing w:val="-5"/>
          <w:w w:val="110"/>
        </w:rPr>
        <w:t> </w:t>
      </w:r>
      <w:r>
        <w:rPr>
          <w:color w:val="231F20"/>
          <w:w w:val="110"/>
        </w:rPr>
        <w:t>al</w:t>
      </w:r>
      <w:r>
        <w:rPr>
          <w:color w:val="231F20"/>
          <w:spacing w:val="-5"/>
          <w:w w:val="110"/>
        </w:rPr>
        <w:t> </w:t>
      </w:r>
      <w:r>
        <w:rPr>
          <w:color w:val="231F20"/>
          <w:w w:val="110"/>
        </w:rPr>
        <w:t>pasar</w:t>
      </w:r>
      <w:r>
        <w:rPr>
          <w:color w:val="231F20"/>
          <w:spacing w:val="-5"/>
          <w:w w:val="110"/>
        </w:rPr>
        <w:t> </w:t>
      </w:r>
      <w:r>
        <w:rPr>
          <w:color w:val="231F20"/>
          <w:w w:val="110"/>
        </w:rPr>
        <w:t>de</w:t>
      </w:r>
      <w:r>
        <w:rPr>
          <w:color w:val="231F20"/>
          <w:spacing w:val="-5"/>
          <w:w w:val="110"/>
        </w:rPr>
        <w:t> </w:t>
      </w:r>
      <w:r>
        <w:rPr>
          <w:color w:val="231F20"/>
          <w:w w:val="110"/>
        </w:rPr>
        <w:t>1.7</w:t>
      </w:r>
      <w:r>
        <w:rPr>
          <w:color w:val="231F20"/>
          <w:spacing w:val="-5"/>
          <w:w w:val="110"/>
        </w:rPr>
        <w:t> </w:t>
      </w:r>
      <w:r>
        <w:rPr>
          <w:color w:val="231F20"/>
          <w:w w:val="110"/>
        </w:rPr>
        <w:t>a</w:t>
      </w:r>
      <w:r>
        <w:rPr>
          <w:color w:val="231F20"/>
          <w:spacing w:val="-5"/>
          <w:w w:val="110"/>
        </w:rPr>
        <w:t> </w:t>
      </w:r>
      <w:r>
        <w:rPr>
          <w:color w:val="231F20"/>
          <w:w w:val="110"/>
        </w:rPr>
        <w:t>2.7</w:t>
      </w:r>
      <w:r>
        <w:rPr>
          <w:color w:val="231F20"/>
          <w:spacing w:val="-5"/>
          <w:w w:val="110"/>
        </w:rPr>
        <w:t> </w:t>
      </w:r>
      <w:r>
        <w:rPr>
          <w:color w:val="231F20"/>
          <w:w w:val="110"/>
        </w:rPr>
        <w:t>millones concentradas en una sola zona metropolitana, lo que significa que 8.0 por ciento de la población metropolitana se encontraba en esta situación (véa- se cuadro 6), generando así un cambio en los estratos sociales al tomar en cuenta la disposición de servicios educativos, condiciones de la vivienda e ingreso,</w:t>
      </w:r>
      <w:r>
        <w:rPr>
          <w:color w:val="231F20"/>
          <w:spacing w:val="-6"/>
          <w:w w:val="110"/>
        </w:rPr>
        <w:t> </w:t>
      </w:r>
      <w:r>
        <w:rPr>
          <w:color w:val="231F20"/>
          <w:w w:val="110"/>
        </w:rPr>
        <w:t>principalmente.</w:t>
      </w:r>
    </w:p>
    <w:p>
      <w:pPr>
        <w:pStyle w:val="BodyText"/>
        <w:spacing w:line="288" w:lineRule="auto"/>
        <w:ind w:left="124" w:right="112" w:firstLine="360"/>
        <w:jc w:val="both"/>
      </w:pPr>
      <w:r>
        <w:rPr>
          <w:color w:val="231F20"/>
          <w:w w:val="110"/>
        </w:rPr>
        <w:t>En</w:t>
      </w:r>
      <w:r>
        <w:rPr>
          <w:color w:val="231F20"/>
          <w:spacing w:val="-8"/>
          <w:w w:val="110"/>
        </w:rPr>
        <w:t> </w:t>
      </w:r>
      <w:r>
        <w:rPr>
          <w:color w:val="231F20"/>
          <w:spacing w:val="-3"/>
          <w:w w:val="110"/>
        </w:rPr>
        <w:t>este</w:t>
      </w:r>
      <w:r>
        <w:rPr>
          <w:color w:val="231F20"/>
          <w:spacing w:val="-8"/>
          <w:w w:val="110"/>
        </w:rPr>
        <w:t> </w:t>
      </w:r>
      <w:r>
        <w:rPr>
          <w:color w:val="231F20"/>
          <w:spacing w:val="-4"/>
          <w:w w:val="110"/>
        </w:rPr>
        <w:t>sentido,</w:t>
      </w:r>
      <w:r>
        <w:rPr>
          <w:color w:val="231F20"/>
          <w:spacing w:val="-8"/>
          <w:w w:val="110"/>
        </w:rPr>
        <w:t> </w:t>
      </w:r>
      <w:r>
        <w:rPr>
          <w:color w:val="231F20"/>
          <w:spacing w:val="-3"/>
          <w:w w:val="110"/>
        </w:rPr>
        <w:t>los</w:t>
      </w:r>
      <w:r>
        <w:rPr>
          <w:color w:val="231F20"/>
          <w:spacing w:val="-8"/>
          <w:w w:val="110"/>
        </w:rPr>
        <w:t> </w:t>
      </w:r>
      <w:r>
        <w:rPr>
          <w:color w:val="231F20"/>
          <w:spacing w:val="-4"/>
          <w:w w:val="110"/>
        </w:rPr>
        <w:t>resultados</w:t>
      </w:r>
      <w:r>
        <w:rPr>
          <w:color w:val="231F20"/>
          <w:spacing w:val="-8"/>
          <w:w w:val="110"/>
        </w:rPr>
        <w:t> </w:t>
      </w:r>
      <w:r>
        <w:rPr>
          <w:color w:val="231F20"/>
          <w:spacing w:val="-4"/>
          <w:w w:val="110"/>
        </w:rPr>
        <w:t>obtenidos</w:t>
      </w:r>
      <w:r>
        <w:rPr>
          <w:color w:val="231F20"/>
          <w:spacing w:val="-8"/>
          <w:w w:val="110"/>
        </w:rPr>
        <w:t> </w:t>
      </w:r>
      <w:r>
        <w:rPr>
          <w:color w:val="231F20"/>
          <w:spacing w:val="-4"/>
          <w:w w:val="110"/>
        </w:rPr>
        <w:t>(véanse</w:t>
      </w:r>
      <w:r>
        <w:rPr>
          <w:color w:val="231F20"/>
          <w:spacing w:val="-8"/>
          <w:w w:val="110"/>
        </w:rPr>
        <w:t> </w:t>
      </w:r>
      <w:r>
        <w:rPr>
          <w:color w:val="231F20"/>
          <w:spacing w:val="-4"/>
          <w:w w:val="110"/>
        </w:rPr>
        <w:t>cuadros</w:t>
      </w:r>
      <w:r>
        <w:rPr>
          <w:color w:val="231F20"/>
          <w:spacing w:val="-8"/>
          <w:w w:val="110"/>
        </w:rPr>
        <w:t> </w:t>
      </w:r>
      <w:r>
        <w:rPr>
          <w:color w:val="231F20"/>
          <w:w w:val="110"/>
        </w:rPr>
        <w:t>4</w:t>
      </w:r>
      <w:r>
        <w:rPr>
          <w:color w:val="231F20"/>
          <w:spacing w:val="-8"/>
          <w:w w:val="110"/>
        </w:rPr>
        <w:t> </w:t>
      </w:r>
      <w:r>
        <w:rPr>
          <w:color w:val="231F20"/>
          <w:w w:val="110"/>
        </w:rPr>
        <w:t>y</w:t>
      </w:r>
      <w:r>
        <w:rPr>
          <w:color w:val="231F20"/>
          <w:spacing w:val="-8"/>
          <w:w w:val="110"/>
        </w:rPr>
        <w:t> </w:t>
      </w:r>
      <w:r>
        <w:rPr>
          <w:color w:val="231F20"/>
          <w:w w:val="110"/>
        </w:rPr>
        <w:t>5)</w:t>
      </w:r>
      <w:r>
        <w:rPr>
          <w:color w:val="231F20"/>
          <w:spacing w:val="-8"/>
          <w:w w:val="110"/>
        </w:rPr>
        <w:t> </w:t>
      </w:r>
      <w:r>
        <w:rPr>
          <w:color w:val="231F20"/>
          <w:spacing w:val="-4"/>
          <w:w w:val="110"/>
        </w:rPr>
        <w:t>permiten </w:t>
      </w:r>
      <w:r>
        <w:rPr>
          <w:color w:val="231F20"/>
          <w:w w:val="110"/>
        </w:rPr>
        <w:t>establecer que en el área de estudio 40.0 por ciento de las zonas metropo- litanas son desfavorecidas, ya que se encuentran en la situación de muy alta y alta marginación. Estos datos nos muestran un fuerte desequilibrio en el desarrollo territorial nacional, ya sea por la inacción del Estado o por la propia de los residentes </w:t>
      </w:r>
      <w:r>
        <w:rPr>
          <w:color w:val="231F20"/>
          <w:spacing w:val="-3"/>
          <w:w w:val="110"/>
        </w:rPr>
        <w:t>(vgr., </w:t>
      </w:r>
      <w:r>
        <w:rPr>
          <w:color w:val="231F20"/>
          <w:w w:val="110"/>
        </w:rPr>
        <w:t>servicios de la vivienda), pues si conside- ramos el grueso de población que radica en estas zonas nos damos cuenta de que más de 53 por ciento (4.5 millones) de la población metropolitana se encuentra en esta condición; situación que muestra la intensa desigual- dad territorial entre las zonas metropolitanas del país, como resultado de la</w:t>
      </w:r>
      <w:r>
        <w:rPr>
          <w:color w:val="231F20"/>
          <w:spacing w:val="-8"/>
          <w:w w:val="110"/>
        </w:rPr>
        <w:t> </w:t>
      </w:r>
      <w:r>
        <w:rPr>
          <w:color w:val="231F20"/>
          <w:w w:val="110"/>
        </w:rPr>
        <w:t>magnitud</w:t>
      </w:r>
      <w:r>
        <w:rPr>
          <w:color w:val="231F20"/>
          <w:spacing w:val="-8"/>
          <w:w w:val="110"/>
        </w:rPr>
        <w:t> </w:t>
      </w:r>
      <w:r>
        <w:rPr>
          <w:color w:val="231F20"/>
          <w:w w:val="110"/>
        </w:rPr>
        <w:t>del</w:t>
      </w:r>
      <w:r>
        <w:rPr>
          <w:color w:val="231F20"/>
          <w:spacing w:val="-8"/>
          <w:w w:val="110"/>
        </w:rPr>
        <w:t> </w:t>
      </w:r>
      <w:r>
        <w:rPr>
          <w:color w:val="231F20"/>
          <w:w w:val="110"/>
        </w:rPr>
        <w:t>déficit</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indicadores</w:t>
      </w:r>
      <w:r>
        <w:rPr>
          <w:color w:val="231F20"/>
          <w:spacing w:val="-8"/>
          <w:w w:val="110"/>
        </w:rPr>
        <w:t> </w:t>
      </w:r>
      <w:r>
        <w:rPr>
          <w:color w:val="231F20"/>
          <w:w w:val="110"/>
        </w:rPr>
        <w:t>socioeconómicos,</w:t>
      </w:r>
      <w:r>
        <w:rPr>
          <w:color w:val="231F20"/>
          <w:spacing w:val="-8"/>
          <w:w w:val="110"/>
        </w:rPr>
        <w:t> </w:t>
      </w:r>
      <w:r>
        <w:rPr>
          <w:color w:val="231F20"/>
          <w:w w:val="110"/>
        </w:rPr>
        <w:t>principalmente</w:t>
      </w:r>
    </w:p>
    <w:p>
      <w:pPr>
        <w:spacing w:after="0" w:line="288" w:lineRule="auto"/>
        <w:jc w:val="both"/>
        <w:sectPr>
          <w:pgSz w:w="9520" w:h="12920"/>
          <w:pgMar w:header="0" w:footer="1344" w:top="880" w:bottom="1540" w:left="1320" w:right="1000"/>
        </w:sectPr>
      </w:pPr>
    </w:p>
    <w:p>
      <w:pPr>
        <w:pStyle w:val="BodyText"/>
        <w:spacing w:line="280" w:lineRule="auto" w:before="42"/>
        <w:ind w:left="100" w:right="117"/>
        <w:jc w:val="both"/>
      </w:pPr>
      <w:r>
        <w:rPr>
          <w:color w:val="231F20"/>
          <w:w w:val="110"/>
        </w:rPr>
        <w:t>la</w:t>
      </w:r>
      <w:r>
        <w:rPr>
          <w:color w:val="231F20"/>
          <w:spacing w:val="-5"/>
          <w:w w:val="110"/>
        </w:rPr>
        <w:t> </w:t>
      </w:r>
      <w:r>
        <w:rPr>
          <w:color w:val="231F20"/>
          <w:w w:val="110"/>
        </w:rPr>
        <w:t>población</w:t>
      </w:r>
      <w:r>
        <w:rPr>
          <w:color w:val="231F20"/>
          <w:spacing w:val="-5"/>
          <w:w w:val="110"/>
        </w:rPr>
        <w:t> </w:t>
      </w:r>
      <w:r>
        <w:rPr>
          <w:color w:val="231F20"/>
          <w:w w:val="110"/>
        </w:rPr>
        <w:t>que</w:t>
      </w:r>
      <w:r>
        <w:rPr>
          <w:color w:val="231F20"/>
          <w:spacing w:val="-5"/>
          <w:w w:val="110"/>
        </w:rPr>
        <w:t> </w:t>
      </w:r>
      <w:r>
        <w:rPr>
          <w:color w:val="231F20"/>
          <w:w w:val="110"/>
        </w:rPr>
        <w:t>no</w:t>
      </w:r>
      <w:r>
        <w:rPr>
          <w:color w:val="231F20"/>
          <w:spacing w:val="-5"/>
          <w:w w:val="110"/>
        </w:rPr>
        <w:t> </w:t>
      </w:r>
      <w:r>
        <w:rPr>
          <w:color w:val="231F20"/>
          <w:w w:val="110"/>
        </w:rPr>
        <w:t>cuenta</w:t>
      </w:r>
      <w:r>
        <w:rPr>
          <w:color w:val="231F20"/>
          <w:spacing w:val="-5"/>
          <w:w w:val="110"/>
        </w:rPr>
        <w:t> </w:t>
      </w:r>
      <w:r>
        <w:rPr>
          <w:color w:val="231F20"/>
          <w:w w:val="110"/>
        </w:rPr>
        <w:t>con</w:t>
      </w:r>
      <w:r>
        <w:rPr>
          <w:color w:val="231F20"/>
          <w:spacing w:val="-5"/>
          <w:w w:val="110"/>
        </w:rPr>
        <w:t> </w:t>
      </w:r>
      <w:r>
        <w:rPr>
          <w:color w:val="231F20"/>
          <w:w w:val="110"/>
        </w:rPr>
        <w:t>educación</w:t>
      </w:r>
      <w:r>
        <w:rPr>
          <w:color w:val="231F20"/>
          <w:spacing w:val="-5"/>
          <w:w w:val="110"/>
        </w:rPr>
        <w:t> </w:t>
      </w:r>
      <w:r>
        <w:rPr>
          <w:color w:val="231F20"/>
          <w:w w:val="110"/>
        </w:rPr>
        <w:t>básica</w:t>
      </w:r>
      <w:r>
        <w:rPr>
          <w:color w:val="231F20"/>
          <w:spacing w:val="-5"/>
          <w:w w:val="110"/>
        </w:rPr>
        <w:t> </w:t>
      </w:r>
      <w:r>
        <w:rPr>
          <w:color w:val="231F20"/>
          <w:w w:val="110"/>
        </w:rPr>
        <w:t>terminada,</w:t>
      </w:r>
      <w:r>
        <w:rPr>
          <w:color w:val="231F20"/>
          <w:spacing w:val="-5"/>
          <w:w w:val="110"/>
        </w:rPr>
        <w:t> </w:t>
      </w:r>
      <w:r>
        <w:rPr>
          <w:color w:val="231F20"/>
          <w:w w:val="110"/>
        </w:rPr>
        <w:t>disponibilidad de</w:t>
      </w:r>
      <w:r>
        <w:rPr>
          <w:color w:val="231F20"/>
          <w:spacing w:val="-10"/>
          <w:w w:val="110"/>
        </w:rPr>
        <w:t> </w:t>
      </w:r>
      <w:r>
        <w:rPr>
          <w:color w:val="231F20"/>
          <w:spacing w:val="-4"/>
          <w:w w:val="110"/>
        </w:rPr>
        <w:t>vivienda</w:t>
      </w:r>
      <w:r>
        <w:rPr>
          <w:color w:val="231F20"/>
          <w:spacing w:val="-10"/>
          <w:w w:val="110"/>
        </w:rPr>
        <w:t> </w:t>
      </w:r>
      <w:r>
        <w:rPr>
          <w:color w:val="231F20"/>
          <w:spacing w:val="-4"/>
          <w:w w:val="110"/>
        </w:rPr>
        <w:t>(hacinamiento)</w:t>
      </w:r>
      <w:r>
        <w:rPr>
          <w:color w:val="231F20"/>
          <w:spacing w:val="-10"/>
          <w:w w:val="110"/>
        </w:rPr>
        <w:t> </w:t>
      </w:r>
      <w:r>
        <w:rPr>
          <w:color w:val="231F20"/>
          <w:w w:val="110"/>
        </w:rPr>
        <w:t>y</w:t>
      </w:r>
      <w:r>
        <w:rPr>
          <w:color w:val="231F20"/>
          <w:spacing w:val="-10"/>
          <w:w w:val="110"/>
        </w:rPr>
        <w:t> </w:t>
      </w:r>
      <w:r>
        <w:rPr>
          <w:color w:val="231F20"/>
          <w:spacing w:val="-3"/>
          <w:w w:val="110"/>
        </w:rPr>
        <w:t>alto</w:t>
      </w:r>
      <w:r>
        <w:rPr>
          <w:color w:val="231F20"/>
          <w:spacing w:val="-10"/>
          <w:w w:val="110"/>
        </w:rPr>
        <w:t> </w:t>
      </w:r>
      <w:r>
        <w:rPr>
          <w:color w:val="231F20"/>
          <w:spacing w:val="-4"/>
          <w:w w:val="110"/>
        </w:rPr>
        <w:t>porcentaje</w:t>
      </w:r>
      <w:r>
        <w:rPr>
          <w:color w:val="231F20"/>
          <w:spacing w:val="-10"/>
          <w:w w:val="110"/>
        </w:rPr>
        <w:t> </w:t>
      </w:r>
      <w:r>
        <w:rPr>
          <w:color w:val="231F20"/>
          <w:w w:val="110"/>
        </w:rPr>
        <w:t>de</w:t>
      </w:r>
      <w:r>
        <w:rPr>
          <w:color w:val="231F20"/>
          <w:spacing w:val="-10"/>
          <w:w w:val="110"/>
        </w:rPr>
        <w:t> </w:t>
      </w:r>
      <w:r>
        <w:rPr>
          <w:color w:val="231F20"/>
          <w:spacing w:val="-4"/>
          <w:w w:val="110"/>
        </w:rPr>
        <w:t>población</w:t>
      </w:r>
      <w:r>
        <w:rPr>
          <w:color w:val="231F20"/>
          <w:spacing w:val="-10"/>
          <w:w w:val="110"/>
        </w:rPr>
        <w:t> </w:t>
      </w:r>
      <w:r>
        <w:rPr>
          <w:color w:val="231F20"/>
          <w:spacing w:val="-3"/>
          <w:w w:val="110"/>
        </w:rPr>
        <w:t>que</w:t>
      </w:r>
      <w:r>
        <w:rPr>
          <w:color w:val="231F20"/>
          <w:spacing w:val="-10"/>
          <w:w w:val="110"/>
        </w:rPr>
        <w:t> </w:t>
      </w:r>
      <w:r>
        <w:rPr>
          <w:color w:val="231F20"/>
          <w:spacing w:val="-3"/>
          <w:w w:val="110"/>
        </w:rPr>
        <w:t>gana</w:t>
      </w:r>
      <w:r>
        <w:rPr>
          <w:color w:val="231F20"/>
          <w:spacing w:val="-10"/>
          <w:w w:val="110"/>
        </w:rPr>
        <w:t> </w:t>
      </w:r>
      <w:r>
        <w:rPr>
          <w:color w:val="231F20"/>
          <w:spacing w:val="-4"/>
          <w:w w:val="110"/>
        </w:rPr>
        <w:t>hasta</w:t>
      </w:r>
      <w:r>
        <w:rPr>
          <w:color w:val="231F20"/>
          <w:spacing w:val="-10"/>
          <w:w w:val="110"/>
        </w:rPr>
        <w:t> </w:t>
      </w:r>
      <w:r>
        <w:rPr>
          <w:color w:val="231F20"/>
          <w:spacing w:val="-3"/>
          <w:w w:val="110"/>
        </w:rPr>
        <w:t>dos </w:t>
      </w:r>
      <w:r>
        <w:rPr>
          <w:color w:val="231F20"/>
          <w:w w:val="110"/>
        </w:rPr>
        <w:t>salarios</w:t>
      </w:r>
      <w:r>
        <w:rPr>
          <w:color w:val="231F20"/>
          <w:spacing w:val="-4"/>
          <w:w w:val="110"/>
        </w:rPr>
        <w:t> </w:t>
      </w:r>
      <w:r>
        <w:rPr>
          <w:color w:val="231F20"/>
          <w:w w:val="110"/>
        </w:rPr>
        <w:t>mínimos,</w:t>
      </w:r>
      <w:r>
        <w:rPr>
          <w:color w:val="231F20"/>
          <w:spacing w:val="-4"/>
          <w:w w:val="110"/>
        </w:rPr>
        <w:t> </w:t>
      </w:r>
      <w:r>
        <w:rPr>
          <w:color w:val="231F20"/>
          <w:w w:val="110"/>
        </w:rPr>
        <w:t>lo</w:t>
      </w:r>
      <w:r>
        <w:rPr>
          <w:color w:val="231F20"/>
          <w:spacing w:val="-4"/>
          <w:w w:val="110"/>
        </w:rPr>
        <w:t> </w:t>
      </w:r>
      <w:r>
        <w:rPr>
          <w:color w:val="231F20"/>
          <w:w w:val="110"/>
        </w:rPr>
        <w:t>que</w:t>
      </w:r>
      <w:r>
        <w:rPr>
          <w:color w:val="231F20"/>
          <w:spacing w:val="-4"/>
          <w:w w:val="110"/>
        </w:rPr>
        <w:t> </w:t>
      </w:r>
      <w:r>
        <w:rPr>
          <w:color w:val="231F20"/>
          <w:w w:val="110"/>
        </w:rPr>
        <w:t>indica</w:t>
      </w:r>
      <w:r>
        <w:rPr>
          <w:color w:val="231F20"/>
          <w:spacing w:val="-4"/>
          <w:w w:val="110"/>
        </w:rPr>
        <w:t> </w:t>
      </w:r>
      <w:r>
        <w:rPr>
          <w:color w:val="231F20"/>
          <w:w w:val="110"/>
        </w:rPr>
        <w:t>que</w:t>
      </w:r>
      <w:r>
        <w:rPr>
          <w:color w:val="231F20"/>
          <w:spacing w:val="-4"/>
          <w:w w:val="110"/>
        </w:rPr>
        <w:t> </w:t>
      </w:r>
      <w:r>
        <w:rPr>
          <w:color w:val="231F20"/>
          <w:w w:val="110"/>
        </w:rPr>
        <w:t>40</w:t>
      </w:r>
      <w:r>
        <w:rPr>
          <w:color w:val="231F20"/>
          <w:spacing w:val="-4"/>
          <w:w w:val="110"/>
        </w:rPr>
        <w:t> </w:t>
      </w:r>
      <w:r>
        <w:rPr>
          <w:color w:val="231F20"/>
          <w:w w:val="110"/>
        </w:rPr>
        <w:t>por</w:t>
      </w:r>
      <w:r>
        <w:rPr>
          <w:color w:val="231F20"/>
          <w:spacing w:val="-4"/>
          <w:w w:val="110"/>
        </w:rPr>
        <w:t> </w:t>
      </w:r>
      <w:r>
        <w:rPr>
          <w:color w:val="231F20"/>
          <w:w w:val="110"/>
        </w:rPr>
        <w:t>ciento</w:t>
      </w:r>
      <w:r>
        <w:rPr>
          <w:color w:val="231F20"/>
          <w:spacing w:val="-4"/>
          <w:w w:val="110"/>
        </w:rPr>
        <w:t> </w:t>
      </w:r>
      <w:r>
        <w:rPr>
          <w:color w:val="231F20"/>
          <w:w w:val="110"/>
        </w:rPr>
        <w:t>de</w:t>
      </w:r>
      <w:r>
        <w:rPr>
          <w:color w:val="231F20"/>
          <w:spacing w:val="-4"/>
          <w:w w:val="110"/>
        </w:rPr>
        <w:t> </w:t>
      </w:r>
      <w:r>
        <w:rPr>
          <w:color w:val="231F20"/>
          <w:w w:val="110"/>
        </w:rPr>
        <w:t>las</w:t>
      </w:r>
      <w:r>
        <w:rPr>
          <w:color w:val="231F20"/>
          <w:spacing w:val="-4"/>
          <w:w w:val="110"/>
        </w:rPr>
        <w:t> </w:t>
      </w:r>
      <w:r>
        <w:rPr>
          <w:color w:val="231F20"/>
          <w:w w:val="110"/>
        </w:rPr>
        <w:t>zonas</w:t>
      </w:r>
      <w:r>
        <w:rPr>
          <w:color w:val="231F20"/>
          <w:spacing w:val="-4"/>
          <w:w w:val="110"/>
        </w:rPr>
        <w:t> </w:t>
      </w:r>
      <w:r>
        <w:rPr>
          <w:color w:val="231F20"/>
          <w:w w:val="110"/>
        </w:rPr>
        <w:t>metropolita- nas</w:t>
      </w:r>
      <w:r>
        <w:rPr>
          <w:color w:val="231F20"/>
          <w:spacing w:val="-19"/>
          <w:w w:val="110"/>
        </w:rPr>
        <w:t> </w:t>
      </w:r>
      <w:r>
        <w:rPr>
          <w:color w:val="231F20"/>
          <w:w w:val="110"/>
        </w:rPr>
        <w:t>continúan</w:t>
      </w:r>
      <w:r>
        <w:rPr>
          <w:color w:val="231F20"/>
          <w:spacing w:val="-19"/>
          <w:w w:val="110"/>
        </w:rPr>
        <w:t> </w:t>
      </w:r>
      <w:r>
        <w:rPr>
          <w:color w:val="231F20"/>
          <w:w w:val="110"/>
        </w:rPr>
        <w:t>aisladas</w:t>
      </w:r>
      <w:r>
        <w:rPr>
          <w:color w:val="231F20"/>
          <w:spacing w:val="-19"/>
          <w:w w:val="110"/>
        </w:rPr>
        <w:t> </w:t>
      </w:r>
      <w:r>
        <w:rPr>
          <w:color w:val="231F20"/>
          <w:w w:val="110"/>
        </w:rPr>
        <w:t>de</w:t>
      </w:r>
      <w:r>
        <w:rPr>
          <w:color w:val="231F20"/>
          <w:spacing w:val="-19"/>
          <w:w w:val="110"/>
        </w:rPr>
        <w:t> </w:t>
      </w:r>
      <w:r>
        <w:rPr>
          <w:color w:val="231F20"/>
          <w:w w:val="110"/>
        </w:rPr>
        <w:t>los</w:t>
      </w:r>
      <w:r>
        <w:rPr>
          <w:color w:val="231F20"/>
          <w:spacing w:val="-19"/>
          <w:w w:val="110"/>
        </w:rPr>
        <w:t> </w:t>
      </w:r>
      <w:r>
        <w:rPr>
          <w:color w:val="231F20"/>
          <w:w w:val="110"/>
        </w:rPr>
        <w:t>beneficios</w:t>
      </w:r>
      <w:r>
        <w:rPr>
          <w:color w:val="231F20"/>
          <w:spacing w:val="-19"/>
          <w:w w:val="110"/>
        </w:rPr>
        <w:t> </w:t>
      </w:r>
      <w:r>
        <w:rPr>
          <w:color w:val="231F20"/>
          <w:w w:val="110"/>
        </w:rPr>
        <w:t>del</w:t>
      </w:r>
      <w:r>
        <w:rPr>
          <w:color w:val="231F20"/>
          <w:spacing w:val="-19"/>
          <w:w w:val="110"/>
        </w:rPr>
        <w:t> </w:t>
      </w:r>
      <w:r>
        <w:rPr>
          <w:color w:val="231F20"/>
          <w:w w:val="110"/>
        </w:rPr>
        <w:t>desarrollo</w:t>
      </w:r>
      <w:r>
        <w:rPr>
          <w:color w:val="231F20"/>
          <w:spacing w:val="-19"/>
          <w:w w:val="110"/>
        </w:rPr>
        <w:t> </w:t>
      </w:r>
      <w:r>
        <w:rPr>
          <w:color w:val="231F20"/>
          <w:w w:val="110"/>
        </w:rPr>
        <w:t>general</w:t>
      </w:r>
      <w:r>
        <w:rPr>
          <w:color w:val="231F20"/>
          <w:spacing w:val="-19"/>
          <w:w w:val="110"/>
        </w:rPr>
        <w:t> </w:t>
      </w:r>
      <w:r>
        <w:rPr>
          <w:color w:val="231F20"/>
          <w:w w:val="110"/>
        </w:rPr>
        <w:t>del</w:t>
      </w:r>
      <w:r>
        <w:rPr>
          <w:color w:val="231F20"/>
          <w:spacing w:val="-19"/>
          <w:w w:val="110"/>
        </w:rPr>
        <w:t> </w:t>
      </w:r>
      <w:r>
        <w:rPr>
          <w:color w:val="231F20"/>
          <w:w w:val="110"/>
        </w:rPr>
        <w:t>país</w:t>
      </w:r>
      <w:r>
        <w:rPr>
          <w:color w:val="231F20"/>
          <w:spacing w:val="-19"/>
          <w:w w:val="110"/>
        </w:rPr>
        <w:t> </w:t>
      </w:r>
      <w:r>
        <w:rPr>
          <w:color w:val="231F20"/>
          <w:w w:val="110"/>
        </w:rPr>
        <w:t>como consecuencia del aislamiento de los asentamientos en gran cantidad de localidades</w:t>
      </w:r>
      <w:r>
        <w:rPr>
          <w:color w:val="231F20"/>
          <w:spacing w:val="-15"/>
          <w:w w:val="110"/>
        </w:rPr>
        <w:t> </w:t>
      </w:r>
      <w:r>
        <w:rPr>
          <w:color w:val="231F20"/>
          <w:w w:val="110"/>
        </w:rPr>
        <w:t>y</w:t>
      </w:r>
      <w:r>
        <w:rPr>
          <w:color w:val="231F20"/>
          <w:spacing w:val="-15"/>
          <w:w w:val="110"/>
        </w:rPr>
        <w:t> </w:t>
      </w:r>
      <w:r>
        <w:rPr>
          <w:color w:val="231F20"/>
          <w:w w:val="110"/>
        </w:rPr>
        <w:t>su</w:t>
      </w:r>
      <w:r>
        <w:rPr>
          <w:color w:val="231F20"/>
          <w:spacing w:val="-15"/>
          <w:w w:val="110"/>
        </w:rPr>
        <w:t> </w:t>
      </w:r>
      <w:r>
        <w:rPr>
          <w:color w:val="231F20"/>
          <w:w w:val="110"/>
        </w:rPr>
        <w:t>dispersión</w:t>
      </w:r>
      <w:r>
        <w:rPr>
          <w:color w:val="231F20"/>
          <w:spacing w:val="-15"/>
          <w:w w:val="110"/>
        </w:rPr>
        <w:t> </w:t>
      </w:r>
      <w:r>
        <w:rPr>
          <w:color w:val="231F20"/>
          <w:w w:val="110"/>
        </w:rPr>
        <w:t>en</w:t>
      </w:r>
      <w:r>
        <w:rPr>
          <w:color w:val="231F20"/>
          <w:spacing w:val="-15"/>
          <w:w w:val="110"/>
        </w:rPr>
        <w:t> </w:t>
      </w:r>
      <w:r>
        <w:rPr>
          <w:color w:val="231F20"/>
          <w:w w:val="110"/>
        </w:rPr>
        <w:t>extensos</w:t>
      </w:r>
      <w:r>
        <w:rPr>
          <w:color w:val="231F20"/>
          <w:spacing w:val="-15"/>
          <w:w w:val="110"/>
        </w:rPr>
        <w:t> </w:t>
      </w:r>
      <w:r>
        <w:rPr>
          <w:color w:val="231F20"/>
          <w:w w:val="110"/>
        </w:rPr>
        <w:t>territorios</w:t>
      </w:r>
      <w:r>
        <w:rPr>
          <w:color w:val="231F20"/>
          <w:spacing w:val="-15"/>
          <w:w w:val="110"/>
        </w:rPr>
        <w:t> </w:t>
      </w:r>
      <w:r>
        <w:rPr>
          <w:color w:val="231F20"/>
          <w:w w:val="110"/>
        </w:rPr>
        <w:t>(Pamplona,</w:t>
      </w:r>
      <w:r>
        <w:rPr>
          <w:color w:val="231F20"/>
          <w:spacing w:val="-15"/>
          <w:w w:val="110"/>
        </w:rPr>
        <w:t> </w:t>
      </w:r>
      <w:r>
        <w:rPr>
          <w:color w:val="231F20"/>
          <w:w w:val="110"/>
        </w:rPr>
        <w:t>Monterrubio y Mejía,</w:t>
      </w:r>
      <w:r>
        <w:rPr>
          <w:color w:val="231F20"/>
          <w:spacing w:val="-24"/>
          <w:w w:val="110"/>
        </w:rPr>
        <w:t> </w:t>
      </w:r>
      <w:r>
        <w:rPr>
          <w:color w:val="231F20"/>
          <w:w w:val="110"/>
        </w:rPr>
        <w:t>1993).</w:t>
      </w:r>
    </w:p>
    <w:p>
      <w:pPr>
        <w:pStyle w:val="BodyText"/>
        <w:spacing w:line="280" w:lineRule="auto"/>
        <w:ind w:left="100" w:right="116" w:firstLine="360"/>
        <w:jc w:val="both"/>
      </w:pPr>
      <w:r>
        <w:rPr>
          <w:color w:val="231F20"/>
          <w:w w:val="110"/>
        </w:rPr>
        <w:t>Diversos estudios explican la situación de desigualdad que viven los centros urbanos, entre los que se encuentra el de Hernández Laos (2009), Marañon,</w:t>
      </w:r>
      <w:r>
        <w:rPr>
          <w:color w:val="231F20"/>
          <w:spacing w:val="-11"/>
          <w:w w:val="110"/>
        </w:rPr>
        <w:t> </w:t>
      </w:r>
      <w:r>
        <w:rPr>
          <w:color w:val="231F20"/>
          <w:w w:val="110"/>
        </w:rPr>
        <w:t>Sosa</w:t>
      </w:r>
      <w:r>
        <w:rPr>
          <w:color w:val="231F20"/>
          <w:spacing w:val="-11"/>
          <w:w w:val="110"/>
        </w:rPr>
        <w:t> </w:t>
      </w:r>
      <w:r>
        <w:rPr>
          <w:color w:val="231F20"/>
          <w:w w:val="110"/>
        </w:rPr>
        <w:t>y</w:t>
      </w:r>
      <w:r>
        <w:rPr>
          <w:color w:val="231F20"/>
          <w:spacing w:val="-11"/>
          <w:w w:val="110"/>
        </w:rPr>
        <w:t> </w:t>
      </w:r>
      <w:r>
        <w:rPr>
          <w:color w:val="231F20"/>
          <w:spacing w:val="-3"/>
          <w:w w:val="110"/>
        </w:rPr>
        <w:t>Villarespe</w:t>
      </w:r>
      <w:r>
        <w:rPr>
          <w:color w:val="231F20"/>
          <w:spacing w:val="-11"/>
          <w:w w:val="110"/>
        </w:rPr>
        <w:t> </w:t>
      </w:r>
      <w:r>
        <w:rPr>
          <w:color w:val="231F20"/>
          <w:w w:val="110"/>
        </w:rPr>
        <w:t>(2009),</w:t>
      </w:r>
      <w:r>
        <w:rPr>
          <w:color w:val="231F20"/>
          <w:spacing w:val="-11"/>
          <w:w w:val="110"/>
        </w:rPr>
        <w:t> </w:t>
      </w:r>
      <w:r>
        <w:rPr>
          <w:color w:val="231F20"/>
          <w:w w:val="110"/>
        </w:rPr>
        <w:t>que</w:t>
      </w:r>
      <w:r>
        <w:rPr>
          <w:color w:val="231F20"/>
          <w:spacing w:val="-11"/>
          <w:w w:val="110"/>
        </w:rPr>
        <w:t> </w:t>
      </w:r>
      <w:r>
        <w:rPr>
          <w:color w:val="231F20"/>
          <w:w w:val="110"/>
        </w:rPr>
        <w:t>plantean</w:t>
      </w:r>
      <w:r>
        <w:rPr>
          <w:color w:val="231F20"/>
          <w:spacing w:val="-11"/>
          <w:w w:val="110"/>
        </w:rPr>
        <w:t> </w:t>
      </w:r>
      <w:r>
        <w:rPr>
          <w:color w:val="231F20"/>
          <w:w w:val="110"/>
        </w:rPr>
        <w:t>que</w:t>
      </w:r>
      <w:r>
        <w:rPr>
          <w:color w:val="231F20"/>
          <w:spacing w:val="-11"/>
          <w:w w:val="110"/>
        </w:rPr>
        <w:t> </w:t>
      </w:r>
      <w:r>
        <w:rPr>
          <w:color w:val="231F20"/>
          <w:w w:val="110"/>
        </w:rPr>
        <w:t>las</w:t>
      </w:r>
      <w:r>
        <w:rPr>
          <w:color w:val="231F20"/>
          <w:spacing w:val="-11"/>
          <w:w w:val="110"/>
        </w:rPr>
        <w:t> </w:t>
      </w:r>
      <w:r>
        <w:rPr>
          <w:color w:val="231F20"/>
          <w:w w:val="110"/>
        </w:rPr>
        <w:t>causas</w:t>
      </w:r>
      <w:r>
        <w:rPr>
          <w:color w:val="231F20"/>
          <w:spacing w:val="-11"/>
          <w:w w:val="110"/>
        </w:rPr>
        <w:t> </w:t>
      </w:r>
      <w:r>
        <w:rPr>
          <w:color w:val="231F20"/>
          <w:w w:val="110"/>
        </w:rPr>
        <w:t>centrales</w:t>
      </w:r>
      <w:r>
        <w:rPr>
          <w:color w:val="231F20"/>
          <w:spacing w:val="-11"/>
          <w:w w:val="110"/>
        </w:rPr>
        <w:t> </w:t>
      </w:r>
      <w:r>
        <w:rPr>
          <w:color w:val="231F20"/>
          <w:w w:val="110"/>
        </w:rPr>
        <w:t>de la situación tienen un carácter netamente económico y responden a las consecuencias de las crisis recurrentes que ha sufrido la economía nacio- </w:t>
      </w:r>
      <w:r>
        <w:rPr>
          <w:color w:val="231F20"/>
          <w:spacing w:val="-3"/>
          <w:w w:val="110"/>
        </w:rPr>
        <w:t>nal, </w:t>
      </w:r>
      <w:r>
        <w:rPr>
          <w:color w:val="231F20"/>
          <w:w w:val="110"/>
        </w:rPr>
        <w:t>y </w:t>
      </w:r>
      <w:r>
        <w:rPr>
          <w:color w:val="231F20"/>
          <w:spacing w:val="-3"/>
          <w:w w:val="110"/>
        </w:rPr>
        <w:t>que </w:t>
      </w:r>
      <w:r>
        <w:rPr>
          <w:color w:val="231F20"/>
          <w:w w:val="110"/>
        </w:rPr>
        <w:t>se </w:t>
      </w:r>
      <w:r>
        <w:rPr>
          <w:color w:val="231F20"/>
          <w:spacing w:val="-4"/>
          <w:w w:val="110"/>
        </w:rPr>
        <w:t>relacionan </w:t>
      </w:r>
      <w:r>
        <w:rPr>
          <w:color w:val="231F20"/>
          <w:w w:val="110"/>
        </w:rPr>
        <w:t>de </w:t>
      </w:r>
      <w:r>
        <w:rPr>
          <w:color w:val="231F20"/>
          <w:spacing w:val="-4"/>
          <w:w w:val="110"/>
        </w:rPr>
        <w:t>manera directa </w:t>
      </w:r>
      <w:r>
        <w:rPr>
          <w:color w:val="231F20"/>
          <w:spacing w:val="-3"/>
          <w:w w:val="110"/>
        </w:rPr>
        <w:t>con los </w:t>
      </w:r>
      <w:r>
        <w:rPr>
          <w:color w:val="231F20"/>
          <w:spacing w:val="-4"/>
          <w:w w:val="110"/>
        </w:rPr>
        <w:t>indicadores salariales </w:t>
      </w:r>
      <w:r>
        <w:rPr>
          <w:color w:val="231F20"/>
          <w:w w:val="110"/>
        </w:rPr>
        <w:t>y de ocupación. Al respecto, plantean que el nivel de ingreso de la población durante</w:t>
      </w:r>
      <w:r>
        <w:rPr>
          <w:color w:val="231F20"/>
          <w:spacing w:val="-6"/>
          <w:w w:val="110"/>
        </w:rPr>
        <w:t> </w:t>
      </w:r>
      <w:r>
        <w:rPr>
          <w:color w:val="231F20"/>
          <w:w w:val="110"/>
        </w:rPr>
        <w:t>los</w:t>
      </w:r>
      <w:r>
        <w:rPr>
          <w:color w:val="231F20"/>
          <w:spacing w:val="-6"/>
          <w:w w:val="110"/>
        </w:rPr>
        <w:t> </w:t>
      </w:r>
      <w:r>
        <w:rPr>
          <w:color w:val="231F20"/>
          <w:w w:val="110"/>
        </w:rPr>
        <w:t>años</w:t>
      </w:r>
      <w:r>
        <w:rPr>
          <w:color w:val="231F20"/>
          <w:spacing w:val="-6"/>
          <w:w w:val="110"/>
        </w:rPr>
        <w:t> </w:t>
      </w:r>
      <w:r>
        <w:rPr>
          <w:color w:val="231F20"/>
          <w:w w:val="110"/>
        </w:rPr>
        <w:t>noventa</w:t>
      </w:r>
      <w:r>
        <w:rPr>
          <w:color w:val="231F20"/>
          <w:spacing w:val="-6"/>
          <w:w w:val="110"/>
        </w:rPr>
        <w:t> </w:t>
      </w:r>
      <w:r>
        <w:rPr>
          <w:color w:val="231F20"/>
          <w:w w:val="110"/>
        </w:rPr>
        <w:t>registró</w:t>
      </w:r>
      <w:r>
        <w:rPr>
          <w:color w:val="231F20"/>
          <w:spacing w:val="-6"/>
          <w:w w:val="110"/>
        </w:rPr>
        <w:t> </w:t>
      </w:r>
      <w:r>
        <w:rPr>
          <w:color w:val="231F20"/>
          <w:w w:val="110"/>
        </w:rPr>
        <w:t>una</w:t>
      </w:r>
      <w:r>
        <w:rPr>
          <w:color w:val="231F20"/>
          <w:spacing w:val="-6"/>
          <w:w w:val="110"/>
        </w:rPr>
        <w:t> </w:t>
      </w:r>
      <w:r>
        <w:rPr>
          <w:color w:val="231F20"/>
          <w:w w:val="110"/>
        </w:rPr>
        <w:t>reducción</w:t>
      </w:r>
      <w:r>
        <w:rPr>
          <w:color w:val="231F20"/>
          <w:spacing w:val="-6"/>
          <w:w w:val="110"/>
        </w:rPr>
        <w:t> </w:t>
      </w:r>
      <w:r>
        <w:rPr>
          <w:color w:val="231F20"/>
          <w:w w:val="110"/>
        </w:rPr>
        <w:t>importante</w:t>
      </w:r>
      <w:r>
        <w:rPr>
          <w:color w:val="231F20"/>
          <w:spacing w:val="-6"/>
          <w:w w:val="110"/>
        </w:rPr>
        <w:t> </w:t>
      </w:r>
      <w:r>
        <w:rPr>
          <w:color w:val="231F20"/>
          <w:w w:val="110"/>
        </w:rPr>
        <w:t>que</w:t>
      </w:r>
      <w:r>
        <w:rPr>
          <w:color w:val="231F20"/>
          <w:spacing w:val="-6"/>
          <w:w w:val="110"/>
        </w:rPr>
        <w:t> </w:t>
      </w:r>
      <w:r>
        <w:rPr>
          <w:color w:val="231F20"/>
          <w:w w:val="110"/>
        </w:rPr>
        <w:t>se</w:t>
      </w:r>
      <w:r>
        <w:rPr>
          <w:color w:val="231F20"/>
          <w:spacing w:val="-6"/>
          <w:w w:val="110"/>
        </w:rPr>
        <w:t> </w:t>
      </w:r>
      <w:r>
        <w:rPr>
          <w:color w:val="231F20"/>
          <w:w w:val="110"/>
        </w:rPr>
        <w:t>explica por</w:t>
      </w:r>
      <w:r>
        <w:rPr>
          <w:color w:val="231F20"/>
          <w:spacing w:val="-5"/>
          <w:w w:val="110"/>
        </w:rPr>
        <w:t> </w:t>
      </w:r>
      <w:r>
        <w:rPr>
          <w:color w:val="231F20"/>
          <w:w w:val="110"/>
        </w:rPr>
        <w:t>la</w:t>
      </w:r>
      <w:r>
        <w:rPr>
          <w:color w:val="231F20"/>
          <w:spacing w:val="-5"/>
          <w:w w:val="110"/>
        </w:rPr>
        <w:t> </w:t>
      </w:r>
      <w:r>
        <w:rPr>
          <w:color w:val="231F20"/>
          <w:w w:val="110"/>
        </w:rPr>
        <w:t>disminución,</w:t>
      </w:r>
      <w:r>
        <w:rPr>
          <w:color w:val="231F20"/>
          <w:spacing w:val="-5"/>
          <w:w w:val="110"/>
        </w:rPr>
        <w:t> </w:t>
      </w:r>
      <w:r>
        <w:rPr>
          <w:color w:val="231F20"/>
          <w:w w:val="110"/>
        </w:rPr>
        <w:t>en</w:t>
      </w:r>
      <w:r>
        <w:rPr>
          <w:color w:val="231F20"/>
          <w:spacing w:val="-5"/>
          <w:w w:val="110"/>
        </w:rPr>
        <w:t> </w:t>
      </w:r>
      <w:r>
        <w:rPr>
          <w:color w:val="231F20"/>
          <w:w w:val="110"/>
        </w:rPr>
        <w:t>términos</w:t>
      </w:r>
      <w:r>
        <w:rPr>
          <w:color w:val="231F20"/>
          <w:spacing w:val="-5"/>
          <w:w w:val="110"/>
        </w:rPr>
        <w:t> </w:t>
      </w:r>
      <w:r>
        <w:rPr>
          <w:color w:val="231F20"/>
          <w:w w:val="110"/>
        </w:rPr>
        <w:t>nominales,</w:t>
      </w:r>
      <w:r>
        <w:rPr>
          <w:color w:val="231F20"/>
          <w:spacing w:val="-5"/>
          <w:w w:val="110"/>
        </w:rPr>
        <w:t> </w:t>
      </w:r>
      <w:r>
        <w:rPr>
          <w:color w:val="231F20"/>
          <w:w w:val="110"/>
        </w:rPr>
        <w:t>del</w:t>
      </w:r>
      <w:r>
        <w:rPr>
          <w:color w:val="231F20"/>
          <w:spacing w:val="-5"/>
          <w:w w:val="110"/>
        </w:rPr>
        <w:t> </w:t>
      </w:r>
      <w:r>
        <w:rPr>
          <w:color w:val="231F20"/>
          <w:w w:val="110"/>
        </w:rPr>
        <w:t>salario</w:t>
      </w:r>
      <w:r>
        <w:rPr>
          <w:color w:val="231F20"/>
          <w:spacing w:val="-5"/>
          <w:w w:val="110"/>
        </w:rPr>
        <w:t> </w:t>
      </w:r>
      <w:r>
        <w:rPr>
          <w:color w:val="231F20"/>
          <w:w w:val="110"/>
        </w:rPr>
        <w:t>mínimo</w:t>
      </w:r>
      <w:r>
        <w:rPr>
          <w:color w:val="231F20"/>
          <w:spacing w:val="-5"/>
          <w:w w:val="110"/>
        </w:rPr>
        <w:t> </w:t>
      </w:r>
      <w:r>
        <w:rPr>
          <w:color w:val="231F20"/>
          <w:w w:val="110"/>
        </w:rPr>
        <w:t>al</w:t>
      </w:r>
      <w:r>
        <w:rPr>
          <w:color w:val="231F20"/>
          <w:spacing w:val="-5"/>
          <w:w w:val="110"/>
        </w:rPr>
        <w:t> </w:t>
      </w:r>
      <w:r>
        <w:rPr>
          <w:color w:val="231F20"/>
          <w:w w:val="110"/>
        </w:rPr>
        <w:t>reducirse éste en 30 por ciento comparando los niveles de principios de la década</w:t>
      </w:r>
      <w:r>
        <w:rPr>
          <w:color w:val="231F20"/>
          <w:spacing w:val="-32"/>
          <w:w w:val="110"/>
        </w:rPr>
        <w:t> </w:t>
      </w:r>
      <w:r>
        <w:rPr>
          <w:color w:val="231F20"/>
          <w:w w:val="110"/>
        </w:rPr>
        <w:t>de 1990 e inicios del año 2000 y cuyo nivel se mantiene hasta el año</w:t>
      </w:r>
      <w:r>
        <w:rPr>
          <w:color w:val="231F20"/>
          <w:spacing w:val="38"/>
          <w:w w:val="110"/>
        </w:rPr>
        <w:t> </w:t>
      </w:r>
      <w:r>
        <w:rPr>
          <w:color w:val="231F20"/>
          <w:w w:val="110"/>
        </w:rPr>
        <w:t>2010.</w:t>
      </w:r>
    </w:p>
    <w:p>
      <w:pPr>
        <w:pStyle w:val="BodyText"/>
        <w:spacing w:line="280" w:lineRule="auto"/>
        <w:ind w:left="100" w:right="114" w:firstLine="360"/>
        <w:jc w:val="both"/>
      </w:pPr>
      <w:r>
        <w:rPr>
          <w:color w:val="231F20"/>
          <w:w w:val="110"/>
        </w:rPr>
        <w:t>En</w:t>
      </w:r>
      <w:r>
        <w:rPr>
          <w:color w:val="231F20"/>
          <w:spacing w:val="-6"/>
          <w:w w:val="110"/>
        </w:rPr>
        <w:t> </w:t>
      </w:r>
      <w:r>
        <w:rPr>
          <w:color w:val="231F20"/>
          <w:w w:val="110"/>
        </w:rPr>
        <w:t>cuanto</w:t>
      </w:r>
      <w:r>
        <w:rPr>
          <w:color w:val="231F20"/>
          <w:spacing w:val="-6"/>
          <w:w w:val="110"/>
        </w:rPr>
        <w:t> </w:t>
      </w:r>
      <w:r>
        <w:rPr>
          <w:color w:val="231F20"/>
          <w:w w:val="110"/>
        </w:rPr>
        <w:t>al</w:t>
      </w:r>
      <w:r>
        <w:rPr>
          <w:color w:val="231F20"/>
          <w:spacing w:val="-6"/>
          <w:w w:val="110"/>
        </w:rPr>
        <w:t> </w:t>
      </w:r>
      <w:r>
        <w:rPr>
          <w:color w:val="231F20"/>
          <w:w w:val="110"/>
        </w:rPr>
        <w:t>empleo,</w:t>
      </w:r>
      <w:r>
        <w:rPr>
          <w:color w:val="231F20"/>
          <w:spacing w:val="-6"/>
          <w:w w:val="110"/>
        </w:rPr>
        <w:t> </w:t>
      </w:r>
      <w:r>
        <w:rPr>
          <w:color w:val="231F20"/>
          <w:w w:val="110"/>
        </w:rPr>
        <w:t>los</w:t>
      </w:r>
      <w:r>
        <w:rPr>
          <w:color w:val="231F20"/>
          <w:spacing w:val="-6"/>
          <w:w w:val="110"/>
        </w:rPr>
        <w:t> </w:t>
      </w:r>
      <w:r>
        <w:rPr>
          <w:color w:val="231F20"/>
          <w:w w:val="110"/>
        </w:rPr>
        <w:t>autores</w:t>
      </w:r>
      <w:r>
        <w:rPr>
          <w:color w:val="231F20"/>
          <w:spacing w:val="-6"/>
          <w:w w:val="110"/>
        </w:rPr>
        <w:t> </w:t>
      </w:r>
      <w:r>
        <w:rPr>
          <w:color w:val="231F20"/>
          <w:w w:val="110"/>
        </w:rPr>
        <w:t>plantean</w:t>
      </w:r>
      <w:r>
        <w:rPr>
          <w:color w:val="231F20"/>
          <w:spacing w:val="-6"/>
          <w:w w:val="110"/>
        </w:rPr>
        <w:t> </w:t>
      </w:r>
      <w:r>
        <w:rPr>
          <w:color w:val="231F20"/>
          <w:w w:val="110"/>
        </w:rPr>
        <w:t>que</w:t>
      </w:r>
      <w:r>
        <w:rPr>
          <w:color w:val="231F20"/>
          <w:spacing w:val="-6"/>
          <w:w w:val="110"/>
        </w:rPr>
        <w:t> </w:t>
      </w:r>
      <w:r>
        <w:rPr>
          <w:color w:val="231F20"/>
          <w:w w:val="110"/>
        </w:rPr>
        <w:t>la</w:t>
      </w:r>
      <w:r>
        <w:rPr>
          <w:color w:val="231F20"/>
          <w:spacing w:val="-6"/>
          <w:w w:val="110"/>
        </w:rPr>
        <w:t> </w:t>
      </w:r>
      <w:r>
        <w:rPr>
          <w:color w:val="231F20"/>
          <w:w w:val="110"/>
        </w:rPr>
        <w:t>ocupación</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pobla- </w:t>
      </w:r>
      <w:r>
        <w:rPr>
          <w:color w:val="231F20"/>
          <w:spacing w:val="-3"/>
          <w:w w:val="110"/>
        </w:rPr>
        <w:t>ción </w:t>
      </w:r>
      <w:r>
        <w:rPr>
          <w:color w:val="231F20"/>
          <w:spacing w:val="-4"/>
          <w:w w:val="110"/>
        </w:rPr>
        <w:t>urbana </w:t>
      </w:r>
      <w:r>
        <w:rPr>
          <w:color w:val="231F20"/>
          <w:spacing w:val="-3"/>
          <w:w w:val="110"/>
        </w:rPr>
        <w:t>está </w:t>
      </w:r>
      <w:r>
        <w:rPr>
          <w:color w:val="231F20"/>
          <w:spacing w:val="-4"/>
          <w:w w:val="110"/>
        </w:rPr>
        <w:t>relacionada </w:t>
      </w:r>
      <w:r>
        <w:rPr>
          <w:color w:val="231F20"/>
          <w:spacing w:val="-3"/>
          <w:w w:val="110"/>
        </w:rPr>
        <w:t>con </w:t>
      </w:r>
      <w:r>
        <w:rPr>
          <w:color w:val="231F20"/>
          <w:w w:val="110"/>
        </w:rPr>
        <w:t>la </w:t>
      </w:r>
      <w:r>
        <w:rPr>
          <w:color w:val="231F20"/>
          <w:spacing w:val="-4"/>
          <w:w w:val="110"/>
        </w:rPr>
        <w:t>productividad laboral </w:t>
      </w:r>
      <w:r>
        <w:rPr>
          <w:color w:val="231F20"/>
          <w:w w:val="110"/>
        </w:rPr>
        <w:t>y </w:t>
      </w:r>
      <w:r>
        <w:rPr>
          <w:color w:val="231F20"/>
          <w:spacing w:val="-3"/>
          <w:w w:val="110"/>
        </w:rPr>
        <w:t>que ésta</w:t>
      </w:r>
      <w:r>
        <w:rPr>
          <w:color w:val="231F20"/>
          <w:spacing w:val="-20"/>
          <w:w w:val="110"/>
        </w:rPr>
        <w:t> </w:t>
      </w:r>
      <w:r>
        <w:rPr>
          <w:color w:val="231F20"/>
          <w:spacing w:val="-4"/>
          <w:w w:val="110"/>
        </w:rPr>
        <w:t>depende </w:t>
      </w:r>
      <w:r>
        <w:rPr>
          <w:color w:val="231F20"/>
          <w:w w:val="110"/>
        </w:rPr>
        <w:t>de los niveles de instrucción alcanzados por la población trabajadora, lo que significa que aquellos trabajadores sin instrucción o sólo con primaria tienen que sufrir las consecuencias de ser desplazados de las actividades con mayores niveles de ingreso (manufacturas y servicios) y tener como únicas opciones actividades donde no se requiere mayor preparación que la destreza; es el caso de la construcción y el comercio, pero a su vez son éstas las que ofrecen menores ingresos, además de no </w:t>
      </w:r>
      <w:r>
        <w:rPr>
          <w:color w:val="231F20"/>
          <w:spacing w:val="-3"/>
          <w:w w:val="110"/>
        </w:rPr>
        <w:t>contar, </w:t>
      </w:r>
      <w:r>
        <w:rPr>
          <w:color w:val="231F20"/>
          <w:w w:val="110"/>
        </w:rPr>
        <w:t>en el mayor de</w:t>
      </w:r>
      <w:r>
        <w:rPr>
          <w:color w:val="231F20"/>
          <w:spacing w:val="-6"/>
          <w:w w:val="110"/>
        </w:rPr>
        <w:t> </w:t>
      </w:r>
      <w:r>
        <w:rPr>
          <w:color w:val="231F20"/>
          <w:w w:val="110"/>
        </w:rPr>
        <w:t>los</w:t>
      </w:r>
      <w:r>
        <w:rPr>
          <w:color w:val="231F20"/>
          <w:spacing w:val="-6"/>
          <w:w w:val="110"/>
        </w:rPr>
        <w:t> </w:t>
      </w:r>
      <w:r>
        <w:rPr>
          <w:color w:val="231F20"/>
          <w:w w:val="110"/>
        </w:rPr>
        <w:t>casos,</w:t>
      </w:r>
      <w:r>
        <w:rPr>
          <w:color w:val="231F20"/>
          <w:spacing w:val="-6"/>
          <w:w w:val="110"/>
        </w:rPr>
        <w:t> </w:t>
      </w:r>
      <w:r>
        <w:rPr>
          <w:color w:val="231F20"/>
          <w:w w:val="110"/>
        </w:rPr>
        <w:t>con</w:t>
      </w:r>
      <w:r>
        <w:rPr>
          <w:color w:val="231F20"/>
          <w:spacing w:val="-6"/>
          <w:w w:val="110"/>
        </w:rPr>
        <w:t> </w:t>
      </w:r>
      <w:r>
        <w:rPr>
          <w:color w:val="231F20"/>
          <w:w w:val="110"/>
        </w:rPr>
        <w:t>un</w:t>
      </w:r>
      <w:r>
        <w:rPr>
          <w:color w:val="231F20"/>
          <w:spacing w:val="-6"/>
          <w:w w:val="110"/>
        </w:rPr>
        <w:t> </w:t>
      </w:r>
      <w:r>
        <w:rPr>
          <w:color w:val="231F20"/>
          <w:w w:val="110"/>
        </w:rPr>
        <w:t>contrato</w:t>
      </w:r>
      <w:r>
        <w:rPr>
          <w:color w:val="231F20"/>
          <w:spacing w:val="-6"/>
          <w:w w:val="110"/>
        </w:rPr>
        <w:t> </w:t>
      </w:r>
      <w:r>
        <w:rPr>
          <w:color w:val="231F20"/>
          <w:w w:val="110"/>
        </w:rPr>
        <w:t>de</w:t>
      </w:r>
      <w:r>
        <w:rPr>
          <w:color w:val="231F20"/>
          <w:spacing w:val="-6"/>
          <w:w w:val="110"/>
        </w:rPr>
        <w:t> </w:t>
      </w:r>
      <w:r>
        <w:rPr>
          <w:color w:val="231F20"/>
          <w:w w:val="110"/>
        </w:rPr>
        <w:t>trabajo,</w:t>
      </w:r>
      <w:r>
        <w:rPr>
          <w:color w:val="231F20"/>
          <w:spacing w:val="-6"/>
          <w:w w:val="110"/>
        </w:rPr>
        <w:t> </w:t>
      </w:r>
      <w:r>
        <w:rPr>
          <w:color w:val="231F20"/>
          <w:w w:val="110"/>
        </w:rPr>
        <w:t>lo</w:t>
      </w:r>
      <w:r>
        <w:rPr>
          <w:color w:val="231F20"/>
          <w:spacing w:val="-6"/>
          <w:w w:val="110"/>
        </w:rPr>
        <w:t> </w:t>
      </w:r>
      <w:r>
        <w:rPr>
          <w:color w:val="231F20"/>
          <w:w w:val="110"/>
        </w:rPr>
        <w:t>que</w:t>
      </w:r>
      <w:r>
        <w:rPr>
          <w:color w:val="231F20"/>
          <w:spacing w:val="-6"/>
          <w:w w:val="110"/>
        </w:rPr>
        <w:t> </w:t>
      </w:r>
      <w:r>
        <w:rPr>
          <w:color w:val="231F20"/>
          <w:w w:val="110"/>
        </w:rPr>
        <w:t>los</w:t>
      </w:r>
      <w:r>
        <w:rPr>
          <w:color w:val="231F20"/>
          <w:spacing w:val="-6"/>
          <w:w w:val="110"/>
        </w:rPr>
        <w:t> </w:t>
      </w:r>
      <w:r>
        <w:rPr>
          <w:color w:val="231F20"/>
          <w:w w:val="110"/>
        </w:rPr>
        <w:t>sitúa</w:t>
      </w:r>
      <w:r>
        <w:rPr>
          <w:color w:val="231F20"/>
          <w:spacing w:val="-6"/>
          <w:w w:val="110"/>
        </w:rPr>
        <w:t> </w:t>
      </w:r>
      <w:r>
        <w:rPr>
          <w:color w:val="231F20"/>
          <w:w w:val="110"/>
        </w:rPr>
        <w:t>en</w:t>
      </w:r>
      <w:r>
        <w:rPr>
          <w:color w:val="231F20"/>
          <w:spacing w:val="-6"/>
          <w:w w:val="110"/>
        </w:rPr>
        <w:t> </w:t>
      </w:r>
      <w:r>
        <w:rPr>
          <w:color w:val="231F20"/>
          <w:w w:val="110"/>
        </w:rPr>
        <w:t>una</w:t>
      </w:r>
      <w:r>
        <w:rPr>
          <w:color w:val="231F20"/>
          <w:spacing w:val="-6"/>
          <w:w w:val="110"/>
        </w:rPr>
        <w:t> </w:t>
      </w:r>
      <w:r>
        <w:rPr>
          <w:color w:val="231F20"/>
          <w:w w:val="110"/>
        </w:rPr>
        <w:t>situación</w:t>
      </w:r>
      <w:r>
        <w:rPr>
          <w:color w:val="231F20"/>
          <w:spacing w:val="-6"/>
          <w:w w:val="110"/>
        </w:rPr>
        <w:t> </w:t>
      </w:r>
      <w:r>
        <w:rPr>
          <w:color w:val="231F20"/>
          <w:w w:val="110"/>
        </w:rPr>
        <w:t>de </w:t>
      </w:r>
      <w:r>
        <w:rPr>
          <w:color w:val="231F20"/>
          <w:spacing w:val="2"/>
          <w:w w:val="110"/>
        </w:rPr>
        <w:t>vulnerabilidad </w:t>
      </w:r>
      <w:r>
        <w:rPr>
          <w:color w:val="231F20"/>
          <w:w w:val="110"/>
        </w:rPr>
        <w:t>y </w:t>
      </w:r>
      <w:r>
        <w:rPr>
          <w:color w:val="231F20"/>
          <w:spacing w:val="2"/>
          <w:w w:val="110"/>
        </w:rPr>
        <w:t>desigualdad ante aquellos </w:t>
      </w:r>
      <w:r>
        <w:rPr>
          <w:color w:val="231F20"/>
          <w:w w:val="110"/>
        </w:rPr>
        <w:t>que </w:t>
      </w:r>
      <w:r>
        <w:rPr>
          <w:color w:val="231F20"/>
          <w:spacing w:val="2"/>
          <w:w w:val="110"/>
        </w:rPr>
        <w:t>cuentan </w:t>
      </w:r>
      <w:r>
        <w:rPr>
          <w:color w:val="231F20"/>
          <w:w w:val="110"/>
        </w:rPr>
        <w:t>con </w:t>
      </w:r>
      <w:r>
        <w:rPr>
          <w:color w:val="231F20"/>
          <w:spacing w:val="2"/>
          <w:w w:val="110"/>
        </w:rPr>
        <w:t>seguridad </w:t>
      </w:r>
      <w:r>
        <w:rPr>
          <w:color w:val="231F20"/>
          <w:w w:val="110"/>
        </w:rPr>
        <w:t>social, dadas las condiciones de contratación y nivel de </w:t>
      </w:r>
      <w:r>
        <w:rPr>
          <w:color w:val="231F20"/>
          <w:spacing w:val="34"/>
          <w:w w:val="110"/>
        </w:rPr>
        <w:t> </w:t>
      </w:r>
      <w:r>
        <w:rPr>
          <w:color w:val="231F20"/>
          <w:w w:val="110"/>
        </w:rPr>
        <w:t>instrucción.</w:t>
      </w:r>
    </w:p>
    <w:p>
      <w:pPr>
        <w:pStyle w:val="BodyText"/>
        <w:spacing w:line="280" w:lineRule="auto"/>
        <w:ind w:left="100" w:right="117" w:firstLine="360"/>
        <w:jc w:val="both"/>
      </w:pPr>
      <w:r>
        <w:rPr>
          <w:color w:val="231F20"/>
          <w:w w:val="110"/>
        </w:rPr>
        <w:t>Al</w:t>
      </w:r>
      <w:r>
        <w:rPr>
          <w:color w:val="231F20"/>
          <w:spacing w:val="-16"/>
          <w:w w:val="110"/>
        </w:rPr>
        <w:t> </w:t>
      </w:r>
      <w:r>
        <w:rPr>
          <w:color w:val="231F20"/>
          <w:w w:val="110"/>
        </w:rPr>
        <w:t>respecto,</w:t>
      </w:r>
      <w:r>
        <w:rPr>
          <w:color w:val="231F20"/>
          <w:spacing w:val="-16"/>
          <w:w w:val="110"/>
        </w:rPr>
        <w:t> </w:t>
      </w:r>
      <w:r>
        <w:rPr>
          <w:color w:val="231F20"/>
          <w:w w:val="110"/>
        </w:rPr>
        <w:t>Gonzáles</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Rocha</w:t>
      </w:r>
      <w:r>
        <w:rPr>
          <w:color w:val="231F20"/>
          <w:spacing w:val="-16"/>
          <w:w w:val="110"/>
        </w:rPr>
        <w:t> </w:t>
      </w:r>
      <w:r>
        <w:rPr>
          <w:color w:val="231F20"/>
          <w:w w:val="110"/>
        </w:rPr>
        <w:t>(2006)</w:t>
      </w:r>
      <w:r>
        <w:rPr>
          <w:color w:val="231F20"/>
          <w:spacing w:val="-16"/>
          <w:w w:val="110"/>
        </w:rPr>
        <w:t> </w:t>
      </w:r>
      <w:r>
        <w:rPr>
          <w:color w:val="231F20"/>
          <w:w w:val="110"/>
        </w:rPr>
        <w:t>plantea</w:t>
      </w:r>
      <w:r>
        <w:rPr>
          <w:color w:val="231F20"/>
          <w:spacing w:val="-16"/>
          <w:w w:val="110"/>
        </w:rPr>
        <w:t> </w:t>
      </w:r>
      <w:r>
        <w:rPr>
          <w:color w:val="231F20"/>
          <w:w w:val="110"/>
        </w:rPr>
        <w:t>que</w:t>
      </w:r>
      <w:r>
        <w:rPr>
          <w:color w:val="231F20"/>
          <w:spacing w:val="-16"/>
          <w:w w:val="110"/>
        </w:rPr>
        <w:t> </w:t>
      </w:r>
      <w:r>
        <w:rPr>
          <w:color w:val="231F20"/>
          <w:w w:val="110"/>
        </w:rPr>
        <w:t>existe</w:t>
      </w:r>
      <w:r>
        <w:rPr>
          <w:color w:val="231F20"/>
          <w:spacing w:val="-16"/>
          <w:w w:val="110"/>
        </w:rPr>
        <w:t> </w:t>
      </w:r>
      <w:r>
        <w:rPr>
          <w:color w:val="231F20"/>
          <w:w w:val="110"/>
        </w:rPr>
        <w:t>una</w:t>
      </w:r>
      <w:r>
        <w:rPr>
          <w:color w:val="231F20"/>
          <w:spacing w:val="-16"/>
          <w:w w:val="110"/>
        </w:rPr>
        <w:t> </w:t>
      </w:r>
      <w:r>
        <w:rPr>
          <w:color w:val="231F20"/>
          <w:w w:val="110"/>
        </w:rPr>
        <w:t>vincula- ción</w:t>
      </w:r>
      <w:r>
        <w:rPr>
          <w:color w:val="231F20"/>
          <w:spacing w:val="-13"/>
          <w:w w:val="110"/>
        </w:rPr>
        <w:t> </w:t>
      </w:r>
      <w:r>
        <w:rPr>
          <w:color w:val="231F20"/>
          <w:w w:val="110"/>
        </w:rPr>
        <w:t>entre</w:t>
      </w:r>
      <w:r>
        <w:rPr>
          <w:color w:val="231F20"/>
          <w:spacing w:val="-13"/>
          <w:w w:val="110"/>
        </w:rPr>
        <w:t> </w:t>
      </w:r>
      <w:r>
        <w:rPr>
          <w:color w:val="231F20"/>
          <w:w w:val="110"/>
        </w:rPr>
        <w:t>el</w:t>
      </w:r>
      <w:r>
        <w:rPr>
          <w:color w:val="231F20"/>
          <w:spacing w:val="-13"/>
          <w:w w:val="110"/>
        </w:rPr>
        <w:t> </w:t>
      </w:r>
      <w:r>
        <w:rPr>
          <w:color w:val="231F20"/>
          <w:w w:val="110"/>
        </w:rPr>
        <w:t>desempleo</w:t>
      </w:r>
      <w:r>
        <w:rPr>
          <w:color w:val="231F20"/>
          <w:spacing w:val="-13"/>
          <w:w w:val="110"/>
        </w:rPr>
        <w:t> </w:t>
      </w:r>
      <w:r>
        <w:rPr>
          <w:color w:val="231F20"/>
          <w:w w:val="110"/>
        </w:rPr>
        <w:t>y</w:t>
      </w:r>
      <w:r>
        <w:rPr>
          <w:color w:val="231F20"/>
          <w:spacing w:val="-13"/>
          <w:w w:val="110"/>
        </w:rPr>
        <w:t> </w:t>
      </w:r>
      <w:r>
        <w:rPr>
          <w:color w:val="231F20"/>
          <w:w w:val="110"/>
        </w:rPr>
        <w:t>la</w:t>
      </w:r>
      <w:r>
        <w:rPr>
          <w:color w:val="231F20"/>
          <w:spacing w:val="-13"/>
          <w:w w:val="110"/>
        </w:rPr>
        <w:t> </w:t>
      </w:r>
      <w:r>
        <w:rPr>
          <w:color w:val="231F20"/>
          <w:w w:val="110"/>
        </w:rPr>
        <w:t>atomización</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familia,</w:t>
      </w:r>
      <w:r>
        <w:rPr>
          <w:color w:val="231F20"/>
          <w:spacing w:val="-13"/>
          <w:w w:val="110"/>
        </w:rPr>
        <w:t> </w:t>
      </w:r>
      <w:r>
        <w:rPr>
          <w:color w:val="231F20"/>
          <w:w w:val="110"/>
        </w:rPr>
        <w:t>la</w:t>
      </w:r>
      <w:r>
        <w:rPr>
          <w:color w:val="231F20"/>
          <w:spacing w:val="-13"/>
          <w:w w:val="110"/>
        </w:rPr>
        <w:t> </w:t>
      </w:r>
      <w:r>
        <w:rPr>
          <w:color w:val="231F20"/>
          <w:w w:val="110"/>
        </w:rPr>
        <w:t>precarización</w:t>
      </w:r>
      <w:r>
        <w:rPr>
          <w:color w:val="231F20"/>
          <w:spacing w:val="-13"/>
          <w:w w:val="110"/>
        </w:rPr>
        <w:t> </w:t>
      </w:r>
      <w:r>
        <w:rPr>
          <w:color w:val="231F20"/>
          <w:w w:val="110"/>
        </w:rPr>
        <w:t>labo- ral y la agudización de la pobreza, a lo que se suma el aislamiento  </w:t>
      </w:r>
      <w:r>
        <w:rPr>
          <w:color w:val="231F20"/>
          <w:spacing w:val="31"/>
          <w:w w:val="110"/>
        </w:rPr>
        <w:t> </w:t>
      </w:r>
      <w:r>
        <w:rPr>
          <w:color w:val="231F20"/>
          <w:w w:val="110"/>
        </w:rPr>
        <w:t>social.</w:t>
      </w:r>
    </w:p>
    <w:p>
      <w:pPr>
        <w:pStyle w:val="BodyText"/>
        <w:spacing w:line="285" w:lineRule="auto"/>
        <w:ind w:left="100" w:right="117" w:firstLine="360"/>
        <w:jc w:val="both"/>
      </w:pPr>
      <w:r>
        <w:rPr>
          <w:color w:val="231F20"/>
          <w:w w:val="105"/>
        </w:rPr>
        <w:t>Por otro lado, las zonas metropolitanas con muy baja marginación han mostrado un comportamiento similar, es decir, del 88.4 por ciento de la población (21.1 millones) que se encontraba en estas condiciones en 1990      y</w:t>
      </w:r>
      <w:r>
        <w:rPr>
          <w:color w:val="231F20"/>
          <w:spacing w:val="39"/>
          <w:w w:val="105"/>
        </w:rPr>
        <w:t> </w:t>
      </w:r>
      <w:r>
        <w:rPr>
          <w:color w:val="231F20"/>
          <w:w w:val="105"/>
        </w:rPr>
        <w:t>que</w:t>
      </w:r>
      <w:r>
        <w:rPr>
          <w:color w:val="231F20"/>
          <w:spacing w:val="39"/>
          <w:w w:val="105"/>
        </w:rPr>
        <w:t> </w:t>
      </w:r>
      <w:r>
        <w:rPr>
          <w:color w:val="231F20"/>
          <w:w w:val="105"/>
        </w:rPr>
        <w:t>se</w:t>
      </w:r>
      <w:r>
        <w:rPr>
          <w:color w:val="231F20"/>
          <w:spacing w:val="39"/>
          <w:w w:val="105"/>
        </w:rPr>
        <w:t> </w:t>
      </w:r>
      <w:r>
        <w:rPr>
          <w:color w:val="231F20"/>
          <w:w w:val="105"/>
        </w:rPr>
        <w:t>localizaban</w:t>
      </w:r>
      <w:r>
        <w:rPr>
          <w:color w:val="231F20"/>
          <w:spacing w:val="39"/>
          <w:w w:val="105"/>
        </w:rPr>
        <w:t> </w:t>
      </w:r>
      <w:r>
        <w:rPr>
          <w:color w:val="231F20"/>
          <w:w w:val="105"/>
        </w:rPr>
        <w:t>en</w:t>
      </w:r>
      <w:r>
        <w:rPr>
          <w:color w:val="231F20"/>
          <w:spacing w:val="39"/>
          <w:w w:val="105"/>
        </w:rPr>
        <w:t> </w:t>
      </w:r>
      <w:r>
        <w:rPr>
          <w:color w:val="231F20"/>
          <w:w w:val="105"/>
        </w:rPr>
        <w:t>tres</w:t>
      </w:r>
      <w:r>
        <w:rPr>
          <w:color w:val="231F20"/>
          <w:spacing w:val="39"/>
          <w:w w:val="105"/>
        </w:rPr>
        <w:t> </w:t>
      </w:r>
      <w:r>
        <w:rPr>
          <w:color w:val="231F20"/>
          <w:w w:val="105"/>
        </w:rPr>
        <w:t>zonas,</w:t>
      </w:r>
      <w:r>
        <w:rPr>
          <w:color w:val="231F20"/>
          <w:spacing w:val="39"/>
          <w:w w:val="105"/>
        </w:rPr>
        <w:t> </w:t>
      </w:r>
      <w:r>
        <w:rPr>
          <w:color w:val="231F20"/>
          <w:w w:val="105"/>
        </w:rPr>
        <w:t>pasó</w:t>
      </w:r>
      <w:r>
        <w:rPr>
          <w:color w:val="231F20"/>
          <w:spacing w:val="39"/>
          <w:w w:val="105"/>
        </w:rPr>
        <w:t> </w:t>
      </w:r>
      <w:r>
        <w:rPr>
          <w:color w:val="231F20"/>
          <w:w w:val="105"/>
        </w:rPr>
        <w:t>a</w:t>
      </w:r>
      <w:r>
        <w:rPr>
          <w:color w:val="231F20"/>
          <w:spacing w:val="39"/>
          <w:w w:val="105"/>
        </w:rPr>
        <w:t> </w:t>
      </w:r>
      <w:r>
        <w:rPr>
          <w:color w:val="231F20"/>
          <w:w w:val="105"/>
        </w:rPr>
        <w:t>representar</w:t>
      </w:r>
      <w:r>
        <w:rPr>
          <w:color w:val="231F20"/>
          <w:spacing w:val="39"/>
          <w:w w:val="105"/>
        </w:rPr>
        <w:t> </w:t>
      </w:r>
      <w:r>
        <w:rPr>
          <w:color w:val="231F20"/>
          <w:w w:val="105"/>
        </w:rPr>
        <w:t>25.7</w:t>
      </w:r>
      <w:r>
        <w:rPr>
          <w:color w:val="231F20"/>
          <w:spacing w:val="39"/>
          <w:w w:val="105"/>
        </w:rPr>
        <w:t> </w:t>
      </w:r>
      <w:r>
        <w:rPr>
          <w:color w:val="231F20"/>
          <w:w w:val="105"/>
        </w:rPr>
        <w:t>por</w:t>
      </w:r>
      <w:r>
        <w:rPr>
          <w:color w:val="231F20"/>
          <w:spacing w:val="39"/>
          <w:w w:val="105"/>
        </w:rPr>
        <w:t> </w:t>
      </w:r>
      <w:r>
        <w:rPr>
          <w:color w:val="231F20"/>
          <w:w w:val="105"/>
        </w:rPr>
        <w:t>ciento</w:t>
      </w:r>
      <w:r>
        <w:rPr>
          <w:color w:val="231F20"/>
          <w:spacing w:val="39"/>
          <w:w w:val="105"/>
        </w:rPr>
        <w:t> </w:t>
      </w:r>
      <w:r>
        <w:rPr>
          <w:color w:val="231F20"/>
          <w:w w:val="105"/>
        </w:rPr>
        <w:t>de</w:t>
      </w:r>
    </w:p>
    <w:p>
      <w:pPr>
        <w:spacing w:after="0" w:line="285" w:lineRule="auto"/>
        <w:jc w:val="both"/>
        <w:sectPr>
          <w:footerReference w:type="default" r:id="rId187"/>
          <w:footerReference w:type="even" r:id="rId188"/>
          <w:pgSz w:w="9520" w:h="12920"/>
          <w:pgMar w:footer="1344" w:header="0" w:top="880" w:bottom="1540" w:left="1020" w:right="1320"/>
          <w:pgNumType w:start="223"/>
        </w:sectPr>
      </w:pPr>
    </w:p>
    <w:p>
      <w:pPr>
        <w:pStyle w:val="BodyText"/>
        <w:spacing w:line="288" w:lineRule="auto" w:before="42"/>
        <w:ind w:left="144" w:right="113"/>
        <w:jc w:val="both"/>
      </w:pPr>
      <w:r>
        <w:rPr>
          <w:color w:val="231F20"/>
          <w:w w:val="110"/>
        </w:rPr>
        <w:t>la población metropolitana en 2010 y habitaban en sólo 2 zonas. Es</w:t>
      </w:r>
      <w:r>
        <w:rPr>
          <w:color w:val="231F20"/>
          <w:spacing w:val="-25"/>
          <w:w w:val="110"/>
        </w:rPr>
        <w:t> </w:t>
      </w:r>
      <w:r>
        <w:rPr>
          <w:color w:val="231F20"/>
          <w:w w:val="110"/>
        </w:rPr>
        <w:t>impor- tante advertir que las zonas más beneficiosas se encuentran</w:t>
      </w:r>
      <w:r>
        <w:rPr>
          <w:color w:val="231F20"/>
          <w:spacing w:val="-6"/>
          <w:w w:val="110"/>
        </w:rPr>
        <w:t> </w:t>
      </w:r>
      <w:r>
        <w:rPr>
          <w:color w:val="231F20"/>
          <w:w w:val="110"/>
        </w:rPr>
        <w:t>concentradas, principalmente,</w:t>
      </w:r>
      <w:r>
        <w:rPr>
          <w:color w:val="231F20"/>
          <w:spacing w:val="-5"/>
          <w:w w:val="110"/>
        </w:rPr>
        <w:t> </w:t>
      </w:r>
      <w:r>
        <w:rPr>
          <w:color w:val="231F20"/>
          <w:w w:val="110"/>
        </w:rPr>
        <w:t>en</w:t>
      </w:r>
      <w:r>
        <w:rPr>
          <w:color w:val="231F20"/>
          <w:spacing w:val="-5"/>
          <w:w w:val="110"/>
        </w:rPr>
        <w:t> </w:t>
      </w:r>
      <w:r>
        <w:rPr>
          <w:color w:val="231F20"/>
          <w:w w:val="110"/>
        </w:rPr>
        <w:t>las</w:t>
      </w:r>
      <w:r>
        <w:rPr>
          <w:color w:val="231F20"/>
          <w:spacing w:val="-5"/>
          <w:w w:val="110"/>
        </w:rPr>
        <w:t> </w:t>
      </w:r>
      <w:r>
        <w:rPr>
          <w:color w:val="231F20"/>
          <w:w w:val="110"/>
        </w:rPr>
        <w:t>regiones</w:t>
      </w:r>
      <w:r>
        <w:rPr>
          <w:color w:val="231F20"/>
          <w:spacing w:val="-5"/>
          <w:w w:val="110"/>
        </w:rPr>
        <w:t> </w:t>
      </w:r>
      <w:r>
        <w:rPr>
          <w:color w:val="231F20"/>
          <w:w w:val="110"/>
        </w:rPr>
        <w:t>del</w:t>
      </w:r>
      <w:r>
        <w:rPr>
          <w:color w:val="231F20"/>
          <w:spacing w:val="-5"/>
          <w:w w:val="110"/>
        </w:rPr>
        <w:t> </w:t>
      </w:r>
      <w:r>
        <w:rPr>
          <w:color w:val="231F20"/>
          <w:w w:val="110"/>
        </w:rPr>
        <w:t>norte</w:t>
      </w:r>
      <w:r>
        <w:rPr>
          <w:color w:val="231F20"/>
          <w:spacing w:val="-5"/>
          <w:w w:val="110"/>
        </w:rPr>
        <w:t> </w:t>
      </w:r>
      <w:r>
        <w:rPr>
          <w:color w:val="231F20"/>
          <w:w w:val="110"/>
        </w:rPr>
        <w:t>y</w:t>
      </w:r>
      <w:r>
        <w:rPr>
          <w:color w:val="231F20"/>
          <w:spacing w:val="-5"/>
          <w:w w:val="110"/>
        </w:rPr>
        <w:t> </w:t>
      </w:r>
      <w:r>
        <w:rPr>
          <w:color w:val="231F20"/>
          <w:w w:val="110"/>
        </w:rPr>
        <w:t>occidente</w:t>
      </w:r>
      <w:r>
        <w:rPr>
          <w:color w:val="231F20"/>
          <w:spacing w:val="-5"/>
          <w:w w:val="110"/>
        </w:rPr>
        <w:t> </w:t>
      </w:r>
      <w:r>
        <w:rPr>
          <w:color w:val="231F20"/>
          <w:w w:val="110"/>
        </w:rPr>
        <w:t>del</w:t>
      </w:r>
      <w:r>
        <w:rPr>
          <w:color w:val="231F20"/>
          <w:spacing w:val="-5"/>
          <w:w w:val="110"/>
        </w:rPr>
        <w:t> </w:t>
      </w:r>
      <w:r>
        <w:rPr>
          <w:color w:val="231F20"/>
          <w:w w:val="110"/>
        </w:rPr>
        <w:t>país</w:t>
      </w:r>
      <w:r>
        <w:rPr>
          <w:color w:val="231F20"/>
          <w:spacing w:val="-5"/>
          <w:w w:val="110"/>
        </w:rPr>
        <w:t> </w:t>
      </w:r>
      <w:r>
        <w:rPr>
          <w:color w:val="231F20"/>
          <w:w w:val="110"/>
        </w:rPr>
        <w:t>(Monterrey</w:t>
      </w:r>
      <w:r>
        <w:rPr>
          <w:color w:val="231F20"/>
          <w:spacing w:val="-5"/>
          <w:w w:val="110"/>
        </w:rPr>
        <w:t> </w:t>
      </w:r>
      <w:r>
        <w:rPr>
          <w:color w:val="231F20"/>
          <w:w w:val="110"/>
        </w:rPr>
        <w:t>y Guadalajara). De ello se deduce que son estas zonas las que muestran las mejores</w:t>
      </w:r>
      <w:r>
        <w:rPr>
          <w:color w:val="231F20"/>
          <w:spacing w:val="-16"/>
          <w:w w:val="110"/>
        </w:rPr>
        <w:t> </w:t>
      </w:r>
      <w:r>
        <w:rPr>
          <w:color w:val="231F20"/>
          <w:w w:val="110"/>
        </w:rPr>
        <w:t>condiciones</w:t>
      </w:r>
      <w:r>
        <w:rPr>
          <w:color w:val="231F20"/>
          <w:spacing w:val="-16"/>
          <w:w w:val="110"/>
        </w:rPr>
        <w:t> </w:t>
      </w:r>
      <w:r>
        <w:rPr>
          <w:color w:val="231F20"/>
          <w:w w:val="110"/>
        </w:rPr>
        <w:t>de</w:t>
      </w:r>
      <w:r>
        <w:rPr>
          <w:color w:val="231F20"/>
          <w:spacing w:val="-16"/>
          <w:w w:val="110"/>
        </w:rPr>
        <w:t> </w:t>
      </w:r>
      <w:r>
        <w:rPr>
          <w:color w:val="231F20"/>
          <w:w w:val="110"/>
        </w:rPr>
        <w:t>acceso</w:t>
      </w:r>
      <w:r>
        <w:rPr>
          <w:color w:val="231F20"/>
          <w:spacing w:val="-16"/>
          <w:w w:val="110"/>
        </w:rPr>
        <w:t> </w:t>
      </w:r>
      <w:r>
        <w:rPr>
          <w:color w:val="231F20"/>
          <w:w w:val="110"/>
        </w:rPr>
        <w:t>a</w:t>
      </w:r>
      <w:r>
        <w:rPr>
          <w:color w:val="231F20"/>
          <w:spacing w:val="-16"/>
          <w:w w:val="110"/>
        </w:rPr>
        <w:t> </w:t>
      </w:r>
      <w:r>
        <w:rPr>
          <w:color w:val="231F20"/>
          <w:w w:val="110"/>
        </w:rPr>
        <w:t>las</w:t>
      </w:r>
      <w:r>
        <w:rPr>
          <w:color w:val="231F20"/>
          <w:spacing w:val="-16"/>
          <w:w w:val="110"/>
        </w:rPr>
        <w:t> </w:t>
      </w:r>
      <w:r>
        <w:rPr>
          <w:color w:val="231F20"/>
          <w:w w:val="110"/>
        </w:rPr>
        <w:t>oportunidades</w:t>
      </w:r>
      <w:r>
        <w:rPr>
          <w:color w:val="231F20"/>
          <w:spacing w:val="-16"/>
          <w:w w:val="110"/>
        </w:rPr>
        <w:t> </w:t>
      </w:r>
      <w:r>
        <w:rPr>
          <w:color w:val="231F20"/>
          <w:w w:val="110"/>
        </w:rPr>
        <w:t>que</w:t>
      </w:r>
      <w:r>
        <w:rPr>
          <w:color w:val="231F20"/>
          <w:spacing w:val="-16"/>
          <w:w w:val="110"/>
        </w:rPr>
        <w:t> </w:t>
      </w:r>
      <w:r>
        <w:rPr>
          <w:color w:val="231F20"/>
          <w:w w:val="110"/>
        </w:rPr>
        <w:t>brinda</w:t>
      </w:r>
      <w:r>
        <w:rPr>
          <w:color w:val="231F20"/>
          <w:spacing w:val="-16"/>
          <w:w w:val="110"/>
        </w:rPr>
        <w:t> </w:t>
      </w:r>
      <w:r>
        <w:rPr>
          <w:color w:val="231F20"/>
          <w:w w:val="110"/>
        </w:rPr>
        <w:t>el</w:t>
      </w:r>
      <w:r>
        <w:rPr>
          <w:color w:val="231F20"/>
          <w:spacing w:val="-16"/>
          <w:w w:val="110"/>
        </w:rPr>
        <w:t> </w:t>
      </w:r>
      <w:r>
        <w:rPr>
          <w:color w:val="231F20"/>
          <w:w w:val="110"/>
        </w:rPr>
        <w:t>desarrollo, en particular a los servicios</w:t>
      </w:r>
      <w:r>
        <w:rPr>
          <w:color w:val="231F20"/>
          <w:spacing w:val="36"/>
          <w:w w:val="110"/>
        </w:rPr>
        <w:t> </w:t>
      </w:r>
      <w:r>
        <w:rPr>
          <w:color w:val="231F20"/>
          <w:w w:val="110"/>
        </w:rPr>
        <w:t>colectivos.</w:t>
      </w:r>
    </w:p>
    <w:p>
      <w:pPr>
        <w:pStyle w:val="BodyText"/>
        <w:spacing w:before="4"/>
      </w:pPr>
    </w:p>
    <w:p>
      <w:pPr>
        <w:spacing w:line="185" w:lineRule="exact" w:before="0"/>
        <w:ind w:left="28" w:right="0" w:firstLine="0"/>
        <w:jc w:val="center"/>
        <w:rPr>
          <w:sz w:val="16"/>
        </w:rPr>
      </w:pPr>
      <w:r>
        <w:rPr>
          <w:color w:val="231F20"/>
          <w:w w:val="105"/>
          <w:sz w:val="16"/>
        </w:rPr>
        <w:t>Cuadro 4</w:t>
      </w:r>
    </w:p>
    <w:p>
      <w:pPr>
        <w:spacing w:line="220" w:lineRule="exact" w:before="0"/>
        <w:ind w:left="28" w:right="0" w:firstLine="0"/>
        <w:jc w:val="center"/>
        <w:rPr>
          <w:sz w:val="19"/>
        </w:rPr>
      </w:pPr>
      <w:r>
        <w:rPr>
          <w:color w:val="231F20"/>
          <w:w w:val="90"/>
          <w:sz w:val="19"/>
        </w:rPr>
        <w:t>Población total y de 65 años y más según grados de marginación, 1990</w:t>
      </w:r>
    </w:p>
    <w:p>
      <w:pPr>
        <w:pStyle w:val="BodyText"/>
        <w:spacing w:before="2"/>
        <w:rPr>
          <w:sz w:val="17"/>
        </w:rPr>
      </w:pPr>
    </w:p>
    <w:tbl>
      <w:tblPr>
        <w:tblW w:w="0" w:type="auto"/>
        <w:jc w:val="left"/>
        <w:tblInd w:w="14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84"/>
        <w:gridCol w:w="616"/>
        <w:gridCol w:w="1328"/>
        <w:gridCol w:w="661"/>
        <w:gridCol w:w="999"/>
        <w:gridCol w:w="658"/>
      </w:tblGrid>
      <w:tr>
        <w:trPr>
          <w:trHeight w:val="560" w:hRule="exact"/>
        </w:trPr>
        <w:tc>
          <w:tcPr>
            <w:tcW w:w="2684" w:type="dxa"/>
            <w:tcBorders>
              <w:top w:val="single" w:sz="3" w:space="0" w:color="231F20"/>
              <w:bottom w:val="single" w:sz="3" w:space="0" w:color="231F20"/>
            </w:tcBorders>
          </w:tcPr>
          <w:p>
            <w:pPr>
              <w:pStyle w:val="TableParagraph"/>
              <w:spacing w:line="195" w:lineRule="exact" w:before="84"/>
              <w:ind w:left="455"/>
              <w:jc w:val="left"/>
              <w:rPr>
                <w:i/>
                <w:sz w:val="17"/>
              </w:rPr>
            </w:pPr>
            <w:r>
              <w:rPr>
                <w:i/>
                <w:color w:val="231F20"/>
                <w:w w:val="110"/>
                <w:sz w:val="17"/>
              </w:rPr>
              <w:t>Grados</w:t>
            </w:r>
          </w:p>
          <w:p>
            <w:pPr>
              <w:pStyle w:val="TableParagraph"/>
              <w:tabs>
                <w:tab w:pos="1721" w:val="left" w:leader="none"/>
              </w:tabs>
              <w:spacing w:line="195" w:lineRule="exact"/>
              <w:ind w:left="141"/>
              <w:jc w:val="left"/>
              <w:rPr>
                <w:i/>
                <w:sz w:val="17"/>
              </w:rPr>
            </w:pPr>
            <w:r>
              <w:rPr>
                <w:i/>
                <w:color w:val="231F20"/>
                <w:w w:val="105"/>
                <w:sz w:val="17"/>
              </w:rPr>
              <w:t>de</w:t>
            </w:r>
            <w:r>
              <w:rPr>
                <w:i/>
                <w:color w:val="231F20"/>
                <w:spacing w:val="4"/>
                <w:w w:val="105"/>
                <w:sz w:val="17"/>
              </w:rPr>
              <w:t> </w:t>
            </w:r>
            <w:r>
              <w:rPr>
                <w:i/>
                <w:color w:val="231F20"/>
                <w:w w:val="105"/>
                <w:sz w:val="17"/>
              </w:rPr>
              <w:t>marginación</w:t>
              <w:tab/>
              <w:t>Población</w:t>
            </w:r>
          </w:p>
        </w:tc>
        <w:tc>
          <w:tcPr>
            <w:tcW w:w="616" w:type="dxa"/>
            <w:tcBorders>
              <w:top w:val="single" w:sz="3" w:space="0" w:color="231F20"/>
              <w:bottom w:val="single" w:sz="3" w:space="0" w:color="231F20"/>
            </w:tcBorders>
          </w:tcPr>
          <w:p>
            <w:pPr>
              <w:pStyle w:val="TableParagraph"/>
              <w:spacing w:line="240" w:lineRule="auto" w:before="4"/>
              <w:jc w:val="left"/>
              <w:rPr>
                <w:sz w:val="23"/>
              </w:rPr>
            </w:pPr>
          </w:p>
          <w:p>
            <w:pPr>
              <w:pStyle w:val="TableParagraph"/>
              <w:spacing w:line="240" w:lineRule="auto"/>
              <w:ind w:left="76"/>
              <w:rPr>
                <w:i/>
                <w:sz w:val="17"/>
              </w:rPr>
            </w:pPr>
            <w:r>
              <w:rPr>
                <w:i/>
                <w:color w:val="231F20"/>
                <w:w w:val="75"/>
                <w:sz w:val="17"/>
              </w:rPr>
              <w:t>%</w:t>
            </w:r>
          </w:p>
        </w:tc>
        <w:tc>
          <w:tcPr>
            <w:tcW w:w="1328" w:type="dxa"/>
            <w:tcBorders>
              <w:top w:val="single" w:sz="3" w:space="0" w:color="231F20"/>
              <w:bottom w:val="single" w:sz="3" w:space="0" w:color="231F20"/>
            </w:tcBorders>
          </w:tcPr>
          <w:p>
            <w:pPr>
              <w:pStyle w:val="TableParagraph"/>
              <w:spacing w:line="240" w:lineRule="auto" w:before="4"/>
              <w:jc w:val="left"/>
              <w:rPr>
                <w:sz w:val="23"/>
              </w:rPr>
            </w:pPr>
          </w:p>
          <w:p>
            <w:pPr>
              <w:pStyle w:val="TableParagraph"/>
              <w:spacing w:line="240" w:lineRule="auto"/>
              <w:ind w:left="123"/>
              <w:jc w:val="left"/>
              <w:rPr>
                <w:i/>
                <w:sz w:val="17"/>
              </w:rPr>
            </w:pPr>
            <w:r>
              <w:rPr>
                <w:i/>
                <w:color w:val="231F20"/>
                <w:w w:val="105"/>
                <w:sz w:val="17"/>
              </w:rPr>
              <w:t>65 años y más</w:t>
            </w:r>
          </w:p>
        </w:tc>
        <w:tc>
          <w:tcPr>
            <w:tcW w:w="661" w:type="dxa"/>
            <w:tcBorders>
              <w:top w:val="single" w:sz="3" w:space="0" w:color="231F20"/>
              <w:bottom w:val="single" w:sz="3" w:space="0" w:color="231F20"/>
            </w:tcBorders>
          </w:tcPr>
          <w:p>
            <w:pPr>
              <w:pStyle w:val="TableParagraph"/>
              <w:spacing w:line="240" w:lineRule="auto" w:before="4"/>
              <w:jc w:val="left"/>
              <w:rPr>
                <w:sz w:val="23"/>
              </w:rPr>
            </w:pPr>
          </w:p>
          <w:p>
            <w:pPr>
              <w:pStyle w:val="TableParagraph"/>
              <w:spacing w:line="240" w:lineRule="auto"/>
              <w:ind w:right="79"/>
              <w:rPr>
                <w:i/>
                <w:sz w:val="17"/>
              </w:rPr>
            </w:pPr>
            <w:r>
              <w:rPr>
                <w:i/>
                <w:color w:val="231F20"/>
                <w:w w:val="75"/>
                <w:sz w:val="17"/>
              </w:rPr>
              <w:t>%</w:t>
            </w:r>
          </w:p>
        </w:tc>
        <w:tc>
          <w:tcPr>
            <w:tcW w:w="999" w:type="dxa"/>
            <w:tcBorders>
              <w:top w:val="single" w:sz="3" w:space="0" w:color="231F20"/>
              <w:bottom w:val="single" w:sz="3" w:space="0" w:color="231F20"/>
            </w:tcBorders>
          </w:tcPr>
          <w:p>
            <w:pPr>
              <w:pStyle w:val="TableParagraph"/>
              <w:spacing w:line="190" w:lineRule="exact" w:before="94"/>
              <w:ind w:left="283" w:right="180" w:hanging="87"/>
              <w:jc w:val="left"/>
              <w:rPr>
                <w:rFonts w:ascii="Georgia" w:hAnsi="Georgia"/>
                <w:i/>
                <w:sz w:val="13"/>
              </w:rPr>
            </w:pPr>
            <w:r>
              <w:rPr>
                <w:i/>
                <w:color w:val="231F20"/>
                <w:w w:val="105"/>
                <w:sz w:val="17"/>
              </w:rPr>
              <w:t>Número </w:t>
            </w:r>
            <w:r>
              <w:rPr>
                <w:i/>
                <w:color w:val="231F20"/>
                <w:w w:val="105"/>
                <w:sz w:val="17"/>
              </w:rPr>
              <w:t>de </w:t>
            </w:r>
            <w:r>
              <w:rPr>
                <w:rFonts w:ascii="Georgia" w:hAnsi="Georgia"/>
                <w:i/>
                <w:color w:val="231F20"/>
                <w:w w:val="105"/>
                <w:sz w:val="13"/>
              </w:rPr>
              <w:t>ZM</w:t>
            </w:r>
          </w:p>
        </w:tc>
        <w:tc>
          <w:tcPr>
            <w:tcW w:w="658" w:type="dxa"/>
            <w:tcBorders>
              <w:top w:val="single" w:sz="3" w:space="0" w:color="231F20"/>
              <w:bottom w:val="single" w:sz="3" w:space="0" w:color="231F20"/>
            </w:tcBorders>
          </w:tcPr>
          <w:p>
            <w:pPr>
              <w:pStyle w:val="TableParagraph"/>
              <w:spacing w:line="240" w:lineRule="auto" w:before="4"/>
              <w:jc w:val="left"/>
              <w:rPr>
                <w:sz w:val="23"/>
              </w:rPr>
            </w:pPr>
          </w:p>
          <w:p>
            <w:pPr>
              <w:pStyle w:val="TableParagraph"/>
              <w:spacing w:line="240" w:lineRule="auto"/>
              <w:ind w:left="24"/>
              <w:rPr>
                <w:i/>
                <w:sz w:val="17"/>
              </w:rPr>
            </w:pPr>
            <w:r>
              <w:rPr>
                <w:i/>
                <w:color w:val="231F20"/>
                <w:w w:val="75"/>
                <w:sz w:val="17"/>
              </w:rPr>
              <w:t>%</w:t>
            </w:r>
          </w:p>
        </w:tc>
      </w:tr>
      <w:tr>
        <w:trPr>
          <w:trHeight w:val="303" w:hRule="exact"/>
        </w:trPr>
        <w:tc>
          <w:tcPr>
            <w:tcW w:w="2684" w:type="dxa"/>
            <w:tcBorders>
              <w:top w:val="single" w:sz="3" w:space="0" w:color="231F20"/>
            </w:tcBorders>
          </w:tcPr>
          <w:p>
            <w:pPr>
              <w:pStyle w:val="TableParagraph"/>
              <w:tabs>
                <w:tab w:pos="1765" w:val="left" w:leader="none"/>
              </w:tabs>
              <w:spacing w:line="240" w:lineRule="auto" w:before="84"/>
              <w:jc w:val="left"/>
              <w:rPr>
                <w:sz w:val="17"/>
              </w:rPr>
            </w:pPr>
            <w:r>
              <w:rPr>
                <w:color w:val="231F20"/>
                <w:w w:val="105"/>
                <w:sz w:val="17"/>
              </w:rPr>
              <w:t>Muy</w:t>
            </w:r>
            <w:r>
              <w:rPr>
                <w:color w:val="231F20"/>
                <w:spacing w:val="20"/>
                <w:w w:val="105"/>
                <w:sz w:val="17"/>
              </w:rPr>
              <w:t> </w:t>
            </w:r>
            <w:r>
              <w:rPr>
                <w:color w:val="231F20"/>
                <w:w w:val="105"/>
                <w:sz w:val="17"/>
              </w:rPr>
              <w:t>alto</w:t>
              <w:tab/>
              <w:t>1’711,878</w:t>
            </w:r>
          </w:p>
        </w:tc>
        <w:tc>
          <w:tcPr>
            <w:tcW w:w="616" w:type="dxa"/>
            <w:tcBorders>
              <w:top w:val="single" w:sz="3" w:space="0" w:color="231F20"/>
            </w:tcBorders>
          </w:tcPr>
          <w:p>
            <w:pPr>
              <w:pStyle w:val="TableParagraph"/>
              <w:spacing w:line="240" w:lineRule="auto" w:before="84"/>
              <w:ind w:right="121"/>
              <w:jc w:val="right"/>
              <w:rPr>
                <w:sz w:val="17"/>
              </w:rPr>
            </w:pPr>
            <w:r>
              <w:rPr>
                <w:color w:val="231F20"/>
                <w:w w:val="105"/>
                <w:sz w:val="17"/>
              </w:rPr>
              <w:t>7.2</w:t>
            </w:r>
          </w:p>
        </w:tc>
        <w:tc>
          <w:tcPr>
            <w:tcW w:w="1328" w:type="dxa"/>
            <w:tcBorders>
              <w:top w:val="single" w:sz="3" w:space="0" w:color="231F20"/>
            </w:tcBorders>
          </w:tcPr>
          <w:p>
            <w:pPr>
              <w:pStyle w:val="TableParagraph"/>
              <w:spacing w:line="240" w:lineRule="auto" w:before="84"/>
              <w:ind w:left="438"/>
              <w:jc w:val="left"/>
              <w:rPr>
                <w:sz w:val="17"/>
              </w:rPr>
            </w:pPr>
            <w:r>
              <w:rPr>
                <w:color w:val="231F20"/>
                <w:w w:val="105"/>
                <w:sz w:val="17"/>
              </w:rPr>
              <w:t>53,911</w:t>
            </w:r>
          </w:p>
        </w:tc>
        <w:tc>
          <w:tcPr>
            <w:tcW w:w="661" w:type="dxa"/>
            <w:tcBorders>
              <w:top w:val="single" w:sz="3" w:space="0" w:color="231F20"/>
            </w:tcBorders>
          </w:tcPr>
          <w:p>
            <w:pPr>
              <w:pStyle w:val="TableParagraph"/>
              <w:spacing w:line="240" w:lineRule="auto" w:before="84"/>
              <w:ind w:left="112" w:right="82"/>
              <w:rPr>
                <w:sz w:val="17"/>
              </w:rPr>
            </w:pPr>
            <w:r>
              <w:rPr>
                <w:color w:val="231F20"/>
                <w:w w:val="105"/>
                <w:sz w:val="17"/>
              </w:rPr>
              <w:t>6.0</w:t>
            </w:r>
          </w:p>
        </w:tc>
        <w:tc>
          <w:tcPr>
            <w:tcW w:w="999" w:type="dxa"/>
            <w:tcBorders>
              <w:top w:val="single" w:sz="3" w:space="0" w:color="231F20"/>
            </w:tcBorders>
          </w:tcPr>
          <w:p>
            <w:pPr>
              <w:pStyle w:val="TableParagraph"/>
              <w:spacing w:line="240" w:lineRule="auto" w:before="84"/>
              <w:ind w:left="7"/>
              <w:rPr>
                <w:sz w:val="17"/>
              </w:rPr>
            </w:pPr>
            <w:r>
              <w:rPr>
                <w:color w:val="231F20"/>
                <w:w w:val="102"/>
                <w:sz w:val="17"/>
              </w:rPr>
              <w:t>1</w:t>
            </w:r>
          </w:p>
        </w:tc>
        <w:tc>
          <w:tcPr>
            <w:tcW w:w="658" w:type="dxa"/>
            <w:tcBorders>
              <w:top w:val="single" w:sz="3" w:space="0" w:color="231F20"/>
            </w:tcBorders>
          </w:tcPr>
          <w:p>
            <w:pPr>
              <w:pStyle w:val="TableParagraph"/>
              <w:spacing w:line="240" w:lineRule="auto" w:before="84"/>
              <w:ind w:left="172" w:right="67"/>
              <w:rPr>
                <w:sz w:val="17"/>
              </w:rPr>
            </w:pPr>
            <w:r>
              <w:rPr>
                <w:color w:val="231F20"/>
                <w:sz w:val="17"/>
              </w:rPr>
              <w:t>20</w:t>
            </w:r>
          </w:p>
        </w:tc>
      </w:tr>
      <w:tr>
        <w:trPr>
          <w:trHeight w:val="210" w:hRule="exact"/>
        </w:trPr>
        <w:tc>
          <w:tcPr>
            <w:tcW w:w="2684" w:type="dxa"/>
          </w:tcPr>
          <w:p>
            <w:pPr>
              <w:pStyle w:val="TableParagraph"/>
              <w:tabs>
                <w:tab w:pos="1765" w:val="left" w:leader="none"/>
              </w:tabs>
              <w:jc w:val="left"/>
              <w:rPr>
                <w:sz w:val="17"/>
              </w:rPr>
            </w:pPr>
            <w:r>
              <w:rPr>
                <w:color w:val="231F20"/>
                <w:w w:val="105"/>
                <w:position w:val="8"/>
                <w:sz w:val="17"/>
              </w:rPr>
              <w:t>Alto</w:t>
              <w:tab/>
            </w:r>
            <w:r>
              <w:rPr>
                <w:color w:val="231F20"/>
                <w:w w:val="105"/>
                <w:sz w:val="17"/>
              </w:rPr>
              <w:t>1’058,332</w:t>
            </w:r>
          </w:p>
        </w:tc>
        <w:tc>
          <w:tcPr>
            <w:tcW w:w="616" w:type="dxa"/>
          </w:tcPr>
          <w:p>
            <w:pPr>
              <w:pStyle w:val="TableParagraph"/>
              <w:ind w:right="121"/>
              <w:jc w:val="right"/>
              <w:rPr>
                <w:sz w:val="17"/>
              </w:rPr>
            </w:pPr>
            <w:r>
              <w:rPr>
                <w:color w:val="231F20"/>
                <w:w w:val="105"/>
                <w:sz w:val="17"/>
              </w:rPr>
              <w:t>4.4</w:t>
            </w:r>
          </w:p>
        </w:tc>
        <w:tc>
          <w:tcPr>
            <w:tcW w:w="1328" w:type="dxa"/>
          </w:tcPr>
          <w:p>
            <w:pPr>
              <w:pStyle w:val="TableParagraph"/>
              <w:ind w:left="438"/>
              <w:jc w:val="left"/>
              <w:rPr>
                <w:sz w:val="17"/>
              </w:rPr>
            </w:pPr>
            <w:r>
              <w:rPr>
                <w:color w:val="231F20"/>
                <w:w w:val="105"/>
                <w:sz w:val="17"/>
              </w:rPr>
              <w:t>34,823</w:t>
            </w:r>
          </w:p>
        </w:tc>
        <w:tc>
          <w:tcPr>
            <w:tcW w:w="661" w:type="dxa"/>
          </w:tcPr>
          <w:p>
            <w:pPr>
              <w:pStyle w:val="TableParagraph"/>
              <w:ind w:left="112" w:right="82"/>
              <w:rPr>
                <w:sz w:val="17"/>
              </w:rPr>
            </w:pPr>
            <w:r>
              <w:rPr>
                <w:color w:val="231F20"/>
                <w:w w:val="105"/>
                <w:sz w:val="17"/>
              </w:rPr>
              <w:t>3.9</w:t>
            </w:r>
          </w:p>
        </w:tc>
        <w:tc>
          <w:tcPr>
            <w:tcW w:w="999" w:type="dxa"/>
          </w:tcPr>
          <w:p>
            <w:pPr>
              <w:pStyle w:val="TableParagraph"/>
              <w:ind w:left="7"/>
              <w:rPr>
                <w:sz w:val="17"/>
              </w:rPr>
            </w:pPr>
            <w:r>
              <w:rPr>
                <w:color w:val="231F20"/>
                <w:w w:val="102"/>
                <w:sz w:val="17"/>
              </w:rPr>
              <w:t>1</w:t>
            </w:r>
          </w:p>
        </w:tc>
        <w:tc>
          <w:tcPr>
            <w:tcW w:w="658" w:type="dxa"/>
          </w:tcPr>
          <w:p>
            <w:pPr>
              <w:pStyle w:val="TableParagraph"/>
              <w:ind w:left="172" w:right="67"/>
              <w:rPr>
                <w:sz w:val="17"/>
              </w:rPr>
            </w:pPr>
            <w:r>
              <w:rPr>
                <w:color w:val="231F20"/>
                <w:sz w:val="17"/>
              </w:rPr>
              <w:t>20</w:t>
            </w:r>
          </w:p>
        </w:tc>
      </w:tr>
      <w:tr>
        <w:trPr>
          <w:trHeight w:val="210" w:hRule="exact"/>
        </w:trPr>
        <w:tc>
          <w:tcPr>
            <w:tcW w:w="2684" w:type="dxa"/>
          </w:tcPr>
          <w:p>
            <w:pPr>
              <w:pStyle w:val="TableParagraph"/>
              <w:tabs>
                <w:tab w:pos="1669" w:val="left" w:leader="none"/>
              </w:tabs>
              <w:ind w:left="-1"/>
              <w:jc w:val="left"/>
              <w:rPr>
                <w:sz w:val="17"/>
              </w:rPr>
            </w:pPr>
            <w:r>
              <w:rPr>
                <w:color w:val="231F20"/>
                <w:w w:val="105"/>
                <w:position w:val="8"/>
                <w:sz w:val="17"/>
              </w:rPr>
              <w:t>Muy</w:t>
            </w:r>
            <w:r>
              <w:rPr>
                <w:color w:val="231F20"/>
                <w:spacing w:val="21"/>
                <w:w w:val="105"/>
                <w:position w:val="8"/>
                <w:sz w:val="17"/>
              </w:rPr>
              <w:t> </w:t>
            </w:r>
            <w:r>
              <w:rPr>
                <w:color w:val="231F20"/>
                <w:w w:val="105"/>
                <w:position w:val="8"/>
                <w:sz w:val="17"/>
              </w:rPr>
              <w:t>bajo</w:t>
              <w:tab/>
            </w:r>
            <w:r>
              <w:rPr>
                <w:color w:val="231F20"/>
                <w:w w:val="105"/>
                <w:sz w:val="17"/>
              </w:rPr>
              <w:t>21’131,527</w:t>
            </w:r>
          </w:p>
        </w:tc>
        <w:tc>
          <w:tcPr>
            <w:tcW w:w="616" w:type="dxa"/>
          </w:tcPr>
          <w:p>
            <w:pPr>
              <w:pStyle w:val="TableParagraph"/>
              <w:ind w:right="121"/>
              <w:jc w:val="right"/>
              <w:rPr>
                <w:sz w:val="17"/>
              </w:rPr>
            </w:pPr>
            <w:r>
              <w:rPr>
                <w:color w:val="231F20"/>
                <w:sz w:val="17"/>
              </w:rPr>
              <w:t>88.4</w:t>
            </w:r>
          </w:p>
        </w:tc>
        <w:tc>
          <w:tcPr>
            <w:tcW w:w="1328" w:type="dxa"/>
          </w:tcPr>
          <w:p>
            <w:pPr>
              <w:pStyle w:val="TableParagraph"/>
              <w:ind w:left="342"/>
              <w:jc w:val="left"/>
              <w:rPr>
                <w:sz w:val="17"/>
              </w:rPr>
            </w:pPr>
            <w:r>
              <w:rPr>
                <w:color w:val="231F20"/>
                <w:w w:val="105"/>
                <w:sz w:val="17"/>
              </w:rPr>
              <w:t>810,615</w:t>
            </w:r>
          </w:p>
        </w:tc>
        <w:tc>
          <w:tcPr>
            <w:tcW w:w="661" w:type="dxa"/>
          </w:tcPr>
          <w:p>
            <w:pPr>
              <w:pStyle w:val="TableParagraph"/>
              <w:ind w:left="112" w:right="175"/>
              <w:rPr>
                <w:sz w:val="17"/>
              </w:rPr>
            </w:pPr>
            <w:r>
              <w:rPr>
                <w:color w:val="231F20"/>
                <w:w w:val="105"/>
                <w:sz w:val="17"/>
              </w:rPr>
              <w:t>90.1</w:t>
            </w:r>
          </w:p>
        </w:tc>
        <w:tc>
          <w:tcPr>
            <w:tcW w:w="999" w:type="dxa"/>
          </w:tcPr>
          <w:p>
            <w:pPr>
              <w:pStyle w:val="TableParagraph"/>
              <w:ind w:left="7"/>
              <w:rPr>
                <w:sz w:val="17"/>
              </w:rPr>
            </w:pPr>
            <w:r>
              <w:rPr>
                <w:color w:val="231F20"/>
                <w:w w:val="102"/>
                <w:sz w:val="17"/>
              </w:rPr>
              <w:t>3</w:t>
            </w:r>
          </w:p>
        </w:tc>
        <w:tc>
          <w:tcPr>
            <w:tcW w:w="658" w:type="dxa"/>
          </w:tcPr>
          <w:p>
            <w:pPr>
              <w:pStyle w:val="TableParagraph"/>
              <w:ind w:left="172" w:right="67"/>
              <w:rPr>
                <w:sz w:val="17"/>
              </w:rPr>
            </w:pPr>
            <w:r>
              <w:rPr>
                <w:color w:val="231F20"/>
                <w:sz w:val="17"/>
              </w:rPr>
              <w:t>60</w:t>
            </w:r>
          </w:p>
        </w:tc>
      </w:tr>
      <w:tr>
        <w:trPr>
          <w:trHeight w:val="276" w:hRule="exact"/>
        </w:trPr>
        <w:tc>
          <w:tcPr>
            <w:tcW w:w="2684" w:type="dxa"/>
            <w:tcBorders>
              <w:bottom w:val="single" w:sz="3" w:space="0" w:color="231F20"/>
            </w:tcBorders>
          </w:tcPr>
          <w:p>
            <w:pPr>
              <w:pStyle w:val="TableParagraph"/>
              <w:tabs>
                <w:tab w:pos="1669" w:val="left" w:leader="none"/>
              </w:tabs>
              <w:ind w:left="-1"/>
              <w:jc w:val="left"/>
              <w:rPr>
                <w:sz w:val="17"/>
              </w:rPr>
            </w:pPr>
            <w:r>
              <w:rPr>
                <w:color w:val="231F20"/>
                <w:spacing w:val="-3"/>
                <w:w w:val="105"/>
                <w:position w:val="8"/>
                <w:sz w:val="17"/>
              </w:rPr>
              <w:t>Total</w:t>
              <w:tab/>
            </w:r>
            <w:r>
              <w:rPr>
                <w:color w:val="231F20"/>
                <w:w w:val="105"/>
                <w:sz w:val="17"/>
              </w:rPr>
              <w:t>23’901,737</w:t>
            </w:r>
          </w:p>
        </w:tc>
        <w:tc>
          <w:tcPr>
            <w:tcW w:w="616" w:type="dxa"/>
            <w:tcBorders>
              <w:bottom w:val="single" w:sz="3" w:space="0" w:color="231F20"/>
            </w:tcBorders>
          </w:tcPr>
          <w:p>
            <w:pPr>
              <w:pStyle w:val="TableParagraph"/>
              <w:ind w:right="121"/>
              <w:jc w:val="right"/>
              <w:rPr>
                <w:sz w:val="17"/>
              </w:rPr>
            </w:pPr>
            <w:r>
              <w:rPr>
                <w:color w:val="231F20"/>
                <w:sz w:val="17"/>
              </w:rPr>
              <w:t>100</w:t>
            </w:r>
          </w:p>
        </w:tc>
        <w:tc>
          <w:tcPr>
            <w:tcW w:w="1328" w:type="dxa"/>
            <w:tcBorders>
              <w:bottom w:val="single" w:sz="3" w:space="0" w:color="231F20"/>
            </w:tcBorders>
          </w:tcPr>
          <w:p>
            <w:pPr>
              <w:pStyle w:val="TableParagraph"/>
              <w:ind w:left="387"/>
              <w:jc w:val="left"/>
              <w:rPr>
                <w:sz w:val="17"/>
              </w:rPr>
            </w:pPr>
            <w:r>
              <w:rPr>
                <w:color w:val="231F20"/>
                <w:sz w:val="17"/>
              </w:rPr>
              <w:t>899349</w:t>
            </w:r>
          </w:p>
        </w:tc>
        <w:tc>
          <w:tcPr>
            <w:tcW w:w="661" w:type="dxa"/>
            <w:tcBorders>
              <w:bottom w:val="single" w:sz="3" w:space="0" w:color="231F20"/>
            </w:tcBorders>
          </w:tcPr>
          <w:p>
            <w:pPr>
              <w:pStyle w:val="TableParagraph"/>
              <w:ind w:left="112" w:right="130"/>
              <w:rPr>
                <w:sz w:val="17"/>
              </w:rPr>
            </w:pPr>
            <w:r>
              <w:rPr>
                <w:color w:val="231F20"/>
                <w:sz w:val="17"/>
              </w:rPr>
              <w:t>100</w:t>
            </w:r>
          </w:p>
        </w:tc>
        <w:tc>
          <w:tcPr>
            <w:tcW w:w="999" w:type="dxa"/>
            <w:tcBorders>
              <w:bottom w:val="single" w:sz="3" w:space="0" w:color="231F20"/>
            </w:tcBorders>
          </w:tcPr>
          <w:p>
            <w:pPr>
              <w:pStyle w:val="TableParagraph"/>
              <w:ind w:left="7"/>
              <w:rPr>
                <w:sz w:val="17"/>
              </w:rPr>
            </w:pPr>
            <w:r>
              <w:rPr>
                <w:color w:val="231F20"/>
                <w:w w:val="102"/>
                <w:sz w:val="17"/>
              </w:rPr>
              <w:t>5</w:t>
            </w:r>
          </w:p>
        </w:tc>
        <w:tc>
          <w:tcPr>
            <w:tcW w:w="658" w:type="dxa"/>
            <w:tcBorders>
              <w:bottom w:val="single" w:sz="3" w:space="0" w:color="231F20"/>
            </w:tcBorders>
          </w:tcPr>
          <w:p>
            <w:pPr>
              <w:pStyle w:val="TableParagraph"/>
              <w:ind w:left="171" w:right="162"/>
              <w:rPr>
                <w:sz w:val="17"/>
              </w:rPr>
            </w:pPr>
            <w:r>
              <w:rPr>
                <w:color w:val="231F20"/>
                <w:sz w:val="17"/>
              </w:rPr>
              <w:t>100</w:t>
            </w:r>
          </w:p>
        </w:tc>
      </w:tr>
    </w:tbl>
    <w:p>
      <w:pPr>
        <w:spacing w:before="63"/>
        <w:ind w:left="504" w:right="0" w:firstLine="0"/>
        <w:jc w:val="left"/>
        <w:rPr>
          <w:sz w:val="15"/>
        </w:rPr>
      </w:pPr>
      <w:r>
        <w:rPr>
          <w:color w:val="231F20"/>
          <w:w w:val="110"/>
          <w:sz w:val="15"/>
        </w:rPr>
        <w:t>Fuente: Elaboración propia con datos de Conapo, </w:t>
      </w:r>
      <w:r>
        <w:rPr>
          <w:rFonts w:ascii="Times New Roman" w:hAnsi="Times New Roman"/>
          <w:color w:val="231F20"/>
          <w:w w:val="110"/>
          <w:sz w:val="12"/>
        </w:rPr>
        <w:t>INEGI</w:t>
      </w:r>
      <w:r>
        <w:rPr>
          <w:color w:val="231F20"/>
          <w:w w:val="110"/>
          <w:sz w:val="15"/>
        </w:rPr>
        <w:t>, 1990; Sedesol, Conapo e inegi,   2012.</w:t>
      </w:r>
    </w:p>
    <w:p>
      <w:pPr>
        <w:pStyle w:val="BodyText"/>
        <w:rPr>
          <w:sz w:val="14"/>
        </w:rPr>
      </w:pPr>
    </w:p>
    <w:p>
      <w:pPr>
        <w:pStyle w:val="BodyText"/>
        <w:spacing w:before="3"/>
        <w:rPr>
          <w:sz w:val="11"/>
        </w:rPr>
      </w:pPr>
    </w:p>
    <w:p>
      <w:pPr>
        <w:spacing w:line="185" w:lineRule="exact" w:before="0"/>
        <w:ind w:left="28" w:right="0" w:firstLine="0"/>
        <w:jc w:val="center"/>
        <w:rPr>
          <w:sz w:val="16"/>
        </w:rPr>
      </w:pPr>
      <w:r>
        <w:rPr>
          <w:color w:val="231F20"/>
          <w:w w:val="105"/>
          <w:sz w:val="16"/>
        </w:rPr>
        <w:t>Cuadro 5</w:t>
      </w:r>
    </w:p>
    <w:p>
      <w:pPr>
        <w:spacing w:line="220" w:lineRule="exact" w:before="0"/>
        <w:ind w:left="28" w:right="0" w:firstLine="0"/>
        <w:jc w:val="center"/>
        <w:rPr>
          <w:sz w:val="19"/>
        </w:rPr>
      </w:pPr>
      <w:r>
        <w:rPr>
          <w:color w:val="231F20"/>
          <w:w w:val="90"/>
          <w:sz w:val="19"/>
        </w:rPr>
        <w:t>Población total y de 65 años y más según grados de marginación, 2010</w:t>
      </w:r>
    </w:p>
    <w:p>
      <w:pPr>
        <w:pStyle w:val="BodyText"/>
        <w:spacing w:before="2"/>
        <w:rPr>
          <w:sz w:val="17"/>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21"/>
        <w:gridCol w:w="1188"/>
        <w:gridCol w:w="611"/>
        <w:gridCol w:w="1332"/>
        <w:gridCol w:w="661"/>
        <w:gridCol w:w="1012"/>
        <w:gridCol w:w="670"/>
      </w:tblGrid>
      <w:tr>
        <w:trPr>
          <w:trHeight w:val="560" w:hRule="exact"/>
        </w:trPr>
        <w:tc>
          <w:tcPr>
            <w:tcW w:w="1521" w:type="dxa"/>
            <w:tcBorders>
              <w:top w:val="single" w:sz="3" w:space="0" w:color="231F20"/>
              <w:bottom w:val="single" w:sz="3" w:space="0" w:color="231F20"/>
            </w:tcBorders>
          </w:tcPr>
          <w:p>
            <w:pPr>
              <w:pStyle w:val="TableParagraph"/>
              <w:spacing w:line="195" w:lineRule="exact" w:before="84"/>
              <w:ind w:left="156" w:right="157"/>
              <w:rPr>
                <w:i/>
                <w:sz w:val="17"/>
              </w:rPr>
            </w:pPr>
            <w:r>
              <w:rPr>
                <w:i/>
                <w:color w:val="231F20"/>
                <w:w w:val="110"/>
                <w:sz w:val="17"/>
              </w:rPr>
              <w:t>Grados</w:t>
            </w:r>
          </w:p>
          <w:p>
            <w:pPr>
              <w:pStyle w:val="TableParagraph"/>
              <w:spacing w:line="195" w:lineRule="exact"/>
              <w:ind w:left="156" w:right="157"/>
              <w:rPr>
                <w:i/>
                <w:sz w:val="17"/>
              </w:rPr>
            </w:pPr>
            <w:r>
              <w:rPr>
                <w:i/>
                <w:color w:val="231F20"/>
                <w:w w:val="105"/>
                <w:sz w:val="17"/>
              </w:rPr>
              <w:t>de marginación</w:t>
            </w:r>
          </w:p>
        </w:tc>
        <w:tc>
          <w:tcPr>
            <w:tcW w:w="1188" w:type="dxa"/>
            <w:tcBorders>
              <w:top w:val="single" w:sz="3" w:space="0" w:color="231F20"/>
              <w:bottom w:val="single" w:sz="3" w:space="0" w:color="231F20"/>
            </w:tcBorders>
          </w:tcPr>
          <w:p>
            <w:pPr>
              <w:pStyle w:val="TableParagraph"/>
              <w:spacing w:line="240" w:lineRule="auto" w:before="4"/>
              <w:jc w:val="left"/>
              <w:rPr>
                <w:sz w:val="23"/>
              </w:rPr>
            </w:pPr>
          </w:p>
          <w:p>
            <w:pPr>
              <w:pStyle w:val="TableParagraph"/>
              <w:spacing w:line="240" w:lineRule="auto"/>
              <w:ind w:left="235"/>
              <w:jc w:val="left"/>
              <w:rPr>
                <w:i/>
                <w:sz w:val="17"/>
              </w:rPr>
            </w:pPr>
            <w:r>
              <w:rPr>
                <w:i/>
                <w:color w:val="231F20"/>
                <w:w w:val="105"/>
                <w:sz w:val="17"/>
              </w:rPr>
              <w:t>Población</w:t>
            </w:r>
          </w:p>
        </w:tc>
        <w:tc>
          <w:tcPr>
            <w:tcW w:w="611" w:type="dxa"/>
            <w:tcBorders>
              <w:top w:val="single" w:sz="3" w:space="0" w:color="231F20"/>
              <w:bottom w:val="single" w:sz="3" w:space="0" w:color="231F20"/>
            </w:tcBorders>
          </w:tcPr>
          <w:p>
            <w:pPr>
              <w:pStyle w:val="TableParagraph"/>
              <w:spacing w:line="240" w:lineRule="auto" w:before="4"/>
              <w:jc w:val="left"/>
              <w:rPr>
                <w:sz w:val="23"/>
              </w:rPr>
            </w:pPr>
          </w:p>
          <w:p>
            <w:pPr>
              <w:pStyle w:val="TableParagraph"/>
              <w:spacing w:line="240" w:lineRule="auto"/>
              <w:ind w:left="81"/>
              <w:rPr>
                <w:i/>
                <w:sz w:val="17"/>
              </w:rPr>
            </w:pPr>
            <w:r>
              <w:rPr>
                <w:i/>
                <w:color w:val="231F20"/>
                <w:w w:val="75"/>
                <w:sz w:val="17"/>
              </w:rPr>
              <w:t>%</w:t>
            </w:r>
          </w:p>
        </w:tc>
        <w:tc>
          <w:tcPr>
            <w:tcW w:w="1332" w:type="dxa"/>
            <w:tcBorders>
              <w:top w:val="single" w:sz="3" w:space="0" w:color="231F20"/>
              <w:bottom w:val="single" w:sz="3" w:space="0" w:color="231F20"/>
            </w:tcBorders>
          </w:tcPr>
          <w:p>
            <w:pPr>
              <w:pStyle w:val="TableParagraph"/>
              <w:spacing w:line="240" w:lineRule="auto" w:before="4"/>
              <w:jc w:val="left"/>
              <w:rPr>
                <w:sz w:val="23"/>
              </w:rPr>
            </w:pPr>
          </w:p>
          <w:p>
            <w:pPr>
              <w:pStyle w:val="TableParagraph"/>
              <w:spacing w:line="240" w:lineRule="auto"/>
              <w:ind w:left="128"/>
              <w:jc w:val="left"/>
              <w:rPr>
                <w:i/>
                <w:sz w:val="17"/>
              </w:rPr>
            </w:pPr>
            <w:r>
              <w:rPr>
                <w:i/>
                <w:color w:val="231F20"/>
                <w:w w:val="105"/>
                <w:sz w:val="17"/>
              </w:rPr>
              <w:t>65 años y más</w:t>
            </w:r>
          </w:p>
        </w:tc>
        <w:tc>
          <w:tcPr>
            <w:tcW w:w="661" w:type="dxa"/>
            <w:tcBorders>
              <w:top w:val="single" w:sz="3" w:space="0" w:color="231F20"/>
              <w:bottom w:val="single" w:sz="3" w:space="0" w:color="231F20"/>
            </w:tcBorders>
          </w:tcPr>
          <w:p>
            <w:pPr>
              <w:pStyle w:val="TableParagraph"/>
              <w:spacing w:line="240" w:lineRule="auto" w:before="4"/>
              <w:jc w:val="left"/>
              <w:rPr>
                <w:sz w:val="23"/>
              </w:rPr>
            </w:pPr>
          </w:p>
          <w:p>
            <w:pPr>
              <w:pStyle w:val="TableParagraph"/>
              <w:spacing w:line="240" w:lineRule="auto"/>
              <w:ind w:right="69"/>
              <w:rPr>
                <w:i/>
                <w:sz w:val="17"/>
              </w:rPr>
            </w:pPr>
            <w:r>
              <w:rPr>
                <w:i/>
                <w:color w:val="231F20"/>
                <w:w w:val="75"/>
                <w:sz w:val="17"/>
              </w:rPr>
              <w:t>%</w:t>
            </w:r>
          </w:p>
        </w:tc>
        <w:tc>
          <w:tcPr>
            <w:tcW w:w="1012" w:type="dxa"/>
            <w:tcBorders>
              <w:top w:val="single" w:sz="3" w:space="0" w:color="231F20"/>
              <w:bottom w:val="single" w:sz="3" w:space="0" w:color="231F20"/>
            </w:tcBorders>
          </w:tcPr>
          <w:p>
            <w:pPr>
              <w:pStyle w:val="TableParagraph"/>
              <w:spacing w:line="190" w:lineRule="exact" w:before="94"/>
              <w:ind w:left="284" w:right="192" w:hanging="87"/>
              <w:jc w:val="left"/>
              <w:rPr>
                <w:rFonts w:ascii="Georgia"/>
                <w:i/>
                <w:sz w:val="13"/>
              </w:rPr>
            </w:pPr>
            <w:r>
              <w:rPr>
                <w:i/>
                <w:color w:val="231F20"/>
                <w:w w:val="105"/>
                <w:sz w:val="17"/>
              </w:rPr>
              <w:t>Numero </w:t>
            </w:r>
            <w:r>
              <w:rPr>
                <w:i/>
                <w:color w:val="231F20"/>
                <w:w w:val="105"/>
                <w:sz w:val="17"/>
              </w:rPr>
              <w:t>de </w:t>
            </w:r>
            <w:r>
              <w:rPr>
                <w:rFonts w:ascii="Georgia"/>
                <w:i/>
                <w:color w:val="231F20"/>
                <w:w w:val="105"/>
                <w:sz w:val="13"/>
              </w:rPr>
              <w:t>ZM</w:t>
            </w:r>
          </w:p>
        </w:tc>
        <w:tc>
          <w:tcPr>
            <w:tcW w:w="670" w:type="dxa"/>
            <w:tcBorders>
              <w:top w:val="single" w:sz="3" w:space="0" w:color="231F20"/>
              <w:bottom w:val="single" w:sz="3" w:space="0" w:color="231F20"/>
            </w:tcBorders>
          </w:tcPr>
          <w:p>
            <w:pPr>
              <w:pStyle w:val="TableParagraph"/>
              <w:spacing w:line="240" w:lineRule="auto" w:before="4"/>
              <w:jc w:val="left"/>
              <w:rPr>
                <w:sz w:val="23"/>
              </w:rPr>
            </w:pPr>
          </w:p>
          <w:p>
            <w:pPr>
              <w:pStyle w:val="TableParagraph"/>
              <w:spacing w:line="240" w:lineRule="auto"/>
              <w:ind w:left="14"/>
              <w:rPr>
                <w:i/>
                <w:sz w:val="17"/>
              </w:rPr>
            </w:pPr>
            <w:r>
              <w:rPr>
                <w:i/>
                <w:color w:val="231F20"/>
                <w:w w:val="75"/>
                <w:sz w:val="17"/>
              </w:rPr>
              <w:t>%</w:t>
            </w:r>
          </w:p>
        </w:tc>
      </w:tr>
      <w:tr>
        <w:trPr>
          <w:trHeight w:val="303" w:hRule="exact"/>
        </w:trPr>
        <w:tc>
          <w:tcPr>
            <w:tcW w:w="1521" w:type="dxa"/>
          </w:tcPr>
          <w:p>
            <w:pPr>
              <w:pStyle w:val="TableParagraph"/>
              <w:spacing w:line="240" w:lineRule="auto" w:before="84"/>
              <w:ind w:left="35"/>
              <w:jc w:val="left"/>
              <w:rPr>
                <w:sz w:val="17"/>
              </w:rPr>
            </w:pPr>
            <w:r>
              <w:rPr>
                <w:color w:val="231F20"/>
                <w:w w:val="110"/>
                <w:sz w:val="17"/>
              </w:rPr>
              <w:t>Muy alto</w:t>
            </w:r>
          </w:p>
        </w:tc>
        <w:tc>
          <w:tcPr>
            <w:tcW w:w="1188" w:type="dxa"/>
          </w:tcPr>
          <w:p>
            <w:pPr>
              <w:pStyle w:val="TableParagraph"/>
              <w:spacing w:line="240" w:lineRule="auto" w:before="84"/>
              <w:ind w:right="147"/>
              <w:jc w:val="right"/>
              <w:rPr>
                <w:sz w:val="17"/>
              </w:rPr>
            </w:pPr>
            <w:r>
              <w:rPr>
                <w:color w:val="231F20"/>
                <w:sz w:val="17"/>
              </w:rPr>
              <w:t>2,668,437</w:t>
            </w:r>
          </w:p>
        </w:tc>
        <w:tc>
          <w:tcPr>
            <w:tcW w:w="611" w:type="dxa"/>
          </w:tcPr>
          <w:p>
            <w:pPr>
              <w:pStyle w:val="TableParagraph"/>
              <w:spacing w:line="240" w:lineRule="auto" w:before="84"/>
              <w:ind w:right="126"/>
              <w:jc w:val="right"/>
              <w:rPr>
                <w:sz w:val="17"/>
              </w:rPr>
            </w:pPr>
            <w:r>
              <w:rPr>
                <w:color w:val="231F20"/>
                <w:w w:val="105"/>
                <w:sz w:val="17"/>
              </w:rPr>
              <w:t>8.0</w:t>
            </w:r>
          </w:p>
        </w:tc>
        <w:tc>
          <w:tcPr>
            <w:tcW w:w="1332" w:type="dxa"/>
          </w:tcPr>
          <w:p>
            <w:pPr>
              <w:pStyle w:val="TableParagraph"/>
              <w:spacing w:line="240" w:lineRule="auto" w:before="84"/>
              <w:ind w:left="417"/>
              <w:jc w:val="left"/>
              <w:rPr>
                <w:sz w:val="17"/>
              </w:rPr>
            </w:pPr>
            <w:r>
              <w:rPr>
                <w:color w:val="231F20"/>
                <w:w w:val="105"/>
                <w:sz w:val="17"/>
              </w:rPr>
              <w:t>147,951</w:t>
            </w:r>
          </w:p>
        </w:tc>
        <w:tc>
          <w:tcPr>
            <w:tcW w:w="661" w:type="dxa"/>
          </w:tcPr>
          <w:p>
            <w:pPr>
              <w:pStyle w:val="TableParagraph"/>
              <w:spacing w:line="240" w:lineRule="auto" w:before="84"/>
              <w:ind w:right="195"/>
              <w:jc w:val="right"/>
              <w:rPr>
                <w:sz w:val="17"/>
              </w:rPr>
            </w:pPr>
            <w:r>
              <w:rPr>
                <w:color w:val="231F20"/>
                <w:w w:val="105"/>
                <w:sz w:val="17"/>
              </w:rPr>
              <w:t>7.7</w:t>
            </w:r>
          </w:p>
        </w:tc>
        <w:tc>
          <w:tcPr>
            <w:tcW w:w="1012" w:type="dxa"/>
          </w:tcPr>
          <w:p>
            <w:pPr>
              <w:pStyle w:val="TableParagraph"/>
              <w:spacing w:line="240" w:lineRule="auto" w:before="84"/>
              <w:ind w:right="1"/>
              <w:rPr>
                <w:sz w:val="17"/>
              </w:rPr>
            </w:pPr>
            <w:r>
              <w:rPr>
                <w:color w:val="231F20"/>
                <w:w w:val="102"/>
                <w:sz w:val="17"/>
              </w:rPr>
              <w:t>1</w:t>
            </w:r>
          </w:p>
        </w:tc>
        <w:tc>
          <w:tcPr>
            <w:tcW w:w="670" w:type="dxa"/>
          </w:tcPr>
          <w:p>
            <w:pPr>
              <w:pStyle w:val="TableParagraph"/>
              <w:spacing w:line="240" w:lineRule="auto" w:before="84"/>
              <w:ind w:left="184" w:right="67"/>
              <w:rPr>
                <w:sz w:val="17"/>
              </w:rPr>
            </w:pPr>
            <w:r>
              <w:rPr>
                <w:color w:val="231F20"/>
                <w:sz w:val="17"/>
              </w:rPr>
              <w:t>20</w:t>
            </w:r>
          </w:p>
        </w:tc>
      </w:tr>
      <w:tr>
        <w:trPr>
          <w:trHeight w:val="210" w:hRule="exact"/>
        </w:trPr>
        <w:tc>
          <w:tcPr>
            <w:tcW w:w="1521" w:type="dxa"/>
          </w:tcPr>
          <w:p>
            <w:pPr>
              <w:pStyle w:val="TableParagraph"/>
              <w:ind w:left="35"/>
              <w:jc w:val="left"/>
              <w:rPr>
                <w:sz w:val="17"/>
              </w:rPr>
            </w:pPr>
            <w:r>
              <w:rPr>
                <w:color w:val="231F20"/>
                <w:w w:val="105"/>
                <w:sz w:val="17"/>
              </w:rPr>
              <w:t>Alto</w:t>
            </w:r>
          </w:p>
        </w:tc>
        <w:tc>
          <w:tcPr>
            <w:tcW w:w="1188" w:type="dxa"/>
          </w:tcPr>
          <w:p>
            <w:pPr>
              <w:pStyle w:val="TableParagraph"/>
              <w:ind w:right="149"/>
              <w:jc w:val="right"/>
              <w:rPr>
                <w:sz w:val="17"/>
              </w:rPr>
            </w:pPr>
            <w:r>
              <w:rPr>
                <w:color w:val="231F20"/>
                <w:sz w:val="17"/>
              </w:rPr>
              <w:t>1,846,116</w:t>
            </w:r>
          </w:p>
        </w:tc>
        <w:tc>
          <w:tcPr>
            <w:tcW w:w="611" w:type="dxa"/>
          </w:tcPr>
          <w:p>
            <w:pPr>
              <w:pStyle w:val="TableParagraph"/>
              <w:ind w:right="126"/>
              <w:jc w:val="right"/>
              <w:rPr>
                <w:sz w:val="17"/>
              </w:rPr>
            </w:pPr>
            <w:r>
              <w:rPr>
                <w:color w:val="231F20"/>
                <w:w w:val="105"/>
                <w:sz w:val="17"/>
              </w:rPr>
              <w:t>5.6</w:t>
            </w:r>
          </w:p>
        </w:tc>
        <w:tc>
          <w:tcPr>
            <w:tcW w:w="1332" w:type="dxa"/>
          </w:tcPr>
          <w:p>
            <w:pPr>
              <w:pStyle w:val="TableParagraph"/>
              <w:ind w:left="513"/>
              <w:jc w:val="left"/>
              <w:rPr>
                <w:sz w:val="17"/>
              </w:rPr>
            </w:pPr>
            <w:r>
              <w:rPr>
                <w:color w:val="231F20"/>
                <w:w w:val="105"/>
                <w:sz w:val="17"/>
              </w:rPr>
              <w:t>83,195</w:t>
            </w:r>
          </w:p>
        </w:tc>
        <w:tc>
          <w:tcPr>
            <w:tcW w:w="661" w:type="dxa"/>
          </w:tcPr>
          <w:p>
            <w:pPr>
              <w:pStyle w:val="TableParagraph"/>
              <w:ind w:right="195"/>
              <w:jc w:val="right"/>
              <w:rPr>
                <w:sz w:val="17"/>
              </w:rPr>
            </w:pPr>
            <w:r>
              <w:rPr>
                <w:color w:val="231F20"/>
                <w:w w:val="105"/>
                <w:sz w:val="17"/>
              </w:rPr>
              <w:t>4.3</w:t>
            </w:r>
          </w:p>
        </w:tc>
        <w:tc>
          <w:tcPr>
            <w:tcW w:w="1012" w:type="dxa"/>
          </w:tcPr>
          <w:p>
            <w:pPr>
              <w:pStyle w:val="TableParagraph"/>
              <w:ind w:right="1"/>
              <w:rPr>
                <w:sz w:val="17"/>
              </w:rPr>
            </w:pPr>
            <w:r>
              <w:rPr>
                <w:color w:val="231F20"/>
                <w:w w:val="102"/>
                <w:sz w:val="17"/>
              </w:rPr>
              <w:t>1</w:t>
            </w:r>
          </w:p>
        </w:tc>
        <w:tc>
          <w:tcPr>
            <w:tcW w:w="670" w:type="dxa"/>
          </w:tcPr>
          <w:p>
            <w:pPr>
              <w:pStyle w:val="TableParagraph"/>
              <w:ind w:left="184" w:right="67"/>
              <w:rPr>
                <w:sz w:val="17"/>
              </w:rPr>
            </w:pPr>
            <w:r>
              <w:rPr>
                <w:color w:val="231F20"/>
                <w:sz w:val="17"/>
              </w:rPr>
              <w:t>20</w:t>
            </w:r>
          </w:p>
        </w:tc>
      </w:tr>
      <w:tr>
        <w:trPr>
          <w:trHeight w:val="221" w:hRule="exact"/>
        </w:trPr>
        <w:tc>
          <w:tcPr>
            <w:tcW w:w="1521" w:type="dxa"/>
          </w:tcPr>
          <w:p>
            <w:pPr>
              <w:pStyle w:val="TableParagraph"/>
              <w:ind w:left="35"/>
              <w:jc w:val="left"/>
              <w:rPr>
                <w:sz w:val="17"/>
              </w:rPr>
            </w:pPr>
            <w:r>
              <w:rPr>
                <w:color w:val="231F20"/>
                <w:w w:val="105"/>
                <w:sz w:val="17"/>
              </w:rPr>
              <w:t>Bajo</w:t>
            </w:r>
          </w:p>
        </w:tc>
        <w:tc>
          <w:tcPr>
            <w:tcW w:w="1188" w:type="dxa"/>
          </w:tcPr>
          <w:p>
            <w:pPr>
              <w:pStyle w:val="TableParagraph"/>
              <w:ind w:right="147"/>
              <w:jc w:val="right"/>
              <w:rPr>
                <w:sz w:val="17"/>
              </w:rPr>
            </w:pPr>
            <w:r>
              <w:rPr>
                <w:color w:val="231F20"/>
                <w:w w:val="105"/>
                <w:sz w:val="17"/>
              </w:rPr>
              <w:t>20,116,842</w:t>
            </w:r>
          </w:p>
        </w:tc>
        <w:tc>
          <w:tcPr>
            <w:tcW w:w="611" w:type="dxa"/>
          </w:tcPr>
          <w:p>
            <w:pPr>
              <w:pStyle w:val="TableParagraph"/>
              <w:ind w:right="126"/>
              <w:jc w:val="right"/>
              <w:rPr>
                <w:sz w:val="17"/>
              </w:rPr>
            </w:pPr>
            <w:r>
              <w:rPr>
                <w:color w:val="231F20"/>
                <w:sz w:val="17"/>
              </w:rPr>
              <w:t>60.7</w:t>
            </w:r>
          </w:p>
        </w:tc>
        <w:tc>
          <w:tcPr>
            <w:tcW w:w="1332" w:type="dxa"/>
          </w:tcPr>
          <w:p>
            <w:pPr>
              <w:pStyle w:val="TableParagraph"/>
              <w:ind w:left="276"/>
              <w:jc w:val="left"/>
              <w:rPr>
                <w:sz w:val="17"/>
              </w:rPr>
            </w:pPr>
            <w:r>
              <w:rPr>
                <w:color w:val="231F20"/>
                <w:w w:val="105"/>
                <w:sz w:val="17"/>
              </w:rPr>
              <w:t>1,229,541</w:t>
            </w:r>
          </w:p>
        </w:tc>
        <w:tc>
          <w:tcPr>
            <w:tcW w:w="661" w:type="dxa"/>
          </w:tcPr>
          <w:p>
            <w:pPr>
              <w:pStyle w:val="TableParagraph"/>
              <w:ind w:right="195"/>
              <w:jc w:val="right"/>
              <w:rPr>
                <w:sz w:val="17"/>
              </w:rPr>
            </w:pPr>
            <w:r>
              <w:rPr>
                <w:color w:val="231F20"/>
                <w:sz w:val="17"/>
              </w:rPr>
              <w:t>63.8</w:t>
            </w:r>
          </w:p>
        </w:tc>
        <w:tc>
          <w:tcPr>
            <w:tcW w:w="1012" w:type="dxa"/>
          </w:tcPr>
          <w:p>
            <w:pPr>
              <w:pStyle w:val="TableParagraph"/>
              <w:ind w:right="1"/>
              <w:rPr>
                <w:sz w:val="17"/>
              </w:rPr>
            </w:pPr>
            <w:r>
              <w:rPr>
                <w:color w:val="231F20"/>
                <w:w w:val="102"/>
                <w:sz w:val="17"/>
              </w:rPr>
              <w:t>1</w:t>
            </w:r>
          </w:p>
        </w:tc>
        <w:tc>
          <w:tcPr>
            <w:tcW w:w="670" w:type="dxa"/>
          </w:tcPr>
          <w:p>
            <w:pPr>
              <w:pStyle w:val="TableParagraph"/>
              <w:ind w:left="184" w:right="67"/>
              <w:rPr>
                <w:sz w:val="17"/>
              </w:rPr>
            </w:pPr>
            <w:r>
              <w:rPr>
                <w:color w:val="231F20"/>
                <w:sz w:val="17"/>
              </w:rPr>
              <w:t>20</w:t>
            </w:r>
          </w:p>
        </w:tc>
      </w:tr>
      <w:tr>
        <w:trPr>
          <w:trHeight w:val="221" w:hRule="exact"/>
        </w:trPr>
        <w:tc>
          <w:tcPr>
            <w:tcW w:w="1521" w:type="dxa"/>
          </w:tcPr>
          <w:p>
            <w:pPr>
              <w:pStyle w:val="TableParagraph"/>
              <w:spacing w:line="240" w:lineRule="auto" w:before="6"/>
              <w:ind w:left="35"/>
              <w:jc w:val="left"/>
              <w:rPr>
                <w:sz w:val="17"/>
              </w:rPr>
            </w:pPr>
            <w:r>
              <w:rPr>
                <w:color w:val="231F20"/>
                <w:w w:val="110"/>
                <w:sz w:val="17"/>
              </w:rPr>
              <w:t>Muy bajo</w:t>
            </w:r>
          </w:p>
        </w:tc>
        <w:tc>
          <w:tcPr>
            <w:tcW w:w="1188" w:type="dxa"/>
          </w:tcPr>
          <w:p>
            <w:pPr>
              <w:pStyle w:val="TableParagraph"/>
              <w:spacing w:line="240" w:lineRule="auto" w:before="6"/>
              <w:ind w:right="147"/>
              <w:jc w:val="right"/>
              <w:rPr>
                <w:sz w:val="17"/>
              </w:rPr>
            </w:pPr>
            <w:r>
              <w:rPr>
                <w:color w:val="231F20"/>
                <w:sz w:val="17"/>
              </w:rPr>
              <w:t>8,524,840</w:t>
            </w:r>
          </w:p>
        </w:tc>
        <w:tc>
          <w:tcPr>
            <w:tcW w:w="611" w:type="dxa"/>
          </w:tcPr>
          <w:p>
            <w:pPr>
              <w:pStyle w:val="TableParagraph"/>
              <w:spacing w:line="240" w:lineRule="auto" w:before="6"/>
              <w:ind w:right="126"/>
              <w:jc w:val="right"/>
              <w:rPr>
                <w:sz w:val="17"/>
              </w:rPr>
            </w:pPr>
            <w:r>
              <w:rPr>
                <w:color w:val="231F20"/>
                <w:sz w:val="17"/>
              </w:rPr>
              <w:t>25.7</w:t>
            </w:r>
          </w:p>
        </w:tc>
        <w:tc>
          <w:tcPr>
            <w:tcW w:w="1332" w:type="dxa"/>
          </w:tcPr>
          <w:p>
            <w:pPr>
              <w:pStyle w:val="TableParagraph"/>
              <w:spacing w:line="240" w:lineRule="auto" w:before="6"/>
              <w:ind w:left="417"/>
              <w:jc w:val="left"/>
              <w:rPr>
                <w:sz w:val="17"/>
              </w:rPr>
            </w:pPr>
            <w:r>
              <w:rPr>
                <w:color w:val="231F20"/>
                <w:w w:val="105"/>
                <w:sz w:val="17"/>
              </w:rPr>
              <w:t>467,936</w:t>
            </w:r>
          </w:p>
        </w:tc>
        <w:tc>
          <w:tcPr>
            <w:tcW w:w="661" w:type="dxa"/>
          </w:tcPr>
          <w:p>
            <w:pPr>
              <w:pStyle w:val="TableParagraph"/>
              <w:spacing w:line="240" w:lineRule="auto" w:before="6"/>
              <w:ind w:right="195"/>
              <w:jc w:val="right"/>
              <w:rPr>
                <w:sz w:val="17"/>
              </w:rPr>
            </w:pPr>
            <w:r>
              <w:rPr>
                <w:color w:val="231F20"/>
                <w:sz w:val="17"/>
              </w:rPr>
              <w:t>24.3</w:t>
            </w:r>
          </w:p>
        </w:tc>
        <w:tc>
          <w:tcPr>
            <w:tcW w:w="1012" w:type="dxa"/>
          </w:tcPr>
          <w:p>
            <w:pPr>
              <w:pStyle w:val="TableParagraph"/>
              <w:spacing w:line="240" w:lineRule="auto" w:before="6"/>
              <w:ind w:right="1"/>
              <w:rPr>
                <w:sz w:val="17"/>
              </w:rPr>
            </w:pPr>
            <w:r>
              <w:rPr>
                <w:color w:val="231F20"/>
                <w:w w:val="102"/>
                <w:sz w:val="17"/>
              </w:rPr>
              <w:t>2</w:t>
            </w:r>
          </w:p>
        </w:tc>
        <w:tc>
          <w:tcPr>
            <w:tcW w:w="670" w:type="dxa"/>
          </w:tcPr>
          <w:p>
            <w:pPr>
              <w:pStyle w:val="TableParagraph"/>
              <w:spacing w:line="240" w:lineRule="auto" w:before="6"/>
              <w:ind w:left="184" w:right="67"/>
              <w:rPr>
                <w:sz w:val="17"/>
              </w:rPr>
            </w:pPr>
            <w:r>
              <w:rPr>
                <w:color w:val="231F20"/>
                <w:sz w:val="17"/>
              </w:rPr>
              <w:t>40</w:t>
            </w:r>
          </w:p>
        </w:tc>
      </w:tr>
      <w:tr>
        <w:trPr>
          <w:trHeight w:val="276" w:hRule="exact"/>
        </w:trPr>
        <w:tc>
          <w:tcPr>
            <w:tcW w:w="1521" w:type="dxa"/>
            <w:tcBorders>
              <w:bottom w:val="single" w:sz="3" w:space="0" w:color="231F20"/>
            </w:tcBorders>
          </w:tcPr>
          <w:p>
            <w:pPr>
              <w:pStyle w:val="TableParagraph"/>
              <w:ind w:left="35"/>
              <w:jc w:val="left"/>
              <w:rPr>
                <w:sz w:val="17"/>
              </w:rPr>
            </w:pPr>
            <w:r>
              <w:rPr>
                <w:color w:val="231F20"/>
                <w:w w:val="105"/>
                <w:sz w:val="17"/>
              </w:rPr>
              <w:t>Total</w:t>
            </w:r>
          </w:p>
        </w:tc>
        <w:tc>
          <w:tcPr>
            <w:tcW w:w="1188" w:type="dxa"/>
            <w:tcBorders>
              <w:bottom w:val="single" w:sz="3" w:space="0" w:color="231F20"/>
            </w:tcBorders>
          </w:tcPr>
          <w:p>
            <w:pPr>
              <w:pStyle w:val="TableParagraph"/>
              <w:ind w:right="147"/>
              <w:jc w:val="right"/>
              <w:rPr>
                <w:sz w:val="17"/>
              </w:rPr>
            </w:pPr>
            <w:r>
              <w:rPr>
                <w:color w:val="231F20"/>
                <w:sz w:val="17"/>
              </w:rPr>
              <w:t>33156235</w:t>
            </w:r>
          </w:p>
        </w:tc>
        <w:tc>
          <w:tcPr>
            <w:tcW w:w="611" w:type="dxa"/>
            <w:tcBorders>
              <w:bottom w:val="single" w:sz="3" w:space="0" w:color="231F20"/>
            </w:tcBorders>
          </w:tcPr>
          <w:p>
            <w:pPr>
              <w:pStyle w:val="TableParagraph"/>
              <w:ind w:right="126"/>
              <w:jc w:val="right"/>
              <w:rPr>
                <w:sz w:val="17"/>
              </w:rPr>
            </w:pPr>
            <w:r>
              <w:rPr>
                <w:color w:val="231F20"/>
                <w:sz w:val="17"/>
              </w:rPr>
              <w:t>100</w:t>
            </w:r>
          </w:p>
        </w:tc>
        <w:tc>
          <w:tcPr>
            <w:tcW w:w="1332" w:type="dxa"/>
            <w:tcBorders>
              <w:bottom w:val="single" w:sz="3" w:space="0" w:color="231F20"/>
            </w:tcBorders>
          </w:tcPr>
          <w:p>
            <w:pPr>
              <w:pStyle w:val="TableParagraph"/>
              <w:ind w:left="366"/>
              <w:jc w:val="left"/>
              <w:rPr>
                <w:sz w:val="17"/>
              </w:rPr>
            </w:pPr>
            <w:r>
              <w:rPr>
                <w:color w:val="231F20"/>
                <w:sz w:val="17"/>
              </w:rPr>
              <w:t>1928623</w:t>
            </w:r>
          </w:p>
        </w:tc>
        <w:tc>
          <w:tcPr>
            <w:tcW w:w="661" w:type="dxa"/>
            <w:tcBorders>
              <w:bottom w:val="single" w:sz="3" w:space="0" w:color="231F20"/>
            </w:tcBorders>
          </w:tcPr>
          <w:p>
            <w:pPr>
              <w:pStyle w:val="TableParagraph"/>
              <w:ind w:right="195"/>
              <w:jc w:val="right"/>
              <w:rPr>
                <w:sz w:val="17"/>
              </w:rPr>
            </w:pPr>
            <w:r>
              <w:rPr>
                <w:color w:val="231F20"/>
                <w:sz w:val="17"/>
              </w:rPr>
              <w:t>100</w:t>
            </w:r>
          </w:p>
        </w:tc>
        <w:tc>
          <w:tcPr>
            <w:tcW w:w="1012" w:type="dxa"/>
            <w:tcBorders>
              <w:bottom w:val="single" w:sz="3" w:space="0" w:color="231F20"/>
            </w:tcBorders>
          </w:tcPr>
          <w:p>
            <w:pPr>
              <w:pStyle w:val="TableParagraph"/>
              <w:ind w:right="1"/>
              <w:rPr>
                <w:sz w:val="17"/>
              </w:rPr>
            </w:pPr>
            <w:r>
              <w:rPr>
                <w:color w:val="231F20"/>
                <w:w w:val="102"/>
                <w:sz w:val="17"/>
              </w:rPr>
              <w:t>5</w:t>
            </w:r>
          </w:p>
        </w:tc>
        <w:tc>
          <w:tcPr>
            <w:tcW w:w="670" w:type="dxa"/>
            <w:tcBorders>
              <w:bottom w:val="single" w:sz="3" w:space="0" w:color="231F20"/>
            </w:tcBorders>
          </w:tcPr>
          <w:p>
            <w:pPr>
              <w:pStyle w:val="TableParagraph"/>
              <w:ind w:left="183" w:right="162"/>
              <w:rPr>
                <w:sz w:val="17"/>
              </w:rPr>
            </w:pPr>
            <w:r>
              <w:rPr>
                <w:color w:val="231F20"/>
                <w:sz w:val="17"/>
              </w:rPr>
              <w:t>100</w:t>
            </w:r>
          </w:p>
        </w:tc>
      </w:tr>
    </w:tbl>
    <w:p>
      <w:pPr>
        <w:spacing w:before="63"/>
        <w:ind w:left="0" w:right="138" w:firstLine="0"/>
        <w:jc w:val="right"/>
        <w:rPr>
          <w:sz w:val="15"/>
        </w:rPr>
      </w:pPr>
      <w:r>
        <w:rPr>
          <w:color w:val="231F20"/>
          <w:w w:val="110"/>
          <w:sz w:val="15"/>
        </w:rPr>
        <w:t>Fuente: Elaboración propia con datos de Conapo, </w:t>
      </w:r>
      <w:r>
        <w:rPr>
          <w:rFonts w:ascii="Times New Roman" w:hAnsi="Times New Roman"/>
          <w:color w:val="231F20"/>
          <w:w w:val="110"/>
          <w:sz w:val="12"/>
        </w:rPr>
        <w:t>INEGI</w:t>
      </w:r>
      <w:r>
        <w:rPr>
          <w:color w:val="231F20"/>
          <w:w w:val="110"/>
          <w:sz w:val="15"/>
        </w:rPr>
        <w:t>, 1990; Sedesol, Conapo e </w:t>
      </w:r>
      <w:r>
        <w:rPr>
          <w:rFonts w:ascii="Times New Roman" w:hAnsi="Times New Roman"/>
          <w:color w:val="231F20"/>
          <w:w w:val="110"/>
          <w:sz w:val="12"/>
        </w:rPr>
        <w:t>INEGI</w:t>
      </w:r>
      <w:r>
        <w:rPr>
          <w:color w:val="231F20"/>
          <w:w w:val="110"/>
          <w:sz w:val="15"/>
        </w:rPr>
        <w:t>,   2012.</w:t>
      </w:r>
    </w:p>
    <w:p>
      <w:pPr>
        <w:pStyle w:val="BodyText"/>
        <w:rPr>
          <w:sz w:val="14"/>
        </w:rPr>
      </w:pPr>
    </w:p>
    <w:p>
      <w:pPr>
        <w:pStyle w:val="BodyText"/>
        <w:rPr>
          <w:sz w:val="14"/>
        </w:rPr>
      </w:pPr>
    </w:p>
    <w:p>
      <w:pPr>
        <w:pStyle w:val="BodyText"/>
        <w:rPr>
          <w:sz w:val="14"/>
        </w:rPr>
      </w:pPr>
    </w:p>
    <w:p>
      <w:pPr>
        <w:spacing w:line="285" w:lineRule="auto" w:before="92"/>
        <w:ind w:left="144" w:right="2791" w:firstLine="0"/>
        <w:jc w:val="left"/>
        <w:rPr>
          <w:rFonts w:ascii="Times New Roman" w:hAnsi="Times New Roman"/>
          <w:i/>
          <w:sz w:val="19"/>
        </w:rPr>
      </w:pPr>
      <w:r>
        <w:rPr>
          <w:rFonts w:ascii="Times New Roman" w:hAnsi="Times New Roman"/>
          <w:i/>
          <w:color w:val="231F20"/>
          <w:w w:val="95"/>
          <w:sz w:val="24"/>
        </w:rPr>
        <w:t>E</w:t>
      </w:r>
      <w:r>
        <w:rPr>
          <w:rFonts w:ascii="Times New Roman" w:hAnsi="Times New Roman"/>
          <w:i/>
          <w:color w:val="231F20"/>
          <w:w w:val="95"/>
          <w:sz w:val="19"/>
        </w:rPr>
        <w:t>NVEJECIMIENTO DEMOGRÁFICO</w:t>
      </w:r>
      <w:r>
        <w:rPr>
          <w:rFonts w:ascii="Times New Roman" w:hAnsi="Times New Roman"/>
          <w:i/>
          <w:color w:val="231F20"/>
          <w:w w:val="95"/>
          <w:sz w:val="24"/>
        </w:rPr>
        <w:t>, </w:t>
      </w:r>
      <w:r>
        <w:rPr>
          <w:rFonts w:ascii="Times New Roman" w:hAnsi="Times New Roman"/>
          <w:i/>
          <w:color w:val="231F20"/>
          <w:w w:val="95"/>
          <w:sz w:val="19"/>
        </w:rPr>
        <w:t>MARGINACIÓN </w:t>
      </w:r>
      <w:r>
        <w:rPr>
          <w:rFonts w:ascii="Times New Roman" w:hAnsi="Times New Roman"/>
          <w:i/>
          <w:color w:val="231F20"/>
          <w:sz w:val="19"/>
        </w:rPr>
        <w:t>Y TAMAÑO DE LA ZONA METROPOLITANA</w:t>
      </w:r>
    </w:p>
    <w:p>
      <w:pPr>
        <w:pStyle w:val="BodyText"/>
        <w:spacing w:before="8"/>
        <w:rPr>
          <w:rFonts w:ascii="Times New Roman"/>
          <w:i/>
          <w:sz w:val="24"/>
        </w:rPr>
      </w:pPr>
    </w:p>
    <w:p>
      <w:pPr>
        <w:pStyle w:val="BodyText"/>
        <w:spacing w:line="285" w:lineRule="auto" w:before="1"/>
        <w:ind w:right="112"/>
        <w:jc w:val="right"/>
      </w:pPr>
      <w:r>
        <w:rPr>
          <w:color w:val="231F20"/>
          <w:w w:val="110"/>
        </w:rPr>
        <w:t>El análisis de los grados de marginación y de envejecimiento permite esta-</w:t>
      </w:r>
      <w:r>
        <w:rPr>
          <w:color w:val="231F20"/>
          <w:w w:val="93"/>
        </w:rPr>
        <w:t> </w:t>
      </w:r>
      <w:r>
        <w:rPr>
          <w:color w:val="231F20"/>
          <w:w w:val="110"/>
        </w:rPr>
        <w:t>blecer relaciones entre los mismos y, con la finalidad de establecer la im-</w:t>
      </w:r>
      <w:r>
        <w:rPr>
          <w:color w:val="231F20"/>
          <w:w w:val="93"/>
        </w:rPr>
        <w:t> </w:t>
      </w:r>
      <w:r>
        <w:rPr>
          <w:color w:val="231F20"/>
          <w:w w:val="110"/>
        </w:rPr>
        <w:t>portancia que pudiera tener el tamaño de las zonas metropolitanas,</w:t>
      </w:r>
      <w:r>
        <w:rPr>
          <w:color w:val="231F20"/>
          <w:w w:val="110"/>
          <w:position w:val="6"/>
          <w:sz w:val="11"/>
        </w:rPr>
        <w:t>12  </w:t>
      </w:r>
      <w:r>
        <w:rPr>
          <w:color w:val="231F20"/>
          <w:w w:val="110"/>
        </w:rPr>
        <w:t>se</w:t>
      </w:r>
    </w:p>
    <w:p>
      <w:pPr>
        <w:pStyle w:val="BodyText"/>
        <w:spacing w:before="11"/>
        <w:rPr>
          <w:sz w:val="15"/>
        </w:rPr>
      </w:pPr>
    </w:p>
    <w:p>
      <w:pPr>
        <w:spacing w:line="256" w:lineRule="auto" w:before="0"/>
        <w:ind w:left="144" w:right="0" w:firstLine="360"/>
        <w:jc w:val="left"/>
        <w:rPr>
          <w:sz w:val="16"/>
        </w:rPr>
      </w:pPr>
      <w:r>
        <w:rPr>
          <w:color w:val="231F20"/>
          <w:w w:val="110"/>
          <w:position w:val="5"/>
          <w:sz w:val="9"/>
        </w:rPr>
        <w:t>12 </w:t>
      </w:r>
      <w:r>
        <w:rPr>
          <w:color w:val="231F20"/>
          <w:w w:val="110"/>
          <w:sz w:val="16"/>
        </w:rPr>
        <w:t>La clasificación de los rangos de las zonas metropolitanas, según el tamaño de pobla- ción, se definió a partir de los criterios establecidos por Sedesol, Conapo e </w:t>
      </w:r>
      <w:r>
        <w:rPr>
          <w:rFonts w:ascii="Times New Roman" w:hAnsi="Times New Roman"/>
          <w:color w:val="231F20"/>
          <w:w w:val="110"/>
          <w:sz w:val="13"/>
        </w:rPr>
        <w:t>INEGI</w:t>
      </w:r>
      <w:r>
        <w:rPr>
          <w:color w:val="231F20"/>
          <w:w w:val="110"/>
          <w:sz w:val="16"/>
        </w:rPr>
        <w:t>,  2012.</w:t>
      </w:r>
    </w:p>
    <w:p>
      <w:pPr>
        <w:spacing w:after="0" w:line="256" w:lineRule="auto"/>
        <w:jc w:val="left"/>
        <w:rPr>
          <w:sz w:val="16"/>
        </w:rPr>
        <w:sectPr>
          <w:pgSz w:w="9520" w:h="12920"/>
          <w:pgMar w:header="0" w:footer="1344" w:top="880" w:bottom="1540" w:left="1300" w:right="1000"/>
        </w:sectPr>
      </w:pPr>
    </w:p>
    <w:p>
      <w:pPr>
        <w:pStyle w:val="BodyText"/>
        <w:spacing w:line="297" w:lineRule="auto" w:before="42"/>
        <w:ind w:left="120" w:right="117"/>
        <w:jc w:val="both"/>
      </w:pPr>
      <w:r>
        <w:rPr>
          <w:color w:val="231F20"/>
          <w:w w:val="110"/>
        </w:rPr>
        <w:t>incluye el grado de población, según tamaño de población que concentran, que tienen las </w:t>
      </w:r>
      <w:r>
        <w:rPr>
          <w:rFonts w:ascii="Times New Roman" w:hAnsi="Times New Roman"/>
          <w:color w:val="231F20"/>
          <w:w w:val="110"/>
          <w:sz w:val="16"/>
        </w:rPr>
        <w:t>ZM</w:t>
      </w:r>
      <w:r>
        <w:rPr>
          <w:color w:val="231F20"/>
          <w:w w:val="110"/>
        </w:rPr>
        <w:t>. Esto permite hacer un análisis comparativo en el</w:t>
      </w:r>
      <w:r>
        <w:rPr>
          <w:color w:val="231F20"/>
          <w:spacing w:val="-25"/>
          <w:w w:val="110"/>
        </w:rPr>
        <w:t> </w:t>
      </w:r>
      <w:r>
        <w:rPr>
          <w:color w:val="231F20"/>
          <w:w w:val="110"/>
        </w:rPr>
        <w:t>tiempo (entre las zonas metropolitanas grandes) y </w:t>
      </w:r>
      <w:r>
        <w:rPr>
          <w:color w:val="231F20"/>
          <w:spacing w:val="2"/>
          <w:w w:val="110"/>
        </w:rPr>
        <w:t>observar </w:t>
      </w:r>
      <w:r>
        <w:rPr>
          <w:color w:val="231F20"/>
          <w:w w:val="110"/>
        </w:rPr>
        <w:t>el comportamiento que tiene los índices utilizados en cada una de las zonas metropolitanas analizadas,</w:t>
      </w:r>
      <w:r>
        <w:rPr>
          <w:color w:val="231F20"/>
          <w:spacing w:val="-7"/>
          <w:w w:val="110"/>
        </w:rPr>
        <w:t> </w:t>
      </w:r>
      <w:r>
        <w:rPr>
          <w:color w:val="231F20"/>
          <w:w w:val="110"/>
        </w:rPr>
        <w:t>considerando</w:t>
      </w:r>
      <w:r>
        <w:rPr>
          <w:color w:val="231F20"/>
          <w:spacing w:val="-7"/>
          <w:w w:val="110"/>
        </w:rPr>
        <w:t> </w:t>
      </w:r>
      <w:r>
        <w:rPr>
          <w:color w:val="231F20"/>
          <w:w w:val="110"/>
        </w:rPr>
        <w:t>el</w:t>
      </w:r>
      <w:r>
        <w:rPr>
          <w:color w:val="231F20"/>
          <w:spacing w:val="-7"/>
          <w:w w:val="110"/>
        </w:rPr>
        <w:t> </w:t>
      </w:r>
      <w:r>
        <w:rPr>
          <w:color w:val="231F20"/>
          <w:w w:val="110"/>
        </w:rPr>
        <w:t>aumento</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población</w:t>
      </w:r>
      <w:r>
        <w:rPr>
          <w:color w:val="231F20"/>
          <w:spacing w:val="-7"/>
          <w:w w:val="110"/>
        </w:rPr>
        <w:t> </w:t>
      </w:r>
      <w:r>
        <w:rPr>
          <w:color w:val="231F20"/>
          <w:w w:val="110"/>
        </w:rPr>
        <w:t>total</w:t>
      </w:r>
      <w:r>
        <w:rPr>
          <w:color w:val="231F20"/>
          <w:spacing w:val="-7"/>
          <w:w w:val="110"/>
        </w:rPr>
        <w:t> </w:t>
      </w:r>
      <w:r>
        <w:rPr>
          <w:color w:val="231F20"/>
          <w:w w:val="110"/>
        </w:rPr>
        <w:t>y</w:t>
      </w:r>
      <w:r>
        <w:rPr>
          <w:color w:val="231F20"/>
          <w:spacing w:val="-7"/>
          <w:w w:val="110"/>
        </w:rPr>
        <w:t> </w:t>
      </w:r>
      <w:r>
        <w:rPr>
          <w:color w:val="231F20"/>
          <w:w w:val="110"/>
        </w:rPr>
        <w:t>la</w:t>
      </w:r>
      <w:r>
        <w:rPr>
          <w:color w:val="231F20"/>
          <w:spacing w:val="-7"/>
          <w:w w:val="110"/>
        </w:rPr>
        <w:t> </w:t>
      </w:r>
      <w:r>
        <w:rPr>
          <w:color w:val="231F20"/>
          <w:w w:val="110"/>
        </w:rPr>
        <w:t>población</w:t>
      </w:r>
      <w:r>
        <w:rPr>
          <w:color w:val="231F20"/>
          <w:spacing w:val="-7"/>
          <w:w w:val="110"/>
        </w:rPr>
        <w:t> </w:t>
      </w:r>
      <w:r>
        <w:rPr>
          <w:color w:val="231F20"/>
          <w:w w:val="110"/>
        </w:rPr>
        <w:t>de 65 años y</w:t>
      </w:r>
      <w:r>
        <w:rPr>
          <w:color w:val="231F20"/>
          <w:spacing w:val="40"/>
          <w:w w:val="110"/>
        </w:rPr>
        <w:t> </w:t>
      </w:r>
      <w:r>
        <w:rPr>
          <w:color w:val="231F20"/>
          <w:w w:val="110"/>
        </w:rPr>
        <w:t>más.</w:t>
      </w:r>
    </w:p>
    <w:p>
      <w:pPr>
        <w:pStyle w:val="BodyText"/>
        <w:spacing w:line="297" w:lineRule="auto"/>
        <w:ind w:left="120" w:right="117" w:firstLine="360"/>
        <w:jc w:val="both"/>
      </w:pPr>
      <w:r>
        <w:rPr>
          <w:color w:val="231F20"/>
          <w:w w:val="110"/>
        </w:rPr>
        <w:t>En este sentido, los resultados obtenidos muestran que en el año 2010 el grado de marginación de 40 por ciento de las zonas metropolitanas, cla- sificadas como grandes (según el tamaño de su población) era muy bajo y su grado de envejecimiento se clasificaba como en proceso (véanse cua- dros 5 y 6), lo que significa que en la medida que estas </w:t>
      </w:r>
      <w:r>
        <w:rPr>
          <w:rFonts w:ascii="Times New Roman" w:hAnsi="Times New Roman"/>
          <w:color w:val="231F20"/>
          <w:w w:val="110"/>
          <w:sz w:val="16"/>
        </w:rPr>
        <w:t>ZM </w:t>
      </w:r>
      <w:r>
        <w:rPr>
          <w:color w:val="231F20"/>
          <w:w w:val="110"/>
        </w:rPr>
        <w:t>aumentan en su población las carencias de bienes y servicios públicos o privados, concebi- dos</w:t>
      </w:r>
      <w:r>
        <w:rPr>
          <w:color w:val="231F20"/>
          <w:spacing w:val="-10"/>
          <w:w w:val="110"/>
        </w:rPr>
        <w:t> </w:t>
      </w:r>
      <w:r>
        <w:rPr>
          <w:color w:val="231F20"/>
          <w:w w:val="110"/>
        </w:rPr>
        <w:t>como</w:t>
      </w:r>
      <w:r>
        <w:rPr>
          <w:color w:val="231F20"/>
          <w:spacing w:val="-10"/>
          <w:w w:val="110"/>
        </w:rPr>
        <w:t> </w:t>
      </w:r>
      <w:r>
        <w:rPr>
          <w:color w:val="231F20"/>
          <w:w w:val="110"/>
        </w:rPr>
        <w:t>estándares</w:t>
      </w:r>
      <w:r>
        <w:rPr>
          <w:color w:val="231F20"/>
          <w:spacing w:val="-10"/>
          <w:w w:val="110"/>
        </w:rPr>
        <w:t> </w:t>
      </w:r>
      <w:r>
        <w:rPr>
          <w:color w:val="231F20"/>
          <w:w w:val="110"/>
        </w:rPr>
        <w:t>en</w:t>
      </w:r>
      <w:r>
        <w:rPr>
          <w:color w:val="231F20"/>
          <w:spacing w:val="-10"/>
          <w:w w:val="110"/>
        </w:rPr>
        <w:t> </w:t>
      </w:r>
      <w:r>
        <w:rPr>
          <w:color w:val="231F20"/>
          <w:w w:val="110"/>
        </w:rPr>
        <w:t>una</w:t>
      </w:r>
      <w:r>
        <w:rPr>
          <w:color w:val="231F20"/>
          <w:spacing w:val="-10"/>
          <w:w w:val="110"/>
        </w:rPr>
        <w:t> </w:t>
      </w:r>
      <w:r>
        <w:rPr>
          <w:color w:val="231F20"/>
          <w:w w:val="110"/>
        </w:rPr>
        <w:t>sociedad</w:t>
      </w:r>
      <w:r>
        <w:rPr>
          <w:color w:val="231F20"/>
          <w:spacing w:val="-10"/>
          <w:w w:val="110"/>
        </w:rPr>
        <w:t> </w:t>
      </w:r>
      <w:r>
        <w:rPr>
          <w:color w:val="231F20"/>
          <w:w w:val="110"/>
        </w:rPr>
        <w:t>con</w:t>
      </w:r>
      <w:r>
        <w:rPr>
          <w:color w:val="231F20"/>
          <w:spacing w:val="-10"/>
          <w:w w:val="110"/>
        </w:rPr>
        <w:t> </w:t>
      </w:r>
      <w:r>
        <w:rPr>
          <w:color w:val="231F20"/>
          <w:w w:val="110"/>
        </w:rPr>
        <w:t>un</w:t>
      </w:r>
      <w:r>
        <w:rPr>
          <w:color w:val="231F20"/>
          <w:spacing w:val="-10"/>
          <w:w w:val="110"/>
        </w:rPr>
        <w:t> </w:t>
      </w:r>
      <w:r>
        <w:rPr>
          <w:color w:val="231F20"/>
          <w:w w:val="110"/>
        </w:rPr>
        <w:t>fuerte</w:t>
      </w:r>
      <w:r>
        <w:rPr>
          <w:color w:val="231F20"/>
          <w:spacing w:val="-10"/>
          <w:w w:val="110"/>
        </w:rPr>
        <w:t> </w:t>
      </w:r>
      <w:r>
        <w:rPr>
          <w:color w:val="231F20"/>
          <w:w w:val="110"/>
        </w:rPr>
        <w:t>componente</w:t>
      </w:r>
      <w:r>
        <w:rPr>
          <w:color w:val="231F20"/>
          <w:spacing w:val="-10"/>
          <w:w w:val="110"/>
        </w:rPr>
        <w:t> </w:t>
      </w:r>
      <w:r>
        <w:rPr>
          <w:color w:val="231F20"/>
          <w:w w:val="110"/>
        </w:rPr>
        <w:t>urbano,</w:t>
      </w:r>
      <w:r>
        <w:rPr>
          <w:color w:val="231F20"/>
          <w:spacing w:val="-10"/>
          <w:w w:val="110"/>
        </w:rPr>
        <w:t> </w:t>
      </w:r>
      <w:r>
        <w:rPr>
          <w:color w:val="231F20"/>
          <w:w w:val="110"/>
        </w:rPr>
        <w:t>se acrecienta, confirmando con esto la hipótesis que plantea que un incre- mento en el número de personas que viven en localidades pequeñas, sig- nifica</w:t>
      </w:r>
      <w:r>
        <w:rPr>
          <w:color w:val="231F20"/>
          <w:spacing w:val="-15"/>
          <w:w w:val="110"/>
        </w:rPr>
        <w:t> </w:t>
      </w:r>
      <w:r>
        <w:rPr>
          <w:color w:val="231F20"/>
          <w:w w:val="110"/>
        </w:rPr>
        <w:t>—como</w:t>
      </w:r>
      <w:r>
        <w:rPr>
          <w:color w:val="231F20"/>
          <w:spacing w:val="-15"/>
          <w:w w:val="110"/>
        </w:rPr>
        <w:t> </w:t>
      </w:r>
      <w:r>
        <w:rPr>
          <w:color w:val="231F20"/>
          <w:w w:val="110"/>
        </w:rPr>
        <w:t>mera</w:t>
      </w:r>
      <w:r>
        <w:rPr>
          <w:color w:val="231F20"/>
          <w:spacing w:val="-15"/>
          <w:w w:val="110"/>
        </w:rPr>
        <w:t> </w:t>
      </w:r>
      <w:r>
        <w:rPr>
          <w:color w:val="231F20"/>
          <w:w w:val="110"/>
        </w:rPr>
        <w:t>posibilidad—</w:t>
      </w:r>
      <w:r>
        <w:rPr>
          <w:color w:val="231F20"/>
          <w:spacing w:val="-15"/>
          <w:w w:val="110"/>
        </w:rPr>
        <w:t> </w:t>
      </w:r>
      <w:r>
        <w:rPr>
          <w:color w:val="231F20"/>
          <w:w w:val="110"/>
        </w:rPr>
        <w:t>un</w:t>
      </w:r>
      <w:r>
        <w:rPr>
          <w:color w:val="231F20"/>
          <w:spacing w:val="-15"/>
          <w:w w:val="110"/>
        </w:rPr>
        <w:t> </w:t>
      </w:r>
      <w:r>
        <w:rPr>
          <w:color w:val="231F20"/>
          <w:w w:val="110"/>
        </w:rPr>
        <w:t>mayor</w:t>
      </w:r>
      <w:r>
        <w:rPr>
          <w:color w:val="231F20"/>
          <w:spacing w:val="-15"/>
          <w:w w:val="110"/>
        </w:rPr>
        <w:t> </w:t>
      </w:r>
      <w:r>
        <w:rPr>
          <w:color w:val="231F20"/>
          <w:w w:val="110"/>
        </w:rPr>
        <w:t>riesgo</w:t>
      </w:r>
      <w:r>
        <w:rPr>
          <w:color w:val="231F20"/>
          <w:spacing w:val="-15"/>
          <w:w w:val="110"/>
        </w:rPr>
        <w:t> </w:t>
      </w:r>
      <w:r>
        <w:rPr>
          <w:color w:val="231F20"/>
          <w:w w:val="110"/>
        </w:rPr>
        <w:t>a</w:t>
      </w:r>
      <w:r>
        <w:rPr>
          <w:color w:val="231F20"/>
          <w:spacing w:val="-15"/>
          <w:w w:val="110"/>
        </w:rPr>
        <w:t> </w:t>
      </w:r>
      <w:r>
        <w:rPr>
          <w:color w:val="231F20"/>
          <w:w w:val="110"/>
        </w:rPr>
        <w:t>no</w:t>
      </w:r>
      <w:r>
        <w:rPr>
          <w:color w:val="231F20"/>
          <w:spacing w:val="-15"/>
          <w:w w:val="110"/>
        </w:rPr>
        <w:t> </w:t>
      </w:r>
      <w:r>
        <w:rPr>
          <w:color w:val="231F20"/>
          <w:w w:val="110"/>
        </w:rPr>
        <w:t>conseguir</w:t>
      </w:r>
      <w:r>
        <w:rPr>
          <w:color w:val="231F20"/>
          <w:spacing w:val="-15"/>
          <w:w w:val="110"/>
        </w:rPr>
        <w:t> </w:t>
      </w:r>
      <w:r>
        <w:rPr>
          <w:color w:val="231F20"/>
          <w:w w:val="110"/>
        </w:rPr>
        <w:t>los</w:t>
      </w:r>
      <w:r>
        <w:rPr>
          <w:color w:val="231F20"/>
          <w:spacing w:val="-15"/>
          <w:w w:val="110"/>
        </w:rPr>
        <w:t> </w:t>
      </w:r>
      <w:r>
        <w:rPr>
          <w:color w:val="231F20"/>
          <w:w w:val="110"/>
        </w:rPr>
        <w:t>bienes y servicios que están con mayor probabilidad en localidades con más per- sonas</w:t>
      </w:r>
      <w:r>
        <w:rPr>
          <w:color w:val="231F20"/>
          <w:spacing w:val="-13"/>
          <w:w w:val="110"/>
        </w:rPr>
        <w:t> </w:t>
      </w:r>
      <w:r>
        <w:rPr>
          <w:color w:val="231F20"/>
          <w:w w:val="110"/>
        </w:rPr>
        <w:t>(Pamplona,</w:t>
      </w:r>
      <w:r>
        <w:rPr>
          <w:color w:val="231F20"/>
          <w:spacing w:val="-13"/>
          <w:w w:val="110"/>
        </w:rPr>
        <w:t> </w:t>
      </w:r>
      <w:r>
        <w:rPr>
          <w:color w:val="231F20"/>
          <w:w w:val="110"/>
        </w:rPr>
        <w:t>2005;</w:t>
      </w:r>
      <w:r>
        <w:rPr>
          <w:color w:val="231F20"/>
          <w:spacing w:val="-13"/>
          <w:w w:val="110"/>
        </w:rPr>
        <w:t> </w:t>
      </w:r>
      <w:r>
        <w:rPr>
          <w:color w:val="231F20"/>
          <w:w w:val="110"/>
        </w:rPr>
        <w:t>Ávila,</w:t>
      </w:r>
      <w:r>
        <w:rPr>
          <w:color w:val="231F20"/>
          <w:spacing w:val="-13"/>
          <w:w w:val="110"/>
        </w:rPr>
        <w:t> </w:t>
      </w:r>
      <w:r>
        <w:rPr>
          <w:color w:val="231F20"/>
          <w:w w:val="110"/>
        </w:rPr>
        <w:t>1995).</w:t>
      </w:r>
    </w:p>
    <w:p>
      <w:pPr>
        <w:pStyle w:val="BodyText"/>
        <w:spacing w:line="297" w:lineRule="auto"/>
        <w:ind w:left="119" w:right="115" w:firstLine="360"/>
        <w:jc w:val="both"/>
      </w:pPr>
      <w:r>
        <w:rPr>
          <w:color w:val="231F20"/>
          <w:w w:val="110"/>
        </w:rPr>
        <w:t>De igual forma, este comportamiento se muestra en las zonas metro- politanas con grados de marginación bajo, situación que se explica por el comportamiento que presentan los resultados en cada uno de los munici- pios</w:t>
      </w:r>
      <w:r>
        <w:rPr>
          <w:color w:val="231F20"/>
          <w:spacing w:val="-5"/>
          <w:w w:val="110"/>
        </w:rPr>
        <w:t> </w:t>
      </w:r>
      <w:r>
        <w:rPr>
          <w:color w:val="231F20"/>
          <w:w w:val="110"/>
        </w:rPr>
        <w:t>que</w:t>
      </w:r>
      <w:r>
        <w:rPr>
          <w:color w:val="231F20"/>
          <w:spacing w:val="-5"/>
          <w:w w:val="110"/>
        </w:rPr>
        <w:t> </w:t>
      </w:r>
      <w:r>
        <w:rPr>
          <w:color w:val="231F20"/>
          <w:w w:val="110"/>
        </w:rPr>
        <w:t>integran</w:t>
      </w:r>
      <w:r>
        <w:rPr>
          <w:color w:val="231F20"/>
          <w:spacing w:val="-5"/>
          <w:w w:val="110"/>
        </w:rPr>
        <w:t> </w:t>
      </w:r>
      <w:r>
        <w:rPr>
          <w:color w:val="231F20"/>
          <w:w w:val="110"/>
        </w:rPr>
        <w:t>las</w:t>
      </w:r>
      <w:r>
        <w:rPr>
          <w:color w:val="231F20"/>
          <w:spacing w:val="-5"/>
          <w:w w:val="110"/>
        </w:rPr>
        <w:t> </w:t>
      </w:r>
      <w:r>
        <w:rPr>
          <w:color w:val="231F20"/>
          <w:w w:val="110"/>
        </w:rPr>
        <w:t>grandes</w:t>
      </w:r>
      <w:r>
        <w:rPr>
          <w:color w:val="231F20"/>
          <w:spacing w:val="-5"/>
          <w:w w:val="110"/>
        </w:rPr>
        <w:t> </w:t>
      </w:r>
      <w:r>
        <w:rPr>
          <w:rFonts w:ascii="Times New Roman" w:hAnsi="Times New Roman"/>
          <w:color w:val="231F20"/>
          <w:w w:val="110"/>
          <w:sz w:val="16"/>
        </w:rPr>
        <w:t>ZM</w:t>
      </w:r>
      <w:r>
        <w:rPr>
          <w:color w:val="231F20"/>
          <w:w w:val="110"/>
        </w:rPr>
        <w:t>.</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caso</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6"/>
          <w:w w:val="110"/>
        </w:rPr>
        <w:t> </w:t>
      </w:r>
      <w:r>
        <w:rPr>
          <w:rFonts w:ascii="Times New Roman" w:hAnsi="Times New Roman"/>
          <w:color w:val="231F20"/>
          <w:w w:val="110"/>
          <w:sz w:val="16"/>
        </w:rPr>
        <w:t>ZM</w:t>
      </w:r>
      <w:r>
        <w:rPr>
          <w:rFonts w:ascii="Times New Roman" w:hAnsi="Times New Roman"/>
          <w:color w:val="231F20"/>
          <w:spacing w:val="-1"/>
          <w:w w:val="110"/>
          <w:sz w:val="16"/>
        </w:rPr>
        <w:t> </w:t>
      </w:r>
      <w:r>
        <w:rPr>
          <w:color w:val="231F20"/>
          <w:w w:val="110"/>
        </w:rPr>
        <w:t>del</w:t>
      </w:r>
      <w:r>
        <w:rPr>
          <w:color w:val="231F20"/>
          <w:spacing w:val="-5"/>
          <w:w w:val="110"/>
        </w:rPr>
        <w:t> </w:t>
      </w:r>
      <w:r>
        <w:rPr>
          <w:color w:val="231F20"/>
          <w:spacing w:val="-6"/>
          <w:w w:val="110"/>
        </w:rPr>
        <w:t>Valle</w:t>
      </w:r>
      <w:r>
        <w:rPr>
          <w:color w:val="231F20"/>
          <w:spacing w:val="-5"/>
          <w:w w:val="110"/>
        </w:rPr>
        <w:t> </w:t>
      </w:r>
      <w:r>
        <w:rPr>
          <w:color w:val="231F20"/>
          <w:w w:val="110"/>
        </w:rPr>
        <w:t>de</w:t>
      </w:r>
      <w:r>
        <w:rPr>
          <w:color w:val="231F20"/>
          <w:spacing w:val="-5"/>
          <w:w w:val="110"/>
        </w:rPr>
        <w:t> </w:t>
      </w:r>
      <w:r>
        <w:rPr>
          <w:color w:val="231F20"/>
          <w:w w:val="110"/>
        </w:rPr>
        <w:t>México</w:t>
      </w:r>
      <w:r>
        <w:rPr>
          <w:color w:val="231F20"/>
          <w:spacing w:val="-5"/>
          <w:w w:val="110"/>
        </w:rPr>
        <w:t> </w:t>
      </w:r>
      <w:r>
        <w:rPr>
          <w:color w:val="231F20"/>
          <w:w w:val="110"/>
        </w:rPr>
        <w:t>los </w:t>
      </w:r>
      <w:r>
        <w:rPr>
          <w:color w:val="231F20"/>
          <w:spacing w:val="-4"/>
          <w:w w:val="110"/>
        </w:rPr>
        <w:t>municipios</w:t>
      </w:r>
      <w:r>
        <w:rPr>
          <w:color w:val="231F20"/>
          <w:spacing w:val="-12"/>
          <w:w w:val="110"/>
        </w:rPr>
        <w:t> </w:t>
      </w:r>
      <w:r>
        <w:rPr>
          <w:color w:val="231F20"/>
          <w:spacing w:val="-3"/>
          <w:w w:val="110"/>
        </w:rPr>
        <w:t>que</w:t>
      </w:r>
      <w:r>
        <w:rPr>
          <w:color w:val="231F20"/>
          <w:spacing w:val="-12"/>
          <w:w w:val="110"/>
        </w:rPr>
        <w:t> </w:t>
      </w:r>
      <w:r>
        <w:rPr>
          <w:color w:val="231F20"/>
          <w:spacing w:val="-4"/>
          <w:w w:val="110"/>
        </w:rPr>
        <w:t>tienen</w:t>
      </w:r>
      <w:r>
        <w:rPr>
          <w:color w:val="231F20"/>
          <w:spacing w:val="-12"/>
          <w:w w:val="110"/>
        </w:rPr>
        <w:t> </w:t>
      </w:r>
      <w:r>
        <w:rPr>
          <w:color w:val="231F20"/>
          <w:spacing w:val="-4"/>
          <w:w w:val="110"/>
        </w:rPr>
        <w:t>grados</w:t>
      </w:r>
      <w:r>
        <w:rPr>
          <w:color w:val="231F20"/>
          <w:spacing w:val="-12"/>
          <w:w w:val="110"/>
        </w:rPr>
        <w:t> </w:t>
      </w:r>
      <w:r>
        <w:rPr>
          <w:color w:val="231F20"/>
          <w:w w:val="110"/>
        </w:rPr>
        <w:t>de</w:t>
      </w:r>
      <w:r>
        <w:rPr>
          <w:color w:val="231F20"/>
          <w:spacing w:val="-12"/>
          <w:w w:val="110"/>
        </w:rPr>
        <w:t> </w:t>
      </w:r>
      <w:r>
        <w:rPr>
          <w:color w:val="231F20"/>
          <w:spacing w:val="-5"/>
          <w:w w:val="110"/>
        </w:rPr>
        <w:t>marginación</w:t>
      </w:r>
      <w:r>
        <w:rPr>
          <w:color w:val="231F20"/>
          <w:spacing w:val="-12"/>
          <w:w w:val="110"/>
        </w:rPr>
        <w:t> </w:t>
      </w:r>
      <w:r>
        <w:rPr>
          <w:color w:val="231F20"/>
          <w:spacing w:val="-4"/>
          <w:w w:val="110"/>
        </w:rPr>
        <w:t>bajos</w:t>
      </w:r>
      <w:r>
        <w:rPr>
          <w:color w:val="231F20"/>
          <w:spacing w:val="-12"/>
          <w:w w:val="110"/>
        </w:rPr>
        <w:t> </w:t>
      </w:r>
      <w:r>
        <w:rPr>
          <w:color w:val="231F20"/>
          <w:spacing w:val="-4"/>
          <w:w w:val="110"/>
        </w:rPr>
        <w:t>representan</w:t>
      </w:r>
      <w:r>
        <w:rPr>
          <w:color w:val="231F20"/>
          <w:spacing w:val="-12"/>
          <w:w w:val="110"/>
        </w:rPr>
        <w:t> </w:t>
      </w:r>
      <w:r>
        <w:rPr>
          <w:color w:val="231F20"/>
          <w:w w:val="110"/>
        </w:rPr>
        <w:t>37</w:t>
      </w:r>
      <w:r>
        <w:rPr>
          <w:color w:val="231F20"/>
          <w:spacing w:val="-12"/>
          <w:w w:val="110"/>
        </w:rPr>
        <w:t> </w:t>
      </w:r>
      <w:r>
        <w:rPr>
          <w:color w:val="231F20"/>
          <w:spacing w:val="-3"/>
          <w:w w:val="110"/>
        </w:rPr>
        <w:t>por</w:t>
      </w:r>
      <w:r>
        <w:rPr>
          <w:color w:val="231F20"/>
          <w:spacing w:val="-12"/>
          <w:w w:val="110"/>
        </w:rPr>
        <w:t> </w:t>
      </w:r>
      <w:r>
        <w:rPr>
          <w:color w:val="231F20"/>
          <w:spacing w:val="-4"/>
          <w:w w:val="110"/>
        </w:rPr>
        <w:t>ciento </w:t>
      </w:r>
      <w:r>
        <w:rPr>
          <w:color w:val="231F20"/>
          <w:w w:val="110"/>
        </w:rPr>
        <w:t>del total que la integran, mientras que apenas 6.6 por ciento de sus muni- cipios muestran grados de marginación media y el resto muy baja. En lo que respecta a sus grados de envejecimiento, 83 por ciento de sus munici- pios</w:t>
      </w:r>
      <w:r>
        <w:rPr>
          <w:color w:val="231F20"/>
          <w:spacing w:val="-7"/>
          <w:w w:val="110"/>
        </w:rPr>
        <w:t> </w:t>
      </w:r>
      <w:r>
        <w:rPr>
          <w:color w:val="231F20"/>
          <w:w w:val="110"/>
        </w:rPr>
        <w:t>presentan</w:t>
      </w:r>
      <w:r>
        <w:rPr>
          <w:color w:val="231F20"/>
          <w:spacing w:val="-7"/>
          <w:w w:val="110"/>
        </w:rPr>
        <w:t> </w:t>
      </w:r>
      <w:r>
        <w:rPr>
          <w:color w:val="231F20"/>
          <w:w w:val="110"/>
        </w:rPr>
        <w:t>grados</w:t>
      </w:r>
      <w:r>
        <w:rPr>
          <w:color w:val="231F20"/>
          <w:spacing w:val="-7"/>
          <w:w w:val="110"/>
        </w:rPr>
        <w:t> </w:t>
      </w:r>
      <w:r>
        <w:rPr>
          <w:color w:val="231F20"/>
          <w:w w:val="110"/>
        </w:rPr>
        <w:t>de</w:t>
      </w:r>
      <w:r>
        <w:rPr>
          <w:color w:val="231F20"/>
          <w:spacing w:val="-7"/>
          <w:w w:val="110"/>
        </w:rPr>
        <w:t> </w:t>
      </w:r>
      <w:r>
        <w:rPr>
          <w:color w:val="231F20"/>
          <w:w w:val="110"/>
        </w:rPr>
        <w:t>envejecimiento</w:t>
      </w:r>
      <w:r>
        <w:rPr>
          <w:color w:val="231F20"/>
          <w:spacing w:val="-7"/>
          <w:w w:val="110"/>
        </w:rPr>
        <w:t> </w:t>
      </w:r>
      <w:r>
        <w:rPr>
          <w:color w:val="231F20"/>
          <w:w w:val="110"/>
        </w:rPr>
        <w:t>joven</w:t>
      </w:r>
      <w:r>
        <w:rPr>
          <w:color w:val="231F20"/>
          <w:spacing w:val="-7"/>
          <w:w w:val="110"/>
        </w:rPr>
        <w:t> </w:t>
      </w:r>
      <w:r>
        <w:rPr>
          <w:color w:val="231F20"/>
          <w:w w:val="110"/>
        </w:rPr>
        <w:t>y</w:t>
      </w:r>
      <w:r>
        <w:rPr>
          <w:color w:val="231F20"/>
          <w:spacing w:val="-7"/>
          <w:w w:val="110"/>
        </w:rPr>
        <w:t> </w:t>
      </w:r>
      <w:r>
        <w:rPr>
          <w:color w:val="231F20"/>
          <w:w w:val="110"/>
        </w:rPr>
        <w:t>tienen</w:t>
      </w:r>
      <w:r>
        <w:rPr>
          <w:color w:val="231F20"/>
          <w:spacing w:val="-7"/>
          <w:w w:val="110"/>
        </w:rPr>
        <w:t> </w:t>
      </w:r>
      <w:r>
        <w:rPr>
          <w:color w:val="231F20"/>
          <w:w w:val="110"/>
        </w:rPr>
        <w:t>la</w:t>
      </w:r>
      <w:r>
        <w:rPr>
          <w:color w:val="231F20"/>
          <w:spacing w:val="-7"/>
          <w:w w:val="110"/>
        </w:rPr>
        <w:t> </w:t>
      </w:r>
      <w:r>
        <w:rPr>
          <w:color w:val="231F20"/>
          <w:w w:val="110"/>
        </w:rPr>
        <w:t>característica</w:t>
      </w:r>
      <w:r>
        <w:rPr>
          <w:color w:val="231F20"/>
          <w:spacing w:val="-7"/>
          <w:w w:val="110"/>
        </w:rPr>
        <w:t> </w:t>
      </w:r>
      <w:r>
        <w:rPr>
          <w:color w:val="231F20"/>
          <w:w w:val="110"/>
        </w:rPr>
        <w:t>de ser municipios con alta concentración de población (2,448 personas por kilómetros</w:t>
      </w:r>
      <w:r>
        <w:rPr>
          <w:color w:val="231F20"/>
          <w:spacing w:val="-17"/>
          <w:w w:val="110"/>
        </w:rPr>
        <w:t> </w:t>
      </w:r>
      <w:r>
        <w:rPr>
          <w:color w:val="231F20"/>
          <w:w w:val="110"/>
        </w:rPr>
        <w:t>cuadrados).</w:t>
      </w:r>
    </w:p>
    <w:p>
      <w:pPr>
        <w:spacing w:after="0" w:line="297" w:lineRule="auto"/>
        <w:jc w:val="both"/>
        <w:sectPr>
          <w:pgSz w:w="9520" w:h="12920"/>
          <w:pgMar w:header="0" w:footer="1344" w:top="880" w:bottom="1540" w:left="1000" w:right="1320"/>
        </w:sectPr>
      </w:pPr>
    </w:p>
    <w:p>
      <w:pPr>
        <w:spacing w:line="185" w:lineRule="exact" w:before="65"/>
        <w:ind w:left="28" w:right="0" w:firstLine="0"/>
        <w:jc w:val="center"/>
        <w:rPr>
          <w:sz w:val="16"/>
        </w:rPr>
      </w:pPr>
      <w:r>
        <w:rPr>
          <w:color w:val="231F20"/>
          <w:w w:val="105"/>
          <w:sz w:val="16"/>
        </w:rPr>
        <w:t>Cuadro 6</w:t>
      </w:r>
    </w:p>
    <w:p>
      <w:pPr>
        <w:spacing w:line="210" w:lineRule="exact" w:before="9"/>
        <w:ind w:left="1569" w:right="1539" w:firstLine="0"/>
        <w:jc w:val="center"/>
        <w:rPr>
          <w:sz w:val="19"/>
        </w:rPr>
      </w:pPr>
      <w:r>
        <w:rPr>
          <w:color w:val="231F20"/>
          <w:w w:val="90"/>
          <w:sz w:val="19"/>
        </w:rPr>
        <w:t>Grados de marginación y envejecimiento de las cinco</w:t>
      </w:r>
      <w:r>
        <w:rPr>
          <w:color w:val="231F20"/>
          <w:w w:val="88"/>
          <w:sz w:val="19"/>
        </w:rPr>
        <w:t> </w:t>
      </w:r>
      <w:r>
        <w:rPr>
          <w:color w:val="231F20"/>
          <w:w w:val="90"/>
          <w:sz w:val="19"/>
        </w:rPr>
        <w:t>zonas metropolitanas más grandes de México, 2000.</w:t>
      </w:r>
    </w:p>
    <w:p>
      <w:pPr>
        <w:pStyle w:val="BodyText"/>
        <w:spacing w:before="6"/>
        <w:rPr>
          <w:sz w:val="13"/>
        </w:rPr>
      </w:pPr>
      <w:r>
        <w:rPr/>
        <w:pict>
          <v:group style="position:absolute;margin-left:72.019997pt;margin-top:9.900045pt;width:348.4pt;height:.4pt;mso-position-horizontal-relative:page;mso-position-vertical-relative:paragraph;z-index:4936;mso-wrap-distance-left:0;mso-wrap-distance-right:0" coordorigin="1440,198" coordsize="6968,8">
            <v:line style="position:absolute" from="1444,202" to="3068,202" stroked="true" strokeweight=".4pt" strokecolor="#231f20"/>
            <v:line style="position:absolute" from="3068,202" to="4052,202" stroked="true" strokeweight=".4pt" strokecolor="#231f20"/>
            <v:line style="position:absolute" from="4052,202" to="4868,202" stroked="true" strokeweight=".4pt" strokecolor="#231f20"/>
            <v:line style="position:absolute" from="4868,202" to="6224,202" stroked="true" strokeweight=".4pt" strokecolor="#231f20"/>
            <v:line style="position:absolute" from="6224,202" to="7385,202" stroked="true" strokeweight=".4pt" strokecolor="#231f20"/>
            <v:line style="position:absolute" from="7385,202" to="8404,202" stroked="true" strokeweight=".4pt" strokecolor="#231f20"/>
            <w10:wrap type="topAndBottom"/>
          </v:group>
        </w:pict>
      </w:r>
    </w:p>
    <w:p>
      <w:pPr>
        <w:spacing w:after="0"/>
        <w:rPr>
          <w:sz w:val="13"/>
        </w:rPr>
        <w:sectPr>
          <w:pgSz w:w="9520" w:h="12920"/>
          <w:pgMar w:header="0" w:footer="1344" w:top="880" w:bottom="1540" w:left="1300" w:right="1000"/>
        </w:sectPr>
      </w:pPr>
    </w:p>
    <w:p>
      <w:pPr>
        <w:pStyle w:val="BodyText"/>
        <w:rPr>
          <w:sz w:val="16"/>
        </w:rPr>
      </w:pPr>
    </w:p>
    <w:p>
      <w:pPr>
        <w:pStyle w:val="BodyText"/>
        <w:rPr>
          <w:sz w:val="16"/>
        </w:rPr>
      </w:pPr>
    </w:p>
    <w:p>
      <w:pPr>
        <w:pStyle w:val="BodyText"/>
        <w:rPr>
          <w:sz w:val="16"/>
        </w:rPr>
      </w:pPr>
    </w:p>
    <w:p>
      <w:pPr>
        <w:pStyle w:val="BodyText"/>
        <w:rPr>
          <w:sz w:val="16"/>
        </w:rPr>
      </w:pPr>
    </w:p>
    <w:p>
      <w:pPr>
        <w:spacing w:line="195" w:lineRule="exact" w:before="104"/>
        <w:ind w:left="761" w:right="0" w:firstLine="0"/>
        <w:jc w:val="left"/>
        <w:rPr>
          <w:i/>
          <w:sz w:val="17"/>
        </w:rPr>
      </w:pPr>
      <w:r>
        <w:rPr>
          <w:i/>
          <w:color w:val="231F20"/>
          <w:w w:val="110"/>
          <w:sz w:val="17"/>
        </w:rPr>
        <w:t>Zona</w:t>
      </w:r>
    </w:p>
    <w:p>
      <w:pPr>
        <w:tabs>
          <w:tab w:pos="1957" w:val="left" w:leader="none"/>
        </w:tabs>
        <w:spacing w:line="195" w:lineRule="exact" w:before="0"/>
        <w:ind w:left="426" w:right="0" w:firstLine="0"/>
        <w:jc w:val="left"/>
        <w:rPr>
          <w:i/>
          <w:sz w:val="17"/>
        </w:rPr>
      </w:pPr>
      <w:r>
        <w:rPr>
          <w:i/>
          <w:color w:val="231F20"/>
          <w:w w:val="105"/>
          <w:sz w:val="17"/>
        </w:rPr>
        <w:t>Metropolitana</w:t>
        <w:tab/>
      </w:r>
      <w:r>
        <w:rPr>
          <w:i/>
          <w:color w:val="231F20"/>
          <w:spacing w:val="-2"/>
          <w:sz w:val="17"/>
        </w:rPr>
        <w:t>Tamaño</w:t>
      </w:r>
    </w:p>
    <w:p>
      <w:pPr>
        <w:spacing w:before="55"/>
        <w:ind w:left="305" w:right="272" w:firstLine="0"/>
        <w:jc w:val="center"/>
        <w:rPr>
          <w:i/>
          <w:sz w:val="17"/>
        </w:rPr>
      </w:pPr>
      <w:r>
        <w:rPr/>
        <w:br w:type="column"/>
      </w:r>
      <w:r>
        <w:rPr>
          <w:i/>
          <w:color w:val="231F20"/>
          <w:w w:val="105"/>
          <w:sz w:val="17"/>
        </w:rPr>
        <w:t>Grados de marginación</w:t>
      </w:r>
    </w:p>
    <w:p>
      <w:pPr>
        <w:pStyle w:val="BodyText"/>
        <w:spacing w:before="7"/>
        <w:rPr>
          <w:i/>
          <w:sz w:val="6"/>
        </w:rPr>
      </w:pPr>
    </w:p>
    <w:p>
      <w:pPr>
        <w:pStyle w:val="BodyText"/>
        <w:spacing w:line="20" w:lineRule="exact"/>
        <w:ind w:left="145"/>
        <w:rPr>
          <w:sz w:val="2"/>
        </w:rPr>
      </w:pPr>
      <w:r>
        <w:rPr>
          <w:sz w:val="2"/>
        </w:rPr>
        <w:pict>
          <v:group style="width:218pt;height:.4pt;mso-position-horizontal-relative:char;mso-position-vertical-relative:line" coordorigin="0,0" coordsize="4360,8">
            <v:line style="position:absolute" from="4,4" to="820,4" stroked="true" strokeweight=".4pt" strokecolor="#231f20"/>
            <v:line style="position:absolute" from="820,4" to="2176,4" stroked="true" strokeweight=".4pt" strokecolor="#231f20"/>
            <v:line style="position:absolute" from="2176,4" to="3337,4" stroked="true" strokeweight=".4pt" strokecolor="#231f20"/>
            <v:line style="position:absolute" from="3337,4" to="4356,4" stroked="true" strokeweight=".4pt" strokecolor="#231f20"/>
          </v:group>
        </w:pict>
      </w:r>
      <w:r>
        <w:rPr>
          <w:sz w:val="2"/>
        </w:rPr>
      </w:r>
    </w:p>
    <w:p>
      <w:pPr>
        <w:tabs>
          <w:tab w:pos="1482" w:val="left" w:leader="none"/>
          <w:tab w:pos="2567" w:val="left" w:leader="none"/>
          <w:tab w:pos="3640" w:val="left" w:leader="none"/>
        </w:tabs>
        <w:spacing w:line="398" w:lineRule="auto" w:before="33"/>
        <w:ind w:left="402" w:right="272" w:firstLine="0"/>
        <w:jc w:val="center"/>
        <w:rPr>
          <w:i/>
          <w:sz w:val="17"/>
        </w:rPr>
      </w:pPr>
      <w:r>
        <w:rPr/>
        <w:pict>
          <v:shape style="position:absolute;margin-left:202.620499pt;margin-top:15.726695pt;width:217.6pt;height:.1pt;mso-position-horizontal-relative:page;mso-position-vertical-relative:paragraph;z-index:-453856" coordorigin="4052,315" coordsize="4352,0" path="m4052,315l4868,315m4868,315l6224,315m6224,315l7385,315m7385,315l8404,315e" filled="false" stroked="true" strokeweight=".4pt" strokecolor="#231f20">
            <v:path arrowok="t"/>
            <w10:wrap type="none"/>
          </v:shape>
        </w:pict>
      </w:r>
      <w:r>
        <w:rPr/>
        <w:pict>
          <v:shape style="position:absolute;margin-left:202.620499pt;margin-top:32.220795pt;width:217.6pt;height:.1pt;mso-position-horizontal-relative:page;mso-position-vertical-relative:paragraph;z-index:-453832" coordorigin="4052,644" coordsize="4352,0" path="m4052,644l4868,644m4868,644l6224,644m6224,644l7385,644m7385,644l8404,644e" filled="false" stroked="true" strokeweight=".4pt" strokecolor="#231f20">
            <v:path arrowok="t"/>
            <w10:wrap type="none"/>
          </v:shape>
        </w:pict>
      </w:r>
      <w:r>
        <w:rPr>
          <w:i/>
          <w:color w:val="231F20"/>
          <w:w w:val="105"/>
          <w:sz w:val="17"/>
        </w:rPr>
        <w:t>Alto</w:t>
        <w:tab/>
        <w:t>Bajo</w:t>
        <w:tab/>
        <w:t>Muy</w:t>
      </w:r>
      <w:r>
        <w:rPr>
          <w:i/>
          <w:color w:val="231F20"/>
          <w:spacing w:val="10"/>
          <w:w w:val="105"/>
          <w:sz w:val="17"/>
        </w:rPr>
        <w:t> </w:t>
      </w:r>
      <w:r>
        <w:rPr>
          <w:i/>
          <w:color w:val="231F20"/>
          <w:w w:val="105"/>
          <w:sz w:val="17"/>
        </w:rPr>
        <w:t>alto</w:t>
        <w:tab/>
        <w:t>Muy</w:t>
      </w:r>
      <w:r>
        <w:rPr>
          <w:i/>
          <w:color w:val="231F20"/>
          <w:spacing w:val="18"/>
          <w:w w:val="105"/>
          <w:sz w:val="17"/>
        </w:rPr>
        <w:t> </w:t>
      </w:r>
      <w:r>
        <w:rPr>
          <w:i/>
          <w:color w:val="231F20"/>
          <w:w w:val="105"/>
          <w:sz w:val="17"/>
        </w:rPr>
        <w:t>bajo</w:t>
      </w:r>
      <w:r>
        <w:rPr>
          <w:i/>
          <w:color w:val="231F20"/>
          <w:w w:val="101"/>
          <w:sz w:val="17"/>
        </w:rPr>
        <w:t> </w:t>
      </w:r>
      <w:r>
        <w:rPr>
          <w:i/>
          <w:color w:val="231F20"/>
          <w:w w:val="105"/>
          <w:sz w:val="17"/>
        </w:rPr>
        <w:t>Grados de</w:t>
      </w:r>
      <w:r>
        <w:rPr>
          <w:i/>
          <w:color w:val="231F20"/>
          <w:spacing w:val="36"/>
          <w:w w:val="105"/>
          <w:sz w:val="17"/>
        </w:rPr>
        <w:t> </w:t>
      </w:r>
      <w:r>
        <w:rPr>
          <w:i/>
          <w:color w:val="231F20"/>
          <w:w w:val="105"/>
          <w:sz w:val="17"/>
        </w:rPr>
        <w:t>envejecimiento</w:t>
      </w:r>
    </w:p>
    <w:p>
      <w:pPr>
        <w:tabs>
          <w:tab w:pos="1017" w:val="left" w:leader="none"/>
          <w:tab w:pos="2276" w:val="left" w:leader="none"/>
          <w:tab w:pos="3366" w:val="left" w:leader="none"/>
        </w:tabs>
        <w:spacing w:line="198" w:lineRule="exact" w:before="0"/>
        <w:ind w:left="131" w:right="0" w:firstLine="0"/>
        <w:jc w:val="center"/>
        <w:rPr>
          <w:i/>
          <w:sz w:val="17"/>
        </w:rPr>
      </w:pPr>
      <w:r>
        <w:rPr>
          <w:i/>
          <w:color w:val="231F20"/>
          <w:w w:val="110"/>
          <w:sz w:val="17"/>
        </w:rPr>
        <w:t>Joven</w:t>
        <w:tab/>
        <w:t>En</w:t>
      </w:r>
      <w:r>
        <w:rPr>
          <w:i/>
          <w:color w:val="231F20"/>
          <w:spacing w:val="-2"/>
          <w:w w:val="110"/>
          <w:sz w:val="17"/>
        </w:rPr>
        <w:t> </w:t>
      </w:r>
      <w:r>
        <w:rPr>
          <w:i/>
          <w:color w:val="231F20"/>
          <w:w w:val="110"/>
          <w:sz w:val="17"/>
        </w:rPr>
        <w:t>proceso</w:t>
        <w:tab/>
        <w:t>En</w:t>
      </w:r>
      <w:r>
        <w:rPr>
          <w:i/>
          <w:color w:val="231F20"/>
          <w:spacing w:val="-2"/>
          <w:w w:val="110"/>
          <w:sz w:val="17"/>
        </w:rPr>
        <w:t> </w:t>
      </w:r>
      <w:r>
        <w:rPr>
          <w:i/>
          <w:color w:val="231F20"/>
          <w:w w:val="110"/>
          <w:sz w:val="17"/>
        </w:rPr>
        <w:t>proceso</w:t>
        <w:tab/>
        <w:t>En</w:t>
      </w:r>
      <w:r>
        <w:rPr>
          <w:i/>
          <w:color w:val="231F20"/>
          <w:spacing w:val="-19"/>
          <w:w w:val="110"/>
          <w:sz w:val="17"/>
        </w:rPr>
        <w:t> </w:t>
      </w:r>
      <w:r>
        <w:rPr>
          <w:i/>
          <w:color w:val="231F20"/>
          <w:w w:val="110"/>
          <w:sz w:val="17"/>
        </w:rPr>
        <w:t>proceso</w:t>
      </w:r>
    </w:p>
    <w:p>
      <w:pPr>
        <w:spacing w:after="0" w:line="198" w:lineRule="exact"/>
        <w:jc w:val="center"/>
        <w:rPr>
          <w:sz w:val="17"/>
        </w:rPr>
        <w:sectPr>
          <w:type w:val="continuous"/>
          <w:pgSz w:w="9520" w:h="12920"/>
          <w:pgMar w:top="0" w:bottom="0" w:left="1300" w:right="1000"/>
          <w:cols w:num="2" w:equalWidth="0">
            <w:col w:w="2564" w:space="40"/>
            <w:col w:w="4616"/>
          </w:cols>
        </w:sectPr>
      </w:pPr>
    </w:p>
    <w:p>
      <w:pPr>
        <w:pStyle w:val="BodyText"/>
        <w:rPr>
          <w:i/>
          <w:sz w:val="7"/>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68"/>
        <w:gridCol w:w="1156"/>
        <w:gridCol w:w="4271"/>
      </w:tblGrid>
      <w:tr>
        <w:trPr>
          <w:trHeight w:val="303" w:hRule="exact"/>
        </w:trPr>
        <w:tc>
          <w:tcPr>
            <w:tcW w:w="1568" w:type="dxa"/>
            <w:tcBorders>
              <w:top w:val="single" w:sz="3" w:space="0" w:color="231F20"/>
            </w:tcBorders>
          </w:tcPr>
          <w:p>
            <w:pPr>
              <w:pStyle w:val="TableParagraph"/>
              <w:spacing w:line="240" w:lineRule="auto" w:before="84"/>
              <w:ind w:left="35"/>
              <w:jc w:val="left"/>
              <w:rPr>
                <w:sz w:val="17"/>
              </w:rPr>
            </w:pPr>
            <w:r>
              <w:rPr>
                <w:color w:val="231F20"/>
                <w:w w:val="110"/>
                <w:sz w:val="17"/>
              </w:rPr>
              <w:t>Valle de México</w:t>
            </w:r>
          </w:p>
        </w:tc>
        <w:tc>
          <w:tcPr>
            <w:tcW w:w="1156" w:type="dxa"/>
            <w:tcBorders>
              <w:top w:val="single" w:sz="3" w:space="0" w:color="231F20"/>
            </w:tcBorders>
          </w:tcPr>
          <w:p>
            <w:pPr>
              <w:pStyle w:val="TableParagraph"/>
              <w:spacing w:line="240" w:lineRule="auto" w:before="84"/>
              <w:ind w:left="272" w:right="262"/>
              <w:rPr>
                <w:sz w:val="17"/>
              </w:rPr>
            </w:pPr>
            <w:r>
              <w:rPr>
                <w:color w:val="231F20"/>
                <w:w w:val="110"/>
                <w:sz w:val="17"/>
              </w:rPr>
              <w:t>Grande</w:t>
            </w:r>
          </w:p>
        </w:tc>
        <w:tc>
          <w:tcPr>
            <w:tcW w:w="4271" w:type="dxa"/>
            <w:tcBorders>
              <w:top w:val="single" w:sz="3" w:space="0" w:color="231F20"/>
            </w:tcBorders>
          </w:tcPr>
          <w:p>
            <w:pPr>
              <w:pStyle w:val="TableParagraph"/>
              <w:spacing w:line="240" w:lineRule="auto" w:before="84"/>
              <w:ind w:left="1362"/>
              <w:jc w:val="left"/>
              <w:rPr>
                <w:sz w:val="17"/>
              </w:rPr>
            </w:pPr>
            <w:r>
              <w:rPr>
                <w:color w:val="231F20"/>
                <w:w w:val="133"/>
                <w:sz w:val="17"/>
              </w:rPr>
              <w:t>•</w:t>
            </w:r>
          </w:p>
        </w:tc>
      </w:tr>
      <w:tr>
        <w:trPr>
          <w:trHeight w:val="210" w:hRule="exact"/>
        </w:trPr>
        <w:tc>
          <w:tcPr>
            <w:tcW w:w="1568" w:type="dxa"/>
          </w:tcPr>
          <w:p>
            <w:pPr>
              <w:pStyle w:val="TableParagraph"/>
              <w:ind w:left="35"/>
              <w:jc w:val="left"/>
              <w:rPr>
                <w:sz w:val="17"/>
              </w:rPr>
            </w:pPr>
            <w:r>
              <w:rPr>
                <w:color w:val="231F20"/>
                <w:w w:val="110"/>
                <w:sz w:val="17"/>
              </w:rPr>
              <w:t>Guadalajara</w:t>
            </w:r>
          </w:p>
        </w:tc>
        <w:tc>
          <w:tcPr>
            <w:tcW w:w="1156" w:type="dxa"/>
          </w:tcPr>
          <w:p>
            <w:pPr>
              <w:pStyle w:val="TableParagraph"/>
              <w:ind w:left="272" w:right="262"/>
              <w:rPr>
                <w:sz w:val="17"/>
              </w:rPr>
            </w:pPr>
            <w:r>
              <w:rPr>
                <w:color w:val="231F20"/>
                <w:w w:val="110"/>
                <w:sz w:val="17"/>
              </w:rPr>
              <w:t>Grande</w:t>
            </w:r>
          </w:p>
        </w:tc>
        <w:tc>
          <w:tcPr>
            <w:tcW w:w="4271" w:type="dxa"/>
          </w:tcPr>
          <w:p>
            <w:pPr>
              <w:pStyle w:val="TableParagraph"/>
              <w:ind w:right="457"/>
              <w:jc w:val="right"/>
              <w:rPr>
                <w:sz w:val="17"/>
              </w:rPr>
            </w:pPr>
            <w:r>
              <w:rPr>
                <w:color w:val="231F20"/>
                <w:w w:val="133"/>
                <w:sz w:val="17"/>
              </w:rPr>
              <w:t>•</w:t>
            </w:r>
          </w:p>
        </w:tc>
      </w:tr>
      <w:tr>
        <w:trPr>
          <w:trHeight w:val="210" w:hRule="exact"/>
        </w:trPr>
        <w:tc>
          <w:tcPr>
            <w:tcW w:w="1568" w:type="dxa"/>
          </w:tcPr>
          <w:p>
            <w:pPr>
              <w:pStyle w:val="TableParagraph"/>
              <w:ind w:left="35"/>
              <w:jc w:val="left"/>
              <w:rPr>
                <w:sz w:val="17"/>
              </w:rPr>
            </w:pPr>
            <w:r>
              <w:rPr>
                <w:color w:val="231F20"/>
                <w:w w:val="110"/>
                <w:sz w:val="17"/>
              </w:rPr>
              <w:t>Monterrey</w:t>
            </w:r>
          </w:p>
        </w:tc>
        <w:tc>
          <w:tcPr>
            <w:tcW w:w="1156" w:type="dxa"/>
          </w:tcPr>
          <w:p>
            <w:pPr>
              <w:pStyle w:val="TableParagraph"/>
              <w:ind w:left="272" w:right="262"/>
              <w:rPr>
                <w:sz w:val="17"/>
              </w:rPr>
            </w:pPr>
            <w:r>
              <w:rPr>
                <w:color w:val="231F20"/>
                <w:w w:val="110"/>
                <w:sz w:val="17"/>
              </w:rPr>
              <w:t>Grande</w:t>
            </w:r>
          </w:p>
        </w:tc>
        <w:tc>
          <w:tcPr>
            <w:tcW w:w="4271" w:type="dxa"/>
          </w:tcPr>
          <w:p>
            <w:pPr>
              <w:pStyle w:val="TableParagraph"/>
              <w:ind w:left="1072"/>
              <w:rPr>
                <w:sz w:val="17"/>
              </w:rPr>
            </w:pPr>
            <w:r>
              <w:rPr>
                <w:color w:val="231F20"/>
                <w:w w:val="133"/>
                <w:sz w:val="17"/>
              </w:rPr>
              <w:t>•</w:t>
            </w:r>
          </w:p>
        </w:tc>
      </w:tr>
      <w:tr>
        <w:trPr>
          <w:trHeight w:val="227" w:hRule="exact"/>
        </w:trPr>
        <w:tc>
          <w:tcPr>
            <w:tcW w:w="1568" w:type="dxa"/>
          </w:tcPr>
          <w:p>
            <w:pPr>
              <w:pStyle w:val="TableParagraph"/>
              <w:ind w:left="35"/>
              <w:jc w:val="left"/>
              <w:rPr>
                <w:sz w:val="17"/>
              </w:rPr>
            </w:pPr>
            <w:r>
              <w:rPr>
                <w:color w:val="231F20"/>
                <w:w w:val="105"/>
                <w:sz w:val="17"/>
              </w:rPr>
              <w:t>Puebla-Tlaxcala</w:t>
            </w:r>
          </w:p>
        </w:tc>
        <w:tc>
          <w:tcPr>
            <w:tcW w:w="1156" w:type="dxa"/>
          </w:tcPr>
          <w:p>
            <w:pPr>
              <w:pStyle w:val="TableParagraph"/>
              <w:ind w:left="272" w:right="262"/>
              <w:rPr>
                <w:sz w:val="17"/>
              </w:rPr>
            </w:pPr>
            <w:r>
              <w:rPr>
                <w:color w:val="231F20"/>
                <w:w w:val="110"/>
                <w:sz w:val="17"/>
              </w:rPr>
              <w:t>Grande</w:t>
            </w:r>
          </w:p>
        </w:tc>
        <w:tc>
          <w:tcPr>
            <w:tcW w:w="4271" w:type="dxa"/>
          </w:tcPr>
          <w:p>
            <w:pPr>
              <w:pStyle w:val="TableParagraph"/>
              <w:ind w:left="1072"/>
              <w:rPr>
                <w:sz w:val="17"/>
              </w:rPr>
            </w:pPr>
            <w:r>
              <w:rPr>
                <w:color w:val="231F20"/>
                <w:w w:val="133"/>
                <w:sz w:val="17"/>
              </w:rPr>
              <w:t>•</w:t>
            </w:r>
          </w:p>
        </w:tc>
      </w:tr>
      <w:tr>
        <w:trPr>
          <w:trHeight w:val="294" w:hRule="exact"/>
        </w:trPr>
        <w:tc>
          <w:tcPr>
            <w:tcW w:w="1568" w:type="dxa"/>
            <w:tcBorders>
              <w:bottom w:val="single" w:sz="3" w:space="0" w:color="231F20"/>
            </w:tcBorders>
          </w:tcPr>
          <w:p>
            <w:pPr>
              <w:pStyle w:val="TableParagraph"/>
              <w:spacing w:line="240" w:lineRule="auto" w:before="12"/>
              <w:ind w:left="35"/>
              <w:jc w:val="left"/>
              <w:rPr>
                <w:sz w:val="17"/>
              </w:rPr>
            </w:pPr>
            <w:r>
              <w:rPr>
                <w:color w:val="231F20"/>
                <w:w w:val="110"/>
                <w:sz w:val="17"/>
              </w:rPr>
              <w:t>Toluca</w:t>
            </w:r>
          </w:p>
        </w:tc>
        <w:tc>
          <w:tcPr>
            <w:tcW w:w="1156" w:type="dxa"/>
            <w:tcBorders>
              <w:bottom w:val="single" w:sz="3" w:space="0" w:color="231F20"/>
            </w:tcBorders>
          </w:tcPr>
          <w:p>
            <w:pPr>
              <w:pStyle w:val="TableParagraph"/>
              <w:spacing w:line="240" w:lineRule="auto" w:before="12"/>
              <w:ind w:left="272" w:right="262"/>
              <w:rPr>
                <w:sz w:val="17"/>
              </w:rPr>
            </w:pPr>
            <w:r>
              <w:rPr>
                <w:color w:val="231F20"/>
                <w:w w:val="110"/>
                <w:sz w:val="17"/>
              </w:rPr>
              <w:t>Grande</w:t>
            </w:r>
          </w:p>
        </w:tc>
        <w:tc>
          <w:tcPr>
            <w:tcW w:w="4271" w:type="dxa"/>
            <w:tcBorders>
              <w:bottom w:val="single" w:sz="3" w:space="0" w:color="231F20"/>
            </w:tcBorders>
          </w:tcPr>
          <w:p>
            <w:pPr>
              <w:pStyle w:val="TableParagraph"/>
              <w:spacing w:line="240" w:lineRule="auto" w:before="12"/>
              <w:ind w:left="276"/>
              <w:jc w:val="left"/>
              <w:rPr>
                <w:sz w:val="17"/>
              </w:rPr>
            </w:pPr>
            <w:r>
              <w:rPr>
                <w:color w:val="231F20"/>
                <w:w w:val="133"/>
                <w:sz w:val="17"/>
              </w:rPr>
              <w:t>•</w:t>
            </w:r>
          </w:p>
        </w:tc>
      </w:tr>
    </w:tbl>
    <w:p>
      <w:pPr>
        <w:spacing w:line="170" w:lineRule="exact" w:before="70"/>
        <w:ind w:left="144" w:right="0" w:firstLine="360"/>
        <w:jc w:val="left"/>
        <w:rPr>
          <w:sz w:val="15"/>
        </w:rPr>
      </w:pPr>
      <w:r>
        <w:rPr>
          <w:color w:val="231F20"/>
          <w:w w:val="110"/>
          <w:sz w:val="15"/>
        </w:rPr>
        <w:t>Fuente: elaboración propia con datos de Conapo, 2011, </w:t>
      </w:r>
      <w:r>
        <w:rPr>
          <w:rFonts w:ascii="Times New Roman" w:hAnsi="Times New Roman"/>
          <w:color w:val="231F20"/>
          <w:w w:val="110"/>
          <w:sz w:val="12"/>
        </w:rPr>
        <w:t>INEGI</w:t>
      </w:r>
      <w:r>
        <w:rPr>
          <w:color w:val="231F20"/>
          <w:w w:val="110"/>
          <w:sz w:val="15"/>
        </w:rPr>
        <w:t>, 2010; Sedesol, Conapo e </w:t>
      </w:r>
      <w:r>
        <w:rPr>
          <w:rFonts w:ascii="Times New Roman" w:hAnsi="Times New Roman"/>
          <w:color w:val="231F20"/>
          <w:w w:val="110"/>
          <w:sz w:val="12"/>
        </w:rPr>
        <w:t>INEGI</w:t>
      </w:r>
      <w:r>
        <w:rPr>
          <w:color w:val="231F20"/>
          <w:w w:val="110"/>
          <w:sz w:val="15"/>
        </w:rPr>
        <w:t>, 2011.</w:t>
      </w:r>
    </w:p>
    <w:p>
      <w:pPr>
        <w:pStyle w:val="BodyText"/>
        <w:rPr>
          <w:sz w:val="14"/>
        </w:rPr>
      </w:pPr>
    </w:p>
    <w:p>
      <w:pPr>
        <w:pStyle w:val="BodyText"/>
        <w:spacing w:before="2"/>
        <w:rPr>
          <w:sz w:val="11"/>
        </w:rPr>
      </w:pPr>
    </w:p>
    <w:p>
      <w:pPr>
        <w:spacing w:line="185" w:lineRule="exact" w:before="1"/>
        <w:ind w:left="28" w:right="0" w:firstLine="0"/>
        <w:jc w:val="center"/>
        <w:rPr>
          <w:sz w:val="16"/>
        </w:rPr>
      </w:pPr>
      <w:r>
        <w:rPr>
          <w:color w:val="231F20"/>
          <w:w w:val="105"/>
          <w:sz w:val="16"/>
        </w:rPr>
        <w:t>Cuadro 7</w:t>
      </w:r>
    </w:p>
    <w:p>
      <w:pPr>
        <w:spacing w:line="210" w:lineRule="exact" w:before="9"/>
        <w:ind w:left="1569" w:right="1539" w:firstLine="0"/>
        <w:jc w:val="center"/>
        <w:rPr>
          <w:sz w:val="19"/>
        </w:rPr>
      </w:pPr>
      <w:r>
        <w:rPr>
          <w:color w:val="231F20"/>
          <w:w w:val="90"/>
          <w:sz w:val="19"/>
        </w:rPr>
        <w:t>Grados de marginación y envejecimiento de las cinco</w:t>
      </w:r>
      <w:r>
        <w:rPr>
          <w:color w:val="231F20"/>
          <w:w w:val="88"/>
          <w:sz w:val="19"/>
        </w:rPr>
        <w:t> </w:t>
      </w:r>
      <w:r>
        <w:rPr>
          <w:color w:val="231F20"/>
          <w:w w:val="90"/>
          <w:sz w:val="19"/>
        </w:rPr>
        <w:t>Zonas Metropolitanas más grandes de México, 2010</w:t>
      </w:r>
    </w:p>
    <w:p>
      <w:pPr>
        <w:pStyle w:val="BodyText"/>
        <w:spacing w:before="6"/>
        <w:rPr>
          <w:sz w:val="13"/>
        </w:rPr>
      </w:pPr>
      <w:r>
        <w:rPr/>
        <w:pict>
          <v:group style="position:absolute;margin-left:72.019997pt;margin-top:9.900019pt;width:348.4pt;height:.4pt;mso-position-horizontal-relative:page;mso-position-vertical-relative:paragraph;z-index:4984;mso-wrap-distance-left:0;mso-wrap-distance-right:0" coordorigin="1440,198" coordsize="6968,8">
            <v:line style="position:absolute" from="1444,202" to="3068,202" stroked="true" strokeweight=".4pt" strokecolor="#231f20"/>
            <v:line style="position:absolute" from="3068,202" to="4052,202" stroked="true" strokeweight=".4pt" strokecolor="#231f20"/>
            <v:line style="position:absolute" from="4052,202" to="4868,202" stroked="true" strokeweight=".4pt" strokecolor="#231f20"/>
            <v:line style="position:absolute" from="4868,202" to="6224,202" stroked="true" strokeweight=".4pt" strokecolor="#231f20"/>
            <v:line style="position:absolute" from="6224,202" to="7385,202" stroked="true" strokeweight=".4pt" strokecolor="#231f20"/>
            <v:line style="position:absolute" from="7385,202" to="8404,202" stroked="true" strokeweight=".4pt" strokecolor="#231f20"/>
            <w10:wrap type="topAndBottom"/>
          </v:group>
        </w:pict>
      </w:r>
    </w:p>
    <w:p>
      <w:pPr>
        <w:spacing w:after="0"/>
        <w:rPr>
          <w:sz w:val="13"/>
        </w:rPr>
        <w:sectPr>
          <w:type w:val="continuous"/>
          <w:pgSz w:w="9520" w:h="12920"/>
          <w:pgMar w:top="0" w:bottom="0" w:left="1300" w:right="1000"/>
        </w:sectPr>
      </w:pPr>
    </w:p>
    <w:p>
      <w:pPr>
        <w:pStyle w:val="BodyText"/>
        <w:rPr>
          <w:sz w:val="16"/>
        </w:rPr>
      </w:pPr>
    </w:p>
    <w:p>
      <w:pPr>
        <w:pStyle w:val="BodyText"/>
        <w:rPr>
          <w:sz w:val="16"/>
        </w:rPr>
      </w:pPr>
    </w:p>
    <w:p>
      <w:pPr>
        <w:pStyle w:val="BodyText"/>
        <w:rPr>
          <w:sz w:val="16"/>
        </w:rPr>
      </w:pPr>
    </w:p>
    <w:p>
      <w:pPr>
        <w:pStyle w:val="BodyText"/>
        <w:rPr>
          <w:sz w:val="16"/>
        </w:rPr>
      </w:pPr>
    </w:p>
    <w:p>
      <w:pPr>
        <w:spacing w:line="195" w:lineRule="exact" w:before="104"/>
        <w:ind w:left="761" w:right="0" w:firstLine="0"/>
        <w:jc w:val="left"/>
        <w:rPr>
          <w:i/>
          <w:sz w:val="17"/>
        </w:rPr>
      </w:pPr>
      <w:r>
        <w:rPr>
          <w:i/>
          <w:color w:val="231F20"/>
          <w:w w:val="110"/>
          <w:sz w:val="17"/>
        </w:rPr>
        <w:t>Zona</w:t>
      </w:r>
    </w:p>
    <w:p>
      <w:pPr>
        <w:tabs>
          <w:tab w:pos="1957" w:val="left" w:leader="none"/>
        </w:tabs>
        <w:spacing w:line="195" w:lineRule="exact" w:before="0"/>
        <w:ind w:left="426" w:right="0" w:firstLine="0"/>
        <w:jc w:val="left"/>
        <w:rPr>
          <w:i/>
          <w:sz w:val="17"/>
        </w:rPr>
      </w:pPr>
      <w:r>
        <w:rPr>
          <w:i/>
          <w:color w:val="231F20"/>
          <w:w w:val="105"/>
          <w:sz w:val="17"/>
        </w:rPr>
        <w:t>Metropolitana</w:t>
        <w:tab/>
      </w:r>
      <w:r>
        <w:rPr>
          <w:i/>
          <w:color w:val="231F20"/>
          <w:spacing w:val="-2"/>
          <w:sz w:val="17"/>
        </w:rPr>
        <w:t>Tamaño</w:t>
      </w:r>
    </w:p>
    <w:p>
      <w:pPr>
        <w:spacing w:before="55"/>
        <w:ind w:left="305" w:right="272" w:firstLine="0"/>
        <w:jc w:val="center"/>
        <w:rPr>
          <w:i/>
          <w:sz w:val="17"/>
        </w:rPr>
      </w:pPr>
      <w:r>
        <w:rPr/>
        <w:br w:type="column"/>
      </w:r>
      <w:r>
        <w:rPr>
          <w:i/>
          <w:color w:val="231F20"/>
          <w:w w:val="105"/>
          <w:sz w:val="17"/>
        </w:rPr>
        <w:t>Grados de marginación</w:t>
      </w:r>
    </w:p>
    <w:p>
      <w:pPr>
        <w:pStyle w:val="BodyText"/>
        <w:spacing w:before="7"/>
        <w:rPr>
          <w:i/>
          <w:sz w:val="6"/>
        </w:rPr>
      </w:pPr>
    </w:p>
    <w:p>
      <w:pPr>
        <w:pStyle w:val="BodyText"/>
        <w:spacing w:line="20" w:lineRule="exact"/>
        <w:ind w:left="145"/>
        <w:rPr>
          <w:sz w:val="2"/>
        </w:rPr>
      </w:pPr>
      <w:r>
        <w:rPr>
          <w:sz w:val="2"/>
        </w:rPr>
        <w:pict>
          <v:group style="width:218pt;height:.4pt;mso-position-horizontal-relative:char;mso-position-vertical-relative:line" coordorigin="0,0" coordsize="4360,8">
            <v:line style="position:absolute" from="4,4" to="820,4" stroked="true" strokeweight=".4pt" strokecolor="#231f20"/>
            <v:line style="position:absolute" from="820,4" to="2176,4" stroked="true" strokeweight=".4pt" strokecolor="#231f20"/>
            <v:line style="position:absolute" from="2176,4" to="3337,4" stroked="true" strokeweight=".4pt" strokecolor="#231f20"/>
            <v:line style="position:absolute" from="3337,4" to="4356,4" stroked="true" strokeweight=".4pt" strokecolor="#231f20"/>
          </v:group>
        </w:pict>
      </w:r>
      <w:r>
        <w:rPr>
          <w:sz w:val="2"/>
        </w:rPr>
      </w:r>
    </w:p>
    <w:p>
      <w:pPr>
        <w:tabs>
          <w:tab w:pos="1482" w:val="left" w:leader="none"/>
          <w:tab w:pos="2567" w:val="left" w:leader="none"/>
          <w:tab w:pos="3640" w:val="left" w:leader="none"/>
        </w:tabs>
        <w:spacing w:line="398" w:lineRule="auto" w:before="33"/>
        <w:ind w:left="402" w:right="272" w:firstLine="0"/>
        <w:jc w:val="center"/>
        <w:rPr>
          <w:i/>
          <w:sz w:val="17"/>
        </w:rPr>
      </w:pPr>
      <w:r>
        <w:rPr/>
        <w:pict>
          <v:shape style="position:absolute;margin-left:202.620407pt;margin-top:15.726699pt;width:217.6pt;height:.1pt;mso-position-horizontal-relative:page;mso-position-vertical-relative:paragraph;z-index:-453808" coordorigin="4052,315" coordsize="4352,0" path="m4052,315l4868,315m4868,315l6224,315m6224,315l7385,315m7385,315l8404,315e" filled="false" stroked="true" strokeweight=".4pt" strokecolor="#231f20">
            <v:path arrowok="t"/>
            <w10:wrap type="none"/>
          </v:shape>
        </w:pict>
      </w:r>
      <w:r>
        <w:rPr/>
        <w:pict>
          <v:shape style="position:absolute;margin-left:202.620407pt;margin-top:32.220798pt;width:217.6pt;height:.1pt;mso-position-horizontal-relative:page;mso-position-vertical-relative:paragraph;z-index:-453784" coordorigin="4052,644" coordsize="4352,0" path="m4052,644l4868,644m4868,644l6224,644m6224,644l7385,644m7385,644l8404,644e" filled="false" stroked="true" strokeweight=".4pt" strokecolor="#231f20">
            <v:path arrowok="t"/>
            <w10:wrap type="none"/>
          </v:shape>
        </w:pict>
      </w:r>
      <w:r>
        <w:rPr>
          <w:i/>
          <w:color w:val="231F20"/>
          <w:w w:val="105"/>
          <w:sz w:val="17"/>
        </w:rPr>
        <w:t>Alto</w:t>
        <w:tab/>
        <w:t>Bajo</w:t>
        <w:tab/>
        <w:t>Muy</w:t>
      </w:r>
      <w:r>
        <w:rPr>
          <w:i/>
          <w:color w:val="231F20"/>
          <w:spacing w:val="10"/>
          <w:w w:val="105"/>
          <w:sz w:val="17"/>
        </w:rPr>
        <w:t> </w:t>
      </w:r>
      <w:r>
        <w:rPr>
          <w:i/>
          <w:color w:val="231F20"/>
          <w:w w:val="105"/>
          <w:sz w:val="17"/>
        </w:rPr>
        <w:t>alto</w:t>
        <w:tab/>
        <w:t>Muy</w:t>
      </w:r>
      <w:r>
        <w:rPr>
          <w:i/>
          <w:color w:val="231F20"/>
          <w:spacing w:val="18"/>
          <w:w w:val="105"/>
          <w:sz w:val="17"/>
        </w:rPr>
        <w:t> </w:t>
      </w:r>
      <w:r>
        <w:rPr>
          <w:i/>
          <w:color w:val="231F20"/>
          <w:w w:val="105"/>
          <w:sz w:val="17"/>
        </w:rPr>
        <w:t>bajo</w:t>
      </w:r>
      <w:r>
        <w:rPr>
          <w:i/>
          <w:color w:val="231F20"/>
          <w:w w:val="101"/>
          <w:sz w:val="17"/>
        </w:rPr>
        <w:t> </w:t>
      </w:r>
      <w:r>
        <w:rPr>
          <w:i/>
          <w:color w:val="231F20"/>
          <w:w w:val="105"/>
          <w:sz w:val="17"/>
        </w:rPr>
        <w:t>Grados de</w:t>
      </w:r>
      <w:r>
        <w:rPr>
          <w:i/>
          <w:color w:val="231F20"/>
          <w:spacing w:val="36"/>
          <w:w w:val="105"/>
          <w:sz w:val="17"/>
        </w:rPr>
        <w:t> </w:t>
      </w:r>
      <w:r>
        <w:rPr>
          <w:i/>
          <w:color w:val="231F20"/>
          <w:w w:val="105"/>
          <w:sz w:val="17"/>
        </w:rPr>
        <w:t>envejecimiento</w:t>
      </w:r>
    </w:p>
    <w:p>
      <w:pPr>
        <w:tabs>
          <w:tab w:pos="1017" w:val="left" w:leader="none"/>
          <w:tab w:pos="2276" w:val="left" w:leader="none"/>
          <w:tab w:pos="3366" w:val="left" w:leader="none"/>
        </w:tabs>
        <w:spacing w:line="198" w:lineRule="exact" w:before="0"/>
        <w:ind w:left="131" w:right="0" w:firstLine="0"/>
        <w:jc w:val="center"/>
        <w:rPr>
          <w:i/>
          <w:sz w:val="17"/>
        </w:rPr>
      </w:pPr>
      <w:r>
        <w:rPr>
          <w:i/>
          <w:color w:val="231F20"/>
          <w:w w:val="110"/>
          <w:sz w:val="17"/>
        </w:rPr>
        <w:t>Joven</w:t>
        <w:tab/>
        <w:t>En</w:t>
      </w:r>
      <w:r>
        <w:rPr>
          <w:i/>
          <w:color w:val="231F20"/>
          <w:spacing w:val="-2"/>
          <w:w w:val="110"/>
          <w:sz w:val="17"/>
        </w:rPr>
        <w:t> </w:t>
      </w:r>
      <w:r>
        <w:rPr>
          <w:i/>
          <w:color w:val="231F20"/>
          <w:w w:val="110"/>
          <w:sz w:val="17"/>
        </w:rPr>
        <w:t>proceso</w:t>
        <w:tab/>
        <w:t>En</w:t>
      </w:r>
      <w:r>
        <w:rPr>
          <w:i/>
          <w:color w:val="231F20"/>
          <w:spacing w:val="-2"/>
          <w:w w:val="110"/>
          <w:sz w:val="17"/>
        </w:rPr>
        <w:t> </w:t>
      </w:r>
      <w:r>
        <w:rPr>
          <w:i/>
          <w:color w:val="231F20"/>
          <w:w w:val="110"/>
          <w:sz w:val="17"/>
        </w:rPr>
        <w:t>proceso</w:t>
        <w:tab/>
        <w:t>En</w:t>
      </w:r>
      <w:r>
        <w:rPr>
          <w:i/>
          <w:color w:val="231F20"/>
          <w:spacing w:val="-19"/>
          <w:w w:val="110"/>
          <w:sz w:val="17"/>
        </w:rPr>
        <w:t> </w:t>
      </w:r>
      <w:r>
        <w:rPr>
          <w:i/>
          <w:color w:val="231F20"/>
          <w:w w:val="110"/>
          <w:sz w:val="17"/>
        </w:rPr>
        <w:t>proceso</w:t>
      </w:r>
    </w:p>
    <w:p>
      <w:pPr>
        <w:spacing w:after="0" w:line="198" w:lineRule="exact"/>
        <w:jc w:val="center"/>
        <w:rPr>
          <w:sz w:val="17"/>
        </w:rPr>
        <w:sectPr>
          <w:type w:val="continuous"/>
          <w:pgSz w:w="9520" w:h="12920"/>
          <w:pgMar w:top="0" w:bottom="0" w:left="1300" w:right="1000"/>
          <w:cols w:num="2" w:equalWidth="0">
            <w:col w:w="2564" w:space="40"/>
            <w:col w:w="4616"/>
          </w:cols>
        </w:sectPr>
      </w:pPr>
    </w:p>
    <w:p>
      <w:pPr>
        <w:pStyle w:val="BodyText"/>
        <w:rPr>
          <w:i/>
          <w:sz w:val="7"/>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68"/>
        <w:gridCol w:w="1156"/>
        <w:gridCol w:w="4271"/>
      </w:tblGrid>
      <w:tr>
        <w:trPr>
          <w:trHeight w:val="303" w:hRule="exact"/>
        </w:trPr>
        <w:tc>
          <w:tcPr>
            <w:tcW w:w="1568" w:type="dxa"/>
            <w:tcBorders>
              <w:top w:val="single" w:sz="3" w:space="0" w:color="231F20"/>
            </w:tcBorders>
          </w:tcPr>
          <w:p>
            <w:pPr>
              <w:pStyle w:val="TableParagraph"/>
              <w:spacing w:line="240" w:lineRule="auto" w:before="84"/>
              <w:ind w:left="35"/>
              <w:jc w:val="left"/>
              <w:rPr>
                <w:sz w:val="17"/>
              </w:rPr>
            </w:pPr>
            <w:r>
              <w:rPr>
                <w:color w:val="231F20"/>
                <w:w w:val="110"/>
                <w:sz w:val="17"/>
              </w:rPr>
              <w:t>Valle de México</w:t>
            </w:r>
          </w:p>
        </w:tc>
        <w:tc>
          <w:tcPr>
            <w:tcW w:w="1156" w:type="dxa"/>
            <w:tcBorders>
              <w:top w:val="single" w:sz="3" w:space="0" w:color="231F20"/>
            </w:tcBorders>
          </w:tcPr>
          <w:p>
            <w:pPr>
              <w:pStyle w:val="TableParagraph"/>
              <w:spacing w:line="240" w:lineRule="auto" w:before="84"/>
              <w:ind w:left="272" w:right="262"/>
              <w:rPr>
                <w:sz w:val="17"/>
              </w:rPr>
            </w:pPr>
            <w:r>
              <w:rPr>
                <w:color w:val="231F20"/>
                <w:w w:val="110"/>
                <w:sz w:val="17"/>
              </w:rPr>
              <w:t>Grande</w:t>
            </w:r>
          </w:p>
        </w:tc>
        <w:tc>
          <w:tcPr>
            <w:tcW w:w="4271" w:type="dxa"/>
            <w:tcBorders>
              <w:top w:val="single" w:sz="3" w:space="0" w:color="231F20"/>
            </w:tcBorders>
          </w:tcPr>
          <w:p>
            <w:pPr>
              <w:pStyle w:val="TableParagraph"/>
              <w:spacing w:line="240" w:lineRule="auto" w:before="84"/>
              <w:ind w:left="1362"/>
              <w:jc w:val="left"/>
              <w:rPr>
                <w:sz w:val="17"/>
              </w:rPr>
            </w:pPr>
            <w:r>
              <w:rPr>
                <w:color w:val="231F20"/>
                <w:w w:val="133"/>
                <w:sz w:val="17"/>
              </w:rPr>
              <w:t>•</w:t>
            </w:r>
          </w:p>
        </w:tc>
      </w:tr>
      <w:tr>
        <w:trPr>
          <w:trHeight w:val="210" w:hRule="exact"/>
        </w:trPr>
        <w:tc>
          <w:tcPr>
            <w:tcW w:w="1568" w:type="dxa"/>
          </w:tcPr>
          <w:p>
            <w:pPr>
              <w:pStyle w:val="TableParagraph"/>
              <w:ind w:left="35"/>
              <w:jc w:val="left"/>
              <w:rPr>
                <w:sz w:val="17"/>
              </w:rPr>
            </w:pPr>
            <w:r>
              <w:rPr>
                <w:color w:val="231F20"/>
                <w:w w:val="110"/>
                <w:sz w:val="17"/>
              </w:rPr>
              <w:t>Guadalajara</w:t>
            </w:r>
          </w:p>
        </w:tc>
        <w:tc>
          <w:tcPr>
            <w:tcW w:w="1156" w:type="dxa"/>
          </w:tcPr>
          <w:p>
            <w:pPr>
              <w:pStyle w:val="TableParagraph"/>
              <w:ind w:left="272" w:right="262"/>
              <w:rPr>
                <w:sz w:val="17"/>
              </w:rPr>
            </w:pPr>
            <w:r>
              <w:rPr>
                <w:color w:val="231F20"/>
                <w:w w:val="110"/>
                <w:sz w:val="17"/>
              </w:rPr>
              <w:t>Grande</w:t>
            </w:r>
          </w:p>
        </w:tc>
        <w:tc>
          <w:tcPr>
            <w:tcW w:w="4271" w:type="dxa"/>
          </w:tcPr>
          <w:p>
            <w:pPr>
              <w:pStyle w:val="TableParagraph"/>
              <w:ind w:right="457"/>
              <w:jc w:val="right"/>
              <w:rPr>
                <w:sz w:val="17"/>
              </w:rPr>
            </w:pPr>
            <w:r>
              <w:rPr>
                <w:color w:val="231F20"/>
                <w:w w:val="133"/>
                <w:sz w:val="17"/>
              </w:rPr>
              <w:t>•</w:t>
            </w:r>
          </w:p>
        </w:tc>
      </w:tr>
      <w:tr>
        <w:trPr>
          <w:trHeight w:val="210" w:hRule="exact"/>
        </w:trPr>
        <w:tc>
          <w:tcPr>
            <w:tcW w:w="1568" w:type="dxa"/>
          </w:tcPr>
          <w:p>
            <w:pPr>
              <w:pStyle w:val="TableParagraph"/>
              <w:ind w:left="35"/>
              <w:jc w:val="left"/>
              <w:rPr>
                <w:sz w:val="17"/>
              </w:rPr>
            </w:pPr>
            <w:r>
              <w:rPr>
                <w:color w:val="231F20"/>
                <w:w w:val="110"/>
                <w:sz w:val="17"/>
              </w:rPr>
              <w:t>Monterrey</w:t>
            </w:r>
          </w:p>
        </w:tc>
        <w:tc>
          <w:tcPr>
            <w:tcW w:w="1156" w:type="dxa"/>
          </w:tcPr>
          <w:p>
            <w:pPr>
              <w:pStyle w:val="TableParagraph"/>
              <w:ind w:left="272" w:right="262"/>
              <w:rPr>
                <w:sz w:val="17"/>
              </w:rPr>
            </w:pPr>
            <w:r>
              <w:rPr>
                <w:color w:val="231F20"/>
                <w:w w:val="110"/>
                <w:sz w:val="17"/>
              </w:rPr>
              <w:t>Grande</w:t>
            </w:r>
          </w:p>
        </w:tc>
        <w:tc>
          <w:tcPr>
            <w:tcW w:w="4271" w:type="dxa"/>
          </w:tcPr>
          <w:p>
            <w:pPr>
              <w:pStyle w:val="TableParagraph"/>
              <w:ind w:right="457"/>
              <w:jc w:val="right"/>
              <w:rPr>
                <w:sz w:val="17"/>
              </w:rPr>
            </w:pPr>
            <w:r>
              <w:rPr>
                <w:color w:val="231F20"/>
                <w:w w:val="133"/>
                <w:sz w:val="17"/>
              </w:rPr>
              <w:t>•</w:t>
            </w:r>
          </w:p>
        </w:tc>
      </w:tr>
      <w:tr>
        <w:trPr>
          <w:trHeight w:val="227" w:hRule="exact"/>
        </w:trPr>
        <w:tc>
          <w:tcPr>
            <w:tcW w:w="1568" w:type="dxa"/>
          </w:tcPr>
          <w:p>
            <w:pPr>
              <w:pStyle w:val="TableParagraph"/>
              <w:ind w:left="35"/>
              <w:jc w:val="left"/>
              <w:rPr>
                <w:sz w:val="17"/>
              </w:rPr>
            </w:pPr>
            <w:r>
              <w:rPr>
                <w:color w:val="231F20"/>
                <w:w w:val="105"/>
                <w:sz w:val="17"/>
              </w:rPr>
              <w:t>Puebla-Tlaxcala</w:t>
            </w:r>
          </w:p>
        </w:tc>
        <w:tc>
          <w:tcPr>
            <w:tcW w:w="1156" w:type="dxa"/>
          </w:tcPr>
          <w:p>
            <w:pPr>
              <w:pStyle w:val="TableParagraph"/>
              <w:ind w:left="272" w:right="262"/>
              <w:rPr>
                <w:sz w:val="17"/>
              </w:rPr>
            </w:pPr>
            <w:r>
              <w:rPr>
                <w:color w:val="231F20"/>
                <w:w w:val="110"/>
                <w:sz w:val="17"/>
              </w:rPr>
              <w:t>Grande</w:t>
            </w:r>
          </w:p>
        </w:tc>
        <w:tc>
          <w:tcPr>
            <w:tcW w:w="4271" w:type="dxa"/>
          </w:tcPr>
          <w:p>
            <w:pPr>
              <w:pStyle w:val="TableParagraph"/>
              <w:ind w:left="1072"/>
              <w:rPr>
                <w:sz w:val="17"/>
              </w:rPr>
            </w:pPr>
            <w:r>
              <w:rPr>
                <w:color w:val="231F20"/>
                <w:w w:val="133"/>
                <w:sz w:val="17"/>
              </w:rPr>
              <w:t>•</w:t>
            </w:r>
          </w:p>
        </w:tc>
      </w:tr>
      <w:tr>
        <w:trPr>
          <w:trHeight w:val="294" w:hRule="exact"/>
        </w:trPr>
        <w:tc>
          <w:tcPr>
            <w:tcW w:w="1568" w:type="dxa"/>
            <w:tcBorders>
              <w:bottom w:val="single" w:sz="3" w:space="0" w:color="231F20"/>
            </w:tcBorders>
          </w:tcPr>
          <w:p>
            <w:pPr>
              <w:pStyle w:val="TableParagraph"/>
              <w:spacing w:line="240" w:lineRule="auto" w:before="12"/>
              <w:ind w:left="35"/>
              <w:jc w:val="left"/>
              <w:rPr>
                <w:sz w:val="17"/>
              </w:rPr>
            </w:pPr>
            <w:r>
              <w:rPr>
                <w:color w:val="231F20"/>
                <w:w w:val="110"/>
                <w:sz w:val="17"/>
              </w:rPr>
              <w:t>Toluca</w:t>
            </w:r>
          </w:p>
        </w:tc>
        <w:tc>
          <w:tcPr>
            <w:tcW w:w="1156" w:type="dxa"/>
            <w:tcBorders>
              <w:bottom w:val="single" w:sz="3" w:space="0" w:color="231F20"/>
            </w:tcBorders>
          </w:tcPr>
          <w:p>
            <w:pPr>
              <w:pStyle w:val="TableParagraph"/>
              <w:spacing w:line="240" w:lineRule="auto" w:before="12"/>
              <w:ind w:left="272" w:right="262"/>
              <w:rPr>
                <w:sz w:val="17"/>
              </w:rPr>
            </w:pPr>
            <w:r>
              <w:rPr>
                <w:color w:val="231F20"/>
                <w:w w:val="110"/>
                <w:sz w:val="17"/>
              </w:rPr>
              <w:t>Grande</w:t>
            </w:r>
          </w:p>
        </w:tc>
        <w:tc>
          <w:tcPr>
            <w:tcW w:w="4271" w:type="dxa"/>
            <w:tcBorders>
              <w:bottom w:val="single" w:sz="3" w:space="0" w:color="231F20"/>
            </w:tcBorders>
          </w:tcPr>
          <w:p>
            <w:pPr>
              <w:pStyle w:val="TableParagraph"/>
              <w:spacing w:line="240" w:lineRule="auto" w:before="12"/>
              <w:ind w:left="276"/>
              <w:jc w:val="left"/>
              <w:rPr>
                <w:sz w:val="17"/>
              </w:rPr>
            </w:pPr>
            <w:r>
              <w:rPr>
                <w:color w:val="231F20"/>
                <w:w w:val="133"/>
                <w:sz w:val="17"/>
              </w:rPr>
              <w:t>•</w:t>
            </w:r>
          </w:p>
        </w:tc>
      </w:tr>
    </w:tbl>
    <w:p>
      <w:pPr>
        <w:spacing w:line="170" w:lineRule="exact" w:before="70"/>
        <w:ind w:left="144" w:right="113" w:firstLine="360"/>
        <w:jc w:val="both"/>
        <w:rPr>
          <w:sz w:val="15"/>
        </w:rPr>
      </w:pPr>
      <w:r>
        <w:rPr>
          <w:color w:val="231F20"/>
          <w:w w:val="110"/>
          <w:sz w:val="15"/>
        </w:rPr>
        <w:t>Fuente: elaboración propia con datos de Conapo, 2011, </w:t>
      </w:r>
      <w:r>
        <w:rPr>
          <w:rFonts w:ascii="Times New Roman" w:hAnsi="Times New Roman"/>
          <w:color w:val="231F20"/>
          <w:w w:val="110"/>
          <w:sz w:val="12"/>
        </w:rPr>
        <w:t>INEGI</w:t>
      </w:r>
      <w:r>
        <w:rPr>
          <w:color w:val="231F20"/>
          <w:w w:val="110"/>
          <w:sz w:val="15"/>
        </w:rPr>
        <w:t>, 2010; Sedesol, Conapo e </w:t>
      </w:r>
      <w:r>
        <w:rPr>
          <w:rFonts w:ascii="Times New Roman" w:hAnsi="Times New Roman"/>
          <w:color w:val="231F20"/>
          <w:w w:val="110"/>
          <w:sz w:val="12"/>
        </w:rPr>
        <w:t>INEGI</w:t>
      </w:r>
      <w:r>
        <w:rPr>
          <w:color w:val="231F20"/>
          <w:w w:val="110"/>
          <w:sz w:val="15"/>
        </w:rPr>
        <w:t>, 2011.</w:t>
      </w:r>
    </w:p>
    <w:p>
      <w:pPr>
        <w:pStyle w:val="BodyText"/>
        <w:rPr>
          <w:sz w:val="14"/>
        </w:rPr>
      </w:pPr>
    </w:p>
    <w:p>
      <w:pPr>
        <w:pStyle w:val="BodyText"/>
        <w:spacing w:before="11"/>
        <w:rPr>
          <w:sz w:val="14"/>
        </w:rPr>
      </w:pPr>
    </w:p>
    <w:p>
      <w:pPr>
        <w:pStyle w:val="BodyText"/>
        <w:spacing w:line="288" w:lineRule="auto"/>
        <w:ind w:left="144" w:right="112" w:firstLine="360"/>
        <w:jc w:val="both"/>
      </w:pPr>
      <w:r>
        <w:rPr>
          <w:color w:val="231F20"/>
          <w:w w:val="110"/>
        </w:rPr>
        <w:t>En la </w:t>
      </w:r>
      <w:r>
        <w:rPr>
          <w:rFonts w:ascii="Times New Roman" w:hAnsi="Times New Roman"/>
          <w:color w:val="231F20"/>
          <w:w w:val="110"/>
          <w:sz w:val="16"/>
        </w:rPr>
        <w:t>ZM </w:t>
      </w:r>
      <w:r>
        <w:rPr>
          <w:color w:val="231F20"/>
          <w:w w:val="110"/>
        </w:rPr>
        <w:t>de Guadalajara 35 por ciento de los municipios tiene grado</w:t>
      </w:r>
      <w:r>
        <w:rPr>
          <w:color w:val="231F20"/>
          <w:spacing w:val="-6"/>
          <w:w w:val="110"/>
        </w:rPr>
        <w:t> </w:t>
      </w:r>
      <w:r>
        <w:rPr>
          <w:color w:val="231F20"/>
          <w:w w:val="110"/>
        </w:rPr>
        <w:t>de </w:t>
      </w:r>
      <w:r>
        <w:rPr>
          <w:color w:val="231F20"/>
          <w:spacing w:val="-3"/>
          <w:w w:val="110"/>
        </w:rPr>
        <w:t>marginación</w:t>
      </w:r>
      <w:r>
        <w:rPr>
          <w:color w:val="231F20"/>
          <w:spacing w:val="-12"/>
          <w:w w:val="110"/>
        </w:rPr>
        <w:t> </w:t>
      </w:r>
      <w:r>
        <w:rPr>
          <w:color w:val="231F20"/>
          <w:w w:val="110"/>
        </w:rPr>
        <w:t>bajo</w:t>
      </w:r>
      <w:r>
        <w:rPr>
          <w:color w:val="231F20"/>
          <w:spacing w:val="-12"/>
          <w:w w:val="110"/>
        </w:rPr>
        <w:t> </w:t>
      </w:r>
      <w:r>
        <w:rPr>
          <w:color w:val="231F20"/>
          <w:w w:val="110"/>
        </w:rPr>
        <w:t>y</w:t>
      </w:r>
      <w:r>
        <w:rPr>
          <w:color w:val="231F20"/>
          <w:spacing w:val="-12"/>
          <w:w w:val="110"/>
        </w:rPr>
        <w:t> </w:t>
      </w:r>
      <w:r>
        <w:rPr>
          <w:color w:val="231F20"/>
          <w:w w:val="110"/>
        </w:rPr>
        <w:t>el</w:t>
      </w:r>
      <w:r>
        <w:rPr>
          <w:color w:val="231F20"/>
          <w:spacing w:val="-12"/>
          <w:w w:val="110"/>
        </w:rPr>
        <w:t> </w:t>
      </w:r>
      <w:r>
        <w:rPr>
          <w:color w:val="231F20"/>
          <w:w w:val="110"/>
        </w:rPr>
        <w:t>resto</w:t>
      </w:r>
      <w:r>
        <w:rPr>
          <w:color w:val="231F20"/>
          <w:spacing w:val="-12"/>
          <w:w w:val="110"/>
        </w:rPr>
        <w:t> </w:t>
      </w:r>
      <w:r>
        <w:rPr>
          <w:color w:val="231F20"/>
          <w:w w:val="110"/>
        </w:rPr>
        <w:t>muy</w:t>
      </w:r>
      <w:r>
        <w:rPr>
          <w:color w:val="231F20"/>
          <w:spacing w:val="-12"/>
          <w:w w:val="110"/>
        </w:rPr>
        <w:t> </w:t>
      </w:r>
      <w:r>
        <w:rPr>
          <w:color w:val="231F20"/>
          <w:w w:val="110"/>
        </w:rPr>
        <w:t>bajo</w:t>
      </w:r>
      <w:r>
        <w:rPr>
          <w:color w:val="231F20"/>
          <w:spacing w:val="-12"/>
          <w:w w:val="110"/>
        </w:rPr>
        <w:t> </w:t>
      </w:r>
      <w:r>
        <w:rPr>
          <w:color w:val="231F20"/>
          <w:spacing w:val="-10"/>
          <w:w w:val="110"/>
        </w:rPr>
        <w:t>y,</w:t>
      </w:r>
      <w:r>
        <w:rPr>
          <w:color w:val="231F20"/>
          <w:spacing w:val="-12"/>
          <w:w w:val="110"/>
        </w:rPr>
        <w:t> </w:t>
      </w:r>
      <w:r>
        <w:rPr>
          <w:color w:val="231F20"/>
          <w:w w:val="110"/>
        </w:rPr>
        <w:t>la</w:t>
      </w:r>
      <w:r>
        <w:rPr>
          <w:color w:val="231F20"/>
          <w:spacing w:val="-12"/>
          <w:w w:val="110"/>
        </w:rPr>
        <w:t> </w:t>
      </w:r>
      <w:r>
        <w:rPr>
          <w:color w:val="231F20"/>
          <w:w w:val="110"/>
        </w:rPr>
        <w:t>totalidad</w:t>
      </w:r>
      <w:r>
        <w:rPr>
          <w:color w:val="231F20"/>
          <w:spacing w:val="-12"/>
          <w:w w:val="110"/>
        </w:rPr>
        <w:t> </w:t>
      </w:r>
      <w:r>
        <w:rPr>
          <w:color w:val="231F20"/>
          <w:w w:val="110"/>
        </w:rPr>
        <w:t>de</w:t>
      </w:r>
      <w:r>
        <w:rPr>
          <w:color w:val="231F20"/>
          <w:spacing w:val="-12"/>
          <w:w w:val="110"/>
        </w:rPr>
        <w:t> </w:t>
      </w:r>
      <w:r>
        <w:rPr>
          <w:color w:val="231F20"/>
          <w:w w:val="110"/>
        </w:rPr>
        <w:t>los</w:t>
      </w:r>
      <w:r>
        <w:rPr>
          <w:color w:val="231F20"/>
          <w:spacing w:val="-12"/>
          <w:w w:val="110"/>
        </w:rPr>
        <w:t> </w:t>
      </w:r>
      <w:r>
        <w:rPr>
          <w:color w:val="231F20"/>
          <w:w w:val="110"/>
        </w:rPr>
        <w:t>municipios</w:t>
      </w:r>
      <w:r>
        <w:rPr>
          <w:color w:val="231F20"/>
          <w:spacing w:val="-12"/>
          <w:w w:val="110"/>
        </w:rPr>
        <w:t> </w:t>
      </w:r>
      <w:r>
        <w:rPr>
          <w:color w:val="231F20"/>
          <w:spacing w:val="-3"/>
          <w:w w:val="110"/>
        </w:rPr>
        <w:t>experi- </w:t>
      </w:r>
      <w:r>
        <w:rPr>
          <w:color w:val="231F20"/>
          <w:w w:val="110"/>
        </w:rPr>
        <w:t>mentan</w:t>
      </w:r>
      <w:r>
        <w:rPr>
          <w:color w:val="231F20"/>
          <w:spacing w:val="-10"/>
          <w:w w:val="110"/>
        </w:rPr>
        <w:t> </w:t>
      </w:r>
      <w:r>
        <w:rPr>
          <w:color w:val="231F20"/>
          <w:w w:val="110"/>
        </w:rPr>
        <w:t>un</w:t>
      </w:r>
      <w:r>
        <w:rPr>
          <w:color w:val="231F20"/>
          <w:spacing w:val="-10"/>
          <w:w w:val="110"/>
        </w:rPr>
        <w:t> </w:t>
      </w:r>
      <w:r>
        <w:rPr>
          <w:color w:val="231F20"/>
          <w:w w:val="110"/>
        </w:rPr>
        <w:t>envejecimiento</w:t>
      </w:r>
      <w:r>
        <w:rPr>
          <w:color w:val="231F20"/>
          <w:spacing w:val="-10"/>
          <w:w w:val="110"/>
        </w:rPr>
        <w:t> </w:t>
      </w:r>
      <w:r>
        <w:rPr>
          <w:color w:val="231F20"/>
          <w:w w:val="110"/>
        </w:rPr>
        <w:t>en</w:t>
      </w:r>
      <w:r>
        <w:rPr>
          <w:color w:val="231F20"/>
          <w:spacing w:val="-10"/>
          <w:w w:val="110"/>
        </w:rPr>
        <w:t> </w:t>
      </w:r>
      <w:r>
        <w:rPr>
          <w:color w:val="231F20"/>
          <w:w w:val="110"/>
        </w:rPr>
        <w:t>proceso.</w:t>
      </w:r>
      <w:r>
        <w:rPr>
          <w:color w:val="231F20"/>
          <w:spacing w:val="-10"/>
          <w:w w:val="110"/>
        </w:rPr>
        <w:t> </w:t>
      </w:r>
      <w:r>
        <w:rPr>
          <w:color w:val="231F20"/>
          <w:w w:val="110"/>
        </w:rPr>
        <w:t>El</w:t>
      </w:r>
      <w:r>
        <w:rPr>
          <w:color w:val="231F20"/>
          <w:spacing w:val="-10"/>
          <w:w w:val="110"/>
        </w:rPr>
        <w:t> </w:t>
      </w:r>
      <w:r>
        <w:rPr>
          <w:color w:val="231F20"/>
          <w:w w:val="110"/>
        </w:rPr>
        <w:t>mismo</w:t>
      </w:r>
      <w:r>
        <w:rPr>
          <w:color w:val="231F20"/>
          <w:spacing w:val="-10"/>
          <w:w w:val="110"/>
        </w:rPr>
        <w:t> </w:t>
      </w:r>
      <w:r>
        <w:rPr>
          <w:color w:val="231F20"/>
          <w:w w:val="110"/>
        </w:rPr>
        <w:t>comportamiento</w:t>
      </w:r>
      <w:r>
        <w:rPr>
          <w:color w:val="231F20"/>
          <w:spacing w:val="-10"/>
          <w:w w:val="110"/>
        </w:rPr>
        <w:t> </w:t>
      </w:r>
      <w:r>
        <w:rPr>
          <w:color w:val="231F20"/>
          <w:w w:val="110"/>
        </w:rPr>
        <w:t>presenta la </w:t>
      </w:r>
      <w:r>
        <w:rPr>
          <w:rFonts w:ascii="Times New Roman" w:hAnsi="Times New Roman"/>
          <w:color w:val="231F20"/>
          <w:w w:val="110"/>
          <w:sz w:val="16"/>
        </w:rPr>
        <w:t>ZM </w:t>
      </w:r>
      <w:r>
        <w:rPr>
          <w:color w:val="231F20"/>
          <w:w w:val="110"/>
        </w:rPr>
        <w:t>de Monterrey. En cambio, las </w:t>
      </w:r>
      <w:r>
        <w:rPr>
          <w:rFonts w:ascii="Times New Roman" w:hAnsi="Times New Roman"/>
          <w:color w:val="231F20"/>
          <w:w w:val="110"/>
          <w:sz w:val="16"/>
        </w:rPr>
        <w:t>ZM </w:t>
      </w:r>
      <w:r>
        <w:rPr>
          <w:color w:val="231F20"/>
          <w:w w:val="110"/>
        </w:rPr>
        <w:t>de </w:t>
      </w:r>
      <w:r>
        <w:rPr>
          <w:color w:val="231F20"/>
          <w:spacing w:val="-3"/>
          <w:w w:val="110"/>
        </w:rPr>
        <w:t>Toluca </w:t>
      </w:r>
      <w:r>
        <w:rPr>
          <w:color w:val="231F20"/>
          <w:w w:val="110"/>
        </w:rPr>
        <w:t>y Puebla-Tlaxcala están mayoritariamente</w:t>
      </w:r>
      <w:r>
        <w:rPr>
          <w:color w:val="231F20"/>
          <w:spacing w:val="-10"/>
          <w:w w:val="110"/>
        </w:rPr>
        <w:t> </w:t>
      </w:r>
      <w:r>
        <w:rPr>
          <w:color w:val="231F20"/>
          <w:w w:val="110"/>
        </w:rPr>
        <w:t>conformadas</w:t>
      </w:r>
      <w:r>
        <w:rPr>
          <w:color w:val="231F20"/>
          <w:spacing w:val="-10"/>
          <w:w w:val="110"/>
        </w:rPr>
        <w:t> </w:t>
      </w:r>
      <w:r>
        <w:rPr>
          <w:color w:val="231F20"/>
          <w:w w:val="110"/>
        </w:rPr>
        <w:t>por</w:t>
      </w:r>
      <w:r>
        <w:rPr>
          <w:color w:val="231F20"/>
          <w:spacing w:val="-10"/>
          <w:w w:val="110"/>
        </w:rPr>
        <w:t> </w:t>
      </w:r>
      <w:r>
        <w:rPr>
          <w:color w:val="231F20"/>
          <w:w w:val="110"/>
        </w:rPr>
        <w:t>municipios</w:t>
      </w:r>
      <w:r>
        <w:rPr>
          <w:color w:val="231F20"/>
          <w:spacing w:val="-10"/>
          <w:w w:val="110"/>
        </w:rPr>
        <w:t> </w:t>
      </w:r>
      <w:r>
        <w:rPr>
          <w:color w:val="231F20"/>
          <w:w w:val="110"/>
        </w:rPr>
        <w:t>de</w:t>
      </w:r>
      <w:r>
        <w:rPr>
          <w:color w:val="231F20"/>
          <w:spacing w:val="-10"/>
          <w:w w:val="110"/>
        </w:rPr>
        <w:t> </w:t>
      </w:r>
      <w:r>
        <w:rPr>
          <w:color w:val="231F20"/>
          <w:w w:val="110"/>
        </w:rPr>
        <w:t>alta</w:t>
      </w:r>
      <w:r>
        <w:rPr>
          <w:color w:val="231F20"/>
          <w:spacing w:val="-10"/>
          <w:w w:val="110"/>
        </w:rPr>
        <w:t> </w:t>
      </w:r>
      <w:r>
        <w:rPr>
          <w:color w:val="231F20"/>
          <w:w w:val="110"/>
        </w:rPr>
        <w:t>y</w:t>
      </w:r>
      <w:r>
        <w:rPr>
          <w:color w:val="231F20"/>
          <w:spacing w:val="-10"/>
          <w:w w:val="110"/>
        </w:rPr>
        <w:t> </w:t>
      </w:r>
      <w:r>
        <w:rPr>
          <w:color w:val="231F20"/>
          <w:w w:val="110"/>
        </w:rPr>
        <w:t>muy</w:t>
      </w:r>
      <w:r>
        <w:rPr>
          <w:color w:val="231F20"/>
          <w:spacing w:val="-10"/>
          <w:w w:val="110"/>
        </w:rPr>
        <w:t> </w:t>
      </w:r>
      <w:r>
        <w:rPr>
          <w:color w:val="231F20"/>
          <w:w w:val="110"/>
        </w:rPr>
        <w:t>alta</w:t>
      </w:r>
      <w:r>
        <w:rPr>
          <w:color w:val="231F20"/>
          <w:spacing w:val="-10"/>
          <w:w w:val="110"/>
        </w:rPr>
        <w:t> </w:t>
      </w:r>
      <w:r>
        <w:rPr>
          <w:color w:val="231F20"/>
          <w:w w:val="110"/>
        </w:rPr>
        <w:t>margina- ción, respectivamente, y muestran grados de envejecimiento joven, en   </w:t>
      </w:r>
      <w:r>
        <w:rPr>
          <w:color w:val="231F20"/>
          <w:spacing w:val="28"/>
          <w:w w:val="110"/>
        </w:rPr>
        <w:t> </w:t>
      </w:r>
      <w:r>
        <w:rPr>
          <w:color w:val="231F20"/>
          <w:w w:val="110"/>
        </w:rPr>
        <w:t>el</w:t>
      </w:r>
    </w:p>
    <w:p>
      <w:pPr>
        <w:spacing w:after="0" w:line="288" w:lineRule="auto"/>
        <w:jc w:val="both"/>
        <w:sectPr>
          <w:type w:val="continuous"/>
          <w:pgSz w:w="9520" w:h="12920"/>
          <w:pgMar w:top="0" w:bottom="0" w:left="1300" w:right="1000"/>
        </w:sectPr>
      </w:pPr>
    </w:p>
    <w:p>
      <w:pPr>
        <w:pStyle w:val="BodyText"/>
        <w:spacing w:line="295" w:lineRule="auto" w:before="42"/>
        <w:ind w:left="120"/>
      </w:pPr>
      <w:r>
        <w:rPr>
          <w:color w:val="231F20"/>
          <w:w w:val="110"/>
        </w:rPr>
        <w:t>caso de la </w:t>
      </w:r>
      <w:r>
        <w:rPr>
          <w:rFonts w:ascii="Times New Roman"/>
          <w:color w:val="231F20"/>
          <w:w w:val="110"/>
          <w:sz w:val="16"/>
        </w:rPr>
        <w:t>ZM </w:t>
      </w:r>
      <w:r>
        <w:rPr>
          <w:color w:val="231F20"/>
          <w:w w:val="110"/>
        </w:rPr>
        <w:t>de Toluca, y en proceso, los municipios de la </w:t>
      </w:r>
      <w:r>
        <w:rPr>
          <w:rFonts w:ascii="Times New Roman"/>
          <w:color w:val="231F20"/>
          <w:w w:val="110"/>
          <w:sz w:val="16"/>
        </w:rPr>
        <w:t>ZM </w:t>
      </w:r>
      <w:r>
        <w:rPr>
          <w:color w:val="231F20"/>
          <w:w w:val="110"/>
        </w:rPr>
        <w:t>Puebla- Tlaxcala.</w:t>
      </w:r>
    </w:p>
    <w:p>
      <w:pPr>
        <w:pStyle w:val="BodyText"/>
        <w:spacing w:line="295" w:lineRule="auto"/>
        <w:ind w:left="120" w:right="117" w:firstLine="360"/>
        <w:jc w:val="both"/>
      </w:pPr>
      <w:r>
        <w:rPr>
          <w:color w:val="231F20"/>
          <w:w w:val="110"/>
        </w:rPr>
        <w:t>Uno de los hallazgos de este trabajo es que el grado de envejecimiento en las grandes zonas metropolitanas depende, principalmente, del dina- mismo en la transición demográfica y la reducción en los niveles de mar- ginación en cada uno de los municipios, lo que se traduce en mayores beneficios que trae consigo el desarrollo económico y social, materializán- dose</w:t>
      </w:r>
      <w:r>
        <w:rPr>
          <w:color w:val="231F20"/>
          <w:spacing w:val="-16"/>
          <w:w w:val="110"/>
        </w:rPr>
        <w:t> </w:t>
      </w:r>
      <w:r>
        <w:rPr>
          <w:color w:val="231F20"/>
          <w:w w:val="110"/>
        </w:rPr>
        <w:t>en</w:t>
      </w:r>
      <w:r>
        <w:rPr>
          <w:color w:val="231F20"/>
          <w:spacing w:val="-16"/>
          <w:w w:val="110"/>
        </w:rPr>
        <w:t> </w:t>
      </w:r>
      <w:r>
        <w:rPr>
          <w:color w:val="231F20"/>
          <w:w w:val="110"/>
        </w:rPr>
        <w:t>mejores</w:t>
      </w:r>
      <w:r>
        <w:rPr>
          <w:color w:val="231F20"/>
          <w:spacing w:val="-16"/>
          <w:w w:val="110"/>
        </w:rPr>
        <w:t> </w:t>
      </w:r>
      <w:r>
        <w:rPr>
          <w:color w:val="231F20"/>
          <w:w w:val="110"/>
        </w:rPr>
        <w:t>oportunidades</w:t>
      </w:r>
      <w:r>
        <w:rPr>
          <w:color w:val="231F20"/>
          <w:spacing w:val="-16"/>
          <w:w w:val="110"/>
        </w:rPr>
        <w:t> </w:t>
      </w:r>
      <w:r>
        <w:rPr>
          <w:color w:val="231F20"/>
          <w:w w:val="110"/>
        </w:rPr>
        <w:t>de</w:t>
      </w:r>
      <w:r>
        <w:rPr>
          <w:color w:val="231F20"/>
          <w:spacing w:val="-16"/>
          <w:w w:val="110"/>
        </w:rPr>
        <w:t> </w:t>
      </w:r>
      <w:r>
        <w:rPr>
          <w:color w:val="231F20"/>
          <w:w w:val="110"/>
        </w:rPr>
        <w:t>educación,</w:t>
      </w:r>
      <w:r>
        <w:rPr>
          <w:color w:val="231F20"/>
          <w:spacing w:val="-16"/>
          <w:w w:val="110"/>
        </w:rPr>
        <w:t> </w:t>
      </w:r>
      <w:r>
        <w:rPr>
          <w:color w:val="231F20"/>
          <w:w w:val="110"/>
        </w:rPr>
        <w:t>empleos</w:t>
      </w:r>
      <w:r>
        <w:rPr>
          <w:color w:val="231F20"/>
          <w:spacing w:val="-16"/>
          <w:w w:val="110"/>
        </w:rPr>
        <w:t> </w:t>
      </w:r>
      <w:r>
        <w:rPr>
          <w:color w:val="231F20"/>
          <w:w w:val="110"/>
        </w:rPr>
        <w:t>mejor</w:t>
      </w:r>
      <w:r>
        <w:rPr>
          <w:color w:val="231F20"/>
          <w:spacing w:val="-16"/>
          <w:w w:val="110"/>
        </w:rPr>
        <w:t> </w:t>
      </w:r>
      <w:r>
        <w:rPr>
          <w:color w:val="231F20"/>
          <w:w w:val="110"/>
        </w:rPr>
        <w:t>remunerados, así como adelantos científicos y médicos, que permiten tener una mayor esperanza de vida y mejores condiciones de vida de la población, en parti- </w:t>
      </w:r>
      <w:r>
        <w:rPr>
          <w:color w:val="231F20"/>
          <w:spacing w:val="-3"/>
          <w:w w:val="110"/>
        </w:rPr>
        <w:t>cular, </w:t>
      </w:r>
      <w:r>
        <w:rPr>
          <w:color w:val="231F20"/>
          <w:w w:val="110"/>
        </w:rPr>
        <w:t>de la población adulta</w:t>
      </w:r>
      <w:r>
        <w:rPr>
          <w:color w:val="231F20"/>
          <w:spacing w:val="33"/>
          <w:w w:val="110"/>
        </w:rPr>
        <w:t> </w:t>
      </w:r>
      <w:r>
        <w:rPr>
          <w:color w:val="231F20"/>
          <w:spacing w:val="-3"/>
          <w:w w:val="110"/>
        </w:rPr>
        <w:t>mayor.</w:t>
      </w:r>
    </w:p>
    <w:p>
      <w:pPr>
        <w:pStyle w:val="BodyText"/>
        <w:spacing w:line="295" w:lineRule="auto"/>
        <w:ind w:left="120" w:right="117" w:firstLine="360"/>
        <w:jc w:val="both"/>
      </w:pPr>
      <w:r>
        <w:rPr>
          <w:color w:val="231F20"/>
          <w:w w:val="110"/>
        </w:rPr>
        <w:t>El patrón de comportamiento de los grados de marginación y</w:t>
      </w:r>
      <w:r>
        <w:rPr>
          <w:color w:val="231F20"/>
          <w:spacing w:val="-22"/>
          <w:w w:val="110"/>
        </w:rPr>
        <w:t> </w:t>
      </w:r>
      <w:r>
        <w:rPr>
          <w:color w:val="231F20"/>
          <w:w w:val="110"/>
        </w:rPr>
        <w:t>envejeci- miento de las </w:t>
      </w:r>
      <w:r>
        <w:rPr>
          <w:rFonts w:ascii="Times New Roman" w:hAnsi="Times New Roman"/>
          <w:color w:val="231F20"/>
          <w:w w:val="110"/>
          <w:sz w:val="16"/>
        </w:rPr>
        <w:t>ZM </w:t>
      </w:r>
      <w:r>
        <w:rPr>
          <w:color w:val="231F20"/>
          <w:w w:val="110"/>
        </w:rPr>
        <w:t>clasificadas como grandes se reproduce en los años 2000 y 2010, pues en la medida en que el primero de ellos se reduce, el segundo tiene un avance cualitativo, tal es así que en el año 2010 80 por ciento del grupo de estas </w:t>
      </w:r>
      <w:r>
        <w:rPr>
          <w:rFonts w:ascii="Times New Roman" w:hAnsi="Times New Roman"/>
          <w:color w:val="231F20"/>
          <w:w w:val="110"/>
          <w:sz w:val="16"/>
        </w:rPr>
        <w:t>ZM </w:t>
      </w:r>
      <w:r>
        <w:rPr>
          <w:color w:val="231F20"/>
          <w:w w:val="110"/>
        </w:rPr>
        <w:t>mostraban un grado de envejecimiento en proceso y marginación baja y muy baja, confirmando la relación inversa que a</w:t>
      </w:r>
      <w:r>
        <w:rPr>
          <w:color w:val="231F20"/>
          <w:spacing w:val="-25"/>
          <w:w w:val="110"/>
        </w:rPr>
        <w:t> </w:t>
      </w:r>
      <w:r>
        <w:rPr>
          <w:color w:val="231F20"/>
          <w:w w:val="110"/>
        </w:rPr>
        <w:t>menor grado de marginación mejores expectativas de vida para la población en general (véanse cuadros 6 y 7</w:t>
      </w:r>
      <w:r>
        <w:rPr>
          <w:color w:val="231F20"/>
          <w:spacing w:val="21"/>
          <w:w w:val="110"/>
        </w:rPr>
        <w:t> </w:t>
      </w:r>
      <w:r>
        <w:rPr>
          <w:color w:val="231F20"/>
          <w:w w:val="110"/>
        </w:rPr>
        <w:t>).</w:t>
      </w:r>
    </w:p>
    <w:p>
      <w:pPr>
        <w:pStyle w:val="BodyText"/>
        <w:spacing w:line="295" w:lineRule="auto"/>
        <w:ind w:left="119" w:right="116" w:firstLine="360"/>
        <w:jc w:val="both"/>
      </w:pPr>
      <w:r>
        <w:rPr>
          <w:color w:val="231F20"/>
          <w:spacing w:val="-4"/>
          <w:w w:val="110"/>
        </w:rPr>
        <w:t>Resumiendo,</w:t>
      </w:r>
      <w:r>
        <w:rPr>
          <w:color w:val="231F20"/>
          <w:spacing w:val="-9"/>
          <w:w w:val="110"/>
        </w:rPr>
        <w:t> </w:t>
      </w:r>
      <w:r>
        <w:rPr>
          <w:color w:val="231F20"/>
          <w:spacing w:val="-4"/>
          <w:w w:val="110"/>
        </w:rPr>
        <w:t>podemos</w:t>
      </w:r>
      <w:r>
        <w:rPr>
          <w:color w:val="231F20"/>
          <w:spacing w:val="-9"/>
          <w:w w:val="110"/>
        </w:rPr>
        <w:t> </w:t>
      </w:r>
      <w:r>
        <w:rPr>
          <w:color w:val="231F20"/>
          <w:spacing w:val="-4"/>
          <w:w w:val="110"/>
        </w:rPr>
        <w:t>establecer</w:t>
      </w:r>
      <w:r>
        <w:rPr>
          <w:color w:val="231F20"/>
          <w:spacing w:val="-9"/>
          <w:w w:val="110"/>
        </w:rPr>
        <w:t> </w:t>
      </w:r>
      <w:r>
        <w:rPr>
          <w:color w:val="231F20"/>
          <w:spacing w:val="-3"/>
          <w:w w:val="110"/>
        </w:rPr>
        <w:t>que</w:t>
      </w:r>
      <w:r>
        <w:rPr>
          <w:color w:val="231F20"/>
          <w:spacing w:val="-9"/>
          <w:w w:val="110"/>
        </w:rPr>
        <w:t> </w:t>
      </w:r>
      <w:r>
        <w:rPr>
          <w:color w:val="231F20"/>
          <w:spacing w:val="-4"/>
          <w:w w:val="110"/>
        </w:rPr>
        <w:t>entre</w:t>
      </w:r>
      <w:r>
        <w:rPr>
          <w:color w:val="231F20"/>
          <w:spacing w:val="-9"/>
          <w:w w:val="110"/>
        </w:rPr>
        <w:t> </w:t>
      </w:r>
      <w:r>
        <w:rPr>
          <w:color w:val="231F20"/>
          <w:spacing w:val="-3"/>
          <w:w w:val="110"/>
        </w:rPr>
        <w:t>las</w:t>
      </w:r>
      <w:r>
        <w:rPr>
          <w:color w:val="231F20"/>
          <w:spacing w:val="-9"/>
          <w:w w:val="110"/>
        </w:rPr>
        <w:t> </w:t>
      </w:r>
      <w:r>
        <w:rPr>
          <w:rFonts w:ascii="Times New Roman" w:hAnsi="Times New Roman"/>
          <w:color w:val="231F20"/>
          <w:w w:val="110"/>
          <w:sz w:val="16"/>
        </w:rPr>
        <w:t>ZM</w:t>
      </w:r>
      <w:r>
        <w:rPr>
          <w:rFonts w:ascii="Times New Roman" w:hAnsi="Times New Roman"/>
          <w:color w:val="231F20"/>
          <w:spacing w:val="-5"/>
          <w:w w:val="110"/>
          <w:sz w:val="16"/>
        </w:rPr>
        <w:t> </w:t>
      </w:r>
      <w:r>
        <w:rPr>
          <w:color w:val="231F20"/>
          <w:spacing w:val="-4"/>
          <w:w w:val="110"/>
        </w:rPr>
        <w:t>existen</w:t>
      </w:r>
      <w:r>
        <w:rPr>
          <w:color w:val="231F20"/>
          <w:spacing w:val="-9"/>
          <w:w w:val="110"/>
        </w:rPr>
        <w:t> </w:t>
      </w:r>
      <w:r>
        <w:rPr>
          <w:color w:val="231F20"/>
          <w:spacing w:val="-4"/>
          <w:w w:val="110"/>
        </w:rPr>
        <w:t>marcadas</w:t>
      </w:r>
      <w:r>
        <w:rPr>
          <w:color w:val="231F20"/>
          <w:spacing w:val="-9"/>
          <w:w w:val="110"/>
        </w:rPr>
        <w:t> </w:t>
      </w:r>
      <w:r>
        <w:rPr>
          <w:color w:val="231F20"/>
          <w:spacing w:val="-4"/>
          <w:w w:val="110"/>
        </w:rPr>
        <w:t>desi- </w:t>
      </w:r>
      <w:r>
        <w:rPr>
          <w:color w:val="231F20"/>
          <w:w w:val="110"/>
        </w:rPr>
        <w:t>gualdades socioeconómicas definidas por los grados de marginación exis- </w:t>
      </w:r>
      <w:r>
        <w:rPr>
          <w:color w:val="231F20"/>
          <w:spacing w:val="-4"/>
          <w:w w:val="110"/>
        </w:rPr>
        <w:t>tentes </w:t>
      </w:r>
      <w:r>
        <w:rPr>
          <w:color w:val="231F20"/>
          <w:w w:val="110"/>
        </w:rPr>
        <w:t>en </w:t>
      </w:r>
      <w:r>
        <w:rPr>
          <w:color w:val="231F20"/>
          <w:spacing w:val="-3"/>
          <w:w w:val="110"/>
        </w:rPr>
        <w:t>cada una </w:t>
      </w:r>
      <w:r>
        <w:rPr>
          <w:color w:val="231F20"/>
          <w:w w:val="110"/>
        </w:rPr>
        <w:t>de </w:t>
      </w:r>
      <w:r>
        <w:rPr>
          <w:color w:val="231F20"/>
          <w:spacing w:val="-4"/>
          <w:w w:val="110"/>
        </w:rPr>
        <w:t>ellas </w:t>
      </w:r>
      <w:r>
        <w:rPr>
          <w:color w:val="231F20"/>
          <w:w w:val="110"/>
        </w:rPr>
        <w:t>y </w:t>
      </w:r>
      <w:r>
        <w:rPr>
          <w:color w:val="231F20"/>
          <w:spacing w:val="-4"/>
          <w:w w:val="110"/>
        </w:rPr>
        <w:t>entre </w:t>
      </w:r>
      <w:r>
        <w:rPr>
          <w:color w:val="231F20"/>
          <w:spacing w:val="-3"/>
          <w:w w:val="110"/>
        </w:rPr>
        <w:t>los </w:t>
      </w:r>
      <w:r>
        <w:rPr>
          <w:color w:val="231F20"/>
          <w:spacing w:val="-4"/>
          <w:w w:val="110"/>
        </w:rPr>
        <w:t>municipios </w:t>
      </w:r>
      <w:r>
        <w:rPr>
          <w:color w:val="231F20"/>
          <w:spacing w:val="-3"/>
          <w:w w:val="110"/>
        </w:rPr>
        <w:t>que las </w:t>
      </w:r>
      <w:r>
        <w:rPr>
          <w:color w:val="231F20"/>
          <w:spacing w:val="-4"/>
          <w:w w:val="110"/>
        </w:rPr>
        <w:t>integran.</w:t>
      </w:r>
      <w:r>
        <w:rPr>
          <w:color w:val="231F20"/>
          <w:spacing w:val="-32"/>
          <w:w w:val="110"/>
        </w:rPr>
        <w:t> </w:t>
      </w:r>
      <w:r>
        <w:rPr>
          <w:color w:val="231F20"/>
          <w:spacing w:val="-4"/>
          <w:w w:val="110"/>
        </w:rPr>
        <w:t>Asimismo, </w:t>
      </w:r>
      <w:r>
        <w:rPr>
          <w:color w:val="231F20"/>
          <w:w w:val="110"/>
        </w:rPr>
        <w:t>se deja en claro que más de 40 por ciento de las </w:t>
      </w:r>
      <w:r>
        <w:rPr>
          <w:rFonts w:ascii="Times New Roman" w:hAnsi="Times New Roman"/>
          <w:color w:val="231F20"/>
          <w:w w:val="110"/>
          <w:sz w:val="16"/>
        </w:rPr>
        <w:t>ZM </w:t>
      </w:r>
      <w:r>
        <w:rPr>
          <w:color w:val="231F20"/>
          <w:w w:val="110"/>
        </w:rPr>
        <w:t>presentan grados de </w:t>
      </w:r>
      <w:r>
        <w:rPr>
          <w:color w:val="231F20"/>
          <w:spacing w:val="-5"/>
          <w:w w:val="110"/>
        </w:rPr>
        <w:t>marginación </w:t>
      </w:r>
      <w:r>
        <w:rPr>
          <w:color w:val="231F20"/>
          <w:spacing w:val="-3"/>
          <w:w w:val="110"/>
        </w:rPr>
        <w:t>alto </w:t>
      </w:r>
      <w:r>
        <w:rPr>
          <w:color w:val="231F20"/>
          <w:w w:val="110"/>
        </w:rPr>
        <w:t>y </w:t>
      </w:r>
      <w:r>
        <w:rPr>
          <w:color w:val="231F20"/>
          <w:spacing w:val="-3"/>
          <w:w w:val="110"/>
        </w:rPr>
        <w:t>muy </w:t>
      </w:r>
      <w:r>
        <w:rPr>
          <w:color w:val="231F20"/>
          <w:spacing w:val="-4"/>
          <w:w w:val="110"/>
        </w:rPr>
        <w:t>alto, </w:t>
      </w:r>
      <w:r>
        <w:rPr>
          <w:color w:val="231F20"/>
          <w:w w:val="110"/>
        </w:rPr>
        <w:t>lo </w:t>
      </w:r>
      <w:r>
        <w:rPr>
          <w:color w:val="231F20"/>
          <w:spacing w:val="-3"/>
          <w:w w:val="110"/>
        </w:rPr>
        <w:t>que </w:t>
      </w:r>
      <w:r>
        <w:rPr>
          <w:color w:val="231F20"/>
          <w:spacing w:val="-4"/>
          <w:w w:val="110"/>
        </w:rPr>
        <w:t>significa </w:t>
      </w:r>
      <w:r>
        <w:rPr>
          <w:color w:val="231F20"/>
          <w:spacing w:val="-3"/>
          <w:w w:val="110"/>
        </w:rPr>
        <w:t>que 4.4 </w:t>
      </w:r>
      <w:r>
        <w:rPr>
          <w:color w:val="231F20"/>
          <w:spacing w:val="-4"/>
          <w:w w:val="110"/>
        </w:rPr>
        <w:t>millones personas</w:t>
      </w:r>
      <w:r>
        <w:rPr>
          <w:color w:val="231F20"/>
          <w:spacing w:val="-18"/>
          <w:w w:val="110"/>
        </w:rPr>
        <w:t> </w:t>
      </w:r>
      <w:r>
        <w:rPr>
          <w:color w:val="231F20"/>
          <w:spacing w:val="-4"/>
          <w:w w:val="110"/>
        </w:rPr>
        <w:t>tienen </w:t>
      </w:r>
      <w:r>
        <w:rPr>
          <w:color w:val="231F20"/>
          <w:spacing w:val="-3"/>
          <w:w w:val="110"/>
        </w:rPr>
        <w:t>déficit </w:t>
      </w:r>
      <w:r>
        <w:rPr>
          <w:color w:val="231F20"/>
          <w:w w:val="110"/>
        </w:rPr>
        <w:t>de </w:t>
      </w:r>
      <w:r>
        <w:rPr>
          <w:color w:val="231F20"/>
          <w:spacing w:val="-4"/>
          <w:w w:val="110"/>
        </w:rPr>
        <w:t>satisfactores, entre </w:t>
      </w:r>
      <w:r>
        <w:rPr>
          <w:color w:val="231F20"/>
          <w:spacing w:val="-3"/>
          <w:w w:val="110"/>
        </w:rPr>
        <w:t>los que </w:t>
      </w:r>
      <w:r>
        <w:rPr>
          <w:color w:val="231F20"/>
          <w:w w:val="110"/>
        </w:rPr>
        <w:t>se </w:t>
      </w:r>
      <w:r>
        <w:rPr>
          <w:color w:val="231F20"/>
          <w:spacing w:val="-4"/>
          <w:w w:val="110"/>
        </w:rPr>
        <w:t>encuentran </w:t>
      </w:r>
      <w:r>
        <w:rPr>
          <w:color w:val="231F20"/>
          <w:spacing w:val="-3"/>
          <w:w w:val="110"/>
        </w:rPr>
        <w:t>231 mil </w:t>
      </w:r>
      <w:r>
        <w:rPr>
          <w:color w:val="231F20"/>
          <w:spacing w:val="-4"/>
          <w:w w:val="110"/>
        </w:rPr>
        <w:t>adultos mayores, </w:t>
      </w:r>
      <w:r>
        <w:rPr>
          <w:color w:val="231F20"/>
          <w:w w:val="110"/>
        </w:rPr>
        <w:t>que los mantienen excluidos de los beneficios logrados por desarrollo eco- nómico</w:t>
      </w:r>
      <w:r>
        <w:rPr>
          <w:color w:val="231F20"/>
          <w:spacing w:val="-4"/>
          <w:w w:val="110"/>
        </w:rPr>
        <w:t> </w:t>
      </w:r>
      <w:r>
        <w:rPr>
          <w:color w:val="231F20"/>
          <w:w w:val="110"/>
        </w:rPr>
        <w:t>y</w:t>
      </w:r>
      <w:r>
        <w:rPr>
          <w:color w:val="231F20"/>
          <w:spacing w:val="-4"/>
          <w:w w:val="110"/>
        </w:rPr>
        <w:t> </w:t>
      </w:r>
      <w:r>
        <w:rPr>
          <w:color w:val="231F20"/>
          <w:w w:val="110"/>
        </w:rPr>
        <w:t>social</w:t>
      </w:r>
      <w:r>
        <w:rPr>
          <w:color w:val="231F20"/>
          <w:spacing w:val="-4"/>
          <w:w w:val="110"/>
        </w:rPr>
        <w:t> </w:t>
      </w:r>
      <w:r>
        <w:rPr>
          <w:color w:val="231F20"/>
          <w:w w:val="110"/>
        </w:rPr>
        <w:t>de</w:t>
      </w:r>
      <w:r>
        <w:rPr>
          <w:color w:val="231F20"/>
          <w:spacing w:val="-4"/>
          <w:w w:val="110"/>
        </w:rPr>
        <w:t> </w:t>
      </w:r>
      <w:r>
        <w:rPr>
          <w:color w:val="231F20"/>
          <w:w w:val="110"/>
        </w:rPr>
        <w:t>nuestro</w:t>
      </w:r>
      <w:r>
        <w:rPr>
          <w:color w:val="231F20"/>
          <w:spacing w:val="-4"/>
          <w:w w:val="110"/>
        </w:rPr>
        <w:t> </w:t>
      </w:r>
      <w:r>
        <w:rPr>
          <w:color w:val="231F20"/>
          <w:w w:val="110"/>
        </w:rPr>
        <w:t>país,</w:t>
      </w:r>
      <w:r>
        <w:rPr>
          <w:color w:val="231F20"/>
          <w:spacing w:val="-4"/>
          <w:w w:val="110"/>
        </w:rPr>
        <w:t> </w:t>
      </w:r>
      <w:r>
        <w:rPr>
          <w:color w:val="231F20"/>
          <w:w w:val="110"/>
        </w:rPr>
        <w:t>situación</w:t>
      </w:r>
      <w:r>
        <w:rPr>
          <w:color w:val="231F20"/>
          <w:spacing w:val="-4"/>
          <w:w w:val="110"/>
        </w:rPr>
        <w:t> </w:t>
      </w:r>
      <w:r>
        <w:rPr>
          <w:color w:val="231F20"/>
          <w:w w:val="110"/>
        </w:rPr>
        <w:t>que</w:t>
      </w:r>
      <w:r>
        <w:rPr>
          <w:color w:val="231F20"/>
          <w:spacing w:val="-4"/>
          <w:w w:val="110"/>
        </w:rPr>
        <w:t> </w:t>
      </w:r>
      <w:r>
        <w:rPr>
          <w:color w:val="231F20"/>
          <w:w w:val="110"/>
        </w:rPr>
        <w:t>se</w:t>
      </w:r>
      <w:r>
        <w:rPr>
          <w:color w:val="231F20"/>
          <w:spacing w:val="-4"/>
          <w:w w:val="110"/>
        </w:rPr>
        <w:t> </w:t>
      </w:r>
      <w:r>
        <w:rPr>
          <w:color w:val="231F20"/>
          <w:w w:val="110"/>
        </w:rPr>
        <w:t>agrava</w:t>
      </w:r>
      <w:r>
        <w:rPr>
          <w:color w:val="231F20"/>
          <w:spacing w:val="-4"/>
          <w:w w:val="110"/>
        </w:rPr>
        <w:t> </w:t>
      </w:r>
      <w:r>
        <w:rPr>
          <w:color w:val="231F20"/>
          <w:w w:val="110"/>
        </w:rPr>
        <w:t>al</w:t>
      </w:r>
      <w:r>
        <w:rPr>
          <w:color w:val="231F20"/>
          <w:spacing w:val="-4"/>
          <w:w w:val="110"/>
        </w:rPr>
        <w:t> </w:t>
      </w:r>
      <w:r>
        <w:rPr>
          <w:color w:val="231F20"/>
          <w:w w:val="110"/>
        </w:rPr>
        <w:t>tomar</w:t>
      </w:r>
      <w:r>
        <w:rPr>
          <w:color w:val="231F20"/>
          <w:spacing w:val="-4"/>
          <w:w w:val="110"/>
        </w:rPr>
        <w:t> </w:t>
      </w:r>
      <w:r>
        <w:rPr>
          <w:color w:val="231F20"/>
          <w:w w:val="110"/>
        </w:rPr>
        <w:t>en</w:t>
      </w:r>
      <w:r>
        <w:rPr>
          <w:color w:val="231F20"/>
          <w:spacing w:val="-4"/>
          <w:w w:val="110"/>
        </w:rPr>
        <w:t> </w:t>
      </w:r>
      <w:r>
        <w:rPr>
          <w:color w:val="231F20"/>
          <w:w w:val="110"/>
        </w:rPr>
        <w:t>cuenta que gran cantidad de población en las zonas metropolitanas con grados </w:t>
      </w:r>
      <w:r>
        <w:rPr>
          <w:color w:val="231F20"/>
          <w:spacing w:val="2"/>
          <w:w w:val="110"/>
        </w:rPr>
        <w:t>altos </w:t>
      </w:r>
      <w:r>
        <w:rPr>
          <w:color w:val="231F20"/>
          <w:w w:val="110"/>
        </w:rPr>
        <w:t>y muy </w:t>
      </w:r>
      <w:r>
        <w:rPr>
          <w:color w:val="231F20"/>
          <w:spacing w:val="2"/>
          <w:w w:val="110"/>
        </w:rPr>
        <w:t>altos </w:t>
      </w:r>
      <w:r>
        <w:rPr>
          <w:color w:val="231F20"/>
          <w:w w:val="110"/>
        </w:rPr>
        <w:t>de marginación se </w:t>
      </w:r>
      <w:r>
        <w:rPr>
          <w:color w:val="231F20"/>
          <w:spacing w:val="2"/>
          <w:w w:val="110"/>
        </w:rPr>
        <w:t>encuentra dispersa </w:t>
      </w:r>
      <w:r>
        <w:rPr>
          <w:color w:val="231F20"/>
          <w:w w:val="110"/>
        </w:rPr>
        <w:t>en </w:t>
      </w:r>
      <w:r>
        <w:rPr>
          <w:color w:val="231F20"/>
          <w:spacing w:val="2"/>
          <w:w w:val="110"/>
        </w:rPr>
        <w:t>localidades </w:t>
      </w:r>
      <w:r>
        <w:rPr>
          <w:color w:val="231F20"/>
          <w:w w:val="110"/>
        </w:rPr>
        <w:t>menores a 5,000 habitantes, situación que influye en gran medida por la dificultad de hacer llegar a esa población los bienes y servicios necesarios para reducir la brecha de marginación</w:t>
      </w:r>
      <w:r>
        <w:rPr>
          <w:color w:val="231F20"/>
          <w:spacing w:val="-5"/>
          <w:w w:val="110"/>
        </w:rPr>
        <w:t> </w:t>
      </w:r>
      <w:r>
        <w:rPr>
          <w:color w:val="231F20"/>
          <w:w w:val="110"/>
        </w:rPr>
        <w:t>metropolitana.</w:t>
      </w:r>
    </w:p>
    <w:p>
      <w:pPr>
        <w:spacing w:after="0" w:line="295" w:lineRule="auto"/>
        <w:jc w:val="both"/>
        <w:sectPr>
          <w:pgSz w:w="9520" w:h="12920"/>
          <w:pgMar w:header="0" w:footer="1344" w:top="880" w:bottom="1540" w:left="1000" w:right="1320"/>
        </w:sectPr>
      </w:pPr>
    </w:p>
    <w:p>
      <w:pPr>
        <w:spacing w:before="39"/>
        <w:ind w:left="124" w:right="0" w:firstLine="0"/>
        <w:jc w:val="both"/>
        <w:rPr>
          <w:rFonts w:ascii="Times New Roman"/>
          <w:i/>
          <w:sz w:val="19"/>
        </w:rPr>
      </w:pPr>
      <w:r>
        <w:rPr>
          <w:rFonts w:ascii="Times New Roman"/>
          <w:i/>
          <w:color w:val="231F20"/>
          <w:sz w:val="24"/>
        </w:rPr>
        <w:t>C</w:t>
      </w:r>
      <w:r>
        <w:rPr>
          <w:rFonts w:ascii="Times New Roman"/>
          <w:i/>
          <w:color w:val="231F20"/>
          <w:sz w:val="19"/>
        </w:rPr>
        <w:t>ONCLUSIONES</w:t>
      </w:r>
    </w:p>
    <w:p>
      <w:pPr>
        <w:pStyle w:val="BodyText"/>
        <w:spacing w:before="9"/>
        <w:rPr>
          <w:rFonts w:ascii="Times New Roman"/>
          <w:i/>
          <w:sz w:val="27"/>
        </w:rPr>
      </w:pPr>
    </w:p>
    <w:p>
      <w:pPr>
        <w:pStyle w:val="BodyText"/>
        <w:spacing w:line="288" w:lineRule="auto"/>
        <w:ind w:left="124" w:right="109"/>
        <w:jc w:val="both"/>
      </w:pPr>
      <w:r>
        <w:rPr>
          <w:color w:val="231F20"/>
          <w:w w:val="110"/>
        </w:rPr>
        <w:t>El proceso de envejecimiento en las zonas metropolitanas es una conse- cuencia natural de la transición demográfica de nuestro país que, por sí solo, significa un gran reto para la sociedad en su conjunto; sin embargo, cuando lo relacionamos con indicadores de corte estructural como es la marginación, la situación deja de ser univariable para convertirse en un problema complejo y multidimensional, pues involucra variables que inci- den de forma directa en los niveles de bienestar de la población y que, a su vez, representan un peso específico en cada una de las zonas metropolita- nas, según el monto de población y la estructura de la misma y donde se localizan.</w:t>
      </w:r>
    </w:p>
    <w:p>
      <w:pPr>
        <w:pStyle w:val="BodyText"/>
        <w:spacing w:line="288" w:lineRule="auto"/>
        <w:ind w:left="124" w:right="110" w:firstLine="360"/>
        <w:jc w:val="both"/>
      </w:pPr>
      <w:r>
        <w:rPr>
          <w:color w:val="231F20"/>
          <w:w w:val="110"/>
        </w:rPr>
        <w:t>En este sentido, los hallazgos encontrados en el análisis definen de manera concreta el envejecimiento de la población en las zonas metropo- litanas,</w:t>
      </w:r>
      <w:r>
        <w:rPr>
          <w:color w:val="231F20"/>
          <w:spacing w:val="-7"/>
          <w:w w:val="110"/>
        </w:rPr>
        <w:t> </w:t>
      </w:r>
      <w:r>
        <w:rPr>
          <w:color w:val="231F20"/>
          <w:w w:val="110"/>
        </w:rPr>
        <w:t>y</w:t>
      </w:r>
      <w:r>
        <w:rPr>
          <w:color w:val="231F20"/>
          <w:spacing w:val="-7"/>
          <w:w w:val="110"/>
        </w:rPr>
        <w:t> </w:t>
      </w:r>
      <w:r>
        <w:rPr>
          <w:color w:val="231F20"/>
          <w:w w:val="110"/>
        </w:rPr>
        <w:t>los</w:t>
      </w:r>
      <w:r>
        <w:rPr>
          <w:color w:val="231F20"/>
          <w:spacing w:val="-7"/>
          <w:w w:val="110"/>
        </w:rPr>
        <w:t> </w:t>
      </w:r>
      <w:r>
        <w:rPr>
          <w:color w:val="231F20"/>
          <w:w w:val="110"/>
        </w:rPr>
        <w:t>municipios</w:t>
      </w:r>
      <w:r>
        <w:rPr>
          <w:color w:val="231F20"/>
          <w:spacing w:val="-7"/>
          <w:w w:val="110"/>
        </w:rPr>
        <w:t> </w:t>
      </w:r>
      <w:r>
        <w:rPr>
          <w:color w:val="231F20"/>
          <w:w w:val="110"/>
        </w:rPr>
        <w:t>que</w:t>
      </w:r>
      <w:r>
        <w:rPr>
          <w:color w:val="231F20"/>
          <w:spacing w:val="-7"/>
          <w:w w:val="110"/>
        </w:rPr>
        <w:t> </w:t>
      </w:r>
      <w:r>
        <w:rPr>
          <w:color w:val="231F20"/>
          <w:w w:val="110"/>
        </w:rPr>
        <w:t>las</w:t>
      </w:r>
      <w:r>
        <w:rPr>
          <w:color w:val="231F20"/>
          <w:spacing w:val="-7"/>
          <w:w w:val="110"/>
        </w:rPr>
        <w:t> </w:t>
      </w:r>
      <w:r>
        <w:rPr>
          <w:color w:val="231F20"/>
          <w:w w:val="110"/>
        </w:rPr>
        <w:t>conforman,</w:t>
      </w:r>
      <w:r>
        <w:rPr>
          <w:color w:val="231F20"/>
          <w:spacing w:val="-7"/>
          <w:w w:val="110"/>
        </w:rPr>
        <w:t> </w:t>
      </w:r>
      <w:r>
        <w:rPr>
          <w:color w:val="231F20"/>
          <w:w w:val="110"/>
        </w:rPr>
        <w:t>que</w:t>
      </w:r>
      <w:r>
        <w:rPr>
          <w:color w:val="231F20"/>
          <w:spacing w:val="-7"/>
          <w:w w:val="110"/>
        </w:rPr>
        <w:t> </w:t>
      </w:r>
      <w:r>
        <w:rPr>
          <w:color w:val="231F20"/>
          <w:w w:val="110"/>
        </w:rPr>
        <w:t>presentan</w:t>
      </w:r>
      <w:r>
        <w:rPr>
          <w:color w:val="231F20"/>
          <w:spacing w:val="-7"/>
          <w:w w:val="110"/>
        </w:rPr>
        <w:t> </w:t>
      </w:r>
      <w:r>
        <w:rPr>
          <w:color w:val="231F20"/>
          <w:w w:val="110"/>
        </w:rPr>
        <w:t>menores</w:t>
      </w:r>
      <w:r>
        <w:rPr>
          <w:color w:val="231F20"/>
          <w:spacing w:val="-7"/>
          <w:w w:val="110"/>
        </w:rPr>
        <w:t> </w:t>
      </w:r>
      <w:r>
        <w:rPr>
          <w:color w:val="231F20"/>
          <w:w w:val="110"/>
        </w:rPr>
        <w:t>grados de marginación son los que registran mayores grados de envejecimiento; asimismo,</w:t>
      </w:r>
      <w:r>
        <w:rPr>
          <w:color w:val="231F20"/>
          <w:spacing w:val="-11"/>
          <w:w w:val="110"/>
        </w:rPr>
        <w:t> </w:t>
      </w:r>
      <w:r>
        <w:rPr>
          <w:color w:val="231F20"/>
          <w:w w:val="110"/>
        </w:rPr>
        <w:t>se</w:t>
      </w:r>
      <w:r>
        <w:rPr>
          <w:color w:val="231F20"/>
          <w:spacing w:val="-11"/>
          <w:w w:val="110"/>
        </w:rPr>
        <w:t> </w:t>
      </w:r>
      <w:r>
        <w:rPr>
          <w:color w:val="231F20"/>
          <w:w w:val="110"/>
        </w:rPr>
        <w:t>confirma,</w:t>
      </w:r>
      <w:r>
        <w:rPr>
          <w:color w:val="231F20"/>
          <w:spacing w:val="-11"/>
          <w:w w:val="110"/>
        </w:rPr>
        <w:t> </w:t>
      </w:r>
      <w:r>
        <w:rPr>
          <w:color w:val="231F20"/>
          <w:w w:val="110"/>
        </w:rPr>
        <w:t>en</w:t>
      </w:r>
      <w:r>
        <w:rPr>
          <w:color w:val="231F20"/>
          <w:spacing w:val="-11"/>
          <w:w w:val="110"/>
        </w:rPr>
        <w:t> </w:t>
      </w:r>
      <w:r>
        <w:rPr>
          <w:color w:val="231F20"/>
          <w:w w:val="110"/>
        </w:rPr>
        <w:t>las</w:t>
      </w:r>
      <w:r>
        <w:rPr>
          <w:color w:val="231F20"/>
          <w:spacing w:val="-11"/>
          <w:w w:val="110"/>
        </w:rPr>
        <w:t> </w:t>
      </w:r>
      <w:r>
        <w:rPr>
          <w:color w:val="231F20"/>
          <w:w w:val="110"/>
        </w:rPr>
        <w:t>zonas</w:t>
      </w:r>
      <w:r>
        <w:rPr>
          <w:color w:val="231F20"/>
          <w:spacing w:val="-11"/>
          <w:w w:val="110"/>
        </w:rPr>
        <w:t> </w:t>
      </w:r>
      <w:r>
        <w:rPr>
          <w:color w:val="231F20"/>
          <w:w w:val="110"/>
        </w:rPr>
        <w:t>metropolitanas</w:t>
      </w:r>
      <w:r>
        <w:rPr>
          <w:color w:val="231F20"/>
          <w:spacing w:val="-11"/>
          <w:w w:val="110"/>
        </w:rPr>
        <w:t> </w:t>
      </w:r>
      <w:r>
        <w:rPr>
          <w:color w:val="231F20"/>
          <w:w w:val="110"/>
        </w:rPr>
        <w:t>más</w:t>
      </w:r>
      <w:r>
        <w:rPr>
          <w:color w:val="231F20"/>
          <w:spacing w:val="-11"/>
          <w:w w:val="110"/>
        </w:rPr>
        <w:t> </w:t>
      </w:r>
      <w:r>
        <w:rPr>
          <w:color w:val="231F20"/>
          <w:w w:val="110"/>
        </w:rPr>
        <w:t>grandes</w:t>
      </w:r>
      <w:r>
        <w:rPr>
          <w:color w:val="231F20"/>
          <w:spacing w:val="-11"/>
          <w:w w:val="110"/>
        </w:rPr>
        <w:t> </w:t>
      </w:r>
      <w:r>
        <w:rPr>
          <w:color w:val="231F20"/>
          <w:w w:val="110"/>
        </w:rPr>
        <w:t>del</w:t>
      </w:r>
      <w:r>
        <w:rPr>
          <w:color w:val="231F20"/>
          <w:spacing w:val="-11"/>
          <w:w w:val="110"/>
        </w:rPr>
        <w:t> </w:t>
      </w:r>
      <w:r>
        <w:rPr>
          <w:color w:val="231F20"/>
          <w:w w:val="110"/>
        </w:rPr>
        <w:t>país,</w:t>
      </w:r>
      <w:r>
        <w:rPr>
          <w:color w:val="231F20"/>
          <w:spacing w:val="-11"/>
          <w:w w:val="110"/>
        </w:rPr>
        <w:t> </w:t>
      </w:r>
      <w:r>
        <w:rPr>
          <w:color w:val="231F20"/>
          <w:w w:val="110"/>
        </w:rPr>
        <w:t>la relación que existe entre el nivel de envejecimiento y el tamaño de la po- </w:t>
      </w:r>
      <w:r>
        <w:rPr>
          <w:color w:val="231F20"/>
          <w:spacing w:val="-4"/>
          <w:w w:val="110"/>
        </w:rPr>
        <w:t>blación</w:t>
      </w:r>
      <w:r>
        <w:rPr>
          <w:color w:val="231F20"/>
          <w:spacing w:val="-9"/>
          <w:w w:val="110"/>
        </w:rPr>
        <w:t> </w:t>
      </w:r>
      <w:r>
        <w:rPr>
          <w:color w:val="231F20"/>
          <w:spacing w:val="-4"/>
          <w:w w:val="110"/>
        </w:rPr>
        <w:t>(grados</w:t>
      </w:r>
      <w:r>
        <w:rPr>
          <w:color w:val="231F20"/>
          <w:spacing w:val="-9"/>
          <w:w w:val="110"/>
        </w:rPr>
        <w:t> </w:t>
      </w:r>
      <w:r>
        <w:rPr>
          <w:color w:val="231F20"/>
          <w:w w:val="110"/>
        </w:rPr>
        <w:t>de</w:t>
      </w:r>
      <w:r>
        <w:rPr>
          <w:color w:val="231F20"/>
          <w:spacing w:val="-9"/>
          <w:w w:val="110"/>
        </w:rPr>
        <w:t> </w:t>
      </w:r>
      <w:r>
        <w:rPr>
          <w:color w:val="231F20"/>
          <w:spacing w:val="-4"/>
          <w:w w:val="110"/>
        </w:rPr>
        <w:t>población),</w:t>
      </w:r>
      <w:r>
        <w:rPr>
          <w:color w:val="231F20"/>
          <w:spacing w:val="-9"/>
          <w:w w:val="110"/>
        </w:rPr>
        <w:t> </w:t>
      </w:r>
      <w:r>
        <w:rPr>
          <w:color w:val="231F20"/>
          <w:w w:val="110"/>
        </w:rPr>
        <w:t>en</w:t>
      </w:r>
      <w:r>
        <w:rPr>
          <w:color w:val="231F20"/>
          <w:spacing w:val="-9"/>
          <w:w w:val="110"/>
        </w:rPr>
        <w:t> </w:t>
      </w:r>
      <w:r>
        <w:rPr>
          <w:color w:val="231F20"/>
          <w:spacing w:val="-3"/>
          <w:w w:val="110"/>
        </w:rPr>
        <w:t>las</w:t>
      </w:r>
      <w:r>
        <w:rPr>
          <w:color w:val="231F20"/>
          <w:spacing w:val="-9"/>
          <w:w w:val="110"/>
        </w:rPr>
        <w:t> </w:t>
      </w:r>
      <w:r>
        <w:rPr>
          <w:color w:val="231F20"/>
          <w:spacing w:val="-4"/>
          <w:w w:val="110"/>
        </w:rPr>
        <w:t>cinco</w:t>
      </w:r>
      <w:r>
        <w:rPr>
          <w:color w:val="231F20"/>
          <w:spacing w:val="-9"/>
          <w:w w:val="110"/>
        </w:rPr>
        <w:t> </w:t>
      </w:r>
      <w:r>
        <w:rPr>
          <w:color w:val="231F20"/>
          <w:spacing w:val="-4"/>
          <w:w w:val="110"/>
        </w:rPr>
        <w:t>zonas</w:t>
      </w:r>
      <w:r>
        <w:rPr>
          <w:color w:val="231F20"/>
          <w:spacing w:val="-9"/>
          <w:w w:val="110"/>
        </w:rPr>
        <w:t> </w:t>
      </w:r>
      <w:r>
        <w:rPr>
          <w:color w:val="231F20"/>
          <w:spacing w:val="-4"/>
          <w:w w:val="110"/>
        </w:rPr>
        <w:t>metropolitanas</w:t>
      </w:r>
      <w:r>
        <w:rPr>
          <w:color w:val="231F20"/>
          <w:spacing w:val="-9"/>
          <w:w w:val="110"/>
        </w:rPr>
        <w:t> </w:t>
      </w:r>
      <w:r>
        <w:rPr>
          <w:color w:val="231F20"/>
          <w:spacing w:val="-3"/>
          <w:w w:val="110"/>
        </w:rPr>
        <w:t>más</w:t>
      </w:r>
      <w:r>
        <w:rPr>
          <w:color w:val="231F20"/>
          <w:spacing w:val="-9"/>
          <w:w w:val="110"/>
        </w:rPr>
        <w:t> </w:t>
      </w:r>
      <w:r>
        <w:rPr>
          <w:color w:val="231F20"/>
          <w:spacing w:val="-4"/>
          <w:w w:val="110"/>
        </w:rPr>
        <w:t>grandes </w:t>
      </w:r>
      <w:r>
        <w:rPr>
          <w:color w:val="231F20"/>
          <w:w w:val="110"/>
        </w:rPr>
        <w:t>del país al constatarse, según los datos, pues en la medida que las </w:t>
      </w:r>
      <w:r>
        <w:rPr>
          <w:rFonts w:ascii="Times New Roman" w:hAnsi="Times New Roman"/>
          <w:color w:val="231F20"/>
          <w:w w:val="110"/>
          <w:sz w:val="16"/>
        </w:rPr>
        <w:t>ZM </w:t>
      </w:r>
      <w:r>
        <w:rPr>
          <w:color w:val="231F20"/>
          <w:w w:val="110"/>
        </w:rPr>
        <w:t>son </w:t>
      </w:r>
      <w:r>
        <w:rPr>
          <w:color w:val="231F20"/>
          <w:spacing w:val="-3"/>
          <w:w w:val="110"/>
        </w:rPr>
        <w:t>más </w:t>
      </w:r>
      <w:r>
        <w:rPr>
          <w:color w:val="231F20"/>
          <w:spacing w:val="-4"/>
          <w:w w:val="110"/>
        </w:rPr>
        <w:t>grandes </w:t>
      </w:r>
      <w:r>
        <w:rPr>
          <w:color w:val="231F20"/>
          <w:spacing w:val="-3"/>
          <w:w w:val="110"/>
        </w:rPr>
        <w:t>los </w:t>
      </w:r>
      <w:r>
        <w:rPr>
          <w:color w:val="231F20"/>
          <w:spacing w:val="-4"/>
          <w:w w:val="110"/>
        </w:rPr>
        <w:t>grados </w:t>
      </w:r>
      <w:r>
        <w:rPr>
          <w:color w:val="231F20"/>
          <w:w w:val="110"/>
        </w:rPr>
        <w:t>de </w:t>
      </w:r>
      <w:r>
        <w:rPr>
          <w:color w:val="231F20"/>
          <w:spacing w:val="-5"/>
          <w:w w:val="110"/>
        </w:rPr>
        <w:t>marginación </w:t>
      </w:r>
      <w:r>
        <w:rPr>
          <w:color w:val="231F20"/>
          <w:w w:val="110"/>
        </w:rPr>
        <w:t>y </w:t>
      </w:r>
      <w:r>
        <w:rPr>
          <w:color w:val="231F20"/>
          <w:spacing w:val="-4"/>
          <w:w w:val="110"/>
        </w:rPr>
        <w:t>envejecimiento presentan </w:t>
      </w:r>
      <w:r>
        <w:rPr>
          <w:color w:val="231F20"/>
          <w:spacing w:val="-3"/>
          <w:w w:val="110"/>
        </w:rPr>
        <w:t>una </w:t>
      </w:r>
      <w:r>
        <w:rPr>
          <w:color w:val="231F20"/>
          <w:spacing w:val="-4"/>
          <w:w w:val="110"/>
        </w:rPr>
        <w:t>rela- </w:t>
      </w:r>
      <w:r>
        <w:rPr>
          <w:color w:val="231F20"/>
          <w:w w:val="110"/>
        </w:rPr>
        <w:t>ción directa, es </w:t>
      </w:r>
      <w:r>
        <w:rPr>
          <w:color w:val="231F20"/>
          <w:spacing w:val="-3"/>
          <w:w w:val="110"/>
        </w:rPr>
        <w:t>decir, </w:t>
      </w:r>
      <w:r>
        <w:rPr>
          <w:color w:val="231F20"/>
          <w:w w:val="110"/>
        </w:rPr>
        <w:t>al aumentar los niveles de bienestar el proceso de envejecimiento también aumenta. Es </w:t>
      </w:r>
      <w:r>
        <w:rPr>
          <w:color w:val="231F20"/>
          <w:spacing w:val="-3"/>
          <w:w w:val="110"/>
        </w:rPr>
        <w:t>decir, </w:t>
      </w:r>
      <w:r>
        <w:rPr>
          <w:color w:val="231F20"/>
          <w:w w:val="110"/>
        </w:rPr>
        <w:t>en el caso de las grandes </w:t>
      </w:r>
      <w:r>
        <w:rPr>
          <w:rFonts w:ascii="Times New Roman" w:hAnsi="Times New Roman"/>
          <w:color w:val="231F20"/>
          <w:w w:val="110"/>
          <w:sz w:val="16"/>
        </w:rPr>
        <w:t>ZM</w:t>
      </w:r>
      <w:r>
        <w:rPr>
          <w:color w:val="231F20"/>
          <w:w w:val="110"/>
        </w:rPr>
        <w:t>, presentan alta concentración de población y a su vez grados de envejeci- miento</w:t>
      </w:r>
      <w:r>
        <w:rPr>
          <w:color w:val="231F20"/>
          <w:spacing w:val="-13"/>
          <w:w w:val="110"/>
        </w:rPr>
        <w:t> </w:t>
      </w:r>
      <w:r>
        <w:rPr>
          <w:color w:val="231F20"/>
          <w:w w:val="110"/>
        </w:rPr>
        <w:t>en</w:t>
      </w:r>
      <w:r>
        <w:rPr>
          <w:color w:val="231F20"/>
          <w:spacing w:val="-13"/>
          <w:w w:val="110"/>
        </w:rPr>
        <w:t> </w:t>
      </w:r>
      <w:r>
        <w:rPr>
          <w:color w:val="231F20"/>
          <w:w w:val="110"/>
        </w:rPr>
        <w:t>proceso,</w:t>
      </w:r>
      <w:r>
        <w:rPr>
          <w:color w:val="231F20"/>
          <w:spacing w:val="-13"/>
          <w:w w:val="110"/>
        </w:rPr>
        <w:t> </w:t>
      </w:r>
      <w:r>
        <w:rPr>
          <w:color w:val="231F20"/>
          <w:w w:val="110"/>
        </w:rPr>
        <w:t>principalmente</w:t>
      </w:r>
      <w:r>
        <w:rPr>
          <w:color w:val="231F20"/>
          <w:spacing w:val="-13"/>
          <w:w w:val="110"/>
        </w:rPr>
        <w:t> </w:t>
      </w:r>
      <w:r>
        <w:rPr>
          <w:color w:val="231F20"/>
          <w:w w:val="110"/>
        </w:rPr>
        <w:t>aquellas</w:t>
      </w:r>
      <w:r>
        <w:rPr>
          <w:color w:val="231F20"/>
          <w:spacing w:val="-13"/>
          <w:w w:val="110"/>
        </w:rPr>
        <w:t> </w:t>
      </w:r>
      <w:r>
        <w:rPr>
          <w:color w:val="231F20"/>
          <w:w w:val="110"/>
        </w:rPr>
        <w:t>que</w:t>
      </w:r>
      <w:r>
        <w:rPr>
          <w:color w:val="231F20"/>
          <w:spacing w:val="-13"/>
          <w:w w:val="110"/>
        </w:rPr>
        <w:t> </w:t>
      </w:r>
      <w:r>
        <w:rPr>
          <w:color w:val="231F20"/>
          <w:w w:val="110"/>
        </w:rPr>
        <w:t>tienen</w:t>
      </w:r>
      <w:r>
        <w:rPr>
          <w:color w:val="231F20"/>
          <w:spacing w:val="-13"/>
          <w:w w:val="110"/>
        </w:rPr>
        <w:t> </w:t>
      </w:r>
      <w:r>
        <w:rPr>
          <w:color w:val="231F20"/>
          <w:w w:val="110"/>
        </w:rPr>
        <w:t>más</w:t>
      </w:r>
      <w:r>
        <w:rPr>
          <w:color w:val="231F20"/>
          <w:spacing w:val="-13"/>
          <w:w w:val="110"/>
        </w:rPr>
        <w:t> </w:t>
      </w:r>
      <w:r>
        <w:rPr>
          <w:color w:val="231F20"/>
          <w:w w:val="110"/>
        </w:rPr>
        <w:t>de</w:t>
      </w:r>
      <w:r>
        <w:rPr>
          <w:color w:val="231F20"/>
          <w:spacing w:val="-13"/>
          <w:w w:val="110"/>
        </w:rPr>
        <w:t> </w:t>
      </w:r>
      <w:r>
        <w:rPr>
          <w:color w:val="231F20"/>
          <w:w w:val="110"/>
        </w:rPr>
        <w:t>dos</w:t>
      </w:r>
      <w:r>
        <w:rPr>
          <w:color w:val="231F20"/>
          <w:spacing w:val="-13"/>
          <w:w w:val="110"/>
        </w:rPr>
        <w:t> </w:t>
      </w:r>
      <w:r>
        <w:rPr>
          <w:color w:val="231F20"/>
          <w:w w:val="110"/>
        </w:rPr>
        <w:t>millones de habitantes. Sin </w:t>
      </w:r>
      <w:r>
        <w:rPr>
          <w:color w:val="231F20"/>
          <w:spacing w:val="-3"/>
          <w:w w:val="110"/>
        </w:rPr>
        <w:t>embargo, </w:t>
      </w:r>
      <w:r>
        <w:rPr>
          <w:color w:val="231F20"/>
          <w:w w:val="110"/>
        </w:rPr>
        <w:t>es de destacarse el caso de la </w:t>
      </w:r>
      <w:r>
        <w:rPr>
          <w:rFonts w:ascii="Times New Roman" w:hAnsi="Times New Roman"/>
          <w:color w:val="231F20"/>
          <w:w w:val="110"/>
          <w:sz w:val="16"/>
        </w:rPr>
        <w:t>ZM </w:t>
      </w:r>
      <w:r>
        <w:rPr>
          <w:color w:val="231F20"/>
          <w:w w:val="110"/>
        </w:rPr>
        <w:t>de </w:t>
      </w:r>
      <w:r>
        <w:rPr>
          <w:color w:val="231F20"/>
          <w:spacing w:val="-5"/>
          <w:w w:val="110"/>
        </w:rPr>
        <w:t>Toluca,</w:t>
      </w:r>
      <w:r>
        <w:rPr>
          <w:color w:val="231F20"/>
          <w:spacing w:val="-27"/>
          <w:w w:val="110"/>
        </w:rPr>
        <w:t> </w:t>
      </w:r>
      <w:r>
        <w:rPr>
          <w:color w:val="231F20"/>
          <w:w w:val="110"/>
        </w:rPr>
        <w:t>que a</w:t>
      </w:r>
      <w:r>
        <w:rPr>
          <w:color w:val="231F20"/>
          <w:spacing w:val="-16"/>
          <w:w w:val="110"/>
        </w:rPr>
        <w:t> </w:t>
      </w:r>
      <w:r>
        <w:rPr>
          <w:color w:val="231F20"/>
          <w:w w:val="110"/>
        </w:rPr>
        <w:t>pesar</w:t>
      </w:r>
      <w:r>
        <w:rPr>
          <w:color w:val="231F20"/>
          <w:spacing w:val="-16"/>
          <w:w w:val="110"/>
        </w:rPr>
        <w:t> </w:t>
      </w:r>
      <w:r>
        <w:rPr>
          <w:color w:val="231F20"/>
          <w:w w:val="110"/>
        </w:rPr>
        <w:t>de</w:t>
      </w:r>
      <w:r>
        <w:rPr>
          <w:color w:val="231F20"/>
          <w:spacing w:val="-16"/>
          <w:w w:val="110"/>
        </w:rPr>
        <w:t> </w:t>
      </w:r>
      <w:r>
        <w:rPr>
          <w:color w:val="231F20"/>
          <w:w w:val="110"/>
        </w:rPr>
        <w:t>tener</w:t>
      </w:r>
      <w:r>
        <w:rPr>
          <w:color w:val="231F20"/>
          <w:spacing w:val="-16"/>
          <w:w w:val="110"/>
        </w:rPr>
        <w:t> </w:t>
      </w:r>
      <w:r>
        <w:rPr>
          <w:color w:val="231F20"/>
          <w:w w:val="110"/>
        </w:rPr>
        <w:t>la</w:t>
      </w:r>
      <w:r>
        <w:rPr>
          <w:color w:val="231F20"/>
          <w:spacing w:val="-16"/>
          <w:w w:val="110"/>
        </w:rPr>
        <w:t> </w:t>
      </w:r>
      <w:r>
        <w:rPr>
          <w:color w:val="231F20"/>
          <w:w w:val="110"/>
        </w:rPr>
        <w:t>menor</w:t>
      </w:r>
      <w:r>
        <w:rPr>
          <w:color w:val="231F20"/>
          <w:spacing w:val="-16"/>
          <w:w w:val="110"/>
        </w:rPr>
        <w:t> </w:t>
      </w:r>
      <w:r>
        <w:rPr>
          <w:color w:val="231F20"/>
          <w:w w:val="110"/>
        </w:rPr>
        <w:t>cantidad</w:t>
      </w:r>
      <w:r>
        <w:rPr>
          <w:color w:val="231F20"/>
          <w:spacing w:val="-16"/>
          <w:w w:val="110"/>
        </w:rPr>
        <w:t> </w:t>
      </w:r>
      <w:r>
        <w:rPr>
          <w:color w:val="231F20"/>
          <w:w w:val="110"/>
        </w:rPr>
        <w:t>de</w:t>
      </w:r>
      <w:r>
        <w:rPr>
          <w:color w:val="231F20"/>
          <w:spacing w:val="-16"/>
          <w:w w:val="110"/>
        </w:rPr>
        <w:t> </w:t>
      </w:r>
      <w:r>
        <w:rPr>
          <w:color w:val="231F20"/>
          <w:w w:val="110"/>
        </w:rPr>
        <w:t>población</w:t>
      </w:r>
      <w:r>
        <w:rPr>
          <w:color w:val="231F20"/>
          <w:spacing w:val="-16"/>
          <w:w w:val="110"/>
        </w:rPr>
        <w:t> </w:t>
      </w:r>
      <w:r>
        <w:rPr>
          <w:color w:val="231F20"/>
          <w:w w:val="110"/>
        </w:rPr>
        <w:t>del</w:t>
      </w:r>
      <w:r>
        <w:rPr>
          <w:color w:val="231F20"/>
          <w:spacing w:val="-16"/>
          <w:w w:val="110"/>
        </w:rPr>
        <w:t> </w:t>
      </w:r>
      <w:r>
        <w:rPr>
          <w:color w:val="231F20"/>
          <w:w w:val="110"/>
        </w:rPr>
        <w:t>conjunto</w:t>
      </w:r>
      <w:r>
        <w:rPr>
          <w:color w:val="231F20"/>
          <w:spacing w:val="-16"/>
          <w:w w:val="110"/>
        </w:rPr>
        <w:t> </w:t>
      </w:r>
      <w:r>
        <w:rPr>
          <w:color w:val="231F20"/>
          <w:w w:val="110"/>
        </w:rPr>
        <w:t>metropolitano analizado, es la que presenta mayor aumento de población adulta </w:t>
      </w:r>
      <w:r>
        <w:rPr>
          <w:color w:val="231F20"/>
          <w:spacing w:val="-3"/>
          <w:w w:val="110"/>
        </w:rPr>
        <w:t>mayor, </w:t>
      </w:r>
      <w:r>
        <w:rPr>
          <w:color w:val="231F20"/>
          <w:w w:val="110"/>
        </w:rPr>
        <w:t>en contraste con las </w:t>
      </w:r>
      <w:r>
        <w:rPr>
          <w:rFonts w:ascii="Times New Roman" w:hAnsi="Times New Roman"/>
          <w:color w:val="231F20"/>
          <w:w w:val="110"/>
          <w:sz w:val="16"/>
        </w:rPr>
        <w:t>ZM </w:t>
      </w:r>
      <w:r>
        <w:rPr>
          <w:color w:val="231F20"/>
          <w:w w:val="110"/>
        </w:rPr>
        <w:t>de Guadalajara y el </w:t>
      </w:r>
      <w:r>
        <w:rPr>
          <w:color w:val="231F20"/>
          <w:spacing w:val="-5"/>
          <w:w w:val="110"/>
        </w:rPr>
        <w:t>Valle </w:t>
      </w:r>
      <w:r>
        <w:rPr>
          <w:color w:val="231F20"/>
          <w:w w:val="110"/>
        </w:rPr>
        <w:t>de México. Esta tendencia no</w:t>
      </w:r>
      <w:r>
        <w:rPr>
          <w:color w:val="231F20"/>
          <w:spacing w:val="-5"/>
          <w:w w:val="110"/>
        </w:rPr>
        <w:t> </w:t>
      </w:r>
      <w:r>
        <w:rPr>
          <w:color w:val="231F20"/>
          <w:w w:val="110"/>
        </w:rPr>
        <w:t>necesariamente</w:t>
      </w:r>
      <w:r>
        <w:rPr>
          <w:color w:val="231F20"/>
          <w:spacing w:val="-5"/>
          <w:w w:val="110"/>
        </w:rPr>
        <w:t> </w:t>
      </w:r>
      <w:r>
        <w:rPr>
          <w:color w:val="231F20"/>
          <w:w w:val="110"/>
        </w:rPr>
        <w:t>debe</w:t>
      </w:r>
      <w:r>
        <w:rPr>
          <w:color w:val="231F20"/>
          <w:spacing w:val="-5"/>
          <w:w w:val="110"/>
        </w:rPr>
        <w:t> </w:t>
      </w:r>
      <w:r>
        <w:rPr>
          <w:color w:val="231F20"/>
          <w:w w:val="110"/>
        </w:rPr>
        <w:t>cumplirse</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resto</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zonas</w:t>
      </w:r>
      <w:r>
        <w:rPr>
          <w:color w:val="231F20"/>
          <w:spacing w:val="-5"/>
          <w:w w:val="110"/>
        </w:rPr>
        <w:t> </w:t>
      </w:r>
      <w:r>
        <w:rPr>
          <w:color w:val="231F20"/>
          <w:w w:val="110"/>
        </w:rPr>
        <w:t>metropolitanas, debido a que el tamaño de la población que concentran es menor y sus factores de atracción de población son diferentes a las </w:t>
      </w:r>
      <w:r>
        <w:rPr>
          <w:rFonts w:ascii="Times New Roman" w:hAnsi="Times New Roman"/>
          <w:color w:val="231F20"/>
          <w:w w:val="110"/>
          <w:sz w:val="16"/>
        </w:rPr>
        <w:t>ZM </w:t>
      </w:r>
      <w:r>
        <w:rPr>
          <w:rFonts w:ascii="Times New Roman" w:hAnsi="Times New Roman"/>
          <w:color w:val="231F20"/>
          <w:spacing w:val="30"/>
          <w:w w:val="110"/>
          <w:sz w:val="16"/>
        </w:rPr>
        <w:t> </w:t>
      </w:r>
      <w:r>
        <w:rPr>
          <w:color w:val="231F20"/>
          <w:w w:val="110"/>
        </w:rPr>
        <w:t>analizadas.</w:t>
      </w:r>
    </w:p>
    <w:p>
      <w:pPr>
        <w:pStyle w:val="BodyText"/>
        <w:spacing w:line="288" w:lineRule="auto"/>
        <w:ind w:left="124" w:right="113" w:firstLine="360"/>
        <w:jc w:val="both"/>
      </w:pPr>
      <w:r>
        <w:rPr>
          <w:color w:val="231F20"/>
          <w:w w:val="110"/>
        </w:rPr>
        <w:t>Se </w:t>
      </w:r>
      <w:r>
        <w:rPr>
          <w:color w:val="231F20"/>
          <w:spacing w:val="-4"/>
          <w:w w:val="110"/>
        </w:rPr>
        <w:t>puede establecer </w:t>
      </w:r>
      <w:r>
        <w:rPr>
          <w:color w:val="231F20"/>
          <w:spacing w:val="-3"/>
          <w:w w:val="110"/>
        </w:rPr>
        <w:t>que </w:t>
      </w:r>
      <w:r>
        <w:rPr>
          <w:color w:val="231F20"/>
          <w:w w:val="110"/>
        </w:rPr>
        <w:t>en la </w:t>
      </w:r>
      <w:r>
        <w:rPr>
          <w:color w:val="231F20"/>
          <w:spacing w:val="-4"/>
          <w:w w:val="110"/>
        </w:rPr>
        <w:t>relación entre </w:t>
      </w:r>
      <w:r>
        <w:rPr>
          <w:color w:val="231F20"/>
          <w:spacing w:val="-5"/>
          <w:w w:val="110"/>
        </w:rPr>
        <w:t>marginación,</w:t>
      </w:r>
      <w:r>
        <w:rPr>
          <w:color w:val="231F20"/>
          <w:spacing w:val="-24"/>
          <w:w w:val="110"/>
        </w:rPr>
        <w:t> </w:t>
      </w:r>
      <w:r>
        <w:rPr>
          <w:color w:val="231F20"/>
          <w:spacing w:val="-4"/>
          <w:w w:val="110"/>
        </w:rPr>
        <w:t>envejecimiento </w:t>
      </w:r>
      <w:r>
        <w:rPr>
          <w:color w:val="231F20"/>
          <w:w w:val="110"/>
        </w:rPr>
        <w:t>y tamaño de las zonas metropolitanas se detectó este patrón de comporta- </w:t>
      </w:r>
      <w:r>
        <w:rPr>
          <w:color w:val="231F20"/>
          <w:spacing w:val="-4"/>
          <w:w w:val="110"/>
        </w:rPr>
        <w:t>miento </w:t>
      </w:r>
      <w:r>
        <w:rPr>
          <w:color w:val="231F20"/>
          <w:spacing w:val="-3"/>
          <w:w w:val="110"/>
        </w:rPr>
        <w:t>que </w:t>
      </w:r>
      <w:r>
        <w:rPr>
          <w:color w:val="231F20"/>
          <w:spacing w:val="-4"/>
          <w:w w:val="110"/>
        </w:rPr>
        <w:t>muestran </w:t>
      </w:r>
      <w:r>
        <w:rPr>
          <w:color w:val="231F20"/>
          <w:spacing w:val="-3"/>
          <w:w w:val="110"/>
        </w:rPr>
        <w:t>las </w:t>
      </w:r>
      <w:r>
        <w:rPr>
          <w:color w:val="231F20"/>
          <w:spacing w:val="-4"/>
          <w:w w:val="110"/>
        </w:rPr>
        <w:t>zonas clasificadas </w:t>
      </w:r>
      <w:r>
        <w:rPr>
          <w:color w:val="231F20"/>
          <w:spacing w:val="-3"/>
          <w:w w:val="110"/>
        </w:rPr>
        <w:t>como </w:t>
      </w:r>
      <w:r>
        <w:rPr>
          <w:color w:val="231F20"/>
          <w:spacing w:val="-4"/>
          <w:w w:val="110"/>
        </w:rPr>
        <w:t>zonas grandes, </w:t>
      </w:r>
      <w:r>
        <w:rPr>
          <w:color w:val="231F20"/>
          <w:w w:val="110"/>
        </w:rPr>
        <w:t>lo </w:t>
      </w:r>
      <w:r>
        <w:rPr>
          <w:color w:val="231F20"/>
          <w:spacing w:val="-3"/>
          <w:w w:val="110"/>
        </w:rPr>
        <w:t>que </w:t>
      </w:r>
      <w:r>
        <w:rPr>
          <w:color w:val="231F20"/>
          <w:spacing w:val="-4"/>
          <w:w w:val="110"/>
        </w:rPr>
        <w:t>lleva </w:t>
      </w:r>
      <w:r>
        <w:rPr>
          <w:color w:val="231F20"/>
          <w:w w:val="110"/>
        </w:rPr>
        <w:t>a</w:t>
      </w:r>
      <w:r>
        <w:rPr>
          <w:color w:val="231F20"/>
          <w:spacing w:val="14"/>
          <w:w w:val="110"/>
        </w:rPr>
        <w:t> </w:t>
      </w:r>
      <w:r>
        <w:rPr>
          <w:color w:val="231F20"/>
          <w:w w:val="110"/>
        </w:rPr>
        <w:t>deducir</w:t>
      </w:r>
      <w:r>
        <w:rPr>
          <w:color w:val="231F20"/>
          <w:spacing w:val="14"/>
          <w:w w:val="110"/>
        </w:rPr>
        <w:t> </w:t>
      </w:r>
      <w:r>
        <w:rPr>
          <w:color w:val="231F20"/>
          <w:w w:val="110"/>
        </w:rPr>
        <w:t>que</w:t>
      </w:r>
      <w:r>
        <w:rPr>
          <w:color w:val="231F20"/>
          <w:spacing w:val="14"/>
          <w:w w:val="110"/>
        </w:rPr>
        <w:t> </w:t>
      </w:r>
      <w:r>
        <w:rPr>
          <w:color w:val="231F20"/>
          <w:w w:val="110"/>
        </w:rPr>
        <w:t>los</w:t>
      </w:r>
      <w:r>
        <w:rPr>
          <w:color w:val="231F20"/>
          <w:spacing w:val="14"/>
          <w:w w:val="110"/>
        </w:rPr>
        <w:t> </w:t>
      </w:r>
      <w:r>
        <w:rPr>
          <w:color w:val="231F20"/>
          <w:w w:val="110"/>
        </w:rPr>
        <w:t>grandes</w:t>
      </w:r>
      <w:r>
        <w:rPr>
          <w:color w:val="231F20"/>
          <w:spacing w:val="14"/>
          <w:w w:val="110"/>
        </w:rPr>
        <w:t> </w:t>
      </w:r>
      <w:r>
        <w:rPr>
          <w:color w:val="231F20"/>
          <w:w w:val="110"/>
        </w:rPr>
        <w:t>centros</w:t>
      </w:r>
      <w:r>
        <w:rPr>
          <w:color w:val="231F20"/>
          <w:spacing w:val="14"/>
          <w:w w:val="110"/>
        </w:rPr>
        <w:t> </w:t>
      </w:r>
      <w:r>
        <w:rPr>
          <w:color w:val="231F20"/>
          <w:w w:val="110"/>
        </w:rPr>
        <w:t>urbanos</w:t>
      </w:r>
      <w:r>
        <w:rPr>
          <w:color w:val="231F20"/>
          <w:spacing w:val="14"/>
          <w:w w:val="110"/>
        </w:rPr>
        <w:t> </w:t>
      </w:r>
      <w:r>
        <w:rPr>
          <w:color w:val="231F20"/>
          <w:w w:val="110"/>
        </w:rPr>
        <w:t>no</w:t>
      </w:r>
      <w:r>
        <w:rPr>
          <w:color w:val="231F20"/>
          <w:spacing w:val="14"/>
          <w:w w:val="110"/>
        </w:rPr>
        <w:t> </w:t>
      </w:r>
      <w:r>
        <w:rPr>
          <w:color w:val="231F20"/>
          <w:w w:val="110"/>
        </w:rPr>
        <w:t>son</w:t>
      </w:r>
      <w:r>
        <w:rPr>
          <w:color w:val="231F20"/>
          <w:spacing w:val="14"/>
          <w:w w:val="110"/>
        </w:rPr>
        <w:t> </w:t>
      </w:r>
      <w:r>
        <w:rPr>
          <w:color w:val="231F20"/>
          <w:w w:val="110"/>
        </w:rPr>
        <w:t>en</w:t>
      </w:r>
      <w:r>
        <w:rPr>
          <w:color w:val="231F20"/>
          <w:spacing w:val="14"/>
          <w:w w:val="110"/>
        </w:rPr>
        <w:t> </w:t>
      </w:r>
      <w:r>
        <w:rPr>
          <w:color w:val="231F20"/>
          <w:w w:val="110"/>
        </w:rPr>
        <w:t>su</w:t>
      </w:r>
      <w:r>
        <w:rPr>
          <w:color w:val="231F20"/>
          <w:spacing w:val="14"/>
          <w:w w:val="110"/>
        </w:rPr>
        <w:t> </w:t>
      </w:r>
      <w:r>
        <w:rPr>
          <w:color w:val="231F20"/>
          <w:w w:val="110"/>
        </w:rPr>
        <w:t>totalidad</w:t>
      </w:r>
      <w:r>
        <w:rPr>
          <w:color w:val="231F20"/>
          <w:spacing w:val="14"/>
          <w:w w:val="110"/>
        </w:rPr>
        <w:t> </w:t>
      </w:r>
      <w:r>
        <w:rPr>
          <w:color w:val="231F20"/>
          <w:w w:val="110"/>
        </w:rPr>
        <w:t>benefi-</w:t>
      </w:r>
    </w:p>
    <w:p>
      <w:pPr>
        <w:spacing w:after="0" w:line="288" w:lineRule="auto"/>
        <w:jc w:val="both"/>
        <w:sectPr>
          <w:pgSz w:w="9520" w:h="12920"/>
          <w:pgMar w:header="0" w:footer="1344" w:top="880" w:bottom="1540" w:left="1320" w:right="1000"/>
        </w:sectPr>
      </w:pPr>
    </w:p>
    <w:p>
      <w:pPr>
        <w:pStyle w:val="BodyText"/>
        <w:spacing w:line="288" w:lineRule="auto" w:before="42"/>
        <w:ind w:left="120" w:right="117"/>
        <w:jc w:val="both"/>
      </w:pPr>
      <w:r>
        <w:rPr>
          <w:color w:val="231F20"/>
          <w:w w:val="110"/>
        </w:rPr>
        <w:t>ciados de los logros del desarrollo económico alcanzado en nuestro país, aun cuando en estos espacios se localiza un gran número de adultos ma- yores que no han logrado satisfacer las necesidades básicas de bienestar socioeconómico. En este sentido, deberían de tomarse en cuenta los Obje- tivos de Desarrollo del Milenio (</w:t>
      </w:r>
      <w:r>
        <w:rPr>
          <w:rFonts w:ascii="Times New Roman" w:hAnsi="Times New Roman"/>
          <w:color w:val="231F20"/>
          <w:w w:val="110"/>
          <w:sz w:val="16"/>
        </w:rPr>
        <w:t>ODM</w:t>
      </w:r>
      <w:r>
        <w:rPr>
          <w:color w:val="231F20"/>
          <w:w w:val="110"/>
        </w:rPr>
        <w:t>) para dar respuesta a la población en general y, en particular, los adultos mayores a través de programas enca- minados a contrarrestar los niveles de desigualdad socioeconómica en los centros urbanos de  México.</w:t>
      </w:r>
    </w:p>
    <w:p>
      <w:pPr>
        <w:pStyle w:val="BodyText"/>
        <w:spacing w:line="288" w:lineRule="auto"/>
        <w:ind w:left="120" w:right="116" w:firstLine="360"/>
        <w:jc w:val="both"/>
      </w:pPr>
      <w:r>
        <w:rPr>
          <w:color w:val="231F20"/>
          <w:w w:val="110"/>
        </w:rPr>
        <w:t>En la medida en que la población de las </w:t>
      </w:r>
      <w:r>
        <w:rPr>
          <w:rFonts w:ascii="Times New Roman" w:hAnsi="Times New Roman"/>
          <w:color w:val="231F20"/>
          <w:w w:val="110"/>
          <w:sz w:val="16"/>
        </w:rPr>
        <w:t>ZM </w:t>
      </w:r>
      <w:r>
        <w:rPr>
          <w:color w:val="231F20"/>
          <w:w w:val="110"/>
        </w:rPr>
        <w:t>aumenta las carencias de los </w:t>
      </w:r>
      <w:r>
        <w:rPr>
          <w:color w:val="231F20"/>
          <w:spacing w:val="-4"/>
          <w:w w:val="110"/>
        </w:rPr>
        <w:t>bienes </w:t>
      </w:r>
      <w:r>
        <w:rPr>
          <w:color w:val="231F20"/>
          <w:w w:val="110"/>
        </w:rPr>
        <w:t>y </w:t>
      </w:r>
      <w:r>
        <w:rPr>
          <w:color w:val="231F20"/>
          <w:spacing w:val="-4"/>
          <w:w w:val="110"/>
        </w:rPr>
        <w:t>servicios públicos </w:t>
      </w:r>
      <w:r>
        <w:rPr>
          <w:color w:val="231F20"/>
          <w:w w:val="110"/>
        </w:rPr>
        <w:t>o </w:t>
      </w:r>
      <w:r>
        <w:rPr>
          <w:color w:val="231F20"/>
          <w:spacing w:val="-4"/>
          <w:w w:val="110"/>
        </w:rPr>
        <w:t>privados </w:t>
      </w:r>
      <w:r>
        <w:rPr>
          <w:color w:val="231F20"/>
          <w:w w:val="110"/>
        </w:rPr>
        <w:t>se </w:t>
      </w:r>
      <w:r>
        <w:rPr>
          <w:color w:val="231F20"/>
          <w:spacing w:val="-4"/>
          <w:w w:val="110"/>
        </w:rPr>
        <w:t>acrecienta, confirmando </w:t>
      </w:r>
      <w:r>
        <w:rPr>
          <w:color w:val="231F20"/>
          <w:w w:val="110"/>
        </w:rPr>
        <w:t>la </w:t>
      </w:r>
      <w:r>
        <w:rPr>
          <w:color w:val="231F20"/>
          <w:spacing w:val="-4"/>
          <w:w w:val="110"/>
        </w:rPr>
        <w:t>hipó- </w:t>
      </w:r>
      <w:r>
        <w:rPr>
          <w:color w:val="231F20"/>
          <w:w w:val="110"/>
        </w:rPr>
        <w:t>tesis</w:t>
      </w:r>
      <w:r>
        <w:rPr>
          <w:color w:val="231F20"/>
          <w:spacing w:val="-12"/>
          <w:w w:val="110"/>
        </w:rPr>
        <w:t> </w:t>
      </w:r>
      <w:r>
        <w:rPr>
          <w:color w:val="231F20"/>
          <w:w w:val="110"/>
        </w:rPr>
        <w:t>que</w:t>
      </w:r>
      <w:r>
        <w:rPr>
          <w:color w:val="231F20"/>
          <w:spacing w:val="-12"/>
          <w:w w:val="110"/>
        </w:rPr>
        <w:t> </w:t>
      </w:r>
      <w:r>
        <w:rPr>
          <w:color w:val="231F20"/>
          <w:w w:val="110"/>
        </w:rPr>
        <w:t>plantea</w:t>
      </w:r>
      <w:r>
        <w:rPr>
          <w:color w:val="231F20"/>
          <w:spacing w:val="-12"/>
          <w:w w:val="110"/>
        </w:rPr>
        <w:t> </w:t>
      </w:r>
      <w:r>
        <w:rPr>
          <w:color w:val="231F20"/>
          <w:w w:val="110"/>
        </w:rPr>
        <w:t>que</w:t>
      </w:r>
      <w:r>
        <w:rPr>
          <w:color w:val="231F20"/>
          <w:spacing w:val="-12"/>
          <w:w w:val="110"/>
        </w:rPr>
        <w:t> </w:t>
      </w:r>
      <w:r>
        <w:rPr>
          <w:color w:val="231F20"/>
          <w:w w:val="110"/>
        </w:rPr>
        <w:t>un</w:t>
      </w:r>
      <w:r>
        <w:rPr>
          <w:color w:val="231F20"/>
          <w:spacing w:val="-12"/>
          <w:w w:val="110"/>
        </w:rPr>
        <w:t> </w:t>
      </w:r>
      <w:r>
        <w:rPr>
          <w:color w:val="231F20"/>
          <w:w w:val="110"/>
        </w:rPr>
        <w:t>incremento</w:t>
      </w:r>
      <w:r>
        <w:rPr>
          <w:color w:val="231F20"/>
          <w:spacing w:val="-12"/>
          <w:w w:val="110"/>
        </w:rPr>
        <w:t> </w:t>
      </w:r>
      <w:r>
        <w:rPr>
          <w:color w:val="231F20"/>
          <w:w w:val="110"/>
        </w:rPr>
        <w:t>en</w:t>
      </w:r>
      <w:r>
        <w:rPr>
          <w:color w:val="231F20"/>
          <w:spacing w:val="-12"/>
          <w:w w:val="110"/>
        </w:rPr>
        <w:t> </w:t>
      </w:r>
      <w:r>
        <w:rPr>
          <w:color w:val="231F20"/>
          <w:w w:val="110"/>
        </w:rPr>
        <w:t>el</w:t>
      </w:r>
      <w:r>
        <w:rPr>
          <w:color w:val="231F20"/>
          <w:spacing w:val="-12"/>
          <w:w w:val="110"/>
        </w:rPr>
        <w:t> </w:t>
      </w:r>
      <w:r>
        <w:rPr>
          <w:color w:val="231F20"/>
          <w:w w:val="110"/>
        </w:rPr>
        <w:t>número</w:t>
      </w:r>
      <w:r>
        <w:rPr>
          <w:color w:val="231F20"/>
          <w:spacing w:val="-12"/>
          <w:w w:val="110"/>
        </w:rPr>
        <w:t> </w:t>
      </w:r>
      <w:r>
        <w:rPr>
          <w:color w:val="231F20"/>
          <w:w w:val="110"/>
        </w:rPr>
        <w:t>de</w:t>
      </w:r>
      <w:r>
        <w:rPr>
          <w:color w:val="231F20"/>
          <w:spacing w:val="-12"/>
          <w:w w:val="110"/>
        </w:rPr>
        <w:t> </w:t>
      </w:r>
      <w:r>
        <w:rPr>
          <w:color w:val="231F20"/>
          <w:w w:val="110"/>
        </w:rPr>
        <w:t>personas</w:t>
      </w:r>
      <w:r>
        <w:rPr>
          <w:color w:val="231F20"/>
          <w:spacing w:val="-12"/>
          <w:w w:val="110"/>
        </w:rPr>
        <w:t> </w:t>
      </w:r>
      <w:r>
        <w:rPr>
          <w:color w:val="231F20"/>
          <w:w w:val="110"/>
        </w:rPr>
        <w:t>que</w:t>
      </w:r>
      <w:r>
        <w:rPr>
          <w:color w:val="231F20"/>
          <w:spacing w:val="-12"/>
          <w:w w:val="110"/>
        </w:rPr>
        <w:t> </w:t>
      </w:r>
      <w:r>
        <w:rPr>
          <w:color w:val="231F20"/>
          <w:w w:val="110"/>
        </w:rPr>
        <w:t>viven</w:t>
      </w:r>
      <w:r>
        <w:rPr>
          <w:color w:val="231F20"/>
          <w:spacing w:val="-12"/>
          <w:w w:val="110"/>
        </w:rPr>
        <w:t> </w:t>
      </w:r>
      <w:r>
        <w:rPr>
          <w:color w:val="231F20"/>
          <w:w w:val="110"/>
        </w:rPr>
        <w:t>en localidades pequeñas, significa, como mera posibilidad, un mayor riesgo a no conseguir los satisfactores que están con mayor probabilidad en locali- dades con más personas. Es </w:t>
      </w:r>
      <w:r>
        <w:rPr>
          <w:color w:val="231F20"/>
          <w:spacing w:val="-3"/>
          <w:w w:val="110"/>
        </w:rPr>
        <w:t>decir, </w:t>
      </w:r>
      <w:r>
        <w:rPr>
          <w:color w:val="231F20"/>
          <w:w w:val="110"/>
        </w:rPr>
        <w:t>los grados de marginación más altos se presentan en aquellas </w:t>
      </w:r>
      <w:r>
        <w:rPr>
          <w:rFonts w:ascii="Times New Roman" w:hAnsi="Times New Roman"/>
          <w:color w:val="231F20"/>
          <w:w w:val="110"/>
          <w:sz w:val="16"/>
        </w:rPr>
        <w:t>ZM </w:t>
      </w:r>
      <w:r>
        <w:rPr>
          <w:color w:val="231F20"/>
          <w:w w:val="110"/>
        </w:rPr>
        <w:t>que concentran municipios con un número de población inferior a los 10 mil habitantes (grados de población</w:t>
      </w:r>
      <w:r>
        <w:rPr>
          <w:color w:val="231F20"/>
          <w:spacing w:val="-7"/>
          <w:w w:val="110"/>
        </w:rPr>
        <w:t> </w:t>
      </w:r>
      <w:r>
        <w:rPr>
          <w:color w:val="231F20"/>
          <w:w w:val="110"/>
        </w:rPr>
        <w:t>pequeños), como es el caso de las </w:t>
      </w:r>
      <w:r>
        <w:rPr>
          <w:rFonts w:ascii="Times New Roman" w:hAnsi="Times New Roman"/>
          <w:color w:val="231F20"/>
          <w:w w:val="110"/>
          <w:sz w:val="16"/>
        </w:rPr>
        <w:t>ZM </w:t>
      </w:r>
      <w:r>
        <w:rPr>
          <w:color w:val="231F20"/>
          <w:w w:val="110"/>
        </w:rPr>
        <w:t>de </w:t>
      </w:r>
      <w:r>
        <w:rPr>
          <w:color w:val="231F20"/>
          <w:spacing w:val="-3"/>
          <w:w w:val="110"/>
        </w:rPr>
        <w:t>Toluca </w:t>
      </w:r>
      <w:r>
        <w:rPr>
          <w:color w:val="231F20"/>
          <w:w w:val="110"/>
        </w:rPr>
        <w:t>y Puebla-Tlaxcala; además los grados de</w:t>
      </w:r>
      <w:r>
        <w:rPr>
          <w:color w:val="231F20"/>
          <w:spacing w:val="-7"/>
          <w:w w:val="110"/>
        </w:rPr>
        <w:t> </w:t>
      </w:r>
      <w:r>
        <w:rPr>
          <w:color w:val="231F20"/>
          <w:w w:val="110"/>
        </w:rPr>
        <w:t>envejecimiento</w:t>
      </w:r>
      <w:r>
        <w:rPr>
          <w:color w:val="231F20"/>
          <w:spacing w:val="-7"/>
          <w:w w:val="110"/>
        </w:rPr>
        <w:t> </w:t>
      </w:r>
      <w:r>
        <w:rPr>
          <w:color w:val="231F20"/>
          <w:w w:val="110"/>
        </w:rPr>
        <w:t>son</w:t>
      </w:r>
      <w:r>
        <w:rPr>
          <w:color w:val="231F20"/>
          <w:spacing w:val="-7"/>
          <w:w w:val="110"/>
        </w:rPr>
        <w:t> </w:t>
      </w:r>
      <w:r>
        <w:rPr>
          <w:color w:val="231F20"/>
          <w:w w:val="110"/>
        </w:rPr>
        <w:t>mayores,</w:t>
      </w:r>
      <w:r>
        <w:rPr>
          <w:color w:val="231F20"/>
          <w:spacing w:val="-7"/>
          <w:w w:val="110"/>
        </w:rPr>
        <w:t> </w:t>
      </w:r>
      <w:r>
        <w:rPr>
          <w:color w:val="231F20"/>
          <w:w w:val="110"/>
        </w:rPr>
        <w:t>este</w:t>
      </w:r>
      <w:r>
        <w:rPr>
          <w:color w:val="231F20"/>
          <w:spacing w:val="-7"/>
          <w:w w:val="110"/>
        </w:rPr>
        <w:t> </w:t>
      </w:r>
      <w:r>
        <w:rPr>
          <w:color w:val="231F20"/>
          <w:w w:val="110"/>
        </w:rPr>
        <w:t>proceso</w:t>
      </w:r>
      <w:r>
        <w:rPr>
          <w:color w:val="231F20"/>
          <w:spacing w:val="-7"/>
          <w:w w:val="110"/>
        </w:rPr>
        <w:t> </w:t>
      </w:r>
      <w:r>
        <w:rPr>
          <w:color w:val="231F20"/>
          <w:w w:val="110"/>
        </w:rPr>
        <w:t>no</w:t>
      </w:r>
      <w:r>
        <w:rPr>
          <w:color w:val="231F20"/>
          <w:spacing w:val="-7"/>
          <w:w w:val="110"/>
        </w:rPr>
        <w:t> </w:t>
      </w:r>
      <w:r>
        <w:rPr>
          <w:color w:val="231F20"/>
          <w:w w:val="110"/>
        </w:rPr>
        <w:t>se</w:t>
      </w:r>
      <w:r>
        <w:rPr>
          <w:color w:val="231F20"/>
          <w:spacing w:val="-7"/>
          <w:w w:val="110"/>
        </w:rPr>
        <w:t> </w:t>
      </w:r>
      <w:r>
        <w:rPr>
          <w:color w:val="231F20"/>
          <w:spacing w:val="-3"/>
          <w:w w:val="110"/>
        </w:rPr>
        <w:t>explica</w:t>
      </w:r>
      <w:r>
        <w:rPr>
          <w:color w:val="231F20"/>
          <w:spacing w:val="-7"/>
          <w:w w:val="110"/>
        </w:rPr>
        <w:t> </w:t>
      </w:r>
      <w:r>
        <w:rPr>
          <w:color w:val="231F20"/>
          <w:w w:val="110"/>
        </w:rPr>
        <w:t>sólo</w:t>
      </w:r>
      <w:r>
        <w:rPr>
          <w:color w:val="231F20"/>
          <w:spacing w:val="-7"/>
          <w:w w:val="110"/>
        </w:rPr>
        <w:t> </w:t>
      </w:r>
      <w:r>
        <w:rPr>
          <w:color w:val="231F20"/>
          <w:w w:val="110"/>
        </w:rPr>
        <w:t>por</w:t>
      </w:r>
      <w:r>
        <w:rPr>
          <w:color w:val="231F20"/>
          <w:spacing w:val="-7"/>
          <w:w w:val="110"/>
        </w:rPr>
        <w:t> </w:t>
      </w:r>
      <w:r>
        <w:rPr>
          <w:color w:val="231F20"/>
          <w:w w:val="110"/>
        </w:rPr>
        <w:t>su</w:t>
      </w:r>
      <w:r>
        <w:rPr>
          <w:color w:val="231F20"/>
          <w:spacing w:val="-7"/>
          <w:w w:val="110"/>
        </w:rPr>
        <w:t> </w:t>
      </w:r>
      <w:r>
        <w:rPr>
          <w:color w:val="231F20"/>
          <w:w w:val="110"/>
        </w:rPr>
        <w:t>mar- cado patrón de migración de su población joven, sino también por su ace- lerada transición demográfica que han mostrado en las últimas </w:t>
      </w:r>
      <w:r>
        <w:rPr>
          <w:color w:val="231F20"/>
          <w:spacing w:val="14"/>
          <w:w w:val="110"/>
        </w:rPr>
        <w:t> </w:t>
      </w:r>
      <w:r>
        <w:rPr>
          <w:color w:val="231F20"/>
          <w:w w:val="110"/>
        </w:rPr>
        <w:t>décadas.</w:t>
      </w:r>
    </w:p>
    <w:p>
      <w:pPr>
        <w:pStyle w:val="BodyText"/>
        <w:spacing w:line="288" w:lineRule="auto"/>
        <w:ind w:left="119" w:right="117" w:firstLine="360"/>
        <w:jc w:val="right"/>
      </w:pPr>
      <w:r>
        <w:rPr>
          <w:color w:val="231F20"/>
          <w:w w:val="105"/>
        </w:rPr>
        <w:t>Asimismo, los resultados nos indican que las zonas</w:t>
      </w:r>
      <w:r>
        <w:rPr>
          <w:color w:val="231F20"/>
          <w:spacing w:val="-2"/>
          <w:w w:val="105"/>
        </w:rPr>
        <w:t> </w:t>
      </w:r>
      <w:r>
        <w:rPr>
          <w:color w:val="231F20"/>
          <w:w w:val="105"/>
        </w:rPr>
        <w:t>metropolitanas</w:t>
      </w:r>
      <w:r>
        <w:rPr>
          <w:color w:val="231F20"/>
          <w:spacing w:val="40"/>
          <w:w w:val="105"/>
        </w:rPr>
        <w:t> </w:t>
      </w:r>
      <w:r>
        <w:rPr>
          <w:color w:val="231F20"/>
          <w:w w:val="105"/>
        </w:rPr>
        <w:t>no</w:t>
      </w:r>
      <w:r>
        <w:rPr>
          <w:color w:val="231F20"/>
          <w:w w:val="110"/>
        </w:rPr>
        <w:t> </w:t>
      </w:r>
      <w:r>
        <w:rPr>
          <w:color w:val="231F20"/>
          <w:w w:val="105"/>
        </w:rPr>
        <w:t>han mostrado, durante el periodo de análisis, una evolución</w:t>
      </w:r>
      <w:r>
        <w:rPr>
          <w:color w:val="231F20"/>
          <w:spacing w:val="41"/>
          <w:w w:val="105"/>
        </w:rPr>
        <w:t> </w:t>
      </w:r>
      <w:r>
        <w:rPr>
          <w:color w:val="231F20"/>
          <w:w w:val="105"/>
        </w:rPr>
        <w:t>favorable</w:t>
      </w:r>
      <w:r>
        <w:rPr>
          <w:color w:val="231F20"/>
          <w:spacing w:val="45"/>
          <w:w w:val="105"/>
        </w:rPr>
        <w:t> </w:t>
      </w:r>
      <w:r>
        <w:rPr>
          <w:color w:val="231F20"/>
          <w:w w:val="105"/>
        </w:rPr>
        <w:t>en</w:t>
      </w:r>
      <w:r>
        <w:rPr>
          <w:color w:val="231F20"/>
          <w:w w:val="110"/>
        </w:rPr>
        <w:t> </w:t>
      </w:r>
      <w:r>
        <w:rPr>
          <w:color w:val="231F20"/>
          <w:w w:val="105"/>
        </w:rPr>
        <w:t>cuanto</w:t>
      </w:r>
      <w:r>
        <w:rPr>
          <w:color w:val="231F20"/>
          <w:spacing w:val="38"/>
          <w:w w:val="105"/>
        </w:rPr>
        <w:t> </w:t>
      </w:r>
      <w:r>
        <w:rPr>
          <w:color w:val="231F20"/>
          <w:w w:val="105"/>
        </w:rPr>
        <w:t>a</w:t>
      </w:r>
      <w:r>
        <w:rPr>
          <w:color w:val="231F20"/>
          <w:spacing w:val="38"/>
          <w:w w:val="105"/>
        </w:rPr>
        <w:t> </w:t>
      </w:r>
      <w:r>
        <w:rPr>
          <w:color w:val="231F20"/>
          <w:w w:val="105"/>
        </w:rPr>
        <w:t>la</w:t>
      </w:r>
      <w:r>
        <w:rPr>
          <w:color w:val="231F20"/>
          <w:spacing w:val="38"/>
          <w:w w:val="105"/>
        </w:rPr>
        <w:t> </w:t>
      </w:r>
      <w:r>
        <w:rPr>
          <w:color w:val="231F20"/>
          <w:w w:val="105"/>
        </w:rPr>
        <w:t>reducción</w:t>
      </w:r>
      <w:r>
        <w:rPr>
          <w:color w:val="231F20"/>
          <w:spacing w:val="38"/>
          <w:w w:val="105"/>
        </w:rPr>
        <w:t> </w:t>
      </w:r>
      <w:r>
        <w:rPr>
          <w:color w:val="231F20"/>
          <w:w w:val="105"/>
        </w:rPr>
        <w:t>del</w:t>
      </w:r>
      <w:r>
        <w:rPr>
          <w:color w:val="231F20"/>
          <w:spacing w:val="38"/>
          <w:w w:val="105"/>
        </w:rPr>
        <w:t> </w:t>
      </w:r>
      <w:r>
        <w:rPr>
          <w:color w:val="231F20"/>
          <w:w w:val="105"/>
        </w:rPr>
        <w:t>déficit</w:t>
      </w:r>
      <w:r>
        <w:rPr>
          <w:color w:val="231F20"/>
          <w:spacing w:val="38"/>
          <w:w w:val="105"/>
        </w:rPr>
        <w:t> </w:t>
      </w:r>
      <w:r>
        <w:rPr>
          <w:color w:val="231F20"/>
          <w:w w:val="105"/>
        </w:rPr>
        <w:t>social</w:t>
      </w:r>
      <w:r>
        <w:rPr>
          <w:color w:val="231F20"/>
          <w:spacing w:val="38"/>
          <w:w w:val="105"/>
        </w:rPr>
        <w:t> </w:t>
      </w:r>
      <w:r>
        <w:rPr>
          <w:color w:val="231F20"/>
          <w:w w:val="105"/>
        </w:rPr>
        <w:t>en</w:t>
      </w:r>
      <w:r>
        <w:rPr>
          <w:color w:val="231F20"/>
          <w:spacing w:val="38"/>
          <w:w w:val="105"/>
        </w:rPr>
        <w:t> </w:t>
      </w:r>
      <w:r>
        <w:rPr>
          <w:color w:val="231F20"/>
          <w:w w:val="105"/>
        </w:rPr>
        <w:t>los</w:t>
      </w:r>
      <w:r>
        <w:rPr>
          <w:color w:val="231F20"/>
          <w:spacing w:val="38"/>
          <w:w w:val="105"/>
        </w:rPr>
        <w:t> </w:t>
      </w:r>
      <w:r>
        <w:rPr>
          <w:color w:val="231F20"/>
          <w:w w:val="105"/>
        </w:rPr>
        <w:t>satisfactores</w:t>
      </w:r>
      <w:r>
        <w:rPr>
          <w:color w:val="231F20"/>
          <w:spacing w:val="38"/>
          <w:w w:val="105"/>
        </w:rPr>
        <w:t> </w:t>
      </w:r>
      <w:r>
        <w:rPr>
          <w:color w:val="231F20"/>
          <w:w w:val="105"/>
        </w:rPr>
        <w:t>esenciales</w:t>
      </w:r>
      <w:r>
        <w:rPr>
          <w:color w:val="231F20"/>
          <w:spacing w:val="38"/>
          <w:w w:val="105"/>
        </w:rPr>
        <w:t> </w:t>
      </w:r>
      <w:r>
        <w:rPr>
          <w:color w:val="231F20"/>
          <w:w w:val="105"/>
        </w:rPr>
        <w:t>des-</w:t>
      </w:r>
      <w:r>
        <w:rPr>
          <w:color w:val="231F20"/>
          <w:w w:val="93"/>
        </w:rPr>
        <w:t> </w:t>
      </w:r>
      <w:r>
        <w:rPr>
          <w:color w:val="231F20"/>
          <w:w w:val="105"/>
        </w:rPr>
        <w:t>critos aquí a  través  de  una  medida  resumen,  en  términos</w:t>
      </w:r>
      <w:r>
        <w:rPr>
          <w:color w:val="231F20"/>
          <w:spacing w:val="-2"/>
          <w:w w:val="105"/>
        </w:rPr>
        <w:t> </w:t>
      </w:r>
      <w:r>
        <w:rPr>
          <w:color w:val="231F20"/>
          <w:w w:val="105"/>
        </w:rPr>
        <w:t>generales,</w:t>
      </w:r>
      <w:r>
        <w:rPr>
          <w:color w:val="231F20"/>
          <w:spacing w:val="41"/>
          <w:w w:val="105"/>
        </w:rPr>
        <w:t> </w:t>
      </w:r>
      <w:r>
        <w:rPr>
          <w:color w:val="231F20"/>
          <w:w w:val="105"/>
        </w:rPr>
        <w:t>pues</w:t>
      </w:r>
      <w:r>
        <w:rPr>
          <w:color w:val="231F20"/>
          <w:w w:val="111"/>
        </w:rPr>
        <w:t> </w:t>
      </w:r>
      <w:r>
        <w:rPr>
          <w:color w:val="231F20"/>
          <w:w w:val="105"/>
        </w:rPr>
        <w:t>a</w:t>
      </w:r>
      <w:r>
        <w:rPr>
          <w:color w:val="231F20"/>
          <w:spacing w:val="18"/>
          <w:w w:val="105"/>
        </w:rPr>
        <w:t> </w:t>
      </w:r>
      <w:r>
        <w:rPr>
          <w:color w:val="231F20"/>
          <w:w w:val="105"/>
        </w:rPr>
        <w:t>pesar</w:t>
      </w:r>
      <w:r>
        <w:rPr>
          <w:color w:val="231F20"/>
          <w:spacing w:val="18"/>
          <w:w w:val="105"/>
        </w:rPr>
        <w:t> </w:t>
      </w:r>
      <w:r>
        <w:rPr>
          <w:color w:val="231F20"/>
          <w:w w:val="105"/>
        </w:rPr>
        <w:t>de</w:t>
      </w:r>
      <w:r>
        <w:rPr>
          <w:color w:val="231F20"/>
          <w:spacing w:val="18"/>
          <w:w w:val="105"/>
        </w:rPr>
        <w:t> </w:t>
      </w:r>
      <w:r>
        <w:rPr>
          <w:color w:val="231F20"/>
          <w:w w:val="105"/>
        </w:rPr>
        <w:t>que</w:t>
      </w:r>
      <w:r>
        <w:rPr>
          <w:color w:val="231F20"/>
          <w:spacing w:val="18"/>
          <w:w w:val="105"/>
        </w:rPr>
        <w:t> </w:t>
      </w:r>
      <w:r>
        <w:rPr>
          <w:color w:val="231F20"/>
          <w:w w:val="105"/>
        </w:rPr>
        <w:t>a</w:t>
      </w:r>
      <w:r>
        <w:rPr>
          <w:color w:val="231F20"/>
          <w:spacing w:val="18"/>
          <w:w w:val="105"/>
        </w:rPr>
        <w:t> </w:t>
      </w:r>
      <w:r>
        <w:rPr>
          <w:color w:val="231F20"/>
          <w:w w:val="105"/>
        </w:rPr>
        <w:t>inicios</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década</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años</w:t>
      </w:r>
      <w:r>
        <w:rPr>
          <w:color w:val="231F20"/>
          <w:spacing w:val="18"/>
          <w:w w:val="105"/>
        </w:rPr>
        <w:t> </w:t>
      </w:r>
      <w:r>
        <w:rPr>
          <w:color w:val="231F20"/>
          <w:w w:val="105"/>
        </w:rPr>
        <w:t>noventa</w:t>
      </w:r>
      <w:r>
        <w:rPr>
          <w:color w:val="231F20"/>
          <w:spacing w:val="18"/>
          <w:w w:val="105"/>
        </w:rPr>
        <w:t> </w:t>
      </w:r>
      <w:r>
        <w:rPr>
          <w:color w:val="231F20"/>
          <w:w w:val="105"/>
        </w:rPr>
        <w:t>los</w:t>
      </w:r>
      <w:r>
        <w:rPr>
          <w:color w:val="231F20"/>
          <w:spacing w:val="18"/>
          <w:w w:val="105"/>
        </w:rPr>
        <w:t> </w:t>
      </w:r>
      <w:r>
        <w:rPr>
          <w:color w:val="231F20"/>
          <w:spacing w:val="-3"/>
          <w:w w:val="105"/>
        </w:rPr>
        <w:t>esfuerzos</w:t>
      </w:r>
      <w:r>
        <w:rPr>
          <w:color w:val="231F20"/>
          <w:spacing w:val="18"/>
          <w:w w:val="105"/>
        </w:rPr>
        <w:t> </w:t>
      </w:r>
      <w:r>
        <w:rPr>
          <w:color w:val="231F20"/>
          <w:w w:val="105"/>
        </w:rPr>
        <w:t>para</w:t>
      </w:r>
      <w:r>
        <w:rPr>
          <w:color w:val="231F20"/>
          <w:w w:val="108"/>
        </w:rPr>
        <w:t> </w:t>
      </w:r>
      <w:r>
        <w:rPr>
          <w:color w:val="231F20"/>
          <w:w w:val="105"/>
        </w:rPr>
        <w:t>reducir</w:t>
      </w:r>
      <w:r>
        <w:rPr>
          <w:color w:val="231F20"/>
          <w:spacing w:val="26"/>
          <w:w w:val="105"/>
        </w:rPr>
        <w:t> </w:t>
      </w:r>
      <w:r>
        <w:rPr>
          <w:color w:val="231F20"/>
          <w:w w:val="105"/>
        </w:rPr>
        <w:t>los</w:t>
      </w:r>
      <w:r>
        <w:rPr>
          <w:color w:val="231F20"/>
          <w:spacing w:val="26"/>
          <w:w w:val="105"/>
        </w:rPr>
        <w:t> </w:t>
      </w:r>
      <w:r>
        <w:rPr>
          <w:color w:val="231F20"/>
          <w:w w:val="105"/>
        </w:rPr>
        <w:t>niveles</w:t>
      </w:r>
      <w:r>
        <w:rPr>
          <w:color w:val="231F20"/>
          <w:spacing w:val="26"/>
          <w:w w:val="105"/>
        </w:rPr>
        <w:t> </w:t>
      </w:r>
      <w:r>
        <w:rPr>
          <w:color w:val="231F20"/>
          <w:w w:val="105"/>
        </w:rPr>
        <w:t>de</w:t>
      </w:r>
      <w:r>
        <w:rPr>
          <w:color w:val="231F20"/>
          <w:spacing w:val="26"/>
          <w:w w:val="105"/>
        </w:rPr>
        <w:t> </w:t>
      </w:r>
      <w:r>
        <w:rPr>
          <w:color w:val="231F20"/>
          <w:w w:val="105"/>
        </w:rPr>
        <w:t>desigualdad</w:t>
      </w:r>
      <w:r>
        <w:rPr>
          <w:color w:val="231F20"/>
          <w:spacing w:val="26"/>
          <w:w w:val="105"/>
        </w:rPr>
        <w:t> </w:t>
      </w:r>
      <w:r>
        <w:rPr>
          <w:color w:val="231F20"/>
          <w:w w:val="105"/>
        </w:rPr>
        <w:t>socioeconómica</w:t>
      </w:r>
      <w:r>
        <w:rPr>
          <w:color w:val="231F20"/>
          <w:spacing w:val="26"/>
          <w:w w:val="105"/>
        </w:rPr>
        <w:t> </w:t>
      </w:r>
      <w:r>
        <w:rPr>
          <w:color w:val="231F20"/>
          <w:w w:val="105"/>
        </w:rPr>
        <w:t>se</w:t>
      </w:r>
      <w:r>
        <w:rPr>
          <w:color w:val="231F20"/>
          <w:spacing w:val="26"/>
          <w:w w:val="105"/>
        </w:rPr>
        <w:t> </w:t>
      </w:r>
      <w:r>
        <w:rPr>
          <w:color w:val="231F20"/>
          <w:w w:val="105"/>
        </w:rPr>
        <w:t>centraron</w:t>
      </w:r>
      <w:r>
        <w:rPr>
          <w:color w:val="231F20"/>
          <w:spacing w:val="26"/>
          <w:w w:val="105"/>
        </w:rPr>
        <w:t> </w:t>
      </w:r>
      <w:r>
        <w:rPr>
          <w:color w:val="231F20"/>
          <w:w w:val="105"/>
        </w:rPr>
        <w:t>en</w:t>
      </w:r>
      <w:r>
        <w:rPr>
          <w:color w:val="231F20"/>
          <w:spacing w:val="26"/>
          <w:w w:val="105"/>
        </w:rPr>
        <w:t> </w:t>
      </w:r>
      <w:r>
        <w:rPr>
          <w:color w:val="231F20"/>
          <w:w w:val="105"/>
        </w:rPr>
        <w:t>mejorar</w:t>
      </w:r>
      <w:r>
        <w:rPr>
          <w:color w:val="231F20"/>
          <w:w w:val="105"/>
        </w:rPr>
        <w:t> </w:t>
      </w:r>
      <w:r>
        <w:rPr>
          <w:color w:val="231F20"/>
          <w:w w:val="105"/>
        </w:rPr>
        <w:t>las condiciones de la vivienda, los avances fueron mínimos, pues</w:t>
      </w:r>
      <w:r>
        <w:rPr>
          <w:color w:val="231F20"/>
          <w:spacing w:val="39"/>
          <w:w w:val="105"/>
        </w:rPr>
        <w:t> </w:t>
      </w:r>
      <w:r>
        <w:rPr>
          <w:color w:val="231F20"/>
          <w:w w:val="105"/>
        </w:rPr>
        <w:t>40</w:t>
      </w:r>
      <w:r>
        <w:rPr>
          <w:color w:val="231F20"/>
          <w:spacing w:val="3"/>
          <w:w w:val="105"/>
        </w:rPr>
        <w:t> </w:t>
      </w:r>
      <w:r>
        <w:rPr>
          <w:color w:val="231F20"/>
          <w:w w:val="105"/>
        </w:rPr>
        <w:t>por</w:t>
      </w:r>
      <w:r>
        <w:rPr>
          <w:color w:val="231F20"/>
          <w:w w:val="105"/>
        </w:rPr>
        <w:t> </w:t>
      </w:r>
      <w:r>
        <w:rPr>
          <w:color w:val="231F20"/>
          <w:spacing w:val="2"/>
          <w:w w:val="105"/>
        </w:rPr>
        <w:t>ciento </w:t>
      </w:r>
      <w:r>
        <w:rPr>
          <w:color w:val="231F20"/>
          <w:w w:val="105"/>
        </w:rPr>
        <w:t>de las </w:t>
      </w:r>
      <w:r>
        <w:rPr>
          <w:color w:val="231F20"/>
          <w:spacing w:val="2"/>
          <w:w w:val="105"/>
        </w:rPr>
        <w:t>zonas metropolitanas continuaron aisladas</w:t>
      </w:r>
      <w:r>
        <w:rPr>
          <w:color w:val="231F20"/>
          <w:spacing w:val="19"/>
          <w:w w:val="105"/>
        </w:rPr>
        <w:t> </w:t>
      </w:r>
      <w:r>
        <w:rPr>
          <w:color w:val="231F20"/>
          <w:w w:val="105"/>
        </w:rPr>
        <w:t>del</w:t>
      </w:r>
      <w:r>
        <w:rPr>
          <w:color w:val="231F20"/>
          <w:spacing w:val="19"/>
          <w:w w:val="105"/>
        </w:rPr>
        <w:t> </w:t>
      </w:r>
      <w:r>
        <w:rPr>
          <w:color w:val="231F20"/>
          <w:spacing w:val="2"/>
          <w:w w:val="105"/>
        </w:rPr>
        <w:t>desarrollo</w:t>
      </w:r>
      <w:r>
        <w:rPr>
          <w:color w:val="231F20"/>
          <w:w w:val="108"/>
        </w:rPr>
        <w:t> </w:t>
      </w:r>
      <w:r>
        <w:rPr>
          <w:color w:val="231F20"/>
          <w:w w:val="105"/>
        </w:rPr>
        <w:t>general y las necesidades esenciales de vivienda digna y</w:t>
      </w:r>
      <w:r>
        <w:rPr>
          <w:color w:val="231F20"/>
          <w:spacing w:val="-16"/>
          <w:w w:val="105"/>
        </w:rPr>
        <w:t> </w:t>
      </w:r>
      <w:r>
        <w:rPr>
          <w:color w:val="231F20"/>
          <w:w w:val="105"/>
        </w:rPr>
        <w:t>educación</w:t>
      </w:r>
      <w:r>
        <w:rPr>
          <w:color w:val="231F20"/>
          <w:spacing w:val="39"/>
          <w:w w:val="105"/>
        </w:rPr>
        <w:t> </w:t>
      </w:r>
      <w:r>
        <w:rPr>
          <w:color w:val="231F20"/>
          <w:w w:val="105"/>
        </w:rPr>
        <w:t>básica</w:t>
      </w:r>
      <w:r>
        <w:rPr>
          <w:color w:val="231F20"/>
          <w:w w:val="110"/>
        </w:rPr>
        <w:t> </w:t>
      </w:r>
      <w:r>
        <w:rPr>
          <w:color w:val="231F20"/>
          <w:w w:val="105"/>
        </w:rPr>
        <w:t>para la población asentada en estas zonas (</w:t>
      </w:r>
      <w:r>
        <w:rPr>
          <w:rFonts w:ascii="Times New Roman" w:hAnsi="Times New Roman"/>
          <w:color w:val="231F20"/>
          <w:w w:val="105"/>
          <w:sz w:val="16"/>
        </w:rPr>
        <w:t>ZM </w:t>
      </w:r>
      <w:r>
        <w:rPr>
          <w:color w:val="231F20"/>
          <w:w w:val="105"/>
        </w:rPr>
        <w:t>de </w:t>
      </w:r>
      <w:r>
        <w:rPr>
          <w:color w:val="231F20"/>
          <w:spacing w:val="-3"/>
          <w:w w:val="105"/>
        </w:rPr>
        <w:t>Toluca</w:t>
      </w:r>
      <w:r>
        <w:rPr>
          <w:color w:val="231F20"/>
          <w:spacing w:val="21"/>
          <w:w w:val="105"/>
        </w:rPr>
        <w:t> </w:t>
      </w:r>
      <w:r>
        <w:rPr>
          <w:color w:val="231F20"/>
          <w:w w:val="105"/>
        </w:rPr>
        <w:t>y</w:t>
      </w:r>
      <w:r>
        <w:rPr>
          <w:color w:val="231F20"/>
          <w:spacing w:val="18"/>
          <w:w w:val="105"/>
        </w:rPr>
        <w:t> </w:t>
      </w:r>
      <w:r>
        <w:rPr>
          <w:color w:val="231F20"/>
          <w:w w:val="105"/>
        </w:rPr>
        <w:t>Puebla-Tlaxcala).</w:t>
      </w:r>
      <w:r>
        <w:rPr>
          <w:color w:val="231F20"/>
          <w:w w:val="106"/>
        </w:rPr>
        <w:t> </w:t>
      </w:r>
      <w:r>
        <w:rPr>
          <w:color w:val="231F20"/>
          <w:w w:val="105"/>
        </w:rPr>
        <w:t>Situación contraria presentaron las </w:t>
      </w:r>
      <w:r>
        <w:rPr>
          <w:rFonts w:ascii="Times New Roman" w:hAnsi="Times New Roman"/>
          <w:color w:val="231F20"/>
          <w:w w:val="105"/>
          <w:sz w:val="16"/>
        </w:rPr>
        <w:t>ZM </w:t>
      </w:r>
      <w:r>
        <w:rPr>
          <w:color w:val="231F20"/>
          <w:w w:val="105"/>
        </w:rPr>
        <w:t>localizadas en el</w:t>
      </w:r>
      <w:r>
        <w:rPr>
          <w:color w:val="231F20"/>
          <w:spacing w:val="17"/>
          <w:w w:val="105"/>
        </w:rPr>
        <w:t> </w:t>
      </w:r>
      <w:r>
        <w:rPr>
          <w:color w:val="231F20"/>
          <w:w w:val="105"/>
        </w:rPr>
        <w:t>centro,</w:t>
      </w:r>
      <w:r>
        <w:rPr>
          <w:color w:val="231F20"/>
          <w:spacing w:val="6"/>
          <w:w w:val="105"/>
        </w:rPr>
        <w:t> </w:t>
      </w:r>
      <w:r>
        <w:rPr>
          <w:color w:val="231F20"/>
          <w:w w:val="105"/>
        </w:rPr>
        <w:t>occi-</w:t>
      </w:r>
      <w:r>
        <w:rPr>
          <w:color w:val="231F20"/>
          <w:w w:val="93"/>
        </w:rPr>
        <w:t> </w:t>
      </w:r>
      <w:r>
        <w:rPr>
          <w:color w:val="231F20"/>
          <w:w w:val="105"/>
        </w:rPr>
        <w:t>dente y norte del país, las cuales recibieron mejores  beneficios,</w:t>
      </w:r>
      <w:r>
        <w:rPr>
          <w:color w:val="231F20"/>
          <w:spacing w:val="18"/>
          <w:w w:val="105"/>
        </w:rPr>
        <w:t> </w:t>
      </w:r>
      <w:r>
        <w:rPr>
          <w:color w:val="231F20"/>
          <w:w w:val="105"/>
        </w:rPr>
        <w:t>siendo</w:t>
      </w:r>
      <w:r>
        <w:rPr>
          <w:color w:val="231F20"/>
          <w:spacing w:val="43"/>
          <w:w w:val="105"/>
        </w:rPr>
        <w:t> </w:t>
      </w:r>
      <w:r>
        <w:rPr>
          <w:color w:val="231F20"/>
          <w:w w:val="105"/>
        </w:rPr>
        <w:t>el</w:t>
      </w:r>
      <w:r>
        <w:rPr>
          <w:color w:val="231F20"/>
          <w:w w:val="106"/>
        </w:rPr>
        <w:t> </w:t>
      </w:r>
      <w:r>
        <w:rPr>
          <w:color w:val="231F20"/>
          <w:w w:val="105"/>
        </w:rPr>
        <w:t>caso de las </w:t>
      </w:r>
      <w:r>
        <w:rPr>
          <w:rFonts w:ascii="Times New Roman" w:hAnsi="Times New Roman"/>
          <w:color w:val="231F20"/>
          <w:w w:val="105"/>
          <w:sz w:val="16"/>
        </w:rPr>
        <w:t>ZM </w:t>
      </w:r>
      <w:r>
        <w:rPr>
          <w:color w:val="231F20"/>
          <w:w w:val="105"/>
        </w:rPr>
        <w:t>del </w:t>
      </w:r>
      <w:r>
        <w:rPr>
          <w:color w:val="231F20"/>
          <w:spacing w:val="-5"/>
          <w:w w:val="105"/>
        </w:rPr>
        <w:t>Valle </w:t>
      </w:r>
      <w:r>
        <w:rPr>
          <w:color w:val="231F20"/>
          <w:w w:val="105"/>
        </w:rPr>
        <w:t>de México, Guadalajara y Monterrey.</w:t>
      </w:r>
      <w:r>
        <w:rPr>
          <w:color w:val="231F20"/>
          <w:spacing w:val="19"/>
          <w:w w:val="105"/>
        </w:rPr>
        <w:t> </w:t>
      </w:r>
      <w:r>
        <w:rPr>
          <w:color w:val="231F20"/>
          <w:w w:val="105"/>
        </w:rPr>
        <w:t>Estos</w:t>
      </w:r>
      <w:r>
        <w:rPr>
          <w:color w:val="231F20"/>
          <w:spacing w:val="42"/>
          <w:w w:val="105"/>
        </w:rPr>
        <w:t> </w:t>
      </w:r>
      <w:r>
        <w:rPr>
          <w:color w:val="231F20"/>
          <w:w w:val="105"/>
        </w:rPr>
        <w:t>resul-</w:t>
      </w:r>
      <w:r>
        <w:rPr>
          <w:color w:val="231F20"/>
          <w:w w:val="93"/>
        </w:rPr>
        <w:t> </w:t>
      </w:r>
      <w:r>
        <w:rPr>
          <w:color w:val="231F20"/>
          <w:w w:val="105"/>
        </w:rPr>
        <w:t>tados</w:t>
      </w:r>
      <w:r>
        <w:rPr>
          <w:color w:val="231F20"/>
          <w:spacing w:val="20"/>
          <w:w w:val="105"/>
        </w:rPr>
        <w:t> </w:t>
      </w:r>
      <w:r>
        <w:rPr>
          <w:color w:val="231F20"/>
          <w:w w:val="105"/>
        </w:rPr>
        <w:t>coinciden</w:t>
      </w:r>
      <w:r>
        <w:rPr>
          <w:color w:val="231F20"/>
          <w:spacing w:val="20"/>
          <w:w w:val="105"/>
        </w:rPr>
        <w:t> </w:t>
      </w:r>
      <w:r>
        <w:rPr>
          <w:color w:val="231F20"/>
          <w:w w:val="105"/>
        </w:rPr>
        <w:t>con</w:t>
      </w:r>
      <w:r>
        <w:rPr>
          <w:color w:val="231F20"/>
          <w:spacing w:val="20"/>
          <w:w w:val="105"/>
        </w:rPr>
        <w:t> </w:t>
      </w:r>
      <w:r>
        <w:rPr>
          <w:color w:val="231F20"/>
          <w:w w:val="105"/>
        </w:rPr>
        <w:t>los</w:t>
      </w:r>
      <w:r>
        <w:rPr>
          <w:color w:val="231F20"/>
          <w:spacing w:val="20"/>
          <w:w w:val="105"/>
        </w:rPr>
        <w:t> </w:t>
      </w:r>
      <w:r>
        <w:rPr>
          <w:color w:val="231F20"/>
          <w:w w:val="105"/>
        </w:rPr>
        <w:t>obtenidos</w:t>
      </w:r>
      <w:r>
        <w:rPr>
          <w:color w:val="231F20"/>
          <w:spacing w:val="20"/>
          <w:w w:val="105"/>
        </w:rPr>
        <w:t> </w:t>
      </w:r>
      <w:r>
        <w:rPr>
          <w:color w:val="231F20"/>
          <w:w w:val="105"/>
        </w:rPr>
        <w:t>por</w:t>
      </w:r>
      <w:r>
        <w:rPr>
          <w:color w:val="231F20"/>
          <w:spacing w:val="20"/>
          <w:w w:val="105"/>
        </w:rPr>
        <w:t> </w:t>
      </w:r>
      <w:r>
        <w:rPr>
          <w:color w:val="231F20"/>
          <w:w w:val="105"/>
        </w:rPr>
        <w:t>Pamplona</w:t>
      </w:r>
      <w:r>
        <w:rPr>
          <w:color w:val="231F20"/>
          <w:spacing w:val="20"/>
          <w:w w:val="105"/>
        </w:rPr>
        <w:t> </w:t>
      </w:r>
      <w:r>
        <w:rPr>
          <w:color w:val="231F20"/>
          <w:w w:val="105"/>
        </w:rPr>
        <w:t>y</w:t>
      </w:r>
      <w:r>
        <w:rPr>
          <w:color w:val="231F20"/>
          <w:spacing w:val="20"/>
          <w:w w:val="105"/>
        </w:rPr>
        <w:t> </w:t>
      </w:r>
      <w:r>
        <w:rPr>
          <w:color w:val="231F20"/>
          <w:w w:val="105"/>
        </w:rPr>
        <w:t>colaboradores</w:t>
      </w:r>
      <w:r>
        <w:rPr>
          <w:color w:val="231F20"/>
          <w:spacing w:val="20"/>
          <w:w w:val="105"/>
        </w:rPr>
        <w:t> </w:t>
      </w:r>
      <w:r>
        <w:rPr>
          <w:color w:val="231F20"/>
          <w:w w:val="105"/>
        </w:rPr>
        <w:t>(1993)</w:t>
      </w:r>
      <w:r>
        <w:rPr>
          <w:color w:val="231F20"/>
          <w:spacing w:val="20"/>
          <w:w w:val="105"/>
        </w:rPr>
        <w:t> </w:t>
      </w:r>
      <w:r>
        <w:rPr>
          <w:color w:val="231F20"/>
          <w:w w:val="105"/>
        </w:rPr>
        <w:t>en</w:t>
      </w:r>
      <w:r>
        <w:rPr>
          <w:color w:val="231F20"/>
          <w:w w:val="110"/>
        </w:rPr>
        <w:t> </w:t>
      </w:r>
      <w:r>
        <w:rPr>
          <w:color w:val="231F20"/>
          <w:w w:val="105"/>
        </w:rPr>
        <w:t>su estudio </w:t>
      </w:r>
      <w:r>
        <w:rPr>
          <w:i/>
          <w:color w:val="231F20"/>
          <w:w w:val="105"/>
        </w:rPr>
        <w:t>Marginación y desarrollo social en México, </w:t>
      </w:r>
      <w:r>
        <w:rPr>
          <w:color w:val="231F20"/>
          <w:w w:val="105"/>
        </w:rPr>
        <w:t>donde se</w:t>
      </w:r>
      <w:r>
        <w:rPr>
          <w:color w:val="231F20"/>
          <w:spacing w:val="17"/>
          <w:w w:val="105"/>
        </w:rPr>
        <w:t> </w:t>
      </w:r>
      <w:r>
        <w:rPr>
          <w:color w:val="231F20"/>
          <w:w w:val="105"/>
        </w:rPr>
        <w:t>establece</w:t>
      </w:r>
      <w:r>
        <w:rPr>
          <w:color w:val="231F20"/>
          <w:spacing w:val="19"/>
          <w:w w:val="105"/>
        </w:rPr>
        <w:t> </w:t>
      </w:r>
      <w:r>
        <w:rPr>
          <w:color w:val="231F20"/>
          <w:w w:val="105"/>
        </w:rPr>
        <w:t>que</w:t>
      </w:r>
      <w:r>
        <w:rPr>
          <w:color w:val="231F20"/>
          <w:w w:val="110"/>
        </w:rPr>
        <w:t> </w:t>
      </w:r>
      <w:r>
        <w:rPr>
          <w:color w:val="231F20"/>
          <w:w w:val="105"/>
        </w:rPr>
        <w:t>el</w:t>
      </w:r>
      <w:r>
        <w:rPr>
          <w:color w:val="231F20"/>
          <w:spacing w:val="28"/>
          <w:w w:val="105"/>
        </w:rPr>
        <w:t> </w:t>
      </w:r>
      <w:r>
        <w:rPr>
          <w:color w:val="231F20"/>
          <w:w w:val="105"/>
        </w:rPr>
        <w:t>retraso</w:t>
      </w:r>
      <w:r>
        <w:rPr>
          <w:color w:val="231F20"/>
          <w:spacing w:val="28"/>
          <w:w w:val="105"/>
        </w:rPr>
        <w:t> </w:t>
      </w:r>
      <w:r>
        <w:rPr>
          <w:color w:val="231F20"/>
          <w:w w:val="105"/>
        </w:rPr>
        <w:t>regional</w:t>
      </w:r>
      <w:r>
        <w:rPr>
          <w:color w:val="231F20"/>
          <w:spacing w:val="28"/>
          <w:w w:val="105"/>
        </w:rPr>
        <w:t> </w:t>
      </w:r>
      <w:r>
        <w:rPr>
          <w:color w:val="231F20"/>
          <w:w w:val="105"/>
        </w:rPr>
        <w:t>se</w:t>
      </w:r>
      <w:r>
        <w:rPr>
          <w:color w:val="231F20"/>
          <w:spacing w:val="28"/>
          <w:w w:val="105"/>
        </w:rPr>
        <w:t> </w:t>
      </w:r>
      <w:r>
        <w:rPr>
          <w:color w:val="231F20"/>
          <w:w w:val="105"/>
        </w:rPr>
        <w:t>da</w:t>
      </w:r>
      <w:r>
        <w:rPr>
          <w:color w:val="231F20"/>
          <w:spacing w:val="28"/>
          <w:w w:val="105"/>
        </w:rPr>
        <w:t> </w:t>
      </w:r>
      <w:r>
        <w:rPr>
          <w:color w:val="231F20"/>
          <w:w w:val="105"/>
        </w:rPr>
        <w:t>en</w:t>
      </w:r>
      <w:r>
        <w:rPr>
          <w:color w:val="231F20"/>
          <w:spacing w:val="28"/>
          <w:w w:val="105"/>
        </w:rPr>
        <w:t> </w:t>
      </w:r>
      <w:r>
        <w:rPr>
          <w:color w:val="231F20"/>
          <w:w w:val="105"/>
        </w:rPr>
        <w:t>materia</w:t>
      </w:r>
      <w:r>
        <w:rPr>
          <w:color w:val="231F20"/>
          <w:spacing w:val="28"/>
          <w:w w:val="105"/>
        </w:rPr>
        <w:t> </w:t>
      </w:r>
      <w:r>
        <w:rPr>
          <w:color w:val="231F20"/>
          <w:w w:val="105"/>
        </w:rPr>
        <w:t>de</w:t>
      </w:r>
      <w:r>
        <w:rPr>
          <w:color w:val="231F20"/>
          <w:spacing w:val="28"/>
          <w:w w:val="105"/>
        </w:rPr>
        <w:t> </w:t>
      </w:r>
      <w:r>
        <w:rPr>
          <w:color w:val="231F20"/>
          <w:w w:val="105"/>
        </w:rPr>
        <w:t>infraestructura</w:t>
      </w:r>
      <w:r>
        <w:rPr>
          <w:color w:val="231F20"/>
          <w:spacing w:val="28"/>
          <w:w w:val="105"/>
        </w:rPr>
        <w:t> </w:t>
      </w:r>
      <w:r>
        <w:rPr>
          <w:color w:val="231F20"/>
          <w:w w:val="105"/>
        </w:rPr>
        <w:t>pública</w:t>
      </w:r>
      <w:r>
        <w:rPr>
          <w:color w:val="231F20"/>
          <w:spacing w:val="28"/>
          <w:w w:val="105"/>
        </w:rPr>
        <w:t> </w:t>
      </w:r>
      <w:r>
        <w:rPr>
          <w:color w:val="231F20"/>
          <w:w w:val="105"/>
        </w:rPr>
        <w:t>y</w:t>
      </w:r>
      <w:r>
        <w:rPr>
          <w:color w:val="231F20"/>
          <w:spacing w:val="28"/>
          <w:w w:val="105"/>
        </w:rPr>
        <w:t> </w:t>
      </w:r>
      <w:r>
        <w:rPr>
          <w:color w:val="231F20"/>
          <w:w w:val="105"/>
        </w:rPr>
        <w:t>educación</w:t>
      </w:r>
    </w:p>
    <w:p>
      <w:pPr>
        <w:spacing w:after="0" w:line="288" w:lineRule="auto"/>
        <w:jc w:val="right"/>
        <w:sectPr>
          <w:pgSz w:w="9520" w:h="12920"/>
          <w:pgMar w:header="0" w:footer="1344" w:top="880" w:bottom="1540" w:left="1000" w:right="1320"/>
        </w:sectPr>
      </w:pPr>
    </w:p>
    <w:p>
      <w:pPr>
        <w:pStyle w:val="BodyText"/>
        <w:spacing w:line="288" w:lineRule="auto" w:before="42"/>
        <w:ind w:left="124"/>
      </w:pPr>
      <w:r>
        <w:rPr>
          <w:color w:val="231F20"/>
          <w:w w:val="110"/>
        </w:rPr>
        <w:t>básica y servicios a la vivienda a nivel municipal, donde 48.0 por ciento de los municipios del territorio nacional presentan este problema.</w:t>
      </w:r>
    </w:p>
    <w:p>
      <w:pPr>
        <w:pStyle w:val="BodyText"/>
        <w:spacing w:line="288" w:lineRule="auto"/>
        <w:ind w:left="124" w:right="110" w:firstLine="360"/>
        <w:jc w:val="both"/>
      </w:pPr>
      <w:r>
        <w:rPr>
          <w:color w:val="231F20"/>
          <w:w w:val="110"/>
        </w:rPr>
        <w:t>Los resultados obtenidos permitirán la toma de decisiones, tanto para el sector público como para el privado, pues facilita la localización y con- centración de la población adulta mayor en demarcaciones macros (zonas metropolitanas)</w:t>
      </w:r>
      <w:r>
        <w:rPr>
          <w:color w:val="231F20"/>
          <w:spacing w:val="-29"/>
          <w:w w:val="110"/>
        </w:rPr>
        <w:t> </w:t>
      </w:r>
      <w:r>
        <w:rPr>
          <w:color w:val="231F20"/>
          <w:w w:val="110"/>
        </w:rPr>
        <w:t>y</w:t>
      </w:r>
      <w:r>
        <w:rPr>
          <w:color w:val="231F20"/>
          <w:spacing w:val="-29"/>
          <w:w w:val="110"/>
        </w:rPr>
        <w:t> </w:t>
      </w:r>
      <w:r>
        <w:rPr>
          <w:color w:val="231F20"/>
          <w:w w:val="110"/>
        </w:rPr>
        <w:t>micro</w:t>
      </w:r>
      <w:r>
        <w:rPr>
          <w:color w:val="231F20"/>
          <w:spacing w:val="-29"/>
          <w:w w:val="110"/>
        </w:rPr>
        <w:t> </w:t>
      </w:r>
      <w:r>
        <w:rPr>
          <w:color w:val="231F20"/>
          <w:w w:val="110"/>
        </w:rPr>
        <w:t>(municipios</w:t>
      </w:r>
      <w:r>
        <w:rPr>
          <w:color w:val="231F20"/>
          <w:spacing w:val="-29"/>
          <w:w w:val="110"/>
        </w:rPr>
        <w:t> </w:t>
      </w:r>
      <w:r>
        <w:rPr>
          <w:color w:val="231F20"/>
          <w:w w:val="110"/>
        </w:rPr>
        <w:t>y</w:t>
      </w:r>
      <w:r>
        <w:rPr>
          <w:color w:val="231F20"/>
          <w:spacing w:val="-29"/>
          <w:w w:val="110"/>
        </w:rPr>
        <w:t> </w:t>
      </w:r>
      <w:r>
        <w:rPr>
          <w:color w:val="231F20"/>
          <w:w w:val="110"/>
        </w:rPr>
        <w:t>localidades),</w:t>
      </w:r>
      <w:r>
        <w:rPr>
          <w:color w:val="231F20"/>
          <w:spacing w:val="-29"/>
          <w:w w:val="110"/>
        </w:rPr>
        <w:t> </w:t>
      </w:r>
      <w:r>
        <w:rPr>
          <w:color w:val="231F20"/>
          <w:w w:val="110"/>
        </w:rPr>
        <w:t>así</w:t>
      </w:r>
      <w:r>
        <w:rPr>
          <w:color w:val="231F20"/>
          <w:spacing w:val="-29"/>
          <w:w w:val="110"/>
        </w:rPr>
        <w:t> </w:t>
      </w:r>
      <w:r>
        <w:rPr>
          <w:color w:val="231F20"/>
          <w:w w:val="110"/>
        </w:rPr>
        <w:t>como</w:t>
      </w:r>
      <w:r>
        <w:rPr>
          <w:color w:val="231F20"/>
          <w:spacing w:val="-29"/>
          <w:w w:val="110"/>
        </w:rPr>
        <w:t> </w:t>
      </w:r>
      <w:r>
        <w:rPr>
          <w:color w:val="231F20"/>
          <w:w w:val="110"/>
        </w:rPr>
        <w:t>las</w:t>
      </w:r>
      <w:r>
        <w:rPr>
          <w:color w:val="231F20"/>
          <w:spacing w:val="-29"/>
          <w:w w:val="110"/>
        </w:rPr>
        <w:t> </w:t>
      </w:r>
      <w:r>
        <w:rPr>
          <w:color w:val="231F20"/>
          <w:w w:val="110"/>
        </w:rPr>
        <w:t>necesidades que éste grupo de población presenta, siendo un factor potencial para de- sarrollar proyectos de desarrollo social y de mercado, aprovechando las ventajas comparativas entre </w:t>
      </w:r>
      <w:r>
        <w:rPr>
          <w:rFonts w:ascii="Times New Roman" w:hAnsi="Times New Roman"/>
          <w:color w:val="231F20"/>
          <w:w w:val="110"/>
          <w:sz w:val="16"/>
        </w:rPr>
        <w:t>ZM </w:t>
      </w:r>
      <w:r>
        <w:rPr>
          <w:color w:val="231F20"/>
          <w:w w:val="110"/>
        </w:rPr>
        <w:t>y regiones del</w:t>
      </w:r>
      <w:r>
        <w:rPr>
          <w:color w:val="231F20"/>
          <w:spacing w:val="35"/>
          <w:w w:val="110"/>
        </w:rPr>
        <w:t> </w:t>
      </w:r>
      <w:r>
        <w:rPr>
          <w:color w:val="231F20"/>
          <w:w w:val="110"/>
        </w:rPr>
        <w:t>país.</w:t>
      </w:r>
    </w:p>
    <w:p>
      <w:pPr>
        <w:pStyle w:val="BodyText"/>
      </w:pPr>
    </w:p>
    <w:p>
      <w:pPr>
        <w:pStyle w:val="BodyText"/>
        <w:spacing w:before="10"/>
        <w:rPr>
          <w:sz w:val="24"/>
        </w:rPr>
      </w:pPr>
    </w:p>
    <w:p>
      <w:pPr>
        <w:spacing w:before="0"/>
        <w:ind w:left="124" w:right="0" w:firstLine="0"/>
        <w:jc w:val="left"/>
        <w:rPr>
          <w:rFonts w:ascii="Times New Roman" w:hAnsi="Times New Roman"/>
          <w:i/>
          <w:sz w:val="19"/>
        </w:rPr>
      </w:pPr>
      <w:r>
        <w:rPr>
          <w:rFonts w:ascii="Times New Roman" w:hAnsi="Times New Roman"/>
          <w:i/>
          <w:color w:val="231F20"/>
          <w:sz w:val="24"/>
        </w:rPr>
        <w:t>B</w:t>
      </w:r>
      <w:r>
        <w:rPr>
          <w:rFonts w:ascii="Times New Roman" w:hAnsi="Times New Roman"/>
          <w:i/>
          <w:color w:val="231F20"/>
          <w:sz w:val="19"/>
        </w:rPr>
        <w:t>IBLIOGRAFÍA</w:t>
      </w:r>
    </w:p>
    <w:p>
      <w:pPr>
        <w:pStyle w:val="BodyText"/>
        <w:spacing w:before="8"/>
        <w:rPr>
          <w:rFonts w:ascii="Times New Roman"/>
          <w:i/>
          <w:sz w:val="25"/>
        </w:rPr>
      </w:pPr>
    </w:p>
    <w:p>
      <w:pPr>
        <w:spacing w:line="266" w:lineRule="auto" w:before="0"/>
        <w:ind w:left="484" w:right="113" w:hanging="360"/>
        <w:jc w:val="both"/>
        <w:rPr>
          <w:sz w:val="19"/>
        </w:rPr>
      </w:pPr>
      <w:r>
        <w:rPr>
          <w:rFonts w:ascii="Times New Roman" w:hAnsi="Times New Roman"/>
          <w:color w:val="231F20"/>
          <w:w w:val="105"/>
          <w:sz w:val="19"/>
        </w:rPr>
        <w:t>A</w:t>
      </w:r>
      <w:r>
        <w:rPr>
          <w:rFonts w:ascii="Times New Roman" w:hAnsi="Times New Roman"/>
          <w:color w:val="231F20"/>
          <w:w w:val="105"/>
          <w:sz w:val="15"/>
        </w:rPr>
        <w:t>NSO</w:t>
      </w:r>
      <w:r>
        <w:rPr>
          <w:color w:val="231F20"/>
          <w:w w:val="105"/>
          <w:sz w:val="19"/>
        </w:rPr>
        <w:t>, R. y </w:t>
      </w:r>
      <w:r>
        <w:rPr>
          <w:color w:val="231F20"/>
          <w:spacing w:val="-15"/>
          <w:w w:val="105"/>
          <w:sz w:val="19"/>
        </w:rPr>
        <w:t>P. </w:t>
      </w:r>
      <w:r>
        <w:rPr>
          <w:color w:val="231F20"/>
          <w:w w:val="105"/>
          <w:sz w:val="19"/>
        </w:rPr>
        <w:t>Gómez (1978), </w:t>
      </w:r>
      <w:r>
        <w:rPr>
          <w:i/>
          <w:color w:val="231F20"/>
          <w:w w:val="105"/>
          <w:sz w:val="19"/>
        </w:rPr>
        <w:t>Implicaciones socio-económicas de la marginación en  </w:t>
      </w:r>
      <w:r>
        <w:rPr>
          <w:i/>
          <w:color w:val="231F20"/>
          <w:w w:val="105"/>
          <w:sz w:val="19"/>
        </w:rPr>
        <w:t>el Área Metropolitana de Monterrey</w:t>
      </w:r>
      <w:r>
        <w:rPr>
          <w:color w:val="231F20"/>
          <w:w w:val="105"/>
          <w:sz w:val="19"/>
        </w:rPr>
        <w:t>, </w:t>
      </w:r>
      <w:r>
        <w:rPr>
          <w:color w:val="231F20"/>
          <w:spacing w:val="-4"/>
          <w:w w:val="105"/>
          <w:sz w:val="19"/>
        </w:rPr>
        <w:t>Monterrey,  </w:t>
      </w:r>
      <w:r>
        <w:rPr>
          <w:color w:val="231F20"/>
          <w:w w:val="105"/>
          <w:sz w:val="19"/>
        </w:rPr>
        <w:t>México  Instituto  </w:t>
      </w:r>
      <w:r>
        <w:rPr>
          <w:color w:val="231F20"/>
          <w:spacing w:val="-4"/>
          <w:w w:val="105"/>
          <w:sz w:val="19"/>
        </w:rPr>
        <w:t>Tecnológico </w:t>
      </w:r>
      <w:r>
        <w:rPr>
          <w:color w:val="231F20"/>
          <w:w w:val="105"/>
          <w:sz w:val="19"/>
        </w:rPr>
        <w:t>y Fomento Metropolitano de Monterrey,  </w:t>
      </w:r>
      <w:r>
        <w:rPr>
          <w:color w:val="231F20"/>
          <w:spacing w:val="35"/>
          <w:w w:val="105"/>
          <w:sz w:val="19"/>
        </w:rPr>
        <w:t> </w:t>
      </w:r>
      <w:r>
        <w:rPr>
          <w:color w:val="231F20"/>
          <w:w w:val="105"/>
          <w:sz w:val="19"/>
        </w:rPr>
        <w:t>(Fomerrey).</w:t>
      </w:r>
    </w:p>
    <w:p>
      <w:pPr>
        <w:spacing w:line="266" w:lineRule="auto" w:before="0"/>
        <w:ind w:left="484" w:right="113" w:hanging="360"/>
        <w:jc w:val="both"/>
        <w:rPr>
          <w:sz w:val="19"/>
        </w:rPr>
      </w:pPr>
      <w:r>
        <w:rPr>
          <w:rFonts w:ascii="Times New Roman" w:hAnsi="Times New Roman"/>
          <w:color w:val="231F20"/>
          <w:w w:val="105"/>
          <w:sz w:val="19"/>
        </w:rPr>
        <w:t>Á</w:t>
      </w:r>
      <w:r>
        <w:rPr>
          <w:rFonts w:ascii="Times New Roman" w:hAnsi="Times New Roman"/>
          <w:color w:val="231F20"/>
          <w:w w:val="105"/>
          <w:sz w:val="15"/>
        </w:rPr>
        <w:t>VILA</w:t>
      </w:r>
      <w:r>
        <w:rPr>
          <w:color w:val="231F20"/>
          <w:w w:val="105"/>
          <w:sz w:val="19"/>
        </w:rPr>
        <w:t>, José Luis (1995), “Marginalidad/desigualdad regional, marginación muni- cipal  en  México”,  </w:t>
      </w:r>
      <w:r>
        <w:rPr>
          <w:i/>
          <w:color w:val="231F20"/>
          <w:w w:val="105"/>
          <w:sz w:val="19"/>
        </w:rPr>
        <w:t>Demos</w:t>
      </w:r>
      <w:r>
        <w:rPr>
          <w:color w:val="231F20"/>
          <w:w w:val="105"/>
          <w:sz w:val="19"/>
        </w:rPr>
        <w:t>,  No.  008, enero.</w:t>
      </w:r>
    </w:p>
    <w:p>
      <w:pPr>
        <w:spacing w:line="266" w:lineRule="auto" w:before="0"/>
        <w:ind w:left="484" w:right="113" w:hanging="360"/>
        <w:jc w:val="both"/>
        <w:rPr>
          <w:sz w:val="19"/>
        </w:rPr>
      </w:pPr>
      <w:r>
        <w:rPr>
          <w:rFonts w:ascii="Times New Roman" w:hAnsi="Times New Roman"/>
          <w:color w:val="231F20"/>
          <w:w w:val="110"/>
          <w:sz w:val="19"/>
        </w:rPr>
        <w:t>C</w:t>
      </w:r>
      <w:r>
        <w:rPr>
          <w:rFonts w:ascii="Times New Roman" w:hAnsi="Times New Roman"/>
          <w:color w:val="231F20"/>
          <w:w w:val="110"/>
          <w:sz w:val="15"/>
        </w:rPr>
        <w:t>ARAVACA</w:t>
      </w:r>
      <w:r>
        <w:rPr>
          <w:color w:val="231F20"/>
          <w:w w:val="110"/>
          <w:sz w:val="19"/>
        </w:rPr>
        <w:t>, I. (1998), “Los nuevos espacios ganadores y emergentes”, </w:t>
      </w:r>
      <w:r>
        <w:rPr>
          <w:i/>
          <w:color w:val="231F20"/>
          <w:w w:val="110"/>
          <w:sz w:val="19"/>
        </w:rPr>
        <w:t>Revista </w:t>
      </w:r>
      <w:r>
        <w:rPr>
          <w:i/>
          <w:color w:val="231F20"/>
          <w:w w:val="110"/>
          <w:sz w:val="19"/>
        </w:rPr>
        <w:t>EURE</w:t>
      </w:r>
      <w:r>
        <w:rPr>
          <w:color w:val="231F20"/>
          <w:w w:val="110"/>
          <w:sz w:val="19"/>
        </w:rPr>
        <w:t>, 24, 73, pp. 5-30.</w:t>
      </w:r>
    </w:p>
    <w:p>
      <w:pPr>
        <w:spacing w:line="266" w:lineRule="auto" w:before="0"/>
        <w:ind w:left="484" w:right="113" w:hanging="360"/>
        <w:jc w:val="both"/>
        <w:rPr>
          <w:sz w:val="19"/>
        </w:rPr>
      </w:pPr>
      <w:r>
        <w:rPr>
          <w:color w:val="231F20"/>
          <w:w w:val="105"/>
          <w:sz w:val="19"/>
        </w:rPr>
        <w:t>Centro De Estudios Para La Zona Metropolitana (2006), </w:t>
      </w:r>
      <w:r>
        <w:rPr>
          <w:i/>
          <w:color w:val="231F20"/>
          <w:w w:val="105"/>
          <w:sz w:val="19"/>
        </w:rPr>
        <w:t>Una visión para la Zona </w:t>
      </w:r>
      <w:r>
        <w:rPr>
          <w:i/>
          <w:color w:val="231F20"/>
          <w:w w:val="105"/>
          <w:sz w:val="19"/>
        </w:rPr>
        <w:t>Metropolitana del Valle  de México</w:t>
      </w:r>
      <w:r>
        <w:rPr>
          <w:color w:val="231F20"/>
          <w:w w:val="105"/>
          <w:sz w:val="19"/>
        </w:rPr>
        <w:t>,  México,  D.F.,  Metrópoli  2025.</w:t>
      </w:r>
    </w:p>
    <w:p>
      <w:pPr>
        <w:spacing w:line="266" w:lineRule="auto" w:before="0"/>
        <w:ind w:left="484" w:right="113" w:hanging="360"/>
        <w:jc w:val="both"/>
        <w:rPr>
          <w:sz w:val="19"/>
        </w:rPr>
      </w:pPr>
      <w:r>
        <w:rPr>
          <w:rFonts w:ascii="Times New Roman" w:hAnsi="Times New Roman"/>
          <w:color w:val="231F20"/>
          <w:w w:val="110"/>
          <w:sz w:val="19"/>
        </w:rPr>
        <w:t>C</w:t>
      </w:r>
      <w:r>
        <w:rPr>
          <w:rFonts w:ascii="Times New Roman" w:hAnsi="Times New Roman"/>
          <w:color w:val="231F20"/>
          <w:w w:val="110"/>
          <w:sz w:val="15"/>
        </w:rPr>
        <w:t>HESNAIS</w:t>
      </w:r>
      <w:r>
        <w:rPr>
          <w:color w:val="231F20"/>
          <w:w w:val="110"/>
          <w:sz w:val="19"/>
        </w:rPr>
        <w:t>,</w:t>
      </w:r>
      <w:r>
        <w:rPr>
          <w:color w:val="231F20"/>
          <w:spacing w:val="-1"/>
          <w:w w:val="110"/>
          <w:sz w:val="19"/>
        </w:rPr>
        <w:t> </w:t>
      </w:r>
      <w:r>
        <w:rPr>
          <w:color w:val="231F20"/>
          <w:w w:val="125"/>
          <w:sz w:val="19"/>
        </w:rPr>
        <w:t>J.</w:t>
      </w:r>
      <w:r>
        <w:rPr>
          <w:color w:val="231F20"/>
          <w:spacing w:val="-7"/>
          <w:w w:val="125"/>
          <w:sz w:val="19"/>
        </w:rPr>
        <w:t> </w:t>
      </w:r>
      <w:r>
        <w:rPr>
          <w:color w:val="231F20"/>
          <w:w w:val="110"/>
          <w:sz w:val="19"/>
        </w:rPr>
        <w:t>C.</w:t>
      </w:r>
      <w:r>
        <w:rPr>
          <w:color w:val="231F20"/>
          <w:spacing w:val="-1"/>
          <w:w w:val="110"/>
          <w:sz w:val="19"/>
        </w:rPr>
        <w:t> </w:t>
      </w:r>
      <w:r>
        <w:rPr>
          <w:color w:val="231F20"/>
          <w:w w:val="110"/>
          <w:sz w:val="19"/>
        </w:rPr>
        <w:t>(1990),</w:t>
      </w:r>
      <w:r>
        <w:rPr>
          <w:color w:val="231F20"/>
          <w:spacing w:val="-1"/>
          <w:w w:val="110"/>
          <w:sz w:val="19"/>
        </w:rPr>
        <w:t> </w:t>
      </w:r>
      <w:r>
        <w:rPr>
          <w:i/>
          <w:color w:val="231F20"/>
          <w:w w:val="110"/>
          <w:sz w:val="19"/>
        </w:rPr>
        <w:t>El</w:t>
      </w:r>
      <w:r>
        <w:rPr>
          <w:i/>
          <w:color w:val="231F20"/>
          <w:spacing w:val="-6"/>
          <w:w w:val="110"/>
          <w:sz w:val="19"/>
        </w:rPr>
        <w:t> </w:t>
      </w:r>
      <w:r>
        <w:rPr>
          <w:i/>
          <w:color w:val="231F20"/>
          <w:w w:val="110"/>
          <w:sz w:val="19"/>
        </w:rPr>
        <w:t>proceso</w:t>
      </w:r>
      <w:r>
        <w:rPr>
          <w:i/>
          <w:color w:val="231F20"/>
          <w:spacing w:val="-6"/>
          <w:w w:val="110"/>
          <w:sz w:val="19"/>
        </w:rPr>
        <w:t> </w:t>
      </w:r>
      <w:r>
        <w:rPr>
          <w:i/>
          <w:color w:val="231F20"/>
          <w:w w:val="110"/>
          <w:sz w:val="19"/>
        </w:rPr>
        <w:t>de</w:t>
      </w:r>
      <w:r>
        <w:rPr>
          <w:i/>
          <w:color w:val="231F20"/>
          <w:spacing w:val="-6"/>
          <w:w w:val="110"/>
          <w:sz w:val="19"/>
        </w:rPr>
        <w:t> </w:t>
      </w:r>
      <w:r>
        <w:rPr>
          <w:i/>
          <w:color w:val="231F20"/>
          <w:w w:val="110"/>
          <w:sz w:val="19"/>
        </w:rPr>
        <w:t>envejecimiento</w:t>
      </w:r>
      <w:r>
        <w:rPr>
          <w:i/>
          <w:color w:val="231F20"/>
          <w:spacing w:val="-6"/>
          <w:w w:val="110"/>
          <w:sz w:val="19"/>
        </w:rPr>
        <w:t> </w:t>
      </w:r>
      <w:r>
        <w:rPr>
          <w:i/>
          <w:color w:val="231F20"/>
          <w:w w:val="110"/>
          <w:sz w:val="19"/>
        </w:rPr>
        <w:t>de</w:t>
      </w:r>
      <w:r>
        <w:rPr>
          <w:i/>
          <w:color w:val="231F20"/>
          <w:spacing w:val="-6"/>
          <w:w w:val="110"/>
          <w:sz w:val="19"/>
        </w:rPr>
        <w:t> </w:t>
      </w:r>
      <w:r>
        <w:rPr>
          <w:i/>
          <w:color w:val="231F20"/>
          <w:w w:val="110"/>
          <w:sz w:val="19"/>
        </w:rPr>
        <w:t>la</w:t>
      </w:r>
      <w:r>
        <w:rPr>
          <w:i/>
          <w:color w:val="231F20"/>
          <w:spacing w:val="-6"/>
          <w:w w:val="110"/>
          <w:sz w:val="19"/>
        </w:rPr>
        <w:t> </w:t>
      </w:r>
      <w:r>
        <w:rPr>
          <w:i/>
          <w:color w:val="231F20"/>
          <w:w w:val="110"/>
          <w:sz w:val="19"/>
        </w:rPr>
        <w:t>población</w:t>
      </w:r>
      <w:r>
        <w:rPr>
          <w:color w:val="231F20"/>
          <w:w w:val="110"/>
          <w:sz w:val="19"/>
        </w:rPr>
        <w:t>,</w:t>
      </w:r>
      <w:r>
        <w:rPr>
          <w:color w:val="231F20"/>
          <w:spacing w:val="-1"/>
          <w:w w:val="110"/>
          <w:sz w:val="19"/>
        </w:rPr>
        <w:t> </w:t>
      </w:r>
      <w:r>
        <w:rPr>
          <w:color w:val="231F20"/>
          <w:w w:val="110"/>
          <w:sz w:val="19"/>
        </w:rPr>
        <w:t>Santiago</w:t>
      </w:r>
      <w:r>
        <w:rPr>
          <w:color w:val="231F20"/>
          <w:spacing w:val="-1"/>
          <w:w w:val="110"/>
          <w:sz w:val="19"/>
        </w:rPr>
        <w:t> </w:t>
      </w:r>
      <w:r>
        <w:rPr>
          <w:color w:val="231F20"/>
          <w:w w:val="110"/>
          <w:sz w:val="19"/>
        </w:rPr>
        <w:t>de Chile, Celade e </w:t>
      </w:r>
      <w:r>
        <w:rPr>
          <w:rFonts w:ascii="Times New Roman" w:hAnsi="Times New Roman"/>
          <w:color w:val="231F20"/>
          <w:w w:val="110"/>
          <w:sz w:val="15"/>
        </w:rPr>
        <w:t>INED</w:t>
      </w:r>
      <w:r>
        <w:rPr>
          <w:color w:val="231F20"/>
          <w:w w:val="110"/>
          <w:sz w:val="19"/>
        </w:rPr>
        <w:t>-Francia, Serie E, núm.  </w:t>
      </w:r>
      <w:r>
        <w:rPr>
          <w:color w:val="231F20"/>
          <w:spacing w:val="24"/>
          <w:w w:val="110"/>
          <w:sz w:val="19"/>
        </w:rPr>
        <w:t> </w:t>
      </w:r>
      <w:r>
        <w:rPr>
          <w:color w:val="231F20"/>
          <w:w w:val="110"/>
          <w:sz w:val="19"/>
        </w:rPr>
        <w:t>35.</w:t>
      </w:r>
    </w:p>
    <w:p>
      <w:pPr>
        <w:spacing w:line="266" w:lineRule="auto" w:before="0"/>
        <w:ind w:left="484" w:right="116" w:hanging="360"/>
        <w:jc w:val="both"/>
        <w:rPr>
          <w:sz w:val="19"/>
        </w:rPr>
      </w:pPr>
      <w:r>
        <w:rPr>
          <w:rFonts w:ascii="Times New Roman" w:hAnsi="Times New Roman"/>
          <w:color w:val="231F20"/>
          <w:w w:val="105"/>
          <w:sz w:val="15"/>
        </w:rPr>
        <w:t>CEPAL</w:t>
      </w:r>
      <w:r>
        <w:rPr>
          <w:color w:val="231F20"/>
          <w:w w:val="105"/>
          <w:sz w:val="19"/>
        </w:rPr>
        <w:t>, (2004), “Población, envejecimiento y desarrollo”, Trigésimo periodo de sesiones de la Cepal, San Juan, puerto rico, 28 de junio al 2 de julio.</w:t>
      </w:r>
    </w:p>
    <w:p>
      <w:pPr>
        <w:spacing w:line="266" w:lineRule="auto" w:before="0"/>
        <w:ind w:left="484" w:right="112" w:hanging="360"/>
        <w:jc w:val="both"/>
        <w:rPr>
          <w:sz w:val="19"/>
        </w:rPr>
      </w:pPr>
      <w:r>
        <w:rPr>
          <w:rFonts w:ascii="Times New Roman" w:hAnsi="Times New Roman"/>
          <w:color w:val="231F20"/>
          <w:w w:val="110"/>
          <w:sz w:val="19"/>
        </w:rPr>
        <w:t>C</w:t>
      </w:r>
      <w:r>
        <w:rPr>
          <w:rFonts w:ascii="Times New Roman" w:hAnsi="Times New Roman"/>
          <w:color w:val="231F20"/>
          <w:w w:val="110"/>
          <w:sz w:val="15"/>
        </w:rPr>
        <w:t>OLÓN</w:t>
      </w:r>
      <w:r>
        <w:rPr>
          <w:rFonts w:ascii="Times New Roman" w:hAnsi="Times New Roman"/>
          <w:color w:val="231F20"/>
          <w:spacing w:val="-2"/>
          <w:w w:val="110"/>
          <w:sz w:val="15"/>
        </w:rPr>
        <w:t> </w:t>
      </w:r>
      <w:r>
        <w:rPr>
          <w:rFonts w:ascii="Times New Roman" w:hAnsi="Times New Roman"/>
          <w:color w:val="231F20"/>
          <w:w w:val="110"/>
          <w:sz w:val="19"/>
        </w:rPr>
        <w:t>R</w:t>
      </w:r>
      <w:r>
        <w:rPr>
          <w:rFonts w:ascii="Times New Roman" w:hAnsi="Times New Roman"/>
          <w:color w:val="231F20"/>
          <w:w w:val="110"/>
          <w:sz w:val="15"/>
        </w:rPr>
        <w:t>EYES</w:t>
      </w:r>
      <w:r>
        <w:rPr>
          <w:color w:val="231F20"/>
          <w:w w:val="110"/>
          <w:sz w:val="19"/>
        </w:rPr>
        <w:t>,</w:t>
      </w:r>
      <w:r>
        <w:rPr>
          <w:color w:val="231F20"/>
          <w:spacing w:val="-7"/>
          <w:w w:val="110"/>
          <w:sz w:val="19"/>
        </w:rPr>
        <w:t> </w:t>
      </w:r>
      <w:r>
        <w:rPr>
          <w:color w:val="231F20"/>
          <w:w w:val="110"/>
          <w:sz w:val="19"/>
        </w:rPr>
        <w:t>Linda</w:t>
      </w:r>
      <w:r>
        <w:rPr>
          <w:color w:val="231F20"/>
          <w:spacing w:val="-7"/>
          <w:w w:val="110"/>
          <w:sz w:val="19"/>
        </w:rPr>
        <w:t> </w:t>
      </w:r>
      <w:r>
        <w:rPr>
          <w:color w:val="231F20"/>
          <w:w w:val="110"/>
          <w:sz w:val="19"/>
        </w:rPr>
        <w:t>(2007),</w:t>
      </w:r>
      <w:r>
        <w:rPr>
          <w:color w:val="231F20"/>
          <w:spacing w:val="-7"/>
          <w:w w:val="110"/>
          <w:sz w:val="19"/>
        </w:rPr>
        <w:t> </w:t>
      </w:r>
      <w:r>
        <w:rPr>
          <w:color w:val="231F20"/>
          <w:spacing w:val="5"/>
          <w:w w:val="110"/>
          <w:sz w:val="19"/>
        </w:rPr>
        <w:t>“La</w:t>
      </w:r>
      <w:r>
        <w:rPr>
          <w:color w:val="231F20"/>
          <w:spacing w:val="-7"/>
          <w:w w:val="110"/>
          <w:sz w:val="19"/>
        </w:rPr>
        <w:t> </w:t>
      </w:r>
      <w:r>
        <w:rPr>
          <w:color w:val="231F20"/>
          <w:w w:val="110"/>
          <w:sz w:val="19"/>
        </w:rPr>
        <w:t>tarea</w:t>
      </w:r>
      <w:r>
        <w:rPr>
          <w:color w:val="231F20"/>
          <w:spacing w:val="-7"/>
          <w:w w:val="110"/>
          <w:sz w:val="19"/>
        </w:rPr>
        <w:t> </w:t>
      </w:r>
      <w:r>
        <w:rPr>
          <w:color w:val="231F20"/>
          <w:w w:val="110"/>
          <w:sz w:val="19"/>
        </w:rPr>
        <w:t>inconclusa:</w:t>
      </w:r>
      <w:r>
        <w:rPr>
          <w:color w:val="231F20"/>
          <w:spacing w:val="-7"/>
          <w:w w:val="110"/>
          <w:sz w:val="19"/>
        </w:rPr>
        <w:t> </w:t>
      </w:r>
      <w:r>
        <w:rPr>
          <w:color w:val="231F20"/>
          <w:w w:val="110"/>
          <w:sz w:val="19"/>
        </w:rPr>
        <w:t>Pobreza</w:t>
      </w:r>
      <w:r>
        <w:rPr>
          <w:color w:val="231F20"/>
          <w:spacing w:val="-7"/>
          <w:w w:val="110"/>
          <w:sz w:val="19"/>
        </w:rPr>
        <w:t> </w:t>
      </w:r>
      <w:r>
        <w:rPr>
          <w:color w:val="231F20"/>
          <w:w w:val="110"/>
          <w:sz w:val="19"/>
        </w:rPr>
        <w:t>y</w:t>
      </w:r>
      <w:r>
        <w:rPr>
          <w:color w:val="231F20"/>
          <w:spacing w:val="-7"/>
          <w:w w:val="110"/>
          <w:sz w:val="19"/>
        </w:rPr>
        <w:t> </w:t>
      </w:r>
      <w:r>
        <w:rPr>
          <w:color w:val="231F20"/>
          <w:w w:val="110"/>
          <w:sz w:val="19"/>
        </w:rPr>
        <w:t>desigualdad</w:t>
      </w:r>
      <w:r>
        <w:rPr>
          <w:color w:val="231F20"/>
          <w:spacing w:val="-7"/>
          <w:w w:val="110"/>
          <w:sz w:val="19"/>
        </w:rPr>
        <w:t> </w:t>
      </w:r>
      <w:r>
        <w:rPr>
          <w:color w:val="231F20"/>
          <w:w w:val="110"/>
          <w:sz w:val="19"/>
        </w:rPr>
        <w:t>social en el </w:t>
      </w:r>
      <w:r>
        <w:rPr>
          <w:color w:val="231F20"/>
          <w:spacing w:val="2"/>
          <w:w w:val="110"/>
          <w:sz w:val="19"/>
        </w:rPr>
        <w:t>siglo </w:t>
      </w:r>
      <w:r>
        <w:rPr>
          <w:rFonts w:ascii="Times New Roman" w:hAnsi="Times New Roman"/>
          <w:color w:val="231F20"/>
          <w:spacing w:val="2"/>
          <w:w w:val="110"/>
          <w:sz w:val="15"/>
        </w:rPr>
        <w:t>XXI</w:t>
      </w:r>
      <w:r>
        <w:rPr>
          <w:color w:val="231F20"/>
          <w:spacing w:val="2"/>
          <w:w w:val="110"/>
          <w:sz w:val="19"/>
        </w:rPr>
        <w:t>”, </w:t>
      </w:r>
      <w:r>
        <w:rPr>
          <w:i/>
          <w:color w:val="231F20"/>
          <w:w w:val="110"/>
          <w:sz w:val="19"/>
        </w:rPr>
        <w:t>Revista de Ciencias Sociales</w:t>
      </w:r>
      <w:r>
        <w:rPr>
          <w:color w:val="231F20"/>
          <w:w w:val="110"/>
          <w:sz w:val="19"/>
        </w:rPr>
        <w:t>, </w:t>
      </w:r>
      <w:r>
        <w:rPr>
          <w:color w:val="231F20"/>
          <w:spacing w:val="2"/>
          <w:w w:val="110"/>
          <w:sz w:val="19"/>
        </w:rPr>
        <w:t>núm. </w:t>
      </w:r>
      <w:r>
        <w:rPr>
          <w:color w:val="231F20"/>
          <w:w w:val="110"/>
          <w:sz w:val="19"/>
        </w:rPr>
        <w:t>17, </w:t>
      </w:r>
      <w:r>
        <w:rPr>
          <w:color w:val="231F20"/>
          <w:spacing w:val="2"/>
          <w:w w:val="110"/>
          <w:sz w:val="19"/>
        </w:rPr>
        <w:t>Departamento </w:t>
      </w:r>
      <w:r>
        <w:rPr>
          <w:color w:val="231F20"/>
          <w:w w:val="110"/>
          <w:sz w:val="19"/>
        </w:rPr>
        <w:t>de Ciencias Sociales, Facultad de Estudios Generales, Puerto Rico, Universi- dad de Puerto Rico, pp.</w:t>
      </w:r>
      <w:r>
        <w:rPr>
          <w:color w:val="231F20"/>
          <w:spacing w:val="-14"/>
          <w:w w:val="110"/>
          <w:sz w:val="19"/>
        </w:rPr>
        <w:t> </w:t>
      </w:r>
      <w:r>
        <w:rPr>
          <w:color w:val="231F20"/>
          <w:w w:val="110"/>
          <w:sz w:val="19"/>
        </w:rPr>
        <w:t>78-117.</w:t>
      </w:r>
    </w:p>
    <w:p>
      <w:pPr>
        <w:spacing w:before="0"/>
        <w:ind w:left="124" w:right="0" w:firstLine="0"/>
        <w:jc w:val="left"/>
        <w:rPr>
          <w:sz w:val="19"/>
        </w:rPr>
      </w:pPr>
      <w:r>
        <w:rPr>
          <w:color w:val="231F20"/>
          <w:w w:val="105"/>
          <w:sz w:val="19"/>
        </w:rPr>
        <w:t>Consejo  Nacional  de  Población  (Conapo)  (1990), </w:t>
      </w:r>
      <w:r>
        <w:rPr>
          <w:i/>
          <w:color w:val="231F20"/>
          <w:w w:val="105"/>
          <w:sz w:val="19"/>
        </w:rPr>
        <w:t>Índices de marginación</w:t>
      </w:r>
      <w:r>
        <w:rPr>
          <w:color w:val="231F20"/>
          <w:w w:val="105"/>
          <w:sz w:val="19"/>
        </w:rPr>
        <w:t>.</w:t>
      </w:r>
    </w:p>
    <w:p>
      <w:pPr>
        <w:tabs>
          <w:tab w:pos="844" w:val="left" w:leader="none"/>
        </w:tabs>
        <w:spacing w:before="25"/>
        <w:ind w:left="124" w:right="0" w:firstLine="0"/>
        <w:jc w:val="left"/>
        <w:rPr>
          <w:sz w:val="19"/>
        </w:rPr>
      </w:pPr>
      <w:r>
        <w:rPr>
          <w:color w:val="231F20"/>
          <w:w w:val="128"/>
          <w:sz w:val="19"/>
          <w:u w:val="single" w:color="231F20"/>
        </w:rPr>
        <w:t> </w:t>
      </w:r>
      <w:r>
        <w:rPr>
          <w:color w:val="231F20"/>
          <w:sz w:val="19"/>
          <w:u w:val="single" w:color="231F20"/>
        </w:rPr>
        <w:tab/>
      </w:r>
      <w:r>
        <w:rPr>
          <w:color w:val="231F20"/>
          <w:sz w:val="19"/>
        </w:rPr>
        <w:t> </w:t>
      </w:r>
      <w:r>
        <w:rPr>
          <w:color w:val="231F20"/>
          <w:spacing w:val="-18"/>
          <w:sz w:val="19"/>
        </w:rPr>
        <w:t> </w:t>
      </w:r>
      <w:r>
        <w:rPr>
          <w:color w:val="231F20"/>
          <w:w w:val="105"/>
          <w:sz w:val="19"/>
        </w:rPr>
        <w:t>(2000), </w:t>
      </w:r>
      <w:r>
        <w:rPr>
          <w:i/>
          <w:color w:val="231F20"/>
          <w:w w:val="105"/>
          <w:sz w:val="19"/>
        </w:rPr>
        <w:t>Índices de</w:t>
      </w:r>
      <w:r>
        <w:rPr>
          <w:i/>
          <w:color w:val="231F20"/>
          <w:spacing w:val="11"/>
          <w:w w:val="105"/>
          <w:sz w:val="19"/>
        </w:rPr>
        <w:t> </w:t>
      </w:r>
      <w:r>
        <w:rPr>
          <w:i/>
          <w:color w:val="231F20"/>
          <w:w w:val="105"/>
          <w:sz w:val="19"/>
        </w:rPr>
        <w:t>marginación</w:t>
      </w:r>
      <w:r>
        <w:rPr>
          <w:color w:val="231F20"/>
          <w:w w:val="105"/>
          <w:sz w:val="19"/>
        </w:rPr>
        <w:t>.</w:t>
      </w:r>
    </w:p>
    <w:p>
      <w:pPr>
        <w:tabs>
          <w:tab w:pos="844" w:val="left" w:leader="none"/>
        </w:tabs>
        <w:spacing w:line="266" w:lineRule="auto" w:before="25"/>
        <w:ind w:left="484" w:right="113" w:hanging="360"/>
        <w:jc w:val="both"/>
        <w:rPr>
          <w:sz w:val="19"/>
        </w:rPr>
      </w:pPr>
      <w:r>
        <w:rPr>
          <w:color w:val="231F20"/>
          <w:w w:val="128"/>
          <w:sz w:val="19"/>
          <w:u w:val="single" w:color="231F20"/>
        </w:rPr>
        <w:t> </w:t>
      </w:r>
      <w:r>
        <w:rPr>
          <w:color w:val="231F20"/>
          <w:sz w:val="19"/>
          <w:u w:val="single" w:color="231F20"/>
        </w:rPr>
        <w:tab/>
        <w:tab/>
      </w:r>
      <w:r>
        <w:rPr>
          <w:color w:val="231F20"/>
          <w:spacing w:val="6"/>
          <w:sz w:val="19"/>
        </w:rPr>
        <w:t> </w:t>
      </w:r>
      <w:r>
        <w:rPr>
          <w:color w:val="231F20"/>
          <w:w w:val="105"/>
          <w:sz w:val="19"/>
        </w:rPr>
        <w:t>(2001), </w:t>
      </w:r>
      <w:r>
        <w:rPr>
          <w:i/>
          <w:color w:val="231F20"/>
          <w:w w:val="105"/>
          <w:sz w:val="19"/>
        </w:rPr>
        <w:t>La población de México en el nuevo siglo</w:t>
      </w:r>
      <w:r>
        <w:rPr>
          <w:color w:val="231F20"/>
          <w:w w:val="105"/>
          <w:sz w:val="19"/>
        </w:rPr>
        <w:t>, Rodolfo</w:t>
      </w:r>
      <w:r>
        <w:rPr>
          <w:color w:val="231F20"/>
          <w:spacing w:val="-20"/>
          <w:w w:val="105"/>
          <w:sz w:val="19"/>
        </w:rPr>
        <w:t> </w:t>
      </w:r>
      <w:r>
        <w:rPr>
          <w:color w:val="231F20"/>
          <w:w w:val="105"/>
          <w:sz w:val="19"/>
        </w:rPr>
        <w:t>Tuirán,</w:t>
      </w:r>
      <w:r>
        <w:rPr>
          <w:color w:val="231F20"/>
          <w:spacing w:val="1"/>
          <w:w w:val="105"/>
          <w:sz w:val="19"/>
        </w:rPr>
        <w:t> </w:t>
      </w:r>
      <w:r>
        <w:rPr>
          <w:color w:val="231F20"/>
          <w:w w:val="105"/>
          <w:sz w:val="19"/>
        </w:rPr>
        <w:t>(coord.),</w:t>
      </w:r>
      <w:r>
        <w:rPr>
          <w:color w:val="231F20"/>
          <w:w w:val="105"/>
          <w:sz w:val="19"/>
        </w:rPr>
        <w:t> </w:t>
      </w:r>
      <w:r>
        <w:rPr>
          <w:color w:val="231F20"/>
          <w:w w:val="105"/>
          <w:sz w:val="19"/>
        </w:rPr>
        <w:t>México,  261</w:t>
      </w:r>
      <w:r>
        <w:rPr>
          <w:color w:val="231F20"/>
          <w:spacing w:val="39"/>
          <w:w w:val="105"/>
          <w:sz w:val="19"/>
        </w:rPr>
        <w:t> </w:t>
      </w:r>
      <w:r>
        <w:rPr>
          <w:color w:val="231F20"/>
          <w:w w:val="105"/>
          <w:sz w:val="19"/>
        </w:rPr>
        <w:t>pp.</w:t>
      </w:r>
    </w:p>
    <w:p>
      <w:pPr>
        <w:tabs>
          <w:tab w:pos="844" w:val="left" w:leader="none"/>
        </w:tabs>
        <w:spacing w:line="266" w:lineRule="auto" w:before="0"/>
        <w:ind w:left="484" w:right="113" w:hanging="360"/>
        <w:jc w:val="both"/>
        <w:rPr>
          <w:sz w:val="19"/>
        </w:rPr>
      </w:pPr>
      <w:r>
        <w:rPr>
          <w:color w:val="231F20"/>
          <w:w w:val="128"/>
          <w:sz w:val="19"/>
          <w:u w:val="single" w:color="231F20"/>
        </w:rPr>
        <w:t> </w:t>
      </w:r>
      <w:r>
        <w:rPr>
          <w:color w:val="231F20"/>
          <w:sz w:val="19"/>
          <w:u w:val="single" w:color="231F20"/>
        </w:rPr>
        <w:tab/>
        <w:tab/>
      </w:r>
      <w:r>
        <w:rPr>
          <w:color w:val="231F20"/>
          <w:spacing w:val="19"/>
          <w:sz w:val="19"/>
        </w:rPr>
        <w:t> </w:t>
      </w:r>
      <w:r>
        <w:rPr>
          <w:color w:val="231F20"/>
          <w:w w:val="105"/>
          <w:sz w:val="19"/>
        </w:rPr>
        <w:t>(2002), </w:t>
      </w:r>
      <w:r>
        <w:rPr>
          <w:i/>
          <w:color w:val="231F20"/>
          <w:w w:val="105"/>
          <w:sz w:val="19"/>
        </w:rPr>
        <w:t>Índice de marginación a nivel localidad, 2000</w:t>
      </w:r>
      <w:r>
        <w:rPr>
          <w:color w:val="231F20"/>
          <w:w w:val="105"/>
          <w:sz w:val="19"/>
        </w:rPr>
        <w:t>, </w:t>
      </w:r>
      <w:r>
        <w:rPr>
          <w:color w:val="231F20"/>
          <w:spacing w:val="3"/>
          <w:w w:val="105"/>
          <w:sz w:val="19"/>
        </w:rPr>
        <w:t> </w:t>
      </w:r>
      <w:r>
        <w:rPr>
          <w:color w:val="231F20"/>
          <w:w w:val="105"/>
          <w:sz w:val="19"/>
        </w:rPr>
        <w:t>diciembre,</w:t>
      </w:r>
      <w:r>
        <w:rPr>
          <w:color w:val="231F20"/>
          <w:spacing w:val="9"/>
          <w:w w:val="105"/>
          <w:sz w:val="19"/>
        </w:rPr>
        <w:t> </w:t>
      </w:r>
      <w:r>
        <w:rPr>
          <w:color w:val="231F20"/>
          <w:w w:val="105"/>
          <w:sz w:val="19"/>
        </w:rPr>
        <w:t>México,</w:t>
      </w:r>
      <w:r>
        <w:rPr>
          <w:color w:val="231F20"/>
          <w:w w:val="113"/>
          <w:sz w:val="19"/>
        </w:rPr>
        <w:t> </w:t>
      </w:r>
      <w:r>
        <w:rPr>
          <w:color w:val="231F20"/>
          <w:spacing w:val="-8"/>
          <w:w w:val="105"/>
          <w:sz w:val="19"/>
        </w:rPr>
        <w:t>D.F.</w:t>
      </w:r>
    </w:p>
    <w:p>
      <w:pPr>
        <w:tabs>
          <w:tab w:pos="844" w:val="left" w:leader="none"/>
        </w:tabs>
        <w:spacing w:line="266" w:lineRule="auto" w:before="0"/>
        <w:ind w:left="484" w:right="113" w:hanging="360"/>
        <w:jc w:val="both"/>
        <w:rPr>
          <w:sz w:val="19"/>
        </w:rPr>
      </w:pPr>
      <w:r>
        <w:rPr>
          <w:color w:val="231F20"/>
          <w:w w:val="128"/>
          <w:sz w:val="19"/>
          <w:u w:val="single" w:color="231F20"/>
        </w:rPr>
        <w:t> </w:t>
      </w:r>
      <w:r>
        <w:rPr>
          <w:color w:val="231F20"/>
          <w:sz w:val="19"/>
          <w:u w:val="single" w:color="231F20"/>
        </w:rPr>
        <w:tab/>
        <w:tab/>
      </w:r>
      <w:r>
        <w:rPr>
          <w:color w:val="231F20"/>
          <w:spacing w:val="15"/>
          <w:sz w:val="19"/>
        </w:rPr>
        <w:t> </w:t>
      </w:r>
      <w:r>
        <w:rPr>
          <w:color w:val="231F20"/>
          <w:w w:val="110"/>
          <w:sz w:val="19"/>
        </w:rPr>
        <w:t>(2008),</w:t>
      </w:r>
      <w:r>
        <w:rPr>
          <w:color w:val="231F20"/>
          <w:spacing w:val="-10"/>
          <w:w w:val="110"/>
          <w:sz w:val="19"/>
        </w:rPr>
        <w:t> </w:t>
      </w:r>
      <w:r>
        <w:rPr>
          <w:color w:val="231F20"/>
          <w:w w:val="110"/>
          <w:sz w:val="19"/>
        </w:rPr>
        <w:t>“Informe</w:t>
      </w:r>
      <w:r>
        <w:rPr>
          <w:color w:val="231F20"/>
          <w:spacing w:val="-10"/>
          <w:w w:val="110"/>
          <w:sz w:val="19"/>
        </w:rPr>
        <w:t> </w:t>
      </w:r>
      <w:r>
        <w:rPr>
          <w:color w:val="231F20"/>
          <w:w w:val="110"/>
          <w:sz w:val="19"/>
        </w:rPr>
        <w:t>de</w:t>
      </w:r>
      <w:r>
        <w:rPr>
          <w:color w:val="231F20"/>
          <w:spacing w:val="-10"/>
          <w:w w:val="110"/>
          <w:sz w:val="19"/>
        </w:rPr>
        <w:t> </w:t>
      </w:r>
      <w:r>
        <w:rPr>
          <w:color w:val="231F20"/>
          <w:w w:val="110"/>
          <w:sz w:val="19"/>
        </w:rPr>
        <w:t>México:</w:t>
      </w:r>
      <w:r>
        <w:rPr>
          <w:color w:val="231F20"/>
          <w:spacing w:val="-10"/>
          <w:w w:val="110"/>
          <w:sz w:val="19"/>
        </w:rPr>
        <w:t> </w:t>
      </w:r>
      <w:r>
        <w:rPr>
          <w:color w:val="231F20"/>
          <w:w w:val="110"/>
          <w:sz w:val="19"/>
        </w:rPr>
        <w:t>El</w:t>
      </w:r>
      <w:r>
        <w:rPr>
          <w:color w:val="231F20"/>
          <w:spacing w:val="-10"/>
          <w:w w:val="110"/>
          <w:sz w:val="19"/>
        </w:rPr>
        <w:t> </w:t>
      </w:r>
      <w:r>
        <w:rPr>
          <w:color w:val="231F20"/>
          <w:w w:val="110"/>
          <w:sz w:val="19"/>
        </w:rPr>
        <w:t>cambio</w:t>
      </w:r>
      <w:r>
        <w:rPr>
          <w:color w:val="231F20"/>
          <w:spacing w:val="-10"/>
          <w:w w:val="110"/>
          <w:sz w:val="19"/>
        </w:rPr>
        <w:t> </w:t>
      </w:r>
      <w:r>
        <w:rPr>
          <w:color w:val="231F20"/>
          <w:w w:val="110"/>
          <w:sz w:val="19"/>
        </w:rPr>
        <w:t>demográfico,</w:t>
      </w:r>
      <w:r>
        <w:rPr>
          <w:color w:val="231F20"/>
          <w:spacing w:val="-10"/>
          <w:w w:val="110"/>
          <w:sz w:val="19"/>
        </w:rPr>
        <w:t> </w:t>
      </w:r>
      <w:r>
        <w:rPr>
          <w:color w:val="231F20"/>
          <w:w w:val="110"/>
          <w:sz w:val="19"/>
        </w:rPr>
        <w:t>el</w:t>
      </w:r>
      <w:r>
        <w:rPr>
          <w:color w:val="231F20"/>
          <w:spacing w:val="-10"/>
          <w:w w:val="110"/>
          <w:sz w:val="19"/>
        </w:rPr>
        <w:t> </w:t>
      </w:r>
      <w:r>
        <w:rPr>
          <w:color w:val="231F20"/>
          <w:w w:val="110"/>
          <w:sz w:val="19"/>
        </w:rPr>
        <w:t>envejecimiento</w:t>
      </w:r>
      <w:r>
        <w:rPr>
          <w:color w:val="231F20"/>
          <w:w w:val="108"/>
          <w:sz w:val="19"/>
        </w:rPr>
        <w:t> </w:t>
      </w:r>
      <w:r>
        <w:rPr>
          <w:color w:val="231F20"/>
          <w:w w:val="110"/>
          <w:sz w:val="19"/>
        </w:rPr>
        <w:t>y la migración internacional en México”, en el XXXII Periodo de Sesiones de</w:t>
      </w:r>
      <w:r>
        <w:rPr>
          <w:color w:val="231F20"/>
          <w:spacing w:val="-7"/>
          <w:w w:val="110"/>
          <w:sz w:val="19"/>
        </w:rPr>
        <w:t> </w:t>
      </w:r>
      <w:r>
        <w:rPr>
          <w:color w:val="231F20"/>
          <w:w w:val="110"/>
          <w:sz w:val="19"/>
        </w:rPr>
        <w:t>la</w:t>
      </w:r>
      <w:r>
        <w:rPr>
          <w:color w:val="231F20"/>
          <w:spacing w:val="-7"/>
          <w:w w:val="110"/>
          <w:sz w:val="19"/>
        </w:rPr>
        <w:t> </w:t>
      </w:r>
      <w:r>
        <w:rPr>
          <w:color w:val="231F20"/>
          <w:w w:val="110"/>
          <w:sz w:val="19"/>
        </w:rPr>
        <w:t>Comisión</w:t>
      </w:r>
      <w:r>
        <w:rPr>
          <w:color w:val="231F20"/>
          <w:spacing w:val="-7"/>
          <w:w w:val="110"/>
          <w:sz w:val="19"/>
        </w:rPr>
        <w:t> </w:t>
      </w:r>
      <w:r>
        <w:rPr>
          <w:color w:val="231F20"/>
          <w:w w:val="110"/>
          <w:sz w:val="19"/>
        </w:rPr>
        <w:t>Económica</w:t>
      </w:r>
      <w:r>
        <w:rPr>
          <w:color w:val="231F20"/>
          <w:spacing w:val="-7"/>
          <w:w w:val="110"/>
          <w:sz w:val="19"/>
        </w:rPr>
        <w:t> </w:t>
      </w:r>
      <w:r>
        <w:rPr>
          <w:color w:val="231F20"/>
          <w:w w:val="110"/>
          <w:sz w:val="19"/>
        </w:rPr>
        <w:t>para</w:t>
      </w:r>
      <w:r>
        <w:rPr>
          <w:color w:val="231F20"/>
          <w:spacing w:val="-7"/>
          <w:w w:val="110"/>
          <w:sz w:val="19"/>
        </w:rPr>
        <w:t> </w:t>
      </w:r>
      <w:r>
        <w:rPr>
          <w:color w:val="231F20"/>
          <w:w w:val="110"/>
          <w:sz w:val="19"/>
        </w:rPr>
        <w:t>América</w:t>
      </w:r>
      <w:r>
        <w:rPr>
          <w:color w:val="231F20"/>
          <w:spacing w:val="-7"/>
          <w:w w:val="110"/>
          <w:sz w:val="19"/>
        </w:rPr>
        <w:t> </w:t>
      </w:r>
      <w:r>
        <w:rPr>
          <w:color w:val="231F20"/>
          <w:w w:val="110"/>
          <w:sz w:val="19"/>
        </w:rPr>
        <w:t>Latina</w:t>
      </w:r>
      <w:r>
        <w:rPr>
          <w:color w:val="231F20"/>
          <w:spacing w:val="-7"/>
          <w:w w:val="110"/>
          <w:sz w:val="19"/>
        </w:rPr>
        <w:t> </w:t>
      </w:r>
      <w:r>
        <w:rPr>
          <w:color w:val="231F20"/>
          <w:w w:val="110"/>
          <w:sz w:val="19"/>
        </w:rPr>
        <w:t>y</w:t>
      </w:r>
      <w:r>
        <w:rPr>
          <w:color w:val="231F20"/>
          <w:spacing w:val="-7"/>
          <w:w w:val="110"/>
          <w:sz w:val="19"/>
        </w:rPr>
        <w:t> </w:t>
      </w:r>
      <w:r>
        <w:rPr>
          <w:color w:val="231F20"/>
          <w:w w:val="110"/>
          <w:sz w:val="19"/>
        </w:rPr>
        <w:t>el</w:t>
      </w:r>
      <w:r>
        <w:rPr>
          <w:color w:val="231F20"/>
          <w:spacing w:val="-7"/>
          <w:w w:val="110"/>
          <w:sz w:val="19"/>
        </w:rPr>
        <w:t> </w:t>
      </w:r>
      <w:r>
        <w:rPr>
          <w:color w:val="231F20"/>
          <w:w w:val="110"/>
          <w:sz w:val="19"/>
        </w:rPr>
        <w:t>Caribe</w:t>
      </w:r>
      <w:r>
        <w:rPr>
          <w:color w:val="231F20"/>
          <w:spacing w:val="-7"/>
          <w:w w:val="110"/>
          <w:sz w:val="19"/>
        </w:rPr>
        <w:t> </w:t>
      </w:r>
      <w:r>
        <w:rPr>
          <w:color w:val="231F20"/>
          <w:w w:val="110"/>
          <w:sz w:val="19"/>
        </w:rPr>
        <w:t>(Cepal),</w:t>
      </w:r>
      <w:r>
        <w:rPr>
          <w:color w:val="231F20"/>
          <w:spacing w:val="-7"/>
          <w:w w:val="110"/>
          <w:sz w:val="19"/>
        </w:rPr>
        <w:t> </w:t>
      </w:r>
      <w:r>
        <w:rPr>
          <w:color w:val="231F20"/>
          <w:w w:val="110"/>
          <w:sz w:val="19"/>
        </w:rPr>
        <w:t>Consejo</w:t>
      </w:r>
    </w:p>
    <w:p>
      <w:pPr>
        <w:spacing w:after="0" w:line="266" w:lineRule="auto"/>
        <w:jc w:val="both"/>
        <w:rPr>
          <w:sz w:val="19"/>
        </w:rPr>
        <w:sectPr>
          <w:pgSz w:w="9520" w:h="12920"/>
          <w:pgMar w:header="0" w:footer="1344" w:top="880" w:bottom="1540" w:left="1320" w:right="1000"/>
        </w:sectPr>
      </w:pPr>
    </w:p>
    <w:p>
      <w:pPr>
        <w:spacing w:line="259" w:lineRule="auto" w:before="44"/>
        <w:ind w:left="480" w:right="104" w:firstLine="0"/>
        <w:jc w:val="left"/>
        <w:rPr>
          <w:sz w:val="19"/>
        </w:rPr>
      </w:pPr>
      <w:r>
        <w:rPr>
          <w:color w:val="231F20"/>
          <w:w w:val="110"/>
          <w:sz w:val="19"/>
        </w:rPr>
        <w:t>Nacional de Población, Santo Domingo, República Dominicana del 9 al 13 de  Junio.</w:t>
      </w:r>
    </w:p>
    <w:p>
      <w:pPr>
        <w:tabs>
          <w:tab w:pos="839" w:val="left" w:leader="none"/>
        </w:tabs>
        <w:spacing w:line="222" w:lineRule="exact" w:before="0"/>
        <w:ind w:left="120" w:right="0" w:firstLine="0"/>
        <w:jc w:val="left"/>
        <w:rPr>
          <w:sz w:val="19"/>
        </w:rPr>
      </w:pPr>
      <w:r>
        <w:rPr>
          <w:color w:val="231F20"/>
          <w:w w:val="128"/>
          <w:sz w:val="19"/>
          <w:u w:val="single" w:color="231F20"/>
        </w:rPr>
        <w:t> </w:t>
      </w:r>
      <w:r>
        <w:rPr>
          <w:color w:val="231F20"/>
          <w:sz w:val="19"/>
          <w:u w:val="single" w:color="231F20"/>
        </w:rPr>
        <w:tab/>
      </w:r>
      <w:r>
        <w:rPr>
          <w:color w:val="231F20"/>
          <w:sz w:val="19"/>
        </w:rPr>
        <w:t> </w:t>
      </w:r>
      <w:r>
        <w:rPr>
          <w:color w:val="231F20"/>
          <w:spacing w:val="-18"/>
          <w:sz w:val="19"/>
        </w:rPr>
        <w:t> </w:t>
      </w:r>
      <w:r>
        <w:rPr>
          <w:color w:val="231F20"/>
          <w:w w:val="110"/>
          <w:sz w:val="19"/>
        </w:rPr>
        <w:t>(2010), Consejo Nacional de Población, noviembre, México, </w:t>
      </w:r>
      <w:r>
        <w:rPr>
          <w:color w:val="231F20"/>
          <w:spacing w:val="10"/>
          <w:w w:val="110"/>
          <w:sz w:val="19"/>
        </w:rPr>
        <w:t> </w:t>
      </w:r>
      <w:r>
        <w:rPr>
          <w:color w:val="231F20"/>
          <w:spacing w:val="-8"/>
          <w:w w:val="110"/>
          <w:sz w:val="19"/>
        </w:rPr>
        <w:t>D.F.</w:t>
      </w:r>
    </w:p>
    <w:p>
      <w:pPr>
        <w:tabs>
          <w:tab w:pos="839" w:val="left" w:leader="none"/>
        </w:tabs>
        <w:spacing w:before="17"/>
        <w:ind w:left="120" w:right="0" w:firstLine="0"/>
        <w:jc w:val="left"/>
        <w:rPr>
          <w:sz w:val="19"/>
        </w:rPr>
      </w:pPr>
      <w:r>
        <w:rPr>
          <w:color w:val="231F20"/>
          <w:w w:val="128"/>
          <w:sz w:val="19"/>
          <w:u w:val="single" w:color="231F20"/>
        </w:rPr>
        <w:t> </w:t>
      </w:r>
      <w:r>
        <w:rPr>
          <w:color w:val="231F20"/>
          <w:sz w:val="19"/>
          <w:u w:val="single" w:color="231F20"/>
        </w:rPr>
        <w:tab/>
      </w:r>
      <w:r>
        <w:rPr>
          <w:color w:val="231F20"/>
          <w:sz w:val="19"/>
        </w:rPr>
        <w:t> </w:t>
      </w:r>
      <w:r>
        <w:rPr>
          <w:color w:val="231F20"/>
          <w:spacing w:val="-18"/>
          <w:sz w:val="19"/>
        </w:rPr>
        <w:t> </w:t>
      </w:r>
      <w:r>
        <w:rPr>
          <w:color w:val="231F20"/>
          <w:w w:val="105"/>
          <w:sz w:val="19"/>
        </w:rPr>
        <w:t>(2011), </w:t>
      </w:r>
      <w:r>
        <w:rPr>
          <w:i/>
          <w:color w:val="231F20"/>
          <w:w w:val="105"/>
          <w:sz w:val="19"/>
        </w:rPr>
        <w:t>Proyecciones de población</w:t>
      </w:r>
      <w:r>
        <w:rPr>
          <w:color w:val="231F20"/>
          <w:w w:val="105"/>
          <w:sz w:val="19"/>
        </w:rPr>
        <w:t>,</w:t>
      </w:r>
      <w:r>
        <w:rPr>
          <w:color w:val="231F20"/>
          <w:spacing w:val="-19"/>
          <w:w w:val="105"/>
          <w:sz w:val="19"/>
        </w:rPr>
        <w:t> </w:t>
      </w:r>
      <w:r>
        <w:rPr>
          <w:color w:val="231F20"/>
          <w:w w:val="105"/>
          <w:sz w:val="19"/>
        </w:rPr>
        <w:t>2010-2030.</w:t>
      </w:r>
    </w:p>
    <w:p>
      <w:pPr>
        <w:spacing w:line="259" w:lineRule="auto" w:before="17"/>
        <w:ind w:left="480" w:right="119" w:hanging="360"/>
        <w:jc w:val="both"/>
        <w:rPr>
          <w:sz w:val="19"/>
        </w:rPr>
      </w:pPr>
      <w:r>
        <w:rPr>
          <w:color w:val="231F20"/>
          <w:w w:val="105"/>
          <w:sz w:val="19"/>
        </w:rPr>
        <w:t>Conapo y Progresa (1998), </w:t>
      </w:r>
      <w:r>
        <w:rPr>
          <w:i/>
          <w:color w:val="231F20"/>
          <w:w w:val="105"/>
          <w:sz w:val="19"/>
        </w:rPr>
        <w:t>Índices de marginación, 1995</w:t>
      </w:r>
      <w:r>
        <w:rPr>
          <w:color w:val="231F20"/>
          <w:w w:val="105"/>
          <w:sz w:val="19"/>
        </w:rPr>
        <w:t>, México, Consejo Nacio- nal  de Población.</w:t>
      </w:r>
    </w:p>
    <w:p>
      <w:pPr>
        <w:spacing w:line="259" w:lineRule="auto" w:before="0"/>
        <w:ind w:left="480" w:right="116" w:hanging="360"/>
        <w:jc w:val="both"/>
        <w:rPr>
          <w:sz w:val="19"/>
        </w:rPr>
      </w:pPr>
      <w:r>
        <w:rPr>
          <w:color w:val="231F20"/>
          <w:w w:val="105"/>
          <w:sz w:val="19"/>
        </w:rPr>
        <w:t>Conapo y </w:t>
      </w:r>
      <w:r>
        <w:rPr>
          <w:rFonts w:ascii="Times New Roman" w:hAnsi="Times New Roman"/>
          <w:color w:val="231F20"/>
          <w:w w:val="105"/>
          <w:sz w:val="15"/>
        </w:rPr>
        <w:t>CNA </w:t>
      </w:r>
      <w:r>
        <w:rPr>
          <w:color w:val="231F20"/>
          <w:w w:val="105"/>
          <w:sz w:val="19"/>
        </w:rPr>
        <w:t>(1994), </w:t>
      </w:r>
      <w:r>
        <w:rPr>
          <w:i/>
          <w:color w:val="231F20"/>
          <w:w w:val="105"/>
          <w:sz w:val="19"/>
        </w:rPr>
        <w:t>Desigualdad regional y marginación municipal en México, </w:t>
      </w:r>
      <w:r>
        <w:rPr>
          <w:i/>
          <w:color w:val="231F20"/>
          <w:spacing w:val="2"/>
          <w:w w:val="105"/>
          <w:sz w:val="19"/>
        </w:rPr>
        <w:t>1990</w:t>
      </w:r>
      <w:r>
        <w:rPr>
          <w:color w:val="231F20"/>
          <w:spacing w:val="2"/>
          <w:w w:val="105"/>
          <w:sz w:val="19"/>
        </w:rPr>
        <w:t>, </w:t>
      </w:r>
      <w:r>
        <w:rPr>
          <w:color w:val="231F20"/>
          <w:spacing w:val="3"/>
          <w:w w:val="105"/>
          <w:sz w:val="19"/>
        </w:rPr>
        <w:t>México, Consejo Nacional </w:t>
      </w:r>
      <w:r>
        <w:rPr>
          <w:color w:val="231F20"/>
          <w:w w:val="105"/>
          <w:sz w:val="19"/>
        </w:rPr>
        <w:t>de </w:t>
      </w:r>
      <w:r>
        <w:rPr>
          <w:color w:val="231F20"/>
          <w:spacing w:val="3"/>
          <w:w w:val="105"/>
          <w:sz w:val="19"/>
        </w:rPr>
        <w:t>Población </w:t>
      </w:r>
      <w:r>
        <w:rPr>
          <w:color w:val="231F20"/>
          <w:w w:val="105"/>
          <w:sz w:val="19"/>
        </w:rPr>
        <w:t>y </w:t>
      </w:r>
      <w:r>
        <w:rPr>
          <w:color w:val="231F20"/>
          <w:spacing w:val="3"/>
          <w:w w:val="105"/>
          <w:sz w:val="19"/>
        </w:rPr>
        <w:t>Comisión Nacional  </w:t>
      </w:r>
      <w:r>
        <w:rPr>
          <w:color w:val="231F20"/>
          <w:spacing w:val="2"/>
          <w:w w:val="105"/>
          <w:sz w:val="19"/>
        </w:rPr>
        <w:t>del</w:t>
      </w:r>
      <w:r>
        <w:rPr>
          <w:color w:val="231F20"/>
          <w:spacing w:val="47"/>
          <w:w w:val="105"/>
          <w:sz w:val="19"/>
        </w:rPr>
        <w:t> </w:t>
      </w:r>
      <w:r>
        <w:rPr>
          <w:color w:val="231F20"/>
          <w:w w:val="105"/>
          <w:sz w:val="19"/>
        </w:rPr>
        <w:t>Agua,  </w:t>
      </w:r>
      <w:r>
        <w:rPr>
          <w:color w:val="231F20"/>
          <w:spacing w:val="16"/>
          <w:w w:val="105"/>
          <w:sz w:val="19"/>
        </w:rPr>
        <w:t> </w:t>
      </w:r>
      <w:r>
        <w:rPr>
          <w:color w:val="231F20"/>
          <w:w w:val="105"/>
          <w:sz w:val="19"/>
        </w:rPr>
        <w:t>Noviembre.</w:t>
      </w:r>
    </w:p>
    <w:p>
      <w:pPr>
        <w:spacing w:line="259" w:lineRule="auto" w:before="0"/>
        <w:ind w:left="480" w:right="119" w:hanging="360"/>
        <w:jc w:val="both"/>
        <w:rPr>
          <w:sz w:val="19"/>
        </w:rPr>
      </w:pPr>
      <w:r>
        <w:rPr>
          <w:rFonts w:ascii="Times New Roman" w:hAnsi="Times New Roman"/>
          <w:color w:val="231F20"/>
          <w:w w:val="110"/>
          <w:sz w:val="19"/>
        </w:rPr>
        <w:t>C</w:t>
      </w:r>
      <w:r>
        <w:rPr>
          <w:rFonts w:ascii="Times New Roman" w:hAnsi="Times New Roman"/>
          <w:color w:val="231F20"/>
          <w:w w:val="110"/>
          <w:sz w:val="15"/>
        </w:rPr>
        <w:t>ORTÉS</w:t>
      </w:r>
      <w:r>
        <w:rPr>
          <w:color w:val="231F20"/>
          <w:w w:val="110"/>
          <w:sz w:val="19"/>
        </w:rPr>
        <w:t>, Fernando, (2002), “Consideraciones sobre la marginalidad, margina- ción, pobreza y desigualdad en la distribución del ingreso”, en </w:t>
      </w:r>
      <w:r>
        <w:rPr>
          <w:i/>
          <w:color w:val="231F20"/>
          <w:w w:val="110"/>
          <w:sz w:val="19"/>
        </w:rPr>
        <w:t>Papeles de </w:t>
      </w:r>
      <w:r>
        <w:rPr>
          <w:i/>
          <w:color w:val="231F20"/>
          <w:w w:val="110"/>
          <w:sz w:val="19"/>
        </w:rPr>
        <w:t>Población</w:t>
      </w:r>
      <w:r>
        <w:rPr>
          <w:color w:val="231F20"/>
          <w:w w:val="110"/>
          <w:sz w:val="19"/>
        </w:rPr>
        <w:t>, núm. 31, enero-marzo, México, Centro de Investigación y Estu- dios Avanzados de la Población, </w:t>
      </w:r>
      <w:r>
        <w:rPr>
          <w:rFonts w:ascii="Times New Roman" w:hAnsi="Times New Roman"/>
          <w:color w:val="231F20"/>
          <w:w w:val="110"/>
          <w:sz w:val="15"/>
        </w:rPr>
        <w:t>UAEM</w:t>
      </w:r>
      <w:r>
        <w:rPr>
          <w:color w:val="231F20"/>
          <w:w w:val="110"/>
          <w:sz w:val="19"/>
        </w:rPr>
        <w:t>, pp. 9-24.</w:t>
      </w:r>
    </w:p>
    <w:p>
      <w:pPr>
        <w:tabs>
          <w:tab w:pos="839" w:val="left" w:leader="none"/>
        </w:tabs>
        <w:spacing w:line="259" w:lineRule="auto" w:before="0"/>
        <w:ind w:left="480" w:right="117" w:hanging="360"/>
        <w:jc w:val="both"/>
        <w:rPr>
          <w:sz w:val="19"/>
        </w:rPr>
      </w:pPr>
      <w:r>
        <w:rPr>
          <w:color w:val="231F20"/>
          <w:w w:val="128"/>
          <w:sz w:val="19"/>
          <w:u w:val="single" w:color="231F20"/>
        </w:rPr>
        <w:t> </w:t>
      </w:r>
      <w:r>
        <w:rPr>
          <w:color w:val="231F20"/>
          <w:sz w:val="19"/>
          <w:u w:val="single" w:color="231F20"/>
        </w:rPr>
        <w:tab/>
        <w:tab/>
      </w:r>
      <w:r>
        <w:rPr>
          <w:color w:val="231F20"/>
          <w:sz w:val="19"/>
        </w:rPr>
        <w:t> </w:t>
      </w:r>
      <w:r>
        <w:rPr>
          <w:color w:val="231F20"/>
          <w:spacing w:val="-1"/>
          <w:sz w:val="19"/>
        </w:rPr>
        <w:t> </w:t>
      </w:r>
      <w:r>
        <w:rPr>
          <w:color w:val="231F20"/>
          <w:w w:val="110"/>
          <w:sz w:val="19"/>
        </w:rPr>
        <w:t>(2006), “Consideraciones sobre la marginación, la   </w:t>
      </w:r>
      <w:r>
        <w:rPr>
          <w:color w:val="231F20"/>
          <w:spacing w:val="27"/>
          <w:w w:val="110"/>
          <w:sz w:val="19"/>
        </w:rPr>
        <w:t> </w:t>
      </w:r>
      <w:r>
        <w:rPr>
          <w:color w:val="231F20"/>
          <w:w w:val="110"/>
          <w:sz w:val="19"/>
        </w:rPr>
        <w:t>marginalidad,</w:t>
      </w:r>
      <w:r>
        <w:rPr>
          <w:color w:val="231F20"/>
          <w:spacing w:val="27"/>
          <w:w w:val="110"/>
          <w:sz w:val="19"/>
        </w:rPr>
        <w:t> </w:t>
      </w:r>
      <w:r>
        <w:rPr>
          <w:color w:val="231F20"/>
          <w:w w:val="110"/>
          <w:sz w:val="19"/>
        </w:rPr>
        <w:t>la</w:t>
      </w:r>
      <w:r>
        <w:rPr>
          <w:color w:val="231F20"/>
          <w:w w:val="108"/>
          <w:sz w:val="19"/>
        </w:rPr>
        <w:t> </w:t>
      </w:r>
      <w:r>
        <w:rPr>
          <w:color w:val="231F20"/>
          <w:w w:val="110"/>
          <w:sz w:val="19"/>
        </w:rPr>
        <w:t>marginalidad económica y exclusión social”, </w:t>
      </w:r>
      <w:r>
        <w:rPr>
          <w:i/>
          <w:color w:val="231F20"/>
          <w:spacing w:val="-3"/>
          <w:w w:val="110"/>
          <w:sz w:val="19"/>
        </w:rPr>
        <w:t>Papeles </w:t>
      </w:r>
      <w:r>
        <w:rPr>
          <w:i/>
          <w:color w:val="231F20"/>
          <w:w w:val="110"/>
          <w:sz w:val="19"/>
        </w:rPr>
        <w:t>de Población</w:t>
      </w:r>
      <w:r>
        <w:rPr>
          <w:color w:val="231F20"/>
          <w:w w:val="110"/>
          <w:sz w:val="19"/>
        </w:rPr>
        <w:t>, núm.</w:t>
      </w:r>
      <w:r>
        <w:rPr>
          <w:color w:val="231F20"/>
          <w:spacing w:val="-19"/>
          <w:w w:val="110"/>
          <w:sz w:val="19"/>
        </w:rPr>
        <w:t> </w:t>
      </w:r>
      <w:r>
        <w:rPr>
          <w:color w:val="231F20"/>
          <w:w w:val="110"/>
          <w:sz w:val="19"/>
        </w:rPr>
        <w:t>47, México, enero-marzo, Centro de Investigación y Estudios Avanzados de la Población, </w:t>
      </w:r>
      <w:r>
        <w:rPr>
          <w:rFonts w:ascii="Times New Roman" w:hAnsi="Times New Roman"/>
          <w:color w:val="231F20"/>
          <w:w w:val="110"/>
          <w:sz w:val="15"/>
        </w:rPr>
        <w:t>UAEM</w:t>
      </w:r>
      <w:r>
        <w:rPr>
          <w:color w:val="231F20"/>
          <w:w w:val="110"/>
          <w:sz w:val="19"/>
        </w:rPr>
        <w:t>, pp.</w:t>
      </w:r>
      <w:r>
        <w:rPr>
          <w:color w:val="231F20"/>
          <w:spacing w:val="-31"/>
          <w:w w:val="110"/>
          <w:sz w:val="19"/>
        </w:rPr>
        <w:t> </w:t>
      </w:r>
      <w:r>
        <w:rPr>
          <w:color w:val="231F20"/>
          <w:w w:val="110"/>
          <w:sz w:val="19"/>
        </w:rPr>
        <w:t>71-84.</w:t>
      </w:r>
    </w:p>
    <w:p>
      <w:pPr>
        <w:spacing w:line="259" w:lineRule="auto" w:before="0"/>
        <w:ind w:left="480" w:right="116" w:hanging="360"/>
        <w:jc w:val="both"/>
        <w:rPr>
          <w:sz w:val="19"/>
        </w:rPr>
      </w:pPr>
      <w:r>
        <w:rPr>
          <w:rFonts w:ascii="Times New Roman" w:hAnsi="Times New Roman"/>
          <w:color w:val="231F20"/>
          <w:w w:val="110"/>
          <w:sz w:val="19"/>
        </w:rPr>
        <w:t>G</w:t>
      </w:r>
      <w:r>
        <w:rPr>
          <w:rFonts w:ascii="Times New Roman" w:hAnsi="Times New Roman"/>
          <w:color w:val="231F20"/>
          <w:w w:val="110"/>
          <w:sz w:val="15"/>
        </w:rPr>
        <w:t>ARCÍA </w:t>
      </w:r>
      <w:r>
        <w:rPr>
          <w:rFonts w:ascii="Times New Roman" w:hAnsi="Times New Roman"/>
          <w:color w:val="231F20"/>
          <w:w w:val="110"/>
          <w:sz w:val="19"/>
        </w:rPr>
        <w:t>B</w:t>
      </w:r>
      <w:r>
        <w:rPr>
          <w:rFonts w:ascii="Times New Roman" w:hAnsi="Times New Roman"/>
          <w:color w:val="231F20"/>
          <w:w w:val="110"/>
          <w:sz w:val="15"/>
        </w:rPr>
        <w:t>ALLESTEROS</w:t>
      </w:r>
      <w:r>
        <w:rPr>
          <w:color w:val="231F20"/>
          <w:w w:val="110"/>
          <w:sz w:val="19"/>
        </w:rPr>
        <w:t>, Aurora, María Inés Ortiz Álvarez, María Del Consuelo Gómez Escobar (2003), “El envejecimiento de las poblaciones: los casos</w:t>
      </w:r>
      <w:r>
        <w:rPr>
          <w:color w:val="231F20"/>
          <w:spacing w:val="-25"/>
          <w:w w:val="110"/>
          <w:sz w:val="19"/>
        </w:rPr>
        <w:t> </w:t>
      </w:r>
      <w:r>
        <w:rPr>
          <w:color w:val="231F20"/>
          <w:w w:val="110"/>
          <w:sz w:val="19"/>
        </w:rPr>
        <w:t>de </w:t>
      </w:r>
      <w:r>
        <w:rPr>
          <w:color w:val="231F20"/>
          <w:spacing w:val="3"/>
          <w:w w:val="110"/>
          <w:sz w:val="19"/>
        </w:rPr>
        <w:t>España </w:t>
      </w:r>
      <w:r>
        <w:rPr>
          <w:color w:val="231F20"/>
          <w:w w:val="110"/>
          <w:sz w:val="19"/>
        </w:rPr>
        <w:t>y </w:t>
      </w:r>
      <w:r>
        <w:rPr>
          <w:color w:val="231F20"/>
          <w:spacing w:val="3"/>
          <w:w w:val="110"/>
          <w:sz w:val="19"/>
        </w:rPr>
        <w:t>México”, </w:t>
      </w:r>
      <w:r>
        <w:rPr>
          <w:i/>
          <w:color w:val="231F20"/>
          <w:spacing w:val="3"/>
          <w:w w:val="110"/>
          <w:sz w:val="19"/>
        </w:rPr>
        <w:t>Anales </w:t>
      </w:r>
      <w:r>
        <w:rPr>
          <w:i/>
          <w:color w:val="231F20"/>
          <w:w w:val="110"/>
          <w:sz w:val="19"/>
        </w:rPr>
        <w:t>de </w:t>
      </w:r>
      <w:r>
        <w:rPr>
          <w:i/>
          <w:color w:val="231F20"/>
          <w:spacing w:val="3"/>
          <w:w w:val="110"/>
          <w:sz w:val="19"/>
        </w:rPr>
        <w:t>Geografía</w:t>
      </w:r>
      <w:r>
        <w:rPr>
          <w:color w:val="231F20"/>
          <w:spacing w:val="3"/>
          <w:w w:val="110"/>
          <w:sz w:val="19"/>
        </w:rPr>
        <w:t>, núm. </w:t>
      </w:r>
      <w:r>
        <w:rPr>
          <w:color w:val="231F20"/>
          <w:spacing w:val="2"/>
          <w:w w:val="110"/>
          <w:sz w:val="19"/>
        </w:rPr>
        <w:t>23, </w:t>
      </w:r>
      <w:r>
        <w:rPr>
          <w:color w:val="231F20"/>
          <w:spacing w:val="3"/>
          <w:w w:val="110"/>
          <w:sz w:val="19"/>
        </w:rPr>
        <w:t>España, Universidad </w:t>
      </w:r>
      <w:r>
        <w:rPr>
          <w:color w:val="231F20"/>
          <w:w w:val="110"/>
          <w:sz w:val="19"/>
        </w:rPr>
        <w:t>Complutense de Madrid, pp.</w:t>
      </w:r>
      <w:r>
        <w:rPr>
          <w:color w:val="231F20"/>
          <w:spacing w:val="11"/>
          <w:w w:val="110"/>
          <w:sz w:val="19"/>
        </w:rPr>
        <w:t> </w:t>
      </w:r>
      <w:r>
        <w:rPr>
          <w:color w:val="231F20"/>
          <w:w w:val="110"/>
          <w:sz w:val="19"/>
        </w:rPr>
        <w:t>75-102.</w:t>
      </w:r>
    </w:p>
    <w:p>
      <w:pPr>
        <w:spacing w:line="259" w:lineRule="auto" w:before="0"/>
        <w:ind w:left="479" w:right="117" w:hanging="360"/>
        <w:jc w:val="both"/>
        <w:rPr>
          <w:sz w:val="19"/>
        </w:rPr>
      </w:pPr>
      <w:r>
        <w:rPr>
          <w:rFonts w:ascii="Times New Roman" w:hAnsi="Times New Roman"/>
          <w:color w:val="231F20"/>
          <w:w w:val="105"/>
          <w:sz w:val="19"/>
        </w:rPr>
        <w:t>G</w:t>
      </w:r>
      <w:r>
        <w:rPr>
          <w:rFonts w:ascii="Times New Roman" w:hAnsi="Times New Roman"/>
          <w:color w:val="231F20"/>
          <w:w w:val="105"/>
          <w:sz w:val="15"/>
        </w:rPr>
        <w:t>ARCÍA </w:t>
      </w:r>
      <w:r>
        <w:rPr>
          <w:rFonts w:ascii="Times New Roman" w:hAnsi="Times New Roman"/>
          <w:color w:val="231F20"/>
          <w:w w:val="105"/>
          <w:sz w:val="19"/>
        </w:rPr>
        <w:t>Z</w:t>
      </w:r>
      <w:r>
        <w:rPr>
          <w:rFonts w:ascii="Times New Roman" w:hAnsi="Times New Roman"/>
          <w:color w:val="231F20"/>
          <w:w w:val="105"/>
          <w:sz w:val="15"/>
        </w:rPr>
        <w:t>ARZA</w:t>
      </w:r>
      <w:r>
        <w:rPr>
          <w:color w:val="231F20"/>
          <w:w w:val="105"/>
          <w:sz w:val="19"/>
        </w:rPr>
        <w:t>, E. (1998), </w:t>
      </w:r>
      <w:r>
        <w:rPr>
          <w:i/>
          <w:color w:val="231F20"/>
          <w:w w:val="105"/>
          <w:sz w:val="19"/>
        </w:rPr>
        <w:t>Geografía del envejecimiento. Tercera edad en Castilla y </w:t>
      </w:r>
      <w:r>
        <w:rPr>
          <w:i/>
          <w:color w:val="231F20"/>
          <w:w w:val="105"/>
          <w:sz w:val="19"/>
        </w:rPr>
        <w:t>León</w:t>
      </w:r>
      <w:r>
        <w:rPr>
          <w:color w:val="231F20"/>
          <w:w w:val="105"/>
          <w:sz w:val="19"/>
        </w:rPr>
        <w:t>, Salamanca, Junta de Castilla y León, Consejería de Sanidad y Bienes-    tar  Social,  pp.</w:t>
      </w:r>
      <w:r>
        <w:rPr>
          <w:color w:val="231F20"/>
          <w:spacing w:val="-1"/>
          <w:w w:val="105"/>
          <w:sz w:val="19"/>
        </w:rPr>
        <w:t> </w:t>
      </w:r>
      <w:r>
        <w:rPr>
          <w:color w:val="231F20"/>
          <w:w w:val="105"/>
          <w:sz w:val="19"/>
        </w:rPr>
        <w:t>199.</w:t>
      </w:r>
    </w:p>
    <w:p>
      <w:pPr>
        <w:spacing w:line="259" w:lineRule="auto" w:before="0"/>
        <w:ind w:left="479" w:right="117" w:hanging="360"/>
        <w:jc w:val="both"/>
        <w:rPr>
          <w:sz w:val="19"/>
        </w:rPr>
      </w:pPr>
      <w:r>
        <w:rPr>
          <w:rFonts w:ascii="Times New Roman" w:hAnsi="Times New Roman"/>
          <w:color w:val="231F20"/>
          <w:w w:val="105"/>
          <w:sz w:val="19"/>
        </w:rPr>
        <w:t>G</w:t>
      </w:r>
      <w:r>
        <w:rPr>
          <w:rFonts w:ascii="Times New Roman" w:hAnsi="Times New Roman"/>
          <w:color w:val="231F20"/>
          <w:w w:val="105"/>
          <w:sz w:val="15"/>
        </w:rPr>
        <w:t>ARZA</w:t>
      </w:r>
      <w:r>
        <w:rPr>
          <w:rFonts w:ascii="Times New Roman" w:hAnsi="Times New Roman"/>
          <w:color w:val="231F20"/>
          <w:w w:val="105"/>
          <w:sz w:val="19"/>
        </w:rPr>
        <w:t>, </w:t>
      </w:r>
      <w:r>
        <w:rPr>
          <w:color w:val="231F20"/>
          <w:w w:val="105"/>
          <w:sz w:val="19"/>
        </w:rPr>
        <w:t>R. (1985), </w:t>
      </w:r>
      <w:r>
        <w:rPr>
          <w:i/>
          <w:color w:val="231F20"/>
          <w:w w:val="105"/>
          <w:sz w:val="19"/>
        </w:rPr>
        <w:t>Estratificación del Área Metropolitana de Monterrey. Un análisis </w:t>
      </w:r>
      <w:r>
        <w:rPr>
          <w:i/>
          <w:color w:val="231F20"/>
          <w:w w:val="105"/>
          <w:sz w:val="19"/>
        </w:rPr>
        <w:t>efectuado con la aplicación de la técnica discriminante</w:t>
      </w:r>
      <w:r>
        <w:rPr>
          <w:color w:val="231F20"/>
          <w:w w:val="105"/>
          <w:sz w:val="19"/>
        </w:rPr>
        <w:t>, Monterrey, México, Universidad  Autónoma  de  Nuevo   León.</w:t>
      </w:r>
    </w:p>
    <w:p>
      <w:pPr>
        <w:spacing w:line="259" w:lineRule="auto" w:before="0"/>
        <w:ind w:left="120" w:right="114" w:firstLine="0"/>
        <w:jc w:val="right"/>
        <w:rPr>
          <w:sz w:val="19"/>
        </w:rPr>
      </w:pPr>
      <w:r>
        <w:rPr>
          <w:rFonts w:ascii="Times New Roman" w:hAnsi="Times New Roman"/>
          <w:color w:val="231F20"/>
          <w:w w:val="105"/>
          <w:sz w:val="19"/>
        </w:rPr>
        <w:t>G</w:t>
      </w:r>
      <w:r>
        <w:rPr>
          <w:rFonts w:ascii="Times New Roman" w:hAnsi="Times New Roman"/>
          <w:color w:val="231F20"/>
          <w:w w:val="105"/>
          <w:sz w:val="15"/>
        </w:rPr>
        <w:t>ARROCHO</w:t>
      </w:r>
      <w:r>
        <w:rPr>
          <w:color w:val="231F20"/>
          <w:w w:val="105"/>
          <w:sz w:val="19"/>
        </w:rPr>
        <w:t>, Carlos y Juan Campos (2005), </w:t>
      </w:r>
      <w:r>
        <w:rPr>
          <w:color w:val="231F20"/>
          <w:spacing w:val="6"/>
          <w:w w:val="105"/>
          <w:sz w:val="19"/>
        </w:rPr>
        <w:t>“La </w:t>
      </w:r>
      <w:r>
        <w:rPr>
          <w:color w:val="231F20"/>
          <w:w w:val="105"/>
          <w:sz w:val="19"/>
        </w:rPr>
        <w:t>población  adulta  mayor </w:t>
      </w:r>
      <w:r>
        <w:rPr>
          <w:color w:val="231F20"/>
          <w:spacing w:val="25"/>
          <w:w w:val="105"/>
          <w:sz w:val="19"/>
        </w:rPr>
        <w:t> </w:t>
      </w:r>
      <w:r>
        <w:rPr>
          <w:color w:val="231F20"/>
          <w:w w:val="105"/>
          <w:sz w:val="19"/>
        </w:rPr>
        <w:t>en </w:t>
      </w:r>
      <w:r>
        <w:rPr>
          <w:color w:val="231F20"/>
          <w:spacing w:val="8"/>
          <w:w w:val="105"/>
          <w:sz w:val="19"/>
        </w:rPr>
        <w:t> </w:t>
      </w:r>
      <w:r>
        <w:rPr>
          <w:color w:val="231F20"/>
          <w:w w:val="105"/>
          <w:sz w:val="19"/>
        </w:rPr>
        <w:t>el</w:t>
      </w:r>
      <w:r>
        <w:rPr>
          <w:color w:val="231F20"/>
          <w:w w:val="101"/>
          <w:sz w:val="19"/>
        </w:rPr>
        <w:t> </w:t>
      </w:r>
      <w:r>
        <w:rPr>
          <w:color w:val="231F20"/>
          <w:w w:val="105"/>
          <w:sz w:val="19"/>
        </w:rPr>
        <w:t>área metropolitana de Toluca 1990-2000”, </w:t>
      </w:r>
      <w:r>
        <w:rPr>
          <w:i/>
          <w:color w:val="231F20"/>
          <w:w w:val="105"/>
          <w:sz w:val="19"/>
        </w:rPr>
        <w:t>Papeles de Población</w:t>
      </w:r>
      <w:r>
        <w:rPr>
          <w:color w:val="231F20"/>
          <w:w w:val="105"/>
          <w:sz w:val="19"/>
        </w:rPr>
        <w:t>,</w:t>
      </w:r>
      <w:r>
        <w:rPr>
          <w:color w:val="231F20"/>
          <w:spacing w:val="14"/>
          <w:w w:val="105"/>
          <w:sz w:val="19"/>
        </w:rPr>
        <w:t> </w:t>
      </w:r>
      <w:r>
        <w:rPr>
          <w:color w:val="231F20"/>
          <w:w w:val="105"/>
          <w:sz w:val="19"/>
        </w:rPr>
        <w:t>núm.</w:t>
      </w:r>
      <w:r>
        <w:rPr>
          <w:color w:val="231F20"/>
          <w:spacing w:val="42"/>
          <w:w w:val="105"/>
          <w:sz w:val="19"/>
        </w:rPr>
        <w:t> </w:t>
      </w:r>
      <w:r>
        <w:rPr>
          <w:color w:val="231F20"/>
          <w:w w:val="105"/>
          <w:sz w:val="19"/>
        </w:rPr>
        <w:t>45,</w:t>
      </w:r>
      <w:r>
        <w:rPr>
          <w:color w:val="231F20"/>
          <w:w w:val="128"/>
          <w:sz w:val="19"/>
        </w:rPr>
        <w:t> </w:t>
      </w:r>
      <w:r>
        <w:rPr>
          <w:color w:val="231F20"/>
          <w:w w:val="105"/>
          <w:sz w:val="19"/>
        </w:rPr>
        <w:t>julio-septiembre,</w:t>
      </w:r>
      <w:r>
        <w:rPr>
          <w:color w:val="231F20"/>
          <w:spacing w:val="30"/>
          <w:w w:val="105"/>
          <w:sz w:val="19"/>
        </w:rPr>
        <w:t> </w:t>
      </w:r>
      <w:r>
        <w:rPr>
          <w:color w:val="231F20"/>
          <w:w w:val="105"/>
          <w:sz w:val="19"/>
        </w:rPr>
        <w:t>Universidad</w:t>
      </w:r>
      <w:r>
        <w:rPr>
          <w:color w:val="231F20"/>
          <w:spacing w:val="30"/>
          <w:w w:val="105"/>
          <w:sz w:val="19"/>
        </w:rPr>
        <w:t> </w:t>
      </w:r>
      <w:r>
        <w:rPr>
          <w:color w:val="231F20"/>
          <w:w w:val="105"/>
          <w:sz w:val="19"/>
        </w:rPr>
        <w:t>Autónoma</w:t>
      </w:r>
      <w:r>
        <w:rPr>
          <w:color w:val="231F20"/>
          <w:spacing w:val="30"/>
          <w:w w:val="105"/>
          <w:sz w:val="19"/>
        </w:rPr>
        <w:t> </w:t>
      </w:r>
      <w:r>
        <w:rPr>
          <w:color w:val="231F20"/>
          <w:w w:val="105"/>
          <w:sz w:val="19"/>
        </w:rPr>
        <w:t>del</w:t>
      </w:r>
      <w:r>
        <w:rPr>
          <w:color w:val="231F20"/>
          <w:spacing w:val="30"/>
          <w:w w:val="105"/>
          <w:sz w:val="19"/>
        </w:rPr>
        <w:t> </w:t>
      </w:r>
      <w:r>
        <w:rPr>
          <w:color w:val="231F20"/>
          <w:w w:val="105"/>
          <w:sz w:val="19"/>
        </w:rPr>
        <w:t>Estado</w:t>
      </w:r>
      <w:r>
        <w:rPr>
          <w:color w:val="231F20"/>
          <w:spacing w:val="30"/>
          <w:w w:val="105"/>
          <w:sz w:val="19"/>
        </w:rPr>
        <w:t> </w:t>
      </w:r>
      <w:r>
        <w:rPr>
          <w:color w:val="231F20"/>
          <w:w w:val="105"/>
          <w:sz w:val="19"/>
        </w:rPr>
        <w:t>de</w:t>
      </w:r>
      <w:r>
        <w:rPr>
          <w:color w:val="231F20"/>
          <w:spacing w:val="30"/>
          <w:w w:val="105"/>
          <w:sz w:val="19"/>
        </w:rPr>
        <w:t> </w:t>
      </w:r>
      <w:r>
        <w:rPr>
          <w:color w:val="231F20"/>
          <w:w w:val="105"/>
          <w:sz w:val="19"/>
        </w:rPr>
        <w:t>México,</w:t>
      </w:r>
      <w:r>
        <w:rPr>
          <w:color w:val="231F20"/>
          <w:spacing w:val="30"/>
          <w:w w:val="105"/>
          <w:sz w:val="19"/>
        </w:rPr>
        <w:t> </w:t>
      </w:r>
      <w:r>
        <w:rPr>
          <w:color w:val="231F20"/>
          <w:w w:val="105"/>
          <w:sz w:val="19"/>
        </w:rPr>
        <w:t>pp.</w:t>
      </w:r>
      <w:r>
        <w:rPr>
          <w:color w:val="231F20"/>
          <w:spacing w:val="30"/>
          <w:w w:val="105"/>
          <w:sz w:val="19"/>
        </w:rPr>
        <w:t> </w:t>
      </w:r>
      <w:r>
        <w:rPr>
          <w:color w:val="231F20"/>
          <w:w w:val="105"/>
          <w:sz w:val="19"/>
        </w:rPr>
        <w:t>71-106.</w:t>
      </w:r>
      <w:r>
        <w:rPr>
          <w:color w:val="231F20"/>
          <w:w w:val="104"/>
          <w:sz w:val="19"/>
        </w:rPr>
        <w:t> </w:t>
      </w:r>
      <w:r>
        <w:rPr>
          <w:rFonts w:ascii="Times New Roman" w:hAnsi="Times New Roman"/>
          <w:color w:val="231F20"/>
          <w:w w:val="105"/>
          <w:sz w:val="19"/>
        </w:rPr>
        <w:t>G</w:t>
      </w:r>
      <w:r>
        <w:rPr>
          <w:rFonts w:ascii="Times New Roman" w:hAnsi="Times New Roman"/>
          <w:color w:val="231F20"/>
          <w:w w:val="105"/>
          <w:sz w:val="15"/>
        </w:rPr>
        <w:t>ONZÁLEZ DE LA </w:t>
      </w:r>
      <w:r>
        <w:rPr>
          <w:rFonts w:ascii="Times New Roman" w:hAnsi="Times New Roman"/>
          <w:color w:val="231F20"/>
          <w:w w:val="105"/>
          <w:sz w:val="19"/>
        </w:rPr>
        <w:t>R</w:t>
      </w:r>
      <w:r>
        <w:rPr>
          <w:rFonts w:ascii="Times New Roman" w:hAnsi="Times New Roman"/>
          <w:color w:val="231F20"/>
          <w:w w:val="105"/>
          <w:sz w:val="15"/>
        </w:rPr>
        <w:t>OCHA</w:t>
      </w:r>
      <w:r>
        <w:rPr>
          <w:color w:val="231F20"/>
          <w:w w:val="105"/>
          <w:sz w:val="19"/>
        </w:rPr>
        <w:t>, Mercedes (2006), “Recursos domésticos</w:t>
      </w:r>
      <w:r>
        <w:rPr>
          <w:color w:val="231F20"/>
          <w:spacing w:val="7"/>
          <w:w w:val="105"/>
          <w:sz w:val="19"/>
        </w:rPr>
        <w:t> </w:t>
      </w:r>
      <w:r>
        <w:rPr>
          <w:color w:val="231F20"/>
          <w:w w:val="105"/>
          <w:sz w:val="19"/>
        </w:rPr>
        <w:t>y</w:t>
      </w:r>
      <w:r>
        <w:rPr>
          <w:color w:val="231F20"/>
          <w:spacing w:val="30"/>
          <w:w w:val="105"/>
          <w:sz w:val="19"/>
        </w:rPr>
        <w:t> </w:t>
      </w:r>
      <w:r>
        <w:rPr>
          <w:color w:val="231F20"/>
          <w:w w:val="105"/>
          <w:sz w:val="19"/>
        </w:rPr>
        <w:t>vulnerabili-</w:t>
      </w:r>
      <w:r>
        <w:rPr>
          <w:color w:val="231F20"/>
          <w:w w:val="93"/>
          <w:sz w:val="19"/>
        </w:rPr>
        <w:t> </w:t>
      </w:r>
      <w:r>
        <w:rPr>
          <w:color w:val="231F20"/>
          <w:w w:val="105"/>
          <w:sz w:val="19"/>
        </w:rPr>
        <w:t>dad”, en Mercedes González de la Rocha (coord.), </w:t>
      </w:r>
      <w:r>
        <w:rPr>
          <w:i/>
          <w:color w:val="231F20"/>
          <w:w w:val="105"/>
          <w:sz w:val="19"/>
        </w:rPr>
        <w:t>Procesos</w:t>
      </w:r>
      <w:r>
        <w:rPr>
          <w:i/>
          <w:color w:val="231F20"/>
          <w:spacing w:val="31"/>
          <w:w w:val="105"/>
          <w:sz w:val="19"/>
        </w:rPr>
        <w:t> </w:t>
      </w:r>
      <w:r>
        <w:rPr>
          <w:i/>
          <w:color w:val="231F20"/>
          <w:w w:val="105"/>
          <w:sz w:val="19"/>
        </w:rPr>
        <w:t>domésticos</w:t>
      </w:r>
      <w:r>
        <w:rPr>
          <w:i/>
          <w:color w:val="231F20"/>
          <w:spacing w:val="4"/>
          <w:w w:val="105"/>
          <w:sz w:val="19"/>
        </w:rPr>
        <w:t> </w:t>
      </w:r>
      <w:r>
        <w:rPr>
          <w:i/>
          <w:color w:val="231F20"/>
          <w:w w:val="105"/>
          <w:sz w:val="19"/>
        </w:rPr>
        <w:t>y</w:t>
      </w:r>
      <w:r>
        <w:rPr>
          <w:i/>
          <w:color w:val="231F20"/>
          <w:w w:val="108"/>
          <w:sz w:val="19"/>
        </w:rPr>
        <w:t> </w:t>
      </w:r>
      <w:r>
        <w:rPr>
          <w:i/>
          <w:color w:val="231F20"/>
          <w:w w:val="105"/>
          <w:sz w:val="19"/>
        </w:rPr>
        <w:t>vulnerabilidad. Perspectivas antropológicas de los hogares con  </w:t>
      </w:r>
      <w:r>
        <w:rPr>
          <w:i/>
          <w:color w:val="231F20"/>
          <w:spacing w:val="4"/>
          <w:w w:val="105"/>
          <w:sz w:val="19"/>
        </w:rPr>
        <w:t> </w:t>
      </w:r>
      <w:r>
        <w:rPr>
          <w:i/>
          <w:color w:val="231F20"/>
          <w:w w:val="105"/>
          <w:sz w:val="19"/>
        </w:rPr>
        <w:t>Oportunidades</w:t>
      </w:r>
      <w:r>
        <w:rPr>
          <w:color w:val="231F20"/>
          <w:w w:val="105"/>
          <w:sz w:val="19"/>
        </w:rPr>
        <w:t>,</w:t>
      </w:r>
    </w:p>
    <w:p>
      <w:pPr>
        <w:spacing w:line="222" w:lineRule="exact" w:before="0"/>
        <w:ind w:left="480" w:right="0" w:firstLine="0"/>
        <w:jc w:val="left"/>
        <w:rPr>
          <w:sz w:val="19"/>
        </w:rPr>
      </w:pPr>
      <w:r>
        <w:rPr>
          <w:color w:val="231F20"/>
          <w:w w:val="110"/>
          <w:sz w:val="19"/>
        </w:rPr>
        <w:t>México, Publicaciones de la Casa Chata,   </w:t>
      </w:r>
      <w:r>
        <w:rPr>
          <w:rFonts w:ascii="Times New Roman" w:hAnsi="Times New Roman"/>
          <w:color w:val="231F20"/>
          <w:w w:val="110"/>
          <w:sz w:val="15"/>
        </w:rPr>
        <w:t>CIESAS</w:t>
      </w:r>
      <w:r>
        <w:rPr>
          <w:color w:val="231F20"/>
          <w:w w:val="110"/>
          <w:sz w:val="19"/>
        </w:rPr>
        <w:t>.</w:t>
      </w:r>
    </w:p>
    <w:p>
      <w:pPr>
        <w:spacing w:line="259" w:lineRule="auto" w:before="17"/>
        <w:ind w:left="480" w:right="115" w:hanging="360"/>
        <w:jc w:val="both"/>
        <w:rPr>
          <w:sz w:val="19"/>
        </w:rPr>
      </w:pPr>
      <w:r>
        <w:rPr>
          <w:rFonts w:ascii="Times New Roman"/>
          <w:color w:val="231F20"/>
          <w:w w:val="110"/>
          <w:sz w:val="19"/>
        </w:rPr>
        <w:t>G</w:t>
      </w:r>
      <w:r>
        <w:rPr>
          <w:rFonts w:ascii="Times New Roman"/>
          <w:color w:val="231F20"/>
          <w:w w:val="110"/>
          <w:sz w:val="15"/>
        </w:rPr>
        <w:t>UENGANNT</w:t>
      </w:r>
      <w:r>
        <w:rPr>
          <w:color w:val="231F20"/>
          <w:w w:val="110"/>
          <w:sz w:val="19"/>
        </w:rPr>
        <w:t>, </w:t>
      </w:r>
      <w:r>
        <w:rPr>
          <w:color w:val="231F20"/>
          <w:w w:val="120"/>
          <w:sz w:val="19"/>
        </w:rPr>
        <w:t>J. </w:t>
      </w:r>
      <w:r>
        <w:rPr>
          <w:color w:val="231F20"/>
          <w:w w:val="110"/>
          <w:sz w:val="19"/>
        </w:rPr>
        <w:t>P., (1993), Whither the Caribbean Exodus? Prospects for the 1990s, </w:t>
      </w:r>
      <w:r>
        <w:rPr>
          <w:i/>
          <w:color w:val="231F20"/>
          <w:w w:val="110"/>
          <w:sz w:val="19"/>
        </w:rPr>
        <w:t>International Journal</w:t>
      </w:r>
      <w:r>
        <w:rPr>
          <w:color w:val="231F20"/>
          <w:w w:val="110"/>
          <w:sz w:val="19"/>
        </w:rPr>
        <w:t>, vol. XLVIII (primavera).</w:t>
      </w:r>
    </w:p>
    <w:p>
      <w:pPr>
        <w:spacing w:line="259" w:lineRule="auto" w:before="0"/>
        <w:ind w:left="480" w:right="117" w:hanging="360"/>
        <w:jc w:val="both"/>
        <w:rPr>
          <w:sz w:val="19"/>
        </w:rPr>
      </w:pPr>
      <w:r>
        <w:rPr>
          <w:rFonts w:ascii="Times New Roman" w:hAnsi="Times New Roman"/>
          <w:color w:val="231F20"/>
          <w:w w:val="110"/>
          <w:sz w:val="19"/>
        </w:rPr>
        <w:t>H</w:t>
      </w:r>
      <w:r>
        <w:rPr>
          <w:rFonts w:ascii="Times New Roman" w:hAnsi="Times New Roman"/>
          <w:color w:val="231F20"/>
          <w:w w:val="110"/>
          <w:sz w:val="15"/>
        </w:rPr>
        <w:t>AM </w:t>
      </w:r>
      <w:r>
        <w:rPr>
          <w:rFonts w:ascii="Times New Roman" w:hAnsi="Times New Roman"/>
          <w:color w:val="231F20"/>
          <w:w w:val="110"/>
          <w:sz w:val="19"/>
        </w:rPr>
        <w:t>C</w:t>
      </w:r>
      <w:r>
        <w:rPr>
          <w:rFonts w:ascii="Times New Roman" w:hAnsi="Times New Roman"/>
          <w:color w:val="231F20"/>
          <w:w w:val="110"/>
          <w:sz w:val="15"/>
        </w:rPr>
        <w:t>HANDE</w:t>
      </w:r>
      <w:r>
        <w:rPr>
          <w:color w:val="231F20"/>
          <w:w w:val="110"/>
          <w:sz w:val="19"/>
        </w:rPr>
        <w:t>, Roberto (1999), “El envejecimiento en México: De los conceptos a las necesidades”, </w:t>
      </w:r>
      <w:r>
        <w:rPr>
          <w:i/>
          <w:color w:val="231F20"/>
          <w:w w:val="110"/>
          <w:sz w:val="19"/>
        </w:rPr>
        <w:t>Papeles de Población</w:t>
      </w:r>
      <w:r>
        <w:rPr>
          <w:color w:val="231F20"/>
          <w:w w:val="110"/>
          <w:sz w:val="19"/>
        </w:rPr>
        <w:t>, núm. 19, México, enero-marzo, Universidad Autónoma del Estado de México, pp.  7-21.</w:t>
      </w:r>
    </w:p>
    <w:p>
      <w:pPr>
        <w:tabs>
          <w:tab w:pos="839" w:val="left" w:leader="none"/>
        </w:tabs>
        <w:spacing w:line="266" w:lineRule="auto" w:before="7"/>
        <w:ind w:left="480" w:right="118" w:hanging="360"/>
        <w:jc w:val="both"/>
        <w:rPr>
          <w:sz w:val="19"/>
        </w:rPr>
      </w:pPr>
      <w:r>
        <w:rPr>
          <w:color w:val="231F20"/>
          <w:w w:val="128"/>
          <w:sz w:val="19"/>
          <w:u w:val="single" w:color="231F20"/>
        </w:rPr>
        <w:t> </w:t>
      </w:r>
      <w:r>
        <w:rPr>
          <w:color w:val="231F20"/>
          <w:sz w:val="19"/>
          <w:u w:val="single" w:color="231F20"/>
        </w:rPr>
        <w:tab/>
        <w:tab/>
      </w:r>
      <w:r>
        <w:rPr>
          <w:color w:val="231F20"/>
          <w:sz w:val="19"/>
        </w:rPr>
        <w:t> </w:t>
      </w:r>
      <w:r>
        <w:rPr>
          <w:color w:val="231F20"/>
          <w:spacing w:val="-11"/>
          <w:sz w:val="19"/>
        </w:rPr>
        <w:t> </w:t>
      </w:r>
      <w:r>
        <w:rPr>
          <w:color w:val="231F20"/>
          <w:w w:val="110"/>
          <w:sz w:val="19"/>
        </w:rPr>
        <w:t>(2000), </w:t>
      </w:r>
      <w:r>
        <w:rPr>
          <w:color w:val="231F20"/>
          <w:spacing w:val="3"/>
          <w:w w:val="110"/>
          <w:sz w:val="19"/>
        </w:rPr>
        <w:t>“Los </w:t>
      </w:r>
      <w:r>
        <w:rPr>
          <w:color w:val="231F20"/>
          <w:w w:val="110"/>
          <w:sz w:val="19"/>
        </w:rPr>
        <w:t>umbrales del envejecimiento”, en</w:t>
      </w:r>
      <w:r>
        <w:rPr>
          <w:color w:val="231F20"/>
          <w:spacing w:val="42"/>
          <w:w w:val="110"/>
          <w:sz w:val="19"/>
        </w:rPr>
        <w:t> </w:t>
      </w:r>
      <w:r>
        <w:rPr>
          <w:color w:val="231F20"/>
          <w:w w:val="110"/>
          <w:sz w:val="19"/>
        </w:rPr>
        <w:t>Estudios</w:t>
      </w:r>
      <w:r>
        <w:rPr>
          <w:color w:val="231F20"/>
          <w:spacing w:val="7"/>
          <w:w w:val="110"/>
          <w:sz w:val="19"/>
        </w:rPr>
        <w:t> </w:t>
      </w:r>
      <w:r>
        <w:rPr>
          <w:color w:val="231F20"/>
          <w:w w:val="110"/>
          <w:sz w:val="19"/>
        </w:rPr>
        <w:t>sociológicos,</w:t>
      </w:r>
      <w:r>
        <w:rPr>
          <w:color w:val="231F20"/>
          <w:w w:val="110"/>
          <w:sz w:val="19"/>
        </w:rPr>
        <w:t> </w:t>
      </w:r>
      <w:r>
        <w:rPr>
          <w:color w:val="231F20"/>
          <w:w w:val="110"/>
          <w:sz w:val="19"/>
        </w:rPr>
        <w:t>núm.</w:t>
      </w:r>
      <w:r>
        <w:rPr>
          <w:color w:val="231F20"/>
          <w:spacing w:val="-12"/>
          <w:w w:val="110"/>
          <w:sz w:val="19"/>
        </w:rPr>
        <w:t> </w:t>
      </w:r>
      <w:r>
        <w:rPr>
          <w:color w:val="231F20"/>
          <w:w w:val="110"/>
          <w:sz w:val="19"/>
        </w:rPr>
        <w:t>3,</w:t>
      </w:r>
      <w:r>
        <w:rPr>
          <w:color w:val="231F20"/>
          <w:spacing w:val="-12"/>
          <w:w w:val="110"/>
          <w:sz w:val="19"/>
        </w:rPr>
        <w:t> </w:t>
      </w:r>
      <w:r>
        <w:rPr>
          <w:color w:val="231F20"/>
          <w:w w:val="110"/>
          <w:sz w:val="19"/>
        </w:rPr>
        <w:t>año/vol.</w:t>
      </w:r>
      <w:r>
        <w:rPr>
          <w:color w:val="231F20"/>
          <w:spacing w:val="-12"/>
          <w:w w:val="110"/>
          <w:sz w:val="19"/>
        </w:rPr>
        <w:t> </w:t>
      </w:r>
      <w:r>
        <w:rPr>
          <w:color w:val="231F20"/>
          <w:w w:val="110"/>
          <w:sz w:val="19"/>
        </w:rPr>
        <w:t>XVIII,</w:t>
      </w:r>
      <w:r>
        <w:rPr>
          <w:color w:val="231F20"/>
          <w:spacing w:val="-12"/>
          <w:w w:val="110"/>
          <w:sz w:val="19"/>
        </w:rPr>
        <w:t> </w:t>
      </w:r>
      <w:r>
        <w:rPr>
          <w:color w:val="231F20"/>
          <w:w w:val="110"/>
          <w:sz w:val="19"/>
        </w:rPr>
        <w:t>México,</w:t>
      </w:r>
      <w:r>
        <w:rPr>
          <w:color w:val="231F20"/>
          <w:spacing w:val="-12"/>
          <w:w w:val="110"/>
          <w:sz w:val="19"/>
        </w:rPr>
        <w:t> </w:t>
      </w:r>
      <w:r>
        <w:rPr>
          <w:color w:val="231F20"/>
          <w:w w:val="110"/>
          <w:sz w:val="19"/>
        </w:rPr>
        <w:t>septiembre-diciembre,</w:t>
      </w:r>
      <w:r>
        <w:rPr>
          <w:color w:val="231F20"/>
          <w:spacing w:val="-12"/>
          <w:w w:val="110"/>
          <w:sz w:val="19"/>
        </w:rPr>
        <w:t> </w:t>
      </w:r>
      <w:r>
        <w:rPr>
          <w:color w:val="231F20"/>
          <w:w w:val="110"/>
          <w:sz w:val="19"/>
        </w:rPr>
        <w:t>El</w:t>
      </w:r>
      <w:r>
        <w:rPr>
          <w:color w:val="231F20"/>
          <w:spacing w:val="-12"/>
          <w:w w:val="110"/>
          <w:sz w:val="19"/>
        </w:rPr>
        <w:t> </w:t>
      </w:r>
      <w:r>
        <w:rPr>
          <w:color w:val="231F20"/>
          <w:w w:val="110"/>
          <w:sz w:val="19"/>
        </w:rPr>
        <w:t>Colegio</w:t>
      </w:r>
      <w:r>
        <w:rPr>
          <w:color w:val="231F20"/>
          <w:spacing w:val="-12"/>
          <w:w w:val="110"/>
          <w:sz w:val="19"/>
        </w:rPr>
        <w:t> </w:t>
      </w:r>
      <w:r>
        <w:rPr>
          <w:color w:val="231F20"/>
          <w:w w:val="110"/>
          <w:sz w:val="19"/>
        </w:rPr>
        <w:t>de</w:t>
      </w:r>
      <w:r>
        <w:rPr>
          <w:color w:val="231F20"/>
          <w:spacing w:val="-12"/>
          <w:w w:val="110"/>
          <w:sz w:val="19"/>
        </w:rPr>
        <w:t> </w:t>
      </w:r>
      <w:r>
        <w:rPr>
          <w:color w:val="231F20"/>
          <w:w w:val="110"/>
          <w:sz w:val="19"/>
        </w:rPr>
        <w:t>México, </w:t>
      </w:r>
      <w:r>
        <w:rPr>
          <w:color w:val="231F20"/>
          <w:w w:val="105"/>
          <w:sz w:val="19"/>
        </w:rPr>
        <w:t>pp.</w:t>
      </w:r>
      <w:r>
        <w:rPr>
          <w:color w:val="231F20"/>
          <w:spacing w:val="11"/>
          <w:w w:val="105"/>
          <w:sz w:val="19"/>
        </w:rPr>
        <w:t> </w:t>
      </w:r>
      <w:r>
        <w:rPr>
          <w:color w:val="231F20"/>
          <w:w w:val="105"/>
          <w:sz w:val="19"/>
        </w:rPr>
        <w:t>661-676.</w:t>
      </w:r>
    </w:p>
    <w:p>
      <w:pPr>
        <w:spacing w:after="0" w:line="266" w:lineRule="auto"/>
        <w:jc w:val="both"/>
        <w:rPr>
          <w:sz w:val="19"/>
        </w:rPr>
        <w:sectPr>
          <w:footerReference w:type="even" r:id="rId189"/>
          <w:footerReference w:type="default" r:id="rId190"/>
          <w:pgSz w:w="9520" w:h="12920"/>
          <w:pgMar w:footer="1344" w:header="0" w:top="880" w:bottom="1540" w:left="1000" w:right="1320"/>
        </w:sectPr>
      </w:pPr>
    </w:p>
    <w:p>
      <w:pPr>
        <w:tabs>
          <w:tab w:pos="844" w:val="left" w:leader="none"/>
        </w:tabs>
        <w:spacing w:line="266" w:lineRule="auto" w:before="44"/>
        <w:ind w:left="484" w:right="112" w:hanging="360"/>
        <w:jc w:val="both"/>
        <w:rPr>
          <w:sz w:val="19"/>
        </w:rPr>
      </w:pPr>
      <w:r>
        <w:rPr>
          <w:color w:val="231F20"/>
          <w:w w:val="128"/>
          <w:sz w:val="19"/>
          <w:u w:val="single" w:color="231F20"/>
        </w:rPr>
        <w:t> </w:t>
      </w:r>
      <w:r>
        <w:rPr>
          <w:color w:val="231F20"/>
          <w:sz w:val="19"/>
          <w:u w:val="single" w:color="231F20"/>
        </w:rPr>
        <w:tab/>
        <w:tab/>
      </w:r>
      <w:r>
        <w:rPr>
          <w:color w:val="231F20"/>
          <w:spacing w:val="15"/>
          <w:sz w:val="19"/>
        </w:rPr>
        <w:t> </w:t>
      </w:r>
      <w:r>
        <w:rPr>
          <w:color w:val="231F20"/>
          <w:w w:val="110"/>
          <w:sz w:val="19"/>
        </w:rPr>
        <w:t>(2003),</w:t>
      </w:r>
      <w:r>
        <w:rPr>
          <w:color w:val="231F20"/>
          <w:spacing w:val="-10"/>
          <w:w w:val="110"/>
          <w:sz w:val="19"/>
        </w:rPr>
        <w:t> </w:t>
      </w:r>
      <w:r>
        <w:rPr>
          <w:color w:val="231F20"/>
          <w:w w:val="110"/>
          <w:sz w:val="19"/>
        </w:rPr>
        <w:t>El</w:t>
      </w:r>
      <w:r>
        <w:rPr>
          <w:color w:val="231F20"/>
          <w:spacing w:val="-10"/>
          <w:w w:val="110"/>
          <w:sz w:val="19"/>
        </w:rPr>
        <w:t> </w:t>
      </w:r>
      <w:r>
        <w:rPr>
          <w:color w:val="231F20"/>
          <w:w w:val="110"/>
          <w:sz w:val="19"/>
        </w:rPr>
        <w:t>envejecimiento</w:t>
      </w:r>
      <w:r>
        <w:rPr>
          <w:color w:val="231F20"/>
          <w:spacing w:val="-10"/>
          <w:w w:val="110"/>
          <w:sz w:val="19"/>
        </w:rPr>
        <w:t> </w:t>
      </w:r>
      <w:r>
        <w:rPr>
          <w:color w:val="231F20"/>
          <w:w w:val="110"/>
          <w:sz w:val="19"/>
        </w:rPr>
        <w:t>en</w:t>
      </w:r>
      <w:r>
        <w:rPr>
          <w:color w:val="231F20"/>
          <w:spacing w:val="-10"/>
          <w:w w:val="110"/>
          <w:sz w:val="19"/>
        </w:rPr>
        <w:t> </w:t>
      </w:r>
      <w:r>
        <w:rPr>
          <w:color w:val="231F20"/>
          <w:w w:val="110"/>
          <w:sz w:val="19"/>
        </w:rPr>
        <w:t>México:</w:t>
      </w:r>
      <w:r>
        <w:rPr>
          <w:color w:val="231F20"/>
          <w:spacing w:val="-10"/>
          <w:w w:val="110"/>
          <w:sz w:val="19"/>
        </w:rPr>
        <w:t> </w:t>
      </w:r>
      <w:r>
        <w:rPr>
          <w:color w:val="231F20"/>
          <w:w w:val="110"/>
          <w:sz w:val="19"/>
        </w:rPr>
        <w:t>El</w:t>
      </w:r>
      <w:r>
        <w:rPr>
          <w:color w:val="231F20"/>
          <w:spacing w:val="-10"/>
          <w:w w:val="110"/>
          <w:sz w:val="19"/>
        </w:rPr>
        <w:t> </w:t>
      </w:r>
      <w:r>
        <w:rPr>
          <w:color w:val="231F20"/>
          <w:w w:val="110"/>
          <w:sz w:val="19"/>
        </w:rPr>
        <w:t>reto</w:t>
      </w:r>
      <w:r>
        <w:rPr>
          <w:color w:val="231F20"/>
          <w:spacing w:val="-10"/>
          <w:w w:val="110"/>
          <w:sz w:val="19"/>
        </w:rPr>
        <w:t> </w:t>
      </w:r>
      <w:r>
        <w:rPr>
          <w:color w:val="231F20"/>
          <w:w w:val="110"/>
          <w:sz w:val="19"/>
        </w:rPr>
        <w:t>de</w:t>
      </w:r>
      <w:r>
        <w:rPr>
          <w:color w:val="231F20"/>
          <w:spacing w:val="-10"/>
          <w:w w:val="110"/>
          <w:sz w:val="19"/>
        </w:rPr>
        <w:t> </w:t>
      </w:r>
      <w:r>
        <w:rPr>
          <w:color w:val="231F20"/>
          <w:w w:val="110"/>
          <w:sz w:val="19"/>
        </w:rPr>
        <w:t>la</w:t>
      </w:r>
      <w:r>
        <w:rPr>
          <w:color w:val="231F20"/>
          <w:spacing w:val="-10"/>
          <w:w w:val="110"/>
          <w:sz w:val="19"/>
        </w:rPr>
        <w:t> </w:t>
      </w:r>
      <w:r>
        <w:rPr>
          <w:color w:val="231F20"/>
          <w:w w:val="110"/>
          <w:sz w:val="19"/>
        </w:rPr>
        <w:t>transición</w:t>
      </w:r>
      <w:r>
        <w:rPr>
          <w:color w:val="231F20"/>
          <w:spacing w:val="-10"/>
          <w:w w:val="110"/>
          <w:sz w:val="19"/>
        </w:rPr>
        <w:t> </w:t>
      </w:r>
      <w:r>
        <w:rPr>
          <w:color w:val="231F20"/>
          <w:w w:val="110"/>
          <w:sz w:val="19"/>
        </w:rPr>
        <w:t>demográ-</w:t>
      </w:r>
      <w:r>
        <w:rPr>
          <w:color w:val="231F20"/>
          <w:w w:val="93"/>
          <w:sz w:val="19"/>
        </w:rPr>
        <w:t> </w:t>
      </w:r>
      <w:r>
        <w:rPr>
          <w:color w:val="231F20"/>
          <w:w w:val="110"/>
          <w:sz w:val="19"/>
        </w:rPr>
        <w:t>fica,</w:t>
      </w:r>
      <w:r>
        <w:rPr>
          <w:color w:val="231F20"/>
          <w:spacing w:val="-6"/>
          <w:w w:val="110"/>
          <w:sz w:val="19"/>
        </w:rPr>
        <w:t> </w:t>
      </w:r>
      <w:r>
        <w:rPr>
          <w:color w:val="231F20"/>
          <w:w w:val="110"/>
          <w:sz w:val="19"/>
        </w:rPr>
        <w:t>1a.</w:t>
      </w:r>
      <w:r>
        <w:rPr>
          <w:color w:val="231F20"/>
          <w:spacing w:val="-6"/>
          <w:w w:val="110"/>
          <w:sz w:val="19"/>
        </w:rPr>
        <w:t> </w:t>
      </w:r>
      <w:r>
        <w:rPr>
          <w:color w:val="231F20"/>
          <w:w w:val="110"/>
          <w:sz w:val="19"/>
        </w:rPr>
        <w:t>ed.,</w:t>
      </w:r>
      <w:r>
        <w:rPr>
          <w:color w:val="231F20"/>
          <w:spacing w:val="-6"/>
          <w:w w:val="110"/>
          <w:sz w:val="19"/>
        </w:rPr>
        <w:t> </w:t>
      </w:r>
      <w:r>
        <w:rPr>
          <w:color w:val="231F20"/>
          <w:w w:val="110"/>
          <w:sz w:val="19"/>
        </w:rPr>
        <w:t>México,</w:t>
      </w:r>
      <w:r>
        <w:rPr>
          <w:color w:val="231F20"/>
          <w:spacing w:val="-6"/>
          <w:w w:val="110"/>
          <w:sz w:val="19"/>
        </w:rPr>
        <w:t> </w:t>
      </w:r>
      <w:r>
        <w:rPr>
          <w:color w:val="231F20"/>
          <w:w w:val="110"/>
          <w:sz w:val="19"/>
        </w:rPr>
        <w:t>Distrito</w:t>
      </w:r>
      <w:r>
        <w:rPr>
          <w:color w:val="231F20"/>
          <w:spacing w:val="-6"/>
          <w:w w:val="110"/>
          <w:sz w:val="19"/>
        </w:rPr>
        <w:t> </w:t>
      </w:r>
      <w:r>
        <w:rPr>
          <w:color w:val="231F20"/>
          <w:spacing w:val="-4"/>
          <w:w w:val="110"/>
          <w:sz w:val="19"/>
        </w:rPr>
        <w:t>Federal,</w:t>
      </w:r>
      <w:r>
        <w:rPr>
          <w:color w:val="231F20"/>
          <w:spacing w:val="-6"/>
          <w:w w:val="110"/>
          <w:sz w:val="19"/>
        </w:rPr>
        <w:t> </w:t>
      </w:r>
      <w:r>
        <w:rPr>
          <w:color w:val="231F20"/>
          <w:w w:val="110"/>
          <w:sz w:val="19"/>
        </w:rPr>
        <w:t>El</w:t>
      </w:r>
      <w:r>
        <w:rPr>
          <w:color w:val="231F20"/>
          <w:spacing w:val="-6"/>
          <w:w w:val="110"/>
          <w:sz w:val="19"/>
        </w:rPr>
        <w:t> </w:t>
      </w:r>
      <w:r>
        <w:rPr>
          <w:color w:val="231F20"/>
          <w:w w:val="110"/>
          <w:sz w:val="19"/>
        </w:rPr>
        <w:t>Colegio</w:t>
      </w:r>
      <w:r>
        <w:rPr>
          <w:color w:val="231F20"/>
          <w:spacing w:val="-6"/>
          <w:w w:val="110"/>
          <w:sz w:val="19"/>
        </w:rPr>
        <w:t> </w:t>
      </w:r>
      <w:r>
        <w:rPr>
          <w:color w:val="231F20"/>
          <w:w w:val="110"/>
          <w:sz w:val="19"/>
        </w:rPr>
        <w:t>de</w:t>
      </w:r>
      <w:r>
        <w:rPr>
          <w:color w:val="231F20"/>
          <w:spacing w:val="-6"/>
          <w:w w:val="110"/>
          <w:sz w:val="19"/>
        </w:rPr>
        <w:t> </w:t>
      </w:r>
      <w:r>
        <w:rPr>
          <w:color w:val="231F20"/>
          <w:w w:val="110"/>
          <w:sz w:val="19"/>
        </w:rPr>
        <w:t>la</w:t>
      </w:r>
      <w:r>
        <w:rPr>
          <w:color w:val="231F20"/>
          <w:spacing w:val="-6"/>
          <w:w w:val="110"/>
          <w:sz w:val="19"/>
        </w:rPr>
        <w:t> </w:t>
      </w:r>
      <w:r>
        <w:rPr>
          <w:color w:val="231F20"/>
          <w:spacing w:val="-3"/>
          <w:w w:val="110"/>
          <w:sz w:val="19"/>
        </w:rPr>
        <w:t>Frontera</w:t>
      </w:r>
      <w:r>
        <w:rPr>
          <w:color w:val="231F20"/>
          <w:spacing w:val="-6"/>
          <w:w w:val="110"/>
          <w:sz w:val="19"/>
        </w:rPr>
        <w:t> </w:t>
      </w:r>
      <w:r>
        <w:rPr>
          <w:color w:val="231F20"/>
          <w:w w:val="110"/>
          <w:sz w:val="19"/>
        </w:rPr>
        <w:t>Norte,</w:t>
      </w:r>
      <w:r>
        <w:rPr>
          <w:color w:val="231F20"/>
          <w:spacing w:val="-6"/>
          <w:w w:val="110"/>
          <w:sz w:val="19"/>
        </w:rPr>
        <w:t> </w:t>
      </w:r>
      <w:r>
        <w:rPr>
          <w:color w:val="231F20"/>
          <w:spacing w:val="-3"/>
          <w:w w:val="110"/>
          <w:sz w:val="19"/>
        </w:rPr>
        <w:t>Porrúa </w:t>
      </w:r>
      <w:r>
        <w:rPr>
          <w:color w:val="231F20"/>
          <w:w w:val="110"/>
          <w:sz w:val="19"/>
        </w:rPr>
        <w:t>Editores, pp.</w:t>
      </w:r>
      <w:r>
        <w:rPr>
          <w:color w:val="231F20"/>
          <w:spacing w:val="4"/>
          <w:w w:val="110"/>
          <w:sz w:val="19"/>
        </w:rPr>
        <w:t> </w:t>
      </w:r>
      <w:r>
        <w:rPr>
          <w:color w:val="231F20"/>
          <w:w w:val="110"/>
          <w:sz w:val="19"/>
        </w:rPr>
        <w:t>336.</w:t>
      </w:r>
    </w:p>
    <w:p>
      <w:pPr>
        <w:tabs>
          <w:tab w:pos="844" w:val="left" w:leader="none"/>
        </w:tabs>
        <w:spacing w:line="266" w:lineRule="auto" w:before="0"/>
        <w:ind w:left="484" w:right="111" w:hanging="360"/>
        <w:jc w:val="both"/>
        <w:rPr>
          <w:sz w:val="19"/>
        </w:rPr>
      </w:pPr>
      <w:r>
        <w:rPr>
          <w:color w:val="231F20"/>
          <w:w w:val="128"/>
          <w:sz w:val="19"/>
          <w:u w:val="single" w:color="231F20"/>
        </w:rPr>
        <w:t> </w:t>
      </w:r>
      <w:r>
        <w:rPr>
          <w:color w:val="231F20"/>
          <w:sz w:val="19"/>
          <w:u w:val="single" w:color="231F20"/>
        </w:rPr>
        <w:tab/>
        <w:tab/>
      </w:r>
      <w:r>
        <w:rPr>
          <w:color w:val="231F20"/>
          <w:sz w:val="19"/>
        </w:rPr>
        <w:t>  </w:t>
      </w:r>
      <w:r>
        <w:rPr>
          <w:color w:val="231F20"/>
          <w:w w:val="110"/>
          <w:sz w:val="19"/>
        </w:rPr>
        <w:t>y </w:t>
      </w:r>
      <w:r>
        <w:rPr>
          <w:color w:val="231F20"/>
          <w:spacing w:val="2"/>
          <w:w w:val="110"/>
          <w:sz w:val="19"/>
        </w:rPr>
        <w:t>César González González (2008), </w:t>
      </w:r>
      <w:r>
        <w:rPr>
          <w:color w:val="231F20"/>
          <w:spacing w:val="3"/>
          <w:w w:val="110"/>
          <w:sz w:val="19"/>
        </w:rPr>
        <w:t>“Discriminación </w:t>
      </w:r>
      <w:r>
        <w:rPr>
          <w:color w:val="231F20"/>
          <w:w w:val="110"/>
          <w:sz w:val="19"/>
        </w:rPr>
        <w:t>en    </w:t>
      </w:r>
      <w:r>
        <w:rPr>
          <w:color w:val="231F20"/>
          <w:spacing w:val="21"/>
          <w:w w:val="110"/>
          <w:sz w:val="19"/>
        </w:rPr>
        <w:t> </w:t>
      </w:r>
      <w:r>
        <w:rPr>
          <w:color w:val="231F20"/>
          <w:w w:val="110"/>
          <w:sz w:val="19"/>
        </w:rPr>
        <w:t>las</w:t>
      </w:r>
      <w:r>
        <w:rPr>
          <w:color w:val="231F20"/>
          <w:spacing w:val="30"/>
          <w:w w:val="110"/>
          <w:sz w:val="19"/>
        </w:rPr>
        <w:t> </w:t>
      </w:r>
      <w:r>
        <w:rPr>
          <w:color w:val="231F20"/>
          <w:spacing w:val="2"/>
          <w:w w:val="110"/>
          <w:sz w:val="19"/>
        </w:rPr>
        <w:t>edades</w:t>
      </w:r>
      <w:r>
        <w:rPr>
          <w:color w:val="231F20"/>
          <w:w w:val="118"/>
          <w:sz w:val="19"/>
        </w:rPr>
        <w:t> </w:t>
      </w:r>
      <w:r>
        <w:rPr>
          <w:color w:val="231F20"/>
          <w:w w:val="110"/>
          <w:sz w:val="19"/>
        </w:rPr>
        <w:t>avanzadas en México”, </w:t>
      </w:r>
      <w:r>
        <w:rPr>
          <w:i/>
          <w:color w:val="231F20"/>
          <w:spacing w:val="-3"/>
          <w:w w:val="110"/>
          <w:sz w:val="19"/>
        </w:rPr>
        <w:t>Papeles </w:t>
      </w:r>
      <w:r>
        <w:rPr>
          <w:i/>
          <w:color w:val="231F20"/>
          <w:w w:val="110"/>
          <w:sz w:val="19"/>
        </w:rPr>
        <w:t>de</w:t>
      </w:r>
      <w:r>
        <w:rPr>
          <w:i/>
          <w:color w:val="231F20"/>
          <w:spacing w:val="-33"/>
          <w:w w:val="110"/>
          <w:sz w:val="19"/>
        </w:rPr>
        <w:t> </w:t>
      </w:r>
      <w:r>
        <w:rPr>
          <w:i/>
          <w:color w:val="231F20"/>
          <w:w w:val="110"/>
          <w:sz w:val="19"/>
        </w:rPr>
        <w:t>Población</w:t>
      </w:r>
      <w:r>
        <w:rPr>
          <w:color w:val="231F20"/>
          <w:w w:val="110"/>
          <w:sz w:val="19"/>
        </w:rPr>
        <w:t>, vol. 15, núm. 55, enero-marzo, Universidad Autónoma del Estado de México, pp. </w:t>
      </w:r>
      <w:r>
        <w:rPr>
          <w:color w:val="231F20"/>
          <w:spacing w:val="7"/>
          <w:w w:val="110"/>
          <w:sz w:val="19"/>
        </w:rPr>
        <w:t> </w:t>
      </w:r>
      <w:r>
        <w:rPr>
          <w:color w:val="231F20"/>
          <w:w w:val="110"/>
          <w:sz w:val="19"/>
        </w:rPr>
        <w:t>35-58.</w:t>
      </w:r>
    </w:p>
    <w:p>
      <w:pPr>
        <w:spacing w:line="266" w:lineRule="auto" w:before="0"/>
        <w:ind w:left="120" w:right="112" w:firstLine="0"/>
        <w:jc w:val="right"/>
        <w:rPr>
          <w:sz w:val="19"/>
        </w:rPr>
      </w:pPr>
      <w:r>
        <w:rPr>
          <w:rFonts w:ascii="Times New Roman" w:hAnsi="Times New Roman"/>
          <w:color w:val="231F20"/>
          <w:w w:val="110"/>
          <w:sz w:val="19"/>
        </w:rPr>
        <w:t>H</w:t>
      </w:r>
      <w:r>
        <w:rPr>
          <w:rFonts w:ascii="Times New Roman" w:hAnsi="Times New Roman"/>
          <w:color w:val="231F20"/>
          <w:w w:val="110"/>
          <w:sz w:val="15"/>
        </w:rPr>
        <w:t>ERNÁNDEZ</w:t>
      </w:r>
      <w:r>
        <w:rPr>
          <w:rFonts w:ascii="Times New Roman" w:hAnsi="Times New Roman"/>
          <w:color w:val="231F20"/>
          <w:spacing w:val="-13"/>
          <w:w w:val="110"/>
          <w:sz w:val="15"/>
        </w:rPr>
        <w:t> </w:t>
      </w:r>
      <w:r>
        <w:rPr>
          <w:color w:val="231F20"/>
          <w:w w:val="110"/>
          <w:sz w:val="19"/>
        </w:rPr>
        <w:t>Esquivel,</w:t>
      </w:r>
      <w:r>
        <w:rPr>
          <w:color w:val="231F20"/>
          <w:spacing w:val="-18"/>
          <w:w w:val="110"/>
          <w:sz w:val="19"/>
        </w:rPr>
        <w:t> </w:t>
      </w:r>
      <w:r>
        <w:rPr>
          <w:color w:val="231F20"/>
          <w:w w:val="110"/>
          <w:sz w:val="19"/>
        </w:rPr>
        <w:t>Juan</w:t>
      </w:r>
      <w:r>
        <w:rPr>
          <w:color w:val="231F20"/>
          <w:spacing w:val="-18"/>
          <w:w w:val="110"/>
          <w:sz w:val="19"/>
        </w:rPr>
        <w:t> </w:t>
      </w:r>
      <w:r>
        <w:rPr>
          <w:color w:val="231F20"/>
          <w:w w:val="110"/>
          <w:sz w:val="19"/>
        </w:rPr>
        <w:t>Carlos</w:t>
      </w:r>
      <w:r>
        <w:rPr>
          <w:color w:val="231F20"/>
          <w:spacing w:val="-18"/>
          <w:w w:val="110"/>
          <w:sz w:val="19"/>
        </w:rPr>
        <w:t> </w:t>
      </w:r>
      <w:r>
        <w:rPr>
          <w:color w:val="231F20"/>
          <w:w w:val="110"/>
          <w:sz w:val="19"/>
        </w:rPr>
        <w:t>(2006),</w:t>
      </w:r>
      <w:r>
        <w:rPr>
          <w:color w:val="231F20"/>
          <w:spacing w:val="-18"/>
          <w:w w:val="110"/>
          <w:sz w:val="19"/>
        </w:rPr>
        <w:t> </w:t>
      </w:r>
      <w:r>
        <w:rPr>
          <w:color w:val="231F20"/>
          <w:w w:val="110"/>
          <w:sz w:val="19"/>
        </w:rPr>
        <w:t>“Prospectiva</w:t>
      </w:r>
      <w:r>
        <w:rPr>
          <w:color w:val="231F20"/>
          <w:spacing w:val="-18"/>
          <w:w w:val="110"/>
          <w:sz w:val="19"/>
        </w:rPr>
        <w:t> </w:t>
      </w:r>
      <w:r>
        <w:rPr>
          <w:color w:val="231F20"/>
          <w:w w:val="110"/>
          <w:sz w:val="19"/>
        </w:rPr>
        <w:t>demográfica</w:t>
      </w:r>
      <w:r>
        <w:rPr>
          <w:color w:val="231F20"/>
          <w:spacing w:val="-18"/>
          <w:w w:val="110"/>
          <w:sz w:val="19"/>
        </w:rPr>
        <w:t> </w:t>
      </w:r>
      <w:r>
        <w:rPr>
          <w:color w:val="231F20"/>
          <w:w w:val="110"/>
          <w:sz w:val="19"/>
        </w:rPr>
        <w:t>de</w:t>
      </w:r>
      <w:r>
        <w:rPr>
          <w:color w:val="231F20"/>
          <w:spacing w:val="-18"/>
          <w:w w:val="110"/>
          <w:sz w:val="19"/>
        </w:rPr>
        <w:t> </w:t>
      </w:r>
      <w:r>
        <w:rPr>
          <w:color w:val="231F20"/>
          <w:w w:val="110"/>
          <w:sz w:val="19"/>
        </w:rPr>
        <w:t>las</w:t>
      </w:r>
      <w:r>
        <w:rPr>
          <w:color w:val="231F20"/>
          <w:spacing w:val="-18"/>
          <w:w w:val="110"/>
          <w:sz w:val="19"/>
        </w:rPr>
        <w:t> </w:t>
      </w:r>
      <w:r>
        <w:rPr>
          <w:color w:val="231F20"/>
          <w:w w:val="110"/>
          <w:sz w:val="19"/>
        </w:rPr>
        <w:t>zonas</w:t>
      </w:r>
      <w:r>
        <w:rPr>
          <w:color w:val="231F20"/>
          <w:w w:val="118"/>
          <w:sz w:val="19"/>
        </w:rPr>
        <w:t> </w:t>
      </w:r>
      <w:r>
        <w:rPr>
          <w:color w:val="231F20"/>
          <w:w w:val="110"/>
          <w:sz w:val="19"/>
        </w:rPr>
        <w:t>metropolitanas de México”, ponencia presentada en el 11°</w:t>
      </w:r>
      <w:r>
        <w:rPr>
          <w:color w:val="231F20"/>
          <w:spacing w:val="35"/>
          <w:w w:val="110"/>
          <w:sz w:val="19"/>
        </w:rPr>
        <w:t> </w:t>
      </w:r>
      <w:r>
        <w:rPr>
          <w:color w:val="231F20"/>
          <w:w w:val="110"/>
          <w:sz w:val="19"/>
        </w:rPr>
        <w:t>Encuentro</w:t>
      </w:r>
      <w:r>
        <w:rPr>
          <w:color w:val="231F20"/>
          <w:spacing w:val="10"/>
          <w:w w:val="110"/>
          <w:sz w:val="19"/>
        </w:rPr>
        <w:t> </w:t>
      </w:r>
      <w:r>
        <w:rPr>
          <w:color w:val="231F20"/>
          <w:w w:val="110"/>
          <w:sz w:val="19"/>
        </w:rPr>
        <w:t>Na-</w:t>
      </w:r>
      <w:r>
        <w:rPr>
          <w:color w:val="231F20"/>
          <w:w w:val="93"/>
          <w:sz w:val="19"/>
        </w:rPr>
        <w:t> </w:t>
      </w:r>
      <w:r>
        <w:rPr>
          <w:color w:val="231F20"/>
          <w:w w:val="110"/>
          <w:sz w:val="19"/>
        </w:rPr>
        <w:t>cional sobre Desarrollo Regional en México, realizado en</w:t>
      </w:r>
      <w:r>
        <w:rPr>
          <w:color w:val="231F20"/>
          <w:spacing w:val="32"/>
          <w:w w:val="110"/>
          <w:sz w:val="19"/>
        </w:rPr>
        <w:t> </w:t>
      </w:r>
      <w:r>
        <w:rPr>
          <w:color w:val="231F20"/>
          <w:w w:val="110"/>
          <w:sz w:val="19"/>
        </w:rPr>
        <w:t>Merida,</w:t>
      </w:r>
      <w:r>
        <w:rPr>
          <w:color w:val="231F20"/>
          <w:spacing w:val="4"/>
          <w:w w:val="110"/>
          <w:sz w:val="19"/>
        </w:rPr>
        <w:t> </w:t>
      </w:r>
      <w:r>
        <w:rPr>
          <w:color w:val="231F20"/>
          <w:w w:val="110"/>
          <w:sz w:val="19"/>
        </w:rPr>
        <w:t>Yucatan.</w:t>
      </w:r>
      <w:r>
        <w:rPr>
          <w:color w:val="231F20"/>
          <w:w w:val="110"/>
          <w:sz w:val="19"/>
        </w:rPr>
        <w:t> </w:t>
      </w:r>
      <w:r>
        <w:rPr>
          <w:rFonts w:ascii="Times New Roman" w:hAnsi="Times New Roman"/>
          <w:color w:val="231F20"/>
          <w:w w:val="110"/>
          <w:sz w:val="19"/>
        </w:rPr>
        <w:t>H</w:t>
      </w:r>
      <w:r>
        <w:rPr>
          <w:rFonts w:ascii="Times New Roman" w:hAnsi="Times New Roman"/>
          <w:color w:val="231F20"/>
          <w:w w:val="110"/>
          <w:sz w:val="15"/>
        </w:rPr>
        <w:t>ERNÁNDEZ</w:t>
      </w:r>
      <w:r>
        <w:rPr>
          <w:rFonts w:ascii="Times New Roman" w:hAnsi="Times New Roman"/>
          <w:color w:val="231F20"/>
          <w:spacing w:val="-5"/>
          <w:w w:val="110"/>
          <w:sz w:val="15"/>
        </w:rPr>
        <w:t> </w:t>
      </w:r>
      <w:r>
        <w:rPr>
          <w:rFonts w:ascii="Times New Roman" w:hAnsi="Times New Roman"/>
          <w:color w:val="231F20"/>
          <w:w w:val="110"/>
          <w:sz w:val="19"/>
        </w:rPr>
        <w:t>L</w:t>
      </w:r>
      <w:r>
        <w:rPr>
          <w:rFonts w:ascii="Times New Roman" w:hAnsi="Times New Roman"/>
          <w:color w:val="231F20"/>
          <w:w w:val="110"/>
          <w:sz w:val="15"/>
        </w:rPr>
        <w:t>AOS</w:t>
      </w:r>
      <w:r>
        <w:rPr>
          <w:color w:val="231F20"/>
          <w:w w:val="110"/>
          <w:sz w:val="19"/>
        </w:rPr>
        <w:t>,</w:t>
      </w:r>
      <w:r>
        <w:rPr>
          <w:color w:val="231F20"/>
          <w:spacing w:val="-9"/>
          <w:w w:val="110"/>
          <w:sz w:val="19"/>
        </w:rPr>
        <w:t> </w:t>
      </w:r>
      <w:r>
        <w:rPr>
          <w:color w:val="231F20"/>
          <w:w w:val="110"/>
          <w:sz w:val="19"/>
        </w:rPr>
        <w:t>Enrique</w:t>
      </w:r>
      <w:r>
        <w:rPr>
          <w:color w:val="231F20"/>
          <w:spacing w:val="-9"/>
          <w:w w:val="110"/>
          <w:sz w:val="19"/>
        </w:rPr>
        <w:t> </w:t>
      </w:r>
      <w:r>
        <w:rPr>
          <w:color w:val="231F20"/>
          <w:w w:val="110"/>
          <w:sz w:val="19"/>
        </w:rPr>
        <w:t>(2009),</w:t>
      </w:r>
      <w:r>
        <w:rPr>
          <w:color w:val="231F20"/>
          <w:spacing w:val="-9"/>
          <w:w w:val="110"/>
          <w:sz w:val="19"/>
        </w:rPr>
        <w:t> </w:t>
      </w:r>
      <w:r>
        <w:rPr>
          <w:color w:val="231F20"/>
          <w:w w:val="110"/>
          <w:sz w:val="19"/>
        </w:rPr>
        <w:t>“Crecimiento,</w:t>
      </w:r>
      <w:r>
        <w:rPr>
          <w:color w:val="231F20"/>
          <w:spacing w:val="-9"/>
          <w:w w:val="110"/>
          <w:sz w:val="19"/>
        </w:rPr>
        <w:t> </w:t>
      </w:r>
      <w:r>
        <w:rPr>
          <w:color w:val="231F20"/>
          <w:w w:val="110"/>
          <w:sz w:val="19"/>
        </w:rPr>
        <w:t>distribución</w:t>
      </w:r>
      <w:r>
        <w:rPr>
          <w:color w:val="231F20"/>
          <w:spacing w:val="-9"/>
          <w:w w:val="110"/>
          <w:sz w:val="19"/>
        </w:rPr>
        <w:t> </w:t>
      </w:r>
      <w:r>
        <w:rPr>
          <w:color w:val="231F20"/>
          <w:w w:val="110"/>
          <w:sz w:val="19"/>
        </w:rPr>
        <w:t>y</w:t>
      </w:r>
      <w:r>
        <w:rPr>
          <w:color w:val="231F20"/>
          <w:spacing w:val="-9"/>
          <w:w w:val="110"/>
          <w:sz w:val="19"/>
        </w:rPr>
        <w:t> </w:t>
      </w:r>
      <w:r>
        <w:rPr>
          <w:color w:val="231F20"/>
          <w:w w:val="110"/>
          <w:sz w:val="19"/>
        </w:rPr>
        <w:t>pobreza</w:t>
      </w:r>
      <w:r>
        <w:rPr>
          <w:color w:val="231F20"/>
          <w:spacing w:val="-9"/>
          <w:w w:val="110"/>
          <w:sz w:val="19"/>
        </w:rPr>
        <w:t> </w:t>
      </w:r>
      <w:r>
        <w:rPr>
          <w:color w:val="231F20"/>
          <w:w w:val="110"/>
          <w:sz w:val="19"/>
        </w:rPr>
        <w:t>(1992-</w:t>
      </w:r>
      <w:r>
        <w:rPr>
          <w:color w:val="231F20"/>
          <w:w w:val="93"/>
          <w:sz w:val="19"/>
        </w:rPr>
        <w:t> </w:t>
      </w:r>
      <w:r>
        <w:rPr>
          <w:color w:val="231F20"/>
          <w:w w:val="110"/>
          <w:sz w:val="19"/>
        </w:rPr>
        <w:t>2006)”,</w:t>
      </w:r>
      <w:r>
        <w:rPr>
          <w:color w:val="231F20"/>
          <w:spacing w:val="-9"/>
          <w:w w:val="110"/>
          <w:sz w:val="19"/>
        </w:rPr>
        <w:t> </w:t>
      </w:r>
      <w:r>
        <w:rPr>
          <w:color w:val="231F20"/>
          <w:w w:val="110"/>
          <w:sz w:val="19"/>
        </w:rPr>
        <w:t>en</w:t>
      </w:r>
      <w:r>
        <w:rPr>
          <w:color w:val="231F20"/>
          <w:spacing w:val="-9"/>
          <w:w w:val="110"/>
          <w:sz w:val="19"/>
        </w:rPr>
        <w:t> </w:t>
      </w:r>
      <w:r>
        <w:rPr>
          <w:color w:val="231F20"/>
          <w:w w:val="110"/>
          <w:sz w:val="19"/>
        </w:rPr>
        <w:t>Ricardo</w:t>
      </w:r>
      <w:r>
        <w:rPr>
          <w:color w:val="231F20"/>
          <w:spacing w:val="-9"/>
          <w:w w:val="110"/>
          <w:sz w:val="19"/>
        </w:rPr>
        <w:t> </w:t>
      </w:r>
      <w:r>
        <w:rPr>
          <w:color w:val="231F20"/>
          <w:w w:val="110"/>
          <w:sz w:val="19"/>
        </w:rPr>
        <w:t>Aparicio,</w:t>
      </w:r>
      <w:r>
        <w:rPr>
          <w:color w:val="231F20"/>
          <w:spacing w:val="-9"/>
          <w:w w:val="110"/>
          <w:sz w:val="19"/>
        </w:rPr>
        <w:t> </w:t>
      </w:r>
      <w:r>
        <w:rPr>
          <w:color w:val="231F20"/>
          <w:spacing w:val="-3"/>
          <w:w w:val="110"/>
          <w:sz w:val="19"/>
        </w:rPr>
        <w:t>Verónica</w:t>
      </w:r>
      <w:r>
        <w:rPr>
          <w:color w:val="231F20"/>
          <w:spacing w:val="-9"/>
          <w:w w:val="110"/>
          <w:sz w:val="19"/>
        </w:rPr>
        <w:t> </w:t>
      </w:r>
      <w:r>
        <w:rPr>
          <w:color w:val="231F20"/>
          <w:w w:val="110"/>
          <w:sz w:val="19"/>
        </w:rPr>
        <w:t>Villarespe</w:t>
      </w:r>
      <w:r>
        <w:rPr>
          <w:color w:val="231F20"/>
          <w:spacing w:val="-9"/>
          <w:w w:val="110"/>
          <w:sz w:val="19"/>
        </w:rPr>
        <w:t> </w:t>
      </w:r>
      <w:r>
        <w:rPr>
          <w:color w:val="231F20"/>
          <w:w w:val="110"/>
          <w:sz w:val="19"/>
        </w:rPr>
        <w:t>y</w:t>
      </w:r>
      <w:r>
        <w:rPr>
          <w:color w:val="231F20"/>
          <w:spacing w:val="-9"/>
          <w:w w:val="110"/>
          <w:sz w:val="19"/>
        </w:rPr>
        <w:t> </w:t>
      </w:r>
      <w:r>
        <w:rPr>
          <w:color w:val="231F20"/>
          <w:w w:val="110"/>
          <w:sz w:val="19"/>
        </w:rPr>
        <w:t>Carlos</w:t>
      </w:r>
      <w:r>
        <w:rPr>
          <w:color w:val="231F20"/>
          <w:spacing w:val="-9"/>
          <w:w w:val="110"/>
          <w:sz w:val="19"/>
        </w:rPr>
        <w:t> </w:t>
      </w:r>
      <w:r>
        <w:rPr>
          <w:color w:val="231F20"/>
          <w:w w:val="110"/>
          <w:sz w:val="19"/>
        </w:rPr>
        <w:t>M.</w:t>
      </w:r>
      <w:r>
        <w:rPr>
          <w:color w:val="231F20"/>
          <w:spacing w:val="-9"/>
          <w:w w:val="110"/>
          <w:sz w:val="19"/>
        </w:rPr>
        <w:t> </w:t>
      </w:r>
      <w:r>
        <w:rPr>
          <w:color w:val="231F20"/>
          <w:w w:val="110"/>
          <w:sz w:val="19"/>
        </w:rPr>
        <w:t>Urzúa</w:t>
      </w:r>
      <w:r>
        <w:rPr>
          <w:color w:val="231F20"/>
          <w:spacing w:val="-9"/>
          <w:w w:val="110"/>
          <w:sz w:val="19"/>
        </w:rPr>
        <w:t> </w:t>
      </w:r>
      <w:r>
        <w:rPr>
          <w:color w:val="231F20"/>
          <w:w w:val="110"/>
          <w:sz w:val="19"/>
        </w:rPr>
        <w:t>(coord.),</w:t>
      </w:r>
      <w:r>
        <w:rPr>
          <w:color w:val="231F20"/>
          <w:w w:val="105"/>
          <w:sz w:val="19"/>
        </w:rPr>
        <w:t> </w:t>
      </w:r>
      <w:r>
        <w:rPr>
          <w:color w:val="231F20"/>
          <w:w w:val="110"/>
          <w:sz w:val="19"/>
        </w:rPr>
        <w:t>Pobreza en México: Magnitud y perfiles, México, Consejo Nacional</w:t>
      </w:r>
      <w:r>
        <w:rPr>
          <w:color w:val="231F20"/>
          <w:spacing w:val="43"/>
          <w:w w:val="110"/>
          <w:sz w:val="19"/>
        </w:rPr>
        <w:t> </w:t>
      </w:r>
      <w:r>
        <w:rPr>
          <w:color w:val="231F20"/>
          <w:w w:val="110"/>
          <w:sz w:val="19"/>
        </w:rPr>
        <w:t>de</w:t>
      </w:r>
      <w:r>
        <w:rPr>
          <w:color w:val="231F20"/>
          <w:spacing w:val="4"/>
          <w:w w:val="110"/>
          <w:sz w:val="19"/>
        </w:rPr>
        <w:t> </w:t>
      </w:r>
      <w:r>
        <w:rPr>
          <w:color w:val="231F20"/>
          <w:w w:val="110"/>
          <w:sz w:val="19"/>
        </w:rPr>
        <w:t>Eva-</w:t>
      </w:r>
      <w:r>
        <w:rPr>
          <w:color w:val="231F20"/>
          <w:w w:val="108"/>
          <w:sz w:val="19"/>
        </w:rPr>
        <w:t> </w:t>
      </w:r>
      <w:r>
        <w:rPr>
          <w:color w:val="231F20"/>
          <w:w w:val="110"/>
          <w:sz w:val="19"/>
        </w:rPr>
        <w:t>luación</w:t>
      </w:r>
      <w:r>
        <w:rPr>
          <w:color w:val="231F20"/>
          <w:spacing w:val="-17"/>
          <w:w w:val="110"/>
          <w:sz w:val="19"/>
        </w:rPr>
        <w:t> </w:t>
      </w:r>
      <w:r>
        <w:rPr>
          <w:color w:val="231F20"/>
          <w:w w:val="110"/>
          <w:sz w:val="19"/>
        </w:rPr>
        <w:t>de</w:t>
      </w:r>
      <w:r>
        <w:rPr>
          <w:color w:val="231F20"/>
          <w:spacing w:val="-17"/>
          <w:w w:val="110"/>
          <w:sz w:val="19"/>
        </w:rPr>
        <w:t> </w:t>
      </w:r>
      <w:r>
        <w:rPr>
          <w:color w:val="231F20"/>
          <w:w w:val="110"/>
          <w:sz w:val="19"/>
        </w:rPr>
        <w:t>las</w:t>
      </w:r>
      <w:r>
        <w:rPr>
          <w:color w:val="231F20"/>
          <w:spacing w:val="-17"/>
          <w:w w:val="110"/>
          <w:sz w:val="19"/>
        </w:rPr>
        <w:t> </w:t>
      </w:r>
      <w:r>
        <w:rPr>
          <w:color w:val="231F20"/>
          <w:spacing w:val="-3"/>
          <w:w w:val="110"/>
          <w:sz w:val="19"/>
        </w:rPr>
        <w:t>Políticas</w:t>
      </w:r>
      <w:r>
        <w:rPr>
          <w:color w:val="231F20"/>
          <w:spacing w:val="-17"/>
          <w:w w:val="110"/>
          <w:sz w:val="19"/>
        </w:rPr>
        <w:t> </w:t>
      </w:r>
      <w:r>
        <w:rPr>
          <w:color w:val="231F20"/>
          <w:w w:val="110"/>
          <w:sz w:val="19"/>
        </w:rPr>
        <w:t>de</w:t>
      </w:r>
      <w:r>
        <w:rPr>
          <w:color w:val="231F20"/>
          <w:spacing w:val="-17"/>
          <w:w w:val="110"/>
          <w:sz w:val="19"/>
        </w:rPr>
        <w:t> </w:t>
      </w:r>
      <w:r>
        <w:rPr>
          <w:color w:val="231F20"/>
          <w:w w:val="110"/>
          <w:sz w:val="19"/>
        </w:rPr>
        <w:t>Desarrollo</w:t>
      </w:r>
      <w:r>
        <w:rPr>
          <w:color w:val="231F20"/>
          <w:spacing w:val="-17"/>
          <w:w w:val="110"/>
          <w:sz w:val="19"/>
        </w:rPr>
        <w:t> </w:t>
      </w:r>
      <w:r>
        <w:rPr>
          <w:color w:val="231F20"/>
          <w:w w:val="110"/>
          <w:sz w:val="19"/>
        </w:rPr>
        <w:t>Social</w:t>
      </w:r>
      <w:r>
        <w:rPr>
          <w:color w:val="231F20"/>
          <w:spacing w:val="-17"/>
          <w:w w:val="110"/>
          <w:sz w:val="19"/>
        </w:rPr>
        <w:t> </w:t>
      </w:r>
      <w:r>
        <w:rPr>
          <w:color w:val="231F20"/>
          <w:w w:val="110"/>
          <w:sz w:val="19"/>
        </w:rPr>
        <w:t>(Coneval);</w:t>
      </w:r>
      <w:r>
        <w:rPr>
          <w:color w:val="231F20"/>
          <w:spacing w:val="-17"/>
          <w:w w:val="110"/>
          <w:sz w:val="19"/>
        </w:rPr>
        <w:t> </w:t>
      </w:r>
      <w:r>
        <w:rPr>
          <w:color w:val="231F20"/>
          <w:w w:val="110"/>
          <w:sz w:val="19"/>
        </w:rPr>
        <w:t>Universidad</w:t>
      </w:r>
      <w:r>
        <w:rPr>
          <w:color w:val="231F20"/>
          <w:spacing w:val="-17"/>
          <w:w w:val="110"/>
          <w:sz w:val="19"/>
        </w:rPr>
        <w:t> </w:t>
      </w:r>
      <w:r>
        <w:rPr>
          <w:color w:val="231F20"/>
          <w:w w:val="110"/>
          <w:sz w:val="19"/>
        </w:rPr>
        <w:t>Nacional</w:t>
      </w:r>
      <w:r>
        <w:rPr>
          <w:color w:val="231F20"/>
          <w:w w:val="101"/>
          <w:sz w:val="19"/>
        </w:rPr>
        <w:t> </w:t>
      </w:r>
      <w:r>
        <w:rPr>
          <w:color w:val="231F20"/>
          <w:spacing w:val="2"/>
          <w:w w:val="110"/>
          <w:sz w:val="19"/>
        </w:rPr>
        <w:t>Autónoma </w:t>
      </w:r>
      <w:r>
        <w:rPr>
          <w:color w:val="231F20"/>
          <w:w w:val="110"/>
          <w:sz w:val="19"/>
        </w:rPr>
        <w:t>de  </w:t>
      </w:r>
      <w:r>
        <w:rPr>
          <w:color w:val="231F20"/>
          <w:spacing w:val="2"/>
          <w:w w:val="110"/>
          <w:sz w:val="19"/>
        </w:rPr>
        <w:t>México (</w:t>
      </w:r>
      <w:r>
        <w:rPr>
          <w:rFonts w:ascii="Times New Roman" w:hAnsi="Times New Roman"/>
          <w:color w:val="231F20"/>
          <w:spacing w:val="2"/>
          <w:w w:val="110"/>
          <w:sz w:val="15"/>
        </w:rPr>
        <w:t>UNAM</w:t>
      </w:r>
      <w:r>
        <w:rPr>
          <w:rFonts w:ascii="Times New Roman" w:hAnsi="Times New Roman"/>
          <w:color w:val="231F20"/>
          <w:spacing w:val="2"/>
          <w:w w:val="110"/>
          <w:sz w:val="19"/>
        </w:rPr>
        <w:t>)</w:t>
      </w:r>
      <w:r>
        <w:rPr>
          <w:color w:val="231F20"/>
          <w:spacing w:val="2"/>
          <w:w w:val="110"/>
          <w:sz w:val="19"/>
        </w:rPr>
        <w:t>; Instituto </w:t>
      </w:r>
      <w:r>
        <w:rPr>
          <w:color w:val="231F20"/>
          <w:w w:val="110"/>
          <w:sz w:val="19"/>
        </w:rPr>
        <w:t>de  </w:t>
      </w:r>
      <w:r>
        <w:rPr>
          <w:color w:val="231F20"/>
          <w:spacing w:val="2"/>
          <w:w w:val="110"/>
          <w:sz w:val="19"/>
        </w:rPr>
        <w:t>Investigaciones  </w:t>
      </w:r>
      <w:r>
        <w:rPr>
          <w:color w:val="231F20"/>
          <w:spacing w:val="9"/>
          <w:w w:val="110"/>
          <w:sz w:val="19"/>
        </w:rPr>
        <w:t> </w:t>
      </w:r>
      <w:r>
        <w:rPr>
          <w:color w:val="231F20"/>
          <w:spacing w:val="2"/>
          <w:w w:val="110"/>
          <w:sz w:val="19"/>
        </w:rPr>
        <w:t>Económicas</w:t>
      </w:r>
    </w:p>
    <w:p>
      <w:pPr>
        <w:spacing w:line="266" w:lineRule="auto" w:before="0"/>
        <w:ind w:left="484" w:right="0" w:firstLine="0"/>
        <w:jc w:val="left"/>
        <w:rPr>
          <w:sz w:val="19"/>
        </w:rPr>
      </w:pPr>
      <w:r>
        <w:rPr>
          <w:color w:val="231F20"/>
          <w:w w:val="110"/>
          <w:sz w:val="19"/>
        </w:rPr>
        <w:t>(</w:t>
      </w:r>
      <w:r>
        <w:rPr>
          <w:rFonts w:ascii="Times New Roman" w:hAnsi="Times New Roman"/>
          <w:color w:val="231F20"/>
          <w:w w:val="110"/>
          <w:sz w:val="15"/>
        </w:rPr>
        <w:t>IIE</w:t>
      </w:r>
      <w:r>
        <w:rPr>
          <w:color w:val="231F20"/>
          <w:w w:val="110"/>
          <w:sz w:val="19"/>
        </w:rPr>
        <w:t>-</w:t>
      </w:r>
      <w:r>
        <w:rPr>
          <w:rFonts w:ascii="Times New Roman" w:hAnsi="Times New Roman"/>
          <w:color w:val="231F20"/>
          <w:w w:val="110"/>
          <w:sz w:val="15"/>
        </w:rPr>
        <w:t>UNAM</w:t>
      </w:r>
      <w:r>
        <w:rPr>
          <w:rFonts w:ascii="Times New Roman" w:hAnsi="Times New Roman"/>
          <w:color w:val="231F20"/>
          <w:w w:val="110"/>
          <w:sz w:val="19"/>
        </w:rPr>
        <w:t>)</w:t>
      </w:r>
      <w:r>
        <w:rPr>
          <w:color w:val="231F20"/>
          <w:w w:val="110"/>
          <w:sz w:val="19"/>
        </w:rPr>
        <w:t>; Instituto Tecnológico y de Estudios Superiores de Monterrey, pp. 43-97.</w:t>
      </w:r>
    </w:p>
    <w:p>
      <w:pPr>
        <w:spacing w:line="266" w:lineRule="auto" w:before="0"/>
        <w:ind w:left="484" w:right="113" w:hanging="360"/>
        <w:jc w:val="both"/>
        <w:rPr>
          <w:sz w:val="19"/>
        </w:rPr>
      </w:pPr>
      <w:r>
        <w:rPr>
          <w:rFonts w:ascii="Times New Roman" w:hAnsi="Times New Roman"/>
          <w:color w:val="231F20"/>
          <w:w w:val="110"/>
          <w:sz w:val="15"/>
        </w:rPr>
        <w:t>INEGI</w:t>
      </w:r>
      <w:r>
        <w:rPr>
          <w:color w:val="231F20"/>
          <w:w w:val="110"/>
          <w:sz w:val="19"/>
        </w:rPr>
        <w:t>, 2010, Nota técnica. Estratificación multivariada, en sistema para la con- sulta de información censal, Censo de Población y Vivienda  2010.</w:t>
      </w:r>
    </w:p>
    <w:p>
      <w:pPr>
        <w:spacing w:line="266" w:lineRule="auto" w:before="0"/>
        <w:ind w:left="484" w:right="113" w:hanging="360"/>
        <w:jc w:val="both"/>
        <w:rPr>
          <w:sz w:val="19"/>
        </w:rPr>
      </w:pPr>
      <w:r>
        <w:rPr>
          <w:color w:val="231F20"/>
          <w:w w:val="110"/>
          <w:sz w:val="19"/>
        </w:rPr>
        <w:t>Instituto Mexicano del Seguro Social, 2012, Ley del Seguro Social, Última Re- </w:t>
      </w:r>
      <w:r>
        <w:rPr>
          <w:color w:val="231F20"/>
          <w:w w:val="105"/>
          <w:sz w:val="19"/>
        </w:rPr>
        <w:t>forma </w:t>
      </w:r>
      <w:r>
        <w:rPr>
          <w:rFonts w:ascii="Times New Roman" w:hAnsi="Times New Roman"/>
          <w:color w:val="231F20"/>
          <w:w w:val="105"/>
          <w:sz w:val="15"/>
        </w:rPr>
        <w:t>DOF </w:t>
      </w:r>
      <w:r>
        <w:rPr>
          <w:color w:val="231F20"/>
          <w:w w:val="105"/>
          <w:sz w:val="19"/>
        </w:rPr>
        <w:t>28-05-2012.</w:t>
      </w:r>
    </w:p>
    <w:p>
      <w:pPr>
        <w:spacing w:line="266" w:lineRule="auto" w:before="0"/>
        <w:ind w:left="484" w:right="113" w:hanging="360"/>
        <w:jc w:val="both"/>
        <w:rPr>
          <w:sz w:val="19"/>
        </w:rPr>
      </w:pPr>
      <w:r>
        <w:rPr>
          <w:color w:val="231F20"/>
          <w:w w:val="110"/>
          <w:sz w:val="19"/>
        </w:rPr>
        <w:t>Instituto Nacional de Estadística, Geografía e Informática (</w:t>
      </w:r>
      <w:r>
        <w:rPr>
          <w:rFonts w:ascii="Times New Roman" w:hAnsi="Times New Roman"/>
          <w:color w:val="231F20"/>
          <w:w w:val="110"/>
          <w:sz w:val="15"/>
        </w:rPr>
        <w:t>INEGI</w:t>
      </w:r>
      <w:r>
        <w:rPr>
          <w:color w:val="231F20"/>
          <w:w w:val="110"/>
          <w:sz w:val="19"/>
        </w:rPr>
        <w:t>), 1990, 1995, 2000, 2005, XI Censo General de Población y Vivienda, Conteo de Pobla- ción</w:t>
      </w:r>
      <w:r>
        <w:rPr>
          <w:color w:val="231F20"/>
          <w:spacing w:val="-5"/>
          <w:w w:val="110"/>
          <w:sz w:val="19"/>
        </w:rPr>
        <w:t> </w:t>
      </w:r>
      <w:r>
        <w:rPr>
          <w:color w:val="231F20"/>
          <w:w w:val="110"/>
          <w:sz w:val="19"/>
        </w:rPr>
        <w:t>y</w:t>
      </w:r>
      <w:r>
        <w:rPr>
          <w:color w:val="231F20"/>
          <w:spacing w:val="-5"/>
          <w:w w:val="110"/>
          <w:sz w:val="19"/>
        </w:rPr>
        <w:t> </w:t>
      </w:r>
      <w:r>
        <w:rPr>
          <w:color w:val="231F20"/>
          <w:w w:val="110"/>
          <w:sz w:val="19"/>
        </w:rPr>
        <w:t>Vivienda,</w:t>
      </w:r>
      <w:r>
        <w:rPr>
          <w:color w:val="231F20"/>
          <w:spacing w:val="-5"/>
          <w:w w:val="110"/>
          <w:sz w:val="19"/>
        </w:rPr>
        <w:t> </w:t>
      </w:r>
      <w:r>
        <w:rPr>
          <w:color w:val="231F20"/>
          <w:w w:val="110"/>
          <w:sz w:val="19"/>
        </w:rPr>
        <w:t>XII</w:t>
      </w:r>
      <w:r>
        <w:rPr>
          <w:color w:val="231F20"/>
          <w:spacing w:val="-5"/>
          <w:w w:val="110"/>
          <w:sz w:val="19"/>
        </w:rPr>
        <w:t> </w:t>
      </w:r>
      <w:r>
        <w:rPr>
          <w:color w:val="231F20"/>
          <w:w w:val="110"/>
          <w:sz w:val="19"/>
        </w:rPr>
        <w:t>Censo</w:t>
      </w:r>
      <w:r>
        <w:rPr>
          <w:color w:val="231F20"/>
          <w:spacing w:val="-5"/>
          <w:w w:val="110"/>
          <w:sz w:val="19"/>
        </w:rPr>
        <w:t> </w:t>
      </w:r>
      <w:r>
        <w:rPr>
          <w:color w:val="231F20"/>
          <w:w w:val="110"/>
          <w:sz w:val="19"/>
        </w:rPr>
        <w:t>de</w:t>
      </w:r>
      <w:r>
        <w:rPr>
          <w:color w:val="231F20"/>
          <w:spacing w:val="-5"/>
          <w:w w:val="110"/>
          <w:sz w:val="19"/>
        </w:rPr>
        <w:t> </w:t>
      </w:r>
      <w:r>
        <w:rPr>
          <w:color w:val="231F20"/>
          <w:w w:val="110"/>
          <w:sz w:val="19"/>
        </w:rPr>
        <w:t>Población</w:t>
      </w:r>
      <w:r>
        <w:rPr>
          <w:color w:val="231F20"/>
          <w:spacing w:val="-5"/>
          <w:w w:val="110"/>
          <w:sz w:val="19"/>
        </w:rPr>
        <w:t> </w:t>
      </w:r>
      <w:r>
        <w:rPr>
          <w:color w:val="231F20"/>
          <w:w w:val="110"/>
          <w:sz w:val="19"/>
        </w:rPr>
        <w:t>y</w:t>
      </w:r>
      <w:r>
        <w:rPr>
          <w:color w:val="231F20"/>
          <w:spacing w:val="-5"/>
          <w:w w:val="110"/>
          <w:sz w:val="19"/>
        </w:rPr>
        <w:t> </w:t>
      </w:r>
      <w:r>
        <w:rPr>
          <w:color w:val="231F20"/>
          <w:w w:val="110"/>
          <w:sz w:val="19"/>
        </w:rPr>
        <w:t>Vivienda</w:t>
      </w:r>
      <w:r>
        <w:rPr>
          <w:color w:val="231F20"/>
          <w:spacing w:val="-5"/>
          <w:w w:val="110"/>
          <w:sz w:val="19"/>
        </w:rPr>
        <w:t> </w:t>
      </w:r>
      <w:r>
        <w:rPr>
          <w:color w:val="231F20"/>
          <w:w w:val="110"/>
          <w:sz w:val="19"/>
        </w:rPr>
        <w:t>y</w:t>
      </w:r>
      <w:r>
        <w:rPr>
          <w:color w:val="231F20"/>
          <w:spacing w:val="-5"/>
          <w:w w:val="110"/>
          <w:sz w:val="19"/>
        </w:rPr>
        <w:t> </w:t>
      </w:r>
      <w:r>
        <w:rPr>
          <w:color w:val="231F20"/>
          <w:w w:val="110"/>
          <w:sz w:val="19"/>
        </w:rPr>
        <w:t>II</w:t>
      </w:r>
      <w:r>
        <w:rPr>
          <w:color w:val="231F20"/>
          <w:spacing w:val="-5"/>
          <w:w w:val="110"/>
          <w:sz w:val="19"/>
        </w:rPr>
        <w:t> </w:t>
      </w:r>
      <w:r>
        <w:rPr>
          <w:color w:val="231F20"/>
          <w:w w:val="110"/>
          <w:sz w:val="19"/>
        </w:rPr>
        <w:t>Conteo</w:t>
      </w:r>
      <w:r>
        <w:rPr>
          <w:color w:val="231F20"/>
          <w:spacing w:val="-5"/>
          <w:w w:val="110"/>
          <w:sz w:val="19"/>
        </w:rPr>
        <w:t> </w:t>
      </w:r>
      <w:r>
        <w:rPr>
          <w:color w:val="231F20"/>
          <w:w w:val="110"/>
          <w:sz w:val="19"/>
        </w:rPr>
        <w:t>de</w:t>
      </w:r>
      <w:r>
        <w:rPr>
          <w:color w:val="231F20"/>
          <w:spacing w:val="-5"/>
          <w:w w:val="110"/>
          <w:sz w:val="19"/>
        </w:rPr>
        <w:t> </w:t>
      </w:r>
      <w:r>
        <w:rPr>
          <w:color w:val="231F20"/>
          <w:w w:val="110"/>
          <w:sz w:val="19"/>
        </w:rPr>
        <w:t>Población y</w:t>
      </w:r>
      <w:r>
        <w:rPr>
          <w:color w:val="231F20"/>
          <w:spacing w:val="1"/>
          <w:w w:val="110"/>
          <w:sz w:val="19"/>
        </w:rPr>
        <w:t> </w:t>
      </w:r>
      <w:r>
        <w:rPr>
          <w:color w:val="231F20"/>
          <w:w w:val="110"/>
          <w:sz w:val="19"/>
        </w:rPr>
        <w:t>vivienda.</w:t>
      </w:r>
    </w:p>
    <w:p>
      <w:pPr>
        <w:tabs>
          <w:tab w:pos="844" w:val="left" w:leader="none"/>
        </w:tabs>
        <w:spacing w:line="266" w:lineRule="auto" w:before="0"/>
        <w:ind w:left="484" w:right="113" w:hanging="360"/>
        <w:jc w:val="both"/>
        <w:rPr>
          <w:sz w:val="19"/>
        </w:rPr>
      </w:pPr>
      <w:r>
        <w:rPr>
          <w:color w:val="231F20"/>
          <w:w w:val="128"/>
          <w:sz w:val="19"/>
          <w:u w:val="single" w:color="231F20"/>
        </w:rPr>
        <w:t> </w:t>
      </w:r>
      <w:r>
        <w:rPr>
          <w:color w:val="231F20"/>
          <w:sz w:val="19"/>
          <w:u w:val="single" w:color="231F20"/>
        </w:rPr>
        <w:tab/>
        <w:tab/>
      </w:r>
      <w:r>
        <w:rPr>
          <w:color w:val="231F20"/>
          <w:spacing w:val="19"/>
          <w:sz w:val="19"/>
        </w:rPr>
        <w:t> </w:t>
      </w:r>
      <w:r>
        <w:rPr>
          <w:color w:val="231F20"/>
          <w:w w:val="110"/>
          <w:sz w:val="19"/>
        </w:rPr>
        <w:t>(1990,</w:t>
      </w:r>
      <w:r>
        <w:rPr>
          <w:color w:val="231F20"/>
          <w:spacing w:val="-5"/>
          <w:w w:val="110"/>
          <w:sz w:val="19"/>
        </w:rPr>
        <w:t> </w:t>
      </w:r>
      <w:r>
        <w:rPr>
          <w:color w:val="231F20"/>
          <w:w w:val="110"/>
          <w:sz w:val="19"/>
        </w:rPr>
        <w:t>2000,</w:t>
      </w:r>
      <w:r>
        <w:rPr>
          <w:color w:val="231F20"/>
          <w:spacing w:val="-5"/>
          <w:w w:val="110"/>
          <w:sz w:val="19"/>
        </w:rPr>
        <w:t> </w:t>
      </w:r>
      <w:r>
        <w:rPr>
          <w:color w:val="231F20"/>
          <w:w w:val="110"/>
          <w:sz w:val="19"/>
        </w:rPr>
        <w:t>2010),</w:t>
      </w:r>
      <w:r>
        <w:rPr>
          <w:color w:val="231F20"/>
          <w:spacing w:val="-5"/>
          <w:w w:val="110"/>
          <w:sz w:val="19"/>
        </w:rPr>
        <w:t> </w:t>
      </w:r>
      <w:r>
        <w:rPr>
          <w:color w:val="231F20"/>
          <w:w w:val="110"/>
          <w:sz w:val="19"/>
        </w:rPr>
        <w:t>XI</w:t>
      </w:r>
      <w:r>
        <w:rPr>
          <w:color w:val="231F20"/>
          <w:spacing w:val="-5"/>
          <w:w w:val="110"/>
          <w:sz w:val="19"/>
        </w:rPr>
        <w:t> </w:t>
      </w:r>
      <w:r>
        <w:rPr>
          <w:color w:val="231F20"/>
          <w:w w:val="110"/>
          <w:sz w:val="19"/>
        </w:rPr>
        <w:t>Censo</w:t>
      </w:r>
      <w:r>
        <w:rPr>
          <w:color w:val="231F20"/>
          <w:spacing w:val="-5"/>
          <w:w w:val="110"/>
          <w:sz w:val="19"/>
        </w:rPr>
        <w:t> </w:t>
      </w:r>
      <w:r>
        <w:rPr>
          <w:color w:val="231F20"/>
          <w:w w:val="110"/>
          <w:sz w:val="19"/>
        </w:rPr>
        <w:t>General</w:t>
      </w:r>
      <w:r>
        <w:rPr>
          <w:color w:val="231F20"/>
          <w:spacing w:val="-5"/>
          <w:w w:val="110"/>
          <w:sz w:val="19"/>
        </w:rPr>
        <w:t> </w:t>
      </w:r>
      <w:r>
        <w:rPr>
          <w:color w:val="231F20"/>
          <w:w w:val="110"/>
          <w:sz w:val="19"/>
        </w:rPr>
        <w:t>de</w:t>
      </w:r>
      <w:r>
        <w:rPr>
          <w:color w:val="231F20"/>
          <w:spacing w:val="-5"/>
          <w:w w:val="110"/>
          <w:sz w:val="19"/>
        </w:rPr>
        <w:t> </w:t>
      </w:r>
      <w:r>
        <w:rPr>
          <w:color w:val="231F20"/>
          <w:w w:val="110"/>
          <w:sz w:val="19"/>
        </w:rPr>
        <w:t>Población</w:t>
      </w:r>
      <w:r>
        <w:rPr>
          <w:color w:val="231F20"/>
          <w:spacing w:val="-5"/>
          <w:w w:val="110"/>
          <w:sz w:val="19"/>
        </w:rPr>
        <w:t> </w:t>
      </w:r>
      <w:r>
        <w:rPr>
          <w:color w:val="231F20"/>
          <w:w w:val="110"/>
          <w:sz w:val="19"/>
        </w:rPr>
        <w:t>y</w:t>
      </w:r>
      <w:r>
        <w:rPr>
          <w:color w:val="231F20"/>
          <w:spacing w:val="-5"/>
          <w:w w:val="110"/>
          <w:sz w:val="19"/>
        </w:rPr>
        <w:t> </w:t>
      </w:r>
      <w:r>
        <w:rPr>
          <w:color w:val="231F20"/>
          <w:w w:val="110"/>
          <w:sz w:val="19"/>
        </w:rPr>
        <w:t>Vivienda,</w:t>
      </w:r>
      <w:r>
        <w:rPr>
          <w:color w:val="231F20"/>
          <w:spacing w:val="-5"/>
          <w:w w:val="110"/>
          <w:sz w:val="19"/>
        </w:rPr>
        <w:t> </w:t>
      </w:r>
      <w:r>
        <w:rPr>
          <w:color w:val="231F20"/>
          <w:w w:val="110"/>
          <w:sz w:val="19"/>
        </w:rPr>
        <w:t>Conteo</w:t>
      </w:r>
      <w:r>
        <w:rPr>
          <w:color w:val="231F20"/>
          <w:w w:val="111"/>
          <w:sz w:val="19"/>
        </w:rPr>
        <w:t> </w:t>
      </w:r>
      <w:r>
        <w:rPr>
          <w:color w:val="231F20"/>
          <w:w w:val="110"/>
          <w:sz w:val="19"/>
        </w:rPr>
        <w:t>de Población y Vivienda, XII Censo de Población y Vivienda y II Conteo de Población y</w:t>
      </w:r>
      <w:r>
        <w:rPr>
          <w:color w:val="231F20"/>
          <w:spacing w:val="-20"/>
          <w:w w:val="110"/>
          <w:sz w:val="19"/>
        </w:rPr>
        <w:t> </w:t>
      </w:r>
      <w:r>
        <w:rPr>
          <w:color w:val="231F20"/>
          <w:w w:val="110"/>
          <w:sz w:val="19"/>
        </w:rPr>
        <w:t>Vivienda.</w:t>
      </w:r>
    </w:p>
    <w:p>
      <w:pPr>
        <w:spacing w:line="266" w:lineRule="auto" w:before="0"/>
        <w:ind w:left="484" w:right="114" w:hanging="360"/>
        <w:jc w:val="both"/>
        <w:rPr>
          <w:i/>
          <w:sz w:val="19"/>
        </w:rPr>
      </w:pPr>
      <w:r>
        <w:rPr>
          <w:rFonts w:ascii="Times New Roman"/>
          <w:color w:val="231F20"/>
          <w:w w:val="110"/>
          <w:sz w:val="19"/>
        </w:rPr>
        <w:t>J</w:t>
      </w:r>
      <w:r>
        <w:rPr>
          <w:rFonts w:ascii="Times New Roman"/>
          <w:color w:val="231F20"/>
          <w:w w:val="110"/>
          <w:sz w:val="15"/>
        </w:rPr>
        <w:t>ONES</w:t>
      </w:r>
      <w:r>
        <w:rPr>
          <w:color w:val="231F20"/>
          <w:w w:val="110"/>
          <w:sz w:val="19"/>
        </w:rPr>
        <w:t>, A. M. y N. Rice (2003), </w:t>
      </w:r>
      <w:r>
        <w:rPr>
          <w:i/>
          <w:color w:val="231F20"/>
          <w:w w:val="110"/>
          <w:sz w:val="19"/>
        </w:rPr>
        <w:t>Can Economics Contribute to an Understanding of </w:t>
      </w:r>
      <w:r>
        <w:rPr>
          <w:i/>
          <w:color w:val="231F20"/>
          <w:w w:val="105"/>
          <w:sz w:val="19"/>
        </w:rPr>
        <w:t>Socioeconomic Inequality in  Health?</w:t>
      </w:r>
    </w:p>
    <w:p>
      <w:pPr>
        <w:spacing w:line="266" w:lineRule="auto" w:before="0"/>
        <w:ind w:left="484" w:right="113" w:hanging="360"/>
        <w:jc w:val="both"/>
        <w:rPr>
          <w:sz w:val="19"/>
        </w:rPr>
      </w:pPr>
      <w:r>
        <w:rPr>
          <w:rFonts w:ascii="Times New Roman" w:hAnsi="Times New Roman"/>
          <w:color w:val="231F20"/>
          <w:w w:val="110"/>
          <w:sz w:val="19"/>
        </w:rPr>
        <w:t>J</w:t>
      </w:r>
      <w:r>
        <w:rPr>
          <w:rFonts w:ascii="Times New Roman" w:hAnsi="Times New Roman"/>
          <w:color w:val="231F20"/>
          <w:w w:val="110"/>
          <w:sz w:val="15"/>
        </w:rPr>
        <w:t>UÁREZ </w:t>
      </w:r>
      <w:r>
        <w:rPr>
          <w:color w:val="231F20"/>
          <w:w w:val="110"/>
          <w:sz w:val="19"/>
        </w:rPr>
        <w:t>Neri, Víctor Manuel (2008), “Globalización económica, pobreza y desi- gualdad territorial en México: 1980-2005”, </w:t>
      </w:r>
      <w:r>
        <w:rPr>
          <w:i/>
          <w:color w:val="231F20"/>
          <w:w w:val="110"/>
          <w:sz w:val="19"/>
        </w:rPr>
        <w:t>Jornadas de Economía Crítica</w:t>
      </w:r>
      <w:r>
        <w:rPr>
          <w:color w:val="231F20"/>
          <w:w w:val="110"/>
          <w:sz w:val="19"/>
        </w:rPr>
        <w:t>, México, Instituto Politécnico Nacional.</w:t>
      </w:r>
    </w:p>
    <w:p>
      <w:pPr>
        <w:spacing w:line="266" w:lineRule="auto" w:before="0"/>
        <w:ind w:left="484" w:right="113" w:hanging="360"/>
        <w:jc w:val="both"/>
        <w:rPr>
          <w:sz w:val="19"/>
        </w:rPr>
      </w:pPr>
      <w:r>
        <w:rPr>
          <w:rFonts w:ascii="Times New Roman" w:hAnsi="Times New Roman"/>
          <w:color w:val="231F20"/>
          <w:w w:val="110"/>
          <w:sz w:val="19"/>
        </w:rPr>
        <w:t>M</w:t>
      </w:r>
      <w:r>
        <w:rPr>
          <w:rFonts w:ascii="Times New Roman" w:hAnsi="Times New Roman"/>
          <w:color w:val="231F20"/>
          <w:w w:val="110"/>
          <w:sz w:val="15"/>
        </w:rPr>
        <w:t>ACÍAS </w:t>
      </w:r>
      <w:r>
        <w:rPr>
          <w:rFonts w:ascii="Times New Roman" w:hAnsi="Times New Roman"/>
          <w:color w:val="231F20"/>
          <w:w w:val="110"/>
          <w:sz w:val="19"/>
        </w:rPr>
        <w:t>H</w:t>
      </w:r>
      <w:r>
        <w:rPr>
          <w:rFonts w:ascii="Times New Roman" w:hAnsi="Times New Roman"/>
          <w:color w:val="231F20"/>
          <w:w w:val="110"/>
          <w:sz w:val="15"/>
        </w:rPr>
        <w:t>UERTA</w:t>
      </w:r>
      <w:r>
        <w:rPr>
          <w:color w:val="231F20"/>
          <w:w w:val="110"/>
          <w:sz w:val="19"/>
        </w:rPr>
        <w:t>, María del Carmen, María Dolores Andrade García y Gerardo Guzmán</w:t>
      </w:r>
      <w:r>
        <w:rPr>
          <w:color w:val="231F20"/>
          <w:spacing w:val="-19"/>
          <w:w w:val="110"/>
          <w:sz w:val="19"/>
        </w:rPr>
        <w:t> </w:t>
      </w:r>
      <w:r>
        <w:rPr>
          <w:color w:val="231F20"/>
          <w:w w:val="110"/>
          <w:sz w:val="19"/>
        </w:rPr>
        <w:t>Silva</w:t>
      </w:r>
      <w:r>
        <w:rPr>
          <w:color w:val="231F20"/>
          <w:spacing w:val="-19"/>
          <w:w w:val="110"/>
          <w:sz w:val="19"/>
        </w:rPr>
        <w:t> </w:t>
      </w:r>
      <w:r>
        <w:rPr>
          <w:color w:val="231F20"/>
          <w:w w:val="110"/>
          <w:sz w:val="19"/>
        </w:rPr>
        <w:t>(2009),</w:t>
      </w:r>
      <w:r>
        <w:rPr>
          <w:color w:val="231F20"/>
          <w:spacing w:val="-19"/>
          <w:w w:val="110"/>
          <w:sz w:val="19"/>
        </w:rPr>
        <w:t> </w:t>
      </w:r>
      <w:r>
        <w:rPr>
          <w:i/>
          <w:color w:val="231F20"/>
          <w:w w:val="110"/>
          <w:sz w:val="19"/>
        </w:rPr>
        <w:t>Distribución</w:t>
      </w:r>
      <w:r>
        <w:rPr>
          <w:i/>
          <w:color w:val="231F20"/>
          <w:spacing w:val="-22"/>
          <w:w w:val="110"/>
          <w:sz w:val="19"/>
        </w:rPr>
        <w:t> </w:t>
      </w:r>
      <w:r>
        <w:rPr>
          <w:i/>
          <w:color w:val="231F20"/>
          <w:w w:val="110"/>
          <w:sz w:val="19"/>
        </w:rPr>
        <w:t>territorial</w:t>
      </w:r>
      <w:r>
        <w:rPr>
          <w:i/>
          <w:color w:val="231F20"/>
          <w:spacing w:val="-22"/>
          <w:w w:val="110"/>
          <w:sz w:val="19"/>
        </w:rPr>
        <w:t> </w:t>
      </w:r>
      <w:r>
        <w:rPr>
          <w:i/>
          <w:color w:val="231F20"/>
          <w:w w:val="110"/>
          <w:sz w:val="19"/>
        </w:rPr>
        <w:t>de</w:t>
      </w:r>
      <w:r>
        <w:rPr>
          <w:i/>
          <w:color w:val="231F20"/>
          <w:spacing w:val="-22"/>
          <w:w w:val="110"/>
          <w:sz w:val="19"/>
        </w:rPr>
        <w:t> </w:t>
      </w:r>
      <w:r>
        <w:rPr>
          <w:i/>
          <w:color w:val="231F20"/>
          <w:w w:val="110"/>
          <w:sz w:val="19"/>
        </w:rPr>
        <w:t>los</w:t>
      </w:r>
      <w:r>
        <w:rPr>
          <w:i/>
          <w:color w:val="231F20"/>
          <w:spacing w:val="-22"/>
          <w:w w:val="110"/>
          <w:sz w:val="19"/>
        </w:rPr>
        <w:t> </w:t>
      </w:r>
      <w:r>
        <w:rPr>
          <w:i/>
          <w:color w:val="231F20"/>
          <w:w w:val="110"/>
          <w:sz w:val="19"/>
        </w:rPr>
        <w:t>índices</w:t>
      </w:r>
      <w:r>
        <w:rPr>
          <w:i/>
          <w:color w:val="231F20"/>
          <w:spacing w:val="-22"/>
          <w:w w:val="110"/>
          <w:sz w:val="19"/>
        </w:rPr>
        <w:t> </w:t>
      </w:r>
      <w:r>
        <w:rPr>
          <w:i/>
          <w:color w:val="231F20"/>
          <w:w w:val="110"/>
          <w:sz w:val="19"/>
        </w:rPr>
        <w:t>de</w:t>
      </w:r>
      <w:r>
        <w:rPr>
          <w:i/>
          <w:color w:val="231F20"/>
          <w:spacing w:val="-22"/>
          <w:w w:val="110"/>
          <w:sz w:val="19"/>
        </w:rPr>
        <w:t> </w:t>
      </w:r>
      <w:r>
        <w:rPr>
          <w:i/>
          <w:color w:val="231F20"/>
          <w:w w:val="110"/>
          <w:sz w:val="19"/>
        </w:rPr>
        <w:t>marginación</w:t>
      </w:r>
      <w:r>
        <w:rPr>
          <w:i/>
          <w:color w:val="231F20"/>
          <w:spacing w:val="-22"/>
          <w:w w:val="110"/>
          <w:sz w:val="19"/>
        </w:rPr>
        <w:t> </w:t>
      </w:r>
      <w:r>
        <w:rPr>
          <w:i/>
          <w:color w:val="231F20"/>
          <w:w w:val="110"/>
          <w:sz w:val="19"/>
        </w:rPr>
        <w:t>en </w:t>
      </w:r>
      <w:r>
        <w:rPr>
          <w:i/>
          <w:color w:val="231F20"/>
          <w:w w:val="110"/>
          <w:sz w:val="19"/>
        </w:rPr>
        <w:t>la Zona Metropolitana de Guadalajara</w:t>
      </w:r>
      <w:r>
        <w:rPr>
          <w:color w:val="231F20"/>
          <w:w w:val="110"/>
          <w:sz w:val="19"/>
        </w:rPr>
        <w:t>, Guadalajara, Departamento de Geo- grafía y Ordenación Territorial, CUCSH, Universidad de  </w:t>
      </w:r>
      <w:r>
        <w:rPr>
          <w:color w:val="231F20"/>
          <w:spacing w:val="22"/>
          <w:w w:val="110"/>
          <w:sz w:val="19"/>
        </w:rPr>
        <w:t> </w:t>
      </w:r>
      <w:r>
        <w:rPr>
          <w:color w:val="231F20"/>
          <w:w w:val="110"/>
          <w:sz w:val="19"/>
        </w:rPr>
        <w:t>Guadalajara.</w:t>
      </w:r>
    </w:p>
    <w:p>
      <w:pPr>
        <w:spacing w:line="266" w:lineRule="auto" w:before="0"/>
        <w:ind w:left="484" w:right="113" w:hanging="360"/>
        <w:jc w:val="both"/>
        <w:rPr>
          <w:sz w:val="19"/>
        </w:rPr>
      </w:pPr>
      <w:r>
        <w:rPr>
          <w:rFonts w:ascii="Times New Roman" w:hAnsi="Times New Roman"/>
          <w:color w:val="231F20"/>
          <w:w w:val="110"/>
          <w:sz w:val="19"/>
        </w:rPr>
        <w:t>M</w:t>
      </w:r>
      <w:r>
        <w:rPr>
          <w:rFonts w:ascii="Times New Roman" w:hAnsi="Times New Roman"/>
          <w:color w:val="231F20"/>
          <w:w w:val="110"/>
          <w:sz w:val="15"/>
        </w:rPr>
        <w:t>ARAÑON </w:t>
      </w:r>
      <w:r>
        <w:rPr>
          <w:rFonts w:ascii="Times New Roman" w:hAnsi="Times New Roman"/>
          <w:color w:val="231F20"/>
          <w:w w:val="110"/>
          <w:sz w:val="19"/>
        </w:rPr>
        <w:t>B</w:t>
      </w:r>
      <w:r>
        <w:rPr>
          <w:rFonts w:ascii="Times New Roman" w:hAnsi="Times New Roman"/>
          <w:color w:val="231F20"/>
          <w:w w:val="110"/>
          <w:sz w:val="15"/>
        </w:rPr>
        <w:t>ORIS</w:t>
      </w:r>
      <w:r>
        <w:rPr>
          <w:color w:val="231F20"/>
          <w:w w:val="110"/>
          <w:sz w:val="19"/>
        </w:rPr>
        <w:t>, Ana Patricia Sosa y </w:t>
      </w:r>
      <w:r>
        <w:rPr>
          <w:color w:val="231F20"/>
          <w:spacing w:val="-3"/>
          <w:w w:val="110"/>
          <w:sz w:val="19"/>
        </w:rPr>
        <w:t>Verónica </w:t>
      </w:r>
      <w:r>
        <w:rPr>
          <w:color w:val="231F20"/>
          <w:w w:val="110"/>
          <w:sz w:val="19"/>
        </w:rPr>
        <w:t>Villarespe (2009), “Producción</w:t>
      </w:r>
      <w:r>
        <w:rPr>
          <w:color w:val="231F20"/>
          <w:spacing w:val="-32"/>
          <w:w w:val="110"/>
          <w:sz w:val="19"/>
        </w:rPr>
        <w:t> </w:t>
      </w:r>
      <w:r>
        <w:rPr>
          <w:color w:val="231F20"/>
          <w:w w:val="110"/>
          <w:sz w:val="19"/>
        </w:rPr>
        <w:t>y reproducción de la pobreza. De la marginalidad a la exclusión”, en Ricardo Aparicio, </w:t>
      </w:r>
      <w:r>
        <w:rPr>
          <w:color w:val="231F20"/>
          <w:spacing w:val="-3"/>
          <w:w w:val="110"/>
          <w:sz w:val="19"/>
        </w:rPr>
        <w:t>Verónica </w:t>
      </w:r>
      <w:r>
        <w:rPr>
          <w:color w:val="231F20"/>
          <w:w w:val="110"/>
          <w:sz w:val="19"/>
        </w:rPr>
        <w:t>Villarespe y Carlos M. Urzúa (coord.), México, </w:t>
      </w:r>
      <w:r>
        <w:rPr>
          <w:i/>
          <w:color w:val="231F20"/>
          <w:spacing w:val="-3"/>
          <w:w w:val="110"/>
          <w:sz w:val="19"/>
        </w:rPr>
        <w:t>Pobreza </w:t>
      </w:r>
      <w:r>
        <w:rPr>
          <w:i/>
          <w:color w:val="231F20"/>
          <w:w w:val="110"/>
          <w:sz w:val="19"/>
        </w:rPr>
        <w:t>en México: Magnitud y perfiles</w:t>
      </w:r>
      <w:r>
        <w:rPr>
          <w:color w:val="231F20"/>
          <w:w w:val="110"/>
          <w:sz w:val="19"/>
        </w:rPr>
        <w:t>, Consejo Nacional de Evaluación de las Polí- ticas de Desarrollo Social (Coneval); Universidad Nacional Autónoma   </w:t>
      </w:r>
      <w:r>
        <w:rPr>
          <w:color w:val="231F20"/>
          <w:spacing w:val="22"/>
          <w:w w:val="110"/>
          <w:sz w:val="19"/>
        </w:rPr>
        <w:t> </w:t>
      </w:r>
      <w:r>
        <w:rPr>
          <w:color w:val="231F20"/>
          <w:w w:val="110"/>
          <w:sz w:val="19"/>
        </w:rPr>
        <w:t>de</w:t>
      </w:r>
    </w:p>
    <w:p>
      <w:pPr>
        <w:spacing w:after="0" w:line="266" w:lineRule="auto"/>
        <w:jc w:val="both"/>
        <w:rPr>
          <w:sz w:val="19"/>
        </w:rPr>
        <w:sectPr>
          <w:pgSz w:w="9520" w:h="12920"/>
          <w:pgMar w:header="0" w:footer="1344" w:top="880" w:bottom="1540" w:left="1320" w:right="1000"/>
        </w:sectPr>
      </w:pPr>
    </w:p>
    <w:p>
      <w:pPr>
        <w:spacing w:line="266" w:lineRule="auto" w:before="44"/>
        <w:ind w:left="480" w:right="0" w:firstLine="0"/>
        <w:jc w:val="left"/>
        <w:rPr>
          <w:sz w:val="19"/>
        </w:rPr>
      </w:pPr>
      <w:r>
        <w:rPr>
          <w:color w:val="231F20"/>
          <w:w w:val="110"/>
          <w:sz w:val="19"/>
        </w:rPr>
        <w:t>México (</w:t>
      </w:r>
      <w:r>
        <w:rPr>
          <w:rFonts w:ascii="Times New Roman" w:hAnsi="Times New Roman"/>
          <w:color w:val="231F20"/>
          <w:w w:val="110"/>
          <w:sz w:val="15"/>
        </w:rPr>
        <w:t>UNAM</w:t>
      </w:r>
      <w:r>
        <w:rPr>
          <w:rFonts w:ascii="Times New Roman" w:hAnsi="Times New Roman"/>
          <w:color w:val="231F20"/>
          <w:w w:val="110"/>
          <w:sz w:val="19"/>
        </w:rPr>
        <w:t>)</w:t>
      </w:r>
      <w:r>
        <w:rPr>
          <w:color w:val="231F20"/>
          <w:w w:val="110"/>
          <w:sz w:val="19"/>
        </w:rPr>
        <w:t>; Instituto de Investigaciones Económicas (</w:t>
      </w:r>
      <w:r>
        <w:rPr>
          <w:rFonts w:ascii="Times New Roman" w:hAnsi="Times New Roman"/>
          <w:color w:val="231F20"/>
          <w:w w:val="110"/>
          <w:sz w:val="15"/>
        </w:rPr>
        <w:t>IIE</w:t>
      </w:r>
      <w:r>
        <w:rPr>
          <w:color w:val="231F20"/>
          <w:w w:val="110"/>
          <w:sz w:val="19"/>
        </w:rPr>
        <w:t>-</w:t>
      </w:r>
      <w:r>
        <w:rPr>
          <w:rFonts w:ascii="Times New Roman" w:hAnsi="Times New Roman"/>
          <w:color w:val="231F20"/>
          <w:w w:val="110"/>
          <w:sz w:val="15"/>
        </w:rPr>
        <w:t>UNAM</w:t>
      </w:r>
      <w:r>
        <w:rPr>
          <w:rFonts w:ascii="Times New Roman" w:hAnsi="Times New Roman"/>
          <w:color w:val="231F20"/>
          <w:w w:val="110"/>
          <w:sz w:val="19"/>
        </w:rPr>
        <w:t>)</w:t>
      </w:r>
      <w:r>
        <w:rPr>
          <w:color w:val="231F20"/>
          <w:w w:val="110"/>
          <w:sz w:val="19"/>
        </w:rPr>
        <w:t>; Insti- tuto Tecnológico y de Estudios Superiores de Monterrey, pp. 99-138.</w:t>
      </w:r>
    </w:p>
    <w:p>
      <w:pPr>
        <w:spacing w:line="266" w:lineRule="auto" w:before="0"/>
        <w:ind w:left="480" w:right="117" w:hanging="360"/>
        <w:jc w:val="both"/>
        <w:rPr>
          <w:sz w:val="19"/>
        </w:rPr>
      </w:pPr>
      <w:r>
        <w:rPr>
          <w:rFonts w:ascii="Times New Roman" w:hAnsi="Times New Roman"/>
          <w:color w:val="231F20"/>
          <w:spacing w:val="3"/>
          <w:w w:val="105"/>
          <w:sz w:val="19"/>
        </w:rPr>
        <w:t>M</w:t>
      </w:r>
      <w:r>
        <w:rPr>
          <w:rFonts w:ascii="Times New Roman" w:hAnsi="Times New Roman"/>
          <w:color w:val="231F20"/>
          <w:spacing w:val="3"/>
          <w:w w:val="105"/>
          <w:sz w:val="15"/>
        </w:rPr>
        <w:t>ENDOZA </w:t>
      </w:r>
      <w:r>
        <w:rPr>
          <w:rFonts w:ascii="Times New Roman" w:hAnsi="Times New Roman"/>
          <w:color w:val="231F20"/>
          <w:spacing w:val="3"/>
          <w:w w:val="105"/>
          <w:sz w:val="19"/>
        </w:rPr>
        <w:t>G</w:t>
      </w:r>
      <w:r>
        <w:rPr>
          <w:rFonts w:ascii="Times New Roman" w:hAnsi="Times New Roman"/>
          <w:color w:val="231F20"/>
          <w:spacing w:val="3"/>
          <w:w w:val="105"/>
          <w:sz w:val="15"/>
        </w:rPr>
        <w:t>ARCÍA</w:t>
      </w:r>
      <w:r>
        <w:rPr>
          <w:rFonts w:ascii="Times New Roman" w:hAnsi="Times New Roman"/>
          <w:color w:val="231F20"/>
          <w:spacing w:val="3"/>
          <w:w w:val="105"/>
          <w:sz w:val="19"/>
        </w:rPr>
        <w:t>, </w:t>
      </w:r>
      <w:r>
        <w:rPr>
          <w:color w:val="231F20"/>
          <w:spacing w:val="3"/>
          <w:w w:val="105"/>
          <w:sz w:val="19"/>
        </w:rPr>
        <w:t>María Eulalia </w:t>
      </w:r>
      <w:r>
        <w:rPr>
          <w:color w:val="231F20"/>
          <w:w w:val="105"/>
          <w:sz w:val="19"/>
        </w:rPr>
        <w:t>y </w:t>
      </w:r>
      <w:r>
        <w:rPr>
          <w:color w:val="231F20"/>
          <w:spacing w:val="3"/>
          <w:w w:val="105"/>
          <w:sz w:val="19"/>
        </w:rPr>
        <w:t>Graciela </w:t>
      </w:r>
      <w:r>
        <w:rPr>
          <w:color w:val="231F20"/>
          <w:w w:val="105"/>
          <w:sz w:val="19"/>
        </w:rPr>
        <w:t>Tapia </w:t>
      </w:r>
      <w:r>
        <w:rPr>
          <w:color w:val="231F20"/>
          <w:spacing w:val="3"/>
          <w:w w:val="105"/>
          <w:sz w:val="19"/>
        </w:rPr>
        <w:t>Colocia (2010), </w:t>
      </w:r>
      <w:r>
        <w:rPr>
          <w:i/>
          <w:color w:val="231F20"/>
          <w:spacing w:val="3"/>
          <w:w w:val="105"/>
          <w:sz w:val="19"/>
        </w:rPr>
        <w:t>Situación </w:t>
      </w:r>
      <w:r>
        <w:rPr>
          <w:i/>
          <w:color w:val="231F20"/>
          <w:w w:val="105"/>
          <w:sz w:val="19"/>
        </w:rPr>
        <w:t>Demográfica de México 1910-2010</w:t>
      </w:r>
      <w:r>
        <w:rPr>
          <w:color w:val="231F20"/>
          <w:w w:val="105"/>
          <w:sz w:val="19"/>
        </w:rPr>
        <w:t>, México, Consejo Nacional de Población,  pp.</w:t>
      </w:r>
      <w:r>
        <w:rPr>
          <w:color w:val="231F20"/>
          <w:spacing w:val="17"/>
          <w:w w:val="105"/>
          <w:sz w:val="19"/>
        </w:rPr>
        <w:t> </w:t>
      </w:r>
      <w:r>
        <w:rPr>
          <w:color w:val="231F20"/>
          <w:w w:val="105"/>
          <w:sz w:val="19"/>
        </w:rPr>
        <w:t>11-24.</w:t>
      </w:r>
    </w:p>
    <w:p>
      <w:pPr>
        <w:spacing w:line="266" w:lineRule="auto" w:before="0"/>
        <w:ind w:left="479" w:right="116" w:hanging="360"/>
        <w:jc w:val="both"/>
        <w:rPr>
          <w:sz w:val="19"/>
        </w:rPr>
      </w:pPr>
      <w:r>
        <w:rPr>
          <w:rFonts w:ascii="Times New Roman" w:hAnsi="Times New Roman"/>
          <w:color w:val="231F20"/>
          <w:spacing w:val="-4"/>
          <w:w w:val="105"/>
          <w:sz w:val="19"/>
        </w:rPr>
        <w:t>M</w:t>
      </w:r>
      <w:r>
        <w:rPr>
          <w:rFonts w:ascii="Times New Roman" w:hAnsi="Times New Roman"/>
          <w:color w:val="231F20"/>
          <w:spacing w:val="-4"/>
          <w:w w:val="105"/>
          <w:sz w:val="15"/>
        </w:rPr>
        <w:t>ONTES </w:t>
      </w:r>
      <w:r>
        <w:rPr>
          <w:rFonts w:ascii="Times New Roman" w:hAnsi="Times New Roman"/>
          <w:color w:val="231F20"/>
          <w:w w:val="105"/>
          <w:sz w:val="19"/>
        </w:rPr>
        <w:t>D</w:t>
      </w:r>
      <w:r>
        <w:rPr>
          <w:rFonts w:ascii="Times New Roman" w:hAnsi="Times New Roman"/>
          <w:color w:val="231F20"/>
          <w:w w:val="105"/>
          <w:sz w:val="15"/>
        </w:rPr>
        <w:t>E </w:t>
      </w:r>
      <w:r>
        <w:rPr>
          <w:rFonts w:ascii="Times New Roman" w:hAnsi="Times New Roman"/>
          <w:color w:val="231F20"/>
          <w:spacing w:val="-3"/>
          <w:w w:val="105"/>
          <w:sz w:val="19"/>
        </w:rPr>
        <w:t>O</w:t>
      </w:r>
      <w:r>
        <w:rPr>
          <w:rFonts w:ascii="Times New Roman" w:hAnsi="Times New Roman"/>
          <w:color w:val="231F20"/>
          <w:spacing w:val="-3"/>
          <w:w w:val="105"/>
          <w:sz w:val="15"/>
        </w:rPr>
        <w:t>CA </w:t>
      </w:r>
      <w:r>
        <w:rPr>
          <w:color w:val="231F20"/>
          <w:spacing w:val="-4"/>
          <w:w w:val="105"/>
          <w:sz w:val="19"/>
        </w:rPr>
        <w:t>Zavala, </w:t>
      </w:r>
      <w:r>
        <w:rPr>
          <w:color w:val="231F20"/>
          <w:spacing w:val="-7"/>
          <w:w w:val="105"/>
          <w:sz w:val="19"/>
        </w:rPr>
        <w:t>Verónica </w:t>
      </w:r>
      <w:r>
        <w:rPr>
          <w:color w:val="231F20"/>
          <w:spacing w:val="-4"/>
          <w:w w:val="105"/>
          <w:sz w:val="19"/>
        </w:rPr>
        <w:t>(2003), </w:t>
      </w:r>
      <w:r>
        <w:rPr>
          <w:i/>
          <w:color w:val="231F20"/>
          <w:spacing w:val="-3"/>
          <w:w w:val="105"/>
          <w:sz w:val="19"/>
        </w:rPr>
        <w:t>“</w:t>
      </w:r>
      <w:r>
        <w:rPr>
          <w:color w:val="231F20"/>
          <w:spacing w:val="-3"/>
          <w:w w:val="105"/>
          <w:sz w:val="19"/>
        </w:rPr>
        <w:t>El </w:t>
      </w:r>
      <w:r>
        <w:rPr>
          <w:color w:val="231F20"/>
          <w:spacing w:val="-4"/>
          <w:w w:val="105"/>
          <w:sz w:val="19"/>
        </w:rPr>
        <w:t>envejecimiento </w:t>
      </w:r>
      <w:r>
        <w:rPr>
          <w:color w:val="231F20"/>
          <w:w w:val="105"/>
          <w:sz w:val="19"/>
        </w:rPr>
        <w:t>en el </w:t>
      </w:r>
      <w:r>
        <w:rPr>
          <w:color w:val="231F20"/>
          <w:spacing w:val="-4"/>
          <w:w w:val="105"/>
          <w:sz w:val="19"/>
        </w:rPr>
        <w:t>debate mundial: </w:t>
      </w:r>
      <w:r>
        <w:rPr>
          <w:color w:val="231F20"/>
          <w:w w:val="105"/>
          <w:sz w:val="19"/>
        </w:rPr>
        <w:t>Reflexión académica y política”, </w:t>
      </w:r>
      <w:r>
        <w:rPr>
          <w:i/>
          <w:color w:val="231F20"/>
          <w:spacing w:val="-3"/>
          <w:w w:val="105"/>
          <w:sz w:val="19"/>
        </w:rPr>
        <w:t>Papeles </w:t>
      </w:r>
      <w:r>
        <w:rPr>
          <w:i/>
          <w:color w:val="231F20"/>
          <w:w w:val="105"/>
          <w:sz w:val="19"/>
        </w:rPr>
        <w:t>de Población</w:t>
      </w:r>
      <w:r>
        <w:rPr>
          <w:color w:val="231F20"/>
          <w:w w:val="105"/>
          <w:sz w:val="19"/>
        </w:rPr>
        <w:t>, núm. 35, enero-marzo, México, Centro de Investigación y Estudios Avanzados de  la  Población,  </w:t>
      </w:r>
      <w:r>
        <w:rPr>
          <w:rFonts w:ascii="Times New Roman" w:hAnsi="Times New Roman"/>
          <w:color w:val="231F20"/>
          <w:w w:val="105"/>
          <w:sz w:val="15"/>
        </w:rPr>
        <w:t>UAEM</w:t>
      </w:r>
      <w:r>
        <w:rPr>
          <w:color w:val="231F20"/>
          <w:w w:val="105"/>
          <w:sz w:val="19"/>
        </w:rPr>
        <w:t>, pp.</w:t>
      </w:r>
      <w:r>
        <w:rPr>
          <w:color w:val="231F20"/>
          <w:spacing w:val="41"/>
          <w:w w:val="105"/>
          <w:sz w:val="19"/>
        </w:rPr>
        <w:t> </w:t>
      </w:r>
      <w:r>
        <w:rPr>
          <w:color w:val="231F20"/>
          <w:w w:val="105"/>
          <w:sz w:val="19"/>
        </w:rPr>
        <w:t>79-104.</w:t>
      </w:r>
    </w:p>
    <w:p>
      <w:pPr>
        <w:spacing w:line="266" w:lineRule="auto" w:before="0"/>
        <w:ind w:left="480" w:right="114" w:hanging="360"/>
        <w:jc w:val="both"/>
        <w:rPr>
          <w:sz w:val="19"/>
        </w:rPr>
      </w:pPr>
      <w:r>
        <w:rPr>
          <w:rFonts w:ascii="Times New Roman" w:hAnsi="Times New Roman"/>
          <w:color w:val="231F20"/>
          <w:w w:val="110"/>
          <w:sz w:val="19"/>
        </w:rPr>
        <w:t>M</w:t>
      </w:r>
      <w:r>
        <w:rPr>
          <w:rFonts w:ascii="Times New Roman" w:hAnsi="Times New Roman"/>
          <w:color w:val="231F20"/>
          <w:w w:val="110"/>
          <w:sz w:val="15"/>
        </w:rPr>
        <w:t>ONTOYA</w:t>
      </w:r>
      <w:r>
        <w:rPr>
          <w:color w:val="231F20"/>
          <w:w w:val="110"/>
          <w:sz w:val="19"/>
        </w:rPr>
        <w:t>, Jaciel y Hugo Montes De Oca (2010), </w:t>
      </w:r>
      <w:r>
        <w:rPr>
          <w:color w:val="231F20"/>
          <w:spacing w:val="4"/>
          <w:w w:val="110"/>
          <w:sz w:val="19"/>
        </w:rPr>
        <w:t>“Los </w:t>
      </w:r>
      <w:r>
        <w:rPr>
          <w:color w:val="231F20"/>
          <w:w w:val="110"/>
          <w:sz w:val="19"/>
        </w:rPr>
        <w:t>adultos mayores en el Estado</w:t>
      </w:r>
      <w:r>
        <w:rPr>
          <w:color w:val="231F20"/>
          <w:spacing w:val="-6"/>
          <w:w w:val="110"/>
          <w:sz w:val="19"/>
        </w:rPr>
        <w:t> </w:t>
      </w:r>
      <w:r>
        <w:rPr>
          <w:color w:val="231F20"/>
          <w:w w:val="110"/>
          <w:sz w:val="19"/>
        </w:rPr>
        <w:t>de</w:t>
      </w:r>
      <w:r>
        <w:rPr>
          <w:color w:val="231F20"/>
          <w:spacing w:val="-6"/>
          <w:w w:val="110"/>
          <w:sz w:val="19"/>
        </w:rPr>
        <w:t> </w:t>
      </w:r>
      <w:r>
        <w:rPr>
          <w:color w:val="231F20"/>
          <w:w w:val="110"/>
          <w:sz w:val="19"/>
        </w:rPr>
        <w:t>México</w:t>
      </w:r>
      <w:r>
        <w:rPr>
          <w:color w:val="231F20"/>
          <w:spacing w:val="-6"/>
          <w:w w:val="110"/>
          <w:sz w:val="19"/>
        </w:rPr>
        <w:t> </w:t>
      </w:r>
      <w:r>
        <w:rPr>
          <w:color w:val="231F20"/>
          <w:w w:val="110"/>
          <w:sz w:val="19"/>
        </w:rPr>
        <w:t>en</w:t>
      </w:r>
      <w:r>
        <w:rPr>
          <w:color w:val="231F20"/>
          <w:spacing w:val="-6"/>
          <w:w w:val="110"/>
          <w:sz w:val="19"/>
        </w:rPr>
        <w:t> </w:t>
      </w:r>
      <w:r>
        <w:rPr>
          <w:color w:val="231F20"/>
          <w:w w:val="110"/>
          <w:sz w:val="19"/>
        </w:rPr>
        <w:t>2008.</w:t>
      </w:r>
      <w:r>
        <w:rPr>
          <w:color w:val="231F20"/>
          <w:spacing w:val="-6"/>
          <w:w w:val="110"/>
          <w:sz w:val="19"/>
        </w:rPr>
        <w:t> </w:t>
      </w:r>
      <w:r>
        <w:rPr>
          <w:color w:val="231F20"/>
          <w:w w:val="110"/>
          <w:sz w:val="19"/>
        </w:rPr>
        <w:t>Un</w:t>
      </w:r>
      <w:r>
        <w:rPr>
          <w:color w:val="231F20"/>
          <w:spacing w:val="-6"/>
          <w:w w:val="110"/>
          <w:sz w:val="19"/>
        </w:rPr>
        <w:t> </w:t>
      </w:r>
      <w:r>
        <w:rPr>
          <w:color w:val="231F20"/>
          <w:w w:val="110"/>
          <w:sz w:val="19"/>
        </w:rPr>
        <w:t>análisis</w:t>
      </w:r>
      <w:r>
        <w:rPr>
          <w:color w:val="231F20"/>
          <w:spacing w:val="-6"/>
          <w:w w:val="110"/>
          <w:sz w:val="19"/>
        </w:rPr>
        <w:t> </w:t>
      </w:r>
      <w:r>
        <w:rPr>
          <w:color w:val="231F20"/>
          <w:w w:val="110"/>
          <w:sz w:val="19"/>
        </w:rPr>
        <w:t>sociodemográfico”,</w:t>
      </w:r>
      <w:r>
        <w:rPr>
          <w:color w:val="231F20"/>
          <w:spacing w:val="-6"/>
          <w:w w:val="110"/>
          <w:sz w:val="19"/>
        </w:rPr>
        <w:t> </w:t>
      </w:r>
      <w:r>
        <w:rPr>
          <w:i/>
          <w:color w:val="231F20"/>
          <w:spacing w:val="-3"/>
          <w:w w:val="110"/>
          <w:sz w:val="19"/>
        </w:rPr>
        <w:t>Papeles</w:t>
      </w:r>
      <w:r>
        <w:rPr>
          <w:i/>
          <w:color w:val="231F20"/>
          <w:spacing w:val="-10"/>
          <w:w w:val="110"/>
          <w:sz w:val="19"/>
        </w:rPr>
        <w:t> </w:t>
      </w:r>
      <w:r>
        <w:rPr>
          <w:i/>
          <w:color w:val="231F20"/>
          <w:w w:val="110"/>
          <w:sz w:val="19"/>
        </w:rPr>
        <w:t>de</w:t>
      </w:r>
      <w:r>
        <w:rPr>
          <w:i/>
          <w:color w:val="231F20"/>
          <w:spacing w:val="-10"/>
          <w:w w:val="110"/>
          <w:sz w:val="19"/>
        </w:rPr>
        <w:t> </w:t>
      </w:r>
      <w:r>
        <w:rPr>
          <w:i/>
          <w:color w:val="231F20"/>
          <w:spacing w:val="-3"/>
          <w:w w:val="110"/>
          <w:sz w:val="19"/>
        </w:rPr>
        <w:t>Pobla- </w:t>
      </w:r>
      <w:r>
        <w:rPr>
          <w:i/>
          <w:color w:val="231F20"/>
          <w:spacing w:val="-4"/>
          <w:w w:val="110"/>
          <w:sz w:val="19"/>
        </w:rPr>
        <w:t>ción</w:t>
      </w:r>
      <w:r>
        <w:rPr>
          <w:color w:val="231F20"/>
          <w:spacing w:val="-4"/>
          <w:w w:val="110"/>
          <w:sz w:val="19"/>
        </w:rPr>
        <w:t>, </w:t>
      </w:r>
      <w:r>
        <w:rPr>
          <w:color w:val="231F20"/>
          <w:spacing w:val="-3"/>
          <w:w w:val="110"/>
          <w:sz w:val="19"/>
        </w:rPr>
        <w:t>núm. 65, </w:t>
      </w:r>
      <w:r>
        <w:rPr>
          <w:color w:val="231F20"/>
          <w:spacing w:val="-4"/>
          <w:w w:val="110"/>
          <w:sz w:val="19"/>
        </w:rPr>
        <w:t>octubre-diciembre, México, Centro </w:t>
      </w:r>
      <w:r>
        <w:rPr>
          <w:color w:val="231F20"/>
          <w:w w:val="110"/>
          <w:sz w:val="19"/>
        </w:rPr>
        <w:t>de </w:t>
      </w:r>
      <w:r>
        <w:rPr>
          <w:color w:val="231F20"/>
          <w:spacing w:val="-4"/>
          <w:w w:val="110"/>
          <w:sz w:val="19"/>
        </w:rPr>
        <w:t>Investigación </w:t>
      </w:r>
      <w:r>
        <w:rPr>
          <w:color w:val="231F20"/>
          <w:w w:val="110"/>
          <w:sz w:val="19"/>
        </w:rPr>
        <w:t>y </w:t>
      </w:r>
      <w:r>
        <w:rPr>
          <w:color w:val="231F20"/>
          <w:spacing w:val="-4"/>
          <w:w w:val="110"/>
          <w:sz w:val="19"/>
        </w:rPr>
        <w:t>Estudios </w:t>
      </w:r>
      <w:r>
        <w:rPr>
          <w:color w:val="231F20"/>
          <w:w w:val="110"/>
          <w:sz w:val="19"/>
        </w:rPr>
        <w:t>Avanzados de la Población-Universidad Autónoma del Estado de México, </w:t>
      </w:r>
      <w:r>
        <w:rPr>
          <w:color w:val="231F20"/>
          <w:w w:val="105"/>
          <w:sz w:val="19"/>
        </w:rPr>
        <w:t>pp.</w:t>
      </w:r>
      <w:r>
        <w:rPr>
          <w:color w:val="231F20"/>
          <w:spacing w:val="11"/>
          <w:w w:val="105"/>
          <w:sz w:val="19"/>
        </w:rPr>
        <w:t> </w:t>
      </w:r>
      <w:r>
        <w:rPr>
          <w:color w:val="231F20"/>
          <w:w w:val="105"/>
          <w:sz w:val="19"/>
        </w:rPr>
        <w:t>187-231.</w:t>
      </w:r>
    </w:p>
    <w:p>
      <w:pPr>
        <w:spacing w:line="266" w:lineRule="auto" w:before="0"/>
        <w:ind w:left="479" w:right="116" w:hanging="360"/>
        <w:jc w:val="both"/>
        <w:rPr>
          <w:sz w:val="19"/>
        </w:rPr>
      </w:pPr>
      <w:r>
        <w:rPr>
          <w:rFonts w:ascii="Times New Roman" w:hAnsi="Times New Roman"/>
          <w:color w:val="231F20"/>
          <w:w w:val="110"/>
          <w:sz w:val="19"/>
        </w:rPr>
        <w:t>N</w:t>
      </w:r>
      <w:r>
        <w:rPr>
          <w:rFonts w:ascii="Times New Roman" w:hAnsi="Times New Roman"/>
          <w:color w:val="231F20"/>
          <w:w w:val="110"/>
          <w:sz w:val="15"/>
        </w:rPr>
        <w:t>EGRETE</w:t>
      </w:r>
      <w:r>
        <w:rPr>
          <w:rFonts w:ascii="Times New Roman" w:hAnsi="Times New Roman"/>
          <w:color w:val="231F20"/>
          <w:spacing w:val="-5"/>
          <w:w w:val="110"/>
          <w:sz w:val="15"/>
        </w:rPr>
        <w:t> </w:t>
      </w:r>
      <w:r>
        <w:rPr>
          <w:rFonts w:ascii="Times New Roman" w:hAnsi="Times New Roman"/>
          <w:color w:val="231F20"/>
          <w:w w:val="110"/>
          <w:sz w:val="19"/>
        </w:rPr>
        <w:t>S</w:t>
      </w:r>
      <w:r>
        <w:rPr>
          <w:rFonts w:ascii="Times New Roman" w:hAnsi="Times New Roman"/>
          <w:color w:val="231F20"/>
          <w:w w:val="110"/>
          <w:sz w:val="15"/>
        </w:rPr>
        <w:t>ALAS</w:t>
      </w:r>
      <w:r>
        <w:rPr>
          <w:color w:val="231F20"/>
          <w:w w:val="110"/>
          <w:sz w:val="19"/>
        </w:rPr>
        <w:t>,</w:t>
      </w:r>
      <w:r>
        <w:rPr>
          <w:color w:val="231F20"/>
          <w:spacing w:val="-9"/>
          <w:w w:val="110"/>
          <w:sz w:val="19"/>
        </w:rPr>
        <w:t> </w:t>
      </w:r>
      <w:r>
        <w:rPr>
          <w:color w:val="231F20"/>
          <w:w w:val="110"/>
          <w:sz w:val="19"/>
        </w:rPr>
        <w:t>María</w:t>
      </w:r>
      <w:r>
        <w:rPr>
          <w:color w:val="231F20"/>
          <w:spacing w:val="-9"/>
          <w:w w:val="110"/>
          <w:sz w:val="19"/>
        </w:rPr>
        <w:t> </w:t>
      </w:r>
      <w:r>
        <w:rPr>
          <w:color w:val="231F20"/>
          <w:w w:val="110"/>
          <w:sz w:val="19"/>
        </w:rPr>
        <w:t>Eugenia</w:t>
      </w:r>
      <w:r>
        <w:rPr>
          <w:color w:val="231F20"/>
          <w:spacing w:val="-9"/>
          <w:w w:val="110"/>
          <w:sz w:val="19"/>
        </w:rPr>
        <w:t> </w:t>
      </w:r>
      <w:r>
        <w:rPr>
          <w:color w:val="231F20"/>
          <w:w w:val="110"/>
          <w:sz w:val="19"/>
        </w:rPr>
        <w:t>y</w:t>
      </w:r>
      <w:r>
        <w:rPr>
          <w:color w:val="231F20"/>
          <w:spacing w:val="-9"/>
          <w:w w:val="110"/>
          <w:sz w:val="19"/>
        </w:rPr>
        <w:t> </w:t>
      </w:r>
      <w:r>
        <w:rPr>
          <w:color w:val="231F20"/>
          <w:w w:val="110"/>
          <w:sz w:val="19"/>
        </w:rPr>
        <w:t>Héctor</w:t>
      </w:r>
      <w:r>
        <w:rPr>
          <w:color w:val="231F20"/>
          <w:spacing w:val="-9"/>
          <w:w w:val="110"/>
          <w:sz w:val="19"/>
        </w:rPr>
        <w:t> </w:t>
      </w:r>
      <w:r>
        <w:rPr>
          <w:color w:val="231F20"/>
          <w:w w:val="110"/>
          <w:sz w:val="19"/>
        </w:rPr>
        <w:t>Salazar</w:t>
      </w:r>
      <w:r>
        <w:rPr>
          <w:color w:val="231F20"/>
          <w:spacing w:val="-9"/>
          <w:w w:val="110"/>
          <w:sz w:val="19"/>
        </w:rPr>
        <w:t> </w:t>
      </w:r>
      <w:r>
        <w:rPr>
          <w:color w:val="231F20"/>
          <w:w w:val="110"/>
          <w:sz w:val="19"/>
        </w:rPr>
        <w:t>Sánchez</w:t>
      </w:r>
      <w:r>
        <w:rPr>
          <w:color w:val="231F20"/>
          <w:spacing w:val="-9"/>
          <w:w w:val="110"/>
          <w:sz w:val="19"/>
        </w:rPr>
        <w:t> </w:t>
      </w:r>
      <w:r>
        <w:rPr>
          <w:color w:val="231F20"/>
          <w:w w:val="110"/>
          <w:sz w:val="19"/>
        </w:rPr>
        <w:t>(1986),</w:t>
      </w:r>
      <w:r>
        <w:rPr>
          <w:color w:val="231F20"/>
          <w:spacing w:val="-9"/>
          <w:w w:val="110"/>
          <w:sz w:val="19"/>
        </w:rPr>
        <w:t> </w:t>
      </w:r>
      <w:r>
        <w:rPr>
          <w:color w:val="231F20"/>
          <w:w w:val="110"/>
          <w:sz w:val="19"/>
        </w:rPr>
        <w:t>“Zonas</w:t>
      </w:r>
      <w:r>
        <w:rPr>
          <w:color w:val="231F20"/>
          <w:spacing w:val="-9"/>
          <w:w w:val="110"/>
          <w:sz w:val="19"/>
        </w:rPr>
        <w:t> </w:t>
      </w:r>
      <w:r>
        <w:rPr>
          <w:color w:val="231F20"/>
          <w:w w:val="110"/>
          <w:sz w:val="19"/>
        </w:rPr>
        <w:t>metro- </w:t>
      </w:r>
      <w:r>
        <w:rPr>
          <w:color w:val="231F20"/>
          <w:spacing w:val="-4"/>
          <w:w w:val="110"/>
          <w:sz w:val="19"/>
        </w:rPr>
        <w:t>politanas</w:t>
      </w:r>
      <w:r>
        <w:rPr>
          <w:color w:val="231F20"/>
          <w:spacing w:val="-12"/>
          <w:w w:val="110"/>
          <w:sz w:val="19"/>
        </w:rPr>
        <w:t> </w:t>
      </w:r>
      <w:r>
        <w:rPr>
          <w:color w:val="231F20"/>
          <w:w w:val="110"/>
          <w:sz w:val="19"/>
        </w:rPr>
        <w:t>en</w:t>
      </w:r>
      <w:r>
        <w:rPr>
          <w:color w:val="231F20"/>
          <w:spacing w:val="-12"/>
          <w:w w:val="110"/>
          <w:sz w:val="19"/>
        </w:rPr>
        <w:t> </w:t>
      </w:r>
      <w:r>
        <w:rPr>
          <w:color w:val="231F20"/>
          <w:spacing w:val="-4"/>
          <w:w w:val="110"/>
          <w:sz w:val="19"/>
        </w:rPr>
        <w:t>México,</w:t>
      </w:r>
      <w:r>
        <w:rPr>
          <w:color w:val="231F20"/>
          <w:spacing w:val="-12"/>
          <w:w w:val="110"/>
          <w:sz w:val="19"/>
        </w:rPr>
        <w:t> </w:t>
      </w:r>
      <w:r>
        <w:rPr>
          <w:color w:val="231F20"/>
          <w:spacing w:val="-4"/>
          <w:w w:val="110"/>
          <w:sz w:val="19"/>
        </w:rPr>
        <w:t>1980”,</w:t>
      </w:r>
      <w:r>
        <w:rPr>
          <w:color w:val="231F20"/>
          <w:spacing w:val="-12"/>
          <w:w w:val="110"/>
          <w:sz w:val="19"/>
        </w:rPr>
        <w:t> </w:t>
      </w:r>
      <w:r>
        <w:rPr>
          <w:i/>
          <w:color w:val="231F20"/>
          <w:spacing w:val="-4"/>
          <w:w w:val="110"/>
          <w:sz w:val="19"/>
        </w:rPr>
        <w:t>Estudios</w:t>
      </w:r>
      <w:r>
        <w:rPr>
          <w:i/>
          <w:color w:val="231F20"/>
          <w:spacing w:val="-16"/>
          <w:w w:val="110"/>
          <w:sz w:val="19"/>
        </w:rPr>
        <w:t> </w:t>
      </w:r>
      <w:r>
        <w:rPr>
          <w:i/>
          <w:color w:val="231F20"/>
          <w:spacing w:val="-4"/>
          <w:w w:val="110"/>
          <w:sz w:val="19"/>
        </w:rPr>
        <w:t>Demográficos</w:t>
      </w:r>
      <w:r>
        <w:rPr>
          <w:i/>
          <w:color w:val="231F20"/>
          <w:spacing w:val="-16"/>
          <w:w w:val="110"/>
          <w:sz w:val="19"/>
        </w:rPr>
        <w:t> </w:t>
      </w:r>
      <w:r>
        <w:rPr>
          <w:i/>
          <w:color w:val="231F20"/>
          <w:w w:val="110"/>
          <w:sz w:val="19"/>
        </w:rPr>
        <w:t>y</w:t>
      </w:r>
      <w:r>
        <w:rPr>
          <w:i/>
          <w:color w:val="231F20"/>
          <w:spacing w:val="-16"/>
          <w:w w:val="110"/>
          <w:sz w:val="19"/>
        </w:rPr>
        <w:t> </w:t>
      </w:r>
      <w:r>
        <w:rPr>
          <w:i/>
          <w:color w:val="231F20"/>
          <w:spacing w:val="-4"/>
          <w:w w:val="110"/>
          <w:sz w:val="19"/>
        </w:rPr>
        <w:t>Urbanos</w:t>
      </w:r>
      <w:r>
        <w:rPr>
          <w:color w:val="231F20"/>
          <w:spacing w:val="-4"/>
          <w:w w:val="110"/>
          <w:sz w:val="19"/>
        </w:rPr>
        <w:t>,</w:t>
      </w:r>
      <w:r>
        <w:rPr>
          <w:color w:val="231F20"/>
          <w:spacing w:val="-12"/>
          <w:w w:val="110"/>
          <w:sz w:val="19"/>
        </w:rPr>
        <w:t> </w:t>
      </w:r>
      <w:r>
        <w:rPr>
          <w:color w:val="231F20"/>
          <w:spacing w:val="-3"/>
          <w:w w:val="110"/>
          <w:sz w:val="19"/>
        </w:rPr>
        <w:t>vol.</w:t>
      </w:r>
      <w:r>
        <w:rPr>
          <w:color w:val="231F20"/>
          <w:spacing w:val="-12"/>
          <w:w w:val="110"/>
          <w:sz w:val="19"/>
        </w:rPr>
        <w:t> </w:t>
      </w:r>
      <w:r>
        <w:rPr>
          <w:color w:val="231F20"/>
          <w:w w:val="110"/>
          <w:sz w:val="19"/>
        </w:rPr>
        <w:t>1,</w:t>
      </w:r>
      <w:r>
        <w:rPr>
          <w:color w:val="231F20"/>
          <w:spacing w:val="-12"/>
          <w:w w:val="110"/>
          <w:sz w:val="19"/>
        </w:rPr>
        <w:t> </w:t>
      </w:r>
      <w:r>
        <w:rPr>
          <w:color w:val="231F20"/>
          <w:spacing w:val="-3"/>
          <w:w w:val="110"/>
          <w:sz w:val="19"/>
        </w:rPr>
        <w:t>núm</w:t>
      </w:r>
      <w:r>
        <w:rPr>
          <w:color w:val="231F20"/>
          <w:spacing w:val="-12"/>
          <w:w w:val="110"/>
          <w:sz w:val="19"/>
        </w:rPr>
        <w:t> </w:t>
      </w:r>
      <w:r>
        <w:rPr>
          <w:color w:val="231F20"/>
          <w:w w:val="110"/>
          <w:sz w:val="19"/>
        </w:rPr>
        <w:t>1</w:t>
      </w:r>
      <w:r>
        <w:rPr>
          <w:color w:val="231F20"/>
          <w:spacing w:val="-12"/>
          <w:w w:val="110"/>
          <w:sz w:val="19"/>
        </w:rPr>
        <w:t> </w:t>
      </w:r>
      <w:r>
        <w:rPr>
          <w:color w:val="231F20"/>
          <w:spacing w:val="-3"/>
          <w:w w:val="110"/>
          <w:sz w:val="19"/>
        </w:rPr>
        <w:t>(1), </w:t>
      </w:r>
      <w:r>
        <w:rPr>
          <w:color w:val="231F20"/>
          <w:spacing w:val="3"/>
          <w:w w:val="110"/>
          <w:sz w:val="19"/>
        </w:rPr>
        <w:t>enero-abril, </w:t>
      </w:r>
      <w:r>
        <w:rPr>
          <w:color w:val="231F20"/>
          <w:spacing w:val="2"/>
          <w:w w:val="110"/>
          <w:sz w:val="19"/>
        </w:rPr>
        <w:t>México, Centro </w:t>
      </w:r>
      <w:r>
        <w:rPr>
          <w:color w:val="231F20"/>
          <w:w w:val="110"/>
          <w:sz w:val="19"/>
        </w:rPr>
        <w:t>de </w:t>
      </w:r>
      <w:r>
        <w:rPr>
          <w:color w:val="231F20"/>
          <w:spacing w:val="2"/>
          <w:w w:val="110"/>
          <w:sz w:val="19"/>
        </w:rPr>
        <w:t>Estudios Demográficos </w:t>
      </w:r>
      <w:r>
        <w:rPr>
          <w:color w:val="231F20"/>
          <w:w w:val="110"/>
          <w:sz w:val="19"/>
        </w:rPr>
        <w:t>y de </w:t>
      </w:r>
      <w:r>
        <w:rPr>
          <w:color w:val="231F20"/>
          <w:spacing w:val="2"/>
          <w:w w:val="110"/>
          <w:sz w:val="19"/>
        </w:rPr>
        <w:t>Desarrollo </w:t>
      </w:r>
      <w:r>
        <w:rPr>
          <w:color w:val="231F20"/>
          <w:w w:val="110"/>
          <w:sz w:val="19"/>
        </w:rPr>
        <w:t>Urbano-El Colegio de México, pp.</w:t>
      </w:r>
      <w:r>
        <w:rPr>
          <w:color w:val="231F20"/>
          <w:spacing w:val="42"/>
          <w:w w:val="110"/>
          <w:sz w:val="19"/>
        </w:rPr>
        <w:t> </w:t>
      </w:r>
      <w:r>
        <w:rPr>
          <w:color w:val="231F20"/>
          <w:w w:val="110"/>
          <w:sz w:val="19"/>
        </w:rPr>
        <w:t>97-124.</w:t>
      </w:r>
    </w:p>
    <w:p>
      <w:pPr>
        <w:tabs>
          <w:tab w:pos="839" w:val="left" w:leader="none"/>
        </w:tabs>
        <w:spacing w:line="266" w:lineRule="auto" w:before="0"/>
        <w:ind w:left="480" w:right="119" w:hanging="360"/>
        <w:jc w:val="both"/>
        <w:rPr>
          <w:sz w:val="19"/>
        </w:rPr>
      </w:pPr>
      <w:r>
        <w:rPr>
          <w:color w:val="231F20"/>
          <w:w w:val="128"/>
          <w:sz w:val="19"/>
          <w:u w:val="single" w:color="231F20"/>
        </w:rPr>
        <w:t> </w:t>
      </w:r>
      <w:r>
        <w:rPr>
          <w:color w:val="231F20"/>
          <w:sz w:val="19"/>
          <w:u w:val="single" w:color="231F20"/>
        </w:rPr>
        <w:tab/>
        <w:tab/>
      </w:r>
      <w:r>
        <w:rPr>
          <w:color w:val="231F20"/>
          <w:sz w:val="19"/>
        </w:rPr>
        <w:t> </w:t>
      </w:r>
      <w:r>
        <w:rPr>
          <w:color w:val="231F20"/>
          <w:spacing w:val="-21"/>
          <w:sz w:val="19"/>
        </w:rPr>
        <w:t> </w:t>
      </w:r>
      <w:r>
        <w:rPr>
          <w:color w:val="231F20"/>
          <w:w w:val="110"/>
          <w:sz w:val="19"/>
        </w:rPr>
        <w:t>(2003), “El envejecimiento poblacional en la ciudad de</w:t>
      </w:r>
      <w:r>
        <w:rPr>
          <w:color w:val="231F20"/>
          <w:spacing w:val="-22"/>
          <w:w w:val="110"/>
          <w:sz w:val="19"/>
        </w:rPr>
        <w:t> </w:t>
      </w:r>
      <w:r>
        <w:rPr>
          <w:color w:val="231F20"/>
          <w:w w:val="110"/>
          <w:sz w:val="19"/>
        </w:rPr>
        <w:t>México:</w:t>
      </w:r>
      <w:r>
        <w:rPr>
          <w:color w:val="231F20"/>
          <w:spacing w:val="-3"/>
          <w:w w:val="110"/>
          <w:sz w:val="19"/>
        </w:rPr>
        <w:t> </w:t>
      </w:r>
      <w:r>
        <w:rPr>
          <w:color w:val="231F20"/>
          <w:w w:val="110"/>
          <w:sz w:val="19"/>
        </w:rPr>
        <w:t>Evolu-</w:t>
      </w:r>
      <w:r>
        <w:rPr>
          <w:color w:val="231F20"/>
          <w:w w:val="93"/>
          <w:sz w:val="19"/>
        </w:rPr>
        <w:t> </w:t>
      </w:r>
      <w:r>
        <w:rPr>
          <w:color w:val="231F20"/>
          <w:spacing w:val="-3"/>
          <w:w w:val="110"/>
          <w:sz w:val="19"/>
        </w:rPr>
        <w:t>ción</w:t>
      </w:r>
      <w:r>
        <w:rPr>
          <w:color w:val="231F20"/>
          <w:spacing w:val="-16"/>
          <w:w w:val="110"/>
          <w:sz w:val="19"/>
        </w:rPr>
        <w:t> </w:t>
      </w:r>
      <w:r>
        <w:rPr>
          <w:color w:val="231F20"/>
          <w:w w:val="110"/>
          <w:sz w:val="19"/>
        </w:rPr>
        <w:t>y</w:t>
      </w:r>
      <w:r>
        <w:rPr>
          <w:color w:val="231F20"/>
          <w:spacing w:val="-16"/>
          <w:w w:val="110"/>
          <w:sz w:val="19"/>
        </w:rPr>
        <w:t> </w:t>
      </w:r>
      <w:r>
        <w:rPr>
          <w:color w:val="231F20"/>
          <w:spacing w:val="-4"/>
          <w:w w:val="110"/>
          <w:sz w:val="19"/>
        </w:rPr>
        <w:t>pautas</w:t>
      </w:r>
      <w:r>
        <w:rPr>
          <w:color w:val="231F20"/>
          <w:spacing w:val="-16"/>
          <w:w w:val="110"/>
          <w:sz w:val="19"/>
        </w:rPr>
        <w:t> </w:t>
      </w:r>
      <w:r>
        <w:rPr>
          <w:color w:val="231F20"/>
          <w:w w:val="110"/>
          <w:sz w:val="19"/>
        </w:rPr>
        <w:t>de</w:t>
      </w:r>
      <w:r>
        <w:rPr>
          <w:color w:val="231F20"/>
          <w:spacing w:val="-16"/>
          <w:w w:val="110"/>
          <w:sz w:val="19"/>
        </w:rPr>
        <w:t> </w:t>
      </w:r>
      <w:r>
        <w:rPr>
          <w:color w:val="231F20"/>
          <w:spacing w:val="-4"/>
          <w:w w:val="110"/>
          <w:sz w:val="19"/>
        </w:rPr>
        <w:t>distribución</w:t>
      </w:r>
      <w:r>
        <w:rPr>
          <w:color w:val="231F20"/>
          <w:spacing w:val="-16"/>
          <w:w w:val="110"/>
          <w:sz w:val="19"/>
        </w:rPr>
        <w:t> </w:t>
      </w:r>
      <w:r>
        <w:rPr>
          <w:color w:val="231F20"/>
          <w:spacing w:val="-4"/>
          <w:w w:val="110"/>
          <w:sz w:val="19"/>
        </w:rPr>
        <w:t>espacial</w:t>
      </w:r>
      <w:r>
        <w:rPr>
          <w:color w:val="231F20"/>
          <w:spacing w:val="-16"/>
          <w:w w:val="110"/>
          <w:sz w:val="19"/>
        </w:rPr>
        <w:t> </w:t>
      </w:r>
      <w:r>
        <w:rPr>
          <w:color w:val="231F20"/>
          <w:spacing w:val="-4"/>
          <w:w w:val="110"/>
          <w:sz w:val="19"/>
        </w:rPr>
        <w:t>entre</w:t>
      </w:r>
      <w:r>
        <w:rPr>
          <w:color w:val="231F20"/>
          <w:spacing w:val="-16"/>
          <w:w w:val="110"/>
          <w:sz w:val="19"/>
        </w:rPr>
        <w:t> </w:t>
      </w:r>
      <w:r>
        <w:rPr>
          <w:color w:val="231F20"/>
          <w:spacing w:val="-3"/>
          <w:w w:val="110"/>
          <w:sz w:val="19"/>
        </w:rPr>
        <w:t>1970</w:t>
      </w:r>
      <w:r>
        <w:rPr>
          <w:color w:val="231F20"/>
          <w:spacing w:val="-16"/>
          <w:w w:val="110"/>
          <w:sz w:val="19"/>
        </w:rPr>
        <w:t> </w:t>
      </w:r>
      <w:r>
        <w:rPr>
          <w:color w:val="231F20"/>
          <w:w w:val="110"/>
          <w:sz w:val="19"/>
        </w:rPr>
        <w:t>y</w:t>
      </w:r>
      <w:r>
        <w:rPr>
          <w:color w:val="231F20"/>
          <w:spacing w:val="-16"/>
          <w:w w:val="110"/>
          <w:sz w:val="19"/>
        </w:rPr>
        <w:t> </w:t>
      </w:r>
      <w:r>
        <w:rPr>
          <w:color w:val="231F20"/>
          <w:spacing w:val="-4"/>
          <w:w w:val="110"/>
          <w:sz w:val="19"/>
        </w:rPr>
        <w:t>2000”,</w:t>
      </w:r>
      <w:r>
        <w:rPr>
          <w:color w:val="231F20"/>
          <w:spacing w:val="-16"/>
          <w:w w:val="110"/>
          <w:sz w:val="19"/>
        </w:rPr>
        <w:t> </w:t>
      </w:r>
      <w:r>
        <w:rPr>
          <w:i/>
          <w:color w:val="231F20"/>
          <w:spacing w:val="-6"/>
          <w:w w:val="110"/>
          <w:sz w:val="19"/>
        </w:rPr>
        <w:t>Papeles</w:t>
      </w:r>
      <w:r>
        <w:rPr>
          <w:i/>
          <w:color w:val="231F20"/>
          <w:spacing w:val="-20"/>
          <w:w w:val="110"/>
          <w:sz w:val="19"/>
        </w:rPr>
        <w:t> </w:t>
      </w:r>
      <w:r>
        <w:rPr>
          <w:i/>
          <w:color w:val="231F20"/>
          <w:w w:val="110"/>
          <w:sz w:val="19"/>
        </w:rPr>
        <w:t>de</w:t>
      </w:r>
      <w:r>
        <w:rPr>
          <w:i/>
          <w:color w:val="231F20"/>
          <w:spacing w:val="-20"/>
          <w:w w:val="110"/>
          <w:sz w:val="19"/>
        </w:rPr>
        <w:t> </w:t>
      </w:r>
      <w:r>
        <w:rPr>
          <w:i/>
          <w:color w:val="231F20"/>
          <w:spacing w:val="-6"/>
          <w:w w:val="110"/>
          <w:sz w:val="19"/>
        </w:rPr>
        <w:t>Población</w:t>
      </w:r>
      <w:r>
        <w:rPr>
          <w:color w:val="231F20"/>
          <w:spacing w:val="-6"/>
          <w:w w:val="110"/>
          <w:sz w:val="19"/>
        </w:rPr>
        <w:t>, </w:t>
      </w:r>
      <w:r>
        <w:rPr>
          <w:color w:val="231F20"/>
          <w:w w:val="110"/>
          <w:sz w:val="19"/>
        </w:rPr>
        <w:t>año 9, núm. 37, julio-septiembre, México, Centro de Investigación y Es- </w:t>
      </w:r>
      <w:r>
        <w:rPr>
          <w:color w:val="231F20"/>
          <w:spacing w:val="2"/>
          <w:w w:val="110"/>
          <w:sz w:val="19"/>
        </w:rPr>
        <w:t>tudios </w:t>
      </w:r>
      <w:r>
        <w:rPr>
          <w:color w:val="231F20"/>
          <w:w w:val="110"/>
          <w:sz w:val="19"/>
        </w:rPr>
        <w:t>Avanzados de la Población-Universidad Autónoma del Estado de México, pp.</w:t>
      </w:r>
      <w:r>
        <w:rPr>
          <w:color w:val="231F20"/>
          <w:spacing w:val="-9"/>
          <w:w w:val="110"/>
          <w:sz w:val="19"/>
        </w:rPr>
        <w:t> </w:t>
      </w:r>
      <w:r>
        <w:rPr>
          <w:color w:val="231F20"/>
          <w:w w:val="110"/>
          <w:sz w:val="19"/>
        </w:rPr>
        <w:t>107-127.</w:t>
      </w:r>
    </w:p>
    <w:p>
      <w:pPr>
        <w:spacing w:line="266" w:lineRule="auto" w:before="0"/>
        <w:ind w:left="480" w:right="118" w:hanging="360"/>
        <w:jc w:val="both"/>
        <w:rPr>
          <w:sz w:val="19"/>
        </w:rPr>
      </w:pPr>
      <w:r>
        <w:rPr>
          <w:color w:val="231F20"/>
          <w:w w:val="110"/>
          <w:sz w:val="19"/>
        </w:rPr>
        <w:t>Organización de las Naciones Unidas (2002), Informe de la Segunda Asamblea Mundial sobre el Envejecimiento, Madrid, 8 a 12 de  abril.</w:t>
      </w:r>
    </w:p>
    <w:p>
      <w:pPr>
        <w:spacing w:line="266" w:lineRule="auto" w:before="0"/>
        <w:ind w:left="480" w:right="119" w:hanging="360"/>
        <w:jc w:val="both"/>
        <w:rPr>
          <w:sz w:val="19"/>
        </w:rPr>
      </w:pPr>
      <w:r>
        <w:rPr>
          <w:color w:val="231F20"/>
          <w:w w:val="110"/>
          <w:sz w:val="19"/>
        </w:rPr>
        <w:t>Organización Mundial de la Salud (2009), Red Mundial OMS de Ciudades Ami- gables con las Personas Mayores, Ginebra,   Suiza.</w:t>
      </w:r>
    </w:p>
    <w:p>
      <w:pPr>
        <w:spacing w:line="266" w:lineRule="auto" w:before="0"/>
        <w:ind w:left="479" w:right="117" w:hanging="360"/>
        <w:jc w:val="both"/>
        <w:rPr>
          <w:sz w:val="19"/>
        </w:rPr>
      </w:pPr>
      <w:r>
        <w:rPr>
          <w:rFonts w:ascii="Times New Roman" w:hAnsi="Times New Roman"/>
          <w:color w:val="231F20"/>
          <w:w w:val="110"/>
          <w:sz w:val="19"/>
        </w:rPr>
        <w:t>O</w:t>
      </w:r>
      <w:r>
        <w:rPr>
          <w:rFonts w:ascii="Times New Roman" w:hAnsi="Times New Roman"/>
          <w:color w:val="231F20"/>
          <w:w w:val="110"/>
          <w:sz w:val="15"/>
        </w:rPr>
        <w:t>RTIZ </w:t>
      </w:r>
      <w:r>
        <w:rPr>
          <w:rFonts w:ascii="Times New Roman" w:hAnsi="Times New Roman"/>
          <w:color w:val="231F20"/>
          <w:w w:val="110"/>
          <w:sz w:val="19"/>
        </w:rPr>
        <w:t>Á</w:t>
      </w:r>
      <w:r>
        <w:rPr>
          <w:rFonts w:ascii="Times New Roman" w:hAnsi="Times New Roman"/>
          <w:color w:val="231F20"/>
          <w:w w:val="110"/>
          <w:sz w:val="15"/>
        </w:rPr>
        <w:t>LVAREZ</w:t>
      </w:r>
      <w:r>
        <w:rPr>
          <w:color w:val="231F20"/>
          <w:w w:val="110"/>
          <w:sz w:val="19"/>
        </w:rPr>
        <w:t>, María Inés y Leticia Gerónimo Mendoza (2008), “El envejeci- miento en México, aspectos territoriales y repercusiones sociales”,</w:t>
      </w:r>
      <w:r>
        <w:rPr>
          <w:color w:val="231F20"/>
          <w:spacing w:val="-13"/>
          <w:w w:val="110"/>
          <w:sz w:val="19"/>
        </w:rPr>
        <w:t> </w:t>
      </w:r>
      <w:r>
        <w:rPr>
          <w:i/>
          <w:color w:val="231F20"/>
          <w:w w:val="110"/>
          <w:sz w:val="19"/>
        </w:rPr>
        <w:t>Trayec- </w:t>
      </w:r>
      <w:r>
        <w:rPr>
          <w:i/>
          <w:color w:val="231F20"/>
          <w:w w:val="110"/>
          <w:sz w:val="19"/>
        </w:rPr>
        <w:t>torias</w:t>
      </w:r>
      <w:r>
        <w:rPr>
          <w:color w:val="231F20"/>
          <w:w w:val="110"/>
          <w:sz w:val="19"/>
        </w:rPr>
        <w:t>, núm. 26, enero-junio, vol. X, Universidad autónoma de Nuevo León, pp.</w:t>
      </w:r>
      <w:r>
        <w:rPr>
          <w:color w:val="231F20"/>
          <w:spacing w:val="-23"/>
          <w:w w:val="110"/>
          <w:sz w:val="19"/>
        </w:rPr>
        <w:t> </w:t>
      </w:r>
      <w:r>
        <w:rPr>
          <w:color w:val="231F20"/>
          <w:w w:val="110"/>
          <w:sz w:val="19"/>
        </w:rPr>
        <w:t>79-92.</w:t>
      </w:r>
    </w:p>
    <w:p>
      <w:pPr>
        <w:spacing w:line="266" w:lineRule="auto" w:before="0"/>
        <w:ind w:left="480" w:right="119" w:hanging="360"/>
        <w:jc w:val="both"/>
        <w:rPr>
          <w:sz w:val="19"/>
        </w:rPr>
      </w:pPr>
      <w:r>
        <w:rPr>
          <w:rFonts w:ascii="Times New Roman" w:hAnsi="Times New Roman"/>
          <w:color w:val="231F20"/>
          <w:w w:val="105"/>
          <w:sz w:val="19"/>
        </w:rPr>
        <w:t>P</w:t>
      </w:r>
      <w:r>
        <w:rPr>
          <w:rFonts w:ascii="Times New Roman" w:hAnsi="Times New Roman"/>
          <w:color w:val="231F20"/>
          <w:w w:val="105"/>
          <w:sz w:val="15"/>
        </w:rPr>
        <w:t>AMPLONA</w:t>
      </w:r>
      <w:r>
        <w:rPr>
          <w:color w:val="231F20"/>
          <w:w w:val="105"/>
          <w:sz w:val="19"/>
        </w:rPr>
        <w:t>, Francisco, (2005), </w:t>
      </w:r>
      <w:r>
        <w:rPr>
          <w:i/>
          <w:color w:val="231F20"/>
          <w:w w:val="105"/>
          <w:sz w:val="19"/>
        </w:rPr>
        <w:t>Las desigualdades territoriales, el caso de la margi- </w:t>
      </w:r>
      <w:r>
        <w:rPr>
          <w:i/>
          <w:color w:val="231F20"/>
          <w:w w:val="105"/>
          <w:sz w:val="19"/>
        </w:rPr>
        <w:t>nación, </w:t>
      </w:r>
      <w:r>
        <w:rPr>
          <w:color w:val="231F20"/>
          <w:w w:val="105"/>
          <w:sz w:val="19"/>
        </w:rPr>
        <w:t>México, Facultad de Economía, Universidad Nacional Autónoma de México.</w:t>
      </w:r>
    </w:p>
    <w:p>
      <w:pPr>
        <w:spacing w:line="266" w:lineRule="auto" w:before="0"/>
        <w:ind w:left="480" w:right="117" w:hanging="360"/>
        <w:jc w:val="both"/>
        <w:rPr>
          <w:sz w:val="19"/>
        </w:rPr>
      </w:pPr>
      <w:r>
        <w:rPr>
          <w:rFonts w:ascii="Times New Roman" w:hAnsi="Times New Roman"/>
          <w:color w:val="231F20"/>
          <w:w w:val="105"/>
          <w:sz w:val="19"/>
        </w:rPr>
        <w:t>P</w:t>
      </w:r>
      <w:r>
        <w:rPr>
          <w:rFonts w:ascii="Times New Roman" w:hAnsi="Times New Roman"/>
          <w:color w:val="231F20"/>
          <w:w w:val="105"/>
          <w:sz w:val="15"/>
        </w:rPr>
        <w:t>AMPLONA</w:t>
      </w:r>
      <w:r>
        <w:rPr>
          <w:color w:val="231F20"/>
          <w:w w:val="105"/>
          <w:sz w:val="19"/>
        </w:rPr>
        <w:t>, Rangel, Francisco; Ma. Isabel Monterrubio Gómez y Miguel Ángel Mejía </w:t>
      </w:r>
      <w:r>
        <w:rPr>
          <w:color w:val="231F20"/>
          <w:spacing w:val="-3"/>
          <w:w w:val="105"/>
          <w:sz w:val="19"/>
        </w:rPr>
        <w:t>Tapia </w:t>
      </w:r>
      <w:r>
        <w:rPr>
          <w:color w:val="231F20"/>
          <w:w w:val="105"/>
          <w:sz w:val="19"/>
        </w:rPr>
        <w:t>(1993), </w:t>
      </w:r>
      <w:r>
        <w:rPr>
          <w:i/>
          <w:color w:val="231F20"/>
          <w:w w:val="105"/>
          <w:sz w:val="19"/>
        </w:rPr>
        <w:t>Población y desigualdad </w:t>
      </w:r>
      <w:r>
        <w:rPr>
          <w:i/>
          <w:color w:val="231F20"/>
          <w:sz w:val="19"/>
        </w:rPr>
        <w:t>/ </w:t>
      </w:r>
      <w:r>
        <w:rPr>
          <w:i/>
          <w:color w:val="231F20"/>
          <w:w w:val="105"/>
          <w:sz w:val="19"/>
        </w:rPr>
        <w:t>Marginación y desarrollo social </w:t>
      </w:r>
      <w:r>
        <w:rPr>
          <w:i/>
          <w:color w:val="231F20"/>
          <w:w w:val="105"/>
          <w:sz w:val="19"/>
        </w:rPr>
        <w:t>en  México,  </w:t>
      </w:r>
      <w:r>
        <w:rPr>
          <w:color w:val="231F20"/>
          <w:w w:val="105"/>
          <w:sz w:val="19"/>
        </w:rPr>
        <w:t>Demos,  núm.  006, </w:t>
      </w:r>
      <w:r>
        <w:rPr>
          <w:color w:val="231F20"/>
          <w:spacing w:val="11"/>
          <w:w w:val="105"/>
          <w:sz w:val="19"/>
        </w:rPr>
        <w:t> </w:t>
      </w:r>
      <w:r>
        <w:rPr>
          <w:color w:val="231F20"/>
          <w:w w:val="105"/>
          <w:sz w:val="19"/>
        </w:rPr>
        <w:t>enero.</w:t>
      </w:r>
    </w:p>
    <w:p>
      <w:pPr>
        <w:spacing w:line="266" w:lineRule="auto" w:before="0"/>
        <w:ind w:left="480" w:right="119" w:hanging="360"/>
        <w:jc w:val="both"/>
        <w:rPr>
          <w:sz w:val="19"/>
        </w:rPr>
      </w:pPr>
      <w:r>
        <w:rPr>
          <w:rFonts w:ascii="Times New Roman" w:hAnsi="Times New Roman"/>
          <w:color w:val="231F20"/>
          <w:w w:val="110"/>
          <w:sz w:val="19"/>
        </w:rPr>
        <w:t>P</w:t>
      </w:r>
      <w:r>
        <w:rPr>
          <w:rFonts w:ascii="Times New Roman" w:hAnsi="Times New Roman"/>
          <w:color w:val="231F20"/>
          <w:w w:val="110"/>
          <w:sz w:val="15"/>
        </w:rPr>
        <w:t>ARTIDA</w:t>
      </w:r>
      <w:r>
        <w:rPr>
          <w:rFonts w:ascii="Times New Roman" w:hAnsi="Times New Roman"/>
          <w:color w:val="231F20"/>
          <w:spacing w:val="-7"/>
          <w:w w:val="110"/>
          <w:sz w:val="15"/>
        </w:rPr>
        <w:t> </w:t>
      </w:r>
      <w:r>
        <w:rPr>
          <w:rFonts w:ascii="Times New Roman" w:hAnsi="Times New Roman"/>
          <w:color w:val="231F20"/>
          <w:w w:val="110"/>
          <w:sz w:val="19"/>
        </w:rPr>
        <w:t>B</w:t>
      </w:r>
      <w:r>
        <w:rPr>
          <w:rFonts w:ascii="Times New Roman" w:hAnsi="Times New Roman"/>
          <w:color w:val="231F20"/>
          <w:w w:val="110"/>
          <w:sz w:val="15"/>
        </w:rPr>
        <w:t>USH</w:t>
      </w:r>
      <w:r>
        <w:rPr>
          <w:color w:val="231F20"/>
          <w:w w:val="110"/>
          <w:sz w:val="19"/>
        </w:rPr>
        <w:t>,</w:t>
      </w:r>
      <w:r>
        <w:rPr>
          <w:color w:val="231F20"/>
          <w:spacing w:val="-12"/>
          <w:w w:val="110"/>
          <w:sz w:val="19"/>
        </w:rPr>
        <w:t> </w:t>
      </w:r>
      <w:r>
        <w:rPr>
          <w:color w:val="231F20"/>
          <w:w w:val="110"/>
          <w:sz w:val="19"/>
        </w:rPr>
        <w:t>Virgilio</w:t>
      </w:r>
      <w:r>
        <w:rPr>
          <w:color w:val="231F20"/>
          <w:spacing w:val="-12"/>
          <w:w w:val="110"/>
          <w:sz w:val="19"/>
        </w:rPr>
        <w:t> </w:t>
      </w:r>
      <w:r>
        <w:rPr>
          <w:color w:val="231F20"/>
          <w:w w:val="110"/>
          <w:sz w:val="19"/>
        </w:rPr>
        <w:t>(2004)</w:t>
      </w:r>
      <w:r>
        <w:rPr>
          <w:i/>
          <w:color w:val="231F20"/>
          <w:w w:val="110"/>
          <w:sz w:val="19"/>
        </w:rPr>
        <w:t>,</w:t>
      </w:r>
      <w:r>
        <w:rPr>
          <w:i/>
          <w:color w:val="231F20"/>
          <w:spacing w:val="-15"/>
          <w:w w:val="110"/>
          <w:sz w:val="19"/>
        </w:rPr>
        <w:t> </w:t>
      </w:r>
      <w:r>
        <w:rPr>
          <w:color w:val="231F20"/>
          <w:spacing w:val="5"/>
          <w:w w:val="110"/>
          <w:sz w:val="19"/>
        </w:rPr>
        <w:t>“La</w:t>
      </w:r>
      <w:r>
        <w:rPr>
          <w:color w:val="231F20"/>
          <w:spacing w:val="-12"/>
          <w:w w:val="110"/>
          <w:sz w:val="19"/>
        </w:rPr>
        <w:t> </w:t>
      </w:r>
      <w:r>
        <w:rPr>
          <w:color w:val="231F20"/>
          <w:w w:val="110"/>
          <w:sz w:val="19"/>
        </w:rPr>
        <w:t>situación</w:t>
      </w:r>
      <w:r>
        <w:rPr>
          <w:color w:val="231F20"/>
          <w:spacing w:val="-12"/>
          <w:w w:val="110"/>
          <w:sz w:val="19"/>
        </w:rPr>
        <w:t> </w:t>
      </w:r>
      <w:r>
        <w:rPr>
          <w:color w:val="231F20"/>
          <w:w w:val="110"/>
          <w:sz w:val="19"/>
        </w:rPr>
        <w:t>demográfica</w:t>
      </w:r>
      <w:r>
        <w:rPr>
          <w:color w:val="231F20"/>
          <w:spacing w:val="-12"/>
          <w:w w:val="110"/>
          <w:sz w:val="19"/>
        </w:rPr>
        <w:t> </w:t>
      </w:r>
      <w:r>
        <w:rPr>
          <w:color w:val="231F20"/>
          <w:w w:val="110"/>
          <w:sz w:val="19"/>
        </w:rPr>
        <w:t>nacional”,</w:t>
      </w:r>
      <w:r>
        <w:rPr>
          <w:color w:val="231F20"/>
          <w:spacing w:val="-12"/>
          <w:w w:val="110"/>
          <w:sz w:val="19"/>
        </w:rPr>
        <w:t> </w:t>
      </w:r>
      <w:r>
        <w:rPr>
          <w:color w:val="231F20"/>
          <w:w w:val="110"/>
          <w:sz w:val="19"/>
        </w:rPr>
        <w:t>en</w:t>
      </w:r>
      <w:r>
        <w:rPr>
          <w:color w:val="231F20"/>
          <w:spacing w:val="-12"/>
          <w:w w:val="110"/>
          <w:sz w:val="19"/>
        </w:rPr>
        <w:t> </w:t>
      </w:r>
      <w:r>
        <w:rPr>
          <w:i/>
          <w:color w:val="231F20"/>
          <w:w w:val="110"/>
          <w:sz w:val="19"/>
        </w:rPr>
        <w:t>La</w:t>
      </w:r>
      <w:r>
        <w:rPr>
          <w:i/>
          <w:color w:val="231F20"/>
          <w:spacing w:val="-15"/>
          <w:w w:val="110"/>
          <w:sz w:val="19"/>
        </w:rPr>
        <w:t> </w:t>
      </w:r>
      <w:r>
        <w:rPr>
          <w:i/>
          <w:color w:val="231F20"/>
          <w:w w:val="110"/>
          <w:sz w:val="19"/>
        </w:rPr>
        <w:t>situa- </w:t>
      </w:r>
      <w:r>
        <w:rPr>
          <w:i/>
          <w:color w:val="231F20"/>
          <w:w w:val="110"/>
          <w:sz w:val="19"/>
        </w:rPr>
        <w:t>ción demográfica de México</w:t>
      </w:r>
      <w:r>
        <w:rPr>
          <w:color w:val="231F20"/>
          <w:w w:val="110"/>
          <w:sz w:val="19"/>
        </w:rPr>
        <w:t>, </w:t>
      </w:r>
      <w:r>
        <w:rPr>
          <w:i/>
          <w:color w:val="231F20"/>
          <w:w w:val="110"/>
          <w:sz w:val="19"/>
        </w:rPr>
        <w:t>2004</w:t>
      </w:r>
      <w:r>
        <w:rPr>
          <w:color w:val="231F20"/>
          <w:w w:val="110"/>
          <w:sz w:val="19"/>
        </w:rPr>
        <w:t>, México, Consejo Nacional de</w:t>
      </w:r>
      <w:r>
        <w:rPr>
          <w:color w:val="231F20"/>
          <w:spacing w:val="-22"/>
          <w:w w:val="110"/>
          <w:sz w:val="19"/>
        </w:rPr>
        <w:t> </w:t>
      </w:r>
      <w:r>
        <w:rPr>
          <w:color w:val="231F20"/>
          <w:w w:val="110"/>
          <w:sz w:val="19"/>
        </w:rPr>
        <w:t>Población.</w:t>
      </w:r>
    </w:p>
    <w:p>
      <w:pPr>
        <w:tabs>
          <w:tab w:pos="839" w:val="left" w:leader="none"/>
        </w:tabs>
        <w:spacing w:line="266" w:lineRule="auto" w:before="0"/>
        <w:ind w:left="479" w:right="117" w:hanging="360"/>
        <w:jc w:val="both"/>
        <w:rPr>
          <w:sz w:val="19"/>
        </w:rPr>
      </w:pPr>
      <w:r>
        <w:rPr>
          <w:color w:val="231F20"/>
          <w:w w:val="128"/>
          <w:sz w:val="19"/>
          <w:u w:val="single" w:color="231F20"/>
        </w:rPr>
        <w:t> </w:t>
      </w:r>
      <w:r>
        <w:rPr>
          <w:color w:val="231F20"/>
          <w:sz w:val="19"/>
          <w:u w:val="single" w:color="231F20"/>
        </w:rPr>
        <w:tab/>
        <w:tab/>
      </w:r>
      <w:r>
        <w:rPr>
          <w:color w:val="231F20"/>
          <w:sz w:val="19"/>
        </w:rPr>
        <w:t> </w:t>
      </w:r>
      <w:r>
        <w:rPr>
          <w:color w:val="231F20"/>
          <w:spacing w:val="-17"/>
          <w:sz w:val="19"/>
        </w:rPr>
        <w:t> </w:t>
      </w:r>
      <w:r>
        <w:rPr>
          <w:color w:val="231F20"/>
          <w:w w:val="105"/>
          <w:sz w:val="19"/>
        </w:rPr>
        <w:t>(2005),</w:t>
      </w:r>
      <w:r>
        <w:rPr>
          <w:color w:val="231F20"/>
          <w:spacing w:val="30"/>
          <w:w w:val="105"/>
          <w:sz w:val="19"/>
        </w:rPr>
        <w:t> </w:t>
      </w:r>
      <w:r>
        <w:rPr>
          <w:color w:val="231F20"/>
          <w:spacing w:val="5"/>
          <w:w w:val="105"/>
          <w:sz w:val="19"/>
        </w:rPr>
        <w:t>“La</w:t>
      </w:r>
      <w:r>
        <w:rPr>
          <w:color w:val="231F20"/>
          <w:spacing w:val="30"/>
          <w:w w:val="105"/>
          <w:sz w:val="19"/>
        </w:rPr>
        <w:t> </w:t>
      </w:r>
      <w:r>
        <w:rPr>
          <w:color w:val="231F20"/>
          <w:w w:val="105"/>
          <w:sz w:val="19"/>
        </w:rPr>
        <w:t>transición</w:t>
      </w:r>
      <w:r>
        <w:rPr>
          <w:color w:val="231F20"/>
          <w:spacing w:val="30"/>
          <w:w w:val="105"/>
          <w:sz w:val="19"/>
        </w:rPr>
        <w:t> </w:t>
      </w:r>
      <w:r>
        <w:rPr>
          <w:color w:val="231F20"/>
          <w:w w:val="105"/>
          <w:sz w:val="19"/>
        </w:rPr>
        <w:t>demográfica</w:t>
      </w:r>
      <w:r>
        <w:rPr>
          <w:color w:val="231F20"/>
          <w:spacing w:val="30"/>
          <w:w w:val="105"/>
          <w:sz w:val="19"/>
        </w:rPr>
        <w:t> </w:t>
      </w:r>
      <w:r>
        <w:rPr>
          <w:color w:val="231F20"/>
          <w:w w:val="105"/>
          <w:sz w:val="19"/>
        </w:rPr>
        <w:t>en</w:t>
      </w:r>
      <w:r>
        <w:rPr>
          <w:color w:val="231F20"/>
          <w:spacing w:val="30"/>
          <w:w w:val="105"/>
          <w:sz w:val="19"/>
        </w:rPr>
        <w:t> </w:t>
      </w:r>
      <w:r>
        <w:rPr>
          <w:color w:val="231F20"/>
          <w:w w:val="105"/>
          <w:sz w:val="19"/>
        </w:rPr>
        <w:t>y</w:t>
      </w:r>
      <w:r>
        <w:rPr>
          <w:color w:val="231F20"/>
          <w:spacing w:val="30"/>
          <w:w w:val="105"/>
          <w:sz w:val="19"/>
        </w:rPr>
        <w:t> </w:t>
      </w:r>
      <w:r>
        <w:rPr>
          <w:color w:val="231F20"/>
          <w:w w:val="105"/>
          <w:sz w:val="19"/>
        </w:rPr>
        <w:t>el</w:t>
      </w:r>
      <w:r>
        <w:rPr>
          <w:color w:val="231F20"/>
          <w:spacing w:val="30"/>
          <w:w w:val="105"/>
          <w:sz w:val="19"/>
        </w:rPr>
        <w:t> </w:t>
      </w:r>
      <w:r>
        <w:rPr>
          <w:color w:val="231F20"/>
          <w:w w:val="105"/>
          <w:sz w:val="19"/>
        </w:rPr>
        <w:t>proceso</w:t>
      </w:r>
      <w:r>
        <w:rPr>
          <w:color w:val="231F20"/>
          <w:spacing w:val="30"/>
          <w:w w:val="105"/>
          <w:sz w:val="19"/>
        </w:rPr>
        <w:t> </w:t>
      </w:r>
      <w:r>
        <w:rPr>
          <w:color w:val="231F20"/>
          <w:w w:val="105"/>
          <w:sz w:val="19"/>
        </w:rPr>
        <w:t>de</w:t>
      </w:r>
      <w:r>
        <w:rPr>
          <w:color w:val="231F20"/>
          <w:spacing w:val="30"/>
          <w:w w:val="105"/>
          <w:sz w:val="19"/>
        </w:rPr>
        <w:t> </w:t>
      </w:r>
      <w:r>
        <w:rPr>
          <w:color w:val="231F20"/>
          <w:w w:val="105"/>
          <w:sz w:val="19"/>
        </w:rPr>
        <w:t>envejecimiento</w:t>
      </w:r>
      <w:r>
        <w:rPr>
          <w:color w:val="231F20"/>
          <w:w w:val="108"/>
          <w:sz w:val="19"/>
        </w:rPr>
        <w:t> </w:t>
      </w:r>
      <w:r>
        <w:rPr>
          <w:color w:val="231F20"/>
          <w:w w:val="105"/>
          <w:sz w:val="19"/>
        </w:rPr>
        <w:t>en  México”,  </w:t>
      </w:r>
      <w:r>
        <w:rPr>
          <w:i/>
          <w:color w:val="231F20"/>
          <w:w w:val="105"/>
          <w:sz w:val="19"/>
        </w:rPr>
        <w:t>Papeles  de  Población,  </w:t>
      </w:r>
      <w:r>
        <w:rPr>
          <w:color w:val="231F20"/>
          <w:w w:val="105"/>
          <w:sz w:val="19"/>
        </w:rPr>
        <w:t>núm.  45,  julio-septiembre,  </w:t>
      </w:r>
      <w:r>
        <w:rPr>
          <w:color w:val="231F20"/>
          <w:spacing w:val="23"/>
          <w:w w:val="105"/>
          <w:sz w:val="19"/>
        </w:rPr>
        <w:t> </w:t>
      </w:r>
      <w:r>
        <w:rPr>
          <w:color w:val="231F20"/>
          <w:w w:val="105"/>
          <w:sz w:val="19"/>
        </w:rPr>
        <w:t>Universidad</w:t>
      </w:r>
    </w:p>
    <w:p>
      <w:pPr>
        <w:spacing w:after="0" w:line="266" w:lineRule="auto"/>
        <w:jc w:val="both"/>
        <w:rPr>
          <w:sz w:val="19"/>
        </w:rPr>
        <w:sectPr>
          <w:footerReference w:type="even" r:id="rId191"/>
          <w:footerReference w:type="default" r:id="rId192"/>
          <w:pgSz w:w="9520" w:h="12920"/>
          <w:pgMar w:footer="1344" w:header="0" w:top="880" w:bottom="1540" w:left="1000" w:right="1320"/>
        </w:sectPr>
      </w:pPr>
    </w:p>
    <w:p>
      <w:pPr>
        <w:spacing w:line="273" w:lineRule="auto" w:before="44"/>
        <w:ind w:left="484" w:right="104" w:firstLine="0"/>
        <w:jc w:val="left"/>
        <w:rPr>
          <w:sz w:val="19"/>
        </w:rPr>
      </w:pPr>
      <w:r>
        <w:rPr>
          <w:color w:val="231F20"/>
          <w:w w:val="110"/>
          <w:sz w:val="19"/>
        </w:rPr>
        <w:t>Autónoma del Estado de México, pp. 9-27. </w:t>
      </w:r>
      <w:hyperlink r:id="rId193">
        <w:r>
          <w:rPr>
            <w:color w:val="231F20"/>
            <w:w w:val="110"/>
            <w:sz w:val="19"/>
          </w:rPr>
          <w:t>http://redalyc.uaemex.mx/src/</w:t>
        </w:r>
      </w:hyperlink>
      <w:r>
        <w:rPr>
          <w:color w:val="231F20"/>
          <w:w w:val="110"/>
          <w:sz w:val="19"/>
        </w:rPr>
        <w:t> inicio/ArtPdfRed.jsp?iCve=11204502</w:t>
      </w:r>
    </w:p>
    <w:p>
      <w:pPr>
        <w:spacing w:line="273" w:lineRule="auto" w:before="0"/>
        <w:ind w:left="484" w:right="114" w:hanging="360"/>
        <w:jc w:val="both"/>
        <w:rPr>
          <w:sz w:val="19"/>
        </w:rPr>
      </w:pPr>
      <w:r>
        <w:rPr>
          <w:rFonts w:ascii="Times New Roman" w:hAnsi="Times New Roman"/>
          <w:color w:val="231F20"/>
          <w:w w:val="110"/>
          <w:sz w:val="19"/>
        </w:rPr>
        <w:t>P</w:t>
      </w:r>
      <w:r>
        <w:rPr>
          <w:rFonts w:ascii="Times New Roman" w:hAnsi="Times New Roman"/>
          <w:color w:val="231F20"/>
          <w:w w:val="110"/>
          <w:sz w:val="15"/>
        </w:rPr>
        <w:t>ÉREZ </w:t>
      </w:r>
      <w:r>
        <w:rPr>
          <w:rFonts w:ascii="Times New Roman" w:hAnsi="Times New Roman"/>
          <w:color w:val="231F20"/>
          <w:w w:val="110"/>
          <w:sz w:val="19"/>
        </w:rPr>
        <w:t>D</w:t>
      </w:r>
      <w:r>
        <w:rPr>
          <w:rFonts w:ascii="Times New Roman" w:hAnsi="Times New Roman"/>
          <w:color w:val="231F20"/>
          <w:w w:val="110"/>
          <w:sz w:val="15"/>
        </w:rPr>
        <w:t>ÍAZ</w:t>
      </w:r>
      <w:r>
        <w:rPr>
          <w:color w:val="231F20"/>
          <w:w w:val="110"/>
          <w:sz w:val="19"/>
        </w:rPr>
        <w:t>, Julio (2002), </w:t>
      </w:r>
      <w:r>
        <w:rPr>
          <w:i/>
          <w:color w:val="231F20"/>
          <w:w w:val="110"/>
          <w:sz w:val="19"/>
        </w:rPr>
        <w:t>La madurez de masas</w:t>
      </w:r>
      <w:r>
        <w:rPr>
          <w:color w:val="231F20"/>
          <w:w w:val="110"/>
          <w:sz w:val="19"/>
        </w:rPr>
        <w:t>, Accésit, del XVº Premio “Dr. Rogeli Duocastella” de Investigación en Ciencias Sociales, convocado por la Fundación “la Caixa”, septiembre.</w:t>
      </w:r>
      <w:r>
        <w:rPr>
          <w:color w:val="231F20"/>
          <w:spacing w:val="9"/>
          <w:w w:val="110"/>
          <w:sz w:val="19"/>
        </w:rPr>
        <w:t> </w:t>
      </w:r>
      <w:r>
        <w:rPr>
          <w:color w:val="231F20"/>
          <w:w w:val="110"/>
          <w:sz w:val="19"/>
        </w:rPr>
        <w:t>(Libro).</w:t>
      </w:r>
    </w:p>
    <w:p>
      <w:pPr>
        <w:spacing w:line="273" w:lineRule="auto" w:before="0"/>
        <w:ind w:left="484" w:right="113" w:hanging="360"/>
        <w:jc w:val="both"/>
        <w:rPr>
          <w:sz w:val="19"/>
        </w:rPr>
      </w:pPr>
      <w:r>
        <w:rPr>
          <w:rFonts w:ascii="Times New Roman" w:hAnsi="Times New Roman"/>
          <w:color w:val="231F20"/>
          <w:w w:val="105"/>
          <w:sz w:val="19"/>
        </w:rPr>
        <w:t>P</w:t>
      </w:r>
      <w:r>
        <w:rPr>
          <w:rFonts w:ascii="Times New Roman" w:hAnsi="Times New Roman"/>
          <w:color w:val="231F20"/>
          <w:w w:val="105"/>
          <w:sz w:val="15"/>
        </w:rPr>
        <w:t>ETERSEN</w:t>
      </w:r>
      <w:r>
        <w:rPr>
          <w:color w:val="231F20"/>
          <w:w w:val="105"/>
          <w:sz w:val="19"/>
        </w:rPr>
        <w:t>, </w:t>
      </w:r>
      <w:r>
        <w:rPr>
          <w:color w:val="231F20"/>
          <w:spacing w:val="-4"/>
          <w:w w:val="105"/>
          <w:sz w:val="19"/>
        </w:rPr>
        <w:t>Todd </w:t>
      </w:r>
      <w:r>
        <w:rPr>
          <w:color w:val="231F20"/>
          <w:w w:val="105"/>
          <w:sz w:val="19"/>
        </w:rPr>
        <w:t>(2002), “Envejecimiento de la población y desarrollo. Nuevas estrategias de protección social”, Informe del seminario realizado el 31 de octubre en el National Press Club de Washington, DC, Estados Unidos. </w:t>
      </w:r>
      <w:r>
        <w:rPr>
          <w:color w:val="231F20"/>
          <w:spacing w:val="2"/>
          <w:w w:val="105"/>
          <w:sz w:val="19"/>
        </w:rPr>
        <w:t>Seminario </w:t>
      </w:r>
      <w:r>
        <w:rPr>
          <w:color w:val="231F20"/>
          <w:w w:val="105"/>
          <w:sz w:val="19"/>
        </w:rPr>
        <w:t>organizado por </w:t>
      </w:r>
      <w:r>
        <w:rPr>
          <w:color w:val="231F20"/>
          <w:spacing w:val="2"/>
          <w:w w:val="105"/>
          <w:sz w:val="19"/>
        </w:rPr>
        <w:t>HelpAge International, National </w:t>
      </w:r>
      <w:r>
        <w:rPr>
          <w:color w:val="231F20"/>
          <w:w w:val="105"/>
          <w:sz w:val="19"/>
        </w:rPr>
        <w:t>Academy of  Social  Insurance  Initiative  for  a  Policy</w:t>
      </w:r>
      <w:r>
        <w:rPr>
          <w:color w:val="231F20"/>
          <w:spacing w:val="-3"/>
          <w:w w:val="105"/>
          <w:sz w:val="19"/>
        </w:rPr>
        <w:t> </w:t>
      </w:r>
      <w:r>
        <w:rPr>
          <w:color w:val="231F20"/>
          <w:w w:val="105"/>
          <w:sz w:val="19"/>
        </w:rPr>
        <w:t>Dialogue.</w:t>
      </w:r>
    </w:p>
    <w:p>
      <w:pPr>
        <w:spacing w:line="273" w:lineRule="auto" w:before="0"/>
        <w:ind w:left="484" w:right="110" w:hanging="360"/>
        <w:jc w:val="both"/>
        <w:rPr>
          <w:sz w:val="19"/>
        </w:rPr>
      </w:pPr>
      <w:r>
        <w:rPr>
          <w:color w:val="231F20"/>
          <w:w w:val="110"/>
          <w:sz w:val="19"/>
        </w:rPr>
        <w:t>Programa sobre Envejecimiento de Naciones Unidas, Asociación Internacional de Gerontología, Fundación Novartis para la Gerontología y el Gobierno</w:t>
      </w:r>
      <w:r>
        <w:rPr>
          <w:color w:val="231F20"/>
          <w:spacing w:val="-17"/>
          <w:w w:val="110"/>
          <w:sz w:val="19"/>
        </w:rPr>
        <w:t> </w:t>
      </w:r>
      <w:r>
        <w:rPr>
          <w:color w:val="231F20"/>
          <w:w w:val="110"/>
          <w:sz w:val="19"/>
        </w:rPr>
        <w:t>de la</w:t>
      </w:r>
      <w:r>
        <w:rPr>
          <w:color w:val="231F20"/>
          <w:spacing w:val="-14"/>
          <w:w w:val="110"/>
          <w:sz w:val="19"/>
        </w:rPr>
        <w:t> </w:t>
      </w:r>
      <w:r>
        <w:rPr>
          <w:color w:val="231F20"/>
          <w:w w:val="110"/>
          <w:sz w:val="19"/>
        </w:rPr>
        <w:t>República</w:t>
      </w:r>
      <w:r>
        <w:rPr>
          <w:color w:val="231F20"/>
          <w:spacing w:val="-14"/>
          <w:w w:val="110"/>
          <w:sz w:val="19"/>
        </w:rPr>
        <w:t> </w:t>
      </w:r>
      <w:r>
        <w:rPr>
          <w:color w:val="231F20"/>
          <w:spacing w:val="-3"/>
          <w:w w:val="110"/>
          <w:sz w:val="19"/>
        </w:rPr>
        <w:t>Federal</w:t>
      </w:r>
      <w:r>
        <w:rPr>
          <w:color w:val="231F20"/>
          <w:spacing w:val="-14"/>
          <w:w w:val="110"/>
          <w:sz w:val="19"/>
        </w:rPr>
        <w:t> </w:t>
      </w:r>
      <w:r>
        <w:rPr>
          <w:color w:val="231F20"/>
          <w:w w:val="110"/>
          <w:sz w:val="19"/>
        </w:rPr>
        <w:t>de</w:t>
      </w:r>
      <w:r>
        <w:rPr>
          <w:color w:val="231F20"/>
          <w:spacing w:val="-14"/>
          <w:w w:val="110"/>
          <w:sz w:val="19"/>
        </w:rPr>
        <w:t> </w:t>
      </w:r>
      <w:r>
        <w:rPr>
          <w:color w:val="231F20"/>
          <w:w w:val="110"/>
          <w:sz w:val="19"/>
        </w:rPr>
        <w:t>Alemania</w:t>
      </w:r>
      <w:r>
        <w:rPr>
          <w:color w:val="231F20"/>
          <w:spacing w:val="-14"/>
          <w:w w:val="110"/>
          <w:sz w:val="19"/>
        </w:rPr>
        <w:t> </w:t>
      </w:r>
      <w:r>
        <w:rPr>
          <w:color w:val="231F20"/>
          <w:w w:val="110"/>
          <w:sz w:val="19"/>
        </w:rPr>
        <w:t>(2002),</w:t>
      </w:r>
      <w:r>
        <w:rPr>
          <w:color w:val="231F20"/>
          <w:spacing w:val="-14"/>
          <w:w w:val="110"/>
          <w:sz w:val="19"/>
        </w:rPr>
        <w:t> </w:t>
      </w:r>
      <w:r>
        <w:rPr>
          <w:color w:val="231F20"/>
          <w:w w:val="110"/>
          <w:sz w:val="19"/>
        </w:rPr>
        <w:t>“Programa</w:t>
      </w:r>
      <w:r>
        <w:rPr>
          <w:color w:val="231F20"/>
          <w:spacing w:val="-14"/>
          <w:w w:val="110"/>
          <w:sz w:val="19"/>
        </w:rPr>
        <w:t> </w:t>
      </w:r>
      <w:r>
        <w:rPr>
          <w:color w:val="231F20"/>
          <w:w w:val="110"/>
          <w:sz w:val="19"/>
        </w:rPr>
        <w:t>de</w:t>
      </w:r>
      <w:r>
        <w:rPr>
          <w:color w:val="231F20"/>
          <w:spacing w:val="-14"/>
          <w:w w:val="110"/>
          <w:sz w:val="19"/>
        </w:rPr>
        <w:t> </w:t>
      </w:r>
      <w:r>
        <w:rPr>
          <w:color w:val="231F20"/>
          <w:w w:val="110"/>
          <w:sz w:val="19"/>
        </w:rPr>
        <w:t>Investigación</w:t>
      </w:r>
      <w:r>
        <w:rPr>
          <w:color w:val="231F20"/>
          <w:spacing w:val="-14"/>
          <w:w w:val="110"/>
          <w:sz w:val="19"/>
        </w:rPr>
        <w:t> </w:t>
      </w:r>
      <w:r>
        <w:rPr>
          <w:color w:val="231F20"/>
          <w:w w:val="110"/>
          <w:sz w:val="19"/>
        </w:rPr>
        <w:t>sobre el Envejecimiento para el Siglo </w:t>
      </w:r>
      <w:r>
        <w:rPr>
          <w:rFonts w:ascii="Times New Roman" w:hAnsi="Times New Roman"/>
          <w:color w:val="231F20"/>
          <w:w w:val="110"/>
          <w:sz w:val="15"/>
        </w:rPr>
        <w:t>XXI</w:t>
      </w:r>
      <w:r>
        <w:rPr>
          <w:color w:val="231F20"/>
          <w:w w:val="110"/>
          <w:sz w:val="19"/>
        </w:rPr>
        <w:t>”, Presentado en la Segunda Asamblea </w:t>
      </w:r>
      <w:r>
        <w:rPr>
          <w:color w:val="231F20"/>
          <w:spacing w:val="2"/>
          <w:w w:val="110"/>
          <w:sz w:val="19"/>
        </w:rPr>
        <w:t>Mundial sobre </w:t>
      </w:r>
      <w:r>
        <w:rPr>
          <w:color w:val="231F20"/>
          <w:w w:val="110"/>
          <w:sz w:val="19"/>
        </w:rPr>
        <w:t>el </w:t>
      </w:r>
      <w:r>
        <w:rPr>
          <w:color w:val="231F20"/>
          <w:spacing w:val="2"/>
          <w:w w:val="110"/>
          <w:sz w:val="19"/>
        </w:rPr>
        <w:t>Envejecimiento </w:t>
      </w:r>
      <w:r>
        <w:rPr>
          <w:color w:val="231F20"/>
          <w:w w:val="110"/>
          <w:sz w:val="19"/>
        </w:rPr>
        <w:t>a </w:t>
      </w:r>
      <w:r>
        <w:rPr>
          <w:color w:val="231F20"/>
          <w:spacing w:val="2"/>
          <w:w w:val="110"/>
          <w:sz w:val="19"/>
        </w:rPr>
        <w:t>través </w:t>
      </w:r>
      <w:r>
        <w:rPr>
          <w:color w:val="231F20"/>
          <w:w w:val="110"/>
          <w:sz w:val="19"/>
        </w:rPr>
        <w:t>del Foro de Valencia </w:t>
      </w:r>
      <w:r>
        <w:rPr>
          <w:color w:val="231F20"/>
          <w:spacing w:val="2"/>
          <w:w w:val="110"/>
          <w:sz w:val="19"/>
        </w:rPr>
        <w:t>Madrid, </w:t>
      </w:r>
      <w:r>
        <w:rPr>
          <w:color w:val="231F20"/>
          <w:w w:val="110"/>
          <w:sz w:val="19"/>
        </w:rPr>
        <w:t>España,</w:t>
      </w:r>
      <w:r>
        <w:rPr>
          <w:color w:val="231F20"/>
          <w:spacing w:val="-8"/>
          <w:w w:val="110"/>
          <w:sz w:val="19"/>
        </w:rPr>
        <w:t> </w:t>
      </w:r>
      <w:r>
        <w:rPr>
          <w:color w:val="231F20"/>
          <w:w w:val="110"/>
          <w:sz w:val="19"/>
        </w:rPr>
        <w:t>Revista</w:t>
      </w:r>
      <w:r>
        <w:rPr>
          <w:color w:val="231F20"/>
          <w:spacing w:val="-8"/>
          <w:w w:val="110"/>
          <w:sz w:val="19"/>
        </w:rPr>
        <w:t> </w:t>
      </w:r>
      <w:r>
        <w:rPr>
          <w:color w:val="231F20"/>
          <w:w w:val="110"/>
          <w:sz w:val="19"/>
        </w:rPr>
        <w:t>Especializada</w:t>
      </w:r>
      <w:r>
        <w:rPr>
          <w:color w:val="231F20"/>
          <w:spacing w:val="-8"/>
          <w:w w:val="110"/>
          <w:sz w:val="19"/>
        </w:rPr>
        <w:t> </w:t>
      </w:r>
      <w:r>
        <w:rPr>
          <w:color w:val="231F20"/>
          <w:w w:val="110"/>
          <w:sz w:val="19"/>
        </w:rPr>
        <w:t>en</w:t>
      </w:r>
      <w:r>
        <w:rPr>
          <w:color w:val="231F20"/>
          <w:spacing w:val="-8"/>
          <w:w w:val="110"/>
          <w:sz w:val="19"/>
        </w:rPr>
        <w:t> </w:t>
      </w:r>
      <w:r>
        <w:rPr>
          <w:color w:val="231F20"/>
          <w:w w:val="110"/>
          <w:sz w:val="19"/>
        </w:rPr>
        <w:t>Geriatría</w:t>
      </w:r>
      <w:r>
        <w:rPr>
          <w:color w:val="231F20"/>
          <w:spacing w:val="-8"/>
          <w:w w:val="110"/>
          <w:sz w:val="19"/>
        </w:rPr>
        <w:t> </w:t>
      </w:r>
      <w:r>
        <w:rPr>
          <w:color w:val="231F20"/>
          <w:w w:val="110"/>
          <w:sz w:val="19"/>
        </w:rPr>
        <w:t>Geronto</w:t>
      </w:r>
      <w:r>
        <w:rPr>
          <w:color w:val="231F20"/>
          <w:spacing w:val="-8"/>
          <w:w w:val="110"/>
          <w:sz w:val="19"/>
        </w:rPr>
        <w:t> </w:t>
      </w:r>
      <w:r>
        <w:rPr>
          <w:color w:val="231F20"/>
          <w:w w:val="110"/>
          <w:sz w:val="19"/>
        </w:rPr>
        <w:t>lógica,</w:t>
      </w:r>
      <w:r>
        <w:rPr>
          <w:color w:val="231F20"/>
          <w:spacing w:val="-8"/>
          <w:w w:val="110"/>
          <w:sz w:val="19"/>
        </w:rPr>
        <w:t> </w:t>
      </w:r>
      <w:r>
        <w:rPr>
          <w:color w:val="231F20"/>
          <w:w w:val="110"/>
          <w:sz w:val="19"/>
        </w:rPr>
        <w:t>37(S2),</w:t>
      </w:r>
      <w:r>
        <w:rPr>
          <w:color w:val="231F20"/>
          <w:spacing w:val="-8"/>
          <w:w w:val="110"/>
          <w:sz w:val="19"/>
        </w:rPr>
        <w:t> </w:t>
      </w:r>
      <w:r>
        <w:rPr>
          <w:color w:val="231F20"/>
          <w:w w:val="110"/>
          <w:sz w:val="19"/>
        </w:rPr>
        <w:t>abril,</w:t>
      </w:r>
      <w:r>
        <w:rPr>
          <w:color w:val="231F20"/>
          <w:spacing w:val="-8"/>
          <w:w w:val="110"/>
          <w:sz w:val="19"/>
        </w:rPr>
        <w:t> </w:t>
      </w:r>
      <w:r>
        <w:rPr>
          <w:color w:val="231F20"/>
          <w:w w:val="110"/>
          <w:sz w:val="19"/>
        </w:rPr>
        <w:t>pp. 57-64.</w:t>
      </w:r>
    </w:p>
    <w:p>
      <w:pPr>
        <w:spacing w:line="273" w:lineRule="auto" w:before="0"/>
        <w:ind w:left="484" w:right="113" w:hanging="360"/>
        <w:jc w:val="both"/>
        <w:rPr>
          <w:sz w:val="19"/>
        </w:rPr>
      </w:pPr>
      <w:r>
        <w:rPr>
          <w:rFonts w:ascii="Times New Roman" w:hAnsi="Times New Roman"/>
          <w:color w:val="231F20"/>
          <w:w w:val="110"/>
          <w:sz w:val="19"/>
        </w:rPr>
        <w:t>R</w:t>
      </w:r>
      <w:r>
        <w:rPr>
          <w:rFonts w:ascii="Times New Roman" w:hAnsi="Times New Roman"/>
          <w:color w:val="231F20"/>
          <w:w w:val="110"/>
          <w:sz w:val="15"/>
        </w:rPr>
        <w:t>EQUÉS</w:t>
      </w:r>
      <w:r>
        <w:rPr>
          <w:rFonts w:ascii="Times New Roman" w:hAnsi="Times New Roman"/>
          <w:color w:val="231F20"/>
          <w:spacing w:val="-7"/>
          <w:w w:val="110"/>
          <w:sz w:val="15"/>
        </w:rPr>
        <w:t> </w:t>
      </w:r>
      <w:r>
        <w:rPr>
          <w:rFonts w:ascii="Times New Roman" w:hAnsi="Times New Roman"/>
          <w:color w:val="231F20"/>
          <w:w w:val="110"/>
          <w:sz w:val="19"/>
        </w:rPr>
        <w:t>V</w:t>
      </w:r>
      <w:r>
        <w:rPr>
          <w:rFonts w:ascii="Times New Roman" w:hAnsi="Times New Roman"/>
          <w:color w:val="231F20"/>
          <w:w w:val="110"/>
          <w:sz w:val="15"/>
        </w:rPr>
        <w:t>ELASCO</w:t>
      </w:r>
      <w:r>
        <w:rPr>
          <w:color w:val="231F20"/>
          <w:w w:val="110"/>
          <w:sz w:val="19"/>
        </w:rPr>
        <w:t>,</w:t>
      </w:r>
      <w:r>
        <w:rPr>
          <w:color w:val="231F20"/>
          <w:spacing w:val="-12"/>
          <w:w w:val="110"/>
          <w:sz w:val="19"/>
        </w:rPr>
        <w:t> </w:t>
      </w:r>
      <w:r>
        <w:rPr>
          <w:color w:val="231F20"/>
          <w:spacing w:val="-15"/>
          <w:w w:val="110"/>
          <w:sz w:val="19"/>
        </w:rPr>
        <w:t>P.</w:t>
      </w:r>
      <w:r>
        <w:rPr>
          <w:color w:val="231F20"/>
          <w:spacing w:val="-12"/>
          <w:w w:val="110"/>
          <w:sz w:val="19"/>
        </w:rPr>
        <w:t> </w:t>
      </w:r>
      <w:r>
        <w:rPr>
          <w:color w:val="231F20"/>
          <w:w w:val="110"/>
          <w:sz w:val="19"/>
        </w:rPr>
        <w:t>(1997),</w:t>
      </w:r>
      <w:r>
        <w:rPr>
          <w:color w:val="231F20"/>
          <w:spacing w:val="-12"/>
          <w:w w:val="110"/>
          <w:sz w:val="19"/>
        </w:rPr>
        <w:t> </w:t>
      </w:r>
      <w:r>
        <w:rPr>
          <w:color w:val="231F20"/>
          <w:w w:val="110"/>
          <w:sz w:val="19"/>
        </w:rPr>
        <w:t>“El</w:t>
      </w:r>
      <w:r>
        <w:rPr>
          <w:color w:val="231F20"/>
          <w:spacing w:val="-12"/>
          <w:w w:val="110"/>
          <w:sz w:val="19"/>
        </w:rPr>
        <w:t> </w:t>
      </w:r>
      <w:r>
        <w:rPr>
          <w:color w:val="231F20"/>
          <w:w w:val="110"/>
          <w:sz w:val="19"/>
        </w:rPr>
        <w:t>envejecimiento</w:t>
      </w:r>
      <w:r>
        <w:rPr>
          <w:color w:val="231F20"/>
          <w:spacing w:val="-12"/>
          <w:w w:val="110"/>
          <w:sz w:val="19"/>
        </w:rPr>
        <w:t> </w:t>
      </w:r>
      <w:r>
        <w:rPr>
          <w:color w:val="231F20"/>
          <w:w w:val="110"/>
          <w:sz w:val="19"/>
        </w:rPr>
        <w:t>de</w:t>
      </w:r>
      <w:r>
        <w:rPr>
          <w:color w:val="231F20"/>
          <w:spacing w:val="-12"/>
          <w:w w:val="110"/>
          <w:sz w:val="19"/>
        </w:rPr>
        <w:t> </w:t>
      </w:r>
      <w:r>
        <w:rPr>
          <w:color w:val="231F20"/>
          <w:w w:val="110"/>
          <w:sz w:val="19"/>
        </w:rPr>
        <w:t>la</w:t>
      </w:r>
      <w:r>
        <w:rPr>
          <w:color w:val="231F20"/>
          <w:spacing w:val="-12"/>
          <w:w w:val="110"/>
          <w:sz w:val="19"/>
        </w:rPr>
        <w:t> </w:t>
      </w:r>
      <w:r>
        <w:rPr>
          <w:color w:val="231F20"/>
          <w:w w:val="110"/>
          <w:sz w:val="19"/>
        </w:rPr>
        <w:t>población:</w:t>
      </w:r>
      <w:r>
        <w:rPr>
          <w:color w:val="231F20"/>
          <w:spacing w:val="-12"/>
          <w:w w:val="110"/>
          <w:sz w:val="19"/>
        </w:rPr>
        <w:t> </w:t>
      </w:r>
      <w:r>
        <w:rPr>
          <w:color w:val="231F20"/>
          <w:w w:val="110"/>
          <w:sz w:val="19"/>
        </w:rPr>
        <w:t>una</w:t>
      </w:r>
      <w:r>
        <w:rPr>
          <w:color w:val="231F20"/>
          <w:spacing w:val="-12"/>
          <w:w w:val="110"/>
          <w:sz w:val="19"/>
        </w:rPr>
        <w:t> </w:t>
      </w:r>
      <w:r>
        <w:rPr>
          <w:color w:val="231F20"/>
          <w:w w:val="110"/>
          <w:sz w:val="19"/>
        </w:rPr>
        <w:t>perspectiva geodemográfica”,</w:t>
      </w:r>
      <w:r>
        <w:rPr>
          <w:color w:val="231F20"/>
          <w:spacing w:val="-8"/>
          <w:w w:val="110"/>
          <w:sz w:val="19"/>
        </w:rPr>
        <w:t> </w:t>
      </w:r>
      <w:r>
        <w:rPr>
          <w:color w:val="231F20"/>
          <w:w w:val="110"/>
          <w:sz w:val="19"/>
        </w:rPr>
        <w:t>en</w:t>
      </w:r>
      <w:r>
        <w:rPr>
          <w:color w:val="231F20"/>
          <w:spacing w:val="-8"/>
          <w:w w:val="110"/>
          <w:sz w:val="19"/>
        </w:rPr>
        <w:t> </w:t>
      </w:r>
      <w:r>
        <w:rPr>
          <w:color w:val="231F20"/>
          <w:w w:val="110"/>
          <w:sz w:val="19"/>
        </w:rPr>
        <w:t>D.</w:t>
      </w:r>
      <w:r>
        <w:rPr>
          <w:color w:val="231F20"/>
          <w:spacing w:val="-8"/>
          <w:w w:val="110"/>
          <w:sz w:val="19"/>
        </w:rPr>
        <w:t> </w:t>
      </w:r>
      <w:r>
        <w:rPr>
          <w:color w:val="231F20"/>
          <w:w w:val="110"/>
          <w:sz w:val="19"/>
        </w:rPr>
        <w:t>Crespo</w:t>
      </w:r>
      <w:r>
        <w:rPr>
          <w:color w:val="231F20"/>
          <w:spacing w:val="-8"/>
          <w:w w:val="110"/>
          <w:sz w:val="19"/>
        </w:rPr>
        <w:t> </w:t>
      </w:r>
      <w:r>
        <w:rPr>
          <w:color w:val="231F20"/>
          <w:w w:val="110"/>
          <w:sz w:val="19"/>
        </w:rPr>
        <w:t>(ed.),</w:t>
      </w:r>
      <w:r>
        <w:rPr>
          <w:color w:val="231F20"/>
          <w:spacing w:val="-8"/>
          <w:w w:val="110"/>
          <w:sz w:val="19"/>
        </w:rPr>
        <w:t> </w:t>
      </w:r>
      <w:r>
        <w:rPr>
          <w:i/>
          <w:color w:val="231F20"/>
          <w:w w:val="110"/>
          <w:sz w:val="19"/>
        </w:rPr>
        <w:t>El</w:t>
      </w:r>
      <w:r>
        <w:rPr>
          <w:i/>
          <w:color w:val="231F20"/>
          <w:spacing w:val="-12"/>
          <w:w w:val="110"/>
          <w:sz w:val="19"/>
        </w:rPr>
        <w:t> </w:t>
      </w:r>
      <w:r>
        <w:rPr>
          <w:i/>
          <w:color w:val="231F20"/>
          <w:w w:val="110"/>
          <w:sz w:val="19"/>
        </w:rPr>
        <w:t>envejecimiento.</w:t>
      </w:r>
      <w:r>
        <w:rPr>
          <w:i/>
          <w:color w:val="231F20"/>
          <w:spacing w:val="-12"/>
          <w:w w:val="110"/>
          <w:sz w:val="19"/>
        </w:rPr>
        <w:t> </w:t>
      </w:r>
      <w:r>
        <w:rPr>
          <w:i/>
          <w:color w:val="231F20"/>
          <w:w w:val="110"/>
          <w:sz w:val="19"/>
        </w:rPr>
        <w:t>Un</w:t>
      </w:r>
      <w:r>
        <w:rPr>
          <w:i/>
          <w:color w:val="231F20"/>
          <w:spacing w:val="-12"/>
          <w:w w:val="110"/>
          <w:sz w:val="19"/>
        </w:rPr>
        <w:t> </w:t>
      </w:r>
      <w:r>
        <w:rPr>
          <w:i/>
          <w:color w:val="231F20"/>
          <w:w w:val="110"/>
          <w:sz w:val="19"/>
        </w:rPr>
        <w:t>enfoque</w:t>
      </w:r>
      <w:r>
        <w:rPr>
          <w:i/>
          <w:color w:val="231F20"/>
          <w:spacing w:val="-12"/>
          <w:w w:val="110"/>
          <w:sz w:val="19"/>
        </w:rPr>
        <w:t> </w:t>
      </w:r>
      <w:r>
        <w:rPr>
          <w:i/>
          <w:color w:val="231F20"/>
          <w:w w:val="110"/>
          <w:sz w:val="19"/>
        </w:rPr>
        <w:t>multidis- </w:t>
      </w:r>
      <w:r>
        <w:rPr>
          <w:i/>
          <w:color w:val="231F20"/>
          <w:w w:val="110"/>
          <w:sz w:val="19"/>
        </w:rPr>
        <w:t>ciplinario</w:t>
      </w:r>
      <w:r>
        <w:rPr>
          <w:color w:val="231F20"/>
          <w:w w:val="110"/>
          <w:sz w:val="19"/>
        </w:rPr>
        <w:t>, Barcelona, Prous Science, pp.</w:t>
      </w:r>
      <w:r>
        <w:rPr>
          <w:color w:val="231F20"/>
          <w:spacing w:val="-8"/>
          <w:w w:val="110"/>
          <w:sz w:val="19"/>
        </w:rPr>
        <w:t> </w:t>
      </w:r>
      <w:r>
        <w:rPr>
          <w:color w:val="231F20"/>
          <w:w w:val="110"/>
          <w:sz w:val="19"/>
        </w:rPr>
        <w:t>1-31.</w:t>
      </w:r>
    </w:p>
    <w:p>
      <w:pPr>
        <w:spacing w:line="273" w:lineRule="auto" w:before="0"/>
        <w:ind w:left="484" w:right="113" w:hanging="360"/>
        <w:jc w:val="both"/>
        <w:rPr>
          <w:sz w:val="19"/>
        </w:rPr>
      </w:pPr>
      <w:r>
        <w:rPr>
          <w:rFonts w:ascii="Times New Roman" w:hAnsi="Times New Roman"/>
          <w:color w:val="231F20"/>
          <w:w w:val="105"/>
          <w:sz w:val="19"/>
        </w:rPr>
        <w:t>R</w:t>
      </w:r>
      <w:r>
        <w:rPr>
          <w:rFonts w:ascii="Times New Roman" w:hAnsi="Times New Roman"/>
          <w:color w:val="231F20"/>
          <w:w w:val="105"/>
          <w:sz w:val="15"/>
        </w:rPr>
        <w:t>OUSSEAU</w:t>
      </w:r>
      <w:r>
        <w:rPr>
          <w:color w:val="231F20"/>
          <w:w w:val="105"/>
          <w:sz w:val="19"/>
        </w:rPr>
        <w:t>, Jean-Jacques (1923), “</w:t>
      </w:r>
      <w:r>
        <w:rPr>
          <w:i/>
          <w:color w:val="231F20"/>
          <w:w w:val="105"/>
          <w:sz w:val="19"/>
        </w:rPr>
        <w:t>Discurso Sobre el origen de la desigualdad entre </w:t>
      </w:r>
      <w:r>
        <w:rPr>
          <w:i/>
          <w:color w:val="231F20"/>
          <w:w w:val="105"/>
          <w:sz w:val="19"/>
        </w:rPr>
        <w:t>los  hombres</w:t>
      </w:r>
      <w:r>
        <w:rPr>
          <w:color w:val="231F20"/>
          <w:w w:val="105"/>
          <w:sz w:val="19"/>
        </w:rPr>
        <w:t>,  Madrid,  España,  Editorial  Calpe.</w:t>
      </w:r>
    </w:p>
    <w:p>
      <w:pPr>
        <w:spacing w:line="273" w:lineRule="auto" w:before="0"/>
        <w:ind w:left="484" w:right="113" w:hanging="360"/>
        <w:jc w:val="both"/>
        <w:rPr>
          <w:sz w:val="19"/>
        </w:rPr>
      </w:pPr>
      <w:r>
        <w:rPr>
          <w:rFonts w:ascii="Times New Roman" w:hAnsi="Times New Roman"/>
          <w:color w:val="231F20"/>
          <w:spacing w:val="-3"/>
          <w:w w:val="110"/>
          <w:sz w:val="19"/>
        </w:rPr>
        <w:t>R</w:t>
      </w:r>
      <w:r>
        <w:rPr>
          <w:rFonts w:ascii="Times New Roman" w:hAnsi="Times New Roman"/>
          <w:color w:val="231F20"/>
          <w:spacing w:val="-3"/>
          <w:w w:val="110"/>
          <w:sz w:val="15"/>
        </w:rPr>
        <w:t>UBALCAVA</w:t>
      </w:r>
      <w:r>
        <w:rPr>
          <w:color w:val="231F20"/>
          <w:spacing w:val="-3"/>
          <w:w w:val="110"/>
          <w:sz w:val="19"/>
        </w:rPr>
        <w:t>,</w:t>
      </w:r>
      <w:r>
        <w:rPr>
          <w:color w:val="231F20"/>
          <w:spacing w:val="-24"/>
          <w:w w:val="110"/>
          <w:sz w:val="19"/>
        </w:rPr>
        <w:t> </w:t>
      </w:r>
      <w:r>
        <w:rPr>
          <w:color w:val="231F20"/>
          <w:w w:val="110"/>
          <w:sz w:val="19"/>
        </w:rPr>
        <w:t>Rosa</w:t>
      </w:r>
      <w:r>
        <w:rPr>
          <w:color w:val="231F20"/>
          <w:spacing w:val="-24"/>
          <w:w w:val="110"/>
          <w:sz w:val="19"/>
        </w:rPr>
        <w:t> </w:t>
      </w:r>
      <w:r>
        <w:rPr>
          <w:color w:val="231F20"/>
          <w:w w:val="110"/>
          <w:sz w:val="19"/>
        </w:rPr>
        <w:t>María</w:t>
      </w:r>
      <w:r>
        <w:rPr>
          <w:color w:val="231F20"/>
          <w:spacing w:val="-24"/>
          <w:w w:val="110"/>
          <w:sz w:val="19"/>
        </w:rPr>
        <w:t> </w:t>
      </w:r>
      <w:r>
        <w:rPr>
          <w:color w:val="231F20"/>
          <w:w w:val="110"/>
          <w:sz w:val="19"/>
        </w:rPr>
        <w:t>(2010),</w:t>
      </w:r>
      <w:r>
        <w:rPr>
          <w:color w:val="231F20"/>
          <w:spacing w:val="-24"/>
          <w:w w:val="110"/>
          <w:sz w:val="19"/>
        </w:rPr>
        <w:t> </w:t>
      </w:r>
      <w:r>
        <w:rPr>
          <w:color w:val="231F20"/>
          <w:w w:val="110"/>
          <w:sz w:val="19"/>
        </w:rPr>
        <w:t>“Municipios</w:t>
      </w:r>
      <w:r>
        <w:rPr>
          <w:color w:val="231F20"/>
          <w:spacing w:val="-24"/>
          <w:w w:val="110"/>
          <w:sz w:val="19"/>
        </w:rPr>
        <w:t> </w:t>
      </w:r>
      <w:r>
        <w:rPr>
          <w:color w:val="231F20"/>
          <w:w w:val="110"/>
          <w:sz w:val="19"/>
        </w:rPr>
        <w:t>y</w:t>
      </w:r>
      <w:r>
        <w:rPr>
          <w:color w:val="231F20"/>
          <w:spacing w:val="-24"/>
          <w:w w:val="110"/>
          <w:sz w:val="19"/>
        </w:rPr>
        <w:t> </w:t>
      </w:r>
      <w:r>
        <w:rPr>
          <w:color w:val="231F20"/>
          <w:w w:val="110"/>
          <w:sz w:val="19"/>
        </w:rPr>
        <w:t>localidades:</w:t>
      </w:r>
      <w:r>
        <w:rPr>
          <w:color w:val="231F20"/>
          <w:spacing w:val="-24"/>
          <w:w w:val="110"/>
          <w:sz w:val="19"/>
        </w:rPr>
        <w:t> </w:t>
      </w:r>
      <w:r>
        <w:rPr>
          <w:color w:val="231F20"/>
          <w:w w:val="110"/>
          <w:sz w:val="19"/>
        </w:rPr>
        <w:t>concreción</w:t>
      </w:r>
      <w:r>
        <w:rPr>
          <w:color w:val="231F20"/>
          <w:spacing w:val="-24"/>
          <w:w w:val="110"/>
          <w:sz w:val="19"/>
        </w:rPr>
        <w:t> </w:t>
      </w:r>
      <w:r>
        <w:rPr>
          <w:color w:val="231F20"/>
          <w:w w:val="110"/>
          <w:sz w:val="19"/>
        </w:rPr>
        <w:t>territorial de las desigualdades sociales”, en Fernando Cortés y Orlandina de Oliveira (coords.),</w:t>
      </w:r>
      <w:r>
        <w:rPr>
          <w:color w:val="231F20"/>
          <w:spacing w:val="-5"/>
          <w:w w:val="110"/>
          <w:sz w:val="19"/>
        </w:rPr>
        <w:t> </w:t>
      </w:r>
      <w:r>
        <w:rPr>
          <w:i/>
          <w:color w:val="231F20"/>
          <w:w w:val="110"/>
          <w:sz w:val="19"/>
        </w:rPr>
        <w:t>Los</w:t>
      </w:r>
      <w:r>
        <w:rPr>
          <w:i/>
          <w:color w:val="231F20"/>
          <w:spacing w:val="-9"/>
          <w:w w:val="110"/>
          <w:sz w:val="19"/>
        </w:rPr>
        <w:t> </w:t>
      </w:r>
      <w:r>
        <w:rPr>
          <w:i/>
          <w:color w:val="231F20"/>
          <w:w w:val="110"/>
          <w:sz w:val="19"/>
        </w:rPr>
        <w:t>grandes</w:t>
      </w:r>
      <w:r>
        <w:rPr>
          <w:i/>
          <w:color w:val="231F20"/>
          <w:spacing w:val="-9"/>
          <w:w w:val="110"/>
          <w:sz w:val="19"/>
        </w:rPr>
        <w:t> </w:t>
      </w:r>
      <w:r>
        <w:rPr>
          <w:i/>
          <w:color w:val="231F20"/>
          <w:w w:val="110"/>
          <w:sz w:val="19"/>
        </w:rPr>
        <w:t>problemas</w:t>
      </w:r>
      <w:r>
        <w:rPr>
          <w:i/>
          <w:color w:val="231F20"/>
          <w:spacing w:val="-9"/>
          <w:w w:val="110"/>
          <w:sz w:val="19"/>
        </w:rPr>
        <w:t> </w:t>
      </w:r>
      <w:r>
        <w:rPr>
          <w:i/>
          <w:color w:val="231F20"/>
          <w:w w:val="110"/>
          <w:sz w:val="19"/>
        </w:rPr>
        <w:t>de</w:t>
      </w:r>
      <w:r>
        <w:rPr>
          <w:i/>
          <w:color w:val="231F20"/>
          <w:spacing w:val="-9"/>
          <w:w w:val="110"/>
          <w:sz w:val="19"/>
        </w:rPr>
        <w:t> </w:t>
      </w:r>
      <w:r>
        <w:rPr>
          <w:i/>
          <w:color w:val="231F20"/>
          <w:w w:val="110"/>
          <w:sz w:val="19"/>
        </w:rPr>
        <w:t>México</w:t>
      </w:r>
      <w:r>
        <w:rPr>
          <w:i/>
          <w:color w:val="231F20"/>
          <w:spacing w:val="-9"/>
          <w:w w:val="110"/>
          <w:sz w:val="19"/>
        </w:rPr>
        <w:t> </w:t>
      </w:r>
      <w:r>
        <w:rPr>
          <w:i/>
          <w:color w:val="231F20"/>
          <w:spacing w:val="-16"/>
          <w:w w:val="110"/>
          <w:sz w:val="19"/>
        </w:rPr>
        <w:t>V,</w:t>
      </w:r>
      <w:r>
        <w:rPr>
          <w:i/>
          <w:color w:val="231F20"/>
          <w:spacing w:val="-9"/>
          <w:w w:val="110"/>
          <w:sz w:val="19"/>
        </w:rPr>
        <w:t> </w:t>
      </w:r>
      <w:r>
        <w:rPr>
          <w:i/>
          <w:color w:val="231F20"/>
          <w:w w:val="110"/>
          <w:sz w:val="19"/>
        </w:rPr>
        <w:t>Desigualdad</w:t>
      </w:r>
      <w:r>
        <w:rPr>
          <w:i/>
          <w:color w:val="231F20"/>
          <w:spacing w:val="-9"/>
          <w:w w:val="110"/>
          <w:sz w:val="19"/>
        </w:rPr>
        <w:t> </w:t>
      </w:r>
      <w:r>
        <w:rPr>
          <w:i/>
          <w:color w:val="231F20"/>
          <w:w w:val="110"/>
          <w:sz w:val="19"/>
        </w:rPr>
        <w:t>Socia</w:t>
      </w:r>
      <w:r>
        <w:rPr>
          <w:color w:val="231F20"/>
          <w:w w:val="110"/>
          <w:sz w:val="19"/>
        </w:rPr>
        <w:t>l,</w:t>
      </w:r>
      <w:r>
        <w:rPr>
          <w:color w:val="231F20"/>
          <w:spacing w:val="-5"/>
          <w:w w:val="110"/>
          <w:sz w:val="19"/>
        </w:rPr>
        <w:t> </w:t>
      </w:r>
      <w:r>
        <w:rPr>
          <w:color w:val="231F20"/>
          <w:w w:val="110"/>
          <w:sz w:val="19"/>
        </w:rPr>
        <w:t>México,</w:t>
      </w:r>
      <w:r>
        <w:rPr>
          <w:color w:val="231F20"/>
          <w:spacing w:val="-5"/>
          <w:w w:val="110"/>
          <w:sz w:val="19"/>
        </w:rPr>
        <w:t> </w:t>
      </w:r>
      <w:r>
        <w:rPr>
          <w:color w:val="231F20"/>
          <w:w w:val="110"/>
          <w:sz w:val="19"/>
        </w:rPr>
        <w:t>El Colegio de</w:t>
      </w:r>
      <w:r>
        <w:rPr>
          <w:color w:val="231F20"/>
          <w:spacing w:val="44"/>
          <w:w w:val="110"/>
          <w:sz w:val="19"/>
        </w:rPr>
        <w:t> </w:t>
      </w:r>
      <w:r>
        <w:rPr>
          <w:color w:val="231F20"/>
          <w:w w:val="110"/>
          <w:sz w:val="19"/>
        </w:rPr>
        <w:t>México.</w:t>
      </w:r>
    </w:p>
    <w:p>
      <w:pPr>
        <w:spacing w:line="273" w:lineRule="auto" w:before="0"/>
        <w:ind w:left="484" w:right="113" w:hanging="360"/>
        <w:jc w:val="both"/>
        <w:rPr>
          <w:sz w:val="19"/>
        </w:rPr>
      </w:pPr>
      <w:r>
        <w:rPr>
          <w:rFonts w:ascii="Times New Roman" w:hAnsi="Times New Roman"/>
          <w:color w:val="231F20"/>
          <w:w w:val="110"/>
          <w:sz w:val="19"/>
        </w:rPr>
        <w:t>R</w:t>
      </w:r>
      <w:r>
        <w:rPr>
          <w:rFonts w:ascii="Times New Roman" w:hAnsi="Times New Roman"/>
          <w:color w:val="231F20"/>
          <w:w w:val="110"/>
          <w:sz w:val="15"/>
        </w:rPr>
        <w:t>UBALCAVA</w:t>
      </w:r>
      <w:r>
        <w:rPr>
          <w:color w:val="231F20"/>
          <w:w w:val="110"/>
          <w:sz w:val="19"/>
        </w:rPr>
        <w:t>, Rosa María y Jorge Chavaría (1999), </w:t>
      </w:r>
      <w:r>
        <w:rPr>
          <w:color w:val="231F20"/>
          <w:spacing w:val="6"/>
          <w:w w:val="110"/>
          <w:sz w:val="19"/>
        </w:rPr>
        <w:t>“La </w:t>
      </w:r>
      <w:r>
        <w:rPr>
          <w:color w:val="231F20"/>
          <w:w w:val="110"/>
          <w:sz w:val="19"/>
        </w:rPr>
        <w:t>marginación en Puebla, Guadalajara y Monterrey”. En G. Garza (ed.), </w:t>
      </w:r>
      <w:r>
        <w:rPr>
          <w:i/>
          <w:color w:val="231F20"/>
          <w:spacing w:val="-3"/>
          <w:w w:val="110"/>
          <w:sz w:val="19"/>
        </w:rPr>
        <w:t>Atlas </w:t>
      </w:r>
      <w:r>
        <w:rPr>
          <w:i/>
          <w:color w:val="231F20"/>
          <w:w w:val="110"/>
          <w:sz w:val="19"/>
        </w:rPr>
        <w:t>demográfico de México</w:t>
      </w:r>
      <w:r>
        <w:rPr>
          <w:color w:val="231F20"/>
          <w:w w:val="110"/>
          <w:sz w:val="19"/>
        </w:rPr>
        <w:t>, México,</w:t>
      </w:r>
      <w:r>
        <w:rPr>
          <w:color w:val="231F20"/>
          <w:spacing w:val="-7"/>
          <w:w w:val="110"/>
          <w:sz w:val="19"/>
        </w:rPr>
        <w:t> </w:t>
      </w:r>
      <w:r>
        <w:rPr>
          <w:color w:val="231F20"/>
          <w:w w:val="110"/>
          <w:sz w:val="19"/>
        </w:rPr>
        <w:t>Consejo</w:t>
      </w:r>
      <w:r>
        <w:rPr>
          <w:color w:val="231F20"/>
          <w:spacing w:val="-7"/>
          <w:w w:val="110"/>
          <w:sz w:val="19"/>
        </w:rPr>
        <w:t> </w:t>
      </w:r>
      <w:r>
        <w:rPr>
          <w:color w:val="231F20"/>
          <w:w w:val="110"/>
          <w:sz w:val="19"/>
        </w:rPr>
        <w:t>Nacional</w:t>
      </w:r>
      <w:r>
        <w:rPr>
          <w:color w:val="231F20"/>
          <w:spacing w:val="-7"/>
          <w:w w:val="110"/>
          <w:sz w:val="19"/>
        </w:rPr>
        <w:t> </w:t>
      </w:r>
      <w:r>
        <w:rPr>
          <w:color w:val="231F20"/>
          <w:w w:val="110"/>
          <w:sz w:val="19"/>
        </w:rPr>
        <w:t>de</w:t>
      </w:r>
      <w:r>
        <w:rPr>
          <w:color w:val="231F20"/>
          <w:spacing w:val="-7"/>
          <w:w w:val="110"/>
          <w:sz w:val="19"/>
        </w:rPr>
        <w:t> </w:t>
      </w:r>
      <w:r>
        <w:rPr>
          <w:color w:val="231F20"/>
          <w:spacing w:val="-3"/>
          <w:w w:val="110"/>
          <w:sz w:val="19"/>
        </w:rPr>
        <w:t>Población</w:t>
      </w:r>
      <w:r>
        <w:rPr>
          <w:color w:val="231F20"/>
          <w:spacing w:val="-7"/>
          <w:w w:val="110"/>
          <w:sz w:val="19"/>
        </w:rPr>
        <w:t> </w:t>
      </w:r>
      <w:r>
        <w:rPr>
          <w:color w:val="231F20"/>
          <w:w w:val="110"/>
          <w:sz w:val="19"/>
        </w:rPr>
        <w:t>(Conapo)</w:t>
      </w:r>
      <w:r>
        <w:rPr>
          <w:color w:val="231F20"/>
          <w:spacing w:val="-7"/>
          <w:w w:val="110"/>
          <w:sz w:val="19"/>
        </w:rPr>
        <w:t> </w:t>
      </w:r>
      <w:r>
        <w:rPr>
          <w:color w:val="231F20"/>
          <w:w w:val="110"/>
          <w:sz w:val="19"/>
        </w:rPr>
        <w:t>y</w:t>
      </w:r>
      <w:r>
        <w:rPr>
          <w:color w:val="231F20"/>
          <w:spacing w:val="-7"/>
          <w:w w:val="110"/>
          <w:sz w:val="19"/>
        </w:rPr>
        <w:t> </w:t>
      </w:r>
      <w:r>
        <w:rPr>
          <w:color w:val="231F20"/>
          <w:w w:val="110"/>
          <w:sz w:val="19"/>
        </w:rPr>
        <w:t>Programa</w:t>
      </w:r>
      <w:r>
        <w:rPr>
          <w:color w:val="231F20"/>
          <w:spacing w:val="-7"/>
          <w:w w:val="110"/>
          <w:sz w:val="19"/>
        </w:rPr>
        <w:t> </w:t>
      </w:r>
      <w:r>
        <w:rPr>
          <w:color w:val="231F20"/>
          <w:w w:val="110"/>
          <w:sz w:val="19"/>
        </w:rPr>
        <w:t>de</w:t>
      </w:r>
      <w:r>
        <w:rPr>
          <w:color w:val="231F20"/>
          <w:spacing w:val="-7"/>
          <w:w w:val="110"/>
          <w:sz w:val="19"/>
        </w:rPr>
        <w:t> </w:t>
      </w:r>
      <w:r>
        <w:rPr>
          <w:color w:val="231F20"/>
          <w:w w:val="110"/>
          <w:sz w:val="19"/>
        </w:rPr>
        <w:t>Educación, Salud</w:t>
      </w:r>
      <w:r>
        <w:rPr>
          <w:color w:val="231F20"/>
          <w:spacing w:val="-10"/>
          <w:w w:val="110"/>
          <w:sz w:val="19"/>
        </w:rPr>
        <w:t> </w:t>
      </w:r>
      <w:r>
        <w:rPr>
          <w:color w:val="231F20"/>
          <w:w w:val="110"/>
          <w:sz w:val="19"/>
        </w:rPr>
        <w:t>y</w:t>
      </w:r>
      <w:r>
        <w:rPr>
          <w:color w:val="231F20"/>
          <w:spacing w:val="-10"/>
          <w:w w:val="110"/>
          <w:sz w:val="19"/>
        </w:rPr>
        <w:t> </w:t>
      </w:r>
      <w:r>
        <w:rPr>
          <w:color w:val="231F20"/>
          <w:w w:val="110"/>
          <w:sz w:val="19"/>
        </w:rPr>
        <w:t>Alimentación</w:t>
      </w:r>
      <w:r>
        <w:rPr>
          <w:color w:val="231F20"/>
          <w:spacing w:val="-10"/>
          <w:w w:val="110"/>
          <w:sz w:val="19"/>
        </w:rPr>
        <w:t> </w:t>
      </w:r>
      <w:r>
        <w:rPr>
          <w:color w:val="231F20"/>
          <w:w w:val="110"/>
          <w:sz w:val="19"/>
        </w:rPr>
        <w:t>(Progresa),</w:t>
      </w:r>
      <w:r>
        <w:rPr>
          <w:color w:val="231F20"/>
          <w:spacing w:val="-10"/>
          <w:w w:val="110"/>
          <w:sz w:val="19"/>
        </w:rPr>
        <w:t> </w:t>
      </w:r>
      <w:r>
        <w:rPr>
          <w:color w:val="231F20"/>
          <w:w w:val="110"/>
          <w:sz w:val="19"/>
        </w:rPr>
        <w:t>Pp.</w:t>
      </w:r>
      <w:r>
        <w:rPr>
          <w:color w:val="231F20"/>
          <w:spacing w:val="-10"/>
          <w:w w:val="110"/>
          <w:sz w:val="19"/>
        </w:rPr>
        <w:t> </w:t>
      </w:r>
      <w:r>
        <w:rPr>
          <w:color w:val="231F20"/>
          <w:w w:val="110"/>
          <w:sz w:val="19"/>
        </w:rPr>
        <w:t>63-85.</w:t>
      </w:r>
    </w:p>
    <w:p>
      <w:pPr>
        <w:spacing w:line="273" w:lineRule="auto" w:before="0"/>
        <w:ind w:left="484" w:right="113" w:hanging="360"/>
        <w:jc w:val="both"/>
        <w:rPr>
          <w:sz w:val="19"/>
        </w:rPr>
      </w:pPr>
      <w:r>
        <w:rPr>
          <w:rFonts w:ascii="Times New Roman" w:hAnsi="Times New Roman"/>
          <w:color w:val="231F20"/>
          <w:w w:val="110"/>
          <w:sz w:val="19"/>
        </w:rPr>
        <w:t>S</w:t>
      </w:r>
      <w:r>
        <w:rPr>
          <w:rFonts w:ascii="Times New Roman" w:hAnsi="Times New Roman"/>
          <w:color w:val="231F20"/>
          <w:w w:val="110"/>
          <w:sz w:val="15"/>
        </w:rPr>
        <w:t>ÁNCHEZ </w:t>
      </w:r>
      <w:r>
        <w:rPr>
          <w:rFonts w:ascii="Times New Roman" w:hAnsi="Times New Roman"/>
          <w:color w:val="231F20"/>
          <w:w w:val="110"/>
          <w:sz w:val="19"/>
        </w:rPr>
        <w:t>G</w:t>
      </w:r>
      <w:r>
        <w:rPr>
          <w:rFonts w:ascii="Times New Roman" w:hAnsi="Times New Roman"/>
          <w:color w:val="231F20"/>
          <w:w w:val="110"/>
          <w:sz w:val="15"/>
        </w:rPr>
        <w:t>ONZÁLEZ</w:t>
      </w:r>
      <w:r>
        <w:rPr>
          <w:color w:val="231F20"/>
          <w:w w:val="110"/>
          <w:sz w:val="19"/>
        </w:rPr>
        <w:t>, Diego (2005), “El proceso de envejecimiento demográfico en Granada y su área metropolitana”, </w:t>
      </w:r>
      <w:r>
        <w:rPr>
          <w:i/>
          <w:color w:val="231F20"/>
          <w:w w:val="110"/>
          <w:sz w:val="19"/>
        </w:rPr>
        <w:t>Cuadernos Geográficos, </w:t>
      </w:r>
      <w:r>
        <w:rPr>
          <w:color w:val="231F20"/>
          <w:w w:val="110"/>
          <w:sz w:val="19"/>
        </w:rPr>
        <w:t>núm. 37, Es- paña, Universidad de Granada, pp. 185-199.</w:t>
      </w:r>
    </w:p>
    <w:p>
      <w:pPr>
        <w:tabs>
          <w:tab w:pos="844" w:val="left" w:leader="none"/>
        </w:tabs>
        <w:spacing w:line="273" w:lineRule="auto" w:before="0"/>
        <w:ind w:left="124" w:right="110" w:firstLine="0"/>
        <w:jc w:val="right"/>
        <w:rPr>
          <w:sz w:val="19"/>
        </w:rPr>
      </w:pPr>
      <w:r>
        <w:rPr>
          <w:color w:val="231F20"/>
          <w:w w:val="128"/>
          <w:sz w:val="19"/>
          <w:u w:val="single" w:color="231F20"/>
        </w:rPr>
        <w:t> </w:t>
      </w:r>
      <w:r>
        <w:rPr>
          <w:color w:val="231F20"/>
          <w:sz w:val="19"/>
          <w:u w:val="single" w:color="231F20"/>
        </w:rPr>
        <w:tab/>
      </w:r>
      <w:r>
        <w:rPr>
          <w:color w:val="231F20"/>
          <w:spacing w:val="7"/>
          <w:sz w:val="19"/>
        </w:rPr>
        <w:t> </w:t>
      </w:r>
      <w:r>
        <w:rPr>
          <w:color w:val="231F20"/>
          <w:w w:val="105"/>
          <w:sz w:val="19"/>
        </w:rPr>
        <w:t>(2007), “Envejecimiento demográfico urbano y sus </w:t>
      </w:r>
      <w:r>
        <w:rPr>
          <w:color w:val="231F20"/>
          <w:spacing w:val="8"/>
          <w:w w:val="105"/>
          <w:sz w:val="19"/>
        </w:rPr>
        <w:t> </w:t>
      </w:r>
      <w:r>
        <w:rPr>
          <w:color w:val="231F20"/>
          <w:w w:val="105"/>
          <w:sz w:val="19"/>
        </w:rPr>
        <w:t>repercusiones</w:t>
      </w:r>
      <w:r>
        <w:rPr>
          <w:color w:val="231F20"/>
          <w:spacing w:val="8"/>
          <w:w w:val="105"/>
          <w:sz w:val="19"/>
        </w:rPr>
        <w:t> </w:t>
      </w:r>
      <w:r>
        <w:rPr>
          <w:color w:val="231F20"/>
          <w:w w:val="105"/>
          <w:sz w:val="19"/>
        </w:rPr>
        <w:t>socio-</w:t>
      </w:r>
      <w:r>
        <w:rPr>
          <w:color w:val="231F20"/>
          <w:w w:val="93"/>
          <w:sz w:val="19"/>
        </w:rPr>
        <w:t> </w:t>
      </w:r>
      <w:r>
        <w:rPr>
          <w:color w:val="231F20"/>
          <w:w w:val="110"/>
          <w:sz w:val="19"/>
        </w:rPr>
        <w:t>espaciales en México. Retos de la planeación</w:t>
      </w:r>
      <w:r>
        <w:rPr>
          <w:color w:val="231F20"/>
          <w:spacing w:val="-12"/>
          <w:w w:val="110"/>
          <w:sz w:val="19"/>
        </w:rPr>
        <w:t> </w:t>
      </w:r>
      <w:r>
        <w:rPr>
          <w:color w:val="231F20"/>
          <w:w w:val="110"/>
          <w:sz w:val="19"/>
        </w:rPr>
        <w:t>gerontológico”, </w:t>
      </w:r>
      <w:r>
        <w:rPr>
          <w:i/>
          <w:color w:val="231F20"/>
          <w:w w:val="110"/>
          <w:sz w:val="19"/>
        </w:rPr>
        <w:t>Revista</w:t>
      </w:r>
      <w:r>
        <w:rPr>
          <w:i/>
          <w:color w:val="231F20"/>
          <w:spacing w:val="25"/>
          <w:w w:val="110"/>
          <w:sz w:val="19"/>
        </w:rPr>
        <w:t> </w:t>
      </w:r>
      <w:r>
        <w:rPr>
          <w:i/>
          <w:color w:val="231F20"/>
          <w:w w:val="110"/>
          <w:sz w:val="19"/>
        </w:rPr>
        <w:t>de</w:t>
      </w:r>
      <w:r>
        <w:rPr>
          <w:i/>
          <w:color w:val="231F20"/>
          <w:w w:val="106"/>
          <w:sz w:val="19"/>
        </w:rPr>
        <w:t> </w:t>
      </w:r>
      <w:r>
        <w:rPr>
          <w:i/>
          <w:color w:val="231F20"/>
          <w:spacing w:val="-4"/>
          <w:w w:val="110"/>
          <w:sz w:val="19"/>
        </w:rPr>
        <w:t>Geografía</w:t>
      </w:r>
      <w:r>
        <w:rPr>
          <w:i/>
          <w:color w:val="231F20"/>
          <w:spacing w:val="-13"/>
          <w:w w:val="110"/>
          <w:sz w:val="19"/>
        </w:rPr>
        <w:t> </w:t>
      </w:r>
      <w:r>
        <w:rPr>
          <w:i/>
          <w:color w:val="231F20"/>
          <w:spacing w:val="-4"/>
          <w:w w:val="110"/>
          <w:sz w:val="19"/>
        </w:rPr>
        <w:t>Norte</w:t>
      </w:r>
      <w:r>
        <w:rPr>
          <w:i/>
          <w:color w:val="231F20"/>
          <w:spacing w:val="-13"/>
          <w:w w:val="110"/>
          <w:sz w:val="19"/>
        </w:rPr>
        <w:t> </w:t>
      </w:r>
      <w:r>
        <w:rPr>
          <w:i/>
          <w:color w:val="231F20"/>
          <w:spacing w:val="-4"/>
          <w:w w:val="110"/>
          <w:sz w:val="19"/>
        </w:rPr>
        <w:t>Grande</w:t>
      </w:r>
      <w:r>
        <w:rPr>
          <w:color w:val="231F20"/>
          <w:spacing w:val="-4"/>
          <w:w w:val="110"/>
          <w:sz w:val="19"/>
        </w:rPr>
        <w:t>,</w:t>
      </w:r>
      <w:r>
        <w:rPr>
          <w:color w:val="231F20"/>
          <w:spacing w:val="-9"/>
          <w:w w:val="110"/>
          <w:sz w:val="19"/>
        </w:rPr>
        <w:t> </w:t>
      </w:r>
      <w:r>
        <w:rPr>
          <w:color w:val="231F20"/>
          <w:spacing w:val="-3"/>
          <w:w w:val="110"/>
          <w:sz w:val="19"/>
        </w:rPr>
        <w:t>núm.</w:t>
      </w:r>
      <w:r>
        <w:rPr>
          <w:color w:val="231F20"/>
          <w:spacing w:val="-9"/>
          <w:w w:val="110"/>
          <w:sz w:val="19"/>
        </w:rPr>
        <w:t> </w:t>
      </w:r>
      <w:r>
        <w:rPr>
          <w:color w:val="231F20"/>
          <w:spacing w:val="-3"/>
          <w:w w:val="110"/>
          <w:sz w:val="19"/>
        </w:rPr>
        <w:t>38,</w:t>
      </w:r>
      <w:r>
        <w:rPr>
          <w:color w:val="231F20"/>
          <w:spacing w:val="-9"/>
          <w:w w:val="110"/>
          <w:sz w:val="19"/>
        </w:rPr>
        <w:t> </w:t>
      </w:r>
      <w:r>
        <w:rPr>
          <w:color w:val="231F20"/>
          <w:spacing w:val="-4"/>
          <w:w w:val="110"/>
          <w:sz w:val="19"/>
        </w:rPr>
        <w:t>versión</w:t>
      </w:r>
      <w:r>
        <w:rPr>
          <w:color w:val="231F20"/>
          <w:spacing w:val="-9"/>
          <w:w w:val="110"/>
          <w:sz w:val="19"/>
        </w:rPr>
        <w:t> </w:t>
      </w:r>
      <w:r>
        <w:rPr>
          <w:color w:val="231F20"/>
          <w:w w:val="110"/>
          <w:sz w:val="19"/>
        </w:rPr>
        <w:t>On</w:t>
      </w:r>
      <w:r>
        <w:rPr>
          <w:color w:val="231F20"/>
          <w:spacing w:val="-9"/>
          <w:w w:val="110"/>
          <w:sz w:val="19"/>
        </w:rPr>
        <w:t> </w:t>
      </w:r>
      <w:r>
        <w:rPr>
          <w:color w:val="231F20"/>
          <w:spacing w:val="-4"/>
          <w:w w:val="110"/>
          <w:sz w:val="19"/>
        </w:rPr>
        <w:t>line,</w:t>
      </w:r>
      <w:r>
        <w:rPr>
          <w:color w:val="231F20"/>
          <w:spacing w:val="-9"/>
          <w:w w:val="110"/>
          <w:sz w:val="19"/>
        </w:rPr>
        <w:t> </w:t>
      </w:r>
      <w:r>
        <w:rPr>
          <w:color w:val="231F20"/>
          <w:spacing w:val="-4"/>
          <w:w w:val="110"/>
          <w:sz w:val="19"/>
        </w:rPr>
        <w:t>Santiago</w:t>
      </w:r>
      <w:r>
        <w:rPr>
          <w:color w:val="231F20"/>
          <w:spacing w:val="-9"/>
          <w:w w:val="110"/>
          <w:sz w:val="19"/>
        </w:rPr>
        <w:t> </w:t>
      </w:r>
      <w:r>
        <w:rPr>
          <w:color w:val="231F20"/>
          <w:w w:val="110"/>
          <w:sz w:val="19"/>
        </w:rPr>
        <w:t>de</w:t>
      </w:r>
      <w:r>
        <w:rPr>
          <w:color w:val="231F20"/>
          <w:spacing w:val="-9"/>
          <w:w w:val="110"/>
          <w:sz w:val="19"/>
        </w:rPr>
        <w:t> </w:t>
      </w:r>
      <w:r>
        <w:rPr>
          <w:color w:val="231F20"/>
          <w:spacing w:val="-4"/>
          <w:w w:val="110"/>
          <w:sz w:val="19"/>
        </w:rPr>
        <w:t>Chile,</w:t>
      </w:r>
      <w:r>
        <w:rPr>
          <w:color w:val="231F20"/>
          <w:spacing w:val="-9"/>
          <w:w w:val="110"/>
          <w:sz w:val="19"/>
        </w:rPr>
        <w:t> </w:t>
      </w:r>
      <w:r>
        <w:rPr>
          <w:color w:val="231F20"/>
          <w:spacing w:val="-3"/>
          <w:w w:val="110"/>
          <w:sz w:val="19"/>
        </w:rPr>
        <w:t>pp.</w:t>
      </w:r>
      <w:r>
        <w:rPr>
          <w:color w:val="231F20"/>
          <w:spacing w:val="-9"/>
          <w:w w:val="110"/>
          <w:sz w:val="19"/>
        </w:rPr>
        <w:t> </w:t>
      </w:r>
      <w:r>
        <w:rPr>
          <w:color w:val="231F20"/>
          <w:spacing w:val="-4"/>
          <w:w w:val="110"/>
          <w:sz w:val="19"/>
        </w:rPr>
        <w:t>45-61.</w:t>
      </w:r>
      <w:r>
        <w:rPr>
          <w:color w:val="231F20"/>
          <w:w w:val="128"/>
          <w:sz w:val="19"/>
        </w:rPr>
        <w:t> </w:t>
      </w:r>
      <w:r>
        <w:rPr>
          <w:rFonts w:ascii="Times New Roman" w:hAnsi="Times New Roman"/>
          <w:color w:val="231F20"/>
          <w:w w:val="110"/>
          <w:sz w:val="19"/>
        </w:rPr>
        <w:t>S</w:t>
      </w:r>
      <w:r>
        <w:rPr>
          <w:rFonts w:ascii="Times New Roman" w:hAnsi="Times New Roman"/>
          <w:color w:val="231F20"/>
          <w:w w:val="110"/>
          <w:sz w:val="15"/>
        </w:rPr>
        <w:t>ÁNCHEZ</w:t>
      </w:r>
      <w:r>
        <w:rPr>
          <w:rFonts w:ascii="Times New Roman" w:hAnsi="Times New Roman"/>
          <w:color w:val="231F20"/>
          <w:spacing w:val="32"/>
          <w:w w:val="110"/>
          <w:sz w:val="15"/>
        </w:rPr>
        <w:t> </w:t>
      </w:r>
      <w:r>
        <w:rPr>
          <w:rFonts w:ascii="Times New Roman" w:hAnsi="Times New Roman"/>
          <w:color w:val="231F20"/>
          <w:w w:val="110"/>
          <w:sz w:val="19"/>
        </w:rPr>
        <w:t>G</w:t>
      </w:r>
      <w:r>
        <w:rPr>
          <w:rFonts w:ascii="Times New Roman" w:hAnsi="Times New Roman"/>
          <w:color w:val="231F20"/>
          <w:w w:val="110"/>
          <w:sz w:val="15"/>
        </w:rPr>
        <w:t>ONZÁLEZ</w:t>
      </w:r>
      <w:r>
        <w:rPr>
          <w:color w:val="231F20"/>
          <w:w w:val="110"/>
          <w:sz w:val="19"/>
        </w:rPr>
        <w:t>,</w:t>
      </w:r>
      <w:r>
        <w:rPr>
          <w:color w:val="231F20"/>
          <w:spacing w:val="27"/>
          <w:w w:val="110"/>
          <w:sz w:val="19"/>
        </w:rPr>
        <w:t> </w:t>
      </w:r>
      <w:r>
        <w:rPr>
          <w:color w:val="231F20"/>
          <w:w w:val="110"/>
          <w:sz w:val="19"/>
        </w:rPr>
        <w:t>Diego</w:t>
      </w:r>
      <w:r>
        <w:rPr>
          <w:color w:val="231F20"/>
          <w:spacing w:val="27"/>
          <w:w w:val="110"/>
          <w:sz w:val="19"/>
        </w:rPr>
        <w:t> </w:t>
      </w:r>
      <w:r>
        <w:rPr>
          <w:color w:val="231F20"/>
          <w:w w:val="110"/>
          <w:sz w:val="19"/>
        </w:rPr>
        <w:t>y</w:t>
      </w:r>
      <w:r>
        <w:rPr>
          <w:color w:val="231F20"/>
          <w:spacing w:val="27"/>
          <w:w w:val="110"/>
          <w:sz w:val="19"/>
        </w:rPr>
        <w:t> </w:t>
      </w:r>
      <w:r>
        <w:rPr>
          <w:color w:val="231F20"/>
          <w:w w:val="110"/>
          <w:sz w:val="19"/>
        </w:rPr>
        <w:t>José</w:t>
      </w:r>
      <w:r>
        <w:rPr>
          <w:color w:val="231F20"/>
          <w:spacing w:val="27"/>
          <w:w w:val="110"/>
          <w:sz w:val="19"/>
        </w:rPr>
        <w:t> </w:t>
      </w:r>
      <w:r>
        <w:rPr>
          <w:color w:val="231F20"/>
          <w:w w:val="110"/>
          <w:sz w:val="19"/>
        </w:rPr>
        <w:t>Juan</w:t>
      </w:r>
      <w:r>
        <w:rPr>
          <w:color w:val="231F20"/>
          <w:spacing w:val="27"/>
          <w:w w:val="110"/>
          <w:sz w:val="19"/>
        </w:rPr>
        <w:t> </w:t>
      </w:r>
      <w:r>
        <w:rPr>
          <w:color w:val="231F20"/>
          <w:w w:val="110"/>
          <w:sz w:val="19"/>
        </w:rPr>
        <w:t>Batres</w:t>
      </w:r>
      <w:r>
        <w:rPr>
          <w:color w:val="231F20"/>
          <w:spacing w:val="27"/>
          <w:w w:val="110"/>
          <w:sz w:val="19"/>
        </w:rPr>
        <w:t> </w:t>
      </w:r>
      <w:r>
        <w:rPr>
          <w:color w:val="231F20"/>
          <w:w w:val="110"/>
          <w:sz w:val="19"/>
        </w:rPr>
        <w:t>González</w:t>
      </w:r>
      <w:r>
        <w:rPr>
          <w:color w:val="231F20"/>
          <w:spacing w:val="27"/>
          <w:w w:val="110"/>
          <w:sz w:val="19"/>
        </w:rPr>
        <w:t> </w:t>
      </w:r>
      <w:r>
        <w:rPr>
          <w:color w:val="231F20"/>
          <w:w w:val="110"/>
          <w:sz w:val="19"/>
        </w:rPr>
        <w:t>(2007),</w:t>
      </w:r>
      <w:r>
        <w:rPr>
          <w:color w:val="231F20"/>
          <w:spacing w:val="27"/>
          <w:w w:val="110"/>
          <w:sz w:val="19"/>
        </w:rPr>
        <w:t> </w:t>
      </w:r>
      <w:r>
        <w:rPr>
          <w:color w:val="231F20"/>
          <w:w w:val="110"/>
          <w:sz w:val="19"/>
        </w:rPr>
        <w:t>“Retos</w:t>
      </w:r>
      <w:r>
        <w:rPr>
          <w:color w:val="231F20"/>
          <w:spacing w:val="27"/>
          <w:w w:val="110"/>
          <w:sz w:val="19"/>
        </w:rPr>
        <w:t> </w:t>
      </w:r>
      <w:r>
        <w:rPr>
          <w:color w:val="231F20"/>
          <w:w w:val="110"/>
          <w:sz w:val="19"/>
        </w:rPr>
        <w:t>de</w:t>
      </w:r>
      <w:r>
        <w:rPr>
          <w:color w:val="231F20"/>
          <w:spacing w:val="27"/>
          <w:w w:val="110"/>
          <w:sz w:val="19"/>
        </w:rPr>
        <w:t> </w:t>
      </w:r>
      <w:r>
        <w:rPr>
          <w:color w:val="231F20"/>
          <w:w w:val="110"/>
          <w:sz w:val="19"/>
        </w:rPr>
        <w:t>la</w:t>
      </w:r>
      <w:r>
        <w:rPr>
          <w:color w:val="231F20"/>
          <w:w w:val="108"/>
          <w:sz w:val="19"/>
        </w:rPr>
        <w:t> </w:t>
      </w:r>
      <w:r>
        <w:rPr>
          <w:color w:val="231F20"/>
          <w:w w:val="110"/>
          <w:sz w:val="19"/>
        </w:rPr>
        <w:t>planeación turística en la conservación de las lagunas urbanas</w:t>
      </w:r>
      <w:r>
        <w:rPr>
          <w:color w:val="231F20"/>
          <w:spacing w:val="-13"/>
          <w:w w:val="110"/>
          <w:sz w:val="19"/>
        </w:rPr>
        <w:t> </w:t>
      </w:r>
      <w:r>
        <w:rPr>
          <w:color w:val="231F20"/>
          <w:w w:val="110"/>
          <w:sz w:val="19"/>
        </w:rPr>
        <w:t>degradadas</w:t>
      </w:r>
    </w:p>
    <w:p>
      <w:pPr>
        <w:spacing w:line="273" w:lineRule="auto" w:before="0"/>
        <w:ind w:left="484" w:right="0" w:firstLine="0"/>
        <w:jc w:val="left"/>
        <w:rPr>
          <w:sz w:val="19"/>
        </w:rPr>
      </w:pPr>
      <w:r>
        <w:rPr>
          <w:color w:val="231F20"/>
          <w:w w:val="110"/>
          <w:sz w:val="19"/>
        </w:rPr>
        <w:t>de México. El caso de Tampico”, </w:t>
      </w:r>
      <w:r>
        <w:rPr>
          <w:i/>
          <w:color w:val="231F20"/>
          <w:w w:val="110"/>
          <w:sz w:val="19"/>
        </w:rPr>
        <w:t>Cuadernos Geográficos, </w:t>
      </w:r>
      <w:r>
        <w:rPr>
          <w:color w:val="231F20"/>
          <w:w w:val="110"/>
          <w:sz w:val="19"/>
        </w:rPr>
        <w:t>núm. 41, Granada, Universidad de Granada, pp. 241-252.</w:t>
      </w:r>
    </w:p>
    <w:p>
      <w:pPr>
        <w:spacing w:after="0" w:line="273" w:lineRule="auto"/>
        <w:jc w:val="left"/>
        <w:rPr>
          <w:sz w:val="19"/>
        </w:rPr>
        <w:sectPr>
          <w:pgSz w:w="9520" w:h="12920"/>
          <w:pgMar w:header="0" w:footer="1344" w:top="880" w:bottom="1540" w:left="1320" w:right="1000"/>
        </w:sectPr>
      </w:pPr>
    </w:p>
    <w:p>
      <w:pPr>
        <w:spacing w:line="266" w:lineRule="auto" w:before="44"/>
        <w:ind w:left="480" w:right="116" w:hanging="360"/>
        <w:jc w:val="both"/>
        <w:rPr>
          <w:sz w:val="19"/>
        </w:rPr>
      </w:pPr>
      <w:r>
        <w:rPr>
          <w:color w:val="231F20"/>
          <w:w w:val="105"/>
          <w:sz w:val="19"/>
        </w:rPr>
        <w:t>Secretaria de Desarrollo Social Consejo Nacional de Población y el Instituto Nacional de Estadística, Geografía e Informática (2007), </w:t>
      </w:r>
      <w:r>
        <w:rPr>
          <w:i/>
          <w:color w:val="231F20"/>
          <w:w w:val="105"/>
          <w:sz w:val="19"/>
        </w:rPr>
        <w:t>Delimitación de las </w:t>
      </w:r>
      <w:r>
        <w:rPr>
          <w:i/>
          <w:color w:val="231F20"/>
          <w:w w:val="105"/>
          <w:sz w:val="19"/>
        </w:rPr>
        <w:t>zonas metropolitanas de México 2005</w:t>
      </w:r>
      <w:r>
        <w:rPr>
          <w:color w:val="231F20"/>
          <w:w w:val="105"/>
          <w:sz w:val="19"/>
        </w:rPr>
        <w:t>,   México.</w:t>
      </w:r>
    </w:p>
    <w:p>
      <w:pPr>
        <w:tabs>
          <w:tab w:pos="839" w:val="left" w:leader="none"/>
        </w:tabs>
        <w:spacing w:line="266" w:lineRule="auto" w:before="0"/>
        <w:ind w:left="479" w:right="117" w:hanging="360"/>
        <w:jc w:val="both"/>
        <w:rPr>
          <w:sz w:val="19"/>
        </w:rPr>
      </w:pPr>
      <w:r>
        <w:rPr>
          <w:color w:val="231F20"/>
          <w:w w:val="128"/>
          <w:sz w:val="19"/>
          <w:u w:val="single" w:color="231F20"/>
        </w:rPr>
        <w:t> </w:t>
      </w:r>
      <w:r>
        <w:rPr>
          <w:color w:val="231F20"/>
          <w:sz w:val="19"/>
          <w:u w:val="single" w:color="231F20"/>
        </w:rPr>
        <w:tab/>
        <w:tab/>
      </w:r>
      <w:r>
        <w:rPr>
          <w:color w:val="231F20"/>
          <w:sz w:val="19"/>
        </w:rPr>
        <w:t> </w:t>
      </w:r>
      <w:r>
        <w:rPr>
          <w:color w:val="231F20"/>
          <w:spacing w:val="-6"/>
          <w:sz w:val="19"/>
        </w:rPr>
        <w:t> </w:t>
      </w:r>
      <w:r>
        <w:rPr>
          <w:color w:val="231F20"/>
          <w:w w:val="105"/>
          <w:sz w:val="19"/>
        </w:rPr>
        <w:t>(2012),  </w:t>
      </w:r>
      <w:r>
        <w:rPr>
          <w:i/>
          <w:color w:val="231F20"/>
          <w:w w:val="105"/>
          <w:sz w:val="19"/>
        </w:rPr>
        <w:t>Delimitación las zonas metropolitanas de México   </w:t>
      </w:r>
      <w:r>
        <w:rPr>
          <w:i/>
          <w:color w:val="231F20"/>
          <w:spacing w:val="3"/>
          <w:w w:val="105"/>
          <w:sz w:val="19"/>
        </w:rPr>
        <w:t> </w:t>
      </w:r>
      <w:r>
        <w:rPr>
          <w:i/>
          <w:color w:val="231F20"/>
          <w:w w:val="105"/>
          <w:sz w:val="19"/>
        </w:rPr>
        <w:t>2005</w:t>
      </w:r>
      <w:r>
        <w:rPr>
          <w:color w:val="231F20"/>
          <w:w w:val="105"/>
          <w:sz w:val="19"/>
        </w:rPr>
        <w:t>,</w:t>
      </w:r>
      <w:r>
        <w:rPr>
          <w:color w:val="231F20"/>
          <w:spacing w:val="32"/>
          <w:w w:val="105"/>
          <w:sz w:val="19"/>
        </w:rPr>
        <w:t> </w:t>
      </w:r>
      <w:r>
        <w:rPr>
          <w:color w:val="231F20"/>
          <w:w w:val="105"/>
          <w:sz w:val="19"/>
        </w:rPr>
        <w:t>México.</w:t>
      </w:r>
      <w:r>
        <w:rPr>
          <w:color w:val="231F20"/>
          <w:w w:val="128"/>
          <w:sz w:val="19"/>
        </w:rPr>
        <w:t> </w:t>
      </w:r>
      <w:hyperlink r:id="rId195">
        <w:r>
          <w:rPr>
            <w:color w:val="231F20"/>
            <w:w w:val="105"/>
            <w:sz w:val="19"/>
          </w:rPr>
          <w:t>http://www.conapo.gob.mx/es/conapo/Zonas_metropolitanas_2010</w:t>
        </w:r>
      </w:hyperlink>
    </w:p>
    <w:p>
      <w:pPr>
        <w:spacing w:line="266" w:lineRule="auto" w:before="0"/>
        <w:ind w:left="479" w:right="117" w:hanging="360"/>
        <w:jc w:val="both"/>
        <w:rPr>
          <w:sz w:val="19"/>
        </w:rPr>
      </w:pPr>
      <w:r>
        <w:rPr>
          <w:rFonts w:ascii="Times New Roman" w:hAnsi="Times New Roman"/>
          <w:color w:val="231F20"/>
          <w:w w:val="105"/>
          <w:sz w:val="19"/>
        </w:rPr>
        <w:t>S</w:t>
      </w:r>
      <w:r>
        <w:rPr>
          <w:rFonts w:ascii="Times New Roman" w:hAnsi="Times New Roman"/>
          <w:color w:val="231F20"/>
          <w:w w:val="105"/>
          <w:sz w:val="15"/>
        </w:rPr>
        <w:t>OBRINO</w:t>
      </w:r>
      <w:r>
        <w:rPr>
          <w:color w:val="231F20"/>
          <w:w w:val="105"/>
          <w:sz w:val="19"/>
        </w:rPr>
        <w:t>, Jaime (2003), “Zonas metropolitanas en México en 2000: Conformación territorial y movilidad de la población ocupada (Parte A)”, </w:t>
      </w:r>
      <w:r>
        <w:rPr>
          <w:i/>
          <w:color w:val="231F20"/>
          <w:w w:val="105"/>
          <w:sz w:val="19"/>
        </w:rPr>
        <w:t>Estudios Demo- </w:t>
      </w:r>
      <w:r>
        <w:rPr>
          <w:i/>
          <w:color w:val="231F20"/>
          <w:w w:val="105"/>
          <w:sz w:val="19"/>
        </w:rPr>
        <w:t>gráficos y Urbanos</w:t>
      </w:r>
      <w:r>
        <w:rPr>
          <w:color w:val="231F20"/>
          <w:w w:val="105"/>
          <w:sz w:val="19"/>
        </w:rPr>
        <w:t>,  núm.  54,  México,  El  Colegio  de  México,  pp. 461-507.</w:t>
      </w:r>
    </w:p>
    <w:p>
      <w:pPr>
        <w:tabs>
          <w:tab w:pos="839" w:val="left" w:leader="none"/>
        </w:tabs>
        <w:spacing w:line="266" w:lineRule="auto" w:before="0"/>
        <w:ind w:left="480" w:right="117" w:hanging="360"/>
        <w:jc w:val="both"/>
        <w:rPr>
          <w:sz w:val="19"/>
        </w:rPr>
      </w:pPr>
      <w:r>
        <w:rPr>
          <w:color w:val="231F20"/>
          <w:w w:val="128"/>
          <w:sz w:val="19"/>
          <w:u w:val="single" w:color="231F20"/>
        </w:rPr>
        <w:t> </w:t>
      </w:r>
      <w:r>
        <w:rPr>
          <w:color w:val="231F20"/>
          <w:sz w:val="19"/>
          <w:u w:val="single" w:color="231F20"/>
        </w:rPr>
        <w:tab/>
        <w:tab/>
      </w:r>
      <w:r>
        <w:rPr>
          <w:color w:val="231F20"/>
          <w:sz w:val="19"/>
        </w:rPr>
        <w:t> </w:t>
      </w:r>
      <w:r>
        <w:rPr>
          <w:color w:val="231F20"/>
          <w:spacing w:val="-13"/>
          <w:sz w:val="19"/>
        </w:rPr>
        <w:t> </w:t>
      </w:r>
      <w:r>
        <w:rPr>
          <w:color w:val="231F20"/>
          <w:w w:val="110"/>
          <w:sz w:val="19"/>
        </w:rPr>
        <w:t>(2003), “Tendencias de la urbanización mexicana hacia finales</w:t>
      </w:r>
      <w:r>
        <w:rPr>
          <w:color w:val="231F20"/>
          <w:spacing w:val="40"/>
          <w:w w:val="110"/>
          <w:sz w:val="19"/>
        </w:rPr>
        <w:t> </w:t>
      </w:r>
      <w:r>
        <w:rPr>
          <w:color w:val="231F20"/>
          <w:w w:val="110"/>
          <w:sz w:val="19"/>
        </w:rPr>
        <w:t>del</w:t>
      </w:r>
      <w:r>
        <w:rPr>
          <w:color w:val="231F20"/>
          <w:spacing w:val="5"/>
          <w:w w:val="110"/>
          <w:sz w:val="19"/>
        </w:rPr>
        <w:t> </w:t>
      </w:r>
      <w:r>
        <w:rPr>
          <w:color w:val="231F20"/>
          <w:w w:val="110"/>
          <w:sz w:val="19"/>
        </w:rPr>
        <w:t>si-</w:t>
      </w:r>
      <w:r>
        <w:rPr>
          <w:color w:val="231F20"/>
          <w:w w:val="93"/>
          <w:sz w:val="19"/>
        </w:rPr>
        <w:t> </w:t>
      </w:r>
      <w:r>
        <w:rPr>
          <w:color w:val="231F20"/>
          <w:w w:val="110"/>
          <w:sz w:val="19"/>
        </w:rPr>
        <w:t>glo”,</w:t>
      </w:r>
      <w:r>
        <w:rPr>
          <w:color w:val="231F20"/>
          <w:spacing w:val="-18"/>
          <w:w w:val="110"/>
          <w:sz w:val="19"/>
        </w:rPr>
        <w:t> </w:t>
      </w:r>
      <w:r>
        <w:rPr>
          <w:i/>
          <w:color w:val="231F20"/>
          <w:w w:val="110"/>
          <w:sz w:val="19"/>
        </w:rPr>
        <w:t>Estudios</w:t>
      </w:r>
      <w:r>
        <w:rPr>
          <w:i/>
          <w:color w:val="231F20"/>
          <w:spacing w:val="-21"/>
          <w:w w:val="110"/>
          <w:sz w:val="19"/>
        </w:rPr>
        <w:t> </w:t>
      </w:r>
      <w:r>
        <w:rPr>
          <w:i/>
          <w:color w:val="231F20"/>
          <w:w w:val="110"/>
          <w:sz w:val="19"/>
        </w:rPr>
        <w:t>Demográficos</w:t>
      </w:r>
      <w:r>
        <w:rPr>
          <w:i/>
          <w:color w:val="231F20"/>
          <w:spacing w:val="-21"/>
          <w:w w:val="110"/>
          <w:sz w:val="19"/>
        </w:rPr>
        <w:t> </w:t>
      </w:r>
      <w:r>
        <w:rPr>
          <w:i/>
          <w:color w:val="231F20"/>
          <w:w w:val="110"/>
          <w:sz w:val="19"/>
        </w:rPr>
        <w:t>y</w:t>
      </w:r>
      <w:r>
        <w:rPr>
          <w:i/>
          <w:color w:val="231F20"/>
          <w:spacing w:val="-21"/>
          <w:w w:val="110"/>
          <w:sz w:val="19"/>
        </w:rPr>
        <w:t> </w:t>
      </w:r>
      <w:r>
        <w:rPr>
          <w:i/>
          <w:color w:val="231F20"/>
          <w:w w:val="110"/>
          <w:sz w:val="19"/>
        </w:rPr>
        <w:t>Urbanos</w:t>
      </w:r>
      <w:r>
        <w:rPr>
          <w:color w:val="231F20"/>
          <w:w w:val="110"/>
          <w:sz w:val="19"/>
        </w:rPr>
        <w:t>,</w:t>
      </w:r>
      <w:r>
        <w:rPr>
          <w:color w:val="231F20"/>
          <w:spacing w:val="-18"/>
          <w:w w:val="110"/>
          <w:sz w:val="19"/>
        </w:rPr>
        <w:t> </w:t>
      </w:r>
      <w:r>
        <w:rPr>
          <w:color w:val="231F20"/>
          <w:w w:val="110"/>
          <w:sz w:val="19"/>
        </w:rPr>
        <w:t>vol.</w:t>
      </w:r>
      <w:r>
        <w:rPr>
          <w:color w:val="231F20"/>
          <w:spacing w:val="-18"/>
          <w:w w:val="110"/>
          <w:sz w:val="19"/>
        </w:rPr>
        <w:t> </w:t>
      </w:r>
      <w:r>
        <w:rPr>
          <w:color w:val="231F20"/>
          <w:w w:val="110"/>
          <w:sz w:val="19"/>
        </w:rPr>
        <w:t>11</w:t>
      </w:r>
      <w:r>
        <w:rPr>
          <w:color w:val="231F20"/>
          <w:spacing w:val="-18"/>
          <w:w w:val="110"/>
          <w:sz w:val="19"/>
        </w:rPr>
        <w:t> </w:t>
      </w:r>
      <w:r>
        <w:rPr>
          <w:color w:val="231F20"/>
          <w:w w:val="110"/>
          <w:sz w:val="19"/>
        </w:rPr>
        <w:t>núm.</w:t>
      </w:r>
      <w:r>
        <w:rPr>
          <w:color w:val="231F20"/>
          <w:spacing w:val="-18"/>
          <w:w w:val="110"/>
          <w:sz w:val="19"/>
        </w:rPr>
        <w:t> </w:t>
      </w:r>
      <w:r>
        <w:rPr>
          <w:color w:val="231F20"/>
          <w:w w:val="110"/>
          <w:sz w:val="19"/>
        </w:rPr>
        <w:t>1</w:t>
      </w:r>
      <w:r>
        <w:rPr>
          <w:color w:val="231F20"/>
          <w:spacing w:val="-18"/>
          <w:w w:val="110"/>
          <w:sz w:val="19"/>
        </w:rPr>
        <w:t> </w:t>
      </w:r>
      <w:r>
        <w:rPr>
          <w:color w:val="231F20"/>
          <w:w w:val="110"/>
          <w:sz w:val="19"/>
        </w:rPr>
        <w:t>(31),</w:t>
      </w:r>
      <w:r>
        <w:rPr>
          <w:color w:val="231F20"/>
          <w:spacing w:val="-18"/>
          <w:w w:val="110"/>
          <w:sz w:val="19"/>
        </w:rPr>
        <w:t> </w:t>
      </w:r>
      <w:r>
        <w:rPr>
          <w:color w:val="231F20"/>
          <w:w w:val="110"/>
          <w:sz w:val="19"/>
        </w:rPr>
        <w:t>México,</w:t>
      </w:r>
      <w:r>
        <w:rPr>
          <w:color w:val="231F20"/>
          <w:spacing w:val="-18"/>
          <w:w w:val="110"/>
          <w:sz w:val="19"/>
        </w:rPr>
        <w:t> </w:t>
      </w:r>
      <w:r>
        <w:rPr>
          <w:color w:val="231F20"/>
          <w:w w:val="110"/>
          <w:sz w:val="19"/>
        </w:rPr>
        <w:t>El</w:t>
      </w:r>
      <w:r>
        <w:rPr>
          <w:color w:val="231F20"/>
          <w:spacing w:val="-18"/>
          <w:w w:val="110"/>
          <w:sz w:val="19"/>
        </w:rPr>
        <w:t> </w:t>
      </w:r>
      <w:r>
        <w:rPr>
          <w:color w:val="231F20"/>
          <w:w w:val="110"/>
          <w:sz w:val="19"/>
        </w:rPr>
        <w:t>Colegio de México, pp. 122-129.</w:t>
      </w:r>
    </w:p>
    <w:p>
      <w:pPr>
        <w:spacing w:line="266" w:lineRule="auto" w:before="0"/>
        <w:ind w:left="480" w:right="119" w:hanging="360"/>
        <w:jc w:val="both"/>
        <w:rPr>
          <w:sz w:val="19"/>
        </w:rPr>
      </w:pPr>
      <w:r>
        <w:rPr>
          <w:rFonts w:ascii="Times New Roman" w:hAnsi="Times New Roman"/>
          <w:color w:val="231F20"/>
          <w:w w:val="110"/>
          <w:sz w:val="19"/>
        </w:rPr>
        <w:t>T</w:t>
      </w:r>
      <w:r>
        <w:rPr>
          <w:rFonts w:ascii="Times New Roman" w:hAnsi="Times New Roman"/>
          <w:color w:val="231F20"/>
          <w:w w:val="110"/>
          <w:sz w:val="15"/>
        </w:rPr>
        <w:t>UIRÁN</w:t>
      </w:r>
      <w:r>
        <w:rPr>
          <w:color w:val="231F20"/>
          <w:w w:val="110"/>
          <w:sz w:val="19"/>
        </w:rPr>
        <w:t>,</w:t>
      </w:r>
      <w:r>
        <w:rPr>
          <w:color w:val="231F20"/>
          <w:spacing w:val="-16"/>
          <w:w w:val="110"/>
          <w:sz w:val="19"/>
        </w:rPr>
        <w:t> </w:t>
      </w:r>
      <w:r>
        <w:rPr>
          <w:color w:val="231F20"/>
          <w:w w:val="110"/>
          <w:sz w:val="19"/>
        </w:rPr>
        <w:t>Rodolfo</w:t>
      </w:r>
      <w:r>
        <w:rPr>
          <w:color w:val="231F20"/>
          <w:spacing w:val="-16"/>
          <w:w w:val="110"/>
          <w:sz w:val="19"/>
        </w:rPr>
        <w:t> </w:t>
      </w:r>
      <w:r>
        <w:rPr>
          <w:color w:val="231F20"/>
          <w:w w:val="110"/>
          <w:sz w:val="19"/>
        </w:rPr>
        <w:t>(1998),</w:t>
      </w:r>
      <w:r>
        <w:rPr>
          <w:color w:val="231F20"/>
          <w:spacing w:val="-16"/>
          <w:w w:val="110"/>
          <w:sz w:val="19"/>
        </w:rPr>
        <w:t> </w:t>
      </w:r>
      <w:r>
        <w:rPr>
          <w:color w:val="231F20"/>
          <w:spacing w:val="5"/>
          <w:w w:val="110"/>
          <w:sz w:val="19"/>
        </w:rPr>
        <w:t>“La</w:t>
      </w:r>
      <w:r>
        <w:rPr>
          <w:color w:val="231F20"/>
          <w:spacing w:val="-16"/>
          <w:w w:val="110"/>
          <w:sz w:val="19"/>
        </w:rPr>
        <w:t> </w:t>
      </w:r>
      <w:r>
        <w:rPr>
          <w:color w:val="231F20"/>
          <w:w w:val="110"/>
          <w:sz w:val="19"/>
        </w:rPr>
        <w:t>situación</w:t>
      </w:r>
      <w:r>
        <w:rPr>
          <w:color w:val="231F20"/>
          <w:spacing w:val="-16"/>
          <w:w w:val="110"/>
          <w:sz w:val="19"/>
        </w:rPr>
        <w:t> </w:t>
      </w:r>
      <w:r>
        <w:rPr>
          <w:color w:val="231F20"/>
          <w:w w:val="110"/>
          <w:sz w:val="19"/>
        </w:rPr>
        <w:t>demográfica</w:t>
      </w:r>
      <w:r>
        <w:rPr>
          <w:color w:val="231F20"/>
          <w:spacing w:val="-16"/>
          <w:w w:val="110"/>
          <w:sz w:val="19"/>
        </w:rPr>
        <w:t> </w:t>
      </w:r>
      <w:r>
        <w:rPr>
          <w:color w:val="231F20"/>
          <w:w w:val="110"/>
          <w:sz w:val="19"/>
        </w:rPr>
        <w:t>en</w:t>
      </w:r>
      <w:r>
        <w:rPr>
          <w:color w:val="231F20"/>
          <w:spacing w:val="-16"/>
          <w:w w:val="110"/>
          <w:sz w:val="19"/>
        </w:rPr>
        <w:t> </w:t>
      </w:r>
      <w:r>
        <w:rPr>
          <w:color w:val="231F20"/>
          <w:w w:val="110"/>
          <w:sz w:val="19"/>
        </w:rPr>
        <w:t>México”,</w:t>
      </w:r>
      <w:r>
        <w:rPr>
          <w:color w:val="231F20"/>
          <w:spacing w:val="-15"/>
          <w:w w:val="110"/>
          <w:sz w:val="19"/>
        </w:rPr>
        <w:t> </w:t>
      </w:r>
      <w:r>
        <w:rPr>
          <w:i/>
          <w:color w:val="231F20"/>
          <w:spacing w:val="-3"/>
          <w:w w:val="110"/>
          <w:sz w:val="19"/>
        </w:rPr>
        <w:t>Papeles</w:t>
      </w:r>
      <w:r>
        <w:rPr>
          <w:i/>
          <w:color w:val="231F20"/>
          <w:spacing w:val="-19"/>
          <w:w w:val="110"/>
          <w:sz w:val="19"/>
        </w:rPr>
        <w:t> </w:t>
      </w:r>
      <w:r>
        <w:rPr>
          <w:i/>
          <w:color w:val="231F20"/>
          <w:w w:val="110"/>
          <w:sz w:val="19"/>
        </w:rPr>
        <w:t>de</w:t>
      </w:r>
      <w:r>
        <w:rPr>
          <w:i/>
          <w:color w:val="231F20"/>
          <w:spacing w:val="-19"/>
          <w:w w:val="110"/>
          <w:sz w:val="19"/>
        </w:rPr>
        <w:t> </w:t>
      </w:r>
      <w:r>
        <w:rPr>
          <w:i/>
          <w:color w:val="231F20"/>
          <w:spacing w:val="-3"/>
          <w:w w:val="110"/>
          <w:sz w:val="19"/>
        </w:rPr>
        <w:t>Pobla- </w:t>
      </w:r>
      <w:r>
        <w:rPr>
          <w:i/>
          <w:color w:val="231F20"/>
          <w:w w:val="110"/>
          <w:sz w:val="19"/>
        </w:rPr>
        <w:t>ción</w:t>
      </w:r>
      <w:r>
        <w:rPr>
          <w:color w:val="231F20"/>
          <w:w w:val="110"/>
          <w:sz w:val="19"/>
        </w:rPr>
        <w:t>, núm. 16, abril-junio, Universidad Autónoma del Estado de México, pp.</w:t>
      </w:r>
      <w:r>
        <w:rPr>
          <w:color w:val="231F20"/>
          <w:spacing w:val="-23"/>
          <w:w w:val="110"/>
          <w:sz w:val="19"/>
        </w:rPr>
        <w:t> </w:t>
      </w:r>
      <w:r>
        <w:rPr>
          <w:color w:val="231F20"/>
          <w:w w:val="110"/>
          <w:sz w:val="19"/>
        </w:rPr>
        <w:t>17-38.</w:t>
      </w:r>
    </w:p>
    <w:p>
      <w:pPr>
        <w:spacing w:line="266" w:lineRule="auto" w:before="0"/>
        <w:ind w:left="479" w:right="118" w:hanging="360"/>
        <w:jc w:val="both"/>
        <w:rPr>
          <w:sz w:val="19"/>
        </w:rPr>
      </w:pPr>
      <w:r>
        <w:rPr>
          <w:rFonts w:ascii="Times New Roman" w:hAnsi="Times New Roman"/>
          <w:color w:val="231F20"/>
          <w:w w:val="105"/>
          <w:sz w:val="19"/>
        </w:rPr>
        <w:t>U</w:t>
      </w:r>
      <w:r>
        <w:rPr>
          <w:rFonts w:ascii="Times New Roman" w:hAnsi="Times New Roman"/>
          <w:color w:val="231F20"/>
          <w:w w:val="105"/>
          <w:sz w:val="15"/>
        </w:rPr>
        <w:t>NIKEL</w:t>
      </w:r>
      <w:r>
        <w:rPr>
          <w:color w:val="231F20"/>
          <w:w w:val="105"/>
          <w:sz w:val="19"/>
        </w:rPr>
        <w:t>, Luis (1976), </w:t>
      </w:r>
      <w:r>
        <w:rPr>
          <w:i/>
          <w:color w:val="231F20"/>
          <w:w w:val="105"/>
          <w:sz w:val="19"/>
        </w:rPr>
        <w:t>El desarrollo urbano de México, diagnóstico e implicaciones </w:t>
      </w:r>
      <w:r>
        <w:rPr>
          <w:i/>
          <w:color w:val="231F20"/>
          <w:w w:val="105"/>
          <w:sz w:val="19"/>
        </w:rPr>
        <w:t>futuras</w:t>
      </w:r>
      <w:r>
        <w:rPr>
          <w:color w:val="231F20"/>
          <w:w w:val="105"/>
          <w:sz w:val="19"/>
        </w:rPr>
        <w:t>,  México,  El  Colegio  de  México.</w:t>
      </w:r>
    </w:p>
    <w:p>
      <w:pPr>
        <w:spacing w:line="266" w:lineRule="auto" w:before="0"/>
        <w:ind w:left="479" w:right="119" w:hanging="360"/>
        <w:jc w:val="both"/>
        <w:rPr>
          <w:sz w:val="19"/>
        </w:rPr>
      </w:pPr>
      <w:r>
        <w:rPr>
          <w:rFonts w:ascii="Times New Roman" w:hAnsi="Times New Roman"/>
          <w:color w:val="231F20"/>
          <w:w w:val="110"/>
          <w:sz w:val="19"/>
        </w:rPr>
        <w:t>V</w:t>
      </w:r>
      <w:r>
        <w:rPr>
          <w:rFonts w:ascii="Times New Roman" w:hAnsi="Times New Roman"/>
          <w:color w:val="231F20"/>
          <w:w w:val="110"/>
          <w:sz w:val="15"/>
        </w:rPr>
        <w:t>ALLIN</w:t>
      </w:r>
      <w:r>
        <w:rPr>
          <w:color w:val="231F20"/>
          <w:w w:val="110"/>
          <w:sz w:val="19"/>
        </w:rPr>
        <w:t>, Jacques (1994), La Demografía, Santiago de Chile: Comisión Económi- ca para América Latina y El Caribe (</w:t>
      </w:r>
      <w:r>
        <w:rPr>
          <w:rFonts w:ascii="Times New Roman" w:hAnsi="Times New Roman"/>
          <w:color w:val="231F20"/>
          <w:w w:val="110"/>
          <w:sz w:val="15"/>
        </w:rPr>
        <w:t>CEPAL</w:t>
      </w:r>
      <w:r>
        <w:rPr>
          <w:color w:val="231F20"/>
          <w:w w:val="110"/>
          <w:sz w:val="19"/>
        </w:rPr>
        <w:t>), 163 p.</w:t>
      </w:r>
    </w:p>
    <w:p>
      <w:pPr>
        <w:spacing w:line="266" w:lineRule="auto" w:before="0"/>
        <w:ind w:left="480" w:right="119" w:hanging="360"/>
        <w:jc w:val="both"/>
        <w:rPr>
          <w:sz w:val="19"/>
        </w:rPr>
      </w:pPr>
      <w:r>
        <w:rPr>
          <w:rFonts w:ascii="Times New Roman" w:hAnsi="Times New Roman"/>
          <w:color w:val="231F20"/>
          <w:w w:val="105"/>
          <w:sz w:val="19"/>
        </w:rPr>
        <w:t>V</w:t>
      </w:r>
      <w:r>
        <w:rPr>
          <w:rFonts w:ascii="Times New Roman" w:hAnsi="Times New Roman"/>
          <w:color w:val="231F20"/>
          <w:w w:val="105"/>
          <w:sz w:val="15"/>
        </w:rPr>
        <w:t>INUESA </w:t>
      </w:r>
      <w:r>
        <w:rPr>
          <w:rFonts w:ascii="Times New Roman" w:hAnsi="Times New Roman"/>
          <w:color w:val="231F20"/>
          <w:w w:val="105"/>
          <w:sz w:val="19"/>
        </w:rPr>
        <w:t>A</w:t>
      </w:r>
      <w:r>
        <w:rPr>
          <w:rFonts w:ascii="Times New Roman" w:hAnsi="Times New Roman"/>
          <w:color w:val="231F20"/>
          <w:w w:val="105"/>
          <w:sz w:val="15"/>
        </w:rPr>
        <w:t>NGULO </w:t>
      </w:r>
      <w:r>
        <w:rPr>
          <w:color w:val="231F20"/>
          <w:w w:val="105"/>
          <w:sz w:val="19"/>
        </w:rPr>
        <w:t>Julio (ed.) (1997), Madrid, España, </w:t>
      </w:r>
      <w:r>
        <w:rPr>
          <w:i/>
          <w:color w:val="231F20"/>
          <w:w w:val="105"/>
          <w:sz w:val="19"/>
        </w:rPr>
        <w:t>Demografía. Análisis y pro- </w:t>
      </w:r>
      <w:r>
        <w:rPr>
          <w:i/>
          <w:color w:val="231F20"/>
          <w:w w:val="105"/>
          <w:sz w:val="19"/>
        </w:rPr>
        <w:t>yecciones, Editorial síntesis</w:t>
      </w:r>
      <w:r>
        <w:rPr>
          <w:color w:val="231F20"/>
          <w:w w:val="105"/>
          <w:sz w:val="19"/>
        </w:rPr>
        <w:t>, pp. 366. http://www.encuentros-multidiscipli- nares.org/Revistan%C2%BA16/Julio%20Vinuesa%20Angulo.pdf</w:t>
      </w:r>
    </w:p>
    <w:p>
      <w:pPr>
        <w:tabs>
          <w:tab w:pos="839" w:val="left" w:leader="none"/>
        </w:tabs>
        <w:spacing w:line="266" w:lineRule="auto" w:before="0"/>
        <w:ind w:left="480" w:right="119" w:hanging="360"/>
        <w:jc w:val="both"/>
        <w:rPr>
          <w:sz w:val="19"/>
        </w:rPr>
      </w:pPr>
      <w:r>
        <w:rPr>
          <w:color w:val="231F20"/>
          <w:w w:val="128"/>
          <w:sz w:val="19"/>
          <w:u w:val="single" w:color="231F20"/>
        </w:rPr>
        <w:t> </w:t>
      </w:r>
      <w:r>
        <w:rPr>
          <w:color w:val="231F20"/>
          <w:sz w:val="19"/>
          <w:u w:val="single" w:color="231F20"/>
        </w:rPr>
        <w:tab/>
        <w:tab/>
      </w:r>
      <w:r>
        <w:rPr>
          <w:color w:val="231F20"/>
          <w:sz w:val="19"/>
        </w:rPr>
        <w:t> </w:t>
      </w:r>
      <w:r>
        <w:rPr>
          <w:color w:val="231F20"/>
          <w:spacing w:val="-12"/>
          <w:sz w:val="19"/>
        </w:rPr>
        <w:t> </w:t>
      </w:r>
      <w:r>
        <w:rPr>
          <w:color w:val="231F20"/>
          <w:w w:val="110"/>
          <w:sz w:val="19"/>
        </w:rPr>
        <w:t>(2005), </w:t>
      </w:r>
      <w:r>
        <w:rPr>
          <w:color w:val="231F20"/>
          <w:spacing w:val="2"/>
          <w:w w:val="110"/>
          <w:sz w:val="19"/>
        </w:rPr>
        <w:t>“De </w:t>
      </w:r>
      <w:r>
        <w:rPr>
          <w:color w:val="231F20"/>
          <w:w w:val="110"/>
          <w:sz w:val="19"/>
        </w:rPr>
        <w:t>la población de hecho a la población </w:t>
      </w:r>
      <w:r>
        <w:rPr>
          <w:color w:val="231F20"/>
          <w:spacing w:val="34"/>
          <w:w w:val="110"/>
          <w:sz w:val="19"/>
        </w:rPr>
        <w:t> </w:t>
      </w:r>
      <w:r>
        <w:rPr>
          <w:color w:val="231F20"/>
          <w:w w:val="110"/>
          <w:sz w:val="19"/>
        </w:rPr>
        <w:t>vinculada”,</w:t>
      </w:r>
      <w:r>
        <w:rPr>
          <w:color w:val="231F20"/>
          <w:spacing w:val="9"/>
          <w:w w:val="110"/>
          <w:sz w:val="19"/>
        </w:rPr>
        <w:t> </w:t>
      </w:r>
      <w:r>
        <w:rPr>
          <w:color w:val="231F20"/>
          <w:w w:val="110"/>
          <w:sz w:val="19"/>
        </w:rPr>
        <w:t>Cuader-</w:t>
      </w:r>
      <w:r>
        <w:rPr>
          <w:color w:val="231F20"/>
          <w:w w:val="93"/>
          <w:sz w:val="19"/>
        </w:rPr>
        <w:t> </w:t>
      </w:r>
      <w:r>
        <w:rPr>
          <w:color w:val="231F20"/>
          <w:w w:val="110"/>
          <w:sz w:val="19"/>
        </w:rPr>
        <w:t>nos Geográficos, núm. 36, Universidad de Granada, España, pp.    79-90.</w:t>
      </w:r>
    </w:p>
    <w:p>
      <w:pPr>
        <w:tabs>
          <w:tab w:pos="839" w:val="left" w:leader="none"/>
        </w:tabs>
        <w:spacing w:line="266" w:lineRule="auto" w:before="0"/>
        <w:ind w:left="480" w:right="119" w:hanging="360"/>
        <w:jc w:val="both"/>
        <w:rPr>
          <w:sz w:val="19"/>
        </w:rPr>
      </w:pPr>
      <w:r>
        <w:rPr>
          <w:color w:val="231F20"/>
          <w:w w:val="128"/>
          <w:sz w:val="19"/>
          <w:u w:val="single" w:color="231F20"/>
        </w:rPr>
        <w:t> </w:t>
      </w:r>
      <w:r>
        <w:rPr>
          <w:color w:val="231F20"/>
          <w:sz w:val="19"/>
          <w:u w:val="single" w:color="231F20"/>
        </w:rPr>
        <w:tab/>
        <w:tab/>
      </w:r>
      <w:r>
        <w:rPr>
          <w:color w:val="231F20"/>
          <w:sz w:val="19"/>
        </w:rPr>
        <w:t> </w:t>
      </w:r>
      <w:r>
        <w:rPr>
          <w:color w:val="231F20"/>
          <w:spacing w:val="-5"/>
          <w:sz w:val="19"/>
        </w:rPr>
        <w:t> </w:t>
      </w:r>
      <w:r>
        <w:rPr>
          <w:color w:val="231F20"/>
          <w:w w:val="105"/>
          <w:sz w:val="19"/>
        </w:rPr>
        <w:t>(2010),  “Análisis  del  envejecimiento  demográfico”, </w:t>
      </w:r>
      <w:r>
        <w:rPr>
          <w:color w:val="231F20"/>
          <w:spacing w:val="23"/>
          <w:w w:val="105"/>
          <w:sz w:val="19"/>
        </w:rPr>
        <w:t> </w:t>
      </w:r>
      <w:r>
        <w:rPr>
          <w:i/>
          <w:color w:val="231F20"/>
          <w:w w:val="105"/>
          <w:sz w:val="19"/>
        </w:rPr>
        <w:t>Encuentros</w:t>
      </w:r>
      <w:r>
        <w:rPr>
          <w:i/>
          <w:color w:val="231F20"/>
          <w:spacing w:val="40"/>
          <w:w w:val="105"/>
          <w:sz w:val="19"/>
        </w:rPr>
        <w:t> </w:t>
      </w:r>
      <w:r>
        <w:rPr>
          <w:i/>
          <w:color w:val="231F20"/>
          <w:w w:val="105"/>
          <w:sz w:val="19"/>
        </w:rPr>
        <w:t>Multi-</w:t>
      </w:r>
      <w:r>
        <w:rPr>
          <w:i/>
          <w:color w:val="231F20"/>
          <w:w w:val="106"/>
          <w:sz w:val="19"/>
        </w:rPr>
        <w:t> </w:t>
      </w:r>
      <w:r>
        <w:rPr>
          <w:i/>
          <w:color w:val="231F20"/>
          <w:w w:val="105"/>
          <w:sz w:val="19"/>
        </w:rPr>
        <w:t>disciplinares</w:t>
      </w:r>
      <w:r>
        <w:rPr>
          <w:color w:val="231F20"/>
          <w:w w:val="105"/>
          <w:sz w:val="19"/>
        </w:rPr>
        <w:t>,  p.</w:t>
      </w:r>
      <w:r>
        <w:rPr>
          <w:color w:val="231F20"/>
          <w:spacing w:val="23"/>
          <w:w w:val="105"/>
          <w:sz w:val="19"/>
        </w:rPr>
        <w:t> </w:t>
      </w:r>
      <w:r>
        <w:rPr>
          <w:color w:val="231F20"/>
          <w:w w:val="105"/>
          <w:sz w:val="19"/>
        </w:rPr>
        <w:t>8.</w:t>
      </w:r>
    </w:p>
    <w:p>
      <w:pPr>
        <w:spacing w:line="266" w:lineRule="auto" w:before="0"/>
        <w:ind w:left="479" w:right="119" w:hanging="360"/>
        <w:jc w:val="both"/>
        <w:rPr>
          <w:sz w:val="19"/>
        </w:rPr>
      </w:pPr>
      <w:r>
        <w:rPr>
          <w:rFonts w:ascii="Times New Roman" w:hAnsi="Times New Roman"/>
          <w:color w:val="231F20"/>
          <w:w w:val="105"/>
          <w:sz w:val="19"/>
        </w:rPr>
        <w:t>V</w:t>
      </w:r>
      <w:r>
        <w:rPr>
          <w:rFonts w:ascii="Times New Roman" w:hAnsi="Times New Roman"/>
          <w:color w:val="231F20"/>
          <w:w w:val="105"/>
          <w:sz w:val="15"/>
        </w:rPr>
        <w:t>ELÁZQUEZ </w:t>
      </w:r>
      <w:r>
        <w:rPr>
          <w:rFonts w:ascii="Times New Roman" w:hAnsi="Times New Roman"/>
          <w:color w:val="231F20"/>
          <w:w w:val="105"/>
          <w:sz w:val="19"/>
        </w:rPr>
        <w:t>U</w:t>
      </w:r>
      <w:r>
        <w:rPr>
          <w:rFonts w:ascii="Times New Roman" w:hAnsi="Times New Roman"/>
          <w:color w:val="231F20"/>
          <w:w w:val="105"/>
          <w:sz w:val="15"/>
        </w:rPr>
        <w:t>RIBE</w:t>
      </w:r>
      <w:r>
        <w:rPr>
          <w:color w:val="231F20"/>
          <w:w w:val="105"/>
          <w:sz w:val="19"/>
        </w:rPr>
        <w:t>, María Teresa (2004), “El envejecimiento de la población”, </w:t>
      </w:r>
      <w:r>
        <w:rPr>
          <w:i/>
          <w:color w:val="231F20"/>
          <w:w w:val="105"/>
          <w:sz w:val="19"/>
        </w:rPr>
        <w:t>Revista de Cultura Científica</w:t>
      </w:r>
      <w:r>
        <w:rPr>
          <w:color w:val="231F20"/>
          <w:w w:val="105"/>
          <w:sz w:val="19"/>
        </w:rPr>
        <w:t>, núm. 75,  septiembre-julio,  Facultad  de  Cien- cias  de  la  Universidad  Nacional  Autónoma  de  México,  pp. 28-34.</w:t>
      </w:r>
    </w:p>
    <w:p>
      <w:pPr>
        <w:spacing w:line="266" w:lineRule="auto" w:before="0"/>
        <w:ind w:left="479" w:right="114" w:hanging="360"/>
        <w:jc w:val="both"/>
        <w:rPr>
          <w:sz w:val="19"/>
        </w:rPr>
      </w:pPr>
      <w:r>
        <w:rPr>
          <w:rFonts w:ascii="Times New Roman" w:hAnsi="Times New Roman"/>
          <w:color w:val="231F20"/>
          <w:w w:val="105"/>
          <w:sz w:val="19"/>
        </w:rPr>
        <w:t>W</w:t>
      </w:r>
      <w:r>
        <w:rPr>
          <w:rFonts w:ascii="Times New Roman" w:hAnsi="Times New Roman"/>
          <w:color w:val="231F20"/>
          <w:w w:val="105"/>
          <w:sz w:val="15"/>
        </w:rPr>
        <w:t>ONG</w:t>
      </w:r>
      <w:r>
        <w:rPr>
          <w:rFonts w:ascii="Times New Roman" w:hAnsi="Times New Roman"/>
          <w:color w:val="231F20"/>
          <w:w w:val="105"/>
          <w:sz w:val="19"/>
        </w:rPr>
        <w:t>, R</w:t>
      </w:r>
      <w:r>
        <w:rPr>
          <w:rFonts w:ascii="Times New Roman" w:hAnsi="Times New Roman"/>
          <w:color w:val="231F20"/>
          <w:w w:val="105"/>
          <w:sz w:val="15"/>
        </w:rPr>
        <w:t>EBECA </w:t>
      </w:r>
      <w:r>
        <w:rPr>
          <w:color w:val="231F20"/>
          <w:w w:val="105"/>
          <w:sz w:val="19"/>
        </w:rPr>
        <w:t>y María Elena Figueroa (1999), “Morbilidad y utilización de servicios de salud entre población de edad avanzada. Un análisis compa- rativo”, </w:t>
      </w:r>
      <w:r>
        <w:rPr>
          <w:i/>
          <w:color w:val="231F20"/>
          <w:w w:val="105"/>
          <w:sz w:val="19"/>
        </w:rPr>
        <w:t>Papeles de Población</w:t>
      </w:r>
      <w:r>
        <w:rPr>
          <w:color w:val="231F20"/>
          <w:w w:val="105"/>
          <w:sz w:val="19"/>
        </w:rPr>
        <w:t>, vol. 5, núm. 19, pp. 103-124.</w:t>
      </w:r>
    </w:p>
    <w:p>
      <w:pPr>
        <w:spacing w:after="0" w:line="266" w:lineRule="auto"/>
        <w:jc w:val="both"/>
        <w:rPr>
          <w:sz w:val="19"/>
        </w:rPr>
        <w:sectPr>
          <w:footerReference w:type="even" r:id="rId194"/>
          <w:pgSz w:w="9520" w:h="12920"/>
          <w:pgMar w:footer="0" w:header="0" w:top="880" w:bottom="280" w:left="1000" w:right="1320"/>
        </w:sectPr>
      </w:pPr>
    </w:p>
    <w:p>
      <w:pPr>
        <w:pStyle w:val="BodyText"/>
        <w:spacing w:before="4"/>
        <w:rPr>
          <w:rFonts w:ascii="Times New Roman"/>
          <w:sz w:val="17"/>
        </w:rPr>
      </w:pPr>
    </w:p>
    <w:p>
      <w:pPr>
        <w:spacing w:after="0"/>
        <w:rPr>
          <w:rFonts w:ascii="Times New Roman"/>
          <w:sz w:val="17"/>
        </w:rPr>
        <w:sectPr>
          <w:footerReference w:type="default" r:id="rId196"/>
          <w:pgSz w:w="9520" w:h="12920"/>
          <w:pgMar w:footer="0" w:header="0" w:top="1220" w:bottom="280" w:left="1320" w:right="1320"/>
        </w:sectPr>
      </w:pPr>
    </w:p>
    <w:p>
      <w:pPr>
        <w:pStyle w:val="Heading1"/>
        <w:spacing w:line="240" w:lineRule="auto" w:before="130"/>
        <w:ind w:left="120"/>
        <w:rPr>
          <w:i/>
        </w:rPr>
      </w:pPr>
      <w:bookmarkStart w:name="_TOC_250000" w:id="14"/>
      <w:bookmarkEnd w:id="14"/>
      <w:r>
        <w:rPr>
          <w:i/>
          <w:color w:val="231F20"/>
          <w:w w:val="65"/>
        </w:rPr>
        <w:t>Sobre los autores</w:t>
      </w:r>
    </w:p>
    <w:p>
      <w:pPr>
        <w:pStyle w:val="BodyText"/>
        <w:rPr>
          <w:rFonts w:ascii="Trebuchet MS"/>
          <w:i/>
        </w:rPr>
      </w:pPr>
    </w:p>
    <w:p>
      <w:pPr>
        <w:pStyle w:val="BodyText"/>
        <w:rPr>
          <w:rFonts w:ascii="Trebuchet MS"/>
          <w:i/>
        </w:rPr>
      </w:pPr>
    </w:p>
    <w:p>
      <w:pPr>
        <w:pStyle w:val="BodyText"/>
        <w:rPr>
          <w:rFonts w:ascii="Trebuchet MS"/>
          <w:i/>
        </w:rPr>
      </w:pPr>
    </w:p>
    <w:p>
      <w:pPr>
        <w:pStyle w:val="BodyText"/>
        <w:rPr>
          <w:rFonts w:ascii="Trebuchet MS"/>
          <w:i/>
        </w:rPr>
      </w:pPr>
    </w:p>
    <w:p>
      <w:pPr>
        <w:pStyle w:val="BodyText"/>
        <w:rPr>
          <w:rFonts w:ascii="Trebuchet MS"/>
          <w:i/>
        </w:rPr>
      </w:pPr>
    </w:p>
    <w:p>
      <w:pPr>
        <w:pStyle w:val="BodyText"/>
        <w:rPr>
          <w:rFonts w:ascii="Trebuchet MS"/>
          <w:i/>
        </w:rPr>
      </w:pPr>
    </w:p>
    <w:p>
      <w:pPr>
        <w:pStyle w:val="BodyText"/>
        <w:rPr>
          <w:rFonts w:ascii="Trebuchet MS"/>
          <w:i/>
        </w:rPr>
      </w:pPr>
    </w:p>
    <w:p>
      <w:pPr>
        <w:pStyle w:val="BodyText"/>
        <w:rPr>
          <w:rFonts w:ascii="Trebuchet MS"/>
          <w:i/>
        </w:rPr>
      </w:pPr>
    </w:p>
    <w:p>
      <w:pPr>
        <w:pStyle w:val="BodyText"/>
        <w:spacing w:before="8"/>
        <w:rPr>
          <w:rFonts w:ascii="Trebuchet MS"/>
          <w:i/>
          <w:sz w:val="24"/>
        </w:rPr>
      </w:pPr>
    </w:p>
    <w:p>
      <w:pPr>
        <w:spacing w:before="74"/>
        <w:ind w:left="120" w:right="0" w:firstLine="0"/>
        <w:jc w:val="both"/>
        <w:rPr>
          <w:i/>
          <w:sz w:val="18"/>
        </w:rPr>
      </w:pPr>
      <w:r>
        <w:rPr>
          <w:i/>
          <w:color w:val="231F20"/>
          <w:w w:val="105"/>
          <w:sz w:val="18"/>
        </w:rPr>
        <w:t>Alfonso  Mejía Modesto</w:t>
      </w:r>
    </w:p>
    <w:p>
      <w:pPr>
        <w:spacing w:line="300" w:lineRule="auto" w:before="53"/>
        <w:ind w:left="119" w:right="115" w:firstLine="0"/>
        <w:jc w:val="both"/>
        <w:rPr>
          <w:sz w:val="18"/>
        </w:rPr>
      </w:pPr>
      <w:r>
        <w:rPr>
          <w:color w:val="231F20"/>
          <w:w w:val="110"/>
          <w:sz w:val="18"/>
        </w:rPr>
        <w:t>Maestro en Demografía por El Colegio de México; doctor en Ciencias Políticas y Sociales por la Universidad Autónoma de México (</w:t>
      </w:r>
      <w:r>
        <w:rPr>
          <w:rFonts w:ascii="Times New Roman" w:hAnsi="Times New Roman"/>
          <w:color w:val="231F20"/>
          <w:w w:val="110"/>
          <w:sz w:val="14"/>
        </w:rPr>
        <w:t>UNAM</w:t>
      </w:r>
      <w:r>
        <w:rPr>
          <w:rFonts w:ascii="Times New Roman" w:hAnsi="Times New Roman"/>
          <w:color w:val="231F20"/>
          <w:w w:val="110"/>
          <w:sz w:val="18"/>
        </w:rPr>
        <w:t>)</w:t>
      </w:r>
      <w:r>
        <w:rPr>
          <w:color w:val="231F20"/>
          <w:w w:val="110"/>
          <w:sz w:val="18"/>
        </w:rPr>
        <w:t>; miembro del Sistema Nacional de Investigadores del Consejo Nacional de Ciencia y Tecnología</w:t>
      </w:r>
      <w:r>
        <w:rPr>
          <w:color w:val="231F20"/>
          <w:spacing w:val="-21"/>
          <w:w w:val="110"/>
          <w:sz w:val="18"/>
        </w:rPr>
        <w:t> </w:t>
      </w:r>
      <w:r>
        <w:rPr>
          <w:color w:val="231F20"/>
          <w:w w:val="110"/>
          <w:sz w:val="18"/>
        </w:rPr>
        <w:t>(Conacyt) Nivel I. Desde el año 2000 es profesor tiempo completo de la Universidad Autó- noma del Estado de México (</w:t>
      </w:r>
      <w:r>
        <w:rPr>
          <w:rFonts w:ascii="Times New Roman" w:hAnsi="Times New Roman"/>
          <w:color w:val="231F20"/>
          <w:w w:val="110"/>
          <w:sz w:val="14"/>
        </w:rPr>
        <w:t>UAEM</w:t>
      </w:r>
      <w:r>
        <w:rPr>
          <w:color w:val="231F20"/>
          <w:w w:val="110"/>
          <w:sz w:val="18"/>
        </w:rPr>
        <w:t>). Adscrito al Centro de Investigación y Estudios </w:t>
      </w:r>
      <w:r>
        <w:rPr>
          <w:color w:val="231F20"/>
          <w:spacing w:val="-3"/>
          <w:w w:val="110"/>
          <w:sz w:val="18"/>
        </w:rPr>
        <w:t>Avanzados</w:t>
      </w:r>
      <w:r>
        <w:rPr>
          <w:color w:val="231F20"/>
          <w:spacing w:val="-13"/>
          <w:w w:val="110"/>
          <w:sz w:val="18"/>
        </w:rPr>
        <w:t> </w:t>
      </w:r>
      <w:r>
        <w:rPr>
          <w:color w:val="231F20"/>
          <w:w w:val="110"/>
          <w:sz w:val="18"/>
        </w:rPr>
        <w:t>de</w:t>
      </w:r>
      <w:r>
        <w:rPr>
          <w:color w:val="231F20"/>
          <w:spacing w:val="-13"/>
          <w:w w:val="110"/>
          <w:sz w:val="18"/>
        </w:rPr>
        <w:t> </w:t>
      </w:r>
      <w:r>
        <w:rPr>
          <w:color w:val="231F20"/>
          <w:w w:val="110"/>
          <w:sz w:val="18"/>
        </w:rPr>
        <w:t>la</w:t>
      </w:r>
      <w:r>
        <w:rPr>
          <w:color w:val="231F20"/>
          <w:spacing w:val="-13"/>
          <w:w w:val="110"/>
          <w:sz w:val="18"/>
        </w:rPr>
        <w:t> </w:t>
      </w:r>
      <w:r>
        <w:rPr>
          <w:color w:val="231F20"/>
          <w:spacing w:val="-3"/>
          <w:w w:val="110"/>
          <w:sz w:val="18"/>
        </w:rPr>
        <w:t>Población</w:t>
      </w:r>
      <w:r>
        <w:rPr>
          <w:color w:val="231F20"/>
          <w:spacing w:val="-13"/>
          <w:w w:val="110"/>
          <w:sz w:val="18"/>
        </w:rPr>
        <w:t> </w:t>
      </w:r>
      <w:r>
        <w:rPr>
          <w:color w:val="231F20"/>
          <w:w w:val="110"/>
          <w:sz w:val="18"/>
        </w:rPr>
        <w:t>(</w:t>
      </w:r>
      <w:r>
        <w:rPr>
          <w:rFonts w:ascii="Times New Roman" w:hAnsi="Times New Roman"/>
          <w:color w:val="231F20"/>
          <w:w w:val="110"/>
          <w:sz w:val="14"/>
        </w:rPr>
        <w:t>CIEAP</w:t>
      </w:r>
      <w:r>
        <w:rPr>
          <w:color w:val="231F20"/>
          <w:w w:val="110"/>
          <w:sz w:val="18"/>
        </w:rPr>
        <w:t>).</w:t>
      </w:r>
      <w:r>
        <w:rPr>
          <w:color w:val="231F20"/>
          <w:spacing w:val="-13"/>
          <w:w w:val="110"/>
          <w:sz w:val="18"/>
        </w:rPr>
        <w:t> </w:t>
      </w:r>
      <w:r>
        <w:rPr>
          <w:color w:val="231F20"/>
          <w:w w:val="110"/>
          <w:sz w:val="18"/>
        </w:rPr>
        <w:t>Libro</w:t>
      </w:r>
      <w:r>
        <w:rPr>
          <w:color w:val="231F20"/>
          <w:spacing w:val="-13"/>
          <w:w w:val="110"/>
          <w:sz w:val="18"/>
        </w:rPr>
        <w:t> </w:t>
      </w:r>
      <w:r>
        <w:rPr>
          <w:color w:val="231F20"/>
          <w:w w:val="110"/>
          <w:sz w:val="18"/>
        </w:rPr>
        <w:t>publicado</w:t>
      </w:r>
      <w:r>
        <w:rPr>
          <w:color w:val="231F20"/>
          <w:spacing w:val="-13"/>
          <w:w w:val="110"/>
          <w:sz w:val="18"/>
        </w:rPr>
        <w:t> </w:t>
      </w:r>
      <w:r>
        <w:rPr>
          <w:color w:val="231F20"/>
          <w:w w:val="110"/>
          <w:sz w:val="18"/>
        </w:rPr>
        <w:t>más</w:t>
      </w:r>
      <w:r>
        <w:rPr>
          <w:color w:val="231F20"/>
          <w:spacing w:val="-13"/>
          <w:w w:val="110"/>
          <w:sz w:val="18"/>
        </w:rPr>
        <w:t> </w:t>
      </w:r>
      <w:r>
        <w:rPr>
          <w:color w:val="231F20"/>
          <w:w w:val="110"/>
          <w:sz w:val="18"/>
        </w:rPr>
        <w:t>reciente:</w:t>
      </w:r>
      <w:r>
        <w:rPr>
          <w:color w:val="231F20"/>
          <w:spacing w:val="-13"/>
          <w:w w:val="110"/>
          <w:sz w:val="18"/>
        </w:rPr>
        <w:t> </w:t>
      </w:r>
      <w:r>
        <w:rPr>
          <w:i/>
          <w:color w:val="231F20"/>
          <w:w w:val="110"/>
          <w:sz w:val="18"/>
        </w:rPr>
        <w:t>200</w:t>
      </w:r>
      <w:r>
        <w:rPr>
          <w:i/>
          <w:color w:val="231F20"/>
          <w:spacing w:val="-16"/>
          <w:w w:val="110"/>
          <w:sz w:val="18"/>
        </w:rPr>
        <w:t> </w:t>
      </w:r>
      <w:r>
        <w:rPr>
          <w:i/>
          <w:color w:val="231F20"/>
          <w:w w:val="110"/>
          <w:sz w:val="18"/>
        </w:rPr>
        <w:t>años</w:t>
      </w:r>
      <w:r>
        <w:rPr>
          <w:i/>
          <w:color w:val="231F20"/>
          <w:spacing w:val="-16"/>
          <w:w w:val="110"/>
          <w:sz w:val="18"/>
        </w:rPr>
        <w:t> </w:t>
      </w:r>
      <w:r>
        <w:rPr>
          <w:i/>
          <w:color w:val="231F20"/>
          <w:w w:val="110"/>
          <w:sz w:val="18"/>
        </w:rPr>
        <w:t>de</w:t>
      </w:r>
      <w:r>
        <w:rPr>
          <w:i/>
          <w:color w:val="231F20"/>
          <w:spacing w:val="-16"/>
          <w:w w:val="110"/>
          <w:sz w:val="18"/>
        </w:rPr>
        <w:t> </w:t>
      </w:r>
      <w:r>
        <w:rPr>
          <w:i/>
          <w:color w:val="231F20"/>
          <w:w w:val="110"/>
          <w:sz w:val="18"/>
        </w:rPr>
        <w:t>política </w:t>
      </w:r>
      <w:r>
        <w:rPr>
          <w:i/>
          <w:color w:val="231F20"/>
          <w:w w:val="110"/>
          <w:sz w:val="18"/>
        </w:rPr>
        <w:t>de</w:t>
      </w:r>
      <w:r>
        <w:rPr>
          <w:i/>
          <w:color w:val="231F20"/>
          <w:spacing w:val="-16"/>
          <w:w w:val="110"/>
          <w:sz w:val="18"/>
        </w:rPr>
        <w:t> </w:t>
      </w:r>
      <w:r>
        <w:rPr>
          <w:i/>
          <w:color w:val="231F20"/>
          <w:w w:val="110"/>
          <w:sz w:val="18"/>
        </w:rPr>
        <w:t>población</w:t>
      </w:r>
      <w:r>
        <w:rPr>
          <w:color w:val="231F20"/>
          <w:w w:val="110"/>
          <w:sz w:val="18"/>
        </w:rPr>
        <w:t>,</w:t>
      </w:r>
      <w:r>
        <w:rPr>
          <w:color w:val="231F20"/>
          <w:spacing w:val="-13"/>
          <w:w w:val="110"/>
          <w:sz w:val="18"/>
        </w:rPr>
        <w:t> </w:t>
      </w:r>
      <w:r>
        <w:rPr>
          <w:color w:val="231F20"/>
          <w:w w:val="110"/>
          <w:sz w:val="18"/>
        </w:rPr>
        <w:t>Biblioteca</w:t>
      </w:r>
      <w:r>
        <w:rPr>
          <w:color w:val="231F20"/>
          <w:spacing w:val="-13"/>
          <w:w w:val="110"/>
          <w:sz w:val="18"/>
        </w:rPr>
        <w:t> </w:t>
      </w:r>
      <w:r>
        <w:rPr>
          <w:color w:val="231F20"/>
          <w:spacing w:val="-3"/>
          <w:w w:val="110"/>
          <w:sz w:val="18"/>
        </w:rPr>
        <w:t>Mexiquense</w:t>
      </w:r>
      <w:r>
        <w:rPr>
          <w:color w:val="231F20"/>
          <w:spacing w:val="-13"/>
          <w:w w:val="110"/>
          <w:sz w:val="18"/>
        </w:rPr>
        <w:t> </w:t>
      </w:r>
      <w:r>
        <w:rPr>
          <w:color w:val="231F20"/>
          <w:w w:val="110"/>
          <w:sz w:val="18"/>
        </w:rPr>
        <w:t>del</w:t>
      </w:r>
      <w:r>
        <w:rPr>
          <w:color w:val="231F20"/>
          <w:spacing w:val="-13"/>
          <w:w w:val="110"/>
          <w:sz w:val="18"/>
        </w:rPr>
        <w:t> </w:t>
      </w:r>
      <w:r>
        <w:rPr>
          <w:color w:val="231F20"/>
          <w:w w:val="110"/>
          <w:sz w:val="18"/>
        </w:rPr>
        <w:t>Bicentenario,</w:t>
      </w:r>
      <w:r>
        <w:rPr>
          <w:color w:val="231F20"/>
          <w:spacing w:val="-13"/>
          <w:w w:val="110"/>
          <w:sz w:val="18"/>
        </w:rPr>
        <w:t> </w:t>
      </w:r>
      <w:r>
        <w:rPr>
          <w:color w:val="231F20"/>
          <w:w w:val="110"/>
          <w:sz w:val="18"/>
        </w:rPr>
        <w:t>Colección</w:t>
      </w:r>
      <w:r>
        <w:rPr>
          <w:color w:val="231F20"/>
          <w:spacing w:val="-13"/>
          <w:w w:val="110"/>
          <w:sz w:val="18"/>
        </w:rPr>
        <w:t> </w:t>
      </w:r>
      <w:r>
        <w:rPr>
          <w:color w:val="231F20"/>
          <w:spacing w:val="-5"/>
          <w:w w:val="110"/>
          <w:sz w:val="18"/>
        </w:rPr>
        <w:t>Mayor,</w:t>
      </w:r>
      <w:r>
        <w:rPr>
          <w:color w:val="231F20"/>
          <w:spacing w:val="-13"/>
          <w:w w:val="110"/>
          <w:sz w:val="18"/>
        </w:rPr>
        <w:t> </w:t>
      </w:r>
      <w:r>
        <w:rPr>
          <w:color w:val="231F20"/>
          <w:w w:val="110"/>
          <w:sz w:val="18"/>
        </w:rPr>
        <w:t>Gobierno</w:t>
      </w:r>
      <w:r>
        <w:rPr>
          <w:color w:val="231F20"/>
          <w:spacing w:val="-13"/>
          <w:w w:val="110"/>
          <w:sz w:val="18"/>
        </w:rPr>
        <w:t> </w:t>
      </w:r>
      <w:r>
        <w:rPr>
          <w:color w:val="231F20"/>
          <w:w w:val="110"/>
          <w:sz w:val="18"/>
        </w:rPr>
        <w:t>del Estado</w:t>
      </w:r>
      <w:r>
        <w:rPr>
          <w:color w:val="231F20"/>
          <w:spacing w:val="-12"/>
          <w:w w:val="110"/>
          <w:sz w:val="18"/>
        </w:rPr>
        <w:t> </w:t>
      </w:r>
      <w:r>
        <w:rPr>
          <w:color w:val="231F20"/>
          <w:w w:val="110"/>
          <w:sz w:val="18"/>
        </w:rPr>
        <w:t>de</w:t>
      </w:r>
      <w:r>
        <w:rPr>
          <w:color w:val="231F20"/>
          <w:spacing w:val="-12"/>
          <w:w w:val="110"/>
          <w:sz w:val="18"/>
        </w:rPr>
        <w:t> </w:t>
      </w:r>
      <w:r>
        <w:rPr>
          <w:color w:val="231F20"/>
          <w:w w:val="110"/>
          <w:sz w:val="18"/>
        </w:rPr>
        <w:t>México,</w:t>
      </w:r>
      <w:r>
        <w:rPr>
          <w:color w:val="231F20"/>
          <w:spacing w:val="-12"/>
          <w:w w:val="110"/>
          <w:sz w:val="18"/>
        </w:rPr>
        <w:t> </w:t>
      </w:r>
      <w:r>
        <w:rPr>
          <w:color w:val="231F20"/>
          <w:w w:val="110"/>
          <w:sz w:val="18"/>
        </w:rPr>
        <w:t>2011,</w:t>
      </w:r>
      <w:r>
        <w:rPr>
          <w:color w:val="231F20"/>
          <w:spacing w:val="-12"/>
          <w:w w:val="110"/>
          <w:sz w:val="18"/>
        </w:rPr>
        <w:t> </w:t>
      </w:r>
      <w:r>
        <w:rPr>
          <w:rFonts w:ascii="Times New Roman" w:hAnsi="Times New Roman"/>
          <w:color w:val="231F20"/>
          <w:w w:val="110"/>
          <w:sz w:val="14"/>
        </w:rPr>
        <w:t>ISBN</w:t>
      </w:r>
      <w:r>
        <w:rPr>
          <w:rFonts w:ascii="Times New Roman" w:hAnsi="Times New Roman"/>
          <w:color w:val="231F20"/>
          <w:spacing w:val="-7"/>
          <w:w w:val="110"/>
          <w:sz w:val="14"/>
        </w:rPr>
        <w:t> </w:t>
      </w:r>
      <w:r>
        <w:rPr>
          <w:color w:val="231F20"/>
          <w:w w:val="110"/>
          <w:sz w:val="18"/>
        </w:rPr>
        <w:t>978-607-495-084-7.</w:t>
      </w:r>
      <w:r>
        <w:rPr>
          <w:color w:val="231F20"/>
          <w:spacing w:val="-12"/>
          <w:w w:val="110"/>
          <w:sz w:val="18"/>
        </w:rPr>
        <w:t> </w:t>
      </w:r>
      <w:r>
        <w:rPr>
          <w:color w:val="231F20"/>
          <w:w w:val="110"/>
          <w:sz w:val="18"/>
        </w:rPr>
        <w:t>Ha</w:t>
      </w:r>
      <w:r>
        <w:rPr>
          <w:color w:val="231F20"/>
          <w:spacing w:val="-12"/>
          <w:w w:val="110"/>
          <w:sz w:val="18"/>
        </w:rPr>
        <w:t> </w:t>
      </w:r>
      <w:r>
        <w:rPr>
          <w:color w:val="231F20"/>
          <w:w w:val="110"/>
          <w:sz w:val="18"/>
        </w:rPr>
        <w:t>sido</w:t>
      </w:r>
      <w:r>
        <w:rPr>
          <w:color w:val="231F20"/>
          <w:spacing w:val="-12"/>
          <w:w w:val="110"/>
          <w:sz w:val="18"/>
        </w:rPr>
        <w:t> </w:t>
      </w:r>
      <w:r>
        <w:rPr>
          <w:color w:val="231F20"/>
          <w:w w:val="110"/>
          <w:sz w:val="18"/>
        </w:rPr>
        <w:t>profesor</w:t>
      </w:r>
      <w:r>
        <w:rPr>
          <w:color w:val="231F20"/>
          <w:spacing w:val="-12"/>
          <w:w w:val="110"/>
          <w:sz w:val="18"/>
        </w:rPr>
        <w:t> </w:t>
      </w:r>
      <w:r>
        <w:rPr>
          <w:color w:val="231F20"/>
          <w:w w:val="110"/>
          <w:sz w:val="18"/>
        </w:rPr>
        <w:t>de</w:t>
      </w:r>
      <w:r>
        <w:rPr>
          <w:color w:val="231F20"/>
          <w:spacing w:val="-12"/>
          <w:w w:val="110"/>
          <w:sz w:val="18"/>
        </w:rPr>
        <w:t> </w:t>
      </w:r>
      <w:r>
        <w:rPr>
          <w:color w:val="231F20"/>
          <w:w w:val="110"/>
          <w:sz w:val="18"/>
        </w:rPr>
        <w:t>asignatura</w:t>
      </w:r>
      <w:r>
        <w:rPr>
          <w:color w:val="231F20"/>
          <w:spacing w:val="-12"/>
          <w:w w:val="110"/>
          <w:sz w:val="18"/>
        </w:rPr>
        <w:t> </w:t>
      </w:r>
      <w:r>
        <w:rPr>
          <w:color w:val="231F20"/>
          <w:w w:val="110"/>
          <w:sz w:val="18"/>
        </w:rPr>
        <w:t>en la</w:t>
      </w:r>
      <w:r>
        <w:rPr>
          <w:color w:val="231F20"/>
          <w:spacing w:val="-8"/>
          <w:w w:val="110"/>
          <w:sz w:val="18"/>
        </w:rPr>
        <w:t> </w:t>
      </w:r>
      <w:r>
        <w:rPr>
          <w:color w:val="231F20"/>
          <w:w w:val="110"/>
          <w:sz w:val="18"/>
        </w:rPr>
        <w:t>Escuela</w:t>
      </w:r>
      <w:r>
        <w:rPr>
          <w:color w:val="231F20"/>
          <w:spacing w:val="-8"/>
          <w:w w:val="110"/>
          <w:sz w:val="18"/>
        </w:rPr>
        <w:t> </w:t>
      </w:r>
      <w:r>
        <w:rPr>
          <w:color w:val="231F20"/>
          <w:w w:val="110"/>
          <w:sz w:val="18"/>
        </w:rPr>
        <w:t>Nacional</w:t>
      </w:r>
      <w:r>
        <w:rPr>
          <w:color w:val="231F20"/>
          <w:spacing w:val="-8"/>
          <w:w w:val="110"/>
          <w:sz w:val="18"/>
        </w:rPr>
        <w:t> </w:t>
      </w:r>
      <w:r>
        <w:rPr>
          <w:color w:val="231F20"/>
          <w:w w:val="110"/>
          <w:sz w:val="18"/>
        </w:rPr>
        <w:t>de</w:t>
      </w:r>
      <w:r>
        <w:rPr>
          <w:color w:val="231F20"/>
          <w:spacing w:val="-8"/>
          <w:w w:val="110"/>
          <w:sz w:val="18"/>
        </w:rPr>
        <w:t> </w:t>
      </w:r>
      <w:r>
        <w:rPr>
          <w:color w:val="231F20"/>
          <w:w w:val="110"/>
          <w:sz w:val="18"/>
        </w:rPr>
        <w:t>Antropología</w:t>
      </w:r>
      <w:r>
        <w:rPr>
          <w:color w:val="231F20"/>
          <w:spacing w:val="-8"/>
          <w:w w:val="110"/>
          <w:sz w:val="18"/>
        </w:rPr>
        <w:t> </w:t>
      </w:r>
      <w:r>
        <w:rPr>
          <w:color w:val="231F20"/>
          <w:w w:val="110"/>
          <w:sz w:val="18"/>
        </w:rPr>
        <w:t>e</w:t>
      </w:r>
      <w:r>
        <w:rPr>
          <w:color w:val="231F20"/>
          <w:spacing w:val="-8"/>
          <w:w w:val="110"/>
          <w:sz w:val="18"/>
        </w:rPr>
        <w:t> </w:t>
      </w:r>
      <w:r>
        <w:rPr>
          <w:color w:val="231F20"/>
          <w:w w:val="110"/>
          <w:sz w:val="18"/>
        </w:rPr>
        <w:t>Historia</w:t>
      </w:r>
      <w:r>
        <w:rPr>
          <w:color w:val="231F20"/>
          <w:spacing w:val="-8"/>
          <w:w w:val="110"/>
          <w:sz w:val="18"/>
        </w:rPr>
        <w:t> </w:t>
      </w:r>
      <w:r>
        <w:rPr>
          <w:color w:val="231F20"/>
          <w:w w:val="110"/>
          <w:sz w:val="18"/>
        </w:rPr>
        <w:t>(</w:t>
      </w:r>
      <w:r>
        <w:rPr>
          <w:rFonts w:ascii="Times New Roman" w:hAnsi="Times New Roman"/>
          <w:color w:val="231F20"/>
          <w:w w:val="110"/>
          <w:sz w:val="14"/>
        </w:rPr>
        <w:t>ENAH</w:t>
      </w:r>
      <w:r>
        <w:rPr>
          <w:rFonts w:ascii="Times New Roman" w:hAnsi="Times New Roman"/>
          <w:color w:val="231F20"/>
          <w:w w:val="110"/>
          <w:sz w:val="18"/>
        </w:rPr>
        <w:t>)</w:t>
      </w:r>
      <w:r>
        <w:rPr>
          <w:color w:val="231F20"/>
          <w:w w:val="110"/>
          <w:sz w:val="18"/>
        </w:rPr>
        <w:t>,</w:t>
      </w:r>
      <w:r>
        <w:rPr>
          <w:color w:val="231F20"/>
          <w:spacing w:val="-8"/>
          <w:w w:val="110"/>
          <w:sz w:val="18"/>
        </w:rPr>
        <w:t> </w:t>
      </w:r>
      <w:r>
        <w:rPr>
          <w:color w:val="231F20"/>
          <w:w w:val="110"/>
          <w:sz w:val="18"/>
        </w:rPr>
        <w:t>la</w:t>
      </w:r>
      <w:r>
        <w:rPr>
          <w:color w:val="231F20"/>
          <w:spacing w:val="-8"/>
          <w:w w:val="110"/>
          <w:sz w:val="18"/>
        </w:rPr>
        <w:t> </w:t>
      </w:r>
      <w:r>
        <w:rPr>
          <w:rFonts w:ascii="Times New Roman" w:hAnsi="Times New Roman"/>
          <w:color w:val="231F20"/>
          <w:w w:val="110"/>
          <w:sz w:val="14"/>
        </w:rPr>
        <w:t>UNAM</w:t>
      </w:r>
      <w:r>
        <w:rPr>
          <w:color w:val="231F20"/>
          <w:w w:val="110"/>
          <w:sz w:val="18"/>
        </w:rPr>
        <w:t>,</w:t>
      </w:r>
      <w:r>
        <w:rPr>
          <w:color w:val="231F20"/>
          <w:spacing w:val="-8"/>
          <w:w w:val="110"/>
          <w:sz w:val="18"/>
        </w:rPr>
        <w:t> </w:t>
      </w:r>
      <w:r>
        <w:rPr>
          <w:color w:val="231F20"/>
          <w:w w:val="110"/>
          <w:sz w:val="18"/>
        </w:rPr>
        <w:t>el</w:t>
      </w:r>
      <w:r>
        <w:rPr>
          <w:color w:val="231F20"/>
          <w:spacing w:val="-8"/>
          <w:w w:val="110"/>
          <w:sz w:val="18"/>
        </w:rPr>
        <w:t> </w:t>
      </w:r>
      <w:r>
        <w:rPr>
          <w:color w:val="231F20"/>
          <w:w w:val="110"/>
          <w:sz w:val="18"/>
        </w:rPr>
        <w:t>Instituto</w:t>
      </w:r>
      <w:r>
        <w:rPr>
          <w:color w:val="231F20"/>
          <w:spacing w:val="-8"/>
          <w:w w:val="110"/>
          <w:sz w:val="18"/>
        </w:rPr>
        <w:t> </w:t>
      </w:r>
      <w:r>
        <w:rPr>
          <w:color w:val="231F20"/>
          <w:w w:val="110"/>
          <w:sz w:val="18"/>
        </w:rPr>
        <w:t>Tecnoló- gico Autónomo de México (</w:t>
      </w:r>
      <w:r>
        <w:rPr>
          <w:rFonts w:ascii="Times New Roman" w:hAnsi="Times New Roman"/>
          <w:color w:val="231F20"/>
          <w:w w:val="110"/>
          <w:sz w:val="14"/>
        </w:rPr>
        <w:t>ITAM</w:t>
      </w:r>
      <w:r>
        <w:rPr>
          <w:color w:val="231F20"/>
          <w:w w:val="110"/>
          <w:sz w:val="18"/>
        </w:rPr>
        <w:t>) y la Universidad Autónoma del Estado de</w:t>
      </w:r>
      <w:r>
        <w:rPr>
          <w:color w:val="231F20"/>
          <w:spacing w:val="-12"/>
          <w:w w:val="110"/>
          <w:sz w:val="18"/>
        </w:rPr>
        <w:t> </w:t>
      </w:r>
      <w:r>
        <w:rPr>
          <w:color w:val="231F20"/>
          <w:w w:val="110"/>
          <w:sz w:val="18"/>
        </w:rPr>
        <w:t>Hidalgo (</w:t>
      </w:r>
      <w:r>
        <w:rPr>
          <w:rFonts w:ascii="Times New Roman" w:hAnsi="Times New Roman"/>
          <w:color w:val="231F20"/>
          <w:w w:val="110"/>
          <w:sz w:val="14"/>
        </w:rPr>
        <w:t>UAEH</w:t>
      </w:r>
      <w:r>
        <w:rPr>
          <w:color w:val="231F20"/>
          <w:w w:val="110"/>
          <w:sz w:val="18"/>
        </w:rPr>
        <w:t>) en diferentes periodos desde 1995 hasta la</w:t>
      </w:r>
      <w:r>
        <w:rPr>
          <w:color w:val="231F20"/>
          <w:spacing w:val="1"/>
          <w:w w:val="110"/>
          <w:sz w:val="18"/>
        </w:rPr>
        <w:t> </w:t>
      </w:r>
      <w:r>
        <w:rPr>
          <w:color w:val="231F20"/>
          <w:w w:val="110"/>
          <w:sz w:val="18"/>
        </w:rPr>
        <w:t>fecha.</w:t>
      </w:r>
    </w:p>
    <w:p>
      <w:pPr>
        <w:pStyle w:val="BodyText"/>
        <w:spacing w:before="6"/>
        <w:rPr>
          <w:sz w:val="22"/>
        </w:rPr>
      </w:pPr>
    </w:p>
    <w:p>
      <w:pPr>
        <w:spacing w:before="0"/>
        <w:ind w:left="120" w:right="0" w:firstLine="0"/>
        <w:jc w:val="both"/>
        <w:rPr>
          <w:i/>
          <w:sz w:val="18"/>
        </w:rPr>
      </w:pPr>
      <w:r>
        <w:rPr>
          <w:i/>
          <w:color w:val="231F20"/>
          <w:w w:val="105"/>
          <w:sz w:val="18"/>
        </w:rPr>
        <w:t>Andrea Bautista León</w:t>
      </w:r>
    </w:p>
    <w:p>
      <w:pPr>
        <w:spacing w:line="300" w:lineRule="auto" w:before="53"/>
        <w:ind w:left="119" w:right="117" w:firstLine="0"/>
        <w:jc w:val="both"/>
        <w:rPr>
          <w:sz w:val="18"/>
        </w:rPr>
      </w:pPr>
      <w:r>
        <w:rPr>
          <w:color w:val="231F20"/>
          <w:w w:val="110"/>
          <w:sz w:val="18"/>
        </w:rPr>
        <w:t>Licenciada en Ciencias Políticas y Administración Pública por la Facultad de Estu- dios Superiores Acatlán de la Universidad Nacional Autónoma de México (</w:t>
      </w:r>
      <w:r>
        <w:rPr>
          <w:rFonts w:ascii="Times New Roman" w:hAnsi="Times New Roman"/>
          <w:color w:val="231F20"/>
          <w:w w:val="110"/>
          <w:sz w:val="14"/>
        </w:rPr>
        <w:t>UNAM</w:t>
      </w:r>
      <w:r>
        <w:rPr>
          <w:color w:val="231F20"/>
          <w:w w:val="110"/>
          <w:sz w:val="18"/>
        </w:rPr>
        <w:t>) y maestra en Población por la Facultad Latinoamericana de Ciencias Sociales, Sede México. Es miembro aspirante desde 2012 de la Sociedad Mexicana de Demografía (Somede). Actualmente es estudiante del doctorado en Demografía Aplicada en la Universidad</w:t>
      </w:r>
      <w:r>
        <w:rPr>
          <w:color w:val="231F20"/>
          <w:spacing w:val="-16"/>
          <w:w w:val="110"/>
          <w:sz w:val="18"/>
        </w:rPr>
        <w:t> </w:t>
      </w:r>
      <w:r>
        <w:rPr>
          <w:color w:val="231F20"/>
          <w:w w:val="110"/>
          <w:sz w:val="18"/>
        </w:rPr>
        <w:t>de</w:t>
      </w:r>
      <w:r>
        <w:rPr>
          <w:color w:val="231F20"/>
          <w:spacing w:val="-16"/>
          <w:w w:val="110"/>
          <w:sz w:val="18"/>
        </w:rPr>
        <w:t> </w:t>
      </w:r>
      <w:r>
        <w:rPr>
          <w:color w:val="231F20"/>
          <w:spacing w:val="-5"/>
          <w:w w:val="110"/>
          <w:sz w:val="18"/>
        </w:rPr>
        <w:t>Texas</w:t>
      </w:r>
      <w:r>
        <w:rPr>
          <w:color w:val="231F20"/>
          <w:spacing w:val="-16"/>
          <w:w w:val="110"/>
          <w:sz w:val="18"/>
        </w:rPr>
        <w:t> </w:t>
      </w:r>
      <w:r>
        <w:rPr>
          <w:color w:val="231F20"/>
          <w:w w:val="110"/>
          <w:sz w:val="18"/>
        </w:rPr>
        <w:t>en</w:t>
      </w:r>
      <w:r>
        <w:rPr>
          <w:color w:val="231F20"/>
          <w:spacing w:val="-16"/>
          <w:w w:val="110"/>
          <w:sz w:val="18"/>
        </w:rPr>
        <w:t> </w:t>
      </w:r>
      <w:r>
        <w:rPr>
          <w:color w:val="231F20"/>
          <w:w w:val="110"/>
          <w:sz w:val="18"/>
        </w:rPr>
        <w:t>San</w:t>
      </w:r>
      <w:r>
        <w:rPr>
          <w:color w:val="231F20"/>
          <w:spacing w:val="-16"/>
          <w:w w:val="110"/>
          <w:sz w:val="18"/>
        </w:rPr>
        <w:t> </w:t>
      </w:r>
      <w:r>
        <w:rPr>
          <w:color w:val="231F20"/>
          <w:w w:val="110"/>
          <w:sz w:val="18"/>
        </w:rPr>
        <w:t>Antonio.</w:t>
      </w:r>
      <w:r>
        <w:rPr>
          <w:color w:val="231F20"/>
          <w:spacing w:val="-16"/>
          <w:w w:val="110"/>
          <w:sz w:val="18"/>
        </w:rPr>
        <w:t> </w:t>
      </w:r>
      <w:r>
        <w:rPr>
          <w:color w:val="231F20"/>
          <w:w w:val="110"/>
          <w:sz w:val="18"/>
        </w:rPr>
        <w:t>Profesionalmente</w:t>
      </w:r>
      <w:r>
        <w:rPr>
          <w:color w:val="231F20"/>
          <w:spacing w:val="-16"/>
          <w:w w:val="110"/>
          <w:sz w:val="18"/>
        </w:rPr>
        <w:t> </w:t>
      </w:r>
      <w:r>
        <w:rPr>
          <w:color w:val="231F20"/>
          <w:w w:val="110"/>
          <w:sz w:val="18"/>
        </w:rPr>
        <w:t>ha</w:t>
      </w:r>
      <w:r>
        <w:rPr>
          <w:color w:val="231F20"/>
          <w:spacing w:val="-16"/>
          <w:w w:val="110"/>
          <w:sz w:val="18"/>
        </w:rPr>
        <w:t> </w:t>
      </w:r>
      <w:r>
        <w:rPr>
          <w:color w:val="231F20"/>
          <w:w w:val="110"/>
          <w:sz w:val="18"/>
        </w:rPr>
        <w:t>trabajado</w:t>
      </w:r>
      <w:r>
        <w:rPr>
          <w:color w:val="231F20"/>
          <w:spacing w:val="-16"/>
          <w:w w:val="110"/>
          <w:sz w:val="18"/>
        </w:rPr>
        <w:t> </w:t>
      </w:r>
      <w:r>
        <w:rPr>
          <w:color w:val="231F20"/>
          <w:w w:val="110"/>
          <w:sz w:val="18"/>
        </w:rPr>
        <w:t>como</w:t>
      </w:r>
      <w:r>
        <w:rPr>
          <w:color w:val="231F20"/>
          <w:spacing w:val="-16"/>
          <w:w w:val="110"/>
          <w:sz w:val="18"/>
        </w:rPr>
        <w:t> </w:t>
      </w:r>
      <w:r>
        <w:rPr>
          <w:color w:val="231F20"/>
          <w:w w:val="110"/>
          <w:sz w:val="18"/>
        </w:rPr>
        <w:t>asistente de investigación en el Centro de Estudios Demográficos Urbanos y Ambientales de El Colegio de México y como asesora externa en el proyecto “Perfil de los hogares y</w:t>
      </w:r>
      <w:r>
        <w:rPr>
          <w:color w:val="231F20"/>
          <w:spacing w:val="-4"/>
          <w:w w:val="110"/>
          <w:sz w:val="18"/>
        </w:rPr>
        <w:t> </w:t>
      </w:r>
      <w:r>
        <w:rPr>
          <w:color w:val="231F20"/>
          <w:w w:val="110"/>
          <w:sz w:val="18"/>
        </w:rPr>
        <w:t>las</w:t>
      </w:r>
      <w:r>
        <w:rPr>
          <w:color w:val="231F20"/>
          <w:spacing w:val="-4"/>
          <w:w w:val="110"/>
          <w:sz w:val="18"/>
        </w:rPr>
        <w:t> </w:t>
      </w:r>
      <w:r>
        <w:rPr>
          <w:color w:val="231F20"/>
          <w:w w:val="110"/>
          <w:sz w:val="18"/>
        </w:rPr>
        <w:t>familias</w:t>
      </w:r>
      <w:r>
        <w:rPr>
          <w:color w:val="231F20"/>
          <w:spacing w:val="-4"/>
          <w:w w:val="110"/>
          <w:sz w:val="18"/>
        </w:rPr>
        <w:t> </w:t>
      </w:r>
      <w:r>
        <w:rPr>
          <w:color w:val="231F20"/>
          <w:w w:val="110"/>
          <w:sz w:val="18"/>
        </w:rPr>
        <w:t>en</w:t>
      </w:r>
      <w:r>
        <w:rPr>
          <w:color w:val="231F20"/>
          <w:spacing w:val="-4"/>
          <w:w w:val="110"/>
          <w:sz w:val="18"/>
        </w:rPr>
        <w:t> </w:t>
      </w:r>
      <w:r>
        <w:rPr>
          <w:color w:val="231F20"/>
          <w:w w:val="110"/>
          <w:sz w:val="18"/>
        </w:rPr>
        <w:t>el</w:t>
      </w:r>
      <w:r>
        <w:rPr>
          <w:color w:val="231F20"/>
          <w:spacing w:val="-4"/>
          <w:w w:val="110"/>
          <w:sz w:val="18"/>
        </w:rPr>
        <w:t> </w:t>
      </w:r>
      <w:r>
        <w:rPr>
          <w:color w:val="231F20"/>
          <w:w w:val="110"/>
          <w:sz w:val="18"/>
        </w:rPr>
        <w:t>Estado</w:t>
      </w:r>
      <w:r>
        <w:rPr>
          <w:color w:val="231F20"/>
          <w:spacing w:val="-4"/>
          <w:w w:val="110"/>
          <w:sz w:val="18"/>
        </w:rPr>
        <w:t> </w:t>
      </w:r>
      <w:r>
        <w:rPr>
          <w:color w:val="231F20"/>
          <w:w w:val="110"/>
          <w:sz w:val="18"/>
        </w:rPr>
        <w:t>de</w:t>
      </w:r>
      <w:r>
        <w:rPr>
          <w:color w:val="231F20"/>
          <w:spacing w:val="-4"/>
          <w:w w:val="110"/>
          <w:sz w:val="18"/>
        </w:rPr>
        <w:t> </w:t>
      </w:r>
      <w:r>
        <w:rPr>
          <w:color w:val="231F20"/>
          <w:w w:val="110"/>
          <w:sz w:val="18"/>
        </w:rPr>
        <w:t>México”</w:t>
      </w:r>
      <w:r>
        <w:rPr>
          <w:color w:val="231F20"/>
          <w:spacing w:val="-4"/>
          <w:w w:val="110"/>
          <w:sz w:val="18"/>
        </w:rPr>
        <w:t> </w:t>
      </w:r>
      <w:r>
        <w:rPr>
          <w:color w:val="231F20"/>
          <w:w w:val="110"/>
          <w:sz w:val="18"/>
        </w:rPr>
        <w:t>financiado</w:t>
      </w:r>
      <w:r>
        <w:rPr>
          <w:color w:val="231F20"/>
          <w:spacing w:val="-4"/>
          <w:w w:val="110"/>
          <w:sz w:val="18"/>
        </w:rPr>
        <w:t> </w:t>
      </w:r>
      <w:r>
        <w:rPr>
          <w:color w:val="231F20"/>
          <w:w w:val="110"/>
          <w:sz w:val="18"/>
        </w:rPr>
        <w:t>por</w:t>
      </w:r>
      <w:r>
        <w:rPr>
          <w:color w:val="231F20"/>
          <w:spacing w:val="-4"/>
          <w:w w:val="110"/>
          <w:sz w:val="18"/>
        </w:rPr>
        <w:t> </w:t>
      </w:r>
      <w:r>
        <w:rPr>
          <w:color w:val="231F20"/>
          <w:w w:val="110"/>
          <w:sz w:val="18"/>
        </w:rPr>
        <w:t>el</w:t>
      </w:r>
      <w:r>
        <w:rPr>
          <w:color w:val="231F20"/>
          <w:spacing w:val="-4"/>
          <w:w w:val="110"/>
          <w:sz w:val="18"/>
        </w:rPr>
        <w:t> </w:t>
      </w:r>
      <w:r>
        <w:rPr>
          <w:color w:val="231F20"/>
          <w:w w:val="110"/>
          <w:sz w:val="18"/>
        </w:rPr>
        <w:t>Consejo</w:t>
      </w:r>
      <w:r>
        <w:rPr>
          <w:color w:val="231F20"/>
          <w:spacing w:val="-4"/>
          <w:w w:val="110"/>
          <w:sz w:val="18"/>
        </w:rPr>
        <w:t> </w:t>
      </w:r>
      <w:r>
        <w:rPr>
          <w:color w:val="231F20"/>
          <w:w w:val="110"/>
          <w:sz w:val="18"/>
        </w:rPr>
        <w:t>Nacional</w:t>
      </w:r>
      <w:r>
        <w:rPr>
          <w:color w:val="231F20"/>
          <w:spacing w:val="-4"/>
          <w:w w:val="110"/>
          <w:sz w:val="18"/>
        </w:rPr>
        <w:t> </w:t>
      </w:r>
      <w:r>
        <w:rPr>
          <w:color w:val="231F20"/>
          <w:w w:val="110"/>
          <w:sz w:val="18"/>
        </w:rPr>
        <w:t>de</w:t>
      </w:r>
      <w:r>
        <w:rPr>
          <w:color w:val="231F20"/>
          <w:spacing w:val="-4"/>
          <w:w w:val="110"/>
          <w:sz w:val="18"/>
        </w:rPr>
        <w:t> </w:t>
      </w:r>
      <w:r>
        <w:rPr>
          <w:color w:val="231F20"/>
          <w:w w:val="110"/>
          <w:sz w:val="18"/>
        </w:rPr>
        <w:t>Ciencia y Tecnología en el Centro de Investigaciones Avanzadas de la Población de la Uni- versidad</w:t>
      </w:r>
      <w:r>
        <w:rPr>
          <w:color w:val="231F20"/>
          <w:spacing w:val="-7"/>
          <w:w w:val="110"/>
          <w:sz w:val="18"/>
        </w:rPr>
        <w:t> </w:t>
      </w:r>
      <w:r>
        <w:rPr>
          <w:color w:val="231F20"/>
          <w:w w:val="110"/>
          <w:sz w:val="18"/>
        </w:rPr>
        <w:t>Autónoma</w:t>
      </w:r>
      <w:r>
        <w:rPr>
          <w:color w:val="231F20"/>
          <w:spacing w:val="-7"/>
          <w:w w:val="110"/>
          <w:sz w:val="18"/>
        </w:rPr>
        <w:t> </w:t>
      </w:r>
      <w:r>
        <w:rPr>
          <w:color w:val="231F20"/>
          <w:w w:val="110"/>
          <w:sz w:val="18"/>
        </w:rPr>
        <w:t>del</w:t>
      </w:r>
      <w:r>
        <w:rPr>
          <w:color w:val="231F20"/>
          <w:spacing w:val="-7"/>
          <w:w w:val="110"/>
          <w:sz w:val="18"/>
        </w:rPr>
        <w:t> </w:t>
      </w:r>
      <w:r>
        <w:rPr>
          <w:color w:val="231F20"/>
          <w:w w:val="110"/>
          <w:sz w:val="18"/>
        </w:rPr>
        <w:t>Estado</w:t>
      </w:r>
      <w:r>
        <w:rPr>
          <w:color w:val="231F20"/>
          <w:spacing w:val="-7"/>
          <w:w w:val="110"/>
          <w:sz w:val="18"/>
        </w:rPr>
        <w:t> </w:t>
      </w:r>
      <w:r>
        <w:rPr>
          <w:color w:val="231F20"/>
          <w:w w:val="110"/>
          <w:sz w:val="18"/>
        </w:rPr>
        <w:t>de</w:t>
      </w:r>
      <w:r>
        <w:rPr>
          <w:color w:val="231F20"/>
          <w:spacing w:val="-7"/>
          <w:w w:val="110"/>
          <w:sz w:val="18"/>
        </w:rPr>
        <w:t> </w:t>
      </w:r>
      <w:r>
        <w:rPr>
          <w:color w:val="231F20"/>
          <w:w w:val="110"/>
          <w:sz w:val="18"/>
        </w:rPr>
        <w:t>México;</w:t>
      </w:r>
      <w:r>
        <w:rPr>
          <w:color w:val="231F20"/>
          <w:spacing w:val="-7"/>
          <w:w w:val="110"/>
          <w:sz w:val="18"/>
        </w:rPr>
        <w:t> </w:t>
      </w:r>
      <w:r>
        <w:rPr>
          <w:color w:val="231F20"/>
          <w:w w:val="110"/>
          <w:sz w:val="18"/>
        </w:rPr>
        <w:t>además</w:t>
      </w:r>
      <w:r>
        <w:rPr>
          <w:color w:val="231F20"/>
          <w:spacing w:val="-7"/>
          <w:w w:val="110"/>
          <w:sz w:val="18"/>
        </w:rPr>
        <w:t> </w:t>
      </w:r>
      <w:r>
        <w:rPr>
          <w:color w:val="231F20"/>
          <w:w w:val="110"/>
          <w:sz w:val="18"/>
        </w:rPr>
        <w:t>de</w:t>
      </w:r>
      <w:r>
        <w:rPr>
          <w:color w:val="231F20"/>
          <w:spacing w:val="-7"/>
          <w:w w:val="110"/>
          <w:sz w:val="18"/>
        </w:rPr>
        <w:t> </w:t>
      </w:r>
      <w:r>
        <w:rPr>
          <w:color w:val="231F20"/>
          <w:w w:val="110"/>
          <w:sz w:val="18"/>
        </w:rPr>
        <w:t>ser</w:t>
      </w:r>
      <w:r>
        <w:rPr>
          <w:color w:val="231F20"/>
          <w:spacing w:val="-7"/>
          <w:w w:val="110"/>
          <w:sz w:val="18"/>
        </w:rPr>
        <w:t> </w:t>
      </w:r>
      <w:r>
        <w:rPr>
          <w:color w:val="231F20"/>
          <w:w w:val="110"/>
          <w:sz w:val="18"/>
        </w:rPr>
        <w:t>profesora</w:t>
      </w:r>
      <w:r>
        <w:rPr>
          <w:color w:val="231F20"/>
          <w:spacing w:val="-10"/>
          <w:w w:val="110"/>
          <w:sz w:val="18"/>
        </w:rPr>
        <w:t> </w:t>
      </w:r>
      <w:r>
        <w:rPr>
          <w:color w:val="231F20"/>
          <w:w w:val="110"/>
          <w:sz w:val="18"/>
        </w:rPr>
        <w:t>en</w:t>
      </w:r>
      <w:r>
        <w:rPr>
          <w:color w:val="231F20"/>
          <w:spacing w:val="-10"/>
          <w:w w:val="110"/>
          <w:sz w:val="18"/>
        </w:rPr>
        <w:t> </w:t>
      </w:r>
      <w:r>
        <w:rPr>
          <w:color w:val="231F20"/>
          <w:w w:val="110"/>
          <w:sz w:val="18"/>
        </w:rPr>
        <w:t>instituciones </w:t>
      </w:r>
      <w:r>
        <w:rPr>
          <w:color w:val="231F20"/>
          <w:spacing w:val="-4"/>
          <w:w w:val="110"/>
          <w:sz w:val="18"/>
        </w:rPr>
        <w:t>privadas </w:t>
      </w:r>
      <w:r>
        <w:rPr>
          <w:color w:val="231F20"/>
          <w:w w:val="110"/>
          <w:sz w:val="18"/>
        </w:rPr>
        <w:t>de </w:t>
      </w:r>
      <w:r>
        <w:rPr>
          <w:color w:val="231F20"/>
          <w:spacing w:val="-4"/>
          <w:w w:val="110"/>
          <w:sz w:val="18"/>
        </w:rPr>
        <w:t>educación </w:t>
      </w:r>
      <w:r>
        <w:rPr>
          <w:color w:val="231F20"/>
          <w:spacing w:val="-6"/>
          <w:w w:val="110"/>
          <w:sz w:val="18"/>
        </w:rPr>
        <w:t>superior. </w:t>
      </w:r>
      <w:r>
        <w:rPr>
          <w:color w:val="231F20"/>
          <w:w w:val="110"/>
          <w:sz w:val="18"/>
        </w:rPr>
        <w:t>Su </w:t>
      </w:r>
      <w:r>
        <w:rPr>
          <w:color w:val="231F20"/>
          <w:spacing w:val="-4"/>
          <w:w w:val="110"/>
          <w:sz w:val="18"/>
        </w:rPr>
        <w:t>investigación </w:t>
      </w:r>
      <w:r>
        <w:rPr>
          <w:color w:val="231F20"/>
          <w:w w:val="110"/>
          <w:sz w:val="18"/>
        </w:rPr>
        <w:t>se centra sobre todo en la dinámica de</w:t>
      </w:r>
      <w:r>
        <w:rPr>
          <w:color w:val="231F20"/>
          <w:spacing w:val="6"/>
          <w:w w:val="110"/>
          <w:sz w:val="18"/>
        </w:rPr>
        <w:t> </w:t>
      </w:r>
      <w:r>
        <w:rPr>
          <w:color w:val="231F20"/>
          <w:w w:val="110"/>
          <w:sz w:val="18"/>
        </w:rPr>
        <w:t>la</w:t>
      </w:r>
      <w:r>
        <w:rPr>
          <w:color w:val="231F20"/>
          <w:spacing w:val="6"/>
          <w:w w:val="110"/>
          <w:sz w:val="18"/>
        </w:rPr>
        <w:t> </w:t>
      </w:r>
      <w:r>
        <w:rPr>
          <w:color w:val="231F20"/>
          <w:spacing w:val="-4"/>
          <w:w w:val="110"/>
          <w:sz w:val="18"/>
        </w:rPr>
        <w:t>población</w:t>
      </w:r>
      <w:r>
        <w:rPr>
          <w:color w:val="231F20"/>
          <w:spacing w:val="6"/>
          <w:w w:val="110"/>
          <w:sz w:val="18"/>
        </w:rPr>
        <w:t> </w:t>
      </w:r>
      <w:r>
        <w:rPr>
          <w:color w:val="231F20"/>
          <w:spacing w:val="-4"/>
          <w:w w:val="110"/>
          <w:sz w:val="18"/>
        </w:rPr>
        <w:t>joven</w:t>
      </w:r>
      <w:r>
        <w:rPr>
          <w:color w:val="231F20"/>
          <w:spacing w:val="6"/>
          <w:w w:val="110"/>
          <w:sz w:val="18"/>
        </w:rPr>
        <w:t> </w:t>
      </w:r>
      <w:r>
        <w:rPr>
          <w:color w:val="231F20"/>
          <w:w w:val="110"/>
          <w:sz w:val="18"/>
        </w:rPr>
        <w:t>y</w:t>
      </w:r>
      <w:r>
        <w:rPr>
          <w:color w:val="231F20"/>
          <w:spacing w:val="6"/>
          <w:w w:val="110"/>
          <w:sz w:val="18"/>
        </w:rPr>
        <w:t> </w:t>
      </w:r>
      <w:r>
        <w:rPr>
          <w:color w:val="231F20"/>
          <w:w w:val="110"/>
          <w:sz w:val="18"/>
        </w:rPr>
        <w:t>su</w:t>
      </w:r>
      <w:r>
        <w:rPr>
          <w:color w:val="231F20"/>
          <w:spacing w:val="6"/>
          <w:w w:val="110"/>
          <w:sz w:val="18"/>
        </w:rPr>
        <w:t> </w:t>
      </w:r>
      <w:r>
        <w:rPr>
          <w:color w:val="231F20"/>
          <w:spacing w:val="-4"/>
          <w:w w:val="110"/>
          <w:sz w:val="18"/>
        </w:rPr>
        <w:t>acceso</w:t>
      </w:r>
      <w:r>
        <w:rPr>
          <w:color w:val="231F20"/>
          <w:spacing w:val="6"/>
          <w:w w:val="110"/>
          <w:sz w:val="18"/>
        </w:rPr>
        <w:t> </w:t>
      </w:r>
      <w:r>
        <w:rPr>
          <w:color w:val="231F20"/>
          <w:w w:val="110"/>
          <w:sz w:val="18"/>
        </w:rPr>
        <w:t>a</w:t>
      </w:r>
      <w:r>
        <w:rPr>
          <w:color w:val="231F20"/>
          <w:spacing w:val="6"/>
          <w:w w:val="110"/>
          <w:sz w:val="18"/>
        </w:rPr>
        <w:t> </w:t>
      </w:r>
      <w:r>
        <w:rPr>
          <w:color w:val="231F20"/>
          <w:w w:val="110"/>
          <w:sz w:val="18"/>
        </w:rPr>
        <w:t>la</w:t>
      </w:r>
      <w:r>
        <w:rPr>
          <w:color w:val="231F20"/>
          <w:spacing w:val="6"/>
          <w:w w:val="110"/>
          <w:sz w:val="18"/>
        </w:rPr>
        <w:t> </w:t>
      </w:r>
      <w:r>
        <w:rPr>
          <w:color w:val="231F20"/>
          <w:spacing w:val="-4"/>
          <w:w w:val="110"/>
          <w:sz w:val="18"/>
        </w:rPr>
        <w:t>educación</w:t>
      </w:r>
      <w:r>
        <w:rPr>
          <w:color w:val="231F20"/>
          <w:spacing w:val="6"/>
          <w:w w:val="110"/>
          <w:sz w:val="18"/>
        </w:rPr>
        <w:t> </w:t>
      </w:r>
      <w:r>
        <w:rPr>
          <w:color w:val="231F20"/>
          <w:spacing w:val="-4"/>
          <w:w w:val="110"/>
          <w:sz w:val="18"/>
        </w:rPr>
        <w:t>media</w:t>
      </w:r>
      <w:r>
        <w:rPr>
          <w:color w:val="231F20"/>
          <w:spacing w:val="6"/>
          <w:w w:val="110"/>
          <w:sz w:val="18"/>
        </w:rPr>
        <w:t> </w:t>
      </w:r>
      <w:r>
        <w:rPr>
          <w:color w:val="231F20"/>
          <w:w w:val="110"/>
          <w:sz w:val="18"/>
        </w:rPr>
        <w:t>y</w:t>
      </w:r>
      <w:r>
        <w:rPr>
          <w:color w:val="231F20"/>
          <w:spacing w:val="6"/>
          <w:w w:val="110"/>
          <w:sz w:val="18"/>
        </w:rPr>
        <w:t> </w:t>
      </w:r>
      <w:r>
        <w:rPr>
          <w:color w:val="231F20"/>
          <w:spacing w:val="-4"/>
          <w:w w:val="110"/>
          <w:sz w:val="18"/>
        </w:rPr>
        <w:t>superior</w:t>
      </w:r>
      <w:r>
        <w:rPr>
          <w:color w:val="231F20"/>
          <w:spacing w:val="6"/>
          <w:w w:val="110"/>
          <w:sz w:val="18"/>
        </w:rPr>
        <w:t> </w:t>
      </w:r>
      <w:r>
        <w:rPr>
          <w:color w:val="231F20"/>
          <w:w w:val="110"/>
          <w:sz w:val="18"/>
        </w:rPr>
        <w:t>en</w:t>
      </w:r>
      <w:r>
        <w:rPr>
          <w:color w:val="231F20"/>
          <w:spacing w:val="6"/>
          <w:w w:val="110"/>
          <w:sz w:val="18"/>
        </w:rPr>
        <w:t> </w:t>
      </w:r>
      <w:r>
        <w:rPr>
          <w:color w:val="231F20"/>
          <w:spacing w:val="-4"/>
          <w:w w:val="110"/>
          <w:sz w:val="18"/>
        </w:rPr>
        <w:t>México.</w:t>
      </w:r>
      <w:r>
        <w:rPr>
          <w:color w:val="231F20"/>
          <w:spacing w:val="6"/>
          <w:w w:val="110"/>
          <w:sz w:val="18"/>
        </w:rPr>
        <w:t> </w:t>
      </w:r>
      <w:r>
        <w:rPr>
          <w:color w:val="231F20"/>
          <w:spacing w:val="-4"/>
          <w:w w:val="110"/>
          <w:sz w:val="18"/>
        </w:rPr>
        <w:t>Cuenta</w:t>
      </w:r>
    </w:p>
    <w:p>
      <w:pPr>
        <w:pStyle w:val="BodyText"/>
        <w:spacing w:before="3"/>
        <w:rPr>
          <w:sz w:val="15"/>
        </w:rPr>
      </w:pPr>
    </w:p>
    <w:p>
      <w:pPr>
        <w:spacing w:before="75"/>
        <w:ind w:left="457" w:right="457" w:firstLine="0"/>
        <w:jc w:val="center"/>
        <w:rPr>
          <w:rFonts w:ascii="Calibri"/>
          <w:i/>
          <w:sz w:val="16"/>
        </w:rPr>
      </w:pPr>
      <w:r>
        <w:rPr>
          <w:rFonts w:ascii="Calibri"/>
          <w:i/>
          <w:color w:val="231F20"/>
          <w:w w:val="95"/>
          <w:sz w:val="16"/>
        </w:rPr>
        <w:t>237</w:t>
      </w:r>
    </w:p>
    <w:p>
      <w:pPr>
        <w:spacing w:after="0"/>
        <w:jc w:val="center"/>
        <w:rPr>
          <w:rFonts w:ascii="Calibri"/>
          <w:sz w:val="16"/>
        </w:rPr>
        <w:sectPr>
          <w:footerReference w:type="even" r:id="rId197"/>
          <w:pgSz w:w="9520" w:h="12920"/>
          <w:pgMar w:footer="0" w:header="0" w:top="1220" w:bottom="280" w:left="1000" w:right="1320"/>
        </w:sectPr>
      </w:pPr>
    </w:p>
    <w:p>
      <w:pPr>
        <w:spacing w:line="300" w:lineRule="auto" w:before="46"/>
        <w:ind w:left="124" w:right="113" w:firstLine="0"/>
        <w:jc w:val="both"/>
        <w:rPr>
          <w:sz w:val="18"/>
        </w:rPr>
      </w:pPr>
      <w:r>
        <w:rPr>
          <w:color w:val="231F20"/>
          <w:w w:val="110"/>
          <w:sz w:val="18"/>
        </w:rPr>
        <w:t>con artículos publicados y ha impartido ponencias en congresos nacionales e</w:t>
      </w:r>
      <w:r>
        <w:rPr>
          <w:color w:val="231F20"/>
          <w:spacing w:val="-28"/>
          <w:w w:val="110"/>
          <w:sz w:val="18"/>
        </w:rPr>
        <w:t> </w:t>
      </w:r>
      <w:r>
        <w:rPr>
          <w:color w:val="231F20"/>
          <w:w w:val="110"/>
          <w:sz w:val="18"/>
        </w:rPr>
        <w:t>inter- nacionales.</w:t>
      </w:r>
    </w:p>
    <w:p>
      <w:pPr>
        <w:pStyle w:val="BodyText"/>
        <w:spacing w:before="10"/>
        <w:rPr>
          <w:sz w:val="22"/>
        </w:rPr>
      </w:pPr>
    </w:p>
    <w:p>
      <w:pPr>
        <w:spacing w:before="0"/>
        <w:ind w:left="124" w:right="0" w:firstLine="0"/>
        <w:jc w:val="both"/>
        <w:rPr>
          <w:i/>
          <w:sz w:val="18"/>
        </w:rPr>
      </w:pPr>
      <w:r>
        <w:rPr>
          <w:i/>
          <w:color w:val="231F20"/>
          <w:w w:val="105"/>
          <w:sz w:val="18"/>
        </w:rPr>
        <w:t>Eduardo Andrés Sandoval Forero</w:t>
      </w:r>
    </w:p>
    <w:p>
      <w:pPr>
        <w:spacing w:line="302" w:lineRule="auto" w:before="55"/>
        <w:ind w:left="124" w:right="113" w:firstLine="0"/>
        <w:jc w:val="both"/>
        <w:rPr>
          <w:sz w:val="18"/>
        </w:rPr>
      </w:pPr>
      <w:r>
        <w:rPr>
          <w:color w:val="231F20"/>
          <w:w w:val="110"/>
          <w:sz w:val="18"/>
        </w:rPr>
        <w:t>Antropólogo, maestro en Estudios Latinoamericanos, doctor en Sociología</w:t>
      </w:r>
      <w:r>
        <w:rPr>
          <w:color w:val="231F20"/>
          <w:spacing w:val="-26"/>
          <w:w w:val="110"/>
          <w:sz w:val="18"/>
        </w:rPr>
        <w:t> </w:t>
      </w:r>
      <w:r>
        <w:rPr>
          <w:color w:val="231F20"/>
          <w:w w:val="110"/>
          <w:sz w:val="18"/>
        </w:rPr>
        <w:t>(Univer- sidad Nacional Autónoma de México). Miembro del Sistema Nacional de Investiga- </w:t>
      </w:r>
      <w:r>
        <w:rPr>
          <w:color w:val="231F20"/>
          <w:spacing w:val="-4"/>
          <w:w w:val="110"/>
          <w:sz w:val="18"/>
        </w:rPr>
        <w:t>dores </w:t>
      </w:r>
      <w:r>
        <w:rPr>
          <w:color w:val="231F20"/>
          <w:w w:val="110"/>
          <w:sz w:val="18"/>
        </w:rPr>
        <w:t>de </w:t>
      </w:r>
      <w:r>
        <w:rPr>
          <w:color w:val="231F20"/>
          <w:spacing w:val="-4"/>
          <w:w w:val="110"/>
          <w:sz w:val="18"/>
        </w:rPr>
        <w:t>México desde </w:t>
      </w:r>
      <w:r>
        <w:rPr>
          <w:color w:val="231F20"/>
          <w:spacing w:val="-3"/>
          <w:w w:val="110"/>
          <w:sz w:val="18"/>
        </w:rPr>
        <w:t>1995 </w:t>
      </w:r>
      <w:r>
        <w:rPr>
          <w:color w:val="231F20"/>
          <w:spacing w:val="-4"/>
          <w:w w:val="110"/>
          <w:sz w:val="18"/>
        </w:rPr>
        <w:t>(nivel </w:t>
      </w:r>
      <w:r>
        <w:rPr>
          <w:color w:val="231F20"/>
          <w:spacing w:val="-3"/>
          <w:w w:val="110"/>
          <w:sz w:val="18"/>
        </w:rPr>
        <w:t>II). </w:t>
      </w:r>
      <w:r>
        <w:rPr>
          <w:color w:val="231F20"/>
          <w:spacing w:val="-4"/>
          <w:w w:val="110"/>
          <w:sz w:val="18"/>
        </w:rPr>
        <w:t>Profesor invitado </w:t>
      </w:r>
      <w:r>
        <w:rPr>
          <w:color w:val="231F20"/>
          <w:w w:val="110"/>
          <w:sz w:val="18"/>
        </w:rPr>
        <w:t>de </w:t>
      </w:r>
      <w:r>
        <w:rPr>
          <w:color w:val="231F20"/>
          <w:spacing w:val="-4"/>
          <w:w w:val="110"/>
          <w:sz w:val="18"/>
        </w:rPr>
        <w:t>universidades </w:t>
      </w:r>
      <w:r>
        <w:rPr>
          <w:color w:val="231F20"/>
          <w:spacing w:val="-3"/>
          <w:w w:val="110"/>
          <w:sz w:val="18"/>
        </w:rPr>
        <w:t>de: </w:t>
      </w:r>
      <w:r>
        <w:rPr>
          <w:color w:val="231F20"/>
          <w:spacing w:val="-4"/>
          <w:w w:val="110"/>
          <w:sz w:val="18"/>
        </w:rPr>
        <w:t>Estados </w:t>
      </w:r>
      <w:r>
        <w:rPr>
          <w:color w:val="231F20"/>
          <w:w w:val="110"/>
          <w:sz w:val="18"/>
        </w:rPr>
        <w:t>Unidos,</w:t>
      </w:r>
      <w:r>
        <w:rPr>
          <w:color w:val="231F20"/>
          <w:spacing w:val="-11"/>
          <w:w w:val="110"/>
          <w:sz w:val="18"/>
        </w:rPr>
        <w:t> </w:t>
      </w:r>
      <w:r>
        <w:rPr>
          <w:color w:val="231F20"/>
          <w:w w:val="110"/>
          <w:sz w:val="18"/>
        </w:rPr>
        <w:t>América</w:t>
      </w:r>
      <w:r>
        <w:rPr>
          <w:color w:val="231F20"/>
          <w:spacing w:val="-11"/>
          <w:w w:val="110"/>
          <w:sz w:val="18"/>
        </w:rPr>
        <w:t> </w:t>
      </w:r>
      <w:r>
        <w:rPr>
          <w:color w:val="231F20"/>
          <w:w w:val="110"/>
          <w:sz w:val="18"/>
        </w:rPr>
        <w:t>del</w:t>
      </w:r>
      <w:r>
        <w:rPr>
          <w:color w:val="231F20"/>
          <w:spacing w:val="-11"/>
          <w:w w:val="110"/>
          <w:sz w:val="18"/>
        </w:rPr>
        <w:t> </w:t>
      </w:r>
      <w:r>
        <w:rPr>
          <w:color w:val="231F20"/>
          <w:spacing w:val="-6"/>
          <w:w w:val="110"/>
          <w:sz w:val="18"/>
        </w:rPr>
        <w:t>Sur,</w:t>
      </w:r>
      <w:r>
        <w:rPr>
          <w:color w:val="231F20"/>
          <w:spacing w:val="-11"/>
          <w:w w:val="110"/>
          <w:sz w:val="18"/>
        </w:rPr>
        <w:t> </w:t>
      </w:r>
      <w:r>
        <w:rPr>
          <w:color w:val="231F20"/>
          <w:w w:val="110"/>
          <w:sz w:val="18"/>
        </w:rPr>
        <w:t>España</w:t>
      </w:r>
      <w:r>
        <w:rPr>
          <w:color w:val="231F20"/>
          <w:spacing w:val="-11"/>
          <w:w w:val="110"/>
          <w:sz w:val="18"/>
        </w:rPr>
        <w:t> </w:t>
      </w:r>
      <w:r>
        <w:rPr>
          <w:color w:val="231F20"/>
          <w:w w:val="110"/>
          <w:sz w:val="18"/>
        </w:rPr>
        <w:t>e</w:t>
      </w:r>
      <w:r>
        <w:rPr>
          <w:color w:val="231F20"/>
          <w:spacing w:val="-11"/>
          <w:w w:val="110"/>
          <w:sz w:val="18"/>
        </w:rPr>
        <w:t> </w:t>
      </w:r>
      <w:r>
        <w:rPr>
          <w:color w:val="231F20"/>
          <w:w w:val="110"/>
          <w:sz w:val="18"/>
        </w:rPr>
        <w:t>Italia.</w:t>
      </w:r>
      <w:r>
        <w:rPr>
          <w:color w:val="231F20"/>
          <w:spacing w:val="-11"/>
          <w:w w:val="110"/>
          <w:sz w:val="18"/>
        </w:rPr>
        <w:t> </w:t>
      </w:r>
      <w:r>
        <w:rPr>
          <w:color w:val="231F20"/>
          <w:w w:val="110"/>
          <w:sz w:val="18"/>
        </w:rPr>
        <w:t>Profesor</w:t>
      </w:r>
      <w:r>
        <w:rPr>
          <w:color w:val="231F20"/>
          <w:spacing w:val="-11"/>
          <w:w w:val="110"/>
          <w:sz w:val="18"/>
        </w:rPr>
        <w:t> </w:t>
      </w:r>
      <w:r>
        <w:rPr>
          <w:color w:val="231F20"/>
          <w:w w:val="110"/>
          <w:sz w:val="18"/>
        </w:rPr>
        <w:t>del</w:t>
      </w:r>
      <w:r>
        <w:rPr>
          <w:color w:val="231F20"/>
          <w:spacing w:val="-11"/>
          <w:w w:val="110"/>
          <w:sz w:val="18"/>
        </w:rPr>
        <w:t> </w:t>
      </w:r>
      <w:r>
        <w:rPr>
          <w:color w:val="231F20"/>
          <w:w w:val="110"/>
          <w:sz w:val="18"/>
        </w:rPr>
        <w:t>curso</w:t>
      </w:r>
      <w:r>
        <w:rPr>
          <w:color w:val="231F20"/>
          <w:spacing w:val="-11"/>
          <w:w w:val="110"/>
          <w:sz w:val="18"/>
        </w:rPr>
        <w:t> </w:t>
      </w:r>
      <w:r>
        <w:rPr>
          <w:color w:val="231F20"/>
          <w:w w:val="110"/>
          <w:sz w:val="18"/>
        </w:rPr>
        <w:t>Migración</w:t>
      </w:r>
      <w:r>
        <w:rPr>
          <w:color w:val="231F20"/>
          <w:spacing w:val="-11"/>
          <w:w w:val="110"/>
          <w:sz w:val="18"/>
        </w:rPr>
        <w:t> </w:t>
      </w:r>
      <w:r>
        <w:rPr>
          <w:color w:val="231F20"/>
          <w:w w:val="110"/>
          <w:sz w:val="18"/>
        </w:rPr>
        <w:t>y</w:t>
      </w:r>
      <w:r>
        <w:rPr>
          <w:color w:val="231F20"/>
          <w:spacing w:val="-11"/>
          <w:w w:val="110"/>
          <w:sz w:val="18"/>
        </w:rPr>
        <w:t> </w:t>
      </w:r>
      <w:r>
        <w:rPr>
          <w:color w:val="231F20"/>
          <w:w w:val="110"/>
          <w:sz w:val="18"/>
        </w:rPr>
        <w:t>codesarrollo en la Cátedra </w:t>
      </w:r>
      <w:r>
        <w:rPr>
          <w:rFonts w:ascii="Times New Roman" w:hAnsi="Times New Roman"/>
          <w:color w:val="231F20"/>
          <w:w w:val="110"/>
          <w:sz w:val="14"/>
        </w:rPr>
        <w:t>UNESCO</w:t>
      </w:r>
      <w:r>
        <w:rPr>
          <w:color w:val="231F20"/>
          <w:w w:val="110"/>
          <w:sz w:val="18"/>
        </w:rPr>
        <w:t>, del posgrado de Estudios para la Paz y el Desarrollo, en la Universitat Jaume I de España, semestre otoño de 2002 a la fecha. Autor de varios artículos, capítulos y libros sobre migración, diversidad cultural, y grupos </w:t>
      </w:r>
      <w:r>
        <w:rPr>
          <w:color w:val="231F20"/>
          <w:spacing w:val="23"/>
          <w:w w:val="110"/>
          <w:sz w:val="18"/>
        </w:rPr>
        <w:t> </w:t>
      </w:r>
      <w:r>
        <w:rPr>
          <w:color w:val="231F20"/>
          <w:w w:val="110"/>
          <w:sz w:val="18"/>
        </w:rPr>
        <w:t>étnicos.</w:t>
      </w:r>
    </w:p>
    <w:p>
      <w:pPr>
        <w:pStyle w:val="BodyText"/>
        <w:spacing w:before="8"/>
        <w:rPr>
          <w:sz w:val="22"/>
        </w:rPr>
      </w:pPr>
    </w:p>
    <w:p>
      <w:pPr>
        <w:spacing w:before="0"/>
        <w:ind w:left="124" w:right="0" w:firstLine="0"/>
        <w:jc w:val="both"/>
        <w:rPr>
          <w:i/>
          <w:sz w:val="18"/>
        </w:rPr>
      </w:pPr>
      <w:r>
        <w:rPr>
          <w:i/>
          <w:color w:val="231F20"/>
          <w:w w:val="105"/>
          <w:sz w:val="18"/>
        </w:rPr>
        <w:t>Hugo Montes de Oca  Vargas</w:t>
      </w:r>
    </w:p>
    <w:p>
      <w:pPr>
        <w:spacing w:line="302" w:lineRule="auto" w:before="55"/>
        <w:ind w:left="124" w:right="111" w:firstLine="0"/>
        <w:jc w:val="both"/>
        <w:rPr>
          <w:sz w:val="18"/>
        </w:rPr>
      </w:pPr>
      <w:r>
        <w:rPr>
          <w:color w:val="231F20"/>
          <w:w w:val="105"/>
          <w:sz w:val="18"/>
        </w:rPr>
        <w:t>Maestro en Demografía por El Colegio de la Frontera Norte (Colef) y candidato a doctor por El Colegio de México. Profesor-investigador del Centro de Investigación       y Estudios Avanzados de la Población (</w:t>
      </w:r>
      <w:r>
        <w:rPr>
          <w:rFonts w:ascii="Times New Roman" w:hAnsi="Times New Roman"/>
          <w:color w:val="231F20"/>
          <w:w w:val="105"/>
          <w:sz w:val="14"/>
        </w:rPr>
        <w:t>CIEAP</w:t>
      </w:r>
      <w:r>
        <w:rPr>
          <w:color w:val="231F20"/>
          <w:w w:val="105"/>
          <w:sz w:val="18"/>
        </w:rPr>
        <w:t>) de la </w:t>
      </w:r>
      <w:r>
        <w:rPr>
          <w:rFonts w:ascii="Times New Roman" w:hAnsi="Times New Roman"/>
          <w:color w:val="231F20"/>
          <w:w w:val="105"/>
          <w:sz w:val="14"/>
        </w:rPr>
        <w:t>UAEM</w:t>
      </w:r>
      <w:r>
        <w:rPr>
          <w:color w:val="231F20"/>
          <w:w w:val="105"/>
          <w:sz w:val="18"/>
        </w:rPr>
        <w:t>. Cuenta con </w:t>
      </w:r>
      <w:r>
        <w:rPr>
          <w:color w:val="231F20"/>
          <w:spacing w:val="-3"/>
          <w:w w:val="105"/>
          <w:sz w:val="18"/>
        </w:rPr>
        <w:t>Perfil </w:t>
      </w:r>
      <w:r>
        <w:rPr>
          <w:color w:val="231F20"/>
          <w:w w:val="105"/>
          <w:sz w:val="18"/>
        </w:rPr>
        <w:t>Deseable </w:t>
      </w:r>
      <w:r>
        <w:rPr>
          <w:color w:val="231F20"/>
          <w:spacing w:val="-6"/>
          <w:w w:val="105"/>
          <w:sz w:val="18"/>
        </w:rPr>
        <w:t>PROMEP. </w:t>
      </w:r>
      <w:r>
        <w:rPr>
          <w:color w:val="231F20"/>
          <w:w w:val="105"/>
          <w:sz w:val="18"/>
        </w:rPr>
        <w:t>Docente en programas de licenciatura de la Facultad de Economía y de la Facultad de Enfermería y Obstetricia de la </w:t>
      </w:r>
      <w:r>
        <w:rPr>
          <w:rFonts w:ascii="Times New Roman" w:hAnsi="Times New Roman"/>
          <w:color w:val="231F20"/>
          <w:w w:val="105"/>
          <w:sz w:val="14"/>
        </w:rPr>
        <w:t>UAEM</w:t>
      </w:r>
      <w:r>
        <w:rPr>
          <w:color w:val="231F20"/>
          <w:w w:val="105"/>
          <w:sz w:val="18"/>
        </w:rPr>
        <w:t>. Entre sus últimas publicaciones destacan: “Envejecimiento y migración en los municipios del Estado de  México”,</w:t>
      </w:r>
      <w:r>
        <w:rPr>
          <w:color w:val="231F20"/>
          <w:spacing w:val="41"/>
          <w:w w:val="105"/>
          <w:sz w:val="18"/>
        </w:rPr>
        <w:t> </w:t>
      </w:r>
      <w:r>
        <w:rPr>
          <w:color w:val="231F20"/>
          <w:w w:val="105"/>
          <w:sz w:val="18"/>
        </w:rPr>
        <w:t>2012, en </w:t>
      </w:r>
      <w:r>
        <w:rPr>
          <w:i/>
          <w:color w:val="231F20"/>
          <w:spacing w:val="-3"/>
          <w:w w:val="105"/>
          <w:sz w:val="18"/>
        </w:rPr>
        <w:t>Papeles </w:t>
      </w:r>
      <w:r>
        <w:rPr>
          <w:i/>
          <w:color w:val="231F20"/>
          <w:w w:val="105"/>
          <w:sz w:val="18"/>
        </w:rPr>
        <w:t>de Población</w:t>
      </w:r>
      <w:r>
        <w:rPr>
          <w:color w:val="231F20"/>
          <w:w w:val="105"/>
          <w:sz w:val="18"/>
        </w:rPr>
        <w:t>, núm. 73. Compilador y autor de varios capítulos del libro </w:t>
      </w:r>
      <w:r>
        <w:rPr>
          <w:i/>
          <w:color w:val="231F20"/>
          <w:w w:val="105"/>
          <w:sz w:val="18"/>
        </w:rPr>
        <w:t>Análisis sociodemográfico en el Estado de México</w:t>
      </w:r>
      <w:r>
        <w:rPr>
          <w:color w:val="231F20"/>
          <w:w w:val="105"/>
          <w:sz w:val="18"/>
        </w:rPr>
        <w:t>, coautor del libro </w:t>
      </w:r>
      <w:r>
        <w:rPr>
          <w:i/>
          <w:color w:val="231F20"/>
          <w:w w:val="105"/>
          <w:sz w:val="18"/>
        </w:rPr>
        <w:t>Encuesta sobre </w:t>
      </w:r>
      <w:r>
        <w:rPr>
          <w:i/>
          <w:color w:val="231F20"/>
          <w:w w:val="105"/>
          <w:sz w:val="18"/>
        </w:rPr>
        <w:t>envejecimiento demográfico en el Estado de México. Tabulados ESEDEM-2008</w:t>
      </w:r>
      <w:r>
        <w:rPr>
          <w:color w:val="231F20"/>
          <w:w w:val="105"/>
          <w:sz w:val="18"/>
        </w:rPr>
        <w:t>.  Autor</w:t>
      </w:r>
      <w:r>
        <w:rPr>
          <w:color w:val="231F20"/>
          <w:spacing w:val="41"/>
          <w:w w:val="105"/>
          <w:sz w:val="18"/>
        </w:rPr>
        <w:t> </w:t>
      </w:r>
      <w:r>
        <w:rPr>
          <w:color w:val="231F20"/>
          <w:w w:val="105"/>
          <w:sz w:val="18"/>
        </w:rPr>
        <w:t>del capítulo “Estado del arte: significados del envejecimiento demográfico”, 2011, en </w:t>
      </w:r>
      <w:r>
        <w:rPr>
          <w:i/>
          <w:color w:val="231F20"/>
          <w:w w:val="105"/>
          <w:sz w:val="18"/>
        </w:rPr>
        <w:t>Andar despacio: El envejecimiento demográfico en el Estado de México</w:t>
      </w:r>
      <w:r>
        <w:rPr>
          <w:color w:val="231F20"/>
          <w:w w:val="105"/>
          <w:sz w:val="18"/>
        </w:rPr>
        <w:t>. Coautor de capí- tulo de libro, “Aspectos familiares de la población adulta mayor en el Estado  de México 2014”, en </w:t>
      </w:r>
      <w:r>
        <w:rPr>
          <w:i/>
          <w:color w:val="231F20"/>
          <w:w w:val="105"/>
          <w:sz w:val="18"/>
        </w:rPr>
        <w:t>Hitos demográficos del siglo </w:t>
      </w:r>
      <w:r>
        <w:rPr>
          <w:rFonts w:ascii="Georgia" w:hAnsi="Georgia"/>
          <w:i/>
          <w:color w:val="231F20"/>
          <w:w w:val="105"/>
          <w:sz w:val="14"/>
        </w:rPr>
        <w:t>XXI</w:t>
      </w:r>
      <w:r>
        <w:rPr>
          <w:i/>
          <w:color w:val="231F20"/>
          <w:w w:val="105"/>
          <w:sz w:val="18"/>
        </w:rPr>
        <w:t>: Envejecimiento</w:t>
      </w:r>
      <w:r>
        <w:rPr>
          <w:color w:val="231F20"/>
          <w:w w:val="105"/>
          <w:sz w:val="18"/>
        </w:rPr>
        <w:t>. Áreas de interés: Dinámica demográfica, envejecimiento demográfico, familia y envejecimiento, mi- gración y envejecimiento, salud y envejecimiento y mercado de trabajo de los adul-</w:t>
      </w:r>
      <w:r>
        <w:rPr>
          <w:color w:val="231F20"/>
          <w:spacing w:val="41"/>
          <w:w w:val="105"/>
          <w:sz w:val="18"/>
        </w:rPr>
        <w:t> </w:t>
      </w:r>
      <w:r>
        <w:rPr>
          <w:color w:val="231F20"/>
          <w:w w:val="105"/>
          <w:sz w:val="18"/>
        </w:rPr>
        <w:t>tos </w:t>
      </w:r>
      <w:r>
        <w:rPr>
          <w:color w:val="231F20"/>
          <w:spacing w:val="20"/>
          <w:w w:val="105"/>
          <w:sz w:val="18"/>
        </w:rPr>
        <w:t> </w:t>
      </w:r>
      <w:r>
        <w:rPr>
          <w:color w:val="231F20"/>
          <w:w w:val="105"/>
          <w:sz w:val="18"/>
        </w:rPr>
        <w:t>mayores.</w:t>
      </w:r>
    </w:p>
    <w:p>
      <w:pPr>
        <w:pStyle w:val="BodyText"/>
        <w:spacing w:before="8"/>
        <w:rPr>
          <w:sz w:val="22"/>
        </w:rPr>
      </w:pPr>
    </w:p>
    <w:p>
      <w:pPr>
        <w:spacing w:before="0"/>
        <w:ind w:left="124" w:right="0" w:firstLine="0"/>
        <w:jc w:val="both"/>
        <w:rPr>
          <w:i/>
          <w:sz w:val="18"/>
        </w:rPr>
      </w:pPr>
      <w:r>
        <w:rPr>
          <w:i/>
          <w:color w:val="231F20"/>
          <w:w w:val="105"/>
          <w:sz w:val="18"/>
        </w:rPr>
        <w:t>José  Antonio  Soberón Mora</w:t>
      </w:r>
    </w:p>
    <w:p>
      <w:pPr>
        <w:spacing w:line="302" w:lineRule="auto" w:before="55"/>
        <w:ind w:left="124" w:right="114" w:firstLine="0"/>
        <w:jc w:val="both"/>
        <w:rPr>
          <w:sz w:val="18"/>
        </w:rPr>
      </w:pPr>
      <w:r>
        <w:rPr>
          <w:color w:val="231F20"/>
          <w:w w:val="105"/>
          <w:sz w:val="18"/>
        </w:rPr>
        <w:t>Psicólogo social por la Universidad Autónoma Metropolitana, Iztapalapa (</w:t>
      </w:r>
      <w:r>
        <w:rPr>
          <w:rFonts w:ascii="Times New Roman" w:hAnsi="Times New Roman"/>
          <w:color w:val="231F20"/>
          <w:w w:val="105"/>
          <w:sz w:val="14"/>
        </w:rPr>
        <w:t>UAM</w:t>
      </w:r>
      <w:r>
        <w:rPr>
          <w:rFonts w:ascii="Times New Roman" w:hAnsi="Times New Roman"/>
          <w:color w:val="231F20"/>
          <w:w w:val="105"/>
          <w:sz w:val="18"/>
        </w:rPr>
        <w:t>-</w:t>
      </w:r>
      <w:r>
        <w:rPr>
          <w:rFonts w:ascii="Times New Roman" w:hAnsi="Times New Roman"/>
          <w:color w:val="231F20"/>
          <w:w w:val="105"/>
          <w:sz w:val="14"/>
        </w:rPr>
        <w:t>I</w:t>
      </w:r>
      <w:r>
        <w:rPr>
          <w:color w:val="231F20"/>
          <w:w w:val="105"/>
          <w:sz w:val="18"/>
        </w:rPr>
        <w:t>), maestro en demografía por El Colegio de la Frontera Norte (Colef), profesor-investi- gador en el Centro de Investigación y Estudios </w:t>
      </w:r>
      <w:r>
        <w:rPr>
          <w:color w:val="231F20"/>
          <w:spacing w:val="-3"/>
          <w:w w:val="105"/>
          <w:sz w:val="18"/>
        </w:rPr>
        <w:t>Avanzados </w:t>
      </w:r>
      <w:r>
        <w:rPr>
          <w:color w:val="231F20"/>
          <w:w w:val="105"/>
          <w:sz w:val="18"/>
        </w:rPr>
        <w:t>de la </w:t>
      </w:r>
      <w:r>
        <w:rPr>
          <w:color w:val="231F20"/>
          <w:spacing w:val="-3"/>
          <w:w w:val="105"/>
          <w:sz w:val="18"/>
        </w:rPr>
        <w:t>Población </w:t>
      </w:r>
      <w:r>
        <w:rPr>
          <w:color w:val="231F20"/>
          <w:w w:val="105"/>
          <w:sz w:val="18"/>
        </w:rPr>
        <w:t>de la Uni- versidad Autónoma del Estado de México (</w:t>
      </w:r>
      <w:r>
        <w:rPr>
          <w:rFonts w:ascii="Times New Roman" w:hAnsi="Times New Roman"/>
          <w:color w:val="231F20"/>
          <w:w w:val="105"/>
          <w:sz w:val="14"/>
        </w:rPr>
        <w:t>CIEAP</w:t>
      </w:r>
      <w:r>
        <w:rPr>
          <w:color w:val="231F20"/>
          <w:w w:val="105"/>
          <w:sz w:val="18"/>
        </w:rPr>
        <w:t>-</w:t>
      </w:r>
      <w:r>
        <w:rPr>
          <w:rFonts w:ascii="Times New Roman" w:hAnsi="Times New Roman"/>
          <w:color w:val="231F20"/>
          <w:w w:val="105"/>
          <w:sz w:val="14"/>
        </w:rPr>
        <w:t>UAEM</w:t>
      </w:r>
      <w:r>
        <w:rPr>
          <w:color w:val="231F20"/>
          <w:w w:val="105"/>
          <w:sz w:val="18"/>
        </w:rPr>
        <w:t>). Actualmente desarrolla el proyecto: Crecimiento Económico y Migración Interna en las Zonas Metropolitanas  </w:t>
      </w:r>
      <w:r>
        <w:rPr>
          <w:color w:val="231F20"/>
          <w:spacing w:val="41"/>
          <w:w w:val="105"/>
          <w:sz w:val="18"/>
        </w:rPr>
        <w:t> </w:t>
      </w:r>
      <w:r>
        <w:rPr>
          <w:color w:val="231F20"/>
          <w:w w:val="105"/>
          <w:sz w:val="18"/>
        </w:rPr>
        <w:t>de México</w:t>
      </w:r>
      <w:r>
        <w:rPr>
          <w:color w:val="231F20"/>
          <w:spacing w:val="17"/>
          <w:w w:val="105"/>
          <w:sz w:val="18"/>
        </w:rPr>
        <w:t> </w:t>
      </w:r>
      <w:r>
        <w:rPr>
          <w:color w:val="231F20"/>
          <w:w w:val="105"/>
          <w:sz w:val="18"/>
        </w:rPr>
        <w:t>(1990-2010).</w:t>
      </w:r>
    </w:p>
    <w:p>
      <w:pPr>
        <w:spacing w:before="0"/>
        <w:ind w:left="124" w:right="0" w:firstLine="0"/>
        <w:jc w:val="both"/>
        <w:rPr>
          <w:sz w:val="18"/>
        </w:rPr>
      </w:pPr>
      <w:r>
        <w:rPr>
          <w:color w:val="231F20"/>
          <w:w w:val="110"/>
          <w:sz w:val="18"/>
        </w:rPr>
        <w:t>Correo electrónico: </w:t>
      </w:r>
      <w:hyperlink r:id="rId200">
        <w:r>
          <w:rPr>
            <w:color w:val="231F20"/>
            <w:w w:val="110"/>
            <w:sz w:val="18"/>
          </w:rPr>
          <w:t>josesoberon2004@yahoo.com</w:t>
        </w:r>
      </w:hyperlink>
    </w:p>
    <w:p>
      <w:pPr>
        <w:spacing w:after="0"/>
        <w:jc w:val="both"/>
        <w:rPr>
          <w:sz w:val="18"/>
        </w:rPr>
        <w:sectPr>
          <w:footerReference w:type="even" r:id="rId198"/>
          <w:footerReference w:type="default" r:id="rId199"/>
          <w:pgSz w:w="9520" w:h="12920"/>
          <w:pgMar w:footer="1344" w:header="0" w:top="880" w:bottom="1540" w:left="1320" w:right="1000"/>
          <w:pgNumType w:start="238"/>
        </w:sectPr>
      </w:pPr>
    </w:p>
    <w:p>
      <w:pPr>
        <w:spacing w:before="46"/>
        <w:ind w:left="120" w:right="0" w:firstLine="0"/>
        <w:jc w:val="both"/>
        <w:rPr>
          <w:i/>
          <w:sz w:val="18"/>
        </w:rPr>
      </w:pPr>
      <w:r>
        <w:rPr>
          <w:i/>
          <w:color w:val="231F20"/>
          <w:w w:val="110"/>
          <w:sz w:val="18"/>
        </w:rPr>
        <w:t>Juan Gabino González Becerril</w:t>
      </w:r>
    </w:p>
    <w:p>
      <w:pPr>
        <w:spacing w:line="295" w:lineRule="auto" w:before="49"/>
        <w:ind w:left="119" w:right="117" w:firstLine="0"/>
        <w:jc w:val="both"/>
        <w:rPr>
          <w:sz w:val="18"/>
        </w:rPr>
      </w:pPr>
      <w:r>
        <w:rPr>
          <w:color w:val="231F20"/>
          <w:w w:val="110"/>
          <w:sz w:val="18"/>
        </w:rPr>
        <w:t>Es economista, egresado de la Facultad de Economía de la Universidad Autónoma del Estado de México (</w:t>
      </w:r>
      <w:r>
        <w:rPr>
          <w:rFonts w:ascii="Times New Roman" w:hAnsi="Times New Roman"/>
          <w:color w:val="231F20"/>
          <w:w w:val="110"/>
          <w:sz w:val="14"/>
        </w:rPr>
        <w:t>UAEM</w:t>
      </w:r>
      <w:r>
        <w:rPr>
          <w:color w:val="231F20"/>
          <w:w w:val="110"/>
          <w:sz w:val="18"/>
        </w:rPr>
        <w:t>ex) y con maestría en Estudios de </w:t>
      </w:r>
      <w:r>
        <w:rPr>
          <w:color w:val="231F20"/>
          <w:spacing w:val="2"/>
          <w:w w:val="110"/>
          <w:sz w:val="18"/>
        </w:rPr>
        <w:t>Población </w:t>
      </w:r>
      <w:r>
        <w:rPr>
          <w:color w:val="231F20"/>
          <w:w w:val="110"/>
          <w:sz w:val="18"/>
        </w:rPr>
        <w:t>por el Colegio de la Frontera Norte. Ha concluido el programa de doctorado en Estudios de</w:t>
      </w:r>
      <w:r>
        <w:rPr>
          <w:color w:val="231F20"/>
          <w:spacing w:val="-5"/>
          <w:w w:val="110"/>
          <w:sz w:val="18"/>
        </w:rPr>
        <w:t> </w:t>
      </w:r>
      <w:r>
        <w:rPr>
          <w:color w:val="231F20"/>
          <w:w w:val="110"/>
          <w:sz w:val="18"/>
        </w:rPr>
        <w:t>Población</w:t>
      </w:r>
      <w:r>
        <w:rPr>
          <w:color w:val="231F20"/>
          <w:spacing w:val="-5"/>
          <w:w w:val="110"/>
          <w:sz w:val="18"/>
        </w:rPr>
        <w:t> </w:t>
      </w:r>
      <w:r>
        <w:rPr>
          <w:color w:val="231F20"/>
          <w:w w:val="110"/>
          <w:sz w:val="18"/>
        </w:rPr>
        <w:t>en</w:t>
      </w:r>
      <w:r>
        <w:rPr>
          <w:color w:val="231F20"/>
          <w:spacing w:val="-5"/>
          <w:w w:val="110"/>
          <w:sz w:val="18"/>
        </w:rPr>
        <w:t> </w:t>
      </w:r>
      <w:r>
        <w:rPr>
          <w:color w:val="231F20"/>
          <w:w w:val="110"/>
          <w:sz w:val="18"/>
        </w:rPr>
        <w:t>el</w:t>
      </w:r>
      <w:r>
        <w:rPr>
          <w:color w:val="231F20"/>
          <w:spacing w:val="-5"/>
          <w:w w:val="110"/>
          <w:sz w:val="18"/>
        </w:rPr>
        <w:t> </w:t>
      </w:r>
      <w:r>
        <w:rPr>
          <w:color w:val="231F20"/>
          <w:w w:val="110"/>
          <w:sz w:val="18"/>
        </w:rPr>
        <w:t>Colegio</w:t>
      </w:r>
      <w:r>
        <w:rPr>
          <w:color w:val="231F20"/>
          <w:spacing w:val="-5"/>
          <w:w w:val="110"/>
          <w:sz w:val="18"/>
        </w:rPr>
        <w:t> </w:t>
      </w:r>
      <w:r>
        <w:rPr>
          <w:color w:val="231F20"/>
          <w:w w:val="110"/>
          <w:sz w:val="18"/>
        </w:rPr>
        <w:t>de</w:t>
      </w:r>
      <w:r>
        <w:rPr>
          <w:color w:val="231F20"/>
          <w:spacing w:val="-6"/>
          <w:w w:val="110"/>
          <w:sz w:val="18"/>
        </w:rPr>
        <w:t> </w:t>
      </w:r>
      <w:r>
        <w:rPr>
          <w:color w:val="231F20"/>
          <w:w w:val="110"/>
          <w:sz w:val="18"/>
        </w:rPr>
        <w:t>México;</w:t>
      </w:r>
      <w:r>
        <w:rPr>
          <w:color w:val="231F20"/>
          <w:spacing w:val="-5"/>
          <w:w w:val="110"/>
          <w:sz w:val="18"/>
        </w:rPr>
        <w:t> </w:t>
      </w:r>
      <w:r>
        <w:rPr>
          <w:color w:val="231F20"/>
          <w:w w:val="110"/>
          <w:sz w:val="18"/>
        </w:rPr>
        <w:t>ha</w:t>
      </w:r>
      <w:r>
        <w:rPr>
          <w:color w:val="231F20"/>
          <w:spacing w:val="-5"/>
          <w:w w:val="110"/>
          <w:sz w:val="18"/>
        </w:rPr>
        <w:t> </w:t>
      </w:r>
      <w:r>
        <w:rPr>
          <w:color w:val="231F20"/>
          <w:w w:val="110"/>
          <w:sz w:val="18"/>
        </w:rPr>
        <w:t>sido</w:t>
      </w:r>
      <w:r>
        <w:rPr>
          <w:color w:val="231F20"/>
          <w:spacing w:val="-6"/>
          <w:w w:val="110"/>
          <w:sz w:val="18"/>
        </w:rPr>
        <w:t> </w:t>
      </w:r>
      <w:r>
        <w:rPr>
          <w:color w:val="231F20"/>
          <w:w w:val="110"/>
          <w:sz w:val="18"/>
        </w:rPr>
        <w:t>articulista</w:t>
      </w:r>
      <w:r>
        <w:rPr>
          <w:color w:val="231F20"/>
          <w:spacing w:val="-6"/>
          <w:w w:val="110"/>
          <w:sz w:val="18"/>
        </w:rPr>
        <w:t> </w:t>
      </w:r>
      <w:r>
        <w:rPr>
          <w:color w:val="231F20"/>
          <w:w w:val="110"/>
          <w:sz w:val="18"/>
        </w:rPr>
        <w:t>del</w:t>
      </w:r>
      <w:r>
        <w:rPr>
          <w:color w:val="231F20"/>
          <w:spacing w:val="-5"/>
          <w:w w:val="110"/>
          <w:sz w:val="18"/>
        </w:rPr>
        <w:t> </w:t>
      </w:r>
      <w:r>
        <w:rPr>
          <w:color w:val="231F20"/>
          <w:w w:val="110"/>
          <w:sz w:val="18"/>
        </w:rPr>
        <w:t>periódico</w:t>
      </w:r>
      <w:r>
        <w:rPr>
          <w:color w:val="231F20"/>
          <w:spacing w:val="-6"/>
          <w:w w:val="110"/>
          <w:sz w:val="18"/>
        </w:rPr>
        <w:t> </w:t>
      </w:r>
      <w:r>
        <w:rPr>
          <w:i/>
          <w:color w:val="231F20"/>
          <w:w w:val="110"/>
          <w:sz w:val="18"/>
        </w:rPr>
        <w:t>El</w:t>
      </w:r>
      <w:r>
        <w:rPr>
          <w:i/>
          <w:color w:val="231F20"/>
          <w:spacing w:val="-9"/>
          <w:w w:val="110"/>
          <w:sz w:val="18"/>
        </w:rPr>
        <w:t> </w:t>
      </w:r>
      <w:r>
        <w:rPr>
          <w:i/>
          <w:color w:val="231F20"/>
          <w:w w:val="110"/>
          <w:sz w:val="18"/>
        </w:rPr>
        <w:t>Financiero</w:t>
      </w:r>
      <w:r>
        <w:rPr>
          <w:color w:val="231F20"/>
          <w:w w:val="110"/>
          <w:sz w:val="18"/>
        </w:rPr>
        <w:t>, en revistas científicas mexicanas con temas de informalidad, urbanización y creci- miento demográfico, migración interna e internacional, población indígena y des- poblamiento. Además, ha publicado libros sobre estos temas. Ha sido profesor de asignatura en las </w:t>
      </w:r>
      <w:r>
        <w:rPr>
          <w:color w:val="231F20"/>
          <w:spacing w:val="-4"/>
          <w:w w:val="110"/>
          <w:sz w:val="18"/>
        </w:rPr>
        <w:t>facultades </w:t>
      </w:r>
      <w:r>
        <w:rPr>
          <w:color w:val="231F20"/>
          <w:w w:val="110"/>
          <w:sz w:val="18"/>
        </w:rPr>
        <w:t>de </w:t>
      </w:r>
      <w:r>
        <w:rPr>
          <w:color w:val="231F20"/>
          <w:spacing w:val="-4"/>
          <w:w w:val="110"/>
          <w:sz w:val="18"/>
        </w:rPr>
        <w:t>Geografía, Economía, Planeación Urbana </w:t>
      </w:r>
      <w:r>
        <w:rPr>
          <w:color w:val="231F20"/>
          <w:w w:val="110"/>
          <w:sz w:val="18"/>
        </w:rPr>
        <w:t>y </w:t>
      </w:r>
      <w:r>
        <w:rPr>
          <w:color w:val="231F20"/>
          <w:spacing w:val="-4"/>
          <w:w w:val="110"/>
          <w:sz w:val="18"/>
        </w:rPr>
        <w:t>Ciencias Políticas </w:t>
      </w:r>
      <w:r>
        <w:rPr>
          <w:color w:val="231F20"/>
          <w:w w:val="110"/>
          <w:sz w:val="18"/>
        </w:rPr>
        <w:t>de la </w:t>
      </w:r>
      <w:r>
        <w:rPr>
          <w:rFonts w:ascii="Times New Roman" w:hAnsi="Times New Roman"/>
          <w:color w:val="231F20"/>
          <w:w w:val="110"/>
          <w:sz w:val="14"/>
        </w:rPr>
        <w:t>UAEM </w:t>
      </w:r>
      <w:r>
        <w:rPr>
          <w:color w:val="231F20"/>
          <w:w w:val="110"/>
          <w:sz w:val="18"/>
        </w:rPr>
        <w:t>a nivel licenciatura y posgrado. También ha participado como docente en el Instituto Nacional de Administración Pública (</w:t>
      </w:r>
      <w:r>
        <w:rPr>
          <w:rFonts w:ascii="Times New Roman" w:hAnsi="Times New Roman"/>
          <w:color w:val="231F20"/>
          <w:w w:val="110"/>
          <w:sz w:val="14"/>
        </w:rPr>
        <w:t>INAO</w:t>
      </w:r>
      <w:r>
        <w:rPr>
          <w:color w:val="231F20"/>
          <w:w w:val="110"/>
          <w:sz w:val="18"/>
        </w:rPr>
        <w:t>), El Colegio de Michoacán,</w:t>
      </w:r>
      <w:r>
        <w:rPr>
          <w:color w:val="231F20"/>
          <w:spacing w:val="-4"/>
          <w:w w:val="110"/>
          <w:sz w:val="18"/>
        </w:rPr>
        <w:t> </w:t>
      </w:r>
      <w:r>
        <w:rPr>
          <w:color w:val="231F20"/>
          <w:w w:val="110"/>
          <w:sz w:val="18"/>
        </w:rPr>
        <w:t>la</w:t>
      </w:r>
      <w:r>
        <w:rPr>
          <w:color w:val="231F20"/>
          <w:spacing w:val="-4"/>
          <w:w w:val="110"/>
          <w:sz w:val="18"/>
        </w:rPr>
        <w:t> </w:t>
      </w:r>
      <w:r>
        <w:rPr>
          <w:color w:val="231F20"/>
          <w:w w:val="110"/>
          <w:sz w:val="18"/>
        </w:rPr>
        <w:t>Universidad</w:t>
      </w:r>
      <w:r>
        <w:rPr>
          <w:color w:val="231F20"/>
          <w:spacing w:val="-4"/>
          <w:w w:val="110"/>
          <w:sz w:val="18"/>
        </w:rPr>
        <w:t> </w:t>
      </w:r>
      <w:r>
        <w:rPr>
          <w:color w:val="231F20"/>
          <w:w w:val="110"/>
          <w:sz w:val="18"/>
        </w:rPr>
        <w:t>de</w:t>
      </w:r>
      <w:r>
        <w:rPr>
          <w:color w:val="231F20"/>
          <w:spacing w:val="-4"/>
          <w:w w:val="110"/>
          <w:sz w:val="18"/>
        </w:rPr>
        <w:t> </w:t>
      </w:r>
      <w:r>
        <w:rPr>
          <w:color w:val="231F20"/>
          <w:w w:val="110"/>
          <w:sz w:val="18"/>
        </w:rPr>
        <w:t>Antioquia,</w:t>
      </w:r>
      <w:r>
        <w:rPr>
          <w:color w:val="231F20"/>
          <w:spacing w:val="-4"/>
          <w:w w:val="110"/>
          <w:sz w:val="18"/>
        </w:rPr>
        <w:t> </w:t>
      </w:r>
      <w:r>
        <w:rPr>
          <w:color w:val="231F20"/>
          <w:w w:val="110"/>
          <w:sz w:val="18"/>
        </w:rPr>
        <w:t>la</w:t>
      </w:r>
      <w:r>
        <w:rPr>
          <w:color w:val="231F20"/>
          <w:spacing w:val="-4"/>
          <w:w w:val="110"/>
          <w:sz w:val="18"/>
        </w:rPr>
        <w:t> </w:t>
      </w:r>
      <w:r>
        <w:rPr>
          <w:color w:val="231F20"/>
          <w:w w:val="110"/>
          <w:sz w:val="18"/>
        </w:rPr>
        <w:t>Universidad</w:t>
      </w:r>
      <w:r>
        <w:rPr>
          <w:color w:val="231F20"/>
          <w:spacing w:val="-4"/>
          <w:w w:val="110"/>
          <w:sz w:val="18"/>
        </w:rPr>
        <w:t> </w:t>
      </w:r>
      <w:r>
        <w:rPr>
          <w:color w:val="231F20"/>
          <w:w w:val="110"/>
          <w:sz w:val="18"/>
        </w:rPr>
        <w:t>de</w:t>
      </w:r>
      <w:r>
        <w:rPr>
          <w:color w:val="231F20"/>
          <w:spacing w:val="-4"/>
          <w:w w:val="110"/>
          <w:sz w:val="18"/>
        </w:rPr>
        <w:t> </w:t>
      </w:r>
      <w:r>
        <w:rPr>
          <w:rFonts w:ascii="Times New Roman" w:hAnsi="Times New Roman"/>
          <w:color w:val="231F20"/>
          <w:w w:val="110"/>
          <w:sz w:val="14"/>
        </w:rPr>
        <w:t>CES</w:t>
      </w:r>
      <w:r>
        <w:rPr>
          <w:color w:val="231F20"/>
          <w:w w:val="110"/>
          <w:sz w:val="18"/>
        </w:rPr>
        <w:t>,</w:t>
      </w:r>
      <w:r>
        <w:rPr>
          <w:color w:val="231F20"/>
          <w:spacing w:val="-4"/>
          <w:w w:val="110"/>
          <w:sz w:val="18"/>
        </w:rPr>
        <w:t> </w:t>
      </w:r>
      <w:r>
        <w:rPr>
          <w:color w:val="231F20"/>
          <w:w w:val="110"/>
          <w:sz w:val="18"/>
        </w:rPr>
        <w:t>ambas</w:t>
      </w:r>
      <w:r>
        <w:rPr>
          <w:color w:val="231F20"/>
          <w:spacing w:val="-4"/>
          <w:w w:val="110"/>
          <w:sz w:val="18"/>
        </w:rPr>
        <w:t> </w:t>
      </w:r>
      <w:r>
        <w:rPr>
          <w:color w:val="231F20"/>
          <w:w w:val="110"/>
          <w:sz w:val="18"/>
        </w:rPr>
        <w:t>de</w:t>
      </w:r>
      <w:r>
        <w:rPr>
          <w:color w:val="231F20"/>
          <w:spacing w:val="-4"/>
          <w:w w:val="110"/>
          <w:sz w:val="18"/>
        </w:rPr>
        <w:t> </w:t>
      </w:r>
      <w:r>
        <w:rPr>
          <w:color w:val="231F20"/>
          <w:w w:val="110"/>
          <w:sz w:val="18"/>
        </w:rPr>
        <w:t>Colombia. Ha sido ponente en congresos y reuniones nacionales e internacionales sobre po- blación, específicamente, con temas de la migración internacional. Es miembro activo de la Sociedad Mexicana de Demografía (Somede), de la Asociación Mexica- na de Estudios del Trabajo (</w:t>
      </w:r>
      <w:r>
        <w:rPr>
          <w:rFonts w:ascii="Times New Roman" w:hAnsi="Times New Roman"/>
          <w:color w:val="231F20"/>
          <w:w w:val="110"/>
          <w:sz w:val="14"/>
        </w:rPr>
        <w:t>AMET</w:t>
      </w:r>
      <w:r>
        <w:rPr>
          <w:color w:val="231F20"/>
          <w:w w:val="110"/>
          <w:sz w:val="18"/>
        </w:rPr>
        <w:t>) y de la Population Association of America </w:t>
      </w:r>
      <w:r>
        <w:rPr>
          <w:color w:val="231F20"/>
          <w:spacing w:val="-3"/>
          <w:w w:val="110"/>
          <w:sz w:val="18"/>
        </w:rPr>
        <w:t>(</w:t>
      </w:r>
      <w:r>
        <w:rPr>
          <w:rFonts w:ascii="Times New Roman" w:hAnsi="Times New Roman"/>
          <w:color w:val="231F20"/>
          <w:spacing w:val="-3"/>
          <w:w w:val="110"/>
          <w:sz w:val="14"/>
        </w:rPr>
        <w:t>PAA</w:t>
      </w:r>
      <w:r>
        <w:rPr>
          <w:color w:val="231F20"/>
          <w:spacing w:val="-3"/>
          <w:w w:val="110"/>
          <w:sz w:val="18"/>
        </w:rPr>
        <w:t>). </w:t>
      </w:r>
      <w:r>
        <w:rPr>
          <w:color w:val="231F20"/>
          <w:w w:val="110"/>
          <w:sz w:val="18"/>
        </w:rPr>
        <w:t>Labora actualmente como profesor de tiempo completo en el Centro de Investiga- ción y Estudios Avanzados de la Población (</w:t>
      </w:r>
      <w:r>
        <w:rPr>
          <w:rFonts w:ascii="Times New Roman" w:hAnsi="Times New Roman"/>
          <w:color w:val="231F20"/>
          <w:w w:val="110"/>
          <w:sz w:val="14"/>
        </w:rPr>
        <w:t>CIEAP</w:t>
      </w:r>
      <w:r>
        <w:rPr>
          <w:color w:val="231F20"/>
          <w:w w:val="110"/>
          <w:sz w:val="18"/>
        </w:rPr>
        <w:t>) de la Universidad Autónoma del Estado de México y es el director de la revista </w:t>
      </w:r>
      <w:r>
        <w:rPr>
          <w:i/>
          <w:color w:val="231F20"/>
          <w:spacing w:val="-3"/>
          <w:w w:val="110"/>
          <w:sz w:val="18"/>
        </w:rPr>
        <w:t>Papeles </w:t>
      </w:r>
      <w:r>
        <w:rPr>
          <w:i/>
          <w:color w:val="231F20"/>
          <w:w w:val="110"/>
          <w:sz w:val="18"/>
        </w:rPr>
        <w:t>de Población</w:t>
      </w:r>
      <w:r>
        <w:rPr>
          <w:color w:val="231F20"/>
          <w:w w:val="110"/>
          <w:sz w:val="18"/>
        </w:rPr>
        <w:t>, que se edita en el mismo</w:t>
      </w:r>
      <w:r>
        <w:rPr>
          <w:color w:val="231F20"/>
          <w:spacing w:val="17"/>
          <w:w w:val="110"/>
          <w:sz w:val="18"/>
        </w:rPr>
        <w:t> </w:t>
      </w:r>
      <w:r>
        <w:rPr>
          <w:color w:val="231F20"/>
          <w:w w:val="110"/>
          <w:sz w:val="18"/>
        </w:rPr>
        <w:t>centro.</w:t>
      </w:r>
    </w:p>
    <w:p>
      <w:pPr>
        <w:pStyle w:val="BodyText"/>
        <w:spacing w:before="2"/>
        <w:rPr>
          <w:sz w:val="22"/>
        </w:rPr>
      </w:pPr>
    </w:p>
    <w:p>
      <w:pPr>
        <w:spacing w:before="0"/>
        <w:ind w:left="119" w:right="0" w:firstLine="0"/>
        <w:jc w:val="both"/>
        <w:rPr>
          <w:i/>
          <w:sz w:val="18"/>
        </w:rPr>
      </w:pPr>
      <w:r>
        <w:rPr>
          <w:i/>
          <w:color w:val="231F20"/>
          <w:w w:val="110"/>
          <w:sz w:val="18"/>
        </w:rPr>
        <w:t>Laura Reyes Montes</w:t>
      </w:r>
    </w:p>
    <w:p>
      <w:pPr>
        <w:spacing w:line="297" w:lineRule="auto" w:before="49"/>
        <w:ind w:left="119" w:right="113" w:firstLine="0"/>
        <w:jc w:val="both"/>
        <w:rPr>
          <w:sz w:val="18"/>
        </w:rPr>
      </w:pPr>
      <w:r>
        <w:rPr>
          <w:color w:val="231F20"/>
          <w:w w:val="110"/>
          <w:sz w:val="18"/>
        </w:rPr>
        <w:t>Profesora e investigadora de tiempo completo de la Facultad de Antropología del Estado de México, realizó sus estudios de doctorado en Antropología Social en la Universidad Iberoamericana </w:t>
      </w:r>
      <w:r>
        <w:rPr>
          <w:color w:val="231F20"/>
          <w:spacing w:val="-6"/>
          <w:w w:val="110"/>
          <w:sz w:val="18"/>
        </w:rPr>
        <w:t>D.F., </w:t>
      </w:r>
      <w:r>
        <w:rPr>
          <w:color w:val="231F20"/>
          <w:w w:val="110"/>
          <w:sz w:val="18"/>
        </w:rPr>
        <w:t>con el apoyo de una beca del Programa de Mejo- ramiento del Profesorado PROMEP de la Secretaría de Educación Pública. </w:t>
      </w:r>
      <w:r>
        <w:rPr>
          <w:color w:val="231F20"/>
          <w:spacing w:val="2"/>
          <w:w w:val="110"/>
          <w:sz w:val="18"/>
        </w:rPr>
        <w:t>(</w:t>
      </w:r>
      <w:r>
        <w:rPr>
          <w:rFonts w:ascii="Times New Roman" w:hAnsi="Times New Roman"/>
          <w:color w:val="231F20"/>
          <w:spacing w:val="2"/>
          <w:w w:val="110"/>
          <w:sz w:val="14"/>
        </w:rPr>
        <w:t>SEP</w:t>
      </w:r>
      <w:r>
        <w:rPr>
          <w:color w:val="231F20"/>
          <w:spacing w:val="2"/>
          <w:w w:val="110"/>
          <w:sz w:val="18"/>
        </w:rPr>
        <w:t>) </w:t>
      </w:r>
      <w:r>
        <w:rPr>
          <w:color w:val="231F20"/>
          <w:w w:val="110"/>
          <w:sz w:val="18"/>
        </w:rPr>
        <w:t>Candidato al Sistema Nacional de Investigadores 2007 al 2012 y desde el 2006 cuenta con el Reconocimiento Perfil Deseable de la </w:t>
      </w:r>
      <w:r>
        <w:rPr>
          <w:rFonts w:ascii="Times New Roman" w:hAnsi="Times New Roman"/>
          <w:color w:val="231F20"/>
          <w:w w:val="110"/>
          <w:sz w:val="14"/>
        </w:rPr>
        <w:t>SEP</w:t>
      </w:r>
      <w:r>
        <w:rPr>
          <w:color w:val="231F20"/>
          <w:w w:val="110"/>
          <w:sz w:val="18"/>
        </w:rPr>
        <w:t>. Algunas de sus publica- ciones son: (2006), “Estudio Antropológico de una región agrícola al norte del Es- tado de México”, </w:t>
      </w:r>
      <w:r>
        <w:rPr>
          <w:i/>
          <w:color w:val="231F20"/>
          <w:w w:val="110"/>
          <w:sz w:val="18"/>
        </w:rPr>
        <w:t>Cuadernos de Investigación</w:t>
      </w:r>
      <w:r>
        <w:rPr>
          <w:color w:val="231F20"/>
          <w:w w:val="110"/>
          <w:sz w:val="18"/>
        </w:rPr>
        <w:t>, Cuarta Época, núm. 46, Secretaría de </w:t>
      </w:r>
      <w:r>
        <w:rPr>
          <w:color w:val="231F20"/>
          <w:spacing w:val="2"/>
          <w:w w:val="110"/>
          <w:sz w:val="18"/>
        </w:rPr>
        <w:t>Investigación </w:t>
      </w:r>
      <w:r>
        <w:rPr>
          <w:color w:val="231F20"/>
          <w:w w:val="110"/>
          <w:sz w:val="18"/>
        </w:rPr>
        <w:t>y </w:t>
      </w:r>
      <w:r>
        <w:rPr>
          <w:color w:val="231F20"/>
          <w:spacing w:val="2"/>
          <w:w w:val="110"/>
          <w:sz w:val="18"/>
        </w:rPr>
        <w:t>Estudios </w:t>
      </w:r>
      <w:r>
        <w:rPr>
          <w:color w:val="231F20"/>
          <w:w w:val="110"/>
          <w:sz w:val="18"/>
        </w:rPr>
        <w:t>Avanzados de la </w:t>
      </w:r>
      <w:r>
        <w:rPr>
          <w:rFonts w:ascii="Times New Roman" w:hAnsi="Times New Roman"/>
          <w:color w:val="231F20"/>
          <w:w w:val="110"/>
          <w:sz w:val="14"/>
        </w:rPr>
        <w:t>UAEM</w:t>
      </w:r>
      <w:r>
        <w:rPr>
          <w:color w:val="231F20"/>
          <w:w w:val="110"/>
          <w:sz w:val="18"/>
        </w:rPr>
        <w:t>. En el </w:t>
      </w:r>
      <w:r>
        <w:rPr>
          <w:color w:val="231F20"/>
          <w:spacing w:val="2"/>
          <w:w w:val="110"/>
          <w:sz w:val="18"/>
        </w:rPr>
        <w:t>2007, </w:t>
      </w:r>
      <w:r>
        <w:rPr>
          <w:color w:val="231F20"/>
          <w:w w:val="110"/>
          <w:sz w:val="18"/>
        </w:rPr>
        <w:t>“ Tendencias de la agricultura en el </w:t>
      </w:r>
      <w:r>
        <w:rPr>
          <w:color w:val="231F20"/>
          <w:spacing w:val="-4"/>
          <w:w w:val="110"/>
          <w:sz w:val="18"/>
        </w:rPr>
        <w:t>Valle </w:t>
      </w:r>
      <w:r>
        <w:rPr>
          <w:color w:val="231F20"/>
          <w:w w:val="110"/>
          <w:sz w:val="18"/>
        </w:rPr>
        <w:t>de Ixtlahuaca, Estado de México”, en </w:t>
      </w:r>
      <w:r>
        <w:rPr>
          <w:i/>
          <w:color w:val="231F20"/>
          <w:w w:val="110"/>
          <w:sz w:val="18"/>
        </w:rPr>
        <w:t>Los nuevos caminos de </w:t>
      </w:r>
      <w:r>
        <w:rPr>
          <w:i/>
          <w:color w:val="231F20"/>
          <w:w w:val="110"/>
          <w:sz w:val="18"/>
        </w:rPr>
        <w:t>la</w:t>
      </w:r>
      <w:r>
        <w:rPr>
          <w:i/>
          <w:color w:val="231F20"/>
          <w:spacing w:val="-27"/>
          <w:w w:val="110"/>
          <w:sz w:val="18"/>
        </w:rPr>
        <w:t> </w:t>
      </w:r>
      <w:r>
        <w:rPr>
          <w:i/>
          <w:color w:val="231F20"/>
          <w:w w:val="110"/>
          <w:sz w:val="18"/>
        </w:rPr>
        <w:t>agricultura:</w:t>
      </w:r>
      <w:r>
        <w:rPr>
          <w:i/>
          <w:color w:val="231F20"/>
          <w:spacing w:val="-27"/>
          <w:w w:val="110"/>
          <w:sz w:val="18"/>
        </w:rPr>
        <w:t> </w:t>
      </w:r>
      <w:r>
        <w:rPr>
          <w:i/>
          <w:color w:val="231F20"/>
          <w:w w:val="110"/>
          <w:sz w:val="18"/>
        </w:rPr>
        <w:t>procesos</w:t>
      </w:r>
      <w:r>
        <w:rPr>
          <w:i/>
          <w:color w:val="231F20"/>
          <w:spacing w:val="-27"/>
          <w:w w:val="110"/>
          <w:sz w:val="18"/>
        </w:rPr>
        <w:t> </w:t>
      </w:r>
      <w:r>
        <w:rPr>
          <w:i/>
          <w:color w:val="231F20"/>
          <w:w w:val="110"/>
          <w:sz w:val="18"/>
        </w:rPr>
        <w:t>de</w:t>
      </w:r>
      <w:r>
        <w:rPr>
          <w:i/>
          <w:color w:val="231F20"/>
          <w:spacing w:val="-27"/>
          <w:w w:val="110"/>
          <w:sz w:val="18"/>
        </w:rPr>
        <w:t> </w:t>
      </w:r>
      <w:r>
        <w:rPr>
          <w:i/>
          <w:color w:val="231F20"/>
          <w:w w:val="110"/>
          <w:sz w:val="18"/>
        </w:rPr>
        <w:t>conversión</w:t>
      </w:r>
      <w:r>
        <w:rPr>
          <w:i/>
          <w:color w:val="231F20"/>
          <w:spacing w:val="-27"/>
          <w:w w:val="110"/>
          <w:sz w:val="18"/>
        </w:rPr>
        <w:t> </w:t>
      </w:r>
      <w:r>
        <w:rPr>
          <w:i/>
          <w:color w:val="231F20"/>
          <w:w w:val="110"/>
          <w:sz w:val="18"/>
        </w:rPr>
        <w:t>y</w:t>
      </w:r>
      <w:r>
        <w:rPr>
          <w:i/>
          <w:color w:val="231F20"/>
          <w:spacing w:val="-27"/>
          <w:w w:val="110"/>
          <w:sz w:val="18"/>
        </w:rPr>
        <w:t> </w:t>
      </w:r>
      <w:r>
        <w:rPr>
          <w:i/>
          <w:color w:val="231F20"/>
          <w:w w:val="110"/>
          <w:sz w:val="18"/>
        </w:rPr>
        <w:t>perspectivas</w:t>
      </w:r>
      <w:r>
        <w:rPr>
          <w:color w:val="231F20"/>
          <w:w w:val="110"/>
          <w:sz w:val="18"/>
        </w:rPr>
        <w:t>,</w:t>
      </w:r>
      <w:r>
        <w:rPr>
          <w:color w:val="231F20"/>
          <w:spacing w:val="-26"/>
          <w:w w:val="110"/>
          <w:sz w:val="18"/>
        </w:rPr>
        <w:t> </w:t>
      </w:r>
      <w:r>
        <w:rPr>
          <w:color w:val="231F20"/>
          <w:w w:val="110"/>
          <w:sz w:val="18"/>
        </w:rPr>
        <w:t>con</w:t>
      </w:r>
      <w:r>
        <w:rPr>
          <w:color w:val="231F20"/>
          <w:spacing w:val="-26"/>
          <w:w w:val="110"/>
          <w:sz w:val="18"/>
        </w:rPr>
        <w:t> </w:t>
      </w:r>
      <w:r>
        <w:rPr>
          <w:color w:val="231F20"/>
          <w:w w:val="110"/>
          <w:sz w:val="18"/>
        </w:rPr>
        <w:t>coordinadores</w:t>
      </w:r>
      <w:r>
        <w:rPr>
          <w:color w:val="231F20"/>
          <w:spacing w:val="-26"/>
          <w:w w:val="110"/>
          <w:sz w:val="18"/>
        </w:rPr>
        <w:t> </w:t>
      </w:r>
      <w:r>
        <w:rPr>
          <w:color w:val="231F20"/>
          <w:w w:val="110"/>
          <w:sz w:val="18"/>
        </w:rPr>
        <w:t>Alba</w:t>
      </w:r>
      <w:r>
        <w:rPr>
          <w:color w:val="231F20"/>
          <w:spacing w:val="-26"/>
          <w:w w:val="110"/>
          <w:sz w:val="18"/>
        </w:rPr>
        <w:t> </w:t>
      </w:r>
      <w:r>
        <w:rPr>
          <w:color w:val="231F20"/>
          <w:w w:val="110"/>
          <w:sz w:val="18"/>
        </w:rPr>
        <w:t>González Jácome, Silvia del Amo Rodríguez y Francisco D. Hurí García, México. Universidad Iberoamericana/Plaza y </w:t>
      </w:r>
      <w:r>
        <w:rPr>
          <w:color w:val="231F20"/>
          <w:spacing w:val="-4"/>
          <w:w w:val="110"/>
          <w:sz w:val="18"/>
        </w:rPr>
        <w:t>Valdés </w:t>
      </w:r>
      <w:r>
        <w:rPr>
          <w:color w:val="231F20"/>
          <w:w w:val="110"/>
          <w:sz w:val="18"/>
        </w:rPr>
        <w:t>Editores, S.A., en el 2009, “Mercados de trabajo y unidad doméstica en la región agrícola del </w:t>
      </w:r>
      <w:r>
        <w:rPr>
          <w:color w:val="231F20"/>
          <w:spacing w:val="-3"/>
          <w:w w:val="110"/>
          <w:sz w:val="18"/>
        </w:rPr>
        <w:t>Valle </w:t>
      </w:r>
      <w:r>
        <w:rPr>
          <w:color w:val="231F20"/>
          <w:w w:val="110"/>
          <w:sz w:val="18"/>
        </w:rPr>
        <w:t>de Ixtlahuaca-Jocotitlán, Estado</w:t>
      </w:r>
      <w:r>
        <w:rPr>
          <w:color w:val="231F20"/>
          <w:spacing w:val="43"/>
          <w:w w:val="110"/>
          <w:sz w:val="18"/>
        </w:rPr>
        <w:t> </w:t>
      </w:r>
      <w:r>
        <w:rPr>
          <w:color w:val="231F20"/>
          <w:w w:val="110"/>
          <w:sz w:val="18"/>
        </w:rPr>
        <w:t>de México” en Luz María Salazar Cruz (coord.), </w:t>
      </w:r>
      <w:r>
        <w:rPr>
          <w:i/>
          <w:color w:val="231F20"/>
          <w:w w:val="110"/>
          <w:sz w:val="18"/>
        </w:rPr>
        <w:t>Sujetos laborales en el Estado de </w:t>
      </w:r>
      <w:r>
        <w:rPr>
          <w:i/>
          <w:color w:val="231F20"/>
          <w:spacing w:val="2"/>
          <w:w w:val="110"/>
          <w:sz w:val="18"/>
        </w:rPr>
        <w:t>México</w:t>
      </w:r>
      <w:r>
        <w:rPr>
          <w:color w:val="231F20"/>
          <w:spacing w:val="2"/>
          <w:w w:val="110"/>
          <w:sz w:val="18"/>
        </w:rPr>
        <w:t>, México, </w:t>
      </w:r>
      <w:r>
        <w:rPr>
          <w:color w:val="231F20"/>
          <w:w w:val="110"/>
          <w:sz w:val="18"/>
        </w:rPr>
        <w:t>El </w:t>
      </w:r>
      <w:r>
        <w:rPr>
          <w:color w:val="231F20"/>
          <w:spacing w:val="2"/>
          <w:w w:val="110"/>
          <w:sz w:val="18"/>
        </w:rPr>
        <w:t>Colegio Mexiquense, A.C. 2012, </w:t>
      </w:r>
      <w:r>
        <w:rPr>
          <w:i/>
          <w:color w:val="231F20"/>
          <w:w w:val="110"/>
          <w:sz w:val="18"/>
        </w:rPr>
        <w:t>Familia, </w:t>
      </w:r>
      <w:r>
        <w:rPr>
          <w:i/>
          <w:color w:val="231F20"/>
          <w:spacing w:val="2"/>
          <w:w w:val="110"/>
          <w:sz w:val="18"/>
        </w:rPr>
        <w:t>agricultura </w:t>
      </w:r>
      <w:r>
        <w:rPr>
          <w:i/>
          <w:color w:val="231F20"/>
          <w:w w:val="110"/>
          <w:sz w:val="18"/>
        </w:rPr>
        <w:t>y </w:t>
      </w:r>
      <w:r>
        <w:rPr>
          <w:i/>
          <w:color w:val="231F20"/>
          <w:spacing w:val="2"/>
          <w:w w:val="110"/>
          <w:sz w:val="18"/>
        </w:rPr>
        <w:t>cultura </w:t>
      </w:r>
      <w:r>
        <w:rPr>
          <w:i/>
          <w:color w:val="231F20"/>
          <w:w w:val="110"/>
          <w:sz w:val="18"/>
        </w:rPr>
        <w:t>en México. Un estudio antropológico</w:t>
      </w:r>
      <w:r>
        <w:rPr>
          <w:color w:val="231F20"/>
          <w:w w:val="110"/>
          <w:sz w:val="18"/>
        </w:rPr>
        <w:t>, Alemania, Editorial Académica</w:t>
      </w:r>
      <w:r>
        <w:rPr>
          <w:color w:val="231F20"/>
          <w:spacing w:val="-4"/>
          <w:w w:val="110"/>
          <w:sz w:val="18"/>
        </w:rPr>
        <w:t> </w:t>
      </w:r>
      <w:r>
        <w:rPr>
          <w:color w:val="231F20"/>
          <w:w w:val="110"/>
          <w:sz w:val="18"/>
        </w:rPr>
        <w:t>Española.</w:t>
      </w:r>
    </w:p>
    <w:p>
      <w:pPr>
        <w:spacing w:after="0" w:line="297" w:lineRule="auto"/>
        <w:jc w:val="both"/>
        <w:rPr>
          <w:sz w:val="18"/>
        </w:rPr>
        <w:sectPr>
          <w:pgSz w:w="9520" w:h="12920"/>
          <w:pgMar w:header="0" w:footer="1344" w:top="880" w:bottom="1540" w:left="1000" w:right="1320"/>
        </w:sectPr>
      </w:pPr>
    </w:p>
    <w:p>
      <w:pPr>
        <w:spacing w:before="46"/>
        <w:ind w:left="124" w:right="0" w:firstLine="0"/>
        <w:jc w:val="both"/>
        <w:rPr>
          <w:i/>
          <w:sz w:val="18"/>
        </w:rPr>
      </w:pPr>
      <w:r>
        <w:rPr>
          <w:i/>
          <w:color w:val="231F20"/>
          <w:w w:val="105"/>
          <w:sz w:val="18"/>
        </w:rPr>
        <w:t>María Viridiana Sosa Márquez</w:t>
      </w:r>
    </w:p>
    <w:p>
      <w:pPr>
        <w:spacing w:line="309" w:lineRule="auto" w:before="61"/>
        <w:ind w:left="124" w:right="114" w:firstLine="0"/>
        <w:jc w:val="both"/>
        <w:rPr>
          <w:sz w:val="18"/>
        </w:rPr>
      </w:pPr>
      <w:r>
        <w:rPr>
          <w:color w:val="231F20"/>
          <w:w w:val="110"/>
          <w:sz w:val="18"/>
        </w:rPr>
        <w:t>Doctora</w:t>
      </w:r>
      <w:r>
        <w:rPr>
          <w:color w:val="231F20"/>
          <w:spacing w:val="-13"/>
          <w:w w:val="110"/>
          <w:sz w:val="18"/>
        </w:rPr>
        <w:t> </w:t>
      </w:r>
      <w:r>
        <w:rPr>
          <w:color w:val="231F20"/>
          <w:w w:val="110"/>
          <w:sz w:val="18"/>
        </w:rPr>
        <w:t>en</w:t>
      </w:r>
      <w:r>
        <w:rPr>
          <w:color w:val="231F20"/>
          <w:spacing w:val="-13"/>
          <w:w w:val="110"/>
          <w:sz w:val="18"/>
        </w:rPr>
        <w:t> </w:t>
      </w:r>
      <w:r>
        <w:rPr>
          <w:color w:val="231F20"/>
          <w:w w:val="110"/>
          <w:sz w:val="18"/>
        </w:rPr>
        <w:t>Estudios</w:t>
      </w:r>
      <w:r>
        <w:rPr>
          <w:color w:val="231F20"/>
          <w:spacing w:val="-13"/>
          <w:w w:val="110"/>
          <w:sz w:val="18"/>
        </w:rPr>
        <w:t> </w:t>
      </w:r>
      <w:r>
        <w:rPr>
          <w:color w:val="231F20"/>
          <w:w w:val="110"/>
          <w:sz w:val="18"/>
        </w:rPr>
        <w:t>de</w:t>
      </w:r>
      <w:r>
        <w:rPr>
          <w:color w:val="231F20"/>
          <w:spacing w:val="-13"/>
          <w:w w:val="110"/>
          <w:sz w:val="18"/>
        </w:rPr>
        <w:t> </w:t>
      </w:r>
      <w:r>
        <w:rPr>
          <w:color w:val="231F20"/>
          <w:spacing w:val="-3"/>
          <w:w w:val="110"/>
          <w:sz w:val="18"/>
        </w:rPr>
        <w:t>Población</w:t>
      </w:r>
      <w:r>
        <w:rPr>
          <w:color w:val="231F20"/>
          <w:spacing w:val="-13"/>
          <w:w w:val="110"/>
          <w:sz w:val="18"/>
        </w:rPr>
        <w:t> </w:t>
      </w:r>
      <w:r>
        <w:rPr>
          <w:color w:val="231F20"/>
          <w:w w:val="110"/>
          <w:sz w:val="18"/>
        </w:rPr>
        <w:t>y</w:t>
      </w:r>
      <w:r>
        <w:rPr>
          <w:color w:val="231F20"/>
          <w:spacing w:val="-13"/>
          <w:w w:val="110"/>
          <w:sz w:val="18"/>
        </w:rPr>
        <w:t> </w:t>
      </w:r>
      <w:r>
        <w:rPr>
          <w:color w:val="231F20"/>
          <w:w w:val="110"/>
          <w:sz w:val="18"/>
        </w:rPr>
        <w:t>maestra</w:t>
      </w:r>
      <w:r>
        <w:rPr>
          <w:color w:val="231F20"/>
          <w:spacing w:val="-13"/>
          <w:w w:val="110"/>
          <w:sz w:val="18"/>
        </w:rPr>
        <w:t> </w:t>
      </w:r>
      <w:r>
        <w:rPr>
          <w:color w:val="231F20"/>
          <w:w w:val="110"/>
          <w:sz w:val="18"/>
        </w:rPr>
        <w:t>en</w:t>
      </w:r>
      <w:r>
        <w:rPr>
          <w:color w:val="231F20"/>
          <w:spacing w:val="-13"/>
          <w:w w:val="110"/>
          <w:sz w:val="18"/>
        </w:rPr>
        <w:t> </w:t>
      </w:r>
      <w:r>
        <w:rPr>
          <w:color w:val="231F20"/>
          <w:w w:val="110"/>
          <w:sz w:val="18"/>
        </w:rPr>
        <w:t>Demografía</w:t>
      </w:r>
      <w:r>
        <w:rPr>
          <w:color w:val="231F20"/>
          <w:spacing w:val="-13"/>
          <w:w w:val="110"/>
          <w:sz w:val="18"/>
        </w:rPr>
        <w:t> </w:t>
      </w:r>
      <w:r>
        <w:rPr>
          <w:color w:val="231F20"/>
          <w:w w:val="110"/>
          <w:sz w:val="18"/>
        </w:rPr>
        <w:t>por</w:t>
      </w:r>
      <w:r>
        <w:rPr>
          <w:color w:val="231F20"/>
          <w:spacing w:val="-13"/>
          <w:w w:val="110"/>
          <w:sz w:val="18"/>
        </w:rPr>
        <w:t> </w:t>
      </w:r>
      <w:r>
        <w:rPr>
          <w:color w:val="231F20"/>
          <w:w w:val="110"/>
          <w:sz w:val="18"/>
        </w:rPr>
        <w:t>El</w:t>
      </w:r>
      <w:r>
        <w:rPr>
          <w:color w:val="231F20"/>
          <w:spacing w:val="-13"/>
          <w:w w:val="110"/>
          <w:sz w:val="18"/>
        </w:rPr>
        <w:t> </w:t>
      </w:r>
      <w:r>
        <w:rPr>
          <w:color w:val="231F20"/>
          <w:w w:val="110"/>
          <w:sz w:val="18"/>
        </w:rPr>
        <w:t>Colegio</w:t>
      </w:r>
      <w:r>
        <w:rPr>
          <w:color w:val="231F20"/>
          <w:spacing w:val="-13"/>
          <w:w w:val="110"/>
          <w:sz w:val="18"/>
        </w:rPr>
        <w:t> </w:t>
      </w:r>
      <w:r>
        <w:rPr>
          <w:color w:val="231F20"/>
          <w:w w:val="110"/>
          <w:sz w:val="18"/>
        </w:rPr>
        <w:t>de</w:t>
      </w:r>
      <w:r>
        <w:rPr>
          <w:color w:val="231F20"/>
          <w:spacing w:val="-13"/>
          <w:w w:val="110"/>
          <w:sz w:val="18"/>
        </w:rPr>
        <w:t> </w:t>
      </w:r>
      <w:r>
        <w:rPr>
          <w:color w:val="231F20"/>
          <w:w w:val="110"/>
          <w:sz w:val="18"/>
        </w:rPr>
        <w:t>México. Actualmente se desempeña como profesora-investigadora en el Centro de Investi- gación y Estudios Avanzados de la Población de la Universidad Autónoma del Es- tado de México. Su actividad de investigación se centra en temas de nupcialidad y familia, con trabajos sobre: jefatura femenina de </w:t>
      </w:r>
      <w:r>
        <w:rPr>
          <w:color w:val="231F20"/>
          <w:spacing w:val="-5"/>
          <w:w w:val="110"/>
          <w:sz w:val="18"/>
        </w:rPr>
        <w:t>hogar, </w:t>
      </w:r>
      <w:r>
        <w:rPr>
          <w:color w:val="231F20"/>
          <w:w w:val="110"/>
          <w:sz w:val="18"/>
        </w:rPr>
        <w:t>homogamia en México, fe- cundidad masculina, aborto y emparejamiento conyugal. Entre sus publicaciones destacan: </w:t>
      </w:r>
      <w:r>
        <w:rPr>
          <w:i/>
          <w:color w:val="231F20"/>
          <w:w w:val="110"/>
          <w:sz w:val="18"/>
        </w:rPr>
        <w:t>La nupcialidad en México vista a través de las estadísticas vitales de</w:t>
      </w:r>
      <w:r>
        <w:rPr>
          <w:i/>
          <w:color w:val="231F20"/>
          <w:spacing w:val="-25"/>
          <w:w w:val="110"/>
          <w:sz w:val="18"/>
        </w:rPr>
        <w:t> </w:t>
      </w:r>
      <w:r>
        <w:rPr>
          <w:i/>
          <w:color w:val="231F20"/>
          <w:w w:val="110"/>
          <w:sz w:val="18"/>
        </w:rPr>
        <w:t>matri- </w:t>
      </w:r>
      <w:r>
        <w:rPr>
          <w:i/>
          <w:color w:val="231F20"/>
          <w:w w:val="110"/>
          <w:sz w:val="18"/>
        </w:rPr>
        <w:t>monios y divorcios</w:t>
      </w:r>
      <w:r>
        <w:rPr>
          <w:color w:val="231F20"/>
          <w:w w:val="110"/>
          <w:sz w:val="18"/>
        </w:rPr>
        <w:t>, 2011. En coautoría con Julieta Quilodrán: </w:t>
      </w:r>
      <w:r>
        <w:rPr>
          <w:i/>
          <w:color w:val="231F20"/>
          <w:w w:val="110"/>
          <w:sz w:val="18"/>
        </w:rPr>
        <w:t>El emparejamiento </w:t>
      </w:r>
      <w:r>
        <w:rPr>
          <w:i/>
          <w:color w:val="231F20"/>
          <w:w w:val="110"/>
          <w:sz w:val="18"/>
        </w:rPr>
        <w:t>conyugal:</w:t>
      </w:r>
      <w:r>
        <w:rPr>
          <w:i/>
          <w:color w:val="231F20"/>
          <w:spacing w:val="-10"/>
          <w:w w:val="110"/>
          <w:sz w:val="18"/>
        </w:rPr>
        <w:t> </w:t>
      </w:r>
      <w:r>
        <w:rPr>
          <w:i/>
          <w:color w:val="231F20"/>
          <w:w w:val="110"/>
          <w:sz w:val="18"/>
        </w:rPr>
        <w:t>una</w:t>
      </w:r>
      <w:r>
        <w:rPr>
          <w:i/>
          <w:color w:val="231F20"/>
          <w:spacing w:val="-10"/>
          <w:w w:val="110"/>
          <w:sz w:val="18"/>
        </w:rPr>
        <w:t> </w:t>
      </w:r>
      <w:r>
        <w:rPr>
          <w:i/>
          <w:color w:val="231F20"/>
          <w:w w:val="110"/>
          <w:sz w:val="18"/>
        </w:rPr>
        <w:t>dimensión</w:t>
      </w:r>
      <w:r>
        <w:rPr>
          <w:i/>
          <w:color w:val="231F20"/>
          <w:spacing w:val="-10"/>
          <w:w w:val="110"/>
          <w:sz w:val="18"/>
        </w:rPr>
        <w:t> </w:t>
      </w:r>
      <w:r>
        <w:rPr>
          <w:i/>
          <w:color w:val="231F20"/>
          <w:w w:val="110"/>
          <w:sz w:val="18"/>
        </w:rPr>
        <w:t>poco</w:t>
      </w:r>
      <w:r>
        <w:rPr>
          <w:i/>
          <w:color w:val="231F20"/>
          <w:spacing w:val="-10"/>
          <w:w w:val="110"/>
          <w:sz w:val="18"/>
        </w:rPr>
        <w:t> </w:t>
      </w:r>
      <w:r>
        <w:rPr>
          <w:i/>
          <w:color w:val="231F20"/>
          <w:w w:val="110"/>
          <w:sz w:val="18"/>
        </w:rPr>
        <w:t>estudiada</w:t>
      </w:r>
      <w:r>
        <w:rPr>
          <w:i/>
          <w:color w:val="231F20"/>
          <w:spacing w:val="-10"/>
          <w:w w:val="110"/>
          <w:sz w:val="18"/>
        </w:rPr>
        <w:t> </w:t>
      </w:r>
      <w:r>
        <w:rPr>
          <w:i/>
          <w:color w:val="231F20"/>
          <w:w w:val="110"/>
          <w:sz w:val="18"/>
        </w:rPr>
        <w:t>de</w:t>
      </w:r>
      <w:r>
        <w:rPr>
          <w:i/>
          <w:color w:val="231F20"/>
          <w:spacing w:val="-10"/>
          <w:w w:val="110"/>
          <w:sz w:val="18"/>
        </w:rPr>
        <w:t> </w:t>
      </w:r>
      <w:r>
        <w:rPr>
          <w:i/>
          <w:color w:val="231F20"/>
          <w:w w:val="110"/>
          <w:sz w:val="18"/>
        </w:rPr>
        <w:t>la</w:t>
      </w:r>
      <w:r>
        <w:rPr>
          <w:i/>
          <w:color w:val="231F20"/>
          <w:spacing w:val="-10"/>
          <w:w w:val="110"/>
          <w:sz w:val="18"/>
        </w:rPr>
        <w:t> </w:t>
      </w:r>
      <w:r>
        <w:rPr>
          <w:i/>
          <w:color w:val="231F20"/>
          <w:w w:val="110"/>
          <w:sz w:val="18"/>
        </w:rPr>
        <w:t>formación</w:t>
      </w:r>
      <w:r>
        <w:rPr>
          <w:i/>
          <w:color w:val="231F20"/>
          <w:spacing w:val="-10"/>
          <w:w w:val="110"/>
          <w:sz w:val="18"/>
        </w:rPr>
        <w:t> </w:t>
      </w:r>
      <w:r>
        <w:rPr>
          <w:i/>
          <w:color w:val="231F20"/>
          <w:w w:val="110"/>
          <w:sz w:val="18"/>
        </w:rPr>
        <w:t>de</w:t>
      </w:r>
      <w:r>
        <w:rPr>
          <w:i/>
          <w:color w:val="231F20"/>
          <w:spacing w:val="-10"/>
          <w:w w:val="110"/>
          <w:sz w:val="18"/>
        </w:rPr>
        <w:t> </w:t>
      </w:r>
      <w:r>
        <w:rPr>
          <w:i/>
          <w:color w:val="231F20"/>
          <w:w w:val="110"/>
          <w:sz w:val="18"/>
        </w:rPr>
        <w:t>las</w:t>
      </w:r>
      <w:r>
        <w:rPr>
          <w:i/>
          <w:color w:val="231F20"/>
          <w:spacing w:val="-10"/>
          <w:w w:val="110"/>
          <w:sz w:val="18"/>
        </w:rPr>
        <w:t> </w:t>
      </w:r>
      <w:r>
        <w:rPr>
          <w:i/>
          <w:color w:val="231F20"/>
          <w:w w:val="110"/>
          <w:sz w:val="18"/>
        </w:rPr>
        <w:t>parejas</w:t>
      </w:r>
      <w:r>
        <w:rPr>
          <w:color w:val="231F20"/>
          <w:w w:val="110"/>
          <w:sz w:val="18"/>
        </w:rPr>
        <w:t>,</w:t>
      </w:r>
      <w:r>
        <w:rPr>
          <w:color w:val="231F20"/>
          <w:spacing w:val="-7"/>
          <w:w w:val="110"/>
          <w:sz w:val="18"/>
        </w:rPr>
        <w:t> </w:t>
      </w:r>
      <w:r>
        <w:rPr>
          <w:color w:val="231F20"/>
          <w:w w:val="110"/>
          <w:sz w:val="18"/>
        </w:rPr>
        <w:t>2004</w:t>
      </w:r>
      <w:r>
        <w:rPr>
          <w:color w:val="231F20"/>
          <w:spacing w:val="-7"/>
          <w:w w:val="110"/>
          <w:sz w:val="18"/>
        </w:rPr>
        <w:t> </w:t>
      </w:r>
      <w:r>
        <w:rPr>
          <w:color w:val="231F20"/>
          <w:w w:val="110"/>
          <w:sz w:val="18"/>
        </w:rPr>
        <w:t>y</w:t>
      </w:r>
      <w:r>
        <w:rPr>
          <w:color w:val="231F20"/>
          <w:spacing w:val="-7"/>
          <w:w w:val="110"/>
          <w:sz w:val="18"/>
        </w:rPr>
        <w:t> </w:t>
      </w:r>
      <w:r>
        <w:rPr>
          <w:i/>
          <w:color w:val="231F20"/>
          <w:w w:val="110"/>
          <w:sz w:val="18"/>
        </w:rPr>
        <w:t>El</w:t>
      </w:r>
      <w:r>
        <w:rPr>
          <w:i/>
          <w:color w:val="231F20"/>
          <w:spacing w:val="-10"/>
          <w:w w:val="110"/>
          <w:sz w:val="18"/>
        </w:rPr>
        <w:t> </w:t>
      </w:r>
      <w:r>
        <w:rPr>
          <w:i/>
          <w:color w:val="231F20"/>
          <w:w w:val="110"/>
          <w:sz w:val="18"/>
        </w:rPr>
        <w:t>tipo </w:t>
      </w:r>
      <w:r>
        <w:rPr>
          <w:i/>
          <w:color w:val="231F20"/>
          <w:w w:val="110"/>
          <w:sz w:val="18"/>
        </w:rPr>
        <w:t>de</w:t>
      </w:r>
      <w:r>
        <w:rPr>
          <w:i/>
          <w:color w:val="231F20"/>
          <w:spacing w:val="-20"/>
          <w:w w:val="110"/>
          <w:sz w:val="18"/>
        </w:rPr>
        <w:t> </w:t>
      </w:r>
      <w:r>
        <w:rPr>
          <w:i/>
          <w:color w:val="231F20"/>
          <w:w w:val="110"/>
          <w:sz w:val="18"/>
        </w:rPr>
        <w:t>unión</w:t>
      </w:r>
      <w:r>
        <w:rPr>
          <w:i/>
          <w:color w:val="231F20"/>
          <w:spacing w:val="-20"/>
          <w:w w:val="110"/>
          <w:sz w:val="18"/>
        </w:rPr>
        <w:t> </w:t>
      </w:r>
      <w:r>
        <w:rPr>
          <w:i/>
          <w:color w:val="231F20"/>
          <w:w w:val="110"/>
          <w:sz w:val="18"/>
        </w:rPr>
        <w:t>y</w:t>
      </w:r>
      <w:r>
        <w:rPr>
          <w:i/>
          <w:color w:val="231F20"/>
          <w:spacing w:val="-20"/>
          <w:w w:val="110"/>
          <w:sz w:val="18"/>
        </w:rPr>
        <w:t> </w:t>
      </w:r>
      <w:r>
        <w:rPr>
          <w:i/>
          <w:color w:val="231F20"/>
          <w:w w:val="110"/>
          <w:sz w:val="18"/>
        </w:rPr>
        <w:t>el</w:t>
      </w:r>
      <w:r>
        <w:rPr>
          <w:i/>
          <w:color w:val="231F20"/>
          <w:spacing w:val="-20"/>
          <w:w w:val="110"/>
          <w:sz w:val="18"/>
        </w:rPr>
        <w:t> </w:t>
      </w:r>
      <w:r>
        <w:rPr>
          <w:i/>
          <w:color w:val="231F20"/>
          <w:w w:val="110"/>
          <w:sz w:val="18"/>
        </w:rPr>
        <w:t>aborto:</w:t>
      </w:r>
      <w:r>
        <w:rPr>
          <w:i/>
          <w:color w:val="231F20"/>
          <w:spacing w:val="-20"/>
          <w:w w:val="110"/>
          <w:sz w:val="18"/>
        </w:rPr>
        <w:t> </w:t>
      </w:r>
      <w:r>
        <w:rPr>
          <w:i/>
          <w:color w:val="231F20"/>
          <w:w w:val="110"/>
          <w:sz w:val="18"/>
        </w:rPr>
        <w:t>una</w:t>
      </w:r>
      <w:r>
        <w:rPr>
          <w:i/>
          <w:color w:val="231F20"/>
          <w:spacing w:val="-20"/>
          <w:w w:val="110"/>
          <w:sz w:val="18"/>
        </w:rPr>
        <w:t> </w:t>
      </w:r>
      <w:r>
        <w:rPr>
          <w:i/>
          <w:color w:val="231F20"/>
          <w:w w:val="110"/>
          <w:sz w:val="18"/>
        </w:rPr>
        <w:t>comparación</w:t>
      </w:r>
      <w:r>
        <w:rPr>
          <w:i/>
          <w:color w:val="231F20"/>
          <w:spacing w:val="-20"/>
          <w:w w:val="110"/>
          <w:sz w:val="18"/>
        </w:rPr>
        <w:t> </w:t>
      </w:r>
      <w:r>
        <w:rPr>
          <w:i/>
          <w:color w:val="231F20"/>
          <w:w w:val="110"/>
          <w:sz w:val="18"/>
        </w:rPr>
        <w:t>generacional</w:t>
      </w:r>
      <w:r>
        <w:rPr>
          <w:i/>
          <w:color w:val="231F20"/>
          <w:spacing w:val="-20"/>
          <w:w w:val="110"/>
          <w:sz w:val="18"/>
        </w:rPr>
        <w:t> </w:t>
      </w:r>
      <w:r>
        <w:rPr>
          <w:i/>
          <w:color w:val="231F20"/>
          <w:w w:val="110"/>
          <w:sz w:val="18"/>
        </w:rPr>
        <w:t>para</w:t>
      </w:r>
      <w:r>
        <w:rPr>
          <w:i/>
          <w:color w:val="231F20"/>
          <w:spacing w:val="-20"/>
          <w:w w:val="110"/>
          <w:sz w:val="18"/>
        </w:rPr>
        <w:t> </w:t>
      </w:r>
      <w:r>
        <w:rPr>
          <w:i/>
          <w:color w:val="231F20"/>
          <w:w w:val="110"/>
          <w:sz w:val="18"/>
        </w:rPr>
        <w:t>México</w:t>
      </w:r>
      <w:r>
        <w:rPr>
          <w:color w:val="231F20"/>
          <w:w w:val="110"/>
          <w:sz w:val="18"/>
        </w:rPr>
        <w:t>,</w:t>
      </w:r>
      <w:r>
        <w:rPr>
          <w:color w:val="231F20"/>
          <w:spacing w:val="-17"/>
          <w:w w:val="110"/>
          <w:sz w:val="18"/>
        </w:rPr>
        <w:t> </w:t>
      </w:r>
      <w:r>
        <w:rPr>
          <w:color w:val="231F20"/>
          <w:w w:val="110"/>
          <w:sz w:val="18"/>
        </w:rPr>
        <w:t>2004.</w:t>
      </w:r>
    </w:p>
    <w:p>
      <w:pPr>
        <w:pStyle w:val="BodyText"/>
        <w:spacing w:before="2"/>
        <w:rPr>
          <w:sz w:val="23"/>
        </w:rPr>
      </w:pPr>
    </w:p>
    <w:p>
      <w:pPr>
        <w:spacing w:before="0"/>
        <w:ind w:left="124" w:right="0" w:firstLine="0"/>
        <w:jc w:val="both"/>
        <w:rPr>
          <w:i/>
          <w:sz w:val="18"/>
        </w:rPr>
      </w:pPr>
      <w:r>
        <w:rPr>
          <w:i/>
          <w:color w:val="231F20"/>
          <w:sz w:val="18"/>
        </w:rPr>
        <w:t>Norma  Baca Tavira</w:t>
      </w:r>
    </w:p>
    <w:p>
      <w:pPr>
        <w:spacing w:line="309" w:lineRule="auto" w:before="61"/>
        <w:ind w:left="124" w:right="112" w:firstLine="0"/>
        <w:jc w:val="both"/>
        <w:rPr>
          <w:sz w:val="18"/>
        </w:rPr>
      </w:pPr>
      <w:r>
        <w:rPr>
          <w:color w:val="231F20"/>
          <w:w w:val="110"/>
          <w:sz w:val="18"/>
        </w:rPr>
        <w:t>Economista y maestra en Estudios Urbanos y Regionales por la Universidad Autó- </w:t>
      </w:r>
      <w:r>
        <w:rPr>
          <w:color w:val="231F20"/>
          <w:spacing w:val="2"/>
          <w:w w:val="110"/>
          <w:sz w:val="18"/>
        </w:rPr>
        <w:t>noma </w:t>
      </w:r>
      <w:r>
        <w:rPr>
          <w:color w:val="231F20"/>
          <w:w w:val="110"/>
          <w:sz w:val="18"/>
        </w:rPr>
        <w:t>del </w:t>
      </w:r>
      <w:r>
        <w:rPr>
          <w:color w:val="231F20"/>
          <w:spacing w:val="2"/>
          <w:w w:val="110"/>
          <w:sz w:val="18"/>
        </w:rPr>
        <w:t>Estado </w:t>
      </w:r>
      <w:r>
        <w:rPr>
          <w:color w:val="231F20"/>
          <w:w w:val="110"/>
          <w:sz w:val="18"/>
        </w:rPr>
        <w:t>de </w:t>
      </w:r>
      <w:r>
        <w:rPr>
          <w:color w:val="231F20"/>
          <w:spacing w:val="2"/>
          <w:w w:val="110"/>
          <w:sz w:val="18"/>
        </w:rPr>
        <w:t>México </w:t>
      </w:r>
      <w:r>
        <w:rPr>
          <w:color w:val="231F20"/>
          <w:w w:val="110"/>
          <w:sz w:val="18"/>
        </w:rPr>
        <w:t>(</w:t>
      </w:r>
      <w:r>
        <w:rPr>
          <w:rFonts w:ascii="Times New Roman" w:hAnsi="Times New Roman"/>
          <w:color w:val="231F20"/>
          <w:w w:val="110"/>
          <w:sz w:val="14"/>
        </w:rPr>
        <w:t>UAEM</w:t>
      </w:r>
      <w:r>
        <w:rPr>
          <w:color w:val="231F20"/>
          <w:w w:val="110"/>
          <w:sz w:val="18"/>
        </w:rPr>
        <w:t>) y </w:t>
      </w:r>
      <w:r>
        <w:rPr>
          <w:color w:val="231F20"/>
          <w:spacing w:val="2"/>
          <w:w w:val="110"/>
          <w:sz w:val="18"/>
        </w:rPr>
        <w:t>doctora </w:t>
      </w:r>
      <w:r>
        <w:rPr>
          <w:color w:val="231F20"/>
          <w:w w:val="110"/>
          <w:sz w:val="18"/>
        </w:rPr>
        <w:t>en </w:t>
      </w:r>
      <w:r>
        <w:rPr>
          <w:color w:val="231F20"/>
          <w:spacing w:val="2"/>
          <w:w w:val="110"/>
          <w:sz w:val="18"/>
        </w:rPr>
        <w:t>Geografía </w:t>
      </w:r>
      <w:r>
        <w:rPr>
          <w:color w:val="231F20"/>
          <w:w w:val="110"/>
          <w:sz w:val="18"/>
        </w:rPr>
        <w:t>por la </w:t>
      </w:r>
      <w:r>
        <w:rPr>
          <w:color w:val="231F20"/>
          <w:spacing w:val="2"/>
          <w:w w:val="110"/>
          <w:sz w:val="18"/>
        </w:rPr>
        <w:t>Universidad </w:t>
      </w:r>
      <w:r>
        <w:rPr>
          <w:color w:val="231F20"/>
          <w:w w:val="110"/>
          <w:sz w:val="18"/>
        </w:rPr>
        <w:t>Nacional Autónoma de México (</w:t>
      </w:r>
      <w:r>
        <w:rPr>
          <w:rFonts w:ascii="Times New Roman" w:hAnsi="Times New Roman"/>
          <w:color w:val="231F20"/>
          <w:w w:val="110"/>
          <w:sz w:val="14"/>
        </w:rPr>
        <w:t>UNAM</w:t>
      </w:r>
      <w:r>
        <w:rPr>
          <w:color w:val="231F20"/>
          <w:w w:val="110"/>
          <w:sz w:val="18"/>
        </w:rPr>
        <w:t>). Es investigadora en el Centro de Investiga- ción en Ciencias Sociales y Humanidades de la </w:t>
      </w:r>
      <w:r>
        <w:rPr>
          <w:rFonts w:ascii="Times New Roman" w:hAnsi="Times New Roman"/>
          <w:color w:val="231F20"/>
          <w:w w:val="110"/>
          <w:sz w:val="14"/>
        </w:rPr>
        <w:t>UAEM</w:t>
      </w:r>
      <w:r>
        <w:rPr>
          <w:color w:val="231F20"/>
          <w:w w:val="110"/>
          <w:sz w:val="18"/>
        </w:rPr>
        <w:t>. Las líneas de investigación que</w:t>
      </w:r>
      <w:r>
        <w:rPr>
          <w:color w:val="231F20"/>
          <w:spacing w:val="-6"/>
          <w:w w:val="110"/>
          <w:sz w:val="18"/>
        </w:rPr>
        <w:t> </w:t>
      </w:r>
      <w:r>
        <w:rPr>
          <w:color w:val="231F20"/>
          <w:w w:val="110"/>
          <w:sz w:val="18"/>
        </w:rPr>
        <w:t>desarrolla</w:t>
      </w:r>
      <w:r>
        <w:rPr>
          <w:color w:val="231F20"/>
          <w:spacing w:val="-6"/>
          <w:w w:val="110"/>
          <w:sz w:val="18"/>
        </w:rPr>
        <w:t> </w:t>
      </w:r>
      <w:r>
        <w:rPr>
          <w:color w:val="231F20"/>
          <w:w w:val="110"/>
          <w:sz w:val="18"/>
        </w:rPr>
        <w:t>son</w:t>
      </w:r>
      <w:r>
        <w:rPr>
          <w:color w:val="231F20"/>
          <w:spacing w:val="-6"/>
          <w:w w:val="110"/>
          <w:sz w:val="18"/>
        </w:rPr>
        <w:t> </w:t>
      </w:r>
      <w:r>
        <w:rPr>
          <w:color w:val="231F20"/>
          <w:w w:val="110"/>
          <w:sz w:val="18"/>
        </w:rPr>
        <w:t>mercados</w:t>
      </w:r>
      <w:r>
        <w:rPr>
          <w:color w:val="231F20"/>
          <w:spacing w:val="-6"/>
          <w:w w:val="110"/>
          <w:sz w:val="18"/>
        </w:rPr>
        <w:t> </w:t>
      </w:r>
      <w:r>
        <w:rPr>
          <w:color w:val="231F20"/>
          <w:w w:val="110"/>
          <w:sz w:val="18"/>
        </w:rPr>
        <w:t>de</w:t>
      </w:r>
      <w:r>
        <w:rPr>
          <w:color w:val="231F20"/>
          <w:spacing w:val="-6"/>
          <w:w w:val="110"/>
          <w:sz w:val="18"/>
        </w:rPr>
        <w:t> </w:t>
      </w:r>
      <w:r>
        <w:rPr>
          <w:color w:val="231F20"/>
          <w:w w:val="110"/>
          <w:sz w:val="18"/>
        </w:rPr>
        <w:t>trabajo,</w:t>
      </w:r>
      <w:r>
        <w:rPr>
          <w:color w:val="231F20"/>
          <w:spacing w:val="-6"/>
          <w:w w:val="110"/>
          <w:sz w:val="18"/>
        </w:rPr>
        <w:t> </w:t>
      </w:r>
      <w:r>
        <w:rPr>
          <w:color w:val="231F20"/>
          <w:w w:val="110"/>
          <w:sz w:val="18"/>
        </w:rPr>
        <w:t>migraciones</w:t>
      </w:r>
      <w:r>
        <w:rPr>
          <w:color w:val="231F20"/>
          <w:spacing w:val="-6"/>
          <w:w w:val="110"/>
          <w:sz w:val="18"/>
        </w:rPr>
        <w:t> </w:t>
      </w:r>
      <w:r>
        <w:rPr>
          <w:color w:val="231F20"/>
          <w:w w:val="110"/>
          <w:sz w:val="18"/>
        </w:rPr>
        <w:t>internacionales</w:t>
      </w:r>
      <w:r>
        <w:rPr>
          <w:color w:val="231F20"/>
          <w:spacing w:val="-6"/>
          <w:w w:val="110"/>
          <w:sz w:val="18"/>
        </w:rPr>
        <w:t> </w:t>
      </w:r>
      <w:r>
        <w:rPr>
          <w:color w:val="231F20"/>
          <w:w w:val="110"/>
          <w:sz w:val="18"/>
        </w:rPr>
        <w:t>y</w:t>
      </w:r>
      <w:r>
        <w:rPr>
          <w:color w:val="231F20"/>
          <w:spacing w:val="-6"/>
          <w:w w:val="110"/>
          <w:sz w:val="18"/>
        </w:rPr>
        <w:t> </w:t>
      </w:r>
      <w:r>
        <w:rPr>
          <w:color w:val="231F20"/>
          <w:w w:val="110"/>
          <w:sz w:val="18"/>
        </w:rPr>
        <w:t>la</w:t>
      </w:r>
      <w:r>
        <w:rPr>
          <w:color w:val="231F20"/>
          <w:spacing w:val="-6"/>
          <w:w w:val="110"/>
          <w:sz w:val="18"/>
        </w:rPr>
        <w:t> </w:t>
      </w:r>
      <w:r>
        <w:rPr>
          <w:color w:val="231F20"/>
          <w:w w:val="110"/>
          <w:sz w:val="18"/>
        </w:rPr>
        <w:t>participa- ción por género. Ha publicado libros y diversos capítulos y artículos en revistas especializadas sobre estas áreas de investigación. Es miembro del Sistema Nacio- nal de Investigadores, líder del Cuerpo Académico Género y Desigualdades e inte- grante del Comité Académico de la Especialidad en Género, violencia y políticas públicas.</w:t>
      </w:r>
    </w:p>
    <w:p>
      <w:pPr>
        <w:pStyle w:val="BodyText"/>
        <w:spacing w:before="2"/>
        <w:rPr>
          <w:sz w:val="23"/>
        </w:rPr>
      </w:pPr>
    </w:p>
    <w:p>
      <w:pPr>
        <w:spacing w:before="0"/>
        <w:ind w:left="124" w:right="0" w:firstLine="0"/>
        <w:jc w:val="both"/>
        <w:rPr>
          <w:i/>
          <w:sz w:val="18"/>
        </w:rPr>
      </w:pPr>
      <w:r>
        <w:rPr>
          <w:i/>
          <w:color w:val="231F20"/>
          <w:w w:val="110"/>
          <w:sz w:val="18"/>
        </w:rPr>
        <w:t>Pablo Jasso Salas</w:t>
      </w:r>
    </w:p>
    <w:p>
      <w:pPr>
        <w:spacing w:line="309" w:lineRule="auto" w:before="61"/>
        <w:ind w:left="124" w:right="111" w:firstLine="0"/>
        <w:jc w:val="both"/>
        <w:rPr>
          <w:sz w:val="18"/>
        </w:rPr>
      </w:pPr>
      <w:r>
        <w:rPr>
          <w:color w:val="231F20"/>
          <w:spacing w:val="-4"/>
          <w:w w:val="110"/>
          <w:sz w:val="18"/>
        </w:rPr>
        <w:t>Licenciado </w:t>
      </w:r>
      <w:r>
        <w:rPr>
          <w:color w:val="231F20"/>
          <w:w w:val="110"/>
          <w:sz w:val="18"/>
        </w:rPr>
        <w:t>en </w:t>
      </w:r>
      <w:r>
        <w:rPr>
          <w:color w:val="231F20"/>
          <w:spacing w:val="-4"/>
          <w:w w:val="110"/>
          <w:sz w:val="18"/>
        </w:rPr>
        <w:t>Economía, maestro </w:t>
      </w:r>
      <w:r>
        <w:rPr>
          <w:color w:val="231F20"/>
          <w:w w:val="110"/>
          <w:sz w:val="18"/>
        </w:rPr>
        <w:t>en </w:t>
      </w:r>
      <w:r>
        <w:rPr>
          <w:color w:val="231F20"/>
          <w:spacing w:val="-4"/>
          <w:w w:val="110"/>
          <w:sz w:val="18"/>
        </w:rPr>
        <w:t>Estudios Urbanos </w:t>
      </w:r>
      <w:r>
        <w:rPr>
          <w:color w:val="231F20"/>
          <w:w w:val="110"/>
          <w:sz w:val="18"/>
        </w:rPr>
        <w:t>y </w:t>
      </w:r>
      <w:r>
        <w:rPr>
          <w:color w:val="231F20"/>
          <w:spacing w:val="-4"/>
          <w:w w:val="110"/>
          <w:sz w:val="18"/>
        </w:rPr>
        <w:t>Regionales, doctor </w:t>
      </w:r>
      <w:r>
        <w:rPr>
          <w:color w:val="231F20"/>
          <w:w w:val="110"/>
          <w:sz w:val="18"/>
        </w:rPr>
        <w:t>en </w:t>
      </w:r>
      <w:r>
        <w:rPr>
          <w:color w:val="231F20"/>
          <w:spacing w:val="-4"/>
          <w:w w:val="110"/>
          <w:sz w:val="18"/>
        </w:rPr>
        <w:t>Urba- </w:t>
      </w:r>
      <w:r>
        <w:rPr>
          <w:color w:val="231F20"/>
          <w:w w:val="110"/>
          <w:sz w:val="18"/>
        </w:rPr>
        <w:t>nismo</w:t>
      </w:r>
      <w:r>
        <w:rPr>
          <w:color w:val="231F20"/>
          <w:spacing w:val="-4"/>
          <w:w w:val="110"/>
          <w:sz w:val="18"/>
        </w:rPr>
        <w:t> </w:t>
      </w:r>
      <w:r>
        <w:rPr>
          <w:color w:val="231F20"/>
          <w:w w:val="110"/>
          <w:sz w:val="18"/>
        </w:rPr>
        <w:t>por</w:t>
      </w:r>
      <w:r>
        <w:rPr>
          <w:color w:val="231F20"/>
          <w:spacing w:val="-4"/>
          <w:w w:val="110"/>
          <w:sz w:val="18"/>
        </w:rPr>
        <w:t> </w:t>
      </w:r>
      <w:r>
        <w:rPr>
          <w:color w:val="231F20"/>
          <w:w w:val="110"/>
          <w:sz w:val="18"/>
        </w:rPr>
        <w:t>la</w:t>
      </w:r>
      <w:r>
        <w:rPr>
          <w:color w:val="231F20"/>
          <w:spacing w:val="-4"/>
          <w:w w:val="110"/>
          <w:sz w:val="18"/>
        </w:rPr>
        <w:t> </w:t>
      </w:r>
      <w:r>
        <w:rPr>
          <w:color w:val="231F20"/>
          <w:w w:val="110"/>
          <w:sz w:val="18"/>
        </w:rPr>
        <w:t>Universidad</w:t>
      </w:r>
      <w:r>
        <w:rPr>
          <w:color w:val="231F20"/>
          <w:spacing w:val="-4"/>
          <w:w w:val="110"/>
          <w:sz w:val="18"/>
        </w:rPr>
        <w:t> </w:t>
      </w:r>
      <w:r>
        <w:rPr>
          <w:color w:val="231F20"/>
          <w:spacing w:val="-3"/>
          <w:w w:val="110"/>
          <w:sz w:val="18"/>
        </w:rPr>
        <w:t>Autónoma</w:t>
      </w:r>
      <w:r>
        <w:rPr>
          <w:color w:val="231F20"/>
          <w:spacing w:val="-4"/>
          <w:w w:val="110"/>
          <w:sz w:val="18"/>
        </w:rPr>
        <w:t> </w:t>
      </w:r>
      <w:r>
        <w:rPr>
          <w:color w:val="231F20"/>
          <w:w w:val="110"/>
          <w:sz w:val="18"/>
        </w:rPr>
        <w:t>del</w:t>
      </w:r>
      <w:r>
        <w:rPr>
          <w:color w:val="231F20"/>
          <w:spacing w:val="-4"/>
          <w:w w:val="110"/>
          <w:sz w:val="18"/>
        </w:rPr>
        <w:t> </w:t>
      </w:r>
      <w:r>
        <w:rPr>
          <w:color w:val="231F20"/>
          <w:w w:val="110"/>
          <w:sz w:val="18"/>
        </w:rPr>
        <w:t>Estado</w:t>
      </w:r>
      <w:r>
        <w:rPr>
          <w:color w:val="231F20"/>
          <w:spacing w:val="-4"/>
          <w:w w:val="110"/>
          <w:sz w:val="18"/>
        </w:rPr>
        <w:t> </w:t>
      </w:r>
      <w:r>
        <w:rPr>
          <w:color w:val="231F20"/>
          <w:w w:val="110"/>
          <w:sz w:val="18"/>
        </w:rPr>
        <w:t>de</w:t>
      </w:r>
      <w:r>
        <w:rPr>
          <w:color w:val="231F20"/>
          <w:spacing w:val="-4"/>
          <w:w w:val="110"/>
          <w:sz w:val="18"/>
        </w:rPr>
        <w:t> </w:t>
      </w:r>
      <w:r>
        <w:rPr>
          <w:color w:val="231F20"/>
          <w:w w:val="110"/>
          <w:sz w:val="18"/>
        </w:rPr>
        <w:t>México.</w:t>
      </w:r>
      <w:r>
        <w:rPr>
          <w:color w:val="231F20"/>
          <w:spacing w:val="-4"/>
          <w:w w:val="110"/>
          <w:sz w:val="18"/>
        </w:rPr>
        <w:t> </w:t>
      </w:r>
      <w:r>
        <w:rPr>
          <w:color w:val="231F20"/>
          <w:spacing w:val="-3"/>
          <w:w w:val="110"/>
          <w:sz w:val="18"/>
        </w:rPr>
        <w:t>Autor</w:t>
      </w:r>
      <w:r>
        <w:rPr>
          <w:color w:val="231F20"/>
          <w:spacing w:val="-4"/>
          <w:w w:val="110"/>
          <w:sz w:val="18"/>
        </w:rPr>
        <w:t> </w:t>
      </w:r>
      <w:r>
        <w:rPr>
          <w:color w:val="231F20"/>
          <w:w w:val="110"/>
          <w:sz w:val="18"/>
        </w:rPr>
        <w:t>del</w:t>
      </w:r>
      <w:r>
        <w:rPr>
          <w:color w:val="231F20"/>
          <w:spacing w:val="-4"/>
          <w:w w:val="110"/>
          <w:sz w:val="18"/>
        </w:rPr>
        <w:t> </w:t>
      </w:r>
      <w:r>
        <w:rPr>
          <w:color w:val="231F20"/>
          <w:w w:val="110"/>
          <w:sz w:val="18"/>
        </w:rPr>
        <w:t>artículo</w:t>
      </w:r>
      <w:r>
        <w:rPr>
          <w:color w:val="231F20"/>
          <w:spacing w:val="-1"/>
          <w:w w:val="110"/>
          <w:sz w:val="18"/>
        </w:rPr>
        <w:t> </w:t>
      </w:r>
      <w:r>
        <w:rPr>
          <w:color w:val="231F20"/>
          <w:w w:val="110"/>
          <w:sz w:val="18"/>
        </w:rPr>
        <w:t>cientí- fico </w:t>
      </w:r>
      <w:r>
        <w:rPr>
          <w:color w:val="231F20"/>
          <w:spacing w:val="4"/>
          <w:w w:val="110"/>
          <w:sz w:val="18"/>
        </w:rPr>
        <w:t>“Los </w:t>
      </w:r>
      <w:r>
        <w:rPr>
          <w:color w:val="231F20"/>
          <w:w w:val="110"/>
          <w:sz w:val="18"/>
        </w:rPr>
        <w:t>adultos mayores en las zonas metropolitanas de </w:t>
      </w:r>
      <w:r>
        <w:rPr>
          <w:color w:val="231F20"/>
          <w:spacing w:val="2"/>
          <w:w w:val="110"/>
          <w:sz w:val="18"/>
        </w:rPr>
        <w:t>México: Desigualdad </w:t>
      </w:r>
      <w:r>
        <w:rPr>
          <w:color w:val="231F20"/>
          <w:w w:val="110"/>
          <w:sz w:val="18"/>
        </w:rPr>
        <w:t>socioeconómica y distribución espacial”; capítulos de libro: </w:t>
      </w:r>
      <w:r>
        <w:rPr>
          <w:color w:val="231F20"/>
          <w:spacing w:val="3"/>
          <w:w w:val="110"/>
          <w:sz w:val="18"/>
        </w:rPr>
        <w:t>“Los </w:t>
      </w:r>
      <w:r>
        <w:rPr>
          <w:color w:val="231F20"/>
          <w:w w:val="110"/>
          <w:sz w:val="18"/>
        </w:rPr>
        <w:t>adultos mayores en las zonas metropolitanas de </w:t>
      </w:r>
      <w:r>
        <w:rPr>
          <w:color w:val="231F20"/>
          <w:spacing w:val="-3"/>
          <w:w w:val="110"/>
          <w:sz w:val="18"/>
        </w:rPr>
        <w:t>Toluca </w:t>
      </w:r>
      <w:r>
        <w:rPr>
          <w:color w:val="231F20"/>
          <w:w w:val="110"/>
          <w:sz w:val="18"/>
        </w:rPr>
        <w:t>y Pachuca: Desigualdad sociodemográfica, 1990-2005”, </w:t>
      </w:r>
      <w:r>
        <w:rPr>
          <w:color w:val="231F20"/>
          <w:spacing w:val="3"/>
          <w:w w:val="110"/>
          <w:sz w:val="18"/>
        </w:rPr>
        <w:t>“Los </w:t>
      </w:r>
      <w:r>
        <w:rPr>
          <w:color w:val="231F20"/>
          <w:w w:val="110"/>
          <w:sz w:val="18"/>
        </w:rPr>
        <w:t>adultos mayores en las zonas metropolitanas de </w:t>
      </w:r>
      <w:r>
        <w:rPr>
          <w:color w:val="231F20"/>
          <w:spacing w:val="-5"/>
          <w:w w:val="110"/>
          <w:sz w:val="18"/>
        </w:rPr>
        <w:t>Toluca </w:t>
      </w:r>
      <w:r>
        <w:rPr>
          <w:color w:val="231F20"/>
          <w:w w:val="110"/>
          <w:sz w:val="18"/>
        </w:rPr>
        <w:t>y Tulan- cingo y sus repercusiones sociales”; cortometraje “El envejecimiento urbano en México”. Participante en diversos proyectos de investigación en el Centro de</w:t>
      </w:r>
      <w:r>
        <w:rPr>
          <w:color w:val="231F20"/>
          <w:spacing w:val="-23"/>
          <w:w w:val="110"/>
          <w:sz w:val="18"/>
        </w:rPr>
        <w:t> </w:t>
      </w:r>
      <w:r>
        <w:rPr>
          <w:color w:val="231F20"/>
          <w:w w:val="110"/>
          <w:sz w:val="18"/>
        </w:rPr>
        <w:t>Inves- tigación y Estudios Avanzados de la Población y ponente en diversos foros acadé- micos nacionales e internacionales. Organizador-fundador del Seminario Interna- cional “Envejecimiento de la población: Un enfoque multidisciplinario”. </w:t>
      </w:r>
      <w:r>
        <w:rPr>
          <w:color w:val="231F20"/>
          <w:spacing w:val="-6"/>
          <w:w w:val="110"/>
          <w:sz w:val="18"/>
        </w:rPr>
        <w:t>Temas </w:t>
      </w:r>
      <w:r>
        <w:rPr>
          <w:color w:val="231F20"/>
          <w:w w:val="110"/>
          <w:sz w:val="18"/>
        </w:rPr>
        <w:t>de </w:t>
      </w:r>
      <w:r>
        <w:rPr>
          <w:color w:val="231F20"/>
          <w:spacing w:val="-4"/>
          <w:w w:val="110"/>
          <w:sz w:val="18"/>
        </w:rPr>
        <w:t>investigación: adultos mayores </w:t>
      </w:r>
      <w:r>
        <w:rPr>
          <w:color w:val="231F20"/>
          <w:w w:val="110"/>
          <w:sz w:val="18"/>
        </w:rPr>
        <w:t>y </w:t>
      </w:r>
      <w:r>
        <w:rPr>
          <w:color w:val="231F20"/>
          <w:spacing w:val="-4"/>
          <w:w w:val="110"/>
          <w:sz w:val="18"/>
        </w:rPr>
        <w:t>grupos vulnerables </w:t>
      </w:r>
      <w:r>
        <w:rPr>
          <w:color w:val="231F20"/>
          <w:w w:val="110"/>
          <w:sz w:val="18"/>
        </w:rPr>
        <w:t>en </w:t>
      </w:r>
      <w:r>
        <w:rPr>
          <w:color w:val="231F20"/>
          <w:spacing w:val="-3"/>
          <w:w w:val="110"/>
          <w:sz w:val="18"/>
        </w:rPr>
        <w:t>los </w:t>
      </w:r>
      <w:r>
        <w:rPr>
          <w:color w:val="231F20"/>
          <w:spacing w:val="-4"/>
          <w:w w:val="110"/>
          <w:sz w:val="18"/>
        </w:rPr>
        <w:t>centros  </w:t>
      </w:r>
      <w:r>
        <w:rPr>
          <w:color w:val="231F20"/>
          <w:spacing w:val="-3"/>
          <w:w w:val="110"/>
          <w:sz w:val="18"/>
        </w:rPr>
        <w:t> </w:t>
      </w:r>
      <w:r>
        <w:rPr>
          <w:color w:val="231F20"/>
          <w:w w:val="110"/>
          <w:sz w:val="18"/>
        </w:rPr>
        <w:t>urbanos.</w:t>
      </w:r>
    </w:p>
    <w:p>
      <w:pPr>
        <w:spacing w:after="0" w:line="309" w:lineRule="auto"/>
        <w:jc w:val="both"/>
        <w:rPr>
          <w:sz w:val="18"/>
        </w:rPr>
        <w:sectPr>
          <w:pgSz w:w="9520" w:h="12920"/>
          <w:pgMar w:header="0" w:footer="1344" w:top="880" w:bottom="1540" w:left="1320" w:right="1000"/>
        </w:sectPr>
      </w:pPr>
    </w:p>
    <w:p>
      <w:pPr>
        <w:spacing w:before="46"/>
        <w:ind w:left="120" w:right="0" w:firstLine="0"/>
        <w:jc w:val="both"/>
        <w:rPr>
          <w:i/>
          <w:sz w:val="18"/>
        </w:rPr>
      </w:pPr>
      <w:r>
        <w:rPr>
          <w:i/>
          <w:color w:val="231F20"/>
          <w:w w:val="105"/>
          <w:sz w:val="18"/>
        </w:rPr>
        <w:t>Rosa Patricia Román Reyes</w:t>
      </w:r>
    </w:p>
    <w:p>
      <w:pPr>
        <w:spacing w:line="302" w:lineRule="auto" w:before="55"/>
        <w:ind w:left="119" w:right="116" w:firstLine="0"/>
        <w:jc w:val="both"/>
        <w:rPr>
          <w:sz w:val="18"/>
        </w:rPr>
      </w:pPr>
      <w:r>
        <w:rPr>
          <w:color w:val="231F20"/>
          <w:w w:val="110"/>
          <w:sz w:val="18"/>
        </w:rPr>
        <w:t>Licenciada en Trabajo Social por la Facultad de Ciencias Sociales de la Universidad de la República de Uruguay; maestra en Estudios de Población por la Facultad</w:t>
      </w:r>
      <w:r>
        <w:rPr>
          <w:color w:val="231F20"/>
          <w:spacing w:val="-27"/>
          <w:w w:val="110"/>
          <w:sz w:val="18"/>
        </w:rPr>
        <w:t> </w:t>
      </w:r>
      <w:r>
        <w:rPr>
          <w:color w:val="231F20"/>
          <w:w w:val="110"/>
          <w:sz w:val="18"/>
        </w:rPr>
        <w:t>Lati- noamericana de Ciencias Sociales (sede México); doctora en Estudios de Población por El Colegio de México. Desde el año 2007 se desempeña como profesora inves- tigadora de tiempo completo del Centro de Investigación y Estudios Avanzados de la </w:t>
      </w:r>
      <w:r>
        <w:rPr>
          <w:color w:val="231F20"/>
          <w:spacing w:val="-3"/>
          <w:w w:val="110"/>
          <w:sz w:val="18"/>
        </w:rPr>
        <w:t>Población, </w:t>
      </w:r>
      <w:r>
        <w:rPr>
          <w:color w:val="231F20"/>
          <w:w w:val="110"/>
          <w:sz w:val="18"/>
        </w:rPr>
        <w:t>Universidad </w:t>
      </w:r>
      <w:r>
        <w:rPr>
          <w:color w:val="231F20"/>
          <w:spacing w:val="-3"/>
          <w:w w:val="110"/>
          <w:sz w:val="18"/>
        </w:rPr>
        <w:t>Autónoma </w:t>
      </w:r>
      <w:r>
        <w:rPr>
          <w:color w:val="231F20"/>
          <w:w w:val="110"/>
          <w:sz w:val="18"/>
        </w:rPr>
        <w:t>del Estado de México </w:t>
      </w:r>
      <w:r>
        <w:rPr>
          <w:color w:val="231F20"/>
          <w:spacing w:val="-3"/>
          <w:w w:val="110"/>
          <w:sz w:val="18"/>
        </w:rPr>
        <w:t>(</w:t>
      </w:r>
      <w:r>
        <w:rPr>
          <w:rFonts w:ascii="Times New Roman" w:hAnsi="Times New Roman"/>
          <w:color w:val="231F20"/>
          <w:spacing w:val="-3"/>
          <w:w w:val="110"/>
          <w:sz w:val="14"/>
        </w:rPr>
        <w:t>UAEM</w:t>
      </w:r>
      <w:r>
        <w:rPr>
          <w:color w:val="231F20"/>
          <w:spacing w:val="-3"/>
          <w:w w:val="110"/>
          <w:sz w:val="18"/>
        </w:rPr>
        <w:t>). </w:t>
      </w:r>
      <w:r>
        <w:rPr>
          <w:color w:val="231F20"/>
          <w:w w:val="110"/>
          <w:sz w:val="18"/>
        </w:rPr>
        <w:t>Miembro del Sis- tema</w:t>
      </w:r>
      <w:r>
        <w:rPr>
          <w:color w:val="231F20"/>
          <w:spacing w:val="-5"/>
          <w:w w:val="110"/>
          <w:sz w:val="18"/>
        </w:rPr>
        <w:t> </w:t>
      </w:r>
      <w:r>
        <w:rPr>
          <w:color w:val="231F20"/>
          <w:w w:val="110"/>
          <w:sz w:val="18"/>
        </w:rPr>
        <w:t>Nacional</w:t>
      </w:r>
      <w:r>
        <w:rPr>
          <w:color w:val="231F20"/>
          <w:spacing w:val="-5"/>
          <w:w w:val="110"/>
          <w:sz w:val="18"/>
        </w:rPr>
        <w:t> </w:t>
      </w:r>
      <w:r>
        <w:rPr>
          <w:color w:val="231F20"/>
          <w:w w:val="110"/>
          <w:sz w:val="18"/>
        </w:rPr>
        <w:t>de</w:t>
      </w:r>
      <w:r>
        <w:rPr>
          <w:color w:val="231F20"/>
          <w:spacing w:val="-5"/>
          <w:w w:val="110"/>
          <w:sz w:val="18"/>
        </w:rPr>
        <w:t> </w:t>
      </w:r>
      <w:r>
        <w:rPr>
          <w:color w:val="231F20"/>
          <w:w w:val="110"/>
          <w:sz w:val="18"/>
        </w:rPr>
        <w:t>Investigadores</w:t>
      </w:r>
      <w:r>
        <w:rPr>
          <w:color w:val="231F20"/>
          <w:spacing w:val="-5"/>
          <w:w w:val="110"/>
          <w:sz w:val="18"/>
        </w:rPr>
        <w:t> </w:t>
      </w:r>
      <w:r>
        <w:rPr>
          <w:color w:val="231F20"/>
          <w:w w:val="110"/>
          <w:sz w:val="18"/>
        </w:rPr>
        <w:t>del</w:t>
      </w:r>
      <w:r>
        <w:rPr>
          <w:color w:val="231F20"/>
          <w:spacing w:val="-5"/>
          <w:w w:val="110"/>
          <w:sz w:val="18"/>
        </w:rPr>
        <w:t> </w:t>
      </w:r>
      <w:r>
        <w:rPr>
          <w:color w:val="231F20"/>
          <w:w w:val="110"/>
          <w:sz w:val="18"/>
        </w:rPr>
        <w:t>Conacyt</w:t>
      </w:r>
      <w:r>
        <w:rPr>
          <w:color w:val="231F20"/>
          <w:spacing w:val="-5"/>
          <w:w w:val="110"/>
          <w:sz w:val="18"/>
        </w:rPr>
        <w:t> </w:t>
      </w:r>
      <w:r>
        <w:rPr>
          <w:color w:val="231F20"/>
          <w:w w:val="110"/>
          <w:sz w:val="18"/>
        </w:rPr>
        <w:t>y</w:t>
      </w:r>
      <w:r>
        <w:rPr>
          <w:color w:val="231F20"/>
          <w:spacing w:val="-5"/>
          <w:w w:val="110"/>
          <w:sz w:val="18"/>
        </w:rPr>
        <w:t> </w:t>
      </w:r>
      <w:r>
        <w:rPr>
          <w:color w:val="231F20"/>
          <w:spacing w:val="-3"/>
          <w:w w:val="110"/>
          <w:sz w:val="18"/>
        </w:rPr>
        <w:t>Perfil</w:t>
      </w:r>
      <w:r>
        <w:rPr>
          <w:color w:val="231F20"/>
          <w:spacing w:val="-5"/>
          <w:w w:val="110"/>
          <w:sz w:val="18"/>
        </w:rPr>
        <w:t> </w:t>
      </w:r>
      <w:r>
        <w:rPr>
          <w:color w:val="231F20"/>
          <w:w w:val="110"/>
          <w:sz w:val="18"/>
        </w:rPr>
        <w:t>Deseable</w:t>
      </w:r>
      <w:r>
        <w:rPr>
          <w:color w:val="231F20"/>
          <w:spacing w:val="-5"/>
          <w:w w:val="110"/>
          <w:sz w:val="18"/>
        </w:rPr>
        <w:t> </w:t>
      </w:r>
      <w:r>
        <w:rPr>
          <w:color w:val="231F20"/>
          <w:w w:val="110"/>
          <w:sz w:val="18"/>
        </w:rPr>
        <w:t>de</w:t>
      </w:r>
      <w:r>
        <w:rPr>
          <w:color w:val="231F20"/>
          <w:spacing w:val="-5"/>
          <w:w w:val="110"/>
          <w:sz w:val="18"/>
        </w:rPr>
        <w:t> </w:t>
      </w:r>
      <w:r>
        <w:rPr>
          <w:color w:val="231F20"/>
          <w:spacing w:val="-6"/>
          <w:w w:val="110"/>
          <w:sz w:val="18"/>
        </w:rPr>
        <w:t>PROMEP.</w:t>
      </w:r>
      <w:r>
        <w:rPr>
          <w:color w:val="231F20"/>
          <w:spacing w:val="-5"/>
          <w:w w:val="110"/>
          <w:sz w:val="18"/>
        </w:rPr>
        <w:t> </w:t>
      </w:r>
      <w:r>
        <w:rPr>
          <w:color w:val="231F20"/>
          <w:w w:val="110"/>
          <w:sz w:val="18"/>
        </w:rPr>
        <w:t>Docente en programas de licenciatura y maestría de la </w:t>
      </w:r>
      <w:r>
        <w:rPr>
          <w:rFonts w:ascii="Times New Roman" w:hAnsi="Times New Roman"/>
          <w:color w:val="231F20"/>
          <w:w w:val="110"/>
          <w:sz w:val="14"/>
        </w:rPr>
        <w:t>UAEM</w:t>
      </w:r>
      <w:r>
        <w:rPr>
          <w:color w:val="231F20"/>
          <w:w w:val="110"/>
          <w:sz w:val="18"/>
        </w:rPr>
        <w:t>, en la Facultad de Ciencias Sociales y Políticas de la </w:t>
      </w:r>
      <w:r>
        <w:rPr>
          <w:rFonts w:ascii="Times New Roman" w:hAnsi="Times New Roman"/>
          <w:color w:val="231F20"/>
          <w:w w:val="110"/>
          <w:sz w:val="14"/>
        </w:rPr>
        <w:t>UNAM </w:t>
      </w:r>
      <w:r>
        <w:rPr>
          <w:color w:val="231F20"/>
          <w:w w:val="110"/>
          <w:sz w:val="18"/>
        </w:rPr>
        <w:t>y en el Colegio Mexiquense. Sus líneas de investiga- ción son: el mercado de trabajo, la dinámica, composición y estructura de las fami- lias y los hogares y la migración y su impacto en los hogares y condiciones de vida. </w:t>
      </w:r>
      <w:r>
        <w:rPr>
          <w:color w:val="231F20"/>
          <w:spacing w:val="3"/>
          <w:w w:val="110"/>
          <w:sz w:val="18"/>
        </w:rPr>
        <w:t>Actualmente desarrolla </w:t>
      </w:r>
      <w:r>
        <w:rPr>
          <w:color w:val="231F20"/>
          <w:w w:val="110"/>
          <w:sz w:val="18"/>
        </w:rPr>
        <w:t>la </w:t>
      </w:r>
      <w:r>
        <w:rPr>
          <w:color w:val="231F20"/>
          <w:spacing w:val="3"/>
          <w:w w:val="110"/>
          <w:sz w:val="18"/>
        </w:rPr>
        <w:t>investigación </w:t>
      </w:r>
      <w:r>
        <w:rPr>
          <w:i/>
          <w:color w:val="231F20"/>
          <w:w w:val="110"/>
          <w:sz w:val="18"/>
        </w:rPr>
        <w:t>Perfil de </w:t>
      </w:r>
      <w:r>
        <w:rPr>
          <w:i/>
          <w:color w:val="231F20"/>
          <w:spacing w:val="2"/>
          <w:w w:val="110"/>
          <w:sz w:val="18"/>
        </w:rPr>
        <w:t>las </w:t>
      </w:r>
      <w:r>
        <w:rPr>
          <w:i/>
          <w:color w:val="231F20"/>
          <w:spacing w:val="3"/>
          <w:w w:val="110"/>
          <w:sz w:val="18"/>
        </w:rPr>
        <w:t>familias </w:t>
      </w:r>
      <w:r>
        <w:rPr>
          <w:i/>
          <w:color w:val="231F20"/>
          <w:w w:val="110"/>
          <w:sz w:val="18"/>
        </w:rPr>
        <w:t>y </w:t>
      </w:r>
      <w:r>
        <w:rPr>
          <w:i/>
          <w:color w:val="231F20"/>
          <w:spacing w:val="2"/>
          <w:w w:val="110"/>
          <w:sz w:val="18"/>
        </w:rPr>
        <w:t>los </w:t>
      </w:r>
      <w:r>
        <w:rPr>
          <w:i/>
          <w:color w:val="231F20"/>
          <w:spacing w:val="3"/>
          <w:w w:val="110"/>
          <w:sz w:val="18"/>
        </w:rPr>
        <w:t>hogares </w:t>
      </w:r>
      <w:r>
        <w:rPr>
          <w:i/>
          <w:color w:val="231F20"/>
          <w:w w:val="110"/>
          <w:sz w:val="18"/>
        </w:rPr>
        <w:t>en el </w:t>
      </w:r>
      <w:r>
        <w:rPr>
          <w:i/>
          <w:color w:val="231F20"/>
          <w:w w:val="110"/>
          <w:sz w:val="18"/>
        </w:rPr>
        <w:t>Estado de México, </w:t>
      </w:r>
      <w:r>
        <w:rPr>
          <w:color w:val="231F20"/>
          <w:w w:val="110"/>
          <w:sz w:val="18"/>
        </w:rPr>
        <w:t>financiada por el Conacyt. Ha publicado varios artículos y</w:t>
      </w:r>
      <w:r>
        <w:rPr>
          <w:color w:val="231F20"/>
          <w:spacing w:val="-13"/>
          <w:w w:val="110"/>
          <w:sz w:val="18"/>
        </w:rPr>
        <w:t> </w:t>
      </w:r>
      <w:r>
        <w:rPr>
          <w:color w:val="231F20"/>
          <w:w w:val="110"/>
          <w:sz w:val="18"/>
        </w:rPr>
        <w:t>capítu- los de</w:t>
      </w:r>
      <w:r>
        <w:rPr>
          <w:color w:val="231F20"/>
          <w:spacing w:val="17"/>
          <w:w w:val="110"/>
          <w:sz w:val="18"/>
        </w:rPr>
        <w:t> </w:t>
      </w:r>
      <w:r>
        <w:rPr>
          <w:color w:val="231F20"/>
          <w:w w:val="110"/>
          <w:sz w:val="18"/>
        </w:rPr>
        <w:t>libros.</w:t>
      </w:r>
    </w:p>
    <w:p>
      <w:pPr>
        <w:pStyle w:val="BodyText"/>
        <w:spacing w:before="8"/>
        <w:rPr>
          <w:sz w:val="22"/>
        </w:rPr>
      </w:pPr>
    </w:p>
    <w:p>
      <w:pPr>
        <w:spacing w:before="0"/>
        <w:ind w:left="120" w:right="0" w:firstLine="0"/>
        <w:jc w:val="both"/>
        <w:rPr>
          <w:i/>
          <w:sz w:val="18"/>
        </w:rPr>
      </w:pPr>
      <w:r>
        <w:rPr>
          <w:i/>
          <w:color w:val="231F20"/>
          <w:w w:val="105"/>
          <w:sz w:val="18"/>
        </w:rPr>
        <w:t>Renato Salas Alfaro</w:t>
      </w:r>
    </w:p>
    <w:p>
      <w:pPr>
        <w:spacing w:line="302" w:lineRule="auto" w:before="55"/>
        <w:ind w:left="120" w:right="116" w:firstLine="0"/>
        <w:jc w:val="both"/>
        <w:rPr>
          <w:sz w:val="18"/>
        </w:rPr>
      </w:pPr>
      <w:r>
        <w:rPr>
          <w:color w:val="231F20"/>
          <w:w w:val="110"/>
          <w:sz w:val="18"/>
        </w:rPr>
        <w:t>Mexicano, profesor-investigador en el Centro de Investigación en Ciencias Sociales y Humanidades de la Universidad Autónoma del Estado de México. Es doctor en Ciencias en Planificación de Empresas e integrante del Sistema Nacional de Inves- tigadores, nivel 1. Su línea de investigación contempla el estudio y uso de conoci- mientos, activos y habilidades que traen consigo los migrantes de retorno en el Estado</w:t>
      </w:r>
      <w:r>
        <w:rPr>
          <w:color w:val="231F20"/>
          <w:spacing w:val="-5"/>
          <w:w w:val="110"/>
          <w:sz w:val="18"/>
        </w:rPr>
        <w:t> </w:t>
      </w:r>
      <w:r>
        <w:rPr>
          <w:color w:val="231F20"/>
          <w:w w:val="110"/>
          <w:sz w:val="18"/>
        </w:rPr>
        <w:t>de</w:t>
      </w:r>
      <w:r>
        <w:rPr>
          <w:color w:val="231F20"/>
          <w:spacing w:val="-5"/>
          <w:w w:val="110"/>
          <w:sz w:val="18"/>
        </w:rPr>
        <w:t> </w:t>
      </w:r>
      <w:r>
        <w:rPr>
          <w:color w:val="231F20"/>
          <w:w w:val="110"/>
          <w:sz w:val="18"/>
        </w:rPr>
        <w:t>México.</w:t>
      </w:r>
      <w:r>
        <w:rPr>
          <w:color w:val="231F20"/>
          <w:spacing w:val="-5"/>
          <w:w w:val="110"/>
          <w:sz w:val="18"/>
        </w:rPr>
        <w:t> </w:t>
      </w:r>
      <w:r>
        <w:rPr>
          <w:color w:val="231F20"/>
          <w:w w:val="110"/>
          <w:sz w:val="18"/>
        </w:rPr>
        <w:t>Es</w:t>
      </w:r>
      <w:r>
        <w:rPr>
          <w:color w:val="231F20"/>
          <w:spacing w:val="-5"/>
          <w:w w:val="110"/>
          <w:sz w:val="18"/>
        </w:rPr>
        <w:t> </w:t>
      </w:r>
      <w:r>
        <w:rPr>
          <w:color w:val="231F20"/>
          <w:w w:val="110"/>
          <w:sz w:val="18"/>
        </w:rPr>
        <w:t>autor</w:t>
      </w:r>
      <w:r>
        <w:rPr>
          <w:color w:val="231F20"/>
          <w:spacing w:val="-5"/>
          <w:w w:val="110"/>
          <w:sz w:val="18"/>
        </w:rPr>
        <w:t> </w:t>
      </w:r>
      <w:r>
        <w:rPr>
          <w:color w:val="231F20"/>
          <w:w w:val="110"/>
          <w:sz w:val="18"/>
        </w:rPr>
        <w:t>del</w:t>
      </w:r>
      <w:r>
        <w:rPr>
          <w:color w:val="231F20"/>
          <w:spacing w:val="-5"/>
          <w:w w:val="110"/>
          <w:sz w:val="18"/>
        </w:rPr>
        <w:t> </w:t>
      </w:r>
      <w:r>
        <w:rPr>
          <w:color w:val="231F20"/>
          <w:w w:val="110"/>
          <w:sz w:val="18"/>
        </w:rPr>
        <w:t>libro</w:t>
      </w:r>
      <w:r>
        <w:rPr>
          <w:color w:val="231F20"/>
          <w:spacing w:val="-5"/>
          <w:w w:val="110"/>
          <w:sz w:val="18"/>
        </w:rPr>
        <w:t> </w:t>
      </w:r>
      <w:r>
        <w:rPr>
          <w:i/>
          <w:color w:val="231F20"/>
          <w:w w:val="110"/>
          <w:sz w:val="18"/>
        </w:rPr>
        <w:t>Migración</w:t>
      </w:r>
      <w:r>
        <w:rPr>
          <w:i/>
          <w:color w:val="231F20"/>
          <w:spacing w:val="-8"/>
          <w:w w:val="110"/>
          <w:sz w:val="18"/>
        </w:rPr>
        <w:t> </w:t>
      </w:r>
      <w:r>
        <w:rPr>
          <w:i/>
          <w:color w:val="231F20"/>
          <w:w w:val="110"/>
          <w:sz w:val="18"/>
        </w:rPr>
        <w:t>internacional.</w:t>
      </w:r>
      <w:r>
        <w:rPr>
          <w:i/>
          <w:color w:val="231F20"/>
          <w:spacing w:val="-9"/>
          <w:w w:val="110"/>
          <w:sz w:val="18"/>
        </w:rPr>
        <w:t> </w:t>
      </w:r>
      <w:r>
        <w:rPr>
          <w:i/>
          <w:color w:val="231F20"/>
          <w:w w:val="110"/>
          <w:sz w:val="18"/>
        </w:rPr>
        <w:t>Actividades</w:t>
      </w:r>
      <w:r>
        <w:rPr>
          <w:i/>
          <w:color w:val="231F20"/>
          <w:spacing w:val="-8"/>
          <w:w w:val="110"/>
          <w:sz w:val="18"/>
        </w:rPr>
        <w:t> </w:t>
      </w:r>
      <w:r>
        <w:rPr>
          <w:i/>
          <w:color w:val="231F20"/>
          <w:w w:val="110"/>
          <w:sz w:val="18"/>
        </w:rPr>
        <w:t>agrícolas</w:t>
      </w:r>
      <w:r>
        <w:rPr>
          <w:i/>
          <w:color w:val="231F20"/>
          <w:spacing w:val="-8"/>
          <w:w w:val="110"/>
          <w:sz w:val="18"/>
        </w:rPr>
        <w:t> </w:t>
      </w:r>
      <w:r>
        <w:rPr>
          <w:i/>
          <w:color w:val="231F20"/>
          <w:w w:val="110"/>
          <w:sz w:val="18"/>
        </w:rPr>
        <w:t>y </w:t>
      </w:r>
      <w:r>
        <w:rPr>
          <w:i/>
          <w:color w:val="231F20"/>
          <w:w w:val="110"/>
          <w:sz w:val="18"/>
        </w:rPr>
        <w:t>distribución del ingreso de San Miguel del </w:t>
      </w:r>
      <w:r>
        <w:rPr>
          <w:i/>
          <w:color w:val="231F20"/>
          <w:spacing w:val="-3"/>
          <w:w w:val="110"/>
          <w:sz w:val="18"/>
        </w:rPr>
        <w:t>Valle, </w:t>
      </w:r>
      <w:r>
        <w:rPr>
          <w:i/>
          <w:color w:val="231F20"/>
          <w:w w:val="110"/>
          <w:sz w:val="18"/>
        </w:rPr>
        <w:t>Oaxaca</w:t>
      </w:r>
      <w:r>
        <w:rPr>
          <w:color w:val="231F20"/>
          <w:w w:val="110"/>
          <w:sz w:val="18"/>
        </w:rPr>
        <w:t>, editado por Miguel Ángel Porrúa y la </w:t>
      </w:r>
      <w:r>
        <w:rPr>
          <w:color w:val="231F20"/>
          <w:spacing w:val="-3"/>
          <w:w w:val="110"/>
          <w:sz w:val="18"/>
        </w:rPr>
        <w:t>UPAEP </w:t>
      </w:r>
      <w:r>
        <w:rPr>
          <w:color w:val="231F20"/>
          <w:w w:val="110"/>
          <w:sz w:val="18"/>
        </w:rPr>
        <w:t>en el año</w:t>
      </w:r>
      <w:r>
        <w:rPr>
          <w:color w:val="231F20"/>
          <w:spacing w:val="34"/>
          <w:w w:val="110"/>
          <w:sz w:val="18"/>
        </w:rPr>
        <w:t> </w:t>
      </w:r>
      <w:r>
        <w:rPr>
          <w:color w:val="231F20"/>
          <w:w w:val="110"/>
          <w:sz w:val="18"/>
        </w:rPr>
        <w:t>2014.</w:t>
      </w:r>
    </w:p>
    <w:p>
      <w:pPr>
        <w:pStyle w:val="BodyText"/>
        <w:spacing w:before="8"/>
        <w:rPr>
          <w:sz w:val="22"/>
        </w:rPr>
      </w:pPr>
    </w:p>
    <w:p>
      <w:pPr>
        <w:spacing w:before="0"/>
        <w:ind w:left="120" w:right="0" w:firstLine="0"/>
        <w:jc w:val="both"/>
        <w:rPr>
          <w:i/>
          <w:sz w:val="18"/>
        </w:rPr>
      </w:pPr>
      <w:r>
        <w:rPr>
          <w:i/>
          <w:color w:val="231F20"/>
          <w:w w:val="105"/>
          <w:sz w:val="18"/>
        </w:rPr>
        <w:t>Sergio Cuauhtémoc Gaxiola Robles   Linares</w:t>
      </w:r>
    </w:p>
    <w:p>
      <w:pPr>
        <w:spacing w:line="302" w:lineRule="auto" w:before="55"/>
        <w:ind w:left="120" w:right="117" w:firstLine="0"/>
        <w:jc w:val="both"/>
        <w:rPr>
          <w:sz w:val="18"/>
        </w:rPr>
      </w:pPr>
      <w:r>
        <w:rPr>
          <w:color w:val="231F20"/>
          <w:spacing w:val="-4"/>
          <w:w w:val="110"/>
          <w:sz w:val="18"/>
        </w:rPr>
        <w:t>Actuario </w:t>
      </w:r>
      <w:r>
        <w:rPr>
          <w:color w:val="231F20"/>
          <w:spacing w:val="-3"/>
          <w:w w:val="110"/>
          <w:sz w:val="18"/>
        </w:rPr>
        <w:t>por </w:t>
      </w:r>
      <w:r>
        <w:rPr>
          <w:color w:val="231F20"/>
          <w:w w:val="110"/>
          <w:sz w:val="18"/>
        </w:rPr>
        <w:t>la </w:t>
      </w:r>
      <w:r>
        <w:rPr>
          <w:color w:val="231F20"/>
          <w:spacing w:val="-6"/>
          <w:w w:val="110"/>
          <w:sz w:val="18"/>
        </w:rPr>
        <w:t>Facultad </w:t>
      </w:r>
      <w:r>
        <w:rPr>
          <w:color w:val="231F20"/>
          <w:w w:val="110"/>
          <w:sz w:val="18"/>
        </w:rPr>
        <w:t>de </w:t>
      </w:r>
      <w:r>
        <w:rPr>
          <w:color w:val="231F20"/>
          <w:spacing w:val="-4"/>
          <w:w w:val="110"/>
          <w:sz w:val="18"/>
        </w:rPr>
        <w:t>Ciencias </w:t>
      </w:r>
      <w:r>
        <w:rPr>
          <w:color w:val="231F20"/>
          <w:w w:val="110"/>
          <w:sz w:val="18"/>
        </w:rPr>
        <w:t>de la </w:t>
      </w:r>
      <w:r>
        <w:rPr>
          <w:color w:val="231F20"/>
          <w:spacing w:val="-4"/>
          <w:w w:val="110"/>
          <w:sz w:val="18"/>
        </w:rPr>
        <w:t>Universidad Nacional Autónoma </w:t>
      </w:r>
      <w:r>
        <w:rPr>
          <w:color w:val="231F20"/>
          <w:w w:val="110"/>
          <w:sz w:val="18"/>
        </w:rPr>
        <w:t>de </w:t>
      </w:r>
      <w:r>
        <w:rPr>
          <w:color w:val="231F20"/>
          <w:spacing w:val="-4"/>
          <w:w w:val="110"/>
          <w:sz w:val="18"/>
        </w:rPr>
        <w:t>México; </w:t>
      </w:r>
      <w:r>
        <w:rPr>
          <w:color w:val="231F20"/>
          <w:w w:val="110"/>
          <w:sz w:val="18"/>
        </w:rPr>
        <w:t>maestro en Estudios de Población por la Facultad </w:t>
      </w:r>
      <w:r>
        <w:rPr>
          <w:color w:val="231F20"/>
          <w:spacing w:val="2"/>
          <w:w w:val="110"/>
          <w:sz w:val="18"/>
        </w:rPr>
        <w:t>Latinoamericana </w:t>
      </w:r>
      <w:r>
        <w:rPr>
          <w:color w:val="231F20"/>
          <w:w w:val="110"/>
          <w:sz w:val="18"/>
        </w:rPr>
        <w:t>de Ciencias Sociales (sede México). Doctor en Estudios de Población por El Colegio de México; profesor de tiempo completo del Centro de Investigación y Estudios Avanzados de la Población de la Universidad Autónoma del Estado de México (</w:t>
      </w:r>
      <w:r>
        <w:rPr>
          <w:rFonts w:ascii="Times New Roman" w:hAnsi="Times New Roman"/>
          <w:color w:val="231F20"/>
          <w:w w:val="110"/>
          <w:sz w:val="14"/>
        </w:rPr>
        <w:t>UAEM</w:t>
      </w:r>
      <w:r>
        <w:rPr>
          <w:color w:val="231F20"/>
          <w:w w:val="110"/>
          <w:sz w:val="18"/>
        </w:rPr>
        <w:t>). Docente</w:t>
      </w:r>
      <w:r>
        <w:rPr>
          <w:color w:val="231F20"/>
          <w:spacing w:val="-14"/>
          <w:w w:val="110"/>
          <w:sz w:val="18"/>
        </w:rPr>
        <w:t> </w:t>
      </w:r>
      <w:r>
        <w:rPr>
          <w:color w:val="231F20"/>
          <w:w w:val="110"/>
          <w:sz w:val="18"/>
        </w:rPr>
        <w:t>en programas de licenciatura de la </w:t>
      </w:r>
      <w:r>
        <w:rPr>
          <w:rFonts w:ascii="Times New Roman" w:hAnsi="Times New Roman"/>
          <w:color w:val="231F20"/>
          <w:w w:val="110"/>
          <w:sz w:val="14"/>
        </w:rPr>
        <w:t>UAEM</w:t>
      </w:r>
      <w:r>
        <w:rPr>
          <w:color w:val="231F20"/>
          <w:w w:val="110"/>
          <w:sz w:val="18"/>
        </w:rPr>
        <w:t>. Ha publicado varios artículos. Líneas de in- vestigación: envejecimiento, mercados de trabajo y</w:t>
      </w:r>
      <w:r>
        <w:rPr>
          <w:color w:val="231F20"/>
          <w:spacing w:val="26"/>
          <w:w w:val="110"/>
          <w:sz w:val="18"/>
        </w:rPr>
        <w:t> </w:t>
      </w:r>
      <w:r>
        <w:rPr>
          <w:color w:val="231F20"/>
          <w:w w:val="110"/>
          <w:sz w:val="18"/>
        </w:rPr>
        <w:t>pobreza.</w:t>
      </w:r>
    </w:p>
    <w:p>
      <w:pPr>
        <w:pStyle w:val="BodyText"/>
        <w:spacing w:before="8"/>
        <w:rPr>
          <w:sz w:val="22"/>
        </w:rPr>
      </w:pPr>
    </w:p>
    <w:p>
      <w:pPr>
        <w:spacing w:before="0"/>
        <w:ind w:left="120" w:right="0" w:firstLine="0"/>
        <w:jc w:val="both"/>
        <w:rPr>
          <w:i/>
          <w:sz w:val="18"/>
        </w:rPr>
      </w:pPr>
      <w:r>
        <w:rPr>
          <w:i/>
          <w:color w:val="231F20"/>
          <w:w w:val="105"/>
          <w:sz w:val="18"/>
        </w:rPr>
        <w:t>Zoraida  Ronzón Hernández</w:t>
      </w:r>
    </w:p>
    <w:p>
      <w:pPr>
        <w:spacing w:line="302" w:lineRule="auto" w:before="55"/>
        <w:ind w:left="120" w:right="117" w:firstLine="0"/>
        <w:jc w:val="both"/>
        <w:rPr>
          <w:sz w:val="18"/>
        </w:rPr>
      </w:pPr>
      <w:r>
        <w:rPr>
          <w:color w:val="231F20"/>
          <w:w w:val="110"/>
          <w:sz w:val="18"/>
        </w:rPr>
        <w:t>Doctora en Antropología por el Centro de Investigaciones y Estudios Superiores</w:t>
      </w:r>
      <w:r>
        <w:rPr>
          <w:color w:val="231F20"/>
          <w:spacing w:val="-9"/>
          <w:w w:val="110"/>
          <w:sz w:val="18"/>
        </w:rPr>
        <w:t> </w:t>
      </w:r>
      <w:r>
        <w:rPr>
          <w:color w:val="231F20"/>
          <w:w w:val="110"/>
          <w:sz w:val="18"/>
        </w:rPr>
        <w:t>en Antropología Social, Distrito Federal. Perfil, </w:t>
      </w:r>
      <w:r>
        <w:rPr>
          <w:color w:val="231F20"/>
          <w:spacing w:val="-4"/>
          <w:w w:val="110"/>
          <w:sz w:val="18"/>
        </w:rPr>
        <w:t>PROMEP. </w:t>
      </w:r>
      <w:r>
        <w:rPr>
          <w:color w:val="231F20"/>
          <w:w w:val="110"/>
          <w:sz w:val="18"/>
        </w:rPr>
        <w:t>Miembro del Sistema </w:t>
      </w:r>
      <w:r>
        <w:rPr>
          <w:color w:val="231F20"/>
          <w:spacing w:val="36"/>
          <w:w w:val="110"/>
          <w:sz w:val="18"/>
        </w:rPr>
        <w:t> </w:t>
      </w:r>
      <w:r>
        <w:rPr>
          <w:color w:val="231F20"/>
          <w:w w:val="110"/>
          <w:sz w:val="18"/>
        </w:rPr>
        <w:t>Nacio-</w:t>
      </w:r>
    </w:p>
    <w:p>
      <w:pPr>
        <w:spacing w:after="0" w:line="302" w:lineRule="auto"/>
        <w:jc w:val="both"/>
        <w:rPr>
          <w:sz w:val="18"/>
        </w:rPr>
        <w:sectPr>
          <w:footerReference w:type="even" r:id="rId201"/>
          <w:pgSz w:w="9520" w:h="12920"/>
          <w:pgMar w:footer="1344" w:header="0" w:top="880" w:bottom="1540" w:left="1000" w:right="1320"/>
        </w:sectPr>
      </w:pPr>
    </w:p>
    <w:p>
      <w:pPr>
        <w:spacing w:line="302" w:lineRule="auto" w:before="46"/>
        <w:ind w:left="124" w:right="111" w:firstLine="0"/>
        <w:jc w:val="both"/>
        <w:rPr>
          <w:sz w:val="18"/>
        </w:rPr>
      </w:pPr>
      <w:r>
        <w:rPr>
          <w:color w:val="231F20"/>
          <w:w w:val="110"/>
          <w:sz w:val="18"/>
        </w:rPr>
        <w:t>nal de Investigadores C; Licenciatura cursada en la Universidad </w:t>
      </w:r>
      <w:r>
        <w:rPr>
          <w:color w:val="231F20"/>
          <w:spacing w:val="-3"/>
          <w:w w:val="110"/>
          <w:sz w:val="18"/>
        </w:rPr>
        <w:t>Veracruzana </w:t>
      </w:r>
      <w:r>
        <w:rPr>
          <w:color w:val="231F20"/>
          <w:w w:val="110"/>
          <w:sz w:val="18"/>
        </w:rPr>
        <w:t>en la Facultad de Antropología. En 1999 se integró al Sistema de Investigación del</w:t>
      </w:r>
      <w:r>
        <w:rPr>
          <w:color w:val="231F20"/>
          <w:spacing w:val="-11"/>
          <w:w w:val="110"/>
          <w:sz w:val="18"/>
        </w:rPr>
        <w:t> </w:t>
      </w:r>
      <w:r>
        <w:rPr>
          <w:color w:val="231F20"/>
          <w:w w:val="110"/>
          <w:sz w:val="18"/>
        </w:rPr>
        <w:t>Golfo, dentro de un proyecto en el Centro del </w:t>
      </w:r>
      <w:r>
        <w:rPr>
          <w:color w:val="231F20"/>
          <w:spacing w:val="-4"/>
          <w:w w:val="110"/>
          <w:sz w:val="18"/>
        </w:rPr>
        <w:t>Estado </w:t>
      </w:r>
      <w:r>
        <w:rPr>
          <w:color w:val="231F20"/>
          <w:w w:val="110"/>
          <w:sz w:val="18"/>
        </w:rPr>
        <w:t>de </w:t>
      </w:r>
      <w:r>
        <w:rPr>
          <w:color w:val="231F20"/>
          <w:spacing w:val="-6"/>
          <w:w w:val="110"/>
          <w:sz w:val="18"/>
        </w:rPr>
        <w:t>Veracruz, </w:t>
      </w:r>
      <w:r>
        <w:rPr>
          <w:color w:val="231F20"/>
          <w:w w:val="110"/>
          <w:sz w:val="18"/>
        </w:rPr>
        <w:t>en </w:t>
      </w:r>
      <w:r>
        <w:rPr>
          <w:color w:val="231F20"/>
          <w:spacing w:val="-4"/>
          <w:w w:val="110"/>
          <w:sz w:val="18"/>
        </w:rPr>
        <w:t>colaboración </w:t>
      </w:r>
      <w:r>
        <w:rPr>
          <w:color w:val="231F20"/>
          <w:spacing w:val="-3"/>
          <w:w w:val="110"/>
          <w:sz w:val="18"/>
        </w:rPr>
        <w:t>con </w:t>
      </w:r>
      <w:r>
        <w:rPr>
          <w:color w:val="231F20"/>
          <w:w w:val="110"/>
          <w:sz w:val="18"/>
        </w:rPr>
        <w:t>el </w:t>
      </w:r>
      <w:r>
        <w:rPr>
          <w:color w:val="231F20"/>
          <w:spacing w:val="-4"/>
          <w:w w:val="110"/>
          <w:sz w:val="18"/>
        </w:rPr>
        <w:t>Centro</w:t>
      </w:r>
      <w:r>
        <w:rPr>
          <w:color w:val="231F20"/>
          <w:spacing w:val="-11"/>
          <w:w w:val="110"/>
          <w:sz w:val="18"/>
        </w:rPr>
        <w:t> </w:t>
      </w:r>
      <w:r>
        <w:rPr>
          <w:color w:val="231F20"/>
          <w:w w:val="110"/>
          <w:sz w:val="18"/>
        </w:rPr>
        <w:t>de</w:t>
      </w:r>
      <w:r>
        <w:rPr>
          <w:color w:val="231F20"/>
          <w:spacing w:val="-11"/>
          <w:w w:val="110"/>
          <w:sz w:val="18"/>
        </w:rPr>
        <w:t> </w:t>
      </w:r>
      <w:r>
        <w:rPr>
          <w:color w:val="231F20"/>
          <w:spacing w:val="-4"/>
          <w:w w:val="110"/>
          <w:sz w:val="18"/>
        </w:rPr>
        <w:t>Investigaciones</w:t>
      </w:r>
      <w:r>
        <w:rPr>
          <w:color w:val="231F20"/>
          <w:spacing w:val="-11"/>
          <w:w w:val="110"/>
          <w:sz w:val="18"/>
        </w:rPr>
        <w:t> </w:t>
      </w:r>
      <w:r>
        <w:rPr>
          <w:color w:val="231F20"/>
          <w:w w:val="110"/>
          <w:sz w:val="18"/>
        </w:rPr>
        <w:t>y</w:t>
      </w:r>
      <w:r>
        <w:rPr>
          <w:color w:val="231F20"/>
          <w:spacing w:val="-11"/>
          <w:w w:val="110"/>
          <w:sz w:val="18"/>
        </w:rPr>
        <w:t> </w:t>
      </w:r>
      <w:r>
        <w:rPr>
          <w:color w:val="231F20"/>
          <w:spacing w:val="-3"/>
          <w:w w:val="110"/>
          <w:sz w:val="18"/>
        </w:rPr>
        <w:t>Estudios</w:t>
      </w:r>
      <w:r>
        <w:rPr>
          <w:color w:val="231F20"/>
          <w:spacing w:val="-8"/>
          <w:w w:val="110"/>
          <w:sz w:val="18"/>
        </w:rPr>
        <w:t> </w:t>
      </w:r>
      <w:r>
        <w:rPr>
          <w:color w:val="231F20"/>
          <w:w w:val="110"/>
          <w:sz w:val="18"/>
        </w:rPr>
        <w:t>Superiores</w:t>
      </w:r>
      <w:r>
        <w:rPr>
          <w:color w:val="231F20"/>
          <w:spacing w:val="-8"/>
          <w:w w:val="110"/>
          <w:sz w:val="18"/>
        </w:rPr>
        <w:t> </w:t>
      </w:r>
      <w:r>
        <w:rPr>
          <w:color w:val="231F20"/>
          <w:w w:val="110"/>
          <w:sz w:val="18"/>
        </w:rPr>
        <w:t>en</w:t>
      </w:r>
      <w:r>
        <w:rPr>
          <w:color w:val="231F20"/>
          <w:spacing w:val="-8"/>
          <w:w w:val="110"/>
          <w:sz w:val="18"/>
        </w:rPr>
        <w:t> </w:t>
      </w:r>
      <w:r>
        <w:rPr>
          <w:color w:val="231F20"/>
          <w:w w:val="110"/>
          <w:sz w:val="18"/>
        </w:rPr>
        <w:t>Antropología</w:t>
      </w:r>
      <w:r>
        <w:rPr>
          <w:color w:val="231F20"/>
          <w:spacing w:val="-8"/>
          <w:w w:val="110"/>
          <w:sz w:val="18"/>
        </w:rPr>
        <w:t> </w:t>
      </w:r>
      <w:r>
        <w:rPr>
          <w:color w:val="231F20"/>
          <w:w w:val="110"/>
          <w:sz w:val="18"/>
        </w:rPr>
        <w:t>Social-Golfo,</w:t>
      </w:r>
      <w:r>
        <w:rPr>
          <w:color w:val="231F20"/>
          <w:spacing w:val="-8"/>
          <w:w w:val="110"/>
          <w:sz w:val="18"/>
        </w:rPr>
        <w:t> </w:t>
      </w:r>
      <w:r>
        <w:rPr>
          <w:color w:val="231F20"/>
          <w:w w:val="110"/>
          <w:sz w:val="18"/>
        </w:rPr>
        <w:t>donde se incorporó a los estudios del envejecimiento. Los estudios de maestría y docto- </w:t>
      </w:r>
      <w:r>
        <w:rPr>
          <w:color w:val="231F20"/>
          <w:spacing w:val="-3"/>
          <w:w w:val="110"/>
          <w:sz w:val="18"/>
        </w:rPr>
        <w:t>rado los </w:t>
      </w:r>
      <w:r>
        <w:rPr>
          <w:color w:val="231F20"/>
          <w:spacing w:val="-4"/>
          <w:w w:val="110"/>
          <w:sz w:val="18"/>
        </w:rPr>
        <w:t>cursó </w:t>
      </w:r>
      <w:r>
        <w:rPr>
          <w:color w:val="231F20"/>
          <w:w w:val="110"/>
          <w:sz w:val="18"/>
        </w:rPr>
        <w:t>en el </w:t>
      </w:r>
      <w:r>
        <w:rPr>
          <w:color w:val="231F20"/>
          <w:spacing w:val="-4"/>
          <w:w w:val="110"/>
          <w:sz w:val="18"/>
        </w:rPr>
        <w:t>Centro </w:t>
      </w:r>
      <w:r>
        <w:rPr>
          <w:color w:val="231F20"/>
          <w:w w:val="110"/>
          <w:sz w:val="18"/>
        </w:rPr>
        <w:t>de </w:t>
      </w:r>
      <w:r>
        <w:rPr>
          <w:color w:val="231F20"/>
          <w:spacing w:val="-4"/>
          <w:w w:val="110"/>
          <w:sz w:val="18"/>
        </w:rPr>
        <w:t>Investigaciones </w:t>
      </w:r>
      <w:r>
        <w:rPr>
          <w:color w:val="231F20"/>
          <w:w w:val="110"/>
          <w:sz w:val="18"/>
        </w:rPr>
        <w:t>y </w:t>
      </w:r>
      <w:r>
        <w:rPr>
          <w:color w:val="231F20"/>
          <w:spacing w:val="-4"/>
          <w:w w:val="110"/>
          <w:sz w:val="18"/>
        </w:rPr>
        <w:t>Estudios Superiores </w:t>
      </w:r>
      <w:r>
        <w:rPr>
          <w:color w:val="231F20"/>
          <w:w w:val="110"/>
          <w:sz w:val="18"/>
        </w:rPr>
        <w:t>en </w:t>
      </w:r>
      <w:r>
        <w:rPr>
          <w:color w:val="231F20"/>
          <w:spacing w:val="-4"/>
          <w:w w:val="110"/>
          <w:sz w:val="18"/>
        </w:rPr>
        <w:t>Antropología </w:t>
      </w:r>
      <w:r>
        <w:rPr>
          <w:color w:val="231F20"/>
          <w:w w:val="110"/>
          <w:sz w:val="18"/>
        </w:rPr>
        <w:t>Social en la sede central del Distrito Federal, donde la línea de investigación de- sarrollada</w:t>
      </w:r>
      <w:r>
        <w:rPr>
          <w:color w:val="231F20"/>
          <w:spacing w:val="-3"/>
          <w:w w:val="110"/>
          <w:sz w:val="18"/>
        </w:rPr>
        <w:t> </w:t>
      </w:r>
      <w:r>
        <w:rPr>
          <w:color w:val="231F20"/>
          <w:w w:val="110"/>
          <w:sz w:val="18"/>
        </w:rPr>
        <w:t>fue</w:t>
      </w:r>
      <w:r>
        <w:rPr>
          <w:color w:val="231F20"/>
          <w:spacing w:val="-3"/>
          <w:w w:val="110"/>
          <w:sz w:val="18"/>
        </w:rPr>
        <w:t> </w:t>
      </w:r>
      <w:r>
        <w:rPr>
          <w:color w:val="231F20"/>
          <w:w w:val="110"/>
          <w:sz w:val="18"/>
        </w:rPr>
        <w:t>dentro</w:t>
      </w:r>
      <w:r>
        <w:rPr>
          <w:color w:val="231F20"/>
          <w:spacing w:val="-3"/>
          <w:w w:val="110"/>
          <w:sz w:val="18"/>
        </w:rPr>
        <w:t> </w:t>
      </w:r>
      <w:r>
        <w:rPr>
          <w:color w:val="231F20"/>
          <w:w w:val="110"/>
          <w:sz w:val="18"/>
        </w:rPr>
        <w:t>de</w:t>
      </w:r>
      <w:r>
        <w:rPr>
          <w:color w:val="231F20"/>
          <w:spacing w:val="-3"/>
          <w:w w:val="110"/>
          <w:sz w:val="18"/>
        </w:rPr>
        <w:t> </w:t>
      </w:r>
      <w:r>
        <w:rPr>
          <w:color w:val="231F20"/>
          <w:w w:val="110"/>
          <w:sz w:val="18"/>
        </w:rPr>
        <w:t>los</w:t>
      </w:r>
      <w:r>
        <w:rPr>
          <w:color w:val="231F20"/>
          <w:spacing w:val="-3"/>
          <w:w w:val="110"/>
          <w:sz w:val="18"/>
        </w:rPr>
        <w:t> </w:t>
      </w:r>
      <w:r>
        <w:rPr>
          <w:color w:val="231F20"/>
          <w:w w:val="110"/>
          <w:sz w:val="18"/>
        </w:rPr>
        <w:t>estudios</w:t>
      </w:r>
      <w:r>
        <w:rPr>
          <w:color w:val="231F20"/>
          <w:spacing w:val="-3"/>
          <w:w w:val="110"/>
          <w:sz w:val="18"/>
        </w:rPr>
        <w:t> </w:t>
      </w:r>
      <w:r>
        <w:rPr>
          <w:color w:val="231F20"/>
          <w:w w:val="110"/>
          <w:sz w:val="18"/>
        </w:rPr>
        <w:t>del</w:t>
      </w:r>
      <w:r>
        <w:rPr>
          <w:color w:val="231F20"/>
          <w:spacing w:val="-3"/>
          <w:w w:val="110"/>
          <w:sz w:val="18"/>
        </w:rPr>
        <w:t> </w:t>
      </w:r>
      <w:r>
        <w:rPr>
          <w:color w:val="231F20"/>
          <w:w w:val="110"/>
          <w:sz w:val="18"/>
        </w:rPr>
        <w:t>Lenguaje,</w:t>
      </w:r>
      <w:r>
        <w:rPr>
          <w:color w:val="231F20"/>
          <w:spacing w:val="-3"/>
          <w:w w:val="110"/>
          <w:sz w:val="18"/>
        </w:rPr>
        <w:t> </w:t>
      </w:r>
      <w:r>
        <w:rPr>
          <w:color w:val="231F20"/>
          <w:w w:val="110"/>
          <w:sz w:val="18"/>
        </w:rPr>
        <w:t>con</w:t>
      </w:r>
      <w:r>
        <w:rPr>
          <w:color w:val="231F20"/>
          <w:spacing w:val="-3"/>
          <w:w w:val="110"/>
          <w:sz w:val="18"/>
        </w:rPr>
        <w:t> </w:t>
      </w:r>
      <w:r>
        <w:rPr>
          <w:color w:val="231F20"/>
          <w:w w:val="110"/>
          <w:sz w:val="18"/>
        </w:rPr>
        <w:t>la</w:t>
      </w:r>
      <w:r>
        <w:rPr>
          <w:color w:val="231F20"/>
          <w:spacing w:val="-3"/>
          <w:w w:val="110"/>
          <w:sz w:val="18"/>
        </w:rPr>
        <w:t> </w:t>
      </w:r>
      <w:r>
        <w:rPr>
          <w:color w:val="231F20"/>
          <w:w w:val="110"/>
          <w:sz w:val="18"/>
        </w:rPr>
        <w:t>tesis</w:t>
      </w:r>
      <w:r>
        <w:rPr>
          <w:color w:val="231F20"/>
          <w:spacing w:val="-3"/>
          <w:w w:val="110"/>
          <w:sz w:val="18"/>
        </w:rPr>
        <w:t> </w:t>
      </w:r>
      <w:r>
        <w:rPr>
          <w:color w:val="231F20"/>
          <w:w w:val="110"/>
          <w:sz w:val="18"/>
        </w:rPr>
        <w:t>de</w:t>
      </w:r>
      <w:r>
        <w:rPr>
          <w:color w:val="231F20"/>
          <w:spacing w:val="-3"/>
          <w:w w:val="110"/>
          <w:sz w:val="18"/>
        </w:rPr>
        <w:t> </w:t>
      </w:r>
      <w:r>
        <w:rPr>
          <w:color w:val="231F20"/>
          <w:w w:val="110"/>
          <w:sz w:val="18"/>
        </w:rPr>
        <w:t>maestría</w:t>
      </w:r>
      <w:r>
        <w:rPr>
          <w:color w:val="231F20"/>
          <w:spacing w:val="-3"/>
          <w:w w:val="110"/>
          <w:sz w:val="18"/>
        </w:rPr>
        <w:t> </w:t>
      </w:r>
      <w:r>
        <w:rPr>
          <w:color w:val="231F20"/>
          <w:spacing w:val="4"/>
          <w:w w:val="110"/>
          <w:sz w:val="18"/>
        </w:rPr>
        <w:t>“La</w:t>
      </w:r>
      <w:r>
        <w:rPr>
          <w:color w:val="231F20"/>
          <w:spacing w:val="-3"/>
          <w:w w:val="110"/>
          <w:sz w:val="18"/>
        </w:rPr>
        <w:t> </w:t>
      </w:r>
      <w:r>
        <w:rPr>
          <w:color w:val="231F20"/>
          <w:w w:val="110"/>
          <w:sz w:val="18"/>
        </w:rPr>
        <w:t>con- cepción de la vejez en el discurso intergeneracional” y la tesis doctoral “Ser mujer</w:t>
      </w:r>
      <w:r>
        <w:rPr>
          <w:color w:val="231F20"/>
          <w:spacing w:val="43"/>
          <w:w w:val="110"/>
          <w:sz w:val="18"/>
        </w:rPr>
        <w:t> </w:t>
      </w:r>
      <w:r>
        <w:rPr>
          <w:color w:val="231F20"/>
          <w:w w:val="110"/>
          <w:sz w:val="18"/>
        </w:rPr>
        <w:t>y envejecer: repercusiones de la trayectoria laboral de la mujer en su proceso de envejecimiento y la vejez”. El desarrollo de la docencia ha sido en instituciones  </w:t>
      </w:r>
      <w:r>
        <w:rPr>
          <w:color w:val="231F20"/>
          <w:spacing w:val="43"/>
          <w:w w:val="110"/>
          <w:sz w:val="18"/>
        </w:rPr>
        <w:t> </w:t>
      </w:r>
      <w:r>
        <w:rPr>
          <w:color w:val="231F20"/>
          <w:w w:val="110"/>
          <w:sz w:val="18"/>
        </w:rPr>
        <w:t>de educación superior y posgrado, tanto privadas como públicas, mientras que la experiencia laboral también ha sido desarrollada desde el ámbito gubernamental, como</w:t>
      </w:r>
      <w:r>
        <w:rPr>
          <w:color w:val="231F20"/>
          <w:spacing w:val="-13"/>
          <w:w w:val="110"/>
          <w:sz w:val="18"/>
        </w:rPr>
        <w:t> </w:t>
      </w:r>
      <w:r>
        <w:rPr>
          <w:color w:val="231F20"/>
          <w:w w:val="110"/>
          <w:sz w:val="18"/>
        </w:rPr>
        <w:t>en</w:t>
      </w:r>
      <w:r>
        <w:rPr>
          <w:color w:val="231F20"/>
          <w:spacing w:val="-13"/>
          <w:w w:val="110"/>
          <w:sz w:val="18"/>
        </w:rPr>
        <w:t> </w:t>
      </w:r>
      <w:r>
        <w:rPr>
          <w:color w:val="231F20"/>
          <w:w w:val="110"/>
          <w:sz w:val="18"/>
        </w:rPr>
        <w:t>el</w:t>
      </w:r>
      <w:r>
        <w:rPr>
          <w:color w:val="231F20"/>
          <w:spacing w:val="-13"/>
          <w:w w:val="110"/>
          <w:sz w:val="18"/>
        </w:rPr>
        <w:t> </w:t>
      </w:r>
      <w:r>
        <w:rPr>
          <w:color w:val="231F20"/>
          <w:w w:val="110"/>
          <w:sz w:val="18"/>
        </w:rPr>
        <w:t>Gobierno</w:t>
      </w:r>
      <w:r>
        <w:rPr>
          <w:color w:val="231F20"/>
          <w:spacing w:val="-13"/>
          <w:w w:val="110"/>
          <w:sz w:val="18"/>
        </w:rPr>
        <w:t> </w:t>
      </w:r>
      <w:r>
        <w:rPr>
          <w:color w:val="231F20"/>
          <w:w w:val="110"/>
          <w:sz w:val="18"/>
        </w:rPr>
        <w:t>del</w:t>
      </w:r>
      <w:r>
        <w:rPr>
          <w:color w:val="231F20"/>
          <w:spacing w:val="-13"/>
          <w:w w:val="110"/>
          <w:sz w:val="18"/>
        </w:rPr>
        <w:t> </w:t>
      </w:r>
      <w:r>
        <w:rPr>
          <w:color w:val="231F20"/>
          <w:w w:val="110"/>
          <w:sz w:val="18"/>
        </w:rPr>
        <w:t>Estado</w:t>
      </w:r>
      <w:r>
        <w:rPr>
          <w:color w:val="231F20"/>
          <w:spacing w:val="-13"/>
          <w:w w:val="110"/>
          <w:sz w:val="18"/>
        </w:rPr>
        <w:t> </w:t>
      </w:r>
      <w:r>
        <w:rPr>
          <w:color w:val="231F20"/>
          <w:w w:val="110"/>
          <w:sz w:val="18"/>
        </w:rPr>
        <w:t>de</w:t>
      </w:r>
      <w:r>
        <w:rPr>
          <w:color w:val="231F20"/>
          <w:spacing w:val="-13"/>
          <w:w w:val="110"/>
          <w:sz w:val="18"/>
        </w:rPr>
        <w:t> </w:t>
      </w:r>
      <w:r>
        <w:rPr>
          <w:color w:val="231F20"/>
          <w:spacing w:val="-4"/>
          <w:w w:val="110"/>
          <w:sz w:val="18"/>
        </w:rPr>
        <w:t>Veracruz.</w:t>
      </w:r>
      <w:r>
        <w:rPr>
          <w:color w:val="231F20"/>
          <w:spacing w:val="-13"/>
          <w:w w:val="110"/>
          <w:sz w:val="18"/>
        </w:rPr>
        <w:t> </w:t>
      </w:r>
      <w:r>
        <w:rPr>
          <w:color w:val="231F20"/>
          <w:w w:val="110"/>
          <w:sz w:val="18"/>
        </w:rPr>
        <w:t>La</w:t>
      </w:r>
      <w:r>
        <w:rPr>
          <w:color w:val="231F20"/>
          <w:spacing w:val="-13"/>
          <w:w w:val="110"/>
          <w:sz w:val="18"/>
        </w:rPr>
        <w:t> </w:t>
      </w:r>
      <w:r>
        <w:rPr>
          <w:color w:val="231F20"/>
          <w:w w:val="110"/>
          <w:sz w:val="18"/>
        </w:rPr>
        <w:t>investigación</w:t>
      </w:r>
      <w:r>
        <w:rPr>
          <w:color w:val="231F20"/>
          <w:spacing w:val="-13"/>
          <w:w w:val="110"/>
          <w:sz w:val="18"/>
        </w:rPr>
        <w:t> </w:t>
      </w:r>
      <w:r>
        <w:rPr>
          <w:color w:val="231F20"/>
          <w:w w:val="110"/>
          <w:sz w:val="18"/>
        </w:rPr>
        <w:t>ha</w:t>
      </w:r>
      <w:r>
        <w:rPr>
          <w:color w:val="231F20"/>
          <w:spacing w:val="-13"/>
          <w:w w:val="110"/>
          <w:sz w:val="18"/>
        </w:rPr>
        <w:t> </w:t>
      </w:r>
      <w:r>
        <w:rPr>
          <w:color w:val="231F20"/>
          <w:w w:val="110"/>
          <w:sz w:val="18"/>
        </w:rPr>
        <w:t>sido</w:t>
      </w:r>
      <w:r>
        <w:rPr>
          <w:color w:val="231F20"/>
          <w:spacing w:val="-13"/>
          <w:w w:val="110"/>
          <w:sz w:val="18"/>
        </w:rPr>
        <w:t> </w:t>
      </w:r>
      <w:r>
        <w:rPr>
          <w:color w:val="231F20"/>
          <w:w w:val="110"/>
          <w:sz w:val="18"/>
        </w:rPr>
        <w:t>para</w:t>
      </w:r>
      <w:r>
        <w:rPr>
          <w:color w:val="231F20"/>
          <w:spacing w:val="-13"/>
          <w:w w:val="110"/>
          <w:sz w:val="18"/>
        </w:rPr>
        <w:t> </w:t>
      </w:r>
      <w:r>
        <w:rPr>
          <w:color w:val="231F20"/>
          <w:w w:val="110"/>
          <w:sz w:val="18"/>
        </w:rPr>
        <w:t>institucio- nes públicas como la </w:t>
      </w:r>
      <w:r>
        <w:rPr>
          <w:rFonts w:ascii="Times New Roman" w:hAnsi="Times New Roman"/>
          <w:color w:val="231F20"/>
          <w:w w:val="110"/>
          <w:sz w:val="14"/>
        </w:rPr>
        <w:t>SEP</w:t>
      </w:r>
      <w:r>
        <w:rPr>
          <w:color w:val="231F20"/>
          <w:w w:val="110"/>
          <w:sz w:val="18"/>
        </w:rPr>
        <w:t>, </w:t>
      </w:r>
      <w:r>
        <w:rPr>
          <w:rFonts w:ascii="Times New Roman" w:hAnsi="Times New Roman"/>
          <w:color w:val="231F20"/>
          <w:w w:val="110"/>
          <w:sz w:val="14"/>
        </w:rPr>
        <w:t>SEC</w:t>
      </w:r>
      <w:r>
        <w:rPr>
          <w:color w:val="231F20"/>
          <w:w w:val="110"/>
          <w:sz w:val="18"/>
        </w:rPr>
        <w:t>, </w:t>
      </w:r>
      <w:r>
        <w:rPr>
          <w:rFonts w:ascii="Times New Roman" w:hAnsi="Times New Roman"/>
          <w:color w:val="231F20"/>
          <w:w w:val="110"/>
          <w:sz w:val="14"/>
        </w:rPr>
        <w:t>UNAM</w:t>
      </w:r>
      <w:r>
        <w:rPr>
          <w:color w:val="231F20"/>
          <w:w w:val="110"/>
          <w:sz w:val="18"/>
        </w:rPr>
        <w:t>, el Gobierno de del Estado de Guanajuato, </w:t>
      </w:r>
      <w:r>
        <w:rPr>
          <w:rFonts w:ascii="Times New Roman" w:hAnsi="Times New Roman"/>
          <w:color w:val="231F20"/>
          <w:w w:val="110"/>
          <w:sz w:val="14"/>
        </w:rPr>
        <w:t>CIESAS</w:t>
      </w:r>
      <w:r>
        <w:rPr>
          <w:color w:val="231F20"/>
          <w:w w:val="110"/>
          <w:sz w:val="18"/>
        </w:rPr>
        <w:t>, Conacyt y la </w:t>
      </w:r>
      <w:r>
        <w:rPr>
          <w:rFonts w:ascii="Times New Roman" w:hAnsi="Times New Roman"/>
          <w:color w:val="231F20"/>
          <w:w w:val="110"/>
          <w:sz w:val="14"/>
        </w:rPr>
        <w:t>UAEM</w:t>
      </w:r>
      <w:r>
        <w:rPr>
          <w:color w:val="231F20"/>
          <w:w w:val="110"/>
          <w:sz w:val="18"/>
        </w:rPr>
        <w:t>. Se integró a la Universidad Autónoma del Estado de México en 2010 dentro del Centro de Investigaciones y Estudios Avanzados de la Población y a partir de septiembre de 2014 en el Centro de Investigación en Cien- cias Sociales y </w:t>
      </w:r>
      <w:r>
        <w:rPr>
          <w:color w:val="231F20"/>
          <w:spacing w:val="18"/>
          <w:w w:val="110"/>
          <w:sz w:val="18"/>
        </w:rPr>
        <w:t> </w:t>
      </w:r>
      <w:r>
        <w:rPr>
          <w:color w:val="231F20"/>
          <w:w w:val="110"/>
          <w:sz w:val="18"/>
        </w:rPr>
        <w:t>Humanidades.</w:t>
      </w:r>
    </w:p>
    <w:p>
      <w:pPr>
        <w:spacing w:after="0" w:line="302" w:lineRule="auto"/>
        <w:jc w:val="both"/>
        <w:rPr>
          <w:sz w:val="18"/>
        </w:rPr>
        <w:sectPr>
          <w:footerReference w:type="default" r:id="rId202"/>
          <w:pgSz w:w="9520" w:h="12920"/>
          <w:pgMar w:footer="0" w:header="0" w:top="880" w:bottom="280" w:left="1320" w:right="1000"/>
        </w:sectPr>
      </w:pPr>
    </w:p>
    <w:p>
      <w:pPr>
        <w:pStyle w:val="Heading1"/>
        <w:spacing w:line="240" w:lineRule="auto" w:before="130"/>
        <w:ind w:left="120"/>
        <w:rPr>
          <w:i/>
        </w:rPr>
      </w:pPr>
      <w:r>
        <w:rPr>
          <w:i/>
          <w:color w:val="231F20"/>
          <w:w w:val="65"/>
        </w:rPr>
        <w:t>Índice</w:t>
      </w:r>
    </w:p>
    <w:p>
      <w:pPr>
        <w:pStyle w:val="BodyText"/>
        <w:rPr>
          <w:rFonts w:ascii="Trebuchet MS"/>
          <w:i/>
        </w:rPr>
      </w:pPr>
    </w:p>
    <w:p>
      <w:pPr>
        <w:pStyle w:val="BodyText"/>
        <w:rPr>
          <w:rFonts w:ascii="Trebuchet MS"/>
          <w:i/>
        </w:rPr>
      </w:pPr>
    </w:p>
    <w:p>
      <w:pPr>
        <w:pStyle w:val="BodyText"/>
        <w:rPr>
          <w:rFonts w:ascii="Trebuchet MS"/>
          <w:i/>
        </w:rPr>
      </w:pPr>
    </w:p>
    <w:p>
      <w:pPr>
        <w:pStyle w:val="BodyText"/>
        <w:rPr>
          <w:rFonts w:ascii="Trebuchet MS"/>
          <w:i/>
        </w:rPr>
      </w:pPr>
    </w:p>
    <w:p>
      <w:pPr>
        <w:pStyle w:val="BodyText"/>
        <w:rPr>
          <w:rFonts w:ascii="Trebuchet MS"/>
          <w:i/>
        </w:rPr>
      </w:pPr>
    </w:p>
    <w:p>
      <w:pPr>
        <w:pStyle w:val="BodyText"/>
        <w:spacing w:before="7"/>
        <w:rPr>
          <w:rFonts w:ascii="Trebuchet MS"/>
          <w:i/>
          <w:sz w:val="24"/>
        </w:rPr>
      </w:pPr>
    </w:p>
    <w:p>
      <w:pPr>
        <w:spacing w:before="77"/>
        <w:ind w:left="120" w:right="0" w:firstLine="0"/>
        <w:jc w:val="left"/>
        <w:rPr>
          <w:rFonts w:ascii="Times New Roman" w:hAnsi="Times New Roman"/>
          <w:sz w:val="14"/>
        </w:rPr>
      </w:pPr>
      <w:r>
        <w:rPr>
          <w:rFonts w:ascii="Times New Roman" w:hAnsi="Times New Roman"/>
          <w:color w:val="231F20"/>
          <w:w w:val="110"/>
          <w:sz w:val="18"/>
        </w:rPr>
        <w:t>I</w:t>
      </w:r>
      <w:r>
        <w:rPr>
          <w:rFonts w:ascii="Times New Roman" w:hAnsi="Times New Roman"/>
          <w:color w:val="231F20"/>
          <w:w w:val="110"/>
          <w:sz w:val="14"/>
        </w:rPr>
        <w:t>NTRODUCCIÓN</w:t>
      </w:r>
    </w:p>
    <w:sdt>
      <w:sdtPr>
        <w:docPartObj>
          <w:docPartGallery w:val="Table of Contents"/>
          <w:docPartUnique/>
        </w:docPartObj>
      </w:sdtPr>
      <w:sdtEndPr/>
      <w:sdtContent>
        <w:p>
          <w:pPr>
            <w:pStyle w:val="TOC1"/>
            <w:tabs>
              <w:tab w:pos="7079" w:val="right" w:leader="dot"/>
            </w:tabs>
            <w:rPr>
              <w:i w:val="0"/>
              <w:sz w:val="18"/>
            </w:rPr>
          </w:pPr>
          <w:hyperlink w:history="true" w:anchor="_TOC_250013">
            <w:r>
              <w:rPr>
                <w:i/>
                <w:color w:val="231F20"/>
                <w:w w:val="105"/>
              </w:rPr>
              <w:t>Rosa Patricia</w:t>
            </w:r>
            <w:r>
              <w:rPr>
                <w:i/>
                <w:color w:val="231F20"/>
                <w:spacing w:val="14"/>
                <w:w w:val="105"/>
              </w:rPr>
              <w:t> </w:t>
            </w:r>
            <w:r>
              <w:rPr>
                <w:i/>
                <w:color w:val="231F20"/>
                <w:w w:val="105"/>
              </w:rPr>
              <w:t>Román</w:t>
            </w:r>
            <w:r>
              <w:rPr>
                <w:i/>
                <w:color w:val="231F20"/>
                <w:spacing w:val="7"/>
                <w:w w:val="105"/>
              </w:rPr>
              <w:t> </w:t>
            </w:r>
            <w:r>
              <w:rPr>
                <w:i/>
                <w:color w:val="231F20"/>
                <w:w w:val="105"/>
              </w:rPr>
              <w:t>Reyes</w:t>
            </w:r>
            <w:r>
              <w:rPr>
                <w:i w:val="0"/>
                <w:color w:val="231F20"/>
                <w:w w:val="105"/>
                <w:sz w:val="18"/>
              </w:rPr>
              <w:tab/>
              <w:t>5</w:t>
            </w:r>
          </w:hyperlink>
        </w:p>
        <w:p>
          <w:pPr>
            <w:pStyle w:val="TOC2"/>
            <w:spacing w:line="321" w:lineRule="auto"/>
            <w:ind w:right="2875"/>
          </w:pPr>
          <w:r>
            <w:rPr>
              <w:color w:val="231F20"/>
              <w:w w:val="110"/>
              <w:sz w:val="18"/>
            </w:rPr>
            <w:t>F</w:t>
          </w:r>
          <w:r>
            <w:rPr>
              <w:color w:val="231F20"/>
              <w:w w:val="110"/>
            </w:rPr>
            <w:t>AMILIAS Y POLÍTICAS PÚBLICAS</w:t>
          </w:r>
          <w:r>
            <w:rPr>
              <w:color w:val="231F20"/>
              <w:w w:val="110"/>
              <w:sz w:val="18"/>
            </w:rPr>
            <w:t>; </w:t>
          </w:r>
          <w:r>
            <w:rPr>
              <w:color w:val="231F20"/>
              <w:w w:val="110"/>
            </w:rPr>
            <w:t>VÍNCULOS TEÓRICOS Y DESENCUENTROS PRÁCTICOS</w:t>
          </w:r>
        </w:p>
        <w:p>
          <w:pPr>
            <w:pStyle w:val="TOC1"/>
            <w:tabs>
              <w:tab w:pos="7080" w:val="right" w:leader="dot"/>
            </w:tabs>
            <w:spacing w:line="197" w:lineRule="exact" w:before="0"/>
            <w:rPr>
              <w:i w:val="0"/>
              <w:sz w:val="18"/>
            </w:rPr>
          </w:pPr>
          <w:hyperlink w:history="true" w:anchor="_TOC_250012">
            <w:r>
              <w:rPr>
                <w:i/>
                <w:color w:val="231F20"/>
                <w:w w:val="105"/>
              </w:rPr>
              <w:t>Rosa Patricia Román Reyes, Eduardo Andrés </w:t>
            </w:r>
            <w:r>
              <w:rPr>
                <w:i/>
                <w:color w:val="231F20"/>
                <w:spacing w:val="3"/>
                <w:w w:val="105"/>
              </w:rPr>
              <w:t> </w:t>
            </w:r>
            <w:r>
              <w:rPr>
                <w:i/>
                <w:color w:val="231F20"/>
                <w:w w:val="105"/>
              </w:rPr>
              <w:t>Sandoval</w:t>
            </w:r>
            <w:r>
              <w:rPr>
                <w:i/>
                <w:color w:val="231F20"/>
                <w:spacing w:val="6"/>
                <w:w w:val="105"/>
              </w:rPr>
              <w:t> </w:t>
            </w:r>
            <w:r>
              <w:rPr>
                <w:i/>
                <w:color w:val="231F20"/>
                <w:w w:val="105"/>
              </w:rPr>
              <w:t>Forero</w:t>
            </w:r>
            <w:r>
              <w:rPr>
                <w:i w:val="0"/>
                <w:color w:val="231F20"/>
                <w:w w:val="105"/>
                <w:sz w:val="18"/>
              </w:rPr>
              <w:tab/>
              <w:t>11</w:t>
            </w:r>
          </w:hyperlink>
        </w:p>
        <w:p>
          <w:pPr>
            <w:pStyle w:val="TOC2"/>
          </w:pPr>
          <w:hyperlink w:history="true" w:anchor="_TOC_250011">
            <w:r>
              <w:rPr>
                <w:color w:val="231F20"/>
                <w:w w:val="110"/>
                <w:sz w:val="18"/>
              </w:rPr>
              <w:t>L</w:t>
            </w:r>
            <w:r>
              <w:rPr>
                <w:color w:val="231F20"/>
                <w:w w:val="110"/>
              </w:rPr>
              <w:t>A FAMILIA EN VINCULACIÓN CON EL MERCADO LABORAL</w:t>
            </w:r>
          </w:hyperlink>
        </w:p>
        <w:p>
          <w:pPr>
            <w:pStyle w:val="TOC1"/>
            <w:tabs>
              <w:tab w:pos="7080" w:val="right" w:leader="dot"/>
            </w:tabs>
            <w:rPr>
              <w:i w:val="0"/>
              <w:sz w:val="18"/>
            </w:rPr>
          </w:pPr>
          <w:hyperlink w:history="true" w:anchor="_TOC_250010">
            <w:r>
              <w:rPr>
                <w:i/>
                <w:color w:val="231F20"/>
                <w:w w:val="110"/>
              </w:rPr>
              <w:t>Rosa Patricia Román Reyes, Juan Gabino</w:t>
            </w:r>
            <w:r>
              <w:rPr>
                <w:i/>
                <w:color w:val="231F20"/>
                <w:spacing w:val="18"/>
                <w:w w:val="110"/>
              </w:rPr>
              <w:t> </w:t>
            </w:r>
            <w:r>
              <w:rPr>
                <w:i/>
                <w:color w:val="231F20"/>
                <w:w w:val="110"/>
              </w:rPr>
              <w:t>González</w:t>
            </w:r>
            <w:r>
              <w:rPr>
                <w:i/>
                <w:color w:val="231F20"/>
                <w:spacing w:val="3"/>
                <w:w w:val="110"/>
              </w:rPr>
              <w:t> </w:t>
            </w:r>
            <w:r>
              <w:rPr>
                <w:i/>
                <w:color w:val="231F20"/>
                <w:w w:val="110"/>
              </w:rPr>
              <w:t>Becerril</w:t>
            </w:r>
            <w:r>
              <w:rPr>
                <w:i w:val="0"/>
                <w:color w:val="231F20"/>
                <w:w w:val="110"/>
                <w:sz w:val="18"/>
              </w:rPr>
              <w:tab/>
              <w:t>33</w:t>
            </w:r>
          </w:hyperlink>
        </w:p>
        <w:p>
          <w:pPr>
            <w:pStyle w:val="TOC2"/>
          </w:pPr>
          <w:hyperlink w:history="true" w:anchor="_TOC_250009">
            <w:r>
              <w:rPr>
                <w:color w:val="231F20"/>
                <w:w w:val="110"/>
                <w:sz w:val="18"/>
              </w:rPr>
              <w:t>C</w:t>
            </w:r>
            <w:r>
              <w:rPr>
                <w:color w:val="231F20"/>
                <w:w w:val="110"/>
              </w:rPr>
              <w:t>AMBIOS EN LA FORMACIÓN FAMILIAR A INICIOS DEL SIGLO XXI EN </w:t>
            </w:r>
            <w:r>
              <w:rPr>
                <w:color w:val="231F20"/>
                <w:w w:val="110"/>
                <w:sz w:val="18"/>
              </w:rPr>
              <w:t>M</w:t>
            </w:r>
            <w:r>
              <w:rPr>
                <w:color w:val="231F20"/>
                <w:w w:val="110"/>
              </w:rPr>
              <w:t>ÉXICO</w:t>
            </w:r>
          </w:hyperlink>
        </w:p>
        <w:p>
          <w:pPr>
            <w:pStyle w:val="TOC1"/>
            <w:spacing w:before="49"/>
            <w:rPr>
              <w:i/>
            </w:rPr>
          </w:pPr>
          <w:r>
            <w:rPr>
              <w:i/>
              <w:color w:val="231F20"/>
              <w:w w:val="105"/>
            </w:rPr>
            <w:t>María Viridiana Sosa Márquez, Alfonso Mejía   Modesto</w:t>
          </w:r>
        </w:p>
        <w:p>
          <w:pPr>
            <w:pStyle w:val="TOC1"/>
            <w:tabs>
              <w:tab w:pos="7079" w:val="right" w:leader="dot"/>
            </w:tabs>
            <w:spacing w:before="33"/>
            <w:rPr>
              <w:i w:val="0"/>
              <w:sz w:val="18"/>
            </w:rPr>
          </w:pPr>
          <w:r>
            <w:rPr>
              <w:i/>
              <w:color w:val="231F20"/>
              <w:w w:val="105"/>
            </w:rPr>
            <w:t>José Antonio</w:t>
          </w:r>
          <w:r>
            <w:rPr>
              <w:i/>
              <w:color w:val="231F20"/>
              <w:spacing w:val="15"/>
              <w:w w:val="105"/>
            </w:rPr>
            <w:t> </w:t>
          </w:r>
          <w:r>
            <w:rPr>
              <w:i/>
              <w:color w:val="231F20"/>
              <w:w w:val="105"/>
            </w:rPr>
            <w:t>Soberón</w:t>
          </w:r>
          <w:r>
            <w:rPr>
              <w:i/>
              <w:color w:val="231F20"/>
              <w:spacing w:val="7"/>
              <w:w w:val="105"/>
            </w:rPr>
            <w:t> </w:t>
          </w:r>
          <w:r>
            <w:rPr>
              <w:i/>
              <w:color w:val="231F20"/>
              <w:w w:val="105"/>
            </w:rPr>
            <w:t>Mora</w:t>
          </w:r>
          <w:r>
            <w:rPr>
              <w:i w:val="0"/>
              <w:color w:val="231F20"/>
              <w:w w:val="105"/>
              <w:sz w:val="18"/>
            </w:rPr>
            <w:tab/>
            <w:t>59</w:t>
          </w:r>
        </w:p>
        <w:p>
          <w:pPr>
            <w:pStyle w:val="TOC2"/>
          </w:pPr>
          <w:r>
            <w:rPr>
              <w:color w:val="231F20"/>
              <w:w w:val="110"/>
              <w:sz w:val="18"/>
            </w:rPr>
            <w:t>I</w:t>
          </w:r>
          <w:r>
            <w:rPr>
              <w:color w:val="231F20"/>
              <w:w w:val="110"/>
            </w:rPr>
            <w:t>MPLICACIONES DE LA UNIÓN CONYUGAL EN LA  EDUCACIÓN</w:t>
          </w:r>
        </w:p>
        <w:p>
          <w:pPr>
            <w:pStyle w:val="TOC2"/>
            <w:spacing w:before="33"/>
            <w:rPr>
              <w:sz w:val="18"/>
            </w:rPr>
          </w:pPr>
          <w:r>
            <w:rPr>
              <w:color w:val="231F20"/>
              <w:w w:val="110"/>
            </w:rPr>
            <w:t>Y EL EMPLEO DE LOS JÓVENES DEL </w:t>
          </w:r>
          <w:r>
            <w:rPr>
              <w:color w:val="231F20"/>
              <w:w w:val="110"/>
              <w:sz w:val="18"/>
            </w:rPr>
            <w:t>E</w:t>
          </w:r>
          <w:r>
            <w:rPr>
              <w:color w:val="231F20"/>
              <w:w w:val="110"/>
            </w:rPr>
            <w:t>STADO DE </w:t>
          </w:r>
          <w:r>
            <w:rPr>
              <w:color w:val="231F20"/>
              <w:w w:val="110"/>
              <w:sz w:val="18"/>
            </w:rPr>
            <w:t>M</w:t>
          </w:r>
          <w:r>
            <w:rPr>
              <w:color w:val="231F20"/>
              <w:w w:val="110"/>
            </w:rPr>
            <w:t>ÉXICO</w:t>
          </w:r>
          <w:r>
            <w:rPr>
              <w:color w:val="231F20"/>
              <w:w w:val="110"/>
              <w:sz w:val="18"/>
            </w:rPr>
            <w:t>,  2010</w:t>
          </w:r>
        </w:p>
        <w:p>
          <w:pPr>
            <w:pStyle w:val="TOC1"/>
            <w:tabs>
              <w:tab w:pos="7079" w:val="right" w:leader="dot"/>
            </w:tabs>
            <w:rPr>
              <w:i w:val="0"/>
              <w:sz w:val="18"/>
            </w:rPr>
          </w:pPr>
          <w:hyperlink w:history="true" w:anchor="_TOC_250008">
            <w:r>
              <w:rPr>
                <w:i/>
                <w:color w:val="231F20"/>
                <w:w w:val="105"/>
              </w:rPr>
              <w:t>Andrea</w:t>
            </w:r>
            <w:r>
              <w:rPr>
                <w:i/>
                <w:color w:val="231F20"/>
                <w:spacing w:val="7"/>
                <w:w w:val="105"/>
              </w:rPr>
              <w:t> </w:t>
            </w:r>
            <w:r>
              <w:rPr>
                <w:i/>
                <w:color w:val="231F20"/>
                <w:w w:val="105"/>
              </w:rPr>
              <w:t>Bautista</w:t>
            </w:r>
            <w:r>
              <w:rPr>
                <w:i/>
                <w:color w:val="231F20"/>
                <w:spacing w:val="7"/>
                <w:w w:val="105"/>
              </w:rPr>
              <w:t> </w:t>
            </w:r>
            <w:r>
              <w:rPr>
                <w:i/>
                <w:color w:val="231F20"/>
                <w:w w:val="105"/>
              </w:rPr>
              <w:t>León</w:t>
            </w:r>
            <w:r>
              <w:rPr>
                <w:i w:val="0"/>
                <w:color w:val="231F20"/>
                <w:w w:val="105"/>
                <w:sz w:val="18"/>
              </w:rPr>
              <w:tab/>
              <w:t>103</w:t>
            </w:r>
          </w:hyperlink>
        </w:p>
        <w:p>
          <w:pPr>
            <w:pStyle w:val="TOC2"/>
          </w:pPr>
          <w:r>
            <w:rPr>
              <w:color w:val="231F20"/>
              <w:w w:val="110"/>
              <w:sz w:val="18"/>
            </w:rPr>
            <w:t>H</w:t>
          </w:r>
          <w:r>
            <w:rPr>
              <w:color w:val="231F20"/>
              <w:w w:val="110"/>
            </w:rPr>
            <w:t>OGARES</w:t>
          </w:r>
          <w:r>
            <w:rPr>
              <w:color w:val="231F20"/>
              <w:w w:val="110"/>
              <w:sz w:val="18"/>
            </w:rPr>
            <w:t>, </w:t>
          </w:r>
          <w:r>
            <w:rPr>
              <w:color w:val="231F20"/>
              <w:w w:val="110"/>
            </w:rPr>
            <w:t>CONFIGURACIONES FAMILIARES</w:t>
          </w:r>
        </w:p>
        <w:p>
          <w:pPr>
            <w:pStyle w:val="TOC2"/>
            <w:spacing w:line="357" w:lineRule="auto" w:before="70"/>
            <w:ind w:right="2875"/>
          </w:pPr>
          <w:r>
            <w:rPr>
              <w:color w:val="231F20"/>
              <w:w w:val="110"/>
            </w:rPr>
            <w:t>Y DE GÉNERO EN UN CONTEXTO DE ALTA MIGRACIÓN INTERNACIONAL EN EL SUR  MEXIQUENSE</w:t>
          </w:r>
        </w:p>
        <w:p>
          <w:pPr>
            <w:pStyle w:val="TOC1"/>
            <w:tabs>
              <w:tab w:pos="7079" w:val="right" w:leader="dot"/>
            </w:tabs>
            <w:spacing w:line="174" w:lineRule="exact" w:before="0"/>
            <w:rPr>
              <w:i w:val="0"/>
              <w:sz w:val="18"/>
            </w:rPr>
          </w:pPr>
          <w:hyperlink w:history="true" w:anchor="_TOC_250007">
            <w:r>
              <w:rPr>
                <w:i/>
                <w:color w:val="231F20"/>
                <w:w w:val="105"/>
              </w:rPr>
              <w:t>Norma Baca Tavira, Renato</w:t>
            </w:r>
            <w:r>
              <w:rPr>
                <w:i/>
                <w:color w:val="231F20"/>
                <w:spacing w:val="26"/>
                <w:w w:val="105"/>
              </w:rPr>
              <w:t> </w:t>
            </w:r>
            <w:r>
              <w:rPr>
                <w:i/>
                <w:color w:val="231F20"/>
                <w:w w:val="105"/>
              </w:rPr>
              <w:t>Salas</w:t>
            </w:r>
            <w:r>
              <w:rPr>
                <w:i/>
                <w:color w:val="231F20"/>
                <w:spacing w:val="6"/>
                <w:w w:val="105"/>
              </w:rPr>
              <w:t> </w:t>
            </w:r>
            <w:r>
              <w:rPr>
                <w:i/>
                <w:color w:val="231F20"/>
                <w:w w:val="105"/>
              </w:rPr>
              <w:t>Alfaro</w:t>
            </w:r>
            <w:r>
              <w:rPr>
                <w:i w:val="0"/>
                <w:color w:val="231F20"/>
                <w:w w:val="105"/>
                <w:sz w:val="18"/>
              </w:rPr>
              <w:tab/>
              <w:t>123</w:t>
            </w:r>
          </w:hyperlink>
        </w:p>
        <w:p>
          <w:pPr>
            <w:pStyle w:val="TOC2"/>
            <w:spacing w:line="278" w:lineRule="auto"/>
            <w:ind w:left="119" w:right="2294"/>
          </w:pPr>
          <w:hyperlink w:history="true" w:anchor="_TOC_250006">
            <w:r>
              <w:rPr>
                <w:color w:val="231F20"/>
                <w:w w:val="110"/>
                <w:sz w:val="18"/>
              </w:rPr>
              <w:t>L</w:t>
            </w:r>
            <w:r>
              <w:rPr>
                <w:color w:val="231F20"/>
                <w:w w:val="110"/>
              </w:rPr>
              <w:t>A FAMILIA CAMPESINA Y LA AUTOSUFICIENCIA ALIMENTARIA EN EL </w:t>
            </w:r>
            <w:r>
              <w:rPr>
                <w:color w:val="231F20"/>
                <w:w w:val="110"/>
                <w:sz w:val="18"/>
              </w:rPr>
              <w:t>V</w:t>
            </w:r>
            <w:r>
              <w:rPr>
                <w:color w:val="231F20"/>
                <w:w w:val="110"/>
              </w:rPr>
              <w:t>ALLE DE </w:t>
            </w:r>
            <w:r>
              <w:rPr>
                <w:color w:val="231F20"/>
                <w:w w:val="110"/>
                <w:sz w:val="18"/>
              </w:rPr>
              <w:t>I</w:t>
            </w:r>
            <w:r>
              <w:rPr>
                <w:color w:val="231F20"/>
                <w:w w:val="110"/>
              </w:rPr>
              <w:t>XTLAHUACA</w:t>
            </w:r>
            <w:r>
              <w:rPr>
                <w:color w:val="231F20"/>
                <w:w w:val="110"/>
                <w:sz w:val="18"/>
              </w:rPr>
              <w:t>, E</w:t>
            </w:r>
            <w:r>
              <w:rPr>
                <w:color w:val="231F20"/>
                <w:w w:val="110"/>
              </w:rPr>
              <w:t>STADO DE </w:t>
            </w:r>
            <w:r>
              <w:rPr>
                <w:color w:val="231F20"/>
                <w:w w:val="110"/>
                <w:sz w:val="18"/>
              </w:rPr>
              <w:t>M</w:t>
            </w:r>
            <w:r>
              <w:rPr>
                <w:color w:val="231F20"/>
                <w:w w:val="110"/>
              </w:rPr>
              <w:t>ÉXICO</w:t>
            </w:r>
          </w:hyperlink>
        </w:p>
        <w:p>
          <w:pPr>
            <w:pStyle w:val="TOC1"/>
            <w:tabs>
              <w:tab w:pos="7079" w:val="right" w:leader="dot"/>
            </w:tabs>
            <w:spacing w:line="209" w:lineRule="exact" w:before="0"/>
            <w:rPr>
              <w:i w:val="0"/>
              <w:sz w:val="18"/>
            </w:rPr>
          </w:pPr>
          <w:hyperlink w:history="true" w:anchor="_TOC_250005">
            <w:r>
              <w:rPr>
                <w:i/>
                <w:color w:val="231F20"/>
                <w:w w:val="105"/>
              </w:rPr>
              <w:t>Laura</w:t>
            </w:r>
            <w:r>
              <w:rPr>
                <w:i/>
                <w:color w:val="231F20"/>
                <w:spacing w:val="7"/>
                <w:w w:val="105"/>
              </w:rPr>
              <w:t> </w:t>
            </w:r>
            <w:r>
              <w:rPr>
                <w:i/>
                <w:color w:val="231F20"/>
                <w:w w:val="105"/>
              </w:rPr>
              <w:t>Reyes</w:t>
            </w:r>
            <w:r>
              <w:rPr>
                <w:i/>
                <w:color w:val="231F20"/>
                <w:spacing w:val="7"/>
                <w:w w:val="105"/>
              </w:rPr>
              <w:t> </w:t>
            </w:r>
            <w:r>
              <w:rPr>
                <w:i/>
                <w:color w:val="231F20"/>
                <w:w w:val="105"/>
              </w:rPr>
              <w:t>Montes</w:t>
            </w:r>
            <w:r>
              <w:rPr>
                <w:i w:val="0"/>
                <w:color w:val="231F20"/>
                <w:w w:val="105"/>
                <w:sz w:val="18"/>
              </w:rPr>
              <w:tab/>
              <w:t>141</w:t>
            </w:r>
          </w:hyperlink>
        </w:p>
        <w:p>
          <w:pPr>
            <w:pStyle w:val="TOC2"/>
            <w:spacing w:line="278" w:lineRule="auto"/>
            <w:ind w:right="2418"/>
          </w:pPr>
          <w:hyperlink w:history="true" w:anchor="_TOC_250004">
            <w:r>
              <w:rPr>
                <w:color w:val="231F20"/>
                <w:w w:val="110"/>
                <w:sz w:val="18"/>
              </w:rPr>
              <w:t>V</w:t>
            </w:r>
            <w:r>
              <w:rPr>
                <w:color w:val="231F20"/>
                <w:w w:val="110"/>
              </w:rPr>
              <w:t>ULNERABILIDAD SOCIAL DE LA POBLACIÓN ENVEJECIDA DEL </w:t>
            </w:r>
            <w:r>
              <w:rPr>
                <w:color w:val="231F20"/>
                <w:w w:val="110"/>
                <w:sz w:val="18"/>
              </w:rPr>
              <w:t>E</w:t>
            </w:r>
            <w:r>
              <w:rPr>
                <w:color w:val="231F20"/>
                <w:w w:val="110"/>
              </w:rPr>
              <w:t>STADO DE </w:t>
            </w:r>
            <w:r>
              <w:rPr>
                <w:color w:val="231F20"/>
                <w:w w:val="110"/>
                <w:sz w:val="18"/>
              </w:rPr>
              <w:t>M</w:t>
            </w:r>
            <w:r>
              <w:rPr>
                <w:color w:val="231F20"/>
                <w:w w:val="110"/>
              </w:rPr>
              <w:t>ÉXICO</w:t>
            </w:r>
          </w:hyperlink>
        </w:p>
        <w:p>
          <w:pPr>
            <w:pStyle w:val="TOC1"/>
            <w:spacing w:before="17"/>
            <w:rPr>
              <w:i/>
            </w:rPr>
          </w:pPr>
          <w:hyperlink w:history="true" w:anchor="_TOC_250003">
            <w:r>
              <w:rPr>
                <w:i/>
                <w:color w:val="231F20"/>
                <w:w w:val="105"/>
              </w:rPr>
              <w:t>Jaciel Bernardino Montoya Arce, Hugo Montes de Oca    Vargas</w:t>
            </w:r>
          </w:hyperlink>
        </w:p>
        <w:p>
          <w:pPr>
            <w:pStyle w:val="TOC1"/>
            <w:tabs>
              <w:tab w:pos="7079" w:val="right" w:leader="dot"/>
            </w:tabs>
            <w:spacing w:before="33"/>
            <w:rPr>
              <w:i w:val="0"/>
              <w:sz w:val="18"/>
            </w:rPr>
          </w:pPr>
          <w:hyperlink w:history="true" w:anchor="_TOC_250002">
            <w:r>
              <w:rPr>
                <w:i/>
                <w:color w:val="231F20"/>
                <w:w w:val="105"/>
              </w:rPr>
              <w:t>Sergio Cuauhtémoc Gaxiola</w:t>
            </w:r>
            <w:r>
              <w:rPr>
                <w:i/>
                <w:color w:val="231F20"/>
                <w:spacing w:val="23"/>
                <w:w w:val="105"/>
              </w:rPr>
              <w:t> </w:t>
            </w:r>
            <w:r>
              <w:rPr>
                <w:i/>
                <w:color w:val="231F20"/>
                <w:w w:val="105"/>
              </w:rPr>
              <w:t>Robles</w:t>
            </w:r>
            <w:r>
              <w:rPr>
                <w:i/>
                <w:color w:val="231F20"/>
                <w:spacing w:val="7"/>
                <w:w w:val="105"/>
              </w:rPr>
              <w:t> </w:t>
            </w:r>
            <w:r>
              <w:rPr>
                <w:i/>
                <w:color w:val="231F20"/>
                <w:w w:val="105"/>
              </w:rPr>
              <w:t>Linares</w:t>
            </w:r>
            <w:r>
              <w:rPr>
                <w:i w:val="0"/>
                <w:color w:val="231F20"/>
                <w:w w:val="105"/>
                <w:sz w:val="18"/>
              </w:rPr>
              <w:tab/>
              <w:t>175</w:t>
            </w:r>
          </w:hyperlink>
        </w:p>
        <w:p>
          <w:pPr>
            <w:pStyle w:val="TOC2"/>
          </w:pPr>
          <w:r>
            <w:rPr>
              <w:color w:val="231F20"/>
              <w:w w:val="110"/>
              <w:sz w:val="18"/>
            </w:rPr>
            <w:t>D</w:t>
          </w:r>
          <w:r>
            <w:rPr>
              <w:color w:val="231F20"/>
              <w:w w:val="110"/>
            </w:rPr>
            <w:t>ESIGUALDAD SOCIOECONÓMICA DE LOS ADULTOS MAYORES</w:t>
          </w:r>
        </w:p>
        <w:p>
          <w:pPr>
            <w:pStyle w:val="TOC2"/>
            <w:spacing w:before="33"/>
            <w:ind w:left="119"/>
          </w:pPr>
          <w:r>
            <w:rPr>
              <w:color w:val="231F20"/>
              <w:w w:val="110"/>
            </w:rPr>
            <w:t>EN LAS CINCO ZONAS METROPOLITANAS MÁS GRANDES DE </w:t>
          </w:r>
          <w:r>
            <w:rPr>
              <w:color w:val="231F20"/>
              <w:w w:val="110"/>
              <w:sz w:val="18"/>
            </w:rPr>
            <w:t>M</w:t>
          </w:r>
          <w:r>
            <w:rPr>
              <w:color w:val="231F20"/>
              <w:w w:val="110"/>
            </w:rPr>
            <w:t>ÉXICO</w:t>
          </w:r>
        </w:p>
        <w:p>
          <w:pPr>
            <w:pStyle w:val="TOC1"/>
            <w:tabs>
              <w:tab w:pos="7079" w:val="right" w:leader="dot"/>
            </w:tabs>
            <w:rPr>
              <w:i w:val="0"/>
              <w:sz w:val="18"/>
            </w:rPr>
          </w:pPr>
          <w:hyperlink w:history="true" w:anchor="_TOC_250001">
            <w:r>
              <w:rPr>
                <w:i/>
                <w:color w:val="231F20"/>
                <w:spacing w:val="-3"/>
                <w:w w:val="105"/>
              </w:rPr>
              <w:t>Pablo </w:t>
            </w:r>
            <w:r>
              <w:rPr>
                <w:i/>
                <w:color w:val="231F20"/>
                <w:w w:val="105"/>
              </w:rPr>
              <w:t>Jasso Salas, Zoraida</w:t>
            </w:r>
            <w:r>
              <w:rPr>
                <w:i/>
                <w:color w:val="231F20"/>
                <w:spacing w:val="35"/>
                <w:w w:val="105"/>
              </w:rPr>
              <w:t> </w:t>
            </w:r>
            <w:r>
              <w:rPr>
                <w:i/>
                <w:color w:val="231F20"/>
                <w:w w:val="105"/>
              </w:rPr>
              <w:t>Ronzón</w:t>
            </w:r>
            <w:r>
              <w:rPr>
                <w:i/>
                <w:color w:val="231F20"/>
                <w:spacing w:val="8"/>
                <w:w w:val="105"/>
              </w:rPr>
              <w:t> </w:t>
            </w:r>
            <w:r>
              <w:rPr>
                <w:i/>
                <w:color w:val="231F20"/>
                <w:w w:val="105"/>
              </w:rPr>
              <w:t>Hernández</w:t>
            </w:r>
            <w:r>
              <w:rPr>
                <w:i w:val="0"/>
                <w:color w:val="231F20"/>
                <w:w w:val="105"/>
                <w:sz w:val="18"/>
              </w:rPr>
              <w:tab/>
              <w:t>201</w:t>
            </w:r>
          </w:hyperlink>
        </w:p>
        <w:p>
          <w:pPr>
            <w:pStyle w:val="TOC3"/>
            <w:tabs>
              <w:tab w:pos="7079" w:val="right" w:leader="dot"/>
            </w:tabs>
            <w:rPr>
              <w:rFonts w:ascii="Cambria"/>
              <w:b w:val="0"/>
              <w:i w:val="0"/>
              <w:sz w:val="18"/>
            </w:rPr>
          </w:pPr>
          <w:hyperlink w:history="true" w:anchor="_TOC_250000">
            <w:r>
              <w:rPr>
                <w:b w:val="0"/>
                <w:i w:val="0"/>
                <w:color w:val="231F20"/>
                <w:w w:val="105"/>
                <w:sz w:val="18"/>
              </w:rPr>
              <w:t>S</w:t>
            </w:r>
            <w:r>
              <w:rPr>
                <w:b w:val="0"/>
                <w:i w:val="0"/>
                <w:color w:val="231F20"/>
                <w:w w:val="105"/>
                <w:sz w:val="14"/>
              </w:rPr>
              <w:t>OBRE</w:t>
            </w:r>
            <w:r>
              <w:rPr>
                <w:b w:val="0"/>
                <w:i w:val="0"/>
                <w:color w:val="231F20"/>
                <w:spacing w:val="13"/>
                <w:w w:val="105"/>
                <w:sz w:val="14"/>
              </w:rPr>
              <w:t> </w:t>
            </w:r>
            <w:r>
              <w:rPr>
                <w:b w:val="0"/>
                <w:i w:val="0"/>
                <w:color w:val="231F20"/>
                <w:w w:val="105"/>
                <w:sz w:val="14"/>
              </w:rPr>
              <w:t>LOS</w:t>
            </w:r>
            <w:r>
              <w:rPr>
                <w:b w:val="0"/>
                <w:i w:val="0"/>
                <w:color w:val="231F20"/>
                <w:spacing w:val="13"/>
                <w:w w:val="105"/>
                <w:sz w:val="14"/>
              </w:rPr>
              <w:t> </w:t>
            </w:r>
            <w:r>
              <w:rPr>
                <w:b w:val="0"/>
                <w:i w:val="0"/>
                <w:color w:val="231F20"/>
                <w:w w:val="105"/>
                <w:sz w:val="14"/>
              </w:rPr>
              <w:t>AUTORES</w:t>
            </w:r>
            <w:r>
              <w:rPr>
                <w:rFonts w:ascii="Cambria"/>
                <w:b w:val="0"/>
                <w:i w:val="0"/>
                <w:color w:val="231F20"/>
                <w:w w:val="105"/>
                <w:sz w:val="18"/>
              </w:rPr>
              <w:tab/>
              <w:t>237</w:t>
            </w:r>
          </w:hyperlink>
        </w:p>
      </w:sdtContent>
    </w:sdt>
    <w:p>
      <w:pPr>
        <w:spacing w:after="0"/>
        <w:rPr>
          <w:rFonts w:ascii="Cambria"/>
          <w:sz w:val="18"/>
        </w:rPr>
        <w:sectPr>
          <w:footerReference w:type="even" r:id="rId203"/>
          <w:pgSz w:w="9520" w:h="12920"/>
          <w:pgMar w:footer="0" w:header="0" w:top="1220" w:bottom="280" w:left="1000" w:right="1320"/>
        </w:sectPr>
      </w:pPr>
    </w:p>
    <w:p>
      <w:pPr>
        <w:pStyle w:val="BodyText"/>
        <w:spacing w:before="4"/>
        <w:rPr>
          <w:rFonts w:ascii="Times New Roman"/>
          <w:sz w:val="17"/>
        </w:rPr>
      </w:pPr>
    </w:p>
    <w:sectPr>
      <w:footerReference w:type="default" r:id="rId204"/>
      <w:pgSz w:w="9520" w:h="12920"/>
      <w:pgMar w:footer="0" w:header="0" w:top="1220" w:bottom="280" w:left="1320" w:right="13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Trebuchet MS">
    <w:altName w:val="Trebuchet MS"/>
    <w:charset w:val="0"/>
    <w:family w:val="swiss"/>
    <w:pitch w:val="variable"/>
  </w:font>
  <w:font w:name="Cambria">
    <w:altName w:val="Cambria"/>
    <w:charset w:val="0"/>
    <w:family w:val="roman"/>
    <w:pitch w:val="variable"/>
  </w:font>
  <w:font w:name="Georgia">
    <w:altName w:val="Georg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type id="_x0000_t202" o:spt="202" coordsize="21600,21600" path="m,l,21600r21600,l21600,xe">
          <v:stroke joinstyle="miter"/>
          <v:path gradientshapeok="t" o:connecttype="rect"/>
        </v:shapetype>
        <v:shape style="position:absolute;margin-left:70.220497pt;margin-top:567.815369pt;width:96pt;height:11pt;mso-position-horizontal-relative:page;mso-position-vertical-relative:page;z-index:-457864"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85"/>
                    <w:sz w:val="18"/>
                  </w:rPr>
                  <w:instrText> PAGE </w:instrText>
                </w:r>
                <w:r>
                  <w:rPr/>
                  <w:fldChar w:fldCharType="separate"/>
                </w:r>
                <w:r>
                  <w:rPr/>
                  <w:t>6</w:t>
                </w:r>
                <w:r>
                  <w:rPr/>
                  <w:fldChar w:fldCharType="end"/>
                </w:r>
                <w:r>
                  <w:rPr>
                    <w:rFonts w:ascii="Calibri" w:hAnsi="Calibri"/>
                    <w:i/>
                    <w:color w:val="231F20"/>
                    <w:spacing w:val="-7"/>
                    <w:w w:val="85"/>
                    <w:sz w:val="18"/>
                  </w:rPr>
                  <w:t> </w:t>
                </w:r>
                <w:r>
                  <w:rPr>
                    <w:i/>
                    <w:color w:val="231F20"/>
                    <w:w w:val="85"/>
                    <w:sz w:val="18"/>
                  </w:rPr>
                  <w:t>•</w:t>
                </w:r>
                <w:r>
                  <w:rPr>
                    <w:i/>
                    <w:color w:val="231F20"/>
                    <w:spacing w:val="-6"/>
                    <w:w w:val="85"/>
                    <w:sz w:val="18"/>
                  </w:rPr>
                  <w:t> </w:t>
                </w:r>
                <w:r>
                  <w:rPr>
                    <w:rFonts w:ascii="Calibri" w:hAnsi="Calibri"/>
                    <w:i/>
                    <w:color w:val="231F20"/>
                    <w:w w:val="85"/>
                    <w:sz w:val="18"/>
                  </w:rPr>
                  <w:t>Rosa</w:t>
                </w:r>
                <w:r>
                  <w:rPr>
                    <w:rFonts w:ascii="Calibri" w:hAnsi="Calibri"/>
                    <w:i/>
                    <w:color w:val="231F20"/>
                    <w:spacing w:val="-7"/>
                    <w:w w:val="85"/>
                    <w:sz w:val="18"/>
                  </w:rPr>
                  <w:t> </w:t>
                </w:r>
                <w:r>
                  <w:rPr>
                    <w:rFonts w:ascii="Calibri" w:hAnsi="Calibri"/>
                    <w:i/>
                    <w:color w:val="231F20"/>
                    <w:w w:val="85"/>
                    <w:sz w:val="18"/>
                  </w:rPr>
                  <w:t>Patricia</w:t>
                </w:r>
                <w:r>
                  <w:rPr>
                    <w:rFonts w:ascii="Calibri" w:hAnsi="Calibri"/>
                    <w:i/>
                    <w:color w:val="231F20"/>
                    <w:spacing w:val="-7"/>
                    <w:w w:val="85"/>
                    <w:sz w:val="18"/>
                  </w:rPr>
                  <w:t> </w:t>
                </w:r>
                <w:r>
                  <w:rPr>
                    <w:rFonts w:ascii="Calibri" w:hAnsi="Calibri"/>
                    <w:i/>
                    <w:color w:val="231F20"/>
                    <w:w w:val="85"/>
                    <w:sz w:val="18"/>
                  </w:rPr>
                  <w:t>Román</w:t>
                </w:r>
                <w:r>
                  <w:rPr>
                    <w:rFonts w:ascii="Calibri" w:hAnsi="Calibri"/>
                    <w:i/>
                    <w:color w:val="231F20"/>
                    <w:spacing w:val="-7"/>
                    <w:w w:val="85"/>
                    <w:sz w:val="18"/>
                  </w:rPr>
                  <w:t> </w:t>
                </w:r>
                <w:r>
                  <w:rPr>
                    <w:rFonts w:ascii="Calibri" w:hAnsi="Calibri"/>
                    <w:i/>
                    <w:color w:val="231F20"/>
                    <w:w w:val="85"/>
                    <w:sz w:val="18"/>
                  </w:rPr>
                  <w:t>Reyes</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124.75pt;height:11pt;mso-position-horizontal-relative:page;mso-position-vertical-relative:page;z-index:-457696"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24</w:t>
                </w:r>
                <w:r>
                  <w:rPr/>
                  <w:fldChar w:fldCharType="end"/>
                </w:r>
                <w:r>
                  <w:rPr>
                    <w:rFonts w:ascii="Calibri" w:hAnsi="Calibri"/>
                    <w:i/>
                    <w:color w:val="231F20"/>
                    <w:spacing w:val="-14"/>
                    <w:w w:val="90"/>
                    <w:sz w:val="18"/>
                  </w:rPr>
                  <w:t> </w:t>
                </w:r>
                <w:r>
                  <w:rPr>
                    <w:i/>
                    <w:color w:val="231F20"/>
                    <w:w w:val="90"/>
                    <w:sz w:val="18"/>
                  </w:rPr>
                  <w:t>•</w:t>
                </w:r>
                <w:r>
                  <w:rPr>
                    <w:i/>
                    <w:color w:val="231F20"/>
                    <w:spacing w:val="-13"/>
                    <w:w w:val="90"/>
                    <w:sz w:val="18"/>
                  </w:rPr>
                  <w:t> </w:t>
                </w:r>
                <w:r>
                  <w:rPr>
                    <w:rFonts w:ascii="Calibri" w:hAnsi="Calibri"/>
                    <w:i/>
                    <w:color w:val="231F20"/>
                    <w:w w:val="90"/>
                    <w:sz w:val="18"/>
                  </w:rPr>
                  <w:t>R.</w:t>
                </w:r>
                <w:r>
                  <w:rPr>
                    <w:rFonts w:ascii="Calibri" w:hAnsi="Calibri"/>
                    <w:i/>
                    <w:color w:val="231F20"/>
                    <w:spacing w:val="-14"/>
                    <w:w w:val="90"/>
                    <w:sz w:val="18"/>
                  </w:rPr>
                  <w:t> </w:t>
                </w:r>
                <w:r>
                  <w:rPr>
                    <w:rFonts w:ascii="Calibri" w:hAnsi="Calibri"/>
                    <w:i/>
                    <w:color w:val="231F20"/>
                    <w:spacing w:val="-19"/>
                    <w:w w:val="90"/>
                    <w:sz w:val="18"/>
                  </w:rPr>
                  <w:t>P.</w:t>
                </w:r>
                <w:r>
                  <w:rPr>
                    <w:rFonts w:ascii="Calibri" w:hAnsi="Calibri"/>
                    <w:i/>
                    <w:color w:val="231F20"/>
                    <w:spacing w:val="-14"/>
                    <w:w w:val="90"/>
                    <w:sz w:val="18"/>
                  </w:rPr>
                  <w:t> </w:t>
                </w:r>
                <w:r>
                  <w:rPr>
                    <w:rFonts w:ascii="Calibri" w:hAnsi="Calibri"/>
                    <w:i/>
                    <w:color w:val="231F20"/>
                    <w:w w:val="90"/>
                    <w:sz w:val="18"/>
                  </w:rPr>
                  <w:t>Román</w:t>
                </w:r>
                <w:r>
                  <w:rPr>
                    <w:rFonts w:ascii="Calibri" w:hAnsi="Calibri"/>
                    <w:i/>
                    <w:color w:val="231F20"/>
                    <w:spacing w:val="-14"/>
                    <w:w w:val="90"/>
                    <w:sz w:val="18"/>
                  </w:rPr>
                  <w:t> </w:t>
                </w:r>
                <w:r>
                  <w:rPr>
                    <w:rFonts w:ascii="Calibri" w:hAnsi="Calibri"/>
                    <w:i/>
                    <w:color w:val="231F20"/>
                    <w:w w:val="90"/>
                    <w:sz w:val="18"/>
                  </w:rPr>
                  <w:t>Reyes</w:t>
                </w:r>
                <w:r>
                  <w:rPr>
                    <w:rFonts w:ascii="Calibri" w:hAnsi="Calibri"/>
                    <w:i/>
                    <w:color w:val="231F20"/>
                    <w:spacing w:val="-14"/>
                    <w:w w:val="90"/>
                    <w:sz w:val="18"/>
                  </w:rPr>
                  <w:t> </w:t>
                </w:r>
                <w:r>
                  <w:rPr>
                    <w:rFonts w:ascii="Calibri" w:hAnsi="Calibri"/>
                    <w:i/>
                    <w:color w:val="231F20"/>
                    <w:w w:val="90"/>
                    <w:sz w:val="18"/>
                  </w:rPr>
                  <w:t>y</w:t>
                </w:r>
                <w:r>
                  <w:rPr>
                    <w:rFonts w:ascii="Calibri" w:hAnsi="Calibri"/>
                    <w:i/>
                    <w:color w:val="231F20"/>
                    <w:spacing w:val="-14"/>
                    <w:w w:val="90"/>
                    <w:sz w:val="18"/>
                  </w:rPr>
                  <w:t> </w:t>
                </w:r>
                <w:r>
                  <w:rPr>
                    <w:rFonts w:ascii="Calibri" w:hAnsi="Calibri"/>
                    <w:i/>
                    <w:color w:val="231F20"/>
                    <w:w w:val="90"/>
                    <w:sz w:val="18"/>
                  </w:rPr>
                  <w:t>E.</w:t>
                </w:r>
                <w:r>
                  <w:rPr>
                    <w:rFonts w:ascii="Calibri" w:hAnsi="Calibri"/>
                    <w:i/>
                    <w:color w:val="231F20"/>
                    <w:spacing w:val="-14"/>
                    <w:w w:val="90"/>
                    <w:sz w:val="18"/>
                  </w:rPr>
                  <w:t> </w:t>
                </w:r>
                <w:r>
                  <w:rPr>
                    <w:rFonts w:ascii="Calibri" w:hAnsi="Calibri"/>
                    <w:i/>
                    <w:color w:val="231F20"/>
                    <w:w w:val="90"/>
                    <w:sz w:val="18"/>
                  </w:rPr>
                  <w:t>A.</w:t>
                </w:r>
                <w:r>
                  <w:rPr>
                    <w:rFonts w:ascii="Calibri" w:hAnsi="Calibri"/>
                    <w:i/>
                    <w:color w:val="231F20"/>
                    <w:spacing w:val="-14"/>
                    <w:w w:val="90"/>
                    <w:sz w:val="18"/>
                  </w:rPr>
                  <w:t> </w:t>
                </w:r>
                <w:r>
                  <w:rPr>
                    <w:rFonts w:ascii="Calibri" w:hAnsi="Calibri"/>
                    <w:i/>
                    <w:color w:val="231F20"/>
                    <w:w w:val="90"/>
                    <w:sz w:val="18"/>
                  </w:rPr>
                  <w:t>Sandoval</w:t>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121.65pt;height:11pt;mso-position-horizontal-relative:page;mso-position-vertical-relative:page;z-index:-454744"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202</w:t>
                </w:r>
                <w:r>
                  <w:rPr/>
                  <w:fldChar w:fldCharType="end"/>
                </w:r>
                <w:r>
                  <w:rPr>
                    <w:rFonts w:ascii="Calibri" w:hAnsi="Calibri"/>
                    <w:i/>
                    <w:color w:val="231F20"/>
                    <w:spacing w:val="-11"/>
                    <w:w w:val="90"/>
                    <w:sz w:val="18"/>
                  </w:rPr>
                  <w:t> </w:t>
                </w:r>
                <w:r>
                  <w:rPr>
                    <w:i/>
                    <w:color w:val="231F20"/>
                    <w:w w:val="90"/>
                    <w:sz w:val="18"/>
                  </w:rPr>
                  <w:t>•</w:t>
                </w:r>
                <w:r>
                  <w:rPr>
                    <w:i/>
                    <w:color w:val="231F20"/>
                    <w:spacing w:val="-10"/>
                    <w:w w:val="90"/>
                    <w:sz w:val="18"/>
                  </w:rPr>
                  <w:t> </w:t>
                </w:r>
                <w:r>
                  <w:rPr>
                    <w:rFonts w:ascii="Calibri" w:hAnsi="Calibri"/>
                    <w:i/>
                    <w:color w:val="231F20"/>
                    <w:spacing w:val="-19"/>
                    <w:w w:val="90"/>
                    <w:sz w:val="18"/>
                  </w:rPr>
                  <w:t>P.</w:t>
                </w:r>
                <w:r>
                  <w:rPr>
                    <w:rFonts w:ascii="Calibri" w:hAnsi="Calibri"/>
                    <w:i/>
                    <w:color w:val="231F20"/>
                    <w:spacing w:val="-11"/>
                    <w:w w:val="90"/>
                    <w:sz w:val="18"/>
                  </w:rPr>
                  <w:t> </w:t>
                </w:r>
                <w:r>
                  <w:rPr>
                    <w:rFonts w:ascii="Calibri" w:hAnsi="Calibri"/>
                    <w:i/>
                    <w:color w:val="231F20"/>
                    <w:w w:val="90"/>
                    <w:sz w:val="18"/>
                  </w:rPr>
                  <w:t>J.</w:t>
                </w:r>
                <w:r>
                  <w:rPr>
                    <w:rFonts w:ascii="Calibri" w:hAnsi="Calibri"/>
                    <w:i/>
                    <w:color w:val="231F20"/>
                    <w:spacing w:val="-11"/>
                    <w:w w:val="90"/>
                    <w:sz w:val="18"/>
                  </w:rPr>
                  <w:t> </w:t>
                </w:r>
                <w:r>
                  <w:rPr>
                    <w:rFonts w:ascii="Calibri" w:hAnsi="Calibri"/>
                    <w:i/>
                    <w:color w:val="231F20"/>
                    <w:w w:val="90"/>
                    <w:sz w:val="18"/>
                  </w:rPr>
                  <w:t>Salas,</w:t>
                </w:r>
                <w:r>
                  <w:rPr>
                    <w:rFonts w:ascii="Calibri" w:hAnsi="Calibri"/>
                    <w:i/>
                    <w:color w:val="231F20"/>
                    <w:spacing w:val="-11"/>
                    <w:w w:val="90"/>
                    <w:sz w:val="18"/>
                  </w:rPr>
                  <w:t> </w:t>
                </w:r>
                <w:r>
                  <w:rPr>
                    <w:rFonts w:ascii="Calibri" w:hAnsi="Calibri"/>
                    <w:i/>
                    <w:color w:val="231F20"/>
                    <w:w w:val="90"/>
                    <w:sz w:val="18"/>
                  </w:rPr>
                  <w:t>Z.</w:t>
                </w:r>
                <w:r>
                  <w:rPr>
                    <w:rFonts w:ascii="Calibri" w:hAnsi="Calibri"/>
                    <w:i/>
                    <w:color w:val="231F20"/>
                    <w:spacing w:val="-11"/>
                    <w:w w:val="90"/>
                    <w:sz w:val="18"/>
                  </w:rPr>
                  <w:t> </w:t>
                </w:r>
                <w:r>
                  <w:rPr>
                    <w:rFonts w:ascii="Calibri" w:hAnsi="Calibri"/>
                    <w:i/>
                    <w:color w:val="231F20"/>
                    <w:w w:val="90"/>
                    <w:sz w:val="18"/>
                  </w:rPr>
                  <w:t>Ronzón</w:t>
                </w:r>
                <w:r>
                  <w:rPr>
                    <w:rFonts w:ascii="Calibri" w:hAnsi="Calibri"/>
                    <w:i/>
                    <w:color w:val="231F20"/>
                    <w:spacing w:val="-11"/>
                    <w:w w:val="90"/>
                    <w:sz w:val="18"/>
                  </w:rPr>
                  <w:t> </w:t>
                </w:r>
                <w:r>
                  <w:rPr>
                    <w:rFonts w:ascii="Calibri" w:hAnsi="Calibri"/>
                    <w:i/>
                    <w:color w:val="231F20"/>
                    <w:w w:val="90"/>
                    <w:sz w:val="18"/>
                  </w:rPr>
                  <w:t>Hernández</w:t>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20.358704pt;margin-top:567.814941pt;width:185.65pt;height:11pt;mso-position-horizontal-relative:page;mso-position-vertical-relative:page;z-index:-454720"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Desigualdad socioeconómica de los adultos mayores </w:t>
                </w:r>
                <w:r>
                  <w:rPr>
                    <w:i/>
                    <w:color w:val="231F20"/>
                    <w:w w:val="85"/>
                    <w:sz w:val="18"/>
                  </w:rPr>
                  <w:t>•  </w:t>
                </w:r>
                <w:r>
                  <w:rPr/>
                  <w:fldChar w:fldCharType="begin"/>
                </w:r>
                <w:r>
                  <w:rPr>
                    <w:rFonts w:ascii="Calibri" w:hAnsi="Calibri"/>
                    <w:i/>
                    <w:color w:val="231F20"/>
                    <w:w w:val="85"/>
                    <w:sz w:val="18"/>
                  </w:rPr>
                  <w:instrText> PAGE </w:instrText>
                </w:r>
                <w:r>
                  <w:rPr/>
                  <w:fldChar w:fldCharType="separate"/>
                </w:r>
                <w:r>
                  <w:rPr/>
                  <w:t>203</w:t>
                </w:r>
                <w:r>
                  <w:rPr/>
                  <w:fldChar w:fldCharType="end"/>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20.358704pt;margin-top:567.814941pt;width:184.65pt;height:11pt;mso-position-horizontal-relative:page;mso-position-vertical-relative:page;z-index:-454696"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Desigualdad socioeconómica de los adultos mayores </w:t>
                </w:r>
                <w:r>
                  <w:rPr>
                    <w:i/>
                    <w:color w:val="231F20"/>
                    <w:w w:val="85"/>
                    <w:sz w:val="18"/>
                  </w:rPr>
                  <w:t>•  </w:t>
                </w:r>
                <w:r>
                  <w:rPr>
                    <w:rFonts w:ascii="Calibri" w:hAnsi="Calibri"/>
                    <w:i/>
                    <w:color w:val="231F20"/>
                    <w:w w:val="85"/>
                    <w:sz w:val="18"/>
                  </w:rPr>
                  <w:t>211</w:t>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121.65pt;height:11pt;mso-position-horizontal-relative:page;mso-position-vertical-relative:page;z-index:-454672" type="#_x0000_t202" filled="false" stroked="false">
          <v:textbox inset="0,0,0,0">
            <w:txbxContent>
              <w:p>
                <w:pPr>
                  <w:spacing w:line="212" w:lineRule="exact" w:before="0"/>
                  <w:ind w:left="40" w:right="0" w:firstLine="0"/>
                  <w:jc w:val="left"/>
                  <w:rPr>
                    <w:rFonts w:ascii="Calibri" w:hAnsi="Calibri"/>
                    <w:i/>
                    <w:sz w:val="18"/>
                  </w:rPr>
                </w:pPr>
                <w:r>
                  <w:rPr>
                    <w:rFonts w:ascii="Calibri" w:hAnsi="Calibri"/>
                    <w:i/>
                    <w:color w:val="231F20"/>
                    <w:w w:val="90"/>
                    <w:sz w:val="18"/>
                  </w:rPr>
                  <w:t>212</w:t>
                </w:r>
                <w:r>
                  <w:rPr>
                    <w:rFonts w:ascii="Calibri" w:hAnsi="Calibri"/>
                    <w:i/>
                    <w:color w:val="231F20"/>
                    <w:spacing w:val="-11"/>
                    <w:w w:val="90"/>
                    <w:sz w:val="18"/>
                  </w:rPr>
                  <w:t> </w:t>
                </w:r>
                <w:r>
                  <w:rPr>
                    <w:i/>
                    <w:color w:val="231F20"/>
                    <w:w w:val="90"/>
                    <w:sz w:val="18"/>
                  </w:rPr>
                  <w:t>•</w:t>
                </w:r>
                <w:r>
                  <w:rPr>
                    <w:i/>
                    <w:color w:val="231F20"/>
                    <w:spacing w:val="-10"/>
                    <w:w w:val="90"/>
                    <w:sz w:val="18"/>
                  </w:rPr>
                  <w:t> </w:t>
                </w:r>
                <w:r>
                  <w:rPr>
                    <w:rFonts w:ascii="Calibri" w:hAnsi="Calibri"/>
                    <w:i/>
                    <w:color w:val="231F20"/>
                    <w:spacing w:val="-19"/>
                    <w:w w:val="90"/>
                    <w:sz w:val="18"/>
                  </w:rPr>
                  <w:t>P.</w:t>
                </w:r>
                <w:r>
                  <w:rPr>
                    <w:rFonts w:ascii="Calibri" w:hAnsi="Calibri"/>
                    <w:i/>
                    <w:color w:val="231F20"/>
                    <w:spacing w:val="-11"/>
                    <w:w w:val="90"/>
                    <w:sz w:val="18"/>
                  </w:rPr>
                  <w:t> </w:t>
                </w:r>
                <w:r>
                  <w:rPr>
                    <w:rFonts w:ascii="Calibri" w:hAnsi="Calibri"/>
                    <w:i/>
                    <w:color w:val="231F20"/>
                    <w:w w:val="90"/>
                    <w:sz w:val="18"/>
                  </w:rPr>
                  <w:t>J.</w:t>
                </w:r>
                <w:r>
                  <w:rPr>
                    <w:rFonts w:ascii="Calibri" w:hAnsi="Calibri"/>
                    <w:i/>
                    <w:color w:val="231F20"/>
                    <w:spacing w:val="-11"/>
                    <w:w w:val="90"/>
                    <w:sz w:val="18"/>
                  </w:rPr>
                  <w:t> </w:t>
                </w:r>
                <w:r>
                  <w:rPr>
                    <w:rFonts w:ascii="Calibri" w:hAnsi="Calibri"/>
                    <w:i/>
                    <w:color w:val="231F20"/>
                    <w:w w:val="90"/>
                    <w:sz w:val="18"/>
                  </w:rPr>
                  <w:t>Salas,</w:t>
                </w:r>
                <w:r>
                  <w:rPr>
                    <w:rFonts w:ascii="Calibri" w:hAnsi="Calibri"/>
                    <w:i/>
                    <w:color w:val="231F20"/>
                    <w:spacing w:val="-11"/>
                    <w:w w:val="90"/>
                    <w:sz w:val="18"/>
                  </w:rPr>
                  <w:t> </w:t>
                </w:r>
                <w:r>
                  <w:rPr>
                    <w:rFonts w:ascii="Calibri" w:hAnsi="Calibri"/>
                    <w:i/>
                    <w:color w:val="231F20"/>
                    <w:w w:val="90"/>
                    <w:sz w:val="18"/>
                  </w:rPr>
                  <w:t>Z.</w:t>
                </w:r>
                <w:r>
                  <w:rPr>
                    <w:rFonts w:ascii="Calibri" w:hAnsi="Calibri"/>
                    <w:i/>
                    <w:color w:val="231F20"/>
                    <w:spacing w:val="-11"/>
                    <w:w w:val="90"/>
                    <w:sz w:val="18"/>
                  </w:rPr>
                  <w:t> </w:t>
                </w:r>
                <w:r>
                  <w:rPr>
                    <w:rFonts w:ascii="Calibri" w:hAnsi="Calibri"/>
                    <w:i/>
                    <w:color w:val="231F20"/>
                    <w:w w:val="90"/>
                    <w:sz w:val="18"/>
                  </w:rPr>
                  <w:t>Ronzón</w:t>
                </w:r>
                <w:r>
                  <w:rPr>
                    <w:rFonts w:ascii="Calibri" w:hAnsi="Calibri"/>
                    <w:i/>
                    <w:color w:val="231F20"/>
                    <w:spacing w:val="-11"/>
                    <w:w w:val="90"/>
                    <w:sz w:val="18"/>
                  </w:rPr>
                  <w:t> </w:t>
                </w:r>
                <w:r>
                  <w:rPr>
                    <w:rFonts w:ascii="Calibri" w:hAnsi="Calibri"/>
                    <w:i/>
                    <w:color w:val="231F20"/>
                    <w:w w:val="90"/>
                    <w:sz w:val="18"/>
                  </w:rPr>
                  <w:t>Hernández</w:t>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20.358704pt;margin-top:567.814941pt;width:184.65pt;height:11pt;mso-position-horizontal-relative:page;mso-position-vertical-relative:page;z-index:-454648"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Desigualdad socioeconómica de los adultos mayores </w:t>
                </w:r>
                <w:r>
                  <w:rPr>
                    <w:i/>
                    <w:color w:val="231F20"/>
                    <w:w w:val="85"/>
                    <w:sz w:val="18"/>
                  </w:rPr>
                  <w:t>•  </w:t>
                </w:r>
                <w:r>
                  <w:rPr>
                    <w:rFonts w:ascii="Calibri" w:hAnsi="Calibri"/>
                    <w:i/>
                    <w:color w:val="231F20"/>
                    <w:w w:val="85"/>
                    <w:sz w:val="18"/>
                  </w:rPr>
                  <w:t>213</w:t>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121.65pt;height:11pt;mso-position-horizontal-relative:page;mso-position-vertical-relative:page;z-index:-454624" type="#_x0000_t202" filled="false" stroked="false">
          <v:textbox inset="0,0,0,0">
            <w:txbxContent>
              <w:p>
                <w:pPr>
                  <w:spacing w:line="212" w:lineRule="exact" w:before="0"/>
                  <w:ind w:left="40" w:right="0" w:firstLine="0"/>
                  <w:jc w:val="left"/>
                  <w:rPr>
                    <w:rFonts w:ascii="Calibri" w:hAnsi="Calibri"/>
                    <w:i/>
                    <w:sz w:val="18"/>
                  </w:rPr>
                </w:pPr>
                <w:r>
                  <w:rPr>
                    <w:rFonts w:ascii="Calibri" w:hAnsi="Calibri"/>
                    <w:i/>
                    <w:color w:val="231F20"/>
                    <w:w w:val="90"/>
                    <w:sz w:val="18"/>
                  </w:rPr>
                  <w:t>214</w:t>
                </w:r>
                <w:r>
                  <w:rPr>
                    <w:rFonts w:ascii="Calibri" w:hAnsi="Calibri"/>
                    <w:i/>
                    <w:color w:val="231F20"/>
                    <w:spacing w:val="-11"/>
                    <w:w w:val="90"/>
                    <w:sz w:val="18"/>
                  </w:rPr>
                  <w:t> </w:t>
                </w:r>
                <w:r>
                  <w:rPr>
                    <w:i/>
                    <w:color w:val="231F20"/>
                    <w:w w:val="90"/>
                    <w:sz w:val="18"/>
                  </w:rPr>
                  <w:t>•</w:t>
                </w:r>
                <w:r>
                  <w:rPr>
                    <w:i/>
                    <w:color w:val="231F20"/>
                    <w:spacing w:val="-10"/>
                    <w:w w:val="90"/>
                    <w:sz w:val="18"/>
                  </w:rPr>
                  <w:t> </w:t>
                </w:r>
                <w:r>
                  <w:rPr>
                    <w:rFonts w:ascii="Calibri" w:hAnsi="Calibri"/>
                    <w:i/>
                    <w:color w:val="231F20"/>
                    <w:spacing w:val="-19"/>
                    <w:w w:val="90"/>
                    <w:sz w:val="18"/>
                  </w:rPr>
                  <w:t>P.</w:t>
                </w:r>
                <w:r>
                  <w:rPr>
                    <w:rFonts w:ascii="Calibri" w:hAnsi="Calibri"/>
                    <w:i/>
                    <w:color w:val="231F20"/>
                    <w:spacing w:val="-11"/>
                    <w:w w:val="90"/>
                    <w:sz w:val="18"/>
                  </w:rPr>
                  <w:t> </w:t>
                </w:r>
                <w:r>
                  <w:rPr>
                    <w:rFonts w:ascii="Calibri" w:hAnsi="Calibri"/>
                    <w:i/>
                    <w:color w:val="231F20"/>
                    <w:w w:val="90"/>
                    <w:sz w:val="18"/>
                  </w:rPr>
                  <w:t>J.</w:t>
                </w:r>
                <w:r>
                  <w:rPr>
                    <w:rFonts w:ascii="Calibri" w:hAnsi="Calibri"/>
                    <w:i/>
                    <w:color w:val="231F20"/>
                    <w:spacing w:val="-11"/>
                    <w:w w:val="90"/>
                    <w:sz w:val="18"/>
                  </w:rPr>
                  <w:t> </w:t>
                </w:r>
                <w:r>
                  <w:rPr>
                    <w:rFonts w:ascii="Calibri" w:hAnsi="Calibri"/>
                    <w:i/>
                    <w:color w:val="231F20"/>
                    <w:w w:val="90"/>
                    <w:sz w:val="18"/>
                  </w:rPr>
                  <w:t>Salas,</w:t>
                </w:r>
                <w:r>
                  <w:rPr>
                    <w:rFonts w:ascii="Calibri" w:hAnsi="Calibri"/>
                    <w:i/>
                    <w:color w:val="231F20"/>
                    <w:spacing w:val="-11"/>
                    <w:w w:val="90"/>
                    <w:sz w:val="18"/>
                  </w:rPr>
                  <w:t> </w:t>
                </w:r>
                <w:r>
                  <w:rPr>
                    <w:rFonts w:ascii="Calibri" w:hAnsi="Calibri"/>
                    <w:i/>
                    <w:color w:val="231F20"/>
                    <w:w w:val="90"/>
                    <w:sz w:val="18"/>
                  </w:rPr>
                  <w:t>Z.</w:t>
                </w:r>
                <w:r>
                  <w:rPr>
                    <w:rFonts w:ascii="Calibri" w:hAnsi="Calibri"/>
                    <w:i/>
                    <w:color w:val="231F20"/>
                    <w:spacing w:val="-11"/>
                    <w:w w:val="90"/>
                    <w:sz w:val="18"/>
                  </w:rPr>
                  <w:t> </w:t>
                </w:r>
                <w:r>
                  <w:rPr>
                    <w:rFonts w:ascii="Calibri" w:hAnsi="Calibri"/>
                    <w:i/>
                    <w:color w:val="231F20"/>
                    <w:w w:val="90"/>
                    <w:sz w:val="18"/>
                  </w:rPr>
                  <w:t>Ronzón</w:t>
                </w:r>
                <w:r>
                  <w:rPr>
                    <w:rFonts w:ascii="Calibri" w:hAnsi="Calibri"/>
                    <w:i/>
                    <w:color w:val="231F20"/>
                    <w:spacing w:val="-11"/>
                    <w:w w:val="90"/>
                    <w:sz w:val="18"/>
                  </w:rPr>
                  <w:t> </w:t>
                </w:r>
                <w:r>
                  <w:rPr>
                    <w:rFonts w:ascii="Calibri" w:hAnsi="Calibri"/>
                    <w:i/>
                    <w:color w:val="231F20"/>
                    <w:w w:val="90"/>
                    <w:sz w:val="18"/>
                  </w:rPr>
                  <w:t>Hernández</w:t>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121.65pt;height:11pt;mso-position-horizontal-relative:page;mso-position-vertical-relative:page;z-index:-454600"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216</w:t>
                </w:r>
                <w:r>
                  <w:rPr/>
                  <w:fldChar w:fldCharType="end"/>
                </w:r>
                <w:r>
                  <w:rPr>
                    <w:rFonts w:ascii="Calibri" w:hAnsi="Calibri"/>
                    <w:i/>
                    <w:color w:val="231F20"/>
                    <w:spacing w:val="-11"/>
                    <w:w w:val="90"/>
                    <w:sz w:val="18"/>
                  </w:rPr>
                  <w:t> </w:t>
                </w:r>
                <w:r>
                  <w:rPr>
                    <w:i/>
                    <w:color w:val="231F20"/>
                    <w:w w:val="90"/>
                    <w:sz w:val="18"/>
                  </w:rPr>
                  <w:t>•</w:t>
                </w:r>
                <w:r>
                  <w:rPr>
                    <w:i/>
                    <w:color w:val="231F20"/>
                    <w:spacing w:val="-10"/>
                    <w:w w:val="90"/>
                    <w:sz w:val="18"/>
                  </w:rPr>
                  <w:t> </w:t>
                </w:r>
                <w:r>
                  <w:rPr>
                    <w:rFonts w:ascii="Calibri" w:hAnsi="Calibri"/>
                    <w:i/>
                    <w:color w:val="231F20"/>
                    <w:spacing w:val="-19"/>
                    <w:w w:val="90"/>
                    <w:sz w:val="18"/>
                  </w:rPr>
                  <w:t>P.</w:t>
                </w:r>
                <w:r>
                  <w:rPr>
                    <w:rFonts w:ascii="Calibri" w:hAnsi="Calibri"/>
                    <w:i/>
                    <w:color w:val="231F20"/>
                    <w:spacing w:val="-11"/>
                    <w:w w:val="90"/>
                    <w:sz w:val="18"/>
                  </w:rPr>
                  <w:t> </w:t>
                </w:r>
                <w:r>
                  <w:rPr>
                    <w:rFonts w:ascii="Calibri" w:hAnsi="Calibri"/>
                    <w:i/>
                    <w:color w:val="231F20"/>
                    <w:w w:val="90"/>
                    <w:sz w:val="18"/>
                  </w:rPr>
                  <w:t>J.</w:t>
                </w:r>
                <w:r>
                  <w:rPr>
                    <w:rFonts w:ascii="Calibri" w:hAnsi="Calibri"/>
                    <w:i/>
                    <w:color w:val="231F20"/>
                    <w:spacing w:val="-11"/>
                    <w:w w:val="90"/>
                    <w:sz w:val="18"/>
                  </w:rPr>
                  <w:t> </w:t>
                </w:r>
                <w:r>
                  <w:rPr>
                    <w:rFonts w:ascii="Calibri" w:hAnsi="Calibri"/>
                    <w:i/>
                    <w:color w:val="231F20"/>
                    <w:w w:val="90"/>
                    <w:sz w:val="18"/>
                  </w:rPr>
                  <w:t>Salas,</w:t>
                </w:r>
                <w:r>
                  <w:rPr>
                    <w:rFonts w:ascii="Calibri" w:hAnsi="Calibri"/>
                    <w:i/>
                    <w:color w:val="231F20"/>
                    <w:spacing w:val="-11"/>
                    <w:w w:val="90"/>
                    <w:sz w:val="18"/>
                  </w:rPr>
                  <w:t> </w:t>
                </w:r>
                <w:r>
                  <w:rPr>
                    <w:rFonts w:ascii="Calibri" w:hAnsi="Calibri"/>
                    <w:i/>
                    <w:color w:val="231F20"/>
                    <w:w w:val="90"/>
                    <w:sz w:val="18"/>
                  </w:rPr>
                  <w:t>Z.</w:t>
                </w:r>
                <w:r>
                  <w:rPr>
                    <w:rFonts w:ascii="Calibri" w:hAnsi="Calibri"/>
                    <w:i/>
                    <w:color w:val="231F20"/>
                    <w:spacing w:val="-11"/>
                    <w:w w:val="90"/>
                    <w:sz w:val="18"/>
                  </w:rPr>
                  <w:t> </w:t>
                </w:r>
                <w:r>
                  <w:rPr>
                    <w:rFonts w:ascii="Calibri" w:hAnsi="Calibri"/>
                    <w:i/>
                    <w:color w:val="231F20"/>
                    <w:w w:val="90"/>
                    <w:sz w:val="18"/>
                  </w:rPr>
                  <w:t>Ronzón</w:t>
                </w:r>
                <w:r>
                  <w:rPr>
                    <w:rFonts w:ascii="Calibri" w:hAnsi="Calibri"/>
                    <w:i/>
                    <w:color w:val="231F20"/>
                    <w:spacing w:val="-11"/>
                    <w:w w:val="90"/>
                    <w:sz w:val="18"/>
                  </w:rPr>
                  <w:t> </w:t>
                </w:r>
                <w:r>
                  <w:rPr>
                    <w:rFonts w:ascii="Calibri" w:hAnsi="Calibri"/>
                    <w:i/>
                    <w:color w:val="231F20"/>
                    <w:w w:val="90"/>
                    <w:sz w:val="18"/>
                  </w:rPr>
                  <w:t>Hernández</w:t>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20.358704pt;margin-top:567.814941pt;width:185.65pt;height:11pt;mso-position-horizontal-relative:page;mso-position-vertical-relative:page;z-index:-454576"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Desigualdad socioeconómica de los adultos mayores </w:t>
                </w:r>
                <w:r>
                  <w:rPr>
                    <w:i/>
                    <w:color w:val="231F20"/>
                    <w:w w:val="85"/>
                    <w:sz w:val="18"/>
                  </w:rPr>
                  <w:t>•  </w:t>
                </w:r>
                <w:r>
                  <w:rPr/>
                  <w:fldChar w:fldCharType="begin"/>
                </w:r>
                <w:r>
                  <w:rPr>
                    <w:rFonts w:ascii="Calibri" w:hAnsi="Calibri"/>
                    <w:i/>
                    <w:color w:val="231F20"/>
                    <w:w w:val="85"/>
                    <w:sz w:val="18"/>
                  </w:rPr>
                  <w:instrText> PAGE </w:instrText>
                </w:r>
                <w:r>
                  <w:rPr/>
                  <w:fldChar w:fldCharType="separate"/>
                </w:r>
                <w:r>
                  <w:rPr/>
                  <w:t>217</w:t>
                </w:r>
                <w:r>
                  <w:rPr/>
                  <w:fldChar w:fldCharType="end"/>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20.358704pt;margin-top:567.814941pt;width:184.65pt;height:11pt;mso-position-horizontal-relative:page;mso-position-vertical-relative:page;z-index:-454552"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Desigualdad socioeconómica de los adultos mayores </w:t>
                </w:r>
                <w:r>
                  <w:rPr>
                    <w:i/>
                    <w:color w:val="231F20"/>
                    <w:w w:val="85"/>
                    <w:sz w:val="18"/>
                  </w:rPr>
                  <w:t>•  </w:t>
                </w:r>
                <w:r>
                  <w:rPr>
                    <w:rFonts w:ascii="Calibri" w:hAnsi="Calibri"/>
                    <w:i/>
                    <w:color w:val="231F20"/>
                    <w:w w:val="85"/>
                    <w:sz w:val="18"/>
                  </w:rPr>
                  <w:t>221</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121.65pt;height:11pt;mso-position-horizontal-relative:page;mso-position-vertical-relative:page;z-index:-454528" type="#_x0000_t202" filled="false" stroked="false">
          <v:textbox inset="0,0,0,0">
            <w:txbxContent>
              <w:p>
                <w:pPr>
                  <w:spacing w:line="212" w:lineRule="exact" w:before="0"/>
                  <w:ind w:left="40" w:right="0" w:firstLine="0"/>
                  <w:jc w:val="left"/>
                  <w:rPr>
                    <w:rFonts w:ascii="Calibri" w:hAnsi="Calibri"/>
                    <w:i/>
                    <w:sz w:val="18"/>
                  </w:rPr>
                </w:pPr>
                <w:r>
                  <w:rPr>
                    <w:rFonts w:ascii="Calibri" w:hAnsi="Calibri"/>
                    <w:i/>
                    <w:color w:val="231F20"/>
                    <w:w w:val="90"/>
                    <w:sz w:val="18"/>
                  </w:rPr>
                  <w:t>222</w:t>
                </w:r>
                <w:r>
                  <w:rPr>
                    <w:rFonts w:ascii="Calibri" w:hAnsi="Calibri"/>
                    <w:i/>
                    <w:color w:val="231F20"/>
                    <w:spacing w:val="-11"/>
                    <w:w w:val="90"/>
                    <w:sz w:val="18"/>
                  </w:rPr>
                  <w:t> </w:t>
                </w:r>
                <w:r>
                  <w:rPr>
                    <w:i/>
                    <w:color w:val="231F20"/>
                    <w:w w:val="90"/>
                    <w:sz w:val="18"/>
                  </w:rPr>
                  <w:t>•</w:t>
                </w:r>
                <w:r>
                  <w:rPr>
                    <w:i/>
                    <w:color w:val="231F20"/>
                    <w:spacing w:val="-10"/>
                    <w:w w:val="90"/>
                    <w:sz w:val="18"/>
                  </w:rPr>
                  <w:t> </w:t>
                </w:r>
                <w:r>
                  <w:rPr>
                    <w:rFonts w:ascii="Calibri" w:hAnsi="Calibri"/>
                    <w:i/>
                    <w:color w:val="231F20"/>
                    <w:spacing w:val="-19"/>
                    <w:w w:val="90"/>
                    <w:sz w:val="18"/>
                  </w:rPr>
                  <w:t>P.</w:t>
                </w:r>
                <w:r>
                  <w:rPr>
                    <w:rFonts w:ascii="Calibri" w:hAnsi="Calibri"/>
                    <w:i/>
                    <w:color w:val="231F20"/>
                    <w:spacing w:val="-11"/>
                    <w:w w:val="90"/>
                    <w:sz w:val="18"/>
                  </w:rPr>
                  <w:t> </w:t>
                </w:r>
                <w:r>
                  <w:rPr>
                    <w:rFonts w:ascii="Calibri" w:hAnsi="Calibri"/>
                    <w:i/>
                    <w:color w:val="231F20"/>
                    <w:w w:val="90"/>
                    <w:sz w:val="18"/>
                  </w:rPr>
                  <w:t>J.</w:t>
                </w:r>
                <w:r>
                  <w:rPr>
                    <w:rFonts w:ascii="Calibri" w:hAnsi="Calibri"/>
                    <w:i/>
                    <w:color w:val="231F20"/>
                    <w:spacing w:val="-11"/>
                    <w:w w:val="90"/>
                    <w:sz w:val="18"/>
                  </w:rPr>
                  <w:t> </w:t>
                </w:r>
                <w:r>
                  <w:rPr>
                    <w:rFonts w:ascii="Calibri" w:hAnsi="Calibri"/>
                    <w:i/>
                    <w:color w:val="231F20"/>
                    <w:w w:val="90"/>
                    <w:sz w:val="18"/>
                  </w:rPr>
                  <w:t>Salas,</w:t>
                </w:r>
                <w:r>
                  <w:rPr>
                    <w:rFonts w:ascii="Calibri" w:hAnsi="Calibri"/>
                    <w:i/>
                    <w:color w:val="231F20"/>
                    <w:spacing w:val="-11"/>
                    <w:w w:val="90"/>
                    <w:sz w:val="18"/>
                  </w:rPr>
                  <w:t> </w:t>
                </w:r>
                <w:r>
                  <w:rPr>
                    <w:rFonts w:ascii="Calibri" w:hAnsi="Calibri"/>
                    <w:i/>
                    <w:color w:val="231F20"/>
                    <w:w w:val="90"/>
                    <w:sz w:val="18"/>
                  </w:rPr>
                  <w:t>Z.</w:t>
                </w:r>
                <w:r>
                  <w:rPr>
                    <w:rFonts w:ascii="Calibri" w:hAnsi="Calibri"/>
                    <w:i/>
                    <w:color w:val="231F20"/>
                    <w:spacing w:val="-11"/>
                    <w:w w:val="90"/>
                    <w:sz w:val="18"/>
                  </w:rPr>
                  <w:t> </w:t>
                </w:r>
                <w:r>
                  <w:rPr>
                    <w:rFonts w:ascii="Calibri" w:hAnsi="Calibri"/>
                    <w:i/>
                    <w:color w:val="231F20"/>
                    <w:w w:val="90"/>
                    <w:sz w:val="18"/>
                  </w:rPr>
                  <w:t>Ronzón</w:t>
                </w:r>
                <w:r>
                  <w:rPr>
                    <w:rFonts w:ascii="Calibri" w:hAnsi="Calibri"/>
                    <w:i/>
                    <w:color w:val="231F20"/>
                    <w:spacing w:val="-11"/>
                    <w:w w:val="90"/>
                    <w:sz w:val="18"/>
                  </w:rPr>
                  <w:t> </w:t>
                </w:r>
                <w:r>
                  <w:rPr>
                    <w:rFonts w:ascii="Calibri" w:hAnsi="Calibri"/>
                    <w:i/>
                    <w:color w:val="231F20"/>
                    <w:w w:val="90"/>
                    <w:sz w:val="18"/>
                  </w:rPr>
                  <w:t>Hernández</w:t>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20.358704pt;margin-top:567.814941pt;width:185.65pt;height:11pt;mso-position-horizontal-relative:page;mso-position-vertical-relative:page;z-index:-454504"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Desigualdad socioeconómica de los adultos mayores </w:t>
                </w:r>
                <w:r>
                  <w:rPr>
                    <w:i/>
                    <w:color w:val="231F20"/>
                    <w:w w:val="85"/>
                    <w:sz w:val="18"/>
                  </w:rPr>
                  <w:t>•  </w:t>
                </w:r>
                <w:r>
                  <w:rPr/>
                  <w:fldChar w:fldCharType="begin"/>
                </w:r>
                <w:r>
                  <w:rPr>
                    <w:rFonts w:ascii="Calibri" w:hAnsi="Calibri"/>
                    <w:i/>
                    <w:color w:val="231F20"/>
                    <w:w w:val="85"/>
                    <w:sz w:val="18"/>
                  </w:rPr>
                  <w:instrText> PAGE </w:instrText>
                </w:r>
                <w:r>
                  <w:rPr/>
                  <w:fldChar w:fldCharType="separate"/>
                </w:r>
                <w:r>
                  <w:rPr/>
                  <w:t>223</w:t>
                </w:r>
                <w:r>
                  <w:rPr/>
                  <w:fldChar w:fldCharType="end"/>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121.65pt;height:11pt;mso-position-horizontal-relative:page;mso-position-vertical-relative:page;z-index:-454480"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224</w:t>
                </w:r>
                <w:r>
                  <w:rPr/>
                  <w:fldChar w:fldCharType="end"/>
                </w:r>
                <w:r>
                  <w:rPr>
                    <w:rFonts w:ascii="Calibri" w:hAnsi="Calibri"/>
                    <w:i/>
                    <w:color w:val="231F20"/>
                    <w:spacing w:val="-11"/>
                    <w:w w:val="90"/>
                    <w:sz w:val="18"/>
                  </w:rPr>
                  <w:t> </w:t>
                </w:r>
                <w:r>
                  <w:rPr>
                    <w:i/>
                    <w:color w:val="231F20"/>
                    <w:w w:val="90"/>
                    <w:sz w:val="18"/>
                  </w:rPr>
                  <w:t>•</w:t>
                </w:r>
                <w:r>
                  <w:rPr>
                    <w:i/>
                    <w:color w:val="231F20"/>
                    <w:spacing w:val="-10"/>
                    <w:w w:val="90"/>
                    <w:sz w:val="18"/>
                  </w:rPr>
                  <w:t> </w:t>
                </w:r>
                <w:r>
                  <w:rPr>
                    <w:rFonts w:ascii="Calibri" w:hAnsi="Calibri"/>
                    <w:i/>
                    <w:color w:val="231F20"/>
                    <w:spacing w:val="-19"/>
                    <w:w w:val="90"/>
                    <w:sz w:val="18"/>
                  </w:rPr>
                  <w:t>P.</w:t>
                </w:r>
                <w:r>
                  <w:rPr>
                    <w:rFonts w:ascii="Calibri" w:hAnsi="Calibri"/>
                    <w:i/>
                    <w:color w:val="231F20"/>
                    <w:spacing w:val="-11"/>
                    <w:w w:val="90"/>
                    <w:sz w:val="18"/>
                  </w:rPr>
                  <w:t> </w:t>
                </w:r>
                <w:r>
                  <w:rPr>
                    <w:rFonts w:ascii="Calibri" w:hAnsi="Calibri"/>
                    <w:i/>
                    <w:color w:val="231F20"/>
                    <w:w w:val="90"/>
                    <w:sz w:val="18"/>
                  </w:rPr>
                  <w:t>J.</w:t>
                </w:r>
                <w:r>
                  <w:rPr>
                    <w:rFonts w:ascii="Calibri" w:hAnsi="Calibri"/>
                    <w:i/>
                    <w:color w:val="231F20"/>
                    <w:spacing w:val="-11"/>
                    <w:w w:val="90"/>
                    <w:sz w:val="18"/>
                  </w:rPr>
                  <w:t> </w:t>
                </w:r>
                <w:r>
                  <w:rPr>
                    <w:rFonts w:ascii="Calibri" w:hAnsi="Calibri"/>
                    <w:i/>
                    <w:color w:val="231F20"/>
                    <w:w w:val="90"/>
                    <w:sz w:val="18"/>
                  </w:rPr>
                  <w:t>Salas,</w:t>
                </w:r>
                <w:r>
                  <w:rPr>
                    <w:rFonts w:ascii="Calibri" w:hAnsi="Calibri"/>
                    <w:i/>
                    <w:color w:val="231F20"/>
                    <w:spacing w:val="-11"/>
                    <w:w w:val="90"/>
                    <w:sz w:val="18"/>
                  </w:rPr>
                  <w:t> </w:t>
                </w:r>
                <w:r>
                  <w:rPr>
                    <w:rFonts w:ascii="Calibri" w:hAnsi="Calibri"/>
                    <w:i/>
                    <w:color w:val="231F20"/>
                    <w:w w:val="90"/>
                    <w:sz w:val="18"/>
                  </w:rPr>
                  <w:t>Z.</w:t>
                </w:r>
                <w:r>
                  <w:rPr>
                    <w:rFonts w:ascii="Calibri" w:hAnsi="Calibri"/>
                    <w:i/>
                    <w:color w:val="231F20"/>
                    <w:spacing w:val="-11"/>
                    <w:w w:val="90"/>
                    <w:sz w:val="18"/>
                  </w:rPr>
                  <w:t> </w:t>
                </w:r>
                <w:r>
                  <w:rPr>
                    <w:rFonts w:ascii="Calibri" w:hAnsi="Calibri"/>
                    <w:i/>
                    <w:color w:val="231F20"/>
                    <w:w w:val="90"/>
                    <w:sz w:val="18"/>
                  </w:rPr>
                  <w:t>Ronzón</w:t>
                </w:r>
                <w:r>
                  <w:rPr>
                    <w:rFonts w:ascii="Calibri" w:hAnsi="Calibri"/>
                    <w:i/>
                    <w:color w:val="231F20"/>
                    <w:spacing w:val="-11"/>
                    <w:w w:val="90"/>
                    <w:sz w:val="18"/>
                  </w:rPr>
                  <w:t> </w:t>
                </w:r>
                <w:r>
                  <w:rPr>
                    <w:rFonts w:ascii="Calibri" w:hAnsi="Calibri"/>
                    <w:i/>
                    <w:color w:val="231F20"/>
                    <w:w w:val="90"/>
                    <w:sz w:val="18"/>
                  </w:rPr>
                  <w:t>Hernández</w:t>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20.358704pt;margin-top:567.814941pt;width:184.65pt;height:11pt;mso-position-horizontal-relative:page;mso-position-vertical-relative:page;z-index:-454456"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Desigualdad socioeconómica de los adultos mayores </w:t>
                </w:r>
                <w:r>
                  <w:rPr>
                    <w:i/>
                    <w:color w:val="231F20"/>
                    <w:w w:val="85"/>
                    <w:sz w:val="18"/>
                  </w:rPr>
                  <w:t>•  </w:t>
                </w:r>
                <w:r>
                  <w:rPr>
                    <w:rFonts w:ascii="Calibri" w:hAnsi="Calibri"/>
                    <w:i/>
                    <w:color w:val="231F20"/>
                    <w:w w:val="85"/>
                    <w:sz w:val="18"/>
                  </w:rPr>
                  <w:t>231</w:t>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121.65pt;height:11pt;mso-position-horizontal-relative:page;mso-position-vertical-relative:page;z-index:-454432" type="#_x0000_t202" filled="false" stroked="false">
          <v:textbox inset="0,0,0,0">
            <w:txbxContent>
              <w:p>
                <w:pPr>
                  <w:spacing w:line="212" w:lineRule="exact" w:before="0"/>
                  <w:ind w:left="40" w:right="0" w:firstLine="0"/>
                  <w:jc w:val="left"/>
                  <w:rPr>
                    <w:rFonts w:ascii="Calibri" w:hAnsi="Calibri"/>
                    <w:i/>
                    <w:sz w:val="18"/>
                  </w:rPr>
                </w:pPr>
                <w:r>
                  <w:rPr>
                    <w:rFonts w:ascii="Calibri" w:hAnsi="Calibri"/>
                    <w:i/>
                    <w:color w:val="231F20"/>
                    <w:w w:val="90"/>
                    <w:sz w:val="18"/>
                  </w:rPr>
                  <w:t>232</w:t>
                </w:r>
                <w:r>
                  <w:rPr>
                    <w:rFonts w:ascii="Calibri" w:hAnsi="Calibri"/>
                    <w:i/>
                    <w:color w:val="231F20"/>
                    <w:spacing w:val="-11"/>
                    <w:w w:val="90"/>
                    <w:sz w:val="18"/>
                  </w:rPr>
                  <w:t> </w:t>
                </w:r>
                <w:r>
                  <w:rPr>
                    <w:i/>
                    <w:color w:val="231F20"/>
                    <w:w w:val="90"/>
                    <w:sz w:val="18"/>
                  </w:rPr>
                  <w:t>•</w:t>
                </w:r>
                <w:r>
                  <w:rPr>
                    <w:i/>
                    <w:color w:val="231F20"/>
                    <w:spacing w:val="-10"/>
                    <w:w w:val="90"/>
                    <w:sz w:val="18"/>
                  </w:rPr>
                  <w:t> </w:t>
                </w:r>
                <w:r>
                  <w:rPr>
                    <w:rFonts w:ascii="Calibri" w:hAnsi="Calibri"/>
                    <w:i/>
                    <w:color w:val="231F20"/>
                    <w:spacing w:val="-19"/>
                    <w:w w:val="90"/>
                    <w:sz w:val="18"/>
                  </w:rPr>
                  <w:t>P.</w:t>
                </w:r>
                <w:r>
                  <w:rPr>
                    <w:rFonts w:ascii="Calibri" w:hAnsi="Calibri"/>
                    <w:i/>
                    <w:color w:val="231F20"/>
                    <w:spacing w:val="-11"/>
                    <w:w w:val="90"/>
                    <w:sz w:val="18"/>
                  </w:rPr>
                  <w:t> </w:t>
                </w:r>
                <w:r>
                  <w:rPr>
                    <w:rFonts w:ascii="Calibri" w:hAnsi="Calibri"/>
                    <w:i/>
                    <w:color w:val="231F20"/>
                    <w:w w:val="90"/>
                    <w:sz w:val="18"/>
                  </w:rPr>
                  <w:t>J.</w:t>
                </w:r>
                <w:r>
                  <w:rPr>
                    <w:rFonts w:ascii="Calibri" w:hAnsi="Calibri"/>
                    <w:i/>
                    <w:color w:val="231F20"/>
                    <w:spacing w:val="-11"/>
                    <w:w w:val="90"/>
                    <w:sz w:val="18"/>
                  </w:rPr>
                  <w:t> </w:t>
                </w:r>
                <w:r>
                  <w:rPr>
                    <w:rFonts w:ascii="Calibri" w:hAnsi="Calibri"/>
                    <w:i/>
                    <w:color w:val="231F20"/>
                    <w:w w:val="90"/>
                    <w:sz w:val="18"/>
                  </w:rPr>
                  <w:t>Salas,</w:t>
                </w:r>
                <w:r>
                  <w:rPr>
                    <w:rFonts w:ascii="Calibri" w:hAnsi="Calibri"/>
                    <w:i/>
                    <w:color w:val="231F20"/>
                    <w:spacing w:val="-11"/>
                    <w:w w:val="90"/>
                    <w:sz w:val="18"/>
                  </w:rPr>
                  <w:t> </w:t>
                </w:r>
                <w:r>
                  <w:rPr>
                    <w:rFonts w:ascii="Calibri" w:hAnsi="Calibri"/>
                    <w:i/>
                    <w:color w:val="231F20"/>
                    <w:w w:val="90"/>
                    <w:sz w:val="18"/>
                  </w:rPr>
                  <w:t>Z.</w:t>
                </w:r>
                <w:r>
                  <w:rPr>
                    <w:rFonts w:ascii="Calibri" w:hAnsi="Calibri"/>
                    <w:i/>
                    <w:color w:val="231F20"/>
                    <w:spacing w:val="-11"/>
                    <w:w w:val="90"/>
                    <w:sz w:val="18"/>
                  </w:rPr>
                  <w:t> </w:t>
                </w:r>
                <w:r>
                  <w:rPr>
                    <w:rFonts w:ascii="Calibri" w:hAnsi="Calibri"/>
                    <w:i/>
                    <w:color w:val="231F20"/>
                    <w:w w:val="90"/>
                    <w:sz w:val="18"/>
                  </w:rPr>
                  <w:t>Ronzón</w:t>
                </w:r>
                <w:r>
                  <w:rPr>
                    <w:rFonts w:ascii="Calibri" w:hAnsi="Calibri"/>
                    <w:i/>
                    <w:color w:val="231F20"/>
                    <w:spacing w:val="-11"/>
                    <w:w w:val="90"/>
                    <w:sz w:val="18"/>
                  </w:rPr>
                  <w:t> </w:t>
                </w:r>
                <w:r>
                  <w:rPr>
                    <w:rFonts w:ascii="Calibri" w:hAnsi="Calibri"/>
                    <w:i/>
                    <w:color w:val="231F20"/>
                    <w:w w:val="90"/>
                    <w:sz w:val="18"/>
                  </w:rPr>
                  <w:t>Hernández</w:t>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20.358704pt;margin-top:567.814941pt;width:184.65pt;height:11pt;mso-position-horizontal-relative:page;mso-position-vertical-relative:page;z-index:-454408"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Desigualdad socioeconómica de los adultos mayores </w:t>
                </w:r>
                <w:r>
                  <w:rPr>
                    <w:i/>
                    <w:color w:val="231F20"/>
                    <w:w w:val="85"/>
                    <w:sz w:val="18"/>
                  </w:rPr>
                  <w:t>•  </w:t>
                </w:r>
                <w:r>
                  <w:rPr>
                    <w:rFonts w:ascii="Calibri" w:hAnsi="Calibri"/>
                    <w:i/>
                    <w:color w:val="231F20"/>
                    <w:w w:val="85"/>
                    <w:sz w:val="18"/>
                  </w:rPr>
                  <w:t>233</w:t>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121.65pt;height:11pt;mso-position-horizontal-relative:page;mso-position-vertical-relative:page;z-index:-454384" type="#_x0000_t202" filled="false" stroked="false">
          <v:textbox inset="0,0,0,0">
            <w:txbxContent>
              <w:p>
                <w:pPr>
                  <w:spacing w:line="212" w:lineRule="exact" w:before="0"/>
                  <w:ind w:left="40" w:right="0" w:firstLine="0"/>
                  <w:jc w:val="left"/>
                  <w:rPr>
                    <w:rFonts w:ascii="Calibri" w:hAnsi="Calibri"/>
                    <w:i/>
                    <w:sz w:val="18"/>
                  </w:rPr>
                </w:pPr>
                <w:r>
                  <w:rPr>
                    <w:rFonts w:ascii="Calibri" w:hAnsi="Calibri"/>
                    <w:i/>
                    <w:color w:val="231F20"/>
                    <w:w w:val="90"/>
                    <w:sz w:val="18"/>
                  </w:rPr>
                  <w:t>234</w:t>
                </w:r>
                <w:r>
                  <w:rPr>
                    <w:rFonts w:ascii="Calibri" w:hAnsi="Calibri"/>
                    <w:i/>
                    <w:color w:val="231F20"/>
                    <w:spacing w:val="-11"/>
                    <w:w w:val="90"/>
                    <w:sz w:val="18"/>
                  </w:rPr>
                  <w:t> </w:t>
                </w:r>
                <w:r>
                  <w:rPr>
                    <w:i/>
                    <w:color w:val="231F20"/>
                    <w:w w:val="90"/>
                    <w:sz w:val="18"/>
                  </w:rPr>
                  <w:t>•</w:t>
                </w:r>
                <w:r>
                  <w:rPr>
                    <w:i/>
                    <w:color w:val="231F20"/>
                    <w:spacing w:val="-10"/>
                    <w:w w:val="90"/>
                    <w:sz w:val="18"/>
                  </w:rPr>
                  <w:t> </w:t>
                </w:r>
                <w:r>
                  <w:rPr>
                    <w:rFonts w:ascii="Calibri" w:hAnsi="Calibri"/>
                    <w:i/>
                    <w:color w:val="231F20"/>
                    <w:spacing w:val="-19"/>
                    <w:w w:val="90"/>
                    <w:sz w:val="18"/>
                  </w:rPr>
                  <w:t>P.</w:t>
                </w:r>
                <w:r>
                  <w:rPr>
                    <w:rFonts w:ascii="Calibri" w:hAnsi="Calibri"/>
                    <w:i/>
                    <w:color w:val="231F20"/>
                    <w:spacing w:val="-11"/>
                    <w:w w:val="90"/>
                    <w:sz w:val="18"/>
                  </w:rPr>
                  <w:t> </w:t>
                </w:r>
                <w:r>
                  <w:rPr>
                    <w:rFonts w:ascii="Calibri" w:hAnsi="Calibri"/>
                    <w:i/>
                    <w:color w:val="231F20"/>
                    <w:w w:val="90"/>
                    <w:sz w:val="18"/>
                  </w:rPr>
                  <w:t>J.</w:t>
                </w:r>
                <w:r>
                  <w:rPr>
                    <w:rFonts w:ascii="Calibri" w:hAnsi="Calibri"/>
                    <w:i/>
                    <w:color w:val="231F20"/>
                    <w:spacing w:val="-11"/>
                    <w:w w:val="90"/>
                    <w:sz w:val="18"/>
                  </w:rPr>
                  <w:t> </w:t>
                </w:r>
                <w:r>
                  <w:rPr>
                    <w:rFonts w:ascii="Calibri" w:hAnsi="Calibri"/>
                    <w:i/>
                    <w:color w:val="231F20"/>
                    <w:w w:val="90"/>
                    <w:sz w:val="18"/>
                  </w:rPr>
                  <w:t>Salas,</w:t>
                </w:r>
                <w:r>
                  <w:rPr>
                    <w:rFonts w:ascii="Calibri" w:hAnsi="Calibri"/>
                    <w:i/>
                    <w:color w:val="231F20"/>
                    <w:spacing w:val="-11"/>
                    <w:w w:val="90"/>
                    <w:sz w:val="18"/>
                  </w:rPr>
                  <w:t> </w:t>
                </w:r>
                <w:r>
                  <w:rPr>
                    <w:rFonts w:ascii="Calibri" w:hAnsi="Calibri"/>
                    <w:i/>
                    <w:color w:val="231F20"/>
                    <w:w w:val="90"/>
                    <w:sz w:val="18"/>
                  </w:rPr>
                  <w:t>Z.</w:t>
                </w:r>
                <w:r>
                  <w:rPr>
                    <w:rFonts w:ascii="Calibri" w:hAnsi="Calibri"/>
                    <w:i/>
                    <w:color w:val="231F20"/>
                    <w:spacing w:val="-11"/>
                    <w:w w:val="90"/>
                    <w:sz w:val="18"/>
                  </w:rPr>
                  <w:t> </w:t>
                </w:r>
                <w:r>
                  <w:rPr>
                    <w:rFonts w:ascii="Calibri" w:hAnsi="Calibri"/>
                    <w:i/>
                    <w:color w:val="231F20"/>
                    <w:w w:val="90"/>
                    <w:sz w:val="18"/>
                  </w:rPr>
                  <w:t>Ronzón</w:t>
                </w:r>
                <w:r>
                  <w:rPr>
                    <w:rFonts w:ascii="Calibri" w:hAnsi="Calibri"/>
                    <w:i/>
                    <w:color w:val="231F20"/>
                    <w:spacing w:val="-11"/>
                    <w:w w:val="90"/>
                    <w:sz w:val="18"/>
                  </w:rPr>
                  <w:t> </w:t>
                </w:r>
                <w:r>
                  <w:rPr>
                    <w:rFonts w:ascii="Calibri" w:hAnsi="Calibri"/>
                    <w:i/>
                    <w:color w:val="231F20"/>
                    <w:w w:val="90"/>
                    <w:sz w:val="18"/>
                  </w:rPr>
                  <w:t>Hernández</w:t>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75.75pt;height:11pt;mso-position-horizontal-relative:page;mso-position-vertical-relative:page;z-index:-454360"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238</w:t>
                </w:r>
                <w:r>
                  <w:rPr/>
                  <w:fldChar w:fldCharType="end"/>
                </w:r>
                <w:r>
                  <w:rPr>
                    <w:rFonts w:ascii="Calibri" w:hAnsi="Calibri"/>
                    <w:i/>
                    <w:color w:val="231F20"/>
                    <w:spacing w:val="-18"/>
                    <w:w w:val="90"/>
                    <w:sz w:val="18"/>
                  </w:rPr>
                  <w:t> </w:t>
                </w:r>
                <w:r>
                  <w:rPr>
                    <w:i/>
                    <w:color w:val="231F20"/>
                    <w:w w:val="90"/>
                    <w:sz w:val="18"/>
                  </w:rPr>
                  <w:t>•</w:t>
                </w:r>
                <w:r>
                  <w:rPr>
                    <w:i/>
                    <w:color w:val="231F20"/>
                    <w:spacing w:val="-17"/>
                    <w:w w:val="90"/>
                    <w:sz w:val="18"/>
                  </w:rPr>
                  <w:t> </w:t>
                </w:r>
                <w:r>
                  <w:rPr>
                    <w:rFonts w:ascii="Calibri" w:hAnsi="Calibri"/>
                    <w:i/>
                    <w:color w:val="231F20"/>
                    <w:w w:val="90"/>
                    <w:sz w:val="18"/>
                  </w:rPr>
                  <w:t>Sobre</w:t>
                </w:r>
                <w:r>
                  <w:rPr>
                    <w:rFonts w:ascii="Calibri" w:hAnsi="Calibri"/>
                    <w:i/>
                    <w:color w:val="231F20"/>
                    <w:spacing w:val="-18"/>
                    <w:w w:val="90"/>
                    <w:sz w:val="18"/>
                  </w:rPr>
                  <w:t> </w:t>
                </w:r>
                <w:r>
                  <w:rPr>
                    <w:rFonts w:ascii="Calibri" w:hAnsi="Calibri"/>
                    <w:i/>
                    <w:color w:val="231F20"/>
                    <w:w w:val="90"/>
                    <w:sz w:val="18"/>
                  </w:rPr>
                  <w:t>los</w:t>
                </w:r>
                <w:r>
                  <w:rPr>
                    <w:rFonts w:ascii="Calibri" w:hAnsi="Calibri"/>
                    <w:i/>
                    <w:color w:val="231F20"/>
                    <w:spacing w:val="-18"/>
                    <w:w w:val="90"/>
                    <w:sz w:val="18"/>
                  </w:rPr>
                  <w:t> </w:t>
                </w:r>
                <w:r>
                  <w:rPr>
                    <w:rFonts w:ascii="Calibri" w:hAnsi="Calibri"/>
                    <w:i/>
                    <w:color w:val="231F20"/>
                    <w:w w:val="90"/>
                    <w:sz w:val="18"/>
                  </w:rPr>
                  <w:t>autores</w:t>
                </w:r>
              </w:p>
            </w:txbxContent>
          </v:textbox>
          <w10:wrap type="none"/>
        </v:shape>
      </w:pict>
    </w: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0.287201pt;margin-top:567.814941pt;width:74.75pt;height:11pt;mso-position-horizontal-relative:page;mso-position-vertical-relative:page;z-index:-454336"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90"/>
                    <w:sz w:val="18"/>
                  </w:rPr>
                  <w:t>Sobre</w:t>
                </w:r>
                <w:r>
                  <w:rPr>
                    <w:rFonts w:ascii="Calibri" w:hAnsi="Calibri"/>
                    <w:i/>
                    <w:color w:val="231F20"/>
                    <w:spacing w:val="-18"/>
                    <w:w w:val="90"/>
                    <w:sz w:val="18"/>
                  </w:rPr>
                  <w:t> </w:t>
                </w:r>
                <w:r>
                  <w:rPr>
                    <w:rFonts w:ascii="Calibri" w:hAnsi="Calibri"/>
                    <w:i/>
                    <w:color w:val="231F20"/>
                    <w:w w:val="90"/>
                    <w:sz w:val="18"/>
                  </w:rPr>
                  <w:t>los</w:t>
                </w:r>
                <w:r>
                  <w:rPr>
                    <w:rFonts w:ascii="Calibri" w:hAnsi="Calibri"/>
                    <w:i/>
                    <w:color w:val="231F20"/>
                    <w:spacing w:val="-18"/>
                    <w:w w:val="90"/>
                    <w:sz w:val="18"/>
                  </w:rPr>
                  <w:t> </w:t>
                </w:r>
                <w:r>
                  <w:rPr>
                    <w:rFonts w:ascii="Calibri" w:hAnsi="Calibri"/>
                    <w:i/>
                    <w:color w:val="231F20"/>
                    <w:w w:val="90"/>
                    <w:sz w:val="18"/>
                  </w:rPr>
                  <w:t>autores</w:t>
                </w:r>
                <w:r>
                  <w:rPr>
                    <w:rFonts w:ascii="Calibri" w:hAnsi="Calibri"/>
                    <w:i/>
                    <w:color w:val="231F20"/>
                    <w:spacing w:val="-18"/>
                    <w:w w:val="90"/>
                    <w:sz w:val="18"/>
                  </w:rPr>
                  <w:t> </w:t>
                </w:r>
                <w:r>
                  <w:rPr>
                    <w:i/>
                    <w:color w:val="231F20"/>
                    <w:w w:val="90"/>
                    <w:sz w:val="18"/>
                  </w:rPr>
                  <w:t>•</w:t>
                </w:r>
                <w:r>
                  <w:rPr>
                    <w:i/>
                    <w:color w:val="231F20"/>
                    <w:spacing w:val="-17"/>
                    <w:w w:val="90"/>
                    <w:sz w:val="18"/>
                  </w:rPr>
                  <w:t> </w:t>
                </w:r>
                <w:r>
                  <w:rPr>
                    <w:rFonts w:ascii="Calibri" w:hAnsi="Calibri"/>
                    <w:i/>
                    <w:color w:val="231F20"/>
                    <w:w w:val="90"/>
                    <w:sz w:val="18"/>
                  </w:rPr>
                  <w:t>239</w:t>
                </w:r>
              </w:p>
            </w:txbxContent>
          </v:textbox>
          <w10:wrap type="none"/>
        </v:shape>
      </w:pict>
    </w: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0.287201pt;margin-top:567.814941pt;width:74.75pt;height:11pt;mso-position-horizontal-relative:page;mso-position-vertical-relative:page;z-index:-454312"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90"/>
                    <w:sz w:val="18"/>
                  </w:rPr>
                  <w:t>Sobre</w:t>
                </w:r>
                <w:r>
                  <w:rPr>
                    <w:rFonts w:ascii="Calibri" w:hAnsi="Calibri"/>
                    <w:i/>
                    <w:color w:val="231F20"/>
                    <w:spacing w:val="-18"/>
                    <w:w w:val="90"/>
                    <w:sz w:val="18"/>
                  </w:rPr>
                  <w:t> </w:t>
                </w:r>
                <w:r>
                  <w:rPr>
                    <w:rFonts w:ascii="Calibri" w:hAnsi="Calibri"/>
                    <w:i/>
                    <w:color w:val="231F20"/>
                    <w:w w:val="90"/>
                    <w:sz w:val="18"/>
                  </w:rPr>
                  <w:t>los</w:t>
                </w:r>
                <w:r>
                  <w:rPr>
                    <w:rFonts w:ascii="Calibri" w:hAnsi="Calibri"/>
                    <w:i/>
                    <w:color w:val="231F20"/>
                    <w:spacing w:val="-18"/>
                    <w:w w:val="90"/>
                    <w:sz w:val="18"/>
                  </w:rPr>
                  <w:t> </w:t>
                </w:r>
                <w:r>
                  <w:rPr>
                    <w:rFonts w:ascii="Calibri" w:hAnsi="Calibri"/>
                    <w:i/>
                    <w:color w:val="231F20"/>
                    <w:w w:val="90"/>
                    <w:sz w:val="18"/>
                  </w:rPr>
                  <w:t>autores</w:t>
                </w:r>
                <w:r>
                  <w:rPr>
                    <w:rFonts w:ascii="Calibri" w:hAnsi="Calibri"/>
                    <w:i/>
                    <w:color w:val="231F20"/>
                    <w:spacing w:val="-18"/>
                    <w:w w:val="90"/>
                    <w:sz w:val="18"/>
                  </w:rPr>
                  <w:t> </w:t>
                </w:r>
                <w:r>
                  <w:rPr>
                    <w:i/>
                    <w:color w:val="231F20"/>
                    <w:w w:val="90"/>
                    <w:sz w:val="18"/>
                  </w:rPr>
                  <w:t>•</w:t>
                </w:r>
                <w:r>
                  <w:rPr>
                    <w:i/>
                    <w:color w:val="231F20"/>
                    <w:spacing w:val="-17"/>
                    <w:w w:val="90"/>
                    <w:sz w:val="18"/>
                  </w:rPr>
                  <w:t> </w:t>
                </w:r>
                <w:r>
                  <w:rPr>
                    <w:rFonts w:ascii="Calibri" w:hAnsi="Calibri"/>
                    <w:i/>
                    <w:color w:val="231F20"/>
                    <w:w w:val="90"/>
                    <w:sz w:val="18"/>
                  </w:rPr>
                  <w:t>241</w:t>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149.3pt;height:11pt;mso-position-horizontal-relative:page;mso-position-vertical-relative:page;z-index:-457672"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34</w:t>
                </w:r>
                <w:r>
                  <w:rPr/>
                  <w:fldChar w:fldCharType="end"/>
                </w:r>
                <w:r>
                  <w:rPr>
                    <w:rFonts w:ascii="Calibri" w:hAnsi="Calibri"/>
                    <w:i/>
                    <w:color w:val="231F20"/>
                    <w:spacing w:val="-14"/>
                    <w:w w:val="90"/>
                    <w:sz w:val="18"/>
                  </w:rPr>
                  <w:t> </w:t>
                </w:r>
                <w:r>
                  <w:rPr>
                    <w:i/>
                    <w:color w:val="231F20"/>
                    <w:w w:val="90"/>
                    <w:sz w:val="18"/>
                  </w:rPr>
                  <w:t>•</w:t>
                </w:r>
                <w:r>
                  <w:rPr>
                    <w:i/>
                    <w:color w:val="231F20"/>
                    <w:spacing w:val="-14"/>
                    <w:w w:val="90"/>
                    <w:sz w:val="18"/>
                  </w:rPr>
                  <w:t> </w:t>
                </w:r>
                <w:r>
                  <w:rPr>
                    <w:rFonts w:ascii="Calibri" w:hAnsi="Calibri"/>
                    <w:i/>
                    <w:color w:val="231F20"/>
                    <w:w w:val="90"/>
                    <w:sz w:val="18"/>
                  </w:rPr>
                  <w:t>R.</w:t>
                </w:r>
                <w:r>
                  <w:rPr>
                    <w:rFonts w:ascii="Calibri" w:hAnsi="Calibri"/>
                    <w:i/>
                    <w:color w:val="231F20"/>
                    <w:spacing w:val="-14"/>
                    <w:w w:val="90"/>
                    <w:sz w:val="18"/>
                  </w:rPr>
                  <w:t> </w:t>
                </w:r>
                <w:r>
                  <w:rPr>
                    <w:rFonts w:ascii="Calibri" w:hAnsi="Calibri"/>
                    <w:i/>
                    <w:color w:val="231F20"/>
                    <w:spacing w:val="-19"/>
                    <w:w w:val="90"/>
                    <w:sz w:val="18"/>
                  </w:rPr>
                  <w:t>P.</w:t>
                </w:r>
                <w:r>
                  <w:rPr>
                    <w:rFonts w:ascii="Calibri" w:hAnsi="Calibri"/>
                    <w:i/>
                    <w:color w:val="231F20"/>
                    <w:spacing w:val="-14"/>
                    <w:w w:val="90"/>
                    <w:sz w:val="18"/>
                  </w:rPr>
                  <w:t> </w:t>
                </w:r>
                <w:r>
                  <w:rPr>
                    <w:rFonts w:ascii="Calibri" w:hAnsi="Calibri"/>
                    <w:i/>
                    <w:color w:val="231F20"/>
                    <w:w w:val="90"/>
                    <w:sz w:val="18"/>
                  </w:rPr>
                  <w:t>Román</w:t>
                </w:r>
                <w:r>
                  <w:rPr>
                    <w:rFonts w:ascii="Calibri" w:hAnsi="Calibri"/>
                    <w:i/>
                    <w:color w:val="231F20"/>
                    <w:spacing w:val="-14"/>
                    <w:w w:val="90"/>
                    <w:sz w:val="18"/>
                  </w:rPr>
                  <w:t> </w:t>
                </w:r>
                <w:r>
                  <w:rPr>
                    <w:rFonts w:ascii="Calibri" w:hAnsi="Calibri"/>
                    <w:i/>
                    <w:color w:val="231F20"/>
                    <w:w w:val="90"/>
                    <w:sz w:val="18"/>
                  </w:rPr>
                  <w:t>Reyes</w:t>
                </w:r>
                <w:r>
                  <w:rPr>
                    <w:rFonts w:ascii="Calibri" w:hAnsi="Calibri"/>
                    <w:i/>
                    <w:color w:val="231F20"/>
                    <w:spacing w:val="-14"/>
                    <w:w w:val="90"/>
                    <w:sz w:val="18"/>
                  </w:rPr>
                  <w:t> </w:t>
                </w:r>
                <w:r>
                  <w:rPr>
                    <w:rFonts w:ascii="Calibri" w:hAnsi="Calibri"/>
                    <w:i/>
                    <w:color w:val="231F20"/>
                    <w:w w:val="90"/>
                    <w:sz w:val="18"/>
                  </w:rPr>
                  <w:t>y</w:t>
                </w:r>
                <w:r>
                  <w:rPr>
                    <w:rFonts w:ascii="Calibri" w:hAnsi="Calibri"/>
                    <w:i/>
                    <w:color w:val="231F20"/>
                    <w:spacing w:val="-14"/>
                    <w:w w:val="90"/>
                    <w:sz w:val="18"/>
                  </w:rPr>
                  <w:t> </w:t>
                </w:r>
                <w:r>
                  <w:rPr>
                    <w:rFonts w:ascii="Calibri" w:hAnsi="Calibri"/>
                    <w:i/>
                    <w:color w:val="231F20"/>
                    <w:w w:val="90"/>
                    <w:sz w:val="18"/>
                  </w:rPr>
                  <w:t>J.</w:t>
                </w:r>
                <w:r>
                  <w:rPr>
                    <w:rFonts w:ascii="Calibri" w:hAnsi="Calibri"/>
                    <w:i/>
                    <w:color w:val="231F20"/>
                    <w:spacing w:val="-14"/>
                    <w:w w:val="90"/>
                    <w:sz w:val="18"/>
                  </w:rPr>
                  <w:t> </w:t>
                </w:r>
                <w:r>
                  <w:rPr>
                    <w:rFonts w:ascii="Calibri" w:hAnsi="Calibri"/>
                    <w:i/>
                    <w:color w:val="231F20"/>
                    <w:w w:val="90"/>
                    <w:sz w:val="18"/>
                  </w:rPr>
                  <w:t>G.</w:t>
                </w:r>
                <w:r>
                  <w:rPr>
                    <w:rFonts w:ascii="Calibri" w:hAnsi="Calibri"/>
                    <w:i/>
                    <w:color w:val="231F20"/>
                    <w:spacing w:val="-14"/>
                    <w:w w:val="90"/>
                    <w:sz w:val="18"/>
                  </w:rPr>
                  <w:t> </w:t>
                </w:r>
                <w:r>
                  <w:rPr>
                    <w:rFonts w:ascii="Calibri" w:hAnsi="Calibri"/>
                    <w:i/>
                    <w:color w:val="231F20"/>
                    <w:w w:val="90"/>
                    <w:sz w:val="18"/>
                  </w:rPr>
                  <w:t>González</w:t>
                </w:r>
                <w:r>
                  <w:rPr>
                    <w:rFonts w:ascii="Calibri" w:hAnsi="Calibri"/>
                    <w:i/>
                    <w:color w:val="231F20"/>
                    <w:spacing w:val="-14"/>
                    <w:w w:val="90"/>
                    <w:sz w:val="18"/>
                  </w:rPr>
                  <w:t> </w:t>
                </w:r>
                <w:r>
                  <w:rPr>
                    <w:rFonts w:ascii="Calibri" w:hAnsi="Calibri"/>
                    <w:i/>
                    <w:color w:val="231F20"/>
                    <w:w w:val="90"/>
                    <w:sz w:val="18"/>
                  </w:rPr>
                  <w:t>Becerril</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40.110504pt;margin-top:567.814941pt;width:165.9pt;height:11pt;mso-position-horizontal-relative:page;mso-position-vertical-relative:page;z-index:-457648"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90"/>
                    <w:sz w:val="18"/>
                  </w:rPr>
                  <w:t>La</w:t>
                </w:r>
                <w:r>
                  <w:rPr>
                    <w:rFonts w:ascii="Calibri" w:hAnsi="Calibri"/>
                    <w:i/>
                    <w:color w:val="231F20"/>
                    <w:spacing w:val="-23"/>
                    <w:w w:val="90"/>
                    <w:sz w:val="18"/>
                  </w:rPr>
                  <w:t> </w:t>
                </w:r>
                <w:r>
                  <w:rPr>
                    <w:rFonts w:ascii="Calibri" w:hAnsi="Calibri"/>
                    <w:i/>
                    <w:color w:val="231F20"/>
                    <w:w w:val="90"/>
                    <w:sz w:val="18"/>
                  </w:rPr>
                  <w:t>familia</w:t>
                </w:r>
                <w:r>
                  <w:rPr>
                    <w:rFonts w:ascii="Calibri" w:hAnsi="Calibri"/>
                    <w:i/>
                    <w:color w:val="231F20"/>
                    <w:spacing w:val="-23"/>
                    <w:w w:val="90"/>
                    <w:sz w:val="18"/>
                  </w:rPr>
                  <w:t> </w:t>
                </w:r>
                <w:r>
                  <w:rPr>
                    <w:rFonts w:ascii="Calibri" w:hAnsi="Calibri"/>
                    <w:i/>
                    <w:color w:val="231F20"/>
                    <w:w w:val="90"/>
                    <w:sz w:val="18"/>
                  </w:rPr>
                  <w:t>en</w:t>
                </w:r>
                <w:r>
                  <w:rPr>
                    <w:rFonts w:ascii="Calibri" w:hAnsi="Calibri"/>
                    <w:i/>
                    <w:color w:val="231F20"/>
                    <w:spacing w:val="-23"/>
                    <w:w w:val="90"/>
                    <w:sz w:val="18"/>
                  </w:rPr>
                  <w:t> </w:t>
                </w:r>
                <w:r>
                  <w:rPr>
                    <w:rFonts w:ascii="Calibri" w:hAnsi="Calibri"/>
                    <w:i/>
                    <w:color w:val="231F20"/>
                    <w:w w:val="90"/>
                    <w:sz w:val="18"/>
                  </w:rPr>
                  <w:t>vinculación</w:t>
                </w:r>
                <w:r>
                  <w:rPr>
                    <w:rFonts w:ascii="Calibri" w:hAnsi="Calibri"/>
                    <w:i/>
                    <w:color w:val="231F20"/>
                    <w:spacing w:val="-23"/>
                    <w:w w:val="90"/>
                    <w:sz w:val="18"/>
                  </w:rPr>
                  <w:t> </w:t>
                </w:r>
                <w:r>
                  <w:rPr>
                    <w:rFonts w:ascii="Calibri" w:hAnsi="Calibri"/>
                    <w:i/>
                    <w:color w:val="231F20"/>
                    <w:w w:val="90"/>
                    <w:sz w:val="18"/>
                  </w:rPr>
                  <w:t>con</w:t>
                </w:r>
                <w:r>
                  <w:rPr>
                    <w:rFonts w:ascii="Calibri" w:hAnsi="Calibri"/>
                    <w:i/>
                    <w:color w:val="231F20"/>
                    <w:spacing w:val="-23"/>
                    <w:w w:val="90"/>
                    <w:sz w:val="18"/>
                  </w:rPr>
                  <w:t> </w:t>
                </w:r>
                <w:r>
                  <w:rPr>
                    <w:rFonts w:ascii="Calibri" w:hAnsi="Calibri"/>
                    <w:i/>
                    <w:color w:val="231F20"/>
                    <w:w w:val="90"/>
                    <w:sz w:val="18"/>
                  </w:rPr>
                  <w:t>el</w:t>
                </w:r>
                <w:r>
                  <w:rPr>
                    <w:rFonts w:ascii="Calibri" w:hAnsi="Calibri"/>
                    <w:i/>
                    <w:color w:val="231F20"/>
                    <w:spacing w:val="-23"/>
                    <w:w w:val="90"/>
                    <w:sz w:val="18"/>
                  </w:rPr>
                  <w:t> </w:t>
                </w:r>
                <w:r>
                  <w:rPr>
                    <w:rFonts w:ascii="Calibri" w:hAnsi="Calibri"/>
                    <w:i/>
                    <w:color w:val="231F20"/>
                    <w:w w:val="90"/>
                    <w:sz w:val="18"/>
                  </w:rPr>
                  <w:t>mercado</w:t>
                </w:r>
                <w:r>
                  <w:rPr>
                    <w:rFonts w:ascii="Calibri" w:hAnsi="Calibri"/>
                    <w:i/>
                    <w:color w:val="231F20"/>
                    <w:spacing w:val="-23"/>
                    <w:w w:val="90"/>
                    <w:sz w:val="18"/>
                  </w:rPr>
                  <w:t> </w:t>
                </w:r>
                <w:r>
                  <w:rPr>
                    <w:rFonts w:ascii="Calibri" w:hAnsi="Calibri"/>
                    <w:i/>
                    <w:color w:val="231F20"/>
                    <w:w w:val="90"/>
                    <w:sz w:val="18"/>
                  </w:rPr>
                  <w:t>laboral</w:t>
                </w:r>
                <w:r>
                  <w:rPr>
                    <w:rFonts w:ascii="Calibri" w:hAnsi="Calibri"/>
                    <w:i/>
                    <w:color w:val="231F20"/>
                    <w:spacing w:val="-23"/>
                    <w:w w:val="90"/>
                    <w:sz w:val="18"/>
                  </w:rPr>
                  <w:t> </w:t>
                </w:r>
                <w:r>
                  <w:rPr>
                    <w:i/>
                    <w:color w:val="231F20"/>
                    <w:w w:val="90"/>
                    <w:sz w:val="18"/>
                  </w:rPr>
                  <w:t>•</w:t>
                </w:r>
                <w:r>
                  <w:rPr>
                    <w:i/>
                    <w:color w:val="231F20"/>
                    <w:spacing w:val="-22"/>
                    <w:w w:val="90"/>
                    <w:sz w:val="18"/>
                  </w:rPr>
                  <w:t> </w:t>
                </w:r>
                <w:r>
                  <w:rPr/>
                  <w:fldChar w:fldCharType="begin"/>
                </w:r>
                <w:r>
                  <w:rPr>
                    <w:rFonts w:ascii="Calibri" w:hAnsi="Calibri"/>
                    <w:i/>
                    <w:color w:val="231F20"/>
                    <w:w w:val="90"/>
                    <w:sz w:val="18"/>
                  </w:rPr>
                  <w:instrText> PAGE </w:instrText>
                </w:r>
                <w:r>
                  <w:rPr/>
                  <w:fldChar w:fldCharType="separate"/>
                </w:r>
                <w:r>
                  <w:rPr/>
                  <w:t>35</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40.110504pt;margin-top:567.814941pt;width:164.9pt;height:11pt;mso-position-horizontal-relative:page;mso-position-vertical-relative:page;z-index:-457624"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90"/>
                    <w:sz w:val="18"/>
                  </w:rPr>
                  <w:t>La</w:t>
                </w:r>
                <w:r>
                  <w:rPr>
                    <w:rFonts w:ascii="Calibri" w:hAnsi="Calibri"/>
                    <w:i/>
                    <w:color w:val="231F20"/>
                    <w:spacing w:val="-23"/>
                    <w:w w:val="90"/>
                    <w:sz w:val="18"/>
                  </w:rPr>
                  <w:t> </w:t>
                </w:r>
                <w:r>
                  <w:rPr>
                    <w:rFonts w:ascii="Calibri" w:hAnsi="Calibri"/>
                    <w:i/>
                    <w:color w:val="231F20"/>
                    <w:w w:val="90"/>
                    <w:sz w:val="18"/>
                  </w:rPr>
                  <w:t>familia</w:t>
                </w:r>
                <w:r>
                  <w:rPr>
                    <w:rFonts w:ascii="Calibri" w:hAnsi="Calibri"/>
                    <w:i/>
                    <w:color w:val="231F20"/>
                    <w:spacing w:val="-23"/>
                    <w:w w:val="90"/>
                    <w:sz w:val="18"/>
                  </w:rPr>
                  <w:t> </w:t>
                </w:r>
                <w:r>
                  <w:rPr>
                    <w:rFonts w:ascii="Calibri" w:hAnsi="Calibri"/>
                    <w:i/>
                    <w:color w:val="231F20"/>
                    <w:w w:val="90"/>
                    <w:sz w:val="18"/>
                  </w:rPr>
                  <w:t>en</w:t>
                </w:r>
                <w:r>
                  <w:rPr>
                    <w:rFonts w:ascii="Calibri" w:hAnsi="Calibri"/>
                    <w:i/>
                    <w:color w:val="231F20"/>
                    <w:spacing w:val="-23"/>
                    <w:w w:val="90"/>
                    <w:sz w:val="18"/>
                  </w:rPr>
                  <w:t> </w:t>
                </w:r>
                <w:r>
                  <w:rPr>
                    <w:rFonts w:ascii="Calibri" w:hAnsi="Calibri"/>
                    <w:i/>
                    <w:color w:val="231F20"/>
                    <w:w w:val="90"/>
                    <w:sz w:val="18"/>
                  </w:rPr>
                  <w:t>vinculación</w:t>
                </w:r>
                <w:r>
                  <w:rPr>
                    <w:rFonts w:ascii="Calibri" w:hAnsi="Calibri"/>
                    <w:i/>
                    <w:color w:val="231F20"/>
                    <w:spacing w:val="-23"/>
                    <w:w w:val="90"/>
                    <w:sz w:val="18"/>
                  </w:rPr>
                  <w:t> </w:t>
                </w:r>
                <w:r>
                  <w:rPr>
                    <w:rFonts w:ascii="Calibri" w:hAnsi="Calibri"/>
                    <w:i/>
                    <w:color w:val="231F20"/>
                    <w:w w:val="90"/>
                    <w:sz w:val="18"/>
                  </w:rPr>
                  <w:t>con</w:t>
                </w:r>
                <w:r>
                  <w:rPr>
                    <w:rFonts w:ascii="Calibri" w:hAnsi="Calibri"/>
                    <w:i/>
                    <w:color w:val="231F20"/>
                    <w:spacing w:val="-23"/>
                    <w:w w:val="90"/>
                    <w:sz w:val="18"/>
                  </w:rPr>
                  <w:t> </w:t>
                </w:r>
                <w:r>
                  <w:rPr>
                    <w:rFonts w:ascii="Calibri" w:hAnsi="Calibri"/>
                    <w:i/>
                    <w:color w:val="231F20"/>
                    <w:w w:val="90"/>
                    <w:sz w:val="18"/>
                  </w:rPr>
                  <w:t>el</w:t>
                </w:r>
                <w:r>
                  <w:rPr>
                    <w:rFonts w:ascii="Calibri" w:hAnsi="Calibri"/>
                    <w:i/>
                    <w:color w:val="231F20"/>
                    <w:spacing w:val="-23"/>
                    <w:w w:val="90"/>
                    <w:sz w:val="18"/>
                  </w:rPr>
                  <w:t> </w:t>
                </w:r>
                <w:r>
                  <w:rPr>
                    <w:rFonts w:ascii="Calibri" w:hAnsi="Calibri"/>
                    <w:i/>
                    <w:color w:val="231F20"/>
                    <w:w w:val="90"/>
                    <w:sz w:val="18"/>
                  </w:rPr>
                  <w:t>mercado</w:t>
                </w:r>
                <w:r>
                  <w:rPr>
                    <w:rFonts w:ascii="Calibri" w:hAnsi="Calibri"/>
                    <w:i/>
                    <w:color w:val="231F20"/>
                    <w:spacing w:val="-23"/>
                    <w:w w:val="90"/>
                    <w:sz w:val="18"/>
                  </w:rPr>
                  <w:t> </w:t>
                </w:r>
                <w:r>
                  <w:rPr>
                    <w:rFonts w:ascii="Calibri" w:hAnsi="Calibri"/>
                    <w:i/>
                    <w:color w:val="231F20"/>
                    <w:w w:val="90"/>
                    <w:sz w:val="18"/>
                  </w:rPr>
                  <w:t>laboral</w:t>
                </w:r>
                <w:r>
                  <w:rPr>
                    <w:rFonts w:ascii="Calibri" w:hAnsi="Calibri"/>
                    <w:i/>
                    <w:color w:val="231F20"/>
                    <w:spacing w:val="-23"/>
                    <w:w w:val="90"/>
                    <w:sz w:val="18"/>
                  </w:rPr>
                  <w:t> </w:t>
                </w:r>
                <w:r>
                  <w:rPr>
                    <w:i/>
                    <w:color w:val="231F20"/>
                    <w:w w:val="90"/>
                    <w:sz w:val="18"/>
                  </w:rPr>
                  <w:t>•</w:t>
                </w:r>
                <w:r>
                  <w:rPr>
                    <w:i/>
                    <w:color w:val="231F20"/>
                    <w:spacing w:val="-22"/>
                    <w:w w:val="90"/>
                    <w:sz w:val="18"/>
                  </w:rPr>
                  <w:t> </w:t>
                </w:r>
                <w:r>
                  <w:rPr>
                    <w:rFonts w:ascii="Calibri" w:hAnsi="Calibri"/>
                    <w:i/>
                    <w:color w:val="231F20"/>
                    <w:w w:val="90"/>
                    <w:sz w:val="18"/>
                  </w:rPr>
                  <w:t>41</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149.3pt;height:11pt;mso-position-horizontal-relative:page;mso-position-vertical-relative:page;z-index:-457600" type="#_x0000_t202" filled="false" stroked="false">
          <v:textbox inset="0,0,0,0">
            <w:txbxContent>
              <w:p>
                <w:pPr>
                  <w:spacing w:line="212" w:lineRule="exact" w:before="0"/>
                  <w:ind w:left="40" w:right="0" w:firstLine="0"/>
                  <w:jc w:val="left"/>
                  <w:rPr>
                    <w:rFonts w:ascii="Calibri" w:hAnsi="Calibri"/>
                    <w:i/>
                    <w:sz w:val="18"/>
                  </w:rPr>
                </w:pPr>
                <w:r>
                  <w:rPr>
                    <w:rFonts w:ascii="Calibri" w:hAnsi="Calibri"/>
                    <w:i/>
                    <w:color w:val="231F20"/>
                    <w:w w:val="90"/>
                    <w:sz w:val="18"/>
                  </w:rPr>
                  <w:t>42</w:t>
                </w:r>
                <w:r>
                  <w:rPr>
                    <w:rFonts w:ascii="Calibri" w:hAnsi="Calibri"/>
                    <w:i/>
                    <w:color w:val="231F20"/>
                    <w:spacing w:val="-14"/>
                    <w:w w:val="90"/>
                    <w:sz w:val="18"/>
                  </w:rPr>
                  <w:t> </w:t>
                </w:r>
                <w:r>
                  <w:rPr>
                    <w:i/>
                    <w:color w:val="231F20"/>
                    <w:w w:val="90"/>
                    <w:sz w:val="18"/>
                  </w:rPr>
                  <w:t>•</w:t>
                </w:r>
                <w:r>
                  <w:rPr>
                    <w:i/>
                    <w:color w:val="231F20"/>
                    <w:spacing w:val="-14"/>
                    <w:w w:val="90"/>
                    <w:sz w:val="18"/>
                  </w:rPr>
                  <w:t> </w:t>
                </w:r>
                <w:r>
                  <w:rPr>
                    <w:rFonts w:ascii="Calibri" w:hAnsi="Calibri"/>
                    <w:i/>
                    <w:color w:val="231F20"/>
                    <w:w w:val="90"/>
                    <w:sz w:val="18"/>
                  </w:rPr>
                  <w:t>R.</w:t>
                </w:r>
                <w:r>
                  <w:rPr>
                    <w:rFonts w:ascii="Calibri" w:hAnsi="Calibri"/>
                    <w:i/>
                    <w:color w:val="231F20"/>
                    <w:spacing w:val="-14"/>
                    <w:w w:val="90"/>
                    <w:sz w:val="18"/>
                  </w:rPr>
                  <w:t> </w:t>
                </w:r>
                <w:r>
                  <w:rPr>
                    <w:rFonts w:ascii="Calibri" w:hAnsi="Calibri"/>
                    <w:i/>
                    <w:color w:val="231F20"/>
                    <w:spacing w:val="-19"/>
                    <w:w w:val="90"/>
                    <w:sz w:val="18"/>
                  </w:rPr>
                  <w:t>P.</w:t>
                </w:r>
                <w:r>
                  <w:rPr>
                    <w:rFonts w:ascii="Calibri" w:hAnsi="Calibri"/>
                    <w:i/>
                    <w:color w:val="231F20"/>
                    <w:spacing w:val="-14"/>
                    <w:w w:val="90"/>
                    <w:sz w:val="18"/>
                  </w:rPr>
                  <w:t> </w:t>
                </w:r>
                <w:r>
                  <w:rPr>
                    <w:rFonts w:ascii="Calibri" w:hAnsi="Calibri"/>
                    <w:i/>
                    <w:color w:val="231F20"/>
                    <w:w w:val="90"/>
                    <w:sz w:val="18"/>
                  </w:rPr>
                  <w:t>Román</w:t>
                </w:r>
                <w:r>
                  <w:rPr>
                    <w:rFonts w:ascii="Calibri" w:hAnsi="Calibri"/>
                    <w:i/>
                    <w:color w:val="231F20"/>
                    <w:spacing w:val="-14"/>
                    <w:w w:val="90"/>
                    <w:sz w:val="18"/>
                  </w:rPr>
                  <w:t> </w:t>
                </w:r>
                <w:r>
                  <w:rPr>
                    <w:rFonts w:ascii="Calibri" w:hAnsi="Calibri"/>
                    <w:i/>
                    <w:color w:val="231F20"/>
                    <w:w w:val="90"/>
                    <w:sz w:val="18"/>
                  </w:rPr>
                  <w:t>Reyes</w:t>
                </w:r>
                <w:r>
                  <w:rPr>
                    <w:rFonts w:ascii="Calibri" w:hAnsi="Calibri"/>
                    <w:i/>
                    <w:color w:val="231F20"/>
                    <w:spacing w:val="-14"/>
                    <w:w w:val="90"/>
                    <w:sz w:val="18"/>
                  </w:rPr>
                  <w:t> </w:t>
                </w:r>
                <w:r>
                  <w:rPr>
                    <w:rFonts w:ascii="Calibri" w:hAnsi="Calibri"/>
                    <w:i/>
                    <w:color w:val="231F20"/>
                    <w:w w:val="90"/>
                    <w:sz w:val="18"/>
                  </w:rPr>
                  <w:t>y</w:t>
                </w:r>
                <w:r>
                  <w:rPr>
                    <w:rFonts w:ascii="Calibri" w:hAnsi="Calibri"/>
                    <w:i/>
                    <w:color w:val="231F20"/>
                    <w:spacing w:val="-14"/>
                    <w:w w:val="90"/>
                    <w:sz w:val="18"/>
                  </w:rPr>
                  <w:t> </w:t>
                </w:r>
                <w:r>
                  <w:rPr>
                    <w:rFonts w:ascii="Calibri" w:hAnsi="Calibri"/>
                    <w:i/>
                    <w:color w:val="231F20"/>
                    <w:w w:val="90"/>
                    <w:sz w:val="18"/>
                  </w:rPr>
                  <w:t>J.</w:t>
                </w:r>
                <w:r>
                  <w:rPr>
                    <w:rFonts w:ascii="Calibri" w:hAnsi="Calibri"/>
                    <w:i/>
                    <w:color w:val="231F20"/>
                    <w:spacing w:val="-14"/>
                    <w:w w:val="90"/>
                    <w:sz w:val="18"/>
                  </w:rPr>
                  <w:t> </w:t>
                </w:r>
                <w:r>
                  <w:rPr>
                    <w:rFonts w:ascii="Calibri" w:hAnsi="Calibri"/>
                    <w:i/>
                    <w:color w:val="231F20"/>
                    <w:w w:val="90"/>
                    <w:sz w:val="18"/>
                  </w:rPr>
                  <w:t>G.</w:t>
                </w:r>
                <w:r>
                  <w:rPr>
                    <w:rFonts w:ascii="Calibri" w:hAnsi="Calibri"/>
                    <w:i/>
                    <w:color w:val="231F20"/>
                    <w:spacing w:val="-14"/>
                    <w:w w:val="90"/>
                    <w:sz w:val="18"/>
                  </w:rPr>
                  <w:t> </w:t>
                </w:r>
                <w:r>
                  <w:rPr>
                    <w:rFonts w:ascii="Calibri" w:hAnsi="Calibri"/>
                    <w:i/>
                    <w:color w:val="231F20"/>
                    <w:w w:val="90"/>
                    <w:sz w:val="18"/>
                  </w:rPr>
                  <w:t>González</w:t>
                </w:r>
                <w:r>
                  <w:rPr>
                    <w:rFonts w:ascii="Calibri" w:hAnsi="Calibri"/>
                    <w:i/>
                    <w:color w:val="231F20"/>
                    <w:spacing w:val="-14"/>
                    <w:w w:val="90"/>
                    <w:sz w:val="18"/>
                  </w:rPr>
                  <w:t> </w:t>
                </w:r>
                <w:r>
                  <w:rPr>
                    <w:rFonts w:ascii="Calibri" w:hAnsi="Calibri"/>
                    <w:i/>
                    <w:color w:val="231F20"/>
                    <w:w w:val="90"/>
                    <w:sz w:val="18"/>
                  </w:rPr>
                  <w:t>Becerril</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40.110504pt;margin-top:567.814941pt;width:165.9pt;height:11pt;mso-position-horizontal-relative:page;mso-position-vertical-relative:page;z-index:-457576"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90"/>
                    <w:sz w:val="18"/>
                  </w:rPr>
                  <w:t>La</w:t>
                </w:r>
                <w:r>
                  <w:rPr>
                    <w:rFonts w:ascii="Calibri" w:hAnsi="Calibri"/>
                    <w:i/>
                    <w:color w:val="231F20"/>
                    <w:spacing w:val="-23"/>
                    <w:w w:val="90"/>
                    <w:sz w:val="18"/>
                  </w:rPr>
                  <w:t> </w:t>
                </w:r>
                <w:r>
                  <w:rPr>
                    <w:rFonts w:ascii="Calibri" w:hAnsi="Calibri"/>
                    <w:i/>
                    <w:color w:val="231F20"/>
                    <w:w w:val="90"/>
                    <w:sz w:val="18"/>
                  </w:rPr>
                  <w:t>familia</w:t>
                </w:r>
                <w:r>
                  <w:rPr>
                    <w:rFonts w:ascii="Calibri" w:hAnsi="Calibri"/>
                    <w:i/>
                    <w:color w:val="231F20"/>
                    <w:spacing w:val="-23"/>
                    <w:w w:val="90"/>
                    <w:sz w:val="18"/>
                  </w:rPr>
                  <w:t> </w:t>
                </w:r>
                <w:r>
                  <w:rPr>
                    <w:rFonts w:ascii="Calibri" w:hAnsi="Calibri"/>
                    <w:i/>
                    <w:color w:val="231F20"/>
                    <w:w w:val="90"/>
                    <w:sz w:val="18"/>
                  </w:rPr>
                  <w:t>en</w:t>
                </w:r>
                <w:r>
                  <w:rPr>
                    <w:rFonts w:ascii="Calibri" w:hAnsi="Calibri"/>
                    <w:i/>
                    <w:color w:val="231F20"/>
                    <w:spacing w:val="-23"/>
                    <w:w w:val="90"/>
                    <w:sz w:val="18"/>
                  </w:rPr>
                  <w:t> </w:t>
                </w:r>
                <w:r>
                  <w:rPr>
                    <w:rFonts w:ascii="Calibri" w:hAnsi="Calibri"/>
                    <w:i/>
                    <w:color w:val="231F20"/>
                    <w:w w:val="90"/>
                    <w:sz w:val="18"/>
                  </w:rPr>
                  <w:t>vinculación</w:t>
                </w:r>
                <w:r>
                  <w:rPr>
                    <w:rFonts w:ascii="Calibri" w:hAnsi="Calibri"/>
                    <w:i/>
                    <w:color w:val="231F20"/>
                    <w:spacing w:val="-23"/>
                    <w:w w:val="90"/>
                    <w:sz w:val="18"/>
                  </w:rPr>
                  <w:t> </w:t>
                </w:r>
                <w:r>
                  <w:rPr>
                    <w:rFonts w:ascii="Calibri" w:hAnsi="Calibri"/>
                    <w:i/>
                    <w:color w:val="231F20"/>
                    <w:w w:val="90"/>
                    <w:sz w:val="18"/>
                  </w:rPr>
                  <w:t>con</w:t>
                </w:r>
                <w:r>
                  <w:rPr>
                    <w:rFonts w:ascii="Calibri" w:hAnsi="Calibri"/>
                    <w:i/>
                    <w:color w:val="231F20"/>
                    <w:spacing w:val="-23"/>
                    <w:w w:val="90"/>
                    <w:sz w:val="18"/>
                  </w:rPr>
                  <w:t> </w:t>
                </w:r>
                <w:r>
                  <w:rPr>
                    <w:rFonts w:ascii="Calibri" w:hAnsi="Calibri"/>
                    <w:i/>
                    <w:color w:val="231F20"/>
                    <w:w w:val="90"/>
                    <w:sz w:val="18"/>
                  </w:rPr>
                  <w:t>el</w:t>
                </w:r>
                <w:r>
                  <w:rPr>
                    <w:rFonts w:ascii="Calibri" w:hAnsi="Calibri"/>
                    <w:i/>
                    <w:color w:val="231F20"/>
                    <w:spacing w:val="-23"/>
                    <w:w w:val="90"/>
                    <w:sz w:val="18"/>
                  </w:rPr>
                  <w:t> </w:t>
                </w:r>
                <w:r>
                  <w:rPr>
                    <w:rFonts w:ascii="Calibri" w:hAnsi="Calibri"/>
                    <w:i/>
                    <w:color w:val="231F20"/>
                    <w:w w:val="90"/>
                    <w:sz w:val="18"/>
                  </w:rPr>
                  <w:t>mercado</w:t>
                </w:r>
                <w:r>
                  <w:rPr>
                    <w:rFonts w:ascii="Calibri" w:hAnsi="Calibri"/>
                    <w:i/>
                    <w:color w:val="231F20"/>
                    <w:spacing w:val="-23"/>
                    <w:w w:val="90"/>
                    <w:sz w:val="18"/>
                  </w:rPr>
                  <w:t> </w:t>
                </w:r>
                <w:r>
                  <w:rPr>
                    <w:rFonts w:ascii="Calibri" w:hAnsi="Calibri"/>
                    <w:i/>
                    <w:color w:val="231F20"/>
                    <w:w w:val="90"/>
                    <w:sz w:val="18"/>
                  </w:rPr>
                  <w:t>laboral</w:t>
                </w:r>
                <w:r>
                  <w:rPr>
                    <w:rFonts w:ascii="Calibri" w:hAnsi="Calibri"/>
                    <w:i/>
                    <w:color w:val="231F20"/>
                    <w:spacing w:val="-23"/>
                    <w:w w:val="90"/>
                    <w:sz w:val="18"/>
                  </w:rPr>
                  <w:t> </w:t>
                </w:r>
                <w:r>
                  <w:rPr>
                    <w:i/>
                    <w:color w:val="231F20"/>
                    <w:w w:val="90"/>
                    <w:sz w:val="18"/>
                  </w:rPr>
                  <w:t>•</w:t>
                </w:r>
                <w:r>
                  <w:rPr>
                    <w:i/>
                    <w:color w:val="231F20"/>
                    <w:spacing w:val="-22"/>
                    <w:w w:val="90"/>
                    <w:sz w:val="18"/>
                  </w:rPr>
                  <w:t> </w:t>
                </w:r>
                <w:r>
                  <w:rPr/>
                  <w:fldChar w:fldCharType="begin"/>
                </w:r>
                <w:r>
                  <w:rPr>
                    <w:rFonts w:ascii="Calibri" w:hAnsi="Calibri"/>
                    <w:i/>
                    <w:color w:val="231F20"/>
                    <w:w w:val="90"/>
                    <w:sz w:val="18"/>
                  </w:rPr>
                  <w:instrText> PAGE </w:instrText>
                </w:r>
                <w:r>
                  <w:rPr/>
                  <w:fldChar w:fldCharType="separate"/>
                </w:r>
                <w:r>
                  <w:rPr/>
                  <w:t>43</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149.3pt;height:11pt;mso-position-horizontal-relative:page;mso-position-vertical-relative:page;z-index:-457552"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44</w:t>
                </w:r>
                <w:r>
                  <w:rPr/>
                  <w:fldChar w:fldCharType="end"/>
                </w:r>
                <w:r>
                  <w:rPr>
                    <w:rFonts w:ascii="Calibri" w:hAnsi="Calibri"/>
                    <w:i/>
                    <w:color w:val="231F20"/>
                    <w:spacing w:val="-14"/>
                    <w:w w:val="90"/>
                    <w:sz w:val="18"/>
                  </w:rPr>
                  <w:t> </w:t>
                </w:r>
                <w:r>
                  <w:rPr>
                    <w:i/>
                    <w:color w:val="231F20"/>
                    <w:w w:val="90"/>
                    <w:sz w:val="18"/>
                  </w:rPr>
                  <w:t>•</w:t>
                </w:r>
                <w:r>
                  <w:rPr>
                    <w:i/>
                    <w:color w:val="231F20"/>
                    <w:spacing w:val="-14"/>
                    <w:w w:val="90"/>
                    <w:sz w:val="18"/>
                  </w:rPr>
                  <w:t> </w:t>
                </w:r>
                <w:r>
                  <w:rPr>
                    <w:rFonts w:ascii="Calibri" w:hAnsi="Calibri"/>
                    <w:i/>
                    <w:color w:val="231F20"/>
                    <w:w w:val="90"/>
                    <w:sz w:val="18"/>
                  </w:rPr>
                  <w:t>R.</w:t>
                </w:r>
                <w:r>
                  <w:rPr>
                    <w:rFonts w:ascii="Calibri" w:hAnsi="Calibri"/>
                    <w:i/>
                    <w:color w:val="231F20"/>
                    <w:spacing w:val="-14"/>
                    <w:w w:val="90"/>
                    <w:sz w:val="18"/>
                  </w:rPr>
                  <w:t> </w:t>
                </w:r>
                <w:r>
                  <w:rPr>
                    <w:rFonts w:ascii="Calibri" w:hAnsi="Calibri"/>
                    <w:i/>
                    <w:color w:val="231F20"/>
                    <w:spacing w:val="-19"/>
                    <w:w w:val="90"/>
                    <w:sz w:val="18"/>
                  </w:rPr>
                  <w:t>P.</w:t>
                </w:r>
                <w:r>
                  <w:rPr>
                    <w:rFonts w:ascii="Calibri" w:hAnsi="Calibri"/>
                    <w:i/>
                    <w:color w:val="231F20"/>
                    <w:spacing w:val="-14"/>
                    <w:w w:val="90"/>
                    <w:sz w:val="18"/>
                  </w:rPr>
                  <w:t> </w:t>
                </w:r>
                <w:r>
                  <w:rPr>
                    <w:rFonts w:ascii="Calibri" w:hAnsi="Calibri"/>
                    <w:i/>
                    <w:color w:val="231F20"/>
                    <w:w w:val="90"/>
                    <w:sz w:val="18"/>
                  </w:rPr>
                  <w:t>Román</w:t>
                </w:r>
                <w:r>
                  <w:rPr>
                    <w:rFonts w:ascii="Calibri" w:hAnsi="Calibri"/>
                    <w:i/>
                    <w:color w:val="231F20"/>
                    <w:spacing w:val="-14"/>
                    <w:w w:val="90"/>
                    <w:sz w:val="18"/>
                  </w:rPr>
                  <w:t> </w:t>
                </w:r>
                <w:r>
                  <w:rPr>
                    <w:rFonts w:ascii="Calibri" w:hAnsi="Calibri"/>
                    <w:i/>
                    <w:color w:val="231F20"/>
                    <w:w w:val="90"/>
                    <w:sz w:val="18"/>
                  </w:rPr>
                  <w:t>Reyes</w:t>
                </w:r>
                <w:r>
                  <w:rPr>
                    <w:rFonts w:ascii="Calibri" w:hAnsi="Calibri"/>
                    <w:i/>
                    <w:color w:val="231F20"/>
                    <w:spacing w:val="-14"/>
                    <w:w w:val="90"/>
                    <w:sz w:val="18"/>
                  </w:rPr>
                  <w:t> </w:t>
                </w:r>
                <w:r>
                  <w:rPr>
                    <w:rFonts w:ascii="Calibri" w:hAnsi="Calibri"/>
                    <w:i/>
                    <w:color w:val="231F20"/>
                    <w:w w:val="90"/>
                    <w:sz w:val="18"/>
                  </w:rPr>
                  <w:t>y</w:t>
                </w:r>
                <w:r>
                  <w:rPr>
                    <w:rFonts w:ascii="Calibri" w:hAnsi="Calibri"/>
                    <w:i/>
                    <w:color w:val="231F20"/>
                    <w:spacing w:val="-14"/>
                    <w:w w:val="90"/>
                    <w:sz w:val="18"/>
                  </w:rPr>
                  <w:t> </w:t>
                </w:r>
                <w:r>
                  <w:rPr>
                    <w:rFonts w:ascii="Calibri" w:hAnsi="Calibri"/>
                    <w:i/>
                    <w:color w:val="231F20"/>
                    <w:w w:val="90"/>
                    <w:sz w:val="18"/>
                  </w:rPr>
                  <w:t>J.</w:t>
                </w:r>
                <w:r>
                  <w:rPr>
                    <w:rFonts w:ascii="Calibri" w:hAnsi="Calibri"/>
                    <w:i/>
                    <w:color w:val="231F20"/>
                    <w:spacing w:val="-14"/>
                    <w:w w:val="90"/>
                    <w:sz w:val="18"/>
                  </w:rPr>
                  <w:t> </w:t>
                </w:r>
                <w:r>
                  <w:rPr>
                    <w:rFonts w:ascii="Calibri" w:hAnsi="Calibri"/>
                    <w:i/>
                    <w:color w:val="231F20"/>
                    <w:w w:val="90"/>
                    <w:sz w:val="18"/>
                  </w:rPr>
                  <w:t>G.</w:t>
                </w:r>
                <w:r>
                  <w:rPr>
                    <w:rFonts w:ascii="Calibri" w:hAnsi="Calibri"/>
                    <w:i/>
                    <w:color w:val="231F20"/>
                    <w:spacing w:val="-14"/>
                    <w:w w:val="90"/>
                    <w:sz w:val="18"/>
                  </w:rPr>
                  <w:t> </w:t>
                </w:r>
                <w:r>
                  <w:rPr>
                    <w:rFonts w:ascii="Calibri" w:hAnsi="Calibri"/>
                    <w:i/>
                    <w:color w:val="231F20"/>
                    <w:w w:val="90"/>
                    <w:sz w:val="18"/>
                  </w:rPr>
                  <w:t>González</w:t>
                </w:r>
                <w:r>
                  <w:rPr>
                    <w:rFonts w:ascii="Calibri" w:hAnsi="Calibri"/>
                    <w:i/>
                    <w:color w:val="231F20"/>
                    <w:spacing w:val="-14"/>
                    <w:w w:val="90"/>
                    <w:sz w:val="18"/>
                  </w:rPr>
                  <w:t> </w:t>
                </w:r>
                <w:r>
                  <w:rPr>
                    <w:rFonts w:ascii="Calibri" w:hAnsi="Calibri"/>
                    <w:i/>
                    <w:color w:val="231F20"/>
                    <w:w w:val="90"/>
                    <w:sz w:val="18"/>
                  </w:rPr>
                  <w:t>Becerril</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51.34729pt;margin-top:567.814941pt;width:54.7pt;height:11pt;mso-position-horizontal-relative:page;mso-position-vertical-relative:page;z-index:-457840"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90"/>
                    <w:sz w:val="18"/>
                  </w:rPr>
                  <w:t>Introducción </w:t>
                </w:r>
                <w:r>
                  <w:rPr>
                    <w:i/>
                    <w:color w:val="231F20"/>
                    <w:w w:val="90"/>
                    <w:sz w:val="18"/>
                  </w:rPr>
                  <w:t>• </w:t>
                </w:r>
                <w:r>
                  <w:rPr/>
                  <w:fldChar w:fldCharType="begin"/>
                </w:r>
                <w:r>
                  <w:rPr>
                    <w:rFonts w:ascii="Calibri" w:hAnsi="Calibri"/>
                    <w:i/>
                    <w:color w:val="231F20"/>
                    <w:w w:val="90"/>
                    <w:sz w:val="18"/>
                  </w:rPr>
                  <w:instrText> PAGE </w:instrText>
                </w:r>
                <w:r>
                  <w:rPr/>
                  <w:fldChar w:fldCharType="separate"/>
                </w:r>
                <w:r>
                  <w:rPr/>
                  <w:t>7</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40.110504pt;margin-top:567.814941pt;width:164.9pt;height:11pt;mso-position-horizontal-relative:page;mso-position-vertical-relative:page;z-index:-457528"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90"/>
                    <w:sz w:val="18"/>
                  </w:rPr>
                  <w:t>La</w:t>
                </w:r>
                <w:r>
                  <w:rPr>
                    <w:rFonts w:ascii="Calibri" w:hAnsi="Calibri"/>
                    <w:i/>
                    <w:color w:val="231F20"/>
                    <w:spacing w:val="-23"/>
                    <w:w w:val="90"/>
                    <w:sz w:val="18"/>
                  </w:rPr>
                  <w:t> </w:t>
                </w:r>
                <w:r>
                  <w:rPr>
                    <w:rFonts w:ascii="Calibri" w:hAnsi="Calibri"/>
                    <w:i/>
                    <w:color w:val="231F20"/>
                    <w:w w:val="90"/>
                    <w:sz w:val="18"/>
                  </w:rPr>
                  <w:t>familia</w:t>
                </w:r>
                <w:r>
                  <w:rPr>
                    <w:rFonts w:ascii="Calibri" w:hAnsi="Calibri"/>
                    <w:i/>
                    <w:color w:val="231F20"/>
                    <w:spacing w:val="-23"/>
                    <w:w w:val="90"/>
                    <w:sz w:val="18"/>
                  </w:rPr>
                  <w:t> </w:t>
                </w:r>
                <w:r>
                  <w:rPr>
                    <w:rFonts w:ascii="Calibri" w:hAnsi="Calibri"/>
                    <w:i/>
                    <w:color w:val="231F20"/>
                    <w:w w:val="90"/>
                    <w:sz w:val="18"/>
                  </w:rPr>
                  <w:t>en</w:t>
                </w:r>
                <w:r>
                  <w:rPr>
                    <w:rFonts w:ascii="Calibri" w:hAnsi="Calibri"/>
                    <w:i/>
                    <w:color w:val="231F20"/>
                    <w:spacing w:val="-23"/>
                    <w:w w:val="90"/>
                    <w:sz w:val="18"/>
                  </w:rPr>
                  <w:t> </w:t>
                </w:r>
                <w:r>
                  <w:rPr>
                    <w:rFonts w:ascii="Calibri" w:hAnsi="Calibri"/>
                    <w:i/>
                    <w:color w:val="231F20"/>
                    <w:w w:val="90"/>
                    <w:sz w:val="18"/>
                  </w:rPr>
                  <w:t>vinculación</w:t>
                </w:r>
                <w:r>
                  <w:rPr>
                    <w:rFonts w:ascii="Calibri" w:hAnsi="Calibri"/>
                    <w:i/>
                    <w:color w:val="231F20"/>
                    <w:spacing w:val="-23"/>
                    <w:w w:val="90"/>
                    <w:sz w:val="18"/>
                  </w:rPr>
                  <w:t> </w:t>
                </w:r>
                <w:r>
                  <w:rPr>
                    <w:rFonts w:ascii="Calibri" w:hAnsi="Calibri"/>
                    <w:i/>
                    <w:color w:val="231F20"/>
                    <w:w w:val="90"/>
                    <w:sz w:val="18"/>
                  </w:rPr>
                  <w:t>con</w:t>
                </w:r>
                <w:r>
                  <w:rPr>
                    <w:rFonts w:ascii="Calibri" w:hAnsi="Calibri"/>
                    <w:i/>
                    <w:color w:val="231F20"/>
                    <w:spacing w:val="-23"/>
                    <w:w w:val="90"/>
                    <w:sz w:val="18"/>
                  </w:rPr>
                  <w:t> </w:t>
                </w:r>
                <w:r>
                  <w:rPr>
                    <w:rFonts w:ascii="Calibri" w:hAnsi="Calibri"/>
                    <w:i/>
                    <w:color w:val="231F20"/>
                    <w:w w:val="90"/>
                    <w:sz w:val="18"/>
                  </w:rPr>
                  <w:t>el</w:t>
                </w:r>
                <w:r>
                  <w:rPr>
                    <w:rFonts w:ascii="Calibri" w:hAnsi="Calibri"/>
                    <w:i/>
                    <w:color w:val="231F20"/>
                    <w:spacing w:val="-23"/>
                    <w:w w:val="90"/>
                    <w:sz w:val="18"/>
                  </w:rPr>
                  <w:t> </w:t>
                </w:r>
                <w:r>
                  <w:rPr>
                    <w:rFonts w:ascii="Calibri" w:hAnsi="Calibri"/>
                    <w:i/>
                    <w:color w:val="231F20"/>
                    <w:w w:val="90"/>
                    <w:sz w:val="18"/>
                  </w:rPr>
                  <w:t>mercado</w:t>
                </w:r>
                <w:r>
                  <w:rPr>
                    <w:rFonts w:ascii="Calibri" w:hAnsi="Calibri"/>
                    <w:i/>
                    <w:color w:val="231F20"/>
                    <w:spacing w:val="-23"/>
                    <w:w w:val="90"/>
                    <w:sz w:val="18"/>
                  </w:rPr>
                  <w:t> </w:t>
                </w:r>
                <w:r>
                  <w:rPr>
                    <w:rFonts w:ascii="Calibri" w:hAnsi="Calibri"/>
                    <w:i/>
                    <w:color w:val="231F20"/>
                    <w:w w:val="90"/>
                    <w:sz w:val="18"/>
                  </w:rPr>
                  <w:t>laboral</w:t>
                </w:r>
                <w:r>
                  <w:rPr>
                    <w:rFonts w:ascii="Calibri" w:hAnsi="Calibri"/>
                    <w:i/>
                    <w:color w:val="231F20"/>
                    <w:spacing w:val="-23"/>
                    <w:w w:val="90"/>
                    <w:sz w:val="18"/>
                  </w:rPr>
                  <w:t> </w:t>
                </w:r>
                <w:r>
                  <w:rPr>
                    <w:i/>
                    <w:color w:val="231F20"/>
                    <w:w w:val="90"/>
                    <w:sz w:val="18"/>
                  </w:rPr>
                  <w:t>•</w:t>
                </w:r>
                <w:r>
                  <w:rPr>
                    <w:i/>
                    <w:color w:val="231F20"/>
                    <w:spacing w:val="-22"/>
                    <w:w w:val="90"/>
                    <w:sz w:val="18"/>
                  </w:rPr>
                  <w:t> </w:t>
                </w:r>
                <w:r>
                  <w:rPr>
                    <w:rFonts w:ascii="Calibri" w:hAnsi="Calibri"/>
                    <w:i/>
                    <w:color w:val="231F20"/>
                    <w:w w:val="90"/>
                    <w:sz w:val="18"/>
                  </w:rPr>
                  <w:t>51</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149.3pt;height:11pt;mso-position-horizontal-relative:page;mso-position-vertical-relative:page;z-index:-457504" type="#_x0000_t202" filled="false" stroked="false">
          <v:textbox inset="0,0,0,0">
            <w:txbxContent>
              <w:p>
                <w:pPr>
                  <w:spacing w:line="212" w:lineRule="exact" w:before="0"/>
                  <w:ind w:left="40" w:right="0" w:firstLine="0"/>
                  <w:jc w:val="left"/>
                  <w:rPr>
                    <w:rFonts w:ascii="Calibri" w:hAnsi="Calibri"/>
                    <w:i/>
                    <w:sz w:val="18"/>
                  </w:rPr>
                </w:pPr>
                <w:r>
                  <w:rPr>
                    <w:rFonts w:ascii="Calibri" w:hAnsi="Calibri"/>
                    <w:i/>
                    <w:color w:val="231F20"/>
                    <w:w w:val="90"/>
                    <w:sz w:val="18"/>
                  </w:rPr>
                  <w:t>52</w:t>
                </w:r>
                <w:r>
                  <w:rPr>
                    <w:rFonts w:ascii="Calibri" w:hAnsi="Calibri"/>
                    <w:i/>
                    <w:color w:val="231F20"/>
                    <w:spacing w:val="-14"/>
                    <w:w w:val="90"/>
                    <w:sz w:val="18"/>
                  </w:rPr>
                  <w:t> </w:t>
                </w:r>
                <w:r>
                  <w:rPr>
                    <w:i/>
                    <w:color w:val="231F20"/>
                    <w:w w:val="90"/>
                    <w:sz w:val="18"/>
                  </w:rPr>
                  <w:t>•</w:t>
                </w:r>
                <w:r>
                  <w:rPr>
                    <w:i/>
                    <w:color w:val="231F20"/>
                    <w:spacing w:val="-14"/>
                    <w:w w:val="90"/>
                    <w:sz w:val="18"/>
                  </w:rPr>
                  <w:t> </w:t>
                </w:r>
                <w:r>
                  <w:rPr>
                    <w:rFonts w:ascii="Calibri" w:hAnsi="Calibri"/>
                    <w:i/>
                    <w:color w:val="231F20"/>
                    <w:w w:val="90"/>
                    <w:sz w:val="18"/>
                  </w:rPr>
                  <w:t>R.</w:t>
                </w:r>
                <w:r>
                  <w:rPr>
                    <w:rFonts w:ascii="Calibri" w:hAnsi="Calibri"/>
                    <w:i/>
                    <w:color w:val="231F20"/>
                    <w:spacing w:val="-14"/>
                    <w:w w:val="90"/>
                    <w:sz w:val="18"/>
                  </w:rPr>
                  <w:t> </w:t>
                </w:r>
                <w:r>
                  <w:rPr>
                    <w:rFonts w:ascii="Calibri" w:hAnsi="Calibri"/>
                    <w:i/>
                    <w:color w:val="231F20"/>
                    <w:spacing w:val="-19"/>
                    <w:w w:val="90"/>
                    <w:sz w:val="18"/>
                  </w:rPr>
                  <w:t>P.</w:t>
                </w:r>
                <w:r>
                  <w:rPr>
                    <w:rFonts w:ascii="Calibri" w:hAnsi="Calibri"/>
                    <w:i/>
                    <w:color w:val="231F20"/>
                    <w:spacing w:val="-14"/>
                    <w:w w:val="90"/>
                    <w:sz w:val="18"/>
                  </w:rPr>
                  <w:t> </w:t>
                </w:r>
                <w:r>
                  <w:rPr>
                    <w:rFonts w:ascii="Calibri" w:hAnsi="Calibri"/>
                    <w:i/>
                    <w:color w:val="231F20"/>
                    <w:w w:val="90"/>
                    <w:sz w:val="18"/>
                  </w:rPr>
                  <w:t>Román</w:t>
                </w:r>
                <w:r>
                  <w:rPr>
                    <w:rFonts w:ascii="Calibri" w:hAnsi="Calibri"/>
                    <w:i/>
                    <w:color w:val="231F20"/>
                    <w:spacing w:val="-14"/>
                    <w:w w:val="90"/>
                    <w:sz w:val="18"/>
                  </w:rPr>
                  <w:t> </w:t>
                </w:r>
                <w:r>
                  <w:rPr>
                    <w:rFonts w:ascii="Calibri" w:hAnsi="Calibri"/>
                    <w:i/>
                    <w:color w:val="231F20"/>
                    <w:w w:val="90"/>
                    <w:sz w:val="18"/>
                  </w:rPr>
                  <w:t>Reyes</w:t>
                </w:r>
                <w:r>
                  <w:rPr>
                    <w:rFonts w:ascii="Calibri" w:hAnsi="Calibri"/>
                    <w:i/>
                    <w:color w:val="231F20"/>
                    <w:spacing w:val="-14"/>
                    <w:w w:val="90"/>
                    <w:sz w:val="18"/>
                  </w:rPr>
                  <w:t> </w:t>
                </w:r>
                <w:r>
                  <w:rPr>
                    <w:rFonts w:ascii="Calibri" w:hAnsi="Calibri"/>
                    <w:i/>
                    <w:color w:val="231F20"/>
                    <w:w w:val="90"/>
                    <w:sz w:val="18"/>
                  </w:rPr>
                  <w:t>y</w:t>
                </w:r>
                <w:r>
                  <w:rPr>
                    <w:rFonts w:ascii="Calibri" w:hAnsi="Calibri"/>
                    <w:i/>
                    <w:color w:val="231F20"/>
                    <w:spacing w:val="-14"/>
                    <w:w w:val="90"/>
                    <w:sz w:val="18"/>
                  </w:rPr>
                  <w:t> </w:t>
                </w:r>
                <w:r>
                  <w:rPr>
                    <w:rFonts w:ascii="Calibri" w:hAnsi="Calibri"/>
                    <w:i/>
                    <w:color w:val="231F20"/>
                    <w:w w:val="90"/>
                    <w:sz w:val="18"/>
                  </w:rPr>
                  <w:t>J.</w:t>
                </w:r>
                <w:r>
                  <w:rPr>
                    <w:rFonts w:ascii="Calibri" w:hAnsi="Calibri"/>
                    <w:i/>
                    <w:color w:val="231F20"/>
                    <w:spacing w:val="-14"/>
                    <w:w w:val="90"/>
                    <w:sz w:val="18"/>
                  </w:rPr>
                  <w:t> </w:t>
                </w:r>
                <w:r>
                  <w:rPr>
                    <w:rFonts w:ascii="Calibri" w:hAnsi="Calibri"/>
                    <w:i/>
                    <w:color w:val="231F20"/>
                    <w:w w:val="90"/>
                    <w:sz w:val="18"/>
                  </w:rPr>
                  <w:t>G.</w:t>
                </w:r>
                <w:r>
                  <w:rPr>
                    <w:rFonts w:ascii="Calibri" w:hAnsi="Calibri"/>
                    <w:i/>
                    <w:color w:val="231F20"/>
                    <w:spacing w:val="-14"/>
                    <w:w w:val="90"/>
                    <w:sz w:val="18"/>
                  </w:rPr>
                  <w:t> </w:t>
                </w:r>
                <w:r>
                  <w:rPr>
                    <w:rFonts w:ascii="Calibri" w:hAnsi="Calibri"/>
                    <w:i/>
                    <w:color w:val="231F20"/>
                    <w:w w:val="90"/>
                    <w:sz w:val="18"/>
                  </w:rPr>
                  <w:t>González</w:t>
                </w:r>
                <w:r>
                  <w:rPr>
                    <w:rFonts w:ascii="Calibri" w:hAnsi="Calibri"/>
                    <w:i/>
                    <w:color w:val="231F20"/>
                    <w:spacing w:val="-14"/>
                    <w:w w:val="90"/>
                    <w:sz w:val="18"/>
                  </w:rPr>
                  <w:t> </w:t>
                </w:r>
                <w:r>
                  <w:rPr>
                    <w:rFonts w:ascii="Calibri" w:hAnsi="Calibri"/>
                    <w:i/>
                    <w:color w:val="231F20"/>
                    <w:w w:val="90"/>
                    <w:sz w:val="18"/>
                  </w:rPr>
                  <w:t>Becerril</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40.110504pt;margin-top:567.814941pt;width:165.9pt;height:11pt;mso-position-horizontal-relative:page;mso-position-vertical-relative:page;z-index:-457480"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90"/>
                    <w:sz w:val="18"/>
                  </w:rPr>
                  <w:t>La</w:t>
                </w:r>
                <w:r>
                  <w:rPr>
                    <w:rFonts w:ascii="Calibri" w:hAnsi="Calibri"/>
                    <w:i/>
                    <w:color w:val="231F20"/>
                    <w:spacing w:val="-23"/>
                    <w:w w:val="90"/>
                    <w:sz w:val="18"/>
                  </w:rPr>
                  <w:t> </w:t>
                </w:r>
                <w:r>
                  <w:rPr>
                    <w:rFonts w:ascii="Calibri" w:hAnsi="Calibri"/>
                    <w:i/>
                    <w:color w:val="231F20"/>
                    <w:w w:val="90"/>
                    <w:sz w:val="18"/>
                  </w:rPr>
                  <w:t>familia</w:t>
                </w:r>
                <w:r>
                  <w:rPr>
                    <w:rFonts w:ascii="Calibri" w:hAnsi="Calibri"/>
                    <w:i/>
                    <w:color w:val="231F20"/>
                    <w:spacing w:val="-23"/>
                    <w:w w:val="90"/>
                    <w:sz w:val="18"/>
                  </w:rPr>
                  <w:t> </w:t>
                </w:r>
                <w:r>
                  <w:rPr>
                    <w:rFonts w:ascii="Calibri" w:hAnsi="Calibri"/>
                    <w:i/>
                    <w:color w:val="231F20"/>
                    <w:w w:val="90"/>
                    <w:sz w:val="18"/>
                  </w:rPr>
                  <w:t>en</w:t>
                </w:r>
                <w:r>
                  <w:rPr>
                    <w:rFonts w:ascii="Calibri" w:hAnsi="Calibri"/>
                    <w:i/>
                    <w:color w:val="231F20"/>
                    <w:spacing w:val="-23"/>
                    <w:w w:val="90"/>
                    <w:sz w:val="18"/>
                  </w:rPr>
                  <w:t> </w:t>
                </w:r>
                <w:r>
                  <w:rPr>
                    <w:rFonts w:ascii="Calibri" w:hAnsi="Calibri"/>
                    <w:i/>
                    <w:color w:val="231F20"/>
                    <w:w w:val="90"/>
                    <w:sz w:val="18"/>
                  </w:rPr>
                  <w:t>vinculación</w:t>
                </w:r>
                <w:r>
                  <w:rPr>
                    <w:rFonts w:ascii="Calibri" w:hAnsi="Calibri"/>
                    <w:i/>
                    <w:color w:val="231F20"/>
                    <w:spacing w:val="-23"/>
                    <w:w w:val="90"/>
                    <w:sz w:val="18"/>
                  </w:rPr>
                  <w:t> </w:t>
                </w:r>
                <w:r>
                  <w:rPr>
                    <w:rFonts w:ascii="Calibri" w:hAnsi="Calibri"/>
                    <w:i/>
                    <w:color w:val="231F20"/>
                    <w:w w:val="90"/>
                    <w:sz w:val="18"/>
                  </w:rPr>
                  <w:t>con</w:t>
                </w:r>
                <w:r>
                  <w:rPr>
                    <w:rFonts w:ascii="Calibri" w:hAnsi="Calibri"/>
                    <w:i/>
                    <w:color w:val="231F20"/>
                    <w:spacing w:val="-23"/>
                    <w:w w:val="90"/>
                    <w:sz w:val="18"/>
                  </w:rPr>
                  <w:t> </w:t>
                </w:r>
                <w:r>
                  <w:rPr>
                    <w:rFonts w:ascii="Calibri" w:hAnsi="Calibri"/>
                    <w:i/>
                    <w:color w:val="231F20"/>
                    <w:w w:val="90"/>
                    <w:sz w:val="18"/>
                  </w:rPr>
                  <w:t>el</w:t>
                </w:r>
                <w:r>
                  <w:rPr>
                    <w:rFonts w:ascii="Calibri" w:hAnsi="Calibri"/>
                    <w:i/>
                    <w:color w:val="231F20"/>
                    <w:spacing w:val="-23"/>
                    <w:w w:val="90"/>
                    <w:sz w:val="18"/>
                  </w:rPr>
                  <w:t> </w:t>
                </w:r>
                <w:r>
                  <w:rPr>
                    <w:rFonts w:ascii="Calibri" w:hAnsi="Calibri"/>
                    <w:i/>
                    <w:color w:val="231F20"/>
                    <w:w w:val="90"/>
                    <w:sz w:val="18"/>
                  </w:rPr>
                  <w:t>mercado</w:t>
                </w:r>
                <w:r>
                  <w:rPr>
                    <w:rFonts w:ascii="Calibri" w:hAnsi="Calibri"/>
                    <w:i/>
                    <w:color w:val="231F20"/>
                    <w:spacing w:val="-23"/>
                    <w:w w:val="90"/>
                    <w:sz w:val="18"/>
                  </w:rPr>
                  <w:t> </w:t>
                </w:r>
                <w:r>
                  <w:rPr>
                    <w:rFonts w:ascii="Calibri" w:hAnsi="Calibri"/>
                    <w:i/>
                    <w:color w:val="231F20"/>
                    <w:w w:val="90"/>
                    <w:sz w:val="18"/>
                  </w:rPr>
                  <w:t>laboral</w:t>
                </w:r>
                <w:r>
                  <w:rPr>
                    <w:rFonts w:ascii="Calibri" w:hAnsi="Calibri"/>
                    <w:i/>
                    <w:color w:val="231F20"/>
                    <w:spacing w:val="-23"/>
                    <w:w w:val="90"/>
                    <w:sz w:val="18"/>
                  </w:rPr>
                  <w:t> </w:t>
                </w:r>
                <w:r>
                  <w:rPr>
                    <w:i/>
                    <w:color w:val="231F20"/>
                    <w:w w:val="90"/>
                    <w:sz w:val="18"/>
                  </w:rPr>
                  <w:t>•</w:t>
                </w:r>
                <w:r>
                  <w:rPr>
                    <w:i/>
                    <w:color w:val="231F20"/>
                    <w:spacing w:val="-22"/>
                    <w:w w:val="90"/>
                    <w:sz w:val="18"/>
                  </w:rPr>
                  <w:t> </w:t>
                </w:r>
                <w:r>
                  <w:rPr/>
                  <w:fldChar w:fldCharType="begin"/>
                </w:r>
                <w:r>
                  <w:rPr>
                    <w:rFonts w:ascii="Calibri" w:hAnsi="Calibri"/>
                    <w:i/>
                    <w:color w:val="231F20"/>
                    <w:w w:val="90"/>
                    <w:sz w:val="18"/>
                  </w:rPr>
                  <w:instrText> PAGE </w:instrText>
                </w:r>
                <w:r>
                  <w:rPr/>
                  <w:fldChar w:fldCharType="separate"/>
                </w:r>
                <w:r>
                  <w:rPr/>
                  <w:t>53</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149.3pt;height:11pt;mso-position-horizontal-relative:page;mso-position-vertical-relative:page;z-index:-457456"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54</w:t>
                </w:r>
                <w:r>
                  <w:rPr/>
                  <w:fldChar w:fldCharType="end"/>
                </w:r>
                <w:r>
                  <w:rPr>
                    <w:rFonts w:ascii="Calibri" w:hAnsi="Calibri"/>
                    <w:i/>
                    <w:color w:val="231F20"/>
                    <w:spacing w:val="-14"/>
                    <w:w w:val="90"/>
                    <w:sz w:val="18"/>
                  </w:rPr>
                  <w:t> </w:t>
                </w:r>
                <w:r>
                  <w:rPr>
                    <w:i/>
                    <w:color w:val="231F20"/>
                    <w:w w:val="90"/>
                    <w:sz w:val="18"/>
                  </w:rPr>
                  <w:t>•</w:t>
                </w:r>
                <w:r>
                  <w:rPr>
                    <w:i/>
                    <w:color w:val="231F20"/>
                    <w:spacing w:val="-14"/>
                    <w:w w:val="90"/>
                    <w:sz w:val="18"/>
                  </w:rPr>
                  <w:t> </w:t>
                </w:r>
                <w:r>
                  <w:rPr>
                    <w:rFonts w:ascii="Calibri" w:hAnsi="Calibri"/>
                    <w:i/>
                    <w:color w:val="231F20"/>
                    <w:w w:val="90"/>
                    <w:sz w:val="18"/>
                  </w:rPr>
                  <w:t>R.</w:t>
                </w:r>
                <w:r>
                  <w:rPr>
                    <w:rFonts w:ascii="Calibri" w:hAnsi="Calibri"/>
                    <w:i/>
                    <w:color w:val="231F20"/>
                    <w:spacing w:val="-14"/>
                    <w:w w:val="90"/>
                    <w:sz w:val="18"/>
                  </w:rPr>
                  <w:t> </w:t>
                </w:r>
                <w:r>
                  <w:rPr>
                    <w:rFonts w:ascii="Calibri" w:hAnsi="Calibri"/>
                    <w:i/>
                    <w:color w:val="231F20"/>
                    <w:spacing w:val="-19"/>
                    <w:w w:val="90"/>
                    <w:sz w:val="18"/>
                  </w:rPr>
                  <w:t>P.</w:t>
                </w:r>
                <w:r>
                  <w:rPr>
                    <w:rFonts w:ascii="Calibri" w:hAnsi="Calibri"/>
                    <w:i/>
                    <w:color w:val="231F20"/>
                    <w:spacing w:val="-14"/>
                    <w:w w:val="90"/>
                    <w:sz w:val="18"/>
                  </w:rPr>
                  <w:t> </w:t>
                </w:r>
                <w:r>
                  <w:rPr>
                    <w:rFonts w:ascii="Calibri" w:hAnsi="Calibri"/>
                    <w:i/>
                    <w:color w:val="231F20"/>
                    <w:w w:val="90"/>
                    <w:sz w:val="18"/>
                  </w:rPr>
                  <w:t>Román</w:t>
                </w:r>
                <w:r>
                  <w:rPr>
                    <w:rFonts w:ascii="Calibri" w:hAnsi="Calibri"/>
                    <w:i/>
                    <w:color w:val="231F20"/>
                    <w:spacing w:val="-14"/>
                    <w:w w:val="90"/>
                    <w:sz w:val="18"/>
                  </w:rPr>
                  <w:t> </w:t>
                </w:r>
                <w:r>
                  <w:rPr>
                    <w:rFonts w:ascii="Calibri" w:hAnsi="Calibri"/>
                    <w:i/>
                    <w:color w:val="231F20"/>
                    <w:w w:val="90"/>
                    <w:sz w:val="18"/>
                  </w:rPr>
                  <w:t>Reyes</w:t>
                </w:r>
                <w:r>
                  <w:rPr>
                    <w:rFonts w:ascii="Calibri" w:hAnsi="Calibri"/>
                    <w:i/>
                    <w:color w:val="231F20"/>
                    <w:spacing w:val="-14"/>
                    <w:w w:val="90"/>
                    <w:sz w:val="18"/>
                  </w:rPr>
                  <w:t> </w:t>
                </w:r>
                <w:r>
                  <w:rPr>
                    <w:rFonts w:ascii="Calibri" w:hAnsi="Calibri"/>
                    <w:i/>
                    <w:color w:val="231F20"/>
                    <w:w w:val="90"/>
                    <w:sz w:val="18"/>
                  </w:rPr>
                  <w:t>y</w:t>
                </w:r>
                <w:r>
                  <w:rPr>
                    <w:rFonts w:ascii="Calibri" w:hAnsi="Calibri"/>
                    <w:i/>
                    <w:color w:val="231F20"/>
                    <w:spacing w:val="-14"/>
                    <w:w w:val="90"/>
                    <w:sz w:val="18"/>
                  </w:rPr>
                  <w:t> </w:t>
                </w:r>
                <w:r>
                  <w:rPr>
                    <w:rFonts w:ascii="Calibri" w:hAnsi="Calibri"/>
                    <w:i/>
                    <w:color w:val="231F20"/>
                    <w:w w:val="90"/>
                    <w:sz w:val="18"/>
                  </w:rPr>
                  <w:t>J.</w:t>
                </w:r>
                <w:r>
                  <w:rPr>
                    <w:rFonts w:ascii="Calibri" w:hAnsi="Calibri"/>
                    <w:i/>
                    <w:color w:val="231F20"/>
                    <w:spacing w:val="-14"/>
                    <w:w w:val="90"/>
                    <w:sz w:val="18"/>
                  </w:rPr>
                  <w:t> </w:t>
                </w:r>
                <w:r>
                  <w:rPr>
                    <w:rFonts w:ascii="Calibri" w:hAnsi="Calibri"/>
                    <w:i/>
                    <w:color w:val="231F20"/>
                    <w:w w:val="90"/>
                    <w:sz w:val="18"/>
                  </w:rPr>
                  <w:t>G.</w:t>
                </w:r>
                <w:r>
                  <w:rPr>
                    <w:rFonts w:ascii="Calibri" w:hAnsi="Calibri"/>
                    <w:i/>
                    <w:color w:val="231F20"/>
                    <w:spacing w:val="-14"/>
                    <w:w w:val="90"/>
                    <w:sz w:val="18"/>
                  </w:rPr>
                  <w:t> </w:t>
                </w:r>
                <w:r>
                  <w:rPr>
                    <w:rFonts w:ascii="Calibri" w:hAnsi="Calibri"/>
                    <w:i/>
                    <w:color w:val="231F20"/>
                    <w:w w:val="90"/>
                    <w:sz w:val="18"/>
                  </w:rPr>
                  <w:t>González</w:t>
                </w:r>
                <w:r>
                  <w:rPr>
                    <w:rFonts w:ascii="Calibri" w:hAnsi="Calibri"/>
                    <w:i/>
                    <w:color w:val="231F20"/>
                    <w:spacing w:val="-14"/>
                    <w:w w:val="90"/>
                    <w:sz w:val="18"/>
                  </w:rPr>
                  <w:t> </w:t>
                </w:r>
                <w:r>
                  <w:rPr>
                    <w:rFonts w:ascii="Calibri" w:hAnsi="Calibri"/>
                    <w:i/>
                    <w:color w:val="231F20"/>
                    <w:w w:val="90"/>
                    <w:sz w:val="18"/>
                  </w:rPr>
                  <w:t>Becerril</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195.95pt;height:11pt;mso-position-horizontal-relative:page;mso-position-vertical-relative:page;z-index:-457432"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60</w:t>
                </w:r>
                <w:r>
                  <w:rPr/>
                  <w:fldChar w:fldCharType="end"/>
                </w:r>
                <w:r>
                  <w:rPr>
                    <w:rFonts w:ascii="Calibri" w:hAnsi="Calibri"/>
                    <w:i/>
                    <w:color w:val="231F20"/>
                    <w:spacing w:val="-19"/>
                    <w:w w:val="90"/>
                    <w:sz w:val="18"/>
                  </w:rPr>
                  <w:t> </w:t>
                </w:r>
                <w:r>
                  <w:rPr>
                    <w:i/>
                    <w:color w:val="231F20"/>
                    <w:w w:val="90"/>
                    <w:sz w:val="18"/>
                  </w:rPr>
                  <w:t>•</w:t>
                </w:r>
                <w:r>
                  <w:rPr>
                    <w:i/>
                    <w:color w:val="231F20"/>
                    <w:spacing w:val="-19"/>
                    <w:w w:val="90"/>
                    <w:sz w:val="18"/>
                  </w:rPr>
                  <w:t> </w:t>
                </w:r>
                <w:r>
                  <w:rPr>
                    <w:rFonts w:ascii="Calibri" w:hAnsi="Calibri"/>
                    <w:i/>
                    <w:color w:val="231F20"/>
                    <w:w w:val="90"/>
                    <w:sz w:val="18"/>
                  </w:rPr>
                  <w:t>R.</w:t>
                </w:r>
                <w:r>
                  <w:rPr>
                    <w:rFonts w:ascii="Calibri" w:hAnsi="Calibri"/>
                    <w:i/>
                    <w:color w:val="231F20"/>
                    <w:spacing w:val="-19"/>
                    <w:w w:val="90"/>
                    <w:sz w:val="18"/>
                  </w:rPr>
                  <w:t> P. </w:t>
                </w:r>
                <w:r>
                  <w:rPr>
                    <w:rFonts w:ascii="Calibri" w:hAnsi="Calibri"/>
                    <w:i/>
                    <w:color w:val="231F20"/>
                    <w:w w:val="90"/>
                    <w:sz w:val="18"/>
                  </w:rPr>
                  <w:t>Sosa</w:t>
                </w:r>
                <w:r>
                  <w:rPr>
                    <w:rFonts w:ascii="Calibri" w:hAnsi="Calibri"/>
                    <w:i/>
                    <w:color w:val="231F20"/>
                    <w:spacing w:val="-19"/>
                    <w:w w:val="90"/>
                    <w:sz w:val="18"/>
                  </w:rPr>
                  <w:t> </w:t>
                </w:r>
                <w:r>
                  <w:rPr>
                    <w:rFonts w:ascii="Calibri" w:hAnsi="Calibri"/>
                    <w:i/>
                    <w:color w:val="231F20"/>
                    <w:w w:val="90"/>
                    <w:sz w:val="18"/>
                  </w:rPr>
                  <w:t>Marquéz,</w:t>
                </w:r>
                <w:r>
                  <w:rPr>
                    <w:rFonts w:ascii="Calibri" w:hAnsi="Calibri"/>
                    <w:i/>
                    <w:color w:val="231F20"/>
                    <w:spacing w:val="-19"/>
                    <w:w w:val="90"/>
                    <w:sz w:val="18"/>
                  </w:rPr>
                  <w:t> </w:t>
                </w:r>
                <w:r>
                  <w:rPr>
                    <w:rFonts w:ascii="Calibri" w:hAnsi="Calibri"/>
                    <w:i/>
                    <w:color w:val="231F20"/>
                    <w:w w:val="90"/>
                    <w:sz w:val="18"/>
                  </w:rPr>
                  <w:t>A.</w:t>
                </w:r>
                <w:r>
                  <w:rPr>
                    <w:rFonts w:ascii="Calibri" w:hAnsi="Calibri"/>
                    <w:i/>
                    <w:color w:val="231F20"/>
                    <w:spacing w:val="-19"/>
                    <w:w w:val="90"/>
                    <w:sz w:val="18"/>
                  </w:rPr>
                  <w:t> </w:t>
                </w:r>
                <w:r>
                  <w:rPr>
                    <w:rFonts w:ascii="Calibri" w:hAnsi="Calibri"/>
                    <w:i/>
                    <w:color w:val="231F20"/>
                    <w:w w:val="90"/>
                    <w:sz w:val="18"/>
                  </w:rPr>
                  <w:t>Mejía</w:t>
                </w:r>
                <w:r>
                  <w:rPr>
                    <w:rFonts w:ascii="Calibri" w:hAnsi="Calibri"/>
                    <w:i/>
                    <w:color w:val="231F20"/>
                    <w:spacing w:val="-19"/>
                    <w:w w:val="90"/>
                    <w:sz w:val="18"/>
                  </w:rPr>
                  <w:t> </w:t>
                </w:r>
                <w:r>
                  <w:rPr>
                    <w:rFonts w:ascii="Calibri" w:hAnsi="Calibri"/>
                    <w:i/>
                    <w:color w:val="231F20"/>
                    <w:w w:val="90"/>
                    <w:sz w:val="18"/>
                  </w:rPr>
                  <w:t>Modesto,</w:t>
                </w:r>
                <w:r>
                  <w:rPr>
                    <w:rFonts w:ascii="Calibri" w:hAnsi="Calibri"/>
                    <w:i/>
                    <w:color w:val="231F20"/>
                    <w:spacing w:val="-19"/>
                    <w:w w:val="90"/>
                    <w:sz w:val="18"/>
                  </w:rPr>
                  <w:t> </w:t>
                </w:r>
                <w:r>
                  <w:rPr>
                    <w:rFonts w:ascii="Calibri" w:hAnsi="Calibri"/>
                    <w:i/>
                    <w:color w:val="231F20"/>
                    <w:w w:val="90"/>
                    <w:sz w:val="18"/>
                  </w:rPr>
                  <w:t>J.</w:t>
                </w:r>
                <w:r>
                  <w:rPr>
                    <w:rFonts w:ascii="Calibri" w:hAnsi="Calibri"/>
                    <w:i/>
                    <w:color w:val="231F20"/>
                    <w:spacing w:val="-19"/>
                    <w:w w:val="90"/>
                    <w:sz w:val="18"/>
                  </w:rPr>
                  <w:t> </w:t>
                </w:r>
                <w:r>
                  <w:rPr>
                    <w:rFonts w:ascii="Calibri" w:hAnsi="Calibri"/>
                    <w:i/>
                    <w:color w:val="231F20"/>
                    <w:w w:val="90"/>
                    <w:sz w:val="18"/>
                  </w:rPr>
                  <w:t>A.</w:t>
                </w:r>
                <w:r>
                  <w:rPr>
                    <w:rFonts w:ascii="Calibri" w:hAnsi="Calibri"/>
                    <w:i/>
                    <w:color w:val="231F20"/>
                    <w:spacing w:val="-19"/>
                    <w:w w:val="90"/>
                    <w:sz w:val="18"/>
                  </w:rPr>
                  <w:t> </w:t>
                </w:r>
                <w:r>
                  <w:rPr>
                    <w:rFonts w:ascii="Calibri" w:hAnsi="Calibri"/>
                    <w:i/>
                    <w:color w:val="231F20"/>
                    <w:w w:val="90"/>
                    <w:sz w:val="18"/>
                  </w:rPr>
                  <w:t>Soberón</w:t>
                </w:r>
                <w:r>
                  <w:rPr>
                    <w:rFonts w:ascii="Calibri" w:hAnsi="Calibri"/>
                    <w:i/>
                    <w:color w:val="231F20"/>
                    <w:spacing w:val="-19"/>
                    <w:w w:val="90"/>
                    <w:sz w:val="18"/>
                  </w:rPr>
                  <w:t> </w:t>
                </w:r>
                <w:r>
                  <w:rPr>
                    <w:rFonts w:ascii="Calibri" w:hAnsi="Calibri"/>
                    <w:i/>
                    <w:color w:val="231F20"/>
                    <w:w w:val="90"/>
                    <w:sz w:val="18"/>
                  </w:rPr>
                  <w:t>Mora</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24.212601pt;margin-top:567.814941pt;width:181.8pt;height:11pt;mso-position-horizontal-relative:page;mso-position-vertical-relative:page;z-index:-457408"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90"/>
                    <w:sz w:val="18"/>
                  </w:rPr>
                  <w:t>Cambios</w:t>
                </w:r>
                <w:r>
                  <w:rPr>
                    <w:rFonts w:ascii="Calibri" w:hAnsi="Calibri"/>
                    <w:i/>
                    <w:color w:val="231F20"/>
                    <w:spacing w:val="-21"/>
                    <w:w w:val="90"/>
                    <w:sz w:val="18"/>
                  </w:rPr>
                  <w:t> </w:t>
                </w:r>
                <w:r>
                  <w:rPr>
                    <w:rFonts w:ascii="Calibri" w:hAnsi="Calibri"/>
                    <w:i/>
                    <w:color w:val="231F20"/>
                    <w:w w:val="90"/>
                    <w:sz w:val="18"/>
                  </w:rPr>
                  <w:t>en</w:t>
                </w:r>
                <w:r>
                  <w:rPr>
                    <w:rFonts w:ascii="Calibri" w:hAnsi="Calibri"/>
                    <w:i/>
                    <w:color w:val="231F20"/>
                    <w:spacing w:val="-21"/>
                    <w:w w:val="90"/>
                    <w:sz w:val="18"/>
                  </w:rPr>
                  <w:t> </w:t>
                </w:r>
                <w:r>
                  <w:rPr>
                    <w:rFonts w:ascii="Calibri" w:hAnsi="Calibri"/>
                    <w:i/>
                    <w:color w:val="231F20"/>
                    <w:w w:val="90"/>
                    <w:sz w:val="18"/>
                  </w:rPr>
                  <w:t>la</w:t>
                </w:r>
                <w:r>
                  <w:rPr>
                    <w:rFonts w:ascii="Calibri" w:hAnsi="Calibri"/>
                    <w:i/>
                    <w:color w:val="231F20"/>
                    <w:spacing w:val="-21"/>
                    <w:w w:val="90"/>
                    <w:sz w:val="18"/>
                  </w:rPr>
                  <w:t> </w:t>
                </w:r>
                <w:r>
                  <w:rPr>
                    <w:rFonts w:ascii="Calibri" w:hAnsi="Calibri"/>
                    <w:i/>
                    <w:color w:val="231F20"/>
                    <w:w w:val="90"/>
                    <w:sz w:val="18"/>
                  </w:rPr>
                  <w:t>formación</w:t>
                </w:r>
                <w:r>
                  <w:rPr>
                    <w:rFonts w:ascii="Calibri" w:hAnsi="Calibri"/>
                    <w:i/>
                    <w:color w:val="231F20"/>
                    <w:spacing w:val="-21"/>
                    <w:w w:val="90"/>
                    <w:sz w:val="18"/>
                  </w:rPr>
                  <w:t> </w:t>
                </w:r>
                <w:r>
                  <w:rPr>
                    <w:rFonts w:ascii="Calibri" w:hAnsi="Calibri"/>
                    <w:i/>
                    <w:color w:val="231F20"/>
                    <w:w w:val="90"/>
                    <w:sz w:val="18"/>
                  </w:rPr>
                  <w:t>familiar</w:t>
                </w:r>
                <w:r>
                  <w:rPr>
                    <w:rFonts w:ascii="Calibri" w:hAnsi="Calibri"/>
                    <w:i/>
                    <w:color w:val="231F20"/>
                    <w:spacing w:val="-21"/>
                    <w:w w:val="90"/>
                    <w:sz w:val="18"/>
                  </w:rPr>
                  <w:t> </w:t>
                </w:r>
                <w:r>
                  <w:rPr>
                    <w:rFonts w:ascii="Calibri" w:hAnsi="Calibri"/>
                    <w:i/>
                    <w:color w:val="231F20"/>
                    <w:w w:val="90"/>
                    <w:sz w:val="18"/>
                  </w:rPr>
                  <w:t>a</w:t>
                </w:r>
                <w:r>
                  <w:rPr>
                    <w:rFonts w:ascii="Calibri" w:hAnsi="Calibri"/>
                    <w:i/>
                    <w:color w:val="231F20"/>
                    <w:spacing w:val="-21"/>
                    <w:w w:val="90"/>
                    <w:sz w:val="18"/>
                  </w:rPr>
                  <w:t> </w:t>
                </w:r>
                <w:r>
                  <w:rPr>
                    <w:rFonts w:ascii="Calibri" w:hAnsi="Calibri"/>
                    <w:i/>
                    <w:color w:val="231F20"/>
                    <w:w w:val="90"/>
                    <w:sz w:val="18"/>
                  </w:rPr>
                  <w:t>inicos</w:t>
                </w:r>
                <w:r>
                  <w:rPr>
                    <w:rFonts w:ascii="Calibri" w:hAnsi="Calibri"/>
                    <w:i/>
                    <w:color w:val="231F20"/>
                    <w:spacing w:val="-21"/>
                    <w:w w:val="90"/>
                    <w:sz w:val="18"/>
                  </w:rPr>
                  <w:t> </w:t>
                </w:r>
                <w:r>
                  <w:rPr>
                    <w:rFonts w:ascii="Calibri" w:hAnsi="Calibri"/>
                    <w:i/>
                    <w:color w:val="231F20"/>
                    <w:w w:val="90"/>
                    <w:sz w:val="18"/>
                  </w:rPr>
                  <w:t>del</w:t>
                </w:r>
                <w:r>
                  <w:rPr>
                    <w:rFonts w:ascii="Calibri" w:hAnsi="Calibri"/>
                    <w:i/>
                    <w:color w:val="231F20"/>
                    <w:spacing w:val="-21"/>
                    <w:w w:val="90"/>
                    <w:sz w:val="18"/>
                  </w:rPr>
                  <w:t> </w:t>
                </w:r>
                <w:r>
                  <w:rPr>
                    <w:rFonts w:ascii="Calibri" w:hAnsi="Calibri"/>
                    <w:i/>
                    <w:color w:val="231F20"/>
                    <w:w w:val="90"/>
                    <w:sz w:val="18"/>
                  </w:rPr>
                  <w:t>siglo</w:t>
                </w:r>
                <w:r>
                  <w:rPr>
                    <w:rFonts w:ascii="Calibri" w:hAnsi="Calibri"/>
                    <w:i/>
                    <w:color w:val="231F20"/>
                    <w:spacing w:val="-21"/>
                    <w:w w:val="90"/>
                    <w:sz w:val="18"/>
                  </w:rPr>
                  <w:t> </w:t>
                </w:r>
                <w:r>
                  <w:rPr>
                    <w:i/>
                    <w:color w:val="231F20"/>
                    <w:w w:val="90"/>
                    <w:sz w:val="14"/>
                  </w:rPr>
                  <w:t>XXI</w:t>
                </w:r>
                <w:r>
                  <w:rPr>
                    <w:i/>
                    <w:color w:val="231F20"/>
                    <w:spacing w:val="-12"/>
                    <w:w w:val="90"/>
                    <w:sz w:val="14"/>
                  </w:rPr>
                  <w:t> </w:t>
                </w:r>
                <w:r>
                  <w:rPr>
                    <w:i/>
                    <w:color w:val="231F20"/>
                    <w:w w:val="90"/>
                    <w:sz w:val="18"/>
                  </w:rPr>
                  <w:t>•</w:t>
                </w:r>
                <w:r>
                  <w:rPr>
                    <w:i/>
                    <w:color w:val="231F20"/>
                    <w:spacing w:val="-20"/>
                    <w:w w:val="90"/>
                    <w:sz w:val="18"/>
                  </w:rPr>
                  <w:t> </w:t>
                </w:r>
                <w:r>
                  <w:rPr/>
                  <w:fldChar w:fldCharType="begin"/>
                </w:r>
                <w:r>
                  <w:rPr>
                    <w:rFonts w:ascii="Calibri" w:hAnsi="Calibri"/>
                    <w:i/>
                    <w:color w:val="231F20"/>
                    <w:w w:val="90"/>
                    <w:sz w:val="18"/>
                  </w:rPr>
                  <w:instrText> PAGE </w:instrText>
                </w:r>
                <w:r>
                  <w:rPr/>
                  <w:fldChar w:fldCharType="separate"/>
                </w:r>
                <w:r>
                  <w:rPr/>
                  <w:t>61</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24.212601pt;margin-top:567.814941pt;width:180.8pt;height:11pt;mso-position-horizontal-relative:page;mso-position-vertical-relative:page;z-index:-457384"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90"/>
                    <w:sz w:val="18"/>
                  </w:rPr>
                  <w:t>Cambios</w:t>
                </w:r>
                <w:r>
                  <w:rPr>
                    <w:rFonts w:ascii="Calibri" w:hAnsi="Calibri"/>
                    <w:i/>
                    <w:color w:val="231F20"/>
                    <w:spacing w:val="-21"/>
                    <w:w w:val="90"/>
                    <w:sz w:val="18"/>
                  </w:rPr>
                  <w:t> </w:t>
                </w:r>
                <w:r>
                  <w:rPr>
                    <w:rFonts w:ascii="Calibri" w:hAnsi="Calibri"/>
                    <w:i/>
                    <w:color w:val="231F20"/>
                    <w:w w:val="90"/>
                    <w:sz w:val="18"/>
                  </w:rPr>
                  <w:t>en</w:t>
                </w:r>
                <w:r>
                  <w:rPr>
                    <w:rFonts w:ascii="Calibri" w:hAnsi="Calibri"/>
                    <w:i/>
                    <w:color w:val="231F20"/>
                    <w:spacing w:val="-21"/>
                    <w:w w:val="90"/>
                    <w:sz w:val="18"/>
                  </w:rPr>
                  <w:t> </w:t>
                </w:r>
                <w:r>
                  <w:rPr>
                    <w:rFonts w:ascii="Calibri" w:hAnsi="Calibri"/>
                    <w:i/>
                    <w:color w:val="231F20"/>
                    <w:w w:val="90"/>
                    <w:sz w:val="18"/>
                  </w:rPr>
                  <w:t>la</w:t>
                </w:r>
                <w:r>
                  <w:rPr>
                    <w:rFonts w:ascii="Calibri" w:hAnsi="Calibri"/>
                    <w:i/>
                    <w:color w:val="231F20"/>
                    <w:spacing w:val="-21"/>
                    <w:w w:val="90"/>
                    <w:sz w:val="18"/>
                  </w:rPr>
                  <w:t> </w:t>
                </w:r>
                <w:r>
                  <w:rPr>
                    <w:rFonts w:ascii="Calibri" w:hAnsi="Calibri"/>
                    <w:i/>
                    <w:color w:val="231F20"/>
                    <w:w w:val="90"/>
                    <w:sz w:val="18"/>
                  </w:rPr>
                  <w:t>formación</w:t>
                </w:r>
                <w:r>
                  <w:rPr>
                    <w:rFonts w:ascii="Calibri" w:hAnsi="Calibri"/>
                    <w:i/>
                    <w:color w:val="231F20"/>
                    <w:spacing w:val="-21"/>
                    <w:w w:val="90"/>
                    <w:sz w:val="18"/>
                  </w:rPr>
                  <w:t> </w:t>
                </w:r>
                <w:r>
                  <w:rPr>
                    <w:rFonts w:ascii="Calibri" w:hAnsi="Calibri"/>
                    <w:i/>
                    <w:color w:val="231F20"/>
                    <w:w w:val="90"/>
                    <w:sz w:val="18"/>
                  </w:rPr>
                  <w:t>familiar</w:t>
                </w:r>
                <w:r>
                  <w:rPr>
                    <w:rFonts w:ascii="Calibri" w:hAnsi="Calibri"/>
                    <w:i/>
                    <w:color w:val="231F20"/>
                    <w:spacing w:val="-21"/>
                    <w:w w:val="90"/>
                    <w:sz w:val="18"/>
                  </w:rPr>
                  <w:t> </w:t>
                </w:r>
                <w:r>
                  <w:rPr>
                    <w:rFonts w:ascii="Calibri" w:hAnsi="Calibri"/>
                    <w:i/>
                    <w:color w:val="231F20"/>
                    <w:w w:val="90"/>
                    <w:sz w:val="18"/>
                  </w:rPr>
                  <w:t>a</w:t>
                </w:r>
                <w:r>
                  <w:rPr>
                    <w:rFonts w:ascii="Calibri" w:hAnsi="Calibri"/>
                    <w:i/>
                    <w:color w:val="231F20"/>
                    <w:spacing w:val="-21"/>
                    <w:w w:val="90"/>
                    <w:sz w:val="18"/>
                  </w:rPr>
                  <w:t> </w:t>
                </w:r>
                <w:r>
                  <w:rPr>
                    <w:rFonts w:ascii="Calibri" w:hAnsi="Calibri"/>
                    <w:i/>
                    <w:color w:val="231F20"/>
                    <w:w w:val="90"/>
                    <w:sz w:val="18"/>
                  </w:rPr>
                  <w:t>inicos</w:t>
                </w:r>
                <w:r>
                  <w:rPr>
                    <w:rFonts w:ascii="Calibri" w:hAnsi="Calibri"/>
                    <w:i/>
                    <w:color w:val="231F20"/>
                    <w:spacing w:val="-21"/>
                    <w:w w:val="90"/>
                    <w:sz w:val="18"/>
                  </w:rPr>
                  <w:t> </w:t>
                </w:r>
                <w:r>
                  <w:rPr>
                    <w:rFonts w:ascii="Calibri" w:hAnsi="Calibri"/>
                    <w:i/>
                    <w:color w:val="231F20"/>
                    <w:w w:val="90"/>
                    <w:sz w:val="18"/>
                  </w:rPr>
                  <w:t>del</w:t>
                </w:r>
                <w:r>
                  <w:rPr>
                    <w:rFonts w:ascii="Calibri" w:hAnsi="Calibri"/>
                    <w:i/>
                    <w:color w:val="231F20"/>
                    <w:spacing w:val="-21"/>
                    <w:w w:val="90"/>
                    <w:sz w:val="18"/>
                  </w:rPr>
                  <w:t> </w:t>
                </w:r>
                <w:r>
                  <w:rPr>
                    <w:rFonts w:ascii="Calibri" w:hAnsi="Calibri"/>
                    <w:i/>
                    <w:color w:val="231F20"/>
                    <w:w w:val="90"/>
                    <w:sz w:val="18"/>
                  </w:rPr>
                  <w:t>siglo</w:t>
                </w:r>
                <w:r>
                  <w:rPr>
                    <w:rFonts w:ascii="Calibri" w:hAnsi="Calibri"/>
                    <w:i/>
                    <w:color w:val="231F20"/>
                    <w:spacing w:val="-21"/>
                    <w:w w:val="90"/>
                    <w:sz w:val="18"/>
                  </w:rPr>
                  <w:t> </w:t>
                </w:r>
                <w:r>
                  <w:rPr>
                    <w:i/>
                    <w:color w:val="231F20"/>
                    <w:w w:val="90"/>
                    <w:sz w:val="14"/>
                  </w:rPr>
                  <w:t>XXI</w:t>
                </w:r>
                <w:r>
                  <w:rPr>
                    <w:i/>
                    <w:color w:val="231F20"/>
                    <w:spacing w:val="-12"/>
                    <w:w w:val="90"/>
                    <w:sz w:val="14"/>
                  </w:rPr>
                  <w:t> </w:t>
                </w:r>
                <w:r>
                  <w:rPr>
                    <w:i/>
                    <w:color w:val="231F20"/>
                    <w:w w:val="90"/>
                    <w:sz w:val="18"/>
                  </w:rPr>
                  <w:t>•</w:t>
                </w:r>
                <w:r>
                  <w:rPr>
                    <w:i/>
                    <w:color w:val="231F20"/>
                    <w:spacing w:val="-20"/>
                    <w:w w:val="90"/>
                    <w:sz w:val="18"/>
                  </w:rPr>
                  <w:t> </w:t>
                </w:r>
                <w:r>
                  <w:rPr>
                    <w:rFonts w:ascii="Calibri" w:hAnsi="Calibri"/>
                    <w:i/>
                    <w:color w:val="231F20"/>
                    <w:w w:val="90"/>
                    <w:sz w:val="18"/>
                  </w:rPr>
                  <w:t>71</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195.95pt;height:11pt;mso-position-horizontal-relative:page;mso-position-vertical-relative:page;z-index:-457360" type="#_x0000_t202" filled="false" stroked="false">
          <v:textbox inset="0,0,0,0">
            <w:txbxContent>
              <w:p>
                <w:pPr>
                  <w:spacing w:line="212" w:lineRule="exact" w:before="0"/>
                  <w:ind w:left="40" w:right="0" w:firstLine="0"/>
                  <w:jc w:val="left"/>
                  <w:rPr>
                    <w:rFonts w:ascii="Calibri" w:hAnsi="Calibri"/>
                    <w:i/>
                    <w:sz w:val="18"/>
                  </w:rPr>
                </w:pPr>
                <w:r>
                  <w:rPr>
                    <w:rFonts w:ascii="Calibri" w:hAnsi="Calibri"/>
                    <w:i/>
                    <w:color w:val="231F20"/>
                    <w:w w:val="90"/>
                    <w:sz w:val="18"/>
                  </w:rPr>
                  <w:t>72</w:t>
                </w:r>
                <w:r>
                  <w:rPr>
                    <w:rFonts w:ascii="Calibri" w:hAnsi="Calibri"/>
                    <w:i/>
                    <w:color w:val="231F20"/>
                    <w:spacing w:val="-19"/>
                    <w:w w:val="90"/>
                    <w:sz w:val="18"/>
                  </w:rPr>
                  <w:t> </w:t>
                </w:r>
                <w:r>
                  <w:rPr>
                    <w:i/>
                    <w:color w:val="231F20"/>
                    <w:w w:val="90"/>
                    <w:sz w:val="18"/>
                  </w:rPr>
                  <w:t>•</w:t>
                </w:r>
                <w:r>
                  <w:rPr>
                    <w:i/>
                    <w:color w:val="231F20"/>
                    <w:spacing w:val="-19"/>
                    <w:w w:val="90"/>
                    <w:sz w:val="18"/>
                  </w:rPr>
                  <w:t> </w:t>
                </w:r>
                <w:r>
                  <w:rPr>
                    <w:rFonts w:ascii="Calibri" w:hAnsi="Calibri"/>
                    <w:i/>
                    <w:color w:val="231F20"/>
                    <w:w w:val="90"/>
                    <w:sz w:val="18"/>
                  </w:rPr>
                  <w:t>R.</w:t>
                </w:r>
                <w:r>
                  <w:rPr>
                    <w:rFonts w:ascii="Calibri" w:hAnsi="Calibri"/>
                    <w:i/>
                    <w:color w:val="231F20"/>
                    <w:spacing w:val="-19"/>
                    <w:w w:val="90"/>
                    <w:sz w:val="18"/>
                  </w:rPr>
                  <w:t> P. </w:t>
                </w:r>
                <w:r>
                  <w:rPr>
                    <w:rFonts w:ascii="Calibri" w:hAnsi="Calibri"/>
                    <w:i/>
                    <w:color w:val="231F20"/>
                    <w:w w:val="90"/>
                    <w:sz w:val="18"/>
                  </w:rPr>
                  <w:t>Sosa</w:t>
                </w:r>
                <w:r>
                  <w:rPr>
                    <w:rFonts w:ascii="Calibri" w:hAnsi="Calibri"/>
                    <w:i/>
                    <w:color w:val="231F20"/>
                    <w:spacing w:val="-19"/>
                    <w:w w:val="90"/>
                    <w:sz w:val="18"/>
                  </w:rPr>
                  <w:t> </w:t>
                </w:r>
                <w:r>
                  <w:rPr>
                    <w:rFonts w:ascii="Calibri" w:hAnsi="Calibri"/>
                    <w:i/>
                    <w:color w:val="231F20"/>
                    <w:w w:val="90"/>
                    <w:sz w:val="18"/>
                  </w:rPr>
                  <w:t>Marquéz,</w:t>
                </w:r>
                <w:r>
                  <w:rPr>
                    <w:rFonts w:ascii="Calibri" w:hAnsi="Calibri"/>
                    <w:i/>
                    <w:color w:val="231F20"/>
                    <w:spacing w:val="-19"/>
                    <w:w w:val="90"/>
                    <w:sz w:val="18"/>
                  </w:rPr>
                  <w:t> </w:t>
                </w:r>
                <w:r>
                  <w:rPr>
                    <w:rFonts w:ascii="Calibri" w:hAnsi="Calibri"/>
                    <w:i/>
                    <w:color w:val="231F20"/>
                    <w:w w:val="90"/>
                    <w:sz w:val="18"/>
                  </w:rPr>
                  <w:t>A.</w:t>
                </w:r>
                <w:r>
                  <w:rPr>
                    <w:rFonts w:ascii="Calibri" w:hAnsi="Calibri"/>
                    <w:i/>
                    <w:color w:val="231F20"/>
                    <w:spacing w:val="-19"/>
                    <w:w w:val="90"/>
                    <w:sz w:val="18"/>
                  </w:rPr>
                  <w:t> </w:t>
                </w:r>
                <w:r>
                  <w:rPr>
                    <w:rFonts w:ascii="Calibri" w:hAnsi="Calibri"/>
                    <w:i/>
                    <w:color w:val="231F20"/>
                    <w:w w:val="90"/>
                    <w:sz w:val="18"/>
                  </w:rPr>
                  <w:t>Mejía</w:t>
                </w:r>
                <w:r>
                  <w:rPr>
                    <w:rFonts w:ascii="Calibri" w:hAnsi="Calibri"/>
                    <w:i/>
                    <w:color w:val="231F20"/>
                    <w:spacing w:val="-19"/>
                    <w:w w:val="90"/>
                    <w:sz w:val="18"/>
                  </w:rPr>
                  <w:t> </w:t>
                </w:r>
                <w:r>
                  <w:rPr>
                    <w:rFonts w:ascii="Calibri" w:hAnsi="Calibri"/>
                    <w:i/>
                    <w:color w:val="231F20"/>
                    <w:w w:val="90"/>
                    <w:sz w:val="18"/>
                  </w:rPr>
                  <w:t>Modesto,</w:t>
                </w:r>
                <w:r>
                  <w:rPr>
                    <w:rFonts w:ascii="Calibri" w:hAnsi="Calibri"/>
                    <w:i/>
                    <w:color w:val="231F20"/>
                    <w:spacing w:val="-19"/>
                    <w:w w:val="90"/>
                    <w:sz w:val="18"/>
                  </w:rPr>
                  <w:t> </w:t>
                </w:r>
                <w:r>
                  <w:rPr>
                    <w:rFonts w:ascii="Calibri" w:hAnsi="Calibri"/>
                    <w:i/>
                    <w:color w:val="231F20"/>
                    <w:w w:val="90"/>
                    <w:sz w:val="18"/>
                  </w:rPr>
                  <w:t>J.</w:t>
                </w:r>
                <w:r>
                  <w:rPr>
                    <w:rFonts w:ascii="Calibri" w:hAnsi="Calibri"/>
                    <w:i/>
                    <w:color w:val="231F20"/>
                    <w:spacing w:val="-19"/>
                    <w:w w:val="90"/>
                    <w:sz w:val="18"/>
                  </w:rPr>
                  <w:t> </w:t>
                </w:r>
                <w:r>
                  <w:rPr>
                    <w:rFonts w:ascii="Calibri" w:hAnsi="Calibri"/>
                    <w:i/>
                    <w:color w:val="231F20"/>
                    <w:w w:val="90"/>
                    <w:sz w:val="18"/>
                  </w:rPr>
                  <w:t>A.</w:t>
                </w:r>
                <w:r>
                  <w:rPr>
                    <w:rFonts w:ascii="Calibri" w:hAnsi="Calibri"/>
                    <w:i/>
                    <w:color w:val="231F20"/>
                    <w:spacing w:val="-19"/>
                    <w:w w:val="90"/>
                    <w:sz w:val="18"/>
                  </w:rPr>
                  <w:t> </w:t>
                </w:r>
                <w:r>
                  <w:rPr>
                    <w:rFonts w:ascii="Calibri" w:hAnsi="Calibri"/>
                    <w:i/>
                    <w:color w:val="231F20"/>
                    <w:w w:val="90"/>
                    <w:sz w:val="18"/>
                  </w:rPr>
                  <w:t>Soberón</w:t>
                </w:r>
                <w:r>
                  <w:rPr>
                    <w:rFonts w:ascii="Calibri" w:hAnsi="Calibri"/>
                    <w:i/>
                    <w:color w:val="231F20"/>
                    <w:spacing w:val="-19"/>
                    <w:w w:val="90"/>
                    <w:sz w:val="18"/>
                  </w:rPr>
                  <w:t> </w:t>
                </w:r>
                <w:r>
                  <w:rPr>
                    <w:rFonts w:ascii="Calibri" w:hAnsi="Calibri"/>
                    <w:i/>
                    <w:color w:val="231F20"/>
                    <w:w w:val="90"/>
                    <w:sz w:val="18"/>
                  </w:rPr>
                  <w:t>Mora</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8.425133pt;margin-top:333.209717pt;width:47.95pt;height:73.5pt;mso-position-horizontal-relative:page;mso-position-vertical-relative:page;z-index:-457336" type="#_x0000_t202" filled="false" stroked="false">
          <v:textbox inset="0,0,0,0">
            <w:txbxContent>
              <w:p>
                <w:pPr>
                  <w:spacing w:line="252" w:lineRule="auto" w:before="0"/>
                  <w:ind w:left="20" w:right="7" w:firstLine="0"/>
                  <w:jc w:val="left"/>
                  <w:rPr>
                    <w:sz w:val="17"/>
                  </w:rPr>
                </w:pPr>
                <w:r>
                  <w:rPr>
                    <w:color w:val="231F20"/>
                    <w:w w:val="110"/>
                    <w:sz w:val="17"/>
                  </w:rPr>
                  <w:t>Durango Guanajuato Guerrero Hidalgo Jalisco México Michoacán</w:t>
                </w:r>
              </w:p>
            </w:txbxContent>
          </v:textbox>
          <w10:wrap type="none"/>
        </v:shape>
      </w:pict>
    </w:r>
    <w:r>
      <w:rPr/>
      <w:pict>
        <v:shape style="position:absolute;margin-left:160.713028pt;margin-top:333.209717pt;width:19.7pt;height:73.5pt;mso-position-horizontal-relative:page;mso-position-vertical-relative:page;z-index:-457312" type="#_x0000_t202" filled="false" stroked="false">
          <v:textbox inset="0,0,0,0">
            <w:txbxContent>
              <w:p>
                <w:pPr>
                  <w:spacing w:line="194" w:lineRule="exact" w:before="0"/>
                  <w:ind w:left="20" w:right="0" w:firstLine="0"/>
                  <w:jc w:val="left"/>
                  <w:rPr>
                    <w:sz w:val="17"/>
                  </w:rPr>
                </w:pPr>
                <w:r>
                  <w:rPr>
                    <w:color w:val="231F20"/>
                    <w:w w:val="105"/>
                    <w:sz w:val="17"/>
                  </w:rPr>
                  <w:t>58.</w:t>
                </w:r>
                <w:r>
                  <w:rPr/>
                  <w:fldChar w:fldCharType="begin"/>
                </w:r>
                <w:r>
                  <w:rPr>
                    <w:color w:val="231F20"/>
                    <w:w w:val="105"/>
                    <w:sz w:val="17"/>
                  </w:rPr>
                  <w:instrText> PAGE </w:instrText>
                </w:r>
                <w:r>
                  <w:rPr/>
                  <w:fldChar w:fldCharType="separate"/>
                </w:r>
                <w:r>
                  <w:rPr/>
                  <w:t>2</w:t>
                </w:r>
                <w:r>
                  <w:rPr/>
                  <w:fldChar w:fldCharType="end"/>
                </w:r>
              </w:p>
              <w:p>
                <w:pPr>
                  <w:spacing w:before="10"/>
                  <w:ind w:left="20" w:right="0" w:firstLine="0"/>
                  <w:jc w:val="left"/>
                  <w:rPr>
                    <w:sz w:val="17"/>
                  </w:rPr>
                </w:pPr>
                <w:r>
                  <w:rPr>
                    <w:color w:val="231F20"/>
                    <w:w w:val="105"/>
                    <w:sz w:val="17"/>
                  </w:rPr>
                  <w:t>59.2</w:t>
                </w:r>
              </w:p>
              <w:p>
                <w:pPr>
                  <w:spacing w:before="10"/>
                  <w:ind w:left="20" w:right="0" w:firstLine="0"/>
                  <w:jc w:val="left"/>
                  <w:rPr>
                    <w:sz w:val="17"/>
                  </w:rPr>
                </w:pPr>
                <w:r>
                  <w:rPr>
                    <w:color w:val="231F20"/>
                    <w:w w:val="105"/>
                    <w:sz w:val="17"/>
                  </w:rPr>
                  <w:t>51.6</w:t>
                </w:r>
              </w:p>
              <w:p>
                <w:pPr>
                  <w:spacing w:before="10"/>
                  <w:ind w:left="20" w:right="0" w:firstLine="0"/>
                  <w:jc w:val="left"/>
                  <w:rPr>
                    <w:sz w:val="17"/>
                  </w:rPr>
                </w:pPr>
                <w:r>
                  <w:rPr>
                    <w:color w:val="231F20"/>
                    <w:w w:val="105"/>
                    <w:sz w:val="17"/>
                  </w:rPr>
                  <w:t>59.8</w:t>
                </w:r>
              </w:p>
              <w:p>
                <w:pPr>
                  <w:spacing w:before="10"/>
                  <w:ind w:left="20" w:right="0" w:firstLine="0"/>
                  <w:jc w:val="left"/>
                  <w:rPr>
                    <w:sz w:val="17"/>
                  </w:rPr>
                </w:pPr>
                <w:r>
                  <w:rPr>
                    <w:color w:val="231F20"/>
                    <w:w w:val="105"/>
                    <w:sz w:val="17"/>
                  </w:rPr>
                  <w:t>67.0</w:t>
                </w:r>
              </w:p>
              <w:p>
                <w:pPr>
                  <w:spacing w:before="10"/>
                  <w:ind w:left="20" w:right="0" w:firstLine="0"/>
                  <w:jc w:val="left"/>
                  <w:rPr>
                    <w:sz w:val="17"/>
                  </w:rPr>
                </w:pPr>
                <w:r>
                  <w:rPr>
                    <w:color w:val="231F20"/>
                    <w:w w:val="105"/>
                    <w:sz w:val="17"/>
                  </w:rPr>
                  <w:t>61.6</w:t>
                </w:r>
              </w:p>
              <w:p>
                <w:pPr>
                  <w:spacing w:before="10"/>
                  <w:ind w:left="20" w:right="0" w:firstLine="0"/>
                  <w:jc w:val="left"/>
                  <w:rPr>
                    <w:sz w:val="17"/>
                  </w:rPr>
                </w:pPr>
                <w:r>
                  <w:rPr>
                    <w:color w:val="231F20"/>
                    <w:w w:val="105"/>
                    <w:sz w:val="17"/>
                  </w:rPr>
                  <w:t>58.2</w:t>
                </w:r>
              </w:p>
            </w:txbxContent>
          </v:textbox>
          <w10:wrap type="none"/>
        </v:shape>
      </w:pict>
    </w:r>
    <w:r>
      <w:rPr/>
      <w:pict>
        <v:shape style="position:absolute;margin-left:201.80127pt;margin-top:333.209717pt;width:18.7pt;height:73.5pt;mso-position-horizontal-relative:page;mso-position-vertical-relative:page;z-index:-457288" type="#_x0000_t202" filled="false" stroked="false">
          <v:textbox inset="0,0,0,0">
            <w:txbxContent>
              <w:p>
                <w:pPr>
                  <w:spacing w:line="194" w:lineRule="exact" w:before="0"/>
                  <w:ind w:left="20" w:right="0" w:firstLine="0"/>
                  <w:jc w:val="left"/>
                  <w:rPr>
                    <w:sz w:val="17"/>
                  </w:rPr>
                </w:pPr>
                <w:r>
                  <w:rPr>
                    <w:color w:val="231F20"/>
                    <w:w w:val="105"/>
                    <w:sz w:val="17"/>
                  </w:rPr>
                  <w:t>31.9</w:t>
                </w:r>
              </w:p>
              <w:p>
                <w:pPr>
                  <w:spacing w:before="10"/>
                  <w:ind w:left="20" w:right="0" w:firstLine="0"/>
                  <w:jc w:val="left"/>
                  <w:rPr>
                    <w:sz w:val="17"/>
                  </w:rPr>
                </w:pPr>
                <w:r>
                  <w:rPr>
                    <w:color w:val="231F20"/>
                    <w:w w:val="105"/>
                    <w:sz w:val="17"/>
                  </w:rPr>
                  <w:t>38.2</w:t>
                </w:r>
              </w:p>
              <w:p>
                <w:pPr>
                  <w:spacing w:before="10"/>
                  <w:ind w:left="20" w:right="0" w:firstLine="0"/>
                  <w:jc w:val="left"/>
                  <w:rPr>
                    <w:sz w:val="17"/>
                  </w:rPr>
                </w:pPr>
                <w:r>
                  <w:rPr>
                    <w:color w:val="231F20"/>
                    <w:w w:val="105"/>
                    <w:sz w:val="17"/>
                  </w:rPr>
                  <w:t>39.2</w:t>
                </w:r>
              </w:p>
              <w:p>
                <w:pPr>
                  <w:spacing w:before="10"/>
                  <w:ind w:left="20" w:right="0" w:firstLine="0"/>
                  <w:jc w:val="left"/>
                  <w:rPr>
                    <w:sz w:val="17"/>
                  </w:rPr>
                </w:pPr>
                <w:r>
                  <w:rPr>
                    <w:color w:val="231F20"/>
                    <w:w w:val="105"/>
                    <w:sz w:val="17"/>
                  </w:rPr>
                  <w:t>23.8</w:t>
                </w:r>
              </w:p>
              <w:p>
                <w:pPr>
                  <w:spacing w:before="10"/>
                  <w:ind w:left="20" w:right="0" w:firstLine="0"/>
                  <w:jc w:val="left"/>
                  <w:rPr>
                    <w:sz w:val="17"/>
                  </w:rPr>
                </w:pPr>
                <w:r>
                  <w:rPr>
                    <w:color w:val="231F20"/>
                    <w:w w:val="105"/>
                    <w:sz w:val="17"/>
                  </w:rPr>
                  <w:t>28.7</w:t>
                </w:r>
              </w:p>
              <w:p>
                <w:pPr>
                  <w:spacing w:before="10"/>
                  <w:ind w:left="20" w:right="0" w:firstLine="0"/>
                  <w:jc w:val="left"/>
                  <w:rPr>
                    <w:sz w:val="17"/>
                  </w:rPr>
                </w:pPr>
                <w:r>
                  <w:rPr>
                    <w:color w:val="231F20"/>
                    <w:w w:val="105"/>
                    <w:sz w:val="17"/>
                  </w:rPr>
                  <w:t>28.1</w:t>
                </w:r>
              </w:p>
              <w:p>
                <w:pPr>
                  <w:spacing w:before="10"/>
                  <w:ind w:left="20" w:right="0" w:firstLine="0"/>
                  <w:jc w:val="left"/>
                  <w:rPr>
                    <w:sz w:val="17"/>
                  </w:rPr>
                </w:pPr>
                <w:r>
                  <w:rPr>
                    <w:color w:val="231F20"/>
                    <w:w w:val="105"/>
                    <w:sz w:val="17"/>
                  </w:rPr>
                  <w:t>37.1</w:t>
                </w:r>
              </w:p>
            </w:txbxContent>
          </v:textbox>
          <w10:wrap type="none"/>
        </v:shape>
      </w:pict>
    </w:r>
    <w:r>
      <w:rPr/>
      <w:pict>
        <v:shape style="position:absolute;margin-left:249.174667pt;margin-top:333.209717pt;width:18.7pt;height:73.5pt;mso-position-horizontal-relative:page;mso-position-vertical-relative:page;z-index:-457264" type="#_x0000_t202" filled="false" stroked="false">
          <v:textbox inset="0,0,0,0">
            <w:txbxContent>
              <w:p>
                <w:pPr>
                  <w:spacing w:line="194" w:lineRule="exact" w:before="0"/>
                  <w:ind w:left="116" w:right="0" w:firstLine="0"/>
                  <w:jc w:val="left"/>
                  <w:rPr>
                    <w:sz w:val="17"/>
                  </w:rPr>
                </w:pPr>
                <w:r>
                  <w:rPr>
                    <w:color w:val="231F20"/>
                    <w:w w:val="105"/>
                    <w:sz w:val="17"/>
                  </w:rPr>
                  <w:t>9.1</w:t>
                </w:r>
              </w:p>
              <w:p>
                <w:pPr>
                  <w:spacing w:before="10"/>
                  <w:ind w:left="116" w:right="0" w:firstLine="0"/>
                  <w:jc w:val="left"/>
                  <w:rPr>
                    <w:sz w:val="17"/>
                  </w:rPr>
                </w:pPr>
                <w:r>
                  <w:rPr>
                    <w:color w:val="231F20"/>
                    <w:w w:val="105"/>
                    <w:sz w:val="17"/>
                  </w:rPr>
                  <w:t>2.1</w:t>
                </w:r>
              </w:p>
              <w:p>
                <w:pPr>
                  <w:spacing w:before="10"/>
                  <w:ind w:left="116" w:right="0" w:firstLine="0"/>
                  <w:jc w:val="left"/>
                  <w:rPr>
                    <w:sz w:val="17"/>
                  </w:rPr>
                </w:pPr>
                <w:r>
                  <w:rPr>
                    <w:color w:val="231F20"/>
                    <w:w w:val="105"/>
                    <w:sz w:val="17"/>
                  </w:rPr>
                  <w:t>8.3</w:t>
                </w:r>
              </w:p>
              <w:p>
                <w:pPr>
                  <w:spacing w:before="10"/>
                  <w:ind w:left="20" w:right="0" w:firstLine="0"/>
                  <w:jc w:val="left"/>
                  <w:rPr>
                    <w:sz w:val="17"/>
                  </w:rPr>
                </w:pPr>
                <w:r>
                  <w:rPr>
                    <w:color w:val="231F20"/>
                    <w:w w:val="105"/>
                    <w:sz w:val="17"/>
                  </w:rPr>
                  <w:t>15.8</w:t>
                </w:r>
              </w:p>
              <w:p>
                <w:pPr>
                  <w:spacing w:before="10"/>
                  <w:ind w:left="116" w:right="0" w:firstLine="0"/>
                  <w:jc w:val="left"/>
                  <w:rPr>
                    <w:sz w:val="17"/>
                  </w:rPr>
                </w:pPr>
                <w:r>
                  <w:rPr>
                    <w:color w:val="231F20"/>
                    <w:w w:val="105"/>
                    <w:sz w:val="17"/>
                  </w:rPr>
                  <w:t>3.9</w:t>
                </w:r>
              </w:p>
              <w:p>
                <w:pPr>
                  <w:spacing w:before="10"/>
                  <w:ind w:left="116" w:right="0" w:firstLine="0"/>
                  <w:jc w:val="left"/>
                  <w:rPr>
                    <w:sz w:val="17"/>
                  </w:rPr>
                </w:pPr>
                <w:r>
                  <w:rPr>
                    <w:color w:val="231F20"/>
                    <w:w w:val="105"/>
                    <w:sz w:val="17"/>
                  </w:rPr>
                  <w:t>9.8</w:t>
                </w:r>
              </w:p>
              <w:p>
                <w:pPr>
                  <w:spacing w:before="10"/>
                  <w:ind w:left="116" w:right="0" w:firstLine="0"/>
                  <w:jc w:val="left"/>
                  <w:rPr>
                    <w:sz w:val="17"/>
                  </w:rPr>
                </w:pPr>
                <w:r>
                  <w:rPr>
                    <w:color w:val="231F20"/>
                    <w:w w:val="105"/>
                    <w:sz w:val="17"/>
                  </w:rPr>
                  <w:t>4.2</w:t>
                </w:r>
              </w:p>
            </w:txbxContent>
          </v:textbox>
          <w10:wrap type="none"/>
        </v:shape>
      </w:pict>
    </w:r>
    <w:r>
      <w:rPr/>
      <w:pict>
        <v:shape style="position:absolute;margin-left:305.025787pt;margin-top:333.209717pt;width:13.85pt;height:73.5pt;mso-position-horizontal-relative:page;mso-position-vertical-relative:page;z-index:-457240" type="#_x0000_t202" filled="false" stroked="false">
          <v:textbox inset="0,0,0,0">
            <w:txbxContent>
              <w:p>
                <w:pPr>
                  <w:spacing w:line="194" w:lineRule="exact" w:before="0"/>
                  <w:ind w:left="20" w:right="0" w:firstLine="0"/>
                  <w:jc w:val="left"/>
                  <w:rPr>
                    <w:sz w:val="17"/>
                  </w:rPr>
                </w:pPr>
                <w:r>
                  <w:rPr>
                    <w:color w:val="231F20"/>
                    <w:w w:val="105"/>
                    <w:sz w:val="17"/>
                  </w:rPr>
                  <w:t>0.9</w:t>
                </w:r>
              </w:p>
              <w:p>
                <w:pPr>
                  <w:spacing w:before="10"/>
                  <w:ind w:left="20" w:right="0" w:firstLine="0"/>
                  <w:jc w:val="left"/>
                  <w:rPr>
                    <w:sz w:val="17"/>
                  </w:rPr>
                </w:pPr>
                <w:r>
                  <w:rPr>
                    <w:color w:val="231F20"/>
                    <w:w w:val="105"/>
                    <w:sz w:val="17"/>
                  </w:rPr>
                  <w:t>0.5</w:t>
                </w:r>
              </w:p>
              <w:p>
                <w:pPr>
                  <w:spacing w:before="10"/>
                  <w:ind w:left="20" w:right="0" w:firstLine="0"/>
                  <w:jc w:val="left"/>
                  <w:rPr>
                    <w:sz w:val="17"/>
                  </w:rPr>
                </w:pPr>
                <w:r>
                  <w:rPr>
                    <w:color w:val="231F20"/>
                    <w:w w:val="105"/>
                    <w:sz w:val="17"/>
                  </w:rPr>
                  <w:t>1.0</w:t>
                </w:r>
              </w:p>
              <w:p>
                <w:pPr>
                  <w:spacing w:before="10"/>
                  <w:ind w:left="20" w:right="0" w:firstLine="0"/>
                  <w:jc w:val="left"/>
                  <w:rPr>
                    <w:sz w:val="17"/>
                  </w:rPr>
                </w:pPr>
                <w:r>
                  <w:rPr>
                    <w:color w:val="231F20"/>
                    <w:w w:val="105"/>
                    <w:sz w:val="17"/>
                  </w:rPr>
                  <w:t>0.6</w:t>
                </w:r>
              </w:p>
              <w:p>
                <w:pPr>
                  <w:spacing w:before="10"/>
                  <w:ind w:left="20" w:right="0" w:firstLine="0"/>
                  <w:jc w:val="left"/>
                  <w:rPr>
                    <w:sz w:val="17"/>
                  </w:rPr>
                </w:pPr>
                <w:r>
                  <w:rPr>
                    <w:color w:val="231F20"/>
                    <w:w w:val="105"/>
                    <w:sz w:val="17"/>
                  </w:rPr>
                  <w:t>0.5</w:t>
                </w:r>
              </w:p>
              <w:p>
                <w:pPr>
                  <w:spacing w:before="10"/>
                  <w:ind w:left="20" w:right="0" w:firstLine="0"/>
                  <w:jc w:val="left"/>
                  <w:rPr>
                    <w:sz w:val="17"/>
                  </w:rPr>
                </w:pPr>
                <w:r>
                  <w:rPr>
                    <w:color w:val="231F20"/>
                    <w:w w:val="105"/>
                    <w:sz w:val="17"/>
                  </w:rPr>
                  <w:t>0.5</w:t>
                </w:r>
              </w:p>
              <w:p>
                <w:pPr>
                  <w:spacing w:before="10"/>
                  <w:ind w:left="20" w:right="0" w:firstLine="0"/>
                  <w:jc w:val="left"/>
                  <w:rPr>
                    <w:sz w:val="17"/>
                  </w:rPr>
                </w:pPr>
                <w:r>
                  <w:rPr>
                    <w:color w:val="231F20"/>
                    <w:w w:val="105"/>
                    <w:sz w:val="17"/>
                  </w:rPr>
                  <w:t>0.6</w:t>
                </w:r>
              </w:p>
            </w:txbxContent>
          </v:textbox>
          <w10:wrap type="none"/>
        </v:shape>
      </w:pict>
    </w:r>
    <w:r>
      <w:rPr/>
      <w:pict>
        <v:shape style="position:absolute;margin-left:350.147278pt;margin-top:333.209717pt;width:16.45pt;height:73.5pt;mso-position-horizontal-relative:page;mso-position-vertical-relative:page;z-index:-457216" type="#_x0000_t202" filled="false" stroked="false">
          <v:textbox inset="0,0,0,0">
            <w:txbxContent>
              <w:p>
                <w:pPr>
                  <w:spacing w:line="194" w:lineRule="exact" w:before="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txbxContent>
          </v:textbox>
          <w10:wrap type="none"/>
        </v:shape>
      </w:pict>
    </w:r>
    <w:r>
      <w:rPr/>
      <w:pict>
        <v:shape style="position:absolute;margin-left:388.938812pt;margin-top:333.209717pt;width:18.7pt;height:73.5pt;mso-position-horizontal-relative:page;mso-position-vertical-relative:page;z-index:-457192" type="#_x0000_t202" filled="false" stroked="false">
          <v:textbox inset="0,0,0,0">
            <w:txbxContent>
              <w:p>
                <w:pPr>
                  <w:spacing w:line="194" w:lineRule="exact" w:before="0"/>
                  <w:ind w:left="20" w:right="0" w:firstLine="0"/>
                  <w:jc w:val="left"/>
                  <w:rPr>
                    <w:sz w:val="17"/>
                  </w:rPr>
                </w:pPr>
                <w:r>
                  <w:rPr>
                    <w:color w:val="231F20"/>
                    <w:w w:val="105"/>
                    <w:sz w:val="17"/>
                  </w:rPr>
                  <w:t>61.2</w:t>
                </w:r>
              </w:p>
              <w:p>
                <w:pPr>
                  <w:spacing w:before="10"/>
                  <w:ind w:left="20" w:right="0" w:firstLine="0"/>
                  <w:jc w:val="left"/>
                  <w:rPr>
                    <w:sz w:val="17"/>
                  </w:rPr>
                </w:pPr>
                <w:r>
                  <w:rPr>
                    <w:color w:val="231F20"/>
                    <w:w w:val="105"/>
                    <w:sz w:val="17"/>
                  </w:rPr>
                  <w:t>60.3</w:t>
                </w:r>
              </w:p>
              <w:p>
                <w:pPr>
                  <w:spacing w:before="10"/>
                  <w:ind w:left="20" w:right="0" w:firstLine="0"/>
                  <w:jc w:val="left"/>
                  <w:rPr>
                    <w:sz w:val="17"/>
                  </w:rPr>
                </w:pPr>
                <w:r>
                  <w:rPr>
                    <w:color w:val="231F20"/>
                    <w:w w:val="105"/>
                    <w:sz w:val="17"/>
                  </w:rPr>
                  <w:t>57.5</w:t>
                </w:r>
              </w:p>
              <w:p>
                <w:pPr>
                  <w:spacing w:before="10"/>
                  <w:ind w:left="20" w:right="0" w:firstLine="0"/>
                  <w:jc w:val="left"/>
                  <w:rPr>
                    <w:sz w:val="17"/>
                  </w:rPr>
                </w:pPr>
                <w:r>
                  <w:rPr>
                    <w:color w:val="231F20"/>
                    <w:w w:val="105"/>
                    <w:sz w:val="17"/>
                  </w:rPr>
                  <w:t>64.4</w:t>
                </w:r>
              </w:p>
              <w:p>
                <w:pPr>
                  <w:spacing w:before="10"/>
                  <w:ind w:left="20" w:right="0" w:firstLine="0"/>
                  <w:jc w:val="left"/>
                  <w:rPr>
                    <w:sz w:val="17"/>
                  </w:rPr>
                </w:pPr>
                <w:r>
                  <w:rPr>
                    <w:color w:val="231F20"/>
                    <w:w w:val="105"/>
                    <w:sz w:val="17"/>
                  </w:rPr>
                  <w:t>68.8</w:t>
                </w:r>
              </w:p>
              <w:p>
                <w:pPr>
                  <w:spacing w:before="10"/>
                  <w:ind w:left="20" w:right="0" w:firstLine="0"/>
                  <w:jc w:val="left"/>
                  <w:rPr>
                    <w:sz w:val="17"/>
                  </w:rPr>
                </w:pPr>
                <w:r>
                  <w:rPr>
                    <w:color w:val="231F20"/>
                    <w:w w:val="105"/>
                    <w:sz w:val="17"/>
                  </w:rPr>
                  <w:t>64.8</w:t>
                </w:r>
              </w:p>
              <w:p>
                <w:pPr>
                  <w:spacing w:before="10"/>
                  <w:ind w:left="20" w:right="0" w:firstLine="0"/>
                  <w:jc w:val="left"/>
                  <w:rPr>
                    <w:sz w:val="17"/>
                  </w:rPr>
                </w:pPr>
                <w:r>
                  <w:rPr>
                    <w:color w:val="231F20"/>
                    <w:w w:val="105"/>
                    <w:sz w:val="17"/>
                  </w:rPr>
                  <w:t>60.0</w:t>
                </w:r>
              </w:p>
            </w:txbxContent>
          </v:textbox>
          <w10:wrap type="none"/>
        </v:shape>
      </w:pict>
    </w:r>
    <w:r>
      <w:rPr/>
      <w:pict>
        <v:shape style="position:absolute;margin-left:429.41452pt;margin-top:333.209717pt;width:18.7pt;height:73.5pt;mso-position-horizontal-relative:page;mso-position-vertical-relative:page;z-index:-457168" type="#_x0000_t202" filled="false" stroked="false">
          <v:textbox inset="0,0,0,0">
            <w:txbxContent>
              <w:p>
                <w:pPr>
                  <w:spacing w:line="194" w:lineRule="exact" w:before="0"/>
                  <w:ind w:left="20" w:right="0" w:firstLine="0"/>
                  <w:jc w:val="left"/>
                  <w:rPr>
                    <w:sz w:val="17"/>
                  </w:rPr>
                </w:pPr>
                <w:r>
                  <w:rPr>
                    <w:color w:val="231F20"/>
                    <w:w w:val="105"/>
                    <w:sz w:val="17"/>
                  </w:rPr>
                  <w:t>17.1</w:t>
                </w:r>
              </w:p>
              <w:p>
                <w:pPr>
                  <w:spacing w:before="10"/>
                  <w:ind w:left="20" w:right="0" w:firstLine="0"/>
                  <w:jc w:val="left"/>
                  <w:rPr>
                    <w:sz w:val="17"/>
                  </w:rPr>
                </w:pPr>
                <w:r>
                  <w:rPr>
                    <w:color w:val="231F20"/>
                    <w:w w:val="105"/>
                    <w:sz w:val="17"/>
                  </w:rPr>
                  <w:t>23.4</w:t>
                </w:r>
              </w:p>
              <w:p>
                <w:pPr>
                  <w:spacing w:before="10"/>
                  <w:ind w:left="20" w:right="0" w:firstLine="0"/>
                  <w:jc w:val="left"/>
                  <w:rPr>
                    <w:sz w:val="17"/>
                  </w:rPr>
                </w:pPr>
                <w:r>
                  <w:rPr>
                    <w:color w:val="231F20"/>
                    <w:w w:val="105"/>
                    <w:sz w:val="17"/>
                  </w:rPr>
                  <w:t>25.4</w:t>
                </w:r>
              </w:p>
              <w:p>
                <w:pPr>
                  <w:spacing w:before="10"/>
                  <w:ind w:left="20" w:right="0" w:firstLine="0"/>
                  <w:jc w:val="left"/>
                  <w:rPr>
                    <w:sz w:val="17"/>
                  </w:rPr>
                </w:pPr>
                <w:r>
                  <w:rPr>
                    <w:color w:val="231F20"/>
                    <w:w w:val="105"/>
                    <w:sz w:val="17"/>
                  </w:rPr>
                  <w:t>10.1</w:t>
                </w:r>
              </w:p>
              <w:p>
                <w:pPr>
                  <w:spacing w:before="10"/>
                  <w:ind w:left="20" w:right="0" w:firstLine="0"/>
                  <w:jc w:val="left"/>
                  <w:rPr>
                    <w:sz w:val="17"/>
                  </w:rPr>
                </w:pPr>
                <w:r>
                  <w:rPr>
                    <w:color w:val="231F20"/>
                    <w:w w:val="105"/>
                    <w:sz w:val="17"/>
                  </w:rPr>
                  <w:t>14.4</w:t>
                </w:r>
              </w:p>
              <w:p>
                <w:pPr>
                  <w:spacing w:before="10"/>
                  <w:ind w:left="20" w:right="0" w:firstLine="0"/>
                  <w:jc w:val="left"/>
                  <w:rPr>
                    <w:sz w:val="17"/>
                  </w:rPr>
                </w:pPr>
                <w:r>
                  <w:rPr>
                    <w:color w:val="231F20"/>
                    <w:w w:val="105"/>
                    <w:sz w:val="17"/>
                  </w:rPr>
                  <w:t>12.0</w:t>
                </w:r>
              </w:p>
              <w:p>
                <w:pPr>
                  <w:spacing w:before="10"/>
                  <w:ind w:left="20" w:right="0" w:firstLine="0"/>
                  <w:jc w:val="left"/>
                  <w:rPr>
                    <w:sz w:val="17"/>
                  </w:rPr>
                </w:pPr>
                <w:r>
                  <w:rPr>
                    <w:color w:val="231F20"/>
                    <w:w w:val="105"/>
                    <w:sz w:val="17"/>
                  </w:rPr>
                  <w:t>23.2</w:t>
                </w:r>
              </w:p>
            </w:txbxContent>
          </v:textbox>
          <w10:wrap type="none"/>
        </v:shape>
      </w:pict>
    </w:r>
    <w:r>
      <w:rPr/>
      <w:pict>
        <v:shape style="position:absolute;margin-left:476.052063pt;margin-top:333.209717pt;width:18.7pt;height:73.5pt;mso-position-horizontal-relative:page;mso-position-vertical-relative:page;z-index:-457144" type="#_x0000_t202" filled="false" stroked="false">
          <v:textbox inset="0,0,0,0">
            <w:txbxContent>
              <w:p>
                <w:pPr>
                  <w:spacing w:line="194" w:lineRule="exact" w:before="0"/>
                  <w:ind w:left="20" w:right="0" w:firstLine="0"/>
                  <w:jc w:val="left"/>
                  <w:rPr>
                    <w:sz w:val="17"/>
                  </w:rPr>
                </w:pPr>
                <w:r>
                  <w:rPr>
                    <w:color w:val="231F20"/>
                    <w:w w:val="105"/>
                    <w:sz w:val="17"/>
                  </w:rPr>
                  <w:t>20.1</w:t>
                </w:r>
              </w:p>
              <w:p>
                <w:pPr>
                  <w:spacing w:before="10"/>
                  <w:ind w:left="20" w:right="0" w:firstLine="0"/>
                  <w:jc w:val="left"/>
                  <w:rPr>
                    <w:sz w:val="17"/>
                  </w:rPr>
                </w:pPr>
                <w:r>
                  <w:rPr>
                    <w:color w:val="231F20"/>
                    <w:w w:val="105"/>
                    <w:sz w:val="17"/>
                  </w:rPr>
                  <w:t>15.1</w:t>
                </w:r>
              </w:p>
              <w:p>
                <w:pPr>
                  <w:spacing w:before="10"/>
                  <w:ind w:left="20" w:right="0" w:firstLine="0"/>
                  <w:jc w:val="left"/>
                  <w:rPr>
                    <w:sz w:val="17"/>
                  </w:rPr>
                </w:pPr>
                <w:r>
                  <w:rPr>
                    <w:color w:val="231F20"/>
                    <w:w w:val="105"/>
                    <w:sz w:val="17"/>
                  </w:rPr>
                  <w:t>15.7</w:t>
                </w:r>
              </w:p>
              <w:p>
                <w:pPr>
                  <w:spacing w:before="10"/>
                  <w:ind w:left="20" w:right="0" w:firstLine="0"/>
                  <w:jc w:val="left"/>
                  <w:rPr>
                    <w:sz w:val="17"/>
                  </w:rPr>
                </w:pPr>
                <w:r>
                  <w:rPr>
                    <w:color w:val="231F20"/>
                    <w:w w:val="105"/>
                    <w:sz w:val="17"/>
                  </w:rPr>
                  <w:t>24.6</w:t>
                </w:r>
              </w:p>
              <w:p>
                <w:pPr>
                  <w:spacing w:before="10"/>
                  <w:ind w:left="20" w:right="0" w:firstLine="0"/>
                  <w:jc w:val="left"/>
                  <w:rPr>
                    <w:sz w:val="17"/>
                  </w:rPr>
                </w:pPr>
                <w:r>
                  <w:rPr>
                    <w:color w:val="231F20"/>
                    <w:w w:val="105"/>
                    <w:sz w:val="17"/>
                  </w:rPr>
                  <w:t>15.6</w:t>
                </w:r>
              </w:p>
              <w:p>
                <w:pPr>
                  <w:spacing w:before="10"/>
                  <w:ind w:left="20" w:right="0" w:firstLine="0"/>
                  <w:jc w:val="left"/>
                  <w:rPr>
                    <w:sz w:val="17"/>
                  </w:rPr>
                </w:pPr>
                <w:r>
                  <w:rPr>
                    <w:color w:val="231F20"/>
                    <w:w w:val="105"/>
                    <w:sz w:val="17"/>
                  </w:rPr>
                  <w:t>21.8</w:t>
                </w:r>
              </w:p>
              <w:p>
                <w:pPr>
                  <w:spacing w:before="10"/>
                  <w:ind w:left="20" w:right="0" w:firstLine="0"/>
                  <w:jc w:val="left"/>
                  <w:rPr>
                    <w:sz w:val="17"/>
                  </w:rPr>
                </w:pPr>
                <w:r>
                  <w:rPr>
                    <w:color w:val="231F20"/>
                    <w:w w:val="105"/>
                    <w:sz w:val="17"/>
                  </w:rPr>
                  <w:t>15.6</w:t>
                </w:r>
              </w:p>
            </w:txbxContent>
          </v:textbox>
          <w10:wrap type="none"/>
        </v:shape>
      </w:pict>
    </w:r>
    <w:r>
      <w:rPr/>
      <w:pict>
        <v:shape style="position:absolute;margin-left:529.714966pt;margin-top:333.209717pt;width:13.85pt;height:73.5pt;mso-position-horizontal-relative:page;mso-position-vertical-relative:page;z-index:-457120" type="#_x0000_t202" filled="false" stroked="false">
          <v:textbox inset="0,0,0,0">
            <w:txbxContent>
              <w:p>
                <w:pPr>
                  <w:spacing w:line="194" w:lineRule="exact" w:before="0"/>
                  <w:ind w:left="20" w:right="0" w:firstLine="0"/>
                  <w:jc w:val="left"/>
                  <w:rPr>
                    <w:sz w:val="17"/>
                  </w:rPr>
                </w:pPr>
                <w:r>
                  <w:rPr>
                    <w:color w:val="231F20"/>
                    <w:w w:val="105"/>
                    <w:sz w:val="17"/>
                  </w:rPr>
                  <w:t>1.6</w:t>
                </w:r>
              </w:p>
              <w:p>
                <w:pPr>
                  <w:spacing w:before="10"/>
                  <w:ind w:left="20" w:right="0" w:firstLine="0"/>
                  <w:jc w:val="left"/>
                  <w:rPr>
                    <w:sz w:val="17"/>
                  </w:rPr>
                </w:pPr>
                <w:r>
                  <w:rPr>
                    <w:color w:val="231F20"/>
                    <w:w w:val="105"/>
                    <w:sz w:val="17"/>
                  </w:rPr>
                  <w:t>1.1</w:t>
                </w:r>
              </w:p>
              <w:p>
                <w:pPr>
                  <w:spacing w:before="10"/>
                  <w:ind w:left="20" w:right="0" w:firstLine="0"/>
                  <w:jc w:val="left"/>
                  <w:rPr>
                    <w:sz w:val="17"/>
                  </w:rPr>
                </w:pPr>
                <w:r>
                  <w:rPr>
                    <w:color w:val="231F20"/>
                    <w:w w:val="105"/>
                    <w:sz w:val="17"/>
                  </w:rPr>
                  <w:t>1.4</w:t>
                </w:r>
              </w:p>
              <w:p>
                <w:pPr>
                  <w:spacing w:before="10"/>
                  <w:ind w:left="20" w:right="0" w:firstLine="0"/>
                  <w:jc w:val="left"/>
                  <w:rPr>
                    <w:sz w:val="17"/>
                  </w:rPr>
                </w:pPr>
                <w:r>
                  <w:rPr>
                    <w:color w:val="231F20"/>
                    <w:w w:val="105"/>
                    <w:sz w:val="17"/>
                  </w:rPr>
                  <w:t>1.0</w:t>
                </w:r>
              </w:p>
              <w:p>
                <w:pPr>
                  <w:spacing w:before="10"/>
                  <w:ind w:left="20" w:right="0" w:firstLine="0"/>
                  <w:jc w:val="left"/>
                  <w:rPr>
                    <w:sz w:val="17"/>
                  </w:rPr>
                </w:pPr>
                <w:r>
                  <w:rPr>
                    <w:color w:val="231F20"/>
                    <w:w w:val="105"/>
                    <w:sz w:val="17"/>
                  </w:rPr>
                  <w:t>1.1</w:t>
                </w:r>
              </w:p>
              <w:p>
                <w:pPr>
                  <w:spacing w:before="10"/>
                  <w:ind w:left="20" w:right="0" w:firstLine="0"/>
                  <w:jc w:val="left"/>
                  <w:rPr>
                    <w:sz w:val="17"/>
                  </w:rPr>
                </w:pPr>
                <w:r>
                  <w:rPr>
                    <w:color w:val="231F20"/>
                    <w:w w:val="105"/>
                    <w:sz w:val="17"/>
                  </w:rPr>
                  <w:t>1.5</w:t>
                </w:r>
              </w:p>
              <w:p>
                <w:pPr>
                  <w:spacing w:before="10"/>
                  <w:ind w:left="20" w:right="0" w:firstLine="0"/>
                  <w:jc w:val="left"/>
                  <w:rPr>
                    <w:sz w:val="17"/>
                  </w:rPr>
                </w:pPr>
                <w:r>
                  <w:rPr>
                    <w:color w:val="231F20"/>
                    <w:w w:val="105"/>
                    <w:sz w:val="17"/>
                  </w:rPr>
                  <w:t>1.3</w:t>
                </w:r>
              </w:p>
            </w:txbxContent>
          </v:textbox>
          <w10:wrap type="none"/>
        </v:shape>
      </w:pict>
    </w:r>
    <w:r>
      <w:rPr/>
      <w:pict>
        <v:shape style="position:absolute;margin-left:570.886475pt;margin-top:333.209717pt;width:16.45pt;height:73.5pt;mso-position-horizontal-relative:page;mso-position-vertical-relative:page;z-index:-457096" type="#_x0000_t202" filled="false" stroked="false">
          <v:textbox inset="0,0,0,0">
            <w:txbxContent>
              <w:p>
                <w:pPr>
                  <w:spacing w:line="194" w:lineRule="exact" w:before="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8.92173pt;margin-top:333.209656pt;width:47.95pt;height:73.5pt;mso-position-horizontal-relative:page;mso-position-vertical-relative:page;z-index:-457072" type="#_x0000_t202" filled="false" stroked="false">
          <v:textbox inset="0,0,0,0">
            <w:txbxContent>
              <w:p>
                <w:pPr>
                  <w:spacing w:line="252" w:lineRule="auto" w:before="0"/>
                  <w:ind w:left="20" w:right="7" w:firstLine="0"/>
                  <w:jc w:val="left"/>
                  <w:rPr>
                    <w:sz w:val="17"/>
                  </w:rPr>
                </w:pPr>
                <w:r>
                  <w:rPr>
                    <w:color w:val="231F20"/>
                    <w:w w:val="110"/>
                    <w:sz w:val="17"/>
                  </w:rPr>
                  <w:t>Durango Guanajuato Guerrero Hidalgo Jalisco México Michoacán</w:t>
                </w:r>
              </w:p>
            </w:txbxContent>
          </v:textbox>
          <w10:wrap type="none"/>
        </v:shape>
      </w:pict>
    </w:r>
    <w:r>
      <w:rPr/>
      <w:pict>
        <v:shape style="position:absolute;margin-left:163.547302pt;margin-top:333.209656pt;width:18.7pt;height:73.5pt;mso-position-horizontal-relative:page;mso-position-vertical-relative:page;z-index:-457048" type="#_x0000_t202" filled="false" stroked="false">
          <v:textbox inset="0,0,0,0">
            <w:txbxContent>
              <w:p>
                <w:pPr>
                  <w:spacing w:line="194" w:lineRule="exact" w:before="0"/>
                  <w:ind w:left="20" w:right="0" w:firstLine="0"/>
                  <w:jc w:val="left"/>
                  <w:rPr>
                    <w:sz w:val="17"/>
                  </w:rPr>
                </w:pPr>
                <w:r>
                  <w:rPr>
                    <w:color w:val="231F20"/>
                    <w:w w:val="105"/>
                    <w:sz w:val="17"/>
                  </w:rPr>
                  <w:t>42.0</w:t>
                </w:r>
              </w:p>
              <w:p>
                <w:pPr>
                  <w:spacing w:before="10"/>
                  <w:ind w:left="20" w:right="0" w:firstLine="0"/>
                  <w:jc w:val="left"/>
                  <w:rPr>
                    <w:sz w:val="17"/>
                  </w:rPr>
                </w:pPr>
                <w:r>
                  <w:rPr>
                    <w:color w:val="231F20"/>
                    <w:w w:val="105"/>
                    <w:sz w:val="17"/>
                  </w:rPr>
                  <w:t>48.9</w:t>
                </w:r>
              </w:p>
              <w:p>
                <w:pPr>
                  <w:spacing w:before="10"/>
                  <w:ind w:left="20" w:right="0" w:firstLine="0"/>
                  <w:jc w:val="left"/>
                  <w:rPr>
                    <w:sz w:val="17"/>
                  </w:rPr>
                </w:pPr>
                <w:r>
                  <w:rPr>
                    <w:color w:val="231F20"/>
                    <w:w w:val="105"/>
                    <w:sz w:val="17"/>
                  </w:rPr>
                  <w:t>34.3</w:t>
                </w:r>
              </w:p>
              <w:p>
                <w:pPr>
                  <w:spacing w:before="10"/>
                  <w:ind w:left="20" w:right="0" w:firstLine="0"/>
                  <w:jc w:val="left"/>
                  <w:rPr>
                    <w:sz w:val="17"/>
                  </w:rPr>
                </w:pPr>
                <w:r>
                  <w:rPr>
                    <w:color w:val="231F20"/>
                    <w:w w:val="105"/>
                    <w:sz w:val="17"/>
                  </w:rPr>
                  <w:t>38.5</w:t>
                </w:r>
              </w:p>
              <w:p>
                <w:pPr>
                  <w:spacing w:before="10"/>
                  <w:ind w:left="20" w:right="0" w:firstLine="0"/>
                  <w:jc w:val="left"/>
                  <w:rPr>
                    <w:sz w:val="17"/>
                  </w:rPr>
                </w:pPr>
                <w:r>
                  <w:rPr>
                    <w:color w:val="231F20"/>
                    <w:w w:val="105"/>
                    <w:sz w:val="17"/>
                  </w:rPr>
                  <w:t>54.4</w:t>
                </w:r>
              </w:p>
              <w:p>
                <w:pPr>
                  <w:spacing w:before="10"/>
                  <w:ind w:left="20" w:right="0" w:firstLine="0"/>
                  <w:jc w:val="left"/>
                  <w:rPr>
                    <w:sz w:val="17"/>
                  </w:rPr>
                </w:pPr>
                <w:r>
                  <w:rPr>
                    <w:color w:val="231F20"/>
                    <w:w w:val="105"/>
                    <w:sz w:val="17"/>
                  </w:rPr>
                  <w:t>45.7</w:t>
                </w:r>
              </w:p>
              <w:p>
                <w:pPr>
                  <w:spacing w:before="10"/>
                  <w:ind w:left="20" w:right="0" w:firstLine="0"/>
                  <w:jc w:val="left"/>
                  <w:rPr>
                    <w:sz w:val="17"/>
                  </w:rPr>
                </w:pPr>
                <w:r>
                  <w:rPr>
                    <w:color w:val="231F20"/>
                    <w:w w:val="105"/>
                    <w:sz w:val="17"/>
                  </w:rPr>
                  <w:t>45.7</w:t>
                </w:r>
              </w:p>
            </w:txbxContent>
          </v:textbox>
          <w10:wrap type="none"/>
        </v:shape>
      </w:pict>
    </w:r>
    <w:r>
      <w:rPr/>
      <w:pict>
        <v:shape style="position:absolute;margin-left:203.04776pt;margin-top:333.209656pt;width:19.7pt;height:73.5pt;mso-position-horizontal-relative:page;mso-position-vertical-relative:page;z-index:-457024" type="#_x0000_t202" filled="false" stroked="false">
          <v:textbox inset="0,0,0,0">
            <w:txbxContent>
              <w:p>
                <w:pPr>
                  <w:spacing w:line="194" w:lineRule="exact" w:before="0"/>
                  <w:ind w:left="40" w:right="0" w:firstLine="0"/>
                  <w:jc w:val="left"/>
                  <w:rPr>
                    <w:sz w:val="17"/>
                  </w:rPr>
                </w:pPr>
                <w:r>
                  <w:rPr/>
                  <w:fldChar w:fldCharType="begin"/>
                </w:r>
                <w:r>
                  <w:rPr>
                    <w:color w:val="231F20"/>
                    <w:w w:val="105"/>
                    <w:sz w:val="17"/>
                  </w:rPr>
                  <w:instrText> PAGE </w:instrText>
                </w:r>
                <w:r>
                  <w:rPr/>
                  <w:fldChar w:fldCharType="separate"/>
                </w:r>
                <w:r>
                  <w:rPr/>
                  <w:t>4</w:t>
                </w:r>
                <w:r>
                  <w:rPr/>
                  <w:fldChar w:fldCharType="end"/>
                </w:r>
                <w:r>
                  <w:rPr>
                    <w:color w:val="231F20"/>
                    <w:w w:val="105"/>
                    <w:sz w:val="17"/>
                  </w:rPr>
                  <w:t>4.9</w:t>
                </w:r>
              </w:p>
              <w:p>
                <w:pPr>
                  <w:spacing w:before="10"/>
                  <w:ind w:left="39" w:right="0" w:firstLine="0"/>
                  <w:jc w:val="left"/>
                  <w:rPr>
                    <w:sz w:val="17"/>
                  </w:rPr>
                </w:pPr>
                <w:r>
                  <w:rPr>
                    <w:color w:val="231F20"/>
                    <w:w w:val="105"/>
                    <w:sz w:val="17"/>
                  </w:rPr>
                  <w:t>47.6</w:t>
                </w:r>
              </w:p>
              <w:p>
                <w:pPr>
                  <w:spacing w:before="10"/>
                  <w:ind w:left="39" w:right="0" w:firstLine="0"/>
                  <w:jc w:val="left"/>
                  <w:rPr>
                    <w:sz w:val="17"/>
                  </w:rPr>
                </w:pPr>
                <w:r>
                  <w:rPr>
                    <w:color w:val="231F20"/>
                    <w:w w:val="105"/>
                    <w:sz w:val="17"/>
                  </w:rPr>
                  <w:t>52.3</w:t>
                </w:r>
              </w:p>
              <w:p>
                <w:pPr>
                  <w:spacing w:before="10"/>
                  <w:ind w:left="39" w:right="0" w:firstLine="0"/>
                  <w:jc w:val="left"/>
                  <w:rPr>
                    <w:sz w:val="17"/>
                  </w:rPr>
                </w:pPr>
                <w:r>
                  <w:rPr>
                    <w:color w:val="231F20"/>
                    <w:w w:val="105"/>
                    <w:sz w:val="17"/>
                  </w:rPr>
                  <w:t>38.1</w:t>
                </w:r>
              </w:p>
              <w:p>
                <w:pPr>
                  <w:spacing w:before="10"/>
                  <w:ind w:left="39" w:right="0" w:firstLine="0"/>
                  <w:jc w:val="left"/>
                  <w:rPr>
                    <w:sz w:val="17"/>
                  </w:rPr>
                </w:pPr>
                <w:r>
                  <w:rPr>
                    <w:color w:val="231F20"/>
                    <w:w w:val="105"/>
                    <w:sz w:val="17"/>
                  </w:rPr>
                  <w:t>40.0</w:t>
                </w:r>
              </w:p>
              <w:p>
                <w:pPr>
                  <w:spacing w:before="10"/>
                  <w:ind w:left="39" w:right="0" w:firstLine="0"/>
                  <w:jc w:val="left"/>
                  <w:rPr>
                    <w:sz w:val="17"/>
                  </w:rPr>
                </w:pPr>
                <w:r>
                  <w:rPr>
                    <w:color w:val="231F20"/>
                    <w:w w:val="105"/>
                    <w:sz w:val="17"/>
                  </w:rPr>
                  <w:t>40.4</w:t>
                </w:r>
              </w:p>
              <w:p>
                <w:pPr>
                  <w:spacing w:before="10"/>
                  <w:ind w:left="39" w:right="0" w:firstLine="0"/>
                  <w:jc w:val="left"/>
                  <w:rPr>
                    <w:sz w:val="17"/>
                  </w:rPr>
                </w:pPr>
                <w:r>
                  <w:rPr>
                    <w:color w:val="231F20"/>
                    <w:w w:val="105"/>
                    <w:sz w:val="17"/>
                  </w:rPr>
                  <w:t>47.8</w:t>
                </w:r>
              </w:p>
            </w:txbxContent>
          </v:textbox>
          <w10:wrap type="none"/>
        </v:shape>
      </w:pict>
    </w:r>
    <w:r>
      <w:rPr/>
      <w:pict>
        <v:shape style="position:absolute;margin-left:252.698013pt;margin-top:333.209656pt;width:18.7pt;height:73.5pt;mso-position-horizontal-relative:page;mso-position-vertical-relative:page;z-index:-457000" type="#_x0000_t202" filled="false" stroked="false">
          <v:textbox inset="0,0,0,0">
            <w:txbxContent>
              <w:p>
                <w:pPr>
                  <w:spacing w:line="194" w:lineRule="exact" w:before="0"/>
                  <w:ind w:left="20" w:right="0" w:firstLine="0"/>
                  <w:jc w:val="left"/>
                  <w:rPr>
                    <w:sz w:val="17"/>
                  </w:rPr>
                </w:pPr>
                <w:r>
                  <w:rPr>
                    <w:color w:val="231F20"/>
                    <w:w w:val="105"/>
                    <w:sz w:val="17"/>
                  </w:rPr>
                  <w:t>10.1</w:t>
                </w:r>
              </w:p>
              <w:p>
                <w:pPr>
                  <w:spacing w:before="10"/>
                  <w:ind w:left="116" w:right="0" w:firstLine="0"/>
                  <w:jc w:val="left"/>
                  <w:rPr>
                    <w:sz w:val="17"/>
                  </w:rPr>
                </w:pPr>
                <w:r>
                  <w:rPr>
                    <w:color w:val="231F20"/>
                    <w:w w:val="105"/>
                    <w:sz w:val="17"/>
                  </w:rPr>
                  <w:t>2.4</w:t>
                </w:r>
              </w:p>
              <w:p>
                <w:pPr>
                  <w:spacing w:before="10"/>
                  <w:ind w:left="116" w:right="0" w:firstLine="0"/>
                  <w:jc w:val="left"/>
                  <w:rPr>
                    <w:sz w:val="17"/>
                  </w:rPr>
                </w:pPr>
                <w:r>
                  <w:rPr>
                    <w:color w:val="231F20"/>
                    <w:w w:val="105"/>
                    <w:sz w:val="17"/>
                  </w:rPr>
                  <w:t>9.9</w:t>
                </w:r>
              </w:p>
              <w:p>
                <w:pPr>
                  <w:spacing w:before="10"/>
                  <w:ind w:left="20" w:right="0" w:firstLine="0"/>
                  <w:jc w:val="left"/>
                  <w:rPr>
                    <w:sz w:val="17"/>
                  </w:rPr>
                </w:pPr>
                <w:r>
                  <w:rPr>
                    <w:color w:val="231F20"/>
                    <w:w w:val="105"/>
                    <w:sz w:val="17"/>
                  </w:rPr>
                  <w:t>20.0</w:t>
                </w:r>
              </w:p>
              <w:p>
                <w:pPr>
                  <w:spacing w:before="10"/>
                  <w:ind w:left="116" w:right="0" w:firstLine="0"/>
                  <w:jc w:val="left"/>
                  <w:rPr>
                    <w:sz w:val="17"/>
                  </w:rPr>
                </w:pPr>
                <w:r>
                  <w:rPr>
                    <w:color w:val="231F20"/>
                    <w:w w:val="105"/>
                    <w:sz w:val="17"/>
                  </w:rPr>
                  <w:t>4.2</w:t>
                </w:r>
              </w:p>
              <w:p>
                <w:pPr>
                  <w:spacing w:before="10"/>
                  <w:ind w:left="20" w:right="0" w:firstLine="0"/>
                  <w:jc w:val="left"/>
                  <w:rPr>
                    <w:sz w:val="17"/>
                  </w:rPr>
                </w:pPr>
                <w:r>
                  <w:rPr>
                    <w:color w:val="231F20"/>
                    <w:w w:val="105"/>
                    <w:sz w:val="17"/>
                  </w:rPr>
                  <w:t>11.6</w:t>
                </w:r>
              </w:p>
              <w:p>
                <w:pPr>
                  <w:spacing w:before="10"/>
                  <w:ind w:left="116" w:right="0" w:firstLine="0"/>
                  <w:jc w:val="left"/>
                  <w:rPr>
                    <w:sz w:val="17"/>
                  </w:rPr>
                </w:pPr>
                <w:r>
                  <w:rPr>
                    <w:color w:val="231F20"/>
                    <w:w w:val="105"/>
                    <w:sz w:val="17"/>
                  </w:rPr>
                  <w:t>4.7</w:t>
                </w:r>
              </w:p>
            </w:txbxContent>
          </v:textbox>
          <w10:wrap type="none"/>
        </v:shape>
      </w:pict>
    </w:r>
    <w:r>
      <w:rPr/>
      <w:pict>
        <v:shape style="position:absolute;margin-left:305.487091pt;margin-top:333.209656pt;width:13.85pt;height:73.5pt;mso-position-horizontal-relative:page;mso-position-vertical-relative:page;z-index:-456976" type="#_x0000_t202" filled="false" stroked="false">
          <v:textbox inset="0,0,0,0">
            <w:txbxContent>
              <w:p>
                <w:pPr>
                  <w:spacing w:line="194" w:lineRule="exact" w:before="0"/>
                  <w:ind w:left="20" w:right="0" w:firstLine="0"/>
                  <w:jc w:val="left"/>
                  <w:rPr>
                    <w:sz w:val="17"/>
                  </w:rPr>
                </w:pPr>
                <w:r>
                  <w:rPr>
                    <w:color w:val="231F20"/>
                    <w:w w:val="105"/>
                    <w:sz w:val="17"/>
                  </w:rPr>
                  <w:t>3.0</w:t>
                </w:r>
              </w:p>
              <w:p>
                <w:pPr>
                  <w:spacing w:before="10"/>
                  <w:ind w:left="20" w:right="0" w:firstLine="0"/>
                  <w:jc w:val="left"/>
                  <w:rPr>
                    <w:sz w:val="17"/>
                  </w:rPr>
                </w:pPr>
                <w:r>
                  <w:rPr>
                    <w:color w:val="231F20"/>
                    <w:w w:val="105"/>
                    <w:sz w:val="17"/>
                  </w:rPr>
                  <w:t>1.1</w:t>
                </w:r>
              </w:p>
              <w:p>
                <w:pPr>
                  <w:spacing w:before="10"/>
                  <w:ind w:left="20" w:right="0" w:firstLine="0"/>
                  <w:jc w:val="left"/>
                  <w:rPr>
                    <w:sz w:val="17"/>
                  </w:rPr>
                </w:pPr>
                <w:r>
                  <w:rPr>
                    <w:color w:val="231F20"/>
                    <w:w w:val="105"/>
                    <w:sz w:val="17"/>
                  </w:rPr>
                  <w:t>3.5</w:t>
                </w:r>
              </w:p>
              <w:p>
                <w:pPr>
                  <w:spacing w:before="10"/>
                  <w:ind w:left="20" w:right="0" w:firstLine="0"/>
                  <w:jc w:val="left"/>
                  <w:rPr>
                    <w:sz w:val="17"/>
                  </w:rPr>
                </w:pPr>
                <w:r>
                  <w:rPr>
                    <w:color w:val="231F20"/>
                    <w:w w:val="105"/>
                    <w:sz w:val="17"/>
                  </w:rPr>
                  <w:t>3.4</w:t>
                </w:r>
              </w:p>
              <w:p>
                <w:pPr>
                  <w:spacing w:before="10"/>
                  <w:ind w:left="20" w:right="0" w:firstLine="0"/>
                  <w:jc w:val="left"/>
                  <w:rPr>
                    <w:sz w:val="17"/>
                  </w:rPr>
                </w:pPr>
                <w:r>
                  <w:rPr>
                    <w:color w:val="231F20"/>
                    <w:w w:val="105"/>
                    <w:sz w:val="17"/>
                  </w:rPr>
                  <w:t>1.4</w:t>
                </w:r>
              </w:p>
              <w:p>
                <w:pPr>
                  <w:spacing w:before="10"/>
                  <w:ind w:left="20" w:right="0" w:firstLine="0"/>
                  <w:jc w:val="left"/>
                  <w:rPr>
                    <w:sz w:val="17"/>
                  </w:rPr>
                </w:pPr>
                <w:r>
                  <w:rPr>
                    <w:color w:val="231F20"/>
                    <w:w w:val="105"/>
                    <w:sz w:val="17"/>
                  </w:rPr>
                  <w:t>2.3</w:t>
                </w:r>
              </w:p>
              <w:p>
                <w:pPr>
                  <w:spacing w:before="10"/>
                  <w:ind w:left="20" w:right="0" w:firstLine="0"/>
                  <w:jc w:val="left"/>
                  <w:rPr>
                    <w:sz w:val="17"/>
                  </w:rPr>
                </w:pPr>
                <w:r>
                  <w:rPr>
                    <w:color w:val="231F20"/>
                    <w:w w:val="105"/>
                    <w:sz w:val="17"/>
                  </w:rPr>
                  <w:t>1.8</w:t>
                </w:r>
              </w:p>
            </w:txbxContent>
          </v:textbox>
          <w10:wrap type="none"/>
        </v:shape>
      </w:pict>
    </w:r>
    <w:r>
      <w:rPr/>
      <w:pict>
        <v:shape style="position:absolute;margin-left:349.207855pt;margin-top:333.209656pt;width:16.45pt;height:73.5pt;mso-position-horizontal-relative:page;mso-position-vertical-relative:page;z-index:-456952" type="#_x0000_t202" filled="false" stroked="false">
          <v:textbox inset="0,0,0,0">
            <w:txbxContent>
              <w:p>
                <w:pPr>
                  <w:spacing w:line="194" w:lineRule="exact" w:before="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txbxContent>
          </v:textbox>
          <w10:wrap type="none"/>
        </v:shape>
      </w:pict>
    </w:r>
    <w:r>
      <w:rPr/>
      <w:pict>
        <v:shape style="position:absolute;margin-left:386.523376pt;margin-top:333.209656pt;width:18.7pt;height:73.5pt;mso-position-horizontal-relative:page;mso-position-vertical-relative:page;z-index:-456928" type="#_x0000_t202" filled="false" stroked="false">
          <v:textbox inset="0,0,0,0">
            <w:txbxContent>
              <w:p>
                <w:pPr>
                  <w:spacing w:line="194" w:lineRule="exact" w:before="0"/>
                  <w:ind w:left="20" w:right="0" w:firstLine="0"/>
                  <w:jc w:val="left"/>
                  <w:rPr>
                    <w:sz w:val="17"/>
                  </w:rPr>
                </w:pPr>
                <w:r>
                  <w:rPr>
                    <w:color w:val="231F20"/>
                    <w:w w:val="105"/>
                    <w:sz w:val="17"/>
                  </w:rPr>
                  <w:t>46.6</w:t>
                </w:r>
              </w:p>
              <w:p>
                <w:pPr>
                  <w:spacing w:before="10"/>
                  <w:ind w:left="20" w:right="0" w:firstLine="0"/>
                  <w:jc w:val="left"/>
                  <w:rPr>
                    <w:sz w:val="17"/>
                  </w:rPr>
                </w:pPr>
                <w:r>
                  <w:rPr>
                    <w:color w:val="231F20"/>
                    <w:w w:val="105"/>
                    <w:sz w:val="17"/>
                  </w:rPr>
                  <w:t>50.9</w:t>
                </w:r>
              </w:p>
              <w:p>
                <w:pPr>
                  <w:spacing w:before="10"/>
                  <w:ind w:left="20" w:right="0" w:firstLine="0"/>
                  <w:jc w:val="left"/>
                  <w:rPr>
                    <w:sz w:val="17"/>
                  </w:rPr>
                </w:pPr>
                <w:r>
                  <w:rPr>
                    <w:color w:val="231F20"/>
                    <w:w w:val="105"/>
                    <w:sz w:val="17"/>
                  </w:rPr>
                  <w:t>42.7</w:t>
                </w:r>
              </w:p>
              <w:p>
                <w:pPr>
                  <w:spacing w:before="10"/>
                  <w:ind w:left="20" w:right="0" w:firstLine="0"/>
                  <w:jc w:val="left"/>
                  <w:rPr>
                    <w:sz w:val="17"/>
                  </w:rPr>
                </w:pPr>
                <w:r>
                  <w:rPr>
                    <w:color w:val="231F20"/>
                    <w:w w:val="105"/>
                    <w:sz w:val="17"/>
                  </w:rPr>
                  <w:t>48.5</w:t>
                </w:r>
              </w:p>
              <w:p>
                <w:pPr>
                  <w:spacing w:before="10"/>
                  <w:ind w:left="20" w:right="0" w:firstLine="0"/>
                  <w:jc w:val="left"/>
                  <w:rPr>
                    <w:sz w:val="17"/>
                  </w:rPr>
                </w:pPr>
                <w:r>
                  <w:rPr>
                    <w:color w:val="231F20"/>
                    <w:w w:val="105"/>
                    <w:sz w:val="17"/>
                  </w:rPr>
                  <w:t>56.3</w:t>
                </w:r>
              </w:p>
              <w:p>
                <w:pPr>
                  <w:spacing w:before="10"/>
                  <w:ind w:left="20" w:right="0" w:firstLine="0"/>
                  <w:jc w:val="left"/>
                  <w:rPr>
                    <w:sz w:val="17"/>
                  </w:rPr>
                </w:pPr>
                <w:r>
                  <w:rPr>
                    <w:color w:val="231F20"/>
                    <w:w w:val="105"/>
                    <w:sz w:val="17"/>
                  </w:rPr>
                  <w:t>51.6</w:t>
                </w:r>
              </w:p>
              <w:p>
                <w:pPr>
                  <w:spacing w:before="10"/>
                  <w:ind w:left="20" w:right="0" w:firstLine="0"/>
                  <w:jc w:val="left"/>
                  <w:rPr>
                    <w:sz w:val="17"/>
                  </w:rPr>
                </w:pPr>
                <w:r>
                  <w:rPr>
                    <w:color w:val="231F20"/>
                    <w:w w:val="105"/>
                    <w:sz w:val="17"/>
                  </w:rPr>
                  <w:t>47.6</w:t>
                </w:r>
              </w:p>
            </w:txbxContent>
          </v:textbox>
          <w10:wrap type="none"/>
        </v:shape>
      </w:pict>
    </w:r>
    <w:r>
      <w:rPr/>
      <w:pict>
        <v:shape style="position:absolute;margin-left:426.009705pt;margin-top:333.209656pt;width:18.7pt;height:73.5pt;mso-position-horizontal-relative:page;mso-position-vertical-relative:page;z-index:-456904" type="#_x0000_t202" filled="false" stroked="false">
          <v:textbox inset="0,0,0,0">
            <w:txbxContent>
              <w:p>
                <w:pPr>
                  <w:spacing w:line="194" w:lineRule="exact" w:before="0"/>
                  <w:ind w:left="20" w:right="0" w:firstLine="0"/>
                  <w:jc w:val="left"/>
                  <w:rPr>
                    <w:sz w:val="17"/>
                  </w:rPr>
                </w:pPr>
                <w:r>
                  <w:rPr>
                    <w:color w:val="231F20"/>
                    <w:w w:val="105"/>
                    <w:sz w:val="17"/>
                  </w:rPr>
                  <w:t>25.2</w:t>
                </w:r>
              </w:p>
              <w:p>
                <w:pPr>
                  <w:spacing w:before="10"/>
                  <w:ind w:left="20" w:right="0" w:firstLine="0"/>
                  <w:jc w:val="left"/>
                  <w:rPr>
                    <w:sz w:val="17"/>
                  </w:rPr>
                </w:pPr>
                <w:r>
                  <w:rPr>
                    <w:color w:val="231F20"/>
                    <w:w w:val="105"/>
                    <w:sz w:val="17"/>
                  </w:rPr>
                  <w:t>31.6</w:t>
                </w:r>
              </w:p>
              <w:p>
                <w:pPr>
                  <w:spacing w:before="10"/>
                  <w:ind w:left="20" w:right="0" w:firstLine="0"/>
                  <w:jc w:val="left"/>
                  <w:rPr>
                    <w:sz w:val="17"/>
                  </w:rPr>
                </w:pPr>
                <w:r>
                  <w:rPr>
                    <w:color w:val="231F20"/>
                    <w:w w:val="105"/>
                    <w:sz w:val="17"/>
                  </w:rPr>
                  <w:t>34.0</w:t>
                </w:r>
              </w:p>
              <w:p>
                <w:pPr>
                  <w:spacing w:before="10"/>
                  <w:ind w:left="20" w:right="0" w:firstLine="0"/>
                  <w:jc w:val="left"/>
                  <w:rPr>
                    <w:sz w:val="17"/>
                  </w:rPr>
                </w:pPr>
                <w:r>
                  <w:rPr>
                    <w:color w:val="231F20"/>
                    <w:w w:val="105"/>
                    <w:sz w:val="17"/>
                  </w:rPr>
                  <w:t>16.7</w:t>
                </w:r>
              </w:p>
              <w:p>
                <w:pPr>
                  <w:spacing w:before="10"/>
                  <w:ind w:left="20" w:right="0" w:firstLine="0"/>
                  <w:jc w:val="left"/>
                  <w:rPr>
                    <w:sz w:val="17"/>
                  </w:rPr>
                </w:pPr>
                <w:r>
                  <w:rPr>
                    <w:color w:val="231F20"/>
                    <w:w w:val="105"/>
                    <w:sz w:val="17"/>
                  </w:rPr>
                  <w:t>23.2</w:t>
                </w:r>
              </w:p>
              <w:p>
                <w:pPr>
                  <w:spacing w:before="10"/>
                  <w:ind w:left="20" w:right="0" w:firstLine="0"/>
                  <w:jc w:val="left"/>
                  <w:rPr>
                    <w:sz w:val="17"/>
                  </w:rPr>
                </w:pPr>
                <w:r>
                  <w:rPr>
                    <w:color w:val="231F20"/>
                    <w:w w:val="105"/>
                    <w:sz w:val="17"/>
                  </w:rPr>
                  <w:t>18.4</w:t>
                </w:r>
              </w:p>
              <w:p>
                <w:pPr>
                  <w:spacing w:before="10"/>
                  <w:ind w:left="20" w:right="0" w:firstLine="0"/>
                  <w:jc w:val="left"/>
                  <w:rPr>
                    <w:sz w:val="17"/>
                  </w:rPr>
                </w:pPr>
                <w:r>
                  <w:rPr>
                    <w:color w:val="231F20"/>
                    <w:w w:val="105"/>
                    <w:sz w:val="17"/>
                  </w:rPr>
                  <w:t>31.9</w:t>
                </w:r>
              </w:p>
            </w:txbxContent>
          </v:textbox>
          <w10:wrap type="none"/>
        </v:shape>
      </w:pict>
    </w:r>
    <w:r>
      <w:rPr/>
      <w:pict>
        <v:shape style="position:absolute;margin-left:472.058533pt;margin-top:333.209656pt;width:18.7pt;height:73.5pt;mso-position-horizontal-relative:page;mso-position-vertical-relative:page;z-index:-456880" type="#_x0000_t202" filled="false" stroked="false">
          <v:textbox inset="0,0,0,0">
            <w:txbxContent>
              <w:p>
                <w:pPr>
                  <w:spacing w:line="194" w:lineRule="exact" w:before="0"/>
                  <w:ind w:left="20" w:right="0" w:firstLine="0"/>
                  <w:jc w:val="left"/>
                  <w:rPr>
                    <w:sz w:val="17"/>
                  </w:rPr>
                </w:pPr>
                <w:r>
                  <w:rPr>
                    <w:color w:val="231F20"/>
                    <w:w w:val="105"/>
                    <w:sz w:val="17"/>
                  </w:rPr>
                  <w:t>24.0</w:t>
                </w:r>
              </w:p>
              <w:p>
                <w:pPr>
                  <w:spacing w:before="10"/>
                  <w:ind w:left="20" w:right="0" w:firstLine="0"/>
                  <w:jc w:val="left"/>
                  <w:rPr>
                    <w:sz w:val="17"/>
                  </w:rPr>
                </w:pPr>
                <w:r>
                  <w:rPr>
                    <w:color w:val="231F20"/>
                    <w:w w:val="105"/>
                    <w:sz w:val="17"/>
                  </w:rPr>
                  <w:t>15.0</w:t>
                </w:r>
              </w:p>
              <w:p>
                <w:pPr>
                  <w:spacing w:before="10"/>
                  <w:ind w:left="20" w:right="0" w:firstLine="0"/>
                  <w:jc w:val="left"/>
                  <w:rPr>
                    <w:sz w:val="17"/>
                  </w:rPr>
                </w:pPr>
                <w:r>
                  <w:rPr>
                    <w:color w:val="231F20"/>
                    <w:w w:val="105"/>
                    <w:sz w:val="17"/>
                  </w:rPr>
                  <w:t>18.6</w:t>
                </w:r>
              </w:p>
              <w:p>
                <w:pPr>
                  <w:spacing w:before="10"/>
                  <w:ind w:left="20" w:right="0" w:firstLine="0"/>
                  <w:jc w:val="left"/>
                  <w:rPr>
                    <w:sz w:val="17"/>
                  </w:rPr>
                </w:pPr>
                <w:r>
                  <w:rPr>
                    <w:color w:val="231F20"/>
                    <w:w w:val="105"/>
                    <w:sz w:val="17"/>
                  </w:rPr>
                  <w:t>30.7</w:t>
                </w:r>
              </w:p>
              <w:p>
                <w:pPr>
                  <w:spacing w:before="10"/>
                  <w:ind w:left="20" w:right="0" w:firstLine="0"/>
                  <w:jc w:val="left"/>
                  <w:rPr>
                    <w:sz w:val="17"/>
                  </w:rPr>
                </w:pPr>
                <w:r>
                  <w:rPr>
                    <w:color w:val="231F20"/>
                    <w:w w:val="105"/>
                    <w:sz w:val="17"/>
                  </w:rPr>
                  <w:t>17.9</w:t>
                </w:r>
              </w:p>
              <w:p>
                <w:pPr>
                  <w:spacing w:before="10"/>
                  <w:ind w:left="20" w:right="0" w:firstLine="0"/>
                  <w:jc w:val="left"/>
                  <w:rPr>
                    <w:sz w:val="17"/>
                  </w:rPr>
                </w:pPr>
                <w:r>
                  <w:rPr>
                    <w:color w:val="231F20"/>
                    <w:w w:val="105"/>
                    <w:sz w:val="17"/>
                  </w:rPr>
                  <w:t>26.0</w:t>
                </w:r>
              </w:p>
              <w:p>
                <w:pPr>
                  <w:spacing w:before="10"/>
                  <w:ind w:left="20" w:right="0" w:firstLine="0"/>
                  <w:jc w:val="left"/>
                  <w:rPr>
                    <w:sz w:val="17"/>
                  </w:rPr>
                </w:pPr>
                <w:r>
                  <w:rPr>
                    <w:color w:val="231F20"/>
                    <w:w w:val="105"/>
                    <w:sz w:val="17"/>
                  </w:rPr>
                  <w:t>17.0</w:t>
                </w:r>
              </w:p>
            </w:txbxContent>
          </v:textbox>
          <w10:wrap type="none"/>
        </v:shape>
      </w:pict>
    </w:r>
    <w:r>
      <w:rPr/>
      <w:pict>
        <v:shape style="position:absolute;margin-left:526.584839pt;margin-top:333.209656pt;width:13.85pt;height:73.5pt;mso-position-horizontal-relative:page;mso-position-vertical-relative:page;z-index:-456856" type="#_x0000_t202" filled="false" stroked="false">
          <v:textbox inset="0,0,0,0">
            <w:txbxContent>
              <w:p>
                <w:pPr>
                  <w:spacing w:line="194" w:lineRule="exact" w:before="0"/>
                  <w:ind w:left="20" w:right="0" w:firstLine="0"/>
                  <w:jc w:val="left"/>
                  <w:rPr>
                    <w:sz w:val="17"/>
                  </w:rPr>
                </w:pPr>
                <w:r>
                  <w:rPr>
                    <w:color w:val="231F20"/>
                    <w:w w:val="105"/>
                    <w:sz w:val="17"/>
                  </w:rPr>
                  <w:t>4.2</w:t>
                </w:r>
              </w:p>
              <w:p>
                <w:pPr>
                  <w:spacing w:before="10"/>
                  <w:ind w:left="20" w:right="0" w:firstLine="0"/>
                  <w:jc w:val="left"/>
                  <w:rPr>
                    <w:sz w:val="17"/>
                  </w:rPr>
                </w:pPr>
                <w:r>
                  <w:rPr>
                    <w:color w:val="231F20"/>
                    <w:w w:val="105"/>
                    <w:sz w:val="17"/>
                  </w:rPr>
                  <w:t>2.6</w:t>
                </w:r>
              </w:p>
              <w:p>
                <w:pPr>
                  <w:spacing w:before="10"/>
                  <w:ind w:left="20" w:right="0" w:firstLine="0"/>
                  <w:jc w:val="left"/>
                  <w:rPr>
                    <w:sz w:val="17"/>
                  </w:rPr>
                </w:pPr>
                <w:r>
                  <w:rPr>
                    <w:color w:val="231F20"/>
                    <w:w w:val="105"/>
                    <w:sz w:val="17"/>
                  </w:rPr>
                  <w:t>4.7</w:t>
                </w:r>
              </w:p>
              <w:p>
                <w:pPr>
                  <w:spacing w:before="10"/>
                  <w:ind w:left="20" w:right="0" w:firstLine="0"/>
                  <w:jc w:val="left"/>
                  <w:rPr>
                    <w:sz w:val="17"/>
                  </w:rPr>
                </w:pPr>
                <w:r>
                  <w:rPr>
                    <w:color w:val="231F20"/>
                    <w:w w:val="105"/>
                    <w:sz w:val="17"/>
                  </w:rPr>
                  <w:t>4.1</w:t>
                </w:r>
              </w:p>
              <w:p>
                <w:pPr>
                  <w:spacing w:before="10"/>
                  <w:ind w:left="20" w:right="0" w:firstLine="0"/>
                  <w:jc w:val="left"/>
                  <w:rPr>
                    <w:sz w:val="17"/>
                  </w:rPr>
                </w:pPr>
                <w:r>
                  <w:rPr>
                    <w:color w:val="231F20"/>
                    <w:w w:val="105"/>
                    <w:sz w:val="17"/>
                  </w:rPr>
                  <w:t>2.6</w:t>
                </w:r>
              </w:p>
              <w:p>
                <w:pPr>
                  <w:spacing w:before="10"/>
                  <w:ind w:left="20" w:right="0" w:firstLine="0"/>
                  <w:jc w:val="left"/>
                  <w:rPr>
                    <w:sz w:val="17"/>
                  </w:rPr>
                </w:pPr>
                <w:r>
                  <w:rPr>
                    <w:color w:val="231F20"/>
                    <w:w w:val="105"/>
                    <w:sz w:val="17"/>
                  </w:rPr>
                  <w:t>4.1</w:t>
                </w:r>
              </w:p>
              <w:p>
                <w:pPr>
                  <w:spacing w:before="10"/>
                  <w:ind w:left="20" w:right="0" w:firstLine="0"/>
                  <w:jc w:val="left"/>
                  <w:rPr>
                    <w:sz w:val="17"/>
                  </w:rPr>
                </w:pPr>
                <w:r>
                  <w:rPr>
                    <w:color w:val="231F20"/>
                    <w:w w:val="105"/>
                    <w:sz w:val="17"/>
                  </w:rPr>
                  <w:t>3.4</w:t>
                </w:r>
              </w:p>
            </w:txbxContent>
          </v:textbox>
          <w10:wrap type="none"/>
        </v:shape>
      </w:pict>
    </w:r>
    <w:r>
      <w:rPr/>
      <w:pict>
        <v:shape style="position:absolute;margin-left:570.581604pt;margin-top:333.209656pt;width:16.45pt;height:73.5pt;mso-position-horizontal-relative:page;mso-position-vertical-relative:page;z-index:-456832" type="#_x0000_t202" filled="false" stroked="false">
          <v:textbox inset="0,0,0,0">
            <w:txbxContent>
              <w:p>
                <w:pPr>
                  <w:spacing w:line="194" w:lineRule="exact" w:before="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8.721817pt;margin-top:332.058136pt;width:63.3pt;height:85.35pt;mso-position-horizontal-relative:page;mso-position-vertical-relative:page;z-index:-456808" type="#_x0000_t202" filled="false" stroked="false">
          <v:textbox inset="0,0,0,0">
            <w:txbxContent>
              <w:p>
                <w:pPr>
                  <w:spacing w:line="252" w:lineRule="auto" w:before="0"/>
                  <w:ind w:left="20" w:right="0" w:firstLine="0"/>
                  <w:jc w:val="left"/>
                  <w:rPr>
                    <w:sz w:val="17"/>
                  </w:rPr>
                </w:pPr>
                <w:r>
                  <w:rPr>
                    <w:color w:val="231F20"/>
                    <w:w w:val="110"/>
                    <w:sz w:val="17"/>
                  </w:rPr>
                  <w:t>Chihuahua </w:t>
                </w:r>
                <w:r>
                  <w:rPr>
                    <w:color w:val="231F20"/>
                    <w:w w:val="105"/>
                    <w:sz w:val="17"/>
                  </w:rPr>
                  <w:t>Distrito Federal </w:t>
                </w:r>
                <w:r>
                  <w:rPr>
                    <w:color w:val="231F20"/>
                    <w:w w:val="110"/>
                    <w:sz w:val="17"/>
                  </w:rPr>
                  <w:t>Durango Guanajuato Guerrero Hidalgo</w:t>
                </w:r>
              </w:p>
              <w:p>
                <w:pPr>
                  <w:spacing w:line="264" w:lineRule="auto" w:before="18"/>
                  <w:ind w:left="20" w:right="658" w:firstLine="0"/>
                  <w:jc w:val="left"/>
                  <w:rPr>
                    <w:sz w:val="17"/>
                  </w:rPr>
                </w:pPr>
                <w:r>
                  <w:rPr>
                    <w:color w:val="231F20"/>
                    <w:w w:val="115"/>
                    <w:sz w:val="17"/>
                  </w:rPr>
                  <w:t>Jalisco </w:t>
                </w:r>
                <w:r>
                  <w:rPr>
                    <w:color w:val="231F20"/>
                    <w:w w:val="110"/>
                    <w:sz w:val="17"/>
                  </w:rPr>
                  <w:t>México</w:t>
                </w:r>
              </w:p>
            </w:txbxContent>
          </v:textbox>
          <w10:wrap type="none"/>
        </v:shape>
      </w:pict>
    </w:r>
    <w:r>
      <w:rPr/>
      <w:pict>
        <v:shape style="position:absolute;margin-left:163.400345pt;margin-top:332.058136pt;width:18.7pt;height:85.35pt;mso-position-horizontal-relative:page;mso-position-vertical-relative:page;z-index:-456784" type="#_x0000_t202" filled="false" stroked="false">
          <v:textbox inset="0,0,0,0">
            <w:txbxContent>
              <w:p>
                <w:pPr>
                  <w:spacing w:line="194" w:lineRule="exact" w:before="0"/>
                  <w:ind w:left="20" w:right="0" w:firstLine="0"/>
                  <w:jc w:val="left"/>
                  <w:rPr>
                    <w:sz w:val="17"/>
                  </w:rPr>
                </w:pPr>
                <w:r>
                  <w:rPr>
                    <w:color w:val="231F20"/>
                    <w:w w:val="105"/>
                    <w:sz w:val="17"/>
                  </w:rPr>
                  <w:t>13.7</w:t>
                </w:r>
              </w:p>
              <w:p>
                <w:pPr>
                  <w:spacing w:before="10"/>
                  <w:ind w:left="20" w:right="0" w:firstLine="0"/>
                  <w:jc w:val="left"/>
                  <w:rPr>
                    <w:sz w:val="17"/>
                  </w:rPr>
                </w:pPr>
                <w:r>
                  <w:rPr>
                    <w:color w:val="231F20"/>
                    <w:w w:val="105"/>
                    <w:sz w:val="17"/>
                  </w:rPr>
                  <w:t>20.2</w:t>
                </w:r>
              </w:p>
              <w:p>
                <w:pPr>
                  <w:spacing w:before="10"/>
                  <w:ind w:left="20" w:right="0" w:firstLine="0"/>
                  <w:jc w:val="left"/>
                  <w:rPr>
                    <w:sz w:val="17"/>
                  </w:rPr>
                </w:pPr>
                <w:r>
                  <w:rPr>
                    <w:color w:val="231F20"/>
                    <w:w w:val="105"/>
                    <w:sz w:val="17"/>
                  </w:rPr>
                  <w:t>12.6</w:t>
                </w:r>
              </w:p>
              <w:p>
                <w:pPr>
                  <w:spacing w:before="10"/>
                  <w:ind w:left="20" w:right="0" w:firstLine="0"/>
                  <w:jc w:val="left"/>
                  <w:rPr>
                    <w:sz w:val="17"/>
                  </w:rPr>
                </w:pPr>
                <w:r>
                  <w:rPr>
                    <w:color w:val="231F20"/>
                    <w:w w:val="105"/>
                    <w:sz w:val="17"/>
                  </w:rPr>
                  <w:t>12.1</w:t>
                </w:r>
              </w:p>
              <w:p>
                <w:pPr>
                  <w:spacing w:before="10"/>
                  <w:ind w:left="20" w:right="0" w:firstLine="0"/>
                  <w:jc w:val="left"/>
                  <w:rPr>
                    <w:sz w:val="17"/>
                  </w:rPr>
                </w:pPr>
                <w:r>
                  <w:rPr>
                    <w:color w:val="231F20"/>
                    <w:w w:val="105"/>
                    <w:sz w:val="17"/>
                  </w:rPr>
                  <w:t>10.8</w:t>
                </w:r>
              </w:p>
              <w:p>
                <w:pPr>
                  <w:spacing w:before="10"/>
                  <w:ind w:left="20" w:right="0" w:firstLine="0"/>
                  <w:jc w:val="left"/>
                  <w:rPr>
                    <w:sz w:val="17"/>
                  </w:rPr>
                </w:pPr>
                <w:r>
                  <w:rPr>
                    <w:color w:val="231F20"/>
                    <w:w w:val="105"/>
                    <w:sz w:val="17"/>
                  </w:rPr>
                  <w:t>12.6</w:t>
                </w:r>
              </w:p>
              <w:p>
                <w:pPr>
                  <w:spacing w:before="28"/>
                  <w:ind w:left="20" w:right="0" w:firstLine="0"/>
                  <w:jc w:val="left"/>
                  <w:rPr>
                    <w:sz w:val="17"/>
                  </w:rPr>
                </w:pPr>
                <w:r>
                  <w:rPr>
                    <w:color w:val="231F20"/>
                    <w:w w:val="105"/>
                    <w:sz w:val="17"/>
                  </w:rPr>
                  <w:t>15.2</w:t>
                </w:r>
              </w:p>
              <w:p>
                <w:pPr>
                  <w:spacing w:before="20"/>
                  <w:ind w:left="20" w:right="0" w:firstLine="0"/>
                  <w:jc w:val="left"/>
                  <w:rPr>
                    <w:sz w:val="17"/>
                  </w:rPr>
                </w:pPr>
                <w:r>
                  <w:rPr>
                    <w:color w:val="231F20"/>
                    <w:w w:val="105"/>
                    <w:sz w:val="17"/>
                  </w:rPr>
                  <w:t>11.8</w:t>
                </w:r>
              </w:p>
            </w:txbxContent>
          </v:textbox>
          <w10:wrap type="none"/>
        </v:shape>
      </w:pict>
    </w:r>
    <w:r>
      <w:rPr/>
      <w:pict>
        <v:shape style="position:absolute;margin-left:203.900375pt;margin-top:332.058136pt;width:18.7pt;height:85.35pt;mso-position-horizontal-relative:page;mso-position-vertical-relative:page;z-index:-456760" type="#_x0000_t202" filled="false" stroked="false">
          <v:textbox inset="0,0,0,0">
            <w:txbxContent>
              <w:p>
                <w:pPr>
                  <w:spacing w:line="194" w:lineRule="exact" w:before="0"/>
                  <w:ind w:left="20" w:right="0" w:firstLine="0"/>
                  <w:jc w:val="left"/>
                  <w:rPr>
                    <w:sz w:val="17"/>
                  </w:rPr>
                </w:pPr>
                <w:r>
                  <w:rPr>
                    <w:color w:val="231F20"/>
                    <w:w w:val="105"/>
                    <w:sz w:val="17"/>
                  </w:rPr>
                  <w:t>74.7</w:t>
                </w:r>
              </w:p>
              <w:p>
                <w:pPr>
                  <w:spacing w:before="10"/>
                  <w:ind w:left="20" w:right="0" w:firstLine="0"/>
                  <w:jc w:val="left"/>
                  <w:rPr>
                    <w:sz w:val="17"/>
                  </w:rPr>
                </w:pPr>
                <w:r>
                  <w:rPr>
                    <w:color w:val="231F20"/>
                    <w:w w:val="105"/>
                    <w:sz w:val="17"/>
                  </w:rPr>
                  <w:t>67.5</w:t>
                </w:r>
              </w:p>
              <w:p>
                <w:pPr>
                  <w:spacing w:before="10"/>
                  <w:ind w:left="20" w:right="0" w:firstLine="0"/>
                  <w:jc w:val="left"/>
                  <w:rPr>
                    <w:sz w:val="17"/>
                  </w:rPr>
                </w:pPr>
                <w:r>
                  <w:rPr>
                    <w:color w:val="231F20"/>
                    <w:w w:val="105"/>
                    <w:sz w:val="17"/>
                  </w:rPr>
                  <w:t>77.2</w:t>
                </w:r>
              </w:p>
              <w:p>
                <w:pPr>
                  <w:spacing w:before="10"/>
                  <w:ind w:left="20" w:right="0" w:firstLine="0"/>
                  <w:jc w:val="left"/>
                  <w:rPr>
                    <w:sz w:val="17"/>
                  </w:rPr>
                </w:pPr>
                <w:r>
                  <w:rPr>
                    <w:color w:val="231F20"/>
                    <w:w w:val="105"/>
                    <w:sz w:val="17"/>
                  </w:rPr>
                  <w:t>84.9</w:t>
                </w:r>
              </w:p>
              <w:p>
                <w:pPr>
                  <w:spacing w:before="10"/>
                  <w:ind w:left="20" w:right="0" w:firstLine="0"/>
                  <w:jc w:val="left"/>
                  <w:rPr>
                    <w:sz w:val="17"/>
                  </w:rPr>
                </w:pPr>
                <w:r>
                  <w:rPr>
                    <w:color w:val="231F20"/>
                    <w:w w:val="105"/>
                    <w:sz w:val="17"/>
                  </w:rPr>
                  <w:t>77.0</w:t>
                </w:r>
              </w:p>
              <w:p>
                <w:pPr>
                  <w:spacing w:before="10"/>
                  <w:ind w:left="20" w:right="0" w:firstLine="0"/>
                  <w:jc w:val="left"/>
                  <w:rPr>
                    <w:sz w:val="17"/>
                  </w:rPr>
                </w:pPr>
                <w:r>
                  <w:rPr>
                    <w:color w:val="231F20"/>
                    <w:w w:val="105"/>
                    <w:sz w:val="17"/>
                  </w:rPr>
                  <w:t>67.7</w:t>
                </w:r>
              </w:p>
              <w:p>
                <w:pPr>
                  <w:spacing w:before="28"/>
                  <w:ind w:left="20" w:right="0" w:firstLine="0"/>
                  <w:jc w:val="left"/>
                  <w:rPr>
                    <w:sz w:val="17"/>
                  </w:rPr>
                </w:pPr>
                <w:r>
                  <w:rPr>
                    <w:color w:val="231F20"/>
                    <w:w w:val="105"/>
                    <w:sz w:val="17"/>
                  </w:rPr>
                  <w:t>79.3</w:t>
                </w:r>
              </w:p>
              <w:p>
                <w:pPr>
                  <w:spacing w:before="20"/>
                  <w:ind w:left="20" w:right="0" w:firstLine="0"/>
                  <w:jc w:val="left"/>
                  <w:rPr>
                    <w:sz w:val="17"/>
                  </w:rPr>
                </w:pPr>
                <w:r>
                  <w:rPr>
                    <w:color w:val="231F20"/>
                    <w:w w:val="105"/>
                    <w:sz w:val="17"/>
                  </w:rPr>
                  <w:t>76.4</w:t>
                </w:r>
              </w:p>
            </w:txbxContent>
          </v:textbox>
          <w10:wrap type="none"/>
        </v:shape>
      </w:pict>
    </w:r>
    <w:r>
      <w:rPr/>
      <w:pict>
        <v:shape style="position:absolute;margin-left:248.678726pt;margin-top:332.058136pt;width:18.7pt;height:85.35pt;mso-position-horizontal-relative:page;mso-position-vertical-relative:page;z-index:-456736" type="#_x0000_t202" filled="false" stroked="false">
          <v:textbox inset="0,0,0,0">
            <w:txbxContent>
              <w:p>
                <w:pPr>
                  <w:spacing w:line="194" w:lineRule="exact" w:before="0"/>
                  <w:ind w:left="116" w:right="0" w:firstLine="0"/>
                  <w:jc w:val="left"/>
                  <w:rPr>
                    <w:sz w:val="17"/>
                  </w:rPr>
                </w:pPr>
                <w:r>
                  <w:rPr>
                    <w:color w:val="231F20"/>
                    <w:w w:val="105"/>
                    <w:sz w:val="17"/>
                  </w:rPr>
                  <w:t>9.6</w:t>
                </w:r>
              </w:p>
              <w:p>
                <w:pPr>
                  <w:spacing w:before="10"/>
                  <w:ind w:left="20" w:right="0" w:firstLine="0"/>
                  <w:jc w:val="left"/>
                  <w:rPr>
                    <w:sz w:val="17"/>
                  </w:rPr>
                </w:pPr>
                <w:r>
                  <w:rPr>
                    <w:color w:val="231F20"/>
                    <w:w w:val="105"/>
                    <w:sz w:val="17"/>
                  </w:rPr>
                  <w:t>10.1</w:t>
                </w:r>
              </w:p>
              <w:p>
                <w:pPr>
                  <w:spacing w:before="10"/>
                  <w:ind w:left="116" w:right="0" w:firstLine="0"/>
                  <w:jc w:val="left"/>
                  <w:rPr>
                    <w:sz w:val="17"/>
                  </w:rPr>
                </w:pPr>
                <w:r>
                  <w:rPr>
                    <w:color w:val="231F20"/>
                    <w:w w:val="105"/>
                    <w:sz w:val="17"/>
                  </w:rPr>
                  <w:t>8.7</w:t>
                </w:r>
              </w:p>
              <w:p>
                <w:pPr>
                  <w:spacing w:before="10"/>
                  <w:ind w:left="116" w:right="0" w:firstLine="0"/>
                  <w:jc w:val="left"/>
                  <w:rPr>
                    <w:sz w:val="17"/>
                  </w:rPr>
                </w:pPr>
                <w:r>
                  <w:rPr>
                    <w:color w:val="231F20"/>
                    <w:w w:val="105"/>
                    <w:sz w:val="17"/>
                  </w:rPr>
                  <w:t>2.1</w:t>
                </w:r>
              </w:p>
              <w:p>
                <w:pPr>
                  <w:spacing w:before="10"/>
                  <w:ind w:left="20" w:right="0" w:firstLine="0"/>
                  <w:jc w:val="left"/>
                  <w:rPr>
                    <w:sz w:val="17"/>
                  </w:rPr>
                </w:pPr>
                <w:r>
                  <w:rPr>
                    <w:color w:val="231F20"/>
                    <w:w w:val="105"/>
                    <w:sz w:val="17"/>
                  </w:rPr>
                  <w:t>10.5</w:t>
                </w:r>
              </w:p>
              <w:p>
                <w:pPr>
                  <w:spacing w:before="10"/>
                  <w:ind w:left="20" w:right="0" w:firstLine="0"/>
                  <w:jc w:val="left"/>
                  <w:rPr>
                    <w:sz w:val="17"/>
                  </w:rPr>
                </w:pPr>
                <w:r>
                  <w:rPr>
                    <w:color w:val="231F20"/>
                    <w:w w:val="105"/>
                    <w:sz w:val="17"/>
                  </w:rPr>
                  <w:t>18.2</w:t>
                </w:r>
              </w:p>
              <w:p>
                <w:pPr>
                  <w:spacing w:before="28"/>
                  <w:ind w:left="116" w:right="0" w:firstLine="0"/>
                  <w:jc w:val="left"/>
                  <w:rPr>
                    <w:sz w:val="17"/>
                  </w:rPr>
                </w:pPr>
                <w:r>
                  <w:rPr>
                    <w:color w:val="231F20"/>
                    <w:w w:val="105"/>
                    <w:sz w:val="17"/>
                  </w:rPr>
                  <w:t>4.4</w:t>
                </w:r>
              </w:p>
              <w:p>
                <w:pPr>
                  <w:spacing w:before="20"/>
                  <w:ind w:left="20" w:right="0" w:firstLine="0"/>
                  <w:jc w:val="left"/>
                  <w:rPr>
                    <w:sz w:val="17"/>
                  </w:rPr>
                </w:pPr>
                <w:r>
                  <w:rPr>
                    <w:color w:val="231F20"/>
                    <w:w w:val="105"/>
                    <w:sz w:val="17"/>
                  </w:rPr>
                  <w:t>10.4</w:t>
                </w:r>
              </w:p>
            </w:txbxContent>
          </v:textbox>
          <w10:wrap type="none"/>
        </v:shape>
      </w:pict>
    </w:r>
    <w:r>
      <w:rPr/>
      <w:pict>
        <v:shape style="position:absolute;margin-left:302.301483pt;margin-top:332.058136pt;width:13.85pt;height:85.35pt;mso-position-horizontal-relative:page;mso-position-vertical-relative:page;z-index:-456712" type="#_x0000_t202" filled="false" stroked="false">
          <v:textbox inset="0,0,0,0">
            <w:txbxContent>
              <w:p>
                <w:pPr>
                  <w:spacing w:line="194" w:lineRule="exact" w:before="0"/>
                  <w:ind w:left="20" w:right="0" w:firstLine="0"/>
                  <w:jc w:val="left"/>
                  <w:rPr>
                    <w:sz w:val="17"/>
                  </w:rPr>
                </w:pPr>
                <w:r>
                  <w:rPr>
                    <w:color w:val="231F20"/>
                    <w:w w:val="105"/>
                    <w:sz w:val="17"/>
                  </w:rPr>
                  <w:t>1.9</w:t>
                </w:r>
              </w:p>
              <w:p>
                <w:pPr>
                  <w:spacing w:before="10"/>
                  <w:ind w:left="20" w:right="0" w:firstLine="0"/>
                  <w:jc w:val="left"/>
                  <w:rPr>
                    <w:sz w:val="17"/>
                  </w:rPr>
                </w:pPr>
                <w:r>
                  <w:rPr>
                    <w:color w:val="231F20"/>
                    <w:w w:val="105"/>
                    <w:sz w:val="17"/>
                  </w:rPr>
                  <w:t>2.3</w:t>
                </w:r>
              </w:p>
              <w:p>
                <w:pPr>
                  <w:spacing w:before="10"/>
                  <w:ind w:left="20" w:right="0" w:firstLine="0"/>
                  <w:jc w:val="left"/>
                  <w:rPr>
                    <w:sz w:val="17"/>
                  </w:rPr>
                </w:pPr>
                <w:r>
                  <w:rPr>
                    <w:color w:val="231F20"/>
                    <w:w w:val="105"/>
                    <w:sz w:val="17"/>
                  </w:rPr>
                  <w:t>1.5</w:t>
                </w:r>
              </w:p>
              <w:p>
                <w:pPr>
                  <w:spacing w:before="10"/>
                  <w:ind w:left="20" w:right="0" w:firstLine="0"/>
                  <w:jc w:val="left"/>
                  <w:rPr>
                    <w:sz w:val="17"/>
                  </w:rPr>
                </w:pPr>
                <w:r>
                  <w:rPr>
                    <w:color w:val="231F20"/>
                    <w:w w:val="105"/>
                    <w:sz w:val="17"/>
                  </w:rPr>
                  <w:t>1.0</w:t>
                </w:r>
              </w:p>
              <w:p>
                <w:pPr>
                  <w:spacing w:before="10"/>
                  <w:ind w:left="20" w:right="0" w:firstLine="0"/>
                  <w:jc w:val="left"/>
                  <w:rPr>
                    <w:sz w:val="17"/>
                  </w:rPr>
                </w:pPr>
                <w:r>
                  <w:rPr>
                    <w:color w:val="231F20"/>
                    <w:w w:val="105"/>
                    <w:sz w:val="17"/>
                  </w:rPr>
                  <w:t>1.8</w:t>
                </w:r>
              </w:p>
              <w:p>
                <w:pPr>
                  <w:spacing w:before="10"/>
                  <w:ind w:left="20" w:right="0" w:firstLine="0"/>
                  <w:jc w:val="left"/>
                  <w:rPr>
                    <w:sz w:val="17"/>
                  </w:rPr>
                </w:pPr>
                <w:r>
                  <w:rPr>
                    <w:color w:val="231F20"/>
                    <w:w w:val="105"/>
                    <w:sz w:val="17"/>
                  </w:rPr>
                  <w:t>1.4</w:t>
                </w:r>
              </w:p>
              <w:p>
                <w:pPr>
                  <w:spacing w:before="28"/>
                  <w:ind w:left="20" w:right="0" w:firstLine="0"/>
                  <w:jc w:val="left"/>
                  <w:rPr>
                    <w:sz w:val="17"/>
                  </w:rPr>
                </w:pPr>
                <w:r>
                  <w:rPr>
                    <w:color w:val="231F20"/>
                    <w:w w:val="105"/>
                    <w:sz w:val="17"/>
                  </w:rPr>
                  <w:t>1.2</w:t>
                </w:r>
              </w:p>
              <w:p>
                <w:pPr>
                  <w:spacing w:before="20"/>
                  <w:ind w:left="20" w:right="0" w:firstLine="0"/>
                  <w:jc w:val="left"/>
                  <w:rPr>
                    <w:sz w:val="17"/>
                  </w:rPr>
                </w:pPr>
                <w:r>
                  <w:rPr>
                    <w:color w:val="231F20"/>
                    <w:w w:val="105"/>
                    <w:sz w:val="17"/>
                  </w:rPr>
                  <w:t>1.4</w:t>
                </w:r>
              </w:p>
            </w:txbxContent>
          </v:textbox>
          <w10:wrap type="none"/>
        </v:shape>
      </w:pict>
    </w:r>
    <w:r>
      <w:rPr/>
      <w:pict>
        <v:shape style="position:absolute;margin-left:346.11438pt;margin-top:332.058136pt;width:16.45pt;height:85.35pt;mso-position-horizontal-relative:page;mso-position-vertical-relative:page;z-index:-456688" type="#_x0000_t202" filled="false" stroked="false">
          <v:textbox inset="0,0,0,0">
            <w:txbxContent>
              <w:p>
                <w:pPr>
                  <w:spacing w:line="194" w:lineRule="exact" w:before="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28"/>
                  <w:ind w:left="20" w:right="0" w:firstLine="0"/>
                  <w:jc w:val="left"/>
                  <w:rPr>
                    <w:sz w:val="17"/>
                  </w:rPr>
                </w:pPr>
                <w:r>
                  <w:rPr>
                    <w:color w:val="231F20"/>
                    <w:sz w:val="17"/>
                  </w:rPr>
                  <w:t>100</w:t>
                </w:r>
              </w:p>
              <w:p>
                <w:pPr>
                  <w:spacing w:before="20"/>
                  <w:ind w:left="20" w:right="0" w:firstLine="0"/>
                  <w:jc w:val="left"/>
                  <w:rPr>
                    <w:sz w:val="17"/>
                  </w:rPr>
                </w:pPr>
                <w:r>
                  <w:rPr>
                    <w:color w:val="231F20"/>
                    <w:sz w:val="17"/>
                  </w:rPr>
                  <w:t>100</w:t>
                </w:r>
              </w:p>
            </w:txbxContent>
          </v:textbox>
          <w10:wrap type="none"/>
        </v:shape>
      </w:pict>
    </w:r>
    <w:r>
      <w:rPr/>
      <w:pict>
        <v:shape style="position:absolute;margin-left:383.836456pt;margin-top:332.058136pt;width:19.7pt;height:85.35pt;mso-position-horizontal-relative:page;mso-position-vertical-relative:page;z-index:-456664" type="#_x0000_t202" filled="false" stroked="false">
          <v:textbox inset="0,0,0,0">
            <w:txbxContent>
              <w:p>
                <w:pPr>
                  <w:spacing w:line="194" w:lineRule="exact" w:before="0"/>
                  <w:ind w:left="20" w:right="0" w:firstLine="0"/>
                  <w:jc w:val="left"/>
                  <w:rPr>
                    <w:sz w:val="17"/>
                  </w:rPr>
                </w:pPr>
                <w:r>
                  <w:rPr>
                    <w:color w:val="231F20"/>
                    <w:w w:val="105"/>
                    <w:sz w:val="17"/>
                  </w:rPr>
                  <w:t>18.3</w:t>
                </w:r>
              </w:p>
              <w:p>
                <w:pPr>
                  <w:spacing w:before="10"/>
                  <w:ind w:left="20" w:right="0" w:firstLine="0"/>
                  <w:jc w:val="left"/>
                  <w:rPr>
                    <w:sz w:val="17"/>
                  </w:rPr>
                </w:pPr>
                <w:r>
                  <w:rPr>
                    <w:color w:val="231F20"/>
                    <w:w w:val="105"/>
                    <w:sz w:val="17"/>
                  </w:rPr>
                  <w:t>33.0</w:t>
                </w:r>
              </w:p>
              <w:p>
                <w:pPr>
                  <w:spacing w:before="10"/>
                  <w:ind w:left="20" w:right="0" w:firstLine="0"/>
                  <w:jc w:val="left"/>
                  <w:rPr>
                    <w:sz w:val="17"/>
                  </w:rPr>
                </w:pPr>
                <w:r>
                  <w:rPr>
                    <w:color w:val="231F20"/>
                    <w:w w:val="105"/>
                    <w:sz w:val="17"/>
                  </w:rPr>
                  <w:t>18.</w:t>
                </w:r>
                <w:r>
                  <w:rPr/>
                  <w:fldChar w:fldCharType="begin"/>
                </w:r>
                <w:r>
                  <w:rPr>
                    <w:color w:val="231F20"/>
                    <w:w w:val="105"/>
                    <w:sz w:val="17"/>
                  </w:rPr>
                  <w:instrText> PAGE </w:instrText>
                </w:r>
                <w:r>
                  <w:rPr/>
                  <w:fldChar w:fldCharType="separate"/>
                </w:r>
                <w:r>
                  <w:rPr/>
                  <w:t>4</w:t>
                </w:r>
                <w:r>
                  <w:rPr/>
                  <w:fldChar w:fldCharType="end"/>
                </w:r>
              </w:p>
              <w:p>
                <w:pPr>
                  <w:spacing w:before="10"/>
                  <w:ind w:left="20" w:right="0" w:firstLine="0"/>
                  <w:jc w:val="left"/>
                  <w:rPr>
                    <w:sz w:val="17"/>
                  </w:rPr>
                </w:pPr>
                <w:r>
                  <w:rPr>
                    <w:color w:val="231F20"/>
                    <w:w w:val="105"/>
                    <w:sz w:val="17"/>
                  </w:rPr>
                  <w:t>17.1</w:t>
                </w:r>
              </w:p>
              <w:p>
                <w:pPr>
                  <w:spacing w:before="10"/>
                  <w:ind w:left="20" w:right="0" w:firstLine="0"/>
                  <w:jc w:val="left"/>
                  <w:rPr>
                    <w:sz w:val="17"/>
                  </w:rPr>
                </w:pPr>
                <w:r>
                  <w:rPr>
                    <w:color w:val="231F20"/>
                    <w:w w:val="105"/>
                    <w:sz w:val="17"/>
                  </w:rPr>
                  <w:t>17.5</w:t>
                </w:r>
              </w:p>
              <w:p>
                <w:pPr>
                  <w:spacing w:before="10"/>
                  <w:ind w:left="20" w:right="0" w:firstLine="0"/>
                  <w:jc w:val="left"/>
                  <w:rPr>
                    <w:sz w:val="17"/>
                  </w:rPr>
                </w:pPr>
                <w:r>
                  <w:rPr>
                    <w:color w:val="231F20"/>
                    <w:w w:val="105"/>
                    <w:sz w:val="17"/>
                  </w:rPr>
                  <w:t>17.2</w:t>
                </w:r>
              </w:p>
              <w:p>
                <w:pPr>
                  <w:spacing w:before="28"/>
                  <w:ind w:left="20" w:right="0" w:firstLine="0"/>
                  <w:jc w:val="left"/>
                  <w:rPr>
                    <w:sz w:val="17"/>
                  </w:rPr>
                </w:pPr>
                <w:r>
                  <w:rPr>
                    <w:color w:val="231F20"/>
                    <w:w w:val="105"/>
                    <w:sz w:val="17"/>
                  </w:rPr>
                  <w:t>22.5</w:t>
                </w:r>
              </w:p>
              <w:p>
                <w:pPr>
                  <w:spacing w:before="20"/>
                  <w:ind w:left="20" w:right="0" w:firstLine="0"/>
                  <w:jc w:val="left"/>
                  <w:rPr>
                    <w:sz w:val="17"/>
                  </w:rPr>
                </w:pPr>
                <w:r>
                  <w:rPr>
                    <w:color w:val="231F20"/>
                    <w:w w:val="105"/>
                    <w:sz w:val="17"/>
                  </w:rPr>
                  <w:t>20.3</w:t>
                </w:r>
              </w:p>
            </w:txbxContent>
          </v:textbox>
          <w10:wrap type="none"/>
        </v:shape>
      </w:pict>
    </w:r>
    <w:r>
      <w:rPr/>
      <w:pict>
        <v:shape style="position:absolute;margin-left:424.936584pt;margin-top:332.058136pt;width:18.7pt;height:85.35pt;mso-position-horizontal-relative:page;mso-position-vertical-relative:page;z-index:-456640" type="#_x0000_t202" filled="false" stroked="false">
          <v:textbox inset="0,0,0,0">
            <w:txbxContent>
              <w:p>
                <w:pPr>
                  <w:spacing w:line="194" w:lineRule="exact" w:before="0"/>
                  <w:ind w:left="20" w:right="0" w:firstLine="0"/>
                  <w:jc w:val="left"/>
                  <w:rPr>
                    <w:sz w:val="17"/>
                  </w:rPr>
                </w:pPr>
                <w:r>
                  <w:rPr>
                    <w:color w:val="231F20"/>
                    <w:w w:val="105"/>
                    <w:sz w:val="17"/>
                  </w:rPr>
                  <w:t>47.6</w:t>
                </w:r>
              </w:p>
              <w:p>
                <w:pPr>
                  <w:spacing w:before="10"/>
                  <w:ind w:left="20" w:right="0" w:firstLine="0"/>
                  <w:jc w:val="left"/>
                  <w:rPr>
                    <w:sz w:val="17"/>
                  </w:rPr>
                </w:pPr>
                <w:r>
                  <w:rPr>
                    <w:color w:val="231F20"/>
                    <w:w w:val="105"/>
                    <w:sz w:val="17"/>
                  </w:rPr>
                  <w:t>37.4</w:t>
                </w:r>
              </w:p>
              <w:p>
                <w:pPr>
                  <w:spacing w:before="10"/>
                  <w:ind w:left="20" w:right="0" w:firstLine="0"/>
                  <w:jc w:val="left"/>
                  <w:rPr>
                    <w:sz w:val="17"/>
                  </w:rPr>
                </w:pPr>
                <w:r>
                  <w:rPr>
                    <w:color w:val="231F20"/>
                    <w:w w:val="105"/>
                    <w:sz w:val="17"/>
                  </w:rPr>
                  <w:t>54.1</w:t>
                </w:r>
              </w:p>
              <w:p>
                <w:pPr>
                  <w:spacing w:before="10"/>
                  <w:ind w:left="20" w:right="0" w:firstLine="0"/>
                  <w:jc w:val="left"/>
                  <w:rPr>
                    <w:sz w:val="17"/>
                  </w:rPr>
                </w:pPr>
                <w:r>
                  <w:rPr>
                    <w:color w:val="231F20"/>
                    <w:w w:val="105"/>
                    <w:sz w:val="17"/>
                  </w:rPr>
                  <w:t>69.0</w:t>
                </w:r>
              </w:p>
              <w:p>
                <w:pPr>
                  <w:spacing w:before="10"/>
                  <w:ind w:left="20" w:right="0" w:firstLine="0"/>
                  <w:jc w:val="left"/>
                  <w:rPr>
                    <w:sz w:val="17"/>
                  </w:rPr>
                </w:pPr>
                <w:r>
                  <w:rPr>
                    <w:color w:val="231F20"/>
                    <w:w w:val="105"/>
                    <w:sz w:val="17"/>
                  </w:rPr>
                  <w:t>59.4</w:t>
                </w:r>
              </w:p>
              <w:p>
                <w:pPr>
                  <w:spacing w:before="10"/>
                  <w:ind w:left="20" w:right="0" w:firstLine="0"/>
                  <w:jc w:val="left"/>
                  <w:rPr>
                    <w:sz w:val="17"/>
                  </w:rPr>
                </w:pPr>
                <w:r>
                  <w:rPr>
                    <w:color w:val="231F20"/>
                    <w:w w:val="105"/>
                    <w:sz w:val="17"/>
                  </w:rPr>
                  <w:t>47.2</w:t>
                </w:r>
              </w:p>
              <w:p>
                <w:pPr>
                  <w:spacing w:before="28"/>
                  <w:ind w:left="20" w:right="0" w:firstLine="0"/>
                  <w:jc w:val="left"/>
                  <w:rPr>
                    <w:sz w:val="17"/>
                  </w:rPr>
                </w:pPr>
                <w:r>
                  <w:rPr>
                    <w:color w:val="231F20"/>
                    <w:w w:val="105"/>
                    <w:sz w:val="17"/>
                  </w:rPr>
                  <w:t>57.8</w:t>
                </w:r>
              </w:p>
              <w:p>
                <w:pPr>
                  <w:spacing w:before="20"/>
                  <w:ind w:left="20" w:right="0" w:firstLine="0"/>
                  <w:jc w:val="left"/>
                  <w:rPr>
                    <w:sz w:val="17"/>
                  </w:rPr>
                </w:pPr>
                <w:r>
                  <w:rPr>
                    <w:color w:val="231F20"/>
                    <w:w w:val="105"/>
                    <w:sz w:val="17"/>
                  </w:rPr>
                  <w:t>49.9</w:t>
                </w:r>
              </w:p>
            </w:txbxContent>
          </v:textbox>
          <w10:wrap type="none"/>
        </v:shape>
      </w:pict>
    </w:r>
    <w:r>
      <w:rPr/>
      <w:pict>
        <v:shape style="position:absolute;margin-left:472.388519pt;margin-top:332.058136pt;width:18.7pt;height:85.35pt;mso-position-horizontal-relative:page;mso-position-vertical-relative:page;z-index:-456616" type="#_x0000_t202" filled="false" stroked="false">
          <v:textbox inset="0,0,0,0">
            <w:txbxContent>
              <w:p>
                <w:pPr>
                  <w:spacing w:line="194" w:lineRule="exact" w:before="0"/>
                  <w:ind w:left="20" w:right="0" w:firstLine="0"/>
                  <w:jc w:val="left"/>
                  <w:rPr>
                    <w:sz w:val="17"/>
                  </w:rPr>
                </w:pPr>
                <w:r>
                  <w:rPr>
                    <w:color w:val="231F20"/>
                    <w:w w:val="105"/>
                    <w:sz w:val="17"/>
                  </w:rPr>
                  <w:t>28.7</w:t>
                </w:r>
              </w:p>
              <w:p>
                <w:pPr>
                  <w:spacing w:before="10"/>
                  <w:ind w:left="20" w:right="0" w:firstLine="0"/>
                  <w:jc w:val="left"/>
                  <w:rPr>
                    <w:sz w:val="17"/>
                  </w:rPr>
                </w:pPr>
                <w:r>
                  <w:rPr>
                    <w:color w:val="231F20"/>
                    <w:w w:val="105"/>
                    <w:sz w:val="17"/>
                  </w:rPr>
                  <w:t>24.3</w:t>
                </w:r>
              </w:p>
              <w:p>
                <w:pPr>
                  <w:spacing w:before="10"/>
                  <w:ind w:left="20" w:right="0" w:firstLine="0"/>
                  <w:jc w:val="left"/>
                  <w:rPr>
                    <w:sz w:val="17"/>
                  </w:rPr>
                </w:pPr>
                <w:r>
                  <w:rPr>
                    <w:color w:val="231F20"/>
                    <w:w w:val="105"/>
                    <w:sz w:val="17"/>
                  </w:rPr>
                  <w:t>22.9</w:t>
                </w:r>
              </w:p>
              <w:p>
                <w:pPr>
                  <w:spacing w:before="10"/>
                  <w:ind w:left="20" w:right="0" w:firstLine="0"/>
                  <w:jc w:val="left"/>
                  <w:rPr>
                    <w:sz w:val="17"/>
                  </w:rPr>
                </w:pPr>
                <w:r>
                  <w:rPr>
                    <w:color w:val="231F20"/>
                    <w:w w:val="105"/>
                    <w:sz w:val="17"/>
                  </w:rPr>
                  <w:t>10.8</w:t>
                </w:r>
              </w:p>
              <w:p>
                <w:pPr>
                  <w:spacing w:before="10"/>
                  <w:ind w:left="20" w:right="0" w:firstLine="0"/>
                  <w:jc w:val="left"/>
                  <w:rPr>
                    <w:sz w:val="17"/>
                  </w:rPr>
                </w:pPr>
                <w:r>
                  <w:rPr>
                    <w:color w:val="231F20"/>
                    <w:w w:val="105"/>
                    <w:sz w:val="17"/>
                  </w:rPr>
                  <w:t>19.5</w:t>
                </w:r>
              </w:p>
              <w:p>
                <w:pPr>
                  <w:spacing w:before="10"/>
                  <w:ind w:left="20" w:right="0" w:firstLine="0"/>
                  <w:jc w:val="left"/>
                  <w:rPr>
                    <w:sz w:val="17"/>
                  </w:rPr>
                </w:pPr>
                <w:r>
                  <w:rPr>
                    <w:color w:val="231F20"/>
                    <w:w w:val="105"/>
                    <w:sz w:val="17"/>
                  </w:rPr>
                  <w:t>32.7</w:t>
                </w:r>
              </w:p>
              <w:p>
                <w:pPr>
                  <w:spacing w:before="28"/>
                  <w:ind w:left="20" w:right="0" w:firstLine="0"/>
                  <w:jc w:val="left"/>
                  <w:rPr>
                    <w:sz w:val="17"/>
                  </w:rPr>
                </w:pPr>
                <w:r>
                  <w:rPr>
                    <w:color w:val="231F20"/>
                    <w:w w:val="105"/>
                    <w:sz w:val="17"/>
                  </w:rPr>
                  <w:t>15.7</w:t>
                </w:r>
              </w:p>
              <w:p>
                <w:pPr>
                  <w:spacing w:before="20"/>
                  <w:ind w:left="20" w:right="0" w:firstLine="0"/>
                  <w:jc w:val="left"/>
                  <w:rPr>
                    <w:sz w:val="17"/>
                  </w:rPr>
                </w:pPr>
                <w:r>
                  <w:rPr>
                    <w:color w:val="231F20"/>
                    <w:w w:val="105"/>
                    <w:sz w:val="17"/>
                  </w:rPr>
                  <w:t>25.6</w:t>
                </w:r>
              </w:p>
            </w:txbxContent>
          </v:textbox>
          <w10:wrap type="none"/>
        </v:shape>
      </w:pict>
    </w:r>
    <w:r>
      <w:rPr/>
      <w:pict>
        <v:shape style="position:absolute;margin-left:527.289856pt;margin-top:332.058136pt;width:13.85pt;height:85.35pt;mso-position-horizontal-relative:page;mso-position-vertical-relative:page;z-index:-456592" type="#_x0000_t202" filled="false" stroked="false">
          <v:textbox inset="0,0,0,0">
            <w:txbxContent>
              <w:p>
                <w:pPr>
                  <w:spacing w:line="194" w:lineRule="exact" w:before="0"/>
                  <w:ind w:left="20" w:right="0" w:firstLine="0"/>
                  <w:jc w:val="left"/>
                  <w:rPr>
                    <w:sz w:val="17"/>
                  </w:rPr>
                </w:pPr>
                <w:r>
                  <w:rPr>
                    <w:color w:val="231F20"/>
                    <w:w w:val="105"/>
                    <w:sz w:val="17"/>
                  </w:rPr>
                  <w:t>5.4</w:t>
                </w:r>
              </w:p>
              <w:p>
                <w:pPr>
                  <w:spacing w:before="10"/>
                  <w:ind w:left="20" w:right="0" w:firstLine="0"/>
                  <w:jc w:val="left"/>
                  <w:rPr>
                    <w:sz w:val="17"/>
                  </w:rPr>
                </w:pPr>
                <w:r>
                  <w:rPr>
                    <w:color w:val="231F20"/>
                    <w:w w:val="105"/>
                    <w:sz w:val="17"/>
                  </w:rPr>
                  <w:t>5.3</w:t>
                </w:r>
              </w:p>
              <w:p>
                <w:pPr>
                  <w:spacing w:before="10"/>
                  <w:ind w:left="20" w:right="0" w:firstLine="0"/>
                  <w:jc w:val="left"/>
                  <w:rPr>
                    <w:sz w:val="17"/>
                  </w:rPr>
                </w:pPr>
                <w:r>
                  <w:rPr>
                    <w:color w:val="231F20"/>
                    <w:w w:val="105"/>
                    <w:sz w:val="17"/>
                  </w:rPr>
                  <w:t>4.6</w:t>
                </w:r>
              </w:p>
              <w:p>
                <w:pPr>
                  <w:spacing w:before="10"/>
                  <w:ind w:left="20" w:right="0" w:firstLine="0"/>
                  <w:jc w:val="left"/>
                  <w:rPr>
                    <w:sz w:val="17"/>
                  </w:rPr>
                </w:pPr>
                <w:r>
                  <w:rPr>
                    <w:color w:val="231F20"/>
                    <w:w w:val="105"/>
                    <w:sz w:val="17"/>
                  </w:rPr>
                  <w:t>3.1</w:t>
                </w:r>
              </w:p>
              <w:p>
                <w:pPr>
                  <w:spacing w:before="10"/>
                  <w:ind w:left="20" w:right="0" w:firstLine="0"/>
                  <w:jc w:val="left"/>
                  <w:rPr>
                    <w:sz w:val="17"/>
                  </w:rPr>
                </w:pPr>
                <w:r>
                  <w:rPr>
                    <w:color w:val="231F20"/>
                    <w:w w:val="105"/>
                    <w:sz w:val="17"/>
                  </w:rPr>
                  <w:t>3.6</w:t>
                </w:r>
              </w:p>
              <w:p>
                <w:pPr>
                  <w:spacing w:before="10"/>
                  <w:ind w:left="20" w:right="0" w:firstLine="0"/>
                  <w:jc w:val="left"/>
                  <w:rPr>
                    <w:sz w:val="17"/>
                  </w:rPr>
                </w:pPr>
                <w:r>
                  <w:rPr>
                    <w:color w:val="231F20"/>
                    <w:w w:val="105"/>
                    <w:sz w:val="17"/>
                  </w:rPr>
                  <w:t>2.9</w:t>
                </w:r>
              </w:p>
              <w:p>
                <w:pPr>
                  <w:spacing w:before="28"/>
                  <w:ind w:left="20" w:right="0" w:firstLine="0"/>
                  <w:jc w:val="left"/>
                  <w:rPr>
                    <w:sz w:val="17"/>
                  </w:rPr>
                </w:pPr>
                <w:r>
                  <w:rPr>
                    <w:color w:val="231F20"/>
                    <w:w w:val="105"/>
                    <w:sz w:val="17"/>
                  </w:rPr>
                  <w:t>4.1</w:t>
                </w:r>
              </w:p>
              <w:p>
                <w:pPr>
                  <w:spacing w:before="20"/>
                  <w:ind w:left="20" w:right="0" w:firstLine="0"/>
                  <w:jc w:val="left"/>
                  <w:rPr>
                    <w:sz w:val="17"/>
                  </w:rPr>
                </w:pPr>
                <w:r>
                  <w:rPr>
                    <w:color w:val="231F20"/>
                    <w:w w:val="105"/>
                    <w:sz w:val="17"/>
                  </w:rPr>
                  <w:t>4.1</w:t>
                </w:r>
              </w:p>
            </w:txbxContent>
          </v:textbox>
          <w10:wrap type="none"/>
        </v:shape>
      </w:pict>
    </w:r>
    <w:r>
      <w:rPr/>
      <w:pict>
        <v:shape style="position:absolute;margin-left:571.010437pt;margin-top:332.058136pt;width:16.45pt;height:85.35pt;mso-position-horizontal-relative:page;mso-position-vertical-relative:page;z-index:-456568" type="#_x0000_t202" filled="false" stroked="false">
          <v:textbox inset="0,0,0,0">
            <w:txbxContent>
              <w:p>
                <w:pPr>
                  <w:spacing w:line="194" w:lineRule="exact" w:before="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28"/>
                  <w:ind w:left="20" w:right="0" w:firstLine="0"/>
                  <w:jc w:val="left"/>
                  <w:rPr>
                    <w:sz w:val="17"/>
                  </w:rPr>
                </w:pPr>
                <w:r>
                  <w:rPr>
                    <w:color w:val="231F20"/>
                    <w:sz w:val="17"/>
                  </w:rPr>
                  <w:t>100</w:t>
                </w:r>
              </w:p>
              <w:p>
                <w:pPr>
                  <w:spacing w:before="20"/>
                  <w:ind w:left="20" w:right="0" w:firstLine="0"/>
                  <w:jc w:val="left"/>
                  <w:rPr>
                    <w:sz w:val="17"/>
                  </w:rPr>
                </w:pPr>
                <w:r>
                  <w:rPr>
                    <w:color w:val="231F20"/>
                    <w:sz w:val="17"/>
                  </w:rPr>
                  <w:t>100</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8.226128pt;margin-top:338.935272pt;width:63.3pt;height:84pt;mso-position-horizontal-relative:page;mso-position-vertical-relative:page;z-index:-456544" type="#_x0000_t202" filled="false" stroked="false">
          <v:textbox inset="0,0,0,0">
            <w:txbxContent>
              <w:p>
                <w:pPr>
                  <w:spacing w:line="252" w:lineRule="auto" w:before="0"/>
                  <w:ind w:left="20" w:right="0" w:firstLine="0"/>
                  <w:jc w:val="left"/>
                  <w:rPr>
                    <w:sz w:val="17"/>
                  </w:rPr>
                </w:pPr>
                <w:r>
                  <w:rPr>
                    <w:color w:val="231F20"/>
                    <w:w w:val="110"/>
                    <w:sz w:val="17"/>
                  </w:rPr>
                  <w:t>Chihuahua </w:t>
                </w:r>
                <w:r>
                  <w:rPr>
                    <w:color w:val="231F20"/>
                    <w:w w:val="105"/>
                    <w:sz w:val="17"/>
                  </w:rPr>
                  <w:t>Distrito Federal </w:t>
                </w:r>
                <w:r>
                  <w:rPr>
                    <w:color w:val="231F20"/>
                    <w:w w:val="110"/>
                    <w:sz w:val="17"/>
                  </w:rPr>
                  <w:t>Durango Guanajuato Guerrero Hidalgo</w:t>
                </w:r>
              </w:p>
              <w:p>
                <w:pPr>
                  <w:spacing w:line="252" w:lineRule="auto" w:before="0"/>
                  <w:ind w:left="20" w:right="658" w:firstLine="0"/>
                  <w:jc w:val="left"/>
                  <w:rPr>
                    <w:sz w:val="17"/>
                  </w:rPr>
                </w:pPr>
                <w:r>
                  <w:rPr>
                    <w:color w:val="231F20"/>
                    <w:w w:val="115"/>
                    <w:sz w:val="17"/>
                  </w:rPr>
                  <w:t>Jalisco </w:t>
                </w:r>
                <w:r>
                  <w:rPr>
                    <w:color w:val="231F20"/>
                    <w:w w:val="110"/>
                    <w:sz w:val="17"/>
                  </w:rPr>
                  <w:t>México</w:t>
                </w:r>
              </w:p>
            </w:txbxContent>
          </v:textbox>
          <w10:wrap type="none"/>
        </v:shape>
      </w:pict>
    </w:r>
    <w:r>
      <w:rPr/>
      <w:pict>
        <v:shape style="position:absolute;margin-left:164.598282pt;margin-top:338.935272pt;width:18.7pt;height:84pt;mso-position-horizontal-relative:page;mso-position-vertical-relative:page;z-index:-456520" type="#_x0000_t202" filled="false" stroked="false">
          <v:textbox inset="0,0,0,0">
            <w:txbxContent>
              <w:p>
                <w:pPr>
                  <w:spacing w:line="194" w:lineRule="exact" w:before="0"/>
                  <w:ind w:left="20" w:right="0" w:firstLine="0"/>
                  <w:jc w:val="left"/>
                  <w:rPr>
                    <w:sz w:val="17"/>
                  </w:rPr>
                </w:pPr>
                <w:r>
                  <w:rPr>
                    <w:color w:val="231F20"/>
                    <w:w w:val="105"/>
                    <w:sz w:val="17"/>
                  </w:rPr>
                  <w:t>11.5</w:t>
                </w:r>
              </w:p>
              <w:p>
                <w:pPr>
                  <w:spacing w:before="10"/>
                  <w:ind w:left="20" w:right="0" w:firstLine="0"/>
                  <w:jc w:val="left"/>
                  <w:rPr>
                    <w:sz w:val="17"/>
                  </w:rPr>
                </w:pPr>
                <w:r>
                  <w:rPr>
                    <w:color w:val="231F20"/>
                    <w:w w:val="105"/>
                    <w:sz w:val="17"/>
                  </w:rPr>
                  <w:t>18.7</w:t>
                </w:r>
              </w:p>
              <w:p>
                <w:pPr>
                  <w:spacing w:before="10"/>
                  <w:ind w:left="20" w:right="0" w:firstLine="0"/>
                  <w:jc w:val="left"/>
                  <w:rPr>
                    <w:sz w:val="17"/>
                  </w:rPr>
                </w:pPr>
                <w:r>
                  <w:rPr>
                    <w:color w:val="231F20"/>
                    <w:w w:val="105"/>
                    <w:sz w:val="17"/>
                  </w:rPr>
                  <w:t>10.3</w:t>
                </w:r>
              </w:p>
              <w:p>
                <w:pPr>
                  <w:spacing w:before="10"/>
                  <w:ind w:left="20" w:right="0" w:firstLine="0"/>
                  <w:jc w:val="left"/>
                  <w:rPr>
                    <w:sz w:val="17"/>
                  </w:rPr>
                </w:pPr>
                <w:r>
                  <w:rPr>
                    <w:color w:val="231F20"/>
                    <w:w w:val="105"/>
                    <w:sz w:val="17"/>
                  </w:rPr>
                  <w:t>14.1</w:t>
                </w:r>
              </w:p>
              <w:p>
                <w:pPr>
                  <w:spacing w:before="10"/>
                  <w:ind w:left="68" w:right="0" w:firstLine="0"/>
                  <w:jc w:val="left"/>
                  <w:rPr>
                    <w:sz w:val="17"/>
                  </w:rPr>
                </w:pPr>
                <w:r>
                  <w:rPr>
                    <w:color w:val="231F20"/>
                    <w:w w:val="105"/>
                    <w:sz w:val="17"/>
                  </w:rPr>
                  <w:t>7.3</w:t>
                </w:r>
              </w:p>
              <w:p>
                <w:pPr>
                  <w:spacing w:before="10"/>
                  <w:ind w:left="68" w:right="0" w:firstLine="0"/>
                  <w:jc w:val="left"/>
                  <w:rPr>
                    <w:sz w:val="17"/>
                  </w:rPr>
                </w:pPr>
                <w:r>
                  <w:rPr>
                    <w:color w:val="231F20"/>
                    <w:w w:val="105"/>
                    <w:sz w:val="17"/>
                  </w:rPr>
                  <w:t>9.2</w:t>
                </w:r>
              </w:p>
              <w:p>
                <w:pPr>
                  <w:spacing w:before="10"/>
                  <w:ind w:left="20" w:right="0" w:firstLine="0"/>
                  <w:jc w:val="left"/>
                  <w:rPr>
                    <w:sz w:val="17"/>
                  </w:rPr>
                </w:pPr>
                <w:r>
                  <w:rPr>
                    <w:color w:val="231F20"/>
                    <w:w w:val="105"/>
                    <w:sz w:val="17"/>
                  </w:rPr>
                  <w:t>15.8</w:t>
                </w:r>
              </w:p>
              <w:p>
                <w:pPr>
                  <w:spacing w:before="10"/>
                  <w:ind w:left="20" w:right="0" w:firstLine="0"/>
                  <w:jc w:val="left"/>
                  <w:rPr>
                    <w:sz w:val="17"/>
                  </w:rPr>
                </w:pPr>
                <w:r>
                  <w:rPr>
                    <w:color w:val="231F20"/>
                    <w:w w:val="105"/>
                    <w:sz w:val="17"/>
                  </w:rPr>
                  <w:t>10.1</w:t>
                </w:r>
              </w:p>
            </w:txbxContent>
          </v:textbox>
          <w10:wrap type="none"/>
        </v:shape>
      </w:pict>
    </w:r>
    <w:r>
      <w:rPr/>
      <w:pict>
        <v:shape style="position:absolute;margin-left:207.328293pt;margin-top:338.935272pt;width:18.7pt;height:84pt;mso-position-horizontal-relative:page;mso-position-vertical-relative:page;z-index:-456496" type="#_x0000_t202" filled="false" stroked="false">
          <v:textbox inset="0,0,0,0">
            <w:txbxContent>
              <w:p>
                <w:pPr>
                  <w:spacing w:line="194" w:lineRule="exact" w:before="0"/>
                  <w:ind w:left="20" w:right="0" w:firstLine="0"/>
                  <w:jc w:val="left"/>
                  <w:rPr>
                    <w:sz w:val="17"/>
                  </w:rPr>
                </w:pPr>
                <w:r>
                  <w:rPr>
                    <w:color w:val="231F20"/>
                    <w:w w:val="105"/>
                    <w:sz w:val="17"/>
                  </w:rPr>
                  <w:t>73.4</w:t>
                </w:r>
              </w:p>
              <w:p>
                <w:pPr>
                  <w:spacing w:before="10"/>
                  <w:ind w:left="20" w:right="0" w:firstLine="0"/>
                  <w:jc w:val="left"/>
                  <w:rPr>
                    <w:sz w:val="17"/>
                  </w:rPr>
                </w:pPr>
                <w:r>
                  <w:rPr>
                    <w:color w:val="231F20"/>
                    <w:w w:val="105"/>
                    <w:sz w:val="17"/>
                  </w:rPr>
                  <w:t>64.8</w:t>
                </w:r>
              </w:p>
              <w:p>
                <w:pPr>
                  <w:spacing w:before="10"/>
                  <w:ind w:left="20" w:right="0" w:firstLine="0"/>
                  <w:jc w:val="left"/>
                  <w:rPr>
                    <w:sz w:val="17"/>
                  </w:rPr>
                </w:pPr>
                <w:r>
                  <w:rPr>
                    <w:color w:val="231F20"/>
                    <w:w w:val="105"/>
                    <w:sz w:val="17"/>
                  </w:rPr>
                  <w:t>75.6</w:t>
                </w:r>
              </w:p>
              <w:p>
                <w:pPr>
                  <w:spacing w:before="10"/>
                  <w:ind w:left="20" w:right="0" w:firstLine="0"/>
                  <w:jc w:val="left"/>
                  <w:rPr>
                    <w:sz w:val="17"/>
                  </w:rPr>
                </w:pPr>
                <w:r>
                  <w:rPr>
                    <w:color w:val="231F20"/>
                    <w:w w:val="105"/>
                    <w:sz w:val="17"/>
                  </w:rPr>
                  <w:t>80.1</w:t>
                </w:r>
              </w:p>
              <w:p>
                <w:pPr>
                  <w:spacing w:before="10"/>
                  <w:ind w:left="20" w:right="0" w:firstLine="0"/>
                  <w:jc w:val="left"/>
                  <w:rPr>
                    <w:sz w:val="17"/>
                  </w:rPr>
                </w:pPr>
                <w:r>
                  <w:rPr>
                    <w:color w:val="231F20"/>
                    <w:w w:val="105"/>
                    <w:sz w:val="17"/>
                  </w:rPr>
                  <w:t>74.8</w:t>
                </w:r>
              </w:p>
              <w:p>
                <w:pPr>
                  <w:spacing w:before="10"/>
                  <w:ind w:left="20" w:right="0" w:firstLine="0"/>
                  <w:jc w:val="left"/>
                  <w:rPr>
                    <w:sz w:val="17"/>
                  </w:rPr>
                </w:pPr>
                <w:r>
                  <w:rPr>
                    <w:color w:val="231F20"/>
                    <w:w w:val="105"/>
                    <w:sz w:val="17"/>
                  </w:rPr>
                  <w:t>67.9</w:t>
                </w:r>
              </w:p>
              <w:p>
                <w:pPr>
                  <w:spacing w:before="10"/>
                  <w:ind w:left="20" w:right="0" w:firstLine="0"/>
                  <w:jc w:val="left"/>
                  <w:rPr>
                    <w:sz w:val="17"/>
                  </w:rPr>
                </w:pPr>
                <w:r>
                  <w:rPr>
                    <w:color w:val="231F20"/>
                    <w:w w:val="105"/>
                    <w:sz w:val="17"/>
                  </w:rPr>
                  <w:t>75.9</w:t>
                </w:r>
              </w:p>
              <w:p>
                <w:pPr>
                  <w:spacing w:before="10"/>
                  <w:ind w:left="20" w:right="0" w:firstLine="0"/>
                  <w:jc w:val="left"/>
                  <w:rPr>
                    <w:sz w:val="17"/>
                  </w:rPr>
                </w:pPr>
                <w:r>
                  <w:rPr>
                    <w:color w:val="231F20"/>
                    <w:w w:val="105"/>
                    <w:sz w:val="17"/>
                  </w:rPr>
                  <w:t>74.8</w:t>
                </w:r>
              </w:p>
            </w:txbxContent>
          </v:textbox>
          <w10:wrap type="none"/>
        </v:shape>
      </w:pict>
    </w:r>
    <w:r>
      <w:rPr/>
      <w:pict>
        <v:shape style="position:absolute;margin-left:255.841873pt;margin-top:338.935272pt;width:18.7pt;height:84pt;mso-position-horizontal-relative:page;mso-position-vertical-relative:page;z-index:-456472" type="#_x0000_t202" filled="false" stroked="false">
          <v:textbox inset="0,0,0,0">
            <w:txbxContent>
              <w:p>
                <w:pPr>
                  <w:spacing w:line="194" w:lineRule="exact" w:before="0"/>
                  <w:ind w:left="116" w:right="0" w:firstLine="0"/>
                  <w:jc w:val="left"/>
                  <w:rPr>
                    <w:sz w:val="17"/>
                  </w:rPr>
                </w:pPr>
                <w:r>
                  <w:rPr>
                    <w:color w:val="231F20"/>
                    <w:w w:val="105"/>
                    <w:sz w:val="17"/>
                  </w:rPr>
                  <w:t>8.9</w:t>
                </w:r>
              </w:p>
              <w:p>
                <w:pPr>
                  <w:spacing w:before="10"/>
                  <w:ind w:left="116" w:right="0" w:firstLine="0"/>
                  <w:jc w:val="left"/>
                  <w:rPr>
                    <w:sz w:val="17"/>
                  </w:rPr>
                </w:pPr>
                <w:r>
                  <w:rPr>
                    <w:color w:val="231F20"/>
                    <w:w w:val="105"/>
                    <w:sz w:val="17"/>
                  </w:rPr>
                  <w:t>9.4</w:t>
                </w:r>
              </w:p>
              <w:p>
                <w:pPr>
                  <w:spacing w:before="10"/>
                  <w:ind w:left="116" w:right="0" w:firstLine="0"/>
                  <w:jc w:val="left"/>
                  <w:rPr>
                    <w:sz w:val="17"/>
                  </w:rPr>
                </w:pPr>
                <w:r>
                  <w:rPr>
                    <w:color w:val="231F20"/>
                    <w:w w:val="105"/>
                    <w:sz w:val="17"/>
                  </w:rPr>
                  <w:t>8.5</w:t>
                </w:r>
              </w:p>
              <w:p>
                <w:pPr>
                  <w:spacing w:before="10"/>
                  <w:ind w:left="116" w:right="0" w:firstLine="0"/>
                  <w:jc w:val="left"/>
                  <w:rPr>
                    <w:sz w:val="17"/>
                  </w:rPr>
                </w:pPr>
                <w:r>
                  <w:rPr>
                    <w:color w:val="231F20"/>
                    <w:w w:val="105"/>
                    <w:sz w:val="17"/>
                  </w:rPr>
                  <w:t>2.5</w:t>
                </w:r>
              </w:p>
              <w:p>
                <w:pPr>
                  <w:spacing w:before="10"/>
                  <w:ind w:left="20" w:right="0" w:firstLine="0"/>
                  <w:jc w:val="left"/>
                  <w:rPr>
                    <w:sz w:val="17"/>
                  </w:rPr>
                </w:pPr>
                <w:r>
                  <w:rPr>
                    <w:color w:val="231F20"/>
                    <w:w w:val="105"/>
                    <w:sz w:val="17"/>
                  </w:rPr>
                  <w:t>10.9</w:t>
                </w:r>
              </w:p>
              <w:p>
                <w:pPr>
                  <w:spacing w:before="10"/>
                  <w:ind w:left="20" w:right="0" w:firstLine="0"/>
                  <w:jc w:val="left"/>
                  <w:rPr>
                    <w:sz w:val="17"/>
                  </w:rPr>
                </w:pPr>
                <w:r>
                  <w:rPr>
                    <w:color w:val="231F20"/>
                    <w:w w:val="105"/>
                    <w:sz w:val="17"/>
                  </w:rPr>
                  <w:t>17.1</w:t>
                </w:r>
              </w:p>
              <w:p>
                <w:pPr>
                  <w:spacing w:before="10"/>
                  <w:ind w:left="116" w:right="0" w:firstLine="0"/>
                  <w:jc w:val="left"/>
                  <w:rPr>
                    <w:sz w:val="17"/>
                  </w:rPr>
                </w:pPr>
                <w:r>
                  <w:rPr>
                    <w:color w:val="231F20"/>
                    <w:w w:val="105"/>
                    <w:sz w:val="17"/>
                  </w:rPr>
                  <w:t>4.3</w:t>
                </w:r>
              </w:p>
              <w:p>
                <w:pPr>
                  <w:spacing w:before="10"/>
                  <w:ind w:left="116" w:right="0" w:firstLine="0"/>
                  <w:jc w:val="left"/>
                  <w:rPr>
                    <w:sz w:val="17"/>
                  </w:rPr>
                </w:pPr>
                <w:r>
                  <w:rPr>
                    <w:color w:val="231F20"/>
                    <w:w w:val="105"/>
                    <w:sz w:val="17"/>
                  </w:rPr>
                  <w:t>9.8</w:t>
                </w:r>
              </w:p>
            </w:txbxContent>
          </v:textbox>
          <w10:wrap type="none"/>
        </v:shape>
      </w:pict>
    </w:r>
    <w:r>
      <w:rPr/>
      <w:pict>
        <v:shape style="position:absolute;margin-left:306.938843pt;margin-top:338.935272pt;width:13.85pt;height:84pt;mso-position-horizontal-relative:page;mso-position-vertical-relative:page;z-index:-456448" type="#_x0000_t202" filled="false" stroked="false">
          <v:textbox inset="0,0,0,0">
            <w:txbxContent>
              <w:p>
                <w:pPr>
                  <w:spacing w:line="194" w:lineRule="exact" w:before="0"/>
                  <w:ind w:left="20" w:right="0" w:firstLine="0"/>
                  <w:jc w:val="left"/>
                  <w:rPr>
                    <w:sz w:val="17"/>
                  </w:rPr>
                </w:pPr>
                <w:r>
                  <w:rPr>
                    <w:color w:val="231F20"/>
                    <w:w w:val="105"/>
                    <w:sz w:val="17"/>
                  </w:rPr>
                  <w:t>6.2</w:t>
                </w:r>
              </w:p>
              <w:p>
                <w:pPr>
                  <w:spacing w:before="10"/>
                  <w:ind w:left="20" w:right="0" w:firstLine="0"/>
                  <w:jc w:val="left"/>
                  <w:rPr>
                    <w:sz w:val="17"/>
                  </w:rPr>
                </w:pPr>
                <w:r>
                  <w:rPr>
                    <w:color w:val="231F20"/>
                    <w:w w:val="105"/>
                    <w:sz w:val="17"/>
                  </w:rPr>
                  <w:t>7.1</w:t>
                </w:r>
              </w:p>
              <w:p>
                <w:pPr>
                  <w:spacing w:before="10"/>
                  <w:ind w:left="20" w:right="0" w:firstLine="0"/>
                  <w:jc w:val="left"/>
                  <w:rPr>
                    <w:sz w:val="17"/>
                  </w:rPr>
                </w:pPr>
                <w:r>
                  <w:rPr>
                    <w:color w:val="231F20"/>
                    <w:w w:val="105"/>
                    <w:sz w:val="17"/>
                  </w:rPr>
                  <w:t>5.7</w:t>
                </w:r>
              </w:p>
              <w:p>
                <w:pPr>
                  <w:spacing w:before="10"/>
                  <w:ind w:left="20" w:right="0" w:firstLine="0"/>
                  <w:jc w:val="left"/>
                  <w:rPr>
                    <w:sz w:val="17"/>
                  </w:rPr>
                </w:pPr>
                <w:r>
                  <w:rPr>
                    <w:color w:val="231F20"/>
                    <w:w w:val="105"/>
                    <w:sz w:val="17"/>
                  </w:rPr>
                  <w:t>3.3</w:t>
                </w:r>
              </w:p>
              <w:p>
                <w:pPr>
                  <w:spacing w:before="10"/>
                  <w:ind w:left="20" w:right="0" w:firstLine="0"/>
                  <w:jc w:val="left"/>
                  <w:rPr>
                    <w:sz w:val="17"/>
                  </w:rPr>
                </w:pPr>
                <w:r>
                  <w:rPr>
                    <w:color w:val="231F20"/>
                    <w:w w:val="105"/>
                    <w:sz w:val="17"/>
                  </w:rPr>
                  <w:t>7.0</w:t>
                </w:r>
              </w:p>
              <w:p>
                <w:pPr>
                  <w:spacing w:before="10"/>
                  <w:ind w:left="20" w:right="0" w:firstLine="0"/>
                  <w:jc w:val="left"/>
                  <w:rPr>
                    <w:sz w:val="17"/>
                  </w:rPr>
                </w:pPr>
                <w:r>
                  <w:rPr>
                    <w:color w:val="231F20"/>
                    <w:w w:val="105"/>
                    <w:sz w:val="17"/>
                  </w:rPr>
                  <w:t>5.8</w:t>
                </w:r>
              </w:p>
              <w:p>
                <w:pPr>
                  <w:spacing w:before="10"/>
                  <w:ind w:left="20" w:right="0" w:firstLine="0"/>
                  <w:jc w:val="left"/>
                  <w:rPr>
                    <w:sz w:val="17"/>
                  </w:rPr>
                </w:pPr>
                <w:r>
                  <w:rPr>
                    <w:color w:val="231F20"/>
                    <w:w w:val="105"/>
                    <w:sz w:val="17"/>
                  </w:rPr>
                  <w:t>4.0</w:t>
                </w:r>
              </w:p>
              <w:p>
                <w:pPr>
                  <w:spacing w:before="10"/>
                  <w:ind w:left="20" w:right="0" w:firstLine="0"/>
                  <w:jc w:val="left"/>
                  <w:rPr>
                    <w:sz w:val="17"/>
                  </w:rPr>
                </w:pPr>
                <w:r>
                  <w:rPr>
                    <w:color w:val="231F20"/>
                    <w:w w:val="105"/>
                    <w:sz w:val="17"/>
                  </w:rPr>
                  <w:t>5.4</w:t>
                </w:r>
              </w:p>
            </w:txbxContent>
          </v:textbox>
          <w10:wrap type="none"/>
        </v:shape>
      </w:pict>
    </w:r>
    <w:r>
      <w:rPr/>
      <w:pict>
        <v:shape style="position:absolute;margin-left:348.691956pt;margin-top:338.935272pt;width:16.45pt;height:84pt;mso-position-horizontal-relative:page;mso-position-vertical-relative:page;z-index:-456424" type="#_x0000_t202" filled="false" stroked="false">
          <v:textbox inset="0,0,0,0">
            <w:txbxContent>
              <w:p>
                <w:pPr>
                  <w:spacing w:line="194" w:lineRule="exact" w:before="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txbxContent>
          </v:textbox>
          <w10:wrap type="none"/>
        </v:shape>
      </w:pict>
    </w:r>
    <w:r>
      <w:rPr/>
      <w:pict>
        <v:shape style="position:absolute;margin-left:385.164093pt;margin-top:338.935272pt;width:18.7pt;height:84pt;mso-position-horizontal-relative:page;mso-position-vertical-relative:page;z-index:-456400" type="#_x0000_t202" filled="false" stroked="false">
          <v:textbox inset="0,0,0,0">
            <w:txbxContent>
              <w:p>
                <w:pPr>
                  <w:spacing w:line="194" w:lineRule="exact" w:before="0"/>
                  <w:ind w:left="20" w:right="0" w:firstLine="0"/>
                  <w:jc w:val="left"/>
                  <w:rPr>
                    <w:sz w:val="17"/>
                  </w:rPr>
                </w:pPr>
                <w:r>
                  <w:rPr>
                    <w:color w:val="231F20"/>
                    <w:w w:val="105"/>
                    <w:sz w:val="17"/>
                  </w:rPr>
                  <w:t>13.3</w:t>
                </w:r>
              </w:p>
              <w:p>
                <w:pPr>
                  <w:spacing w:before="10"/>
                  <w:ind w:left="20" w:right="0" w:firstLine="0"/>
                  <w:jc w:val="left"/>
                  <w:rPr>
                    <w:sz w:val="17"/>
                  </w:rPr>
                </w:pPr>
                <w:r>
                  <w:rPr>
                    <w:color w:val="231F20"/>
                    <w:w w:val="105"/>
                    <w:sz w:val="17"/>
                  </w:rPr>
                  <w:t>28.0</w:t>
                </w:r>
              </w:p>
              <w:p>
                <w:pPr>
                  <w:spacing w:before="10"/>
                  <w:ind w:left="20" w:right="0" w:firstLine="0"/>
                  <w:jc w:val="left"/>
                  <w:rPr>
                    <w:sz w:val="17"/>
                  </w:rPr>
                </w:pPr>
                <w:r>
                  <w:rPr>
                    <w:color w:val="231F20"/>
                    <w:w w:val="105"/>
                    <w:sz w:val="17"/>
                  </w:rPr>
                  <w:t>14.6</w:t>
                </w:r>
              </w:p>
              <w:p>
                <w:pPr>
                  <w:spacing w:before="10"/>
                  <w:ind w:left="20" w:right="0" w:firstLine="0"/>
                  <w:jc w:val="left"/>
                  <w:rPr>
                    <w:sz w:val="17"/>
                  </w:rPr>
                </w:pPr>
                <w:r>
                  <w:rPr>
                    <w:color w:val="231F20"/>
                    <w:w w:val="105"/>
                    <w:sz w:val="17"/>
                  </w:rPr>
                  <w:t>18.5</w:t>
                </w:r>
              </w:p>
              <w:p>
                <w:pPr>
                  <w:spacing w:before="10"/>
                  <w:ind w:left="20" w:right="0" w:firstLine="0"/>
                  <w:jc w:val="left"/>
                  <w:rPr>
                    <w:sz w:val="17"/>
                  </w:rPr>
                </w:pPr>
                <w:r>
                  <w:rPr>
                    <w:color w:val="231F20"/>
                    <w:w w:val="105"/>
                    <w:sz w:val="17"/>
                  </w:rPr>
                  <w:t>13.2</w:t>
                </w:r>
              </w:p>
              <w:p>
                <w:pPr>
                  <w:spacing w:before="10"/>
                  <w:ind w:left="20" w:right="0" w:firstLine="0"/>
                  <w:jc w:val="left"/>
                  <w:rPr>
                    <w:sz w:val="17"/>
                  </w:rPr>
                </w:pPr>
                <w:r>
                  <w:rPr>
                    <w:color w:val="231F20"/>
                    <w:w w:val="105"/>
                    <w:sz w:val="17"/>
                  </w:rPr>
                  <w:t>15.1</w:t>
                </w:r>
              </w:p>
              <w:p>
                <w:pPr>
                  <w:spacing w:before="10"/>
                  <w:ind w:left="20" w:right="0" w:firstLine="0"/>
                  <w:jc w:val="left"/>
                  <w:rPr>
                    <w:sz w:val="17"/>
                  </w:rPr>
                </w:pPr>
                <w:r>
                  <w:rPr>
                    <w:color w:val="231F20"/>
                    <w:w w:val="105"/>
                    <w:sz w:val="17"/>
                  </w:rPr>
                  <w:t>19.5</w:t>
                </w:r>
              </w:p>
              <w:p>
                <w:pPr>
                  <w:spacing w:before="10"/>
                  <w:ind w:left="20" w:right="0" w:firstLine="0"/>
                  <w:jc w:val="left"/>
                  <w:rPr>
                    <w:sz w:val="17"/>
                  </w:rPr>
                </w:pPr>
                <w:r>
                  <w:rPr>
                    <w:color w:val="231F20"/>
                    <w:w w:val="105"/>
                    <w:sz w:val="17"/>
                  </w:rPr>
                  <w:t>17.9</w:t>
                </w:r>
              </w:p>
            </w:txbxContent>
          </v:textbox>
          <w10:wrap type="none"/>
        </v:shape>
      </w:pict>
    </w:r>
    <w:r>
      <w:rPr/>
      <w:pict>
        <v:shape style="position:absolute;margin-left:425.586517pt;margin-top:338.935272pt;width:19.7pt;height:84pt;mso-position-horizontal-relative:page;mso-position-vertical-relative:page;z-index:-456376" type="#_x0000_t202" filled="false" stroked="false">
          <v:textbox inset="0,0,0,0">
            <w:txbxContent>
              <w:p>
                <w:pPr>
                  <w:spacing w:line="194" w:lineRule="exact" w:before="0"/>
                  <w:ind w:left="20" w:right="0" w:firstLine="0"/>
                  <w:jc w:val="left"/>
                  <w:rPr>
                    <w:sz w:val="17"/>
                  </w:rPr>
                </w:pPr>
                <w:r>
                  <w:rPr>
                    <w:color w:val="231F20"/>
                    <w:w w:val="105"/>
                    <w:sz w:val="17"/>
                  </w:rPr>
                  <w:t>51.1</w:t>
                </w:r>
              </w:p>
              <w:p>
                <w:pPr>
                  <w:spacing w:before="10"/>
                  <w:ind w:left="20" w:right="0" w:firstLine="0"/>
                  <w:jc w:val="left"/>
                  <w:rPr>
                    <w:sz w:val="17"/>
                  </w:rPr>
                </w:pPr>
                <w:r>
                  <w:rPr>
                    <w:color w:val="231F20"/>
                    <w:w w:val="105"/>
                    <w:sz w:val="17"/>
                  </w:rPr>
                  <w:t>40.2</w:t>
                </w:r>
              </w:p>
              <w:p>
                <w:pPr>
                  <w:spacing w:before="10"/>
                  <w:ind w:left="20" w:right="0" w:firstLine="0"/>
                  <w:jc w:val="left"/>
                  <w:rPr>
                    <w:sz w:val="17"/>
                  </w:rPr>
                </w:pPr>
                <w:r>
                  <w:rPr>
                    <w:color w:val="231F20"/>
                    <w:w w:val="105"/>
                    <w:sz w:val="17"/>
                  </w:rPr>
                  <w:t>55.</w:t>
                </w:r>
                <w:r>
                  <w:rPr/>
                  <w:fldChar w:fldCharType="begin"/>
                </w:r>
                <w:r>
                  <w:rPr>
                    <w:color w:val="231F20"/>
                    <w:w w:val="105"/>
                    <w:sz w:val="17"/>
                  </w:rPr>
                  <w:instrText> PAGE </w:instrText>
                </w:r>
                <w:r>
                  <w:rPr/>
                  <w:fldChar w:fldCharType="separate"/>
                </w:r>
                <w:r>
                  <w:rPr/>
                  <w:t>6</w:t>
                </w:r>
                <w:r>
                  <w:rPr/>
                  <w:fldChar w:fldCharType="end"/>
                </w:r>
              </w:p>
              <w:p>
                <w:pPr>
                  <w:spacing w:before="10"/>
                  <w:ind w:left="20" w:right="0" w:firstLine="0"/>
                  <w:jc w:val="left"/>
                  <w:rPr>
                    <w:sz w:val="17"/>
                  </w:rPr>
                </w:pPr>
                <w:r>
                  <w:rPr>
                    <w:color w:val="231F20"/>
                    <w:w w:val="105"/>
                    <w:sz w:val="17"/>
                  </w:rPr>
                  <w:t>66.4</w:t>
                </w:r>
              </w:p>
              <w:p>
                <w:pPr>
                  <w:spacing w:before="10"/>
                  <w:ind w:left="20" w:right="0" w:firstLine="0"/>
                  <w:jc w:val="left"/>
                  <w:rPr>
                    <w:sz w:val="17"/>
                  </w:rPr>
                </w:pPr>
                <w:r>
                  <w:rPr>
                    <w:color w:val="231F20"/>
                    <w:w w:val="105"/>
                    <w:sz w:val="17"/>
                  </w:rPr>
                  <w:t>58.5</w:t>
                </w:r>
              </w:p>
              <w:p>
                <w:pPr>
                  <w:spacing w:before="10"/>
                  <w:ind w:left="20" w:right="0" w:firstLine="0"/>
                  <w:jc w:val="left"/>
                  <w:rPr>
                    <w:sz w:val="17"/>
                  </w:rPr>
                </w:pPr>
                <w:r>
                  <w:rPr>
                    <w:color w:val="231F20"/>
                    <w:w w:val="105"/>
                    <w:sz w:val="17"/>
                  </w:rPr>
                  <w:t>47.4</w:t>
                </w:r>
              </w:p>
              <w:p>
                <w:pPr>
                  <w:spacing w:before="10"/>
                  <w:ind w:left="20" w:right="0" w:firstLine="0"/>
                  <w:jc w:val="left"/>
                  <w:rPr>
                    <w:sz w:val="17"/>
                  </w:rPr>
                </w:pPr>
                <w:r>
                  <w:rPr>
                    <w:color w:val="231F20"/>
                    <w:w w:val="105"/>
                    <w:sz w:val="17"/>
                  </w:rPr>
                  <w:t>59.5</w:t>
                </w:r>
              </w:p>
              <w:p>
                <w:pPr>
                  <w:spacing w:before="10"/>
                  <w:ind w:left="20" w:right="0" w:firstLine="0"/>
                  <w:jc w:val="left"/>
                  <w:rPr>
                    <w:sz w:val="17"/>
                  </w:rPr>
                </w:pPr>
                <w:r>
                  <w:rPr>
                    <w:color w:val="231F20"/>
                    <w:w w:val="105"/>
                    <w:sz w:val="17"/>
                  </w:rPr>
                  <w:t>50.7</w:t>
                </w:r>
              </w:p>
            </w:txbxContent>
          </v:textbox>
          <w10:wrap type="none"/>
        </v:shape>
      </w:pict>
    </w:r>
    <w:r>
      <w:rPr/>
      <w:pict>
        <v:shape style="position:absolute;margin-left:472.636658pt;margin-top:338.935272pt;width:18.7pt;height:84pt;mso-position-horizontal-relative:page;mso-position-vertical-relative:page;z-index:-456352" type="#_x0000_t202" filled="false" stroked="false">
          <v:textbox inset="0,0,0,0">
            <w:txbxContent>
              <w:p>
                <w:pPr>
                  <w:spacing w:line="194" w:lineRule="exact" w:before="0"/>
                  <w:ind w:left="20" w:right="0" w:firstLine="0"/>
                  <w:jc w:val="left"/>
                  <w:rPr>
                    <w:sz w:val="17"/>
                  </w:rPr>
                </w:pPr>
                <w:r>
                  <w:rPr>
                    <w:color w:val="231F20"/>
                    <w:w w:val="105"/>
                    <w:sz w:val="17"/>
                  </w:rPr>
                  <w:t>26.1</w:t>
                </w:r>
              </w:p>
              <w:p>
                <w:pPr>
                  <w:spacing w:before="10"/>
                  <w:ind w:left="20" w:right="0" w:firstLine="0"/>
                  <w:jc w:val="left"/>
                  <w:rPr>
                    <w:sz w:val="17"/>
                  </w:rPr>
                </w:pPr>
                <w:r>
                  <w:rPr>
                    <w:color w:val="231F20"/>
                    <w:w w:val="105"/>
                    <w:sz w:val="17"/>
                  </w:rPr>
                  <w:t>22.0</w:t>
                </w:r>
              </w:p>
              <w:p>
                <w:pPr>
                  <w:spacing w:before="10"/>
                  <w:ind w:left="20" w:right="0" w:firstLine="0"/>
                  <w:jc w:val="left"/>
                  <w:rPr>
                    <w:sz w:val="17"/>
                  </w:rPr>
                </w:pPr>
                <w:r>
                  <w:rPr>
                    <w:color w:val="231F20"/>
                    <w:w w:val="105"/>
                    <w:sz w:val="17"/>
                  </w:rPr>
                  <w:t>20.6</w:t>
                </w:r>
              </w:p>
              <w:p>
                <w:pPr>
                  <w:spacing w:before="10"/>
                  <w:ind w:left="116" w:right="0" w:firstLine="0"/>
                  <w:jc w:val="left"/>
                  <w:rPr>
                    <w:sz w:val="17"/>
                  </w:rPr>
                </w:pPr>
                <w:r>
                  <w:rPr>
                    <w:color w:val="231F20"/>
                    <w:w w:val="105"/>
                    <w:sz w:val="17"/>
                  </w:rPr>
                  <w:t>8.9</w:t>
                </w:r>
              </w:p>
              <w:p>
                <w:pPr>
                  <w:spacing w:before="10"/>
                  <w:ind w:left="20" w:right="0" w:firstLine="0"/>
                  <w:jc w:val="left"/>
                  <w:rPr>
                    <w:sz w:val="17"/>
                  </w:rPr>
                </w:pPr>
                <w:r>
                  <w:rPr>
                    <w:color w:val="231F20"/>
                    <w:w w:val="105"/>
                    <w:sz w:val="17"/>
                  </w:rPr>
                  <w:t>18.3</w:t>
                </w:r>
              </w:p>
              <w:p>
                <w:pPr>
                  <w:spacing w:before="10"/>
                  <w:ind w:left="20" w:right="0" w:firstLine="0"/>
                  <w:jc w:val="left"/>
                  <w:rPr>
                    <w:sz w:val="17"/>
                  </w:rPr>
                </w:pPr>
                <w:r>
                  <w:rPr>
                    <w:color w:val="231F20"/>
                    <w:w w:val="105"/>
                    <w:sz w:val="17"/>
                  </w:rPr>
                  <w:t>29.0</w:t>
                </w:r>
              </w:p>
              <w:p>
                <w:pPr>
                  <w:spacing w:before="10"/>
                  <w:ind w:left="20" w:right="0" w:firstLine="0"/>
                  <w:jc w:val="left"/>
                  <w:rPr>
                    <w:sz w:val="17"/>
                  </w:rPr>
                </w:pPr>
                <w:r>
                  <w:rPr>
                    <w:color w:val="231F20"/>
                    <w:w w:val="105"/>
                    <w:sz w:val="17"/>
                  </w:rPr>
                  <w:t>13.5</w:t>
                </w:r>
              </w:p>
              <w:p>
                <w:pPr>
                  <w:spacing w:before="10"/>
                  <w:ind w:left="20" w:right="0" w:firstLine="0"/>
                  <w:jc w:val="left"/>
                  <w:rPr>
                    <w:sz w:val="17"/>
                  </w:rPr>
                </w:pPr>
                <w:r>
                  <w:rPr>
                    <w:color w:val="231F20"/>
                    <w:w w:val="105"/>
                    <w:sz w:val="17"/>
                  </w:rPr>
                  <w:t>22.5</w:t>
                </w:r>
              </w:p>
            </w:txbxContent>
          </v:textbox>
          <w10:wrap type="none"/>
        </v:shape>
      </w:pict>
    </w:r>
    <w:r>
      <w:rPr/>
      <w:pict>
        <v:shape style="position:absolute;margin-left:524.486267pt;margin-top:338.935272pt;width:13.85pt;height:84pt;mso-position-horizontal-relative:page;mso-position-vertical-relative:page;z-index:-456328" type="#_x0000_t202" filled="false" stroked="false">
          <v:textbox inset="0,0,0,0">
            <w:txbxContent>
              <w:p>
                <w:pPr>
                  <w:spacing w:line="194" w:lineRule="exact" w:before="0"/>
                  <w:ind w:left="20" w:right="0" w:firstLine="0"/>
                  <w:jc w:val="left"/>
                  <w:rPr>
                    <w:sz w:val="17"/>
                  </w:rPr>
                </w:pPr>
                <w:r>
                  <w:rPr>
                    <w:color w:val="231F20"/>
                    <w:w w:val="105"/>
                    <w:sz w:val="17"/>
                  </w:rPr>
                  <w:t>9.5</w:t>
                </w:r>
              </w:p>
              <w:p>
                <w:pPr>
                  <w:spacing w:before="10"/>
                  <w:ind w:left="20" w:right="0" w:firstLine="0"/>
                  <w:jc w:val="left"/>
                  <w:rPr>
                    <w:sz w:val="17"/>
                  </w:rPr>
                </w:pPr>
                <w:r>
                  <w:rPr>
                    <w:color w:val="231F20"/>
                    <w:w w:val="105"/>
                    <w:sz w:val="17"/>
                  </w:rPr>
                  <w:t>9.8</w:t>
                </w:r>
              </w:p>
              <w:p>
                <w:pPr>
                  <w:spacing w:before="10"/>
                  <w:ind w:left="20" w:right="0" w:firstLine="0"/>
                  <w:jc w:val="left"/>
                  <w:rPr>
                    <w:sz w:val="17"/>
                  </w:rPr>
                </w:pPr>
                <w:r>
                  <w:rPr>
                    <w:color w:val="231F20"/>
                    <w:w w:val="105"/>
                    <w:sz w:val="17"/>
                  </w:rPr>
                  <w:t>9.2</w:t>
                </w:r>
              </w:p>
              <w:p>
                <w:pPr>
                  <w:spacing w:before="10"/>
                  <w:ind w:left="20" w:right="0" w:firstLine="0"/>
                  <w:jc w:val="left"/>
                  <w:rPr>
                    <w:sz w:val="17"/>
                  </w:rPr>
                </w:pPr>
                <w:r>
                  <w:rPr>
                    <w:color w:val="231F20"/>
                    <w:w w:val="105"/>
                    <w:sz w:val="17"/>
                  </w:rPr>
                  <w:t>6.1</w:t>
                </w:r>
              </w:p>
              <w:p>
                <w:pPr>
                  <w:spacing w:before="10"/>
                  <w:ind w:left="20" w:right="0" w:firstLine="0"/>
                  <w:jc w:val="left"/>
                  <w:rPr>
                    <w:sz w:val="17"/>
                  </w:rPr>
                </w:pPr>
                <w:r>
                  <w:rPr>
                    <w:color w:val="231F20"/>
                    <w:w w:val="105"/>
                    <w:sz w:val="17"/>
                  </w:rPr>
                  <w:t>9.9</w:t>
                </w:r>
              </w:p>
              <w:p>
                <w:pPr>
                  <w:spacing w:before="10"/>
                  <w:ind w:left="20" w:right="0" w:firstLine="0"/>
                  <w:jc w:val="left"/>
                  <w:rPr>
                    <w:sz w:val="17"/>
                  </w:rPr>
                </w:pPr>
                <w:r>
                  <w:rPr>
                    <w:color w:val="231F20"/>
                    <w:w w:val="105"/>
                    <w:sz w:val="17"/>
                  </w:rPr>
                  <w:t>8.5</w:t>
                </w:r>
              </w:p>
              <w:p>
                <w:pPr>
                  <w:spacing w:before="10"/>
                  <w:ind w:left="20" w:right="0" w:firstLine="0"/>
                  <w:jc w:val="left"/>
                  <w:rPr>
                    <w:sz w:val="17"/>
                  </w:rPr>
                </w:pPr>
                <w:r>
                  <w:rPr>
                    <w:color w:val="231F20"/>
                    <w:w w:val="105"/>
                    <w:sz w:val="17"/>
                  </w:rPr>
                  <w:t>7.4</w:t>
                </w:r>
              </w:p>
              <w:p>
                <w:pPr>
                  <w:spacing w:before="10"/>
                  <w:ind w:left="20" w:right="0" w:firstLine="0"/>
                  <w:jc w:val="left"/>
                  <w:rPr>
                    <w:sz w:val="17"/>
                  </w:rPr>
                </w:pPr>
                <w:r>
                  <w:rPr>
                    <w:color w:val="231F20"/>
                    <w:w w:val="105"/>
                    <w:sz w:val="17"/>
                  </w:rPr>
                  <w:t>9.0</w:t>
                </w:r>
              </w:p>
            </w:txbxContent>
          </v:textbox>
          <w10:wrap type="none"/>
        </v:shape>
      </w:pict>
    </w:r>
    <w:r>
      <w:rPr/>
      <w:pict>
        <v:shape style="position:absolute;margin-left:568.56366pt;margin-top:338.935272pt;width:16.45pt;height:84pt;mso-position-horizontal-relative:page;mso-position-vertical-relative:page;z-index:-456304" type="#_x0000_t202" filled="false" stroked="false">
          <v:textbox inset="0,0,0,0">
            <w:txbxContent>
              <w:p>
                <w:pPr>
                  <w:spacing w:line="194" w:lineRule="exact" w:before="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8.225449pt;margin-top:338.935272pt;width:63.3pt;height:84pt;mso-position-horizontal-relative:page;mso-position-vertical-relative:page;z-index:-456280" type="#_x0000_t202" filled="false" stroked="false">
          <v:textbox inset="0,0,0,0">
            <w:txbxContent>
              <w:p>
                <w:pPr>
                  <w:spacing w:line="252" w:lineRule="auto" w:before="0"/>
                  <w:ind w:left="20" w:right="0" w:firstLine="0"/>
                  <w:jc w:val="left"/>
                  <w:rPr>
                    <w:sz w:val="17"/>
                  </w:rPr>
                </w:pPr>
                <w:r>
                  <w:rPr>
                    <w:color w:val="231F20"/>
                    <w:w w:val="110"/>
                    <w:sz w:val="17"/>
                  </w:rPr>
                  <w:t>Chihuahua </w:t>
                </w:r>
                <w:r>
                  <w:rPr>
                    <w:color w:val="231F20"/>
                    <w:w w:val="105"/>
                    <w:sz w:val="17"/>
                  </w:rPr>
                  <w:t>Distrito Federal </w:t>
                </w:r>
                <w:r>
                  <w:rPr>
                    <w:color w:val="231F20"/>
                    <w:w w:val="110"/>
                    <w:sz w:val="17"/>
                  </w:rPr>
                  <w:t>Durango Guanajuato Guerrero Hidalgo</w:t>
                </w:r>
              </w:p>
              <w:p>
                <w:pPr>
                  <w:spacing w:line="252" w:lineRule="auto" w:before="0"/>
                  <w:ind w:left="20" w:right="658" w:firstLine="0"/>
                  <w:jc w:val="left"/>
                  <w:rPr>
                    <w:sz w:val="17"/>
                  </w:rPr>
                </w:pPr>
                <w:r>
                  <w:rPr>
                    <w:color w:val="231F20"/>
                    <w:w w:val="115"/>
                    <w:sz w:val="17"/>
                  </w:rPr>
                  <w:t>Jalisco </w:t>
                </w:r>
                <w:r>
                  <w:rPr>
                    <w:color w:val="231F20"/>
                    <w:w w:val="110"/>
                    <w:sz w:val="17"/>
                  </w:rPr>
                  <w:t>México</w:t>
                </w:r>
              </w:p>
            </w:txbxContent>
          </v:textbox>
          <w10:wrap type="none"/>
        </v:shape>
      </w:pict>
    </w:r>
    <w:r>
      <w:rPr/>
      <w:pict>
        <v:shape style="position:absolute;margin-left:166.998764pt;margin-top:338.935272pt;width:13.85pt;height:84pt;mso-position-horizontal-relative:page;mso-position-vertical-relative:page;z-index:-456256" type="#_x0000_t202" filled="false" stroked="false">
          <v:textbox inset="0,0,0,0">
            <w:txbxContent>
              <w:p>
                <w:pPr>
                  <w:spacing w:line="194" w:lineRule="exact" w:before="0"/>
                  <w:ind w:left="20" w:right="0" w:firstLine="0"/>
                  <w:jc w:val="left"/>
                  <w:rPr>
                    <w:sz w:val="17"/>
                  </w:rPr>
                </w:pPr>
                <w:r>
                  <w:rPr>
                    <w:color w:val="231F20"/>
                    <w:w w:val="105"/>
                    <w:sz w:val="17"/>
                  </w:rPr>
                  <w:t>6.3</w:t>
                </w:r>
              </w:p>
              <w:p>
                <w:pPr>
                  <w:spacing w:before="10"/>
                  <w:ind w:left="20" w:right="0" w:firstLine="0"/>
                  <w:jc w:val="left"/>
                  <w:rPr>
                    <w:sz w:val="17"/>
                  </w:rPr>
                </w:pPr>
                <w:r>
                  <w:rPr>
                    <w:color w:val="231F20"/>
                    <w:w w:val="105"/>
                    <w:sz w:val="17"/>
                  </w:rPr>
                  <w:t>6.0</w:t>
                </w:r>
              </w:p>
              <w:p>
                <w:pPr>
                  <w:spacing w:before="10"/>
                  <w:ind w:left="20" w:right="0" w:firstLine="0"/>
                  <w:jc w:val="left"/>
                  <w:rPr>
                    <w:sz w:val="17"/>
                  </w:rPr>
                </w:pPr>
                <w:r>
                  <w:rPr>
                    <w:color w:val="231F20"/>
                    <w:w w:val="105"/>
                    <w:sz w:val="17"/>
                  </w:rPr>
                  <w:t>6.5</w:t>
                </w:r>
              </w:p>
              <w:p>
                <w:pPr>
                  <w:spacing w:before="10"/>
                  <w:ind w:left="20" w:right="0" w:firstLine="0"/>
                  <w:jc w:val="left"/>
                  <w:rPr>
                    <w:sz w:val="17"/>
                  </w:rPr>
                </w:pPr>
                <w:r>
                  <w:rPr>
                    <w:color w:val="231F20"/>
                    <w:w w:val="105"/>
                    <w:sz w:val="17"/>
                  </w:rPr>
                  <w:t>4.7</w:t>
                </w:r>
              </w:p>
              <w:p>
                <w:pPr>
                  <w:spacing w:before="10"/>
                  <w:ind w:left="20" w:right="0" w:firstLine="0"/>
                  <w:jc w:val="left"/>
                  <w:rPr>
                    <w:sz w:val="17"/>
                  </w:rPr>
                </w:pPr>
                <w:r>
                  <w:rPr>
                    <w:color w:val="231F20"/>
                    <w:w w:val="105"/>
                    <w:sz w:val="17"/>
                  </w:rPr>
                  <w:t>3.6</w:t>
                </w:r>
              </w:p>
              <w:p>
                <w:pPr>
                  <w:spacing w:before="10"/>
                  <w:ind w:left="20" w:right="0" w:firstLine="0"/>
                  <w:jc w:val="left"/>
                  <w:rPr>
                    <w:sz w:val="17"/>
                  </w:rPr>
                </w:pPr>
                <w:r>
                  <w:rPr>
                    <w:color w:val="231F20"/>
                    <w:w w:val="105"/>
                    <w:sz w:val="17"/>
                  </w:rPr>
                  <w:t>5.6</w:t>
                </w:r>
              </w:p>
              <w:p>
                <w:pPr>
                  <w:spacing w:before="10"/>
                  <w:ind w:left="20" w:right="0" w:firstLine="0"/>
                  <w:jc w:val="left"/>
                  <w:rPr>
                    <w:sz w:val="17"/>
                  </w:rPr>
                </w:pPr>
                <w:r>
                  <w:rPr>
                    <w:color w:val="231F20"/>
                    <w:w w:val="105"/>
                    <w:sz w:val="17"/>
                  </w:rPr>
                  <w:t>6.0</w:t>
                </w:r>
              </w:p>
              <w:p>
                <w:pPr>
                  <w:spacing w:before="10"/>
                  <w:ind w:left="20" w:right="0" w:firstLine="0"/>
                  <w:jc w:val="left"/>
                  <w:rPr>
                    <w:sz w:val="17"/>
                  </w:rPr>
                </w:pPr>
                <w:r>
                  <w:rPr>
                    <w:color w:val="231F20"/>
                    <w:w w:val="105"/>
                    <w:sz w:val="17"/>
                  </w:rPr>
                  <w:t>3.5</w:t>
                </w:r>
              </w:p>
            </w:txbxContent>
          </v:textbox>
          <w10:wrap type="none"/>
        </v:shape>
      </w:pict>
    </w:r>
    <w:r>
      <w:rPr/>
      <w:pict>
        <v:shape style="position:absolute;margin-left:207.32753pt;margin-top:338.935272pt;width:18.7pt;height:84pt;mso-position-horizontal-relative:page;mso-position-vertical-relative:page;z-index:-456232" type="#_x0000_t202" filled="false" stroked="false">
          <v:textbox inset="0,0,0,0">
            <w:txbxContent>
              <w:p>
                <w:pPr>
                  <w:spacing w:line="194" w:lineRule="exact" w:before="0"/>
                  <w:ind w:left="20" w:right="0" w:firstLine="0"/>
                  <w:jc w:val="left"/>
                  <w:rPr>
                    <w:sz w:val="17"/>
                  </w:rPr>
                </w:pPr>
                <w:r>
                  <w:rPr>
                    <w:color w:val="231F20"/>
                    <w:w w:val="105"/>
                    <w:sz w:val="17"/>
                  </w:rPr>
                  <w:t>81.0</w:t>
                </w:r>
              </w:p>
              <w:p>
                <w:pPr>
                  <w:spacing w:before="10"/>
                  <w:ind w:left="20" w:right="0" w:firstLine="0"/>
                  <w:jc w:val="left"/>
                  <w:rPr>
                    <w:sz w:val="17"/>
                  </w:rPr>
                </w:pPr>
                <w:r>
                  <w:rPr>
                    <w:color w:val="231F20"/>
                    <w:w w:val="105"/>
                    <w:sz w:val="17"/>
                  </w:rPr>
                  <w:t>81.7</w:t>
                </w:r>
              </w:p>
              <w:p>
                <w:pPr>
                  <w:spacing w:before="10"/>
                  <w:ind w:left="20" w:right="0" w:firstLine="0"/>
                  <w:jc w:val="left"/>
                  <w:rPr>
                    <w:sz w:val="17"/>
                  </w:rPr>
                </w:pPr>
                <w:r>
                  <w:rPr>
                    <w:color w:val="231F20"/>
                    <w:w w:val="105"/>
                    <w:sz w:val="17"/>
                  </w:rPr>
                  <w:t>81.5</w:t>
                </w:r>
              </w:p>
              <w:p>
                <w:pPr>
                  <w:spacing w:before="10"/>
                  <w:ind w:left="20" w:right="0" w:firstLine="0"/>
                  <w:jc w:val="left"/>
                  <w:rPr>
                    <w:sz w:val="17"/>
                  </w:rPr>
                </w:pPr>
                <w:r>
                  <w:rPr>
                    <w:color w:val="231F20"/>
                    <w:w w:val="105"/>
                    <w:sz w:val="17"/>
                  </w:rPr>
                  <w:t>89.7</w:t>
                </w:r>
              </w:p>
              <w:p>
                <w:pPr>
                  <w:spacing w:before="10"/>
                  <w:ind w:left="20" w:right="0" w:firstLine="0"/>
                  <w:jc w:val="left"/>
                  <w:rPr>
                    <w:sz w:val="17"/>
                  </w:rPr>
                </w:pPr>
                <w:r>
                  <w:rPr>
                    <w:color w:val="231F20"/>
                    <w:w w:val="105"/>
                    <w:sz w:val="17"/>
                  </w:rPr>
                  <w:t>81.3</w:t>
                </w:r>
              </w:p>
              <w:p>
                <w:pPr>
                  <w:spacing w:before="10"/>
                  <w:ind w:left="20" w:right="0" w:firstLine="0"/>
                  <w:jc w:val="left"/>
                  <w:rPr>
                    <w:sz w:val="17"/>
                  </w:rPr>
                </w:pPr>
                <w:r>
                  <w:rPr>
                    <w:color w:val="231F20"/>
                    <w:w w:val="105"/>
                    <w:sz w:val="17"/>
                  </w:rPr>
                  <w:t>73.3</w:t>
                </w:r>
              </w:p>
              <w:p>
                <w:pPr>
                  <w:spacing w:before="10"/>
                  <w:ind w:left="20" w:right="0" w:firstLine="0"/>
                  <w:jc w:val="left"/>
                  <w:rPr>
                    <w:sz w:val="17"/>
                  </w:rPr>
                </w:pPr>
                <w:r>
                  <w:rPr>
                    <w:color w:val="231F20"/>
                    <w:w w:val="105"/>
                    <w:sz w:val="17"/>
                  </w:rPr>
                  <w:t>86.7</w:t>
                </w:r>
              </w:p>
              <w:p>
                <w:pPr>
                  <w:spacing w:before="10"/>
                  <w:ind w:left="20" w:right="0" w:firstLine="0"/>
                  <w:jc w:val="left"/>
                  <w:rPr>
                    <w:sz w:val="17"/>
                  </w:rPr>
                </w:pPr>
                <w:r>
                  <w:rPr>
                    <w:color w:val="231F20"/>
                    <w:w w:val="105"/>
                    <w:sz w:val="17"/>
                  </w:rPr>
                  <w:t>85.4</w:t>
                </w:r>
              </w:p>
            </w:txbxContent>
          </v:textbox>
          <w10:wrap type="none"/>
        </v:shape>
      </w:pict>
    </w:r>
    <w:r>
      <w:rPr/>
      <w:pict>
        <v:shape style="position:absolute;margin-left:255.840759pt;margin-top:338.935272pt;width:19.7pt;height:84pt;mso-position-horizontal-relative:page;mso-position-vertical-relative:page;z-index:-456208" type="#_x0000_t202" filled="false" stroked="false">
          <v:textbox inset="0,0,0,0">
            <w:txbxContent>
              <w:p>
                <w:pPr>
                  <w:spacing w:line="194" w:lineRule="exact" w:before="0"/>
                  <w:ind w:left="116" w:right="0" w:firstLine="0"/>
                  <w:jc w:val="left"/>
                  <w:rPr>
                    <w:sz w:val="17"/>
                  </w:rPr>
                </w:pPr>
                <w:r>
                  <w:rPr>
                    <w:color w:val="231F20"/>
                    <w:w w:val="105"/>
                    <w:sz w:val="17"/>
                  </w:rPr>
                  <w:t>7.7</w:t>
                </w:r>
              </w:p>
              <w:p>
                <w:pPr>
                  <w:spacing w:before="10"/>
                  <w:ind w:left="116" w:right="0" w:firstLine="0"/>
                  <w:jc w:val="left"/>
                  <w:rPr>
                    <w:sz w:val="17"/>
                  </w:rPr>
                </w:pPr>
                <w:r>
                  <w:rPr>
                    <w:color w:val="231F20"/>
                    <w:w w:val="105"/>
                    <w:sz w:val="17"/>
                  </w:rPr>
                  <w:t>6.</w:t>
                </w:r>
                <w:r>
                  <w:rPr/>
                  <w:fldChar w:fldCharType="begin"/>
                </w:r>
                <w:r>
                  <w:rPr>
                    <w:color w:val="231F20"/>
                    <w:w w:val="105"/>
                    <w:sz w:val="17"/>
                  </w:rPr>
                  <w:instrText> PAGE </w:instrText>
                </w:r>
                <w:r>
                  <w:rPr/>
                  <w:fldChar w:fldCharType="separate"/>
                </w:r>
                <w:r>
                  <w:rPr/>
                  <w:t>7</w:t>
                </w:r>
                <w:r>
                  <w:rPr/>
                  <w:fldChar w:fldCharType="end"/>
                </w:r>
              </w:p>
              <w:p>
                <w:pPr>
                  <w:spacing w:before="10"/>
                  <w:ind w:left="116" w:right="0" w:firstLine="0"/>
                  <w:jc w:val="left"/>
                  <w:rPr>
                    <w:sz w:val="17"/>
                  </w:rPr>
                </w:pPr>
                <w:r>
                  <w:rPr>
                    <w:color w:val="231F20"/>
                    <w:w w:val="105"/>
                    <w:sz w:val="17"/>
                  </w:rPr>
                  <w:t>7.6</w:t>
                </w:r>
              </w:p>
              <w:p>
                <w:pPr>
                  <w:spacing w:before="10"/>
                  <w:ind w:left="116" w:right="0" w:firstLine="0"/>
                  <w:jc w:val="left"/>
                  <w:rPr>
                    <w:sz w:val="17"/>
                  </w:rPr>
                </w:pPr>
                <w:r>
                  <w:rPr>
                    <w:color w:val="231F20"/>
                    <w:w w:val="105"/>
                    <w:sz w:val="17"/>
                  </w:rPr>
                  <w:t>2.4</w:t>
                </w:r>
              </w:p>
              <w:p>
                <w:pPr>
                  <w:spacing w:before="10"/>
                  <w:ind w:left="20" w:right="0" w:firstLine="0"/>
                  <w:jc w:val="left"/>
                  <w:rPr>
                    <w:sz w:val="17"/>
                  </w:rPr>
                </w:pPr>
                <w:r>
                  <w:rPr>
                    <w:color w:val="231F20"/>
                    <w:w w:val="105"/>
                    <w:sz w:val="17"/>
                  </w:rPr>
                  <w:t>10.6</w:t>
                </w:r>
              </w:p>
              <w:p>
                <w:pPr>
                  <w:spacing w:before="10"/>
                  <w:ind w:left="20" w:right="0" w:firstLine="0"/>
                  <w:jc w:val="left"/>
                  <w:rPr>
                    <w:sz w:val="17"/>
                  </w:rPr>
                </w:pPr>
                <w:r>
                  <w:rPr>
                    <w:color w:val="231F20"/>
                    <w:w w:val="105"/>
                    <w:sz w:val="17"/>
                  </w:rPr>
                  <w:t>15.6</w:t>
                </w:r>
              </w:p>
              <w:p>
                <w:pPr>
                  <w:spacing w:before="10"/>
                  <w:ind w:left="116" w:right="0" w:firstLine="0"/>
                  <w:jc w:val="left"/>
                  <w:rPr>
                    <w:sz w:val="17"/>
                  </w:rPr>
                </w:pPr>
                <w:r>
                  <w:rPr>
                    <w:color w:val="231F20"/>
                    <w:w w:val="105"/>
                    <w:sz w:val="17"/>
                  </w:rPr>
                  <w:t>3.7</w:t>
                </w:r>
              </w:p>
              <w:p>
                <w:pPr>
                  <w:spacing w:before="10"/>
                  <w:ind w:left="116" w:right="0" w:firstLine="0"/>
                  <w:jc w:val="left"/>
                  <w:rPr>
                    <w:sz w:val="17"/>
                  </w:rPr>
                </w:pPr>
                <w:r>
                  <w:rPr>
                    <w:color w:val="231F20"/>
                    <w:w w:val="105"/>
                    <w:sz w:val="17"/>
                  </w:rPr>
                  <w:t>7.0</w:t>
                </w:r>
              </w:p>
            </w:txbxContent>
          </v:textbox>
          <w10:wrap type="none"/>
        </v:shape>
      </w:pict>
    </w:r>
    <w:r>
      <w:rPr/>
      <w:pict>
        <v:shape style="position:absolute;margin-left:306.93808pt;margin-top:338.935272pt;width:13.85pt;height:84pt;mso-position-horizontal-relative:page;mso-position-vertical-relative:page;z-index:-456184" type="#_x0000_t202" filled="false" stroked="false">
          <v:textbox inset="0,0,0,0">
            <w:txbxContent>
              <w:p>
                <w:pPr>
                  <w:spacing w:line="194" w:lineRule="exact" w:before="0"/>
                  <w:ind w:left="20" w:right="0" w:firstLine="0"/>
                  <w:jc w:val="left"/>
                  <w:rPr>
                    <w:sz w:val="17"/>
                  </w:rPr>
                </w:pPr>
                <w:r>
                  <w:rPr>
                    <w:color w:val="231F20"/>
                    <w:w w:val="105"/>
                    <w:sz w:val="17"/>
                  </w:rPr>
                  <w:t>5.0</w:t>
                </w:r>
              </w:p>
              <w:p>
                <w:pPr>
                  <w:spacing w:before="10"/>
                  <w:ind w:left="20" w:right="0" w:firstLine="0"/>
                  <w:jc w:val="left"/>
                  <w:rPr>
                    <w:sz w:val="17"/>
                  </w:rPr>
                </w:pPr>
                <w:r>
                  <w:rPr>
                    <w:color w:val="231F20"/>
                    <w:w w:val="105"/>
                    <w:sz w:val="17"/>
                  </w:rPr>
                  <w:t>5.6</w:t>
                </w:r>
              </w:p>
              <w:p>
                <w:pPr>
                  <w:spacing w:before="10"/>
                  <w:ind w:left="20" w:right="0" w:firstLine="0"/>
                  <w:jc w:val="left"/>
                  <w:rPr>
                    <w:sz w:val="17"/>
                  </w:rPr>
                </w:pPr>
                <w:r>
                  <w:rPr>
                    <w:color w:val="231F20"/>
                    <w:w w:val="105"/>
                    <w:sz w:val="17"/>
                  </w:rPr>
                  <w:t>4.4</w:t>
                </w:r>
              </w:p>
              <w:p>
                <w:pPr>
                  <w:spacing w:before="10"/>
                  <w:ind w:left="20" w:right="0" w:firstLine="0"/>
                  <w:jc w:val="left"/>
                  <w:rPr>
                    <w:sz w:val="17"/>
                  </w:rPr>
                </w:pPr>
                <w:r>
                  <w:rPr>
                    <w:color w:val="231F20"/>
                    <w:w w:val="105"/>
                    <w:sz w:val="17"/>
                  </w:rPr>
                  <w:t>3.2</w:t>
                </w:r>
              </w:p>
              <w:p>
                <w:pPr>
                  <w:spacing w:before="10"/>
                  <w:ind w:left="20" w:right="0" w:firstLine="0"/>
                  <w:jc w:val="left"/>
                  <w:rPr>
                    <w:sz w:val="17"/>
                  </w:rPr>
                </w:pPr>
                <w:r>
                  <w:rPr>
                    <w:color w:val="231F20"/>
                    <w:w w:val="105"/>
                    <w:sz w:val="17"/>
                  </w:rPr>
                  <w:t>4.5</w:t>
                </w:r>
              </w:p>
              <w:p>
                <w:pPr>
                  <w:spacing w:before="10"/>
                  <w:ind w:left="20" w:right="0" w:firstLine="0"/>
                  <w:jc w:val="left"/>
                  <w:rPr>
                    <w:sz w:val="17"/>
                  </w:rPr>
                </w:pPr>
                <w:r>
                  <w:rPr>
                    <w:color w:val="231F20"/>
                    <w:w w:val="105"/>
                    <w:sz w:val="17"/>
                  </w:rPr>
                  <w:t>5.6</w:t>
                </w:r>
              </w:p>
              <w:p>
                <w:pPr>
                  <w:spacing w:before="10"/>
                  <w:ind w:left="20" w:right="0" w:firstLine="0"/>
                  <w:jc w:val="left"/>
                  <w:rPr>
                    <w:sz w:val="17"/>
                  </w:rPr>
                </w:pPr>
                <w:r>
                  <w:rPr>
                    <w:color w:val="231F20"/>
                    <w:w w:val="105"/>
                    <w:sz w:val="17"/>
                  </w:rPr>
                  <w:t>3.6</w:t>
                </w:r>
              </w:p>
              <w:p>
                <w:pPr>
                  <w:spacing w:before="10"/>
                  <w:ind w:left="20" w:right="0" w:firstLine="0"/>
                  <w:jc w:val="left"/>
                  <w:rPr>
                    <w:sz w:val="17"/>
                  </w:rPr>
                </w:pPr>
                <w:r>
                  <w:rPr>
                    <w:color w:val="231F20"/>
                    <w:w w:val="105"/>
                    <w:sz w:val="17"/>
                  </w:rPr>
                  <w:t>4.1</w:t>
                </w:r>
              </w:p>
            </w:txbxContent>
          </v:textbox>
          <w10:wrap type="none"/>
        </v:shape>
      </w:pict>
    </w:r>
    <w:r>
      <w:rPr/>
      <w:pict>
        <v:shape style="position:absolute;margin-left:348.691193pt;margin-top:338.935272pt;width:16.45pt;height:84pt;mso-position-horizontal-relative:page;mso-position-vertical-relative:page;z-index:-456160" type="#_x0000_t202" filled="false" stroked="false">
          <v:textbox inset="0,0,0,0">
            <w:txbxContent>
              <w:p>
                <w:pPr>
                  <w:spacing w:line="194" w:lineRule="exact" w:before="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txbxContent>
          </v:textbox>
          <w10:wrap type="none"/>
        </v:shape>
      </w:pict>
    </w:r>
    <w:r>
      <w:rPr/>
      <w:pict>
        <v:shape style="position:absolute;margin-left:387.760925pt;margin-top:338.935272pt;width:13.85pt;height:84pt;mso-position-horizontal-relative:page;mso-position-vertical-relative:page;z-index:-456136" type="#_x0000_t202" filled="false" stroked="false">
          <v:textbox inset="0,0,0,0">
            <w:txbxContent>
              <w:p>
                <w:pPr>
                  <w:spacing w:line="194" w:lineRule="exact" w:before="0"/>
                  <w:ind w:left="20" w:right="0" w:firstLine="0"/>
                  <w:jc w:val="left"/>
                  <w:rPr>
                    <w:sz w:val="17"/>
                  </w:rPr>
                </w:pPr>
                <w:r>
                  <w:rPr>
                    <w:color w:val="231F20"/>
                    <w:w w:val="105"/>
                    <w:sz w:val="17"/>
                  </w:rPr>
                  <w:t>8.1</w:t>
                </w:r>
              </w:p>
              <w:p>
                <w:pPr>
                  <w:spacing w:before="10"/>
                  <w:ind w:left="20" w:right="0" w:firstLine="0"/>
                  <w:jc w:val="left"/>
                  <w:rPr>
                    <w:sz w:val="17"/>
                  </w:rPr>
                </w:pPr>
                <w:r>
                  <w:rPr>
                    <w:color w:val="231F20"/>
                    <w:w w:val="105"/>
                    <w:sz w:val="17"/>
                  </w:rPr>
                  <w:t>9.8</w:t>
                </w:r>
              </w:p>
              <w:p>
                <w:pPr>
                  <w:spacing w:before="10"/>
                  <w:ind w:left="20" w:right="0" w:firstLine="0"/>
                  <w:jc w:val="left"/>
                  <w:rPr>
                    <w:sz w:val="17"/>
                  </w:rPr>
                </w:pPr>
                <w:r>
                  <w:rPr>
                    <w:color w:val="231F20"/>
                    <w:w w:val="105"/>
                    <w:sz w:val="17"/>
                  </w:rPr>
                  <w:t>7.3</w:t>
                </w:r>
              </w:p>
              <w:p>
                <w:pPr>
                  <w:spacing w:before="10"/>
                  <w:ind w:left="20" w:right="0" w:firstLine="0"/>
                  <w:jc w:val="left"/>
                  <w:rPr>
                    <w:sz w:val="17"/>
                  </w:rPr>
                </w:pPr>
                <w:r>
                  <w:rPr>
                    <w:color w:val="231F20"/>
                    <w:w w:val="105"/>
                    <w:sz w:val="17"/>
                  </w:rPr>
                  <w:t>6.4</w:t>
                </w:r>
              </w:p>
              <w:p>
                <w:pPr>
                  <w:spacing w:before="10"/>
                  <w:ind w:left="20" w:right="0" w:firstLine="0"/>
                  <w:jc w:val="left"/>
                  <w:rPr>
                    <w:sz w:val="17"/>
                  </w:rPr>
                </w:pPr>
                <w:r>
                  <w:rPr>
                    <w:color w:val="231F20"/>
                    <w:w w:val="105"/>
                    <w:sz w:val="17"/>
                  </w:rPr>
                  <w:t>5.5</w:t>
                </w:r>
              </w:p>
              <w:p>
                <w:pPr>
                  <w:spacing w:before="10"/>
                  <w:ind w:left="20" w:right="0" w:firstLine="0"/>
                  <w:jc w:val="left"/>
                  <w:rPr>
                    <w:sz w:val="17"/>
                  </w:rPr>
                </w:pPr>
                <w:r>
                  <w:rPr>
                    <w:color w:val="231F20"/>
                    <w:w w:val="105"/>
                    <w:sz w:val="17"/>
                  </w:rPr>
                  <w:t>6.1</w:t>
                </w:r>
              </w:p>
              <w:p>
                <w:pPr>
                  <w:spacing w:before="10"/>
                  <w:ind w:left="20" w:right="0" w:firstLine="0"/>
                  <w:jc w:val="left"/>
                  <w:rPr>
                    <w:sz w:val="17"/>
                  </w:rPr>
                </w:pPr>
                <w:r>
                  <w:rPr>
                    <w:color w:val="231F20"/>
                    <w:w w:val="105"/>
                    <w:sz w:val="17"/>
                  </w:rPr>
                  <w:t>7.9</w:t>
                </w:r>
              </w:p>
              <w:p>
                <w:pPr>
                  <w:spacing w:before="10"/>
                  <w:ind w:left="20" w:right="0" w:firstLine="0"/>
                  <w:jc w:val="left"/>
                  <w:rPr>
                    <w:sz w:val="17"/>
                  </w:rPr>
                </w:pPr>
                <w:r>
                  <w:rPr>
                    <w:color w:val="231F20"/>
                    <w:w w:val="105"/>
                    <w:sz w:val="17"/>
                  </w:rPr>
                  <w:t>5.3</w:t>
                </w:r>
              </w:p>
            </w:txbxContent>
          </v:textbox>
          <w10:wrap type="none"/>
        </v:shape>
      </w:pict>
    </w:r>
    <w:r>
      <w:rPr/>
      <w:pict>
        <v:shape style="position:absolute;margin-left:425.585754pt;margin-top:338.935272pt;width:18.7pt;height:84pt;mso-position-horizontal-relative:page;mso-position-vertical-relative:page;z-index:-456112" type="#_x0000_t202" filled="false" stroked="false">
          <v:textbox inset="0,0,0,0">
            <w:txbxContent>
              <w:p>
                <w:pPr>
                  <w:spacing w:line="194" w:lineRule="exact" w:before="0"/>
                  <w:ind w:left="20" w:right="0" w:firstLine="0"/>
                  <w:jc w:val="left"/>
                  <w:rPr>
                    <w:sz w:val="17"/>
                  </w:rPr>
                </w:pPr>
                <w:r>
                  <w:rPr>
                    <w:color w:val="231F20"/>
                    <w:w w:val="105"/>
                    <w:sz w:val="17"/>
                  </w:rPr>
                  <w:t>66.7</w:t>
                </w:r>
              </w:p>
              <w:p>
                <w:pPr>
                  <w:spacing w:before="10"/>
                  <w:ind w:left="20" w:right="0" w:firstLine="0"/>
                  <w:jc w:val="left"/>
                  <w:rPr>
                    <w:sz w:val="17"/>
                  </w:rPr>
                </w:pPr>
                <w:r>
                  <w:rPr>
                    <w:color w:val="231F20"/>
                    <w:w w:val="105"/>
                    <w:sz w:val="17"/>
                  </w:rPr>
                  <w:t>64.3</w:t>
                </w:r>
              </w:p>
              <w:p>
                <w:pPr>
                  <w:spacing w:before="10"/>
                  <w:ind w:left="20" w:right="0" w:firstLine="0"/>
                  <w:jc w:val="left"/>
                  <w:rPr>
                    <w:sz w:val="17"/>
                  </w:rPr>
                </w:pPr>
                <w:r>
                  <w:rPr>
                    <w:color w:val="231F20"/>
                    <w:w w:val="105"/>
                    <w:sz w:val="17"/>
                  </w:rPr>
                  <w:t>72.3</w:t>
                </w:r>
              </w:p>
              <w:p>
                <w:pPr>
                  <w:spacing w:before="10"/>
                  <w:ind w:left="20" w:right="0" w:firstLine="0"/>
                  <w:jc w:val="left"/>
                  <w:rPr>
                    <w:sz w:val="17"/>
                  </w:rPr>
                </w:pPr>
                <w:r>
                  <w:rPr>
                    <w:color w:val="231F20"/>
                    <w:w w:val="105"/>
                    <w:sz w:val="17"/>
                  </w:rPr>
                  <w:t>81.7</w:t>
                </w:r>
              </w:p>
              <w:p>
                <w:pPr>
                  <w:spacing w:before="10"/>
                  <w:ind w:left="20" w:right="0" w:firstLine="0"/>
                  <w:jc w:val="left"/>
                  <w:rPr>
                    <w:sz w:val="17"/>
                  </w:rPr>
                </w:pPr>
                <w:r>
                  <w:rPr>
                    <w:color w:val="231F20"/>
                    <w:w w:val="105"/>
                    <w:sz w:val="17"/>
                  </w:rPr>
                  <w:t>71.1</w:t>
                </w:r>
              </w:p>
              <w:p>
                <w:pPr>
                  <w:spacing w:before="10"/>
                  <w:ind w:left="20" w:right="0" w:firstLine="0"/>
                  <w:jc w:val="left"/>
                  <w:rPr>
                    <w:sz w:val="17"/>
                  </w:rPr>
                </w:pPr>
                <w:r>
                  <w:rPr>
                    <w:color w:val="231F20"/>
                    <w:w w:val="105"/>
                    <w:sz w:val="17"/>
                  </w:rPr>
                  <w:t>68.1</w:t>
                </w:r>
              </w:p>
              <w:p>
                <w:pPr>
                  <w:spacing w:before="10"/>
                  <w:ind w:left="20" w:right="0" w:firstLine="0"/>
                  <w:jc w:val="left"/>
                  <w:rPr>
                    <w:sz w:val="17"/>
                  </w:rPr>
                </w:pPr>
                <w:r>
                  <w:rPr>
                    <w:color w:val="231F20"/>
                    <w:w w:val="105"/>
                    <w:sz w:val="17"/>
                  </w:rPr>
                  <w:t>75.2</w:t>
                </w:r>
              </w:p>
              <w:p>
                <w:pPr>
                  <w:spacing w:before="10"/>
                  <w:ind w:left="20" w:right="0" w:firstLine="0"/>
                  <w:jc w:val="left"/>
                  <w:rPr>
                    <w:sz w:val="17"/>
                  </w:rPr>
                </w:pPr>
                <w:r>
                  <w:rPr>
                    <w:color w:val="231F20"/>
                    <w:w w:val="105"/>
                    <w:sz w:val="17"/>
                  </w:rPr>
                  <w:t>72.0</w:t>
                </w:r>
              </w:p>
            </w:txbxContent>
          </v:textbox>
          <w10:wrap type="none"/>
        </v:shape>
      </w:pict>
    </w:r>
    <w:r>
      <w:rPr/>
      <w:pict>
        <v:shape style="position:absolute;margin-left:472.635895pt;margin-top:338.935272pt;width:18.7pt;height:84pt;mso-position-horizontal-relative:page;mso-position-vertical-relative:page;z-index:-456088" type="#_x0000_t202" filled="false" stroked="false">
          <v:textbox inset="0,0,0,0">
            <w:txbxContent>
              <w:p>
                <w:pPr>
                  <w:spacing w:line="194" w:lineRule="exact" w:before="0"/>
                  <w:ind w:left="20" w:right="0" w:firstLine="0"/>
                  <w:jc w:val="left"/>
                  <w:rPr>
                    <w:sz w:val="17"/>
                  </w:rPr>
                </w:pPr>
                <w:r>
                  <w:rPr>
                    <w:color w:val="231F20"/>
                    <w:w w:val="105"/>
                    <w:sz w:val="17"/>
                  </w:rPr>
                  <w:t>14.8</w:t>
                </w:r>
              </w:p>
              <w:p>
                <w:pPr>
                  <w:spacing w:before="10"/>
                  <w:ind w:left="20" w:right="0" w:firstLine="0"/>
                  <w:jc w:val="left"/>
                  <w:rPr>
                    <w:sz w:val="17"/>
                  </w:rPr>
                </w:pPr>
                <w:r>
                  <w:rPr>
                    <w:color w:val="231F20"/>
                    <w:w w:val="105"/>
                    <w:sz w:val="17"/>
                  </w:rPr>
                  <w:t>14.8</w:t>
                </w:r>
              </w:p>
              <w:p>
                <w:pPr>
                  <w:spacing w:before="10"/>
                  <w:ind w:left="20" w:right="0" w:firstLine="0"/>
                  <w:jc w:val="left"/>
                  <w:rPr>
                    <w:sz w:val="17"/>
                  </w:rPr>
                </w:pPr>
                <w:r>
                  <w:rPr>
                    <w:color w:val="231F20"/>
                    <w:w w:val="105"/>
                    <w:sz w:val="17"/>
                  </w:rPr>
                  <w:t>12.5</w:t>
                </w:r>
              </w:p>
              <w:p>
                <w:pPr>
                  <w:spacing w:before="10"/>
                  <w:ind w:left="116" w:right="0" w:firstLine="0"/>
                  <w:jc w:val="left"/>
                  <w:rPr>
                    <w:sz w:val="17"/>
                  </w:rPr>
                </w:pPr>
                <w:r>
                  <w:rPr>
                    <w:color w:val="231F20"/>
                    <w:w w:val="105"/>
                    <w:sz w:val="17"/>
                  </w:rPr>
                  <w:t>6.0</w:t>
                </w:r>
              </w:p>
              <w:p>
                <w:pPr>
                  <w:spacing w:before="10"/>
                  <w:ind w:left="20" w:right="0" w:firstLine="0"/>
                  <w:jc w:val="left"/>
                  <w:rPr>
                    <w:sz w:val="17"/>
                  </w:rPr>
                </w:pPr>
                <w:r>
                  <w:rPr>
                    <w:color w:val="231F20"/>
                    <w:w w:val="105"/>
                    <w:sz w:val="17"/>
                  </w:rPr>
                  <w:t>15.2</w:t>
                </w:r>
              </w:p>
              <w:p>
                <w:pPr>
                  <w:spacing w:before="10"/>
                  <w:ind w:left="20" w:right="0" w:firstLine="0"/>
                  <w:jc w:val="left"/>
                  <w:rPr>
                    <w:sz w:val="17"/>
                  </w:rPr>
                </w:pPr>
                <w:r>
                  <w:rPr>
                    <w:color w:val="231F20"/>
                    <w:w w:val="105"/>
                    <w:sz w:val="17"/>
                  </w:rPr>
                  <w:t>19.3</w:t>
                </w:r>
              </w:p>
              <w:p>
                <w:pPr>
                  <w:spacing w:before="10"/>
                  <w:ind w:left="116" w:right="0" w:firstLine="0"/>
                  <w:jc w:val="left"/>
                  <w:rPr>
                    <w:sz w:val="17"/>
                  </w:rPr>
                </w:pPr>
                <w:r>
                  <w:rPr>
                    <w:color w:val="231F20"/>
                    <w:w w:val="105"/>
                    <w:sz w:val="17"/>
                  </w:rPr>
                  <w:t>8.8</w:t>
                </w:r>
              </w:p>
              <w:p>
                <w:pPr>
                  <w:spacing w:before="10"/>
                  <w:ind w:left="20" w:right="0" w:firstLine="0"/>
                  <w:jc w:val="left"/>
                  <w:rPr>
                    <w:sz w:val="17"/>
                  </w:rPr>
                </w:pPr>
                <w:r>
                  <w:rPr>
                    <w:color w:val="231F20"/>
                    <w:w w:val="105"/>
                    <w:sz w:val="17"/>
                  </w:rPr>
                  <w:t>14.8</w:t>
                </w:r>
              </w:p>
            </w:txbxContent>
          </v:textbox>
          <w10:wrap type="none"/>
        </v:shape>
      </w:pict>
    </w:r>
    <w:r>
      <w:rPr/>
      <w:pict>
        <v:shape style="position:absolute;margin-left:520.881531pt;margin-top:338.935272pt;width:18.7pt;height:84pt;mso-position-horizontal-relative:page;mso-position-vertical-relative:page;z-index:-456064" type="#_x0000_t202" filled="false" stroked="false">
          <v:textbox inset="0,0,0,0">
            <w:txbxContent>
              <w:p>
                <w:pPr>
                  <w:spacing w:line="194" w:lineRule="exact" w:before="0"/>
                  <w:ind w:left="20" w:right="0" w:firstLine="0"/>
                  <w:jc w:val="left"/>
                  <w:rPr>
                    <w:sz w:val="17"/>
                  </w:rPr>
                </w:pPr>
                <w:r>
                  <w:rPr>
                    <w:color w:val="231F20"/>
                    <w:w w:val="105"/>
                    <w:sz w:val="17"/>
                  </w:rPr>
                  <w:t>10.4</w:t>
                </w:r>
              </w:p>
              <w:p>
                <w:pPr>
                  <w:spacing w:before="10"/>
                  <w:ind w:left="20" w:right="0" w:firstLine="0"/>
                  <w:jc w:val="left"/>
                  <w:rPr>
                    <w:sz w:val="17"/>
                  </w:rPr>
                </w:pPr>
                <w:r>
                  <w:rPr>
                    <w:color w:val="231F20"/>
                    <w:w w:val="105"/>
                    <w:sz w:val="17"/>
                  </w:rPr>
                  <w:t>11.2</w:t>
                </w:r>
              </w:p>
              <w:p>
                <w:pPr>
                  <w:spacing w:before="10"/>
                  <w:ind w:left="116" w:right="0" w:firstLine="0"/>
                  <w:jc w:val="left"/>
                  <w:rPr>
                    <w:sz w:val="17"/>
                  </w:rPr>
                </w:pPr>
                <w:r>
                  <w:rPr>
                    <w:color w:val="231F20"/>
                    <w:w w:val="105"/>
                    <w:sz w:val="17"/>
                  </w:rPr>
                  <w:t>7.9</w:t>
                </w:r>
              </w:p>
              <w:p>
                <w:pPr>
                  <w:spacing w:before="10"/>
                  <w:ind w:left="116" w:right="0" w:firstLine="0"/>
                  <w:jc w:val="left"/>
                  <w:rPr>
                    <w:sz w:val="17"/>
                  </w:rPr>
                </w:pPr>
                <w:r>
                  <w:rPr>
                    <w:color w:val="231F20"/>
                    <w:w w:val="105"/>
                    <w:sz w:val="17"/>
                  </w:rPr>
                  <w:t>6.0</w:t>
                </w:r>
              </w:p>
              <w:p>
                <w:pPr>
                  <w:spacing w:before="10"/>
                  <w:ind w:left="116" w:right="0" w:firstLine="0"/>
                  <w:jc w:val="left"/>
                  <w:rPr>
                    <w:sz w:val="17"/>
                  </w:rPr>
                </w:pPr>
                <w:r>
                  <w:rPr>
                    <w:color w:val="231F20"/>
                    <w:w w:val="105"/>
                    <w:sz w:val="17"/>
                  </w:rPr>
                  <w:t>8.2</w:t>
                </w:r>
              </w:p>
              <w:p>
                <w:pPr>
                  <w:spacing w:before="10"/>
                  <w:ind w:left="116" w:right="0" w:firstLine="0"/>
                  <w:jc w:val="left"/>
                  <w:rPr>
                    <w:sz w:val="17"/>
                  </w:rPr>
                </w:pPr>
                <w:r>
                  <w:rPr>
                    <w:color w:val="231F20"/>
                    <w:w w:val="105"/>
                    <w:sz w:val="17"/>
                  </w:rPr>
                  <w:t>6.6</w:t>
                </w:r>
              </w:p>
              <w:p>
                <w:pPr>
                  <w:spacing w:before="10"/>
                  <w:ind w:left="116" w:right="0" w:firstLine="0"/>
                  <w:jc w:val="left"/>
                  <w:rPr>
                    <w:sz w:val="17"/>
                  </w:rPr>
                </w:pPr>
                <w:r>
                  <w:rPr>
                    <w:color w:val="231F20"/>
                    <w:w w:val="105"/>
                    <w:sz w:val="17"/>
                  </w:rPr>
                  <w:t>8.2</w:t>
                </w:r>
              </w:p>
              <w:p>
                <w:pPr>
                  <w:spacing w:before="10"/>
                  <w:ind w:left="116" w:right="0" w:firstLine="0"/>
                  <w:jc w:val="left"/>
                  <w:rPr>
                    <w:sz w:val="17"/>
                  </w:rPr>
                </w:pPr>
                <w:r>
                  <w:rPr>
                    <w:color w:val="231F20"/>
                    <w:w w:val="105"/>
                    <w:sz w:val="17"/>
                  </w:rPr>
                  <w:t>7.8</w:t>
                </w:r>
              </w:p>
            </w:txbxContent>
          </v:textbox>
          <w10:wrap type="none"/>
        </v:shape>
      </w:pict>
    </w:r>
    <w:r>
      <w:rPr/>
      <w:pict>
        <v:shape style="position:absolute;margin-left:568.562927pt;margin-top:338.935272pt;width:16.45pt;height:84pt;mso-position-horizontal-relative:page;mso-position-vertical-relative:page;z-index:-456040" type="#_x0000_t202" filled="false" stroked="false">
          <v:textbox inset="0,0,0,0">
            <w:txbxContent>
              <w:p>
                <w:pPr>
                  <w:spacing w:line="194" w:lineRule="exact" w:before="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8.225021pt;margin-top:338.935272pt;width:63.3pt;height:84pt;mso-position-horizontal-relative:page;mso-position-vertical-relative:page;z-index:-456016" type="#_x0000_t202" filled="false" stroked="false">
          <v:textbox inset="0,0,0,0">
            <w:txbxContent>
              <w:p>
                <w:pPr>
                  <w:spacing w:line="252" w:lineRule="auto" w:before="0"/>
                  <w:ind w:left="20" w:right="0" w:firstLine="0"/>
                  <w:jc w:val="left"/>
                  <w:rPr>
                    <w:sz w:val="17"/>
                  </w:rPr>
                </w:pPr>
                <w:r>
                  <w:rPr>
                    <w:color w:val="231F20"/>
                    <w:w w:val="110"/>
                    <w:sz w:val="17"/>
                  </w:rPr>
                  <w:t>Chihuahua </w:t>
                </w:r>
                <w:r>
                  <w:rPr>
                    <w:color w:val="231F20"/>
                    <w:w w:val="105"/>
                    <w:sz w:val="17"/>
                  </w:rPr>
                  <w:t>Distrito Federal </w:t>
                </w:r>
                <w:r>
                  <w:rPr>
                    <w:color w:val="231F20"/>
                    <w:w w:val="110"/>
                    <w:sz w:val="17"/>
                  </w:rPr>
                  <w:t>Durango Guanajuato Guerrero Hidalgo</w:t>
                </w:r>
              </w:p>
              <w:p>
                <w:pPr>
                  <w:spacing w:line="252" w:lineRule="auto" w:before="0"/>
                  <w:ind w:left="20" w:right="658" w:firstLine="0"/>
                  <w:jc w:val="left"/>
                  <w:rPr>
                    <w:sz w:val="17"/>
                  </w:rPr>
                </w:pPr>
                <w:r>
                  <w:rPr>
                    <w:color w:val="231F20"/>
                    <w:w w:val="115"/>
                    <w:sz w:val="17"/>
                  </w:rPr>
                  <w:t>Jalisco </w:t>
                </w:r>
                <w:r>
                  <w:rPr>
                    <w:color w:val="231F20"/>
                    <w:w w:val="110"/>
                    <w:sz w:val="17"/>
                  </w:rPr>
                  <w:t>México</w:t>
                </w:r>
              </w:p>
            </w:txbxContent>
          </v:textbox>
          <w10:wrap type="none"/>
        </v:shape>
      </w:pict>
    </w:r>
    <w:r>
      <w:rPr/>
      <w:pict>
        <v:shape style="position:absolute;margin-left:164.597168pt;margin-top:338.935272pt;width:19.7pt;height:84pt;mso-position-horizontal-relative:page;mso-position-vertical-relative:page;z-index:-455992" type="#_x0000_t202" filled="false" stroked="false">
          <v:textbox inset="0,0,0,0">
            <w:txbxContent>
              <w:p>
                <w:pPr>
                  <w:spacing w:line="194" w:lineRule="exact" w:before="0"/>
                  <w:ind w:left="68" w:right="0" w:firstLine="0"/>
                  <w:jc w:val="left"/>
                  <w:rPr>
                    <w:sz w:val="17"/>
                  </w:rPr>
                </w:pPr>
                <w:r>
                  <w:rPr>
                    <w:color w:val="231F20"/>
                    <w:w w:val="105"/>
                    <w:sz w:val="17"/>
                  </w:rPr>
                  <w:t>6.7</w:t>
                </w:r>
              </w:p>
              <w:p>
                <w:pPr>
                  <w:spacing w:before="10"/>
                  <w:ind w:left="20" w:right="0" w:firstLine="0"/>
                  <w:jc w:val="left"/>
                  <w:rPr>
                    <w:sz w:val="17"/>
                  </w:rPr>
                </w:pPr>
                <w:r>
                  <w:rPr>
                    <w:color w:val="231F20"/>
                    <w:w w:val="105"/>
                    <w:sz w:val="17"/>
                  </w:rPr>
                  <w:t>10.</w:t>
                </w:r>
                <w:r>
                  <w:rPr/>
                  <w:fldChar w:fldCharType="begin"/>
                </w:r>
                <w:r>
                  <w:rPr>
                    <w:color w:val="231F20"/>
                    <w:w w:val="105"/>
                    <w:sz w:val="17"/>
                  </w:rPr>
                  <w:instrText> PAGE </w:instrText>
                </w:r>
                <w:r>
                  <w:rPr/>
                  <w:fldChar w:fldCharType="separate"/>
                </w:r>
                <w:r>
                  <w:rPr/>
                  <w:t>9</w:t>
                </w:r>
                <w:r>
                  <w:rPr/>
                  <w:fldChar w:fldCharType="end"/>
                </w:r>
              </w:p>
              <w:p>
                <w:pPr>
                  <w:spacing w:before="10"/>
                  <w:ind w:left="68" w:right="0" w:firstLine="0"/>
                  <w:jc w:val="left"/>
                  <w:rPr>
                    <w:sz w:val="17"/>
                  </w:rPr>
                </w:pPr>
                <w:r>
                  <w:rPr>
                    <w:color w:val="231F20"/>
                    <w:w w:val="105"/>
                    <w:sz w:val="17"/>
                  </w:rPr>
                  <w:t>6.2</w:t>
                </w:r>
              </w:p>
              <w:p>
                <w:pPr>
                  <w:spacing w:before="10"/>
                  <w:ind w:left="68" w:right="0" w:firstLine="0"/>
                  <w:jc w:val="left"/>
                  <w:rPr>
                    <w:sz w:val="17"/>
                  </w:rPr>
                </w:pPr>
                <w:r>
                  <w:rPr>
                    <w:color w:val="231F20"/>
                    <w:w w:val="105"/>
                    <w:sz w:val="17"/>
                  </w:rPr>
                  <w:t>8.2</w:t>
                </w:r>
              </w:p>
              <w:p>
                <w:pPr>
                  <w:spacing w:before="10"/>
                  <w:ind w:left="68" w:right="0" w:firstLine="0"/>
                  <w:jc w:val="left"/>
                  <w:rPr>
                    <w:sz w:val="17"/>
                  </w:rPr>
                </w:pPr>
                <w:r>
                  <w:rPr>
                    <w:color w:val="231F20"/>
                    <w:w w:val="105"/>
                    <w:sz w:val="17"/>
                  </w:rPr>
                  <w:t>4.2</w:t>
                </w:r>
              </w:p>
              <w:p>
                <w:pPr>
                  <w:spacing w:before="10"/>
                  <w:ind w:left="68" w:right="0" w:firstLine="0"/>
                  <w:jc w:val="left"/>
                  <w:rPr>
                    <w:sz w:val="17"/>
                  </w:rPr>
                </w:pPr>
                <w:r>
                  <w:rPr>
                    <w:color w:val="231F20"/>
                    <w:w w:val="105"/>
                    <w:sz w:val="17"/>
                  </w:rPr>
                  <w:t>5.9</w:t>
                </w:r>
              </w:p>
              <w:p>
                <w:pPr>
                  <w:spacing w:before="10"/>
                  <w:ind w:left="68" w:right="0" w:firstLine="0"/>
                  <w:jc w:val="left"/>
                  <w:rPr>
                    <w:sz w:val="17"/>
                  </w:rPr>
                </w:pPr>
                <w:r>
                  <w:rPr>
                    <w:color w:val="231F20"/>
                    <w:w w:val="105"/>
                    <w:sz w:val="17"/>
                  </w:rPr>
                  <w:t>9.8</w:t>
                </w:r>
              </w:p>
              <w:p>
                <w:pPr>
                  <w:spacing w:before="10"/>
                  <w:ind w:left="68" w:right="0" w:firstLine="0"/>
                  <w:jc w:val="left"/>
                  <w:rPr>
                    <w:sz w:val="17"/>
                  </w:rPr>
                </w:pPr>
                <w:r>
                  <w:rPr>
                    <w:color w:val="231F20"/>
                    <w:w w:val="105"/>
                    <w:sz w:val="17"/>
                  </w:rPr>
                  <w:t>5.2</w:t>
                </w:r>
              </w:p>
            </w:txbxContent>
          </v:textbox>
          <w10:wrap type="none"/>
        </v:shape>
      </w:pict>
    </w:r>
    <w:r>
      <w:rPr/>
      <w:pict>
        <v:shape style="position:absolute;margin-left:207.327103pt;margin-top:338.935272pt;width:18.7pt;height:84pt;mso-position-horizontal-relative:page;mso-position-vertical-relative:page;z-index:-455968" type="#_x0000_t202" filled="false" stroked="false">
          <v:textbox inset="0,0,0,0">
            <w:txbxContent>
              <w:p>
                <w:pPr>
                  <w:spacing w:line="194" w:lineRule="exact" w:before="0"/>
                  <w:ind w:left="20" w:right="0" w:firstLine="0"/>
                  <w:jc w:val="left"/>
                  <w:rPr>
                    <w:sz w:val="17"/>
                  </w:rPr>
                </w:pPr>
                <w:r>
                  <w:rPr>
                    <w:color w:val="231F20"/>
                    <w:w w:val="105"/>
                    <w:sz w:val="17"/>
                  </w:rPr>
                  <w:t>71.2</w:t>
                </w:r>
              </w:p>
              <w:p>
                <w:pPr>
                  <w:spacing w:before="10"/>
                  <w:ind w:left="20" w:right="0" w:firstLine="0"/>
                  <w:jc w:val="left"/>
                  <w:rPr>
                    <w:sz w:val="17"/>
                  </w:rPr>
                </w:pPr>
                <w:r>
                  <w:rPr>
                    <w:color w:val="231F20"/>
                    <w:w w:val="105"/>
                    <w:sz w:val="17"/>
                  </w:rPr>
                  <w:t>62.4</w:t>
                </w:r>
              </w:p>
              <w:p>
                <w:pPr>
                  <w:spacing w:before="10"/>
                  <w:ind w:left="20" w:right="0" w:firstLine="0"/>
                  <w:jc w:val="left"/>
                  <w:rPr>
                    <w:sz w:val="17"/>
                  </w:rPr>
                </w:pPr>
                <w:r>
                  <w:rPr>
                    <w:color w:val="231F20"/>
                    <w:w w:val="105"/>
                    <w:sz w:val="17"/>
                  </w:rPr>
                  <w:t>72.5</w:t>
                </w:r>
              </w:p>
              <w:p>
                <w:pPr>
                  <w:spacing w:before="10"/>
                  <w:ind w:left="20" w:right="0" w:firstLine="0"/>
                  <w:jc w:val="left"/>
                  <w:rPr>
                    <w:sz w:val="17"/>
                  </w:rPr>
                </w:pPr>
                <w:r>
                  <w:rPr>
                    <w:color w:val="231F20"/>
                    <w:w w:val="105"/>
                    <w:sz w:val="17"/>
                  </w:rPr>
                  <w:t>78.6</w:t>
                </w:r>
              </w:p>
              <w:p>
                <w:pPr>
                  <w:spacing w:before="10"/>
                  <w:ind w:left="20" w:right="0" w:firstLine="0"/>
                  <w:jc w:val="left"/>
                  <w:rPr>
                    <w:sz w:val="17"/>
                  </w:rPr>
                </w:pPr>
                <w:r>
                  <w:rPr>
                    <w:color w:val="231F20"/>
                    <w:w w:val="105"/>
                    <w:sz w:val="17"/>
                  </w:rPr>
                  <w:t>68.1</w:t>
                </w:r>
              </w:p>
              <w:p>
                <w:pPr>
                  <w:spacing w:before="10"/>
                  <w:ind w:left="20" w:right="0" w:firstLine="0"/>
                  <w:jc w:val="left"/>
                  <w:rPr>
                    <w:sz w:val="17"/>
                  </w:rPr>
                </w:pPr>
                <w:r>
                  <w:rPr>
                    <w:color w:val="231F20"/>
                    <w:w w:val="105"/>
                    <w:sz w:val="17"/>
                  </w:rPr>
                  <w:t>62.7</w:t>
                </w:r>
              </w:p>
              <w:p>
                <w:pPr>
                  <w:spacing w:before="10"/>
                  <w:ind w:left="20" w:right="0" w:firstLine="0"/>
                  <w:jc w:val="left"/>
                  <w:rPr>
                    <w:sz w:val="17"/>
                  </w:rPr>
                </w:pPr>
                <w:r>
                  <w:rPr>
                    <w:color w:val="231F20"/>
                    <w:w w:val="105"/>
                    <w:sz w:val="17"/>
                  </w:rPr>
                  <w:t>73.3</w:t>
                </w:r>
              </w:p>
              <w:p>
                <w:pPr>
                  <w:spacing w:before="10"/>
                  <w:ind w:left="20" w:right="0" w:firstLine="0"/>
                  <w:jc w:val="left"/>
                  <w:rPr>
                    <w:sz w:val="17"/>
                  </w:rPr>
                </w:pPr>
                <w:r>
                  <w:rPr>
                    <w:color w:val="231F20"/>
                    <w:w w:val="105"/>
                    <w:sz w:val="17"/>
                  </w:rPr>
                  <w:t>71.6</w:t>
                </w:r>
              </w:p>
            </w:txbxContent>
          </v:textbox>
          <w10:wrap type="none"/>
        </v:shape>
      </w:pict>
    </w:r>
    <w:r>
      <w:rPr/>
      <w:pict>
        <v:shape style="position:absolute;margin-left:255.840347pt;margin-top:338.935272pt;width:18.7pt;height:84pt;mso-position-horizontal-relative:page;mso-position-vertical-relative:page;z-index:-455944" type="#_x0000_t202" filled="false" stroked="false">
          <v:textbox inset="0,0,0,0">
            <w:txbxContent>
              <w:p>
                <w:pPr>
                  <w:spacing w:line="194" w:lineRule="exact" w:before="0"/>
                  <w:ind w:left="116" w:right="0" w:firstLine="0"/>
                  <w:jc w:val="left"/>
                  <w:rPr>
                    <w:sz w:val="17"/>
                  </w:rPr>
                </w:pPr>
                <w:r>
                  <w:rPr>
                    <w:color w:val="231F20"/>
                    <w:w w:val="105"/>
                    <w:sz w:val="17"/>
                  </w:rPr>
                  <w:t>5.8</w:t>
                </w:r>
              </w:p>
              <w:p>
                <w:pPr>
                  <w:spacing w:before="10"/>
                  <w:ind w:left="116" w:right="0" w:firstLine="0"/>
                  <w:jc w:val="left"/>
                  <w:rPr>
                    <w:sz w:val="17"/>
                  </w:rPr>
                </w:pPr>
                <w:r>
                  <w:rPr>
                    <w:color w:val="231F20"/>
                    <w:w w:val="105"/>
                    <w:sz w:val="17"/>
                  </w:rPr>
                  <w:t>4.5</w:t>
                </w:r>
              </w:p>
              <w:p>
                <w:pPr>
                  <w:spacing w:before="10"/>
                  <w:ind w:left="116" w:right="0" w:firstLine="0"/>
                  <w:jc w:val="left"/>
                  <w:rPr>
                    <w:sz w:val="17"/>
                  </w:rPr>
                </w:pPr>
                <w:r>
                  <w:rPr>
                    <w:color w:val="231F20"/>
                    <w:w w:val="105"/>
                    <w:sz w:val="17"/>
                  </w:rPr>
                  <w:t>6.2</w:t>
                </w:r>
              </w:p>
              <w:p>
                <w:pPr>
                  <w:spacing w:before="10"/>
                  <w:ind w:left="116" w:right="0" w:firstLine="0"/>
                  <w:jc w:val="left"/>
                  <w:rPr>
                    <w:sz w:val="17"/>
                  </w:rPr>
                </w:pPr>
                <w:r>
                  <w:rPr>
                    <w:color w:val="231F20"/>
                    <w:w w:val="105"/>
                    <w:sz w:val="17"/>
                  </w:rPr>
                  <w:t>1.9</w:t>
                </w:r>
              </w:p>
              <w:p>
                <w:pPr>
                  <w:spacing w:before="10"/>
                  <w:ind w:left="116" w:right="0" w:firstLine="0"/>
                  <w:jc w:val="left"/>
                  <w:rPr>
                    <w:sz w:val="17"/>
                  </w:rPr>
                </w:pPr>
                <w:r>
                  <w:rPr>
                    <w:color w:val="231F20"/>
                    <w:w w:val="105"/>
                    <w:sz w:val="17"/>
                  </w:rPr>
                  <w:t>8.8</w:t>
                </w:r>
              </w:p>
              <w:p>
                <w:pPr>
                  <w:spacing w:before="10"/>
                  <w:ind w:left="20" w:right="0" w:firstLine="0"/>
                  <w:jc w:val="left"/>
                  <w:rPr>
                    <w:sz w:val="17"/>
                  </w:rPr>
                </w:pPr>
                <w:r>
                  <w:rPr>
                    <w:color w:val="231F20"/>
                    <w:w w:val="105"/>
                    <w:sz w:val="17"/>
                  </w:rPr>
                  <w:t>13.2</w:t>
                </w:r>
              </w:p>
              <w:p>
                <w:pPr>
                  <w:spacing w:before="10"/>
                  <w:ind w:left="116" w:right="0" w:firstLine="0"/>
                  <w:jc w:val="left"/>
                  <w:rPr>
                    <w:sz w:val="17"/>
                  </w:rPr>
                </w:pPr>
                <w:r>
                  <w:rPr>
                    <w:color w:val="231F20"/>
                    <w:w w:val="105"/>
                    <w:sz w:val="17"/>
                  </w:rPr>
                  <w:t>2.6</w:t>
                </w:r>
              </w:p>
              <w:p>
                <w:pPr>
                  <w:spacing w:before="10"/>
                  <w:ind w:left="116" w:right="0" w:firstLine="0"/>
                  <w:jc w:val="left"/>
                  <w:rPr>
                    <w:sz w:val="17"/>
                  </w:rPr>
                </w:pPr>
                <w:r>
                  <w:rPr>
                    <w:color w:val="231F20"/>
                    <w:w w:val="105"/>
                    <w:sz w:val="17"/>
                  </w:rPr>
                  <w:t>5.4</w:t>
                </w:r>
              </w:p>
            </w:txbxContent>
          </v:textbox>
          <w10:wrap type="none"/>
        </v:shape>
      </w:pict>
    </w:r>
    <w:r>
      <w:rPr/>
      <w:pict>
        <v:shape style="position:absolute;margin-left:304.536499pt;margin-top:338.935272pt;width:18.7pt;height:84pt;mso-position-horizontal-relative:page;mso-position-vertical-relative:page;z-index:-455920" type="#_x0000_t202" filled="false" stroked="false">
          <v:textbox inset="0,0,0,0">
            <w:txbxContent>
              <w:p>
                <w:pPr>
                  <w:spacing w:line="194" w:lineRule="exact" w:before="0"/>
                  <w:ind w:left="20" w:right="0" w:firstLine="0"/>
                  <w:jc w:val="left"/>
                  <w:rPr>
                    <w:sz w:val="17"/>
                  </w:rPr>
                </w:pPr>
                <w:r>
                  <w:rPr>
                    <w:color w:val="231F20"/>
                    <w:w w:val="105"/>
                    <w:sz w:val="17"/>
                  </w:rPr>
                  <w:t>16.4</w:t>
                </w:r>
              </w:p>
              <w:p>
                <w:pPr>
                  <w:spacing w:before="10"/>
                  <w:ind w:left="20" w:right="0" w:firstLine="0"/>
                  <w:jc w:val="left"/>
                  <w:rPr>
                    <w:sz w:val="17"/>
                  </w:rPr>
                </w:pPr>
                <w:r>
                  <w:rPr>
                    <w:color w:val="231F20"/>
                    <w:w w:val="105"/>
                    <w:sz w:val="17"/>
                  </w:rPr>
                  <w:t>22.2</w:t>
                </w:r>
              </w:p>
              <w:p>
                <w:pPr>
                  <w:spacing w:before="10"/>
                  <w:ind w:left="20" w:right="0" w:firstLine="0"/>
                  <w:jc w:val="left"/>
                  <w:rPr>
                    <w:sz w:val="17"/>
                  </w:rPr>
                </w:pPr>
                <w:r>
                  <w:rPr>
                    <w:color w:val="231F20"/>
                    <w:w w:val="105"/>
                    <w:sz w:val="17"/>
                  </w:rPr>
                  <w:t>15.1</w:t>
                </w:r>
              </w:p>
              <w:p>
                <w:pPr>
                  <w:spacing w:before="10"/>
                  <w:ind w:left="20" w:right="0" w:firstLine="0"/>
                  <w:jc w:val="left"/>
                  <w:rPr>
                    <w:sz w:val="17"/>
                  </w:rPr>
                </w:pPr>
                <w:r>
                  <w:rPr>
                    <w:color w:val="231F20"/>
                    <w:w w:val="105"/>
                    <w:sz w:val="17"/>
                  </w:rPr>
                  <w:t>11.4</w:t>
                </w:r>
              </w:p>
              <w:p>
                <w:pPr>
                  <w:spacing w:before="10"/>
                  <w:ind w:left="20" w:right="0" w:firstLine="0"/>
                  <w:jc w:val="left"/>
                  <w:rPr>
                    <w:sz w:val="17"/>
                  </w:rPr>
                </w:pPr>
                <w:r>
                  <w:rPr>
                    <w:color w:val="231F20"/>
                    <w:w w:val="105"/>
                    <w:sz w:val="17"/>
                  </w:rPr>
                  <w:t>18.9</w:t>
                </w:r>
              </w:p>
              <w:p>
                <w:pPr>
                  <w:spacing w:before="10"/>
                  <w:ind w:left="20" w:right="0" w:firstLine="0"/>
                  <w:jc w:val="left"/>
                  <w:rPr>
                    <w:sz w:val="17"/>
                  </w:rPr>
                </w:pPr>
                <w:r>
                  <w:rPr>
                    <w:color w:val="231F20"/>
                    <w:w w:val="105"/>
                    <w:sz w:val="17"/>
                  </w:rPr>
                  <w:t>18.2</w:t>
                </w:r>
              </w:p>
              <w:p>
                <w:pPr>
                  <w:spacing w:before="10"/>
                  <w:ind w:left="20" w:right="0" w:firstLine="0"/>
                  <w:jc w:val="left"/>
                  <w:rPr>
                    <w:sz w:val="17"/>
                  </w:rPr>
                </w:pPr>
                <w:r>
                  <w:rPr>
                    <w:color w:val="231F20"/>
                    <w:w w:val="105"/>
                    <w:sz w:val="17"/>
                  </w:rPr>
                  <w:t>14.3</w:t>
                </w:r>
              </w:p>
              <w:p>
                <w:pPr>
                  <w:spacing w:before="10"/>
                  <w:ind w:left="20" w:right="0" w:firstLine="0"/>
                  <w:jc w:val="left"/>
                  <w:rPr>
                    <w:sz w:val="17"/>
                  </w:rPr>
                </w:pPr>
                <w:r>
                  <w:rPr>
                    <w:color w:val="231F20"/>
                    <w:w w:val="105"/>
                    <w:sz w:val="17"/>
                  </w:rPr>
                  <w:t>17.8</w:t>
                </w:r>
              </w:p>
            </w:txbxContent>
          </v:textbox>
          <w10:wrap type="none"/>
        </v:shape>
      </w:pict>
    </w:r>
    <w:r>
      <w:rPr/>
      <w:pict>
        <v:shape style="position:absolute;margin-left:348.690765pt;margin-top:338.935272pt;width:16.45pt;height:84pt;mso-position-horizontal-relative:page;mso-position-vertical-relative:page;z-index:-455896" type="#_x0000_t202" filled="false" stroked="false">
          <v:textbox inset="0,0,0,0">
            <w:txbxContent>
              <w:p>
                <w:pPr>
                  <w:spacing w:line="194" w:lineRule="exact" w:before="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txbxContent>
          </v:textbox>
          <w10:wrap type="none"/>
        </v:shape>
      </w:pict>
    </w:r>
    <w:r>
      <w:rPr/>
      <w:pict>
        <v:shape style="position:absolute;margin-left:385.162994pt;margin-top:338.935272pt;width:18.7pt;height:84pt;mso-position-horizontal-relative:page;mso-position-vertical-relative:page;z-index:-455872" type="#_x0000_t202" filled="false" stroked="false">
          <v:textbox inset="0,0,0,0">
            <w:txbxContent>
              <w:p>
                <w:pPr>
                  <w:spacing w:line="194" w:lineRule="exact" w:before="0"/>
                  <w:ind w:left="116" w:right="0" w:firstLine="0"/>
                  <w:jc w:val="left"/>
                  <w:rPr>
                    <w:sz w:val="17"/>
                  </w:rPr>
                </w:pPr>
                <w:r>
                  <w:rPr>
                    <w:color w:val="231F20"/>
                    <w:w w:val="105"/>
                    <w:sz w:val="17"/>
                  </w:rPr>
                  <w:t>8.7</w:t>
                </w:r>
              </w:p>
              <w:p>
                <w:pPr>
                  <w:spacing w:before="10"/>
                  <w:ind w:left="20" w:right="0" w:firstLine="0"/>
                  <w:jc w:val="left"/>
                  <w:rPr>
                    <w:sz w:val="17"/>
                  </w:rPr>
                </w:pPr>
                <w:r>
                  <w:rPr>
                    <w:color w:val="231F20"/>
                    <w:w w:val="105"/>
                    <w:sz w:val="17"/>
                  </w:rPr>
                  <w:t>14.5</w:t>
                </w:r>
              </w:p>
              <w:p>
                <w:pPr>
                  <w:spacing w:before="10"/>
                  <w:ind w:left="116" w:right="0" w:firstLine="0"/>
                  <w:jc w:val="left"/>
                  <w:rPr>
                    <w:sz w:val="17"/>
                  </w:rPr>
                </w:pPr>
                <w:r>
                  <w:rPr>
                    <w:color w:val="231F20"/>
                    <w:w w:val="105"/>
                    <w:sz w:val="17"/>
                  </w:rPr>
                  <w:t>8.5</w:t>
                </w:r>
              </w:p>
              <w:p>
                <w:pPr>
                  <w:spacing w:before="10"/>
                  <w:ind w:left="20" w:right="0" w:firstLine="0"/>
                  <w:jc w:val="left"/>
                  <w:rPr>
                    <w:sz w:val="17"/>
                  </w:rPr>
                </w:pPr>
                <w:r>
                  <w:rPr>
                    <w:color w:val="231F20"/>
                    <w:w w:val="105"/>
                    <w:sz w:val="17"/>
                  </w:rPr>
                  <w:t>10.6</w:t>
                </w:r>
              </w:p>
              <w:p>
                <w:pPr>
                  <w:spacing w:before="10"/>
                  <w:ind w:left="116" w:right="0" w:firstLine="0"/>
                  <w:jc w:val="left"/>
                  <w:rPr>
                    <w:sz w:val="17"/>
                  </w:rPr>
                </w:pPr>
                <w:r>
                  <w:rPr>
                    <w:color w:val="231F20"/>
                    <w:w w:val="105"/>
                    <w:sz w:val="17"/>
                  </w:rPr>
                  <w:t>6.3</w:t>
                </w:r>
              </w:p>
              <w:p>
                <w:pPr>
                  <w:spacing w:before="10"/>
                  <w:ind w:left="116" w:right="0" w:firstLine="0"/>
                  <w:jc w:val="left"/>
                  <w:rPr>
                    <w:sz w:val="17"/>
                  </w:rPr>
                </w:pPr>
                <w:r>
                  <w:rPr>
                    <w:color w:val="231F20"/>
                    <w:w w:val="105"/>
                    <w:sz w:val="17"/>
                  </w:rPr>
                  <w:t>7.9</w:t>
                </w:r>
              </w:p>
              <w:p>
                <w:pPr>
                  <w:spacing w:before="10"/>
                  <w:ind w:left="20" w:right="0" w:firstLine="0"/>
                  <w:jc w:val="left"/>
                  <w:rPr>
                    <w:sz w:val="17"/>
                  </w:rPr>
                </w:pPr>
                <w:r>
                  <w:rPr>
                    <w:color w:val="231F20"/>
                    <w:w w:val="105"/>
                    <w:sz w:val="17"/>
                  </w:rPr>
                  <w:t>11.3</w:t>
                </w:r>
              </w:p>
              <w:p>
                <w:pPr>
                  <w:spacing w:before="10"/>
                  <w:ind w:left="116" w:right="0" w:firstLine="0"/>
                  <w:jc w:val="left"/>
                  <w:rPr>
                    <w:sz w:val="17"/>
                  </w:rPr>
                </w:pPr>
                <w:r>
                  <w:rPr>
                    <w:color w:val="231F20"/>
                    <w:w w:val="105"/>
                    <w:sz w:val="17"/>
                  </w:rPr>
                  <w:t>8.2</w:t>
                </w:r>
              </w:p>
            </w:txbxContent>
          </v:textbox>
          <w10:wrap type="none"/>
        </v:shape>
      </w:pict>
    </w:r>
    <w:r>
      <w:rPr/>
      <w:pict>
        <v:shape style="position:absolute;margin-left:425.585266pt;margin-top:338.935272pt;width:18.7pt;height:84pt;mso-position-horizontal-relative:page;mso-position-vertical-relative:page;z-index:-455848" type="#_x0000_t202" filled="false" stroked="false">
          <v:textbox inset="0,0,0,0">
            <w:txbxContent>
              <w:p>
                <w:pPr>
                  <w:spacing w:line="194" w:lineRule="exact" w:before="0"/>
                  <w:ind w:left="20" w:right="0" w:firstLine="0"/>
                  <w:jc w:val="left"/>
                  <w:rPr>
                    <w:sz w:val="17"/>
                  </w:rPr>
                </w:pPr>
                <w:r>
                  <w:rPr>
                    <w:color w:val="231F20"/>
                    <w:w w:val="105"/>
                    <w:sz w:val="17"/>
                  </w:rPr>
                  <w:t>58.9</w:t>
                </w:r>
              </w:p>
              <w:p>
                <w:pPr>
                  <w:spacing w:before="10"/>
                  <w:ind w:left="20" w:right="0" w:firstLine="0"/>
                  <w:jc w:val="left"/>
                  <w:rPr>
                    <w:sz w:val="17"/>
                  </w:rPr>
                </w:pPr>
                <w:r>
                  <w:rPr>
                    <w:color w:val="231F20"/>
                    <w:w w:val="105"/>
                    <w:sz w:val="17"/>
                  </w:rPr>
                  <w:t>51.9</w:t>
                </w:r>
              </w:p>
              <w:p>
                <w:pPr>
                  <w:spacing w:before="10"/>
                  <w:ind w:left="20" w:right="0" w:firstLine="0"/>
                  <w:jc w:val="left"/>
                  <w:rPr>
                    <w:sz w:val="17"/>
                  </w:rPr>
                </w:pPr>
                <w:r>
                  <w:rPr>
                    <w:color w:val="231F20"/>
                    <w:w w:val="105"/>
                    <w:sz w:val="17"/>
                  </w:rPr>
                  <w:t>63.1</w:t>
                </w:r>
              </w:p>
              <w:p>
                <w:pPr>
                  <w:spacing w:before="10"/>
                  <w:ind w:left="20" w:right="0" w:firstLine="0"/>
                  <w:jc w:val="left"/>
                  <w:rPr>
                    <w:sz w:val="17"/>
                  </w:rPr>
                </w:pPr>
                <w:r>
                  <w:rPr>
                    <w:color w:val="231F20"/>
                    <w:w w:val="105"/>
                    <w:sz w:val="17"/>
                  </w:rPr>
                  <w:t>69.7</w:t>
                </w:r>
              </w:p>
              <w:p>
                <w:pPr>
                  <w:spacing w:before="10"/>
                  <w:ind w:left="20" w:right="0" w:firstLine="0"/>
                  <w:jc w:val="left"/>
                  <w:rPr>
                    <w:sz w:val="17"/>
                  </w:rPr>
                </w:pPr>
                <w:r>
                  <w:rPr>
                    <w:color w:val="231F20"/>
                    <w:w w:val="105"/>
                    <w:sz w:val="17"/>
                  </w:rPr>
                  <w:t>59.7</w:t>
                </w:r>
              </w:p>
              <w:p>
                <w:pPr>
                  <w:spacing w:before="10"/>
                  <w:ind w:left="20" w:right="0" w:firstLine="0"/>
                  <w:jc w:val="left"/>
                  <w:rPr>
                    <w:sz w:val="17"/>
                  </w:rPr>
                </w:pPr>
                <w:r>
                  <w:rPr>
                    <w:color w:val="231F20"/>
                    <w:w w:val="105"/>
                    <w:sz w:val="17"/>
                  </w:rPr>
                  <w:t>58.1</w:t>
                </w:r>
              </w:p>
              <w:p>
                <w:pPr>
                  <w:spacing w:before="10"/>
                  <w:ind w:left="20" w:right="0" w:firstLine="0"/>
                  <w:jc w:val="left"/>
                  <w:rPr>
                    <w:sz w:val="17"/>
                  </w:rPr>
                </w:pPr>
                <w:r>
                  <w:rPr>
                    <w:color w:val="231F20"/>
                    <w:w w:val="105"/>
                    <w:sz w:val="17"/>
                  </w:rPr>
                  <w:t>64.4</w:t>
                </w:r>
              </w:p>
              <w:p>
                <w:pPr>
                  <w:spacing w:before="10"/>
                  <w:ind w:left="20" w:right="0" w:firstLine="0"/>
                  <w:jc w:val="left"/>
                  <w:rPr>
                    <w:sz w:val="17"/>
                  </w:rPr>
                </w:pPr>
                <w:r>
                  <w:rPr>
                    <w:color w:val="231F20"/>
                    <w:w w:val="105"/>
                    <w:sz w:val="17"/>
                  </w:rPr>
                  <w:t>60.6</w:t>
                </w:r>
              </w:p>
            </w:txbxContent>
          </v:textbox>
          <w10:wrap type="none"/>
        </v:shape>
      </w:pict>
    </w:r>
    <w:r>
      <w:rPr/>
      <w:pict>
        <v:shape style="position:absolute;margin-left:472.635376pt;margin-top:338.935272pt;width:18.7pt;height:84pt;mso-position-horizontal-relative:page;mso-position-vertical-relative:page;z-index:-455824" type="#_x0000_t202" filled="false" stroked="false">
          <v:textbox inset="0,0,0,0">
            <w:txbxContent>
              <w:p>
                <w:pPr>
                  <w:spacing w:line="194" w:lineRule="exact" w:before="0"/>
                  <w:ind w:left="20" w:right="0" w:firstLine="0"/>
                  <w:jc w:val="left"/>
                  <w:rPr>
                    <w:sz w:val="17"/>
                  </w:rPr>
                </w:pPr>
                <w:r>
                  <w:rPr>
                    <w:color w:val="231F20"/>
                    <w:w w:val="105"/>
                    <w:sz w:val="17"/>
                  </w:rPr>
                  <w:t>11.0</w:t>
                </w:r>
              </w:p>
              <w:p>
                <w:pPr>
                  <w:spacing w:before="10"/>
                  <w:ind w:left="116" w:right="0" w:firstLine="0"/>
                  <w:jc w:val="left"/>
                  <w:rPr>
                    <w:sz w:val="17"/>
                  </w:rPr>
                </w:pPr>
                <w:r>
                  <w:rPr>
                    <w:color w:val="231F20"/>
                    <w:w w:val="105"/>
                    <w:sz w:val="17"/>
                  </w:rPr>
                  <w:t>9.6</w:t>
                </w:r>
              </w:p>
              <w:p>
                <w:pPr>
                  <w:spacing w:before="10"/>
                  <w:ind w:left="116" w:right="0" w:firstLine="0"/>
                  <w:jc w:val="left"/>
                  <w:rPr>
                    <w:sz w:val="17"/>
                  </w:rPr>
                </w:pPr>
                <w:r>
                  <w:rPr>
                    <w:color w:val="231F20"/>
                    <w:w w:val="105"/>
                    <w:sz w:val="17"/>
                  </w:rPr>
                  <w:t>8.3</w:t>
                </w:r>
              </w:p>
              <w:p>
                <w:pPr>
                  <w:spacing w:before="10"/>
                  <w:ind w:left="116" w:right="0" w:firstLine="0"/>
                  <w:jc w:val="left"/>
                  <w:rPr>
                    <w:sz w:val="17"/>
                  </w:rPr>
                </w:pPr>
                <w:r>
                  <w:rPr>
                    <w:color w:val="231F20"/>
                    <w:w w:val="105"/>
                    <w:sz w:val="17"/>
                  </w:rPr>
                  <w:t>3.6</w:t>
                </w:r>
              </w:p>
              <w:p>
                <w:pPr>
                  <w:spacing w:before="10"/>
                  <w:ind w:left="20" w:right="0" w:firstLine="0"/>
                  <w:jc w:val="left"/>
                  <w:rPr>
                    <w:sz w:val="17"/>
                  </w:rPr>
                </w:pPr>
                <w:r>
                  <w:rPr>
                    <w:color w:val="231F20"/>
                    <w:w w:val="105"/>
                    <w:sz w:val="17"/>
                  </w:rPr>
                  <w:t>10.3</w:t>
                </w:r>
              </w:p>
              <w:p>
                <w:pPr>
                  <w:spacing w:before="10"/>
                  <w:ind w:left="20" w:right="0" w:firstLine="0"/>
                  <w:jc w:val="left"/>
                  <w:rPr>
                    <w:sz w:val="17"/>
                  </w:rPr>
                </w:pPr>
                <w:r>
                  <w:rPr>
                    <w:color w:val="231F20"/>
                    <w:w w:val="105"/>
                    <w:sz w:val="17"/>
                  </w:rPr>
                  <w:t>13.2</w:t>
                </w:r>
              </w:p>
              <w:p>
                <w:pPr>
                  <w:spacing w:before="10"/>
                  <w:ind w:left="116" w:right="0" w:firstLine="0"/>
                  <w:jc w:val="left"/>
                  <w:rPr>
                    <w:sz w:val="17"/>
                  </w:rPr>
                </w:pPr>
                <w:r>
                  <w:rPr>
                    <w:color w:val="231F20"/>
                    <w:w w:val="105"/>
                    <w:sz w:val="17"/>
                  </w:rPr>
                  <w:t>5.5</w:t>
                </w:r>
              </w:p>
              <w:p>
                <w:pPr>
                  <w:spacing w:before="10"/>
                  <w:ind w:left="116" w:right="0" w:firstLine="0"/>
                  <w:jc w:val="left"/>
                  <w:rPr>
                    <w:sz w:val="17"/>
                  </w:rPr>
                </w:pPr>
                <w:r>
                  <w:rPr>
                    <w:color w:val="231F20"/>
                    <w:w w:val="105"/>
                    <w:sz w:val="17"/>
                  </w:rPr>
                  <w:t>9.6</w:t>
                </w:r>
              </w:p>
            </w:txbxContent>
          </v:textbox>
          <w10:wrap type="none"/>
        </v:shape>
      </w:pict>
    </w:r>
    <w:r>
      <w:rPr/>
      <w:pict>
        <v:shape style="position:absolute;margin-left:520.881042pt;margin-top:338.935272pt;width:18.7pt;height:84pt;mso-position-horizontal-relative:page;mso-position-vertical-relative:page;z-index:-455800" type="#_x0000_t202" filled="false" stroked="false">
          <v:textbox inset="0,0,0,0">
            <w:txbxContent>
              <w:p>
                <w:pPr>
                  <w:spacing w:line="194" w:lineRule="exact" w:before="0"/>
                  <w:ind w:left="20" w:right="0" w:firstLine="0"/>
                  <w:jc w:val="left"/>
                  <w:rPr>
                    <w:sz w:val="17"/>
                  </w:rPr>
                </w:pPr>
                <w:r>
                  <w:rPr>
                    <w:color w:val="231F20"/>
                    <w:w w:val="105"/>
                    <w:sz w:val="17"/>
                  </w:rPr>
                  <w:t>21.5</w:t>
                </w:r>
              </w:p>
              <w:p>
                <w:pPr>
                  <w:spacing w:before="10"/>
                  <w:ind w:left="20" w:right="0" w:firstLine="0"/>
                  <w:jc w:val="left"/>
                  <w:rPr>
                    <w:sz w:val="17"/>
                  </w:rPr>
                </w:pPr>
                <w:r>
                  <w:rPr>
                    <w:color w:val="231F20"/>
                    <w:w w:val="105"/>
                    <w:sz w:val="17"/>
                  </w:rPr>
                  <w:t>24.0</w:t>
                </w:r>
              </w:p>
              <w:p>
                <w:pPr>
                  <w:spacing w:before="10"/>
                  <w:ind w:left="20" w:right="0" w:firstLine="0"/>
                  <w:jc w:val="left"/>
                  <w:rPr>
                    <w:sz w:val="17"/>
                  </w:rPr>
                </w:pPr>
                <w:r>
                  <w:rPr>
                    <w:color w:val="231F20"/>
                    <w:w w:val="105"/>
                    <w:sz w:val="17"/>
                  </w:rPr>
                  <w:t>20.1</w:t>
                </w:r>
              </w:p>
              <w:p>
                <w:pPr>
                  <w:spacing w:before="10"/>
                  <w:ind w:left="20" w:right="0" w:firstLine="0"/>
                  <w:jc w:val="left"/>
                  <w:rPr>
                    <w:sz w:val="17"/>
                  </w:rPr>
                </w:pPr>
                <w:r>
                  <w:rPr>
                    <w:color w:val="231F20"/>
                    <w:w w:val="105"/>
                    <w:sz w:val="17"/>
                  </w:rPr>
                  <w:t>16.1</w:t>
                </w:r>
              </w:p>
              <w:p>
                <w:pPr>
                  <w:spacing w:before="10"/>
                  <w:ind w:left="20" w:right="0" w:firstLine="0"/>
                  <w:jc w:val="left"/>
                  <w:rPr>
                    <w:sz w:val="17"/>
                  </w:rPr>
                </w:pPr>
                <w:r>
                  <w:rPr>
                    <w:color w:val="231F20"/>
                    <w:w w:val="105"/>
                    <w:sz w:val="17"/>
                  </w:rPr>
                  <w:t>23.7</w:t>
                </w:r>
              </w:p>
              <w:p>
                <w:pPr>
                  <w:spacing w:before="10"/>
                  <w:ind w:left="20" w:right="0" w:firstLine="0"/>
                  <w:jc w:val="left"/>
                  <w:rPr>
                    <w:sz w:val="17"/>
                  </w:rPr>
                </w:pPr>
                <w:r>
                  <w:rPr>
                    <w:color w:val="231F20"/>
                    <w:w w:val="105"/>
                    <w:sz w:val="17"/>
                  </w:rPr>
                  <w:t>20.8</w:t>
                </w:r>
              </w:p>
              <w:p>
                <w:pPr>
                  <w:spacing w:before="10"/>
                  <w:ind w:left="20" w:right="0" w:firstLine="0"/>
                  <w:jc w:val="left"/>
                  <w:rPr>
                    <w:sz w:val="17"/>
                  </w:rPr>
                </w:pPr>
                <w:r>
                  <w:rPr>
                    <w:color w:val="231F20"/>
                    <w:w w:val="105"/>
                    <w:sz w:val="17"/>
                  </w:rPr>
                  <w:t>18.8</w:t>
                </w:r>
              </w:p>
              <w:p>
                <w:pPr>
                  <w:spacing w:before="10"/>
                  <w:ind w:left="20" w:right="0" w:firstLine="0"/>
                  <w:jc w:val="left"/>
                  <w:rPr>
                    <w:sz w:val="17"/>
                  </w:rPr>
                </w:pPr>
                <w:r>
                  <w:rPr>
                    <w:color w:val="231F20"/>
                    <w:w w:val="105"/>
                    <w:sz w:val="17"/>
                  </w:rPr>
                  <w:t>21.6</w:t>
                </w:r>
              </w:p>
            </w:txbxContent>
          </v:textbox>
          <w10:wrap type="none"/>
        </v:shape>
      </w:pict>
    </w:r>
    <w:r>
      <w:rPr/>
      <w:pict>
        <v:shape style="position:absolute;margin-left:568.562378pt;margin-top:338.935272pt;width:16.45pt;height:84pt;mso-position-horizontal-relative:page;mso-position-vertical-relative:page;z-index:-455776" type="#_x0000_t202" filled="false" stroked="false">
          <v:textbox inset="0,0,0,0">
            <w:txbxContent>
              <w:p>
                <w:pPr>
                  <w:spacing w:line="194" w:lineRule="exact" w:before="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p>
                <w:pPr>
                  <w:spacing w:before="10"/>
                  <w:ind w:left="20" w:right="0" w:firstLine="0"/>
                  <w:jc w:val="left"/>
                  <w:rPr>
                    <w:sz w:val="17"/>
                  </w:rPr>
                </w:pPr>
                <w:r>
                  <w:rPr>
                    <w:color w:val="231F20"/>
                    <w:sz w:val="17"/>
                  </w:rPr>
                  <w:t>100</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195.95pt;height:11pt;mso-position-horizontal-relative:page;mso-position-vertical-relative:page;z-index:-455752"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88</w:t>
                </w:r>
                <w:r>
                  <w:rPr/>
                  <w:fldChar w:fldCharType="end"/>
                </w:r>
                <w:r>
                  <w:rPr>
                    <w:rFonts w:ascii="Calibri" w:hAnsi="Calibri"/>
                    <w:i/>
                    <w:color w:val="231F20"/>
                    <w:spacing w:val="-19"/>
                    <w:w w:val="90"/>
                    <w:sz w:val="18"/>
                  </w:rPr>
                  <w:t> </w:t>
                </w:r>
                <w:r>
                  <w:rPr>
                    <w:i/>
                    <w:color w:val="231F20"/>
                    <w:w w:val="90"/>
                    <w:sz w:val="18"/>
                  </w:rPr>
                  <w:t>•</w:t>
                </w:r>
                <w:r>
                  <w:rPr>
                    <w:i/>
                    <w:color w:val="231F20"/>
                    <w:spacing w:val="-19"/>
                    <w:w w:val="90"/>
                    <w:sz w:val="18"/>
                  </w:rPr>
                  <w:t> </w:t>
                </w:r>
                <w:r>
                  <w:rPr>
                    <w:rFonts w:ascii="Calibri" w:hAnsi="Calibri"/>
                    <w:i/>
                    <w:color w:val="231F20"/>
                    <w:w w:val="90"/>
                    <w:sz w:val="18"/>
                  </w:rPr>
                  <w:t>R.</w:t>
                </w:r>
                <w:r>
                  <w:rPr>
                    <w:rFonts w:ascii="Calibri" w:hAnsi="Calibri"/>
                    <w:i/>
                    <w:color w:val="231F20"/>
                    <w:spacing w:val="-19"/>
                    <w:w w:val="90"/>
                    <w:sz w:val="18"/>
                  </w:rPr>
                  <w:t> P. </w:t>
                </w:r>
                <w:r>
                  <w:rPr>
                    <w:rFonts w:ascii="Calibri" w:hAnsi="Calibri"/>
                    <w:i/>
                    <w:color w:val="231F20"/>
                    <w:w w:val="90"/>
                    <w:sz w:val="18"/>
                  </w:rPr>
                  <w:t>Sosa</w:t>
                </w:r>
                <w:r>
                  <w:rPr>
                    <w:rFonts w:ascii="Calibri" w:hAnsi="Calibri"/>
                    <w:i/>
                    <w:color w:val="231F20"/>
                    <w:spacing w:val="-19"/>
                    <w:w w:val="90"/>
                    <w:sz w:val="18"/>
                  </w:rPr>
                  <w:t> </w:t>
                </w:r>
                <w:r>
                  <w:rPr>
                    <w:rFonts w:ascii="Calibri" w:hAnsi="Calibri"/>
                    <w:i/>
                    <w:color w:val="231F20"/>
                    <w:w w:val="90"/>
                    <w:sz w:val="18"/>
                  </w:rPr>
                  <w:t>Marquéz,</w:t>
                </w:r>
                <w:r>
                  <w:rPr>
                    <w:rFonts w:ascii="Calibri" w:hAnsi="Calibri"/>
                    <w:i/>
                    <w:color w:val="231F20"/>
                    <w:spacing w:val="-19"/>
                    <w:w w:val="90"/>
                    <w:sz w:val="18"/>
                  </w:rPr>
                  <w:t> </w:t>
                </w:r>
                <w:r>
                  <w:rPr>
                    <w:rFonts w:ascii="Calibri" w:hAnsi="Calibri"/>
                    <w:i/>
                    <w:color w:val="231F20"/>
                    <w:w w:val="90"/>
                    <w:sz w:val="18"/>
                  </w:rPr>
                  <w:t>A.</w:t>
                </w:r>
                <w:r>
                  <w:rPr>
                    <w:rFonts w:ascii="Calibri" w:hAnsi="Calibri"/>
                    <w:i/>
                    <w:color w:val="231F20"/>
                    <w:spacing w:val="-19"/>
                    <w:w w:val="90"/>
                    <w:sz w:val="18"/>
                  </w:rPr>
                  <w:t> </w:t>
                </w:r>
                <w:r>
                  <w:rPr>
                    <w:rFonts w:ascii="Calibri" w:hAnsi="Calibri"/>
                    <w:i/>
                    <w:color w:val="231F20"/>
                    <w:w w:val="90"/>
                    <w:sz w:val="18"/>
                  </w:rPr>
                  <w:t>Mejía</w:t>
                </w:r>
                <w:r>
                  <w:rPr>
                    <w:rFonts w:ascii="Calibri" w:hAnsi="Calibri"/>
                    <w:i/>
                    <w:color w:val="231F20"/>
                    <w:spacing w:val="-19"/>
                    <w:w w:val="90"/>
                    <w:sz w:val="18"/>
                  </w:rPr>
                  <w:t> </w:t>
                </w:r>
                <w:r>
                  <w:rPr>
                    <w:rFonts w:ascii="Calibri" w:hAnsi="Calibri"/>
                    <w:i/>
                    <w:color w:val="231F20"/>
                    <w:w w:val="90"/>
                    <w:sz w:val="18"/>
                  </w:rPr>
                  <w:t>Modesto,</w:t>
                </w:r>
                <w:r>
                  <w:rPr>
                    <w:rFonts w:ascii="Calibri" w:hAnsi="Calibri"/>
                    <w:i/>
                    <w:color w:val="231F20"/>
                    <w:spacing w:val="-19"/>
                    <w:w w:val="90"/>
                    <w:sz w:val="18"/>
                  </w:rPr>
                  <w:t> </w:t>
                </w:r>
                <w:r>
                  <w:rPr>
                    <w:rFonts w:ascii="Calibri" w:hAnsi="Calibri"/>
                    <w:i/>
                    <w:color w:val="231F20"/>
                    <w:w w:val="90"/>
                    <w:sz w:val="18"/>
                  </w:rPr>
                  <w:t>J.</w:t>
                </w:r>
                <w:r>
                  <w:rPr>
                    <w:rFonts w:ascii="Calibri" w:hAnsi="Calibri"/>
                    <w:i/>
                    <w:color w:val="231F20"/>
                    <w:spacing w:val="-19"/>
                    <w:w w:val="90"/>
                    <w:sz w:val="18"/>
                  </w:rPr>
                  <w:t> </w:t>
                </w:r>
                <w:r>
                  <w:rPr>
                    <w:rFonts w:ascii="Calibri" w:hAnsi="Calibri"/>
                    <w:i/>
                    <w:color w:val="231F20"/>
                    <w:w w:val="90"/>
                    <w:sz w:val="18"/>
                  </w:rPr>
                  <w:t>A.</w:t>
                </w:r>
                <w:r>
                  <w:rPr>
                    <w:rFonts w:ascii="Calibri" w:hAnsi="Calibri"/>
                    <w:i/>
                    <w:color w:val="231F20"/>
                    <w:spacing w:val="-19"/>
                    <w:w w:val="90"/>
                    <w:sz w:val="18"/>
                  </w:rPr>
                  <w:t> </w:t>
                </w:r>
                <w:r>
                  <w:rPr>
                    <w:rFonts w:ascii="Calibri" w:hAnsi="Calibri"/>
                    <w:i/>
                    <w:color w:val="231F20"/>
                    <w:w w:val="90"/>
                    <w:sz w:val="18"/>
                  </w:rPr>
                  <w:t>Soberón</w:t>
                </w:r>
                <w:r>
                  <w:rPr>
                    <w:rFonts w:ascii="Calibri" w:hAnsi="Calibri"/>
                    <w:i/>
                    <w:color w:val="231F20"/>
                    <w:spacing w:val="-19"/>
                    <w:w w:val="90"/>
                    <w:sz w:val="18"/>
                  </w:rPr>
                  <w:t> </w:t>
                </w:r>
                <w:r>
                  <w:rPr>
                    <w:rFonts w:ascii="Calibri" w:hAnsi="Calibri"/>
                    <w:i/>
                    <w:color w:val="231F20"/>
                    <w:w w:val="90"/>
                    <w:sz w:val="18"/>
                  </w:rPr>
                  <w:t>Mora</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24.212601pt;margin-top:567.814941pt;width:180.8pt;height:11pt;mso-position-horizontal-relative:page;mso-position-vertical-relative:page;z-index:-455728"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90"/>
                    <w:sz w:val="18"/>
                  </w:rPr>
                  <w:t>Cambios</w:t>
                </w:r>
                <w:r>
                  <w:rPr>
                    <w:rFonts w:ascii="Calibri" w:hAnsi="Calibri"/>
                    <w:i/>
                    <w:color w:val="231F20"/>
                    <w:spacing w:val="-21"/>
                    <w:w w:val="90"/>
                    <w:sz w:val="18"/>
                  </w:rPr>
                  <w:t> </w:t>
                </w:r>
                <w:r>
                  <w:rPr>
                    <w:rFonts w:ascii="Calibri" w:hAnsi="Calibri"/>
                    <w:i/>
                    <w:color w:val="231F20"/>
                    <w:w w:val="90"/>
                    <w:sz w:val="18"/>
                  </w:rPr>
                  <w:t>en</w:t>
                </w:r>
                <w:r>
                  <w:rPr>
                    <w:rFonts w:ascii="Calibri" w:hAnsi="Calibri"/>
                    <w:i/>
                    <w:color w:val="231F20"/>
                    <w:spacing w:val="-21"/>
                    <w:w w:val="90"/>
                    <w:sz w:val="18"/>
                  </w:rPr>
                  <w:t> </w:t>
                </w:r>
                <w:r>
                  <w:rPr>
                    <w:rFonts w:ascii="Calibri" w:hAnsi="Calibri"/>
                    <w:i/>
                    <w:color w:val="231F20"/>
                    <w:w w:val="90"/>
                    <w:sz w:val="18"/>
                  </w:rPr>
                  <w:t>la</w:t>
                </w:r>
                <w:r>
                  <w:rPr>
                    <w:rFonts w:ascii="Calibri" w:hAnsi="Calibri"/>
                    <w:i/>
                    <w:color w:val="231F20"/>
                    <w:spacing w:val="-21"/>
                    <w:w w:val="90"/>
                    <w:sz w:val="18"/>
                  </w:rPr>
                  <w:t> </w:t>
                </w:r>
                <w:r>
                  <w:rPr>
                    <w:rFonts w:ascii="Calibri" w:hAnsi="Calibri"/>
                    <w:i/>
                    <w:color w:val="231F20"/>
                    <w:w w:val="90"/>
                    <w:sz w:val="18"/>
                  </w:rPr>
                  <w:t>formación</w:t>
                </w:r>
                <w:r>
                  <w:rPr>
                    <w:rFonts w:ascii="Calibri" w:hAnsi="Calibri"/>
                    <w:i/>
                    <w:color w:val="231F20"/>
                    <w:spacing w:val="-21"/>
                    <w:w w:val="90"/>
                    <w:sz w:val="18"/>
                  </w:rPr>
                  <w:t> </w:t>
                </w:r>
                <w:r>
                  <w:rPr>
                    <w:rFonts w:ascii="Calibri" w:hAnsi="Calibri"/>
                    <w:i/>
                    <w:color w:val="231F20"/>
                    <w:w w:val="90"/>
                    <w:sz w:val="18"/>
                  </w:rPr>
                  <w:t>familiar</w:t>
                </w:r>
                <w:r>
                  <w:rPr>
                    <w:rFonts w:ascii="Calibri" w:hAnsi="Calibri"/>
                    <w:i/>
                    <w:color w:val="231F20"/>
                    <w:spacing w:val="-21"/>
                    <w:w w:val="90"/>
                    <w:sz w:val="18"/>
                  </w:rPr>
                  <w:t> </w:t>
                </w:r>
                <w:r>
                  <w:rPr>
                    <w:rFonts w:ascii="Calibri" w:hAnsi="Calibri"/>
                    <w:i/>
                    <w:color w:val="231F20"/>
                    <w:w w:val="90"/>
                    <w:sz w:val="18"/>
                  </w:rPr>
                  <w:t>a</w:t>
                </w:r>
                <w:r>
                  <w:rPr>
                    <w:rFonts w:ascii="Calibri" w:hAnsi="Calibri"/>
                    <w:i/>
                    <w:color w:val="231F20"/>
                    <w:spacing w:val="-21"/>
                    <w:w w:val="90"/>
                    <w:sz w:val="18"/>
                  </w:rPr>
                  <w:t> </w:t>
                </w:r>
                <w:r>
                  <w:rPr>
                    <w:rFonts w:ascii="Calibri" w:hAnsi="Calibri"/>
                    <w:i/>
                    <w:color w:val="231F20"/>
                    <w:w w:val="90"/>
                    <w:sz w:val="18"/>
                  </w:rPr>
                  <w:t>inicos</w:t>
                </w:r>
                <w:r>
                  <w:rPr>
                    <w:rFonts w:ascii="Calibri" w:hAnsi="Calibri"/>
                    <w:i/>
                    <w:color w:val="231F20"/>
                    <w:spacing w:val="-21"/>
                    <w:w w:val="90"/>
                    <w:sz w:val="18"/>
                  </w:rPr>
                  <w:t> </w:t>
                </w:r>
                <w:r>
                  <w:rPr>
                    <w:rFonts w:ascii="Calibri" w:hAnsi="Calibri"/>
                    <w:i/>
                    <w:color w:val="231F20"/>
                    <w:w w:val="90"/>
                    <w:sz w:val="18"/>
                  </w:rPr>
                  <w:t>del</w:t>
                </w:r>
                <w:r>
                  <w:rPr>
                    <w:rFonts w:ascii="Calibri" w:hAnsi="Calibri"/>
                    <w:i/>
                    <w:color w:val="231F20"/>
                    <w:spacing w:val="-21"/>
                    <w:w w:val="90"/>
                    <w:sz w:val="18"/>
                  </w:rPr>
                  <w:t> </w:t>
                </w:r>
                <w:r>
                  <w:rPr>
                    <w:rFonts w:ascii="Calibri" w:hAnsi="Calibri"/>
                    <w:i/>
                    <w:color w:val="231F20"/>
                    <w:w w:val="90"/>
                    <w:sz w:val="18"/>
                  </w:rPr>
                  <w:t>siglo</w:t>
                </w:r>
                <w:r>
                  <w:rPr>
                    <w:rFonts w:ascii="Calibri" w:hAnsi="Calibri"/>
                    <w:i/>
                    <w:color w:val="231F20"/>
                    <w:spacing w:val="-21"/>
                    <w:w w:val="90"/>
                    <w:sz w:val="18"/>
                  </w:rPr>
                  <w:t> </w:t>
                </w:r>
                <w:r>
                  <w:rPr>
                    <w:i/>
                    <w:color w:val="231F20"/>
                    <w:w w:val="90"/>
                    <w:sz w:val="14"/>
                  </w:rPr>
                  <w:t>XXI</w:t>
                </w:r>
                <w:r>
                  <w:rPr>
                    <w:i/>
                    <w:color w:val="231F20"/>
                    <w:spacing w:val="-12"/>
                    <w:w w:val="90"/>
                    <w:sz w:val="14"/>
                  </w:rPr>
                  <w:t> </w:t>
                </w:r>
                <w:r>
                  <w:rPr>
                    <w:i/>
                    <w:color w:val="231F20"/>
                    <w:w w:val="90"/>
                    <w:sz w:val="18"/>
                  </w:rPr>
                  <w:t>•</w:t>
                </w:r>
                <w:r>
                  <w:rPr>
                    <w:i/>
                    <w:color w:val="231F20"/>
                    <w:spacing w:val="-20"/>
                    <w:w w:val="90"/>
                    <w:sz w:val="18"/>
                  </w:rPr>
                  <w:t> </w:t>
                </w:r>
                <w:r>
                  <w:rPr>
                    <w:rFonts w:ascii="Calibri" w:hAnsi="Calibri"/>
                    <w:i/>
                    <w:color w:val="231F20"/>
                    <w:w w:val="90"/>
                    <w:sz w:val="18"/>
                  </w:rPr>
                  <w:t>89</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24.212601pt;margin-top:567.814941pt;width:180.8pt;height:11pt;mso-position-horizontal-relative:page;mso-position-vertical-relative:page;z-index:-455704"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90"/>
                    <w:sz w:val="18"/>
                  </w:rPr>
                  <w:t>Cambios</w:t>
                </w:r>
                <w:r>
                  <w:rPr>
                    <w:rFonts w:ascii="Calibri" w:hAnsi="Calibri"/>
                    <w:i/>
                    <w:color w:val="231F20"/>
                    <w:spacing w:val="-21"/>
                    <w:w w:val="90"/>
                    <w:sz w:val="18"/>
                  </w:rPr>
                  <w:t> </w:t>
                </w:r>
                <w:r>
                  <w:rPr>
                    <w:rFonts w:ascii="Calibri" w:hAnsi="Calibri"/>
                    <w:i/>
                    <w:color w:val="231F20"/>
                    <w:w w:val="90"/>
                    <w:sz w:val="18"/>
                  </w:rPr>
                  <w:t>en</w:t>
                </w:r>
                <w:r>
                  <w:rPr>
                    <w:rFonts w:ascii="Calibri" w:hAnsi="Calibri"/>
                    <w:i/>
                    <w:color w:val="231F20"/>
                    <w:spacing w:val="-21"/>
                    <w:w w:val="90"/>
                    <w:sz w:val="18"/>
                  </w:rPr>
                  <w:t> </w:t>
                </w:r>
                <w:r>
                  <w:rPr>
                    <w:rFonts w:ascii="Calibri" w:hAnsi="Calibri"/>
                    <w:i/>
                    <w:color w:val="231F20"/>
                    <w:w w:val="90"/>
                    <w:sz w:val="18"/>
                  </w:rPr>
                  <w:t>la</w:t>
                </w:r>
                <w:r>
                  <w:rPr>
                    <w:rFonts w:ascii="Calibri" w:hAnsi="Calibri"/>
                    <w:i/>
                    <w:color w:val="231F20"/>
                    <w:spacing w:val="-21"/>
                    <w:w w:val="90"/>
                    <w:sz w:val="18"/>
                  </w:rPr>
                  <w:t> </w:t>
                </w:r>
                <w:r>
                  <w:rPr>
                    <w:rFonts w:ascii="Calibri" w:hAnsi="Calibri"/>
                    <w:i/>
                    <w:color w:val="231F20"/>
                    <w:w w:val="90"/>
                    <w:sz w:val="18"/>
                  </w:rPr>
                  <w:t>formación</w:t>
                </w:r>
                <w:r>
                  <w:rPr>
                    <w:rFonts w:ascii="Calibri" w:hAnsi="Calibri"/>
                    <w:i/>
                    <w:color w:val="231F20"/>
                    <w:spacing w:val="-21"/>
                    <w:w w:val="90"/>
                    <w:sz w:val="18"/>
                  </w:rPr>
                  <w:t> </w:t>
                </w:r>
                <w:r>
                  <w:rPr>
                    <w:rFonts w:ascii="Calibri" w:hAnsi="Calibri"/>
                    <w:i/>
                    <w:color w:val="231F20"/>
                    <w:w w:val="90"/>
                    <w:sz w:val="18"/>
                  </w:rPr>
                  <w:t>familiar</w:t>
                </w:r>
                <w:r>
                  <w:rPr>
                    <w:rFonts w:ascii="Calibri" w:hAnsi="Calibri"/>
                    <w:i/>
                    <w:color w:val="231F20"/>
                    <w:spacing w:val="-21"/>
                    <w:w w:val="90"/>
                    <w:sz w:val="18"/>
                  </w:rPr>
                  <w:t> </w:t>
                </w:r>
                <w:r>
                  <w:rPr>
                    <w:rFonts w:ascii="Calibri" w:hAnsi="Calibri"/>
                    <w:i/>
                    <w:color w:val="231F20"/>
                    <w:w w:val="90"/>
                    <w:sz w:val="18"/>
                  </w:rPr>
                  <w:t>a</w:t>
                </w:r>
                <w:r>
                  <w:rPr>
                    <w:rFonts w:ascii="Calibri" w:hAnsi="Calibri"/>
                    <w:i/>
                    <w:color w:val="231F20"/>
                    <w:spacing w:val="-21"/>
                    <w:w w:val="90"/>
                    <w:sz w:val="18"/>
                  </w:rPr>
                  <w:t> </w:t>
                </w:r>
                <w:r>
                  <w:rPr>
                    <w:rFonts w:ascii="Calibri" w:hAnsi="Calibri"/>
                    <w:i/>
                    <w:color w:val="231F20"/>
                    <w:w w:val="90"/>
                    <w:sz w:val="18"/>
                  </w:rPr>
                  <w:t>inicos</w:t>
                </w:r>
                <w:r>
                  <w:rPr>
                    <w:rFonts w:ascii="Calibri" w:hAnsi="Calibri"/>
                    <w:i/>
                    <w:color w:val="231F20"/>
                    <w:spacing w:val="-21"/>
                    <w:w w:val="90"/>
                    <w:sz w:val="18"/>
                  </w:rPr>
                  <w:t> </w:t>
                </w:r>
                <w:r>
                  <w:rPr>
                    <w:rFonts w:ascii="Calibri" w:hAnsi="Calibri"/>
                    <w:i/>
                    <w:color w:val="231F20"/>
                    <w:w w:val="90"/>
                    <w:sz w:val="18"/>
                  </w:rPr>
                  <w:t>del</w:t>
                </w:r>
                <w:r>
                  <w:rPr>
                    <w:rFonts w:ascii="Calibri" w:hAnsi="Calibri"/>
                    <w:i/>
                    <w:color w:val="231F20"/>
                    <w:spacing w:val="-21"/>
                    <w:w w:val="90"/>
                    <w:sz w:val="18"/>
                  </w:rPr>
                  <w:t> </w:t>
                </w:r>
                <w:r>
                  <w:rPr>
                    <w:rFonts w:ascii="Calibri" w:hAnsi="Calibri"/>
                    <w:i/>
                    <w:color w:val="231F20"/>
                    <w:w w:val="90"/>
                    <w:sz w:val="18"/>
                  </w:rPr>
                  <w:t>siglo</w:t>
                </w:r>
                <w:r>
                  <w:rPr>
                    <w:rFonts w:ascii="Calibri" w:hAnsi="Calibri"/>
                    <w:i/>
                    <w:color w:val="231F20"/>
                    <w:spacing w:val="-21"/>
                    <w:w w:val="90"/>
                    <w:sz w:val="18"/>
                  </w:rPr>
                  <w:t> </w:t>
                </w:r>
                <w:r>
                  <w:rPr>
                    <w:i/>
                    <w:color w:val="231F20"/>
                    <w:w w:val="90"/>
                    <w:sz w:val="14"/>
                  </w:rPr>
                  <w:t>XXI</w:t>
                </w:r>
                <w:r>
                  <w:rPr>
                    <w:i/>
                    <w:color w:val="231F20"/>
                    <w:spacing w:val="-12"/>
                    <w:w w:val="90"/>
                    <w:sz w:val="14"/>
                  </w:rPr>
                  <w:t> </w:t>
                </w:r>
                <w:r>
                  <w:rPr>
                    <w:i/>
                    <w:color w:val="231F20"/>
                    <w:w w:val="90"/>
                    <w:sz w:val="18"/>
                  </w:rPr>
                  <w:t>•</w:t>
                </w:r>
                <w:r>
                  <w:rPr>
                    <w:i/>
                    <w:color w:val="231F20"/>
                    <w:spacing w:val="-20"/>
                    <w:w w:val="90"/>
                    <w:sz w:val="18"/>
                  </w:rPr>
                  <w:t> </w:t>
                </w:r>
                <w:r>
                  <w:rPr>
                    <w:rFonts w:ascii="Calibri" w:hAnsi="Calibri"/>
                    <w:i/>
                    <w:color w:val="231F20"/>
                    <w:w w:val="90"/>
                    <w:sz w:val="18"/>
                  </w:rPr>
                  <w:t>91</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195.95pt;height:11pt;mso-position-horizontal-relative:page;mso-position-vertical-relative:page;z-index:-455680" type="#_x0000_t202" filled="false" stroked="false">
          <v:textbox inset="0,0,0,0">
            <w:txbxContent>
              <w:p>
                <w:pPr>
                  <w:spacing w:line="212" w:lineRule="exact" w:before="0"/>
                  <w:ind w:left="40" w:right="0" w:firstLine="0"/>
                  <w:jc w:val="left"/>
                  <w:rPr>
                    <w:rFonts w:ascii="Calibri" w:hAnsi="Calibri"/>
                    <w:i/>
                    <w:sz w:val="18"/>
                  </w:rPr>
                </w:pPr>
                <w:r>
                  <w:rPr>
                    <w:rFonts w:ascii="Calibri" w:hAnsi="Calibri"/>
                    <w:i/>
                    <w:color w:val="231F20"/>
                    <w:w w:val="90"/>
                    <w:sz w:val="18"/>
                  </w:rPr>
                  <w:t>92</w:t>
                </w:r>
                <w:r>
                  <w:rPr>
                    <w:rFonts w:ascii="Calibri" w:hAnsi="Calibri"/>
                    <w:i/>
                    <w:color w:val="231F20"/>
                    <w:spacing w:val="-19"/>
                    <w:w w:val="90"/>
                    <w:sz w:val="18"/>
                  </w:rPr>
                  <w:t> </w:t>
                </w:r>
                <w:r>
                  <w:rPr>
                    <w:i/>
                    <w:color w:val="231F20"/>
                    <w:w w:val="90"/>
                    <w:sz w:val="18"/>
                  </w:rPr>
                  <w:t>•</w:t>
                </w:r>
                <w:r>
                  <w:rPr>
                    <w:i/>
                    <w:color w:val="231F20"/>
                    <w:spacing w:val="-19"/>
                    <w:w w:val="90"/>
                    <w:sz w:val="18"/>
                  </w:rPr>
                  <w:t> </w:t>
                </w:r>
                <w:r>
                  <w:rPr>
                    <w:rFonts w:ascii="Calibri" w:hAnsi="Calibri"/>
                    <w:i/>
                    <w:color w:val="231F20"/>
                    <w:w w:val="90"/>
                    <w:sz w:val="18"/>
                  </w:rPr>
                  <w:t>R.</w:t>
                </w:r>
                <w:r>
                  <w:rPr>
                    <w:rFonts w:ascii="Calibri" w:hAnsi="Calibri"/>
                    <w:i/>
                    <w:color w:val="231F20"/>
                    <w:spacing w:val="-19"/>
                    <w:w w:val="90"/>
                    <w:sz w:val="18"/>
                  </w:rPr>
                  <w:t> P. </w:t>
                </w:r>
                <w:r>
                  <w:rPr>
                    <w:rFonts w:ascii="Calibri" w:hAnsi="Calibri"/>
                    <w:i/>
                    <w:color w:val="231F20"/>
                    <w:w w:val="90"/>
                    <w:sz w:val="18"/>
                  </w:rPr>
                  <w:t>Sosa</w:t>
                </w:r>
                <w:r>
                  <w:rPr>
                    <w:rFonts w:ascii="Calibri" w:hAnsi="Calibri"/>
                    <w:i/>
                    <w:color w:val="231F20"/>
                    <w:spacing w:val="-19"/>
                    <w:w w:val="90"/>
                    <w:sz w:val="18"/>
                  </w:rPr>
                  <w:t> </w:t>
                </w:r>
                <w:r>
                  <w:rPr>
                    <w:rFonts w:ascii="Calibri" w:hAnsi="Calibri"/>
                    <w:i/>
                    <w:color w:val="231F20"/>
                    <w:w w:val="90"/>
                    <w:sz w:val="18"/>
                  </w:rPr>
                  <w:t>Marquéz,</w:t>
                </w:r>
                <w:r>
                  <w:rPr>
                    <w:rFonts w:ascii="Calibri" w:hAnsi="Calibri"/>
                    <w:i/>
                    <w:color w:val="231F20"/>
                    <w:spacing w:val="-19"/>
                    <w:w w:val="90"/>
                    <w:sz w:val="18"/>
                  </w:rPr>
                  <w:t> </w:t>
                </w:r>
                <w:r>
                  <w:rPr>
                    <w:rFonts w:ascii="Calibri" w:hAnsi="Calibri"/>
                    <w:i/>
                    <w:color w:val="231F20"/>
                    <w:w w:val="90"/>
                    <w:sz w:val="18"/>
                  </w:rPr>
                  <w:t>A.</w:t>
                </w:r>
                <w:r>
                  <w:rPr>
                    <w:rFonts w:ascii="Calibri" w:hAnsi="Calibri"/>
                    <w:i/>
                    <w:color w:val="231F20"/>
                    <w:spacing w:val="-19"/>
                    <w:w w:val="90"/>
                    <w:sz w:val="18"/>
                  </w:rPr>
                  <w:t> </w:t>
                </w:r>
                <w:r>
                  <w:rPr>
                    <w:rFonts w:ascii="Calibri" w:hAnsi="Calibri"/>
                    <w:i/>
                    <w:color w:val="231F20"/>
                    <w:w w:val="90"/>
                    <w:sz w:val="18"/>
                  </w:rPr>
                  <w:t>Mejía</w:t>
                </w:r>
                <w:r>
                  <w:rPr>
                    <w:rFonts w:ascii="Calibri" w:hAnsi="Calibri"/>
                    <w:i/>
                    <w:color w:val="231F20"/>
                    <w:spacing w:val="-19"/>
                    <w:w w:val="90"/>
                    <w:sz w:val="18"/>
                  </w:rPr>
                  <w:t> </w:t>
                </w:r>
                <w:r>
                  <w:rPr>
                    <w:rFonts w:ascii="Calibri" w:hAnsi="Calibri"/>
                    <w:i/>
                    <w:color w:val="231F20"/>
                    <w:w w:val="90"/>
                    <w:sz w:val="18"/>
                  </w:rPr>
                  <w:t>Modesto,</w:t>
                </w:r>
                <w:r>
                  <w:rPr>
                    <w:rFonts w:ascii="Calibri" w:hAnsi="Calibri"/>
                    <w:i/>
                    <w:color w:val="231F20"/>
                    <w:spacing w:val="-19"/>
                    <w:w w:val="90"/>
                    <w:sz w:val="18"/>
                  </w:rPr>
                  <w:t> </w:t>
                </w:r>
                <w:r>
                  <w:rPr>
                    <w:rFonts w:ascii="Calibri" w:hAnsi="Calibri"/>
                    <w:i/>
                    <w:color w:val="231F20"/>
                    <w:w w:val="90"/>
                    <w:sz w:val="18"/>
                  </w:rPr>
                  <w:t>J.</w:t>
                </w:r>
                <w:r>
                  <w:rPr>
                    <w:rFonts w:ascii="Calibri" w:hAnsi="Calibri"/>
                    <w:i/>
                    <w:color w:val="231F20"/>
                    <w:spacing w:val="-19"/>
                    <w:w w:val="90"/>
                    <w:sz w:val="18"/>
                  </w:rPr>
                  <w:t> </w:t>
                </w:r>
                <w:r>
                  <w:rPr>
                    <w:rFonts w:ascii="Calibri" w:hAnsi="Calibri"/>
                    <w:i/>
                    <w:color w:val="231F20"/>
                    <w:w w:val="90"/>
                    <w:sz w:val="18"/>
                  </w:rPr>
                  <w:t>A.</w:t>
                </w:r>
                <w:r>
                  <w:rPr>
                    <w:rFonts w:ascii="Calibri" w:hAnsi="Calibri"/>
                    <w:i/>
                    <w:color w:val="231F20"/>
                    <w:spacing w:val="-19"/>
                    <w:w w:val="90"/>
                    <w:sz w:val="18"/>
                  </w:rPr>
                  <w:t> </w:t>
                </w:r>
                <w:r>
                  <w:rPr>
                    <w:rFonts w:ascii="Calibri" w:hAnsi="Calibri"/>
                    <w:i/>
                    <w:color w:val="231F20"/>
                    <w:w w:val="90"/>
                    <w:sz w:val="18"/>
                  </w:rPr>
                  <w:t>Soberón</w:t>
                </w:r>
                <w:r>
                  <w:rPr>
                    <w:rFonts w:ascii="Calibri" w:hAnsi="Calibri"/>
                    <w:i/>
                    <w:color w:val="231F20"/>
                    <w:spacing w:val="-19"/>
                    <w:w w:val="90"/>
                    <w:sz w:val="18"/>
                  </w:rPr>
                  <w:t> </w:t>
                </w:r>
                <w:r>
                  <w:rPr>
                    <w:rFonts w:ascii="Calibri" w:hAnsi="Calibri"/>
                    <w:i/>
                    <w:color w:val="231F20"/>
                    <w:w w:val="90"/>
                    <w:sz w:val="18"/>
                  </w:rPr>
                  <w:t>Mora</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24.212601pt;margin-top:567.814941pt;width:181.8pt;height:11pt;mso-position-horizontal-relative:page;mso-position-vertical-relative:page;z-index:-455656"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90"/>
                    <w:sz w:val="18"/>
                  </w:rPr>
                  <w:t>Cambios</w:t>
                </w:r>
                <w:r>
                  <w:rPr>
                    <w:rFonts w:ascii="Calibri" w:hAnsi="Calibri"/>
                    <w:i/>
                    <w:color w:val="231F20"/>
                    <w:spacing w:val="-21"/>
                    <w:w w:val="90"/>
                    <w:sz w:val="18"/>
                  </w:rPr>
                  <w:t> </w:t>
                </w:r>
                <w:r>
                  <w:rPr>
                    <w:rFonts w:ascii="Calibri" w:hAnsi="Calibri"/>
                    <w:i/>
                    <w:color w:val="231F20"/>
                    <w:w w:val="90"/>
                    <w:sz w:val="18"/>
                  </w:rPr>
                  <w:t>en</w:t>
                </w:r>
                <w:r>
                  <w:rPr>
                    <w:rFonts w:ascii="Calibri" w:hAnsi="Calibri"/>
                    <w:i/>
                    <w:color w:val="231F20"/>
                    <w:spacing w:val="-21"/>
                    <w:w w:val="90"/>
                    <w:sz w:val="18"/>
                  </w:rPr>
                  <w:t> </w:t>
                </w:r>
                <w:r>
                  <w:rPr>
                    <w:rFonts w:ascii="Calibri" w:hAnsi="Calibri"/>
                    <w:i/>
                    <w:color w:val="231F20"/>
                    <w:w w:val="90"/>
                    <w:sz w:val="18"/>
                  </w:rPr>
                  <w:t>la</w:t>
                </w:r>
                <w:r>
                  <w:rPr>
                    <w:rFonts w:ascii="Calibri" w:hAnsi="Calibri"/>
                    <w:i/>
                    <w:color w:val="231F20"/>
                    <w:spacing w:val="-21"/>
                    <w:w w:val="90"/>
                    <w:sz w:val="18"/>
                  </w:rPr>
                  <w:t> </w:t>
                </w:r>
                <w:r>
                  <w:rPr>
                    <w:rFonts w:ascii="Calibri" w:hAnsi="Calibri"/>
                    <w:i/>
                    <w:color w:val="231F20"/>
                    <w:w w:val="90"/>
                    <w:sz w:val="18"/>
                  </w:rPr>
                  <w:t>formación</w:t>
                </w:r>
                <w:r>
                  <w:rPr>
                    <w:rFonts w:ascii="Calibri" w:hAnsi="Calibri"/>
                    <w:i/>
                    <w:color w:val="231F20"/>
                    <w:spacing w:val="-21"/>
                    <w:w w:val="90"/>
                    <w:sz w:val="18"/>
                  </w:rPr>
                  <w:t> </w:t>
                </w:r>
                <w:r>
                  <w:rPr>
                    <w:rFonts w:ascii="Calibri" w:hAnsi="Calibri"/>
                    <w:i/>
                    <w:color w:val="231F20"/>
                    <w:w w:val="90"/>
                    <w:sz w:val="18"/>
                  </w:rPr>
                  <w:t>familiar</w:t>
                </w:r>
                <w:r>
                  <w:rPr>
                    <w:rFonts w:ascii="Calibri" w:hAnsi="Calibri"/>
                    <w:i/>
                    <w:color w:val="231F20"/>
                    <w:spacing w:val="-21"/>
                    <w:w w:val="90"/>
                    <w:sz w:val="18"/>
                  </w:rPr>
                  <w:t> </w:t>
                </w:r>
                <w:r>
                  <w:rPr>
                    <w:rFonts w:ascii="Calibri" w:hAnsi="Calibri"/>
                    <w:i/>
                    <w:color w:val="231F20"/>
                    <w:w w:val="90"/>
                    <w:sz w:val="18"/>
                  </w:rPr>
                  <w:t>a</w:t>
                </w:r>
                <w:r>
                  <w:rPr>
                    <w:rFonts w:ascii="Calibri" w:hAnsi="Calibri"/>
                    <w:i/>
                    <w:color w:val="231F20"/>
                    <w:spacing w:val="-21"/>
                    <w:w w:val="90"/>
                    <w:sz w:val="18"/>
                  </w:rPr>
                  <w:t> </w:t>
                </w:r>
                <w:r>
                  <w:rPr>
                    <w:rFonts w:ascii="Calibri" w:hAnsi="Calibri"/>
                    <w:i/>
                    <w:color w:val="231F20"/>
                    <w:w w:val="90"/>
                    <w:sz w:val="18"/>
                  </w:rPr>
                  <w:t>inicos</w:t>
                </w:r>
                <w:r>
                  <w:rPr>
                    <w:rFonts w:ascii="Calibri" w:hAnsi="Calibri"/>
                    <w:i/>
                    <w:color w:val="231F20"/>
                    <w:spacing w:val="-21"/>
                    <w:w w:val="90"/>
                    <w:sz w:val="18"/>
                  </w:rPr>
                  <w:t> </w:t>
                </w:r>
                <w:r>
                  <w:rPr>
                    <w:rFonts w:ascii="Calibri" w:hAnsi="Calibri"/>
                    <w:i/>
                    <w:color w:val="231F20"/>
                    <w:w w:val="90"/>
                    <w:sz w:val="18"/>
                  </w:rPr>
                  <w:t>del</w:t>
                </w:r>
                <w:r>
                  <w:rPr>
                    <w:rFonts w:ascii="Calibri" w:hAnsi="Calibri"/>
                    <w:i/>
                    <w:color w:val="231F20"/>
                    <w:spacing w:val="-21"/>
                    <w:w w:val="90"/>
                    <w:sz w:val="18"/>
                  </w:rPr>
                  <w:t> </w:t>
                </w:r>
                <w:r>
                  <w:rPr>
                    <w:rFonts w:ascii="Calibri" w:hAnsi="Calibri"/>
                    <w:i/>
                    <w:color w:val="231F20"/>
                    <w:w w:val="90"/>
                    <w:sz w:val="18"/>
                  </w:rPr>
                  <w:t>siglo</w:t>
                </w:r>
                <w:r>
                  <w:rPr>
                    <w:rFonts w:ascii="Calibri" w:hAnsi="Calibri"/>
                    <w:i/>
                    <w:color w:val="231F20"/>
                    <w:spacing w:val="-21"/>
                    <w:w w:val="90"/>
                    <w:sz w:val="18"/>
                  </w:rPr>
                  <w:t> </w:t>
                </w:r>
                <w:r>
                  <w:rPr>
                    <w:i/>
                    <w:color w:val="231F20"/>
                    <w:w w:val="90"/>
                    <w:sz w:val="14"/>
                  </w:rPr>
                  <w:t>XXI</w:t>
                </w:r>
                <w:r>
                  <w:rPr>
                    <w:i/>
                    <w:color w:val="231F20"/>
                    <w:spacing w:val="-12"/>
                    <w:w w:val="90"/>
                    <w:sz w:val="14"/>
                  </w:rPr>
                  <w:t> </w:t>
                </w:r>
                <w:r>
                  <w:rPr>
                    <w:i/>
                    <w:color w:val="231F20"/>
                    <w:w w:val="90"/>
                    <w:sz w:val="18"/>
                  </w:rPr>
                  <w:t>•</w:t>
                </w:r>
                <w:r>
                  <w:rPr>
                    <w:i/>
                    <w:color w:val="231F20"/>
                    <w:spacing w:val="-20"/>
                    <w:w w:val="90"/>
                    <w:sz w:val="18"/>
                  </w:rPr>
                  <w:t> </w:t>
                </w:r>
                <w:r>
                  <w:rPr/>
                  <w:fldChar w:fldCharType="begin"/>
                </w:r>
                <w:r>
                  <w:rPr>
                    <w:rFonts w:ascii="Calibri" w:hAnsi="Calibri"/>
                    <w:i/>
                    <w:color w:val="231F20"/>
                    <w:w w:val="90"/>
                    <w:sz w:val="18"/>
                  </w:rPr>
                  <w:instrText> PAGE </w:instrText>
                </w:r>
                <w:r>
                  <w:rPr/>
                  <w:fldChar w:fldCharType="separate"/>
                </w:r>
                <w:r>
                  <w:rPr/>
                  <w:t>93</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124.75pt;height:11pt;mso-position-horizontal-relative:page;mso-position-vertical-relative:page;z-index:-457816"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12</w:t>
                </w:r>
                <w:r>
                  <w:rPr/>
                  <w:fldChar w:fldCharType="end"/>
                </w:r>
                <w:r>
                  <w:rPr>
                    <w:rFonts w:ascii="Calibri" w:hAnsi="Calibri"/>
                    <w:i/>
                    <w:color w:val="231F20"/>
                    <w:spacing w:val="-14"/>
                    <w:w w:val="90"/>
                    <w:sz w:val="18"/>
                  </w:rPr>
                  <w:t> </w:t>
                </w:r>
                <w:r>
                  <w:rPr>
                    <w:i/>
                    <w:color w:val="231F20"/>
                    <w:w w:val="90"/>
                    <w:sz w:val="18"/>
                  </w:rPr>
                  <w:t>•</w:t>
                </w:r>
                <w:r>
                  <w:rPr>
                    <w:i/>
                    <w:color w:val="231F20"/>
                    <w:spacing w:val="-13"/>
                    <w:w w:val="90"/>
                    <w:sz w:val="18"/>
                  </w:rPr>
                  <w:t> </w:t>
                </w:r>
                <w:r>
                  <w:rPr>
                    <w:rFonts w:ascii="Calibri" w:hAnsi="Calibri"/>
                    <w:i/>
                    <w:color w:val="231F20"/>
                    <w:w w:val="90"/>
                    <w:sz w:val="18"/>
                  </w:rPr>
                  <w:t>R.</w:t>
                </w:r>
                <w:r>
                  <w:rPr>
                    <w:rFonts w:ascii="Calibri" w:hAnsi="Calibri"/>
                    <w:i/>
                    <w:color w:val="231F20"/>
                    <w:spacing w:val="-14"/>
                    <w:w w:val="90"/>
                    <w:sz w:val="18"/>
                  </w:rPr>
                  <w:t> </w:t>
                </w:r>
                <w:r>
                  <w:rPr>
                    <w:rFonts w:ascii="Calibri" w:hAnsi="Calibri"/>
                    <w:i/>
                    <w:color w:val="231F20"/>
                    <w:spacing w:val="-19"/>
                    <w:w w:val="90"/>
                    <w:sz w:val="18"/>
                  </w:rPr>
                  <w:t>P.</w:t>
                </w:r>
                <w:r>
                  <w:rPr>
                    <w:rFonts w:ascii="Calibri" w:hAnsi="Calibri"/>
                    <w:i/>
                    <w:color w:val="231F20"/>
                    <w:spacing w:val="-14"/>
                    <w:w w:val="90"/>
                    <w:sz w:val="18"/>
                  </w:rPr>
                  <w:t> </w:t>
                </w:r>
                <w:r>
                  <w:rPr>
                    <w:rFonts w:ascii="Calibri" w:hAnsi="Calibri"/>
                    <w:i/>
                    <w:color w:val="231F20"/>
                    <w:w w:val="90"/>
                    <w:sz w:val="18"/>
                  </w:rPr>
                  <w:t>Román</w:t>
                </w:r>
                <w:r>
                  <w:rPr>
                    <w:rFonts w:ascii="Calibri" w:hAnsi="Calibri"/>
                    <w:i/>
                    <w:color w:val="231F20"/>
                    <w:spacing w:val="-14"/>
                    <w:w w:val="90"/>
                    <w:sz w:val="18"/>
                  </w:rPr>
                  <w:t> </w:t>
                </w:r>
                <w:r>
                  <w:rPr>
                    <w:rFonts w:ascii="Calibri" w:hAnsi="Calibri"/>
                    <w:i/>
                    <w:color w:val="231F20"/>
                    <w:w w:val="90"/>
                    <w:sz w:val="18"/>
                  </w:rPr>
                  <w:t>Reyes</w:t>
                </w:r>
                <w:r>
                  <w:rPr>
                    <w:rFonts w:ascii="Calibri" w:hAnsi="Calibri"/>
                    <w:i/>
                    <w:color w:val="231F20"/>
                    <w:spacing w:val="-14"/>
                    <w:w w:val="90"/>
                    <w:sz w:val="18"/>
                  </w:rPr>
                  <w:t> </w:t>
                </w:r>
                <w:r>
                  <w:rPr>
                    <w:rFonts w:ascii="Calibri" w:hAnsi="Calibri"/>
                    <w:i/>
                    <w:color w:val="231F20"/>
                    <w:w w:val="90"/>
                    <w:sz w:val="18"/>
                  </w:rPr>
                  <w:t>y</w:t>
                </w:r>
                <w:r>
                  <w:rPr>
                    <w:rFonts w:ascii="Calibri" w:hAnsi="Calibri"/>
                    <w:i/>
                    <w:color w:val="231F20"/>
                    <w:spacing w:val="-14"/>
                    <w:w w:val="90"/>
                    <w:sz w:val="18"/>
                  </w:rPr>
                  <w:t> </w:t>
                </w:r>
                <w:r>
                  <w:rPr>
                    <w:rFonts w:ascii="Calibri" w:hAnsi="Calibri"/>
                    <w:i/>
                    <w:color w:val="231F20"/>
                    <w:w w:val="90"/>
                    <w:sz w:val="18"/>
                  </w:rPr>
                  <w:t>E.</w:t>
                </w:r>
                <w:r>
                  <w:rPr>
                    <w:rFonts w:ascii="Calibri" w:hAnsi="Calibri"/>
                    <w:i/>
                    <w:color w:val="231F20"/>
                    <w:spacing w:val="-14"/>
                    <w:w w:val="90"/>
                    <w:sz w:val="18"/>
                  </w:rPr>
                  <w:t> </w:t>
                </w:r>
                <w:r>
                  <w:rPr>
                    <w:rFonts w:ascii="Calibri" w:hAnsi="Calibri"/>
                    <w:i/>
                    <w:color w:val="231F20"/>
                    <w:w w:val="90"/>
                    <w:sz w:val="18"/>
                  </w:rPr>
                  <w:t>A.</w:t>
                </w:r>
                <w:r>
                  <w:rPr>
                    <w:rFonts w:ascii="Calibri" w:hAnsi="Calibri"/>
                    <w:i/>
                    <w:color w:val="231F20"/>
                    <w:spacing w:val="-14"/>
                    <w:w w:val="90"/>
                    <w:sz w:val="18"/>
                  </w:rPr>
                  <w:t> </w:t>
                </w:r>
                <w:r>
                  <w:rPr>
                    <w:rFonts w:ascii="Calibri" w:hAnsi="Calibri"/>
                    <w:i/>
                    <w:color w:val="231F20"/>
                    <w:w w:val="90"/>
                    <w:sz w:val="18"/>
                  </w:rPr>
                  <w:t>Sandoval</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195.95pt;height:11pt;mso-position-horizontal-relative:page;mso-position-vertical-relative:page;z-index:-455632"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94</w:t>
                </w:r>
                <w:r>
                  <w:rPr/>
                  <w:fldChar w:fldCharType="end"/>
                </w:r>
                <w:r>
                  <w:rPr>
                    <w:rFonts w:ascii="Calibri" w:hAnsi="Calibri"/>
                    <w:i/>
                    <w:color w:val="231F20"/>
                    <w:spacing w:val="-19"/>
                    <w:w w:val="90"/>
                    <w:sz w:val="18"/>
                  </w:rPr>
                  <w:t> </w:t>
                </w:r>
                <w:r>
                  <w:rPr>
                    <w:i/>
                    <w:color w:val="231F20"/>
                    <w:w w:val="90"/>
                    <w:sz w:val="18"/>
                  </w:rPr>
                  <w:t>•</w:t>
                </w:r>
                <w:r>
                  <w:rPr>
                    <w:i/>
                    <w:color w:val="231F20"/>
                    <w:spacing w:val="-19"/>
                    <w:w w:val="90"/>
                    <w:sz w:val="18"/>
                  </w:rPr>
                  <w:t> </w:t>
                </w:r>
                <w:r>
                  <w:rPr>
                    <w:rFonts w:ascii="Calibri" w:hAnsi="Calibri"/>
                    <w:i/>
                    <w:color w:val="231F20"/>
                    <w:w w:val="90"/>
                    <w:sz w:val="18"/>
                  </w:rPr>
                  <w:t>R.</w:t>
                </w:r>
                <w:r>
                  <w:rPr>
                    <w:rFonts w:ascii="Calibri" w:hAnsi="Calibri"/>
                    <w:i/>
                    <w:color w:val="231F20"/>
                    <w:spacing w:val="-19"/>
                    <w:w w:val="90"/>
                    <w:sz w:val="18"/>
                  </w:rPr>
                  <w:t> P. </w:t>
                </w:r>
                <w:r>
                  <w:rPr>
                    <w:rFonts w:ascii="Calibri" w:hAnsi="Calibri"/>
                    <w:i/>
                    <w:color w:val="231F20"/>
                    <w:w w:val="90"/>
                    <w:sz w:val="18"/>
                  </w:rPr>
                  <w:t>Sosa</w:t>
                </w:r>
                <w:r>
                  <w:rPr>
                    <w:rFonts w:ascii="Calibri" w:hAnsi="Calibri"/>
                    <w:i/>
                    <w:color w:val="231F20"/>
                    <w:spacing w:val="-19"/>
                    <w:w w:val="90"/>
                    <w:sz w:val="18"/>
                  </w:rPr>
                  <w:t> </w:t>
                </w:r>
                <w:r>
                  <w:rPr>
                    <w:rFonts w:ascii="Calibri" w:hAnsi="Calibri"/>
                    <w:i/>
                    <w:color w:val="231F20"/>
                    <w:w w:val="90"/>
                    <w:sz w:val="18"/>
                  </w:rPr>
                  <w:t>Marquéz,</w:t>
                </w:r>
                <w:r>
                  <w:rPr>
                    <w:rFonts w:ascii="Calibri" w:hAnsi="Calibri"/>
                    <w:i/>
                    <w:color w:val="231F20"/>
                    <w:spacing w:val="-19"/>
                    <w:w w:val="90"/>
                    <w:sz w:val="18"/>
                  </w:rPr>
                  <w:t> </w:t>
                </w:r>
                <w:r>
                  <w:rPr>
                    <w:rFonts w:ascii="Calibri" w:hAnsi="Calibri"/>
                    <w:i/>
                    <w:color w:val="231F20"/>
                    <w:w w:val="90"/>
                    <w:sz w:val="18"/>
                  </w:rPr>
                  <w:t>A.</w:t>
                </w:r>
                <w:r>
                  <w:rPr>
                    <w:rFonts w:ascii="Calibri" w:hAnsi="Calibri"/>
                    <w:i/>
                    <w:color w:val="231F20"/>
                    <w:spacing w:val="-19"/>
                    <w:w w:val="90"/>
                    <w:sz w:val="18"/>
                  </w:rPr>
                  <w:t> </w:t>
                </w:r>
                <w:r>
                  <w:rPr>
                    <w:rFonts w:ascii="Calibri" w:hAnsi="Calibri"/>
                    <w:i/>
                    <w:color w:val="231F20"/>
                    <w:w w:val="90"/>
                    <w:sz w:val="18"/>
                  </w:rPr>
                  <w:t>Mejía</w:t>
                </w:r>
                <w:r>
                  <w:rPr>
                    <w:rFonts w:ascii="Calibri" w:hAnsi="Calibri"/>
                    <w:i/>
                    <w:color w:val="231F20"/>
                    <w:spacing w:val="-19"/>
                    <w:w w:val="90"/>
                    <w:sz w:val="18"/>
                  </w:rPr>
                  <w:t> </w:t>
                </w:r>
                <w:r>
                  <w:rPr>
                    <w:rFonts w:ascii="Calibri" w:hAnsi="Calibri"/>
                    <w:i/>
                    <w:color w:val="231F20"/>
                    <w:w w:val="90"/>
                    <w:sz w:val="18"/>
                  </w:rPr>
                  <w:t>Modesto,</w:t>
                </w:r>
                <w:r>
                  <w:rPr>
                    <w:rFonts w:ascii="Calibri" w:hAnsi="Calibri"/>
                    <w:i/>
                    <w:color w:val="231F20"/>
                    <w:spacing w:val="-19"/>
                    <w:w w:val="90"/>
                    <w:sz w:val="18"/>
                  </w:rPr>
                  <w:t> </w:t>
                </w:r>
                <w:r>
                  <w:rPr>
                    <w:rFonts w:ascii="Calibri" w:hAnsi="Calibri"/>
                    <w:i/>
                    <w:color w:val="231F20"/>
                    <w:w w:val="90"/>
                    <w:sz w:val="18"/>
                  </w:rPr>
                  <w:t>J.</w:t>
                </w:r>
                <w:r>
                  <w:rPr>
                    <w:rFonts w:ascii="Calibri" w:hAnsi="Calibri"/>
                    <w:i/>
                    <w:color w:val="231F20"/>
                    <w:spacing w:val="-19"/>
                    <w:w w:val="90"/>
                    <w:sz w:val="18"/>
                  </w:rPr>
                  <w:t> </w:t>
                </w:r>
                <w:r>
                  <w:rPr>
                    <w:rFonts w:ascii="Calibri" w:hAnsi="Calibri"/>
                    <w:i/>
                    <w:color w:val="231F20"/>
                    <w:w w:val="90"/>
                    <w:sz w:val="18"/>
                  </w:rPr>
                  <w:t>A.</w:t>
                </w:r>
                <w:r>
                  <w:rPr>
                    <w:rFonts w:ascii="Calibri" w:hAnsi="Calibri"/>
                    <w:i/>
                    <w:color w:val="231F20"/>
                    <w:spacing w:val="-19"/>
                    <w:w w:val="90"/>
                    <w:sz w:val="18"/>
                  </w:rPr>
                  <w:t> </w:t>
                </w:r>
                <w:r>
                  <w:rPr>
                    <w:rFonts w:ascii="Calibri" w:hAnsi="Calibri"/>
                    <w:i/>
                    <w:color w:val="231F20"/>
                    <w:w w:val="90"/>
                    <w:sz w:val="18"/>
                  </w:rPr>
                  <w:t>Soberón</w:t>
                </w:r>
                <w:r>
                  <w:rPr>
                    <w:rFonts w:ascii="Calibri" w:hAnsi="Calibri"/>
                    <w:i/>
                    <w:color w:val="231F20"/>
                    <w:spacing w:val="-19"/>
                    <w:w w:val="90"/>
                    <w:sz w:val="18"/>
                  </w:rPr>
                  <w:t> </w:t>
                </w:r>
                <w:r>
                  <w:rPr>
                    <w:rFonts w:ascii="Calibri" w:hAnsi="Calibri"/>
                    <w:i/>
                    <w:color w:val="231F20"/>
                    <w:w w:val="90"/>
                    <w:sz w:val="18"/>
                  </w:rPr>
                  <w:t>Mora</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1.220497pt;margin-top:567.815369pt;width:198.75pt;height:11pt;mso-position-horizontal-relative:page;mso-position-vertical-relative:page;z-index:-455608"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90"/>
                    <w:sz w:val="18"/>
                  </w:rPr>
                  <w:t>100</w:t>
                </w:r>
                <w:r>
                  <w:rPr>
                    <w:rFonts w:ascii="Calibri" w:hAnsi="Calibri"/>
                    <w:i/>
                    <w:color w:val="231F20"/>
                    <w:spacing w:val="-20"/>
                    <w:w w:val="90"/>
                    <w:sz w:val="18"/>
                  </w:rPr>
                  <w:t> </w:t>
                </w:r>
                <w:r>
                  <w:rPr>
                    <w:i/>
                    <w:color w:val="231F20"/>
                    <w:w w:val="90"/>
                    <w:sz w:val="18"/>
                  </w:rPr>
                  <w:t>•</w:t>
                </w:r>
                <w:r>
                  <w:rPr>
                    <w:i/>
                    <w:color w:val="231F20"/>
                    <w:spacing w:val="-19"/>
                    <w:w w:val="90"/>
                    <w:sz w:val="18"/>
                  </w:rPr>
                  <w:t> </w:t>
                </w:r>
                <w:r>
                  <w:rPr>
                    <w:rFonts w:ascii="Calibri" w:hAnsi="Calibri"/>
                    <w:i/>
                    <w:color w:val="231F20"/>
                    <w:w w:val="90"/>
                    <w:sz w:val="18"/>
                  </w:rPr>
                  <w:t>R.</w:t>
                </w:r>
                <w:r>
                  <w:rPr>
                    <w:rFonts w:ascii="Calibri" w:hAnsi="Calibri"/>
                    <w:i/>
                    <w:color w:val="231F20"/>
                    <w:spacing w:val="-20"/>
                    <w:w w:val="90"/>
                    <w:sz w:val="18"/>
                  </w:rPr>
                  <w:t> </w:t>
                </w:r>
                <w:r>
                  <w:rPr>
                    <w:rFonts w:ascii="Calibri" w:hAnsi="Calibri"/>
                    <w:i/>
                    <w:color w:val="231F20"/>
                    <w:spacing w:val="-19"/>
                    <w:w w:val="90"/>
                    <w:sz w:val="18"/>
                  </w:rPr>
                  <w:t>P.</w:t>
                </w:r>
                <w:r>
                  <w:rPr>
                    <w:rFonts w:ascii="Calibri" w:hAnsi="Calibri"/>
                    <w:i/>
                    <w:color w:val="231F20"/>
                    <w:spacing w:val="-20"/>
                    <w:w w:val="90"/>
                    <w:sz w:val="18"/>
                  </w:rPr>
                  <w:t> </w:t>
                </w:r>
                <w:r>
                  <w:rPr>
                    <w:rFonts w:ascii="Calibri" w:hAnsi="Calibri"/>
                    <w:i/>
                    <w:color w:val="231F20"/>
                    <w:w w:val="90"/>
                    <w:sz w:val="18"/>
                  </w:rPr>
                  <w:t>Sosa</w:t>
                </w:r>
                <w:r>
                  <w:rPr>
                    <w:rFonts w:ascii="Calibri" w:hAnsi="Calibri"/>
                    <w:i/>
                    <w:color w:val="231F20"/>
                    <w:spacing w:val="-20"/>
                    <w:w w:val="90"/>
                    <w:sz w:val="18"/>
                  </w:rPr>
                  <w:t> </w:t>
                </w:r>
                <w:r>
                  <w:rPr>
                    <w:rFonts w:ascii="Calibri" w:hAnsi="Calibri"/>
                    <w:i/>
                    <w:color w:val="231F20"/>
                    <w:w w:val="90"/>
                    <w:sz w:val="18"/>
                  </w:rPr>
                  <w:t>Marquéz,</w:t>
                </w:r>
                <w:r>
                  <w:rPr>
                    <w:rFonts w:ascii="Calibri" w:hAnsi="Calibri"/>
                    <w:i/>
                    <w:color w:val="231F20"/>
                    <w:spacing w:val="-20"/>
                    <w:w w:val="90"/>
                    <w:sz w:val="18"/>
                  </w:rPr>
                  <w:t> </w:t>
                </w:r>
                <w:r>
                  <w:rPr>
                    <w:rFonts w:ascii="Calibri" w:hAnsi="Calibri"/>
                    <w:i/>
                    <w:color w:val="231F20"/>
                    <w:w w:val="90"/>
                    <w:sz w:val="18"/>
                  </w:rPr>
                  <w:t>A.</w:t>
                </w:r>
                <w:r>
                  <w:rPr>
                    <w:rFonts w:ascii="Calibri" w:hAnsi="Calibri"/>
                    <w:i/>
                    <w:color w:val="231F20"/>
                    <w:spacing w:val="-20"/>
                    <w:w w:val="90"/>
                    <w:sz w:val="18"/>
                  </w:rPr>
                  <w:t> </w:t>
                </w:r>
                <w:r>
                  <w:rPr>
                    <w:rFonts w:ascii="Calibri" w:hAnsi="Calibri"/>
                    <w:i/>
                    <w:color w:val="231F20"/>
                    <w:w w:val="90"/>
                    <w:sz w:val="18"/>
                  </w:rPr>
                  <w:t>Mejía</w:t>
                </w:r>
                <w:r>
                  <w:rPr>
                    <w:rFonts w:ascii="Calibri" w:hAnsi="Calibri"/>
                    <w:i/>
                    <w:color w:val="231F20"/>
                    <w:spacing w:val="-20"/>
                    <w:w w:val="90"/>
                    <w:sz w:val="18"/>
                  </w:rPr>
                  <w:t> </w:t>
                </w:r>
                <w:r>
                  <w:rPr>
                    <w:rFonts w:ascii="Calibri" w:hAnsi="Calibri"/>
                    <w:i/>
                    <w:color w:val="231F20"/>
                    <w:w w:val="90"/>
                    <w:sz w:val="18"/>
                  </w:rPr>
                  <w:t>Modesto,</w:t>
                </w:r>
                <w:r>
                  <w:rPr>
                    <w:rFonts w:ascii="Calibri" w:hAnsi="Calibri"/>
                    <w:i/>
                    <w:color w:val="231F20"/>
                    <w:spacing w:val="-20"/>
                    <w:w w:val="90"/>
                    <w:sz w:val="18"/>
                  </w:rPr>
                  <w:t> </w:t>
                </w:r>
                <w:r>
                  <w:rPr>
                    <w:rFonts w:ascii="Calibri" w:hAnsi="Calibri"/>
                    <w:i/>
                    <w:color w:val="231F20"/>
                    <w:w w:val="90"/>
                    <w:sz w:val="18"/>
                  </w:rPr>
                  <w:t>J.</w:t>
                </w:r>
                <w:r>
                  <w:rPr>
                    <w:rFonts w:ascii="Calibri" w:hAnsi="Calibri"/>
                    <w:i/>
                    <w:color w:val="231F20"/>
                    <w:spacing w:val="-20"/>
                    <w:w w:val="90"/>
                    <w:sz w:val="18"/>
                  </w:rPr>
                  <w:t> </w:t>
                </w:r>
                <w:r>
                  <w:rPr>
                    <w:rFonts w:ascii="Calibri" w:hAnsi="Calibri"/>
                    <w:i/>
                    <w:color w:val="231F20"/>
                    <w:w w:val="90"/>
                    <w:sz w:val="18"/>
                  </w:rPr>
                  <w:t>A.</w:t>
                </w:r>
                <w:r>
                  <w:rPr>
                    <w:rFonts w:ascii="Calibri" w:hAnsi="Calibri"/>
                    <w:i/>
                    <w:color w:val="231F20"/>
                    <w:spacing w:val="-20"/>
                    <w:w w:val="90"/>
                    <w:sz w:val="18"/>
                  </w:rPr>
                  <w:t> </w:t>
                </w:r>
                <w:r>
                  <w:rPr>
                    <w:rFonts w:ascii="Calibri" w:hAnsi="Calibri"/>
                    <w:i/>
                    <w:color w:val="231F20"/>
                    <w:w w:val="90"/>
                    <w:sz w:val="18"/>
                  </w:rPr>
                  <w:t>Soberón</w:t>
                </w:r>
                <w:r>
                  <w:rPr>
                    <w:rFonts w:ascii="Calibri" w:hAnsi="Calibri"/>
                    <w:i/>
                    <w:color w:val="231F20"/>
                    <w:spacing w:val="-20"/>
                    <w:w w:val="90"/>
                    <w:sz w:val="18"/>
                  </w:rPr>
                  <w:t> </w:t>
                </w:r>
                <w:r>
                  <w:rPr>
                    <w:rFonts w:ascii="Calibri" w:hAnsi="Calibri"/>
                    <w:i/>
                    <w:color w:val="231F20"/>
                    <w:w w:val="90"/>
                    <w:sz w:val="18"/>
                  </w:rPr>
                  <w:t>Mora</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20.387604pt;margin-top:567.814941pt;width:184.65pt;height:11pt;mso-position-horizontal-relative:page;mso-position-vertical-relative:page;z-index:-455584"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90"/>
                    <w:sz w:val="18"/>
                  </w:rPr>
                  <w:t>Cambios</w:t>
                </w:r>
                <w:r>
                  <w:rPr>
                    <w:rFonts w:ascii="Calibri" w:hAnsi="Calibri"/>
                    <w:i/>
                    <w:color w:val="231F20"/>
                    <w:spacing w:val="-22"/>
                    <w:w w:val="90"/>
                    <w:sz w:val="18"/>
                  </w:rPr>
                  <w:t> </w:t>
                </w:r>
                <w:r>
                  <w:rPr>
                    <w:rFonts w:ascii="Calibri" w:hAnsi="Calibri"/>
                    <w:i/>
                    <w:color w:val="231F20"/>
                    <w:w w:val="90"/>
                    <w:sz w:val="18"/>
                  </w:rPr>
                  <w:t>en</w:t>
                </w:r>
                <w:r>
                  <w:rPr>
                    <w:rFonts w:ascii="Calibri" w:hAnsi="Calibri"/>
                    <w:i/>
                    <w:color w:val="231F20"/>
                    <w:spacing w:val="-22"/>
                    <w:w w:val="90"/>
                    <w:sz w:val="18"/>
                  </w:rPr>
                  <w:t> </w:t>
                </w:r>
                <w:r>
                  <w:rPr>
                    <w:rFonts w:ascii="Calibri" w:hAnsi="Calibri"/>
                    <w:i/>
                    <w:color w:val="231F20"/>
                    <w:w w:val="90"/>
                    <w:sz w:val="18"/>
                  </w:rPr>
                  <w:t>la</w:t>
                </w:r>
                <w:r>
                  <w:rPr>
                    <w:rFonts w:ascii="Calibri" w:hAnsi="Calibri"/>
                    <w:i/>
                    <w:color w:val="231F20"/>
                    <w:spacing w:val="-22"/>
                    <w:w w:val="90"/>
                    <w:sz w:val="18"/>
                  </w:rPr>
                  <w:t> </w:t>
                </w:r>
                <w:r>
                  <w:rPr>
                    <w:rFonts w:ascii="Calibri" w:hAnsi="Calibri"/>
                    <w:i/>
                    <w:color w:val="231F20"/>
                    <w:w w:val="90"/>
                    <w:sz w:val="18"/>
                  </w:rPr>
                  <w:t>formación</w:t>
                </w:r>
                <w:r>
                  <w:rPr>
                    <w:rFonts w:ascii="Calibri" w:hAnsi="Calibri"/>
                    <w:i/>
                    <w:color w:val="231F20"/>
                    <w:spacing w:val="-22"/>
                    <w:w w:val="90"/>
                    <w:sz w:val="18"/>
                  </w:rPr>
                  <w:t> </w:t>
                </w:r>
                <w:r>
                  <w:rPr>
                    <w:rFonts w:ascii="Calibri" w:hAnsi="Calibri"/>
                    <w:i/>
                    <w:color w:val="231F20"/>
                    <w:w w:val="90"/>
                    <w:sz w:val="18"/>
                  </w:rPr>
                  <w:t>familiar</w:t>
                </w:r>
                <w:r>
                  <w:rPr>
                    <w:rFonts w:ascii="Calibri" w:hAnsi="Calibri"/>
                    <w:i/>
                    <w:color w:val="231F20"/>
                    <w:spacing w:val="-22"/>
                    <w:w w:val="90"/>
                    <w:sz w:val="18"/>
                  </w:rPr>
                  <w:t> </w:t>
                </w:r>
                <w:r>
                  <w:rPr>
                    <w:rFonts w:ascii="Calibri" w:hAnsi="Calibri"/>
                    <w:i/>
                    <w:color w:val="231F20"/>
                    <w:w w:val="90"/>
                    <w:sz w:val="18"/>
                  </w:rPr>
                  <w:t>a</w:t>
                </w:r>
                <w:r>
                  <w:rPr>
                    <w:rFonts w:ascii="Calibri" w:hAnsi="Calibri"/>
                    <w:i/>
                    <w:color w:val="231F20"/>
                    <w:spacing w:val="-22"/>
                    <w:w w:val="90"/>
                    <w:sz w:val="18"/>
                  </w:rPr>
                  <w:t> </w:t>
                </w:r>
                <w:r>
                  <w:rPr>
                    <w:rFonts w:ascii="Calibri" w:hAnsi="Calibri"/>
                    <w:i/>
                    <w:color w:val="231F20"/>
                    <w:w w:val="90"/>
                    <w:sz w:val="18"/>
                  </w:rPr>
                  <w:t>inicos</w:t>
                </w:r>
                <w:r>
                  <w:rPr>
                    <w:rFonts w:ascii="Calibri" w:hAnsi="Calibri"/>
                    <w:i/>
                    <w:color w:val="231F20"/>
                    <w:spacing w:val="-22"/>
                    <w:w w:val="90"/>
                    <w:sz w:val="18"/>
                  </w:rPr>
                  <w:t> </w:t>
                </w:r>
                <w:r>
                  <w:rPr>
                    <w:rFonts w:ascii="Calibri" w:hAnsi="Calibri"/>
                    <w:i/>
                    <w:color w:val="231F20"/>
                    <w:w w:val="90"/>
                    <w:sz w:val="18"/>
                  </w:rPr>
                  <w:t>del</w:t>
                </w:r>
                <w:r>
                  <w:rPr>
                    <w:rFonts w:ascii="Calibri" w:hAnsi="Calibri"/>
                    <w:i/>
                    <w:color w:val="231F20"/>
                    <w:spacing w:val="-22"/>
                    <w:w w:val="90"/>
                    <w:sz w:val="18"/>
                  </w:rPr>
                  <w:t> </w:t>
                </w:r>
                <w:r>
                  <w:rPr>
                    <w:rFonts w:ascii="Calibri" w:hAnsi="Calibri"/>
                    <w:i/>
                    <w:color w:val="231F20"/>
                    <w:w w:val="90"/>
                    <w:sz w:val="18"/>
                  </w:rPr>
                  <w:t>siglo</w:t>
                </w:r>
                <w:r>
                  <w:rPr>
                    <w:rFonts w:ascii="Calibri" w:hAnsi="Calibri"/>
                    <w:i/>
                    <w:color w:val="231F20"/>
                    <w:spacing w:val="-22"/>
                    <w:w w:val="90"/>
                    <w:sz w:val="18"/>
                  </w:rPr>
                  <w:t> </w:t>
                </w:r>
                <w:r>
                  <w:rPr>
                    <w:i/>
                    <w:color w:val="231F20"/>
                    <w:w w:val="90"/>
                    <w:sz w:val="14"/>
                  </w:rPr>
                  <w:t>XXI</w:t>
                </w:r>
                <w:r>
                  <w:rPr>
                    <w:i/>
                    <w:color w:val="231F20"/>
                    <w:spacing w:val="-13"/>
                    <w:w w:val="90"/>
                    <w:sz w:val="14"/>
                  </w:rPr>
                  <w:t> </w:t>
                </w:r>
                <w:r>
                  <w:rPr>
                    <w:i/>
                    <w:color w:val="231F20"/>
                    <w:w w:val="90"/>
                    <w:sz w:val="18"/>
                  </w:rPr>
                  <w:t>•</w:t>
                </w:r>
                <w:r>
                  <w:rPr>
                    <w:i/>
                    <w:color w:val="231F20"/>
                    <w:spacing w:val="-21"/>
                    <w:w w:val="90"/>
                    <w:sz w:val="18"/>
                  </w:rPr>
                  <w:t> </w:t>
                </w:r>
                <w:r>
                  <w:rPr>
                    <w:rFonts w:ascii="Calibri" w:hAnsi="Calibri"/>
                    <w:i/>
                    <w:color w:val="231F20"/>
                    <w:w w:val="90"/>
                    <w:sz w:val="18"/>
                  </w:rPr>
                  <w:t>101</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88.75pt;height:11pt;mso-position-horizontal-relative:page;mso-position-vertical-relative:page;z-index:-455560"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104</w:t>
                </w:r>
                <w:r>
                  <w:rPr/>
                  <w:fldChar w:fldCharType="end"/>
                </w:r>
                <w:r>
                  <w:rPr>
                    <w:rFonts w:ascii="Calibri" w:hAnsi="Calibri"/>
                    <w:i/>
                    <w:color w:val="231F20"/>
                    <w:spacing w:val="-22"/>
                    <w:w w:val="90"/>
                    <w:sz w:val="18"/>
                  </w:rPr>
                  <w:t> </w:t>
                </w:r>
                <w:r>
                  <w:rPr>
                    <w:i/>
                    <w:color w:val="231F20"/>
                    <w:w w:val="90"/>
                    <w:sz w:val="18"/>
                  </w:rPr>
                  <w:t>•</w:t>
                </w:r>
                <w:r>
                  <w:rPr>
                    <w:i/>
                    <w:color w:val="231F20"/>
                    <w:spacing w:val="-21"/>
                    <w:w w:val="90"/>
                    <w:sz w:val="18"/>
                  </w:rPr>
                  <w:t> </w:t>
                </w:r>
                <w:r>
                  <w:rPr>
                    <w:rFonts w:ascii="Calibri" w:hAnsi="Calibri"/>
                    <w:i/>
                    <w:color w:val="231F20"/>
                    <w:w w:val="90"/>
                    <w:sz w:val="18"/>
                  </w:rPr>
                  <w:t>Andrea</w:t>
                </w:r>
                <w:r>
                  <w:rPr>
                    <w:rFonts w:ascii="Calibri" w:hAnsi="Calibri"/>
                    <w:i/>
                    <w:color w:val="231F20"/>
                    <w:spacing w:val="-22"/>
                    <w:w w:val="90"/>
                    <w:sz w:val="18"/>
                  </w:rPr>
                  <w:t> </w:t>
                </w:r>
                <w:r>
                  <w:rPr>
                    <w:rFonts w:ascii="Calibri" w:hAnsi="Calibri"/>
                    <w:i/>
                    <w:color w:val="231F20"/>
                    <w:w w:val="90"/>
                    <w:sz w:val="18"/>
                  </w:rPr>
                  <w:t>Bautista</w:t>
                </w:r>
                <w:r>
                  <w:rPr>
                    <w:rFonts w:ascii="Calibri" w:hAnsi="Calibri"/>
                    <w:i/>
                    <w:color w:val="231F20"/>
                    <w:spacing w:val="-22"/>
                    <w:w w:val="90"/>
                    <w:sz w:val="18"/>
                  </w:rPr>
                  <w:t> </w:t>
                </w:r>
                <w:r>
                  <w:rPr>
                    <w:rFonts w:ascii="Calibri" w:hAnsi="Calibri"/>
                    <w:i/>
                    <w:color w:val="231F20"/>
                    <w:w w:val="90"/>
                    <w:sz w:val="18"/>
                  </w:rPr>
                  <w:t>León</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24.497101pt;margin-top:567.814941pt;width:181.55pt;height:11pt;mso-position-horizontal-relative:page;mso-position-vertical-relative:page;z-index:-455536"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90"/>
                    <w:sz w:val="18"/>
                  </w:rPr>
                  <w:t>Implicaciones</w:t>
                </w:r>
                <w:r>
                  <w:rPr>
                    <w:rFonts w:ascii="Calibri" w:hAnsi="Calibri"/>
                    <w:i/>
                    <w:color w:val="231F20"/>
                    <w:spacing w:val="-19"/>
                    <w:w w:val="90"/>
                    <w:sz w:val="18"/>
                  </w:rPr>
                  <w:t> </w:t>
                </w:r>
                <w:r>
                  <w:rPr>
                    <w:rFonts w:ascii="Calibri" w:hAnsi="Calibri"/>
                    <w:i/>
                    <w:color w:val="231F20"/>
                    <w:w w:val="90"/>
                    <w:sz w:val="18"/>
                  </w:rPr>
                  <w:t>de</w:t>
                </w:r>
                <w:r>
                  <w:rPr>
                    <w:rFonts w:ascii="Calibri" w:hAnsi="Calibri"/>
                    <w:i/>
                    <w:color w:val="231F20"/>
                    <w:spacing w:val="-19"/>
                    <w:w w:val="90"/>
                    <w:sz w:val="18"/>
                  </w:rPr>
                  <w:t> </w:t>
                </w:r>
                <w:r>
                  <w:rPr>
                    <w:rFonts w:ascii="Calibri" w:hAnsi="Calibri"/>
                    <w:i/>
                    <w:color w:val="231F20"/>
                    <w:w w:val="90"/>
                    <w:sz w:val="18"/>
                  </w:rPr>
                  <w:t>la</w:t>
                </w:r>
                <w:r>
                  <w:rPr>
                    <w:rFonts w:ascii="Calibri" w:hAnsi="Calibri"/>
                    <w:i/>
                    <w:color w:val="231F20"/>
                    <w:spacing w:val="-19"/>
                    <w:w w:val="90"/>
                    <w:sz w:val="18"/>
                  </w:rPr>
                  <w:t> </w:t>
                </w:r>
                <w:r>
                  <w:rPr>
                    <w:rFonts w:ascii="Calibri" w:hAnsi="Calibri"/>
                    <w:i/>
                    <w:color w:val="231F20"/>
                    <w:w w:val="90"/>
                    <w:sz w:val="18"/>
                  </w:rPr>
                  <w:t>unión</w:t>
                </w:r>
                <w:r>
                  <w:rPr>
                    <w:rFonts w:ascii="Calibri" w:hAnsi="Calibri"/>
                    <w:i/>
                    <w:color w:val="231F20"/>
                    <w:spacing w:val="-19"/>
                    <w:w w:val="90"/>
                    <w:sz w:val="18"/>
                  </w:rPr>
                  <w:t> </w:t>
                </w:r>
                <w:r>
                  <w:rPr>
                    <w:rFonts w:ascii="Calibri" w:hAnsi="Calibri"/>
                    <w:i/>
                    <w:color w:val="231F20"/>
                    <w:w w:val="90"/>
                    <w:sz w:val="18"/>
                  </w:rPr>
                  <w:t>conyugal</w:t>
                </w:r>
                <w:r>
                  <w:rPr>
                    <w:rFonts w:ascii="Calibri" w:hAnsi="Calibri"/>
                    <w:i/>
                    <w:color w:val="231F20"/>
                    <w:spacing w:val="-19"/>
                    <w:w w:val="90"/>
                    <w:sz w:val="18"/>
                  </w:rPr>
                  <w:t> </w:t>
                </w:r>
                <w:r>
                  <w:rPr>
                    <w:rFonts w:ascii="Calibri" w:hAnsi="Calibri"/>
                    <w:i/>
                    <w:color w:val="231F20"/>
                    <w:w w:val="90"/>
                    <w:sz w:val="18"/>
                  </w:rPr>
                  <w:t>en</w:t>
                </w:r>
                <w:r>
                  <w:rPr>
                    <w:rFonts w:ascii="Calibri" w:hAnsi="Calibri"/>
                    <w:i/>
                    <w:color w:val="231F20"/>
                    <w:spacing w:val="-19"/>
                    <w:w w:val="90"/>
                    <w:sz w:val="18"/>
                  </w:rPr>
                  <w:t> </w:t>
                </w:r>
                <w:r>
                  <w:rPr>
                    <w:rFonts w:ascii="Calibri" w:hAnsi="Calibri"/>
                    <w:i/>
                    <w:color w:val="231F20"/>
                    <w:w w:val="90"/>
                    <w:sz w:val="18"/>
                  </w:rPr>
                  <w:t>la</w:t>
                </w:r>
                <w:r>
                  <w:rPr>
                    <w:rFonts w:ascii="Calibri" w:hAnsi="Calibri"/>
                    <w:i/>
                    <w:color w:val="231F20"/>
                    <w:spacing w:val="-19"/>
                    <w:w w:val="90"/>
                    <w:sz w:val="18"/>
                  </w:rPr>
                  <w:t> </w:t>
                </w:r>
                <w:r>
                  <w:rPr>
                    <w:rFonts w:ascii="Calibri" w:hAnsi="Calibri"/>
                    <w:i/>
                    <w:color w:val="231F20"/>
                    <w:w w:val="90"/>
                    <w:sz w:val="18"/>
                  </w:rPr>
                  <w:t>educación</w:t>
                </w:r>
                <w:r>
                  <w:rPr>
                    <w:rFonts w:ascii="Calibri" w:hAnsi="Calibri"/>
                    <w:i/>
                    <w:color w:val="231F20"/>
                    <w:spacing w:val="-19"/>
                    <w:w w:val="90"/>
                    <w:sz w:val="18"/>
                  </w:rPr>
                  <w:t> </w:t>
                </w:r>
                <w:r>
                  <w:rPr>
                    <w:i/>
                    <w:color w:val="231F20"/>
                    <w:w w:val="90"/>
                    <w:sz w:val="18"/>
                  </w:rPr>
                  <w:t>•</w:t>
                </w:r>
                <w:r>
                  <w:rPr>
                    <w:i/>
                    <w:color w:val="231F20"/>
                    <w:spacing w:val="-18"/>
                    <w:w w:val="90"/>
                    <w:sz w:val="18"/>
                  </w:rPr>
                  <w:t> </w:t>
                </w:r>
                <w:r>
                  <w:rPr/>
                  <w:fldChar w:fldCharType="begin"/>
                </w:r>
                <w:r>
                  <w:rPr>
                    <w:rFonts w:ascii="Calibri" w:hAnsi="Calibri"/>
                    <w:i/>
                    <w:color w:val="231F20"/>
                    <w:w w:val="90"/>
                    <w:sz w:val="18"/>
                  </w:rPr>
                  <w:instrText> PAGE </w:instrText>
                </w:r>
                <w:r>
                  <w:rPr/>
                  <w:fldChar w:fldCharType="separate"/>
                </w:r>
                <w:r>
                  <w:rPr/>
                  <w:t>105</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24.497101pt;margin-top:567.814941pt;width:180.55pt;height:11pt;mso-position-horizontal-relative:page;mso-position-vertical-relative:page;z-index:-455512"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90"/>
                    <w:sz w:val="18"/>
                  </w:rPr>
                  <w:t>Implicaciones</w:t>
                </w:r>
                <w:r>
                  <w:rPr>
                    <w:rFonts w:ascii="Calibri" w:hAnsi="Calibri"/>
                    <w:i/>
                    <w:color w:val="231F20"/>
                    <w:spacing w:val="-19"/>
                    <w:w w:val="90"/>
                    <w:sz w:val="18"/>
                  </w:rPr>
                  <w:t> </w:t>
                </w:r>
                <w:r>
                  <w:rPr>
                    <w:rFonts w:ascii="Calibri" w:hAnsi="Calibri"/>
                    <w:i/>
                    <w:color w:val="231F20"/>
                    <w:w w:val="90"/>
                    <w:sz w:val="18"/>
                  </w:rPr>
                  <w:t>de</w:t>
                </w:r>
                <w:r>
                  <w:rPr>
                    <w:rFonts w:ascii="Calibri" w:hAnsi="Calibri"/>
                    <w:i/>
                    <w:color w:val="231F20"/>
                    <w:spacing w:val="-19"/>
                    <w:w w:val="90"/>
                    <w:sz w:val="18"/>
                  </w:rPr>
                  <w:t> </w:t>
                </w:r>
                <w:r>
                  <w:rPr>
                    <w:rFonts w:ascii="Calibri" w:hAnsi="Calibri"/>
                    <w:i/>
                    <w:color w:val="231F20"/>
                    <w:w w:val="90"/>
                    <w:sz w:val="18"/>
                  </w:rPr>
                  <w:t>la</w:t>
                </w:r>
                <w:r>
                  <w:rPr>
                    <w:rFonts w:ascii="Calibri" w:hAnsi="Calibri"/>
                    <w:i/>
                    <w:color w:val="231F20"/>
                    <w:spacing w:val="-19"/>
                    <w:w w:val="90"/>
                    <w:sz w:val="18"/>
                  </w:rPr>
                  <w:t> </w:t>
                </w:r>
                <w:r>
                  <w:rPr>
                    <w:rFonts w:ascii="Calibri" w:hAnsi="Calibri"/>
                    <w:i/>
                    <w:color w:val="231F20"/>
                    <w:w w:val="90"/>
                    <w:sz w:val="18"/>
                  </w:rPr>
                  <w:t>unión</w:t>
                </w:r>
                <w:r>
                  <w:rPr>
                    <w:rFonts w:ascii="Calibri" w:hAnsi="Calibri"/>
                    <w:i/>
                    <w:color w:val="231F20"/>
                    <w:spacing w:val="-19"/>
                    <w:w w:val="90"/>
                    <w:sz w:val="18"/>
                  </w:rPr>
                  <w:t> </w:t>
                </w:r>
                <w:r>
                  <w:rPr>
                    <w:rFonts w:ascii="Calibri" w:hAnsi="Calibri"/>
                    <w:i/>
                    <w:color w:val="231F20"/>
                    <w:w w:val="90"/>
                    <w:sz w:val="18"/>
                  </w:rPr>
                  <w:t>conyugal</w:t>
                </w:r>
                <w:r>
                  <w:rPr>
                    <w:rFonts w:ascii="Calibri" w:hAnsi="Calibri"/>
                    <w:i/>
                    <w:color w:val="231F20"/>
                    <w:spacing w:val="-19"/>
                    <w:w w:val="90"/>
                    <w:sz w:val="18"/>
                  </w:rPr>
                  <w:t> </w:t>
                </w:r>
                <w:r>
                  <w:rPr>
                    <w:rFonts w:ascii="Calibri" w:hAnsi="Calibri"/>
                    <w:i/>
                    <w:color w:val="231F20"/>
                    <w:w w:val="90"/>
                    <w:sz w:val="18"/>
                  </w:rPr>
                  <w:t>en</w:t>
                </w:r>
                <w:r>
                  <w:rPr>
                    <w:rFonts w:ascii="Calibri" w:hAnsi="Calibri"/>
                    <w:i/>
                    <w:color w:val="231F20"/>
                    <w:spacing w:val="-19"/>
                    <w:w w:val="90"/>
                    <w:sz w:val="18"/>
                  </w:rPr>
                  <w:t> </w:t>
                </w:r>
                <w:r>
                  <w:rPr>
                    <w:rFonts w:ascii="Calibri" w:hAnsi="Calibri"/>
                    <w:i/>
                    <w:color w:val="231F20"/>
                    <w:w w:val="90"/>
                    <w:sz w:val="18"/>
                  </w:rPr>
                  <w:t>la</w:t>
                </w:r>
                <w:r>
                  <w:rPr>
                    <w:rFonts w:ascii="Calibri" w:hAnsi="Calibri"/>
                    <w:i/>
                    <w:color w:val="231F20"/>
                    <w:spacing w:val="-19"/>
                    <w:w w:val="90"/>
                    <w:sz w:val="18"/>
                  </w:rPr>
                  <w:t> </w:t>
                </w:r>
                <w:r>
                  <w:rPr>
                    <w:rFonts w:ascii="Calibri" w:hAnsi="Calibri"/>
                    <w:i/>
                    <w:color w:val="231F20"/>
                    <w:w w:val="90"/>
                    <w:sz w:val="18"/>
                  </w:rPr>
                  <w:t>educación</w:t>
                </w:r>
                <w:r>
                  <w:rPr>
                    <w:rFonts w:ascii="Calibri" w:hAnsi="Calibri"/>
                    <w:i/>
                    <w:color w:val="231F20"/>
                    <w:spacing w:val="-19"/>
                    <w:w w:val="90"/>
                    <w:sz w:val="18"/>
                  </w:rPr>
                  <w:t> </w:t>
                </w:r>
                <w:r>
                  <w:rPr>
                    <w:i/>
                    <w:color w:val="231F20"/>
                    <w:w w:val="90"/>
                    <w:sz w:val="18"/>
                  </w:rPr>
                  <w:t>•</w:t>
                </w:r>
                <w:r>
                  <w:rPr>
                    <w:i/>
                    <w:color w:val="231F20"/>
                    <w:spacing w:val="-18"/>
                    <w:w w:val="90"/>
                    <w:sz w:val="18"/>
                  </w:rPr>
                  <w:t> </w:t>
                </w:r>
                <w:r>
                  <w:rPr>
                    <w:rFonts w:ascii="Calibri" w:hAnsi="Calibri"/>
                    <w:i/>
                    <w:color w:val="231F20"/>
                    <w:w w:val="90"/>
                    <w:sz w:val="18"/>
                  </w:rPr>
                  <w:t>111</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88.75pt;height:11pt;mso-position-horizontal-relative:page;mso-position-vertical-relative:page;z-index:-455488" type="#_x0000_t202" filled="false" stroked="false">
          <v:textbox inset="0,0,0,0">
            <w:txbxContent>
              <w:p>
                <w:pPr>
                  <w:spacing w:line="212" w:lineRule="exact" w:before="0"/>
                  <w:ind w:left="40" w:right="0" w:firstLine="0"/>
                  <w:jc w:val="left"/>
                  <w:rPr>
                    <w:rFonts w:ascii="Calibri" w:hAnsi="Calibri"/>
                    <w:i/>
                    <w:sz w:val="18"/>
                  </w:rPr>
                </w:pPr>
                <w:r>
                  <w:rPr>
                    <w:rFonts w:ascii="Calibri" w:hAnsi="Calibri"/>
                    <w:i/>
                    <w:color w:val="231F20"/>
                    <w:w w:val="90"/>
                    <w:sz w:val="18"/>
                  </w:rPr>
                  <w:t>112</w:t>
                </w:r>
                <w:r>
                  <w:rPr>
                    <w:rFonts w:ascii="Calibri" w:hAnsi="Calibri"/>
                    <w:i/>
                    <w:color w:val="231F20"/>
                    <w:spacing w:val="-22"/>
                    <w:w w:val="90"/>
                    <w:sz w:val="18"/>
                  </w:rPr>
                  <w:t> </w:t>
                </w:r>
                <w:r>
                  <w:rPr>
                    <w:i/>
                    <w:color w:val="231F20"/>
                    <w:w w:val="90"/>
                    <w:sz w:val="18"/>
                  </w:rPr>
                  <w:t>•</w:t>
                </w:r>
                <w:r>
                  <w:rPr>
                    <w:i/>
                    <w:color w:val="231F20"/>
                    <w:spacing w:val="-21"/>
                    <w:w w:val="90"/>
                    <w:sz w:val="18"/>
                  </w:rPr>
                  <w:t> </w:t>
                </w:r>
                <w:r>
                  <w:rPr>
                    <w:rFonts w:ascii="Calibri" w:hAnsi="Calibri"/>
                    <w:i/>
                    <w:color w:val="231F20"/>
                    <w:w w:val="90"/>
                    <w:sz w:val="18"/>
                  </w:rPr>
                  <w:t>Andrea</w:t>
                </w:r>
                <w:r>
                  <w:rPr>
                    <w:rFonts w:ascii="Calibri" w:hAnsi="Calibri"/>
                    <w:i/>
                    <w:color w:val="231F20"/>
                    <w:spacing w:val="-22"/>
                    <w:w w:val="90"/>
                    <w:sz w:val="18"/>
                  </w:rPr>
                  <w:t> </w:t>
                </w:r>
                <w:r>
                  <w:rPr>
                    <w:rFonts w:ascii="Calibri" w:hAnsi="Calibri"/>
                    <w:i/>
                    <w:color w:val="231F20"/>
                    <w:w w:val="90"/>
                    <w:sz w:val="18"/>
                  </w:rPr>
                  <w:t>Bautista</w:t>
                </w:r>
                <w:r>
                  <w:rPr>
                    <w:rFonts w:ascii="Calibri" w:hAnsi="Calibri"/>
                    <w:i/>
                    <w:color w:val="231F20"/>
                    <w:spacing w:val="-22"/>
                    <w:w w:val="90"/>
                    <w:sz w:val="18"/>
                  </w:rPr>
                  <w:t> </w:t>
                </w:r>
                <w:r>
                  <w:rPr>
                    <w:rFonts w:ascii="Calibri" w:hAnsi="Calibri"/>
                    <w:i/>
                    <w:color w:val="231F20"/>
                    <w:w w:val="90"/>
                    <w:sz w:val="18"/>
                  </w:rPr>
                  <w:t>León</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24.497101pt;margin-top:567.814941pt;width:181.55pt;height:11pt;mso-position-horizontal-relative:page;mso-position-vertical-relative:page;z-index:-455464"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90"/>
                    <w:sz w:val="18"/>
                  </w:rPr>
                  <w:t>Implicaciones</w:t>
                </w:r>
                <w:r>
                  <w:rPr>
                    <w:rFonts w:ascii="Calibri" w:hAnsi="Calibri"/>
                    <w:i/>
                    <w:color w:val="231F20"/>
                    <w:spacing w:val="-19"/>
                    <w:w w:val="90"/>
                    <w:sz w:val="18"/>
                  </w:rPr>
                  <w:t> </w:t>
                </w:r>
                <w:r>
                  <w:rPr>
                    <w:rFonts w:ascii="Calibri" w:hAnsi="Calibri"/>
                    <w:i/>
                    <w:color w:val="231F20"/>
                    <w:w w:val="90"/>
                    <w:sz w:val="18"/>
                  </w:rPr>
                  <w:t>de</w:t>
                </w:r>
                <w:r>
                  <w:rPr>
                    <w:rFonts w:ascii="Calibri" w:hAnsi="Calibri"/>
                    <w:i/>
                    <w:color w:val="231F20"/>
                    <w:spacing w:val="-19"/>
                    <w:w w:val="90"/>
                    <w:sz w:val="18"/>
                  </w:rPr>
                  <w:t> </w:t>
                </w:r>
                <w:r>
                  <w:rPr>
                    <w:rFonts w:ascii="Calibri" w:hAnsi="Calibri"/>
                    <w:i/>
                    <w:color w:val="231F20"/>
                    <w:w w:val="90"/>
                    <w:sz w:val="18"/>
                  </w:rPr>
                  <w:t>la</w:t>
                </w:r>
                <w:r>
                  <w:rPr>
                    <w:rFonts w:ascii="Calibri" w:hAnsi="Calibri"/>
                    <w:i/>
                    <w:color w:val="231F20"/>
                    <w:spacing w:val="-19"/>
                    <w:w w:val="90"/>
                    <w:sz w:val="18"/>
                  </w:rPr>
                  <w:t> </w:t>
                </w:r>
                <w:r>
                  <w:rPr>
                    <w:rFonts w:ascii="Calibri" w:hAnsi="Calibri"/>
                    <w:i/>
                    <w:color w:val="231F20"/>
                    <w:w w:val="90"/>
                    <w:sz w:val="18"/>
                  </w:rPr>
                  <w:t>unión</w:t>
                </w:r>
                <w:r>
                  <w:rPr>
                    <w:rFonts w:ascii="Calibri" w:hAnsi="Calibri"/>
                    <w:i/>
                    <w:color w:val="231F20"/>
                    <w:spacing w:val="-19"/>
                    <w:w w:val="90"/>
                    <w:sz w:val="18"/>
                  </w:rPr>
                  <w:t> </w:t>
                </w:r>
                <w:r>
                  <w:rPr>
                    <w:rFonts w:ascii="Calibri" w:hAnsi="Calibri"/>
                    <w:i/>
                    <w:color w:val="231F20"/>
                    <w:w w:val="90"/>
                    <w:sz w:val="18"/>
                  </w:rPr>
                  <w:t>conyugal</w:t>
                </w:r>
                <w:r>
                  <w:rPr>
                    <w:rFonts w:ascii="Calibri" w:hAnsi="Calibri"/>
                    <w:i/>
                    <w:color w:val="231F20"/>
                    <w:spacing w:val="-19"/>
                    <w:w w:val="90"/>
                    <w:sz w:val="18"/>
                  </w:rPr>
                  <w:t> </w:t>
                </w:r>
                <w:r>
                  <w:rPr>
                    <w:rFonts w:ascii="Calibri" w:hAnsi="Calibri"/>
                    <w:i/>
                    <w:color w:val="231F20"/>
                    <w:w w:val="90"/>
                    <w:sz w:val="18"/>
                  </w:rPr>
                  <w:t>en</w:t>
                </w:r>
                <w:r>
                  <w:rPr>
                    <w:rFonts w:ascii="Calibri" w:hAnsi="Calibri"/>
                    <w:i/>
                    <w:color w:val="231F20"/>
                    <w:spacing w:val="-19"/>
                    <w:w w:val="90"/>
                    <w:sz w:val="18"/>
                  </w:rPr>
                  <w:t> </w:t>
                </w:r>
                <w:r>
                  <w:rPr>
                    <w:rFonts w:ascii="Calibri" w:hAnsi="Calibri"/>
                    <w:i/>
                    <w:color w:val="231F20"/>
                    <w:w w:val="90"/>
                    <w:sz w:val="18"/>
                  </w:rPr>
                  <w:t>la</w:t>
                </w:r>
                <w:r>
                  <w:rPr>
                    <w:rFonts w:ascii="Calibri" w:hAnsi="Calibri"/>
                    <w:i/>
                    <w:color w:val="231F20"/>
                    <w:spacing w:val="-19"/>
                    <w:w w:val="90"/>
                    <w:sz w:val="18"/>
                  </w:rPr>
                  <w:t> </w:t>
                </w:r>
                <w:r>
                  <w:rPr>
                    <w:rFonts w:ascii="Calibri" w:hAnsi="Calibri"/>
                    <w:i/>
                    <w:color w:val="231F20"/>
                    <w:w w:val="90"/>
                    <w:sz w:val="18"/>
                  </w:rPr>
                  <w:t>educación</w:t>
                </w:r>
                <w:r>
                  <w:rPr>
                    <w:rFonts w:ascii="Calibri" w:hAnsi="Calibri"/>
                    <w:i/>
                    <w:color w:val="231F20"/>
                    <w:spacing w:val="-19"/>
                    <w:w w:val="90"/>
                    <w:sz w:val="18"/>
                  </w:rPr>
                  <w:t> </w:t>
                </w:r>
                <w:r>
                  <w:rPr>
                    <w:i/>
                    <w:color w:val="231F20"/>
                    <w:w w:val="90"/>
                    <w:sz w:val="18"/>
                  </w:rPr>
                  <w:t>•</w:t>
                </w:r>
                <w:r>
                  <w:rPr>
                    <w:i/>
                    <w:color w:val="231F20"/>
                    <w:spacing w:val="-18"/>
                    <w:w w:val="90"/>
                    <w:sz w:val="18"/>
                  </w:rPr>
                  <w:t> </w:t>
                </w:r>
                <w:r>
                  <w:rPr/>
                  <w:fldChar w:fldCharType="begin"/>
                </w:r>
                <w:r>
                  <w:rPr>
                    <w:rFonts w:ascii="Calibri" w:hAnsi="Calibri"/>
                    <w:i/>
                    <w:color w:val="231F20"/>
                    <w:w w:val="90"/>
                    <w:sz w:val="18"/>
                  </w:rPr>
                  <w:instrText> PAGE </w:instrText>
                </w:r>
                <w:r>
                  <w:rPr/>
                  <w:fldChar w:fldCharType="separate"/>
                </w:r>
                <w:r>
                  <w:rPr/>
                  <w:t>113</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03.781891pt;margin-top:567.814941pt;width:102.25pt;height:11pt;mso-position-horizontal-relative:page;mso-position-vertical-relative:page;z-index:-457792"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Familias y políticas públicas </w:t>
                </w:r>
                <w:r>
                  <w:rPr>
                    <w:i/>
                    <w:color w:val="231F20"/>
                    <w:w w:val="85"/>
                    <w:sz w:val="18"/>
                  </w:rPr>
                  <w:t>• </w:t>
                </w:r>
                <w:r>
                  <w:rPr/>
                  <w:fldChar w:fldCharType="begin"/>
                </w:r>
                <w:r>
                  <w:rPr>
                    <w:rFonts w:ascii="Calibri" w:hAnsi="Calibri"/>
                    <w:i/>
                    <w:color w:val="231F20"/>
                    <w:w w:val="85"/>
                    <w:sz w:val="18"/>
                  </w:rPr>
                  <w:instrText> PAGE </w:instrText>
                </w:r>
                <w:r>
                  <w:rPr/>
                  <w:fldChar w:fldCharType="separate"/>
                </w:r>
                <w:r>
                  <w:rPr/>
                  <w:t>13</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88.75pt;height:11pt;mso-position-horizontal-relative:page;mso-position-vertical-relative:page;z-index:-455440"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114</w:t>
                </w:r>
                <w:r>
                  <w:rPr/>
                  <w:fldChar w:fldCharType="end"/>
                </w:r>
                <w:r>
                  <w:rPr>
                    <w:rFonts w:ascii="Calibri" w:hAnsi="Calibri"/>
                    <w:i/>
                    <w:color w:val="231F20"/>
                    <w:spacing w:val="-22"/>
                    <w:w w:val="90"/>
                    <w:sz w:val="18"/>
                  </w:rPr>
                  <w:t> </w:t>
                </w:r>
                <w:r>
                  <w:rPr>
                    <w:i/>
                    <w:color w:val="231F20"/>
                    <w:w w:val="90"/>
                    <w:sz w:val="18"/>
                  </w:rPr>
                  <w:t>•</w:t>
                </w:r>
                <w:r>
                  <w:rPr>
                    <w:i/>
                    <w:color w:val="231F20"/>
                    <w:spacing w:val="-21"/>
                    <w:w w:val="90"/>
                    <w:sz w:val="18"/>
                  </w:rPr>
                  <w:t> </w:t>
                </w:r>
                <w:r>
                  <w:rPr>
                    <w:rFonts w:ascii="Calibri" w:hAnsi="Calibri"/>
                    <w:i/>
                    <w:color w:val="231F20"/>
                    <w:w w:val="90"/>
                    <w:sz w:val="18"/>
                  </w:rPr>
                  <w:t>Andrea</w:t>
                </w:r>
                <w:r>
                  <w:rPr>
                    <w:rFonts w:ascii="Calibri" w:hAnsi="Calibri"/>
                    <w:i/>
                    <w:color w:val="231F20"/>
                    <w:spacing w:val="-22"/>
                    <w:w w:val="90"/>
                    <w:sz w:val="18"/>
                  </w:rPr>
                  <w:t> </w:t>
                </w:r>
                <w:r>
                  <w:rPr>
                    <w:rFonts w:ascii="Calibri" w:hAnsi="Calibri"/>
                    <w:i/>
                    <w:color w:val="231F20"/>
                    <w:w w:val="90"/>
                    <w:sz w:val="18"/>
                  </w:rPr>
                  <w:t>Bautista</w:t>
                </w:r>
                <w:r>
                  <w:rPr>
                    <w:rFonts w:ascii="Calibri" w:hAnsi="Calibri"/>
                    <w:i/>
                    <w:color w:val="231F20"/>
                    <w:spacing w:val="-22"/>
                    <w:w w:val="90"/>
                    <w:sz w:val="18"/>
                  </w:rPr>
                  <w:t> </w:t>
                </w:r>
                <w:r>
                  <w:rPr>
                    <w:rFonts w:ascii="Calibri" w:hAnsi="Calibri"/>
                    <w:i/>
                    <w:color w:val="231F20"/>
                    <w:w w:val="90"/>
                    <w:sz w:val="18"/>
                  </w:rPr>
                  <w:t>León</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112.65pt;height:11pt;mso-position-horizontal-relative:page;mso-position-vertical-relative:page;z-index:-455416"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85"/>
                    <w:sz w:val="18"/>
                  </w:rPr>
                  <w:instrText> PAGE </w:instrText>
                </w:r>
                <w:r>
                  <w:rPr/>
                  <w:fldChar w:fldCharType="separate"/>
                </w:r>
                <w:r>
                  <w:rPr/>
                  <w:t>124</w:t>
                </w:r>
                <w:r>
                  <w:rPr/>
                  <w:fldChar w:fldCharType="end"/>
                </w:r>
                <w:r>
                  <w:rPr>
                    <w:rFonts w:ascii="Calibri" w:hAnsi="Calibri"/>
                    <w:i/>
                    <w:color w:val="231F20"/>
                    <w:spacing w:val="-7"/>
                    <w:w w:val="85"/>
                    <w:sz w:val="18"/>
                  </w:rPr>
                  <w:t> </w:t>
                </w:r>
                <w:r>
                  <w:rPr>
                    <w:i/>
                    <w:color w:val="231F20"/>
                    <w:w w:val="85"/>
                    <w:sz w:val="18"/>
                  </w:rPr>
                  <w:t>•</w:t>
                </w:r>
                <w:r>
                  <w:rPr>
                    <w:i/>
                    <w:color w:val="231F20"/>
                    <w:spacing w:val="-6"/>
                    <w:w w:val="85"/>
                    <w:sz w:val="18"/>
                  </w:rPr>
                  <w:t> </w:t>
                </w:r>
                <w:r>
                  <w:rPr>
                    <w:rFonts w:ascii="Calibri" w:hAnsi="Calibri"/>
                    <w:i/>
                    <w:color w:val="231F20"/>
                    <w:w w:val="85"/>
                    <w:sz w:val="18"/>
                  </w:rPr>
                  <w:t>N.</w:t>
                </w:r>
                <w:r>
                  <w:rPr>
                    <w:rFonts w:ascii="Calibri" w:hAnsi="Calibri"/>
                    <w:i/>
                    <w:color w:val="231F20"/>
                    <w:spacing w:val="-7"/>
                    <w:w w:val="85"/>
                    <w:sz w:val="18"/>
                  </w:rPr>
                  <w:t> </w:t>
                </w:r>
                <w:r>
                  <w:rPr>
                    <w:rFonts w:ascii="Calibri" w:hAnsi="Calibri"/>
                    <w:i/>
                    <w:color w:val="231F20"/>
                    <w:w w:val="85"/>
                    <w:sz w:val="18"/>
                  </w:rPr>
                  <w:t>Baca</w:t>
                </w:r>
                <w:r>
                  <w:rPr>
                    <w:rFonts w:ascii="Calibri" w:hAnsi="Calibri"/>
                    <w:i/>
                    <w:color w:val="231F20"/>
                    <w:spacing w:val="-7"/>
                    <w:w w:val="85"/>
                    <w:sz w:val="18"/>
                  </w:rPr>
                  <w:t> </w:t>
                </w:r>
                <w:r>
                  <w:rPr>
                    <w:rFonts w:ascii="Calibri" w:hAnsi="Calibri"/>
                    <w:i/>
                    <w:color w:val="231F20"/>
                    <w:w w:val="85"/>
                    <w:sz w:val="18"/>
                  </w:rPr>
                  <w:t>Tavira,</w:t>
                </w:r>
                <w:r>
                  <w:rPr>
                    <w:rFonts w:ascii="Calibri" w:hAnsi="Calibri"/>
                    <w:i/>
                    <w:color w:val="231F20"/>
                    <w:spacing w:val="-7"/>
                    <w:w w:val="85"/>
                    <w:sz w:val="18"/>
                  </w:rPr>
                  <w:t> </w:t>
                </w:r>
                <w:r>
                  <w:rPr>
                    <w:rFonts w:ascii="Calibri" w:hAnsi="Calibri"/>
                    <w:i/>
                    <w:color w:val="231F20"/>
                    <w:w w:val="85"/>
                    <w:sz w:val="18"/>
                  </w:rPr>
                  <w:t>R.</w:t>
                </w:r>
                <w:r>
                  <w:rPr>
                    <w:rFonts w:ascii="Calibri" w:hAnsi="Calibri"/>
                    <w:i/>
                    <w:color w:val="231F20"/>
                    <w:spacing w:val="-7"/>
                    <w:w w:val="85"/>
                    <w:sz w:val="18"/>
                  </w:rPr>
                  <w:t> </w:t>
                </w:r>
                <w:r>
                  <w:rPr>
                    <w:rFonts w:ascii="Calibri" w:hAnsi="Calibri"/>
                    <w:i/>
                    <w:color w:val="231F20"/>
                    <w:w w:val="85"/>
                    <w:sz w:val="18"/>
                  </w:rPr>
                  <w:t>Salas</w:t>
                </w:r>
                <w:r>
                  <w:rPr>
                    <w:rFonts w:ascii="Calibri" w:hAnsi="Calibri"/>
                    <w:i/>
                    <w:color w:val="231F20"/>
                    <w:spacing w:val="-7"/>
                    <w:w w:val="85"/>
                    <w:sz w:val="18"/>
                  </w:rPr>
                  <w:t> </w:t>
                </w:r>
                <w:r>
                  <w:rPr>
                    <w:rFonts w:ascii="Calibri" w:hAnsi="Calibri"/>
                    <w:i/>
                    <w:color w:val="231F20"/>
                    <w:w w:val="85"/>
                    <w:sz w:val="18"/>
                  </w:rPr>
                  <w:t>Alfaro</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74.3591pt;margin-top:567.814941pt;width:131.65pt;height:11pt;mso-position-horizontal-relative:page;mso-position-vertical-relative:page;z-index:-455392"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Hogares, configuraciones familiares </w:t>
                </w:r>
                <w:r>
                  <w:rPr>
                    <w:i/>
                    <w:color w:val="231F20"/>
                    <w:w w:val="85"/>
                    <w:sz w:val="18"/>
                  </w:rPr>
                  <w:t>• </w:t>
                </w:r>
                <w:r>
                  <w:rPr/>
                  <w:fldChar w:fldCharType="begin"/>
                </w:r>
                <w:r>
                  <w:rPr>
                    <w:rFonts w:ascii="Calibri" w:hAnsi="Calibri"/>
                    <w:i/>
                    <w:color w:val="231F20"/>
                    <w:w w:val="85"/>
                    <w:sz w:val="18"/>
                  </w:rPr>
                  <w:instrText> PAGE </w:instrText>
                </w:r>
                <w:r>
                  <w:rPr/>
                  <w:fldChar w:fldCharType="separate"/>
                </w:r>
                <w:r>
                  <w:rPr/>
                  <w:t>125</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74.3591pt;margin-top:567.814941pt;width:130.65pt;height:11pt;mso-position-horizontal-relative:page;mso-position-vertical-relative:page;z-index:-455368" type="#_x0000_t202" filled="false" stroked="false">
          <v:textbox inset="0,0,0,0">
            <w:txbxContent>
              <w:p>
                <w:pPr>
                  <w:spacing w:line="212" w:lineRule="exact" w:before="0"/>
                  <w:ind w:left="20" w:right="-15" w:firstLine="0"/>
                  <w:jc w:val="left"/>
                  <w:rPr>
                    <w:rFonts w:ascii="Calibri" w:hAnsi="Calibri"/>
                    <w:i/>
                    <w:sz w:val="18"/>
                  </w:rPr>
                </w:pPr>
                <w:r>
                  <w:rPr>
                    <w:rFonts w:ascii="Calibri" w:hAnsi="Calibri"/>
                    <w:i/>
                    <w:color w:val="231F20"/>
                    <w:w w:val="85"/>
                    <w:sz w:val="18"/>
                  </w:rPr>
                  <w:t>Hogares, configuraciones familiares </w:t>
                </w:r>
                <w:r>
                  <w:rPr>
                    <w:i/>
                    <w:color w:val="231F20"/>
                    <w:w w:val="85"/>
                    <w:sz w:val="18"/>
                  </w:rPr>
                  <w:t>• </w:t>
                </w:r>
                <w:r>
                  <w:rPr>
                    <w:rFonts w:ascii="Calibri" w:hAnsi="Calibri"/>
                    <w:i/>
                    <w:color w:val="231F20"/>
                    <w:w w:val="85"/>
                    <w:sz w:val="18"/>
                  </w:rPr>
                  <w:t>131</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112.65pt;height:11pt;mso-position-horizontal-relative:page;mso-position-vertical-relative:page;z-index:-455344" type="#_x0000_t202" filled="false" stroked="false">
          <v:textbox inset="0,0,0,0">
            <w:txbxContent>
              <w:p>
                <w:pPr>
                  <w:spacing w:line="212" w:lineRule="exact" w:before="0"/>
                  <w:ind w:left="40" w:right="0" w:firstLine="0"/>
                  <w:jc w:val="left"/>
                  <w:rPr>
                    <w:rFonts w:ascii="Calibri" w:hAnsi="Calibri"/>
                    <w:i/>
                    <w:sz w:val="18"/>
                  </w:rPr>
                </w:pPr>
                <w:r>
                  <w:rPr>
                    <w:rFonts w:ascii="Calibri" w:hAnsi="Calibri"/>
                    <w:i/>
                    <w:color w:val="231F20"/>
                    <w:w w:val="85"/>
                    <w:sz w:val="18"/>
                  </w:rPr>
                  <w:t>132</w:t>
                </w:r>
                <w:r>
                  <w:rPr>
                    <w:rFonts w:ascii="Calibri" w:hAnsi="Calibri"/>
                    <w:i/>
                    <w:color w:val="231F20"/>
                    <w:spacing w:val="-7"/>
                    <w:w w:val="85"/>
                    <w:sz w:val="18"/>
                  </w:rPr>
                  <w:t> </w:t>
                </w:r>
                <w:r>
                  <w:rPr>
                    <w:i/>
                    <w:color w:val="231F20"/>
                    <w:w w:val="85"/>
                    <w:sz w:val="18"/>
                  </w:rPr>
                  <w:t>•</w:t>
                </w:r>
                <w:r>
                  <w:rPr>
                    <w:i/>
                    <w:color w:val="231F20"/>
                    <w:spacing w:val="-6"/>
                    <w:w w:val="85"/>
                    <w:sz w:val="18"/>
                  </w:rPr>
                  <w:t> </w:t>
                </w:r>
                <w:r>
                  <w:rPr>
                    <w:rFonts w:ascii="Calibri" w:hAnsi="Calibri"/>
                    <w:i/>
                    <w:color w:val="231F20"/>
                    <w:w w:val="85"/>
                    <w:sz w:val="18"/>
                  </w:rPr>
                  <w:t>N.</w:t>
                </w:r>
                <w:r>
                  <w:rPr>
                    <w:rFonts w:ascii="Calibri" w:hAnsi="Calibri"/>
                    <w:i/>
                    <w:color w:val="231F20"/>
                    <w:spacing w:val="-7"/>
                    <w:w w:val="85"/>
                    <w:sz w:val="18"/>
                  </w:rPr>
                  <w:t> </w:t>
                </w:r>
                <w:r>
                  <w:rPr>
                    <w:rFonts w:ascii="Calibri" w:hAnsi="Calibri"/>
                    <w:i/>
                    <w:color w:val="231F20"/>
                    <w:w w:val="85"/>
                    <w:sz w:val="18"/>
                  </w:rPr>
                  <w:t>Baca</w:t>
                </w:r>
                <w:r>
                  <w:rPr>
                    <w:rFonts w:ascii="Calibri" w:hAnsi="Calibri"/>
                    <w:i/>
                    <w:color w:val="231F20"/>
                    <w:spacing w:val="-7"/>
                    <w:w w:val="85"/>
                    <w:sz w:val="18"/>
                  </w:rPr>
                  <w:t> </w:t>
                </w:r>
                <w:r>
                  <w:rPr>
                    <w:rFonts w:ascii="Calibri" w:hAnsi="Calibri"/>
                    <w:i/>
                    <w:color w:val="231F20"/>
                    <w:w w:val="85"/>
                    <w:sz w:val="18"/>
                  </w:rPr>
                  <w:t>Tavira,</w:t>
                </w:r>
                <w:r>
                  <w:rPr>
                    <w:rFonts w:ascii="Calibri" w:hAnsi="Calibri"/>
                    <w:i/>
                    <w:color w:val="231F20"/>
                    <w:spacing w:val="-7"/>
                    <w:w w:val="85"/>
                    <w:sz w:val="18"/>
                  </w:rPr>
                  <w:t> </w:t>
                </w:r>
                <w:r>
                  <w:rPr>
                    <w:rFonts w:ascii="Calibri" w:hAnsi="Calibri"/>
                    <w:i/>
                    <w:color w:val="231F20"/>
                    <w:w w:val="85"/>
                    <w:sz w:val="18"/>
                  </w:rPr>
                  <w:t>R.</w:t>
                </w:r>
                <w:r>
                  <w:rPr>
                    <w:rFonts w:ascii="Calibri" w:hAnsi="Calibri"/>
                    <w:i/>
                    <w:color w:val="231F20"/>
                    <w:spacing w:val="-7"/>
                    <w:w w:val="85"/>
                    <w:sz w:val="18"/>
                  </w:rPr>
                  <w:t> </w:t>
                </w:r>
                <w:r>
                  <w:rPr>
                    <w:rFonts w:ascii="Calibri" w:hAnsi="Calibri"/>
                    <w:i/>
                    <w:color w:val="231F20"/>
                    <w:w w:val="85"/>
                    <w:sz w:val="18"/>
                  </w:rPr>
                  <w:t>Salas</w:t>
                </w:r>
                <w:r>
                  <w:rPr>
                    <w:rFonts w:ascii="Calibri" w:hAnsi="Calibri"/>
                    <w:i/>
                    <w:color w:val="231F20"/>
                    <w:spacing w:val="-7"/>
                    <w:w w:val="85"/>
                    <w:sz w:val="18"/>
                  </w:rPr>
                  <w:t> </w:t>
                </w:r>
                <w:r>
                  <w:rPr>
                    <w:rFonts w:ascii="Calibri" w:hAnsi="Calibri"/>
                    <w:i/>
                    <w:color w:val="231F20"/>
                    <w:w w:val="85"/>
                    <w:sz w:val="18"/>
                  </w:rPr>
                  <w:t>Alfaro</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74.3591pt;margin-top:567.814941pt;width:131.65pt;height:11pt;mso-position-horizontal-relative:page;mso-position-vertical-relative:page;z-index:-455320"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Hogares, configuraciones familiares </w:t>
                </w:r>
                <w:r>
                  <w:rPr>
                    <w:i/>
                    <w:color w:val="231F20"/>
                    <w:w w:val="85"/>
                    <w:sz w:val="18"/>
                  </w:rPr>
                  <w:t>• </w:t>
                </w:r>
                <w:r>
                  <w:rPr/>
                  <w:fldChar w:fldCharType="begin"/>
                </w:r>
                <w:r>
                  <w:rPr>
                    <w:rFonts w:ascii="Calibri" w:hAnsi="Calibri"/>
                    <w:i/>
                    <w:color w:val="231F20"/>
                    <w:w w:val="85"/>
                    <w:sz w:val="18"/>
                  </w:rPr>
                  <w:instrText> PAGE </w:instrText>
                </w:r>
                <w:r>
                  <w:rPr/>
                  <w:fldChar w:fldCharType="separate"/>
                </w:r>
                <w:r>
                  <w:rPr/>
                  <w:t>133</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112.65pt;height:11pt;mso-position-horizontal-relative:page;mso-position-vertical-relative:page;z-index:-455296"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85"/>
                    <w:sz w:val="18"/>
                  </w:rPr>
                  <w:instrText> PAGE </w:instrText>
                </w:r>
                <w:r>
                  <w:rPr/>
                  <w:fldChar w:fldCharType="separate"/>
                </w:r>
                <w:r>
                  <w:rPr/>
                  <w:t>134</w:t>
                </w:r>
                <w:r>
                  <w:rPr/>
                  <w:fldChar w:fldCharType="end"/>
                </w:r>
                <w:r>
                  <w:rPr>
                    <w:rFonts w:ascii="Calibri" w:hAnsi="Calibri"/>
                    <w:i/>
                    <w:color w:val="231F20"/>
                    <w:spacing w:val="-7"/>
                    <w:w w:val="85"/>
                    <w:sz w:val="18"/>
                  </w:rPr>
                  <w:t> </w:t>
                </w:r>
                <w:r>
                  <w:rPr>
                    <w:i/>
                    <w:color w:val="231F20"/>
                    <w:w w:val="85"/>
                    <w:sz w:val="18"/>
                  </w:rPr>
                  <w:t>•</w:t>
                </w:r>
                <w:r>
                  <w:rPr>
                    <w:i/>
                    <w:color w:val="231F20"/>
                    <w:spacing w:val="-6"/>
                    <w:w w:val="85"/>
                    <w:sz w:val="18"/>
                  </w:rPr>
                  <w:t> </w:t>
                </w:r>
                <w:r>
                  <w:rPr>
                    <w:rFonts w:ascii="Calibri" w:hAnsi="Calibri"/>
                    <w:i/>
                    <w:color w:val="231F20"/>
                    <w:w w:val="85"/>
                    <w:sz w:val="18"/>
                  </w:rPr>
                  <w:t>N.</w:t>
                </w:r>
                <w:r>
                  <w:rPr>
                    <w:rFonts w:ascii="Calibri" w:hAnsi="Calibri"/>
                    <w:i/>
                    <w:color w:val="231F20"/>
                    <w:spacing w:val="-7"/>
                    <w:w w:val="85"/>
                    <w:sz w:val="18"/>
                  </w:rPr>
                  <w:t> </w:t>
                </w:r>
                <w:r>
                  <w:rPr>
                    <w:rFonts w:ascii="Calibri" w:hAnsi="Calibri"/>
                    <w:i/>
                    <w:color w:val="231F20"/>
                    <w:w w:val="85"/>
                    <w:sz w:val="18"/>
                  </w:rPr>
                  <w:t>Baca</w:t>
                </w:r>
                <w:r>
                  <w:rPr>
                    <w:rFonts w:ascii="Calibri" w:hAnsi="Calibri"/>
                    <w:i/>
                    <w:color w:val="231F20"/>
                    <w:spacing w:val="-7"/>
                    <w:w w:val="85"/>
                    <w:sz w:val="18"/>
                  </w:rPr>
                  <w:t> </w:t>
                </w:r>
                <w:r>
                  <w:rPr>
                    <w:rFonts w:ascii="Calibri" w:hAnsi="Calibri"/>
                    <w:i/>
                    <w:color w:val="231F20"/>
                    <w:w w:val="85"/>
                    <w:sz w:val="18"/>
                  </w:rPr>
                  <w:t>Tavira,</w:t>
                </w:r>
                <w:r>
                  <w:rPr>
                    <w:rFonts w:ascii="Calibri" w:hAnsi="Calibri"/>
                    <w:i/>
                    <w:color w:val="231F20"/>
                    <w:spacing w:val="-7"/>
                    <w:w w:val="85"/>
                    <w:sz w:val="18"/>
                  </w:rPr>
                  <w:t> </w:t>
                </w:r>
                <w:r>
                  <w:rPr>
                    <w:rFonts w:ascii="Calibri" w:hAnsi="Calibri"/>
                    <w:i/>
                    <w:color w:val="231F20"/>
                    <w:w w:val="85"/>
                    <w:sz w:val="18"/>
                  </w:rPr>
                  <w:t>R.</w:t>
                </w:r>
                <w:r>
                  <w:rPr>
                    <w:rFonts w:ascii="Calibri" w:hAnsi="Calibri"/>
                    <w:i/>
                    <w:color w:val="231F20"/>
                    <w:spacing w:val="-7"/>
                    <w:w w:val="85"/>
                    <w:sz w:val="18"/>
                  </w:rPr>
                  <w:t> </w:t>
                </w:r>
                <w:r>
                  <w:rPr>
                    <w:rFonts w:ascii="Calibri" w:hAnsi="Calibri"/>
                    <w:i/>
                    <w:color w:val="231F20"/>
                    <w:w w:val="85"/>
                    <w:sz w:val="18"/>
                  </w:rPr>
                  <w:t>Salas</w:t>
                </w:r>
                <w:r>
                  <w:rPr>
                    <w:rFonts w:ascii="Calibri" w:hAnsi="Calibri"/>
                    <w:i/>
                    <w:color w:val="231F20"/>
                    <w:spacing w:val="-7"/>
                    <w:w w:val="85"/>
                    <w:sz w:val="18"/>
                  </w:rPr>
                  <w:t> </w:t>
                </w:r>
                <w:r>
                  <w:rPr>
                    <w:rFonts w:ascii="Calibri" w:hAnsi="Calibri"/>
                    <w:i/>
                    <w:color w:val="231F20"/>
                    <w:w w:val="85"/>
                    <w:sz w:val="18"/>
                  </w:rPr>
                  <w:t>Alfaro</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03.781891pt;margin-top:567.814941pt;width:101.25pt;height:11pt;mso-position-horizontal-relative:page;mso-position-vertical-relative:page;z-index:-457768" type="#_x0000_t202" filled="false" stroked="false">
          <v:textbox inset="0,0,0,0">
            <w:txbxContent>
              <w:p>
                <w:pPr>
                  <w:spacing w:line="212" w:lineRule="exact" w:before="0"/>
                  <w:ind w:left="20" w:right="-16" w:firstLine="0"/>
                  <w:jc w:val="left"/>
                  <w:rPr>
                    <w:rFonts w:ascii="Calibri" w:hAnsi="Calibri"/>
                    <w:i/>
                    <w:sz w:val="18"/>
                  </w:rPr>
                </w:pPr>
                <w:r>
                  <w:rPr>
                    <w:rFonts w:ascii="Calibri" w:hAnsi="Calibri"/>
                    <w:i/>
                    <w:color w:val="231F20"/>
                    <w:w w:val="85"/>
                    <w:sz w:val="18"/>
                  </w:rPr>
                  <w:t>Familias y políticas públicas </w:t>
                </w:r>
                <w:r>
                  <w:rPr>
                    <w:i/>
                    <w:color w:val="231F20"/>
                    <w:w w:val="85"/>
                    <w:sz w:val="18"/>
                  </w:rPr>
                  <w:t>• </w:t>
                </w:r>
                <w:r>
                  <w:rPr>
                    <w:rFonts w:ascii="Calibri" w:hAnsi="Calibri"/>
                    <w:i/>
                    <w:color w:val="231F20"/>
                    <w:w w:val="85"/>
                    <w:sz w:val="18"/>
                  </w:rPr>
                  <w:t>21</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84.65pt;height:11pt;mso-position-horizontal-relative:page;mso-position-vertical-relative:page;z-index:-455272"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142</w:t>
                </w:r>
                <w:r>
                  <w:rPr/>
                  <w:fldChar w:fldCharType="end"/>
                </w:r>
                <w:r>
                  <w:rPr>
                    <w:rFonts w:ascii="Calibri" w:hAnsi="Calibri"/>
                    <w:i/>
                    <w:color w:val="231F20"/>
                    <w:spacing w:val="-22"/>
                    <w:w w:val="90"/>
                    <w:sz w:val="18"/>
                  </w:rPr>
                  <w:t> </w:t>
                </w:r>
                <w:r>
                  <w:rPr>
                    <w:i/>
                    <w:color w:val="231F20"/>
                    <w:w w:val="90"/>
                    <w:sz w:val="18"/>
                  </w:rPr>
                  <w:t>•</w:t>
                </w:r>
                <w:r>
                  <w:rPr>
                    <w:i/>
                    <w:color w:val="231F20"/>
                    <w:spacing w:val="-21"/>
                    <w:w w:val="90"/>
                    <w:sz w:val="18"/>
                  </w:rPr>
                  <w:t> </w:t>
                </w:r>
                <w:r>
                  <w:rPr>
                    <w:rFonts w:ascii="Calibri" w:hAnsi="Calibri"/>
                    <w:i/>
                    <w:color w:val="231F20"/>
                    <w:w w:val="90"/>
                    <w:sz w:val="18"/>
                  </w:rPr>
                  <w:t>Laura</w:t>
                </w:r>
                <w:r>
                  <w:rPr>
                    <w:rFonts w:ascii="Calibri" w:hAnsi="Calibri"/>
                    <w:i/>
                    <w:color w:val="231F20"/>
                    <w:spacing w:val="-22"/>
                    <w:w w:val="90"/>
                    <w:sz w:val="18"/>
                  </w:rPr>
                  <w:t> </w:t>
                </w:r>
                <w:r>
                  <w:rPr>
                    <w:rFonts w:ascii="Calibri" w:hAnsi="Calibri"/>
                    <w:i/>
                    <w:color w:val="231F20"/>
                    <w:w w:val="90"/>
                    <w:sz w:val="18"/>
                  </w:rPr>
                  <w:t>Reyes</w:t>
                </w:r>
                <w:r>
                  <w:rPr>
                    <w:rFonts w:ascii="Calibri" w:hAnsi="Calibri"/>
                    <w:i/>
                    <w:color w:val="231F20"/>
                    <w:spacing w:val="-22"/>
                    <w:w w:val="90"/>
                    <w:sz w:val="18"/>
                  </w:rPr>
                  <w:t> </w:t>
                </w:r>
                <w:r>
                  <w:rPr>
                    <w:rFonts w:ascii="Calibri" w:hAnsi="Calibri"/>
                    <w:i/>
                    <w:color w:val="231F20"/>
                    <w:w w:val="90"/>
                    <w:sz w:val="18"/>
                  </w:rPr>
                  <w:t>Montes</w:t>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23.4953pt;margin-top:567.814941pt;width:182.55pt;height:11pt;mso-position-horizontal-relative:page;mso-position-vertical-relative:page;z-index:-455248"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La</w:t>
                </w:r>
                <w:r>
                  <w:rPr>
                    <w:rFonts w:ascii="Calibri" w:hAnsi="Calibri"/>
                    <w:i/>
                    <w:color w:val="231F20"/>
                    <w:spacing w:val="-9"/>
                    <w:w w:val="85"/>
                    <w:sz w:val="18"/>
                  </w:rPr>
                  <w:t> </w:t>
                </w:r>
                <w:r>
                  <w:rPr>
                    <w:rFonts w:ascii="Calibri" w:hAnsi="Calibri"/>
                    <w:i/>
                    <w:color w:val="231F20"/>
                    <w:w w:val="85"/>
                    <w:sz w:val="18"/>
                  </w:rPr>
                  <w:t>familia</w:t>
                </w:r>
                <w:r>
                  <w:rPr>
                    <w:rFonts w:ascii="Calibri" w:hAnsi="Calibri"/>
                    <w:i/>
                    <w:color w:val="231F20"/>
                    <w:spacing w:val="-9"/>
                    <w:w w:val="85"/>
                    <w:sz w:val="18"/>
                  </w:rPr>
                  <w:t> </w:t>
                </w:r>
                <w:r>
                  <w:rPr>
                    <w:rFonts w:ascii="Calibri" w:hAnsi="Calibri"/>
                    <w:i/>
                    <w:color w:val="231F20"/>
                    <w:w w:val="85"/>
                    <w:sz w:val="18"/>
                  </w:rPr>
                  <w:t>compesina</w:t>
                </w:r>
                <w:r>
                  <w:rPr>
                    <w:rFonts w:ascii="Calibri" w:hAnsi="Calibri"/>
                    <w:i/>
                    <w:color w:val="231F20"/>
                    <w:spacing w:val="-9"/>
                    <w:w w:val="85"/>
                    <w:sz w:val="18"/>
                  </w:rPr>
                  <w:t> </w:t>
                </w:r>
                <w:r>
                  <w:rPr>
                    <w:rFonts w:ascii="Calibri" w:hAnsi="Calibri"/>
                    <w:i/>
                    <w:color w:val="231F20"/>
                    <w:w w:val="85"/>
                    <w:sz w:val="18"/>
                  </w:rPr>
                  <w:t>y</w:t>
                </w:r>
                <w:r>
                  <w:rPr>
                    <w:rFonts w:ascii="Calibri" w:hAnsi="Calibri"/>
                    <w:i/>
                    <w:color w:val="231F20"/>
                    <w:spacing w:val="-9"/>
                    <w:w w:val="85"/>
                    <w:sz w:val="18"/>
                  </w:rPr>
                  <w:t> </w:t>
                </w:r>
                <w:r>
                  <w:rPr>
                    <w:rFonts w:ascii="Calibri" w:hAnsi="Calibri"/>
                    <w:i/>
                    <w:color w:val="231F20"/>
                    <w:w w:val="85"/>
                    <w:sz w:val="18"/>
                  </w:rPr>
                  <w:t>la</w:t>
                </w:r>
                <w:r>
                  <w:rPr>
                    <w:rFonts w:ascii="Calibri" w:hAnsi="Calibri"/>
                    <w:i/>
                    <w:color w:val="231F20"/>
                    <w:spacing w:val="-9"/>
                    <w:w w:val="85"/>
                    <w:sz w:val="18"/>
                  </w:rPr>
                  <w:t> </w:t>
                </w:r>
                <w:r>
                  <w:rPr>
                    <w:rFonts w:ascii="Calibri" w:hAnsi="Calibri"/>
                    <w:i/>
                    <w:color w:val="231F20"/>
                    <w:w w:val="85"/>
                    <w:sz w:val="18"/>
                  </w:rPr>
                  <w:t>autosuficiencia</w:t>
                </w:r>
                <w:r>
                  <w:rPr>
                    <w:rFonts w:ascii="Calibri" w:hAnsi="Calibri"/>
                    <w:i/>
                    <w:color w:val="231F20"/>
                    <w:spacing w:val="-9"/>
                    <w:w w:val="85"/>
                    <w:sz w:val="18"/>
                  </w:rPr>
                  <w:t> </w:t>
                </w:r>
                <w:r>
                  <w:rPr>
                    <w:rFonts w:ascii="Calibri" w:hAnsi="Calibri"/>
                    <w:i/>
                    <w:color w:val="231F20"/>
                    <w:w w:val="85"/>
                    <w:sz w:val="18"/>
                  </w:rPr>
                  <w:t>alimentaria</w:t>
                </w:r>
                <w:r>
                  <w:rPr>
                    <w:rFonts w:ascii="Calibri" w:hAnsi="Calibri"/>
                    <w:i/>
                    <w:color w:val="231F20"/>
                    <w:spacing w:val="-9"/>
                    <w:w w:val="85"/>
                    <w:sz w:val="18"/>
                  </w:rPr>
                  <w:t> </w:t>
                </w:r>
                <w:r>
                  <w:rPr>
                    <w:i/>
                    <w:color w:val="231F20"/>
                    <w:w w:val="85"/>
                    <w:sz w:val="18"/>
                  </w:rPr>
                  <w:t>•</w:t>
                </w:r>
                <w:r>
                  <w:rPr>
                    <w:i/>
                    <w:color w:val="231F20"/>
                    <w:spacing w:val="-8"/>
                    <w:w w:val="85"/>
                    <w:sz w:val="18"/>
                  </w:rPr>
                  <w:t> </w:t>
                </w:r>
                <w:r>
                  <w:rPr/>
                  <w:fldChar w:fldCharType="begin"/>
                </w:r>
                <w:r>
                  <w:rPr>
                    <w:rFonts w:ascii="Calibri" w:hAnsi="Calibri"/>
                    <w:i/>
                    <w:color w:val="231F20"/>
                    <w:w w:val="85"/>
                    <w:sz w:val="18"/>
                  </w:rPr>
                  <w:instrText> PAGE </w:instrText>
                </w:r>
                <w:r>
                  <w:rPr/>
                  <w:fldChar w:fldCharType="separate"/>
                </w:r>
                <w:r>
                  <w:rPr/>
                  <w:t>143</w:t>
                </w:r>
                <w:r>
                  <w:rPr/>
                  <w:fldChar w:fldCharType="end"/>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23.4953pt;margin-top:567.814941pt;width:181.55pt;height:11pt;mso-position-horizontal-relative:page;mso-position-vertical-relative:page;z-index:-455224"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La</w:t>
                </w:r>
                <w:r>
                  <w:rPr>
                    <w:rFonts w:ascii="Calibri" w:hAnsi="Calibri"/>
                    <w:i/>
                    <w:color w:val="231F20"/>
                    <w:spacing w:val="-9"/>
                    <w:w w:val="85"/>
                    <w:sz w:val="18"/>
                  </w:rPr>
                  <w:t> </w:t>
                </w:r>
                <w:r>
                  <w:rPr>
                    <w:rFonts w:ascii="Calibri" w:hAnsi="Calibri"/>
                    <w:i/>
                    <w:color w:val="231F20"/>
                    <w:w w:val="85"/>
                    <w:sz w:val="18"/>
                  </w:rPr>
                  <w:t>familia</w:t>
                </w:r>
                <w:r>
                  <w:rPr>
                    <w:rFonts w:ascii="Calibri" w:hAnsi="Calibri"/>
                    <w:i/>
                    <w:color w:val="231F20"/>
                    <w:spacing w:val="-9"/>
                    <w:w w:val="85"/>
                    <w:sz w:val="18"/>
                  </w:rPr>
                  <w:t> </w:t>
                </w:r>
                <w:r>
                  <w:rPr>
                    <w:rFonts w:ascii="Calibri" w:hAnsi="Calibri"/>
                    <w:i/>
                    <w:color w:val="231F20"/>
                    <w:w w:val="85"/>
                    <w:sz w:val="18"/>
                  </w:rPr>
                  <w:t>compesina</w:t>
                </w:r>
                <w:r>
                  <w:rPr>
                    <w:rFonts w:ascii="Calibri" w:hAnsi="Calibri"/>
                    <w:i/>
                    <w:color w:val="231F20"/>
                    <w:spacing w:val="-9"/>
                    <w:w w:val="85"/>
                    <w:sz w:val="18"/>
                  </w:rPr>
                  <w:t> </w:t>
                </w:r>
                <w:r>
                  <w:rPr>
                    <w:rFonts w:ascii="Calibri" w:hAnsi="Calibri"/>
                    <w:i/>
                    <w:color w:val="231F20"/>
                    <w:w w:val="85"/>
                    <w:sz w:val="18"/>
                  </w:rPr>
                  <w:t>y</w:t>
                </w:r>
                <w:r>
                  <w:rPr>
                    <w:rFonts w:ascii="Calibri" w:hAnsi="Calibri"/>
                    <w:i/>
                    <w:color w:val="231F20"/>
                    <w:spacing w:val="-9"/>
                    <w:w w:val="85"/>
                    <w:sz w:val="18"/>
                  </w:rPr>
                  <w:t> </w:t>
                </w:r>
                <w:r>
                  <w:rPr>
                    <w:rFonts w:ascii="Calibri" w:hAnsi="Calibri"/>
                    <w:i/>
                    <w:color w:val="231F20"/>
                    <w:w w:val="85"/>
                    <w:sz w:val="18"/>
                  </w:rPr>
                  <w:t>la</w:t>
                </w:r>
                <w:r>
                  <w:rPr>
                    <w:rFonts w:ascii="Calibri" w:hAnsi="Calibri"/>
                    <w:i/>
                    <w:color w:val="231F20"/>
                    <w:spacing w:val="-9"/>
                    <w:w w:val="85"/>
                    <w:sz w:val="18"/>
                  </w:rPr>
                  <w:t> </w:t>
                </w:r>
                <w:r>
                  <w:rPr>
                    <w:rFonts w:ascii="Calibri" w:hAnsi="Calibri"/>
                    <w:i/>
                    <w:color w:val="231F20"/>
                    <w:w w:val="85"/>
                    <w:sz w:val="18"/>
                  </w:rPr>
                  <w:t>autosuficiencia</w:t>
                </w:r>
                <w:r>
                  <w:rPr>
                    <w:rFonts w:ascii="Calibri" w:hAnsi="Calibri"/>
                    <w:i/>
                    <w:color w:val="231F20"/>
                    <w:spacing w:val="-9"/>
                    <w:w w:val="85"/>
                    <w:sz w:val="18"/>
                  </w:rPr>
                  <w:t> </w:t>
                </w:r>
                <w:r>
                  <w:rPr>
                    <w:rFonts w:ascii="Calibri" w:hAnsi="Calibri"/>
                    <w:i/>
                    <w:color w:val="231F20"/>
                    <w:w w:val="85"/>
                    <w:sz w:val="18"/>
                  </w:rPr>
                  <w:t>alimentaria</w:t>
                </w:r>
                <w:r>
                  <w:rPr>
                    <w:rFonts w:ascii="Calibri" w:hAnsi="Calibri"/>
                    <w:i/>
                    <w:color w:val="231F20"/>
                    <w:spacing w:val="-9"/>
                    <w:w w:val="85"/>
                    <w:sz w:val="18"/>
                  </w:rPr>
                  <w:t> </w:t>
                </w:r>
                <w:r>
                  <w:rPr>
                    <w:i/>
                    <w:color w:val="231F20"/>
                    <w:w w:val="85"/>
                    <w:sz w:val="18"/>
                  </w:rPr>
                  <w:t>•</w:t>
                </w:r>
                <w:r>
                  <w:rPr>
                    <w:i/>
                    <w:color w:val="231F20"/>
                    <w:spacing w:val="-8"/>
                    <w:w w:val="85"/>
                    <w:sz w:val="18"/>
                  </w:rPr>
                  <w:t> </w:t>
                </w:r>
                <w:r>
                  <w:rPr>
                    <w:rFonts w:ascii="Calibri" w:hAnsi="Calibri"/>
                    <w:i/>
                    <w:color w:val="231F20"/>
                    <w:w w:val="85"/>
                    <w:sz w:val="18"/>
                  </w:rPr>
                  <w:t>151</w:t>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84.65pt;height:11pt;mso-position-horizontal-relative:page;mso-position-vertical-relative:page;z-index:-455200" type="#_x0000_t202" filled="false" stroked="false">
          <v:textbox inset="0,0,0,0">
            <w:txbxContent>
              <w:p>
                <w:pPr>
                  <w:spacing w:line="212" w:lineRule="exact" w:before="0"/>
                  <w:ind w:left="40" w:right="0" w:firstLine="0"/>
                  <w:jc w:val="left"/>
                  <w:rPr>
                    <w:rFonts w:ascii="Calibri" w:hAnsi="Calibri"/>
                    <w:i/>
                    <w:sz w:val="18"/>
                  </w:rPr>
                </w:pPr>
                <w:r>
                  <w:rPr>
                    <w:rFonts w:ascii="Calibri" w:hAnsi="Calibri"/>
                    <w:i/>
                    <w:color w:val="231F20"/>
                    <w:w w:val="90"/>
                    <w:sz w:val="18"/>
                  </w:rPr>
                  <w:t>152</w:t>
                </w:r>
                <w:r>
                  <w:rPr>
                    <w:rFonts w:ascii="Calibri" w:hAnsi="Calibri"/>
                    <w:i/>
                    <w:color w:val="231F20"/>
                    <w:spacing w:val="-22"/>
                    <w:w w:val="90"/>
                    <w:sz w:val="18"/>
                  </w:rPr>
                  <w:t> </w:t>
                </w:r>
                <w:r>
                  <w:rPr>
                    <w:i/>
                    <w:color w:val="231F20"/>
                    <w:w w:val="90"/>
                    <w:sz w:val="18"/>
                  </w:rPr>
                  <w:t>•</w:t>
                </w:r>
                <w:r>
                  <w:rPr>
                    <w:i/>
                    <w:color w:val="231F20"/>
                    <w:spacing w:val="-21"/>
                    <w:w w:val="90"/>
                    <w:sz w:val="18"/>
                  </w:rPr>
                  <w:t> </w:t>
                </w:r>
                <w:r>
                  <w:rPr>
                    <w:rFonts w:ascii="Calibri" w:hAnsi="Calibri"/>
                    <w:i/>
                    <w:color w:val="231F20"/>
                    <w:w w:val="90"/>
                    <w:sz w:val="18"/>
                  </w:rPr>
                  <w:t>Laura</w:t>
                </w:r>
                <w:r>
                  <w:rPr>
                    <w:rFonts w:ascii="Calibri" w:hAnsi="Calibri"/>
                    <w:i/>
                    <w:color w:val="231F20"/>
                    <w:spacing w:val="-22"/>
                    <w:w w:val="90"/>
                    <w:sz w:val="18"/>
                  </w:rPr>
                  <w:t> </w:t>
                </w:r>
                <w:r>
                  <w:rPr>
                    <w:rFonts w:ascii="Calibri" w:hAnsi="Calibri"/>
                    <w:i/>
                    <w:color w:val="231F20"/>
                    <w:w w:val="90"/>
                    <w:sz w:val="18"/>
                  </w:rPr>
                  <w:t>Reyes</w:t>
                </w:r>
                <w:r>
                  <w:rPr>
                    <w:rFonts w:ascii="Calibri" w:hAnsi="Calibri"/>
                    <w:i/>
                    <w:color w:val="231F20"/>
                    <w:spacing w:val="-22"/>
                    <w:w w:val="90"/>
                    <w:sz w:val="18"/>
                  </w:rPr>
                  <w:t> </w:t>
                </w:r>
                <w:r>
                  <w:rPr>
                    <w:rFonts w:ascii="Calibri" w:hAnsi="Calibri"/>
                    <w:i/>
                    <w:color w:val="231F20"/>
                    <w:w w:val="90"/>
                    <w:sz w:val="18"/>
                  </w:rPr>
                  <w:t>Montes</w:t>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23.4953pt;margin-top:567.814941pt;width:182.55pt;height:11pt;mso-position-horizontal-relative:page;mso-position-vertical-relative:page;z-index:-455176"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La</w:t>
                </w:r>
                <w:r>
                  <w:rPr>
                    <w:rFonts w:ascii="Calibri" w:hAnsi="Calibri"/>
                    <w:i/>
                    <w:color w:val="231F20"/>
                    <w:spacing w:val="-9"/>
                    <w:w w:val="85"/>
                    <w:sz w:val="18"/>
                  </w:rPr>
                  <w:t> </w:t>
                </w:r>
                <w:r>
                  <w:rPr>
                    <w:rFonts w:ascii="Calibri" w:hAnsi="Calibri"/>
                    <w:i/>
                    <w:color w:val="231F20"/>
                    <w:w w:val="85"/>
                    <w:sz w:val="18"/>
                  </w:rPr>
                  <w:t>familia</w:t>
                </w:r>
                <w:r>
                  <w:rPr>
                    <w:rFonts w:ascii="Calibri" w:hAnsi="Calibri"/>
                    <w:i/>
                    <w:color w:val="231F20"/>
                    <w:spacing w:val="-9"/>
                    <w:w w:val="85"/>
                    <w:sz w:val="18"/>
                  </w:rPr>
                  <w:t> </w:t>
                </w:r>
                <w:r>
                  <w:rPr>
                    <w:rFonts w:ascii="Calibri" w:hAnsi="Calibri"/>
                    <w:i/>
                    <w:color w:val="231F20"/>
                    <w:w w:val="85"/>
                    <w:sz w:val="18"/>
                  </w:rPr>
                  <w:t>compesina</w:t>
                </w:r>
                <w:r>
                  <w:rPr>
                    <w:rFonts w:ascii="Calibri" w:hAnsi="Calibri"/>
                    <w:i/>
                    <w:color w:val="231F20"/>
                    <w:spacing w:val="-9"/>
                    <w:w w:val="85"/>
                    <w:sz w:val="18"/>
                  </w:rPr>
                  <w:t> </w:t>
                </w:r>
                <w:r>
                  <w:rPr>
                    <w:rFonts w:ascii="Calibri" w:hAnsi="Calibri"/>
                    <w:i/>
                    <w:color w:val="231F20"/>
                    <w:w w:val="85"/>
                    <w:sz w:val="18"/>
                  </w:rPr>
                  <w:t>y</w:t>
                </w:r>
                <w:r>
                  <w:rPr>
                    <w:rFonts w:ascii="Calibri" w:hAnsi="Calibri"/>
                    <w:i/>
                    <w:color w:val="231F20"/>
                    <w:spacing w:val="-9"/>
                    <w:w w:val="85"/>
                    <w:sz w:val="18"/>
                  </w:rPr>
                  <w:t> </w:t>
                </w:r>
                <w:r>
                  <w:rPr>
                    <w:rFonts w:ascii="Calibri" w:hAnsi="Calibri"/>
                    <w:i/>
                    <w:color w:val="231F20"/>
                    <w:w w:val="85"/>
                    <w:sz w:val="18"/>
                  </w:rPr>
                  <w:t>la</w:t>
                </w:r>
                <w:r>
                  <w:rPr>
                    <w:rFonts w:ascii="Calibri" w:hAnsi="Calibri"/>
                    <w:i/>
                    <w:color w:val="231F20"/>
                    <w:spacing w:val="-9"/>
                    <w:w w:val="85"/>
                    <w:sz w:val="18"/>
                  </w:rPr>
                  <w:t> </w:t>
                </w:r>
                <w:r>
                  <w:rPr>
                    <w:rFonts w:ascii="Calibri" w:hAnsi="Calibri"/>
                    <w:i/>
                    <w:color w:val="231F20"/>
                    <w:w w:val="85"/>
                    <w:sz w:val="18"/>
                  </w:rPr>
                  <w:t>autosuficiencia</w:t>
                </w:r>
                <w:r>
                  <w:rPr>
                    <w:rFonts w:ascii="Calibri" w:hAnsi="Calibri"/>
                    <w:i/>
                    <w:color w:val="231F20"/>
                    <w:spacing w:val="-9"/>
                    <w:w w:val="85"/>
                    <w:sz w:val="18"/>
                  </w:rPr>
                  <w:t> </w:t>
                </w:r>
                <w:r>
                  <w:rPr>
                    <w:rFonts w:ascii="Calibri" w:hAnsi="Calibri"/>
                    <w:i/>
                    <w:color w:val="231F20"/>
                    <w:w w:val="85"/>
                    <w:sz w:val="18"/>
                  </w:rPr>
                  <w:t>alimentaria</w:t>
                </w:r>
                <w:r>
                  <w:rPr>
                    <w:rFonts w:ascii="Calibri" w:hAnsi="Calibri"/>
                    <w:i/>
                    <w:color w:val="231F20"/>
                    <w:spacing w:val="-9"/>
                    <w:w w:val="85"/>
                    <w:sz w:val="18"/>
                  </w:rPr>
                  <w:t> </w:t>
                </w:r>
                <w:r>
                  <w:rPr>
                    <w:i/>
                    <w:color w:val="231F20"/>
                    <w:w w:val="85"/>
                    <w:sz w:val="18"/>
                  </w:rPr>
                  <w:t>•</w:t>
                </w:r>
                <w:r>
                  <w:rPr>
                    <w:i/>
                    <w:color w:val="231F20"/>
                    <w:spacing w:val="-8"/>
                    <w:w w:val="85"/>
                    <w:sz w:val="18"/>
                  </w:rPr>
                  <w:t> </w:t>
                </w:r>
                <w:r>
                  <w:rPr/>
                  <w:fldChar w:fldCharType="begin"/>
                </w:r>
                <w:r>
                  <w:rPr>
                    <w:rFonts w:ascii="Calibri" w:hAnsi="Calibri"/>
                    <w:i/>
                    <w:color w:val="231F20"/>
                    <w:w w:val="85"/>
                    <w:sz w:val="18"/>
                  </w:rPr>
                  <w:instrText> PAGE </w:instrText>
                </w:r>
                <w:r>
                  <w:rPr/>
                  <w:fldChar w:fldCharType="separate"/>
                </w:r>
                <w:r>
                  <w:rPr/>
                  <w:t>153</w:t>
                </w:r>
                <w:r>
                  <w:rPr/>
                  <w:fldChar w:fldCharType="end"/>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84.65pt;height:11pt;mso-position-horizontal-relative:page;mso-position-vertical-relative:page;z-index:-455152"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154</w:t>
                </w:r>
                <w:r>
                  <w:rPr/>
                  <w:fldChar w:fldCharType="end"/>
                </w:r>
                <w:r>
                  <w:rPr>
                    <w:rFonts w:ascii="Calibri" w:hAnsi="Calibri"/>
                    <w:i/>
                    <w:color w:val="231F20"/>
                    <w:spacing w:val="-22"/>
                    <w:w w:val="90"/>
                    <w:sz w:val="18"/>
                  </w:rPr>
                  <w:t> </w:t>
                </w:r>
                <w:r>
                  <w:rPr>
                    <w:i/>
                    <w:color w:val="231F20"/>
                    <w:w w:val="90"/>
                    <w:sz w:val="18"/>
                  </w:rPr>
                  <w:t>•</w:t>
                </w:r>
                <w:r>
                  <w:rPr>
                    <w:i/>
                    <w:color w:val="231F20"/>
                    <w:spacing w:val="-21"/>
                    <w:w w:val="90"/>
                    <w:sz w:val="18"/>
                  </w:rPr>
                  <w:t> </w:t>
                </w:r>
                <w:r>
                  <w:rPr>
                    <w:rFonts w:ascii="Calibri" w:hAnsi="Calibri"/>
                    <w:i/>
                    <w:color w:val="231F20"/>
                    <w:w w:val="90"/>
                    <w:sz w:val="18"/>
                  </w:rPr>
                  <w:t>Laura</w:t>
                </w:r>
                <w:r>
                  <w:rPr>
                    <w:rFonts w:ascii="Calibri" w:hAnsi="Calibri"/>
                    <w:i/>
                    <w:color w:val="231F20"/>
                    <w:spacing w:val="-22"/>
                    <w:w w:val="90"/>
                    <w:sz w:val="18"/>
                  </w:rPr>
                  <w:t> </w:t>
                </w:r>
                <w:r>
                  <w:rPr>
                    <w:rFonts w:ascii="Calibri" w:hAnsi="Calibri"/>
                    <w:i/>
                    <w:color w:val="231F20"/>
                    <w:w w:val="90"/>
                    <w:sz w:val="18"/>
                  </w:rPr>
                  <w:t>Reyes</w:t>
                </w:r>
                <w:r>
                  <w:rPr>
                    <w:rFonts w:ascii="Calibri" w:hAnsi="Calibri"/>
                    <w:i/>
                    <w:color w:val="231F20"/>
                    <w:spacing w:val="-22"/>
                    <w:w w:val="90"/>
                    <w:sz w:val="18"/>
                  </w:rPr>
                  <w:t> </w:t>
                </w:r>
                <w:r>
                  <w:rPr>
                    <w:rFonts w:ascii="Calibri" w:hAnsi="Calibri"/>
                    <w:i/>
                    <w:color w:val="231F20"/>
                    <w:w w:val="90"/>
                    <w:sz w:val="18"/>
                  </w:rPr>
                  <w:t>Montes</w:t>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23.4953pt;margin-top:567.814941pt;width:181.55pt;height:11pt;mso-position-horizontal-relative:page;mso-position-vertical-relative:page;z-index:-455128"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La</w:t>
                </w:r>
                <w:r>
                  <w:rPr>
                    <w:rFonts w:ascii="Calibri" w:hAnsi="Calibri"/>
                    <w:i/>
                    <w:color w:val="231F20"/>
                    <w:spacing w:val="-9"/>
                    <w:w w:val="85"/>
                    <w:sz w:val="18"/>
                  </w:rPr>
                  <w:t> </w:t>
                </w:r>
                <w:r>
                  <w:rPr>
                    <w:rFonts w:ascii="Calibri" w:hAnsi="Calibri"/>
                    <w:i/>
                    <w:color w:val="231F20"/>
                    <w:w w:val="85"/>
                    <w:sz w:val="18"/>
                  </w:rPr>
                  <w:t>familia</w:t>
                </w:r>
                <w:r>
                  <w:rPr>
                    <w:rFonts w:ascii="Calibri" w:hAnsi="Calibri"/>
                    <w:i/>
                    <w:color w:val="231F20"/>
                    <w:spacing w:val="-9"/>
                    <w:w w:val="85"/>
                    <w:sz w:val="18"/>
                  </w:rPr>
                  <w:t> </w:t>
                </w:r>
                <w:r>
                  <w:rPr>
                    <w:rFonts w:ascii="Calibri" w:hAnsi="Calibri"/>
                    <w:i/>
                    <w:color w:val="231F20"/>
                    <w:w w:val="85"/>
                    <w:sz w:val="18"/>
                  </w:rPr>
                  <w:t>compesina</w:t>
                </w:r>
                <w:r>
                  <w:rPr>
                    <w:rFonts w:ascii="Calibri" w:hAnsi="Calibri"/>
                    <w:i/>
                    <w:color w:val="231F20"/>
                    <w:spacing w:val="-9"/>
                    <w:w w:val="85"/>
                    <w:sz w:val="18"/>
                  </w:rPr>
                  <w:t> </w:t>
                </w:r>
                <w:r>
                  <w:rPr>
                    <w:rFonts w:ascii="Calibri" w:hAnsi="Calibri"/>
                    <w:i/>
                    <w:color w:val="231F20"/>
                    <w:w w:val="85"/>
                    <w:sz w:val="18"/>
                  </w:rPr>
                  <w:t>y</w:t>
                </w:r>
                <w:r>
                  <w:rPr>
                    <w:rFonts w:ascii="Calibri" w:hAnsi="Calibri"/>
                    <w:i/>
                    <w:color w:val="231F20"/>
                    <w:spacing w:val="-9"/>
                    <w:w w:val="85"/>
                    <w:sz w:val="18"/>
                  </w:rPr>
                  <w:t> </w:t>
                </w:r>
                <w:r>
                  <w:rPr>
                    <w:rFonts w:ascii="Calibri" w:hAnsi="Calibri"/>
                    <w:i/>
                    <w:color w:val="231F20"/>
                    <w:w w:val="85"/>
                    <w:sz w:val="18"/>
                  </w:rPr>
                  <w:t>la</w:t>
                </w:r>
                <w:r>
                  <w:rPr>
                    <w:rFonts w:ascii="Calibri" w:hAnsi="Calibri"/>
                    <w:i/>
                    <w:color w:val="231F20"/>
                    <w:spacing w:val="-9"/>
                    <w:w w:val="85"/>
                    <w:sz w:val="18"/>
                  </w:rPr>
                  <w:t> </w:t>
                </w:r>
                <w:r>
                  <w:rPr>
                    <w:rFonts w:ascii="Calibri" w:hAnsi="Calibri"/>
                    <w:i/>
                    <w:color w:val="231F20"/>
                    <w:w w:val="85"/>
                    <w:sz w:val="18"/>
                  </w:rPr>
                  <w:t>autosuficiencia</w:t>
                </w:r>
                <w:r>
                  <w:rPr>
                    <w:rFonts w:ascii="Calibri" w:hAnsi="Calibri"/>
                    <w:i/>
                    <w:color w:val="231F20"/>
                    <w:spacing w:val="-9"/>
                    <w:w w:val="85"/>
                    <w:sz w:val="18"/>
                  </w:rPr>
                  <w:t> </w:t>
                </w:r>
                <w:r>
                  <w:rPr>
                    <w:rFonts w:ascii="Calibri" w:hAnsi="Calibri"/>
                    <w:i/>
                    <w:color w:val="231F20"/>
                    <w:w w:val="85"/>
                    <w:sz w:val="18"/>
                  </w:rPr>
                  <w:t>alimentaria</w:t>
                </w:r>
                <w:r>
                  <w:rPr>
                    <w:rFonts w:ascii="Calibri" w:hAnsi="Calibri"/>
                    <w:i/>
                    <w:color w:val="231F20"/>
                    <w:spacing w:val="-9"/>
                    <w:w w:val="85"/>
                    <w:sz w:val="18"/>
                  </w:rPr>
                  <w:t> </w:t>
                </w:r>
                <w:r>
                  <w:rPr>
                    <w:i/>
                    <w:color w:val="231F20"/>
                    <w:w w:val="85"/>
                    <w:sz w:val="18"/>
                  </w:rPr>
                  <w:t>•</w:t>
                </w:r>
                <w:r>
                  <w:rPr>
                    <w:i/>
                    <w:color w:val="231F20"/>
                    <w:spacing w:val="-8"/>
                    <w:w w:val="85"/>
                    <w:sz w:val="18"/>
                  </w:rPr>
                  <w:t> </w:t>
                </w:r>
                <w:r>
                  <w:rPr>
                    <w:rFonts w:ascii="Calibri" w:hAnsi="Calibri"/>
                    <w:i/>
                    <w:color w:val="231F20"/>
                    <w:w w:val="85"/>
                    <w:sz w:val="18"/>
                  </w:rPr>
                  <w:t>161</w:t>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84.65pt;height:11pt;mso-position-horizontal-relative:page;mso-position-vertical-relative:page;z-index:-455104" type="#_x0000_t202" filled="false" stroked="false">
          <v:textbox inset="0,0,0,0">
            <w:txbxContent>
              <w:p>
                <w:pPr>
                  <w:spacing w:line="212" w:lineRule="exact" w:before="0"/>
                  <w:ind w:left="40" w:right="0" w:firstLine="0"/>
                  <w:jc w:val="left"/>
                  <w:rPr>
                    <w:rFonts w:ascii="Calibri" w:hAnsi="Calibri"/>
                    <w:i/>
                    <w:sz w:val="18"/>
                  </w:rPr>
                </w:pPr>
                <w:r>
                  <w:rPr>
                    <w:rFonts w:ascii="Calibri" w:hAnsi="Calibri"/>
                    <w:i/>
                    <w:color w:val="231F20"/>
                    <w:w w:val="90"/>
                    <w:sz w:val="18"/>
                  </w:rPr>
                  <w:t>162</w:t>
                </w:r>
                <w:r>
                  <w:rPr>
                    <w:rFonts w:ascii="Calibri" w:hAnsi="Calibri"/>
                    <w:i/>
                    <w:color w:val="231F20"/>
                    <w:spacing w:val="-22"/>
                    <w:w w:val="90"/>
                    <w:sz w:val="18"/>
                  </w:rPr>
                  <w:t> </w:t>
                </w:r>
                <w:r>
                  <w:rPr>
                    <w:i/>
                    <w:color w:val="231F20"/>
                    <w:w w:val="90"/>
                    <w:sz w:val="18"/>
                  </w:rPr>
                  <w:t>•</w:t>
                </w:r>
                <w:r>
                  <w:rPr>
                    <w:i/>
                    <w:color w:val="231F20"/>
                    <w:spacing w:val="-21"/>
                    <w:w w:val="90"/>
                    <w:sz w:val="18"/>
                  </w:rPr>
                  <w:t> </w:t>
                </w:r>
                <w:r>
                  <w:rPr>
                    <w:rFonts w:ascii="Calibri" w:hAnsi="Calibri"/>
                    <w:i/>
                    <w:color w:val="231F20"/>
                    <w:w w:val="90"/>
                    <w:sz w:val="18"/>
                  </w:rPr>
                  <w:t>Laura</w:t>
                </w:r>
                <w:r>
                  <w:rPr>
                    <w:rFonts w:ascii="Calibri" w:hAnsi="Calibri"/>
                    <w:i/>
                    <w:color w:val="231F20"/>
                    <w:spacing w:val="-22"/>
                    <w:w w:val="90"/>
                    <w:sz w:val="18"/>
                  </w:rPr>
                  <w:t> </w:t>
                </w:r>
                <w:r>
                  <w:rPr>
                    <w:rFonts w:ascii="Calibri" w:hAnsi="Calibri"/>
                    <w:i/>
                    <w:color w:val="231F20"/>
                    <w:w w:val="90"/>
                    <w:sz w:val="18"/>
                  </w:rPr>
                  <w:t>Reyes</w:t>
                </w:r>
                <w:r>
                  <w:rPr>
                    <w:rFonts w:ascii="Calibri" w:hAnsi="Calibri"/>
                    <w:i/>
                    <w:color w:val="231F20"/>
                    <w:spacing w:val="-22"/>
                    <w:w w:val="90"/>
                    <w:sz w:val="18"/>
                  </w:rPr>
                  <w:t> </w:t>
                </w:r>
                <w:r>
                  <w:rPr>
                    <w:rFonts w:ascii="Calibri" w:hAnsi="Calibri"/>
                    <w:i/>
                    <w:color w:val="231F20"/>
                    <w:w w:val="90"/>
                    <w:sz w:val="18"/>
                  </w:rPr>
                  <w:t>Montes</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124.75pt;height:11pt;mso-position-horizontal-relative:page;mso-position-vertical-relative:page;z-index:-457744" type="#_x0000_t202" filled="false" stroked="false">
          <v:textbox inset="0,0,0,0">
            <w:txbxContent>
              <w:p>
                <w:pPr>
                  <w:spacing w:line="212" w:lineRule="exact" w:before="0"/>
                  <w:ind w:left="40" w:right="0" w:firstLine="0"/>
                  <w:jc w:val="left"/>
                  <w:rPr>
                    <w:rFonts w:ascii="Calibri" w:hAnsi="Calibri"/>
                    <w:i/>
                    <w:sz w:val="18"/>
                  </w:rPr>
                </w:pPr>
                <w:r>
                  <w:rPr>
                    <w:rFonts w:ascii="Calibri" w:hAnsi="Calibri"/>
                    <w:i/>
                    <w:color w:val="231F20"/>
                    <w:w w:val="90"/>
                    <w:sz w:val="18"/>
                  </w:rPr>
                  <w:t>22</w:t>
                </w:r>
                <w:r>
                  <w:rPr>
                    <w:rFonts w:ascii="Calibri" w:hAnsi="Calibri"/>
                    <w:i/>
                    <w:color w:val="231F20"/>
                    <w:spacing w:val="-14"/>
                    <w:w w:val="90"/>
                    <w:sz w:val="18"/>
                  </w:rPr>
                  <w:t> </w:t>
                </w:r>
                <w:r>
                  <w:rPr>
                    <w:i/>
                    <w:color w:val="231F20"/>
                    <w:w w:val="90"/>
                    <w:sz w:val="18"/>
                  </w:rPr>
                  <w:t>•</w:t>
                </w:r>
                <w:r>
                  <w:rPr>
                    <w:i/>
                    <w:color w:val="231F20"/>
                    <w:spacing w:val="-13"/>
                    <w:w w:val="90"/>
                    <w:sz w:val="18"/>
                  </w:rPr>
                  <w:t> </w:t>
                </w:r>
                <w:r>
                  <w:rPr>
                    <w:rFonts w:ascii="Calibri" w:hAnsi="Calibri"/>
                    <w:i/>
                    <w:color w:val="231F20"/>
                    <w:w w:val="90"/>
                    <w:sz w:val="18"/>
                  </w:rPr>
                  <w:t>R.</w:t>
                </w:r>
                <w:r>
                  <w:rPr>
                    <w:rFonts w:ascii="Calibri" w:hAnsi="Calibri"/>
                    <w:i/>
                    <w:color w:val="231F20"/>
                    <w:spacing w:val="-14"/>
                    <w:w w:val="90"/>
                    <w:sz w:val="18"/>
                  </w:rPr>
                  <w:t> </w:t>
                </w:r>
                <w:r>
                  <w:rPr>
                    <w:rFonts w:ascii="Calibri" w:hAnsi="Calibri"/>
                    <w:i/>
                    <w:color w:val="231F20"/>
                    <w:spacing w:val="-19"/>
                    <w:w w:val="90"/>
                    <w:sz w:val="18"/>
                  </w:rPr>
                  <w:t>P.</w:t>
                </w:r>
                <w:r>
                  <w:rPr>
                    <w:rFonts w:ascii="Calibri" w:hAnsi="Calibri"/>
                    <w:i/>
                    <w:color w:val="231F20"/>
                    <w:spacing w:val="-14"/>
                    <w:w w:val="90"/>
                    <w:sz w:val="18"/>
                  </w:rPr>
                  <w:t> </w:t>
                </w:r>
                <w:r>
                  <w:rPr>
                    <w:rFonts w:ascii="Calibri" w:hAnsi="Calibri"/>
                    <w:i/>
                    <w:color w:val="231F20"/>
                    <w:w w:val="90"/>
                    <w:sz w:val="18"/>
                  </w:rPr>
                  <w:t>Román</w:t>
                </w:r>
                <w:r>
                  <w:rPr>
                    <w:rFonts w:ascii="Calibri" w:hAnsi="Calibri"/>
                    <w:i/>
                    <w:color w:val="231F20"/>
                    <w:spacing w:val="-14"/>
                    <w:w w:val="90"/>
                    <w:sz w:val="18"/>
                  </w:rPr>
                  <w:t> </w:t>
                </w:r>
                <w:r>
                  <w:rPr>
                    <w:rFonts w:ascii="Calibri" w:hAnsi="Calibri"/>
                    <w:i/>
                    <w:color w:val="231F20"/>
                    <w:w w:val="90"/>
                    <w:sz w:val="18"/>
                  </w:rPr>
                  <w:t>Reyes</w:t>
                </w:r>
                <w:r>
                  <w:rPr>
                    <w:rFonts w:ascii="Calibri" w:hAnsi="Calibri"/>
                    <w:i/>
                    <w:color w:val="231F20"/>
                    <w:spacing w:val="-14"/>
                    <w:w w:val="90"/>
                    <w:sz w:val="18"/>
                  </w:rPr>
                  <w:t> </w:t>
                </w:r>
                <w:r>
                  <w:rPr>
                    <w:rFonts w:ascii="Calibri" w:hAnsi="Calibri"/>
                    <w:i/>
                    <w:color w:val="231F20"/>
                    <w:w w:val="90"/>
                    <w:sz w:val="18"/>
                  </w:rPr>
                  <w:t>y</w:t>
                </w:r>
                <w:r>
                  <w:rPr>
                    <w:rFonts w:ascii="Calibri" w:hAnsi="Calibri"/>
                    <w:i/>
                    <w:color w:val="231F20"/>
                    <w:spacing w:val="-14"/>
                    <w:w w:val="90"/>
                    <w:sz w:val="18"/>
                  </w:rPr>
                  <w:t> </w:t>
                </w:r>
                <w:r>
                  <w:rPr>
                    <w:rFonts w:ascii="Calibri" w:hAnsi="Calibri"/>
                    <w:i/>
                    <w:color w:val="231F20"/>
                    <w:w w:val="90"/>
                    <w:sz w:val="18"/>
                  </w:rPr>
                  <w:t>E.</w:t>
                </w:r>
                <w:r>
                  <w:rPr>
                    <w:rFonts w:ascii="Calibri" w:hAnsi="Calibri"/>
                    <w:i/>
                    <w:color w:val="231F20"/>
                    <w:spacing w:val="-14"/>
                    <w:w w:val="90"/>
                    <w:sz w:val="18"/>
                  </w:rPr>
                  <w:t> </w:t>
                </w:r>
                <w:r>
                  <w:rPr>
                    <w:rFonts w:ascii="Calibri" w:hAnsi="Calibri"/>
                    <w:i/>
                    <w:color w:val="231F20"/>
                    <w:w w:val="90"/>
                    <w:sz w:val="18"/>
                  </w:rPr>
                  <w:t>A.</w:t>
                </w:r>
                <w:r>
                  <w:rPr>
                    <w:rFonts w:ascii="Calibri" w:hAnsi="Calibri"/>
                    <w:i/>
                    <w:color w:val="231F20"/>
                    <w:spacing w:val="-14"/>
                    <w:w w:val="90"/>
                    <w:sz w:val="18"/>
                  </w:rPr>
                  <w:t> </w:t>
                </w:r>
                <w:r>
                  <w:rPr>
                    <w:rFonts w:ascii="Calibri" w:hAnsi="Calibri"/>
                    <w:i/>
                    <w:color w:val="231F20"/>
                    <w:w w:val="90"/>
                    <w:sz w:val="18"/>
                  </w:rPr>
                  <w:t>Sandoval</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23.4953pt;margin-top:567.814941pt;width:182.55pt;height:11pt;mso-position-horizontal-relative:page;mso-position-vertical-relative:page;z-index:-455080"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La</w:t>
                </w:r>
                <w:r>
                  <w:rPr>
                    <w:rFonts w:ascii="Calibri" w:hAnsi="Calibri"/>
                    <w:i/>
                    <w:color w:val="231F20"/>
                    <w:spacing w:val="-9"/>
                    <w:w w:val="85"/>
                    <w:sz w:val="18"/>
                  </w:rPr>
                  <w:t> </w:t>
                </w:r>
                <w:r>
                  <w:rPr>
                    <w:rFonts w:ascii="Calibri" w:hAnsi="Calibri"/>
                    <w:i/>
                    <w:color w:val="231F20"/>
                    <w:w w:val="85"/>
                    <w:sz w:val="18"/>
                  </w:rPr>
                  <w:t>familia</w:t>
                </w:r>
                <w:r>
                  <w:rPr>
                    <w:rFonts w:ascii="Calibri" w:hAnsi="Calibri"/>
                    <w:i/>
                    <w:color w:val="231F20"/>
                    <w:spacing w:val="-9"/>
                    <w:w w:val="85"/>
                    <w:sz w:val="18"/>
                  </w:rPr>
                  <w:t> </w:t>
                </w:r>
                <w:r>
                  <w:rPr>
                    <w:rFonts w:ascii="Calibri" w:hAnsi="Calibri"/>
                    <w:i/>
                    <w:color w:val="231F20"/>
                    <w:w w:val="85"/>
                    <w:sz w:val="18"/>
                  </w:rPr>
                  <w:t>compesina</w:t>
                </w:r>
                <w:r>
                  <w:rPr>
                    <w:rFonts w:ascii="Calibri" w:hAnsi="Calibri"/>
                    <w:i/>
                    <w:color w:val="231F20"/>
                    <w:spacing w:val="-9"/>
                    <w:w w:val="85"/>
                    <w:sz w:val="18"/>
                  </w:rPr>
                  <w:t> </w:t>
                </w:r>
                <w:r>
                  <w:rPr>
                    <w:rFonts w:ascii="Calibri" w:hAnsi="Calibri"/>
                    <w:i/>
                    <w:color w:val="231F20"/>
                    <w:w w:val="85"/>
                    <w:sz w:val="18"/>
                  </w:rPr>
                  <w:t>y</w:t>
                </w:r>
                <w:r>
                  <w:rPr>
                    <w:rFonts w:ascii="Calibri" w:hAnsi="Calibri"/>
                    <w:i/>
                    <w:color w:val="231F20"/>
                    <w:spacing w:val="-9"/>
                    <w:w w:val="85"/>
                    <w:sz w:val="18"/>
                  </w:rPr>
                  <w:t> </w:t>
                </w:r>
                <w:r>
                  <w:rPr>
                    <w:rFonts w:ascii="Calibri" w:hAnsi="Calibri"/>
                    <w:i/>
                    <w:color w:val="231F20"/>
                    <w:w w:val="85"/>
                    <w:sz w:val="18"/>
                  </w:rPr>
                  <w:t>la</w:t>
                </w:r>
                <w:r>
                  <w:rPr>
                    <w:rFonts w:ascii="Calibri" w:hAnsi="Calibri"/>
                    <w:i/>
                    <w:color w:val="231F20"/>
                    <w:spacing w:val="-9"/>
                    <w:w w:val="85"/>
                    <w:sz w:val="18"/>
                  </w:rPr>
                  <w:t> </w:t>
                </w:r>
                <w:r>
                  <w:rPr>
                    <w:rFonts w:ascii="Calibri" w:hAnsi="Calibri"/>
                    <w:i/>
                    <w:color w:val="231F20"/>
                    <w:w w:val="85"/>
                    <w:sz w:val="18"/>
                  </w:rPr>
                  <w:t>autosuficiencia</w:t>
                </w:r>
                <w:r>
                  <w:rPr>
                    <w:rFonts w:ascii="Calibri" w:hAnsi="Calibri"/>
                    <w:i/>
                    <w:color w:val="231F20"/>
                    <w:spacing w:val="-9"/>
                    <w:w w:val="85"/>
                    <w:sz w:val="18"/>
                  </w:rPr>
                  <w:t> </w:t>
                </w:r>
                <w:r>
                  <w:rPr>
                    <w:rFonts w:ascii="Calibri" w:hAnsi="Calibri"/>
                    <w:i/>
                    <w:color w:val="231F20"/>
                    <w:w w:val="85"/>
                    <w:sz w:val="18"/>
                  </w:rPr>
                  <w:t>alimentaria</w:t>
                </w:r>
                <w:r>
                  <w:rPr>
                    <w:rFonts w:ascii="Calibri" w:hAnsi="Calibri"/>
                    <w:i/>
                    <w:color w:val="231F20"/>
                    <w:spacing w:val="-9"/>
                    <w:w w:val="85"/>
                    <w:sz w:val="18"/>
                  </w:rPr>
                  <w:t> </w:t>
                </w:r>
                <w:r>
                  <w:rPr>
                    <w:i/>
                    <w:color w:val="231F20"/>
                    <w:w w:val="85"/>
                    <w:sz w:val="18"/>
                  </w:rPr>
                  <w:t>•</w:t>
                </w:r>
                <w:r>
                  <w:rPr>
                    <w:i/>
                    <w:color w:val="231F20"/>
                    <w:spacing w:val="-8"/>
                    <w:w w:val="85"/>
                    <w:sz w:val="18"/>
                  </w:rPr>
                  <w:t> </w:t>
                </w:r>
                <w:r>
                  <w:rPr/>
                  <w:fldChar w:fldCharType="begin"/>
                </w:r>
                <w:r>
                  <w:rPr>
                    <w:rFonts w:ascii="Calibri" w:hAnsi="Calibri"/>
                    <w:i/>
                    <w:color w:val="231F20"/>
                    <w:w w:val="85"/>
                    <w:sz w:val="18"/>
                  </w:rPr>
                  <w:instrText> PAGE </w:instrText>
                </w:r>
                <w:r>
                  <w:rPr/>
                  <w:fldChar w:fldCharType="separate"/>
                </w:r>
                <w:r>
                  <w:rPr/>
                  <w:t>163</w:t>
                </w:r>
                <w:r>
                  <w:rPr/>
                  <w:fldChar w:fldCharType="end"/>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84.65pt;height:11pt;mso-position-horizontal-relative:page;mso-position-vertical-relative:page;z-index:-455056"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164</w:t>
                </w:r>
                <w:r>
                  <w:rPr/>
                  <w:fldChar w:fldCharType="end"/>
                </w:r>
                <w:r>
                  <w:rPr>
                    <w:rFonts w:ascii="Calibri" w:hAnsi="Calibri"/>
                    <w:i/>
                    <w:color w:val="231F20"/>
                    <w:spacing w:val="-22"/>
                    <w:w w:val="90"/>
                    <w:sz w:val="18"/>
                  </w:rPr>
                  <w:t> </w:t>
                </w:r>
                <w:r>
                  <w:rPr>
                    <w:i/>
                    <w:color w:val="231F20"/>
                    <w:w w:val="90"/>
                    <w:sz w:val="18"/>
                  </w:rPr>
                  <w:t>•</w:t>
                </w:r>
                <w:r>
                  <w:rPr>
                    <w:i/>
                    <w:color w:val="231F20"/>
                    <w:spacing w:val="-21"/>
                    <w:w w:val="90"/>
                    <w:sz w:val="18"/>
                  </w:rPr>
                  <w:t> </w:t>
                </w:r>
                <w:r>
                  <w:rPr>
                    <w:rFonts w:ascii="Calibri" w:hAnsi="Calibri"/>
                    <w:i/>
                    <w:color w:val="231F20"/>
                    <w:w w:val="90"/>
                    <w:sz w:val="18"/>
                  </w:rPr>
                  <w:t>Laura</w:t>
                </w:r>
                <w:r>
                  <w:rPr>
                    <w:rFonts w:ascii="Calibri" w:hAnsi="Calibri"/>
                    <w:i/>
                    <w:color w:val="231F20"/>
                    <w:spacing w:val="-22"/>
                    <w:w w:val="90"/>
                    <w:sz w:val="18"/>
                  </w:rPr>
                  <w:t> </w:t>
                </w:r>
                <w:r>
                  <w:rPr>
                    <w:rFonts w:ascii="Calibri" w:hAnsi="Calibri"/>
                    <w:i/>
                    <w:color w:val="231F20"/>
                    <w:w w:val="90"/>
                    <w:sz w:val="18"/>
                  </w:rPr>
                  <w:t>Reyes</w:t>
                </w:r>
                <w:r>
                  <w:rPr>
                    <w:rFonts w:ascii="Calibri" w:hAnsi="Calibri"/>
                    <w:i/>
                    <w:color w:val="231F20"/>
                    <w:spacing w:val="-22"/>
                    <w:w w:val="90"/>
                    <w:sz w:val="18"/>
                  </w:rPr>
                  <w:t> </w:t>
                </w:r>
                <w:r>
                  <w:rPr>
                    <w:rFonts w:ascii="Calibri" w:hAnsi="Calibri"/>
                    <w:i/>
                    <w:color w:val="231F20"/>
                    <w:w w:val="90"/>
                    <w:sz w:val="18"/>
                  </w:rPr>
                  <w:t>Montes</w:t>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23.4953pt;margin-top:567.814941pt;width:181.55pt;height:11pt;mso-position-horizontal-relative:page;mso-position-vertical-relative:page;z-index:-455032"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La</w:t>
                </w:r>
                <w:r>
                  <w:rPr>
                    <w:rFonts w:ascii="Calibri" w:hAnsi="Calibri"/>
                    <w:i/>
                    <w:color w:val="231F20"/>
                    <w:spacing w:val="-9"/>
                    <w:w w:val="85"/>
                    <w:sz w:val="18"/>
                  </w:rPr>
                  <w:t> </w:t>
                </w:r>
                <w:r>
                  <w:rPr>
                    <w:rFonts w:ascii="Calibri" w:hAnsi="Calibri"/>
                    <w:i/>
                    <w:color w:val="231F20"/>
                    <w:w w:val="85"/>
                    <w:sz w:val="18"/>
                  </w:rPr>
                  <w:t>familia</w:t>
                </w:r>
                <w:r>
                  <w:rPr>
                    <w:rFonts w:ascii="Calibri" w:hAnsi="Calibri"/>
                    <w:i/>
                    <w:color w:val="231F20"/>
                    <w:spacing w:val="-9"/>
                    <w:w w:val="85"/>
                    <w:sz w:val="18"/>
                  </w:rPr>
                  <w:t> </w:t>
                </w:r>
                <w:r>
                  <w:rPr>
                    <w:rFonts w:ascii="Calibri" w:hAnsi="Calibri"/>
                    <w:i/>
                    <w:color w:val="231F20"/>
                    <w:w w:val="85"/>
                    <w:sz w:val="18"/>
                  </w:rPr>
                  <w:t>compesina</w:t>
                </w:r>
                <w:r>
                  <w:rPr>
                    <w:rFonts w:ascii="Calibri" w:hAnsi="Calibri"/>
                    <w:i/>
                    <w:color w:val="231F20"/>
                    <w:spacing w:val="-9"/>
                    <w:w w:val="85"/>
                    <w:sz w:val="18"/>
                  </w:rPr>
                  <w:t> </w:t>
                </w:r>
                <w:r>
                  <w:rPr>
                    <w:rFonts w:ascii="Calibri" w:hAnsi="Calibri"/>
                    <w:i/>
                    <w:color w:val="231F20"/>
                    <w:w w:val="85"/>
                    <w:sz w:val="18"/>
                  </w:rPr>
                  <w:t>y</w:t>
                </w:r>
                <w:r>
                  <w:rPr>
                    <w:rFonts w:ascii="Calibri" w:hAnsi="Calibri"/>
                    <w:i/>
                    <w:color w:val="231F20"/>
                    <w:spacing w:val="-9"/>
                    <w:w w:val="85"/>
                    <w:sz w:val="18"/>
                  </w:rPr>
                  <w:t> </w:t>
                </w:r>
                <w:r>
                  <w:rPr>
                    <w:rFonts w:ascii="Calibri" w:hAnsi="Calibri"/>
                    <w:i/>
                    <w:color w:val="231F20"/>
                    <w:w w:val="85"/>
                    <w:sz w:val="18"/>
                  </w:rPr>
                  <w:t>la</w:t>
                </w:r>
                <w:r>
                  <w:rPr>
                    <w:rFonts w:ascii="Calibri" w:hAnsi="Calibri"/>
                    <w:i/>
                    <w:color w:val="231F20"/>
                    <w:spacing w:val="-9"/>
                    <w:w w:val="85"/>
                    <w:sz w:val="18"/>
                  </w:rPr>
                  <w:t> </w:t>
                </w:r>
                <w:r>
                  <w:rPr>
                    <w:rFonts w:ascii="Calibri" w:hAnsi="Calibri"/>
                    <w:i/>
                    <w:color w:val="231F20"/>
                    <w:w w:val="85"/>
                    <w:sz w:val="18"/>
                  </w:rPr>
                  <w:t>autosuficiencia</w:t>
                </w:r>
                <w:r>
                  <w:rPr>
                    <w:rFonts w:ascii="Calibri" w:hAnsi="Calibri"/>
                    <w:i/>
                    <w:color w:val="231F20"/>
                    <w:spacing w:val="-9"/>
                    <w:w w:val="85"/>
                    <w:sz w:val="18"/>
                  </w:rPr>
                  <w:t> </w:t>
                </w:r>
                <w:r>
                  <w:rPr>
                    <w:rFonts w:ascii="Calibri" w:hAnsi="Calibri"/>
                    <w:i/>
                    <w:color w:val="231F20"/>
                    <w:w w:val="85"/>
                    <w:sz w:val="18"/>
                  </w:rPr>
                  <w:t>alimentaria</w:t>
                </w:r>
                <w:r>
                  <w:rPr>
                    <w:rFonts w:ascii="Calibri" w:hAnsi="Calibri"/>
                    <w:i/>
                    <w:color w:val="231F20"/>
                    <w:spacing w:val="-9"/>
                    <w:w w:val="85"/>
                    <w:sz w:val="18"/>
                  </w:rPr>
                  <w:t> </w:t>
                </w:r>
                <w:r>
                  <w:rPr>
                    <w:i/>
                    <w:color w:val="231F20"/>
                    <w:w w:val="85"/>
                    <w:sz w:val="18"/>
                  </w:rPr>
                  <w:t>•</w:t>
                </w:r>
                <w:r>
                  <w:rPr>
                    <w:i/>
                    <w:color w:val="231F20"/>
                    <w:spacing w:val="-8"/>
                    <w:w w:val="85"/>
                    <w:sz w:val="18"/>
                  </w:rPr>
                  <w:t> </w:t>
                </w:r>
                <w:r>
                  <w:rPr>
                    <w:rFonts w:ascii="Calibri" w:hAnsi="Calibri"/>
                    <w:i/>
                    <w:color w:val="231F20"/>
                    <w:w w:val="85"/>
                    <w:sz w:val="18"/>
                  </w:rPr>
                  <w:t>171</w:t>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84.65pt;height:11pt;mso-position-horizontal-relative:page;mso-position-vertical-relative:page;z-index:-455008" type="#_x0000_t202" filled="false" stroked="false">
          <v:textbox inset="0,0,0,0">
            <w:txbxContent>
              <w:p>
                <w:pPr>
                  <w:spacing w:line="212" w:lineRule="exact" w:before="0"/>
                  <w:ind w:left="40" w:right="0" w:firstLine="0"/>
                  <w:jc w:val="left"/>
                  <w:rPr>
                    <w:rFonts w:ascii="Calibri" w:hAnsi="Calibri"/>
                    <w:i/>
                    <w:sz w:val="18"/>
                  </w:rPr>
                </w:pPr>
                <w:r>
                  <w:rPr>
                    <w:rFonts w:ascii="Calibri" w:hAnsi="Calibri"/>
                    <w:i/>
                    <w:color w:val="231F20"/>
                    <w:w w:val="90"/>
                    <w:sz w:val="18"/>
                  </w:rPr>
                  <w:t>172</w:t>
                </w:r>
                <w:r>
                  <w:rPr>
                    <w:rFonts w:ascii="Calibri" w:hAnsi="Calibri"/>
                    <w:i/>
                    <w:color w:val="231F20"/>
                    <w:spacing w:val="-22"/>
                    <w:w w:val="90"/>
                    <w:sz w:val="18"/>
                  </w:rPr>
                  <w:t> </w:t>
                </w:r>
                <w:r>
                  <w:rPr>
                    <w:i/>
                    <w:color w:val="231F20"/>
                    <w:w w:val="90"/>
                    <w:sz w:val="18"/>
                  </w:rPr>
                  <w:t>•</w:t>
                </w:r>
                <w:r>
                  <w:rPr>
                    <w:i/>
                    <w:color w:val="231F20"/>
                    <w:spacing w:val="-21"/>
                    <w:w w:val="90"/>
                    <w:sz w:val="18"/>
                  </w:rPr>
                  <w:t> </w:t>
                </w:r>
                <w:r>
                  <w:rPr>
                    <w:rFonts w:ascii="Calibri" w:hAnsi="Calibri"/>
                    <w:i/>
                    <w:color w:val="231F20"/>
                    <w:w w:val="90"/>
                    <w:sz w:val="18"/>
                  </w:rPr>
                  <w:t>Laura</w:t>
                </w:r>
                <w:r>
                  <w:rPr>
                    <w:rFonts w:ascii="Calibri" w:hAnsi="Calibri"/>
                    <w:i/>
                    <w:color w:val="231F20"/>
                    <w:spacing w:val="-22"/>
                    <w:w w:val="90"/>
                    <w:sz w:val="18"/>
                  </w:rPr>
                  <w:t> </w:t>
                </w:r>
                <w:r>
                  <w:rPr>
                    <w:rFonts w:ascii="Calibri" w:hAnsi="Calibri"/>
                    <w:i/>
                    <w:color w:val="231F20"/>
                    <w:w w:val="90"/>
                    <w:sz w:val="18"/>
                  </w:rPr>
                  <w:t>Reyes</w:t>
                </w:r>
                <w:r>
                  <w:rPr>
                    <w:rFonts w:ascii="Calibri" w:hAnsi="Calibri"/>
                    <w:i/>
                    <w:color w:val="231F20"/>
                    <w:spacing w:val="-22"/>
                    <w:w w:val="90"/>
                    <w:sz w:val="18"/>
                  </w:rPr>
                  <w:t> </w:t>
                </w:r>
                <w:r>
                  <w:rPr>
                    <w:rFonts w:ascii="Calibri" w:hAnsi="Calibri"/>
                    <w:i/>
                    <w:color w:val="231F20"/>
                    <w:w w:val="90"/>
                    <w:sz w:val="18"/>
                  </w:rPr>
                  <w:t>Montes</w:t>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229.75pt;height:11pt;mso-position-horizontal-relative:page;mso-position-vertical-relative:page;z-index:-454984"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176</w:t>
                </w:r>
                <w:r>
                  <w:rPr/>
                  <w:fldChar w:fldCharType="end"/>
                </w:r>
                <w:r>
                  <w:rPr>
                    <w:rFonts w:ascii="Calibri" w:hAnsi="Calibri"/>
                    <w:i/>
                    <w:color w:val="231F20"/>
                    <w:spacing w:val="-16"/>
                    <w:w w:val="90"/>
                    <w:sz w:val="18"/>
                  </w:rPr>
                  <w:t> </w:t>
                </w:r>
                <w:r>
                  <w:rPr>
                    <w:i/>
                    <w:color w:val="231F20"/>
                    <w:w w:val="90"/>
                    <w:sz w:val="18"/>
                  </w:rPr>
                  <w:t>•</w:t>
                </w:r>
                <w:r>
                  <w:rPr>
                    <w:i/>
                    <w:color w:val="231F20"/>
                    <w:spacing w:val="-15"/>
                    <w:w w:val="90"/>
                    <w:sz w:val="18"/>
                  </w:rPr>
                  <w:t> </w:t>
                </w:r>
                <w:r>
                  <w:rPr>
                    <w:rFonts w:ascii="Calibri" w:hAnsi="Calibri"/>
                    <w:i/>
                    <w:color w:val="231F20"/>
                    <w:w w:val="90"/>
                    <w:sz w:val="18"/>
                  </w:rPr>
                  <w:t>J.</w:t>
                </w:r>
                <w:r>
                  <w:rPr>
                    <w:rFonts w:ascii="Calibri" w:hAnsi="Calibri"/>
                    <w:i/>
                    <w:color w:val="231F20"/>
                    <w:spacing w:val="-16"/>
                    <w:w w:val="90"/>
                    <w:sz w:val="18"/>
                  </w:rPr>
                  <w:t> </w:t>
                </w:r>
                <w:r>
                  <w:rPr>
                    <w:rFonts w:ascii="Calibri" w:hAnsi="Calibri"/>
                    <w:i/>
                    <w:color w:val="231F20"/>
                    <w:w w:val="90"/>
                    <w:sz w:val="18"/>
                  </w:rPr>
                  <w:t>B.</w:t>
                </w:r>
                <w:r>
                  <w:rPr>
                    <w:rFonts w:ascii="Calibri" w:hAnsi="Calibri"/>
                    <w:i/>
                    <w:color w:val="231F20"/>
                    <w:spacing w:val="-16"/>
                    <w:w w:val="90"/>
                    <w:sz w:val="18"/>
                  </w:rPr>
                  <w:t> </w:t>
                </w:r>
                <w:r>
                  <w:rPr>
                    <w:rFonts w:ascii="Calibri" w:hAnsi="Calibri"/>
                    <w:i/>
                    <w:color w:val="231F20"/>
                    <w:w w:val="90"/>
                    <w:sz w:val="18"/>
                  </w:rPr>
                  <w:t>Montoya</w:t>
                </w:r>
                <w:r>
                  <w:rPr>
                    <w:rFonts w:ascii="Calibri" w:hAnsi="Calibri"/>
                    <w:i/>
                    <w:color w:val="231F20"/>
                    <w:spacing w:val="-16"/>
                    <w:w w:val="90"/>
                    <w:sz w:val="18"/>
                  </w:rPr>
                  <w:t> </w:t>
                </w:r>
                <w:r>
                  <w:rPr>
                    <w:rFonts w:ascii="Calibri" w:hAnsi="Calibri"/>
                    <w:i/>
                    <w:color w:val="231F20"/>
                    <w:w w:val="90"/>
                    <w:sz w:val="18"/>
                  </w:rPr>
                  <w:t>Arce,</w:t>
                </w:r>
                <w:r>
                  <w:rPr>
                    <w:rFonts w:ascii="Calibri" w:hAnsi="Calibri"/>
                    <w:i/>
                    <w:color w:val="231F20"/>
                    <w:spacing w:val="-16"/>
                    <w:w w:val="90"/>
                    <w:sz w:val="18"/>
                  </w:rPr>
                  <w:t> </w:t>
                </w:r>
                <w:r>
                  <w:rPr>
                    <w:rFonts w:ascii="Calibri" w:hAnsi="Calibri"/>
                    <w:i/>
                    <w:color w:val="231F20"/>
                    <w:w w:val="90"/>
                    <w:sz w:val="18"/>
                  </w:rPr>
                  <w:t>H.</w:t>
                </w:r>
                <w:r>
                  <w:rPr>
                    <w:rFonts w:ascii="Calibri" w:hAnsi="Calibri"/>
                    <w:i/>
                    <w:color w:val="231F20"/>
                    <w:spacing w:val="-16"/>
                    <w:w w:val="90"/>
                    <w:sz w:val="18"/>
                  </w:rPr>
                  <w:t> </w:t>
                </w:r>
                <w:r>
                  <w:rPr>
                    <w:rFonts w:ascii="Calibri" w:hAnsi="Calibri"/>
                    <w:i/>
                    <w:color w:val="231F20"/>
                    <w:w w:val="90"/>
                    <w:sz w:val="18"/>
                  </w:rPr>
                  <w:t>Montes</w:t>
                </w:r>
                <w:r>
                  <w:rPr>
                    <w:rFonts w:ascii="Calibri" w:hAnsi="Calibri"/>
                    <w:i/>
                    <w:color w:val="231F20"/>
                    <w:spacing w:val="-16"/>
                    <w:w w:val="90"/>
                    <w:sz w:val="18"/>
                  </w:rPr>
                  <w:t> </w:t>
                </w:r>
                <w:r>
                  <w:rPr>
                    <w:rFonts w:ascii="Calibri" w:hAnsi="Calibri"/>
                    <w:i/>
                    <w:color w:val="231F20"/>
                    <w:w w:val="90"/>
                    <w:sz w:val="18"/>
                  </w:rPr>
                  <w:t>de</w:t>
                </w:r>
                <w:r>
                  <w:rPr>
                    <w:rFonts w:ascii="Calibri" w:hAnsi="Calibri"/>
                    <w:i/>
                    <w:color w:val="231F20"/>
                    <w:spacing w:val="-16"/>
                    <w:w w:val="90"/>
                    <w:sz w:val="18"/>
                  </w:rPr>
                  <w:t> </w:t>
                </w:r>
                <w:r>
                  <w:rPr>
                    <w:rFonts w:ascii="Calibri" w:hAnsi="Calibri"/>
                    <w:i/>
                    <w:color w:val="231F20"/>
                    <w:w w:val="90"/>
                    <w:sz w:val="18"/>
                  </w:rPr>
                  <w:t>Oca,</w:t>
                </w:r>
                <w:r>
                  <w:rPr>
                    <w:rFonts w:ascii="Calibri" w:hAnsi="Calibri"/>
                    <w:i/>
                    <w:color w:val="231F20"/>
                    <w:spacing w:val="-16"/>
                    <w:w w:val="90"/>
                    <w:sz w:val="18"/>
                  </w:rPr>
                  <w:t> </w:t>
                </w:r>
                <w:r>
                  <w:rPr>
                    <w:rFonts w:ascii="Calibri" w:hAnsi="Calibri"/>
                    <w:i/>
                    <w:color w:val="231F20"/>
                    <w:w w:val="90"/>
                    <w:sz w:val="18"/>
                  </w:rPr>
                  <w:t>S.</w:t>
                </w:r>
                <w:r>
                  <w:rPr>
                    <w:rFonts w:ascii="Calibri" w:hAnsi="Calibri"/>
                    <w:i/>
                    <w:color w:val="231F20"/>
                    <w:spacing w:val="-16"/>
                    <w:w w:val="90"/>
                    <w:sz w:val="18"/>
                  </w:rPr>
                  <w:t> </w:t>
                </w:r>
                <w:r>
                  <w:rPr>
                    <w:rFonts w:ascii="Calibri" w:hAnsi="Calibri"/>
                    <w:i/>
                    <w:color w:val="231F20"/>
                    <w:w w:val="90"/>
                    <w:sz w:val="18"/>
                  </w:rPr>
                  <w:t>C.</w:t>
                </w:r>
                <w:r>
                  <w:rPr>
                    <w:rFonts w:ascii="Calibri" w:hAnsi="Calibri"/>
                    <w:i/>
                    <w:color w:val="231F20"/>
                    <w:spacing w:val="-16"/>
                    <w:w w:val="90"/>
                    <w:sz w:val="18"/>
                  </w:rPr>
                  <w:t> </w:t>
                </w:r>
                <w:r>
                  <w:rPr>
                    <w:rFonts w:ascii="Calibri" w:hAnsi="Calibri"/>
                    <w:i/>
                    <w:color w:val="231F20"/>
                    <w:w w:val="90"/>
                    <w:sz w:val="18"/>
                  </w:rPr>
                  <w:t>Gaxiola</w:t>
                </w:r>
                <w:r>
                  <w:rPr>
                    <w:rFonts w:ascii="Calibri" w:hAnsi="Calibri"/>
                    <w:i/>
                    <w:color w:val="231F20"/>
                    <w:spacing w:val="-16"/>
                    <w:w w:val="90"/>
                    <w:sz w:val="18"/>
                  </w:rPr>
                  <w:t> </w:t>
                </w:r>
                <w:r>
                  <w:rPr>
                    <w:rFonts w:ascii="Calibri" w:hAnsi="Calibri"/>
                    <w:i/>
                    <w:color w:val="231F20"/>
                    <w:w w:val="90"/>
                    <w:sz w:val="18"/>
                  </w:rPr>
                  <w:t>Robles-Linares</w:t>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37.552704pt;margin-top:567.814941pt;width:168.45pt;height:11pt;mso-position-horizontal-relative:page;mso-position-vertical-relative:page;z-index:-454960"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Vulnerabilidad social de la población envejecida </w:t>
                </w:r>
                <w:r>
                  <w:rPr>
                    <w:i/>
                    <w:color w:val="231F20"/>
                    <w:w w:val="85"/>
                    <w:sz w:val="18"/>
                  </w:rPr>
                  <w:t>• </w:t>
                </w:r>
                <w:r>
                  <w:rPr/>
                  <w:fldChar w:fldCharType="begin"/>
                </w:r>
                <w:r>
                  <w:rPr>
                    <w:rFonts w:ascii="Calibri" w:hAnsi="Calibri"/>
                    <w:i/>
                    <w:color w:val="231F20"/>
                    <w:w w:val="85"/>
                    <w:sz w:val="18"/>
                  </w:rPr>
                  <w:instrText> PAGE </w:instrText>
                </w:r>
                <w:r>
                  <w:rPr/>
                  <w:fldChar w:fldCharType="separate"/>
                </w:r>
                <w:r>
                  <w:rPr/>
                  <w:t>177</w:t>
                </w:r>
                <w:r>
                  <w:rPr/>
                  <w:fldChar w:fldCharType="end"/>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37.552704pt;margin-top:567.814941pt;width:167.45pt;height:11pt;mso-position-horizontal-relative:page;mso-position-vertical-relative:page;z-index:-454936" type="#_x0000_t202" filled="false" stroked="false">
          <v:textbox inset="0,0,0,0">
            <w:txbxContent>
              <w:p>
                <w:pPr>
                  <w:spacing w:line="212" w:lineRule="exact" w:before="0"/>
                  <w:ind w:left="20" w:right="-17" w:firstLine="0"/>
                  <w:jc w:val="left"/>
                  <w:rPr>
                    <w:rFonts w:ascii="Calibri" w:hAnsi="Calibri"/>
                    <w:i/>
                    <w:sz w:val="18"/>
                  </w:rPr>
                </w:pPr>
                <w:r>
                  <w:rPr>
                    <w:rFonts w:ascii="Calibri" w:hAnsi="Calibri"/>
                    <w:i/>
                    <w:color w:val="231F20"/>
                    <w:w w:val="85"/>
                    <w:sz w:val="18"/>
                  </w:rPr>
                  <w:t>Vulnerabilidad social de la población envejecida </w:t>
                </w:r>
                <w:r>
                  <w:rPr>
                    <w:i/>
                    <w:color w:val="231F20"/>
                    <w:w w:val="85"/>
                    <w:sz w:val="18"/>
                  </w:rPr>
                  <w:t>• </w:t>
                </w:r>
                <w:r>
                  <w:rPr>
                    <w:rFonts w:ascii="Calibri" w:hAnsi="Calibri"/>
                    <w:i/>
                    <w:color w:val="231F20"/>
                    <w:w w:val="85"/>
                    <w:sz w:val="18"/>
                  </w:rPr>
                  <w:t>181</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03.781891pt;margin-top:567.814941pt;width:102.25pt;height:11pt;mso-position-horizontal-relative:page;mso-position-vertical-relative:page;z-index:-457720"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Familias y políticas públicas </w:t>
                </w:r>
                <w:r>
                  <w:rPr>
                    <w:i/>
                    <w:color w:val="231F20"/>
                    <w:w w:val="85"/>
                    <w:sz w:val="18"/>
                  </w:rPr>
                  <w:t>• </w:t>
                </w:r>
                <w:r>
                  <w:rPr/>
                  <w:fldChar w:fldCharType="begin"/>
                </w:r>
                <w:r>
                  <w:rPr>
                    <w:rFonts w:ascii="Calibri" w:hAnsi="Calibri"/>
                    <w:i/>
                    <w:color w:val="231F20"/>
                    <w:w w:val="85"/>
                    <w:sz w:val="18"/>
                  </w:rPr>
                  <w:instrText> PAGE </w:instrText>
                </w:r>
                <w:r>
                  <w:rPr/>
                  <w:fldChar w:fldCharType="separate"/>
                </w:r>
                <w:r>
                  <w:rPr/>
                  <w:t>23</w:t>
                </w:r>
                <w:r>
                  <w:rPr/>
                  <w:fldChar w:fldCharType="end"/>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229.75pt;height:11pt;mso-position-horizontal-relative:page;mso-position-vertical-relative:page;z-index:-454912" type="#_x0000_t202" filled="false" stroked="false">
          <v:textbox inset="0,0,0,0">
            <w:txbxContent>
              <w:p>
                <w:pPr>
                  <w:spacing w:line="212" w:lineRule="exact" w:before="0"/>
                  <w:ind w:left="40" w:right="0" w:firstLine="0"/>
                  <w:jc w:val="left"/>
                  <w:rPr>
                    <w:rFonts w:ascii="Calibri" w:hAnsi="Calibri"/>
                    <w:i/>
                    <w:sz w:val="18"/>
                  </w:rPr>
                </w:pPr>
                <w:r>
                  <w:rPr>
                    <w:rFonts w:ascii="Calibri" w:hAnsi="Calibri"/>
                    <w:i/>
                    <w:color w:val="231F20"/>
                    <w:w w:val="90"/>
                    <w:sz w:val="18"/>
                  </w:rPr>
                  <w:t>182</w:t>
                </w:r>
                <w:r>
                  <w:rPr>
                    <w:rFonts w:ascii="Calibri" w:hAnsi="Calibri"/>
                    <w:i/>
                    <w:color w:val="231F20"/>
                    <w:spacing w:val="-16"/>
                    <w:w w:val="90"/>
                    <w:sz w:val="18"/>
                  </w:rPr>
                  <w:t> </w:t>
                </w:r>
                <w:r>
                  <w:rPr>
                    <w:i/>
                    <w:color w:val="231F20"/>
                    <w:w w:val="90"/>
                    <w:sz w:val="18"/>
                  </w:rPr>
                  <w:t>•</w:t>
                </w:r>
                <w:r>
                  <w:rPr>
                    <w:i/>
                    <w:color w:val="231F20"/>
                    <w:spacing w:val="-15"/>
                    <w:w w:val="90"/>
                    <w:sz w:val="18"/>
                  </w:rPr>
                  <w:t> </w:t>
                </w:r>
                <w:r>
                  <w:rPr>
                    <w:rFonts w:ascii="Calibri" w:hAnsi="Calibri"/>
                    <w:i/>
                    <w:color w:val="231F20"/>
                    <w:w w:val="90"/>
                    <w:sz w:val="18"/>
                  </w:rPr>
                  <w:t>J.</w:t>
                </w:r>
                <w:r>
                  <w:rPr>
                    <w:rFonts w:ascii="Calibri" w:hAnsi="Calibri"/>
                    <w:i/>
                    <w:color w:val="231F20"/>
                    <w:spacing w:val="-16"/>
                    <w:w w:val="90"/>
                    <w:sz w:val="18"/>
                  </w:rPr>
                  <w:t> </w:t>
                </w:r>
                <w:r>
                  <w:rPr>
                    <w:rFonts w:ascii="Calibri" w:hAnsi="Calibri"/>
                    <w:i/>
                    <w:color w:val="231F20"/>
                    <w:w w:val="90"/>
                    <w:sz w:val="18"/>
                  </w:rPr>
                  <w:t>B.</w:t>
                </w:r>
                <w:r>
                  <w:rPr>
                    <w:rFonts w:ascii="Calibri" w:hAnsi="Calibri"/>
                    <w:i/>
                    <w:color w:val="231F20"/>
                    <w:spacing w:val="-16"/>
                    <w:w w:val="90"/>
                    <w:sz w:val="18"/>
                  </w:rPr>
                  <w:t> </w:t>
                </w:r>
                <w:r>
                  <w:rPr>
                    <w:rFonts w:ascii="Calibri" w:hAnsi="Calibri"/>
                    <w:i/>
                    <w:color w:val="231F20"/>
                    <w:w w:val="90"/>
                    <w:sz w:val="18"/>
                  </w:rPr>
                  <w:t>Montoya</w:t>
                </w:r>
                <w:r>
                  <w:rPr>
                    <w:rFonts w:ascii="Calibri" w:hAnsi="Calibri"/>
                    <w:i/>
                    <w:color w:val="231F20"/>
                    <w:spacing w:val="-16"/>
                    <w:w w:val="90"/>
                    <w:sz w:val="18"/>
                  </w:rPr>
                  <w:t> </w:t>
                </w:r>
                <w:r>
                  <w:rPr>
                    <w:rFonts w:ascii="Calibri" w:hAnsi="Calibri"/>
                    <w:i/>
                    <w:color w:val="231F20"/>
                    <w:w w:val="90"/>
                    <w:sz w:val="18"/>
                  </w:rPr>
                  <w:t>Arce,</w:t>
                </w:r>
                <w:r>
                  <w:rPr>
                    <w:rFonts w:ascii="Calibri" w:hAnsi="Calibri"/>
                    <w:i/>
                    <w:color w:val="231F20"/>
                    <w:spacing w:val="-16"/>
                    <w:w w:val="90"/>
                    <w:sz w:val="18"/>
                  </w:rPr>
                  <w:t> </w:t>
                </w:r>
                <w:r>
                  <w:rPr>
                    <w:rFonts w:ascii="Calibri" w:hAnsi="Calibri"/>
                    <w:i/>
                    <w:color w:val="231F20"/>
                    <w:w w:val="90"/>
                    <w:sz w:val="18"/>
                  </w:rPr>
                  <w:t>H.</w:t>
                </w:r>
                <w:r>
                  <w:rPr>
                    <w:rFonts w:ascii="Calibri" w:hAnsi="Calibri"/>
                    <w:i/>
                    <w:color w:val="231F20"/>
                    <w:spacing w:val="-16"/>
                    <w:w w:val="90"/>
                    <w:sz w:val="18"/>
                  </w:rPr>
                  <w:t> </w:t>
                </w:r>
                <w:r>
                  <w:rPr>
                    <w:rFonts w:ascii="Calibri" w:hAnsi="Calibri"/>
                    <w:i/>
                    <w:color w:val="231F20"/>
                    <w:w w:val="90"/>
                    <w:sz w:val="18"/>
                  </w:rPr>
                  <w:t>Montes</w:t>
                </w:r>
                <w:r>
                  <w:rPr>
                    <w:rFonts w:ascii="Calibri" w:hAnsi="Calibri"/>
                    <w:i/>
                    <w:color w:val="231F20"/>
                    <w:spacing w:val="-16"/>
                    <w:w w:val="90"/>
                    <w:sz w:val="18"/>
                  </w:rPr>
                  <w:t> </w:t>
                </w:r>
                <w:r>
                  <w:rPr>
                    <w:rFonts w:ascii="Calibri" w:hAnsi="Calibri"/>
                    <w:i/>
                    <w:color w:val="231F20"/>
                    <w:w w:val="90"/>
                    <w:sz w:val="18"/>
                  </w:rPr>
                  <w:t>de</w:t>
                </w:r>
                <w:r>
                  <w:rPr>
                    <w:rFonts w:ascii="Calibri" w:hAnsi="Calibri"/>
                    <w:i/>
                    <w:color w:val="231F20"/>
                    <w:spacing w:val="-16"/>
                    <w:w w:val="90"/>
                    <w:sz w:val="18"/>
                  </w:rPr>
                  <w:t> </w:t>
                </w:r>
                <w:r>
                  <w:rPr>
                    <w:rFonts w:ascii="Calibri" w:hAnsi="Calibri"/>
                    <w:i/>
                    <w:color w:val="231F20"/>
                    <w:w w:val="90"/>
                    <w:sz w:val="18"/>
                  </w:rPr>
                  <w:t>Oca,</w:t>
                </w:r>
                <w:r>
                  <w:rPr>
                    <w:rFonts w:ascii="Calibri" w:hAnsi="Calibri"/>
                    <w:i/>
                    <w:color w:val="231F20"/>
                    <w:spacing w:val="-16"/>
                    <w:w w:val="90"/>
                    <w:sz w:val="18"/>
                  </w:rPr>
                  <w:t> </w:t>
                </w:r>
                <w:r>
                  <w:rPr>
                    <w:rFonts w:ascii="Calibri" w:hAnsi="Calibri"/>
                    <w:i/>
                    <w:color w:val="231F20"/>
                    <w:w w:val="90"/>
                    <w:sz w:val="18"/>
                  </w:rPr>
                  <w:t>S.</w:t>
                </w:r>
                <w:r>
                  <w:rPr>
                    <w:rFonts w:ascii="Calibri" w:hAnsi="Calibri"/>
                    <w:i/>
                    <w:color w:val="231F20"/>
                    <w:spacing w:val="-16"/>
                    <w:w w:val="90"/>
                    <w:sz w:val="18"/>
                  </w:rPr>
                  <w:t> </w:t>
                </w:r>
                <w:r>
                  <w:rPr>
                    <w:rFonts w:ascii="Calibri" w:hAnsi="Calibri"/>
                    <w:i/>
                    <w:color w:val="231F20"/>
                    <w:w w:val="90"/>
                    <w:sz w:val="18"/>
                  </w:rPr>
                  <w:t>C.</w:t>
                </w:r>
                <w:r>
                  <w:rPr>
                    <w:rFonts w:ascii="Calibri" w:hAnsi="Calibri"/>
                    <w:i/>
                    <w:color w:val="231F20"/>
                    <w:spacing w:val="-16"/>
                    <w:w w:val="90"/>
                    <w:sz w:val="18"/>
                  </w:rPr>
                  <w:t> </w:t>
                </w:r>
                <w:r>
                  <w:rPr>
                    <w:rFonts w:ascii="Calibri" w:hAnsi="Calibri"/>
                    <w:i/>
                    <w:color w:val="231F20"/>
                    <w:w w:val="90"/>
                    <w:sz w:val="18"/>
                  </w:rPr>
                  <w:t>Gaxiola</w:t>
                </w:r>
                <w:r>
                  <w:rPr>
                    <w:rFonts w:ascii="Calibri" w:hAnsi="Calibri"/>
                    <w:i/>
                    <w:color w:val="231F20"/>
                    <w:spacing w:val="-16"/>
                    <w:w w:val="90"/>
                    <w:sz w:val="18"/>
                  </w:rPr>
                  <w:t> </w:t>
                </w:r>
                <w:r>
                  <w:rPr>
                    <w:rFonts w:ascii="Calibri" w:hAnsi="Calibri"/>
                    <w:i/>
                    <w:color w:val="231F20"/>
                    <w:w w:val="90"/>
                    <w:sz w:val="18"/>
                  </w:rPr>
                  <w:t>Robles-Linares</w:t>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37.552704pt;margin-top:567.814941pt;width:168.45pt;height:11pt;mso-position-horizontal-relative:page;mso-position-vertical-relative:page;z-index:-454888"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Vulnerabilidad social de la población envejecida </w:t>
                </w:r>
                <w:r>
                  <w:rPr>
                    <w:i/>
                    <w:color w:val="231F20"/>
                    <w:w w:val="85"/>
                    <w:sz w:val="18"/>
                  </w:rPr>
                  <w:t>• </w:t>
                </w:r>
                <w:r>
                  <w:rPr/>
                  <w:fldChar w:fldCharType="begin"/>
                </w:r>
                <w:r>
                  <w:rPr>
                    <w:rFonts w:ascii="Calibri" w:hAnsi="Calibri"/>
                    <w:i/>
                    <w:color w:val="231F20"/>
                    <w:w w:val="85"/>
                    <w:sz w:val="18"/>
                  </w:rPr>
                  <w:instrText> PAGE </w:instrText>
                </w:r>
                <w:r>
                  <w:rPr/>
                  <w:fldChar w:fldCharType="separate"/>
                </w:r>
                <w:r>
                  <w:rPr/>
                  <w:t>183</w:t>
                </w:r>
                <w:r>
                  <w:rPr/>
                  <w:fldChar w:fldCharType="end"/>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229.75pt;height:11pt;mso-position-horizontal-relative:page;mso-position-vertical-relative:page;z-index:-454864"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184</w:t>
                </w:r>
                <w:r>
                  <w:rPr/>
                  <w:fldChar w:fldCharType="end"/>
                </w:r>
                <w:r>
                  <w:rPr>
                    <w:rFonts w:ascii="Calibri" w:hAnsi="Calibri"/>
                    <w:i/>
                    <w:color w:val="231F20"/>
                    <w:spacing w:val="-16"/>
                    <w:w w:val="90"/>
                    <w:sz w:val="18"/>
                  </w:rPr>
                  <w:t> </w:t>
                </w:r>
                <w:r>
                  <w:rPr>
                    <w:i/>
                    <w:color w:val="231F20"/>
                    <w:w w:val="90"/>
                    <w:sz w:val="18"/>
                  </w:rPr>
                  <w:t>•</w:t>
                </w:r>
                <w:r>
                  <w:rPr>
                    <w:i/>
                    <w:color w:val="231F20"/>
                    <w:spacing w:val="-15"/>
                    <w:w w:val="90"/>
                    <w:sz w:val="18"/>
                  </w:rPr>
                  <w:t> </w:t>
                </w:r>
                <w:r>
                  <w:rPr>
                    <w:rFonts w:ascii="Calibri" w:hAnsi="Calibri"/>
                    <w:i/>
                    <w:color w:val="231F20"/>
                    <w:w w:val="90"/>
                    <w:sz w:val="18"/>
                  </w:rPr>
                  <w:t>J.</w:t>
                </w:r>
                <w:r>
                  <w:rPr>
                    <w:rFonts w:ascii="Calibri" w:hAnsi="Calibri"/>
                    <w:i/>
                    <w:color w:val="231F20"/>
                    <w:spacing w:val="-16"/>
                    <w:w w:val="90"/>
                    <w:sz w:val="18"/>
                  </w:rPr>
                  <w:t> </w:t>
                </w:r>
                <w:r>
                  <w:rPr>
                    <w:rFonts w:ascii="Calibri" w:hAnsi="Calibri"/>
                    <w:i/>
                    <w:color w:val="231F20"/>
                    <w:w w:val="90"/>
                    <w:sz w:val="18"/>
                  </w:rPr>
                  <w:t>B.</w:t>
                </w:r>
                <w:r>
                  <w:rPr>
                    <w:rFonts w:ascii="Calibri" w:hAnsi="Calibri"/>
                    <w:i/>
                    <w:color w:val="231F20"/>
                    <w:spacing w:val="-16"/>
                    <w:w w:val="90"/>
                    <w:sz w:val="18"/>
                  </w:rPr>
                  <w:t> </w:t>
                </w:r>
                <w:r>
                  <w:rPr>
                    <w:rFonts w:ascii="Calibri" w:hAnsi="Calibri"/>
                    <w:i/>
                    <w:color w:val="231F20"/>
                    <w:w w:val="90"/>
                    <w:sz w:val="18"/>
                  </w:rPr>
                  <w:t>Montoya</w:t>
                </w:r>
                <w:r>
                  <w:rPr>
                    <w:rFonts w:ascii="Calibri" w:hAnsi="Calibri"/>
                    <w:i/>
                    <w:color w:val="231F20"/>
                    <w:spacing w:val="-16"/>
                    <w:w w:val="90"/>
                    <w:sz w:val="18"/>
                  </w:rPr>
                  <w:t> </w:t>
                </w:r>
                <w:r>
                  <w:rPr>
                    <w:rFonts w:ascii="Calibri" w:hAnsi="Calibri"/>
                    <w:i/>
                    <w:color w:val="231F20"/>
                    <w:w w:val="90"/>
                    <w:sz w:val="18"/>
                  </w:rPr>
                  <w:t>Arce,</w:t>
                </w:r>
                <w:r>
                  <w:rPr>
                    <w:rFonts w:ascii="Calibri" w:hAnsi="Calibri"/>
                    <w:i/>
                    <w:color w:val="231F20"/>
                    <w:spacing w:val="-16"/>
                    <w:w w:val="90"/>
                    <w:sz w:val="18"/>
                  </w:rPr>
                  <w:t> </w:t>
                </w:r>
                <w:r>
                  <w:rPr>
                    <w:rFonts w:ascii="Calibri" w:hAnsi="Calibri"/>
                    <w:i/>
                    <w:color w:val="231F20"/>
                    <w:w w:val="90"/>
                    <w:sz w:val="18"/>
                  </w:rPr>
                  <w:t>H.</w:t>
                </w:r>
                <w:r>
                  <w:rPr>
                    <w:rFonts w:ascii="Calibri" w:hAnsi="Calibri"/>
                    <w:i/>
                    <w:color w:val="231F20"/>
                    <w:spacing w:val="-16"/>
                    <w:w w:val="90"/>
                    <w:sz w:val="18"/>
                  </w:rPr>
                  <w:t> </w:t>
                </w:r>
                <w:r>
                  <w:rPr>
                    <w:rFonts w:ascii="Calibri" w:hAnsi="Calibri"/>
                    <w:i/>
                    <w:color w:val="231F20"/>
                    <w:w w:val="90"/>
                    <w:sz w:val="18"/>
                  </w:rPr>
                  <w:t>Montes</w:t>
                </w:r>
                <w:r>
                  <w:rPr>
                    <w:rFonts w:ascii="Calibri" w:hAnsi="Calibri"/>
                    <w:i/>
                    <w:color w:val="231F20"/>
                    <w:spacing w:val="-16"/>
                    <w:w w:val="90"/>
                    <w:sz w:val="18"/>
                  </w:rPr>
                  <w:t> </w:t>
                </w:r>
                <w:r>
                  <w:rPr>
                    <w:rFonts w:ascii="Calibri" w:hAnsi="Calibri"/>
                    <w:i/>
                    <w:color w:val="231F20"/>
                    <w:w w:val="90"/>
                    <w:sz w:val="18"/>
                  </w:rPr>
                  <w:t>de</w:t>
                </w:r>
                <w:r>
                  <w:rPr>
                    <w:rFonts w:ascii="Calibri" w:hAnsi="Calibri"/>
                    <w:i/>
                    <w:color w:val="231F20"/>
                    <w:spacing w:val="-16"/>
                    <w:w w:val="90"/>
                    <w:sz w:val="18"/>
                  </w:rPr>
                  <w:t> </w:t>
                </w:r>
                <w:r>
                  <w:rPr>
                    <w:rFonts w:ascii="Calibri" w:hAnsi="Calibri"/>
                    <w:i/>
                    <w:color w:val="231F20"/>
                    <w:w w:val="90"/>
                    <w:sz w:val="18"/>
                  </w:rPr>
                  <w:t>Oca,</w:t>
                </w:r>
                <w:r>
                  <w:rPr>
                    <w:rFonts w:ascii="Calibri" w:hAnsi="Calibri"/>
                    <w:i/>
                    <w:color w:val="231F20"/>
                    <w:spacing w:val="-16"/>
                    <w:w w:val="90"/>
                    <w:sz w:val="18"/>
                  </w:rPr>
                  <w:t> </w:t>
                </w:r>
                <w:r>
                  <w:rPr>
                    <w:rFonts w:ascii="Calibri" w:hAnsi="Calibri"/>
                    <w:i/>
                    <w:color w:val="231F20"/>
                    <w:w w:val="90"/>
                    <w:sz w:val="18"/>
                  </w:rPr>
                  <w:t>S.</w:t>
                </w:r>
                <w:r>
                  <w:rPr>
                    <w:rFonts w:ascii="Calibri" w:hAnsi="Calibri"/>
                    <w:i/>
                    <w:color w:val="231F20"/>
                    <w:spacing w:val="-16"/>
                    <w:w w:val="90"/>
                    <w:sz w:val="18"/>
                  </w:rPr>
                  <w:t> </w:t>
                </w:r>
                <w:r>
                  <w:rPr>
                    <w:rFonts w:ascii="Calibri" w:hAnsi="Calibri"/>
                    <w:i/>
                    <w:color w:val="231F20"/>
                    <w:w w:val="90"/>
                    <w:sz w:val="18"/>
                  </w:rPr>
                  <w:t>C.</w:t>
                </w:r>
                <w:r>
                  <w:rPr>
                    <w:rFonts w:ascii="Calibri" w:hAnsi="Calibri"/>
                    <w:i/>
                    <w:color w:val="231F20"/>
                    <w:spacing w:val="-16"/>
                    <w:w w:val="90"/>
                    <w:sz w:val="18"/>
                  </w:rPr>
                  <w:t> </w:t>
                </w:r>
                <w:r>
                  <w:rPr>
                    <w:rFonts w:ascii="Calibri" w:hAnsi="Calibri"/>
                    <w:i/>
                    <w:color w:val="231F20"/>
                    <w:w w:val="90"/>
                    <w:sz w:val="18"/>
                  </w:rPr>
                  <w:t>Gaxiola</w:t>
                </w:r>
                <w:r>
                  <w:rPr>
                    <w:rFonts w:ascii="Calibri" w:hAnsi="Calibri"/>
                    <w:i/>
                    <w:color w:val="231F20"/>
                    <w:spacing w:val="-16"/>
                    <w:w w:val="90"/>
                    <w:sz w:val="18"/>
                  </w:rPr>
                  <w:t> </w:t>
                </w:r>
                <w:r>
                  <w:rPr>
                    <w:rFonts w:ascii="Calibri" w:hAnsi="Calibri"/>
                    <w:i/>
                    <w:color w:val="231F20"/>
                    <w:w w:val="90"/>
                    <w:sz w:val="18"/>
                  </w:rPr>
                  <w:t>Robles-Linares</w:t>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37.552704pt;margin-top:567.814941pt;width:167.45pt;height:11pt;mso-position-horizontal-relative:page;mso-position-vertical-relative:page;z-index:-454840" type="#_x0000_t202" filled="false" stroked="false">
          <v:textbox inset="0,0,0,0">
            <w:txbxContent>
              <w:p>
                <w:pPr>
                  <w:spacing w:line="212" w:lineRule="exact" w:before="0"/>
                  <w:ind w:left="20" w:right="-17" w:firstLine="0"/>
                  <w:jc w:val="left"/>
                  <w:rPr>
                    <w:rFonts w:ascii="Calibri" w:hAnsi="Calibri"/>
                    <w:i/>
                    <w:sz w:val="18"/>
                  </w:rPr>
                </w:pPr>
                <w:r>
                  <w:rPr>
                    <w:rFonts w:ascii="Calibri" w:hAnsi="Calibri"/>
                    <w:i/>
                    <w:color w:val="231F20"/>
                    <w:w w:val="85"/>
                    <w:sz w:val="18"/>
                  </w:rPr>
                  <w:t>Vulnerabilidad social de la población envejecida </w:t>
                </w:r>
                <w:r>
                  <w:rPr>
                    <w:i/>
                    <w:color w:val="231F20"/>
                    <w:w w:val="85"/>
                    <w:sz w:val="18"/>
                  </w:rPr>
                  <w:t>• </w:t>
                </w:r>
                <w:r>
                  <w:rPr>
                    <w:rFonts w:ascii="Calibri" w:hAnsi="Calibri"/>
                    <w:i/>
                    <w:color w:val="231F20"/>
                    <w:w w:val="85"/>
                    <w:sz w:val="18"/>
                  </w:rPr>
                  <w:t>191</w:t>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229.75pt;height:11pt;mso-position-horizontal-relative:page;mso-position-vertical-relative:page;z-index:-454816" type="#_x0000_t202" filled="false" stroked="false">
          <v:textbox inset="0,0,0,0">
            <w:txbxContent>
              <w:p>
                <w:pPr>
                  <w:spacing w:line="212" w:lineRule="exact" w:before="0"/>
                  <w:ind w:left="40" w:right="0" w:firstLine="0"/>
                  <w:jc w:val="left"/>
                  <w:rPr>
                    <w:rFonts w:ascii="Calibri" w:hAnsi="Calibri"/>
                    <w:i/>
                    <w:sz w:val="18"/>
                  </w:rPr>
                </w:pPr>
                <w:r>
                  <w:rPr>
                    <w:rFonts w:ascii="Calibri" w:hAnsi="Calibri"/>
                    <w:i/>
                    <w:color w:val="231F20"/>
                    <w:w w:val="90"/>
                    <w:sz w:val="18"/>
                  </w:rPr>
                  <w:t>192</w:t>
                </w:r>
                <w:r>
                  <w:rPr>
                    <w:rFonts w:ascii="Calibri" w:hAnsi="Calibri"/>
                    <w:i/>
                    <w:color w:val="231F20"/>
                    <w:spacing w:val="-16"/>
                    <w:w w:val="90"/>
                    <w:sz w:val="18"/>
                  </w:rPr>
                  <w:t> </w:t>
                </w:r>
                <w:r>
                  <w:rPr>
                    <w:i/>
                    <w:color w:val="231F20"/>
                    <w:w w:val="90"/>
                    <w:sz w:val="18"/>
                  </w:rPr>
                  <w:t>•</w:t>
                </w:r>
                <w:r>
                  <w:rPr>
                    <w:i/>
                    <w:color w:val="231F20"/>
                    <w:spacing w:val="-15"/>
                    <w:w w:val="90"/>
                    <w:sz w:val="18"/>
                  </w:rPr>
                  <w:t> </w:t>
                </w:r>
                <w:r>
                  <w:rPr>
                    <w:rFonts w:ascii="Calibri" w:hAnsi="Calibri"/>
                    <w:i/>
                    <w:color w:val="231F20"/>
                    <w:w w:val="90"/>
                    <w:sz w:val="18"/>
                  </w:rPr>
                  <w:t>J.</w:t>
                </w:r>
                <w:r>
                  <w:rPr>
                    <w:rFonts w:ascii="Calibri" w:hAnsi="Calibri"/>
                    <w:i/>
                    <w:color w:val="231F20"/>
                    <w:spacing w:val="-16"/>
                    <w:w w:val="90"/>
                    <w:sz w:val="18"/>
                  </w:rPr>
                  <w:t> </w:t>
                </w:r>
                <w:r>
                  <w:rPr>
                    <w:rFonts w:ascii="Calibri" w:hAnsi="Calibri"/>
                    <w:i/>
                    <w:color w:val="231F20"/>
                    <w:w w:val="90"/>
                    <w:sz w:val="18"/>
                  </w:rPr>
                  <w:t>B.</w:t>
                </w:r>
                <w:r>
                  <w:rPr>
                    <w:rFonts w:ascii="Calibri" w:hAnsi="Calibri"/>
                    <w:i/>
                    <w:color w:val="231F20"/>
                    <w:spacing w:val="-16"/>
                    <w:w w:val="90"/>
                    <w:sz w:val="18"/>
                  </w:rPr>
                  <w:t> </w:t>
                </w:r>
                <w:r>
                  <w:rPr>
                    <w:rFonts w:ascii="Calibri" w:hAnsi="Calibri"/>
                    <w:i/>
                    <w:color w:val="231F20"/>
                    <w:w w:val="90"/>
                    <w:sz w:val="18"/>
                  </w:rPr>
                  <w:t>Montoya</w:t>
                </w:r>
                <w:r>
                  <w:rPr>
                    <w:rFonts w:ascii="Calibri" w:hAnsi="Calibri"/>
                    <w:i/>
                    <w:color w:val="231F20"/>
                    <w:spacing w:val="-16"/>
                    <w:w w:val="90"/>
                    <w:sz w:val="18"/>
                  </w:rPr>
                  <w:t> </w:t>
                </w:r>
                <w:r>
                  <w:rPr>
                    <w:rFonts w:ascii="Calibri" w:hAnsi="Calibri"/>
                    <w:i/>
                    <w:color w:val="231F20"/>
                    <w:w w:val="90"/>
                    <w:sz w:val="18"/>
                  </w:rPr>
                  <w:t>Arce,</w:t>
                </w:r>
                <w:r>
                  <w:rPr>
                    <w:rFonts w:ascii="Calibri" w:hAnsi="Calibri"/>
                    <w:i/>
                    <w:color w:val="231F20"/>
                    <w:spacing w:val="-16"/>
                    <w:w w:val="90"/>
                    <w:sz w:val="18"/>
                  </w:rPr>
                  <w:t> </w:t>
                </w:r>
                <w:r>
                  <w:rPr>
                    <w:rFonts w:ascii="Calibri" w:hAnsi="Calibri"/>
                    <w:i/>
                    <w:color w:val="231F20"/>
                    <w:w w:val="90"/>
                    <w:sz w:val="18"/>
                  </w:rPr>
                  <w:t>H.</w:t>
                </w:r>
                <w:r>
                  <w:rPr>
                    <w:rFonts w:ascii="Calibri" w:hAnsi="Calibri"/>
                    <w:i/>
                    <w:color w:val="231F20"/>
                    <w:spacing w:val="-16"/>
                    <w:w w:val="90"/>
                    <w:sz w:val="18"/>
                  </w:rPr>
                  <w:t> </w:t>
                </w:r>
                <w:r>
                  <w:rPr>
                    <w:rFonts w:ascii="Calibri" w:hAnsi="Calibri"/>
                    <w:i/>
                    <w:color w:val="231F20"/>
                    <w:w w:val="90"/>
                    <w:sz w:val="18"/>
                  </w:rPr>
                  <w:t>Montes</w:t>
                </w:r>
                <w:r>
                  <w:rPr>
                    <w:rFonts w:ascii="Calibri" w:hAnsi="Calibri"/>
                    <w:i/>
                    <w:color w:val="231F20"/>
                    <w:spacing w:val="-16"/>
                    <w:w w:val="90"/>
                    <w:sz w:val="18"/>
                  </w:rPr>
                  <w:t> </w:t>
                </w:r>
                <w:r>
                  <w:rPr>
                    <w:rFonts w:ascii="Calibri" w:hAnsi="Calibri"/>
                    <w:i/>
                    <w:color w:val="231F20"/>
                    <w:w w:val="90"/>
                    <w:sz w:val="18"/>
                  </w:rPr>
                  <w:t>de</w:t>
                </w:r>
                <w:r>
                  <w:rPr>
                    <w:rFonts w:ascii="Calibri" w:hAnsi="Calibri"/>
                    <w:i/>
                    <w:color w:val="231F20"/>
                    <w:spacing w:val="-16"/>
                    <w:w w:val="90"/>
                    <w:sz w:val="18"/>
                  </w:rPr>
                  <w:t> </w:t>
                </w:r>
                <w:r>
                  <w:rPr>
                    <w:rFonts w:ascii="Calibri" w:hAnsi="Calibri"/>
                    <w:i/>
                    <w:color w:val="231F20"/>
                    <w:w w:val="90"/>
                    <w:sz w:val="18"/>
                  </w:rPr>
                  <w:t>Oca,</w:t>
                </w:r>
                <w:r>
                  <w:rPr>
                    <w:rFonts w:ascii="Calibri" w:hAnsi="Calibri"/>
                    <w:i/>
                    <w:color w:val="231F20"/>
                    <w:spacing w:val="-16"/>
                    <w:w w:val="90"/>
                    <w:sz w:val="18"/>
                  </w:rPr>
                  <w:t> </w:t>
                </w:r>
                <w:r>
                  <w:rPr>
                    <w:rFonts w:ascii="Calibri" w:hAnsi="Calibri"/>
                    <w:i/>
                    <w:color w:val="231F20"/>
                    <w:w w:val="90"/>
                    <w:sz w:val="18"/>
                  </w:rPr>
                  <w:t>S.</w:t>
                </w:r>
                <w:r>
                  <w:rPr>
                    <w:rFonts w:ascii="Calibri" w:hAnsi="Calibri"/>
                    <w:i/>
                    <w:color w:val="231F20"/>
                    <w:spacing w:val="-16"/>
                    <w:w w:val="90"/>
                    <w:sz w:val="18"/>
                  </w:rPr>
                  <w:t> </w:t>
                </w:r>
                <w:r>
                  <w:rPr>
                    <w:rFonts w:ascii="Calibri" w:hAnsi="Calibri"/>
                    <w:i/>
                    <w:color w:val="231F20"/>
                    <w:w w:val="90"/>
                    <w:sz w:val="18"/>
                  </w:rPr>
                  <w:t>C.</w:t>
                </w:r>
                <w:r>
                  <w:rPr>
                    <w:rFonts w:ascii="Calibri" w:hAnsi="Calibri"/>
                    <w:i/>
                    <w:color w:val="231F20"/>
                    <w:spacing w:val="-16"/>
                    <w:w w:val="90"/>
                    <w:sz w:val="18"/>
                  </w:rPr>
                  <w:t> </w:t>
                </w:r>
                <w:r>
                  <w:rPr>
                    <w:rFonts w:ascii="Calibri" w:hAnsi="Calibri"/>
                    <w:i/>
                    <w:color w:val="231F20"/>
                    <w:w w:val="90"/>
                    <w:sz w:val="18"/>
                  </w:rPr>
                  <w:t>Gaxiola</w:t>
                </w:r>
                <w:r>
                  <w:rPr>
                    <w:rFonts w:ascii="Calibri" w:hAnsi="Calibri"/>
                    <w:i/>
                    <w:color w:val="231F20"/>
                    <w:spacing w:val="-16"/>
                    <w:w w:val="90"/>
                    <w:sz w:val="18"/>
                  </w:rPr>
                  <w:t> </w:t>
                </w:r>
                <w:r>
                  <w:rPr>
                    <w:rFonts w:ascii="Calibri" w:hAnsi="Calibri"/>
                    <w:i/>
                    <w:color w:val="231F20"/>
                    <w:w w:val="90"/>
                    <w:sz w:val="18"/>
                  </w:rPr>
                  <w:t>Robles-Linares</w:t>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37.552704pt;margin-top:567.814941pt;width:168.45pt;height:11pt;mso-position-horizontal-relative:page;mso-position-vertical-relative:page;z-index:-454792" type="#_x0000_t202" filled="false" stroked="false">
          <v:textbox inset="0,0,0,0">
            <w:txbxContent>
              <w:p>
                <w:pPr>
                  <w:spacing w:line="212" w:lineRule="exact" w:before="0"/>
                  <w:ind w:left="20" w:right="0" w:firstLine="0"/>
                  <w:jc w:val="left"/>
                  <w:rPr>
                    <w:rFonts w:ascii="Calibri" w:hAnsi="Calibri"/>
                    <w:i/>
                    <w:sz w:val="18"/>
                  </w:rPr>
                </w:pPr>
                <w:r>
                  <w:rPr>
                    <w:rFonts w:ascii="Calibri" w:hAnsi="Calibri"/>
                    <w:i/>
                    <w:color w:val="231F20"/>
                    <w:w w:val="85"/>
                    <w:sz w:val="18"/>
                  </w:rPr>
                  <w:t>Vulnerabilidad social de la población envejecida </w:t>
                </w:r>
                <w:r>
                  <w:rPr>
                    <w:i/>
                    <w:color w:val="231F20"/>
                    <w:w w:val="85"/>
                    <w:sz w:val="18"/>
                  </w:rPr>
                  <w:t>• </w:t>
                </w:r>
                <w:r>
                  <w:rPr/>
                  <w:fldChar w:fldCharType="begin"/>
                </w:r>
                <w:r>
                  <w:rPr>
                    <w:rFonts w:ascii="Calibri" w:hAnsi="Calibri"/>
                    <w:i/>
                    <w:color w:val="231F20"/>
                    <w:w w:val="85"/>
                    <w:sz w:val="18"/>
                  </w:rPr>
                  <w:instrText> PAGE </w:instrText>
                </w:r>
                <w:r>
                  <w:rPr/>
                  <w:fldChar w:fldCharType="separate"/>
                </w:r>
                <w:r>
                  <w:rPr/>
                  <w:t>193</w:t>
                </w:r>
                <w:r>
                  <w:rPr/>
                  <w:fldChar w:fldCharType="end"/>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0.220497pt;margin-top:567.815369pt;width:229.75pt;height:11pt;mso-position-horizontal-relative:page;mso-position-vertical-relative:page;z-index:-454768" type="#_x0000_t202" filled="false" stroked="false">
          <v:textbox inset="0,0,0,0">
            <w:txbxContent>
              <w:p>
                <w:pPr>
                  <w:spacing w:line="212"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194</w:t>
                </w:r>
                <w:r>
                  <w:rPr/>
                  <w:fldChar w:fldCharType="end"/>
                </w:r>
                <w:r>
                  <w:rPr>
                    <w:rFonts w:ascii="Calibri" w:hAnsi="Calibri"/>
                    <w:i/>
                    <w:color w:val="231F20"/>
                    <w:spacing w:val="-16"/>
                    <w:w w:val="90"/>
                    <w:sz w:val="18"/>
                  </w:rPr>
                  <w:t> </w:t>
                </w:r>
                <w:r>
                  <w:rPr>
                    <w:i/>
                    <w:color w:val="231F20"/>
                    <w:w w:val="90"/>
                    <w:sz w:val="18"/>
                  </w:rPr>
                  <w:t>•</w:t>
                </w:r>
                <w:r>
                  <w:rPr>
                    <w:i/>
                    <w:color w:val="231F20"/>
                    <w:spacing w:val="-15"/>
                    <w:w w:val="90"/>
                    <w:sz w:val="18"/>
                  </w:rPr>
                  <w:t> </w:t>
                </w:r>
                <w:r>
                  <w:rPr>
                    <w:rFonts w:ascii="Calibri" w:hAnsi="Calibri"/>
                    <w:i/>
                    <w:color w:val="231F20"/>
                    <w:w w:val="90"/>
                    <w:sz w:val="18"/>
                  </w:rPr>
                  <w:t>J.</w:t>
                </w:r>
                <w:r>
                  <w:rPr>
                    <w:rFonts w:ascii="Calibri" w:hAnsi="Calibri"/>
                    <w:i/>
                    <w:color w:val="231F20"/>
                    <w:spacing w:val="-16"/>
                    <w:w w:val="90"/>
                    <w:sz w:val="18"/>
                  </w:rPr>
                  <w:t> </w:t>
                </w:r>
                <w:r>
                  <w:rPr>
                    <w:rFonts w:ascii="Calibri" w:hAnsi="Calibri"/>
                    <w:i/>
                    <w:color w:val="231F20"/>
                    <w:w w:val="90"/>
                    <w:sz w:val="18"/>
                  </w:rPr>
                  <w:t>B.</w:t>
                </w:r>
                <w:r>
                  <w:rPr>
                    <w:rFonts w:ascii="Calibri" w:hAnsi="Calibri"/>
                    <w:i/>
                    <w:color w:val="231F20"/>
                    <w:spacing w:val="-16"/>
                    <w:w w:val="90"/>
                    <w:sz w:val="18"/>
                  </w:rPr>
                  <w:t> </w:t>
                </w:r>
                <w:r>
                  <w:rPr>
                    <w:rFonts w:ascii="Calibri" w:hAnsi="Calibri"/>
                    <w:i/>
                    <w:color w:val="231F20"/>
                    <w:w w:val="90"/>
                    <w:sz w:val="18"/>
                  </w:rPr>
                  <w:t>Montoya</w:t>
                </w:r>
                <w:r>
                  <w:rPr>
                    <w:rFonts w:ascii="Calibri" w:hAnsi="Calibri"/>
                    <w:i/>
                    <w:color w:val="231F20"/>
                    <w:spacing w:val="-16"/>
                    <w:w w:val="90"/>
                    <w:sz w:val="18"/>
                  </w:rPr>
                  <w:t> </w:t>
                </w:r>
                <w:r>
                  <w:rPr>
                    <w:rFonts w:ascii="Calibri" w:hAnsi="Calibri"/>
                    <w:i/>
                    <w:color w:val="231F20"/>
                    <w:w w:val="90"/>
                    <w:sz w:val="18"/>
                  </w:rPr>
                  <w:t>Arce,</w:t>
                </w:r>
                <w:r>
                  <w:rPr>
                    <w:rFonts w:ascii="Calibri" w:hAnsi="Calibri"/>
                    <w:i/>
                    <w:color w:val="231F20"/>
                    <w:spacing w:val="-16"/>
                    <w:w w:val="90"/>
                    <w:sz w:val="18"/>
                  </w:rPr>
                  <w:t> </w:t>
                </w:r>
                <w:r>
                  <w:rPr>
                    <w:rFonts w:ascii="Calibri" w:hAnsi="Calibri"/>
                    <w:i/>
                    <w:color w:val="231F20"/>
                    <w:w w:val="90"/>
                    <w:sz w:val="18"/>
                  </w:rPr>
                  <w:t>H.</w:t>
                </w:r>
                <w:r>
                  <w:rPr>
                    <w:rFonts w:ascii="Calibri" w:hAnsi="Calibri"/>
                    <w:i/>
                    <w:color w:val="231F20"/>
                    <w:spacing w:val="-16"/>
                    <w:w w:val="90"/>
                    <w:sz w:val="18"/>
                  </w:rPr>
                  <w:t> </w:t>
                </w:r>
                <w:r>
                  <w:rPr>
                    <w:rFonts w:ascii="Calibri" w:hAnsi="Calibri"/>
                    <w:i/>
                    <w:color w:val="231F20"/>
                    <w:w w:val="90"/>
                    <w:sz w:val="18"/>
                  </w:rPr>
                  <w:t>Montes</w:t>
                </w:r>
                <w:r>
                  <w:rPr>
                    <w:rFonts w:ascii="Calibri" w:hAnsi="Calibri"/>
                    <w:i/>
                    <w:color w:val="231F20"/>
                    <w:spacing w:val="-16"/>
                    <w:w w:val="90"/>
                    <w:sz w:val="18"/>
                  </w:rPr>
                  <w:t> </w:t>
                </w:r>
                <w:r>
                  <w:rPr>
                    <w:rFonts w:ascii="Calibri" w:hAnsi="Calibri"/>
                    <w:i/>
                    <w:color w:val="231F20"/>
                    <w:w w:val="90"/>
                    <w:sz w:val="18"/>
                  </w:rPr>
                  <w:t>de</w:t>
                </w:r>
                <w:r>
                  <w:rPr>
                    <w:rFonts w:ascii="Calibri" w:hAnsi="Calibri"/>
                    <w:i/>
                    <w:color w:val="231F20"/>
                    <w:spacing w:val="-16"/>
                    <w:w w:val="90"/>
                    <w:sz w:val="18"/>
                  </w:rPr>
                  <w:t> </w:t>
                </w:r>
                <w:r>
                  <w:rPr>
                    <w:rFonts w:ascii="Calibri" w:hAnsi="Calibri"/>
                    <w:i/>
                    <w:color w:val="231F20"/>
                    <w:w w:val="90"/>
                    <w:sz w:val="18"/>
                  </w:rPr>
                  <w:t>Oca,</w:t>
                </w:r>
                <w:r>
                  <w:rPr>
                    <w:rFonts w:ascii="Calibri" w:hAnsi="Calibri"/>
                    <w:i/>
                    <w:color w:val="231F20"/>
                    <w:spacing w:val="-16"/>
                    <w:w w:val="90"/>
                    <w:sz w:val="18"/>
                  </w:rPr>
                  <w:t> </w:t>
                </w:r>
                <w:r>
                  <w:rPr>
                    <w:rFonts w:ascii="Calibri" w:hAnsi="Calibri"/>
                    <w:i/>
                    <w:color w:val="231F20"/>
                    <w:w w:val="90"/>
                    <w:sz w:val="18"/>
                  </w:rPr>
                  <w:t>S.</w:t>
                </w:r>
                <w:r>
                  <w:rPr>
                    <w:rFonts w:ascii="Calibri" w:hAnsi="Calibri"/>
                    <w:i/>
                    <w:color w:val="231F20"/>
                    <w:spacing w:val="-16"/>
                    <w:w w:val="90"/>
                    <w:sz w:val="18"/>
                  </w:rPr>
                  <w:t> </w:t>
                </w:r>
                <w:r>
                  <w:rPr>
                    <w:rFonts w:ascii="Calibri" w:hAnsi="Calibri"/>
                    <w:i/>
                    <w:color w:val="231F20"/>
                    <w:w w:val="90"/>
                    <w:sz w:val="18"/>
                  </w:rPr>
                  <w:t>C.</w:t>
                </w:r>
                <w:r>
                  <w:rPr>
                    <w:rFonts w:ascii="Calibri" w:hAnsi="Calibri"/>
                    <w:i/>
                    <w:color w:val="231F20"/>
                    <w:spacing w:val="-16"/>
                    <w:w w:val="90"/>
                    <w:sz w:val="18"/>
                  </w:rPr>
                  <w:t> </w:t>
                </w:r>
                <w:r>
                  <w:rPr>
                    <w:rFonts w:ascii="Calibri" w:hAnsi="Calibri"/>
                    <w:i/>
                    <w:color w:val="231F20"/>
                    <w:w w:val="90"/>
                    <w:sz w:val="18"/>
                  </w:rPr>
                  <w:t>Gaxiola</w:t>
                </w:r>
                <w:r>
                  <w:rPr>
                    <w:rFonts w:ascii="Calibri" w:hAnsi="Calibri"/>
                    <w:i/>
                    <w:color w:val="231F20"/>
                    <w:spacing w:val="-16"/>
                    <w:w w:val="90"/>
                    <w:sz w:val="18"/>
                  </w:rPr>
                  <w:t> </w:t>
                </w:r>
                <w:r>
                  <w:rPr>
                    <w:rFonts w:ascii="Calibri" w:hAnsi="Calibri"/>
                    <w:i/>
                    <w:color w:val="231F20"/>
                    <w:w w:val="90"/>
                    <w:sz w:val="18"/>
                  </w:rPr>
                  <w:t>Robles-Linares</w:t>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lowerLetter"/>
      <w:lvlText w:val="%1)"/>
      <w:lvlJc w:val="left"/>
      <w:pPr>
        <w:ind w:left="484" w:hanging="248"/>
        <w:jc w:val="left"/>
      </w:pPr>
      <w:rPr>
        <w:rFonts w:hint="default" w:ascii="Cambria" w:hAnsi="Cambria" w:eastAsia="Cambria" w:cs="Cambria"/>
        <w:i/>
        <w:color w:val="231F20"/>
        <w:w w:val="92"/>
        <w:sz w:val="20"/>
        <w:szCs w:val="20"/>
      </w:rPr>
    </w:lvl>
    <w:lvl w:ilvl="1">
      <w:start w:val="1"/>
      <w:numFmt w:val="bullet"/>
      <w:lvlText w:val="•"/>
      <w:lvlJc w:val="left"/>
      <w:pPr>
        <w:ind w:left="1152" w:hanging="248"/>
      </w:pPr>
      <w:rPr>
        <w:rFonts w:hint="default"/>
      </w:rPr>
    </w:lvl>
    <w:lvl w:ilvl="2">
      <w:start w:val="1"/>
      <w:numFmt w:val="bullet"/>
      <w:lvlText w:val="•"/>
      <w:lvlJc w:val="left"/>
      <w:pPr>
        <w:ind w:left="1824" w:hanging="248"/>
      </w:pPr>
      <w:rPr>
        <w:rFonts w:hint="default"/>
      </w:rPr>
    </w:lvl>
    <w:lvl w:ilvl="3">
      <w:start w:val="1"/>
      <w:numFmt w:val="bullet"/>
      <w:lvlText w:val="•"/>
      <w:lvlJc w:val="left"/>
      <w:pPr>
        <w:ind w:left="2496" w:hanging="248"/>
      </w:pPr>
      <w:rPr>
        <w:rFonts w:hint="default"/>
      </w:rPr>
    </w:lvl>
    <w:lvl w:ilvl="4">
      <w:start w:val="1"/>
      <w:numFmt w:val="bullet"/>
      <w:lvlText w:val="•"/>
      <w:lvlJc w:val="left"/>
      <w:pPr>
        <w:ind w:left="3168" w:hanging="248"/>
      </w:pPr>
      <w:rPr>
        <w:rFonts w:hint="default"/>
      </w:rPr>
    </w:lvl>
    <w:lvl w:ilvl="5">
      <w:start w:val="1"/>
      <w:numFmt w:val="bullet"/>
      <w:lvlText w:val="•"/>
      <w:lvlJc w:val="left"/>
      <w:pPr>
        <w:ind w:left="3840" w:hanging="248"/>
      </w:pPr>
      <w:rPr>
        <w:rFonts w:hint="default"/>
      </w:rPr>
    </w:lvl>
    <w:lvl w:ilvl="6">
      <w:start w:val="1"/>
      <w:numFmt w:val="bullet"/>
      <w:lvlText w:val="•"/>
      <w:lvlJc w:val="left"/>
      <w:pPr>
        <w:ind w:left="4512" w:hanging="248"/>
      </w:pPr>
      <w:rPr>
        <w:rFonts w:hint="default"/>
      </w:rPr>
    </w:lvl>
    <w:lvl w:ilvl="7">
      <w:start w:val="1"/>
      <w:numFmt w:val="bullet"/>
      <w:lvlText w:val="•"/>
      <w:lvlJc w:val="left"/>
      <w:pPr>
        <w:ind w:left="5184" w:hanging="248"/>
      </w:pPr>
      <w:rPr>
        <w:rFonts w:hint="default"/>
      </w:rPr>
    </w:lvl>
    <w:lvl w:ilvl="8">
      <w:start w:val="1"/>
      <w:numFmt w:val="bullet"/>
      <w:lvlText w:val="•"/>
      <w:lvlJc w:val="left"/>
      <w:pPr>
        <w:ind w:left="5856" w:hanging="248"/>
      </w:pPr>
      <w:rPr>
        <w:rFonts w:hint="default"/>
      </w:rPr>
    </w:lvl>
  </w:abstractNum>
  <w:abstractNum w:abstractNumId="2">
    <w:multiLevelType w:val="hybridMultilevel"/>
    <w:lvl w:ilvl="0">
      <w:start w:val="1"/>
      <w:numFmt w:val="decimal"/>
      <w:lvlText w:val="%1."/>
      <w:lvlJc w:val="left"/>
      <w:pPr>
        <w:ind w:left="724" w:hanging="240"/>
        <w:jc w:val="left"/>
      </w:pPr>
      <w:rPr>
        <w:rFonts w:hint="default" w:ascii="Cambria" w:hAnsi="Cambria" w:eastAsia="Cambria" w:cs="Cambria"/>
        <w:color w:val="231F20"/>
        <w:w w:val="109"/>
        <w:sz w:val="20"/>
        <w:szCs w:val="20"/>
      </w:rPr>
    </w:lvl>
    <w:lvl w:ilvl="1">
      <w:start w:val="1"/>
      <w:numFmt w:val="bullet"/>
      <w:lvlText w:val="•"/>
      <w:lvlJc w:val="left"/>
      <w:pPr>
        <w:ind w:left="1368" w:hanging="240"/>
      </w:pPr>
      <w:rPr>
        <w:rFonts w:hint="default"/>
      </w:rPr>
    </w:lvl>
    <w:lvl w:ilvl="2">
      <w:start w:val="1"/>
      <w:numFmt w:val="bullet"/>
      <w:lvlText w:val="•"/>
      <w:lvlJc w:val="left"/>
      <w:pPr>
        <w:ind w:left="2016" w:hanging="240"/>
      </w:pPr>
      <w:rPr>
        <w:rFonts w:hint="default"/>
      </w:rPr>
    </w:lvl>
    <w:lvl w:ilvl="3">
      <w:start w:val="1"/>
      <w:numFmt w:val="bullet"/>
      <w:lvlText w:val="•"/>
      <w:lvlJc w:val="left"/>
      <w:pPr>
        <w:ind w:left="2664" w:hanging="240"/>
      </w:pPr>
      <w:rPr>
        <w:rFonts w:hint="default"/>
      </w:rPr>
    </w:lvl>
    <w:lvl w:ilvl="4">
      <w:start w:val="1"/>
      <w:numFmt w:val="bullet"/>
      <w:lvlText w:val="•"/>
      <w:lvlJc w:val="left"/>
      <w:pPr>
        <w:ind w:left="3312" w:hanging="240"/>
      </w:pPr>
      <w:rPr>
        <w:rFonts w:hint="default"/>
      </w:rPr>
    </w:lvl>
    <w:lvl w:ilvl="5">
      <w:start w:val="1"/>
      <w:numFmt w:val="bullet"/>
      <w:lvlText w:val="•"/>
      <w:lvlJc w:val="left"/>
      <w:pPr>
        <w:ind w:left="3960" w:hanging="240"/>
      </w:pPr>
      <w:rPr>
        <w:rFonts w:hint="default"/>
      </w:rPr>
    </w:lvl>
    <w:lvl w:ilvl="6">
      <w:start w:val="1"/>
      <w:numFmt w:val="bullet"/>
      <w:lvlText w:val="•"/>
      <w:lvlJc w:val="left"/>
      <w:pPr>
        <w:ind w:left="4608" w:hanging="240"/>
      </w:pPr>
      <w:rPr>
        <w:rFonts w:hint="default"/>
      </w:rPr>
    </w:lvl>
    <w:lvl w:ilvl="7">
      <w:start w:val="1"/>
      <w:numFmt w:val="bullet"/>
      <w:lvlText w:val="•"/>
      <w:lvlJc w:val="left"/>
      <w:pPr>
        <w:ind w:left="5256" w:hanging="240"/>
      </w:pPr>
      <w:rPr>
        <w:rFonts w:hint="default"/>
      </w:rPr>
    </w:lvl>
    <w:lvl w:ilvl="8">
      <w:start w:val="1"/>
      <w:numFmt w:val="bullet"/>
      <w:lvlText w:val="•"/>
      <w:lvlJc w:val="left"/>
      <w:pPr>
        <w:ind w:left="5904" w:hanging="240"/>
      </w:pPr>
      <w:rPr>
        <w:rFonts w:hint="default"/>
      </w:rPr>
    </w:lvl>
  </w:abstractNum>
  <w:abstractNum w:abstractNumId="1">
    <w:multiLevelType w:val="hybridMultilevel"/>
    <w:lvl w:ilvl="0">
      <w:start w:val="10"/>
      <w:numFmt w:val="upperRoman"/>
      <w:lvlText w:val="%1."/>
      <w:lvlJc w:val="left"/>
      <w:pPr>
        <w:ind w:left="484" w:hanging="259"/>
        <w:jc w:val="left"/>
      </w:pPr>
      <w:rPr>
        <w:rFonts w:hint="default" w:ascii="Times New Roman" w:hAnsi="Times New Roman" w:eastAsia="Times New Roman" w:cs="Times New Roman"/>
        <w:color w:val="231F20"/>
        <w:spacing w:val="1"/>
        <w:w w:val="94"/>
        <w:sz w:val="15"/>
        <w:szCs w:val="15"/>
      </w:rPr>
    </w:lvl>
    <w:lvl w:ilvl="1">
      <w:start w:val="1"/>
      <w:numFmt w:val="bullet"/>
      <w:lvlText w:val="•"/>
      <w:lvlJc w:val="left"/>
      <w:pPr>
        <w:ind w:left="484" w:hanging="240"/>
      </w:pPr>
      <w:rPr>
        <w:rFonts w:hint="default" w:ascii="Cambria" w:hAnsi="Cambria" w:eastAsia="Cambria" w:cs="Cambria"/>
        <w:color w:val="231F20"/>
        <w:w w:val="133"/>
        <w:sz w:val="20"/>
        <w:szCs w:val="20"/>
      </w:rPr>
    </w:lvl>
    <w:lvl w:ilvl="2">
      <w:start w:val="1"/>
      <w:numFmt w:val="bullet"/>
      <w:lvlText w:val="•"/>
      <w:lvlJc w:val="left"/>
      <w:pPr>
        <w:ind w:left="1824" w:hanging="240"/>
      </w:pPr>
      <w:rPr>
        <w:rFonts w:hint="default"/>
      </w:rPr>
    </w:lvl>
    <w:lvl w:ilvl="3">
      <w:start w:val="1"/>
      <w:numFmt w:val="bullet"/>
      <w:lvlText w:val="•"/>
      <w:lvlJc w:val="left"/>
      <w:pPr>
        <w:ind w:left="2496" w:hanging="240"/>
      </w:pPr>
      <w:rPr>
        <w:rFonts w:hint="default"/>
      </w:rPr>
    </w:lvl>
    <w:lvl w:ilvl="4">
      <w:start w:val="1"/>
      <w:numFmt w:val="bullet"/>
      <w:lvlText w:val="•"/>
      <w:lvlJc w:val="left"/>
      <w:pPr>
        <w:ind w:left="3168" w:hanging="240"/>
      </w:pPr>
      <w:rPr>
        <w:rFonts w:hint="default"/>
      </w:rPr>
    </w:lvl>
    <w:lvl w:ilvl="5">
      <w:start w:val="1"/>
      <w:numFmt w:val="bullet"/>
      <w:lvlText w:val="•"/>
      <w:lvlJc w:val="left"/>
      <w:pPr>
        <w:ind w:left="3840" w:hanging="240"/>
      </w:pPr>
      <w:rPr>
        <w:rFonts w:hint="default"/>
      </w:rPr>
    </w:lvl>
    <w:lvl w:ilvl="6">
      <w:start w:val="1"/>
      <w:numFmt w:val="bullet"/>
      <w:lvlText w:val="•"/>
      <w:lvlJc w:val="left"/>
      <w:pPr>
        <w:ind w:left="4512" w:hanging="240"/>
      </w:pPr>
      <w:rPr>
        <w:rFonts w:hint="default"/>
      </w:rPr>
    </w:lvl>
    <w:lvl w:ilvl="7">
      <w:start w:val="1"/>
      <w:numFmt w:val="bullet"/>
      <w:lvlText w:val="•"/>
      <w:lvlJc w:val="left"/>
      <w:pPr>
        <w:ind w:left="5184" w:hanging="240"/>
      </w:pPr>
      <w:rPr>
        <w:rFonts w:hint="default"/>
      </w:rPr>
    </w:lvl>
    <w:lvl w:ilvl="8">
      <w:start w:val="1"/>
      <w:numFmt w:val="bullet"/>
      <w:lvlText w:val="•"/>
      <w:lvlJc w:val="left"/>
      <w:pPr>
        <w:ind w:left="5856" w:hanging="240"/>
      </w:pPr>
      <w:rPr>
        <w:rFonts w:hint="default"/>
      </w:rPr>
    </w:lvl>
  </w:abstractNum>
  <w:abstractNum w:abstractNumId="0">
    <w:multiLevelType w:val="hybridMultilevel"/>
    <w:lvl w:ilvl="0">
      <w:start w:val="3"/>
      <w:numFmt w:val="decimal"/>
      <w:lvlText w:val="%1)"/>
      <w:lvlJc w:val="left"/>
      <w:pPr>
        <w:ind w:left="120" w:hanging="234"/>
        <w:jc w:val="left"/>
      </w:pPr>
      <w:rPr>
        <w:rFonts w:hint="default" w:ascii="Cambria" w:hAnsi="Cambria" w:eastAsia="Cambria" w:cs="Cambria"/>
        <w:color w:val="231F20"/>
        <w:w w:val="93"/>
        <w:sz w:val="20"/>
        <w:szCs w:val="20"/>
      </w:rPr>
    </w:lvl>
    <w:lvl w:ilvl="1">
      <w:start w:val="1"/>
      <w:numFmt w:val="lowerLetter"/>
      <w:lvlText w:val="%2)"/>
      <w:lvlJc w:val="left"/>
      <w:pPr>
        <w:ind w:left="120" w:hanging="236"/>
        <w:jc w:val="left"/>
      </w:pPr>
      <w:rPr>
        <w:rFonts w:hint="default" w:ascii="Cambria" w:hAnsi="Cambria" w:eastAsia="Cambria" w:cs="Cambria"/>
        <w:i/>
        <w:color w:val="231F20"/>
        <w:spacing w:val="0"/>
        <w:w w:val="92"/>
        <w:sz w:val="20"/>
        <w:szCs w:val="20"/>
      </w:rPr>
    </w:lvl>
    <w:lvl w:ilvl="2">
      <w:start w:val="1"/>
      <w:numFmt w:val="bullet"/>
      <w:lvlText w:val="•"/>
      <w:lvlJc w:val="left"/>
      <w:pPr>
        <w:ind w:left="484" w:hanging="240"/>
      </w:pPr>
      <w:rPr>
        <w:rFonts w:hint="default" w:ascii="Cambria" w:hAnsi="Cambria" w:eastAsia="Cambria" w:cs="Cambria"/>
        <w:color w:val="231F20"/>
        <w:w w:val="133"/>
        <w:sz w:val="20"/>
        <w:szCs w:val="20"/>
      </w:rPr>
    </w:lvl>
    <w:lvl w:ilvl="3">
      <w:start w:val="1"/>
      <w:numFmt w:val="bullet"/>
      <w:lvlText w:val="•"/>
      <w:lvlJc w:val="left"/>
      <w:pPr>
        <w:ind w:left="1902" w:hanging="240"/>
      </w:pPr>
      <w:rPr>
        <w:rFonts w:hint="default"/>
      </w:rPr>
    </w:lvl>
    <w:lvl w:ilvl="4">
      <w:start w:val="1"/>
      <w:numFmt w:val="bullet"/>
      <w:lvlText w:val="•"/>
      <w:lvlJc w:val="left"/>
      <w:pPr>
        <w:ind w:left="2613" w:hanging="240"/>
      </w:pPr>
      <w:rPr>
        <w:rFonts w:hint="default"/>
      </w:rPr>
    </w:lvl>
    <w:lvl w:ilvl="5">
      <w:start w:val="1"/>
      <w:numFmt w:val="bullet"/>
      <w:lvlText w:val="•"/>
      <w:lvlJc w:val="left"/>
      <w:pPr>
        <w:ind w:left="3324" w:hanging="240"/>
      </w:pPr>
      <w:rPr>
        <w:rFonts w:hint="default"/>
      </w:rPr>
    </w:lvl>
    <w:lvl w:ilvl="6">
      <w:start w:val="1"/>
      <w:numFmt w:val="bullet"/>
      <w:lvlText w:val="•"/>
      <w:lvlJc w:val="left"/>
      <w:pPr>
        <w:ind w:left="4035" w:hanging="240"/>
      </w:pPr>
      <w:rPr>
        <w:rFonts w:hint="default"/>
      </w:rPr>
    </w:lvl>
    <w:lvl w:ilvl="7">
      <w:start w:val="1"/>
      <w:numFmt w:val="bullet"/>
      <w:lvlText w:val="•"/>
      <w:lvlJc w:val="left"/>
      <w:pPr>
        <w:ind w:left="4746" w:hanging="240"/>
      </w:pPr>
      <w:rPr>
        <w:rFonts w:hint="default"/>
      </w:rPr>
    </w:lvl>
    <w:lvl w:ilvl="8">
      <w:start w:val="1"/>
      <w:numFmt w:val="bullet"/>
      <w:lvlText w:val="•"/>
      <w:lvlJc w:val="left"/>
      <w:pPr>
        <w:ind w:left="5457" w:hanging="240"/>
      </w:pPr>
      <w:rPr>
        <w:rFonts w:hint="default"/>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TOC1" w:type="paragraph">
    <w:name w:val="TOC 1"/>
    <w:basedOn w:val="Normal"/>
    <w:uiPriority w:val="1"/>
    <w:qFormat/>
    <w:pPr>
      <w:spacing w:before="30"/>
      <w:ind w:left="120"/>
    </w:pPr>
    <w:rPr>
      <w:rFonts w:ascii="Cambria" w:hAnsi="Cambria" w:eastAsia="Cambria" w:cs="Cambria"/>
      <w:i/>
      <w:sz w:val="16"/>
      <w:szCs w:val="16"/>
    </w:rPr>
  </w:style>
  <w:style w:styleId="TOC2" w:type="paragraph">
    <w:name w:val="TOC 2"/>
    <w:basedOn w:val="Normal"/>
    <w:uiPriority w:val="1"/>
    <w:qFormat/>
    <w:pPr>
      <w:spacing w:before="192"/>
      <w:ind w:left="120"/>
    </w:pPr>
    <w:rPr>
      <w:rFonts w:ascii="Times New Roman" w:hAnsi="Times New Roman" w:eastAsia="Times New Roman" w:cs="Times New Roman"/>
      <w:sz w:val="14"/>
      <w:szCs w:val="14"/>
    </w:rPr>
  </w:style>
  <w:style w:styleId="TOC3" w:type="paragraph">
    <w:name w:val="TOC 3"/>
    <w:basedOn w:val="Normal"/>
    <w:uiPriority w:val="1"/>
    <w:qFormat/>
    <w:pPr>
      <w:spacing w:before="189"/>
      <w:ind w:left="120"/>
    </w:pPr>
    <w:rPr>
      <w:rFonts w:ascii="Times New Roman" w:hAnsi="Times New Roman" w:eastAsia="Times New Roman" w:cs="Times New Roman"/>
      <w:b/>
      <w:bCs/>
      <w:i/>
    </w:rPr>
  </w:style>
  <w:style w:styleId="BodyText" w:type="paragraph">
    <w:name w:val="Body Text"/>
    <w:basedOn w:val="Normal"/>
    <w:uiPriority w:val="1"/>
    <w:qFormat/>
    <w:pPr/>
    <w:rPr>
      <w:rFonts w:ascii="Cambria" w:hAnsi="Cambria" w:eastAsia="Cambria" w:cs="Cambria"/>
      <w:sz w:val="20"/>
      <w:szCs w:val="20"/>
    </w:rPr>
  </w:style>
  <w:style w:styleId="Heading1" w:type="paragraph">
    <w:name w:val="Heading 1"/>
    <w:basedOn w:val="Normal"/>
    <w:uiPriority w:val="1"/>
    <w:qFormat/>
    <w:pPr>
      <w:spacing w:before="148" w:line="400" w:lineRule="exact"/>
      <w:ind w:left="100" w:right="117"/>
      <w:jc w:val="right"/>
      <w:outlineLvl w:val="1"/>
    </w:pPr>
    <w:rPr>
      <w:rFonts w:ascii="Trebuchet MS" w:hAnsi="Trebuchet MS" w:eastAsia="Trebuchet MS" w:cs="Trebuchet MS"/>
      <w:i/>
      <w:sz w:val="36"/>
      <w:szCs w:val="36"/>
    </w:rPr>
  </w:style>
  <w:style w:styleId="Heading2" w:type="paragraph">
    <w:name w:val="Heading 2"/>
    <w:basedOn w:val="Normal"/>
    <w:uiPriority w:val="1"/>
    <w:qFormat/>
    <w:pPr>
      <w:spacing w:before="154"/>
      <w:ind w:left="100" w:right="118"/>
      <w:jc w:val="right"/>
      <w:outlineLvl w:val="2"/>
    </w:pPr>
    <w:rPr>
      <w:rFonts w:ascii="Trebuchet MS" w:hAnsi="Trebuchet MS" w:eastAsia="Trebuchet MS" w:cs="Trebuchet MS"/>
      <w:i/>
      <w:sz w:val="24"/>
      <w:szCs w:val="24"/>
    </w:rPr>
  </w:style>
  <w:style w:styleId="Heading3" w:type="paragraph">
    <w:name w:val="Heading 3"/>
    <w:basedOn w:val="Normal"/>
    <w:uiPriority w:val="1"/>
    <w:qFormat/>
    <w:pPr>
      <w:ind w:left="124"/>
      <w:jc w:val="both"/>
      <w:outlineLvl w:val="3"/>
    </w:pPr>
    <w:rPr>
      <w:rFonts w:ascii="Calibri" w:hAnsi="Calibri" w:eastAsia="Calibri" w:cs="Calibri"/>
      <w:i/>
      <w:sz w:val="22"/>
      <w:szCs w:val="22"/>
    </w:rPr>
  </w:style>
  <w:style w:styleId="ListParagraph" w:type="paragraph">
    <w:name w:val="List Paragraph"/>
    <w:basedOn w:val="Normal"/>
    <w:uiPriority w:val="1"/>
    <w:qFormat/>
    <w:pPr>
      <w:ind w:left="484" w:right="113" w:hanging="240"/>
      <w:jc w:val="both"/>
    </w:pPr>
    <w:rPr>
      <w:rFonts w:ascii="Cambria" w:hAnsi="Cambria" w:eastAsia="Cambria" w:cs="Cambria"/>
    </w:rPr>
  </w:style>
  <w:style w:styleId="TableParagraph" w:type="paragraph">
    <w:name w:val="Table Paragraph"/>
    <w:basedOn w:val="Normal"/>
    <w:uiPriority w:val="1"/>
    <w:qFormat/>
    <w:pPr>
      <w:spacing w:line="194" w:lineRule="exact"/>
      <w:jc w:val="center"/>
    </w:pPr>
    <w:rPr>
      <w:rFonts w:ascii="Cambria" w:hAnsi="Cambria" w:eastAsia="Cambria" w:cs="Cambri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footer" Target="footer6.xml"/><Relationship Id="rId14" Type="http://schemas.openxmlformats.org/officeDocument/2006/relationships/footer" Target="footer7.xml"/><Relationship Id="rId15" Type="http://schemas.openxmlformats.org/officeDocument/2006/relationships/footer" Target="footer8.xml"/><Relationship Id="rId16" Type="http://schemas.openxmlformats.org/officeDocument/2006/relationships/footer" Target="footer9.xml"/><Relationship Id="rId17" Type="http://schemas.openxmlformats.org/officeDocument/2006/relationships/footer" Target="footer10.xml"/><Relationship Id="rId18" Type="http://schemas.openxmlformats.org/officeDocument/2006/relationships/hyperlink" Target="http://www.oportunidades.gob.mx/indica-" TargetMode="External"/><Relationship Id="rId19" Type="http://schemas.openxmlformats.org/officeDocument/2006/relationships/hyperlink" Target="http://pnd.calderon.presidencia.gob/" TargetMode="External"/><Relationship Id="rId20" Type="http://schemas.openxmlformats.org/officeDocument/2006/relationships/footer" Target="footer11.xml"/><Relationship Id="rId21" Type="http://schemas.openxmlformats.org/officeDocument/2006/relationships/hyperlink" Target="http://www.oportunidades.gob.mx/indicadores_gestion/main.html" TargetMode="External"/><Relationship Id="rId22" Type="http://schemas.openxmlformats.org/officeDocument/2006/relationships/hyperlink" Target="http://pnd.calderon.presidencia.gob.mx/igualdad-de-oportunidades/familia-ni-" TargetMode="External"/><Relationship Id="rId23" Type="http://schemas.openxmlformats.org/officeDocument/2006/relationships/footer" Target="footer12.xml"/><Relationship Id="rId24" Type="http://schemas.openxmlformats.org/officeDocument/2006/relationships/footer" Target="footer13.xml"/><Relationship Id="rId25" Type="http://schemas.openxmlformats.org/officeDocument/2006/relationships/footer" Target="footer14.xml"/><Relationship Id="rId26" Type="http://schemas.openxmlformats.org/officeDocument/2006/relationships/footer" Target="footer15.xml"/><Relationship Id="rId27" Type="http://schemas.openxmlformats.org/officeDocument/2006/relationships/footer" Target="footer16.xml"/><Relationship Id="rId28" Type="http://schemas.openxmlformats.org/officeDocument/2006/relationships/footer" Target="footer17.xml"/><Relationship Id="rId29" Type="http://schemas.openxmlformats.org/officeDocument/2006/relationships/footer" Target="footer18.xml"/><Relationship Id="rId30" Type="http://schemas.openxmlformats.org/officeDocument/2006/relationships/footer" Target="footer19.xml"/><Relationship Id="rId31" Type="http://schemas.openxmlformats.org/officeDocument/2006/relationships/footer" Target="footer20.xml"/><Relationship Id="rId32" Type="http://schemas.openxmlformats.org/officeDocument/2006/relationships/footer" Target="footer21.xml"/><Relationship Id="rId33" Type="http://schemas.openxmlformats.org/officeDocument/2006/relationships/footer" Target="footer22.xml"/><Relationship Id="rId34" Type="http://schemas.openxmlformats.org/officeDocument/2006/relationships/footer" Target="footer23.xml"/><Relationship Id="rId35" Type="http://schemas.openxmlformats.org/officeDocument/2006/relationships/footer" Target="footer24.xml"/><Relationship Id="rId36" Type="http://schemas.openxmlformats.org/officeDocument/2006/relationships/footer" Target="footer25.xml"/><Relationship Id="rId37" Type="http://schemas.openxmlformats.org/officeDocument/2006/relationships/footer" Target="footer26.xml"/><Relationship Id="rId38" Type="http://schemas.openxmlformats.org/officeDocument/2006/relationships/footer" Target="footer27.xml"/><Relationship Id="rId39" Type="http://schemas.openxmlformats.org/officeDocument/2006/relationships/image" Target="media/image4.png"/><Relationship Id="rId40" Type="http://schemas.openxmlformats.org/officeDocument/2006/relationships/image" Target="media/image5.png"/><Relationship Id="rId41" Type="http://schemas.openxmlformats.org/officeDocument/2006/relationships/image" Target="media/image6.png"/><Relationship Id="rId42" Type="http://schemas.openxmlformats.org/officeDocument/2006/relationships/image" Target="media/image7.png"/><Relationship Id="rId43" Type="http://schemas.openxmlformats.org/officeDocument/2006/relationships/image" Target="media/image8.png"/><Relationship Id="rId44" Type="http://schemas.openxmlformats.org/officeDocument/2006/relationships/image" Target="media/image9.png"/><Relationship Id="rId45" Type="http://schemas.openxmlformats.org/officeDocument/2006/relationships/image" Target="media/image10.png"/><Relationship Id="rId46" Type="http://schemas.openxmlformats.org/officeDocument/2006/relationships/image" Target="media/image11.png"/><Relationship Id="rId47" Type="http://schemas.openxmlformats.org/officeDocument/2006/relationships/image" Target="media/image12.png"/><Relationship Id="rId48" Type="http://schemas.openxmlformats.org/officeDocument/2006/relationships/image" Target="media/image13.png"/><Relationship Id="rId49" Type="http://schemas.openxmlformats.org/officeDocument/2006/relationships/image" Target="media/image14.png"/><Relationship Id="rId50" Type="http://schemas.openxmlformats.org/officeDocument/2006/relationships/image" Target="media/image15.png"/><Relationship Id="rId51" Type="http://schemas.openxmlformats.org/officeDocument/2006/relationships/image" Target="media/image16.png"/><Relationship Id="rId52" Type="http://schemas.openxmlformats.org/officeDocument/2006/relationships/image" Target="media/image17.png"/><Relationship Id="rId53" Type="http://schemas.openxmlformats.org/officeDocument/2006/relationships/image" Target="media/image18.png"/><Relationship Id="rId54" Type="http://schemas.openxmlformats.org/officeDocument/2006/relationships/image" Target="media/image19.png"/><Relationship Id="rId55" Type="http://schemas.openxmlformats.org/officeDocument/2006/relationships/image" Target="media/image20.png"/><Relationship Id="rId56" Type="http://schemas.openxmlformats.org/officeDocument/2006/relationships/image" Target="media/image21.png"/><Relationship Id="rId57" Type="http://schemas.openxmlformats.org/officeDocument/2006/relationships/image" Target="media/image22.png"/><Relationship Id="rId58" Type="http://schemas.openxmlformats.org/officeDocument/2006/relationships/image" Target="media/image23.jpeg"/><Relationship Id="rId59" Type="http://schemas.openxmlformats.org/officeDocument/2006/relationships/image" Target="media/image24.jpeg"/><Relationship Id="rId60" Type="http://schemas.openxmlformats.org/officeDocument/2006/relationships/footer" Target="footer28.xml"/><Relationship Id="rId61" Type="http://schemas.openxmlformats.org/officeDocument/2006/relationships/footer" Target="footer29.xml"/><Relationship Id="rId62" Type="http://schemas.openxmlformats.org/officeDocument/2006/relationships/footer" Target="footer30.xml"/><Relationship Id="rId63" Type="http://schemas.openxmlformats.org/officeDocument/2006/relationships/footer" Target="footer31.xml"/><Relationship Id="rId64" Type="http://schemas.openxmlformats.org/officeDocument/2006/relationships/footer" Target="footer32.xml"/><Relationship Id="rId65" Type="http://schemas.openxmlformats.org/officeDocument/2006/relationships/footer" Target="footer33.xml"/><Relationship Id="rId66" Type="http://schemas.openxmlformats.org/officeDocument/2006/relationships/footer" Target="footer34.xml"/><Relationship Id="rId67" Type="http://schemas.openxmlformats.org/officeDocument/2006/relationships/footer" Target="footer35.xml"/><Relationship Id="rId68" Type="http://schemas.openxmlformats.org/officeDocument/2006/relationships/footer" Target="footer36.xml"/><Relationship Id="rId69" Type="http://schemas.openxmlformats.org/officeDocument/2006/relationships/footer" Target="footer37.xml"/><Relationship Id="rId70" Type="http://schemas.openxmlformats.org/officeDocument/2006/relationships/footer" Target="footer38.xml"/><Relationship Id="rId71" Type="http://schemas.openxmlformats.org/officeDocument/2006/relationships/footer" Target="footer39.xml"/><Relationship Id="rId72" Type="http://schemas.openxmlformats.org/officeDocument/2006/relationships/footer" Target="footer40.xml"/><Relationship Id="rId73" Type="http://schemas.openxmlformats.org/officeDocument/2006/relationships/footer" Target="footer41.xml"/><Relationship Id="rId74" Type="http://schemas.openxmlformats.org/officeDocument/2006/relationships/footer" Target="footer42.xml"/><Relationship Id="rId75" Type="http://schemas.openxmlformats.org/officeDocument/2006/relationships/footer" Target="footer43.xml"/><Relationship Id="rId76" Type="http://schemas.openxmlformats.org/officeDocument/2006/relationships/footer" Target="footer44.xml"/><Relationship Id="rId77" Type="http://schemas.openxmlformats.org/officeDocument/2006/relationships/footer" Target="footer45.xml"/><Relationship Id="rId78" Type="http://schemas.openxmlformats.org/officeDocument/2006/relationships/footer" Target="footer46.xml"/><Relationship Id="rId79" Type="http://schemas.openxmlformats.org/officeDocument/2006/relationships/image" Target="media/image25.png"/><Relationship Id="rId80" Type="http://schemas.openxmlformats.org/officeDocument/2006/relationships/image" Target="media/image26.png"/><Relationship Id="rId81" Type="http://schemas.openxmlformats.org/officeDocument/2006/relationships/image" Target="media/image27.png"/><Relationship Id="rId82" Type="http://schemas.openxmlformats.org/officeDocument/2006/relationships/image" Target="media/image28.png"/><Relationship Id="rId83" Type="http://schemas.openxmlformats.org/officeDocument/2006/relationships/image" Target="media/image29.png"/><Relationship Id="rId84" Type="http://schemas.openxmlformats.org/officeDocument/2006/relationships/image" Target="media/image30.png"/><Relationship Id="rId85" Type="http://schemas.openxmlformats.org/officeDocument/2006/relationships/image" Target="media/image31.png"/><Relationship Id="rId86" Type="http://schemas.openxmlformats.org/officeDocument/2006/relationships/image" Target="media/image32.png"/><Relationship Id="rId87" Type="http://schemas.openxmlformats.org/officeDocument/2006/relationships/footer" Target="footer47.xml"/><Relationship Id="rId88" Type="http://schemas.openxmlformats.org/officeDocument/2006/relationships/footer" Target="footer48.xml"/><Relationship Id="rId89" Type="http://schemas.openxmlformats.org/officeDocument/2006/relationships/image" Target="media/image33.png"/><Relationship Id="rId90" Type="http://schemas.openxmlformats.org/officeDocument/2006/relationships/image" Target="media/image34.png"/><Relationship Id="rId91" Type="http://schemas.openxmlformats.org/officeDocument/2006/relationships/image" Target="media/image35.png"/><Relationship Id="rId92" Type="http://schemas.openxmlformats.org/officeDocument/2006/relationships/image" Target="media/image36.png"/><Relationship Id="rId93" Type="http://schemas.openxmlformats.org/officeDocument/2006/relationships/image" Target="media/image37.png"/><Relationship Id="rId94" Type="http://schemas.openxmlformats.org/officeDocument/2006/relationships/image" Target="media/image38.png"/><Relationship Id="rId95" Type="http://schemas.openxmlformats.org/officeDocument/2006/relationships/image" Target="media/image39.png"/><Relationship Id="rId96" Type="http://schemas.openxmlformats.org/officeDocument/2006/relationships/image" Target="media/image40.png"/><Relationship Id="rId97" Type="http://schemas.openxmlformats.org/officeDocument/2006/relationships/image" Target="media/image41.png"/><Relationship Id="rId98" Type="http://schemas.openxmlformats.org/officeDocument/2006/relationships/image" Target="media/image42.png"/><Relationship Id="rId99" Type="http://schemas.openxmlformats.org/officeDocument/2006/relationships/footer" Target="footer49.xml"/><Relationship Id="rId100" Type="http://schemas.openxmlformats.org/officeDocument/2006/relationships/footer" Target="footer50.xml"/><Relationship Id="rId101" Type="http://schemas.openxmlformats.org/officeDocument/2006/relationships/image" Target="media/image43.jpeg"/><Relationship Id="rId102" Type="http://schemas.openxmlformats.org/officeDocument/2006/relationships/image" Target="media/image44.jpeg"/><Relationship Id="rId103" Type="http://schemas.openxmlformats.org/officeDocument/2006/relationships/footer" Target="footer51.xml"/><Relationship Id="rId104" Type="http://schemas.openxmlformats.org/officeDocument/2006/relationships/footer" Target="footer52.xml"/><Relationship Id="rId105" Type="http://schemas.openxmlformats.org/officeDocument/2006/relationships/footer" Target="footer53.xml"/><Relationship Id="rId106" Type="http://schemas.openxmlformats.org/officeDocument/2006/relationships/hyperlink" Target="http://www.inegi.org.mx/" TargetMode="External"/><Relationship Id="rId107" Type="http://schemas.openxmlformats.org/officeDocument/2006/relationships/footer" Target="footer54.xml"/><Relationship Id="rId108" Type="http://schemas.openxmlformats.org/officeDocument/2006/relationships/footer" Target="footer55.xml"/><Relationship Id="rId109" Type="http://schemas.openxmlformats.org/officeDocument/2006/relationships/footer" Target="footer56.xml"/><Relationship Id="rId110" Type="http://schemas.openxmlformats.org/officeDocument/2006/relationships/footer" Target="footer57.xml"/><Relationship Id="rId111" Type="http://schemas.openxmlformats.org/officeDocument/2006/relationships/footer" Target="footer58.xml"/><Relationship Id="rId112" Type="http://schemas.openxmlformats.org/officeDocument/2006/relationships/footer" Target="footer59.xml"/><Relationship Id="rId113" Type="http://schemas.openxmlformats.org/officeDocument/2006/relationships/footer" Target="footer60.xml"/><Relationship Id="rId114" Type="http://schemas.openxmlformats.org/officeDocument/2006/relationships/footer" Target="footer61.xml"/><Relationship Id="rId115" Type="http://schemas.openxmlformats.org/officeDocument/2006/relationships/hyperlink" Target="http://www.snie.sep.gob.mx/estadisticas_" TargetMode="External"/><Relationship Id="rId116" Type="http://schemas.openxmlformats.org/officeDocument/2006/relationships/footer" Target="footer62.xml"/><Relationship Id="rId117" Type="http://schemas.openxmlformats.org/officeDocument/2006/relationships/footer" Target="footer63.xml"/><Relationship Id="rId118" Type="http://schemas.openxmlformats.org/officeDocument/2006/relationships/footer" Target="footer64.xml"/><Relationship Id="rId119" Type="http://schemas.openxmlformats.org/officeDocument/2006/relationships/footer" Target="footer65.xml"/><Relationship Id="rId120" Type="http://schemas.openxmlformats.org/officeDocument/2006/relationships/footer" Target="footer66.xml"/><Relationship Id="rId121" Type="http://schemas.openxmlformats.org/officeDocument/2006/relationships/footer" Target="footer67.xml"/><Relationship Id="rId122" Type="http://schemas.openxmlformats.org/officeDocument/2006/relationships/footer" Target="footer68.xml"/><Relationship Id="rId123" Type="http://schemas.openxmlformats.org/officeDocument/2006/relationships/footer" Target="footer69.xml"/><Relationship Id="rId124" Type="http://schemas.openxmlformats.org/officeDocument/2006/relationships/footer" Target="footer70.xml"/><Relationship Id="rId125" Type="http://schemas.openxmlformats.org/officeDocument/2006/relationships/footer" Target="footer71.xml"/><Relationship Id="rId126" Type="http://schemas.openxmlformats.org/officeDocument/2006/relationships/footer" Target="footer72.xml"/><Relationship Id="rId127" Type="http://schemas.openxmlformats.org/officeDocument/2006/relationships/footer" Target="footer73.xml"/><Relationship Id="rId128" Type="http://schemas.openxmlformats.org/officeDocument/2006/relationships/image" Target="media/image45.jpeg"/><Relationship Id="rId129" Type="http://schemas.openxmlformats.org/officeDocument/2006/relationships/image" Target="media/image46.jpeg"/><Relationship Id="rId130" Type="http://schemas.openxmlformats.org/officeDocument/2006/relationships/hyperlink" Target="http://www.uisa.com.mx/his-" TargetMode="External"/><Relationship Id="rId131" Type="http://schemas.openxmlformats.org/officeDocument/2006/relationships/footer" Target="footer74.xml"/><Relationship Id="rId132" Type="http://schemas.openxmlformats.org/officeDocument/2006/relationships/footer" Target="footer75.xml"/><Relationship Id="rId133" Type="http://schemas.openxmlformats.org/officeDocument/2006/relationships/image" Target="media/image47.jpeg"/><Relationship Id="rId134" Type="http://schemas.openxmlformats.org/officeDocument/2006/relationships/footer" Target="footer76.xml"/><Relationship Id="rId135" Type="http://schemas.openxmlformats.org/officeDocument/2006/relationships/footer" Target="footer77.xml"/><Relationship Id="rId136" Type="http://schemas.openxmlformats.org/officeDocument/2006/relationships/footer" Target="footer78.xml"/><Relationship Id="rId137" Type="http://schemas.openxmlformats.org/officeDocument/2006/relationships/footer" Target="footer79.xml"/><Relationship Id="rId138" Type="http://schemas.openxmlformats.org/officeDocument/2006/relationships/footer" Target="footer80.xml"/><Relationship Id="rId139" Type="http://schemas.openxmlformats.org/officeDocument/2006/relationships/footer" Target="footer81.xml"/><Relationship Id="rId140" Type="http://schemas.openxmlformats.org/officeDocument/2006/relationships/footer" Target="footer82.xml"/><Relationship Id="rId141" Type="http://schemas.openxmlformats.org/officeDocument/2006/relationships/footer" Target="footer83.xml"/><Relationship Id="rId142" Type="http://schemas.openxmlformats.org/officeDocument/2006/relationships/hyperlink" Target="http://www.cimmyt.org.es/quienes-somos/nuestra-historia" TargetMode="External"/><Relationship Id="rId143" Type="http://schemas.openxmlformats.org/officeDocument/2006/relationships/hyperlink" Target="http://www.inegi.org/" TargetMode="External"/><Relationship Id="rId144" Type="http://schemas.openxmlformats.org/officeDocument/2006/relationships/hyperlink" Target="http://res.uniandes.edu.co/indexar.php?c=Revista%2BNo%2B29" TargetMode="External"/><Relationship Id="rId145" Type="http://schemas.openxmlformats.org/officeDocument/2006/relationships/footer" Target="footer84.xml"/><Relationship Id="rId146" Type="http://schemas.openxmlformats.org/officeDocument/2006/relationships/footer" Target="footer85.xml"/><Relationship Id="rId147" Type="http://schemas.openxmlformats.org/officeDocument/2006/relationships/footer" Target="footer86.xml"/><Relationship Id="rId148" Type="http://schemas.openxmlformats.org/officeDocument/2006/relationships/hyperlink" Target="mailto:bjmontoyaa@uaemex.mx" TargetMode="External"/><Relationship Id="rId149" Type="http://schemas.openxmlformats.org/officeDocument/2006/relationships/footer" Target="footer87.xml"/><Relationship Id="rId150" Type="http://schemas.openxmlformats.org/officeDocument/2006/relationships/footer" Target="footer88.xml"/><Relationship Id="rId151" Type="http://schemas.openxmlformats.org/officeDocument/2006/relationships/footer" Target="footer89.xml"/><Relationship Id="rId152" Type="http://schemas.openxmlformats.org/officeDocument/2006/relationships/footer" Target="footer90.xml"/><Relationship Id="rId153" Type="http://schemas.openxmlformats.org/officeDocument/2006/relationships/footer" Target="footer91.xml"/><Relationship Id="rId154" Type="http://schemas.openxmlformats.org/officeDocument/2006/relationships/footer" Target="footer92.xml"/><Relationship Id="rId155" Type="http://schemas.openxmlformats.org/officeDocument/2006/relationships/image" Target="media/image48.png"/><Relationship Id="rId156" Type="http://schemas.openxmlformats.org/officeDocument/2006/relationships/image" Target="media/image49.png"/><Relationship Id="rId157" Type="http://schemas.openxmlformats.org/officeDocument/2006/relationships/image" Target="media/image50.png"/><Relationship Id="rId158" Type="http://schemas.openxmlformats.org/officeDocument/2006/relationships/footer" Target="footer93.xml"/><Relationship Id="rId159" Type="http://schemas.openxmlformats.org/officeDocument/2006/relationships/footer" Target="footer94.xml"/><Relationship Id="rId160" Type="http://schemas.openxmlformats.org/officeDocument/2006/relationships/footer" Target="footer95.xml"/><Relationship Id="rId161" Type="http://schemas.openxmlformats.org/officeDocument/2006/relationships/footer" Target="footer96.xml"/><Relationship Id="rId162" Type="http://schemas.openxmlformats.org/officeDocument/2006/relationships/image" Target="media/image51.png"/><Relationship Id="rId163" Type="http://schemas.openxmlformats.org/officeDocument/2006/relationships/image" Target="media/image52.png"/><Relationship Id="rId164" Type="http://schemas.openxmlformats.org/officeDocument/2006/relationships/image" Target="media/image53.png"/><Relationship Id="rId165" Type="http://schemas.openxmlformats.org/officeDocument/2006/relationships/image" Target="media/image54.png"/><Relationship Id="rId166" Type="http://schemas.openxmlformats.org/officeDocument/2006/relationships/image" Target="media/image55.png"/><Relationship Id="rId167" Type="http://schemas.openxmlformats.org/officeDocument/2006/relationships/image" Target="media/image56.png"/><Relationship Id="rId168" Type="http://schemas.openxmlformats.org/officeDocument/2006/relationships/image" Target="media/image57.png"/><Relationship Id="rId169" Type="http://schemas.openxmlformats.org/officeDocument/2006/relationships/image" Target="media/image58.png"/><Relationship Id="rId170" Type="http://schemas.openxmlformats.org/officeDocument/2006/relationships/image" Target="media/image59.png"/><Relationship Id="rId171" Type="http://schemas.openxmlformats.org/officeDocument/2006/relationships/footer" Target="footer97.xml"/><Relationship Id="rId172" Type="http://schemas.openxmlformats.org/officeDocument/2006/relationships/footer" Target="footer98.xml"/><Relationship Id="rId173" Type="http://schemas.openxmlformats.org/officeDocument/2006/relationships/footer" Target="footer99.xml"/><Relationship Id="rId174" Type="http://schemas.openxmlformats.org/officeDocument/2006/relationships/hyperlink" Target="http://www.conapo.gob.mx/index.php?option=com_" TargetMode="External"/><Relationship Id="rId175" Type="http://schemas.openxmlformats.org/officeDocument/2006/relationships/footer" Target="footer100.xml"/><Relationship Id="rId176" Type="http://schemas.openxmlformats.org/officeDocument/2006/relationships/footer" Target="footer101.xml"/><Relationship Id="rId177" Type="http://schemas.openxmlformats.org/officeDocument/2006/relationships/footer" Target="footer102.xml"/><Relationship Id="rId178" Type="http://schemas.openxmlformats.org/officeDocument/2006/relationships/footer" Target="footer103.xml"/><Relationship Id="rId179" Type="http://schemas.openxmlformats.org/officeDocument/2006/relationships/footer" Target="footer104.xml"/><Relationship Id="rId180" Type="http://schemas.openxmlformats.org/officeDocument/2006/relationships/footer" Target="footer105.xml"/><Relationship Id="rId181" Type="http://schemas.openxmlformats.org/officeDocument/2006/relationships/image" Target="media/image60.jpeg"/><Relationship Id="rId182" Type="http://schemas.openxmlformats.org/officeDocument/2006/relationships/footer" Target="footer106.xml"/><Relationship Id="rId183" Type="http://schemas.openxmlformats.org/officeDocument/2006/relationships/footer" Target="footer107.xml"/><Relationship Id="rId184" Type="http://schemas.openxmlformats.org/officeDocument/2006/relationships/footer" Target="footer108.xml"/><Relationship Id="rId185" Type="http://schemas.openxmlformats.org/officeDocument/2006/relationships/footer" Target="footer109.xml"/><Relationship Id="rId186" Type="http://schemas.openxmlformats.org/officeDocument/2006/relationships/footer" Target="footer110.xml"/><Relationship Id="rId187" Type="http://schemas.openxmlformats.org/officeDocument/2006/relationships/footer" Target="footer111.xml"/><Relationship Id="rId188" Type="http://schemas.openxmlformats.org/officeDocument/2006/relationships/footer" Target="footer112.xml"/><Relationship Id="rId189" Type="http://schemas.openxmlformats.org/officeDocument/2006/relationships/footer" Target="footer113.xml"/><Relationship Id="rId190" Type="http://schemas.openxmlformats.org/officeDocument/2006/relationships/footer" Target="footer114.xml"/><Relationship Id="rId191" Type="http://schemas.openxmlformats.org/officeDocument/2006/relationships/footer" Target="footer115.xml"/><Relationship Id="rId192" Type="http://schemas.openxmlformats.org/officeDocument/2006/relationships/footer" Target="footer116.xml"/><Relationship Id="rId193" Type="http://schemas.openxmlformats.org/officeDocument/2006/relationships/hyperlink" Target="http://redalyc.uaemex.mx/src/" TargetMode="External"/><Relationship Id="rId194" Type="http://schemas.openxmlformats.org/officeDocument/2006/relationships/footer" Target="footer117.xml"/><Relationship Id="rId195" Type="http://schemas.openxmlformats.org/officeDocument/2006/relationships/hyperlink" Target="http://www.conapo.gob.mx/es/conapo/Zonas_metropolitanas_2010" TargetMode="External"/><Relationship Id="rId196" Type="http://schemas.openxmlformats.org/officeDocument/2006/relationships/footer" Target="footer118.xml"/><Relationship Id="rId197" Type="http://schemas.openxmlformats.org/officeDocument/2006/relationships/footer" Target="footer119.xml"/><Relationship Id="rId198" Type="http://schemas.openxmlformats.org/officeDocument/2006/relationships/footer" Target="footer120.xml"/><Relationship Id="rId199" Type="http://schemas.openxmlformats.org/officeDocument/2006/relationships/footer" Target="footer121.xml"/><Relationship Id="rId200" Type="http://schemas.openxmlformats.org/officeDocument/2006/relationships/hyperlink" Target="mailto:josesoberon2004@yahoo.com" TargetMode="External"/><Relationship Id="rId201" Type="http://schemas.openxmlformats.org/officeDocument/2006/relationships/footer" Target="footer122.xml"/><Relationship Id="rId202" Type="http://schemas.openxmlformats.org/officeDocument/2006/relationships/footer" Target="footer123.xml"/><Relationship Id="rId203" Type="http://schemas.openxmlformats.org/officeDocument/2006/relationships/footer" Target="footer124.xml"/><Relationship Id="rId204" Type="http://schemas.openxmlformats.org/officeDocument/2006/relationships/footer" Target="footer125.xml"/><Relationship Id="rId20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2017-05-24T19:38:20Z</dcterms:created>
  <dcterms:modified xsi:type="dcterms:W3CDTF">2017-05-24T19:38:20Z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2015-07-06T00:00:00Z</vt:filetime>
  </property>
  <property fmtid="{D5CDD505-2E9C-101B-9397-08002B2CF9AE}" pid="3" name="Creator">
    <vt:lpwstr>Adobe InDesign CS6 (Macintosh)</vt:lpwstr>
  </property>
  <property fmtid="{D5CDD505-2E9C-101B-9397-08002B2CF9AE}" pid="4" name="LastSaved">
    <vt:filetime>2017-05-24T00:00:00Z</vt:filetime>
  </property>
</Properties>
</file>